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宋体" w:hAnsi="宋体" w:eastAsia="宋体" w:cs="宋体"/>
          <w:b/>
          <w:color w:val="auto"/>
          <w:sz w:val="24"/>
          <w:highlight w:val="none"/>
        </w:rPr>
      </w:pPr>
    </w:p>
    <w:p>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杭州市临平区道路交通事故清障施救(拖车)及涉案车辆停放管理服务项目</w:t>
      </w:r>
    </w:p>
    <w:p>
      <w:pPr>
        <w:shd w:val="clea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hd w:val="clea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 （</w:t>
      </w:r>
      <w:r>
        <w:rPr>
          <w:rFonts w:hint="eastAsia" w:ascii="宋体" w:hAnsi="宋体" w:cs="宋体"/>
          <w:color w:val="auto"/>
          <w:sz w:val="30"/>
          <w:szCs w:val="30"/>
          <w:highlight w:val="none"/>
          <w:lang w:val="en-US" w:eastAsia="zh-CN"/>
        </w:rPr>
        <w:t>HBZFCG-2023-001</w:t>
      </w:r>
      <w:r>
        <w:rPr>
          <w:rFonts w:hint="eastAsia" w:ascii="宋体" w:hAnsi="宋体" w:eastAsia="宋体" w:cs="宋体"/>
          <w:color w:val="auto"/>
          <w:sz w:val="30"/>
          <w:szCs w:val="30"/>
          <w:highlight w:val="none"/>
        </w:rPr>
        <w:t>）</w:t>
      </w:r>
    </w:p>
    <w:p>
      <w:pPr>
        <w:shd w:val="clear"/>
        <w:adjustRightInd/>
        <w:spacing w:line="360" w:lineRule="auto"/>
        <w:jc w:val="center"/>
        <w:rPr>
          <w:rFonts w:hint="eastAsia" w:ascii="宋体" w:hAnsi="宋体" w:eastAsia="宋体" w:cs="宋体"/>
          <w:color w:val="auto"/>
          <w:sz w:val="28"/>
          <w:szCs w:val="20"/>
          <w:highlight w:val="none"/>
        </w:rPr>
      </w:pPr>
    </w:p>
    <w:p>
      <w:pPr>
        <w:pStyle w:val="4"/>
        <w:shd w:val="clear"/>
        <w:rPr>
          <w:rFonts w:hint="eastAsia" w:ascii="宋体" w:hAnsi="宋体" w:eastAsia="宋体" w:cs="宋体"/>
          <w:color w:val="auto"/>
          <w:sz w:val="28"/>
          <w:szCs w:val="20"/>
          <w:highlight w:val="none"/>
        </w:rPr>
      </w:pPr>
    </w:p>
    <w:p>
      <w:pPr>
        <w:shd w:val="clear"/>
        <w:rPr>
          <w:rFonts w:hint="eastAsia" w:ascii="宋体" w:hAnsi="宋体" w:eastAsia="宋体" w:cs="宋体"/>
          <w:color w:val="auto"/>
          <w:sz w:val="28"/>
          <w:szCs w:val="20"/>
          <w:highlight w:val="none"/>
        </w:rPr>
      </w:pPr>
    </w:p>
    <w:p>
      <w:pPr>
        <w:pStyle w:val="4"/>
        <w:shd w:val="clear"/>
        <w:rPr>
          <w:rFonts w:hint="eastAsia" w:ascii="宋体" w:hAnsi="宋体" w:eastAsia="宋体" w:cs="宋体"/>
          <w:color w:val="auto"/>
          <w:sz w:val="28"/>
          <w:szCs w:val="20"/>
          <w:highlight w:val="none"/>
        </w:rPr>
      </w:pPr>
    </w:p>
    <w:p>
      <w:pPr>
        <w:shd w:val="clear"/>
        <w:rPr>
          <w:rFonts w:hint="eastAsia" w:ascii="宋体" w:hAnsi="宋体" w:eastAsia="宋体" w:cs="宋体"/>
          <w:color w:val="auto"/>
          <w:sz w:val="28"/>
          <w:szCs w:val="20"/>
          <w:highlight w:val="none"/>
        </w:rPr>
      </w:pPr>
    </w:p>
    <w:p>
      <w:pPr>
        <w:pStyle w:val="4"/>
        <w:shd w:val="clear"/>
        <w:rPr>
          <w:rFonts w:hint="eastAsia" w:ascii="宋体" w:hAnsi="宋体" w:eastAsia="宋体" w:cs="宋体"/>
          <w:color w:val="auto"/>
          <w:sz w:val="28"/>
          <w:szCs w:val="20"/>
          <w:highlight w:val="none"/>
        </w:rPr>
      </w:pPr>
    </w:p>
    <w:p>
      <w:pPr>
        <w:shd w:val="clear"/>
        <w:rPr>
          <w:rFonts w:hint="eastAsia" w:ascii="宋体" w:hAnsi="宋体" w:eastAsia="宋体" w:cs="宋体"/>
          <w:color w:val="auto"/>
          <w:sz w:val="28"/>
          <w:szCs w:val="20"/>
          <w:highlight w:val="none"/>
        </w:rPr>
      </w:pPr>
    </w:p>
    <w:p>
      <w:pPr>
        <w:pStyle w:val="4"/>
        <w:shd w:val="clear"/>
        <w:rPr>
          <w:rFonts w:hint="eastAsia" w:ascii="宋体" w:hAnsi="宋体" w:eastAsia="宋体" w:cs="宋体"/>
          <w:color w:val="auto"/>
          <w:sz w:val="28"/>
          <w:szCs w:val="20"/>
          <w:highlight w:val="none"/>
        </w:rPr>
      </w:pPr>
    </w:p>
    <w:p>
      <w:pPr>
        <w:shd w:val="clear"/>
        <w:rPr>
          <w:rFonts w:hint="eastAsia" w:ascii="宋体" w:hAnsi="宋体" w:eastAsia="宋体" w:cs="宋体"/>
          <w:color w:val="auto"/>
          <w:sz w:val="28"/>
          <w:szCs w:val="20"/>
          <w:highlight w:val="none"/>
        </w:rPr>
      </w:pPr>
    </w:p>
    <w:p>
      <w:pPr>
        <w:pStyle w:val="4"/>
        <w:shd w:val="clear"/>
        <w:rPr>
          <w:rFonts w:hint="eastAsia" w:ascii="宋体" w:hAnsi="宋体" w:eastAsia="宋体" w:cs="宋体"/>
          <w:color w:val="auto"/>
          <w:sz w:val="28"/>
          <w:szCs w:val="20"/>
          <w:highlight w:val="none"/>
        </w:rPr>
      </w:pPr>
    </w:p>
    <w:p>
      <w:pPr>
        <w:shd w:val="clear"/>
        <w:rPr>
          <w:rFonts w:hint="eastAsia" w:ascii="宋体" w:hAnsi="宋体" w:eastAsia="宋体" w:cs="宋体"/>
          <w:color w:val="auto"/>
          <w:sz w:val="28"/>
          <w:szCs w:val="20"/>
          <w:highlight w:val="none"/>
        </w:rPr>
      </w:pPr>
    </w:p>
    <w:p>
      <w:pPr>
        <w:pStyle w:val="4"/>
        <w:shd w:val="clear"/>
        <w:rPr>
          <w:rFonts w:hint="eastAsia" w:ascii="宋体" w:hAnsi="宋体" w:eastAsia="宋体" w:cs="宋体"/>
          <w:color w:val="auto"/>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32"/>
          <w:szCs w:val="32"/>
          <w:highlight w:val="none"/>
        </w:rPr>
      </w:pPr>
    </w:p>
    <w:p>
      <w:pPr>
        <w:shd w:val="clea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杭州市公安局临平区分局</w:t>
      </w:r>
      <w:r>
        <w:rPr>
          <w:rFonts w:hint="eastAsia" w:ascii="宋体" w:hAnsi="宋体" w:eastAsia="宋体" w:cs="宋体"/>
          <w:color w:val="auto"/>
          <w:sz w:val="32"/>
          <w:szCs w:val="32"/>
          <w:highlight w:val="none"/>
        </w:rPr>
        <w:t xml:space="preserve"> </w:t>
      </w:r>
    </w:p>
    <w:p>
      <w:pPr>
        <w:shd w:val="clea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海标工程管理有限公司</w:t>
      </w:r>
    </w:p>
    <w:p>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月 日</w:t>
      </w:r>
    </w:p>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hd w:val="clear"/>
        <w:spacing w:line="360" w:lineRule="auto"/>
        <w:rPr>
          <w:rFonts w:hint="eastAsia" w:ascii="宋体" w:hAnsi="宋体" w:eastAsia="宋体" w:cs="宋体"/>
          <w:color w:val="auto"/>
          <w:sz w:val="32"/>
          <w:szCs w:val="32"/>
          <w:highlight w:val="none"/>
        </w:rPr>
      </w:pPr>
    </w:p>
    <w:p>
      <w:pPr>
        <w:shd w:val="clear"/>
        <w:spacing w:line="360" w:lineRule="auto"/>
        <w:rPr>
          <w:rFonts w:hint="eastAsia" w:ascii="宋体" w:hAnsi="宋体" w:eastAsia="宋体" w:cs="宋体"/>
          <w:color w:val="auto"/>
          <w:sz w:val="32"/>
          <w:szCs w:val="32"/>
          <w:highlight w:val="none"/>
        </w:rPr>
      </w:pP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第一部分招标公告</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第二部分投标人须知</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第三部分采购需求</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第四部分评标办法</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第五部分拟签订的合同文本</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第六部分应提交的有关格式范例</w:t>
      </w:r>
    </w:p>
    <w:p>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杭州市临平区道路交通事故清障施救(拖车)及涉案车辆停放管理服务项目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80"/>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HBZFCG-2023-001</w:t>
      </w:r>
    </w:p>
    <w:p>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杭州市临平区道路交通事故清障施救(拖车)及涉案车辆停放管理服务项目</w:t>
      </w:r>
    </w:p>
    <w:p>
      <w:pPr>
        <w:shd w:val="clea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7380000</w:t>
      </w:r>
    </w:p>
    <w:p>
      <w:pPr>
        <w:shd w:val="clea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7380000</w:t>
      </w:r>
    </w:p>
    <w:p>
      <w:pPr>
        <w:pStyle w:val="6"/>
        <w:shd w:val="clear"/>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杭州市临平区道路交通事故清障施救(拖车)及涉案车辆停放管理服务项目</w:t>
      </w:r>
      <w:r>
        <w:rPr>
          <w:rFonts w:hint="eastAsia" w:ascii="宋体" w:hAnsi="宋体" w:eastAsia="宋体" w:cs="宋体"/>
          <w:bCs/>
          <w:color w:val="auto"/>
          <w:kern w:val="2"/>
          <w:sz w:val="24"/>
          <w:szCs w:val="24"/>
          <w:highlight w:val="none"/>
        </w:rPr>
        <w:t>主要内容：详见招标文件第三部分采购需求。</w:t>
      </w:r>
    </w:p>
    <w:p>
      <w:pPr>
        <w:pStyle w:val="88"/>
        <w:shd w:val="clear"/>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szCs w:val="24"/>
          <w:highlight w:val="none"/>
        </w:rPr>
        <w:t>详见招标文件第三部分采购需求</w:t>
      </w:r>
    </w:p>
    <w:p>
      <w:pPr>
        <w:pStyle w:val="6"/>
        <w:shd w:val="clea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hd w:val="clear"/>
        <w:spacing w:line="360" w:lineRule="auto"/>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货物全部由符合政策要求的中小企业制造，提供中小企业声明函；</w:t>
      </w:r>
    </w:p>
    <w:p>
      <w:pPr>
        <w:shd w:val="clea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pPr>
        <w:shd w:val="clea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服务全部由符合政策要求的中小企业承接，提供中小企业声明函；</w:t>
      </w:r>
    </w:p>
    <w:p>
      <w:pPr>
        <w:shd w:val="clea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服务全部由符合政策要求的小微企业承接，提供中小企业声明函；</w:t>
      </w:r>
    </w:p>
    <w:p>
      <w:pPr>
        <w:shd w:val="clear"/>
        <w:rPr>
          <w:rFonts w:hint="eastAsia" w:ascii="宋体" w:hAnsi="宋体" w:eastAsia="宋体" w:cs="宋体"/>
          <w:color w:val="auto"/>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 ，小微企业合同金额应当达到%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hd w:val="clea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https://zfcg.czt.zj.gov.cn/innerUsed_noticeDetails/index.html?noticeId=9098763&amp;utm=web-government-front.49399a16.0.0.73996bd0b99a11edb5109f7e2d9e02f0</w:t>
      </w:r>
      <w:r>
        <w:rPr>
          <w:rFonts w:hint="eastAsia" w:ascii="宋体" w:hAnsi="宋体" w:eastAsia="宋体" w:cs="宋体"/>
          <w:b/>
          <w:color w:val="auto"/>
          <w:sz w:val="24"/>
          <w:highlight w:val="none"/>
        </w:rPr>
        <w:t>六、公告期限</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杭州市公安局临平区分局</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址：杭州市临平区南苑街道人民大道360号 </w:t>
      </w:r>
    </w:p>
    <w:p>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沈寅骁</w:t>
      </w:r>
    </w:p>
    <w:p>
      <w:pPr>
        <w:shd w:val="clear"/>
        <w:spacing w:line="360" w:lineRule="auto"/>
        <w:ind w:firstLine="480"/>
        <w:rPr>
          <w:rFonts w:hint="default"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0571-86236566</w:t>
      </w:r>
    </w:p>
    <w:p>
      <w:pPr>
        <w:shd w:val="clea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质疑联系人：姜利芬 </w:t>
      </w:r>
    </w:p>
    <w:p>
      <w:pPr>
        <w:shd w:val="clear"/>
        <w:spacing w:line="360" w:lineRule="auto"/>
        <w:ind w:firstLine="480"/>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 xml:space="preserve">质疑联系方式：0571-89261067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海标工程管理有限公司</w:t>
      </w:r>
    </w:p>
    <w:p>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地址：杭州市临平区</w:t>
      </w:r>
      <w:r>
        <w:rPr>
          <w:rFonts w:hint="eastAsia" w:ascii="宋体" w:hAnsi="宋体" w:cs="宋体"/>
          <w:color w:val="auto"/>
          <w:sz w:val="24"/>
          <w:highlight w:val="none"/>
          <w:lang w:val="en-US" w:eastAsia="zh-CN"/>
        </w:rPr>
        <w:t>星桥</w:t>
      </w:r>
      <w:r>
        <w:rPr>
          <w:rFonts w:hint="eastAsia" w:ascii="宋体" w:hAnsi="宋体" w:eastAsia="宋体" w:cs="宋体"/>
          <w:color w:val="auto"/>
          <w:sz w:val="24"/>
          <w:highlight w:val="none"/>
        </w:rPr>
        <w:t>街道</w:t>
      </w:r>
      <w:r>
        <w:rPr>
          <w:rFonts w:hint="eastAsia" w:ascii="宋体" w:hAnsi="宋体" w:cs="宋体"/>
          <w:color w:val="auto"/>
          <w:sz w:val="24"/>
          <w:highlight w:val="none"/>
          <w:lang w:val="en-US" w:eastAsia="zh-CN"/>
        </w:rPr>
        <w:t>工力</w:t>
      </w:r>
      <w:r>
        <w:rPr>
          <w:rFonts w:hint="eastAsia" w:ascii="宋体" w:hAnsi="宋体" w:eastAsia="宋体" w:cs="宋体"/>
          <w:color w:val="auto"/>
          <w:sz w:val="24"/>
          <w:highlight w:val="none"/>
          <w:lang w:val="en-US" w:eastAsia="zh-CN"/>
        </w:rPr>
        <w:t>大厦</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楼</w:t>
      </w:r>
      <w:bookmarkStart w:id="405" w:name="_GoBack"/>
      <w:bookmarkEnd w:id="405"/>
    </w:p>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86137060</w:t>
      </w:r>
    </w:p>
    <w:p>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王达</w:t>
      </w:r>
    </w:p>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13705815521</w:t>
      </w:r>
    </w:p>
    <w:p>
      <w:pPr>
        <w:shd w:val="clea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项文娜</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86137060</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 杭州市临平区财政局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 ： 俞先生</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监督投诉电话：0571- 89185312 </w:t>
      </w:r>
    </w:p>
    <w:p>
      <w:pPr>
        <w:shd w:val="clea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地址：杭州市临平区临平东湖中路236号</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6"/>
        <w:shd w:val="clear"/>
        <w:spacing w:line="360" w:lineRule="auto"/>
        <w:ind w:firstLine="480" w:firstLineChars="200"/>
        <w:rPr>
          <w:rFonts w:hint="eastAsia" w:ascii="宋体" w:hAnsi="宋体" w:eastAsia="宋体" w:cs="宋体"/>
          <w:color w:val="auto"/>
          <w:sz w:val="24"/>
          <w:szCs w:val="24"/>
          <w:highlight w:val="none"/>
        </w:rPr>
      </w:pPr>
    </w:p>
    <w:p>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hd w:val="clea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hd w:val="clea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投标报价超过招标文件中规定的预算金额或者最高限价或单价最高限价的;</w:t>
            </w:r>
          </w:p>
          <w:p>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hd w:val="clea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同意将非主体、非关键性的工作分包。</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hd w:val="clea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hd w:val="clea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kern w:val="0"/>
                <w:sz w:val="24"/>
                <w:highlight w:val="none"/>
              </w:rPr>
              <w:t>；地点：；联系人</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hd w:val="clea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hd w:val="clea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w:t>
            </w:r>
            <w:r>
              <w:rPr>
                <w:rFonts w:hint="eastAsia" w:ascii="宋体" w:hAnsi="宋体" w:cs="宋体"/>
                <w:color w:val="auto"/>
                <w:kern w:val="0"/>
                <w:sz w:val="24"/>
                <w:highlight w:val="none"/>
                <w:lang w:val="en-US" w:eastAsia="zh-CN"/>
              </w:rPr>
              <w:t>清障救援及停放管理服务</w:t>
            </w:r>
            <w:r>
              <w:rPr>
                <w:rFonts w:hint="eastAsia" w:ascii="宋体" w:hAnsi="宋体" w:eastAsia="宋体" w:cs="宋体"/>
                <w:color w:val="auto"/>
                <w:kern w:val="0"/>
                <w:sz w:val="24"/>
                <w:highlight w:val="none"/>
              </w:rPr>
              <w:t>；所属行业：租赁和商务服务业。</w:t>
            </w:r>
          </w:p>
          <w:p>
            <w:pPr>
              <w:pStyle w:val="4"/>
              <w:shd w:val="clear"/>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hd w:val="clea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hd w:val="clea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hd w:val="clear"/>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备份投标文件送达地点：杭州市临平区南苑街道</w:t>
            </w:r>
            <w:r>
              <w:rPr>
                <w:rFonts w:hint="eastAsia" w:ascii="宋体" w:hAnsi="宋体" w:eastAsia="宋体" w:cs="宋体"/>
                <w:color w:val="auto"/>
                <w:kern w:val="28"/>
                <w:sz w:val="24"/>
                <w:szCs w:val="24"/>
                <w:highlight w:val="none"/>
                <w:lang w:val="en-US" w:eastAsia="zh-CN"/>
              </w:rPr>
              <w:t>深川大厦B座7楼</w:t>
            </w:r>
            <w:r>
              <w:rPr>
                <w:rFonts w:hint="eastAsia" w:ascii="宋体" w:hAnsi="宋体" w:eastAsia="宋体" w:cs="宋体"/>
                <w:color w:val="auto"/>
                <w:kern w:val="28"/>
                <w:sz w:val="24"/>
                <w:szCs w:val="24"/>
                <w:highlight w:val="none"/>
              </w:rPr>
              <w:t>招标代理部；备份投标文件签收人员联系电话：</w:t>
            </w:r>
            <w:r>
              <w:rPr>
                <w:rFonts w:hint="eastAsia" w:ascii="宋体" w:hAnsi="宋体" w:eastAsia="宋体" w:cs="宋体"/>
                <w:color w:val="auto"/>
                <w:kern w:val="28"/>
                <w:sz w:val="24"/>
                <w:szCs w:val="24"/>
                <w:highlight w:val="none"/>
                <w:lang w:val="en-US" w:eastAsia="zh-CN"/>
              </w:rPr>
              <w:t>王达</w:t>
            </w:r>
            <w:r>
              <w:rPr>
                <w:rFonts w:hint="eastAsia" w:ascii="宋体" w:hAnsi="宋体" w:eastAsia="宋体" w:cs="宋体"/>
                <w:color w:val="auto"/>
                <w:kern w:val="28"/>
                <w:sz w:val="24"/>
                <w:szCs w:val="24"/>
                <w:highlight w:val="none"/>
              </w:rPr>
              <w:t xml:space="preserve">  </w:t>
            </w:r>
            <w:r>
              <w:rPr>
                <w:rFonts w:hint="eastAsia" w:ascii="宋体" w:hAnsi="宋体" w:eastAsia="宋体" w:cs="宋体"/>
                <w:color w:val="auto"/>
                <w:kern w:val="28"/>
                <w:sz w:val="24"/>
                <w:szCs w:val="24"/>
                <w:highlight w:val="none"/>
                <w:lang w:val="en-US" w:eastAsia="zh-CN"/>
              </w:rPr>
              <w:t>13705815521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中标人在领取中标通知书时需向招标代理机构支付人民币   </w:t>
            </w:r>
            <w:r>
              <w:rPr>
                <w:rFonts w:hint="eastAsia" w:ascii="宋体" w:hAnsi="宋体" w:cs="宋体"/>
                <w:snapToGrid w:val="0"/>
                <w:color w:val="auto"/>
                <w:kern w:val="28"/>
                <w:sz w:val="24"/>
                <w:highlight w:val="none"/>
                <w:lang w:val="en-US" w:eastAsia="zh-CN"/>
              </w:rPr>
              <w:t>61210</w:t>
            </w:r>
            <w:r>
              <w:rPr>
                <w:rFonts w:hint="eastAsia" w:ascii="宋体" w:hAnsi="宋体" w:eastAsia="宋体" w:cs="宋体"/>
                <w:snapToGrid w:val="0"/>
                <w:color w:val="auto"/>
                <w:kern w:val="28"/>
                <w:sz w:val="24"/>
                <w:highlight w:val="none"/>
              </w:rPr>
              <w:t>元招标代理服务费，费用包含在总报价中，不单独列项报价。</w:t>
            </w:r>
          </w:p>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海标工程管理有限公司</w:t>
            </w:r>
            <w:r>
              <w:rPr>
                <w:rFonts w:hint="eastAsia" w:ascii="宋体" w:hAnsi="宋体" w:eastAsia="宋体" w:cs="宋体"/>
                <w:snapToGrid w:val="0"/>
                <w:color w:val="auto"/>
                <w:kern w:val="28"/>
                <w:sz w:val="24"/>
                <w:highlight w:val="none"/>
              </w:rPr>
              <w:t>；开户行名称：浙江杭州余杭农村商业银行股份有限公司乔司支行 帐号：201000184831550中标单位需在领取中标通知书时缴纳中标服务费，缴纳时注明招标编号。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w:t>
            </w:r>
            <w:r>
              <w:rPr>
                <w:rFonts w:hint="eastAsia" w:ascii="宋体" w:hAnsi="宋体" w:cs="宋体"/>
                <w:snapToGrid w:val="0"/>
                <w:color w:val="auto"/>
                <w:kern w:val="28"/>
                <w:sz w:val="24"/>
                <w:highlight w:val="none"/>
                <w:lang w:val="en-US" w:eastAsia="zh-CN"/>
              </w:rPr>
              <w:t>三</w:t>
            </w:r>
            <w:r>
              <w:rPr>
                <w:rFonts w:hint="eastAsia" w:ascii="宋体" w:hAnsi="宋体" w:eastAsia="宋体" w:cs="宋体"/>
                <w:snapToGrid w:val="0"/>
                <w:color w:val="auto"/>
                <w:kern w:val="28"/>
                <w:sz w:val="24"/>
                <w:highlight w:val="none"/>
              </w:rPr>
              <w:t>份）并提供电子投标文件与纸质投标文件内容一致承诺书</w:t>
            </w:r>
            <w:r>
              <w:rPr>
                <w:rFonts w:hint="eastAsia" w:ascii="宋体" w:hAnsi="宋体" w:cs="宋体"/>
                <w:snapToGrid w:val="0"/>
                <w:color w:val="auto"/>
                <w:kern w:val="28"/>
                <w:sz w:val="24"/>
                <w:highlight w:val="none"/>
                <w:lang w:val="en-US" w:eastAsia="zh-CN"/>
              </w:rPr>
              <w:t>四</w:t>
            </w:r>
            <w:r>
              <w:rPr>
                <w:rFonts w:hint="eastAsia" w:ascii="宋体" w:hAnsi="宋体" w:eastAsia="宋体" w:cs="宋体"/>
                <w:snapToGrid w:val="0"/>
                <w:color w:val="auto"/>
                <w:kern w:val="28"/>
                <w:sz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供应商以联合体形式投标的：按采购文件要求提供联合协议，联合体投标的联合体各方承担连带责任。</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采用联合体投标，除“联合协议”和“授权委托书”需联合体各方电子签名或公章外，其余由联合体牵头人在投标文件相应位置电子签名即可。</w:t>
            </w:r>
          </w:p>
        </w:tc>
      </w:tr>
    </w:tbl>
    <w:p>
      <w:pPr>
        <w:shd w:val="clear"/>
        <w:snapToGrid w:val="0"/>
        <w:spacing w:line="360" w:lineRule="auto"/>
        <w:jc w:val="center"/>
        <w:rPr>
          <w:rFonts w:hint="eastAsia" w:ascii="宋体" w:hAnsi="宋体" w:eastAsia="宋体" w:cs="宋体"/>
          <w:b/>
          <w:color w:val="auto"/>
          <w:sz w:val="32"/>
          <w:szCs w:val="20"/>
          <w:highlight w:val="none"/>
        </w:rPr>
      </w:pPr>
    </w:p>
    <w:bookmarkEnd w:id="10"/>
    <w:p>
      <w:pPr>
        <w:shd w:val="clea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第三部分"/>
      <w:bookmarkStart w:id="12" w:name="_Toc164416483"/>
    </w:p>
    <w:p>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hd w:val="clea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“▲”系指实质性要求条款，“★”系产品采购项目中单一产品或核心产品，“</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”系指不适用本项目的要求。</w:t>
      </w:r>
    </w:p>
    <w:p>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w:t>
      </w:r>
      <w:r>
        <w:rPr>
          <w:rFonts w:hint="eastAsia" w:ascii="宋体" w:hAnsi="宋体" w:cs="宋体"/>
          <w:color w:val="auto"/>
          <w:sz w:val="24"/>
          <w:highlight w:val="none"/>
          <w:lang w:eastAsia="zh-CN"/>
        </w:rPr>
        <w:t>33</w:t>
      </w:r>
      <w:r>
        <w:rPr>
          <w:rFonts w:hint="eastAsia" w:ascii="宋体" w:hAnsi="宋体" w:eastAsia="宋体" w:cs="宋体"/>
          <w:color w:val="auto"/>
          <w:sz w:val="24"/>
          <w:highlight w:val="none"/>
        </w:rPr>
        <w:t>]68号）规定的监狱企业并提供由省级以上监狱管理局、戒毒管理局（含新疆生产建设兵团）出具的属于监狱企业证明文件的，视同为小型、微型企业。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6"/>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6"/>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hd w:val="clear"/>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6"/>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6"/>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6"/>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6"/>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6"/>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6"/>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6"/>
        <w:shd w:val="clear"/>
        <w:spacing w:line="360" w:lineRule="auto"/>
        <w:ind w:firstLine="240" w:firstLineChars="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6"/>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6"/>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573"/>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573"/>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
        <w:shd w:val="clear"/>
        <w:snapToGrid w:val="0"/>
        <w:spacing w:before="0"/>
        <w:ind w:firstLine="360"/>
        <w:rPr>
          <w:rFonts w:hint="eastAsia" w:ascii="宋体" w:hAnsi="宋体" w:eastAsia="宋体" w:cs="宋体"/>
          <w:color w:val="auto"/>
          <w:sz w:val="18"/>
          <w:szCs w:val="18"/>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6"/>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6"/>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6"/>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6"/>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6"/>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6"/>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6"/>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6"/>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6"/>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hd w:val="clear"/>
        <w:rPr>
          <w:rFonts w:hint="eastAsia" w:ascii="宋体" w:hAnsi="宋体" w:eastAsia="宋体" w:cs="宋体"/>
          <w:color w:val="auto"/>
          <w:sz w:val="18"/>
          <w:szCs w:val="18"/>
          <w:highlight w:val="none"/>
          <w:lang w:val="en-US"/>
        </w:rPr>
      </w:pPr>
    </w:p>
    <w:p>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6"/>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6"/>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6"/>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6"/>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6"/>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6"/>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hd w:val="clea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11.1.1符合参加政府采购活动应当具备的一般条件的承诺函；</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11.1.4联合协议（如采用联合体投标）</w:t>
      </w:r>
    </w:p>
    <w:p>
      <w:pPr>
        <w:shd w:val="clea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hd w:val="clea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11.2.1投标函；</w:t>
      </w:r>
    </w:p>
    <w:p>
      <w:pPr>
        <w:shd w:val="clea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11.2.3联合协议；（如采用联合体投标）</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11.2.4分包意向协议；（如有）</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hd w:val="clea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hd w:val="clea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hd w:val="clear"/>
        <w:snapToGrid w:val="0"/>
        <w:spacing w:line="360" w:lineRule="auto"/>
        <w:ind w:firstLine="843" w:firstLineChars="400"/>
        <w:rPr>
          <w:rFonts w:hint="eastAsia" w:ascii="宋体" w:hAnsi="宋体" w:eastAsia="宋体" w:cs="宋体"/>
          <w:color w:val="auto"/>
          <w:sz w:val="24"/>
          <w:highlight w:val="none"/>
        </w:rPr>
      </w:pPr>
      <w:r>
        <w:rPr>
          <w:rFonts w:hint="eastAsia" w:ascii="仿宋_GB2312" w:hAnsi="仿宋" w:eastAsia="仿宋_GB2312"/>
          <w:b/>
          <w:color w:val="auto"/>
          <w:highlight w:val="none"/>
        </w:rPr>
        <w:t>▲</w:t>
      </w:r>
      <w:r>
        <w:rPr>
          <w:rFonts w:hint="eastAsia" w:ascii="宋体" w:hAnsi="宋体" w:eastAsia="宋体" w:cs="宋体"/>
          <w:color w:val="auto"/>
          <w:sz w:val="24"/>
          <w:highlight w:val="none"/>
        </w:rPr>
        <w:t>11.3.1开标一览表（报价表）；</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hd w:val="clea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8"/>
        <w:shd w:val="clear"/>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8"/>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8"/>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8"/>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6"/>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6"/>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DVD光盘或【U】盘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6"/>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6"/>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hd w:val="clear"/>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88"/>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4"/>
        <w:shd w:val="clear"/>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88"/>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8"/>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8"/>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hd w:val="clear"/>
        <w:spacing w:before="0"/>
        <w:ind w:firstLine="643"/>
        <w:rPr>
          <w:rFonts w:hint="eastAsia" w:ascii="宋体" w:hAnsi="宋体" w:eastAsia="宋体" w:cs="宋体"/>
          <w:b/>
          <w:color w:val="auto"/>
          <w:sz w:val="32"/>
          <w:highlight w:val="none"/>
        </w:rPr>
      </w:pPr>
    </w:p>
    <w:p>
      <w:pPr>
        <w:pStyle w:val="88"/>
        <w:shd w:val="clear"/>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43"/>
        <w:shd w:val="clear"/>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243"/>
        <w:shd w:val="clear"/>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43"/>
        <w:shd w:val="clear"/>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3"/>
        <w:shd w:val="clear"/>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8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8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88"/>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8"/>
        <w:shd w:val="clear"/>
        <w:spacing w:before="0"/>
        <w:ind w:firstLine="0" w:firstLineChars="0"/>
        <w:rPr>
          <w:rFonts w:hint="eastAsia" w:ascii="宋体" w:hAnsi="宋体" w:eastAsia="宋体" w:cs="宋体"/>
          <w:color w:val="auto"/>
          <w:kern w:val="0"/>
          <w:szCs w:val="24"/>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hd w:val="clea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hd w:val="clear"/>
        <w:spacing w:line="360" w:lineRule="auto"/>
        <w:rPr>
          <w:rFonts w:hint="eastAsia" w:ascii="宋体" w:hAnsi="宋体" w:eastAsia="宋体" w:cs="宋体"/>
          <w:b/>
          <w:color w:val="auto"/>
          <w:sz w:val="24"/>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8"/>
        <w:shd w:val="clear"/>
        <w:snapToGrid w:val="0"/>
        <w:spacing w:before="0"/>
        <w:ind w:firstLine="480"/>
        <w:rPr>
          <w:rFonts w:hint="eastAsia" w:ascii="宋体" w:hAnsi="宋体" w:eastAsia="宋体" w:cs="宋体"/>
          <w:b/>
          <w:color w:val="auto"/>
          <w:szCs w:val="24"/>
          <w:highlight w:val="none"/>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hd w:val="clea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w:t>
      </w:r>
      <w:r>
        <w:rPr>
          <w:rFonts w:hint="eastAsia" w:ascii="宋体" w:hAnsi="宋体" w:eastAsia="宋体" w:cs="宋体"/>
          <w:color w:val="auto"/>
          <w:sz w:val="24"/>
          <w:highlight w:val="none"/>
        </w:rPr>
        <w:t>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8"/>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shd w:val="clea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shd w:val="clear"/>
        <w:tabs>
          <w:tab w:val="left" w:pos="0"/>
        </w:tabs>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hint="eastAsia" w:ascii="宋体" w:hAnsi="宋体" w:eastAsia="宋体" w:cs="宋体"/>
          <w:b/>
          <w:color w:val="auto"/>
          <w:sz w:val="32"/>
          <w:highlight w:val="none"/>
        </w:rPr>
      </w:pPr>
    </w:p>
    <w:p>
      <w:pPr>
        <w:shd w:val="clea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8"/>
        <w:shd w:val="clear"/>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8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88"/>
        <w:shd w:val="clear"/>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hint="eastAsia" w:ascii="宋体" w:hAnsi="宋体" w:eastAsia="宋体" w:cs="宋体"/>
          <w:color w:val="auto"/>
          <w:sz w:val="24"/>
          <w:highlight w:val="none"/>
        </w:rPr>
      </w:pP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4"/>
        <w:shd w:val="clear"/>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hd w:val="clea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72990"/>
      <w:bookmarkEnd w:id="14"/>
      <w:bookmarkStart w:id="15" w:name="_Hlt68072998"/>
      <w:bookmarkEnd w:id="15"/>
      <w:bookmarkStart w:id="16" w:name="_Hlt68073093"/>
      <w:bookmarkEnd w:id="16"/>
      <w:bookmarkStart w:id="17" w:name="_Hlt74729768"/>
      <w:bookmarkEnd w:id="17"/>
      <w:bookmarkStart w:id="18" w:name="_Hlt75236011"/>
      <w:bookmarkEnd w:id="18"/>
      <w:bookmarkStart w:id="19" w:name="_Hlt75236290"/>
      <w:bookmarkEnd w:id="19"/>
      <w:bookmarkStart w:id="20" w:name="_Hlt74714665"/>
      <w:bookmarkEnd w:id="20"/>
      <w:bookmarkStart w:id="21" w:name="_Hlt68403820"/>
      <w:bookmarkEnd w:id="21"/>
      <w:bookmarkStart w:id="22" w:name="_Hlt68057669"/>
      <w:bookmarkEnd w:id="22"/>
      <w:bookmarkStart w:id="23" w:name="_Hlt74707468"/>
      <w:bookmarkEnd w:id="23"/>
      <w:bookmarkStart w:id="24" w:name="_Hlt75236101"/>
      <w:bookmarkEnd w:id="24"/>
      <w:bookmarkStart w:id="25" w:name="_Hlt74730295"/>
      <w:bookmarkEnd w:id="25"/>
    </w:p>
    <w:bookmarkEnd w:id="11"/>
    <w:bookmarkEnd w:id="12"/>
    <w:p>
      <w:pPr>
        <w:pageBreakBefore/>
        <w:shd w:val="clear" w:color="auto"/>
        <w:snapToGrid w:val="0"/>
        <w:spacing w:line="360" w:lineRule="auto"/>
        <w:jc w:val="center"/>
        <w:outlineLvl w:val="0"/>
        <w:rPr>
          <w:rFonts w:hint="eastAsia" w:ascii="宋体" w:hAnsi="宋体" w:cs="宋体"/>
          <w:color w:val="auto"/>
          <w:sz w:val="24"/>
          <w:highlight w:val="none"/>
        </w:rPr>
      </w:pPr>
      <w:bookmarkStart w:id="26" w:name="_Toc33194400"/>
      <w:bookmarkStart w:id="27" w:name="第四部分"/>
      <w:r>
        <w:rPr>
          <w:rFonts w:hint="eastAsia" w:ascii="宋体" w:hAnsi="宋体" w:cs="宋体"/>
          <w:b/>
          <w:bCs/>
          <w:color w:val="auto"/>
          <w:sz w:val="28"/>
          <w:szCs w:val="28"/>
          <w:highlight w:val="none"/>
        </w:rPr>
        <w:t>第三部分  项目技术规范和服务要求</w:t>
      </w:r>
      <w:bookmarkEnd w:id="26"/>
    </w:p>
    <w:p>
      <w:pPr>
        <w:shd w:val="clear"/>
        <w:spacing w:line="600" w:lineRule="exact"/>
        <w:ind w:firstLine="482" w:firstLineChars="200"/>
        <w:rPr>
          <w:rFonts w:hint="eastAsia" w:ascii="仿宋" w:hAnsi="仿宋" w:eastAsia="仿宋" w:cs="仿宋_GB2312"/>
          <w:b/>
          <w:color w:val="auto"/>
          <w:sz w:val="36"/>
          <w:szCs w:val="36"/>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color w:val="auto"/>
          <w:sz w:val="24"/>
          <w:highlight w:val="none"/>
        </w:rPr>
        <w:t>采购需求中带“</w:t>
      </w:r>
      <w:r>
        <w:rPr>
          <w:rFonts w:hint="eastAsia" w:ascii="宋体" w:hAnsi="宋体" w:cs="宋体"/>
          <w:b/>
          <w:color w:val="auto"/>
          <w:sz w:val="22"/>
          <w:highlight w:val="none"/>
        </w:rPr>
        <w:t>●</w:t>
      </w:r>
      <w:r>
        <w:rPr>
          <w:rFonts w:hint="eastAsia" w:ascii="宋体" w:hAnsi="宋体" w:cs="宋体"/>
          <w:b/>
          <w:color w:val="auto"/>
          <w:sz w:val="24"/>
          <w:highlight w:val="none"/>
        </w:rPr>
        <w:t>”条款为实质性内容，投标人须在投标文件中提供《采购需求实质性内容响应表》（格式见第五部分 投标文件），如有任意一条未响应或不满足，将被视为无效</w:t>
      </w:r>
    </w:p>
    <w:p>
      <w:pPr>
        <w:shd w:val="clear"/>
        <w:spacing w:line="440" w:lineRule="exact"/>
        <w:rPr>
          <w:rFonts w:hint="eastAsia" w:ascii="宋体" w:hAnsi="宋体"/>
          <w:b/>
          <w:color w:val="auto"/>
          <w:sz w:val="24"/>
          <w:highlight w:val="none"/>
        </w:rPr>
      </w:pPr>
      <w:r>
        <w:rPr>
          <w:rFonts w:hint="eastAsia" w:ascii="宋体" w:hAnsi="宋体"/>
          <w:b/>
          <w:color w:val="auto"/>
          <w:sz w:val="24"/>
          <w:highlight w:val="none"/>
        </w:rPr>
        <w:t>1.技术需求</w:t>
      </w:r>
    </w:p>
    <w:p>
      <w:pPr>
        <w:shd w:val="clear"/>
        <w:spacing w:line="440" w:lineRule="exact"/>
        <w:rPr>
          <w:rFonts w:hint="eastAsia" w:ascii="宋体" w:hAnsi="宋体"/>
          <w:b/>
          <w:color w:val="auto"/>
          <w:sz w:val="24"/>
          <w:highlight w:val="none"/>
        </w:rPr>
      </w:pPr>
      <w:r>
        <w:rPr>
          <w:rFonts w:hint="eastAsia" w:ascii="宋体" w:hAnsi="宋体"/>
          <w:b/>
          <w:color w:val="auto"/>
          <w:sz w:val="24"/>
          <w:highlight w:val="none"/>
        </w:rPr>
        <w:t>1.1基本要求</w:t>
      </w:r>
    </w:p>
    <w:p>
      <w:pPr>
        <w:shd w:val="clear"/>
        <w:spacing w:line="440" w:lineRule="exact"/>
        <w:ind w:firstLine="472" w:firstLineChars="196"/>
        <w:rPr>
          <w:rFonts w:hint="eastAsia" w:ascii="宋体" w:hAnsi="宋体" w:eastAsia="宋体" w:cs="Times New Roman"/>
          <w:color w:val="auto"/>
          <w:sz w:val="24"/>
          <w:highlight w:val="none"/>
        </w:rPr>
      </w:pPr>
      <w:r>
        <w:rPr>
          <w:rFonts w:hint="eastAsia" w:ascii="宋体" w:hAnsi="宋体"/>
          <w:b/>
          <w:bCs/>
          <w:color w:val="auto"/>
          <w:sz w:val="24"/>
          <w:highlight w:val="none"/>
        </w:rPr>
        <w:t>●</w:t>
      </w:r>
      <w:r>
        <w:rPr>
          <w:rFonts w:hint="eastAsia" w:ascii="宋体" w:hAnsi="宋体"/>
          <w:b/>
          <w:color w:val="auto"/>
          <w:sz w:val="24"/>
          <w:highlight w:val="none"/>
        </w:rPr>
        <w:t>（一）本项目服务期限1年（具体时间以双方签定合同为准）</w:t>
      </w:r>
      <w:r>
        <w:rPr>
          <w:rFonts w:hint="eastAsia" w:ascii="宋体" w:hAnsi="宋体" w:eastAsia="宋体" w:cs="Times New Roman"/>
          <w:color w:val="auto"/>
          <w:sz w:val="24"/>
          <w:highlight w:val="none"/>
        </w:rPr>
        <w:t>。</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（二）清障车辆【若车辆所属情况为租赁的（租赁车辆仅限于吊车），其租赁期为自合同签订之日起至租赁期结束日，不得少于一年】：具有项目实施的各类清障车辆不少于</w:t>
      </w:r>
      <w:r>
        <w:rPr>
          <w:rFonts w:hint="eastAsia" w:ascii="宋体" w:hAnsi="宋体"/>
          <w:color w:val="auto"/>
          <w:sz w:val="24"/>
          <w:highlight w:val="none"/>
          <w:lang w:val="en-US" w:eastAsia="zh-CN"/>
        </w:rPr>
        <w:t>25</w:t>
      </w:r>
      <w:r>
        <w:rPr>
          <w:rFonts w:hint="eastAsia" w:ascii="宋体" w:hAnsi="宋体"/>
          <w:color w:val="auto"/>
          <w:sz w:val="24"/>
          <w:highlight w:val="none"/>
        </w:rPr>
        <w:t>辆，其中平板拖车不少于</w:t>
      </w:r>
      <w:r>
        <w:rPr>
          <w:rFonts w:hint="eastAsia" w:ascii="宋体" w:hAnsi="宋体"/>
          <w:color w:val="auto"/>
          <w:sz w:val="24"/>
          <w:highlight w:val="none"/>
          <w:lang w:val="en-US" w:eastAsia="zh-CN"/>
        </w:rPr>
        <w:t>14</w:t>
      </w:r>
      <w:r>
        <w:rPr>
          <w:rFonts w:hint="eastAsia" w:ascii="宋体" w:hAnsi="宋体"/>
          <w:color w:val="auto"/>
          <w:sz w:val="24"/>
          <w:highlight w:val="none"/>
        </w:rPr>
        <w:t>辆、拖吊一体车不少于1辆、50吨以上重型拖车(起重吊车)不少于2辆</w:t>
      </w:r>
      <w:r>
        <w:rPr>
          <w:rFonts w:hint="eastAsia" w:ascii="宋体" w:hAnsi="宋体"/>
          <w:color w:val="000000"/>
          <w:sz w:val="24"/>
          <w:highlight w:val="none"/>
        </w:rPr>
        <w:t>、</w:t>
      </w:r>
      <w:r>
        <w:rPr>
          <w:rFonts w:hint="eastAsia" w:ascii="宋体" w:hAnsi="宋体"/>
          <w:color w:val="000000"/>
          <w:sz w:val="24"/>
          <w:highlight w:val="none"/>
          <w:shd w:val="clear" w:fill="FF0000"/>
        </w:rPr>
        <w:t>8吨以上起重吊车不少于</w:t>
      </w:r>
      <w:r>
        <w:rPr>
          <w:rFonts w:hint="eastAsia" w:ascii="宋体" w:hAnsi="宋体"/>
          <w:color w:val="000000"/>
          <w:sz w:val="24"/>
          <w:highlight w:val="none"/>
          <w:shd w:val="clear" w:fill="FF0000"/>
          <w:lang w:val="en-US" w:eastAsia="zh-CN"/>
        </w:rPr>
        <w:t>3</w:t>
      </w:r>
      <w:r>
        <w:rPr>
          <w:rFonts w:hint="eastAsia" w:ascii="宋体" w:hAnsi="宋体"/>
          <w:color w:val="000000"/>
          <w:sz w:val="24"/>
          <w:highlight w:val="none"/>
          <w:shd w:val="clear" w:fill="FF0000"/>
        </w:rPr>
        <w:t>辆</w:t>
      </w:r>
      <w:r>
        <w:rPr>
          <w:rFonts w:hint="eastAsia" w:ascii="宋体" w:hAnsi="宋体"/>
          <w:color w:val="auto"/>
          <w:sz w:val="24"/>
          <w:highlight w:val="none"/>
        </w:rPr>
        <w:t>、驳货车不少于</w:t>
      </w:r>
      <w:r>
        <w:rPr>
          <w:rFonts w:hint="eastAsia" w:ascii="宋体" w:hAnsi="宋体"/>
          <w:color w:val="auto"/>
          <w:sz w:val="24"/>
          <w:highlight w:val="none"/>
          <w:lang w:val="en-US" w:eastAsia="zh-CN"/>
        </w:rPr>
        <w:t>5</w:t>
      </w:r>
      <w:r>
        <w:rPr>
          <w:rFonts w:hint="eastAsia" w:ascii="宋体" w:hAnsi="宋体"/>
          <w:color w:val="auto"/>
          <w:sz w:val="24"/>
          <w:highlight w:val="none"/>
        </w:rPr>
        <w:t>辆等。</w:t>
      </w:r>
    </w:p>
    <w:p>
      <w:pPr>
        <w:shd w:val="clea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（三）</w:t>
      </w:r>
      <w:r>
        <w:rPr>
          <w:rFonts w:hint="eastAsia" w:ascii="宋体" w:hAnsi="宋体"/>
          <w:b/>
          <w:bCs/>
          <w:color w:val="auto"/>
          <w:sz w:val="24"/>
          <w:highlight w:val="none"/>
        </w:rPr>
        <w:t>投标人</w:t>
      </w:r>
      <w:r>
        <w:rPr>
          <w:rFonts w:hint="eastAsia" w:ascii="宋体" w:hAnsi="宋体"/>
          <w:b/>
          <w:bCs/>
          <w:color w:val="auto"/>
          <w:sz w:val="24"/>
          <w:highlight w:val="none"/>
          <w:lang w:eastAsia="zh-CN"/>
        </w:rPr>
        <w:t>承诺在中标后</w:t>
      </w:r>
      <w:r>
        <w:rPr>
          <w:rFonts w:hint="eastAsia" w:ascii="宋体" w:hAnsi="宋体"/>
          <w:b/>
          <w:bCs/>
          <w:color w:val="auto"/>
          <w:sz w:val="24"/>
          <w:highlight w:val="none"/>
        </w:rPr>
        <w:t>实际场地使用面积总计须在48000㎡（含）以上（场地使用权须对外无纠纷）。</w:t>
      </w:r>
    </w:p>
    <w:p>
      <w:pPr>
        <w:shd w:val="clea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（四）停车场地（若停车场地所属情况为租赁的，其租赁期为自合同签订之日起至租赁期结束日，不得少于一年）：</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b/>
          <w:bCs/>
          <w:color w:val="auto"/>
          <w:sz w:val="24"/>
          <w:highlight w:val="none"/>
          <w:lang w:eastAsia="zh-CN"/>
        </w:rPr>
        <w:t>投标人承诺</w:t>
      </w:r>
      <w:r>
        <w:rPr>
          <w:rFonts w:hint="eastAsia" w:ascii="宋体" w:hAnsi="宋体"/>
          <w:color w:val="auto"/>
          <w:sz w:val="24"/>
          <w:highlight w:val="none"/>
        </w:rPr>
        <w:t>在甲方地域管辖范围内，乙方需提供满足清障需求的停车场地，全区不少于4个服务点，且分布合理，每块停车场地面积能满足日常各中队暂扣涉案车辆停放及中队日常清障需要，且合计面积不少于48000㎡。具体分布位置要求：</w:t>
      </w:r>
    </w:p>
    <w:p>
      <w:pPr>
        <w:shd w:val="clea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①交警乔司中队、城区中队、开发区中队辖区内【临平】不少于2个服务点，停车场面积不小于30000㎡；</w:t>
      </w:r>
    </w:p>
    <w:p>
      <w:pPr>
        <w:shd w:val="clear"/>
        <w:spacing w:line="440" w:lineRule="exact"/>
        <w:ind w:firstLine="480" w:firstLineChars="200"/>
        <w:rPr>
          <w:rFonts w:hint="eastAsia" w:ascii="宋体" w:hAnsi="宋体"/>
          <w:color w:val="auto"/>
          <w:sz w:val="24"/>
          <w:highlight w:val="none"/>
          <w:shd w:val="clear" w:fill="FF0000"/>
        </w:rPr>
      </w:pPr>
      <w:r>
        <w:rPr>
          <w:rFonts w:hint="eastAsia" w:ascii="宋体" w:hAnsi="宋体"/>
          <w:color w:val="auto"/>
          <w:sz w:val="24"/>
          <w:highlight w:val="none"/>
        </w:rPr>
        <w:t>②交警塘栖中队辖区内【塘栖镇、崇贤街道】不少于2个服务点，</w:t>
      </w:r>
      <w:r>
        <w:rPr>
          <w:rFonts w:hint="eastAsia" w:ascii="宋体" w:hAnsi="宋体"/>
          <w:color w:val="auto"/>
          <w:sz w:val="24"/>
          <w:highlight w:val="none"/>
          <w:shd w:val="clear" w:fill="FF0000"/>
        </w:rPr>
        <w:t>停车场面积不小于1</w:t>
      </w:r>
      <w:r>
        <w:rPr>
          <w:rFonts w:hint="eastAsia" w:ascii="宋体" w:hAnsi="宋体"/>
          <w:color w:val="auto"/>
          <w:sz w:val="24"/>
          <w:highlight w:val="none"/>
          <w:shd w:val="clear" w:fill="FF0000"/>
          <w:lang w:val="en-US" w:eastAsia="zh-CN"/>
        </w:rPr>
        <w:t>8</w:t>
      </w:r>
      <w:r>
        <w:rPr>
          <w:rFonts w:hint="eastAsia" w:ascii="宋体" w:hAnsi="宋体"/>
          <w:color w:val="auto"/>
          <w:sz w:val="24"/>
          <w:highlight w:val="none"/>
          <w:shd w:val="clear" w:fill="FF0000"/>
        </w:rPr>
        <w:t>000㎡；</w:t>
      </w:r>
    </w:p>
    <w:p>
      <w:pPr>
        <w:shd w:val="clea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2、营业场所所处地理位置与周边的道路交通等应有利于车辆的进出，停车场所与其他作业区域的平面布置需合理有序。</w:t>
      </w:r>
    </w:p>
    <w:p>
      <w:pPr>
        <w:shd w:val="clear"/>
        <w:spacing w:line="440" w:lineRule="exact"/>
        <w:ind w:firstLine="480"/>
        <w:rPr>
          <w:rFonts w:hint="eastAsia" w:ascii="宋体" w:hAnsi="宋体"/>
          <w:color w:val="auto"/>
          <w:sz w:val="24"/>
          <w:highlight w:val="none"/>
          <w:shd w:val="clear"/>
        </w:rPr>
      </w:pPr>
      <w:r>
        <w:rPr>
          <w:rFonts w:hint="eastAsia" w:ascii="宋体" w:hAnsi="宋体"/>
          <w:color w:val="auto"/>
          <w:sz w:val="24"/>
          <w:highlight w:val="none"/>
        </w:rPr>
        <w:t>3、停车场配套设施：应有完善有效的安全防盗监控系</w:t>
      </w:r>
      <w:r>
        <w:rPr>
          <w:rFonts w:hint="eastAsia" w:ascii="宋体" w:hAnsi="宋体"/>
          <w:color w:val="auto"/>
          <w:sz w:val="24"/>
          <w:highlight w:val="none"/>
          <w:shd w:val="clear"/>
        </w:rPr>
        <w:t>统（监控须全</w:t>
      </w:r>
      <w:r>
        <w:rPr>
          <w:rFonts w:hint="eastAsia" w:ascii="宋体" w:hAnsi="宋体"/>
          <w:color w:val="auto"/>
          <w:sz w:val="24"/>
          <w:highlight w:val="none"/>
          <w:shd w:val="clear"/>
          <w:lang w:eastAsia="zh-CN"/>
        </w:rPr>
        <w:t>时空</w:t>
      </w:r>
      <w:r>
        <w:rPr>
          <w:rFonts w:hint="eastAsia" w:ascii="宋体" w:hAnsi="宋体"/>
          <w:color w:val="auto"/>
          <w:sz w:val="24"/>
          <w:highlight w:val="none"/>
          <w:shd w:val="clear"/>
        </w:rPr>
        <w:t>覆盖</w:t>
      </w:r>
      <w:r>
        <w:rPr>
          <w:rFonts w:hint="eastAsia" w:ascii="宋体" w:hAnsi="宋体"/>
          <w:color w:val="auto"/>
          <w:sz w:val="24"/>
          <w:highlight w:val="none"/>
          <w:shd w:val="clear"/>
          <w:lang w:eastAsia="zh-CN"/>
        </w:rPr>
        <w:t>，并且无监控死角</w:t>
      </w:r>
      <w:r>
        <w:rPr>
          <w:rFonts w:hint="eastAsia" w:ascii="宋体" w:hAnsi="宋体"/>
          <w:color w:val="auto"/>
          <w:sz w:val="24"/>
          <w:highlight w:val="none"/>
          <w:shd w:val="clear"/>
        </w:rPr>
        <w:t>）、数码相机、电脑等相关设备，其中进出口设有车牌抓拍系统，</w:t>
      </w:r>
      <w:r>
        <w:rPr>
          <w:rFonts w:hint="eastAsia" w:ascii="宋体" w:hAnsi="宋体"/>
          <w:color w:val="auto"/>
          <w:sz w:val="24"/>
          <w:highlight w:val="none"/>
          <w:shd w:val="clear"/>
          <w:lang w:eastAsia="zh-CN"/>
        </w:rPr>
        <w:t>过磅处监控清晰度能准确拍摄过磅车辆前后号牌，车辆装载俯视全景情况，</w:t>
      </w:r>
      <w:r>
        <w:rPr>
          <w:rFonts w:hint="eastAsia" w:ascii="宋体" w:hAnsi="宋体"/>
          <w:color w:val="auto"/>
          <w:sz w:val="24"/>
          <w:highlight w:val="none"/>
          <w:shd w:val="clear"/>
        </w:rPr>
        <w:t>，按照采购人的管理要求，落实相关管理措施。</w:t>
      </w:r>
    </w:p>
    <w:p>
      <w:pPr>
        <w:pStyle w:val="2"/>
        <w:shd w:val="clear"/>
        <w:ind w:firstLine="480"/>
        <w:rPr>
          <w:rFonts w:hint="eastAsia"/>
          <w:color w:val="auto"/>
          <w:sz w:val="24"/>
          <w:highlight w:val="none"/>
        </w:rPr>
      </w:pPr>
      <w:r>
        <w:rPr>
          <w:rFonts w:hint="eastAsia"/>
          <w:color w:val="auto"/>
          <w:sz w:val="24"/>
          <w:highlight w:val="none"/>
        </w:rPr>
        <w:t>4、停车场须配备停车雨布（用于事故破损车辆雨天遮挡）。</w:t>
      </w:r>
    </w:p>
    <w:p>
      <w:pPr>
        <w:pStyle w:val="2"/>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5、全年过磅费用由中标单位承担，不与甲方结算；</w:t>
      </w:r>
    </w:p>
    <w:p>
      <w:pPr>
        <w:keepNext w:val="0"/>
        <w:keepLines w:val="0"/>
        <w:pageBreakBefore w:val="0"/>
        <w:widowControl w:val="0"/>
        <w:shd w:val="clear"/>
        <w:kinsoku/>
        <w:wordWrap/>
        <w:overflowPunct/>
        <w:topLinePunct w:val="0"/>
        <w:autoSpaceDE/>
        <w:autoSpaceDN/>
        <w:bidi w:val="0"/>
        <w:adjustRightInd/>
        <w:snapToGrid/>
        <w:spacing w:line="360" w:lineRule="auto"/>
        <w:ind w:firstLine="360" w:firstLineChars="15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（五）车辆分布及救援到达时间</w:t>
      </w:r>
    </w:p>
    <w:p>
      <w:pPr>
        <w:pStyle w:val="2"/>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1、车辆分布：每个交警中队内安排两辆平板拖车及施救人员，其余车辆及人员在各交警中队旁待命；吊车及驳货车辆需停在停车场内；</w:t>
      </w:r>
    </w:p>
    <w:p>
      <w:pPr>
        <w:pStyle w:val="2"/>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2、救援到达时间：白天到达现场时间控制在15分钟内，夜间到达现场时间控制在20分钟内；</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六</w:t>
      </w:r>
      <w:r>
        <w:rPr>
          <w:rFonts w:hint="eastAsia" w:ascii="宋体" w:hAnsi="宋体"/>
          <w:color w:val="auto"/>
          <w:sz w:val="24"/>
          <w:highlight w:val="none"/>
        </w:rPr>
        <w:t>）人员保障：</w:t>
      </w:r>
    </w:p>
    <w:p>
      <w:pPr>
        <w:shd w:val="clear"/>
        <w:spacing w:line="600" w:lineRule="exact"/>
        <w:ind w:firstLine="482" w:firstLineChars="200"/>
        <w:rPr>
          <w:rFonts w:hint="eastAsia" w:ascii="宋体" w:hAnsi="宋体" w:cs="宋体"/>
          <w:b/>
          <w:bCs/>
          <w:color w:val="auto"/>
          <w:sz w:val="24"/>
          <w:highlight w:val="none"/>
        </w:rPr>
      </w:pPr>
      <w:r>
        <w:rPr>
          <w:rFonts w:hint="eastAsia" w:ascii="宋体" w:hAnsi="宋体"/>
          <w:b/>
          <w:bCs/>
          <w:color w:val="auto"/>
          <w:sz w:val="24"/>
          <w:highlight w:val="none"/>
        </w:rPr>
        <w:t xml:space="preserve"> 1、驾驶人员及后勤保障人员不得不少于 </w:t>
      </w:r>
      <w:r>
        <w:rPr>
          <w:rFonts w:hint="eastAsia" w:ascii="宋体" w:hAnsi="宋体"/>
          <w:b/>
          <w:bCs/>
          <w:color w:val="auto"/>
          <w:sz w:val="24"/>
          <w:highlight w:val="none"/>
          <w:lang w:val="en-US" w:eastAsia="zh-CN"/>
        </w:rPr>
        <w:t>40</w:t>
      </w:r>
      <w:r>
        <w:rPr>
          <w:rFonts w:hint="eastAsia" w:ascii="宋体" w:hAnsi="宋体"/>
          <w:b/>
          <w:bCs/>
          <w:color w:val="auto"/>
          <w:sz w:val="24"/>
          <w:highlight w:val="none"/>
        </w:rPr>
        <w:t>人，</w:t>
      </w:r>
      <w:r>
        <w:rPr>
          <w:rFonts w:hint="eastAsia" w:ascii="宋体" w:hAnsi="宋体" w:cs="宋体"/>
          <w:b/>
          <w:bCs/>
          <w:color w:val="auto"/>
          <w:sz w:val="24"/>
          <w:highlight w:val="none"/>
        </w:rPr>
        <w:t>其中驾驶员</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名</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名用于高架专项施救（驾照不得低于A2级别及劳动合同和</w:t>
      </w:r>
      <w:r>
        <w:rPr>
          <w:rFonts w:hint="eastAsia" w:ascii="宋体" w:hAnsi="宋体" w:cs="宋体"/>
          <w:b/>
          <w:bCs/>
          <w:color w:val="auto"/>
          <w:sz w:val="24"/>
          <w:highlight w:val="none"/>
          <w:lang w:eastAsia="zh-CN"/>
        </w:rPr>
        <w:t>社保</w:t>
      </w:r>
      <w:r>
        <w:rPr>
          <w:rFonts w:hint="eastAsia" w:ascii="宋体" w:hAnsi="宋体" w:cs="宋体"/>
          <w:b/>
          <w:bCs/>
          <w:color w:val="auto"/>
          <w:sz w:val="24"/>
          <w:highlight w:val="none"/>
        </w:rPr>
        <w:t>证明）。</w:t>
      </w:r>
    </w:p>
    <w:p>
      <w:pPr>
        <w:shd w:val="clear"/>
        <w:spacing w:line="6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2、各片区停车场现场管理人员不得少于3名，其中1人为专职管理人员（负责信息采集录入、车辆管理等），同时须建立24小时值班制度。（所有人员提供半年以上劳动合同及</w:t>
      </w:r>
      <w:r>
        <w:rPr>
          <w:rFonts w:hint="eastAsia" w:ascii="宋体" w:hAnsi="宋体" w:cs="宋体"/>
          <w:b/>
          <w:bCs/>
          <w:color w:val="auto"/>
          <w:sz w:val="24"/>
          <w:highlight w:val="none"/>
          <w:lang w:eastAsia="zh-CN"/>
        </w:rPr>
        <w:t>社保</w:t>
      </w:r>
      <w:r>
        <w:rPr>
          <w:rFonts w:hint="eastAsia" w:ascii="宋体" w:hAnsi="宋体" w:cs="宋体"/>
          <w:b/>
          <w:bCs/>
          <w:color w:val="auto"/>
          <w:sz w:val="24"/>
          <w:highlight w:val="none"/>
        </w:rPr>
        <w:t>证明）。</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（六）勤务保障：保障在各执勤中队内24小时具有备勤车辆1辆，驾驶员2名以应付中队各项勤务工作（若新增中队也必须具备同样条件）。</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（七）通讯保障：具有与采购单位通讯系统兼容的通讯网络系统及相应设备，随时保证各应急清障车辆与采购单位之间的通讯畅通。</w:t>
      </w:r>
    </w:p>
    <w:p>
      <w:pPr>
        <w:shd w:val="clear"/>
        <w:spacing w:line="440" w:lineRule="exact"/>
        <w:rPr>
          <w:rFonts w:hint="eastAsia" w:ascii="宋体" w:hAnsi="宋体"/>
          <w:b/>
          <w:color w:val="auto"/>
          <w:sz w:val="24"/>
          <w:highlight w:val="none"/>
        </w:rPr>
      </w:pPr>
      <w:r>
        <w:rPr>
          <w:rFonts w:hint="eastAsia" w:ascii="宋体" w:hAnsi="宋体"/>
          <w:b/>
          <w:color w:val="auto"/>
          <w:sz w:val="24"/>
          <w:highlight w:val="none"/>
        </w:rPr>
        <w:t>1.2项目概况</w:t>
      </w:r>
    </w:p>
    <w:p>
      <w:pPr>
        <w:shd w:val="clea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主要内容包括在杭州市公安局临平区分局交通警察大队管辖范围内开展24小时交通事故车辆、交通违法车辆的拖移、保管等清障服务和大型活动、警卫任务、抗灾救灾、综合整治等备勤服务以及其他交办的清障服务。</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（一）涉案车辆拖车服务要求。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1．时间要求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1.1中标供应商提供全天24小时涉案车辆拖车服务。</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1.2中标供应商接到采购单位及下属单位通知后须白天五分钟，夜间十分钟出车施救，须在规定时间到达指定地点，时间从采购单位及下属单位向中标供应商发出涉案车辆拖车服务指令起计算。</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1.3中标供应商到达指定地点后，根据执勤民警开具的《公安交通管理行政强制措施凭证》，须在规定时间内完成涉案车辆起拖、起吊工作，并撤离现场，其中一般交通事故车辆及交通违法车辆15分钟内、较大交通事故30分钟内（现场复杂的交通事故经执勤民警同意后可适当延长服务时间）；时间从接到属地中队通知起计算。</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1.4中标供应商须在60分钟内将涉案车辆拖至涉案车辆保管场地。</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1.5涉案车辆需要过磅称重的，中标供应商须协助执勤民警在60分钟内将涉案车辆拖至过磅点，过磅称重结束后及时将涉案车辆拖至涉案车辆保管场地。</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2.车辆要求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2.1中标供应商要配备足够完成采购单位及下属单位要求的涉案车辆拖车服务的拖车等各类车辆。中标后所有的车辆须提前向采购单位备案，如有变动的，须在征得采购单位同意后配备相同功能的备用车辆替代。</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2.2中标供应商配备的车辆须具有合法、完备的证照，保证车况良好并配备足够、完好的交通清障辅助设备（包括警示筒、警示带等反光标志、消防器材、拖车辅助轮、千斤顶、破拆器材等）、应急物品（木屑、沙等）及通讯工具、摄像摄影器材等，确保拖能力与通信畅通；不得配备报废、非法车辆参与拖作业。</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2.3中标供应商配备的车辆须购买相应的商业险和第三者责任强制险等保险，中标后须提供购买相应的保险证明材料。</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2.4中标供应商配备的车辆须在明显位置公开投诉监督电话和相关收费标准。</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3.人员要求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3.1中标供应商要配备足够完成采购单位及下属单位要求的涉案车辆拖车服务配套的工作人员。所有工作人员须提前向采购单位备案，如有变动的，须在征得采购单位同意后配备相同资质和能力的其他工作人员替代。</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3.2中标供应商配备的工作人员须与中标供应商签订劳动合同，且购买相关社会保险。工作中须统一着装，熟练规范安全操作，且必须听从执勤交警的指挥调度。</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3.3工作人员要根据执勤民警的要求，开展交通事故现场的血迹、油污、泥土、洒落货物等残留物的清理工作和大宗物品的移位工作，确保事故现场的道路畅通和安全。</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3.4工作人员作业时必须严格遵守道路交通管理规定，不得因作业而影响交通、造成交通堵塞或损坏市政设施；如因作业需要违反交通管理规定的，须经执勤交警同意，且做好相关警示提警。</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3.5工作人员应按照采购单位规定的程序及规范处置被拖车辆的随车物品，未经采购单位或当事人同意，工作人员不得进入被拖车辆的车辆内部（包括驾驶乘坐仓以及车尾箱等）。</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4.其他要求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4.1中标供应商在开展涉案车辆拖车服务过程中发生交通事故、作业事故或其他意外，造成中标供应商的车辆损坏、工作人员伤害的，由中标供应商自行负责；造成涉案车辆损坏、其他人员伤害、物品损坏、油料失少等其他损失的，均由中标供应商负责。</w:t>
      </w:r>
    </w:p>
    <w:p>
      <w:pPr>
        <w:pStyle w:val="2"/>
        <w:shd w:val="clear"/>
        <w:ind w:firstLine="480" w:firstLineChars="200"/>
        <w:rPr>
          <w:rFonts w:hint="eastAsia"/>
          <w:color w:val="auto"/>
          <w:highlight w:val="none"/>
          <w:u w:val="single"/>
        </w:rPr>
      </w:pPr>
      <w:r>
        <w:rPr>
          <w:rFonts w:hint="eastAsia" w:ascii="宋体" w:hAnsi="宋体"/>
          <w:color w:val="auto"/>
          <w:sz w:val="24"/>
          <w:highlight w:val="none"/>
          <w:u w:val="single"/>
        </w:rPr>
        <w:t>4.2停车施救场地不接受社会车辆停放，只停放执法执行扣押车辆。</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5.2因中标供应商原因，造成严重影响或后果的，采购单位有权解除合同。</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（二）涉案车辆保管服务要求。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1．时间要求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1.1中标供应商提供涉案车辆保管时间为进入保管场地开始起至涉案车辆放行、当事人取走或业主指定转移其他场地等期间的全过程保管服务。</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2．场地要求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2.1中标供应商要提供足够完成采购单位及下属单位要求的涉案车辆保管服务的保管场地。所有保管场地须提前向采购单位备案，如有变动的，须在征得采购单位同意后落实同一区域且不少于原有保管场地面积的备用保管场地替代。</w:t>
      </w:r>
    </w:p>
    <w:p>
      <w:pPr>
        <w:shd w:val="clear"/>
        <w:spacing w:line="440" w:lineRule="exact"/>
        <w:ind w:firstLine="360" w:firstLineChars="150"/>
        <w:rPr>
          <w:rFonts w:ascii="宋体" w:hAnsi="宋体"/>
          <w:color w:val="auto"/>
          <w:sz w:val="24"/>
          <w:highlight w:val="none"/>
        </w:rPr>
      </w:pPr>
      <w:r>
        <w:rPr>
          <w:rFonts w:hint="eastAsia" w:ascii="宋体" w:hAnsi="宋体"/>
          <w:color w:val="auto"/>
          <w:sz w:val="24"/>
          <w:highlight w:val="none"/>
        </w:rPr>
        <w:t>2.2中标供应商提供的保管场地须具有合法、完备的手续，保证保管场地适合车辆停放，并设有汽车停放区、非汽车停放区，做到妥善保管。同时还需要具备可供20辆汽车停放的防风雨棚，做到妥善保管。</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2.3中标供应商提供的保管场地须严格落实治安消防安全管理制度，配备封闭式围墙、防盗监控系统、消防灭火设</w:t>
      </w:r>
      <w:r>
        <w:rPr>
          <w:rFonts w:hint="eastAsia" w:ascii="宋体" w:hAnsi="宋体"/>
          <w:color w:val="auto"/>
          <w:sz w:val="24"/>
          <w:highlight w:val="none"/>
          <w:shd w:val="clear"/>
        </w:rPr>
        <w:t>备</w:t>
      </w:r>
      <w:r>
        <w:rPr>
          <w:rFonts w:hint="eastAsia" w:ascii="宋体" w:hAnsi="宋体"/>
          <w:color w:val="auto"/>
          <w:sz w:val="24"/>
          <w:highlight w:val="none"/>
          <w:shd w:val="clear"/>
          <w:lang w:eastAsia="zh-CN"/>
        </w:rPr>
        <w:t>（其中灭火器须定期更新，保证正常使用）</w:t>
      </w:r>
      <w:r>
        <w:rPr>
          <w:rFonts w:hint="eastAsia" w:ascii="宋体" w:hAnsi="宋体"/>
          <w:color w:val="auto"/>
          <w:sz w:val="24"/>
          <w:highlight w:val="none"/>
          <w:shd w:val="clear"/>
        </w:rPr>
        <w:t>、防火隔离通道等设施，每处保管场</w:t>
      </w:r>
      <w:r>
        <w:rPr>
          <w:rFonts w:hint="eastAsia" w:ascii="宋体" w:hAnsi="宋体"/>
          <w:color w:val="auto"/>
          <w:sz w:val="24"/>
          <w:highlight w:val="none"/>
        </w:rPr>
        <w:t>地有效意外损失保险在100万（含）以上。</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2.4中标供应商提供的保管场地的车辆出入口及车辆停放位置须安装视频监控系统，系统可实现对整个保管场地进行监控，且监控</w:t>
      </w:r>
      <w:r>
        <w:rPr>
          <w:rFonts w:hint="eastAsia" w:ascii="宋体" w:hAnsi="宋体"/>
          <w:color w:val="auto"/>
          <w:sz w:val="24"/>
          <w:highlight w:val="none"/>
          <w:shd w:val="clear"/>
        </w:rPr>
        <w:t>记录可保存</w:t>
      </w:r>
      <w:r>
        <w:rPr>
          <w:rFonts w:hint="eastAsia" w:ascii="宋体" w:hAnsi="宋体"/>
          <w:color w:val="auto"/>
          <w:sz w:val="24"/>
          <w:highlight w:val="none"/>
          <w:shd w:val="clear"/>
          <w:lang w:val="en-US" w:eastAsia="zh-CN"/>
        </w:rPr>
        <w:t>3</w:t>
      </w:r>
      <w:r>
        <w:rPr>
          <w:rFonts w:hint="eastAsia" w:ascii="宋体" w:hAnsi="宋体"/>
          <w:color w:val="auto"/>
          <w:sz w:val="24"/>
          <w:highlight w:val="none"/>
          <w:shd w:val="clear"/>
        </w:rPr>
        <w:t>个月以上，</w:t>
      </w:r>
      <w:r>
        <w:rPr>
          <w:rFonts w:hint="eastAsia" w:ascii="宋体" w:hAnsi="宋体"/>
          <w:color w:val="auto"/>
          <w:sz w:val="24"/>
          <w:highlight w:val="none"/>
        </w:rPr>
        <w:t>并能正常回放。</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2.5中标供应商提供的保管场地须设立专门的管理办公室，并配备电脑并安装涉案车辆管理系统（采购单位免费提供），实时维护系统及上传相关涉案车辆信息。</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3.人员要求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3.1中标供应商要配备足够完成采购单位及下属单位要求的涉案车辆保管服务配套的工作人员，并保证保管场地24小时人员不断。所有工作人员须提前向采购单位备案，如有变动的，须在征得采购单位同意后配备相同能力的其他工作人员替代。</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3.2中标供应商配备的工作人员须与中标供应商签订劳动合同，且购买相关社会保险。工作中须统一着装，熟练规范安全操作，且必须听从执勤交警的指挥调度。</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4.保管要求</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4.1涉案车辆须凭《公安交通管理行政强制措施凭证》或甲方开具并与乙方商定确认的其他法律文书进入保管场地；无移交单及其他相关约定凭证的，中标供应商一律不得保管。</w:t>
      </w:r>
    </w:p>
    <w:p>
      <w:pPr>
        <w:shd w:val="clear"/>
        <w:spacing w:line="440" w:lineRule="exact"/>
        <w:ind w:firstLine="360" w:firstLineChars="150"/>
        <w:rPr>
          <w:rFonts w:ascii="宋体" w:hAnsi="宋体"/>
          <w:color w:val="auto"/>
          <w:sz w:val="24"/>
          <w:highlight w:val="none"/>
        </w:rPr>
      </w:pPr>
      <w:r>
        <w:rPr>
          <w:rFonts w:hint="eastAsia" w:ascii="宋体" w:hAnsi="宋体"/>
          <w:color w:val="auto"/>
          <w:sz w:val="24"/>
          <w:highlight w:val="none"/>
        </w:rPr>
        <w:t>4.2中标供应商应建立涉案车辆财物登记制度，对保管的涉案车辆进行全面检查，分清车辆状况，清点车内存放财物，建立一车一卡一档。</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4.3涉案财物的管理应当建立办案中队与保管部门、办案人员与保管人员相互制约制度，并设立或者指定专门保管场所实行统一管理，严禁由办案人员自行保管涉案财物。涉案车辆统一停放于指定停车场保管。</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4.4涉案财物保管场所和保管措施应当适合被保管财物的特性，符合防火、防盗、防潮、防蛀、防磁、防腐蚀等安全要求。涉案财物保管场所应当按照视频监控设备，并配备必要的储物容器、一次性储物袋、计量工具等物品。</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4.5涉案车辆的录入、流转应</w:t>
      </w:r>
      <w:r>
        <w:rPr>
          <w:rFonts w:hint="eastAsia" w:ascii="宋体" w:hAnsi="宋体"/>
          <w:color w:val="auto"/>
          <w:sz w:val="24"/>
          <w:highlight w:val="none"/>
          <w:shd w:val="clear"/>
        </w:rPr>
        <w:t>录入《</w:t>
      </w:r>
      <w:r>
        <w:rPr>
          <w:rFonts w:hint="eastAsia" w:ascii="宋体" w:hAnsi="宋体"/>
          <w:color w:val="auto"/>
          <w:sz w:val="24"/>
          <w:highlight w:val="none"/>
          <w:shd w:val="clear"/>
          <w:lang w:eastAsia="zh-CN"/>
        </w:rPr>
        <w:t>涉案财物系统</w:t>
      </w:r>
      <w:r>
        <w:rPr>
          <w:rFonts w:hint="eastAsia" w:ascii="宋体" w:hAnsi="宋体"/>
          <w:color w:val="auto"/>
          <w:sz w:val="24"/>
          <w:highlight w:val="none"/>
          <w:shd w:val="clear"/>
        </w:rPr>
        <w:t>》进</w:t>
      </w:r>
      <w:r>
        <w:rPr>
          <w:rFonts w:hint="eastAsia" w:ascii="宋体" w:hAnsi="宋体"/>
          <w:color w:val="auto"/>
          <w:sz w:val="24"/>
          <w:highlight w:val="none"/>
        </w:rPr>
        <w:t>行管理。</w:t>
      </w:r>
    </w:p>
    <w:p>
      <w:pPr>
        <w:shd w:val="clear"/>
        <w:spacing w:line="44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4.6涉案车辆进入停车场应有序停放，统一登记，统一挂信息卡。信息卡上应注明扣车单位，扣车民警，扣车日期，违法原因，车辆号牌，没有号牌的，注明车架号（或发动机号/电机号）。信息卡统一挂汽车驾驶室门把手处（或前挡雨刮器上），摩托车、电动车统一挂车把手处。</w:t>
      </w:r>
      <w:r>
        <w:rPr>
          <w:rFonts w:hint="eastAsia" w:ascii="宋体" w:hAnsi="宋体"/>
          <w:color w:val="auto"/>
          <w:sz w:val="24"/>
          <w:highlight w:val="none"/>
          <w:shd w:val="clear" w:fill="FF0000"/>
          <w:lang w:eastAsia="zh-CN"/>
        </w:rPr>
        <w:t>信息卡信息模糊的，应当及时更换，确保车辆信息卡始终能清晰展示车辆信息。</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4.7严禁出借、截留、坐支、私分、挪用、调换、遗失或以任何方式侵占、损毁涉案财物与非涉案财物。</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4.8扣留、扣押的车辆，由指定施救单位负责拖曳至停车场内保管。拖车驾驶员到达现场后，应对被拖车辆的损坏情况、外观有无划痕、车上有无贵重物品等进行检查，如有车损或车内仪表异常应由民警拍照留存，检查结果应填写在《涉案车辆交接凭证》上，并由拖车驾驶员和民警分别签字确认。</w:t>
      </w:r>
    </w:p>
    <w:p>
      <w:pPr>
        <w:shd w:val="clear"/>
        <w:spacing w:line="360" w:lineRule="auto"/>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4.9拖曳车辆要严格按照规范要求操作，确保拖曳过程和被拖曳车辆安全。</w:t>
      </w:r>
    </w:p>
    <w:p>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4.10涉案车辆进入停车场后，由场地管理人员核对信息和入场时间后</w:t>
      </w:r>
      <w:r>
        <w:rPr>
          <w:rFonts w:hint="eastAsia" w:ascii="宋体" w:hAnsi="宋体"/>
          <w:color w:val="auto"/>
          <w:sz w:val="24"/>
          <w:highlight w:val="none"/>
          <w:shd w:val="clear"/>
        </w:rPr>
        <w:t>，按大队要求</w:t>
      </w:r>
      <w:r>
        <w:rPr>
          <w:rFonts w:hint="eastAsia" w:ascii="宋体" w:hAnsi="宋体"/>
          <w:color w:val="auto"/>
          <w:sz w:val="24"/>
          <w:highlight w:val="none"/>
          <w:shd w:val="clear"/>
          <w:lang w:val="en-US" w:eastAsia="zh-CN"/>
        </w:rPr>
        <w:t>24小时内</w:t>
      </w:r>
      <w:r>
        <w:rPr>
          <w:rFonts w:hint="eastAsia" w:ascii="宋体" w:hAnsi="宋体"/>
          <w:color w:val="auto"/>
          <w:sz w:val="24"/>
          <w:highlight w:val="none"/>
          <w:shd w:val="clear"/>
        </w:rPr>
        <w:t>录入《</w:t>
      </w:r>
      <w:r>
        <w:rPr>
          <w:rFonts w:hint="eastAsia" w:ascii="宋体" w:hAnsi="宋体"/>
          <w:color w:val="auto"/>
          <w:sz w:val="24"/>
          <w:highlight w:val="none"/>
          <w:shd w:val="clear"/>
          <w:lang w:eastAsia="zh-CN"/>
        </w:rPr>
        <w:t>涉案财物系统</w:t>
      </w:r>
      <w:r>
        <w:rPr>
          <w:rFonts w:hint="eastAsia" w:ascii="宋体" w:hAnsi="宋体"/>
          <w:color w:val="auto"/>
          <w:sz w:val="24"/>
          <w:highlight w:val="none"/>
          <w:shd w:val="clear"/>
        </w:rPr>
        <w:t>》，拍摄扣留车辆照片应体现车辆</w:t>
      </w:r>
      <w:r>
        <w:rPr>
          <w:rFonts w:hint="eastAsia" w:ascii="宋体" w:hAnsi="宋体"/>
          <w:color w:val="auto"/>
          <w:sz w:val="24"/>
          <w:highlight w:val="none"/>
        </w:rPr>
        <w:t>体貌、车照。</w:t>
      </w:r>
    </w:p>
    <w:p>
      <w:pPr>
        <w:pStyle w:val="2"/>
        <w:shd w:val="clear"/>
        <w:spacing w:line="360" w:lineRule="auto"/>
        <w:rPr>
          <w:rFonts w:hint="eastAsia" w:ascii="宋体" w:hAnsi="宋体"/>
          <w:color w:val="auto"/>
          <w:sz w:val="24"/>
          <w:highlight w:val="none"/>
        </w:rPr>
      </w:pPr>
      <w:r>
        <w:rPr>
          <w:rFonts w:hint="eastAsia" w:ascii="宋体" w:hAnsi="宋体"/>
          <w:color w:val="auto"/>
          <w:sz w:val="24"/>
          <w:highlight w:val="none"/>
        </w:rPr>
        <w:t xml:space="preserve">     停车场工作人员不得借用、挪用、偷开车辆；不得拆换车辆零部件；不得使用车内物品；不得擅自放行车辆。不得在停车场内进行切割，焊接等作业。</w:t>
      </w:r>
    </w:p>
    <w:p>
      <w:pPr>
        <w:pStyle w:val="2"/>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4.11扣留的车辆除检验、鉴定外，不得使用。</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4.12进入指定停车场进行保管的车辆，因返回、转场、移交、处置、销毁等原因其保管状态与去向产生变动的，停车场工作人员应及</w:t>
      </w:r>
      <w:r>
        <w:rPr>
          <w:rFonts w:hint="eastAsia" w:ascii="宋体" w:hAnsi="宋体"/>
          <w:color w:val="auto"/>
          <w:sz w:val="24"/>
          <w:highlight w:val="none"/>
          <w:shd w:val="clear"/>
        </w:rPr>
        <w:t>时在《</w:t>
      </w:r>
      <w:r>
        <w:rPr>
          <w:rFonts w:hint="eastAsia" w:ascii="宋体" w:hAnsi="宋体"/>
          <w:color w:val="auto"/>
          <w:sz w:val="24"/>
          <w:highlight w:val="none"/>
          <w:shd w:val="clear"/>
          <w:lang w:eastAsia="zh-CN"/>
        </w:rPr>
        <w:t>涉案财物系统</w:t>
      </w:r>
      <w:r>
        <w:rPr>
          <w:rFonts w:hint="eastAsia" w:ascii="宋体" w:hAnsi="宋体"/>
          <w:color w:val="auto"/>
          <w:sz w:val="24"/>
          <w:highlight w:val="none"/>
          <w:shd w:val="clear"/>
        </w:rPr>
        <w:t>》</w:t>
      </w:r>
      <w:r>
        <w:rPr>
          <w:rFonts w:hint="eastAsia" w:ascii="宋体" w:hAnsi="宋体"/>
          <w:color w:val="auto"/>
          <w:sz w:val="24"/>
          <w:highlight w:val="none"/>
        </w:rPr>
        <w:t>内更新车辆保管状态，便于办案单位和监督部门掌握涉案车辆动态变化。</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4.13中标供应商应分清暂扣车辆性质，存放于专辖区域，落实好保管措施，对车辆保管期间发生的损坏和随车物品的失少，承担赔偿责任。</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4.14中标供应商应认真履行保管职责，建立严格的安全、保管制度，涉案车辆停入停车场的同时，投标人应立即将凭证信息、移交单信息、车辆信息、车辆照片等按要求录入涉案车辆管理系统。</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4.15中标供应商应每周定期检查中队涉案车辆管理系统中信息，对涉案车辆逐一核对（同时要登陆涉案车辆管理系统进行核对），于每周五9时前将中队暂扣的涉案车辆及存量情况报中队辅警专管员。</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4.16中标供应商应每日要与中队以涉案车辆管理系统为依据核对进出停车场的车辆，发现异常情况及时更正，需要上报大队的由中队统一上报。</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4.17中标供应商应配合交警大队、中队消除暂扣车辆违法行为，杜绝出现违法行为不消除就放行或私放车辆的现象发生。对涉案车辆放行必须凭</w:t>
      </w:r>
      <w:r>
        <w:rPr>
          <w:rFonts w:hint="eastAsia" w:ascii="宋体" w:hAnsi="宋体"/>
          <w:color w:val="auto"/>
          <w:sz w:val="24"/>
          <w:highlight w:val="none"/>
          <w:shd w:val="clear"/>
        </w:rPr>
        <w:t>《</w:t>
      </w:r>
      <w:r>
        <w:rPr>
          <w:rFonts w:hint="eastAsia" w:ascii="宋体" w:hAnsi="宋体"/>
          <w:color w:val="auto"/>
          <w:sz w:val="24"/>
          <w:highlight w:val="none"/>
          <w:shd w:val="clear"/>
          <w:lang w:eastAsia="zh-CN"/>
        </w:rPr>
        <w:t>涉案财物系统</w:t>
      </w:r>
      <w:r>
        <w:rPr>
          <w:rFonts w:hint="eastAsia" w:ascii="宋体" w:hAnsi="宋体"/>
          <w:color w:val="auto"/>
          <w:sz w:val="24"/>
          <w:highlight w:val="none"/>
          <w:shd w:val="clear"/>
        </w:rPr>
        <w:t>》</w:t>
      </w:r>
      <w:r>
        <w:rPr>
          <w:rFonts w:hint="eastAsia" w:ascii="宋体" w:hAnsi="宋体"/>
          <w:color w:val="auto"/>
          <w:sz w:val="24"/>
          <w:highlight w:val="none"/>
          <w:shd w:val="clear"/>
          <w:lang w:eastAsia="zh-CN"/>
        </w:rPr>
        <w:t>中</w:t>
      </w:r>
      <w:r>
        <w:rPr>
          <w:rFonts w:hint="eastAsia" w:ascii="宋体" w:hAnsi="宋体"/>
          <w:color w:val="auto"/>
          <w:sz w:val="24"/>
          <w:highlight w:val="none"/>
          <w:shd w:val="clear"/>
        </w:rPr>
        <w:t>向当事人</w:t>
      </w:r>
      <w:r>
        <w:rPr>
          <w:rFonts w:hint="eastAsia" w:ascii="宋体" w:hAnsi="宋体"/>
          <w:color w:val="auto"/>
          <w:sz w:val="24"/>
          <w:highlight w:val="none"/>
          <w:shd w:val="clear"/>
          <w:lang w:eastAsia="zh-CN"/>
        </w:rPr>
        <w:t>开</w:t>
      </w:r>
      <w:r>
        <w:rPr>
          <w:rFonts w:hint="eastAsia" w:ascii="宋体" w:hAnsi="宋体"/>
          <w:color w:val="auto"/>
          <w:sz w:val="24"/>
          <w:highlight w:val="none"/>
          <w:shd w:val="clear"/>
        </w:rPr>
        <w:t>具的放车单放行；遇系统故障，手工开具放</w:t>
      </w:r>
      <w:r>
        <w:rPr>
          <w:rFonts w:hint="eastAsia" w:ascii="宋体" w:hAnsi="宋体"/>
          <w:color w:val="auto"/>
          <w:sz w:val="24"/>
          <w:highlight w:val="none"/>
        </w:rPr>
        <w:t>车单，必须在24小时内及时补录。</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4.18当事人携带放车单于24小时内到停车场取车，停车场查验放车单后将车交还当事人，并在涉案车辆管理系统内录入放车信息。</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4.19超载车辆的卸货程序及要求</w:t>
      </w:r>
    </w:p>
    <w:p>
      <w:pPr>
        <w:shd w:val="clear"/>
        <w:spacing w:line="440" w:lineRule="exact"/>
        <w:ind w:firstLine="360" w:firstLineChars="150"/>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4.19.1超载车辆按规定进入停车场后</w:t>
      </w:r>
      <w:r>
        <w:rPr>
          <w:rFonts w:hint="eastAsia" w:ascii="宋体" w:hAnsi="宋体"/>
          <w:color w:val="auto"/>
          <w:sz w:val="24"/>
          <w:highlight w:val="none"/>
          <w:lang w:eastAsia="zh-CN"/>
        </w:rPr>
        <w:t>，过磅过程、驳货区域、过磅单显示区域监控必须全程覆盖，</w:t>
      </w:r>
      <w:r>
        <w:rPr>
          <w:rFonts w:hint="eastAsia" w:ascii="宋体" w:hAnsi="宋体"/>
          <w:color w:val="auto"/>
          <w:sz w:val="24"/>
          <w:highlight w:val="none"/>
        </w:rPr>
        <w:t>停车场</w:t>
      </w:r>
      <w:r>
        <w:rPr>
          <w:rFonts w:hint="eastAsia" w:ascii="宋体" w:hAnsi="宋体"/>
          <w:color w:val="auto"/>
          <w:sz w:val="24"/>
          <w:highlight w:val="none"/>
          <w:lang w:eastAsia="zh-CN"/>
        </w:rPr>
        <w:t>管理人员</w:t>
      </w:r>
      <w:r>
        <w:rPr>
          <w:rFonts w:hint="eastAsia" w:ascii="宋体" w:hAnsi="宋体"/>
          <w:color w:val="auto"/>
          <w:sz w:val="24"/>
          <w:highlight w:val="none"/>
        </w:rPr>
        <w:t>用数码相机固定超载情况（相片用纸张固定，下同）</w:t>
      </w:r>
      <w:r>
        <w:rPr>
          <w:rFonts w:hint="eastAsia" w:ascii="宋体" w:hAnsi="宋体"/>
          <w:color w:val="auto"/>
          <w:sz w:val="24"/>
          <w:highlight w:val="none"/>
          <w:lang w:eastAsia="zh-CN"/>
        </w:rPr>
        <w:t>，所有超载车辆必须消除违法状态后凭甲方放车单放行，</w:t>
      </w:r>
      <w:r>
        <w:rPr>
          <w:rFonts w:hint="eastAsia" w:ascii="宋体" w:hAnsi="宋体"/>
          <w:color w:val="auto"/>
          <w:sz w:val="24"/>
          <w:highlight w:val="none"/>
        </w:rPr>
        <w:t>停车场对消除违法所有过程的材料及收费状况进行存挡（一车一档）。</w:t>
      </w:r>
      <w:r>
        <w:rPr>
          <w:rFonts w:hint="eastAsia" w:ascii="宋体" w:hAnsi="宋体"/>
          <w:color w:val="auto"/>
          <w:sz w:val="24"/>
          <w:highlight w:val="none"/>
        </w:rPr>
        <w:cr/>
      </w:r>
      <w:r>
        <w:rPr>
          <w:rFonts w:hint="eastAsia" w:ascii="宋体" w:hAnsi="宋体"/>
          <w:color w:val="auto"/>
          <w:sz w:val="24"/>
          <w:highlight w:val="none"/>
        </w:rPr>
        <w:t xml:space="preserve">   4.19.2对于涉案车辆卸货，由车主自行卸货，如委托停车场卸货的应有书面协议书，必须事先与车主谈妥卸货费用并由车主在委托书上签字，必须承诺自愿要求，杜绝出现乱收费现象。</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4.20三个月未来处理的违法涉案车辆，由中标供应商于次月1日起3个工作日内提交中队审核，中队审核后在5个工作日内提交大队审核，大队在当月20日发布公示。公示期开始后法制科告知中队，由中队通知回收公司开始对公示车辆集中搬离保管。</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4.21六个月未来处理的事故涉案车辆，由中标供应商于次月1日起3个工作日内提交中队审核，中队审核后在5个工作日内提交大队审核，大队在当月20日发布公示。公示期开始后法制科告知中队，由中队通知集中保管中心开始对公示车辆集中搬离保管。</w:t>
      </w:r>
    </w:p>
    <w:p>
      <w:pPr>
        <w:shd w:val="clear"/>
        <w:spacing w:line="440" w:lineRule="exact"/>
        <w:ind w:firstLine="360" w:firstLineChars="150"/>
        <w:rPr>
          <w:rFonts w:hint="eastAsia"/>
          <w:color w:val="auto"/>
          <w:highlight w:val="none"/>
        </w:rPr>
      </w:pPr>
      <w:r>
        <w:rPr>
          <w:rFonts w:hint="eastAsia" w:ascii="宋体" w:hAnsi="宋体"/>
          <w:color w:val="auto"/>
          <w:sz w:val="24"/>
          <w:highlight w:val="none"/>
        </w:rPr>
        <w:t>4.22中标供应商拆卸涉案车辆零件、私自放行涉案车辆离开保管地点，将涉案辆挪作他用、擅自报废车辆的，造成涉案车辆损坏、其他人员伤害、物品损坏、油料失少等其他损失的，均由中标供应商负责；造成严重影响或后果的，采购单位有权解除合同并同时追究供应商法律责任。</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4.23涉案车辆服务费用每月向采购单位结算；中标供应商不得向当事人或其他单位（人）收取涉案车辆拖车、保管等服务费用，一经查实，采购单位有权解除合同。除采购单位要求中标供应商开展拖车服务外，交通事故车辆还需要吊车、驳运或抢险作业等其他施救服务的，由中标供应商自行与当事人（或事故车辆保险公司）协商；吊车、驳运或抢险作业的费用由中标供应商根据物价部门的收费标准向当事人（或事故车辆保险公司）结算，并开具正规施救发票。中标供应商有违反相关法律、法规、规章如未经与当事人（或事故车辆保险公司）协商同意，而强行自行开展吊车、驳运或抢险作业等其他施救服务等行为的，一切法律后果由中标供应商负责。</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4.24因中标供应商原因，造成严重影响或后果的，采购单位有权解除合同。</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4.25除上述规定外，必须严格遵守《停车场管理规定》，按规定要求执行。</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1.3项目管理及考评处理办法</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（一）项目管理要求</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1.采购人将不定期对供应商的作业情况及台账登记进行检查。</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2.供应商每月的支付费用与当月的考评总评挂钩。采购人将对供应商清障任务完成的质量情况进行考评并制作月度考评表，并按照月度考核总评分数扣减相应的服务费用。</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3.采购人根据检查发现并核实的问题向供应商发出整改通知书，要求限期整改，供应商应在规定期限内实施整改，并将整改结果书面报采购人；如供应商不按要求实施整改的，采购人有权扣减月度考核分数。</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4.供应商如出现重大违规事件，或在考评处罚办法中月度考核分数低于60分的，采购人有权终止合同，且由此造成的损失由供应商负责。</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（二）考评办法</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1.采购人有权将中标供应商在合同服务期内违反合同规定的各种情况进行登记，建立诚信档案，制作月度考评表，按考评表分数比例减扣当月服务费用。月度考评满分为100分。</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2.考评表评分按实扣分，当月累加，每一个月为一个计分周期。</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3.供应商服务费支付和月度考核情况挂钩，月度考核扣分分值以每分折合成人民币200元计算。</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4.采购人每月制作月度考评总表，作为结算依据之一。</w:t>
      </w:r>
    </w:p>
    <w:p>
      <w:pPr>
        <w:shd w:val="clear"/>
        <w:spacing w:line="440" w:lineRule="exact"/>
        <w:rPr>
          <w:rFonts w:hint="eastAsia" w:ascii="宋体" w:hAnsi="宋体"/>
          <w:color w:val="auto"/>
          <w:sz w:val="24"/>
          <w:highlight w:val="none"/>
          <w:shd w:val="clear"/>
        </w:rPr>
      </w:pPr>
      <w:r>
        <w:rPr>
          <w:rFonts w:hint="eastAsia" w:ascii="宋体" w:hAnsi="宋体"/>
          <w:color w:val="auto"/>
          <w:sz w:val="24"/>
          <w:highlight w:val="none"/>
        </w:rPr>
        <w:t xml:space="preserve">   </w:t>
      </w:r>
      <w:r>
        <w:rPr>
          <w:rFonts w:hint="eastAsia" w:ascii="宋体" w:hAnsi="宋体"/>
          <w:color w:val="auto"/>
          <w:sz w:val="24"/>
          <w:highlight w:val="none"/>
          <w:shd w:val="clear"/>
        </w:rPr>
        <w:t xml:space="preserve">    （三）考评条款</w:t>
      </w:r>
    </w:p>
    <w:tbl>
      <w:tblPr>
        <w:tblStyle w:val="66"/>
        <w:tblW w:w="8693"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8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停车场及救援方在遵章守规中发生重大失误或违规事件并被当事人投诉、上级点名批评、媒体曝光至相关部门的，每次扣1-10分。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救援方接到交警大队服务指令后，拒不提供服务或拖延服务时间的（无正当理由在接到指令10分钟内未派车），每次扣2分。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救援方实施清障作业没有按规范流程操作的，或没有按规定时间及路线进场的，每次扣2分，造成损失的每次扣5分。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及救援方在财物保管中发生盗窃或置换涉案车辆零配件或车上物品的，每次扣5-10分；数量或金额较大的（如盗窃或置换整车、一次盗窃或置换电池10个以上、盗窃车上物品估计价值超过1万元的），每次扣15分，同时追究乙方法律责任，且交警大队可单方面解除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因救援方原因造成被拖吊车辆遗失或严重损坏（无法修复）的，每次扣10分。乙方负责对车主给予损失赔偿。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停车场及救援方私自使用被拖吊车辆或车上物品的，每次扣5分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停车场及救援方在规费执行中违规收费的，每发现一次扣5分。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救援方在**保障中未能及时完成清障的，在一般保卫工作和警卫保卫任务中，造成一定影响或警卫车队无法正常通过的，每次扣5-10分。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及救援方不按投标文件承诺或交警大队要求投入相应人力或清障车辆被交警在日常检查发现的，缺少作业人员配置每人次扣0.5-1分、缺少清障车（或车型不符）每辆次扣2分并限期改正；不按要求实施整改的，每延迟一天扣1分，至整改至符合交警大队要求止；如对交警大队工作造成影响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停车场不按交警大队要求使用</w:t>
            </w:r>
            <w:r>
              <w:rPr>
                <w:rFonts w:hint="eastAsia" w:ascii="宋体" w:hAnsi="宋体"/>
                <w:color w:val="auto"/>
                <w:sz w:val="24"/>
                <w:highlight w:val="none"/>
                <w:shd w:val="clear"/>
              </w:rPr>
              <w:t>《</w:t>
            </w:r>
            <w:r>
              <w:rPr>
                <w:rFonts w:hint="eastAsia" w:ascii="宋体" w:hAnsi="宋体"/>
                <w:color w:val="auto"/>
                <w:sz w:val="24"/>
                <w:highlight w:val="none"/>
                <w:shd w:val="clear"/>
                <w:lang w:eastAsia="zh-CN"/>
              </w:rPr>
              <w:t>涉案财物系统</w:t>
            </w:r>
            <w:r>
              <w:rPr>
                <w:rFonts w:hint="eastAsia" w:ascii="宋体" w:hAnsi="宋体"/>
                <w:color w:val="auto"/>
                <w:sz w:val="24"/>
                <w:highlight w:val="none"/>
                <w:shd w:val="clear"/>
              </w:rPr>
              <w:t>》</w:t>
            </w:r>
            <w:r>
              <w:rPr>
                <w:rFonts w:hint="eastAsia" w:ascii="仿宋" w:hAnsi="仿宋" w:eastAsia="仿宋" w:cs="仿宋"/>
                <w:i w:val="0"/>
                <w:iCs w:val="0"/>
                <w:color w:val="auto"/>
                <w:kern w:val="0"/>
                <w:sz w:val="20"/>
                <w:szCs w:val="20"/>
                <w:highlight w:val="none"/>
                <w:u w:val="none"/>
                <w:shd w:val="clear"/>
                <w:lang w:val="en-US" w:eastAsia="zh-CN" w:bidi="ar"/>
              </w:rPr>
              <w:t>的</w:t>
            </w:r>
            <w:r>
              <w:rPr>
                <w:rFonts w:hint="eastAsia" w:ascii="仿宋" w:hAnsi="仿宋" w:eastAsia="仿宋" w:cs="仿宋"/>
                <w:i w:val="0"/>
                <w:iCs w:val="0"/>
                <w:color w:val="auto"/>
                <w:kern w:val="0"/>
                <w:sz w:val="20"/>
                <w:szCs w:val="20"/>
                <w:highlight w:val="none"/>
                <w:u w:val="none"/>
                <w:lang w:val="en-US" w:eastAsia="zh-CN" w:bidi="ar"/>
              </w:rPr>
              <w:t>，其中硬件、人员配备及使用人员操作等，每次扣1分并限期整改；不按交警大队要求实施整改的，每延迟一天扣1分，至整改至符合交警大队要求止；影响系统正常运转的，每次扣5分。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停车场及救援方未按交警大队要求备勤的（包括未按规定时间、地点、车型、人员配备备勤或自行收勤），每次扣2分，如造成交警大队工作失误的，每次扣5分。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停车场未按交警大队要求分区、分类停放车辆的，每次扣5分。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停车场未按交警大队要求做好防潮工作，破损车辆未加盖蓬布的，每次扣3分。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停车场未按交警大队要求做好防火工作，灭火器摆放不规范的，提取不方便的，每次扣3分。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停车场未按交警大队要求做好易燃易爆物品检查清理的，每次扣3分。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停车场未按交警大队要求做好车辆进出场，未开具凭证进场，无放车单出场的，每次扣3分。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81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停车场未按交警大队要求安装监控全覆盖，并保存三个月的，每次扣5分。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停车场未按要求对进场车辆车门上锁的，每次扣3分。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停车场检查时，发现车内有贵重物品的（价值在1000元以上，现金100元以上），每次扣3分。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《涉案财物系统》</w:t>
            </w:r>
            <w:r>
              <w:rPr>
                <w:rFonts w:hint="eastAsia" w:ascii="仿宋" w:hAnsi="仿宋" w:eastAsia="仿宋" w:cs="仿宋"/>
                <w:i w:val="0"/>
                <w:iCs w:val="0"/>
                <w:color w:val="auto"/>
                <w:kern w:val="0"/>
                <w:sz w:val="20"/>
                <w:szCs w:val="20"/>
                <w:highlight w:val="none"/>
                <w:u w:val="none"/>
                <w:shd w:val="clear"/>
                <w:lang w:val="en-US" w:eastAsia="zh-CN" w:bidi="ar"/>
              </w:rPr>
              <w:t>内在库车</w:t>
            </w:r>
            <w:r>
              <w:rPr>
                <w:rFonts w:hint="eastAsia" w:ascii="仿宋" w:hAnsi="仿宋" w:eastAsia="仿宋" w:cs="仿宋"/>
                <w:i w:val="0"/>
                <w:iCs w:val="0"/>
                <w:color w:val="auto"/>
                <w:kern w:val="0"/>
                <w:sz w:val="20"/>
                <w:szCs w:val="20"/>
                <w:highlight w:val="none"/>
                <w:u w:val="none"/>
                <w:lang w:val="en-US" w:eastAsia="zh-CN" w:bidi="ar"/>
              </w:rPr>
              <w:t>辆与实际在场车辆不符的，每次扣5分。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8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shd w:val="clear" w:fill="FF0000"/>
                <w:lang w:val="en-US" w:eastAsia="zh-CN" w:bidi="ar"/>
              </w:rPr>
              <w:t>其他影响管理的情形，视情况每次扣1到10分。</w:t>
            </w:r>
          </w:p>
        </w:tc>
      </w:tr>
    </w:tbl>
    <w:p>
      <w:pPr>
        <w:shd w:val="clear"/>
        <w:spacing w:line="440" w:lineRule="exact"/>
        <w:rPr>
          <w:rFonts w:hint="eastAsia" w:ascii="宋体" w:hAnsi="宋体"/>
          <w:color w:val="auto"/>
          <w:sz w:val="24"/>
          <w:highlight w:val="none"/>
        </w:rPr>
      </w:pP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2.商务需求</w:t>
      </w:r>
    </w:p>
    <w:p>
      <w:pPr>
        <w:shd w:val="clear"/>
        <w:spacing w:line="440" w:lineRule="exact"/>
        <w:ind w:firstLine="472" w:firstLineChars="196"/>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2.1本项目服务期限</w:t>
      </w:r>
      <w:r>
        <w:rPr>
          <w:rFonts w:hint="eastAsia" w:ascii="宋体" w:hAnsi="宋体"/>
          <w:color w:val="auto"/>
          <w:sz w:val="24"/>
          <w:highlight w:val="none"/>
          <w:lang w:val="en-US" w:eastAsia="zh-CN"/>
        </w:rPr>
        <w:t>一年</w:t>
      </w:r>
      <w:r>
        <w:rPr>
          <w:rFonts w:hint="eastAsia" w:ascii="宋体" w:hAnsi="宋体"/>
          <w:color w:val="auto"/>
          <w:sz w:val="24"/>
          <w:highlight w:val="none"/>
        </w:rPr>
        <w:t>，如一方在服务期限内违反合同约定，经考核不合格，甲方有权提前终止合同。</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2.2服务地点：杭州市公安局临平区分局交通警察大队指定地点。                         </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3.项目实施计划</w:t>
      </w:r>
    </w:p>
    <w:p>
      <w:pPr>
        <w:shd w:val="clear"/>
        <w:spacing w:line="440" w:lineRule="exact"/>
        <w:ind w:firstLine="360" w:firstLineChars="150"/>
        <w:rPr>
          <w:rFonts w:hint="eastAsia" w:ascii="宋体" w:hAnsi="宋体"/>
          <w:color w:val="auto"/>
          <w:sz w:val="24"/>
          <w:highlight w:val="none"/>
        </w:rPr>
      </w:pPr>
      <w:r>
        <w:rPr>
          <w:rFonts w:hint="eastAsia" w:ascii="宋体" w:hAnsi="宋体"/>
          <w:color w:val="auto"/>
          <w:sz w:val="24"/>
          <w:highlight w:val="none"/>
        </w:rPr>
        <w:t>项目实施的组织工作方案：工作时间进度表、工作程序或步骤、管理和协调方法、送货方案等。</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4.项目实施计划</w:t>
      </w:r>
    </w:p>
    <w:p>
      <w:pPr>
        <w:pStyle w:val="2"/>
        <w:shd w:val="clear"/>
        <w:rPr>
          <w:rFonts w:hint="eastAsia" w:ascii="宋体" w:hAnsi="宋体"/>
          <w:color w:val="auto"/>
          <w:sz w:val="24"/>
          <w:highlight w:val="none"/>
        </w:rPr>
      </w:pPr>
      <w:r>
        <w:rPr>
          <w:rFonts w:hint="eastAsia" w:ascii="宋体" w:hAnsi="宋体"/>
          <w:color w:val="auto"/>
          <w:sz w:val="24"/>
          <w:highlight w:val="none"/>
        </w:rPr>
        <w:t xml:space="preserve">  在合同签订以前，乙方向甲方缴纳中标金额</w:t>
      </w:r>
      <w:r>
        <w:rPr>
          <w:rFonts w:hint="eastAsia" w:ascii="宋体" w:hAnsi="宋体"/>
          <w:color w:val="auto"/>
          <w:sz w:val="24"/>
          <w:highlight w:val="none"/>
          <w:lang w:val="en-US" w:eastAsia="zh-CN"/>
        </w:rPr>
        <w:t>2</w:t>
      </w:r>
      <w:r>
        <w:rPr>
          <w:rFonts w:hint="eastAsia" w:ascii="宋体" w:hAnsi="宋体"/>
          <w:color w:val="auto"/>
          <w:sz w:val="24"/>
          <w:highlight w:val="none"/>
        </w:rPr>
        <w:t>%的履约保证金，若在合同履行期间有违约行为的，按合同约定扣除相应的履约保证金。服务期结束后，甲方退付履约保证禁。</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5、付款方式</w:t>
      </w:r>
    </w:p>
    <w:p>
      <w:pPr>
        <w:shd w:val="clear"/>
        <w:spacing w:line="440" w:lineRule="exact"/>
        <w:rPr>
          <w:rFonts w:hint="eastAsia" w:ascii="宋体" w:hAnsi="宋体"/>
          <w:color w:val="auto"/>
          <w:sz w:val="24"/>
          <w:highlight w:val="none"/>
        </w:rPr>
      </w:pPr>
      <w:r>
        <w:rPr>
          <w:rFonts w:hint="eastAsia" w:ascii="宋体" w:hAnsi="宋体"/>
          <w:color w:val="auto"/>
          <w:sz w:val="24"/>
          <w:highlight w:val="none"/>
        </w:rPr>
        <w:t xml:space="preserve">   经甲方每月考核确认后，按季度支付，本季度的服务款在下季度开始的第十日前经甲方鉴定后支付。</w:t>
      </w:r>
    </w:p>
    <w:p>
      <w:pPr>
        <w:pStyle w:val="2"/>
        <w:shd w:val="clear"/>
        <w:rPr>
          <w:rFonts w:hint="eastAsia" w:ascii="宋体" w:hAnsi="宋体"/>
          <w:color w:val="auto"/>
          <w:sz w:val="24"/>
          <w:highlight w:val="none"/>
        </w:rPr>
      </w:pPr>
    </w:p>
    <w:p>
      <w:pPr>
        <w:pStyle w:val="24"/>
        <w:shd w:val="clear"/>
        <w:spacing w:line="590" w:lineRule="exact"/>
        <w:ind w:firstLine="0" w:firstLineChars="0"/>
        <w:rPr>
          <w:rFonts w:hint="eastAsia" w:ascii="Times New Roman" w:hAnsi="Times New Roman" w:cs="宋体"/>
          <w:color w:val="auto"/>
          <w:spacing w:val="0"/>
          <w:szCs w:val="32"/>
          <w:highlight w:val="none"/>
        </w:rPr>
      </w:pPr>
    </w:p>
    <w:p>
      <w:pPr>
        <w:pStyle w:val="24"/>
        <w:shd w:val="clear"/>
        <w:spacing w:line="590" w:lineRule="exact"/>
        <w:ind w:firstLine="0" w:firstLineChars="0"/>
        <w:rPr>
          <w:rFonts w:hint="eastAsia" w:ascii="Times New Roman" w:hAnsi="Times New Roman" w:cs="宋体"/>
          <w:color w:val="auto"/>
          <w:spacing w:val="0"/>
          <w:szCs w:val="32"/>
          <w:highlight w:val="none"/>
        </w:rPr>
      </w:pPr>
    </w:p>
    <w:p>
      <w:pPr>
        <w:pStyle w:val="24"/>
        <w:shd w:val="clear"/>
        <w:spacing w:line="590" w:lineRule="exact"/>
        <w:ind w:firstLine="0" w:firstLineChars="0"/>
        <w:rPr>
          <w:rFonts w:hint="eastAsia" w:ascii="Times New Roman" w:hAnsi="Times New Roman" w:cs="宋体"/>
          <w:color w:val="auto"/>
          <w:spacing w:val="0"/>
          <w:szCs w:val="32"/>
          <w:highlight w:val="none"/>
        </w:rPr>
      </w:pPr>
    </w:p>
    <w:p>
      <w:pPr>
        <w:shd w:val="clear"/>
        <w:adjustRightInd/>
        <w:spacing w:line="600" w:lineRule="exact"/>
        <w:ind w:firstLine="354" w:firstLineChars="98"/>
        <w:rPr>
          <w:rFonts w:hint="eastAsia" w:ascii="宋体" w:hAnsi="宋体" w:eastAsia="宋体" w:cs="宋体"/>
          <w:b/>
          <w:color w:val="auto"/>
          <w:sz w:val="36"/>
          <w:szCs w:val="36"/>
          <w:highlight w:val="none"/>
        </w:rPr>
      </w:pPr>
    </w:p>
    <w:p>
      <w:pPr>
        <w:shd w:val="clear"/>
        <w:adjustRightInd/>
        <w:spacing w:line="600" w:lineRule="exact"/>
        <w:ind w:firstLine="354" w:firstLineChars="98"/>
        <w:jc w:val="center"/>
        <w:rPr>
          <w:rFonts w:hint="eastAsia" w:ascii="宋体" w:hAnsi="宋体" w:eastAsia="宋体" w:cs="宋体"/>
          <w:b/>
          <w:color w:val="auto"/>
          <w:sz w:val="36"/>
          <w:szCs w:val="36"/>
          <w:highlight w:val="none"/>
        </w:rPr>
      </w:pPr>
    </w:p>
    <w:p>
      <w:pPr>
        <w:shd w:val="clear"/>
        <w:adjustRightInd/>
        <w:spacing w:line="600" w:lineRule="exact"/>
        <w:ind w:firstLine="354" w:firstLineChars="98"/>
        <w:jc w:val="center"/>
        <w:rPr>
          <w:rFonts w:hint="eastAsia" w:ascii="宋体" w:hAnsi="宋体" w:eastAsia="宋体" w:cs="宋体"/>
          <w:b/>
          <w:color w:val="auto"/>
          <w:sz w:val="36"/>
          <w:szCs w:val="36"/>
          <w:highlight w:val="none"/>
        </w:rPr>
      </w:pPr>
    </w:p>
    <w:p>
      <w:pPr>
        <w:shd w:val="clear"/>
        <w:adjustRightInd/>
        <w:spacing w:line="600" w:lineRule="exact"/>
        <w:ind w:firstLine="354" w:firstLineChars="98"/>
        <w:jc w:val="center"/>
        <w:rPr>
          <w:rFonts w:hint="eastAsia" w:ascii="宋体" w:hAnsi="宋体" w:eastAsia="宋体" w:cs="宋体"/>
          <w:b/>
          <w:color w:val="auto"/>
          <w:sz w:val="36"/>
          <w:szCs w:val="36"/>
          <w:highlight w:val="none"/>
        </w:rPr>
      </w:pPr>
    </w:p>
    <w:p>
      <w:pPr>
        <w:shd w:val="clear"/>
        <w:adjustRightInd/>
        <w:spacing w:line="600" w:lineRule="exact"/>
        <w:ind w:firstLine="354" w:firstLineChars="98"/>
        <w:jc w:val="center"/>
        <w:rPr>
          <w:rFonts w:hint="eastAsia" w:ascii="宋体" w:hAnsi="宋体" w:eastAsia="宋体" w:cs="宋体"/>
          <w:b/>
          <w:color w:val="auto"/>
          <w:sz w:val="36"/>
          <w:szCs w:val="36"/>
          <w:highlight w:val="none"/>
        </w:rPr>
      </w:pPr>
    </w:p>
    <w:p>
      <w:pPr>
        <w:shd w:val="clear"/>
        <w:adjustRightInd/>
        <w:spacing w:line="600" w:lineRule="exact"/>
        <w:ind w:firstLine="354" w:firstLineChars="98"/>
        <w:jc w:val="center"/>
        <w:rPr>
          <w:rFonts w:hint="eastAsia" w:ascii="宋体" w:hAnsi="宋体" w:eastAsia="宋体" w:cs="宋体"/>
          <w:b/>
          <w:color w:val="auto"/>
          <w:sz w:val="36"/>
          <w:szCs w:val="36"/>
          <w:highlight w:val="none"/>
        </w:rPr>
      </w:pPr>
    </w:p>
    <w:p>
      <w:pPr>
        <w:shd w:val="clear"/>
        <w:adjustRightInd/>
        <w:spacing w:line="600" w:lineRule="exact"/>
        <w:ind w:firstLine="354" w:firstLineChars="98"/>
        <w:jc w:val="center"/>
        <w:rPr>
          <w:rFonts w:hint="eastAsia" w:ascii="宋体" w:hAnsi="宋体" w:eastAsia="宋体" w:cs="宋体"/>
          <w:b/>
          <w:color w:val="auto"/>
          <w:sz w:val="36"/>
          <w:szCs w:val="36"/>
          <w:highlight w:val="none"/>
        </w:rPr>
      </w:pPr>
    </w:p>
    <w:p>
      <w:pPr>
        <w:shd w:val="clear"/>
        <w:adjustRightInd/>
        <w:spacing w:line="600" w:lineRule="exact"/>
        <w:ind w:firstLine="354" w:firstLineChars="98"/>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6"/>
          <w:szCs w:val="36"/>
          <w:highlight w:val="none"/>
        </w:rPr>
        <w:t>第四部分</w:t>
      </w:r>
      <w:bookmarkStart w:id="28" w:name="_Toc184310341"/>
      <w:bookmarkEnd w:id="28"/>
      <w:bookmarkStart w:id="29" w:name="_Toc184312068"/>
      <w:bookmarkEnd w:id="29"/>
      <w:bookmarkStart w:id="30" w:name="_Toc184314431"/>
      <w:bookmarkEnd w:id="30"/>
      <w:bookmarkStart w:id="31" w:name="_Toc184308036"/>
      <w:bookmarkEnd w:id="31"/>
      <w:bookmarkStart w:id="32" w:name="_Toc184308048"/>
      <w:bookmarkEnd w:id="32"/>
      <w:bookmarkStart w:id="33" w:name="_Toc184314433"/>
      <w:bookmarkEnd w:id="33"/>
      <w:bookmarkStart w:id="34" w:name="_Toc184308040"/>
      <w:bookmarkEnd w:id="34"/>
      <w:bookmarkStart w:id="35" w:name="_Toc184313251"/>
      <w:bookmarkEnd w:id="35"/>
      <w:bookmarkStart w:id="36" w:name="_Toc184308068"/>
      <w:bookmarkEnd w:id="36"/>
      <w:bookmarkStart w:id="37" w:name="_Toc184314444"/>
      <w:bookmarkEnd w:id="37"/>
      <w:bookmarkStart w:id="38" w:name="_Toc184313252"/>
      <w:bookmarkEnd w:id="38"/>
      <w:bookmarkStart w:id="39" w:name="_Toc184314459"/>
      <w:bookmarkEnd w:id="39"/>
      <w:bookmarkStart w:id="40" w:name="_Toc184312091"/>
      <w:bookmarkEnd w:id="40"/>
      <w:bookmarkStart w:id="41" w:name="_Toc184308106"/>
      <w:bookmarkEnd w:id="41"/>
      <w:bookmarkStart w:id="42" w:name="_Toc184313283"/>
      <w:bookmarkEnd w:id="42"/>
      <w:bookmarkStart w:id="43" w:name="_Toc184314438"/>
      <w:bookmarkEnd w:id="43"/>
      <w:bookmarkStart w:id="44" w:name="_Toc184312069"/>
      <w:bookmarkEnd w:id="44"/>
      <w:bookmarkStart w:id="45" w:name="_Toc184310307"/>
      <w:bookmarkEnd w:id="45"/>
      <w:bookmarkStart w:id="46" w:name="_Toc184308081"/>
      <w:bookmarkEnd w:id="46"/>
      <w:bookmarkStart w:id="47" w:name="_Toc184308103"/>
      <w:bookmarkEnd w:id="47"/>
      <w:bookmarkStart w:id="48" w:name="_Toc184314470"/>
      <w:bookmarkEnd w:id="48"/>
      <w:bookmarkStart w:id="49" w:name="_Toc184314426"/>
      <w:bookmarkEnd w:id="49"/>
      <w:bookmarkStart w:id="50" w:name="_Toc184313294"/>
      <w:bookmarkEnd w:id="50"/>
      <w:bookmarkStart w:id="51" w:name="_Toc184313306"/>
      <w:bookmarkEnd w:id="51"/>
      <w:bookmarkStart w:id="52" w:name="_Toc184312097"/>
      <w:bookmarkEnd w:id="52"/>
      <w:bookmarkStart w:id="53" w:name="_Toc184312112"/>
      <w:bookmarkEnd w:id="53"/>
      <w:bookmarkStart w:id="54" w:name="_Toc184312083"/>
      <w:bookmarkEnd w:id="54"/>
      <w:bookmarkStart w:id="55" w:name="_Toc184308080"/>
      <w:bookmarkEnd w:id="55"/>
      <w:bookmarkStart w:id="56" w:name="_Toc184312103"/>
      <w:bookmarkEnd w:id="56"/>
      <w:bookmarkStart w:id="57" w:name="_Toc184312086"/>
      <w:bookmarkEnd w:id="57"/>
      <w:bookmarkStart w:id="58" w:name="_Toc184313307"/>
      <w:bookmarkEnd w:id="58"/>
      <w:bookmarkStart w:id="59" w:name="_Toc184313268"/>
      <w:bookmarkEnd w:id="59"/>
      <w:bookmarkStart w:id="60" w:name="_Toc184308074"/>
      <w:bookmarkEnd w:id="60"/>
      <w:bookmarkStart w:id="61" w:name="_Toc184314475"/>
      <w:bookmarkEnd w:id="61"/>
      <w:bookmarkStart w:id="62" w:name="_Toc184310281"/>
      <w:bookmarkEnd w:id="62"/>
      <w:bookmarkStart w:id="63" w:name="_Toc184308039"/>
      <w:bookmarkEnd w:id="63"/>
      <w:bookmarkStart w:id="64" w:name="_Toc184308101"/>
      <w:bookmarkEnd w:id="64"/>
      <w:bookmarkStart w:id="65" w:name="_Toc184314481"/>
      <w:bookmarkEnd w:id="65"/>
      <w:bookmarkStart w:id="66" w:name="_Toc184308099"/>
      <w:bookmarkEnd w:id="66"/>
      <w:bookmarkStart w:id="67" w:name="_Toc184314453"/>
      <w:bookmarkEnd w:id="67"/>
      <w:bookmarkStart w:id="68" w:name="_Toc184314473"/>
      <w:bookmarkEnd w:id="68"/>
      <w:bookmarkStart w:id="69" w:name="_Toc184310310"/>
      <w:bookmarkEnd w:id="69"/>
      <w:bookmarkStart w:id="70" w:name="_Toc184314421"/>
      <w:bookmarkEnd w:id="70"/>
      <w:bookmarkStart w:id="71" w:name="_Toc184308049"/>
      <w:bookmarkEnd w:id="71"/>
      <w:bookmarkStart w:id="72" w:name="_Toc184314427"/>
      <w:bookmarkEnd w:id="72"/>
      <w:bookmarkStart w:id="73" w:name="_Toc184313292"/>
      <w:bookmarkEnd w:id="73"/>
      <w:bookmarkStart w:id="74" w:name="_Toc184314432"/>
      <w:bookmarkEnd w:id="74"/>
      <w:bookmarkStart w:id="75" w:name="_Toc184313266"/>
      <w:bookmarkEnd w:id="75"/>
      <w:bookmarkStart w:id="76" w:name="_Toc184308046"/>
      <w:bookmarkEnd w:id="76"/>
      <w:bookmarkStart w:id="77" w:name="_Toc184313259"/>
      <w:bookmarkEnd w:id="77"/>
      <w:bookmarkStart w:id="78" w:name="_Toc184314424"/>
      <w:bookmarkEnd w:id="78"/>
      <w:bookmarkStart w:id="79" w:name="_Toc184310289"/>
      <w:bookmarkEnd w:id="79"/>
      <w:bookmarkStart w:id="80" w:name="_Toc184313261"/>
      <w:bookmarkEnd w:id="80"/>
      <w:bookmarkStart w:id="81" w:name="_Toc184308047"/>
      <w:bookmarkEnd w:id="81"/>
      <w:bookmarkStart w:id="82" w:name="_Toc184314455"/>
      <w:bookmarkEnd w:id="82"/>
      <w:bookmarkStart w:id="83" w:name="_Toc184313291"/>
      <w:bookmarkEnd w:id="83"/>
      <w:bookmarkStart w:id="84" w:name="_Toc184312114"/>
      <w:bookmarkEnd w:id="84"/>
      <w:bookmarkStart w:id="85" w:name="_Toc184314413"/>
      <w:bookmarkEnd w:id="85"/>
      <w:bookmarkStart w:id="86" w:name="_Toc184312104"/>
      <w:bookmarkEnd w:id="86"/>
      <w:bookmarkStart w:id="87" w:name="_Toc184308102"/>
      <w:bookmarkEnd w:id="87"/>
      <w:bookmarkStart w:id="88" w:name="_Toc184308042"/>
      <w:bookmarkEnd w:id="88"/>
      <w:bookmarkStart w:id="89" w:name="_Toc184314428"/>
      <w:bookmarkEnd w:id="89"/>
      <w:bookmarkStart w:id="90" w:name="_Toc184312133"/>
      <w:bookmarkEnd w:id="90"/>
      <w:bookmarkStart w:id="91" w:name="_Toc184312098"/>
      <w:bookmarkEnd w:id="91"/>
      <w:bookmarkStart w:id="92" w:name="_Toc184310295"/>
      <w:bookmarkEnd w:id="92"/>
      <w:bookmarkStart w:id="93" w:name="_Toc184314436"/>
      <w:bookmarkEnd w:id="93"/>
      <w:bookmarkStart w:id="94" w:name="_Toc184308107"/>
      <w:bookmarkEnd w:id="94"/>
      <w:bookmarkStart w:id="95" w:name="_Toc184314449"/>
      <w:bookmarkEnd w:id="95"/>
      <w:bookmarkStart w:id="96" w:name="_Toc184313276"/>
      <w:bookmarkEnd w:id="96"/>
      <w:bookmarkStart w:id="97" w:name="_Toc184312087"/>
      <w:bookmarkEnd w:id="97"/>
      <w:bookmarkStart w:id="98" w:name="_Toc184310297"/>
      <w:bookmarkEnd w:id="98"/>
      <w:bookmarkStart w:id="99" w:name="_Toc184313278"/>
      <w:bookmarkEnd w:id="99"/>
      <w:bookmarkStart w:id="100" w:name="_Toc184308092"/>
      <w:bookmarkEnd w:id="100"/>
      <w:bookmarkStart w:id="101" w:name="_Toc184310321"/>
      <w:bookmarkEnd w:id="101"/>
      <w:bookmarkStart w:id="102" w:name="_Toc184308066"/>
      <w:bookmarkEnd w:id="102"/>
      <w:bookmarkStart w:id="103" w:name="_Toc184312117"/>
      <w:bookmarkEnd w:id="103"/>
      <w:bookmarkStart w:id="104" w:name="_Toc184314451"/>
      <w:bookmarkEnd w:id="104"/>
      <w:bookmarkStart w:id="105" w:name="_Toc184313243"/>
      <w:bookmarkEnd w:id="105"/>
      <w:bookmarkStart w:id="106" w:name="_Toc184312138"/>
      <w:bookmarkEnd w:id="106"/>
      <w:bookmarkStart w:id="107" w:name="_Toc184313305"/>
      <w:bookmarkEnd w:id="107"/>
      <w:bookmarkStart w:id="108" w:name="_Toc184313293"/>
      <w:bookmarkEnd w:id="108"/>
      <w:bookmarkStart w:id="109" w:name="_Toc184310300"/>
      <w:bookmarkEnd w:id="109"/>
      <w:bookmarkStart w:id="110" w:name="_Toc184312122"/>
      <w:bookmarkEnd w:id="110"/>
      <w:bookmarkStart w:id="111" w:name="_Toc184310278"/>
      <w:bookmarkEnd w:id="111"/>
      <w:bookmarkStart w:id="112" w:name="_Toc184313304"/>
      <w:bookmarkEnd w:id="112"/>
      <w:bookmarkStart w:id="113" w:name="_Toc184310334"/>
      <w:bookmarkEnd w:id="113"/>
      <w:bookmarkStart w:id="114" w:name="_Toc184312131"/>
      <w:bookmarkEnd w:id="114"/>
      <w:bookmarkStart w:id="115" w:name="_Toc184314456"/>
      <w:bookmarkEnd w:id="115"/>
      <w:bookmarkStart w:id="116" w:name="_Toc184310344"/>
      <w:bookmarkEnd w:id="116"/>
      <w:bookmarkStart w:id="117" w:name="_Toc184314468"/>
      <w:bookmarkEnd w:id="117"/>
      <w:bookmarkStart w:id="118" w:name="_Toc184312124"/>
      <w:bookmarkEnd w:id="118"/>
      <w:bookmarkStart w:id="119" w:name="_Toc184310298"/>
      <w:bookmarkEnd w:id="119"/>
      <w:bookmarkStart w:id="120" w:name="_Toc184308087"/>
      <w:bookmarkEnd w:id="120"/>
      <w:bookmarkStart w:id="121" w:name="_Toc184308057"/>
      <w:bookmarkEnd w:id="121"/>
      <w:bookmarkStart w:id="122" w:name="_Toc184310319"/>
      <w:bookmarkEnd w:id="122"/>
      <w:bookmarkStart w:id="123" w:name="_Toc184310333"/>
      <w:bookmarkEnd w:id="123"/>
      <w:bookmarkStart w:id="124" w:name="_Toc184308064"/>
      <w:bookmarkEnd w:id="124"/>
      <w:bookmarkStart w:id="125" w:name="_Toc184308070"/>
      <w:bookmarkEnd w:id="125"/>
      <w:bookmarkStart w:id="126" w:name="_Toc184308056"/>
      <w:bookmarkEnd w:id="126"/>
      <w:bookmarkStart w:id="127" w:name="_Toc184312125"/>
      <w:bookmarkEnd w:id="127"/>
      <w:bookmarkStart w:id="128" w:name="_Toc184308086"/>
      <w:bookmarkEnd w:id="128"/>
      <w:bookmarkStart w:id="129" w:name="_Toc184314419"/>
      <w:bookmarkEnd w:id="129"/>
      <w:bookmarkStart w:id="130" w:name="_Toc184313290"/>
      <w:bookmarkEnd w:id="130"/>
      <w:bookmarkStart w:id="131" w:name="_Toc184310304"/>
      <w:bookmarkEnd w:id="131"/>
      <w:bookmarkStart w:id="132" w:name="_Toc184314461"/>
      <w:bookmarkEnd w:id="132"/>
      <w:bookmarkStart w:id="133" w:name="_Toc184313284"/>
      <w:bookmarkEnd w:id="133"/>
      <w:bookmarkStart w:id="134" w:name="_Toc184313267"/>
      <w:bookmarkEnd w:id="134"/>
      <w:bookmarkStart w:id="135" w:name="_Toc184313296"/>
      <w:bookmarkEnd w:id="135"/>
      <w:bookmarkStart w:id="136" w:name="_Toc184313301"/>
      <w:bookmarkEnd w:id="136"/>
      <w:bookmarkStart w:id="137" w:name="_Toc184312073"/>
      <w:bookmarkEnd w:id="137"/>
      <w:bookmarkStart w:id="138" w:name="_Toc184313298"/>
      <w:bookmarkEnd w:id="138"/>
      <w:bookmarkStart w:id="139" w:name="_Toc184310329"/>
      <w:bookmarkEnd w:id="139"/>
      <w:bookmarkStart w:id="140" w:name="_Toc184312080"/>
      <w:bookmarkEnd w:id="140"/>
      <w:bookmarkStart w:id="141" w:name="_Toc184310323"/>
      <w:bookmarkEnd w:id="141"/>
      <w:bookmarkStart w:id="142" w:name="_Toc184308094"/>
      <w:bookmarkEnd w:id="142"/>
      <w:bookmarkStart w:id="143" w:name="_Toc184314441"/>
      <w:bookmarkEnd w:id="143"/>
      <w:bookmarkStart w:id="144" w:name="_Toc184310340"/>
      <w:bookmarkEnd w:id="144"/>
      <w:bookmarkStart w:id="145" w:name="_Toc184313289"/>
      <w:bookmarkEnd w:id="145"/>
      <w:bookmarkStart w:id="146" w:name="_Toc184308079"/>
      <w:bookmarkEnd w:id="146"/>
      <w:bookmarkStart w:id="147" w:name="_Toc184312126"/>
      <w:bookmarkEnd w:id="147"/>
      <w:bookmarkStart w:id="148" w:name="_Toc184314464"/>
      <w:bookmarkEnd w:id="148"/>
      <w:bookmarkStart w:id="149" w:name="_Toc184308088"/>
      <w:bookmarkEnd w:id="149"/>
      <w:bookmarkStart w:id="150" w:name="_Toc184313295"/>
      <w:bookmarkEnd w:id="150"/>
      <w:bookmarkStart w:id="151" w:name="_Toc184314472"/>
      <w:bookmarkEnd w:id="151"/>
      <w:bookmarkStart w:id="152" w:name="_Toc184310317"/>
      <w:bookmarkEnd w:id="152"/>
      <w:bookmarkStart w:id="153" w:name="_Toc184310276"/>
      <w:bookmarkEnd w:id="153"/>
      <w:bookmarkStart w:id="154" w:name="_Toc184312139"/>
      <w:bookmarkEnd w:id="154"/>
      <w:bookmarkStart w:id="155" w:name="_Toc184310286"/>
      <w:bookmarkEnd w:id="155"/>
      <w:bookmarkStart w:id="156" w:name="_Toc184314474"/>
      <w:bookmarkEnd w:id="156"/>
      <w:bookmarkStart w:id="157" w:name="_Toc184314469"/>
      <w:bookmarkEnd w:id="157"/>
      <w:bookmarkStart w:id="158" w:name="_Toc184314482"/>
      <w:bookmarkEnd w:id="158"/>
      <w:bookmarkStart w:id="159" w:name="_Toc184310272"/>
      <w:bookmarkEnd w:id="159"/>
      <w:bookmarkStart w:id="160" w:name="_Toc184314463"/>
      <w:bookmarkEnd w:id="160"/>
      <w:bookmarkStart w:id="161" w:name="_Toc184314467"/>
      <w:bookmarkEnd w:id="161"/>
      <w:bookmarkStart w:id="162" w:name="_Toc184308058"/>
      <w:bookmarkEnd w:id="162"/>
      <w:bookmarkStart w:id="163" w:name="_Toc184310313"/>
      <w:bookmarkEnd w:id="163"/>
      <w:bookmarkStart w:id="164" w:name="_Toc184312115"/>
      <w:bookmarkEnd w:id="164"/>
      <w:bookmarkStart w:id="165" w:name="_Toc184308069"/>
      <w:bookmarkEnd w:id="165"/>
      <w:bookmarkStart w:id="166" w:name="_Toc184310312"/>
      <w:bookmarkEnd w:id="166"/>
      <w:bookmarkStart w:id="167" w:name="_Toc184314443"/>
      <w:bookmarkEnd w:id="167"/>
      <w:bookmarkStart w:id="168" w:name="_Toc184313282"/>
      <w:bookmarkEnd w:id="168"/>
      <w:bookmarkStart w:id="169" w:name="_Toc184308045"/>
      <w:bookmarkEnd w:id="169"/>
      <w:bookmarkStart w:id="170" w:name="_Toc184308052"/>
      <w:bookmarkEnd w:id="170"/>
      <w:bookmarkStart w:id="171" w:name="_Toc184308060"/>
      <w:bookmarkEnd w:id="171"/>
      <w:bookmarkStart w:id="172" w:name="_Toc184314437"/>
      <w:bookmarkEnd w:id="172"/>
      <w:bookmarkStart w:id="173" w:name="_Toc184314410"/>
      <w:bookmarkEnd w:id="173"/>
      <w:bookmarkStart w:id="174" w:name="_Toc184308050"/>
      <w:bookmarkEnd w:id="174"/>
      <w:bookmarkStart w:id="175" w:name="_Toc184308089"/>
      <w:bookmarkEnd w:id="175"/>
      <w:bookmarkStart w:id="176" w:name="_Toc184310288"/>
      <w:bookmarkEnd w:id="176"/>
      <w:bookmarkStart w:id="177" w:name="_Toc184308072"/>
      <w:bookmarkEnd w:id="177"/>
      <w:bookmarkStart w:id="178" w:name="_Toc184312110"/>
      <w:bookmarkEnd w:id="178"/>
      <w:bookmarkStart w:id="179" w:name="_Toc184310284"/>
      <w:bookmarkEnd w:id="179"/>
      <w:bookmarkStart w:id="180" w:name="_Toc184312113"/>
      <w:bookmarkEnd w:id="180"/>
      <w:bookmarkStart w:id="181" w:name="_Toc184312088"/>
      <w:bookmarkEnd w:id="181"/>
      <w:bookmarkStart w:id="182" w:name="_Toc184313248"/>
      <w:bookmarkEnd w:id="182"/>
      <w:bookmarkStart w:id="183" w:name="_Toc184314429"/>
      <w:bookmarkEnd w:id="183"/>
      <w:bookmarkStart w:id="184" w:name="_Toc184310311"/>
      <w:bookmarkEnd w:id="184"/>
      <w:bookmarkStart w:id="185" w:name="_Toc184314417"/>
      <w:bookmarkEnd w:id="185"/>
      <w:bookmarkStart w:id="186" w:name="_Toc184314434"/>
      <w:bookmarkEnd w:id="186"/>
      <w:bookmarkStart w:id="187" w:name="_Toc184314452"/>
      <w:bookmarkEnd w:id="187"/>
      <w:bookmarkStart w:id="188" w:name="_Toc184310328"/>
      <w:bookmarkEnd w:id="188"/>
      <w:bookmarkStart w:id="189" w:name="_Toc184310282"/>
      <w:bookmarkEnd w:id="189"/>
      <w:bookmarkStart w:id="190" w:name="_Toc184312101"/>
      <w:bookmarkEnd w:id="190"/>
      <w:bookmarkStart w:id="191" w:name="_Toc184313309"/>
      <w:bookmarkEnd w:id="191"/>
      <w:bookmarkStart w:id="192" w:name="_Toc184314457"/>
      <w:bookmarkEnd w:id="192"/>
      <w:bookmarkStart w:id="193" w:name="_Toc184308073"/>
      <w:bookmarkEnd w:id="193"/>
      <w:bookmarkStart w:id="194" w:name="_Toc184314423"/>
      <w:bookmarkEnd w:id="194"/>
      <w:bookmarkStart w:id="195" w:name="_Toc184312071"/>
      <w:bookmarkEnd w:id="195"/>
      <w:bookmarkStart w:id="196" w:name="_Toc184308061"/>
      <w:bookmarkEnd w:id="196"/>
      <w:bookmarkStart w:id="197" w:name="_Toc184308100"/>
      <w:bookmarkEnd w:id="197"/>
      <w:bookmarkStart w:id="198" w:name="_Toc184310294"/>
      <w:bookmarkEnd w:id="198"/>
      <w:bookmarkStart w:id="199" w:name="_Toc184313262"/>
      <w:bookmarkEnd w:id="199"/>
      <w:bookmarkStart w:id="200" w:name="_Toc184310308"/>
      <w:bookmarkEnd w:id="200"/>
      <w:bookmarkStart w:id="201" w:name="_Toc184308096"/>
      <w:bookmarkEnd w:id="201"/>
      <w:bookmarkStart w:id="202" w:name="_Toc184308093"/>
      <w:bookmarkEnd w:id="202"/>
      <w:bookmarkStart w:id="203" w:name="_Toc184312129"/>
      <w:bookmarkEnd w:id="203"/>
      <w:bookmarkStart w:id="204" w:name="_Toc184312120"/>
      <w:bookmarkEnd w:id="204"/>
      <w:bookmarkStart w:id="205" w:name="_Toc184310320"/>
      <w:bookmarkEnd w:id="205"/>
      <w:bookmarkStart w:id="206" w:name="_Toc184312134"/>
      <w:bookmarkEnd w:id="206"/>
      <w:bookmarkStart w:id="207" w:name="_Toc184308076"/>
      <w:bookmarkEnd w:id="207"/>
      <w:bookmarkStart w:id="208" w:name="_Toc184313285"/>
      <w:bookmarkEnd w:id="208"/>
      <w:bookmarkStart w:id="209" w:name="_Toc184313275"/>
      <w:bookmarkEnd w:id="209"/>
      <w:bookmarkStart w:id="210" w:name="_Toc184310338"/>
      <w:bookmarkEnd w:id="210"/>
      <w:bookmarkStart w:id="211" w:name="_Toc184308051"/>
      <w:bookmarkEnd w:id="211"/>
      <w:bookmarkStart w:id="212" w:name="_Toc184312123"/>
      <w:bookmarkEnd w:id="212"/>
      <w:bookmarkStart w:id="213" w:name="_Toc184314435"/>
      <w:bookmarkEnd w:id="213"/>
      <w:bookmarkStart w:id="214" w:name="_Toc184312105"/>
      <w:bookmarkEnd w:id="214"/>
      <w:bookmarkStart w:id="215" w:name="_Toc184308063"/>
      <w:bookmarkEnd w:id="215"/>
      <w:bookmarkStart w:id="216" w:name="_Toc184310302"/>
      <w:bookmarkEnd w:id="216"/>
      <w:bookmarkStart w:id="217" w:name="_Toc184310306"/>
      <w:bookmarkEnd w:id="217"/>
      <w:bookmarkStart w:id="218" w:name="_Toc184313250"/>
      <w:bookmarkEnd w:id="218"/>
      <w:bookmarkStart w:id="219" w:name="_Toc184313287"/>
      <w:bookmarkEnd w:id="219"/>
      <w:bookmarkStart w:id="220" w:name="_Toc184308083"/>
      <w:bookmarkEnd w:id="220"/>
      <w:bookmarkStart w:id="221" w:name="_Toc184312137"/>
      <w:bookmarkEnd w:id="221"/>
      <w:bookmarkStart w:id="222" w:name="_Toc184314442"/>
      <w:bookmarkEnd w:id="222"/>
      <w:bookmarkStart w:id="223" w:name="_Toc184313300"/>
      <w:bookmarkEnd w:id="223"/>
      <w:bookmarkStart w:id="224" w:name="_Toc184314450"/>
      <w:bookmarkEnd w:id="224"/>
      <w:bookmarkStart w:id="225" w:name="_Toc184312119"/>
      <w:bookmarkEnd w:id="225"/>
      <w:bookmarkStart w:id="226" w:name="_Toc184314480"/>
      <w:bookmarkEnd w:id="226"/>
      <w:bookmarkStart w:id="227" w:name="_Toc184308037"/>
      <w:bookmarkEnd w:id="227"/>
      <w:bookmarkStart w:id="228" w:name="_Toc184308090"/>
      <w:bookmarkEnd w:id="228"/>
      <w:bookmarkStart w:id="229" w:name="_Toc184313297"/>
      <w:bookmarkEnd w:id="229"/>
      <w:bookmarkStart w:id="230" w:name="_Toc184310301"/>
      <w:bookmarkEnd w:id="230"/>
      <w:bookmarkStart w:id="231" w:name="_Toc184310343"/>
      <w:bookmarkEnd w:id="231"/>
      <w:bookmarkStart w:id="232" w:name="_Toc184312081"/>
      <w:bookmarkEnd w:id="232"/>
      <w:bookmarkStart w:id="233" w:name="_Toc184313244"/>
      <w:bookmarkEnd w:id="233"/>
      <w:bookmarkStart w:id="234" w:name="_Toc184312067"/>
      <w:bookmarkEnd w:id="234"/>
      <w:bookmarkStart w:id="235" w:name="_Toc184314476"/>
      <w:bookmarkEnd w:id="235"/>
      <w:bookmarkStart w:id="236" w:name="_Toc184314471"/>
      <w:bookmarkEnd w:id="236"/>
      <w:bookmarkStart w:id="237" w:name="_Toc184314439"/>
      <w:bookmarkEnd w:id="237"/>
      <w:bookmarkStart w:id="238" w:name="_Toc184312130"/>
      <w:bookmarkEnd w:id="238"/>
      <w:bookmarkStart w:id="239" w:name="_Toc184312093"/>
      <w:bookmarkEnd w:id="239"/>
      <w:bookmarkStart w:id="240" w:name="_Toc184310303"/>
      <w:bookmarkEnd w:id="240"/>
      <w:bookmarkStart w:id="241" w:name="_Toc184314466"/>
      <w:bookmarkEnd w:id="241"/>
      <w:bookmarkStart w:id="242" w:name="_Toc184313241"/>
      <w:bookmarkEnd w:id="242"/>
      <w:bookmarkStart w:id="243" w:name="_Toc184314411"/>
      <w:bookmarkEnd w:id="243"/>
      <w:bookmarkStart w:id="244" w:name="_Toc184312077"/>
      <w:bookmarkEnd w:id="244"/>
      <w:bookmarkStart w:id="245" w:name="_Toc184310283"/>
      <w:bookmarkEnd w:id="245"/>
      <w:bookmarkStart w:id="246" w:name="_Toc184308091"/>
      <w:bookmarkEnd w:id="246"/>
      <w:bookmarkStart w:id="247" w:name="_Toc184310325"/>
      <w:bookmarkEnd w:id="247"/>
      <w:bookmarkStart w:id="248" w:name="_Toc184314460"/>
      <w:bookmarkEnd w:id="248"/>
      <w:bookmarkStart w:id="249" w:name="_Toc184308044"/>
      <w:bookmarkEnd w:id="249"/>
      <w:bookmarkStart w:id="250" w:name="_Toc184313242"/>
      <w:bookmarkEnd w:id="250"/>
      <w:bookmarkStart w:id="251" w:name="_Toc184314422"/>
      <w:bookmarkEnd w:id="251"/>
      <w:bookmarkStart w:id="252" w:name="_Toc184312118"/>
      <w:bookmarkEnd w:id="252"/>
      <w:bookmarkStart w:id="253" w:name="_Toc184308077"/>
      <w:bookmarkEnd w:id="253"/>
      <w:bookmarkStart w:id="254" w:name="_Toc184312108"/>
      <w:bookmarkEnd w:id="254"/>
      <w:bookmarkStart w:id="255" w:name="_Toc184314412"/>
      <w:bookmarkEnd w:id="255"/>
      <w:bookmarkStart w:id="256" w:name="_Toc184310327"/>
      <w:bookmarkEnd w:id="256"/>
      <w:bookmarkStart w:id="257" w:name="_Toc184310331"/>
      <w:bookmarkEnd w:id="257"/>
      <w:bookmarkStart w:id="258" w:name="_Toc184313299"/>
      <w:bookmarkEnd w:id="258"/>
      <w:bookmarkStart w:id="259" w:name="_Toc184314477"/>
      <w:bookmarkEnd w:id="259"/>
      <w:bookmarkStart w:id="260" w:name="_Toc184312127"/>
      <w:bookmarkEnd w:id="260"/>
      <w:bookmarkStart w:id="261" w:name="_Toc184310318"/>
      <w:bookmarkEnd w:id="261"/>
      <w:bookmarkStart w:id="262" w:name="_Toc184310342"/>
      <w:bookmarkEnd w:id="262"/>
      <w:bookmarkStart w:id="263" w:name="_Toc184310326"/>
      <w:bookmarkEnd w:id="263"/>
      <w:bookmarkStart w:id="264" w:name="_Toc184308095"/>
      <w:bookmarkEnd w:id="264"/>
      <w:bookmarkStart w:id="265" w:name="_Toc184310293"/>
      <w:bookmarkEnd w:id="265"/>
      <w:bookmarkStart w:id="266" w:name="_Toc184314465"/>
      <w:bookmarkEnd w:id="266"/>
      <w:bookmarkStart w:id="267" w:name="_Toc184308098"/>
      <w:bookmarkEnd w:id="267"/>
      <w:bookmarkStart w:id="268" w:name="_Toc184310287"/>
      <w:bookmarkEnd w:id="268"/>
      <w:bookmarkStart w:id="269" w:name="_Toc184313288"/>
      <w:bookmarkEnd w:id="269"/>
      <w:bookmarkStart w:id="270" w:name="_Toc184313246"/>
      <w:bookmarkEnd w:id="270"/>
      <w:bookmarkStart w:id="271" w:name="_Toc184312116"/>
      <w:bookmarkEnd w:id="271"/>
      <w:bookmarkStart w:id="272" w:name="_Toc184312107"/>
      <w:bookmarkEnd w:id="272"/>
      <w:bookmarkStart w:id="273" w:name="_Toc184310279"/>
      <w:bookmarkEnd w:id="273"/>
      <w:bookmarkStart w:id="274" w:name="_Toc184308084"/>
      <w:bookmarkEnd w:id="274"/>
      <w:bookmarkStart w:id="275" w:name="_Toc184314414"/>
      <w:bookmarkEnd w:id="275"/>
      <w:bookmarkStart w:id="276" w:name="_Toc184312121"/>
      <w:bookmarkEnd w:id="276"/>
      <w:bookmarkStart w:id="277" w:name="_Toc184312072"/>
      <w:bookmarkEnd w:id="277"/>
      <w:bookmarkStart w:id="278" w:name="_Toc184308085"/>
      <w:bookmarkEnd w:id="278"/>
      <w:bookmarkStart w:id="279" w:name="_Toc184310274"/>
      <w:bookmarkEnd w:id="279"/>
      <w:bookmarkStart w:id="280" w:name="_Toc184313286"/>
      <w:bookmarkEnd w:id="280"/>
      <w:bookmarkStart w:id="281" w:name="_Toc184310330"/>
      <w:bookmarkEnd w:id="281"/>
      <w:bookmarkStart w:id="282" w:name="_Toc184310316"/>
      <w:bookmarkEnd w:id="282"/>
      <w:bookmarkStart w:id="283" w:name="_Toc184310337"/>
      <w:bookmarkEnd w:id="283"/>
      <w:bookmarkStart w:id="284" w:name="_Toc184312102"/>
      <w:bookmarkEnd w:id="284"/>
      <w:bookmarkStart w:id="285" w:name="_Toc184314415"/>
      <w:bookmarkEnd w:id="285"/>
      <w:bookmarkStart w:id="286" w:name="_Toc184308071"/>
      <w:bookmarkEnd w:id="286"/>
      <w:bookmarkStart w:id="287" w:name="_Toc184312132"/>
      <w:bookmarkEnd w:id="287"/>
      <w:bookmarkStart w:id="288" w:name="_Toc184313270"/>
      <w:bookmarkEnd w:id="288"/>
      <w:bookmarkStart w:id="289" w:name="_Toc184313240"/>
      <w:bookmarkEnd w:id="289"/>
      <w:bookmarkStart w:id="290" w:name="_Toc184313265"/>
      <w:bookmarkEnd w:id="290"/>
      <w:bookmarkStart w:id="291" w:name="_Toc184310339"/>
      <w:bookmarkEnd w:id="291"/>
      <w:bookmarkStart w:id="292" w:name="_Toc184313271"/>
      <w:bookmarkEnd w:id="292"/>
      <w:bookmarkStart w:id="293" w:name="_Toc184312128"/>
      <w:bookmarkEnd w:id="293"/>
      <w:bookmarkStart w:id="294" w:name="_Toc184313302"/>
      <w:bookmarkEnd w:id="294"/>
      <w:bookmarkStart w:id="295" w:name="_Toc184312096"/>
      <w:bookmarkEnd w:id="295"/>
      <w:bookmarkStart w:id="296" w:name="_Toc184308104"/>
      <w:bookmarkEnd w:id="296"/>
      <w:bookmarkStart w:id="297" w:name="_Toc184310277"/>
      <w:bookmarkEnd w:id="297"/>
      <w:bookmarkStart w:id="298" w:name="_Toc184310290"/>
      <w:bookmarkEnd w:id="298"/>
      <w:bookmarkStart w:id="299" w:name="_Toc184308043"/>
      <w:bookmarkEnd w:id="299"/>
      <w:bookmarkStart w:id="300" w:name="_Toc184313245"/>
      <w:bookmarkEnd w:id="300"/>
      <w:bookmarkStart w:id="301" w:name="_Toc184314430"/>
      <w:bookmarkEnd w:id="301"/>
      <w:bookmarkStart w:id="302" w:name="_Toc184314462"/>
      <w:bookmarkEnd w:id="302"/>
      <w:bookmarkStart w:id="303" w:name="_Toc184310324"/>
      <w:bookmarkEnd w:id="303"/>
      <w:bookmarkStart w:id="304" w:name="_Toc184308038"/>
      <w:bookmarkEnd w:id="304"/>
      <w:bookmarkStart w:id="305" w:name="_Toc184308105"/>
      <w:bookmarkEnd w:id="305"/>
      <w:bookmarkStart w:id="306" w:name="_Toc184312135"/>
      <w:bookmarkEnd w:id="306"/>
      <w:bookmarkStart w:id="307" w:name="_Toc184313308"/>
      <w:bookmarkEnd w:id="307"/>
      <w:bookmarkStart w:id="308" w:name="_Toc184314416"/>
      <w:bookmarkEnd w:id="308"/>
      <w:bookmarkStart w:id="309" w:name="_Toc184312078"/>
      <w:bookmarkEnd w:id="309"/>
      <w:bookmarkStart w:id="310" w:name="_Toc184308108"/>
      <w:bookmarkEnd w:id="310"/>
      <w:bookmarkStart w:id="311" w:name="_Toc184313254"/>
      <w:bookmarkEnd w:id="311"/>
      <w:bookmarkStart w:id="312" w:name="_Toc184313274"/>
      <w:bookmarkEnd w:id="312"/>
      <w:bookmarkStart w:id="313" w:name="_Toc184308059"/>
      <w:bookmarkEnd w:id="313"/>
      <w:bookmarkStart w:id="314" w:name="_Toc184310332"/>
      <w:bookmarkEnd w:id="314"/>
      <w:bookmarkStart w:id="315" w:name="_Toc184313279"/>
      <w:bookmarkEnd w:id="315"/>
      <w:bookmarkStart w:id="316" w:name="_Toc184308062"/>
      <w:bookmarkEnd w:id="316"/>
      <w:bookmarkStart w:id="317" w:name="_Toc184312111"/>
      <w:bookmarkEnd w:id="317"/>
      <w:bookmarkStart w:id="318" w:name="_Toc184312106"/>
      <w:bookmarkEnd w:id="318"/>
      <w:bookmarkStart w:id="319" w:name="_Toc184312070"/>
      <w:bookmarkEnd w:id="319"/>
      <w:bookmarkStart w:id="320" w:name="_Toc184308041"/>
      <w:bookmarkEnd w:id="320"/>
      <w:bookmarkStart w:id="321" w:name="_Toc184312092"/>
      <w:bookmarkEnd w:id="321"/>
      <w:bookmarkStart w:id="322" w:name="_Toc184312076"/>
      <w:bookmarkEnd w:id="322"/>
      <w:bookmarkStart w:id="323" w:name="_Toc184308097"/>
      <w:bookmarkEnd w:id="323"/>
      <w:bookmarkStart w:id="324" w:name="_Toc184313272"/>
      <w:bookmarkEnd w:id="324"/>
      <w:bookmarkStart w:id="325" w:name="_Toc184313281"/>
      <w:bookmarkEnd w:id="325"/>
      <w:bookmarkStart w:id="326" w:name="_Toc184310305"/>
      <w:bookmarkEnd w:id="326"/>
      <w:bookmarkStart w:id="327" w:name="_Toc184313238"/>
      <w:bookmarkEnd w:id="327"/>
      <w:bookmarkStart w:id="328" w:name="_Toc184313258"/>
      <w:bookmarkEnd w:id="328"/>
      <w:bookmarkStart w:id="329" w:name="_Toc184312095"/>
      <w:bookmarkEnd w:id="329"/>
      <w:bookmarkStart w:id="330" w:name="_Toc184314445"/>
      <w:bookmarkEnd w:id="330"/>
      <w:bookmarkStart w:id="331" w:name="_Toc184310314"/>
      <w:bookmarkEnd w:id="331"/>
      <w:bookmarkStart w:id="332" w:name="_Toc184308078"/>
      <w:bookmarkEnd w:id="332"/>
      <w:bookmarkStart w:id="333" w:name="_Toc184312075"/>
      <w:bookmarkEnd w:id="333"/>
      <w:bookmarkStart w:id="334" w:name="_Toc184314448"/>
      <w:bookmarkEnd w:id="334"/>
      <w:bookmarkStart w:id="335" w:name="_Toc184308082"/>
      <w:bookmarkEnd w:id="335"/>
      <w:bookmarkStart w:id="336" w:name="_Toc184313264"/>
      <w:bookmarkEnd w:id="336"/>
      <w:bookmarkStart w:id="337" w:name="_Toc184310291"/>
      <w:bookmarkEnd w:id="337"/>
      <w:bookmarkStart w:id="338" w:name="_Toc184313273"/>
      <w:bookmarkEnd w:id="338"/>
      <w:bookmarkStart w:id="339" w:name="_Toc184313280"/>
      <w:bookmarkEnd w:id="339"/>
      <w:bookmarkStart w:id="340" w:name="_Toc184310335"/>
      <w:bookmarkEnd w:id="340"/>
      <w:bookmarkStart w:id="341" w:name="_Toc184314446"/>
      <w:bookmarkEnd w:id="341"/>
      <w:bookmarkStart w:id="342" w:name="_Toc184312109"/>
      <w:bookmarkEnd w:id="342"/>
      <w:bookmarkStart w:id="343" w:name="_Toc184313269"/>
      <w:bookmarkEnd w:id="343"/>
      <w:bookmarkStart w:id="344" w:name="_Toc184312079"/>
      <w:bookmarkEnd w:id="344"/>
      <w:bookmarkStart w:id="345" w:name="_Toc184313239"/>
      <w:bookmarkEnd w:id="345"/>
      <w:bookmarkStart w:id="346" w:name="_Toc184310280"/>
      <w:bookmarkEnd w:id="346"/>
      <w:bookmarkStart w:id="347" w:name="_Toc184312100"/>
      <w:bookmarkEnd w:id="347"/>
      <w:bookmarkStart w:id="348" w:name="_Toc184308065"/>
      <w:bookmarkEnd w:id="348"/>
      <w:bookmarkStart w:id="349" w:name="_Toc184314418"/>
      <w:bookmarkEnd w:id="349"/>
      <w:bookmarkStart w:id="350" w:name="_Toc184308075"/>
      <w:bookmarkEnd w:id="350"/>
      <w:bookmarkStart w:id="351" w:name="_Toc184310285"/>
      <w:bookmarkEnd w:id="351"/>
      <w:bookmarkStart w:id="352" w:name="_Toc184312136"/>
      <w:bookmarkEnd w:id="352"/>
      <w:bookmarkStart w:id="353" w:name="_Toc184314425"/>
      <w:bookmarkEnd w:id="353"/>
      <w:bookmarkStart w:id="354" w:name="_Toc184314420"/>
      <w:bookmarkEnd w:id="354"/>
      <w:bookmarkStart w:id="355" w:name="_Toc184314458"/>
      <w:bookmarkEnd w:id="355"/>
      <w:bookmarkStart w:id="356" w:name="_Toc184312084"/>
      <w:bookmarkEnd w:id="356"/>
      <w:bookmarkStart w:id="357" w:name="_Toc184313247"/>
      <w:bookmarkEnd w:id="357"/>
      <w:bookmarkStart w:id="358" w:name="_Toc184313263"/>
      <w:bookmarkEnd w:id="358"/>
      <w:bookmarkStart w:id="359" w:name="_Toc184314479"/>
      <w:bookmarkEnd w:id="359"/>
      <w:bookmarkStart w:id="360" w:name="_Toc184310309"/>
      <w:bookmarkEnd w:id="360"/>
      <w:bookmarkStart w:id="361" w:name="_Toc184308053"/>
      <w:bookmarkEnd w:id="361"/>
      <w:bookmarkStart w:id="362" w:name="_Toc184312090"/>
      <w:bookmarkEnd w:id="362"/>
      <w:bookmarkStart w:id="363" w:name="_Toc184313249"/>
      <w:bookmarkEnd w:id="363"/>
      <w:bookmarkStart w:id="364" w:name="_Toc184313277"/>
      <w:bookmarkEnd w:id="364"/>
      <w:bookmarkStart w:id="365" w:name="_Toc184308067"/>
      <w:bookmarkEnd w:id="365"/>
      <w:bookmarkStart w:id="366" w:name="_Toc184313260"/>
      <w:bookmarkEnd w:id="366"/>
      <w:bookmarkStart w:id="367" w:name="_Toc184312094"/>
      <w:bookmarkEnd w:id="367"/>
      <w:bookmarkStart w:id="368" w:name="_Toc184313257"/>
      <w:bookmarkEnd w:id="368"/>
      <w:bookmarkStart w:id="369" w:name="_Toc184310275"/>
      <w:bookmarkEnd w:id="369"/>
      <w:bookmarkStart w:id="370" w:name="_Toc184310315"/>
      <w:bookmarkEnd w:id="370"/>
      <w:bookmarkStart w:id="371" w:name="_Toc184308054"/>
      <w:bookmarkEnd w:id="371"/>
      <w:bookmarkStart w:id="372" w:name="_Toc184312082"/>
      <w:bookmarkEnd w:id="372"/>
      <w:bookmarkStart w:id="373" w:name="_Toc184313256"/>
      <w:bookmarkEnd w:id="373"/>
      <w:bookmarkStart w:id="374" w:name="_Toc184313310"/>
      <w:bookmarkEnd w:id="374"/>
      <w:bookmarkStart w:id="375" w:name="_Toc184312089"/>
      <w:bookmarkEnd w:id="375"/>
      <w:bookmarkStart w:id="376" w:name="_Toc184314478"/>
      <w:bookmarkEnd w:id="376"/>
      <w:bookmarkStart w:id="377" w:name="_Toc184314440"/>
      <w:bookmarkEnd w:id="377"/>
      <w:bookmarkStart w:id="378" w:name="_Toc184312099"/>
      <w:bookmarkEnd w:id="378"/>
      <w:bookmarkStart w:id="379" w:name="_Toc184312074"/>
      <w:bookmarkEnd w:id="379"/>
      <w:bookmarkStart w:id="380" w:name="_Toc184310336"/>
      <w:bookmarkEnd w:id="380"/>
      <w:bookmarkStart w:id="381" w:name="_Toc184310322"/>
      <w:bookmarkEnd w:id="381"/>
      <w:bookmarkStart w:id="382" w:name="_Toc184314447"/>
      <w:bookmarkEnd w:id="382"/>
      <w:bookmarkStart w:id="383" w:name="_Toc184308055"/>
      <w:bookmarkEnd w:id="383"/>
      <w:bookmarkStart w:id="384" w:name="_Toc184312085"/>
      <w:bookmarkEnd w:id="384"/>
      <w:bookmarkStart w:id="385" w:name="_Toc184314454"/>
      <w:bookmarkEnd w:id="385"/>
      <w:bookmarkStart w:id="386" w:name="_Toc184310273"/>
      <w:bookmarkEnd w:id="386"/>
      <w:bookmarkStart w:id="387" w:name="_Toc184310299"/>
      <w:bookmarkEnd w:id="387"/>
      <w:bookmarkStart w:id="388" w:name="_Toc184313303"/>
      <w:bookmarkEnd w:id="388"/>
      <w:bookmarkStart w:id="389" w:name="_Toc184310292"/>
      <w:bookmarkEnd w:id="389"/>
      <w:bookmarkStart w:id="390" w:name="_Toc184310296"/>
      <w:bookmarkEnd w:id="390"/>
      <w:bookmarkStart w:id="391" w:name="_Toc184313253"/>
      <w:bookmarkEnd w:id="391"/>
      <w:bookmarkStart w:id="392" w:name="_Toc184313255"/>
      <w:bookmarkEnd w:id="392"/>
      <w:r>
        <w:rPr>
          <w:rFonts w:hint="eastAsia" w:ascii="宋体" w:hAnsi="宋体" w:eastAsia="宋体" w:cs="宋体"/>
          <w:b/>
          <w:color w:val="auto"/>
          <w:sz w:val="36"/>
          <w:szCs w:val="36"/>
          <w:highlight w:val="none"/>
        </w:rPr>
        <w:t>评标办法</w:t>
      </w:r>
    </w:p>
    <w:p>
      <w:pPr>
        <w:shd w:val="clea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6"/>
        <w:tblpPr w:leftFromText="180" w:rightFromText="180" w:vertAnchor="text" w:horzAnchor="page" w:tblpX="1031" w:tblpY="126"/>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03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35" w:type="dxa"/>
            <w:noWrap w:val="0"/>
            <w:vAlign w:val="center"/>
          </w:tcPr>
          <w:p>
            <w:pPr>
              <w:shd w:val="clear"/>
              <w:spacing w:before="0" w:beforeAutospacing="0" w:after="0" w:afterAutospacing="0" w:line="360" w:lineRule="auto"/>
              <w:ind w:left="0" w:right="0"/>
              <w:jc w:val="center"/>
              <w:outlineLvl w:val="0"/>
              <w:rPr>
                <w:rFonts w:hint="eastAsia" w:ascii="仿宋" w:hAnsi="仿宋" w:eastAsia="仿宋" w:cs="仿宋_GB2312"/>
                <w:bCs/>
                <w:color w:val="auto"/>
                <w:sz w:val="24"/>
                <w:szCs w:val="20"/>
                <w:highlight w:val="none"/>
              </w:rPr>
            </w:pPr>
            <w:r>
              <w:rPr>
                <w:rFonts w:hint="eastAsia" w:ascii="仿宋" w:hAnsi="仿宋" w:eastAsia="仿宋" w:cs="仿宋_GB2312"/>
                <w:bCs/>
                <w:color w:val="auto"/>
                <w:sz w:val="24"/>
                <w:szCs w:val="20"/>
                <w:highlight w:val="none"/>
              </w:rPr>
              <w:t>序号</w:t>
            </w:r>
          </w:p>
        </w:tc>
        <w:tc>
          <w:tcPr>
            <w:tcW w:w="8034" w:type="dxa"/>
            <w:noWrap w:val="0"/>
            <w:vAlign w:val="center"/>
          </w:tcPr>
          <w:p>
            <w:pPr>
              <w:shd w:val="clear"/>
              <w:spacing w:before="0" w:beforeAutospacing="0" w:after="0" w:afterAutospacing="0" w:line="360" w:lineRule="auto"/>
              <w:ind w:left="0" w:right="0"/>
              <w:jc w:val="center"/>
              <w:outlineLvl w:val="0"/>
              <w:rPr>
                <w:rFonts w:hint="eastAsia" w:ascii="仿宋" w:hAnsi="仿宋" w:eastAsia="仿宋" w:cs="仿宋_GB2312"/>
                <w:bCs/>
                <w:color w:val="auto"/>
                <w:sz w:val="24"/>
                <w:szCs w:val="20"/>
                <w:highlight w:val="none"/>
              </w:rPr>
            </w:pPr>
            <w:r>
              <w:rPr>
                <w:rFonts w:hint="eastAsia" w:ascii="仿宋" w:hAnsi="仿宋" w:eastAsia="仿宋" w:cs="仿宋_GB2312"/>
                <w:bCs/>
                <w:color w:val="auto"/>
                <w:sz w:val="24"/>
                <w:szCs w:val="20"/>
                <w:highlight w:val="none"/>
              </w:rPr>
              <w:t>评标标准</w:t>
            </w:r>
          </w:p>
        </w:tc>
        <w:tc>
          <w:tcPr>
            <w:tcW w:w="855" w:type="dxa"/>
            <w:noWrap w:val="0"/>
            <w:vAlign w:val="center"/>
          </w:tcPr>
          <w:p>
            <w:pPr>
              <w:shd w:val="clear"/>
              <w:spacing w:before="0" w:beforeAutospacing="0" w:after="0" w:afterAutospacing="0" w:line="360" w:lineRule="auto"/>
              <w:ind w:left="0" w:right="0"/>
              <w:jc w:val="center"/>
              <w:outlineLvl w:val="0"/>
              <w:rPr>
                <w:rFonts w:hint="eastAsia" w:ascii="仿宋" w:hAnsi="仿宋" w:eastAsia="仿宋" w:cs="仿宋_GB2312"/>
                <w:bCs/>
                <w:color w:val="auto"/>
                <w:sz w:val="24"/>
                <w:szCs w:val="20"/>
                <w:highlight w:val="none"/>
              </w:rPr>
            </w:pPr>
            <w:r>
              <w:rPr>
                <w:rFonts w:hint="eastAsia" w:ascii="仿宋" w:hAnsi="仿宋" w:eastAsia="仿宋" w:cs="仿宋_GB2312"/>
                <w:bCs/>
                <w:color w:val="auto"/>
                <w:sz w:val="24"/>
                <w:szCs w:val="20"/>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1</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投标方案的合理性、科学性、全面性；</w:t>
            </w:r>
            <w:r>
              <w:rPr>
                <w:rFonts w:hint="eastAsia" w:ascii="仿宋" w:hAnsi="仿宋" w:eastAsia="仿宋" w:cs="仿宋"/>
                <w:b/>
                <w:color w:val="auto"/>
                <w:sz w:val="24"/>
                <w:szCs w:val="24"/>
                <w:highlight w:val="none"/>
              </w:rPr>
              <w:t>（根据对投标项目的理解程度、总体设计、组织实施、独到优势等情况</w:t>
            </w:r>
            <w:r>
              <w:rPr>
                <w:rFonts w:hint="eastAsia" w:ascii="仿宋" w:hAnsi="仿宋" w:eastAsia="仿宋" w:cs="仿宋"/>
                <w:b/>
                <w:color w:val="auto"/>
                <w:sz w:val="24"/>
                <w:szCs w:val="24"/>
                <w:highlight w:val="none"/>
                <w:lang w:eastAsia="zh-CN"/>
              </w:rPr>
              <w:t>进行评分</w:t>
            </w:r>
            <w:r>
              <w:rPr>
                <w:rFonts w:hint="eastAsia" w:ascii="仿宋" w:hAnsi="仿宋" w:eastAsia="仿宋" w:cs="仿宋"/>
                <w:b/>
                <w:color w:val="auto"/>
                <w:sz w:val="24"/>
                <w:szCs w:val="24"/>
                <w:highlight w:val="none"/>
              </w:rPr>
              <w:t>）</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2</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rPr>
              <w:t>保证进度和项目完成的方案和措施、</w:t>
            </w:r>
            <w:r>
              <w:rPr>
                <w:rFonts w:hint="eastAsia" w:ascii="仿宋" w:hAnsi="仿宋" w:eastAsia="仿宋" w:cs="仿宋"/>
                <w:color w:val="auto"/>
                <w:sz w:val="24"/>
                <w:highlight w:val="none"/>
              </w:rPr>
              <w:t>项目总体架构及技术解决方案</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进行综合评分；</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rPr>
              <w:t>项目负责人、主要技术人员、</w:t>
            </w:r>
            <w:r>
              <w:rPr>
                <w:rFonts w:hint="eastAsia" w:ascii="仿宋" w:hAnsi="仿宋" w:eastAsia="仿宋" w:cs="仿宋"/>
                <w:color w:val="auto"/>
                <w:sz w:val="24"/>
                <w:szCs w:val="24"/>
                <w:highlight w:val="none"/>
                <w:lang w:eastAsia="zh-CN"/>
              </w:rPr>
              <w:t>管理人员的</w:t>
            </w:r>
            <w:r>
              <w:rPr>
                <w:rFonts w:hint="eastAsia" w:ascii="仿宋" w:hAnsi="仿宋" w:eastAsia="仿宋" w:cs="仿宋"/>
                <w:color w:val="auto"/>
                <w:sz w:val="24"/>
                <w:szCs w:val="24"/>
                <w:highlight w:val="none"/>
              </w:rPr>
              <w:t>配置</w:t>
            </w:r>
            <w:r>
              <w:rPr>
                <w:rFonts w:hint="eastAsia" w:ascii="仿宋" w:hAnsi="仿宋" w:eastAsia="仿宋" w:cs="仿宋"/>
                <w:color w:val="auto"/>
                <w:sz w:val="24"/>
                <w:szCs w:val="24"/>
                <w:highlight w:val="none"/>
                <w:lang w:eastAsia="zh-CN"/>
              </w:rPr>
              <w:t>、经验、案例等进行综合评分</w:t>
            </w:r>
            <w:r>
              <w:rPr>
                <w:rFonts w:hint="eastAsia" w:ascii="仿宋" w:hAnsi="仿宋" w:eastAsia="仿宋" w:cs="仿宋"/>
                <w:color w:val="auto"/>
                <w:sz w:val="24"/>
                <w:szCs w:val="24"/>
                <w:highlight w:val="none"/>
              </w:rPr>
              <w:t xml:space="preserve"> (需提供人员名单</w:t>
            </w:r>
            <w:r>
              <w:rPr>
                <w:rFonts w:hint="eastAsia" w:ascii="仿宋" w:hAnsi="仿宋" w:eastAsia="仿宋" w:cs="仿宋"/>
                <w:color w:val="auto"/>
                <w:sz w:val="24"/>
                <w:highlight w:val="none"/>
              </w:rPr>
              <w:t>履历</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val="en-US" w:eastAsia="zh-CN"/>
              </w:rPr>
              <w:t>6个月以上</w:t>
            </w:r>
            <w:r>
              <w:rPr>
                <w:rFonts w:hint="eastAsia" w:ascii="仿宋" w:hAnsi="仿宋" w:eastAsia="仿宋" w:cs="仿宋"/>
                <w:color w:val="auto"/>
                <w:sz w:val="24"/>
                <w:szCs w:val="24"/>
                <w:highlight w:val="none"/>
              </w:rPr>
              <w:t>社保证明等相关材料) ；</w:t>
            </w:r>
          </w:p>
        </w:tc>
        <w:tc>
          <w:tcPr>
            <w:tcW w:w="855" w:type="dxa"/>
            <w:noWrap w:val="0"/>
            <w:vAlign w:val="center"/>
          </w:tcPr>
          <w:p>
            <w:pPr>
              <w:keepNext w:val="0"/>
              <w:keepLines w:val="0"/>
              <w:pageBreakBefore w:val="0"/>
              <w:widowControl w:val="0"/>
              <w:shd w:val="clear"/>
              <w:kinsoku/>
              <w:wordWrap/>
              <w:overflowPunct/>
              <w:topLinePunct w:val="0"/>
              <w:autoSpaceDE/>
              <w:autoSpaceDN/>
              <w:bidi w:val="0"/>
              <w:spacing w:line="440" w:lineRule="exact"/>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4</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设备的投入：评标委员会根据设备的成新率、价格、性能指标等综合</w:t>
            </w:r>
            <w:r>
              <w:rPr>
                <w:rFonts w:hint="eastAsia" w:ascii="仿宋" w:hAnsi="仿宋" w:eastAsia="仿宋" w:cs="仿宋"/>
                <w:color w:val="auto"/>
                <w:sz w:val="24"/>
                <w:szCs w:val="24"/>
                <w:highlight w:val="none"/>
                <w:lang w:eastAsia="zh-CN"/>
              </w:rPr>
              <w:t>评分，</w:t>
            </w:r>
            <w:r>
              <w:rPr>
                <w:rFonts w:hint="eastAsia" w:ascii="仿宋" w:hAnsi="仿宋" w:eastAsia="仿宋" w:cs="仿宋"/>
                <w:b/>
                <w:color w:val="auto"/>
                <w:sz w:val="24"/>
                <w:szCs w:val="24"/>
                <w:highlight w:val="none"/>
              </w:rPr>
              <w:t>未提供设备配置的不得分；</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5</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过磅称重系统：投标人具备“符合标定条件的过磅称重系统”的得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分，不具备的不得分。</w:t>
            </w:r>
            <w:r>
              <w:rPr>
                <w:rFonts w:hint="eastAsia" w:ascii="仿宋" w:hAnsi="仿宋" w:eastAsia="仿宋" w:cs="仿宋"/>
                <w:b/>
                <w:color w:val="auto"/>
                <w:sz w:val="24"/>
                <w:szCs w:val="24"/>
                <w:highlight w:val="none"/>
              </w:rPr>
              <w:t>（需提供相关证明材料，否则不予认可)</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6</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服务质量保证情况（根据质保期限、可实现程度、提供优惠等情况</w:t>
            </w:r>
            <w:r>
              <w:rPr>
                <w:rFonts w:hint="eastAsia" w:ascii="仿宋" w:hAnsi="仿宋" w:eastAsia="仿宋" w:cs="仿宋"/>
                <w:color w:val="auto"/>
                <w:sz w:val="24"/>
                <w:szCs w:val="24"/>
                <w:highlight w:val="none"/>
                <w:lang w:eastAsia="zh-CN"/>
              </w:rPr>
              <w:t>进行综合评分</w:t>
            </w:r>
            <w:r>
              <w:rPr>
                <w:rFonts w:hint="eastAsia" w:ascii="仿宋" w:hAnsi="仿宋" w:eastAsia="仿宋" w:cs="仿宋"/>
                <w:color w:val="auto"/>
                <w:sz w:val="24"/>
                <w:szCs w:val="24"/>
                <w:highlight w:val="none"/>
              </w:rPr>
              <w:t>）</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7</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服务承诺（根据售后服务方案、措施、响应及本地化服务能力等情况</w:t>
            </w:r>
            <w:r>
              <w:rPr>
                <w:rFonts w:hint="eastAsia" w:ascii="仿宋" w:hAnsi="仿宋" w:eastAsia="仿宋" w:cs="仿宋"/>
                <w:b w:val="0"/>
                <w:bCs/>
                <w:color w:val="auto"/>
                <w:sz w:val="24"/>
                <w:szCs w:val="24"/>
                <w:highlight w:val="none"/>
                <w:lang w:eastAsia="zh-CN"/>
              </w:rPr>
              <w:t>进行综合评分</w:t>
            </w:r>
            <w:r>
              <w:rPr>
                <w:rFonts w:hint="eastAsia" w:ascii="仿宋" w:hAnsi="仿宋" w:eastAsia="仿宋" w:cs="仿宋"/>
                <w:color w:val="auto"/>
                <w:sz w:val="24"/>
                <w:szCs w:val="24"/>
                <w:highlight w:val="none"/>
              </w:rPr>
              <w:t>）</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8</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w:t>
            </w:r>
            <w:r>
              <w:rPr>
                <w:rFonts w:hint="eastAsia" w:ascii="仿宋" w:hAnsi="仿宋" w:eastAsia="仿宋" w:cs="仿宋"/>
                <w:color w:val="auto"/>
                <w:sz w:val="24"/>
                <w:szCs w:val="24"/>
                <w:highlight w:val="none"/>
                <w:lang w:eastAsia="zh-CN"/>
              </w:rPr>
              <w:t>提出</w:t>
            </w:r>
            <w:r>
              <w:rPr>
                <w:rFonts w:hint="eastAsia" w:ascii="仿宋" w:hAnsi="仿宋" w:eastAsia="仿宋" w:cs="仿宋"/>
                <w:color w:val="auto"/>
                <w:sz w:val="24"/>
                <w:szCs w:val="24"/>
                <w:highlight w:val="none"/>
              </w:rPr>
              <w:t>合理化建议</w:t>
            </w:r>
            <w:r>
              <w:rPr>
                <w:rFonts w:hint="eastAsia" w:ascii="仿宋" w:hAnsi="仿宋" w:eastAsia="仿宋" w:cs="仿宋"/>
                <w:color w:val="auto"/>
                <w:sz w:val="24"/>
                <w:szCs w:val="24"/>
                <w:highlight w:val="none"/>
                <w:lang w:eastAsia="zh-CN"/>
              </w:rPr>
              <w:t>等进行综合评分；</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hd w:val="clear"/>
              <w:spacing w:before="0" w:beforeAutospacing="0" w:after="0" w:afterAutospacing="0" w:line="0" w:lineRule="atLeast"/>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9</w:t>
            </w:r>
          </w:p>
        </w:tc>
        <w:tc>
          <w:tcPr>
            <w:tcW w:w="8034" w:type="dxa"/>
            <w:noWrap w:val="0"/>
            <w:vAlign w:val="center"/>
          </w:tcPr>
          <w:p>
            <w:pPr>
              <w:pStyle w:val="2"/>
              <w:shd w:val="clea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根据招标文件要求承诺：</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中标后15日内在交警乔司中队、城区中队、开发区中队辖区内【临平】不少于2个服务点，停车场面积大于40000㎡得8分；停车场面积大于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30000㎡小于等于40000㎡得6分</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中标后15日内在交警塘栖中队、交警崇贤中队，不少于2个服务点，停车场面积大于15000㎡得8分；停车场面积大于10000㎡小于等于15000㎡得6分</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营业场所所处地理位置与周边的道路交通等应有利于车辆的进出，停车场所与其他作业区域的平面布置需合理有序；</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4、停车场配套设施：应有完善有效的安全防盗监控系统（监控须全场覆盖）、数码相机、电脑等相关设备，其中进出口设有车牌抓拍系统，按照采购人的管理要求，落实相关管理措施。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tc>
        <w:tc>
          <w:tcPr>
            <w:tcW w:w="855" w:type="dxa"/>
            <w:noWrap w:val="0"/>
            <w:vAlign w:val="center"/>
          </w:tcPr>
          <w:p>
            <w:pPr>
              <w:keepNext w:val="0"/>
              <w:keepLines w:val="0"/>
              <w:pageBreakBefore w:val="0"/>
              <w:widowControl w:val="0"/>
              <w:numPr>
                <w:ilvl w:val="0"/>
                <w:numId w:val="2"/>
              </w:numPr>
              <w:shd w:val="clear"/>
              <w:kinsoku/>
              <w:wordWrap/>
              <w:overflowPunct/>
              <w:topLinePunct w:val="0"/>
              <w:autoSpaceDE/>
              <w:autoSpaceDN/>
              <w:bidi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hd w:val="clear"/>
              <w:spacing w:before="0" w:beforeAutospacing="0" w:after="0" w:afterAutospacing="0" w:line="0" w:lineRule="atLeast"/>
              <w:ind w:left="0" w:right="0"/>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10</w:t>
            </w:r>
          </w:p>
        </w:tc>
        <w:tc>
          <w:tcPr>
            <w:tcW w:w="8034" w:type="dxa"/>
            <w:noWrap w:val="0"/>
            <w:vAlign w:val="center"/>
          </w:tcPr>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对清障服务所需要的各类清障车辆配备情况（</w:t>
            </w:r>
            <w:r>
              <w:rPr>
                <w:rFonts w:hint="eastAsia" w:ascii="仿宋" w:hAnsi="仿宋" w:eastAsia="仿宋" w:cs="仿宋"/>
                <w:color w:val="auto"/>
                <w:sz w:val="24"/>
                <w:szCs w:val="24"/>
                <w:highlight w:val="none"/>
                <w:lang w:eastAsia="zh-CN"/>
              </w:rPr>
              <w:t>标书中</w:t>
            </w:r>
            <w:r>
              <w:rPr>
                <w:rFonts w:hint="eastAsia" w:ascii="仿宋" w:hAnsi="仿宋" w:eastAsia="仿宋" w:cs="仿宋"/>
                <w:color w:val="auto"/>
                <w:sz w:val="24"/>
                <w:szCs w:val="24"/>
                <w:highlight w:val="none"/>
              </w:rPr>
              <w:t>提供车辆行驶证</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、车辆租赁协议及车辆吨位情况的证明材料）：</w:t>
            </w:r>
          </w:p>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①自有3吨以上（含3吨）平板拖车的，每辆得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keepNext w:val="0"/>
              <w:keepLines w:val="0"/>
              <w:pageBreakBefore w:val="0"/>
              <w:widowControl w:val="0"/>
              <w:shd w:val="clear"/>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②自有</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吨以上（含3吨）平板拖车的，每辆得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hd w:val="clear"/>
              <w:spacing w:before="0" w:beforeAutospacing="0" w:after="0" w:afterAutospacing="0" w:line="0" w:lineRule="atLeast"/>
              <w:ind w:left="0" w:right="0"/>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11</w:t>
            </w:r>
          </w:p>
        </w:tc>
        <w:tc>
          <w:tcPr>
            <w:tcW w:w="8034" w:type="dxa"/>
            <w:noWrap w:val="0"/>
            <w:vAlign w:val="top"/>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en-US" w:eastAsia="zh-CN" w:bidi="ar-SA"/>
              </w:rPr>
              <w:t>人员配备情况：</w:t>
            </w:r>
            <w:r>
              <w:rPr>
                <w:rFonts w:hint="eastAsia" w:ascii="仿宋" w:hAnsi="仿宋" w:eastAsia="仿宋" w:cs="仿宋"/>
                <w:color w:val="auto"/>
                <w:spacing w:val="0"/>
                <w:kern w:val="10"/>
                <w:sz w:val="24"/>
                <w:szCs w:val="24"/>
                <w:highlight w:val="none"/>
                <w:lang w:val="en-US" w:eastAsia="zh-CN" w:bidi="ar-SA"/>
              </w:rPr>
              <w:t>驾</w:t>
            </w:r>
            <w:r>
              <w:rPr>
                <w:rFonts w:hint="eastAsia" w:ascii="仿宋" w:hAnsi="仿宋" w:eastAsia="仿宋" w:cs="仿宋"/>
                <w:color w:val="auto"/>
                <w:kern w:val="0"/>
                <w:sz w:val="24"/>
                <w:szCs w:val="24"/>
                <w:highlight w:val="none"/>
                <w:lang w:val="en-US" w:eastAsia="zh-CN" w:bidi="ar-SA"/>
              </w:rPr>
              <w:t>驶及安保人员配备情况；评委根据各投标单位针对本项目的驾驶及安保人员力量、年龄、工作经验等、服务等进行综合评分（投标文件中驾驶人员须提供驾驶证、劳动合同、社保缴纳证明，安保人员提供保安证等相关证明资料）。</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hd w:val="clear"/>
              <w:spacing w:before="0" w:beforeAutospacing="0" w:after="0" w:afterAutospacing="0" w:line="0" w:lineRule="atLeast"/>
              <w:ind w:left="0" w:right="0"/>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12</w:t>
            </w:r>
          </w:p>
        </w:tc>
        <w:tc>
          <w:tcPr>
            <w:tcW w:w="8034"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Cs w:val="24"/>
                <w:highlight w:val="none"/>
              </w:rPr>
              <w:t>类似项目实施业绩：投标人自201</w:t>
            </w:r>
            <w:r>
              <w:rPr>
                <w:rFonts w:hint="eastAsia" w:ascii="仿宋" w:hAnsi="仿宋" w:eastAsia="仿宋" w:cs="仿宋"/>
                <w:b/>
                <w:color w:val="auto"/>
                <w:kern w:val="0"/>
                <w:szCs w:val="24"/>
                <w:highlight w:val="none"/>
                <w:lang w:val="en-US" w:eastAsia="zh-CN"/>
              </w:rPr>
              <w:t>8</w:t>
            </w:r>
            <w:r>
              <w:rPr>
                <w:rFonts w:hint="eastAsia" w:ascii="仿宋" w:hAnsi="仿宋" w:eastAsia="仿宋" w:cs="仿宋"/>
                <w:b/>
                <w:color w:val="auto"/>
                <w:kern w:val="0"/>
                <w:szCs w:val="24"/>
                <w:highlight w:val="none"/>
              </w:rPr>
              <w:t>年1月1日（含）以来（以合同签订时间为准）承担过</w:t>
            </w:r>
            <w:r>
              <w:rPr>
                <w:rFonts w:hint="eastAsia" w:ascii="仿宋" w:hAnsi="仿宋" w:eastAsia="仿宋" w:cs="仿宋"/>
                <w:b/>
                <w:color w:val="auto"/>
                <w:kern w:val="0"/>
                <w:szCs w:val="24"/>
                <w:highlight w:val="none"/>
                <w:lang w:eastAsia="zh-CN"/>
              </w:rPr>
              <w:t>类似</w:t>
            </w:r>
            <w:r>
              <w:rPr>
                <w:rFonts w:hint="eastAsia" w:ascii="仿宋" w:hAnsi="仿宋" w:eastAsia="仿宋" w:cs="仿宋"/>
                <w:b/>
                <w:color w:val="auto"/>
                <w:kern w:val="0"/>
                <w:szCs w:val="24"/>
                <w:highlight w:val="none"/>
              </w:rPr>
              <w:t>项目业绩</w:t>
            </w:r>
            <w:r>
              <w:rPr>
                <w:rFonts w:hint="eastAsia" w:ascii="仿宋" w:hAnsi="仿宋" w:eastAsia="仿宋" w:cs="仿宋"/>
                <w:color w:val="auto"/>
                <w:kern w:val="0"/>
                <w:szCs w:val="24"/>
                <w:highlight w:val="none"/>
              </w:rPr>
              <w:t>，提供一个</w:t>
            </w:r>
            <w:r>
              <w:rPr>
                <w:rFonts w:hint="eastAsia" w:ascii="仿宋" w:hAnsi="仿宋" w:eastAsia="仿宋" w:cs="仿宋"/>
                <w:color w:val="auto"/>
                <w:kern w:val="0"/>
                <w:szCs w:val="24"/>
                <w:highlight w:val="none"/>
                <w:lang w:eastAsia="zh-CN"/>
              </w:rPr>
              <w:t>得</w:t>
            </w:r>
            <w:r>
              <w:rPr>
                <w:rFonts w:hint="eastAsia" w:ascii="仿宋" w:hAnsi="仿宋" w:eastAsia="仿宋" w:cs="仿宋"/>
                <w:color w:val="auto"/>
                <w:kern w:val="0"/>
                <w:szCs w:val="24"/>
                <w:highlight w:val="none"/>
              </w:rPr>
              <w:t>分</w:t>
            </w:r>
            <w:r>
              <w:rPr>
                <w:rFonts w:hint="eastAsia" w:ascii="仿宋" w:hAnsi="仿宋" w:eastAsia="仿宋" w:cs="仿宋"/>
                <w:color w:val="auto"/>
                <w:kern w:val="0"/>
                <w:szCs w:val="24"/>
                <w:highlight w:val="none"/>
                <w:lang w:val="en-US" w:eastAsia="zh-CN"/>
              </w:rPr>
              <w:t>0.2</w:t>
            </w:r>
            <w:r>
              <w:rPr>
                <w:rFonts w:hint="eastAsia" w:ascii="仿宋" w:hAnsi="仿宋" w:eastAsia="仿宋" w:cs="仿宋"/>
                <w:color w:val="auto"/>
                <w:kern w:val="0"/>
                <w:szCs w:val="24"/>
                <w:highlight w:val="none"/>
              </w:rPr>
              <w:t>分，</w:t>
            </w:r>
            <w:r>
              <w:rPr>
                <w:rFonts w:hint="eastAsia" w:ascii="仿宋" w:hAnsi="仿宋" w:eastAsia="仿宋" w:cs="仿宋"/>
                <w:color w:val="auto"/>
                <w:kern w:val="0"/>
                <w:szCs w:val="24"/>
                <w:highlight w:val="none"/>
                <w:lang w:eastAsia="zh-CN"/>
              </w:rPr>
              <w:t>本项</w:t>
            </w:r>
            <w:r>
              <w:rPr>
                <w:rFonts w:hint="eastAsia" w:ascii="仿宋" w:hAnsi="仿宋" w:eastAsia="仿宋" w:cs="仿宋"/>
                <w:color w:val="auto"/>
                <w:kern w:val="0"/>
                <w:szCs w:val="24"/>
                <w:highlight w:val="none"/>
              </w:rPr>
              <w:t>最多得</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分。（须提供相关合同、协议等证明材料的原件，不提供不得分）</w:t>
            </w:r>
          </w:p>
        </w:tc>
        <w:tc>
          <w:tcPr>
            <w:tcW w:w="855" w:type="dxa"/>
            <w:noWrap w:val="0"/>
            <w:vAlign w:val="center"/>
          </w:tcPr>
          <w:p>
            <w:pPr>
              <w:pStyle w:val="88"/>
              <w:keepNext w:val="0"/>
              <w:keepLines w:val="0"/>
              <w:pageBreakBefore w:val="0"/>
              <w:widowControl w:val="0"/>
              <w:shd w:val="clear"/>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lang w:val="en-US" w:eastAsia="zh-CN"/>
              </w:rPr>
              <w:t>0-1分</w:t>
            </w:r>
          </w:p>
        </w:tc>
      </w:tr>
    </w:tbl>
    <w:p>
      <w:pPr>
        <w:pStyle w:val="64"/>
        <w:numPr>
          <w:ilvl w:val="0"/>
          <w:numId w:val="0"/>
        </w:numPr>
        <w:shd w:val="clear"/>
        <w:ind w:left="-619" w:leftChars="-295" w:firstLine="0" w:firstLineChars="0"/>
        <w:jc w:val="both"/>
        <w:rPr>
          <w:rFonts w:hint="eastAsia" w:ascii="仿宋" w:hAnsi="仿宋" w:eastAsia="仿宋" w:cs="仿宋"/>
          <w:color w:val="auto"/>
          <w:sz w:val="24"/>
          <w:szCs w:val="24"/>
          <w:highlight w:val="none"/>
          <w:lang w:val="en-US" w:eastAsia="zh-CN"/>
        </w:rPr>
      </w:pPr>
    </w:p>
    <w:p>
      <w:pPr>
        <w:pStyle w:val="964"/>
        <w:keepNext w:val="0"/>
        <w:keepLines w:val="0"/>
        <w:pageBreakBefore w:val="0"/>
        <w:shd w:val="clear"/>
        <w:kinsoku/>
        <w:wordWrap/>
        <w:overflowPunct/>
        <w:topLinePunct w:val="0"/>
        <w:autoSpaceDE/>
        <w:autoSpaceDN/>
        <w:bidi w:val="0"/>
        <w:adjustRightInd/>
        <w:snapToGrid w:val="0"/>
        <w:ind w:left="0" w:leftChars="0" w:right="0" w:rightChars="0" w:firstLine="0" w:firstLineChars="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2、价格部分</w:t>
      </w:r>
    </w:p>
    <w:tbl>
      <w:tblPr>
        <w:tblStyle w:val="66"/>
        <w:tblpPr w:leftFromText="180" w:rightFromText="180" w:vertAnchor="text" w:horzAnchor="page" w:tblpXSpec="center" w:tblpY="126"/>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8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7" w:hRule="atLeast"/>
          <w:jc w:val="center"/>
        </w:trPr>
        <w:tc>
          <w:tcPr>
            <w:tcW w:w="1099" w:type="dxa"/>
            <w:noWrap w:val="0"/>
            <w:vAlign w:val="center"/>
          </w:tcPr>
          <w:p>
            <w:pPr>
              <w:keepNext w:val="0"/>
              <w:keepLines w:val="0"/>
              <w:pageBreakBefore w:val="0"/>
              <w:shd w:val="clear"/>
              <w:kinsoku/>
              <w:wordWrap/>
              <w:overflowPunct/>
              <w:topLinePunct w:val="0"/>
              <w:autoSpaceDE/>
              <w:autoSpaceDN/>
              <w:bidi w:val="0"/>
              <w:adjustRightInd/>
              <w:spacing w:line="360" w:lineRule="auto"/>
              <w:ind w:left="0" w:leftChars="0" w:right="0" w:rightChars="0" w:firstLine="240" w:firstLineChars="100"/>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80" w:type="dxa"/>
            <w:noWrap w:val="0"/>
            <w:vAlign w:val="top"/>
          </w:tcPr>
          <w:p>
            <w:pPr>
              <w:keepNext w:val="0"/>
              <w:keepLines w:val="0"/>
              <w:pageBreakBefore w:val="0"/>
              <w:shd w:val="clear"/>
              <w:kinsoku/>
              <w:wordWrap/>
              <w:overflowPunct/>
              <w:topLinePunct w:val="0"/>
              <w:autoSpaceDE/>
              <w:autoSpaceDN/>
              <w:bidi w:val="0"/>
              <w:adjustRightInd/>
              <w:spacing w:line="360" w:lineRule="auto"/>
              <w:ind w:left="0" w:leftChars="0" w:right="0" w:rightChars="0"/>
              <w:jc w:val="both"/>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0］的计算公式计算。评标过程中，不得去掉报价中的最高报价和最低报价。因落实政府采购政策需要进行价格调整的，以调整后的价格计算评标基准价和投标报价。</w:t>
            </w:r>
          </w:p>
        </w:tc>
        <w:tc>
          <w:tcPr>
            <w:tcW w:w="720" w:type="dxa"/>
            <w:noWrap w:val="0"/>
            <w:vAlign w:val="center"/>
          </w:tcPr>
          <w:p>
            <w:pPr>
              <w:keepNext w:val="0"/>
              <w:keepLines w:val="0"/>
              <w:pageBreakBefore w:val="0"/>
              <w:shd w:val="clear"/>
              <w:kinsoku/>
              <w:wordWrap/>
              <w:overflowPunct/>
              <w:topLinePunct w:val="0"/>
              <w:autoSpaceDE/>
              <w:autoSpaceDN/>
              <w:bidi w:val="0"/>
              <w:adjustRightInd/>
              <w:spacing w:line="360" w:lineRule="auto"/>
              <w:ind w:left="0" w:leftChars="0" w:right="0" w:rightChars="0"/>
              <w:jc w:val="both"/>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10分</w:t>
            </w:r>
          </w:p>
        </w:tc>
      </w:tr>
    </w:tbl>
    <w:p>
      <w:pPr>
        <w:shd w:val="clear"/>
        <w:rPr>
          <w:color w:val="auto"/>
          <w:highlight w:val="none"/>
        </w:rPr>
      </w:pPr>
    </w:p>
    <w:p>
      <w:pPr>
        <w:shd w:val="clear"/>
        <w:snapToGrid w:val="0"/>
        <w:spacing w:line="360" w:lineRule="auto"/>
        <w:rPr>
          <w:rFonts w:hint="eastAsia" w:ascii="宋体" w:hAnsi="宋体" w:eastAsia="宋体" w:cs="宋体"/>
          <w:color w:val="auto"/>
          <w:sz w:val="20"/>
          <w:szCs w:val="20"/>
          <w:highlight w:val="none"/>
          <w:shd w:val="clear" w:color="auto" w:fill="FFFFFF"/>
        </w:rPr>
      </w:pPr>
    </w:p>
    <w:p>
      <w:pPr>
        <w:shd w:val="clea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hd w:val="clea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shd w:val="clea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hd w:val="clea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hd w:val="clea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pPr>
        <w:shd w:val="clea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shd w:val="clear"/>
        <w:ind w:firstLine="411" w:firstLineChars="196"/>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8"/>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hd w:val="clear"/>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hd w:val="clea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4"/>
        <w:shd w:val="clear"/>
        <w:ind w:left="862" w:leftChars="205"/>
        <w:rPr>
          <w:rFonts w:hint="eastAsia" w:ascii="宋体" w:hAnsi="宋体" w:eastAsia="宋体" w:cs="宋体"/>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4"/>
        <w:shd w:val="clear"/>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4"/>
        <w:shd w:val="clear"/>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hd w:val="clear"/>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4"/>
        <w:shd w:val="clear"/>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4"/>
        <w:shd w:val="clear"/>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hd w:val="clear"/>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4"/>
        <w:shd w:val="clear"/>
        <w:snapToGrid w:val="0"/>
        <w:spacing w:line="360" w:lineRule="auto"/>
        <w:ind w:firstLine="0" w:firstLineChars="0"/>
        <w:rPr>
          <w:rFonts w:hint="eastAsia" w:ascii="宋体" w:hAnsi="宋体" w:eastAsia="宋体" w:cs="宋体"/>
          <w:color w:val="auto"/>
          <w:highlight w:val="none"/>
        </w:rPr>
      </w:pPr>
    </w:p>
    <w:bookmarkEnd w:id="27"/>
    <w:p>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_Toc86217003"/>
      <w:bookmarkStart w:id="394" w:name="第五部分"/>
    </w:p>
    <w:p>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p>
    <w:p>
      <w:pPr>
        <w:shd w:val="clear"/>
        <w:rPr>
          <w:rFonts w:hint="eastAsia" w:ascii="宋体" w:hAnsi="宋体" w:eastAsia="宋体" w:cs="宋体"/>
          <w:color w:val="auto"/>
          <w:highlight w:val="none"/>
        </w:rPr>
      </w:pPr>
    </w:p>
    <w:p>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p>
    <w:p>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7" w:h="16840"/>
          <w:pgMar w:top="1474" w:right="1814" w:bottom="1474" w:left="1814" w:header="851" w:footer="851" w:gutter="0"/>
          <w:cols w:space="720" w:num="1"/>
        </w:sectPr>
      </w:pPr>
    </w:p>
    <w:p>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第五部分拟签订的合同文本</w:t>
      </w:r>
    </w:p>
    <w:p>
      <w:pPr>
        <w:shd w:val="clear"/>
        <w:spacing w:line="480" w:lineRule="auto"/>
        <w:jc w:val="center"/>
        <w:rPr>
          <w:rFonts w:hint="eastAsia" w:ascii="宋体" w:hAnsi="宋体" w:eastAsia="宋体" w:cs="宋体"/>
          <w:b/>
          <w:color w:val="auto"/>
          <w:sz w:val="28"/>
          <w:szCs w:val="28"/>
          <w:highlight w:val="none"/>
        </w:rPr>
      </w:pPr>
    </w:p>
    <w:p>
      <w:pPr>
        <w:shd w:val="clear"/>
        <w:spacing w:line="480" w:lineRule="auto"/>
        <w:jc w:val="center"/>
        <w:rPr>
          <w:rFonts w:hint="eastAsia" w:ascii="宋体" w:hAnsi="宋体" w:eastAsia="宋体" w:cs="宋体"/>
          <w:b/>
          <w:color w:val="auto"/>
          <w:sz w:val="24"/>
          <w:highlight w:val="none"/>
        </w:rPr>
      </w:pPr>
    </w:p>
    <w:p>
      <w:pPr>
        <w:shd w:val="clear"/>
        <w:spacing w:line="480" w:lineRule="auto"/>
        <w:jc w:val="center"/>
        <w:rPr>
          <w:rFonts w:hint="eastAsia" w:ascii="宋体" w:hAnsi="宋体" w:eastAsia="宋体" w:cs="宋体"/>
          <w:b/>
          <w:color w:val="auto"/>
          <w:sz w:val="24"/>
          <w:highlight w:val="none"/>
        </w:rPr>
      </w:pPr>
    </w:p>
    <w:p>
      <w:pPr>
        <w:shd w:val="clea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hd w:val="clear"/>
        <w:spacing w:line="480" w:lineRule="auto"/>
        <w:jc w:val="center"/>
        <w:rPr>
          <w:rFonts w:ascii="仿宋_GB2312" w:hAnsi="仿宋" w:eastAsia="仿宋_GB2312" w:cs="仿宋_GB2312"/>
          <w:b/>
          <w:color w:val="auto"/>
          <w:sz w:val="36"/>
          <w:szCs w:val="36"/>
          <w:highlight w:val="none"/>
        </w:rPr>
      </w:pPr>
    </w:p>
    <w:p>
      <w:pPr>
        <w:pStyle w:val="26"/>
        <w:shd w:val="clear"/>
        <w:rPr>
          <w:rFonts w:ascii="仿宋" w:hAnsi="仿宋" w:eastAsia="仿宋"/>
          <w:color w:val="auto"/>
          <w:szCs w:val="24"/>
          <w:highlight w:val="none"/>
        </w:rPr>
      </w:pPr>
    </w:p>
    <w:p>
      <w:pPr>
        <w:pStyle w:val="26"/>
        <w:shd w:val="clear"/>
        <w:jc w:val="center"/>
        <w:rPr>
          <w:rFonts w:ascii="仿宋" w:hAnsi="仿宋" w:eastAsia="仿宋"/>
          <w:color w:val="auto"/>
          <w:szCs w:val="24"/>
          <w:highlight w:val="none"/>
        </w:rPr>
      </w:pPr>
    </w:p>
    <w:p>
      <w:pPr>
        <w:pStyle w:val="26"/>
        <w:shd w:val="clear"/>
        <w:rPr>
          <w:rFonts w:ascii="仿宋" w:hAnsi="仿宋" w:eastAsia="仿宋"/>
          <w:color w:val="auto"/>
          <w:szCs w:val="24"/>
          <w:highlight w:val="none"/>
        </w:rPr>
      </w:pPr>
    </w:p>
    <w:p>
      <w:pPr>
        <w:pStyle w:val="26"/>
        <w:shd w:val="clear"/>
        <w:rPr>
          <w:rFonts w:ascii="仿宋" w:hAnsi="仿宋" w:eastAsia="仿宋"/>
          <w:color w:val="auto"/>
          <w:szCs w:val="24"/>
          <w:highlight w:val="none"/>
        </w:rPr>
      </w:pPr>
    </w:p>
    <w:p>
      <w:pPr>
        <w:shd w:val="clear"/>
        <w:spacing w:before="120" w:line="22" w:lineRule="atLeast"/>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285"/>
        <w:shd w:val="clear"/>
        <w:spacing w:before="120" w:line="22" w:lineRule="atLeast"/>
        <w:rPr>
          <w:rFonts w:ascii="仿宋" w:hAnsi="仿宋" w:eastAsia="仿宋"/>
          <w:color w:val="auto"/>
          <w:szCs w:val="24"/>
          <w:highlight w:val="none"/>
        </w:rPr>
      </w:pPr>
    </w:p>
    <w:p>
      <w:pPr>
        <w:pStyle w:val="285"/>
        <w:shd w:val="clear"/>
        <w:spacing w:before="120" w:line="22" w:lineRule="atLeast"/>
        <w:rPr>
          <w:rFonts w:ascii="仿宋" w:hAnsi="仿宋" w:eastAsia="仿宋"/>
          <w:color w:val="auto"/>
          <w:szCs w:val="24"/>
          <w:highlight w:val="none"/>
        </w:rPr>
      </w:pPr>
    </w:p>
    <w:p>
      <w:pPr>
        <w:shd w:val="clear"/>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shd w:val="clear"/>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pStyle w:val="36"/>
        <w:shd w:val="clear"/>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6"/>
        <w:shd w:val="clear"/>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6"/>
        <w:shd w:val="clear"/>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ZFCG-20  -    ）公开招标的结果，签署本合同。</w:t>
      </w:r>
    </w:p>
    <w:p>
      <w:pPr>
        <w:shd w:val="clear"/>
        <w:spacing w:line="560" w:lineRule="exact"/>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1</w:t>
      </w:r>
      <w:r>
        <w:rPr>
          <w:rFonts w:hint="eastAsia" w:ascii="宋体" w:hAnsi="宋体"/>
          <w:b/>
          <w:color w:val="auto"/>
          <w:sz w:val="24"/>
          <w:highlight w:val="none"/>
          <w:lang w:eastAsia="zh-CN"/>
        </w:rPr>
        <w:t>、</w:t>
      </w:r>
      <w:r>
        <w:rPr>
          <w:rFonts w:hint="eastAsia" w:ascii="宋体" w:hAnsi="宋体" w:eastAsia="宋体"/>
          <w:b/>
          <w:color w:val="auto"/>
          <w:sz w:val="24"/>
          <w:highlight w:val="none"/>
        </w:rPr>
        <w:t>标的</w:t>
      </w:r>
    </w:p>
    <w:p>
      <w:pPr>
        <w:shd w:val="clea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hd w:val="clea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1.2</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hd w:val="clear"/>
        <w:spacing w:line="560" w:lineRule="exact"/>
        <w:ind w:firstLine="480" w:firstLineChars="200"/>
        <w:rPr>
          <w:rFonts w:ascii="仿宋" w:hAnsi="仿宋" w:eastAsia="仿宋"/>
          <w:color w:val="auto"/>
          <w:sz w:val="24"/>
          <w:highlight w:val="none"/>
        </w:rPr>
      </w:pPr>
      <w:r>
        <w:rPr>
          <w:rFonts w:ascii="宋体" w:hAnsi="宋体" w:eastAsia="宋体"/>
          <w:color w:val="auto"/>
          <w:sz w:val="24"/>
          <w:highlight w:val="none"/>
        </w:rPr>
        <w:t xml:space="preserve">1.3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pStyle w:val="36"/>
        <w:shd w:val="clear"/>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6"/>
        <w:shd w:val="clear"/>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hd w:val="clea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hd w:val="clear"/>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pPr>
        <w:shd w:val="clear"/>
        <w:spacing w:line="360" w:lineRule="auto"/>
        <w:ind w:firstLine="480" w:firstLineChars="200"/>
        <w:rPr>
          <w:rFonts w:hint="eastAsia" w:ascii="仿宋" w:hAnsi="仿宋" w:eastAsia="仿宋" w:cs="Times New Roman"/>
          <w:color w:val="auto"/>
          <w:kern w:val="0"/>
          <w:sz w:val="24"/>
          <w:szCs w:val="20"/>
          <w:highlight w:val="none"/>
        </w:rPr>
      </w:pPr>
    </w:p>
    <w:p>
      <w:pPr>
        <w:pStyle w:val="36"/>
        <w:shd w:val="clear"/>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6"/>
        <w:shd w:val="clear"/>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shd w:val="clea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shd w:val="clea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shd w:val="clea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shd w:val="clea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shd w:val="clea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8"/>
        <w:shd w:val="clear"/>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w:t>
      </w:r>
      <w:r>
        <w:rPr>
          <w:rFonts w:hint="eastAsia" w:ascii="仿宋" w:hAnsi="仿宋" w:eastAsia="仿宋"/>
          <w:color w:val="auto"/>
          <w:sz w:val="24"/>
          <w:highlight w:val="none"/>
          <w:lang w:val="en-US" w:eastAsia="zh-CN"/>
        </w:rPr>
        <w:t>以</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360" w:lineRule="auto"/>
        <w:ind w:firstLine="480" w:firstLineChars="200"/>
        <w:rPr>
          <w:color w:val="auto"/>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5.5</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p>
      <w:pPr>
        <w:shd w:val="clea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.2乙方采取分包方式履行合同的，甲方可直接向分包供应商支付款项。</w:t>
      </w:r>
    </w:p>
    <w:p>
      <w:pPr>
        <w:shd w:val="clea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hd w:val="clea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hd w:val="clear"/>
        <w:spacing w:line="360" w:lineRule="auto"/>
        <w:ind w:firstLine="482" w:firstLineChars="200"/>
        <w:outlineLvl w:val="0"/>
        <w:rPr>
          <w:rFonts w:ascii="仿宋" w:hAnsi="仿宋" w:eastAsia="仿宋"/>
          <w:b/>
          <w:color w:val="auto"/>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pPr>
        <w:pStyle w:val="618"/>
        <w:shd w:val="clear"/>
        <w:spacing w:before="0" w:beforeAutospacing="0" w:after="0" w:afterAutospacing="0" w:line="360" w:lineRule="auto"/>
        <w:ind w:firstLine="480"/>
        <w:rPr>
          <w:rFonts w:ascii="仿宋" w:hAnsi="仿宋" w:eastAsia="仿宋" w:cs="Times New Roman"/>
          <w:color w:val="auto"/>
          <w:highlight w:val="none"/>
        </w:rPr>
      </w:pPr>
      <w:r>
        <w:rPr>
          <w:rFonts w:hint="eastAsia" w:ascii="仿宋" w:hAnsi="仿宋" w:eastAsia="仿宋" w:cs="Times New Roman"/>
          <w:color w:val="auto"/>
          <w:highlight w:val="none"/>
          <w:lang w:val="en-US" w:eastAsia="zh-CN"/>
        </w:rPr>
        <w:t>9.</w:t>
      </w:r>
      <w:r>
        <w:rPr>
          <w:rFonts w:ascii="仿宋" w:hAnsi="仿宋" w:eastAsia="仿宋" w:cs="Times New Roman"/>
          <w:color w:val="auto"/>
          <w:highlight w:val="none"/>
        </w:rPr>
        <w:t>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hint="eastAsia" w:ascii="仿宋" w:hAnsi="仿宋" w:eastAsia="仿宋" w:cs="Times New Roman"/>
          <w:color w:val="auto"/>
          <w:highlight w:val="none"/>
          <w:lang w:val="en-US" w:eastAsia="zh-CN"/>
        </w:rPr>
        <w:t>7</w:t>
      </w:r>
      <w:r>
        <w:rPr>
          <w:rFonts w:ascii="仿宋" w:hAnsi="仿宋" w:eastAsia="仿宋" w:cs="Times New Roman"/>
          <w:color w:val="auto"/>
          <w:highlight w:val="none"/>
        </w:rPr>
        <w:t>个工作日内将资金支付到合同约定的乙方账户，有条件的甲方可以即时支付。甲方不得以机构变动、人员更替、政策调整、单位放假等为由延迟付款。</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.2甲方在政府采购合同中约定预付款，预付款比例</w:t>
      </w:r>
      <w:r>
        <w:rPr>
          <w:rFonts w:hint="eastAsia" w:ascii="仿宋" w:hAnsi="仿宋" w:eastAsia="仿宋"/>
          <w:color w:val="auto"/>
          <w:sz w:val="24"/>
          <w:highlight w:val="none"/>
        </w:rPr>
        <w:t>为</w:t>
      </w:r>
      <w:r>
        <w:rPr>
          <w:rFonts w:ascii="仿宋" w:hAnsi="仿宋" w:eastAsia="仿宋"/>
          <w:color w:val="auto"/>
          <w:sz w:val="24"/>
          <w:highlight w:val="none"/>
        </w:rPr>
        <w:t>合同金额的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％；项目分年安排预算的，每年预付款比例</w:t>
      </w:r>
      <w:r>
        <w:rPr>
          <w:rFonts w:hint="eastAsia" w:ascii="仿宋" w:hAnsi="仿宋" w:eastAsia="仿宋"/>
          <w:color w:val="auto"/>
          <w:sz w:val="24"/>
          <w:highlight w:val="none"/>
        </w:rPr>
        <w:t>为</w:t>
      </w:r>
      <w:r>
        <w:rPr>
          <w:rFonts w:ascii="仿宋" w:hAnsi="仿宋" w:eastAsia="仿宋"/>
          <w:color w:val="auto"/>
          <w:sz w:val="24"/>
          <w:highlight w:val="none"/>
        </w:rPr>
        <w:t>项目年度计划支付资金额的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％。采购项目实施以人工投入为主的，可适当降低预付款比例，但不低于</w:t>
      </w:r>
      <w:r>
        <w:rPr>
          <w:rFonts w:hint="eastAsia" w:ascii="仿宋" w:hAnsi="仿宋" w:eastAsia="仿宋"/>
          <w:color w:val="auto"/>
          <w:sz w:val="24"/>
          <w:highlight w:val="none"/>
          <w:lang w:val="en-US" w:eastAsia="zh-CN"/>
        </w:rPr>
        <w:t>20</w:t>
      </w:r>
      <w:r>
        <w:rPr>
          <w:rFonts w:ascii="仿宋" w:hAnsi="仿宋" w:eastAsia="仿宋"/>
          <w:color w:val="auto"/>
          <w:sz w:val="24"/>
          <w:highlight w:val="none"/>
        </w:rPr>
        <w:t>%。甲方可以根据项目特点、乙方信用等实际情况提高预付款比例，最高预付比例可以达到</w:t>
      </w:r>
      <w:r>
        <w:rPr>
          <w:rFonts w:hint="eastAsia" w:ascii="仿宋" w:hAnsi="仿宋" w:eastAsia="仿宋"/>
          <w:color w:val="auto"/>
          <w:sz w:val="24"/>
          <w:highlight w:val="none"/>
          <w:lang w:val="en-US" w:eastAsia="zh-CN"/>
        </w:rPr>
        <w:t>70</w:t>
      </w:r>
      <w:r>
        <w:rPr>
          <w:rFonts w:ascii="仿宋" w:hAnsi="仿宋" w:eastAsia="仿宋"/>
          <w:color w:val="auto"/>
          <w:sz w:val="24"/>
          <w:highlight w:val="none"/>
        </w:rPr>
        <w:t>%。</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hd w:val="clea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shd w:val="clea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hd w:val="clea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shd w:val="clea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hd w:val="clea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shd w:val="clea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shd w:val="clea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hd w:val="clea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shd w:val="clea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shd w:val="clea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shd w:val="clea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shd w:val="clea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hd w:val="clear"/>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.7违约责任</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另有约定的</w:t>
      </w:r>
      <w:r>
        <w:rPr>
          <w:rFonts w:hint="eastAsia" w:ascii="仿宋" w:hAnsi="仿宋" w:eastAsia="仿宋"/>
          <w:color w:val="auto"/>
          <w:sz w:val="24"/>
          <w:highlight w:val="none"/>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从其约定。</w:t>
      </w:r>
    </w:p>
    <w:p>
      <w:pPr>
        <w:shd w:val="clea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pPr>
        <w:shd w:val="clea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pPr>
        <w:shd w:val="clea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合同执行中涉及采购资金和采购内容修改或补充的，须经财政部门审批，并签书面补充协议报政府采购监督管理部门备案，作为主合同不可分割的一部分。</w:t>
      </w:r>
    </w:p>
    <w:p>
      <w:pPr>
        <w:shd w:val="clear"/>
        <w:snapToGrid/>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shd w:val="clea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shd w:val="clear"/>
        <w:adjustRightInd w:val="0"/>
        <w:snapToGrid/>
        <w:spacing w:line="360" w:lineRule="auto"/>
        <w:ind w:left="0" w:leftChars="0" w:right="0" w:firstLine="0" w:firstLineChars="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pPr>
        <w:shd w:val="clea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pPr>
        <w:shd w:val="clear"/>
        <w:wordWrap/>
        <w:spacing w:line="360" w:lineRule="auto"/>
        <w:jc w:val="both"/>
        <w:rPr>
          <w:rFonts w:hint="eastAsia" w:ascii="仿宋" w:hAnsi="仿宋" w:eastAsia="仿宋" w:cs="仿宋"/>
          <w:color w:val="auto"/>
          <w:sz w:val="24"/>
          <w:highlight w:val="none"/>
        </w:rPr>
      </w:pPr>
    </w:p>
    <w:p>
      <w:pPr>
        <w:shd w:val="clea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spacing w:line="360" w:lineRule="auto"/>
        <w:rPr>
          <w:rFonts w:hint="eastAsia" w:ascii="仿宋" w:hAnsi="仿宋" w:eastAsia="仿宋" w:cs="仿宋"/>
          <w:b/>
          <w:bCs/>
          <w:color w:val="auto"/>
          <w:sz w:val="24"/>
          <w:highlight w:val="none"/>
        </w:rPr>
      </w:pPr>
      <w:bookmarkStart w:id="395" w:name="_Toc350327365"/>
      <w:bookmarkStart w:id="396" w:name="_Toc326765771"/>
      <w:bookmarkStart w:id="397" w:name="_Toc868"/>
      <w:bookmarkStart w:id="398" w:name="_Toc339872468"/>
      <w:bookmarkStart w:id="399" w:name="_Toc328381300"/>
      <w:bookmarkStart w:id="400" w:name="_Toc349721554"/>
      <w:r>
        <w:rPr>
          <w:rFonts w:hint="eastAsia" w:ascii="仿宋" w:hAnsi="仿宋" w:eastAsia="仿宋" w:cs="仿宋"/>
          <w:b/>
          <w:bCs/>
          <w:color w:val="auto"/>
          <w:sz w:val="24"/>
          <w:highlight w:val="none"/>
        </w:rPr>
        <w:t xml:space="preserve"> 此仅为合同书样本，中标单位需根据实际情况和采购人签订相应的合同！</w:t>
      </w:r>
      <w:bookmarkEnd w:id="395"/>
      <w:bookmarkEnd w:id="396"/>
      <w:bookmarkEnd w:id="397"/>
      <w:bookmarkEnd w:id="398"/>
      <w:bookmarkEnd w:id="399"/>
      <w:bookmarkEnd w:id="400"/>
    </w:p>
    <w:p>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pPr>
        <w:pStyle w:val="4"/>
        <w:shd w:val="clear"/>
        <w:rPr>
          <w:rFonts w:hint="eastAsia" w:ascii="宋体" w:hAnsi="宋体" w:eastAsia="宋体" w:cs="宋体"/>
          <w:color w:val="auto"/>
          <w:highlight w:val="none"/>
          <w:lang w:val="en-US"/>
        </w:rPr>
      </w:pPr>
    </w:p>
    <w:p>
      <w:pPr>
        <w:shd w:val="clear"/>
        <w:spacing w:line="360" w:lineRule="auto"/>
        <w:ind w:left="720" w:firstLine="723" w:firstLineChars="200"/>
        <w:outlineLvl w:val="0"/>
        <w:rPr>
          <w:rFonts w:hint="eastAsia" w:ascii="宋体" w:hAnsi="宋体" w:eastAsia="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hd w:val="clea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bookmarkEnd w:id="394"/>
      <w:r>
        <w:rPr>
          <w:rFonts w:hint="eastAsia" w:ascii="宋体" w:hAnsi="宋体" w:eastAsia="宋体" w:cs="宋体"/>
          <w:b/>
          <w:color w:val="auto"/>
          <w:sz w:val="36"/>
          <w:szCs w:val="20"/>
          <w:highlight w:val="none"/>
        </w:rPr>
        <w:t>应提交的有关格式范例</w:t>
      </w: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（4）联合协议（单独投标无需提供）……………………………………（页码）</w:t>
      </w:r>
    </w:p>
    <w:p>
      <w:pPr>
        <w:shd w:val="clear"/>
        <w:snapToGrid w:val="0"/>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Times New Roman"/>
          <w:color w:val="auto"/>
          <w:sz w:val="24"/>
          <w:highlight w:val="none"/>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二</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hd w:val="clea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hd w:val="clea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hd w:val="clea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hd w:val="clear"/>
        <w:spacing w:line="360" w:lineRule="auto"/>
        <w:ind w:firstLine="480"/>
        <w:jc w:val="left"/>
        <w:rPr>
          <w:rFonts w:ascii="仿宋_GB2312" w:hAnsi="宋体" w:eastAsia="仿宋_GB2312"/>
          <w:color w:val="auto"/>
          <w:sz w:val="24"/>
          <w:highlight w:val="none"/>
        </w:rPr>
      </w:pPr>
    </w:p>
    <w:p>
      <w:pPr>
        <w:widowControl/>
        <w:shd w:val="clear"/>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hd w:val="clear"/>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shd w:val="clear"/>
        <w:ind w:left="664" w:leftChars="316" w:firstLine="229" w:firstLineChars="95"/>
        <w:rPr>
          <w:color w:val="auto"/>
          <w:highlight w:val="none"/>
        </w:rPr>
      </w:pPr>
      <w:r>
        <w:rPr>
          <w:rFonts w:hint="eastAsia" w:cs="仿宋_GB2312"/>
          <w:color w:val="auto"/>
          <w:kern w:val="0"/>
          <w:sz w:val="24"/>
          <w:szCs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hd w:val="clea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hd w:val="clea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hd w:val="clea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hd w:val="clear"/>
        <w:spacing w:line="360" w:lineRule="auto"/>
        <w:ind w:left="150"/>
        <w:jc w:val="center"/>
        <w:rPr>
          <w:rFonts w:ascii="仿宋_GB2312" w:hAnsi="仿宋" w:eastAsia="仿宋_GB2312" w:cs="仿宋_GB2312"/>
          <w:b/>
          <w:color w:val="auto"/>
          <w:kern w:val="0"/>
          <w:sz w:val="32"/>
          <w:szCs w:val="32"/>
          <w:highlight w:val="none"/>
        </w:rPr>
      </w:pPr>
    </w:p>
    <w:p>
      <w:pPr>
        <w:widowControl/>
        <w:shd w:val="clear"/>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hd w:val="clea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shd w:val="clear"/>
        <w:spacing w:line="360" w:lineRule="auto"/>
        <w:jc w:val="center"/>
        <w:rPr>
          <w:rFonts w:hint="eastAsia" w:ascii="宋体" w:hAnsi="宋体" w:eastAsia="宋体" w:cs="宋体"/>
          <w:color w:val="auto"/>
          <w:sz w:val="24"/>
          <w:highlight w:val="none"/>
        </w:rPr>
      </w:pPr>
    </w:p>
    <w:p>
      <w:pPr>
        <w:shd w:val="clear"/>
        <w:rPr>
          <w:rFonts w:hint="eastAsia" w:ascii="宋体" w:hAnsi="宋体" w:eastAsia="宋体" w:cs="宋体"/>
          <w:color w:val="auto"/>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bCs/>
          <w:color w:val="auto"/>
          <w:sz w:val="32"/>
          <w:szCs w:val="32"/>
          <w:highlight w:val="none"/>
          <w:lang w:val="zh-CN"/>
        </w:rPr>
      </w:pPr>
    </w:p>
    <w:p>
      <w:pPr>
        <w:shd w:val="clear"/>
        <w:jc w:val="center"/>
        <w:rPr>
          <w:rFonts w:hint="eastAsia" w:ascii="宋体" w:hAnsi="宋体" w:eastAsia="宋体" w:cs="宋体"/>
          <w:b/>
          <w:bCs/>
          <w:color w:val="auto"/>
          <w:sz w:val="32"/>
          <w:szCs w:val="32"/>
          <w:highlight w:val="none"/>
          <w:lang w:val="zh-CN"/>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hd w:val="clear"/>
        <w:spacing w:line="360" w:lineRule="auto"/>
        <w:jc w:val="center"/>
        <w:outlineLvl w:val="0"/>
        <w:rPr>
          <w:rFonts w:hint="eastAsia" w:ascii="宋体" w:hAnsi="宋体" w:eastAsia="宋体" w:cs="宋体"/>
          <w:b/>
          <w:color w:val="auto"/>
          <w:kern w:val="0"/>
          <w:sz w:val="24"/>
          <w:highlight w:val="none"/>
        </w:rPr>
      </w:pPr>
    </w:p>
    <w:p>
      <w:pPr>
        <w:shd w:val="clea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hd w:val="clear"/>
        <w:snapToGrid w:val="0"/>
        <w:spacing w:line="360" w:lineRule="auto"/>
        <w:ind w:left="479" w:leftChars="228"/>
        <w:rPr>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投标标的清单</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8</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hd w:val="clear"/>
        <w:snapToGrid w:val="0"/>
        <w:spacing w:line="360" w:lineRule="auto"/>
        <w:jc w:val="both"/>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highlight w:val="none"/>
          <w:lang w:val="en-US" w:eastAsia="zh-CN"/>
        </w:rPr>
        <w:t>10</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highlight w:val="none"/>
        </w:rPr>
        <w:t>…………………………………</w:t>
      </w:r>
      <w:r>
        <w:rPr>
          <w:rFonts w:hint="eastAsia" w:cs="仿宋_GB2312"/>
          <w:color w:val="auto"/>
          <w:highlight w:val="none"/>
          <w:lang w:val="en-US" w:eastAsia="zh-CN"/>
        </w:rPr>
        <w:t xml:space="preserve"> </w:t>
      </w:r>
      <w:r>
        <w:rPr>
          <w:rFonts w:hint="eastAsia" w:cs="仿宋_GB2312"/>
          <w:color w:val="auto"/>
          <w:highlight w:val="none"/>
        </w:rPr>
        <w:t>（页码）</w:t>
      </w: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hd w:val="clea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hd w:val="clea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hd w:val="clea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hd w:val="clea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hd w:val="clea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rPr>
          <w:rFonts w:ascii="仿宋_GB2312" w:hAnsi="仿宋" w:eastAsia="仿宋_GB2312" w:cs="仿宋_GB2312"/>
          <w:color w:val="auto"/>
          <w:sz w:val="24"/>
          <w:highlight w:val="none"/>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pStyle w:val="4"/>
        <w:shd w:val="clear"/>
        <w:rPr>
          <w:color w:val="auto"/>
          <w:highlight w:val="none"/>
          <w:lang w:val="zh-CN"/>
        </w:rPr>
      </w:pPr>
    </w:p>
    <w:p>
      <w:pPr>
        <w:shd w:val="clea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hd w:val="clea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hd w:val="clea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sz w:val="24"/>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90"/>
        <w:shd w:val="clear"/>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shd w:val="clear"/>
              <w:adjustRightInd w:val="0"/>
              <w:spacing w:before="0" w:beforeAutospacing="0" w:after="0" w:afterAutospacing="0" w:line="360" w:lineRule="auto"/>
              <w:ind w:left="0" w:right="0"/>
              <w:rPr>
                <w:rFonts w:hint="eastAsia" w:ascii="仿宋_GB2312" w:hAnsi="仿宋" w:eastAsia="仿宋_GB2312" w:cs="Times New Roman"/>
                <w:bCs/>
                <w:color w:val="auto"/>
                <w:sz w:val="24"/>
                <w:szCs w:val="20"/>
                <w:highlight w:val="none"/>
              </w:rPr>
            </w:pPr>
            <w:r>
              <w:rPr>
                <w:rFonts w:hint="eastAsia" w:ascii="仿宋_GB2312" w:hAnsi="仿宋" w:eastAsia="仿宋_GB2312" w:cs="Times New Roman"/>
                <w:bCs/>
                <w:color w:val="auto"/>
                <w:sz w:val="24"/>
                <w:szCs w:val="20"/>
                <w:highlight w:val="none"/>
              </w:rPr>
              <w:t>正面：                                 反面：</w:t>
            </w:r>
          </w:p>
          <w:p>
            <w:pPr>
              <w:pStyle w:val="90"/>
              <w:shd w:val="clear"/>
              <w:adjustRightInd w:val="0"/>
              <w:spacing w:before="0" w:beforeAutospacing="0" w:after="0" w:afterAutospacing="0" w:line="360" w:lineRule="auto"/>
              <w:ind w:left="0" w:right="0"/>
              <w:rPr>
                <w:rFonts w:hint="eastAsia" w:ascii="仿宋_GB2312" w:hAnsi="仿宋" w:eastAsia="仿宋_GB2312" w:cs="Times New Roman"/>
                <w:bCs/>
                <w:color w:val="auto"/>
                <w:sz w:val="24"/>
                <w:szCs w:val="20"/>
                <w:highlight w:val="none"/>
              </w:rPr>
            </w:pPr>
          </w:p>
        </w:tc>
      </w:tr>
    </w:tbl>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hd w:val="clea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pStyle w:val="4"/>
        <w:shd w:val="clear"/>
        <w:rPr>
          <w:color w:val="auto"/>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hd w:val="clear"/>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snapToGrid w:val="0"/>
        <w:spacing w:line="360" w:lineRule="auto"/>
        <w:ind w:right="480"/>
        <w:rPr>
          <w:rFonts w:ascii="仿宋_GB2312" w:hAnsi="仿宋" w:eastAsia="仿宋_GB2312" w:cs="仿宋_GB2312"/>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hd w:val="clea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hd w:val="clear"/>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shd w:val="clear"/>
        <w:ind w:left="664" w:leftChars="316" w:firstLine="229" w:firstLineChars="95"/>
        <w:rPr>
          <w:color w:val="auto"/>
          <w:highlight w:val="none"/>
        </w:rPr>
      </w:pPr>
      <w:r>
        <w:rPr>
          <w:rFonts w:hint="eastAsia" w:cs="仿宋_GB2312"/>
          <w:color w:val="auto"/>
          <w:kern w:val="0"/>
          <w:sz w:val="24"/>
          <w:szCs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hd w:val="clea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hd w:val="clea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hd w:val="clea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jc w:val="center"/>
        <w:rPr>
          <w:rFonts w:hint="eastAsia"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shd w:val="clear"/>
        <w:jc w:val="center"/>
        <w:rPr>
          <w:rFonts w:ascii="仿宋_GB2312" w:hAnsi="仿宋" w:eastAsia="仿宋_GB2312" w:cs="仿宋_GB2312"/>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序号</w:t>
            </w:r>
          </w:p>
        </w:tc>
        <w:tc>
          <w:tcPr>
            <w:tcW w:w="4991" w:type="dxa"/>
            <w:vAlign w:val="center"/>
          </w:tcPr>
          <w:p>
            <w:pPr>
              <w:shd w:val="clea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实质性要求</w:t>
            </w:r>
          </w:p>
        </w:tc>
        <w:tc>
          <w:tcPr>
            <w:tcW w:w="2551" w:type="dxa"/>
            <w:vAlign w:val="center"/>
          </w:tcPr>
          <w:p>
            <w:pPr>
              <w:shd w:val="clea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需要提供的符合性审查资料</w:t>
            </w:r>
          </w:p>
        </w:tc>
        <w:tc>
          <w:tcPr>
            <w:tcW w:w="1418" w:type="dxa"/>
            <w:vAlign w:val="center"/>
          </w:tcPr>
          <w:p>
            <w:pPr>
              <w:shd w:val="clea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投标文件中的</w:t>
            </w:r>
          </w:p>
          <w:p>
            <w:pPr>
              <w:shd w:val="clear"/>
              <w:snapToGrid w:val="0"/>
              <w:spacing w:before="0" w:beforeAutospacing="0" w:after="0" w:afterAutospacing="0" w:line="240" w:lineRule="atLeast"/>
              <w:ind w:left="0" w:right="0"/>
              <w:jc w:val="center"/>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w:t>
            </w:r>
          </w:p>
        </w:tc>
        <w:tc>
          <w:tcPr>
            <w:tcW w:w="4991" w:type="dxa"/>
            <w:vAlign w:val="top"/>
          </w:tcPr>
          <w:p>
            <w:pPr>
              <w:shd w:val="clear"/>
              <w:spacing w:before="0" w:beforeAutospacing="0" w:after="0" w:afterAutospacing="0" w:line="360" w:lineRule="auto"/>
              <w:ind w:left="0" w:right="0"/>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投标文件按照招标文件要求签署、盖章。</w:t>
            </w:r>
          </w:p>
        </w:tc>
        <w:tc>
          <w:tcPr>
            <w:tcW w:w="2551" w:type="dxa"/>
            <w:vAlign w:val="center"/>
          </w:tcPr>
          <w:p>
            <w:pPr>
              <w:shd w:val="clea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需要使用电子签名或者签字盖章的投标文件的组成部分</w:t>
            </w:r>
          </w:p>
        </w:tc>
        <w:tc>
          <w:tcPr>
            <w:tcW w:w="1418" w:type="dxa"/>
            <w:vAlign w:val="top"/>
          </w:tcPr>
          <w:p>
            <w:pPr>
              <w:shd w:val="clear"/>
              <w:spacing w:before="0" w:beforeAutospacing="0" w:after="0" w:afterAutospacing="0"/>
              <w:ind w:left="0" w:right="0"/>
              <w:rPr>
                <w:rFonts w:hint="eastAsia" w:ascii="仿宋" w:hAnsi="仿宋" w:eastAsia="仿宋" w:cs="仿宋_GB2312"/>
                <w:color w:val="auto"/>
                <w:sz w:val="24"/>
                <w:szCs w:val="20"/>
                <w:highlight w:val="none"/>
              </w:rPr>
            </w:pPr>
          </w:p>
          <w:p>
            <w:pPr>
              <w:shd w:val="clear"/>
              <w:spacing w:before="0" w:beforeAutospacing="0" w:after="0" w:afterAutospacing="0"/>
              <w:ind w:left="0" w:right="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见投标文件</w:t>
            </w:r>
          </w:p>
          <w:p>
            <w:pPr>
              <w:shd w:val="clea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Times New Roman" w:eastAsia="仿宋" w:cs="仿宋_GB2312"/>
                <w:color w:val="auto"/>
                <w:sz w:val="24"/>
                <w:szCs w:val="20"/>
                <w:highlight w:val="none"/>
              </w:rPr>
              <w:t>第</w:t>
            </w:r>
            <w:r>
              <w:rPr>
                <w:rFonts w:hint="eastAsia" w:ascii="仿宋" w:hAnsi="Times New Roman" w:eastAsia="仿宋" w:cs="仿宋_GB2312"/>
                <w:color w:val="auto"/>
                <w:sz w:val="24"/>
                <w:szCs w:val="20"/>
                <w:highlight w:val="none"/>
                <w:u w:val="single"/>
              </w:rPr>
              <w:t xml:space="preserve">  </w:t>
            </w:r>
            <w:r>
              <w:rPr>
                <w:rFonts w:hint="eastAsia" w:ascii="仿宋" w:hAnsi="Times New Roman" w:eastAsia="仿宋" w:cs="仿宋_GB2312"/>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2</w:t>
            </w:r>
          </w:p>
        </w:tc>
        <w:tc>
          <w:tcPr>
            <w:tcW w:w="4991" w:type="dxa"/>
            <w:vAlign w:val="top"/>
          </w:tcPr>
          <w:p>
            <w:pPr>
              <w:shd w:val="clea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hd w:val="clea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_GB2312" w:hAnsi="仿宋" w:eastAsia="仿宋_GB2312" w:cs="仿宋_GB2312"/>
                <w:color w:val="auto"/>
                <w:sz w:val="24"/>
                <w:szCs w:val="20"/>
                <w:highlight w:val="none"/>
              </w:rPr>
              <w:t>节能产品认证证书（本项目</w:t>
            </w:r>
            <w:r>
              <w:rPr>
                <w:rFonts w:hint="eastAsia" w:ascii="仿宋_GB2312" w:hAnsi="仿宋" w:eastAsia="仿宋_GB2312" w:cs="Times New Roman"/>
                <w:color w:val="auto"/>
                <w:sz w:val="24"/>
                <w:szCs w:val="20"/>
                <w:highlight w:val="none"/>
              </w:rPr>
              <w:t>拟采购的产品不属于政府强制采购的节能产品品目清单范围的</w:t>
            </w:r>
            <w:r>
              <w:rPr>
                <w:rFonts w:hint="eastAsia" w:ascii="仿宋_GB2312" w:hAnsi="仿宋" w:eastAsia="仿宋_GB2312" w:cs="仿宋_GB2312"/>
                <w:color w:val="auto"/>
                <w:sz w:val="24"/>
                <w:szCs w:val="20"/>
                <w:highlight w:val="none"/>
              </w:rPr>
              <w:t>，无需提供）</w:t>
            </w:r>
          </w:p>
        </w:tc>
        <w:tc>
          <w:tcPr>
            <w:tcW w:w="1418" w:type="dxa"/>
            <w:vAlign w:val="top"/>
          </w:tcPr>
          <w:p>
            <w:pPr>
              <w:shd w:val="clear"/>
              <w:spacing w:before="0" w:beforeAutospacing="0" w:after="0" w:afterAutospacing="0"/>
              <w:ind w:left="0" w:right="0"/>
              <w:rPr>
                <w:rFonts w:hint="eastAsia" w:ascii="仿宋" w:hAnsi="仿宋" w:eastAsia="仿宋" w:cs="仿宋_GB2312"/>
                <w:color w:val="auto"/>
                <w:sz w:val="24"/>
                <w:szCs w:val="20"/>
                <w:highlight w:val="none"/>
              </w:rPr>
            </w:pPr>
          </w:p>
          <w:p>
            <w:pPr>
              <w:shd w:val="clear"/>
              <w:spacing w:before="0" w:beforeAutospacing="0" w:after="0" w:afterAutospacing="0"/>
              <w:ind w:left="0" w:right="0"/>
              <w:rPr>
                <w:rFonts w:hint="eastAsia" w:ascii="仿宋" w:hAnsi="仿宋" w:eastAsia="仿宋" w:cs="仿宋_GB2312"/>
                <w:color w:val="auto"/>
                <w:sz w:val="24"/>
                <w:szCs w:val="20"/>
                <w:highlight w:val="none"/>
              </w:rPr>
            </w:pPr>
          </w:p>
          <w:p>
            <w:pPr>
              <w:shd w:val="clear"/>
              <w:spacing w:before="0" w:beforeAutospacing="0" w:after="0" w:afterAutospacing="0"/>
              <w:ind w:left="0" w:right="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见投标文件</w:t>
            </w:r>
          </w:p>
          <w:p>
            <w:pPr>
              <w:pStyle w:val="4"/>
              <w:shd w:val="clear"/>
              <w:spacing w:before="0" w:beforeAutospacing="0" w:after="0" w:afterAutospacing="0"/>
              <w:ind w:right="0"/>
              <w:rPr>
                <w:rFonts w:hint="eastAsia" w:ascii="Times New Roman" w:hAnsi="Times New Roman" w:cs="Times New Roman"/>
                <w:color w:val="auto"/>
                <w:sz w:val="20"/>
                <w:szCs w:val="20"/>
                <w:highlight w:val="none"/>
                <w:lang w:val="en-US"/>
              </w:rPr>
            </w:pPr>
            <w:r>
              <w:rPr>
                <w:rFonts w:hint="eastAsia" w:ascii="仿宋" w:hAnsi="Times New Roman" w:eastAsia="仿宋" w:cs="仿宋_GB2312"/>
                <w:b w:val="0"/>
                <w:bCs w:val="0"/>
                <w:color w:val="auto"/>
                <w:sz w:val="24"/>
                <w:szCs w:val="24"/>
                <w:highlight w:val="none"/>
                <w:lang w:val="en-US"/>
              </w:rPr>
              <w:t>第</w:t>
            </w:r>
            <w:r>
              <w:rPr>
                <w:rFonts w:hint="eastAsia" w:ascii="仿宋" w:hAnsi="Times New Roman" w:eastAsia="仿宋" w:cs="仿宋_GB2312"/>
                <w:b w:val="0"/>
                <w:bCs w:val="0"/>
                <w:color w:val="auto"/>
                <w:sz w:val="24"/>
                <w:szCs w:val="24"/>
                <w:highlight w:val="none"/>
                <w:u w:val="single"/>
                <w:lang w:val="en-US"/>
              </w:rPr>
              <w:t xml:space="preserve">  </w:t>
            </w:r>
            <w:r>
              <w:rPr>
                <w:rFonts w:hint="eastAsia" w:ascii="仿宋" w:hAnsi="Times New Roman"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w:t>
            </w:r>
          </w:p>
        </w:tc>
        <w:tc>
          <w:tcPr>
            <w:tcW w:w="4991" w:type="dxa"/>
            <w:vAlign w:val="top"/>
          </w:tcPr>
          <w:p>
            <w:pPr>
              <w:shd w:val="clear"/>
              <w:spacing w:before="0" w:beforeAutospacing="0" w:after="0" w:afterAutospacing="0" w:line="360" w:lineRule="auto"/>
              <w:ind w:left="0" w:right="0"/>
              <w:rPr>
                <w:rFonts w:hint="eastAsia" w:ascii="仿宋_GB2312" w:hAnsi="仿宋" w:eastAsia="仿宋_GB2312" w:cs="仿宋_GB2312"/>
                <w:color w:val="auto"/>
                <w:sz w:val="24"/>
                <w:szCs w:val="20"/>
                <w:highlight w:val="none"/>
              </w:rPr>
            </w:pPr>
            <w:r>
              <w:rPr>
                <w:rFonts w:hint="eastAsia" w:ascii="仿宋_GB2312" w:hAnsi="仿宋" w:eastAsia="仿宋_GB2312" w:cs="Times New Roman"/>
                <w:color w:val="auto"/>
                <w:sz w:val="24"/>
                <w:szCs w:val="20"/>
                <w:highlight w:val="none"/>
              </w:rPr>
              <w:t>投标文件中承诺的投标有效期不少于招标文件中载明的投标有效期。</w:t>
            </w:r>
          </w:p>
        </w:tc>
        <w:tc>
          <w:tcPr>
            <w:tcW w:w="2551" w:type="dxa"/>
            <w:vAlign w:val="center"/>
          </w:tcPr>
          <w:p>
            <w:pPr>
              <w:shd w:val="clea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投标函</w:t>
            </w:r>
          </w:p>
        </w:tc>
        <w:tc>
          <w:tcPr>
            <w:tcW w:w="1418" w:type="dxa"/>
            <w:vAlign w:val="top"/>
          </w:tcPr>
          <w:p>
            <w:pPr>
              <w:shd w:val="clea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仿宋" w:eastAsia="仿宋" w:cs="仿宋_GB2312"/>
                <w:color w:val="auto"/>
                <w:sz w:val="24"/>
                <w:szCs w:val="20"/>
                <w:highlight w:val="none"/>
              </w:rPr>
              <w:t>见投标文件第</w:t>
            </w:r>
            <w:r>
              <w:rPr>
                <w:rFonts w:hint="eastAsia" w:ascii="仿宋" w:hAnsi="仿宋" w:eastAsia="仿宋" w:cs="仿宋_GB2312"/>
                <w:color w:val="auto"/>
                <w:sz w:val="24"/>
                <w:szCs w:val="20"/>
                <w:highlight w:val="none"/>
                <w:u w:val="single"/>
              </w:rPr>
              <w:t xml:space="preserve">  </w:t>
            </w:r>
            <w:r>
              <w:rPr>
                <w:rFonts w:hint="eastAsia" w:ascii="仿宋" w:hAnsi="仿宋" w:eastAsia="仿宋" w:cs="仿宋_GB2312"/>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4</w:t>
            </w:r>
          </w:p>
        </w:tc>
        <w:tc>
          <w:tcPr>
            <w:tcW w:w="4991" w:type="dxa"/>
            <w:vAlign w:val="top"/>
          </w:tcPr>
          <w:p>
            <w:pPr>
              <w:shd w:val="clea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投标文件满足招标文件的其它实质性要求。</w:t>
            </w:r>
          </w:p>
        </w:tc>
        <w:tc>
          <w:tcPr>
            <w:tcW w:w="2551" w:type="dxa"/>
            <w:vAlign w:val="center"/>
          </w:tcPr>
          <w:p>
            <w:pPr>
              <w:shd w:val="clear"/>
              <w:spacing w:before="0" w:beforeAutospacing="0" w:after="0" w:afterAutospacing="0"/>
              <w:ind w:left="0" w:right="0"/>
              <w:rPr>
                <w:rFonts w:hint="eastAsia" w:ascii="仿宋" w:hAnsi="仿宋" w:eastAsia="仿宋" w:cs="Times New Roman"/>
                <w:color w:val="auto"/>
                <w:sz w:val="24"/>
                <w:szCs w:val="20"/>
                <w:highlight w:val="none"/>
              </w:rPr>
            </w:pPr>
            <w:r>
              <w:rPr>
                <w:rFonts w:hint="eastAsia" w:ascii="仿宋_GB2312" w:hAnsi="仿宋" w:eastAsia="仿宋_GB2312" w:cs="仿宋_GB2312"/>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hd w:val="clea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仿宋" w:hAnsi="仿宋" w:eastAsia="仿宋" w:cs="仿宋_GB2312"/>
                <w:color w:val="auto"/>
                <w:sz w:val="24"/>
                <w:szCs w:val="20"/>
                <w:highlight w:val="none"/>
              </w:rPr>
              <w:t>见投标文件第</w:t>
            </w:r>
            <w:r>
              <w:rPr>
                <w:rFonts w:hint="eastAsia" w:ascii="仿宋" w:hAnsi="仿宋" w:eastAsia="仿宋" w:cs="仿宋_GB2312"/>
                <w:color w:val="auto"/>
                <w:sz w:val="24"/>
                <w:szCs w:val="20"/>
                <w:highlight w:val="none"/>
                <w:u w:val="single"/>
              </w:rPr>
              <w:t xml:space="preserve">  </w:t>
            </w:r>
            <w:r>
              <w:rPr>
                <w:rFonts w:hint="eastAsia" w:ascii="仿宋" w:hAnsi="仿宋" w:eastAsia="仿宋" w:cs="仿宋_GB2312"/>
                <w:color w:val="auto"/>
                <w:sz w:val="24"/>
                <w:szCs w:val="20"/>
                <w:highlight w:val="none"/>
              </w:rPr>
              <w:t>页</w:t>
            </w:r>
          </w:p>
        </w:tc>
      </w:tr>
    </w:tbl>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pStyle w:val="4"/>
        <w:shd w:val="clear"/>
        <w:rPr>
          <w:color w:val="auto"/>
          <w:highlight w:val="none"/>
        </w:rPr>
      </w:pPr>
    </w:p>
    <w:p>
      <w:pPr>
        <w:shd w:val="clea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hd w:val="clea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hint="eastAsia" w:ascii="仿宋_GB2312" w:hAnsi="仿宋" w:eastAsia="仿宋_GB2312" w:cs="仿宋_GB2312"/>
          <w:b/>
          <w:color w:val="auto"/>
          <w:kern w:val="0"/>
          <w:sz w:val="32"/>
          <w:szCs w:val="32"/>
          <w:highlight w:val="none"/>
        </w:rPr>
      </w:pPr>
    </w:p>
    <w:p>
      <w:pPr>
        <w:shd w:val="clear"/>
        <w:jc w:val="center"/>
        <w:rPr>
          <w:rFonts w:hint="eastAsia" w:ascii="仿宋_GB2312" w:hAnsi="仿宋" w:eastAsia="仿宋_GB2312" w:cs="仿宋_GB2312"/>
          <w:b/>
          <w:color w:val="auto"/>
          <w:kern w:val="0"/>
          <w:sz w:val="32"/>
          <w:szCs w:val="32"/>
          <w:highlight w:val="none"/>
        </w:rPr>
      </w:pPr>
    </w:p>
    <w:p>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p>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p>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4"/>
        <w:shd w:val="clear"/>
        <w:rPr>
          <w:rFonts w:hint="eastAsia" w:ascii="仿宋_GB2312" w:hAnsi="仿宋" w:eastAsia="仿宋_GB2312" w:cs="仿宋_GB2312"/>
          <w:b/>
          <w:color w:val="auto"/>
          <w:kern w:val="0"/>
          <w:sz w:val="32"/>
          <w:szCs w:val="32"/>
          <w:highlight w:val="none"/>
        </w:rPr>
      </w:pPr>
    </w:p>
    <w:p>
      <w:pPr>
        <w:shd w:val="clear"/>
        <w:rPr>
          <w:rFonts w:hint="eastAsia" w:ascii="仿宋_GB2312" w:hAnsi="仿宋" w:eastAsia="仿宋_GB2312" w:cs="仿宋_GB2312"/>
          <w:b/>
          <w:color w:val="auto"/>
          <w:kern w:val="0"/>
          <w:sz w:val="32"/>
          <w:szCs w:val="32"/>
          <w:highlight w:val="none"/>
        </w:rPr>
      </w:pPr>
    </w:p>
    <w:p>
      <w:pPr>
        <w:pStyle w:val="4"/>
        <w:shd w:val="clear"/>
        <w:rPr>
          <w:rFonts w:hint="eastAsia" w:ascii="仿宋_GB2312" w:hAnsi="仿宋" w:eastAsia="仿宋_GB2312" w:cs="仿宋_GB2312"/>
          <w:b/>
          <w:color w:val="auto"/>
          <w:kern w:val="0"/>
          <w:sz w:val="32"/>
          <w:szCs w:val="32"/>
          <w:highlight w:val="none"/>
        </w:rPr>
      </w:pPr>
    </w:p>
    <w:p>
      <w:pPr>
        <w:shd w:val="clear"/>
        <w:rPr>
          <w:rFonts w:hint="eastAsia"/>
          <w:color w:val="auto"/>
          <w:highlight w:val="none"/>
        </w:rPr>
      </w:pPr>
    </w:p>
    <w:p>
      <w:pPr>
        <w:shd w:val="clea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八</w:t>
      </w:r>
      <w:r>
        <w:rPr>
          <w:rFonts w:hint="eastAsia" w:ascii="仿宋_GB2312" w:hAnsi="仿宋" w:eastAsia="仿宋_GB2312" w:cs="仿宋_GB2312"/>
          <w:b/>
          <w:color w:val="auto"/>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shd w:val="clea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shd w:val="clea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shd w:val="clear"/>
              <w:spacing w:before="0" w:beforeAutospacing="0" w:after="0" w:afterAutospacing="0"/>
              <w:ind w:left="0" w:right="0"/>
              <w:jc w:val="center"/>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p>
        </w:tc>
        <w:tc>
          <w:tcPr>
            <w:tcW w:w="3683"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w:t>
            </w:r>
          </w:p>
        </w:tc>
        <w:tc>
          <w:tcPr>
            <w:tcW w:w="3683"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hd w:val="clear"/>
              <w:spacing w:before="0" w:beforeAutospacing="0" w:after="0" w:afterAutospacing="0"/>
              <w:ind w:left="0" w:right="0"/>
              <w:jc w:val="cente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3546"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c>
          <w:tcPr>
            <w:tcW w:w="1276" w:type="dxa"/>
            <w:vAlign w:val="top"/>
          </w:tcPr>
          <w:p>
            <w:pPr>
              <w:shd w:val="clear"/>
              <w:spacing w:before="0" w:beforeAutospacing="0" w:after="0" w:afterAutospacing="0"/>
              <w:ind w:left="0" w:right="0"/>
              <w:jc w:val="center"/>
              <w:rPr>
                <w:rFonts w:hint="eastAsia" w:ascii="仿宋_GB2312" w:hAnsi="仿宋" w:eastAsia="仿宋_GB2312" w:cs="仿宋_GB2312"/>
                <w:b/>
                <w:color w:val="auto"/>
                <w:kern w:val="0"/>
                <w:sz w:val="32"/>
                <w:szCs w:val="32"/>
                <w:highlight w:val="none"/>
              </w:rPr>
            </w:pPr>
          </w:p>
        </w:tc>
      </w:tr>
    </w:tbl>
    <w:p>
      <w:pPr>
        <w:shd w:val="clea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hd w:val="clear"/>
        <w:spacing w:line="360" w:lineRule="auto"/>
        <w:jc w:val="center"/>
        <w:rPr>
          <w:rFonts w:ascii="仿宋_GB2312" w:hAnsi="仿宋" w:eastAsia="仿宋_GB2312" w:cs="仿宋_GB2312"/>
          <w:b/>
          <w:bCs/>
          <w:color w:val="auto"/>
          <w:sz w:val="24"/>
          <w:highlight w:val="none"/>
        </w:rPr>
      </w:pPr>
    </w:p>
    <w:p>
      <w:pPr>
        <w:shd w:val="clea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hd w:val="clear"/>
        <w:snapToGrid w:val="0"/>
        <w:spacing w:line="360" w:lineRule="auto"/>
        <w:ind w:right="480"/>
        <w:jc w:val="both"/>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default" w:ascii="仿宋_GB2312" w:hAnsi="仿宋" w:eastAsia="仿宋_GB2312" w:cs="仿宋_GB2312"/>
          <w:color w:val="auto"/>
          <w:sz w:val="24"/>
          <w:highlight w:val="none"/>
        </w:rPr>
        <w:t>投标人针对报价需要说明的其他文件和说明</w:t>
      </w:r>
      <w:r>
        <w:rPr>
          <w:rFonts w:hint="default" w:ascii="仿宋_GB2312" w:hAnsi="仿宋" w:eastAsia="仿宋_GB2312" w:cs="仿宋_GB2312"/>
          <w:color w:val="auto"/>
          <w:sz w:val="24"/>
          <w:highlight w:val="none"/>
          <w:lang w:eastAsia="zh-CN"/>
        </w:rPr>
        <w:t>（如有）</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pStyle w:val="379"/>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9"/>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项目编号</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p>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p>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p>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hd w:val="clea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hd w:val="clea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pPr>
              <w:shd w:val="clea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4"/>
        <w:shd w:val="clear"/>
        <w:rPr>
          <w:rFonts w:hint="eastAsia"/>
          <w:color w:val="auto"/>
          <w:highlight w:val="none"/>
          <w:lang w:val="zh-CN"/>
        </w:rPr>
      </w:pPr>
    </w:p>
    <w:p>
      <w:pPr>
        <w:shd w:val="clea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hd w:val="clea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hd w:val="clea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pPr>
        <w:shd w:val="clea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4"/>
        <w:shd w:val="clear"/>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pPr>
        <w:shd w:val="clear"/>
        <w:snapToGrid/>
        <w:spacing w:line="240" w:lineRule="auto"/>
        <w:ind w:firstLine="0" w:firstLineChars="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4"/>
        <w:shd w:val="clear"/>
        <w:rPr>
          <w:rFonts w:hint="eastAsia"/>
          <w:color w:val="auto"/>
          <w:highlight w:val="none"/>
          <w:lang w:val="en-US" w:eastAsia="zh-CN"/>
        </w:rPr>
      </w:pPr>
    </w:p>
    <w:p>
      <w:pPr>
        <w:shd w:val="clear"/>
        <w:rPr>
          <w:rFonts w:ascii="仿宋_GB2312" w:hAnsi="仿宋" w:eastAsia="仿宋_GB2312" w:cs="仿宋_GB2312"/>
          <w:color w:val="auto"/>
          <w:kern w:val="0"/>
          <w:sz w:val="24"/>
          <w:highlight w:val="none"/>
          <w:lang w:val="zh-CN"/>
        </w:rPr>
      </w:pPr>
    </w:p>
    <w:p>
      <w:pPr>
        <w:pStyle w:val="4"/>
        <w:shd w:val="clear"/>
        <w:rPr>
          <w:color w:val="auto"/>
          <w:highlight w:val="none"/>
        </w:rPr>
        <w:sectPr>
          <w:pgSz w:w="16838" w:h="11906" w:orient="landscape"/>
          <w:pgMar w:top="1418" w:right="1247" w:bottom="1418" w:left="1276" w:header="851" w:footer="992" w:gutter="0"/>
          <w:cols w:space="720" w:num="1"/>
          <w:titlePg/>
          <w:docGrid w:linePitch="312" w:charSpace="0"/>
        </w:sectPr>
      </w:pPr>
    </w:p>
    <w:p>
      <w:pPr>
        <w:pStyle w:val="379"/>
        <w:shd w:val="clear"/>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hd w:val="clear"/>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shd w:val="clea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shd w:val="clea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hd w:val="clea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hd w:val="clea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4"/>
        <w:numPr>
          <w:ilvl w:val="0"/>
          <w:numId w:val="0"/>
        </w:numPr>
        <w:shd w:val="clea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4"/>
        <w:numPr>
          <w:ilvl w:val="0"/>
          <w:numId w:val="0"/>
        </w:numPr>
        <w:shd w:val="clea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hd w:val="clea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hd w:val="clea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hd w:val="clear"/>
        <w:spacing w:line="360" w:lineRule="auto"/>
        <w:ind w:left="5060" w:hanging="5060" w:hangingChars="2100"/>
        <w:rPr>
          <w:rFonts w:ascii="仿宋_GB2312" w:hAnsi="仿宋" w:eastAsia="仿宋_GB2312" w:cs="仿宋_GB2312"/>
          <w:b/>
          <w:bCs/>
          <w:color w:val="auto"/>
          <w:kern w:val="0"/>
          <w:sz w:val="24"/>
          <w:highlight w:val="none"/>
        </w:rPr>
      </w:pPr>
    </w:p>
    <w:p>
      <w:pPr>
        <w:pStyle w:val="3"/>
        <w:pageBreakBefore/>
        <w:widowControl/>
        <w:shd w:val="clear"/>
        <w:spacing w:before="100" w:beforeAutospacing="1" w:after="100" w:afterAutospacing="1" w:line="360" w:lineRule="auto"/>
        <w:ind w:left="1290" w:firstLine="3092" w:firstLineChars="700"/>
        <w:rPr>
          <w:rFonts w:ascii="仿宋_GB2312" w:hAnsi="仿宋" w:eastAsia="仿宋_GB2312"/>
          <w:color w:val="auto"/>
          <w:highlight w:val="none"/>
        </w:rPr>
      </w:pPr>
      <w:r>
        <w:rPr>
          <w:rFonts w:hint="eastAsia" w:ascii="仿宋_GB2312" w:hAnsi="仿宋" w:eastAsia="仿宋_GB2312"/>
          <w:color w:val="auto"/>
          <w:highlight w:val="none"/>
        </w:rPr>
        <w:t>附件</w:t>
      </w:r>
    </w:p>
    <w:p>
      <w:pPr>
        <w:shd w:val="clea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残疾人福利性单位声明函</w:t>
      </w:r>
    </w:p>
    <w:p>
      <w:pPr>
        <w:shd w:val="clear"/>
        <w:spacing w:line="360" w:lineRule="auto"/>
        <w:rPr>
          <w:rFonts w:ascii="仿宋_GB2312" w:hAnsi="仿宋" w:eastAsia="仿宋_GB2312"/>
          <w:b/>
          <w:color w:val="auto"/>
          <w:spacing w:val="6"/>
          <w:sz w:val="30"/>
          <w:szCs w:val="30"/>
          <w:highlight w:val="none"/>
        </w:rPr>
      </w:pP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0" w:firstLineChars="200"/>
        <w:rPr>
          <w:rFonts w:ascii="仿宋_GB2312" w:hAnsi="仿宋" w:eastAsia="仿宋_GB2312" w:cs="仿宋_GB2312"/>
          <w:color w:val="auto"/>
          <w:sz w:val="24"/>
          <w:highlight w:val="none"/>
        </w:rPr>
      </w:pP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hd w:val="clea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jc w:val="center"/>
        <w:rPr>
          <w:rFonts w:ascii="仿宋_GB2312" w:hAnsi="仿宋" w:eastAsia="仿宋_GB2312" w:cs="仿宋"/>
          <w:b/>
          <w:bCs/>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仿宋_GB2312" w:hAnsi="仿宋" w:eastAsia="仿宋_GB2312"/>
          <w:color w:val="auto"/>
          <w:sz w:val="30"/>
          <w:szCs w:val="30"/>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rPr>
          <w:color w:val="auto"/>
          <w:highlight w:val="none"/>
        </w:rPr>
      </w:pPr>
      <w:r>
        <w:rPr>
          <w:color w:val="auto"/>
          <w:highlight w:val="none"/>
        </w:rPr>
        <w:br w:type="page"/>
      </w:r>
    </w:p>
    <w:p>
      <w:pPr>
        <w:pStyle w:val="4"/>
        <w:shd w:val="clear"/>
        <w:rPr>
          <w:color w:val="auto"/>
          <w:highlight w:val="none"/>
        </w:rPr>
      </w:pP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hd w:val="clea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hd w:val="clear"/>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仿宋_GB2312" w:hAnsi="仿宋" w:eastAsia="仿宋_GB2312" w:cs="仿宋_GB2312"/>
          <w:b/>
          <w:color w:val="auto"/>
          <w:sz w:val="24"/>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hd w:val="clea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hd w:val="clea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hd w:val="clea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hd w:val="clea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Q/YjpvsBAAAfBAAADgAAAGRycy9lMm9Eb2MueG1srVNN rtMwEN4jcQfLe5o0fS0QNX0LStkgeNJ7HMC1ncSS/+Rxm/Y0SOw4BMdBXIOxU/p+F12QhTNjj7+Z 75vx8vpgNNnLAMrZhk4nJSXScieU7Rr67W7z5h0lEJkVTDsrG3qUQK9Xr18tB1/LyvVOCxkIglio B9/QPkZfFwXwXhoGE+elxcPWBcMiuqErRGADohtdVGW5KAYXhA+OSwDcXY+H9IQYLgF0bau4XDu+ M9LGETVIzSJSgl55oKtcbdtKHr+2LchIdEORacwrJkF7m9ZitWR1F5jvFT+VwC4p4Qknw5TFpGeo NYuM7IJ6BmUUDw5cGyfcmWIkkhVBFtPyiTa3PfMyc0GpwZ9Fh/8Hy7/sbwJRoqEzSiwz2PA/33/+ /vWDzJI2g4caQ279TTh5gGYiemiDSX+kQA5Zz+NZT3mIhONm9ba8ulrMKeF4VlXz2WI6T6jF/XUf IH6SzpBkNDRgw7KObP8Z4hj6LyRlA6eV2CitsxO67QcdyJ5hczf5O6E/CtOWDA19P69SIQwntsVJ QdN4ZA22y/ke3YCHwGX+XgJOha0Z9GMBGSGFsdqoKEO2esnERytIPHpU1uKDoqkYIwUlWuL7S1aO jEzpSyJRO21RwtSZsRfJ2jpxxD7ufFBdjzpOc73pBOcmC36a8TSYD/2MdP+uV3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cc/4wdgAAAAKAQAADwAAAAAAAAABACAAAAAiAAAAZHJzL2Rvd25yZXYu eG1sUEsBAhQAFAAAAAgAh07iQEP2I6b7AQAAHwQAAA4AAAAAAAAAAQAgAAAAJwEAAGRycy9lMm9E b2MueG1sUEsFBgAAAAAGAAYAWQEAAJQFAAAAAA== ">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TWU8avwBAAAfBAAADgAAAGRycy9lMm9Eb2MueG1srVPN jtMwEL4j8Q6W7zRtaAsbNd0DpVwQrLTLA7i2k1jynzxu0z4NEjcegsdBvAZjJ3R/2EMPm4MzY4+/ me+b8er6aDQ5yADK2ZrOJlNKpOVOKNvW9Nvd9s17SiAyK5h2Vtb0JIFer1+/WvW+kqXrnBYyEASx UPW+pl2MvioK4J00DCbOS4uHjQuGRXRDW4jAekQ3uiin02XRuyB8cFwC4O5mOKQjYrgE0DWN4nLj +N5IGwfUIDWLSAk65YGuc7VNI3n82jQgI9E1RaYxr5gE7V1ai/WKVW1gvlN8LIFdUsITToYpi0nP UBsWGdkH9R+UUTw4cE2ccGeKgUhWBFnMpk+0ue2Yl5kLSg3+LDq8HCz/crgJRImazimxzGDD/3z/ +fvXDzJP2vQeKgy59Tdh9ADNRPTYBJP+SIEcs56ns57yGAnHzXI5f3e1QKk5npXl4u1ytkioxf11 HyB+ks6QZNQ0YMOyjuzwGeIQ+i8kZQOnldgqrbMT2t0HHciBYXO3+RvRH4VpS/qaXi3KBRbCcGIb nBQ0jUfWYNuc79ENeAg8zd9zwKmwDYNuKCAjpDBWGRVlyFYnmfhoBYknj8pafFA0FWOkoERLfH/J ypGRKX1JJGqnLUqYOjP0Ilk7J07Yx70Pqu1Qx1muN53g3GTBxxlPg/nQz0j373r9F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J3TsFjYAAAACgEAAA8AAAAAAAAAAQAgAAAAIgAAAGRycy9kb3ducmV2 LnhtbFBLAQIUABQAAAAIAIdO4kBNZTxq/AEAAB8EAAAOAAAAAAAAAAEAIAAAACcBAABkcnMvZTJv RG9jLnhtbFBLBQYAAAAABgAGAFkBAACVBQAAAAA= ">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hint="eastAsia" w:ascii="仿宋" w:hAnsi="仿宋" w:eastAsia="仿宋"/>
          <w:b/>
          <w:color w:val="auto"/>
          <w:spacing w:val="6"/>
          <w:sz w:val="32"/>
          <w:szCs w:val="32"/>
          <w:highlight w:val="none"/>
        </w:rPr>
      </w:pPr>
    </w:p>
    <w:p>
      <w:pPr>
        <w:shd w:val="clear"/>
        <w:autoSpaceDE w:val="0"/>
        <w:autoSpaceDN w:val="0"/>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hd w:val="clear"/>
        <w:spacing w:line="360" w:lineRule="auto"/>
        <w:jc w:val="center"/>
        <w:rPr>
          <w:rFonts w:ascii="仿宋" w:hAnsi="仿宋" w:eastAsia="仿宋" w:cs="仿宋_GB2312"/>
          <w:color w:val="auto"/>
          <w:sz w:val="24"/>
          <w:highlight w:val="none"/>
          <w:u w:val="single"/>
        </w:rPr>
      </w:pPr>
    </w:p>
    <w:p>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hd w:val="clea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shd w:val="clea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小企业声明函</w:t>
      </w:r>
      <w:r>
        <w:rPr>
          <w:rFonts w:hint="eastAsia" w:ascii="仿宋_GB2312" w:hAnsi="宋体" w:eastAsia="仿宋_GB2312"/>
          <w:b/>
          <w:color w:val="auto"/>
          <w:sz w:val="32"/>
          <w:szCs w:val="32"/>
          <w:highlight w:val="none"/>
        </w:rPr>
        <w:t>（工程、服务）</w:t>
      </w:r>
    </w:p>
    <w:p>
      <w:pPr>
        <w:shd w:val="clear"/>
        <w:spacing w:line="360" w:lineRule="auto"/>
        <w:rPr>
          <w:rFonts w:ascii="仿宋_GB2312" w:hAnsi="仿宋" w:eastAsia="仿宋_GB2312"/>
          <w:color w:val="auto"/>
          <w:highlight w:val="none"/>
        </w:rPr>
      </w:pPr>
    </w:p>
    <w:p>
      <w:pPr>
        <w:shd w:val="clea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hd w:val="clea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hd w:val="clea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hd w:val="clear"/>
        <w:spacing w:line="360" w:lineRule="auto"/>
        <w:ind w:right="420"/>
        <w:rPr>
          <w:rFonts w:ascii="仿宋_GB2312" w:hAnsi="仿宋" w:eastAsia="仿宋_GB2312" w:cs="仿宋_GB2312"/>
          <w:color w:val="auto"/>
          <w:sz w:val="24"/>
          <w:highlight w:val="none"/>
        </w:rPr>
      </w:pPr>
    </w:p>
    <w:p>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shd w:val="clear"/>
        <w:rPr>
          <w:color w:val="auto"/>
          <w:highlight w:val="none"/>
          <w:lang w:val="en-US"/>
        </w:rPr>
      </w:pPr>
    </w:p>
    <w:p>
      <w:pPr>
        <w:shd w:val="clear"/>
        <w:spacing w:line="360" w:lineRule="auto"/>
        <w:ind w:right="420"/>
        <w:rPr>
          <w:color w:val="auto"/>
          <w:highlight w:val="none"/>
        </w:rPr>
      </w:pPr>
    </w:p>
    <w:p>
      <w:pPr>
        <w:shd w:val="clear"/>
        <w:spacing w:line="360" w:lineRule="auto"/>
        <w:rPr>
          <w:rFonts w:ascii="仿宋" w:hAnsi="仿宋" w:eastAsia="仿宋"/>
          <w:bCs/>
          <w:color w:val="auto"/>
          <w:sz w:val="24"/>
          <w:highlight w:val="none"/>
        </w:rPr>
      </w:pPr>
    </w:p>
    <w:p>
      <w:pPr>
        <w:shd w:val="clea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1" w:name="_Toc91899912"/>
    <w:bookmarkStart w:id="402" w:name="_Toc164085800"/>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both"/>
    </w:pPr>
    <w:r>
      <w:drawing>
        <wp:inline distT="0" distB="0" distL="114300" distR="114300">
          <wp:extent cx="661670" cy="501015"/>
          <wp:effectExtent l="0" t="0" r="5080"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lang w:val="en-US" w:eastAsia="zh-CN"/>
      </w:rPr>
      <w:t xml:space="preserve">                                              海标工程管理有限公司</w:t>
    </w:r>
    <w:r>
      <w:rPr>
        <w:lang w:val="zh-CN"/>
      </w:rPr>
      <w:t>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lang w:val="en-US" w:eastAsia="zh-CN"/>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D062F"/>
    <w:multiLevelType w:val="singleLevel"/>
    <w:tmpl w:val="E80D062F"/>
    <w:lvl w:ilvl="0" w:tentative="0">
      <w:start w:val="1"/>
      <w:numFmt w:val="decimal"/>
      <w:suff w:val="nothing"/>
      <w:lvlText w:val="%1、"/>
      <w:lvlJc w:val="left"/>
      <w:rPr>
        <w:rFonts w:hint="default"/>
        <w:color w:val="auto"/>
      </w:rPr>
    </w:lvl>
  </w:abstractNum>
  <w:abstractNum w:abstractNumId="1">
    <w:nsid w:val="5AB956A6"/>
    <w:multiLevelType w:val="singleLevel"/>
    <w:tmpl w:val="5AB956A6"/>
    <w:lvl w:ilvl="0" w:tentative="0">
      <w:start w:val="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DFmZTY4NTcxMDdhODcwYmE3MTNjMjFmNmIyN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84"/>
    <w:rsid w:val="000808C1"/>
    <w:rsid w:val="00080970"/>
    <w:rsid w:val="00081671"/>
    <w:rsid w:val="00082AD4"/>
    <w:rsid w:val="00083E07"/>
    <w:rsid w:val="0008468A"/>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63"/>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F8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9F"/>
    <w:rsid w:val="001D4AB6"/>
    <w:rsid w:val="001D4AD3"/>
    <w:rsid w:val="001D5281"/>
    <w:rsid w:val="001E17E3"/>
    <w:rsid w:val="001E2052"/>
    <w:rsid w:val="001E2492"/>
    <w:rsid w:val="001E257C"/>
    <w:rsid w:val="001E286C"/>
    <w:rsid w:val="001E2F34"/>
    <w:rsid w:val="001E35EE"/>
    <w:rsid w:val="001E4B2C"/>
    <w:rsid w:val="001E507F"/>
    <w:rsid w:val="001E56C2"/>
    <w:rsid w:val="001E5761"/>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04"/>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91"/>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EBE"/>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2D"/>
    <w:rsid w:val="00425A82"/>
    <w:rsid w:val="00425C60"/>
    <w:rsid w:val="00426B2C"/>
    <w:rsid w:val="00427FA8"/>
    <w:rsid w:val="0043009D"/>
    <w:rsid w:val="0043026B"/>
    <w:rsid w:val="00430299"/>
    <w:rsid w:val="004306D4"/>
    <w:rsid w:val="00431A2A"/>
    <w:rsid w:val="00432AA5"/>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A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B3E"/>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3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160"/>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82"/>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639"/>
    <w:rsid w:val="006220CB"/>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726"/>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84"/>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A9"/>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97F24"/>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4A"/>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1DF"/>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6ED"/>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1874"/>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23F"/>
    <w:rsid w:val="008A3AD1"/>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5D"/>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3D1F"/>
    <w:rsid w:val="009A4153"/>
    <w:rsid w:val="009A4C2C"/>
    <w:rsid w:val="009A59B3"/>
    <w:rsid w:val="009A5FAE"/>
    <w:rsid w:val="009A670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AB"/>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4E3B"/>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3E"/>
    <w:rsid w:val="00AE6575"/>
    <w:rsid w:val="00AE71EE"/>
    <w:rsid w:val="00AF03CF"/>
    <w:rsid w:val="00AF0A0A"/>
    <w:rsid w:val="00AF14FC"/>
    <w:rsid w:val="00AF1ED2"/>
    <w:rsid w:val="00AF1F4E"/>
    <w:rsid w:val="00AF2302"/>
    <w:rsid w:val="00AF262A"/>
    <w:rsid w:val="00AF3557"/>
    <w:rsid w:val="00AF3F86"/>
    <w:rsid w:val="00AF4CEE"/>
    <w:rsid w:val="00AF4F4A"/>
    <w:rsid w:val="00AF4F7C"/>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9"/>
    <w:rsid w:val="00B04B78"/>
    <w:rsid w:val="00B04C37"/>
    <w:rsid w:val="00B04F00"/>
    <w:rsid w:val="00B05809"/>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6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E6A"/>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C93"/>
    <w:rsid w:val="00BE7928"/>
    <w:rsid w:val="00BE7F4D"/>
    <w:rsid w:val="00BF03C0"/>
    <w:rsid w:val="00BF0EBF"/>
    <w:rsid w:val="00BF1534"/>
    <w:rsid w:val="00BF2021"/>
    <w:rsid w:val="00BF21C5"/>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F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3C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04"/>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A1"/>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F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D6"/>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0D2"/>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B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050"/>
    <w:rsid w:val="00DE7498"/>
    <w:rsid w:val="00DE75EF"/>
    <w:rsid w:val="00DE7611"/>
    <w:rsid w:val="00DE7D19"/>
    <w:rsid w:val="00DF05A0"/>
    <w:rsid w:val="00DF1162"/>
    <w:rsid w:val="00DF1BA8"/>
    <w:rsid w:val="00DF1F63"/>
    <w:rsid w:val="00DF209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E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8"/>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F0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10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AD0"/>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CA"/>
    <w:rsid w:val="00EE1595"/>
    <w:rsid w:val="00EE1B6B"/>
    <w:rsid w:val="00EE1E71"/>
    <w:rsid w:val="00EE2087"/>
    <w:rsid w:val="00EE20C2"/>
    <w:rsid w:val="00EE2A9D"/>
    <w:rsid w:val="00EE3384"/>
    <w:rsid w:val="00EE499F"/>
    <w:rsid w:val="00EE56E2"/>
    <w:rsid w:val="00EE5FCD"/>
    <w:rsid w:val="00EE63BF"/>
    <w:rsid w:val="00EE6D45"/>
    <w:rsid w:val="00EE6E89"/>
    <w:rsid w:val="00EE7DA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95"/>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7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BE6A62"/>
    <w:rsid w:val="03DD35E4"/>
    <w:rsid w:val="04076900"/>
    <w:rsid w:val="041A5A3B"/>
    <w:rsid w:val="042311BA"/>
    <w:rsid w:val="042B157A"/>
    <w:rsid w:val="048F763B"/>
    <w:rsid w:val="049F330E"/>
    <w:rsid w:val="04AA775C"/>
    <w:rsid w:val="04AF1889"/>
    <w:rsid w:val="04F66F48"/>
    <w:rsid w:val="05251E14"/>
    <w:rsid w:val="05364C4D"/>
    <w:rsid w:val="05A16594"/>
    <w:rsid w:val="05A7762D"/>
    <w:rsid w:val="060E5941"/>
    <w:rsid w:val="06110FAF"/>
    <w:rsid w:val="06493CA7"/>
    <w:rsid w:val="065A6178"/>
    <w:rsid w:val="066F1CF3"/>
    <w:rsid w:val="06930BB8"/>
    <w:rsid w:val="06E620BD"/>
    <w:rsid w:val="07245D42"/>
    <w:rsid w:val="07264C62"/>
    <w:rsid w:val="0779354C"/>
    <w:rsid w:val="079F533A"/>
    <w:rsid w:val="08061376"/>
    <w:rsid w:val="08277057"/>
    <w:rsid w:val="083355D9"/>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ED0F39"/>
    <w:rsid w:val="0BF6188C"/>
    <w:rsid w:val="0BF73C91"/>
    <w:rsid w:val="0C170175"/>
    <w:rsid w:val="0C571A41"/>
    <w:rsid w:val="0C5C1171"/>
    <w:rsid w:val="0C5E1CBC"/>
    <w:rsid w:val="0C615B50"/>
    <w:rsid w:val="0C8445DA"/>
    <w:rsid w:val="0C87121B"/>
    <w:rsid w:val="0C8A2033"/>
    <w:rsid w:val="0CC007F7"/>
    <w:rsid w:val="0CFE707A"/>
    <w:rsid w:val="0D063BDA"/>
    <w:rsid w:val="0D08375F"/>
    <w:rsid w:val="0D184CFB"/>
    <w:rsid w:val="0D4A7419"/>
    <w:rsid w:val="0D827401"/>
    <w:rsid w:val="0D84094E"/>
    <w:rsid w:val="0D8A00E9"/>
    <w:rsid w:val="0D8D589E"/>
    <w:rsid w:val="0DA01C73"/>
    <w:rsid w:val="0DD63300"/>
    <w:rsid w:val="0DF50604"/>
    <w:rsid w:val="0DF702FE"/>
    <w:rsid w:val="0DFE03DB"/>
    <w:rsid w:val="0E060E51"/>
    <w:rsid w:val="0E5604B2"/>
    <w:rsid w:val="0E6D5D79"/>
    <w:rsid w:val="0E9D0089"/>
    <w:rsid w:val="0EB803EE"/>
    <w:rsid w:val="0EE947FB"/>
    <w:rsid w:val="0EF94D4B"/>
    <w:rsid w:val="0F082EA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951E3"/>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F519B"/>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F6B19"/>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9B0239"/>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50C91"/>
    <w:rsid w:val="29ED4F74"/>
    <w:rsid w:val="29F26D24"/>
    <w:rsid w:val="2A15033F"/>
    <w:rsid w:val="2A1662C1"/>
    <w:rsid w:val="2A1C7367"/>
    <w:rsid w:val="2A2815FA"/>
    <w:rsid w:val="2A6D6092"/>
    <w:rsid w:val="2A7D76B4"/>
    <w:rsid w:val="2B437463"/>
    <w:rsid w:val="2B6651D1"/>
    <w:rsid w:val="2B7807EE"/>
    <w:rsid w:val="2BBB502F"/>
    <w:rsid w:val="2BBF00EC"/>
    <w:rsid w:val="2BC37CFD"/>
    <w:rsid w:val="2BD5237F"/>
    <w:rsid w:val="2BE536CE"/>
    <w:rsid w:val="2BE758D9"/>
    <w:rsid w:val="2C09049E"/>
    <w:rsid w:val="2C0A653C"/>
    <w:rsid w:val="2C191F85"/>
    <w:rsid w:val="2CE82D6F"/>
    <w:rsid w:val="2D343236"/>
    <w:rsid w:val="2D6D5E50"/>
    <w:rsid w:val="2DD15014"/>
    <w:rsid w:val="2DF72DE4"/>
    <w:rsid w:val="2E0220AF"/>
    <w:rsid w:val="2E4B082A"/>
    <w:rsid w:val="2E5D4E86"/>
    <w:rsid w:val="2E5D790B"/>
    <w:rsid w:val="2E971914"/>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2488"/>
    <w:rsid w:val="358D5588"/>
    <w:rsid w:val="363A3B40"/>
    <w:rsid w:val="365302AE"/>
    <w:rsid w:val="365F1A98"/>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63CB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A5DA6"/>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B2CC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27A1C"/>
    <w:rsid w:val="4A4424D7"/>
    <w:rsid w:val="4AB82D0F"/>
    <w:rsid w:val="4AEB7664"/>
    <w:rsid w:val="4AFD7C19"/>
    <w:rsid w:val="4B0567D1"/>
    <w:rsid w:val="4B236AAE"/>
    <w:rsid w:val="4B707271"/>
    <w:rsid w:val="4B9739F7"/>
    <w:rsid w:val="4BEE2503"/>
    <w:rsid w:val="4C2278BB"/>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A37AC"/>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E1AC5"/>
    <w:rsid w:val="5397158E"/>
    <w:rsid w:val="54013861"/>
    <w:rsid w:val="54487265"/>
    <w:rsid w:val="544D6070"/>
    <w:rsid w:val="54605E1E"/>
    <w:rsid w:val="54B10EE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458C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50645"/>
    <w:rsid w:val="58AE4F0C"/>
    <w:rsid w:val="58B85899"/>
    <w:rsid w:val="58E363A9"/>
    <w:rsid w:val="595E1678"/>
    <w:rsid w:val="596D5BD4"/>
    <w:rsid w:val="597E3DD8"/>
    <w:rsid w:val="59816260"/>
    <w:rsid w:val="59F80043"/>
    <w:rsid w:val="5A09252F"/>
    <w:rsid w:val="5A0B2778"/>
    <w:rsid w:val="5A2A7C7B"/>
    <w:rsid w:val="5A3E2560"/>
    <w:rsid w:val="5A5D3B6E"/>
    <w:rsid w:val="5A637A76"/>
    <w:rsid w:val="5A6D33BA"/>
    <w:rsid w:val="5A792B1F"/>
    <w:rsid w:val="5A874767"/>
    <w:rsid w:val="5AAD6F28"/>
    <w:rsid w:val="5AD63A24"/>
    <w:rsid w:val="5B2E1A1D"/>
    <w:rsid w:val="5B494961"/>
    <w:rsid w:val="5B843A1C"/>
    <w:rsid w:val="5B873E3F"/>
    <w:rsid w:val="5C02690E"/>
    <w:rsid w:val="5C196DA7"/>
    <w:rsid w:val="5C2A048C"/>
    <w:rsid w:val="5C80234E"/>
    <w:rsid w:val="5C8A680C"/>
    <w:rsid w:val="5CB5609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955D05"/>
    <w:rsid w:val="5EFC7377"/>
    <w:rsid w:val="5F06174D"/>
    <w:rsid w:val="5F3A3602"/>
    <w:rsid w:val="5F3DA8D2"/>
    <w:rsid w:val="5F6277C6"/>
    <w:rsid w:val="5F6D0B1D"/>
    <w:rsid w:val="5F8D0B82"/>
    <w:rsid w:val="5FCC5339"/>
    <w:rsid w:val="5FE34A5B"/>
    <w:rsid w:val="5FEA2932"/>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5B070B"/>
    <w:rsid w:val="62632286"/>
    <w:rsid w:val="62885958"/>
    <w:rsid w:val="62F40B65"/>
    <w:rsid w:val="62FC2CFE"/>
    <w:rsid w:val="63024505"/>
    <w:rsid w:val="635B1DB5"/>
    <w:rsid w:val="636A1CD7"/>
    <w:rsid w:val="63711FED"/>
    <w:rsid w:val="63880DDC"/>
    <w:rsid w:val="638D750D"/>
    <w:rsid w:val="63AC6CC0"/>
    <w:rsid w:val="64055776"/>
    <w:rsid w:val="64240056"/>
    <w:rsid w:val="643E143A"/>
    <w:rsid w:val="648B6EEF"/>
    <w:rsid w:val="64C158BF"/>
    <w:rsid w:val="64CE2EAA"/>
    <w:rsid w:val="653C3090"/>
    <w:rsid w:val="65854376"/>
    <w:rsid w:val="658767BE"/>
    <w:rsid w:val="65892531"/>
    <w:rsid w:val="65D40B3D"/>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E63D5"/>
    <w:rsid w:val="6ADE0BD1"/>
    <w:rsid w:val="6AE96859"/>
    <w:rsid w:val="6B147746"/>
    <w:rsid w:val="6B24787C"/>
    <w:rsid w:val="6B573233"/>
    <w:rsid w:val="6B5B6274"/>
    <w:rsid w:val="6B935D53"/>
    <w:rsid w:val="6C196F71"/>
    <w:rsid w:val="6C226FCB"/>
    <w:rsid w:val="6C31226F"/>
    <w:rsid w:val="6C552F0B"/>
    <w:rsid w:val="6C8C67B7"/>
    <w:rsid w:val="6C9D744C"/>
    <w:rsid w:val="6D0C60E8"/>
    <w:rsid w:val="6D167928"/>
    <w:rsid w:val="6D26299B"/>
    <w:rsid w:val="6D4772EC"/>
    <w:rsid w:val="6D9078AF"/>
    <w:rsid w:val="6DAA3FEF"/>
    <w:rsid w:val="6DC0172B"/>
    <w:rsid w:val="6DCB690C"/>
    <w:rsid w:val="6DD41A5B"/>
    <w:rsid w:val="6DF43C2E"/>
    <w:rsid w:val="6DF51CA3"/>
    <w:rsid w:val="6E0850EA"/>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E78A5"/>
    <w:rsid w:val="73C0646E"/>
    <w:rsid w:val="742222F5"/>
    <w:rsid w:val="74476126"/>
    <w:rsid w:val="74706664"/>
    <w:rsid w:val="747F3682"/>
    <w:rsid w:val="74832F7C"/>
    <w:rsid w:val="749C4185"/>
    <w:rsid w:val="75067759"/>
    <w:rsid w:val="752E6DCD"/>
    <w:rsid w:val="7551380D"/>
    <w:rsid w:val="75600BE5"/>
    <w:rsid w:val="7564475C"/>
    <w:rsid w:val="7583797F"/>
    <w:rsid w:val="75D20F1D"/>
    <w:rsid w:val="75DA2C18"/>
    <w:rsid w:val="75F54412"/>
    <w:rsid w:val="761D08E0"/>
    <w:rsid w:val="76232595"/>
    <w:rsid w:val="765D347C"/>
    <w:rsid w:val="76826699"/>
    <w:rsid w:val="76C87133"/>
    <w:rsid w:val="76CD08D5"/>
    <w:rsid w:val="76DB4B92"/>
    <w:rsid w:val="77052AA4"/>
    <w:rsid w:val="77136511"/>
    <w:rsid w:val="77340A39"/>
    <w:rsid w:val="77351FD0"/>
    <w:rsid w:val="77472422"/>
    <w:rsid w:val="777F31F2"/>
    <w:rsid w:val="77D1700D"/>
    <w:rsid w:val="77EC04CC"/>
    <w:rsid w:val="77F547B4"/>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F1497"/>
    <w:rsid w:val="7AD05746"/>
    <w:rsid w:val="7B1D3C3E"/>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05BA0"/>
    <w:rsid w:val="7D491C6C"/>
    <w:rsid w:val="7D5429C0"/>
    <w:rsid w:val="7D6E6D43"/>
    <w:rsid w:val="7DB57A34"/>
    <w:rsid w:val="7DBD25CC"/>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6"/>
    <w:qFormat/>
    <w:uiPriority w:val="0"/>
    <w:pPr>
      <w:shd w:val="clear" w:color="auto" w:fill="000080"/>
    </w:pPr>
  </w:style>
  <w:style w:type="paragraph" w:styleId="20">
    <w:name w:val="annotation text"/>
    <w:basedOn w:val="1"/>
    <w:link w:val="854"/>
    <w:qFormat/>
    <w:uiPriority w:val="99"/>
    <w:pPr>
      <w:jc w:val="left"/>
    </w:p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782"/>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9">
    <w:name w:val="标题 21"/>
    <w:basedOn w:val="27"/>
    <w:next w:val="27"/>
    <w:qFormat/>
    <w:uiPriority w:val="0"/>
    <w:pPr>
      <w:keepNext/>
      <w:keepLines/>
      <w:tabs>
        <w:tab w:val="left" w:pos="706"/>
        <w:tab w:val="clear" w:pos="8268"/>
      </w:tabs>
      <w:ind w:left="106" w:firstLine="454"/>
      <w:outlineLvl w:val="1"/>
    </w:pPr>
    <w:rPr>
      <w:rFonts w:ascii="Arial" w:hAnsi="Arial" w:eastAsia="??"/>
      <w:b/>
      <w:bCs/>
      <w:szCs w:val="32"/>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65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8"/>
    <w:qFormat/>
    <w:uiPriority w:val="0"/>
    <w:pPr>
      <w:ind w:left="100" w:leftChars="2500"/>
    </w:pPr>
    <w:rPr>
      <w:rFonts w:ascii="宋体"/>
      <w:sz w:val="24"/>
      <w:szCs w:val="21"/>
      <w:lang w:val="zh-CN"/>
    </w:rPr>
  </w:style>
  <w:style w:type="paragraph" w:styleId="40">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1">
    <w:name w:val="endnote text"/>
    <w:basedOn w:val="1"/>
    <w:link w:val="939"/>
    <w:qFormat/>
    <w:uiPriority w:val="0"/>
    <w:rPr>
      <w:lang w:val="zh-CN"/>
    </w:rPr>
  </w:style>
  <w:style w:type="paragraph" w:styleId="42">
    <w:name w:val="Balloon Text"/>
    <w:basedOn w:val="1"/>
    <w:link w:val="715"/>
    <w:qFormat/>
    <w:uiPriority w:val="0"/>
    <w:rPr>
      <w:sz w:val="18"/>
      <w:szCs w:val="18"/>
    </w:rPr>
  </w:style>
  <w:style w:type="paragraph" w:styleId="43">
    <w:name w:val="footer"/>
    <w:basedOn w:val="1"/>
    <w:link w:val="890"/>
    <w:qFormat/>
    <w:uiPriority w:val="99"/>
    <w:pPr>
      <w:tabs>
        <w:tab w:val="center" w:pos="4153"/>
        <w:tab w:val="right" w:pos="8306"/>
      </w:tabs>
      <w:snapToGrid w:val="0"/>
      <w:jc w:val="left"/>
    </w:pPr>
    <w:rPr>
      <w:sz w:val="18"/>
      <w:szCs w:val="18"/>
    </w:rPr>
  </w:style>
  <w:style w:type="paragraph" w:styleId="44">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4"/>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8"/>
    <w:qFormat/>
    <w:uiPriority w:val="0"/>
    <w:pPr>
      <w:spacing w:after="120" w:line="480" w:lineRule="auto"/>
    </w:pPr>
  </w:style>
  <w:style w:type="paragraph" w:styleId="60">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0"/>
    <w:next w:val="20"/>
    <w:link w:val="631"/>
    <w:qFormat/>
    <w:uiPriority w:val="0"/>
    <w:rPr>
      <w:b/>
      <w:bCs/>
    </w:rPr>
  </w:style>
  <w:style w:type="paragraph" w:styleId="64">
    <w:name w:val="Body Text First Indent"/>
    <w:basedOn w:val="2"/>
    <w:next w:val="1"/>
    <w:link w:val="833"/>
    <w:qFormat/>
    <w:uiPriority w:val="0"/>
    <w:pPr>
      <w:ind w:firstLine="420"/>
    </w:pPr>
    <w:rPr>
      <w:rFonts w:hAnsi="Calibri" w:cs="Times New Roman"/>
      <w:szCs w:val="20"/>
    </w:rPr>
  </w:style>
  <w:style w:type="paragraph" w:styleId="65">
    <w:name w:val="Body Text First Indent 2"/>
    <w:basedOn w:val="24"/>
    <w:next w:val="64"/>
    <w:link w:val="65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3"/>
    <w:qFormat/>
    <w:uiPriority w:val="0"/>
    <w:pPr>
      <w:spacing w:before="156" w:line="360" w:lineRule="auto"/>
      <w:ind w:firstLine="510" w:firstLineChars="200"/>
    </w:pPr>
    <w:rPr>
      <w:sz w:val="24"/>
      <w:szCs w:val="20"/>
    </w:rPr>
  </w:style>
  <w:style w:type="paragraph" w:customStyle="1" w:styleId="89">
    <w:name w:val="无间隔1"/>
    <w:link w:val="671"/>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9"/>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4"/>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6"/>
    <w:qFormat/>
    <w:uiPriority w:val="0"/>
    <w:pPr>
      <w:adjustRightInd/>
      <w:spacing w:line="360" w:lineRule="auto"/>
      <w:ind w:firstLine="480" w:firstLineChars="200"/>
    </w:pPr>
    <w:rPr>
      <w:kern w:val="0"/>
      <w:sz w:val="24"/>
    </w:rPr>
  </w:style>
  <w:style w:type="paragraph" w:customStyle="1" w:styleId="101">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7"/>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19"/>
    <w:qFormat/>
    <w:uiPriority w:val="0"/>
    <w:pPr>
      <w:tabs>
        <w:tab w:val="left" w:pos="2356"/>
      </w:tabs>
    </w:pPr>
  </w:style>
  <w:style w:type="paragraph" w:customStyle="1" w:styleId="106">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2"/>
    <w:qFormat/>
    <w:uiPriority w:val="99"/>
    <w:pPr>
      <w:adjustRightInd/>
    </w:pPr>
    <w:rPr>
      <w:rFonts w:ascii="宋体" w:hAnsi="Courier New"/>
      <w:kern w:val="0"/>
      <w:sz w:val="20"/>
      <w:szCs w:val="20"/>
    </w:rPr>
  </w:style>
  <w:style w:type="paragraph" w:customStyle="1" w:styleId="109">
    <w:name w:val="正文说明"/>
    <w:basedOn w:val="1"/>
    <w:link w:val="844"/>
    <w:qFormat/>
    <w:uiPriority w:val="0"/>
    <w:pPr>
      <w:adjustRightInd/>
      <w:spacing w:line="360" w:lineRule="auto"/>
    </w:pPr>
    <w:rPr>
      <w:kern w:val="0"/>
      <w:sz w:val="24"/>
    </w:rPr>
  </w:style>
  <w:style w:type="paragraph" w:customStyle="1" w:styleId="110">
    <w:name w:val="Table Text"/>
    <w:basedOn w:val="1"/>
    <w:link w:val="850"/>
    <w:qFormat/>
    <w:uiPriority w:val="0"/>
    <w:pPr>
      <w:widowControl/>
      <w:spacing w:before="60" w:after="60"/>
      <w:jc w:val="left"/>
    </w:pPr>
    <w:rPr>
      <w:kern w:val="0"/>
      <w:sz w:val="24"/>
    </w:rPr>
  </w:style>
  <w:style w:type="paragraph" w:customStyle="1" w:styleId="111">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2"/>
    <w:qFormat/>
    <w:uiPriority w:val="0"/>
    <w:pPr>
      <w:widowControl/>
      <w:snapToGrid w:val="0"/>
      <w:spacing w:afterLines="50"/>
      <w:ind w:firstLine="200" w:firstLineChars="200"/>
    </w:pPr>
    <w:rPr>
      <w:kern w:val="0"/>
      <w:sz w:val="24"/>
      <w:szCs w:val="20"/>
    </w:rPr>
  </w:style>
  <w:style w:type="paragraph" w:customStyle="1" w:styleId="116">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0"/>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5"/>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3"/>
    <w:qFormat/>
    <w:uiPriority w:val="0"/>
    <w:rPr>
      <w:rFonts w:ascii="Futura Bk" w:hAnsi="Futura Bk"/>
      <w:kern w:val="2"/>
      <w:sz w:val="18"/>
      <w:szCs w:val="21"/>
      <w:lang w:val="en-US" w:eastAsia="zh-CN" w:bidi="ar-SA"/>
    </w:rPr>
  </w:style>
  <w:style w:type="character" w:customStyle="1" w:styleId="621">
    <w:name w:val="*正文 Char"/>
    <w:link w:val="84"/>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5"/>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字符"/>
    <w:link w:val="63"/>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6"/>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7"/>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文本首行缩进 2 字符"/>
    <w:link w:val="65"/>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3"/>
    <w:qFormat/>
    <w:uiPriority w:val="0"/>
    <w:rPr>
      <w:rFonts w:ascii="Arial" w:hAnsi="Arial" w:eastAsia="黑体" w:cs="Arial"/>
      <w:snapToGrid w:val="0"/>
      <w:kern w:val="0"/>
      <w:szCs w:val="21"/>
    </w:rPr>
  </w:style>
  <w:style w:type="character" w:customStyle="1" w:styleId="658">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8"/>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字符"/>
    <w:link w:val="50"/>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9"/>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字符"/>
    <w:link w:val="9"/>
    <w:qFormat/>
    <w:uiPriority w:val="0"/>
    <w:rPr>
      <w:rFonts w:ascii="Arial" w:hAnsi="Arial" w:eastAsia="黑体"/>
      <w:b/>
      <w:bCs/>
      <w:kern w:val="2"/>
      <w:sz w:val="24"/>
      <w:szCs w:val="24"/>
    </w:rPr>
  </w:style>
  <w:style w:type="character" w:customStyle="1" w:styleId="679">
    <w:name w:val="纯文本 Char_0"/>
    <w:link w:val="90"/>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2"/>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3"/>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字符"/>
    <w:link w:val="39"/>
    <w:qFormat/>
    <w:uiPriority w:val="0"/>
    <w:rPr>
      <w:rFonts w:ascii="宋体"/>
      <w:kern w:val="2"/>
      <w:sz w:val="24"/>
      <w:szCs w:val="21"/>
      <w:lang w:val="zh-CN"/>
    </w:rPr>
  </w:style>
  <w:style w:type="character" w:customStyle="1" w:styleId="709">
    <w:name w:val="标题 9 字符"/>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字符1"/>
    <w:link w:val="42"/>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4"/>
    <w:qFormat/>
    <w:locked/>
    <w:uiPriority w:val="0"/>
    <w:rPr>
      <w:rFonts w:ascii="Tahoma" w:hAnsi="Tahoma"/>
      <w:sz w:val="24"/>
      <w:szCs w:val="24"/>
    </w:rPr>
  </w:style>
  <w:style w:type="character" w:customStyle="1" w:styleId="719">
    <w:name w:val="正文缩进 字符2"/>
    <w:link w:val="6"/>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5"/>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19"/>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3"/>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34"/>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7"/>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8"/>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字符"/>
    <w:link w:val="17"/>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9"/>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100"/>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1"/>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2"/>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字符1"/>
    <w:link w:val="2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4"/>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字符1"/>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62"/>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60"/>
    <w:qFormat/>
    <w:uiPriority w:val="0"/>
    <w:rPr>
      <w:rFonts w:ascii="黑体" w:hAnsi="Courier New" w:eastAsia="黑体"/>
    </w:rPr>
  </w:style>
  <w:style w:type="character" w:customStyle="1" w:styleId="818">
    <w:name w:val="正文文本 2 字符1"/>
    <w:link w:val="59"/>
    <w:qFormat/>
    <w:uiPriority w:val="0"/>
    <w:rPr>
      <w:kern w:val="2"/>
      <w:sz w:val="21"/>
      <w:szCs w:val="24"/>
    </w:rPr>
  </w:style>
  <w:style w:type="character" w:customStyle="1" w:styleId="819">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0"/>
    <w:qFormat/>
    <w:uiPriority w:val="0"/>
    <w:rPr>
      <w:b/>
      <w:bCs/>
      <w:kern w:val="2"/>
      <w:sz w:val="24"/>
      <w:szCs w:val="24"/>
    </w:rPr>
  </w:style>
  <w:style w:type="character" w:customStyle="1" w:styleId="822">
    <w:name w:val="正文文本缩进 2 字符"/>
    <w:link w:val="40"/>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3"/>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7"/>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8"/>
    <w:qFormat/>
    <w:uiPriority w:val="99"/>
    <w:rPr>
      <w:rFonts w:ascii="宋体" w:hAnsi="Courier New"/>
    </w:rPr>
  </w:style>
  <w:style w:type="character" w:customStyle="1" w:styleId="833">
    <w:name w:val="正文文本首行缩进 字符"/>
    <w:link w:val="6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2"/>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9"/>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0"/>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0"/>
    <w:qFormat/>
    <w:uiPriority w:val="99"/>
    <w:rPr>
      <w:kern w:val="2"/>
      <w:sz w:val="21"/>
      <w:szCs w:val="24"/>
    </w:rPr>
  </w:style>
  <w:style w:type="character" w:customStyle="1" w:styleId="855">
    <w:name w:val="签名 字符"/>
    <w:link w:val="45"/>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1"/>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2"/>
    <w:qFormat/>
    <w:uiPriority w:val="0"/>
    <w:rPr>
      <w:rFonts w:ascii="宋体"/>
    </w:rPr>
  </w:style>
  <w:style w:type="character" w:customStyle="1" w:styleId="866">
    <w:name w:val="标题 8 字符"/>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6"/>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3"/>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3"/>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4"/>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4"/>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5"/>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6"/>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7"/>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8"/>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3"/>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9"/>
    <w:qFormat/>
    <w:uiPriority w:val="0"/>
    <w:rPr>
      <w:rFonts w:cs="宋体"/>
      <w:kern w:val="2"/>
      <w:sz w:val="24"/>
    </w:rPr>
  </w:style>
  <w:style w:type="character" w:customStyle="1" w:styleId="9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2">
    <w:name w:val="gray6"/>
    <w:basedOn w:val="73"/>
    <w:qFormat/>
    <w:uiPriority w:val="0"/>
    <w:rPr>
      <w:rFonts w:ascii="Arial" w:hAnsi="Arial" w:eastAsia="黑体" w:cs="Arial"/>
      <w:snapToGrid w:val="0"/>
      <w:kern w:val="0"/>
      <w:szCs w:val="21"/>
    </w:rPr>
  </w:style>
  <w:style w:type="character" w:customStyle="1" w:styleId="933">
    <w:name w:val="hui"/>
    <w:basedOn w:val="73"/>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41"/>
    <w:qFormat/>
    <w:uiPriority w:val="0"/>
    <w:rPr>
      <w:kern w:val="2"/>
      <w:sz w:val="21"/>
      <w:szCs w:val="24"/>
      <w:lang w:val="zh-CN"/>
    </w:rPr>
  </w:style>
  <w:style w:type="character" w:customStyle="1" w:styleId="940">
    <w:name w:val="无间隔 Char"/>
    <w:link w:val="169"/>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3"/>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5">
    <w:name w:val="Char Char Char Char Char Char Char Char Char Char Char Char Char"/>
    <w:basedOn w:val="1"/>
    <w:qFormat/>
    <w:uiPriority w:val="0"/>
    <w:rPr>
      <w:rFonts w:ascii="仿宋_GB2312" w:eastAsia="仿宋_GB2312"/>
      <w:b/>
      <w:sz w:val="32"/>
      <w:szCs w:val="32"/>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39446</Words>
  <Characters>41515</Characters>
  <Lines>430</Lines>
  <Paragraphs>121</Paragraphs>
  <TotalTime>35</TotalTime>
  <ScaleCrop>false</ScaleCrop>
  <LinksUpToDate>false</LinksUpToDate>
  <CharactersWithSpaces>47434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2022-02-08T09:58:00Z</dcterms:created>
  <dc:creator>玥</dc:creator>
  <cp:lastModifiedBy>海标</cp:lastModifiedBy>
  <cp:lastPrinted>2022-04-27T12:44:00Z</cp:lastPrinted>
  <dcterms:modified xsi:type="dcterms:W3CDTF">2023-03-23T03:06:55Z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AFBBC289D9984839B065F6489AF8A1A9</vt:lpwstr>
  </property>
  <property fmtid="{D5CDD505-2E9C-101B-9397-08002B2CF9AE}" pid="5" name="woTemplateTypoMode" linkTarget="0">
    <vt:lpwstr>web</vt:lpwstr>
  </property>
  <property fmtid="{D5CDD505-2E9C-101B-9397-08002B2CF9AE}" pid="6" name="woTemplate" linkTarget="0">
    <vt:i4>1</vt:i4>
  </property>
</Properties>
</file>