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南苑城区片治安管理服务项目</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 （</w:t>
      </w:r>
      <w:r>
        <w:rPr>
          <w:rFonts w:hint="eastAsia" w:ascii="宋体" w:hAnsi="宋体" w:cs="宋体"/>
          <w:color w:val="auto"/>
          <w:sz w:val="30"/>
          <w:szCs w:val="30"/>
          <w:highlight w:val="none"/>
          <w:lang w:val="en-US" w:eastAsia="zh-CN"/>
        </w:rPr>
        <w:t>HBZFCG-2023-003</w:t>
      </w:r>
      <w:r>
        <w:rPr>
          <w:rFonts w:hint="eastAsia" w:ascii="宋体" w:hAnsi="宋体" w:eastAsia="宋体" w:cs="宋体"/>
          <w:color w:val="auto"/>
          <w:sz w:val="30"/>
          <w:szCs w:val="30"/>
          <w:highlight w:val="none"/>
        </w:rPr>
        <w:t>）</w:t>
      </w:r>
    </w:p>
    <w:p>
      <w:pPr>
        <w:adjustRightInd/>
        <w:spacing w:line="360" w:lineRule="auto"/>
        <w:jc w:val="center"/>
        <w:rPr>
          <w:rFonts w:hint="eastAsia" w:ascii="宋体" w:hAnsi="宋体" w:eastAsia="宋体" w:cs="宋体"/>
          <w:color w:val="auto"/>
          <w:sz w:val="28"/>
          <w:szCs w:val="20"/>
          <w:highlight w:val="none"/>
        </w:rPr>
      </w:pPr>
    </w:p>
    <w:p>
      <w:pPr>
        <w:pStyle w:val="2"/>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2"/>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2"/>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2"/>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2"/>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2"/>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采购人：杭州市临平区人民政府南苑街道办事处 </w:t>
      </w:r>
    </w:p>
    <w:p>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eastAsia="zh-CN"/>
        </w:rPr>
        <w:t>海标工程管理有限公司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eastAsia="宋体" w:cs="宋体"/>
          <w:bCs/>
          <w:color w:val="auto"/>
          <w:sz w:val="32"/>
          <w:szCs w:val="32"/>
          <w:highlight w:val="none"/>
        </w:rPr>
        <w:t xml:space="preserve">月 </w:t>
      </w:r>
    </w:p>
    <w:p>
      <w:pPr>
        <w:spacing w:line="360" w:lineRule="auto"/>
        <w:jc w:val="center"/>
        <w:rPr>
          <w:rFonts w:hint="eastAsia" w:ascii="宋体" w:hAnsi="宋体" w:eastAsia="宋体" w:cs="宋体"/>
          <w:color w:val="auto"/>
          <w:sz w:val="24"/>
          <w:highlight w:val="none"/>
        </w:rPr>
      </w:pP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南苑城区片治安管理服务项目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HBZFCG-2023-003</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南苑城区片治安管理服务项目</w:t>
      </w:r>
      <w:r>
        <w:rPr>
          <w:rFonts w:hint="eastAsia" w:ascii="宋体" w:hAnsi="宋体" w:eastAsia="宋体" w:cs="宋体"/>
          <w:b/>
          <w:color w:val="auto"/>
          <w:sz w:val="24"/>
          <w:highlight w:val="none"/>
        </w:rPr>
        <w:t xml:space="preserve"> </w:t>
      </w:r>
    </w:p>
    <w:p>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5450000</w:t>
      </w:r>
    </w:p>
    <w:p>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5450000</w:t>
      </w:r>
    </w:p>
    <w:p>
      <w:pPr>
        <w:pStyle w:val="5"/>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color w:val="auto"/>
          <w:sz w:val="24"/>
          <w:highlight w:val="none"/>
          <w:lang w:eastAsia="zh-CN"/>
        </w:rPr>
        <w:t>南苑城区片治安管理服务项目</w:t>
      </w:r>
      <w:r>
        <w:rPr>
          <w:rFonts w:hint="eastAsia" w:ascii="宋体" w:hAnsi="宋体" w:eastAsia="宋体" w:cs="宋体"/>
          <w:bCs/>
          <w:color w:val="auto"/>
          <w:kern w:val="2"/>
          <w:sz w:val="24"/>
          <w:szCs w:val="24"/>
          <w:highlight w:val="none"/>
        </w:rPr>
        <w:t>主要内容：详见招标文件第三部分采购需求。</w:t>
      </w:r>
    </w:p>
    <w:p>
      <w:pPr>
        <w:pStyle w:val="84"/>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Cs/>
          <w:color w:val="auto"/>
          <w:szCs w:val="24"/>
          <w:highlight w:val="none"/>
        </w:rPr>
        <w:t>详见招标文件第三部分采购需求</w:t>
      </w:r>
    </w:p>
    <w:p>
      <w:pPr>
        <w:pStyle w:val="5"/>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sym w:font="Wingdings" w:char="00A8"/>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要求以联合体形式参加，提供联合协议和中小企业声明函，联合协议中中小企业合同金额应当达到%，小微企业合同金额应当达到%;</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 ，小微企业合同金额应当达到%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次招标接受联合体投标，联合体投标的，还应满足下列要求：（1）联合体牵头人由投标单位自行决定，必须在联合体协议中明确；（2）联合体成员（含联合体牵头人）不得超过2个；（3）以联合体形式参加政府采购活动的，联合体各方不得再单独参加或者与其他供应商另外组成联合体参加同一合同项下的政府采购活动，否则相关投标均无效。（4）联合体中有同类资质的供应商按照联合体分工承担相同工作的，应当按照资质等级较低的供应商确定资质等级。</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三、获取招标文件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五、采购意向公开链接</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https://zfcg.czt.zj.gov.cn/innerUsed_noticeDetails/index.html?noticeId=9230949&amp;utm=web-government-front.49399a16.0.0.5e49b4a0a69511eda646efddd282392f</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六、公告期限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称：杭州市临平区人民政府南苑街道办事处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址：杭州市临平区南苑街道人民大道792号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1024" w:firstLineChars="427"/>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沈燕</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项目联系方式（询问）：0571-</w:t>
      </w:r>
      <w:r>
        <w:rPr>
          <w:rFonts w:hint="eastAsia" w:ascii="宋体" w:hAnsi="宋体" w:cs="宋体"/>
          <w:color w:val="auto"/>
          <w:sz w:val="24"/>
          <w:highlight w:val="none"/>
          <w:lang w:val="en-US" w:eastAsia="zh-CN"/>
        </w:rPr>
        <w:t xml:space="preserve">89176308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质疑联系人：朱洁</w:t>
      </w:r>
      <w:r>
        <w:rPr>
          <w:rFonts w:hint="eastAsia" w:ascii="宋体" w:hAnsi="宋体" w:cs="宋体"/>
          <w:color w:val="auto"/>
          <w:sz w:val="24"/>
          <w:highlight w:val="none"/>
          <w:lang w:val="en-US" w:eastAsia="zh-CN"/>
        </w:rPr>
        <w:t xml:space="preserve"> </w:t>
      </w:r>
    </w:p>
    <w:p>
      <w:pPr>
        <w:spacing w:line="360" w:lineRule="auto"/>
        <w:ind w:firstLine="480"/>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质疑联系方式：0571-86166019</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海标工程管理有限公司</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地址：杭州市临平区南苑街道</w:t>
      </w:r>
      <w:r>
        <w:rPr>
          <w:rFonts w:hint="eastAsia" w:ascii="宋体" w:hAnsi="宋体" w:eastAsia="宋体" w:cs="宋体"/>
          <w:color w:val="auto"/>
          <w:sz w:val="24"/>
          <w:highlight w:val="none"/>
          <w:lang w:val="en-US" w:eastAsia="zh-CN"/>
        </w:rPr>
        <w:t>深川大厦B座7楼</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真：0571-</w:t>
      </w:r>
      <w:r>
        <w:rPr>
          <w:rFonts w:hint="eastAsia" w:ascii="宋体" w:hAnsi="宋体" w:eastAsia="宋体" w:cs="宋体"/>
          <w:color w:val="auto"/>
          <w:sz w:val="24"/>
          <w:highlight w:val="none"/>
          <w:lang w:val="en-US" w:eastAsia="zh-CN"/>
        </w:rPr>
        <w:t>86137060</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王达</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13705815521</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项文娜</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w:t>
      </w:r>
      <w:r>
        <w:rPr>
          <w:rFonts w:hint="eastAsia" w:ascii="宋体" w:hAnsi="宋体" w:eastAsia="宋体" w:cs="宋体"/>
          <w:color w:val="auto"/>
          <w:sz w:val="24"/>
          <w:highlight w:val="none"/>
          <w:lang w:val="en-US" w:eastAsia="zh-CN"/>
        </w:rPr>
        <w:t>86137060</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名    称： 杭州市临平区财政局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联系人 ： 俞先生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监督投诉电话：0571- 89185312 </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地址：杭州市临平区临平东湖中路236号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4"/>
        <w:spacing w:line="360" w:lineRule="auto"/>
        <w:ind w:firstLine="480" w:firstLineChars="200"/>
        <w:rPr>
          <w:rFonts w:hint="eastAsia" w:ascii="宋体" w:hAnsi="宋体" w:eastAsia="宋体" w:cs="宋体"/>
          <w:color w:val="auto"/>
          <w:sz w:val="24"/>
          <w:szCs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投标报价超过招标文件中规定的预算金额或者最高限价或单价最高限价的;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A</w:t>
            </w:r>
            <w:r>
              <w:rPr>
                <w:rFonts w:hint="eastAsia" w:ascii="宋体" w:hAnsi="宋体" w:eastAsia="宋体" w:cs="宋体"/>
                <w:color w:val="auto"/>
                <w:sz w:val="24"/>
                <w:highlight w:val="none"/>
              </w:rPr>
              <w:t>同意将非主体、非关键性的工作分包。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时间：,地点：，联系人：，联系方式：</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kern w:val="0"/>
                <w:sz w:val="24"/>
                <w:highlight w:val="none"/>
              </w:rPr>
              <w:t>；地点：；联系人</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采购标的：</w:t>
            </w:r>
            <w:r>
              <w:rPr>
                <w:rFonts w:hint="eastAsia" w:ascii="宋体" w:hAnsi="宋体" w:cs="宋体"/>
                <w:color w:val="auto"/>
                <w:kern w:val="0"/>
                <w:sz w:val="24"/>
                <w:highlight w:val="none"/>
                <w:lang w:val="en-US" w:eastAsia="zh-CN"/>
              </w:rPr>
              <w:t>治安</w:t>
            </w:r>
            <w:r>
              <w:rPr>
                <w:rFonts w:hint="eastAsia" w:ascii="宋体" w:hAnsi="宋体" w:eastAsia="宋体" w:cs="宋体"/>
                <w:color w:val="auto"/>
                <w:kern w:val="0"/>
                <w:sz w:val="24"/>
                <w:highlight w:val="none"/>
              </w:rPr>
              <w:t>管理</w:t>
            </w:r>
            <w:r>
              <w:rPr>
                <w:rFonts w:hint="eastAsia" w:ascii="宋体" w:hAnsi="宋体" w:cs="宋体"/>
                <w:color w:val="auto"/>
                <w:kern w:val="0"/>
                <w:sz w:val="24"/>
                <w:highlight w:val="none"/>
                <w:lang w:val="en-US" w:eastAsia="zh-CN"/>
              </w:rPr>
              <w:t>服务</w:t>
            </w:r>
            <w:r>
              <w:rPr>
                <w:rFonts w:hint="eastAsia" w:ascii="宋体" w:hAnsi="宋体" w:eastAsia="宋体" w:cs="宋体"/>
                <w:color w:val="auto"/>
                <w:kern w:val="0"/>
                <w:sz w:val="24"/>
                <w:highlight w:val="none"/>
              </w:rPr>
              <w:t>；所属行业：租赁和商务服务业。</w:t>
            </w:r>
          </w:p>
          <w:p>
            <w:pPr>
              <w:pStyle w:val="2"/>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宋体" w:hAnsi="宋体" w:eastAsia="宋体" w:cs="宋体"/>
                <w:color w:val="auto"/>
                <w:kern w:val="28"/>
                <w:sz w:val="24"/>
                <w:highlight w:val="none"/>
                <w:lang w:eastAsia="zh-CN"/>
              </w:rPr>
            </w:pPr>
            <w:r>
              <w:rPr>
                <w:rFonts w:hint="eastAsia" w:hAnsi="宋体" w:cs="宋体"/>
                <w:color w:val="auto"/>
                <w:kern w:val="28"/>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 xml:space="preserve">中标人在领取中标通知书时需向招标代理机构支付人民币   </w:t>
            </w:r>
            <w:r>
              <w:rPr>
                <w:rFonts w:hint="eastAsia" w:ascii="宋体" w:hAnsi="宋体" w:cs="宋体"/>
                <w:snapToGrid w:val="0"/>
                <w:color w:val="auto"/>
                <w:kern w:val="28"/>
                <w:sz w:val="24"/>
                <w:highlight w:val="none"/>
                <w:lang w:val="en-US" w:eastAsia="zh-CN"/>
              </w:rPr>
              <w:t>52525</w:t>
            </w:r>
            <w:r>
              <w:rPr>
                <w:rFonts w:hint="eastAsia" w:ascii="宋体" w:hAnsi="宋体" w:eastAsia="宋体" w:cs="宋体"/>
                <w:snapToGrid w:val="0"/>
                <w:color w:val="auto"/>
                <w:kern w:val="28"/>
                <w:sz w:val="24"/>
                <w:highlight w:val="none"/>
              </w:rPr>
              <w:t>元招标代理服务费，费用包含在总报价中，不单独列项报价。</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宋体"/>
                <w:snapToGrid w:val="0"/>
                <w:color w:val="auto"/>
                <w:kern w:val="28"/>
                <w:sz w:val="24"/>
                <w:highlight w:val="none"/>
                <w:lang w:eastAsia="zh-CN"/>
              </w:rPr>
              <w:t>海标工程管理有限公司</w:t>
            </w:r>
            <w:r>
              <w:rPr>
                <w:rFonts w:hint="eastAsia" w:ascii="宋体" w:hAnsi="宋体" w:eastAsia="宋体" w:cs="宋体"/>
                <w:snapToGrid w:val="0"/>
                <w:color w:val="auto"/>
                <w:kern w:val="28"/>
                <w:sz w:val="24"/>
                <w:highlight w:val="none"/>
              </w:rPr>
              <w:t>；开户行名称：浙江杭州余杭农村商业银行股份有限公司乔司支行 帐号：201000184831550中标单位需在领取中标通知书时缴纳中标服务费，缴纳时注明招标编号。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snapToGrid w:val="0"/>
                <w:color w:val="auto"/>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供应商以联合体形式投标的：按采购文件要求提供联合协议，联合体投标的联合体各方承担连带责任。</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1" w:name="_Toc164416483"/>
      <w:bookmarkStart w:id="12" w:name="第三部分"/>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“投标人、供应商”系指是指响应招标、参加投标竞争的法人、其他组织或者自然人。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“▲”系指实质性要求条款，“★”系产品采购项目中单一产品或核心产品，“</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w:t>
      </w:r>
      <w:r>
        <w:rPr>
          <w:rFonts w:hint="eastAsia" w:ascii="宋体" w:hAnsi="宋体" w:cs="宋体"/>
          <w:color w:val="auto"/>
          <w:sz w:val="24"/>
          <w:highlight w:val="none"/>
          <w:lang w:eastAsia="zh-CN"/>
        </w:rPr>
        <w:t>33</w:t>
      </w:r>
      <w:r>
        <w:rPr>
          <w:rFonts w:hint="eastAsia" w:ascii="宋体" w:hAnsi="宋体" w:eastAsia="宋体" w:cs="宋体"/>
          <w:color w:val="auto"/>
          <w:sz w:val="24"/>
          <w:highlight w:val="none"/>
        </w:rPr>
        <w:t>]68号）规定的监狱企业并提供由省级以上监狱管理局、戒毒管理局（含新疆生产建设兵团）出具的属于监狱企业证明文件的，视同为小型、微型企业。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4.2.3.2质疑项目的名称、编号；</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4.2.3.3具体、明确的质疑事项和与质疑事项相关的请求；</w:t>
      </w:r>
    </w:p>
    <w:p>
      <w:pPr>
        <w:pStyle w:val="34"/>
        <w:spacing w:line="360" w:lineRule="auto"/>
        <w:ind w:firstLine="240" w:firstLineChars="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4.2.3.5必要的法律依据；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571"/>
        <w:shd w:val="clear" w:color="auto"/>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4"/>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auto"/>
          <w:sz w:val="18"/>
          <w:szCs w:val="18"/>
          <w:highlight w:val="none"/>
          <w:lang w:val="en-US"/>
        </w:rPr>
      </w:pP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color w:val="auto"/>
          <w:highlight w:val="none"/>
        </w:rPr>
        <w:t>▲</w:t>
      </w: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11.1.4联合协议（如采用联合体投标）</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color w:val="auto"/>
          <w:highlight w:val="none"/>
        </w:rPr>
        <w:t>▲</w:t>
      </w:r>
      <w:r>
        <w:rPr>
          <w:rFonts w:hint="eastAsia" w:ascii="宋体" w:hAnsi="宋体" w:eastAsia="宋体" w:cs="宋体"/>
          <w:color w:val="auto"/>
          <w:sz w:val="24"/>
          <w:highlight w:val="none"/>
        </w:rPr>
        <w:t>11.2.1投标函；</w:t>
      </w:r>
    </w:p>
    <w:p>
      <w:pP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color w:val="auto"/>
          <w:highlight w:val="none"/>
        </w:rPr>
        <w:t>▲</w:t>
      </w: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11.2.3联合协议；（如采用联合体投标）</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11.2.4分包意向协议；（如有）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p>
    <w:p>
      <w:pP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color w:val="auto"/>
          <w:highlight w:val="none"/>
        </w:rPr>
        <w:t>▲</w:t>
      </w: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84"/>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84"/>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8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84"/>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DVD光盘或【U】盘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pPr>
        <w:pStyle w:val="8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第13项规定</w:t>
      </w:r>
      <w:r>
        <w:rPr>
          <w:rFonts w:hint="eastAsia" w:ascii="宋体" w:hAnsi="宋体" w:eastAsia="宋体" w:cs="宋体"/>
          <w:color w:val="auto"/>
          <w:szCs w:val="21"/>
          <w:highlight w:val="none"/>
        </w:rPr>
        <w:t>的情形之一的，投标无效：</w:t>
      </w:r>
    </w:p>
    <w:p>
      <w:pPr>
        <w:pStyle w:val="8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4"/>
        <w:spacing w:before="0"/>
        <w:ind w:firstLine="643"/>
        <w:rPr>
          <w:rFonts w:hint="eastAsia" w:ascii="宋体" w:hAnsi="宋体" w:eastAsia="宋体" w:cs="宋体"/>
          <w:b/>
          <w:color w:val="auto"/>
          <w:sz w:val="32"/>
          <w:highlight w:val="none"/>
        </w:rPr>
      </w:pPr>
    </w:p>
    <w:p>
      <w:pPr>
        <w:pStyle w:val="84"/>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239"/>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p>
    <w:p>
      <w:pPr>
        <w:pStyle w:val="23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8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8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8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84"/>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84"/>
        <w:snapToGrid w:val="0"/>
        <w:spacing w:before="0"/>
        <w:ind w:firstLine="480"/>
        <w:rPr>
          <w:rFonts w:hint="eastAsia" w:ascii="宋体" w:hAnsi="宋体" w:eastAsia="宋体" w:cs="宋体"/>
          <w:b/>
          <w:color w:val="auto"/>
          <w:szCs w:val="24"/>
          <w:highlight w:val="none"/>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4"/>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r>
        <w:rPr>
          <w:rFonts w:hint="eastAsia" w:ascii="仿宋_GB2312" w:hAnsi="仿宋" w:eastAsia="仿宋_GB2312" w:cs="仿宋_GB2312"/>
          <w:color w:val="auto"/>
          <w:sz w:val="24"/>
          <w:highlight w:val="none"/>
        </w:rPr>
        <w:t>资格审查情况、评审专家抽取规则、符合性审查情况、</w:t>
      </w:r>
      <w:r>
        <w:rPr>
          <w:rFonts w:hint="eastAsia" w:ascii="宋体" w:hAnsi="宋体" w:eastAsia="宋体" w:cs="宋体"/>
          <w:color w:val="auto"/>
          <w:sz w:val="24"/>
          <w:highlight w:val="none"/>
        </w:rPr>
        <w:t>未中标情况说明、中标公告期限以及评审专家名单、评分汇总及明细。</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84"/>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tabs>
          <w:tab w:val="left" w:pos="0"/>
        </w:tabs>
        <w:ind w:firstLine="482"/>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8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8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74714665"/>
      <w:bookmarkEnd w:id="14"/>
      <w:bookmarkStart w:id="15" w:name="_Hlt74707468"/>
      <w:bookmarkEnd w:id="15"/>
      <w:bookmarkStart w:id="16" w:name="_Hlt75236011"/>
      <w:bookmarkEnd w:id="16"/>
      <w:bookmarkStart w:id="17" w:name="_Hlt75236101"/>
      <w:bookmarkEnd w:id="17"/>
      <w:bookmarkStart w:id="18" w:name="_Hlt68072998"/>
      <w:bookmarkEnd w:id="18"/>
      <w:bookmarkStart w:id="19" w:name="_Hlt68403820"/>
      <w:bookmarkEnd w:id="19"/>
      <w:bookmarkStart w:id="20" w:name="_Hlt68072990"/>
      <w:bookmarkEnd w:id="20"/>
      <w:bookmarkStart w:id="21" w:name="_Hlt74730295"/>
      <w:bookmarkEnd w:id="21"/>
      <w:bookmarkStart w:id="22" w:name="_Hlt74729768"/>
      <w:bookmarkEnd w:id="22"/>
      <w:bookmarkStart w:id="23" w:name="_Hlt68073093"/>
      <w:bookmarkEnd w:id="23"/>
      <w:bookmarkStart w:id="24" w:name="_Hlt68057669"/>
      <w:bookmarkEnd w:id="24"/>
      <w:bookmarkStart w:id="25" w:name="_Hlt75236290"/>
      <w:bookmarkEnd w:id="25"/>
    </w:p>
    <w:bookmarkEnd w:id="11"/>
    <w:bookmarkEnd w:id="12"/>
    <w:p>
      <w:pPr>
        <w:pageBreakBefore/>
        <w:shd w:val="clear" w:color="auto" w:fill="FFFFFF"/>
        <w:snapToGrid w:val="0"/>
        <w:spacing w:line="360" w:lineRule="auto"/>
        <w:jc w:val="center"/>
        <w:outlineLvl w:val="0"/>
        <w:rPr>
          <w:rFonts w:hint="eastAsia" w:ascii="宋体" w:hAnsi="宋体" w:cs="宋体"/>
          <w:color w:val="auto"/>
          <w:sz w:val="24"/>
          <w:highlight w:val="none"/>
        </w:rPr>
      </w:pPr>
      <w:bookmarkStart w:id="26" w:name="_Toc33194400"/>
      <w:bookmarkStart w:id="27" w:name="第四部分"/>
      <w:r>
        <w:rPr>
          <w:rFonts w:hint="eastAsia" w:ascii="宋体" w:hAnsi="宋体" w:cs="宋体"/>
          <w:b/>
          <w:bCs/>
          <w:color w:val="auto"/>
          <w:sz w:val="28"/>
          <w:szCs w:val="28"/>
          <w:highlight w:val="none"/>
        </w:rPr>
        <w:t>第三部分  项目技术规范和服务要求</w:t>
      </w:r>
      <w:bookmarkEnd w:id="26"/>
    </w:p>
    <w:p>
      <w:pPr>
        <w:spacing w:line="600" w:lineRule="exact"/>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一、采购内容：</w:t>
      </w:r>
    </w:p>
    <w:p>
      <w:pPr>
        <w:numPr>
          <w:ilvl w:val="0"/>
          <w:numId w:val="0"/>
        </w:num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为南苑城区片治安管理服务项目，为强化南苑街道城区片治安巡逻防控，针对城郊结合部片技防、物防少的情况，通过提高见警率和管事率，减少区域侵财类警情案件的发生，更好服务群众，有效震慑违法犯罪行为，提高社会面安全。</w:t>
      </w:r>
    </w:p>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报价包括所有服务人员的工资、社保、加班费、培训费、住宿、餐费、统一服装费、低值易耗品、工具及相关设备费、临时性杂项服务费、政策性文件规定及合同包含的所有风险、责任、税费、合理利润等各项全部费用。</w:t>
      </w:r>
    </w:p>
    <w:p>
      <w:pPr>
        <w:spacing w:line="600" w:lineRule="exact"/>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二、具体服务内容、要求等：</w:t>
      </w:r>
    </w:p>
    <w:tbl>
      <w:tblPr>
        <w:tblStyle w:val="6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6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 目</w:t>
            </w:r>
          </w:p>
        </w:tc>
        <w:tc>
          <w:tcPr>
            <w:tcW w:w="7823" w:type="dxa"/>
            <w:noWrap w:val="0"/>
            <w:vAlign w:val="center"/>
          </w:tcPr>
          <w:p>
            <w:pPr>
              <w:spacing w:line="6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保安队员素质要求</w:t>
            </w:r>
          </w:p>
        </w:tc>
        <w:tc>
          <w:tcPr>
            <w:tcW w:w="7823" w:type="dxa"/>
            <w:noWrap w:val="0"/>
            <w:vAlign w:val="center"/>
          </w:tcPr>
          <w:p>
            <w:pPr>
              <w:numPr>
                <w:ilvl w:val="0"/>
                <w:numId w:val="1"/>
              </w:num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服务人员组成要求人员具有初中及以上学历：</w:t>
            </w:r>
          </w:p>
          <w:p>
            <w:pPr>
              <w:numPr>
                <w:ilvl w:val="0"/>
                <w:numId w:val="1"/>
              </w:num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人员要求18周岁-45周岁，身高170cm以上，具有保安员上岗证书、退伍军人优先。政治素质好、品行端正、责任心强、无违法犯罪记录、身体健康，仪表端庄，精力充沛，无不良嗜好，工作认真负责并定期接受培训：</w:t>
            </w:r>
          </w:p>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3、无违法犯罪记录，政审合格。</w:t>
            </w:r>
          </w:p>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4、要求能辅助处理和应对采购人公共秩序维护工作，能正确使用各类消防器械和设备，能够熟悉、掌握各类案件和各类灾害事故的应急预案；</w:t>
            </w:r>
          </w:p>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5、上岗时佩戴统一标志，按需求穿戴统一制服（投标人自行配备，服装款式须征得招标人同意），装备佩戴规范，仪容仪表规范整齐，当值时坐姿挺直，站岗时不倚不靠、采用跨立站岗。</w:t>
            </w:r>
          </w:p>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6、文明执勤，训练有素，言语规范，认真负责；配备必备的安全护卫器械、通讯器材等设备由招标单位负责。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工作职责</w:t>
            </w:r>
          </w:p>
        </w:tc>
        <w:tc>
          <w:tcPr>
            <w:tcW w:w="7823" w:type="dxa"/>
            <w:noWrap w:val="0"/>
            <w:vAlign w:val="center"/>
          </w:tcPr>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（一）管理范围</w:t>
            </w:r>
          </w:p>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1、南苑街道范围内</w:t>
            </w:r>
          </w:p>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（二）工作职责</w:t>
            </w:r>
          </w:p>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1、做好日常路面巡查工作；</w:t>
            </w:r>
          </w:p>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2、做好招标人交代的其他工作：</w:t>
            </w:r>
          </w:p>
          <w:p>
            <w:pPr>
              <w:spacing w:line="600" w:lineRule="exact"/>
              <w:ind w:firstLine="480" w:firstLineChars="200"/>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3、本项目24小时3班轮岗运转，做五休二8小时制，不得脱岗，人员排岗不得违反劳动法。</w:t>
            </w:r>
          </w:p>
        </w:tc>
      </w:tr>
    </w:tbl>
    <w:p>
      <w:pPr>
        <w:pStyle w:val="965"/>
        <w:rPr>
          <w:rFonts w:hint="eastAsia" w:ascii="宋体" w:hAnsi="宋体" w:eastAsia="宋体" w:cs="宋体"/>
          <w:color w:val="auto"/>
          <w:highlight w:val="none"/>
        </w:rPr>
      </w:pPr>
    </w:p>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spacing w:line="600" w:lineRule="exact"/>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四、服务期限：</w:t>
      </w:r>
    </w:p>
    <w:p>
      <w:pPr>
        <w:spacing w:line="600" w:lineRule="exact"/>
        <w:ind w:firstLine="482" w:firstLineChars="200"/>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服务期限：10个月，（具体日期根据招标进度以合同签订生效日为准）。</w:t>
      </w:r>
    </w:p>
    <w:p>
      <w:pPr>
        <w:spacing w:line="600" w:lineRule="exact"/>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五、考核要求及制度：</w:t>
      </w:r>
    </w:p>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1、考核要求：服务人员持证上岗，政治素质好、工作积极、热爱保安工作。服务人员的年龄不得超过</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5周岁，原则上为男性队员。</w:t>
      </w:r>
    </w:p>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2、考核办法</w:t>
      </w:r>
    </w:p>
    <w:p>
      <w:pPr>
        <w:widowControl/>
        <w:ind w:firstLine="3520" w:firstLineChars="1100"/>
        <w:jc w:val="both"/>
        <w:rPr>
          <w:rFonts w:hint="eastAsia" w:ascii="宋体" w:hAnsi="宋体" w:eastAsia="宋体" w:cs="宋体"/>
          <w:bCs/>
          <w:color w:val="auto"/>
          <w:sz w:val="32"/>
          <w:szCs w:val="32"/>
          <w:highlight w:val="none"/>
        </w:rPr>
      </w:pPr>
    </w:p>
    <w:p>
      <w:pPr>
        <w:pStyle w:val="2"/>
        <w:rPr>
          <w:rFonts w:hint="eastAsia" w:ascii="宋体" w:hAnsi="宋体" w:eastAsia="宋体" w:cs="宋体"/>
          <w:bCs/>
          <w:color w:val="auto"/>
          <w:sz w:val="32"/>
          <w:szCs w:val="32"/>
          <w:highlight w:val="none"/>
        </w:rPr>
      </w:pPr>
    </w:p>
    <w:p>
      <w:pPr>
        <w:rPr>
          <w:rFonts w:hint="eastAsia" w:ascii="宋体" w:hAnsi="宋体" w:eastAsia="宋体" w:cs="宋体"/>
          <w:color w:val="auto"/>
          <w:highlight w:val="none"/>
        </w:rPr>
      </w:pPr>
    </w:p>
    <w:p>
      <w:pPr>
        <w:widowControl/>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服务人员考核办法</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24"/>
          <w:szCs w:val="24"/>
          <w:highlight w:val="none"/>
          <w:lang w:val="en-US" w:eastAsia="zh-CN"/>
        </w:rPr>
        <w:t xml:space="preserve">               年     月</w:t>
      </w:r>
    </w:p>
    <w:tbl>
      <w:tblPr>
        <w:tblStyle w:val="62"/>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内务</w:t>
            </w:r>
          </w:p>
          <w:p>
            <w:pPr>
              <w:spacing w:line="6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规章</w:t>
            </w:r>
          </w:p>
          <w:p>
            <w:pPr>
              <w:spacing w:line="6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4"/>
                <w:szCs w:val="24"/>
                <w:highlight w:val="none"/>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bl>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考核人：                                         审核人：</w:t>
      </w:r>
    </w:p>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本考核要求采用百分制考核法，即按考核项对应分值进行扣分（如本期考核项被扣除5分，即本期得分为95分），每月考核一次，并按以下原则评定考核等级： </w:t>
      </w:r>
    </w:p>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（1）、考核分高于90分（含）视为优秀，拨付全额服务费。</w:t>
      </w:r>
    </w:p>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（2）、考核分高于80分（含）但低于90分（不含）视为良好，扣除服务费2000元整。</w:t>
      </w:r>
    </w:p>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（3）、考核分高于70分（含）但低于80分（不含）视为合格，扣除服务费5000元整。</w:t>
      </w:r>
    </w:p>
    <w:p>
      <w:pPr>
        <w:spacing w:line="6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（4）、考核分高于60分（含）但低于70分（不含）视为不合格，扣除服务费8000元整。</w:t>
      </w:r>
    </w:p>
    <w:p>
      <w:pPr>
        <w:spacing w:line="6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bidi="ar-SA"/>
        </w:rPr>
        <w:t>（5）、考核分低于60分，扣除服务费12000元整。</w:t>
      </w:r>
    </w:p>
    <w:p>
      <w:pPr>
        <w:spacing w:line="600" w:lineRule="exact"/>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六、费用支付：</w:t>
      </w:r>
    </w:p>
    <w:p>
      <w:pPr>
        <w:spacing w:line="600" w:lineRule="exact"/>
        <w:ind w:firstLine="482" w:firstLineChars="200"/>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服务费每季度结算一次，经采购人考核合格后于下季度10日前支付上季度的服务费。</w:t>
      </w:r>
    </w:p>
    <w:p>
      <w:pPr>
        <w:spacing w:line="600" w:lineRule="exact"/>
        <w:ind w:firstLine="482" w:firstLineChars="200"/>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七、其他要求：</w:t>
      </w:r>
    </w:p>
    <w:p>
      <w:pPr>
        <w:spacing w:line="6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1、服务人员出现问题响应要求：服务期内中标单位自身出现了问题，如缺岗、离岗、与招</w:t>
      </w:r>
      <w:bookmarkStart w:id="410" w:name="_GoBack"/>
      <w:r>
        <w:rPr>
          <w:rFonts w:hint="eastAsia" w:ascii="宋体" w:hAnsi="宋体" w:eastAsia="宋体" w:cs="宋体"/>
          <w:color w:val="auto"/>
          <w:kern w:val="0"/>
          <w:sz w:val="24"/>
          <w:szCs w:val="24"/>
          <w:highlight w:val="none"/>
          <w:lang w:val="en-US" w:eastAsia="zh-CN" w:bidi="ar-SA"/>
        </w:rPr>
        <w:t>标人工作人员发</w:t>
      </w:r>
      <w:bookmarkEnd w:id="410"/>
      <w:r>
        <w:rPr>
          <w:rFonts w:hint="eastAsia" w:ascii="宋体" w:hAnsi="宋体" w:eastAsia="宋体" w:cs="宋体"/>
          <w:color w:val="auto"/>
          <w:kern w:val="0"/>
          <w:sz w:val="24"/>
          <w:szCs w:val="24"/>
          <w:highlight w:val="none"/>
          <w:lang w:val="en-US" w:eastAsia="zh-CN" w:bidi="ar-SA"/>
        </w:rPr>
        <w:t>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t>2、乙方在公司运营中发生的劳资纠纷、工伤纠纷、人身意外伤亡等事件，由乙方自行承担，如因此造成甲方被第三方索赔，甲方有权向乙方进行追偿。</w:t>
      </w:r>
    </w:p>
    <w:p>
      <w:pPr>
        <w:adjustRightInd/>
        <w:spacing w:line="600" w:lineRule="exact"/>
        <w:ind w:firstLine="354" w:firstLineChars="98"/>
        <w:rPr>
          <w:rFonts w:hint="eastAsia" w:ascii="宋体" w:hAnsi="宋体" w:eastAsia="宋体" w:cs="宋体"/>
          <w:b/>
          <w:color w:val="auto"/>
          <w:sz w:val="36"/>
          <w:szCs w:val="36"/>
          <w:highlight w:val="none"/>
        </w:rPr>
      </w:pPr>
    </w:p>
    <w:p>
      <w:pPr>
        <w:adjustRightInd/>
        <w:spacing w:line="600" w:lineRule="exact"/>
        <w:ind w:firstLine="354" w:firstLineChars="98"/>
        <w:rPr>
          <w:rFonts w:hint="eastAsia" w:ascii="宋体" w:hAnsi="宋体" w:eastAsia="宋体" w:cs="宋体"/>
          <w:b/>
          <w:color w:val="auto"/>
          <w:sz w:val="36"/>
          <w:szCs w:val="36"/>
          <w:highlight w:val="none"/>
        </w:rPr>
      </w:pPr>
    </w:p>
    <w:p>
      <w:pPr>
        <w:adjustRightInd/>
        <w:spacing w:line="600" w:lineRule="exact"/>
        <w:ind w:firstLine="354" w:firstLineChars="98"/>
        <w:rPr>
          <w:rFonts w:hint="eastAsia" w:ascii="宋体" w:hAnsi="宋体" w:eastAsia="宋体" w:cs="宋体"/>
          <w:b/>
          <w:color w:val="auto"/>
          <w:sz w:val="36"/>
          <w:szCs w:val="36"/>
          <w:highlight w:val="none"/>
        </w:rPr>
      </w:pPr>
    </w:p>
    <w:p>
      <w:pPr>
        <w:snapToGrid w:val="0"/>
        <w:spacing w:line="360" w:lineRule="auto"/>
        <w:ind w:firstLine="723" w:firstLineChars="200"/>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8" w:name="_Toc184308102"/>
      <w:bookmarkEnd w:id="28"/>
      <w:bookmarkStart w:id="29" w:name="_Toc184312087"/>
      <w:bookmarkEnd w:id="29"/>
      <w:bookmarkStart w:id="30" w:name="_Toc184314431"/>
      <w:bookmarkEnd w:id="30"/>
      <w:bookmarkStart w:id="31" w:name="_Toc184310282"/>
      <w:bookmarkEnd w:id="31"/>
      <w:bookmarkStart w:id="32" w:name="_Toc184308039"/>
      <w:bookmarkEnd w:id="32"/>
      <w:bookmarkStart w:id="33" w:name="_Toc184314414"/>
      <w:bookmarkEnd w:id="33"/>
      <w:bookmarkStart w:id="34" w:name="_Toc184310341"/>
      <w:bookmarkEnd w:id="34"/>
      <w:bookmarkStart w:id="35" w:name="_Toc184308061"/>
      <w:bookmarkEnd w:id="35"/>
      <w:bookmarkStart w:id="36" w:name="_Toc184313302"/>
      <w:bookmarkEnd w:id="36"/>
      <w:bookmarkStart w:id="37" w:name="_Toc184312136"/>
      <w:bookmarkEnd w:id="37"/>
      <w:bookmarkStart w:id="38" w:name="_Toc184308078"/>
      <w:bookmarkEnd w:id="38"/>
      <w:bookmarkStart w:id="39" w:name="_Toc184313274"/>
      <w:bookmarkEnd w:id="39"/>
      <w:bookmarkStart w:id="40" w:name="_Toc184310327"/>
      <w:bookmarkEnd w:id="40"/>
      <w:bookmarkStart w:id="41" w:name="_Toc184314476"/>
      <w:bookmarkEnd w:id="41"/>
      <w:bookmarkStart w:id="42" w:name="_Toc184312138"/>
      <w:bookmarkEnd w:id="42"/>
      <w:bookmarkStart w:id="43" w:name="_Toc184313269"/>
      <w:bookmarkEnd w:id="43"/>
      <w:bookmarkStart w:id="44" w:name="_Toc184313308"/>
      <w:bookmarkEnd w:id="44"/>
      <w:bookmarkStart w:id="45" w:name="_Toc184310299"/>
      <w:bookmarkEnd w:id="45"/>
      <w:bookmarkStart w:id="46" w:name="_Toc184310291"/>
      <w:bookmarkEnd w:id="46"/>
      <w:bookmarkStart w:id="47" w:name="_Toc184310342"/>
      <w:bookmarkEnd w:id="47"/>
      <w:bookmarkStart w:id="48" w:name="_Toc184313259"/>
      <w:bookmarkEnd w:id="48"/>
      <w:bookmarkStart w:id="49" w:name="_Toc184312100"/>
      <w:bookmarkEnd w:id="49"/>
      <w:bookmarkStart w:id="50" w:name="_Toc184312115"/>
      <w:bookmarkEnd w:id="50"/>
      <w:bookmarkStart w:id="51" w:name="_Toc184312068"/>
      <w:bookmarkEnd w:id="51"/>
      <w:bookmarkStart w:id="52" w:name="_Toc184308088"/>
      <w:bookmarkEnd w:id="52"/>
      <w:bookmarkStart w:id="53" w:name="_Toc184312092"/>
      <w:bookmarkEnd w:id="53"/>
      <w:bookmarkStart w:id="54" w:name="_Toc184308048"/>
      <w:bookmarkEnd w:id="54"/>
      <w:bookmarkStart w:id="55" w:name="_Toc184310289"/>
      <w:bookmarkEnd w:id="55"/>
      <w:bookmarkStart w:id="56" w:name="_Toc184310310"/>
      <w:bookmarkEnd w:id="56"/>
      <w:bookmarkStart w:id="57" w:name="_Toc184308085"/>
      <w:bookmarkEnd w:id="57"/>
      <w:bookmarkStart w:id="58" w:name="_Toc184314432"/>
      <w:bookmarkEnd w:id="58"/>
      <w:bookmarkStart w:id="59" w:name="_Toc184310302"/>
      <w:bookmarkEnd w:id="59"/>
      <w:bookmarkStart w:id="60" w:name="_Toc184314411"/>
      <w:bookmarkEnd w:id="60"/>
      <w:bookmarkStart w:id="61" w:name="_Toc184310303"/>
      <w:bookmarkEnd w:id="61"/>
      <w:bookmarkStart w:id="62" w:name="_Toc184308075"/>
      <w:bookmarkEnd w:id="62"/>
      <w:bookmarkStart w:id="63" w:name="_Toc184313275"/>
      <w:bookmarkEnd w:id="63"/>
      <w:bookmarkStart w:id="64" w:name="_Toc184314441"/>
      <w:bookmarkEnd w:id="64"/>
      <w:bookmarkStart w:id="65" w:name="_Toc184312084"/>
      <w:bookmarkEnd w:id="65"/>
      <w:bookmarkStart w:id="66" w:name="_Toc184312103"/>
      <w:bookmarkEnd w:id="66"/>
      <w:bookmarkStart w:id="67" w:name="_Toc184312117"/>
      <w:bookmarkEnd w:id="67"/>
      <w:bookmarkStart w:id="68" w:name="_Toc184314440"/>
      <w:bookmarkEnd w:id="68"/>
      <w:bookmarkStart w:id="69" w:name="_Toc184312106"/>
      <w:bookmarkEnd w:id="69"/>
      <w:bookmarkStart w:id="70" w:name="_Toc184313281"/>
      <w:bookmarkEnd w:id="70"/>
      <w:bookmarkStart w:id="71" w:name="_Toc184310274"/>
      <w:bookmarkEnd w:id="71"/>
      <w:bookmarkStart w:id="72" w:name="_Toc184312099"/>
      <w:bookmarkEnd w:id="72"/>
      <w:bookmarkStart w:id="73" w:name="_Toc184314459"/>
      <w:bookmarkEnd w:id="73"/>
      <w:bookmarkStart w:id="74" w:name="_Toc184312114"/>
      <w:bookmarkEnd w:id="74"/>
      <w:bookmarkStart w:id="75" w:name="_Toc184310298"/>
      <w:bookmarkEnd w:id="75"/>
      <w:bookmarkStart w:id="76" w:name="_Toc184314436"/>
      <w:bookmarkEnd w:id="76"/>
      <w:bookmarkStart w:id="77" w:name="_Toc184314420"/>
      <w:bookmarkEnd w:id="77"/>
      <w:bookmarkStart w:id="78" w:name="_Toc184310290"/>
      <w:bookmarkEnd w:id="78"/>
      <w:bookmarkStart w:id="79" w:name="_Toc184314417"/>
      <w:bookmarkEnd w:id="79"/>
      <w:bookmarkStart w:id="80" w:name="_Toc184310296"/>
      <w:bookmarkEnd w:id="80"/>
      <w:bookmarkStart w:id="81" w:name="_Toc184312102"/>
      <w:bookmarkEnd w:id="81"/>
      <w:bookmarkStart w:id="82" w:name="_Toc184310305"/>
      <w:bookmarkEnd w:id="82"/>
      <w:bookmarkStart w:id="83" w:name="_Toc184310292"/>
      <w:bookmarkEnd w:id="83"/>
      <w:bookmarkStart w:id="84" w:name="_Toc184308074"/>
      <w:bookmarkEnd w:id="84"/>
      <w:bookmarkStart w:id="85" w:name="_Toc184308066"/>
      <w:bookmarkEnd w:id="85"/>
      <w:bookmarkStart w:id="86" w:name="_Toc184314460"/>
      <w:bookmarkEnd w:id="86"/>
      <w:bookmarkStart w:id="87" w:name="_Toc184308049"/>
      <w:bookmarkEnd w:id="87"/>
      <w:bookmarkStart w:id="88" w:name="_Toc184313279"/>
      <w:bookmarkEnd w:id="88"/>
      <w:bookmarkStart w:id="89" w:name="_Toc184313242"/>
      <w:bookmarkEnd w:id="89"/>
      <w:bookmarkStart w:id="90" w:name="_Toc184312108"/>
      <w:bookmarkEnd w:id="90"/>
      <w:bookmarkStart w:id="91" w:name="_Toc184314438"/>
      <w:bookmarkEnd w:id="91"/>
      <w:bookmarkStart w:id="92" w:name="_Toc184313295"/>
      <w:bookmarkEnd w:id="92"/>
      <w:bookmarkStart w:id="93" w:name="_Toc184313252"/>
      <w:bookmarkEnd w:id="93"/>
      <w:bookmarkStart w:id="94" w:name="_Toc184313268"/>
      <w:bookmarkEnd w:id="94"/>
      <w:bookmarkStart w:id="95" w:name="_Toc184314475"/>
      <w:bookmarkEnd w:id="95"/>
      <w:bookmarkStart w:id="96" w:name="_Toc184312083"/>
      <w:bookmarkEnd w:id="96"/>
      <w:bookmarkStart w:id="97" w:name="_Toc184310309"/>
      <w:bookmarkEnd w:id="97"/>
      <w:bookmarkStart w:id="98" w:name="_Toc184312079"/>
      <w:bookmarkEnd w:id="98"/>
      <w:bookmarkStart w:id="99" w:name="_Toc184313256"/>
      <w:bookmarkEnd w:id="99"/>
      <w:bookmarkStart w:id="100" w:name="_Toc184312096"/>
      <w:bookmarkEnd w:id="100"/>
      <w:bookmarkStart w:id="101" w:name="_Toc184314446"/>
      <w:bookmarkEnd w:id="101"/>
      <w:bookmarkStart w:id="102" w:name="_Toc184308079"/>
      <w:bookmarkEnd w:id="102"/>
      <w:bookmarkStart w:id="103" w:name="_Toc184308064"/>
      <w:bookmarkEnd w:id="103"/>
      <w:bookmarkStart w:id="104" w:name="_Toc184308065"/>
      <w:bookmarkEnd w:id="104"/>
      <w:bookmarkStart w:id="105" w:name="_Toc184313239"/>
      <w:bookmarkEnd w:id="105"/>
      <w:bookmarkStart w:id="106" w:name="_Toc184310301"/>
      <w:bookmarkEnd w:id="106"/>
      <w:bookmarkStart w:id="107" w:name="_Toc184313255"/>
      <w:bookmarkEnd w:id="107"/>
      <w:bookmarkStart w:id="108" w:name="_Toc184310293"/>
      <w:bookmarkEnd w:id="108"/>
      <w:bookmarkStart w:id="109" w:name="_Toc184308101"/>
      <w:bookmarkEnd w:id="109"/>
      <w:bookmarkStart w:id="110" w:name="_Toc184308082"/>
      <w:bookmarkEnd w:id="110"/>
      <w:bookmarkStart w:id="111" w:name="_Toc184312116"/>
      <w:bookmarkEnd w:id="111"/>
      <w:bookmarkStart w:id="112" w:name="_Toc184313240"/>
      <w:bookmarkEnd w:id="112"/>
      <w:bookmarkStart w:id="113" w:name="_Toc184310285"/>
      <w:bookmarkEnd w:id="113"/>
      <w:bookmarkStart w:id="114" w:name="_Toc184314465"/>
      <w:bookmarkEnd w:id="114"/>
      <w:bookmarkStart w:id="115" w:name="_Toc184313257"/>
      <w:bookmarkEnd w:id="115"/>
      <w:bookmarkStart w:id="116" w:name="_Toc184313248"/>
      <w:bookmarkEnd w:id="116"/>
      <w:bookmarkStart w:id="117" w:name="_Toc184314467"/>
      <w:bookmarkEnd w:id="117"/>
      <w:bookmarkStart w:id="118" w:name="_Toc184308037"/>
      <w:bookmarkEnd w:id="118"/>
      <w:bookmarkStart w:id="119" w:name="_Toc184313264"/>
      <w:bookmarkEnd w:id="119"/>
      <w:bookmarkStart w:id="120" w:name="_Toc184313267"/>
      <w:bookmarkEnd w:id="120"/>
      <w:bookmarkStart w:id="121" w:name="_Toc184308052"/>
      <w:bookmarkEnd w:id="121"/>
      <w:bookmarkStart w:id="122" w:name="_Toc184310311"/>
      <w:bookmarkEnd w:id="122"/>
      <w:bookmarkStart w:id="123" w:name="_Toc184313273"/>
      <w:bookmarkEnd w:id="123"/>
      <w:bookmarkStart w:id="124" w:name="_Toc184312081"/>
      <w:bookmarkEnd w:id="124"/>
      <w:bookmarkStart w:id="125" w:name="_Toc184310286"/>
      <w:bookmarkEnd w:id="125"/>
      <w:bookmarkStart w:id="126" w:name="_Toc184310324"/>
      <w:bookmarkEnd w:id="126"/>
      <w:bookmarkStart w:id="127" w:name="_Toc184308083"/>
      <w:bookmarkEnd w:id="127"/>
      <w:bookmarkStart w:id="128" w:name="_Toc184314482"/>
      <w:bookmarkEnd w:id="128"/>
      <w:bookmarkStart w:id="129" w:name="_Toc184314410"/>
      <w:bookmarkEnd w:id="129"/>
      <w:bookmarkStart w:id="130" w:name="_Toc184314442"/>
      <w:bookmarkEnd w:id="130"/>
      <w:bookmarkStart w:id="131" w:name="_Toc184314419"/>
      <w:bookmarkEnd w:id="131"/>
      <w:bookmarkStart w:id="132" w:name="_Toc184314426"/>
      <w:bookmarkEnd w:id="132"/>
      <w:bookmarkStart w:id="133" w:name="_Toc184308070"/>
      <w:bookmarkEnd w:id="133"/>
      <w:bookmarkStart w:id="134" w:name="_Toc184310284"/>
      <w:bookmarkEnd w:id="134"/>
      <w:bookmarkStart w:id="135" w:name="_Toc184308040"/>
      <w:bookmarkEnd w:id="135"/>
      <w:bookmarkStart w:id="136" w:name="_Toc184310315"/>
      <w:bookmarkEnd w:id="136"/>
      <w:bookmarkStart w:id="137" w:name="_Toc184313272"/>
      <w:bookmarkEnd w:id="137"/>
      <w:bookmarkStart w:id="138" w:name="_Toc184314439"/>
      <w:bookmarkEnd w:id="138"/>
      <w:bookmarkStart w:id="139" w:name="_Toc184312077"/>
      <w:bookmarkEnd w:id="139"/>
      <w:bookmarkStart w:id="140" w:name="_Toc184310308"/>
      <w:bookmarkEnd w:id="140"/>
      <w:bookmarkStart w:id="141" w:name="_Toc184310273"/>
      <w:bookmarkEnd w:id="141"/>
      <w:bookmarkStart w:id="142" w:name="_Toc184313247"/>
      <w:bookmarkEnd w:id="142"/>
      <w:bookmarkStart w:id="143" w:name="_Toc184313290"/>
      <w:bookmarkEnd w:id="143"/>
      <w:bookmarkStart w:id="144" w:name="_Toc184314445"/>
      <w:bookmarkEnd w:id="144"/>
      <w:bookmarkStart w:id="145" w:name="_Toc184313287"/>
      <w:bookmarkEnd w:id="145"/>
      <w:bookmarkStart w:id="146" w:name="_Toc184312074"/>
      <w:bookmarkEnd w:id="146"/>
      <w:bookmarkStart w:id="147" w:name="_Toc184310319"/>
      <w:bookmarkEnd w:id="147"/>
      <w:bookmarkStart w:id="148" w:name="_Toc184314434"/>
      <w:bookmarkEnd w:id="148"/>
      <w:bookmarkStart w:id="149" w:name="_Toc184308036"/>
      <w:bookmarkEnd w:id="149"/>
      <w:bookmarkStart w:id="150" w:name="_Toc184313291"/>
      <w:bookmarkEnd w:id="150"/>
      <w:bookmarkStart w:id="151" w:name="_Toc184313261"/>
      <w:bookmarkEnd w:id="151"/>
      <w:bookmarkStart w:id="152" w:name="_Toc184310323"/>
      <w:bookmarkEnd w:id="152"/>
      <w:bookmarkStart w:id="153" w:name="_Toc184310283"/>
      <w:bookmarkEnd w:id="153"/>
      <w:bookmarkStart w:id="154" w:name="_Toc184313260"/>
      <w:bookmarkEnd w:id="154"/>
      <w:bookmarkStart w:id="155" w:name="_Toc184313258"/>
      <w:bookmarkEnd w:id="155"/>
      <w:bookmarkStart w:id="156" w:name="_Toc184314455"/>
      <w:bookmarkEnd w:id="156"/>
      <w:bookmarkStart w:id="157" w:name="_Toc184308042"/>
      <w:bookmarkEnd w:id="157"/>
      <w:bookmarkStart w:id="158" w:name="_Toc184310344"/>
      <w:bookmarkEnd w:id="158"/>
      <w:bookmarkStart w:id="159" w:name="_Toc184314413"/>
      <w:bookmarkEnd w:id="159"/>
      <w:bookmarkStart w:id="160" w:name="_Toc184313254"/>
      <w:bookmarkEnd w:id="160"/>
      <w:bookmarkStart w:id="161" w:name="_Toc184308071"/>
      <w:bookmarkEnd w:id="161"/>
      <w:bookmarkStart w:id="162" w:name="_Toc184310300"/>
      <w:bookmarkEnd w:id="162"/>
      <w:bookmarkStart w:id="163" w:name="_Toc184312131"/>
      <w:bookmarkEnd w:id="163"/>
      <w:bookmarkStart w:id="164" w:name="_Toc184313307"/>
      <w:bookmarkEnd w:id="164"/>
      <w:bookmarkStart w:id="165" w:name="_Toc184312070"/>
      <w:bookmarkEnd w:id="165"/>
      <w:bookmarkStart w:id="166" w:name="_Toc184314453"/>
      <w:bookmarkEnd w:id="166"/>
      <w:bookmarkStart w:id="167" w:name="_Toc184312112"/>
      <w:bookmarkEnd w:id="167"/>
      <w:bookmarkStart w:id="168" w:name="_Toc184313282"/>
      <w:bookmarkEnd w:id="168"/>
      <w:bookmarkStart w:id="169" w:name="_Toc184308108"/>
      <w:bookmarkEnd w:id="169"/>
      <w:bookmarkStart w:id="170" w:name="_Toc184314443"/>
      <w:bookmarkEnd w:id="170"/>
      <w:bookmarkStart w:id="171" w:name="_Toc184308053"/>
      <w:bookmarkEnd w:id="171"/>
      <w:bookmarkStart w:id="172" w:name="_Toc184310343"/>
      <w:bookmarkEnd w:id="172"/>
      <w:bookmarkStart w:id="173" w:name="_Toc184310337"/>
      <w:bookmarkEnd w:id="173"/>
      <w:bookmarkStart w:id="174" w:name="_Toc184310275"/>
      <w:bookmarkEnd w:id="174"/>
      <w:bookmarkStart w:id="175" w:name="_Toc184310340"/>
      <w:bookmarkEnd w:id="175"/>
      <w:bookmarkStart w:id="176" w:name="_Toc184308060"/>
      <w:bookmarkEnd w:id="176"/>
      <w:bookmarkStart w:id="177" w:name="_Toc184312088"/>
      <w:bookmarkEnd w:id="177"/>
      <w:bookmarkStart w:id="178" w:name="_Toc184310322"/>
      <w:bookmarkEnd w:id="178"/>
      <w:bookmarkStart w:id="179" w:name="_Toc184312078"/>
      <w:bookmarkEnd w:id="179"/>
      <w:bookmarkStart w:id="180" w:name="_Toc184312135"/>
      <w:bookmarkEnd w:id="180"/>
      <w:bookmarkStart w:id="181" w:name="_Toc184313270"/>
      <w:bookmarkEnd w:id="181"/>
      <w:bookmarkStart w:id="182" w:name="_Toc184312093"/>
      <w:bookmarkEnd w:id="182"/>
      <w:bookmarkStart w:id="183" w:name="_Toc184308086"/>
      <w:bookmarkEnd w:id="183"/>
      <w:bookmarkStart w:id="184" w:name="_Toc184312097"/>
      <w:bookmarkEnd w:id="184"/>
      <w:bookmarkStart w:id="185" w:name="_Toc184312101"/>
      <w:bookmarkEnd w:id="185"/>
      <w:bookmarkStart w:id="186" w:name="_Toc184308038"/>
      <w:bookmarkEnd w:id="186"/>
      <w:bookmarkStart w:id="187" w:name="_Toc184308069"/>
      <w:bookmarkEnd w:id="187"/>
      <w:bookmarkStart w:id="188" w:name="_Toc184308081"/>
      <w:bookmarkEnd w:id="188"/>
      <w:bookmarkStart w:id="189" w:name="_Toc184313262"/>
      <w:bookmarkEnd w:id="189"/>
      <w:bookmarkStart w:id="190" w:name="_Toc184313251"/>
      <w:bookmarkEnd w:id="190"/>
      <w:bookmarkStart w:id="191" w:name="_Toc184312086"/>
      <w:bookmarkEnd w:id="191"/>
      <w:bookmarkStart w:id="192" w:name="_Toc184310281"/>
      <w:bookmarkEnd w:id="192"/>
      <w:bookmarkStart w:id="193" w:name="_Toc184314444"/>
      <w:bookmarkEnd w:id="193"/>
      <w:bookmarkStart w:id="194" w:name="_Toc184313303"/>
      <w:bookmarkEnd w:id="194"/>
      <w:bookmarkStart w:id="195" w:name="_Toc184312133"/>
      <w:bookmarkEnd w:id="195"/>
      <w:bookmarkStart w:id="196" w:name="_Toc184314428"/>
      <w:bookmarkEnd w:id="196"/>
      <w:bookmarkStart w:id="197" w:name="_Toc184308096"/>
      <w:bookmarkEnd w:id="197"/>
      <w:bookmarkStart w:id="198" w:name="_Toc184314471"/>
      <w:bookmarkEnd w:id="198"/>
      <w:bookmarkStart w:id="199" w:name="_Toc184312075"/>
      <w:bookmarkEnd w:id="199"/>
      <w:bookmarkStart w:id="200" w:name="_Toc184308041"/>
      <w:bookmarkEnd w:id="200"/>
      <w:bookmarkStart w:id="201" w:name="_Toc184308054"/>
      <w:bookmarkEnd w:id="201"/>
      <w:bookmarkStart w:id="202" w:name="_Toc184313292"/>
      <w:bookmarkEnd w:id="202"/>
      <w:bookmarkStart w:id="203" w:name="_Toc184312094"/>
      <w:bookmarkEnd w:id="203"/>
      <w:bookmarkStart w:id="204" w:name="_Toc184312111"/>
      <w:bookmarkEnd w:id="204"/>
      <w:bookmarkStart w:id="205" w:name="_Toc184310325"/>
      <w:bookmarkEnd w:id="205"/>
      <w:bookmarkStart w:id="206" w:name="_Toc184312098"/>
      <w:bookmarkEnd w:id="206"/>
      <w:bookmarkStart w:id="207" w:name="_Toc184312067"/>
      <w:bookmarkEnd w:id="207"/>
      <w:bookmarkStart w:id="208" w:name="_Toc184310280"/>
      <w:bookmarkEnd w:id="208"/>
      <w:bookmarkStart w:id="209" w:name="_Toc184312095"/>
      <w:bookmarkEnd w:id="209"/>
      <w:bookmarkStart w:id="210" w:name="_Toc184310272"/>
      <w:bookmarkEnd w:id="210"/>
      <w:bookmarkStart w:id="211" w:name="_Toc184312076"/>
      <w:bookmarkEnd w:id="211"/>
      <w:bookmarkStart w:id="212" w:name="_Toc184314449"/>
      <w:bookmarkEnd w:id="212"/>
      <w:bookmarkStart w:id="213" w:name="_Toc184308057"/>
      <w:bookmarkEnd w:id="213"/>
      <w:bookmarkStart w:id="214" w:name="_Toc184308090"/>
      <w:bookmarkEnd w:id="214"/>
      <w:bookmarkStart w:id="215" w:name="_Toc184310339"/>
      <w:bookmarkEnd w:id="215"/>
      <w:bookmarkStart w:id="216" w:name="_Toc184313271"/>
      <w:bookmarkEnd w:id="216"/>
      <w:bookmarkStart w:id="217" w:name="_Toc184312069"/>
      <w:bookmarkEnd w:id="217"/>
      <w:bookmarkStart w:id="218" w:name="_Toc184314425"/>
      <w:bookmarkEnd w:id="218"/>
      <w:bookmarkStart w:id="219" w:name="_Toc184314437"/>
      <w:bookmarkEnd w:id="219"/>
      <w:bookmarkStart w:id="220" w:name="_Toc184310288"/>
      <w:bookmarkEnd w:id="220"/>
      <w:bookmarkStart w:id="221" w:name="_Toc184314450"/>
      <w:bookmarkEnd w:id="221"/>
      <w:bookmarkStart w:id="222" w:name="_Toc184312110"/>
      <w:bookmarkEnd w:id="222"/>
      <w:bookmarkStart w:id="223" w:name="_Toc184313253"/>
      <w:bookmarkEnd w:id="223"/>
      <w:bookmarkStart w:id="224" w:name="_Toc184308076"/>
      <w:bookmarkEnd w:id="224"/>
      <w:bookmarkStart w:id="225" w:name="_Toc184313283"/>
      <w:bookmarkEnd w:id="225"/>
      <w:bookmarkStart w:id="226" w:name="_Toc184313266"/>
      <w:bookmarkEnd w:id="226"/>
      <w:bookmarkStart w:id="227" w:name="_Toc184312072"/>
      <w:bookmarkEnd w:id="227"/>
      <w:bookmarkStart w:id="228" w:name="_Toc184313276"/>
      <w:bookmarkEnd w:id="228"/>
      <w:bookmarkStart w:id="229" w:name="_Toc184314447"/>
      <w:bookmarkEnd w:id="229"/>
      <w:bookmarkStart w:id="230" w:name="_Toc184314433"/>
      <w:bookmarkEnd w:id="230"/>
      <w:bookmarkStart w:id="231" w:name="_Toc184314472"/>
      <w:bookmarkEnd w:id="231"/>
      <w:bookmarkStart w:id="232" w:name="_Toc184312082"/>
      <w:bookmarkEnd w:id="232"/>
      <w:bookmarkStart w:id="233" w:name="_Toc184310331"/>
      <w:bookmarkEnd w:id="233"/>
      <w:bookmarkStart w:id="234" w:name="_Toc184308067"/>
      <w:bookmarkEnd w:id="234"/>
      <w:bookmarkStart w:id="235" w:name="_Toc184312073"/>
      <w:bookmarkEnd w:id="235"/>
      <w:bookmarkStart w:id="236" w:name="_Toc184313284"/>
      <w:bookmarkEnd w:id="236"/>
      <w:bookmarkStart w:id="237" w:name="_Toc184308055"/>
      <w:bookmarkEnd w:id="237"/>
      <w:bookmarkStart w:id="238" w:name="_Toc184310317"/>
      <w:bookmarkEnd w:id="238"/>
      <w:bookmarkStart w:id="239" w:name="_Toc184314468"/>
      <w:bookmarkEnd w:id="239"/>
      <w:bookmarkStart w:id="240" w:name="_Toc184308047"/>
      <w:bookmarkEnd w:id="240"/>
      <w:bookmarkStart w:id="241" w:name="_Toc184310336"/>
      <w:bookmarkEnd w:id="241"/>
      <w:bookmarkStart w:id="242" w:name="_Toc184308104"/>
      <w:bookmarkEnd w:id="242"/>
      <w:bookmarkStart w:id="243" w:name="_Toc184310338"/>
      <w:bookmarkEnd w:id="243"/>
      <w:bookmarkStart w:id="244" w:name="_Toc184312129"/>
      <w:bookmarkEnd w:id="244"/>
      <w:bookmarkStart w:id="245" w:name="_Toc184314454"/>
      <w:bookmarkEnd w:id="245"/>
      <w:bookmarkStart w:id="246" w:name="_Toc184313309"/>
      <w:bookmarkEnd w:id="246"/>
      <w:bookmarkStart w:id="247" w:name="_Toc184308094"/>
      <w:bookmarkEnd w:id="247"/>
      <w:bookmarkStart w:id="248" w:name="_Toc184308045"/>
      <w:bookmarkEnd w:id="248"/>
      <w:bookmarkStart w:id="249" w:name="_Toc184308044"/>
      <w:bookmarkEnd w:id="249"/>
      <w:bookmarkStart w:id="250" w:name="_Toc184314477"/>
      <w:bookmarkEnd w:id="250"/>
      <w:bookmarkStart w:id="251" w:name="_Toc184308080"/>
      <w:bookmarkEnd w:id="251"/>
      <w:bookmarkStart w:id="252" w:name="_Toc184308043"/>
      <w:bookmarkEnd w:id="252"/>
      <w:bookmarkStart w:id="253" w:name="_Toc184310329"/>
      <w:bookmarkEnd w:id="253"/>
      <w:bookmarkStart w:id="254" w:name="_Toc184310316"/>
      <w:bookmarkEnd w:id="254"/>
      <w:bookmarkStart w:id="255" w:name="_Toc184312085"/>
      <w:bookmarkEnd w:id="255"/>
      <w:bookmarkStart w:id="256" w:name="_Toc184314418"/>
      <w:bookmarkEnd w:id="256"/>
      <w:bookmarkStart w:id="257" w:name="_Toc184314473"/>
      <w:bookmarkEnd w:id="257"/>
      <w:bookmarkStart w:id="258" w:name="_Toc184314429"/>
      <w:bookmarkEnd w:id="258"/>
      <w:bookmarkStart w:id="259" w:name="_Toc184313244"/>
      <w:bookmarkEnd w:id="259"/>
      <w:bookmarkStart w:id="260" w:name="_Toc184310335"/>
      <w:bookmarkEnd w:id="260"/>
      <w:bookmarkStart w:id="261" w:name="_Toc184312134"/>
      <w:bookmarkEnd w:id="261"/>
      <w:bookmarkStart w:id="262" w:name="_Toc184314469"/>
      <w:bookmarkEnd w:id="262"/>
      <w:bookmarkStart w:id="263" w:name="_Toc184312105"/>
      <w:bookmarkEnd w:id="263"/>
      <w:bookmarkStart w:id="264" w:name="_Toc184314470"/>
      <w:bookmarkEnd w:id="264"/>
      <w:bookmarkStart w:id="265" w:name="_Toc184313306"/>
      <w:bookmarkEnd w:id="265"/>
      <w:bookmarkStart w:id="266" w:name="_Toc184313263"/>
      <w:bookmarkEnd w:id="266"/>
      <w:bookmarkStart w:id="267" w:name="_Toc184312089"/>
      <w:bookmarkEnd w:id="267"/>
      <w:bookmarkStart w:id="268" w:name="_Toc184313277"/>
      <w:bookmarkEnd w:id="268"/>
      <w:bookmarkStart w:id="269" w:name="_Toc184314478"/>
      <w:bookmarkEnd w:id="269"/>
      <w:bookmarkStart w:id="270" w:name="_Toc184313294"/>
      <w:bookmarkEnd w:id="270"/>
      <w:bookmarkStart w:id="271" w:name="_Toc184308068"/>
      <w:bookmarkEnd w:id="271"/>
      <w:bookmarkStart w:id="272" w:name="_Toc184310294"/>
      <w:bookmarkEnd w:id="272"/>
      <w:bookmarkStart w:id="273" w:name="_Toc184313243"/>
      <w:bookmarkEnd w:id="273"/>
      <w:bookmarkStart w:id="274" w:name="_Toc184313288"/>
      <w:bookmarkEnd w:id="274"/>
      <w:bookmarkStart w:id="275" w:name="_Toc184314464"/>
      <w:bookmarkEnd w:id="275"/>
      <w:bookmarkStart w:id="276" w:name="_Toc184314412"/>
      <w:bookmarkEnd w:id="276"/>
      <w:bookmarkStart w:id="277" w:name="_Toc184310277"/>
      <w:bookmarkEnd w:id="277"/>
      <w:bookmarkStart w:id="278" w:name="_Toc184308097"/>
      <w:bookmarkEnd w:id="278"/>
      <w:bookmarkStart w:id="279" w:name="_Toc184310297"/>
      <w:bookmarkEnd w:id="279"/>
      <w:bookmarkStart w:id="280" w:name="_Toc184308046"/>
      <w:bookmarkEnd w:id="280"/>
      <w:bookmarkStart w:id="281" w:name="_Toc184310333"/>
      <w:bookmarkEnd w:id="281"/>
      <w:bookmarkStart w:id="282" w:name="_Toc184314430"/>
      <w:bookmarkEnd w:id="282"/>
      <w:bookmarkStart w:id="283" w:name="_Toc184314458"/>
      <w:bookmarkEnd w:id="283"/>
      <w:bookmarkStart w:id="284" w:name="_Toc184310279"/>
      <w:bookmarkEnd w:id="284"/>
      <w:bookmarkStart w:id="285" w:name="_Toc184310287"/>
      <w:bookmarkEnd w:id="285"/>
      <w:bookmarkStart w:id="286" w:name="_Toc184312107"/>
      <w:bookmarkEnd w:id="286"/>
      <w:bookmarkStart w:id="287" w:name="_Toc184310312"/>
      <w:bookmarkEnd w:id="287"/>
      <w:bookmarkStart w:id="288" w:name="_Toc184312104"/>
      <w:bookmarkEnd w:id="288"/>
      <w:bookmarkStart w:id="289" w:name="_Toc184312071"/>
      <w:bookmarkEnd w:id="289"/>
      <w:bookmarkStart w:id="290" w:name="_Toc184310320"/>
      <w:bookmarkEnd w:id="290"/>
      <w:bookmarkStart w:id="291" w:name="_Toc184313298"/>
      <w:bookmarkEnd w:id="291"/>
      <w:bookmarkStart w:id="292" w:name="_Toc184308106"/>
      <w:bookmarkEnd w:id="292"/>
      <w:bookmarkStart w:id="293" w:name="_Toc184313280"/>
      <w:bookmarkEnd w:id="293"/>
      <w:bookmarkStart w:id="294" w:name="_Toc184308091"/>
      <w:bookmarkEnd w:id="294"/>
      <w:bookmarkStart w:id="295" w:name="_Toc184308105"/>
      <w:bookmarkEnd w:id="295"/>
      <w:bookmarkStart w:id="296" w:name="_Toc184314452"/>
      <w:bookmarkEnd w:id="296"/>
      <w:bookmarkStart w:id="297" w:name="_Toc184308103"/>
      <w:bookmarkEnd w:id="297"/>
      <w:bookmarkStart w:id="298" w:name="_Toc184312122"/>
      <w:bookmarkEnd w:id="298"/>
      <w:bookmarkStart w:id="299" w:name="_Toc184310321"/>
      <w:bookmarkEnd w:id="299"/>
      <w:bookmarkStart w:id="300" w:name="_Toc184314481"/>
      <w:bookmarkEnd w:id="300"/>
      <w:bookmarkStart w:id="301" w:name="_Toc184314448"/>
      <w:bookmarkEnd w:id="301"/>
      <w:bookmarkStart w:id="302" w:name="_Toc184312128"/>
      <w:bookmarkEnd w:id="302"/>
      <w:bookmarkStart w:id="303" w:name="_Toc184308062"/>
      <w:bookmarkEnd w:id="303"/>
      <w:bookmarkStart w:id="304" w:name="_Toc184314416"/>
      <w:bookmarkEnd w:id="304"/>
      <w:bookmarkStart w:id="305" w:name="_Toc184312130"/>
      <w:bookmarkEnd w:id="305"/>
      <w:bookmarkStart w:id="306" w:name="_Toc184308056"/>
      <w:bookmarkEnd w:id="306"/>
      <w:bookmarkStart w:id="307" w:name="_Toc184313245"/>
      <w:bookmarkEnd w:id="307"/>
      <w:bookmarkStart w:id="308" w:name="_Toc184310318"/>
      <w:bookmarkEnd w:id="308"/>
      <w:bookmarkStart w:id="309" w:name="_Toc184310326"/>
      <w:bookmarkEnd w:id="309"/>
      <w:bookmarkStart w:id="310" w:name="_Toc184310332"/>
      <w:bookmarkEnd w:id="310"/>
      <w:bookmarkStart w:id="311" w:name="_Toc184310314"/>
      <w:bookmarkEnd w:id="311"/>
      <w:bookmarkStart w:id="312" w:name="_Toc184312118"/>
      <w:bookmarkEnd w:id="312"/>
      <w:bookmarkStart w:id="313" w:name="_Toc184312127"/>
      <w:bookmarkEnd w:id="313"/>
      <w:bookmarkStart w:id="314" w:name="_Toc184314462"/>
      <w:bookmarkEnd w:id="314"/>
      <w:bookmarkStart w:id="315" w:name="_Toc184310304"/>
      <w:bookmarkEnd w:id="315"/>
      <w:bookmarkStart w:id="316" w:name="_Toc184313296"/>
      <w:bookmarkEnd w:id="316"/>
      <w:bookmarkStart w:id="317" w:name="_Toc184314435"/>
      <w:bookmarkEnd w:id="317"/>
      <w:bookmarkStart w:id="318" w:name="_Toc184313278"/>
      <w:bookmarkEnd w:id="318"/>
      <w:bookmarkStart w:id="319" w:name="_Toc184314474"/>
      <w:bookmarkEnd w:id="319"/>
      <w:bookmarkStart w:id="320" w:name="_Toc184308050"/>
      <w:bookmarkEnd w:id="320"/>
      <w:bookmarkStart w:id="321" w:name="_Toc184314456"/>
      <w:bookmarkEnd w:id="321"/>
      <w:bookmarkStart w:id="322" w:name="_Toc184314427"/>
      <w:bookmarkEnd w:id="322"/>
      <w:bookmarkStart w:id="323" w:name="_Toc184310328"/>
      <w:bookmarkEnd w:id="323"/>
      <w:bookmarkStart w:id="324" w:name="_Toc184312091"/>
      <w:bookmarkEnd w:id="324"/>
      <w:bookmarkStart w:id="325" w:name="_Toc184314466"/>
      <w:bookmarkEnd w:id="325"/>
      <w:bookmarkStart w:id="326" w:name="_Toc184312120"/>
      <w:bookmarkEnd w:id="326"/>
      <w:bookmarkStart w:id="327" w:name="_Toc184314479"/>
      <w:bookmarkEnd w:id="327"/>
      <w:bookmarkStart w:id="328" w:name="_Toc184308063"/>
      <w:bookmarkEnd w:id="328"/>
      <w:bookmarkStart w:id="329" w:name="_Toc184308087"/>
      <w:bookmarkEnd w:id="329"/>
      <w:bookmarkStart w:id="330" w:name="_Toc184313299"/>
      <w:bookmarkEnd w:id="330"/>
      <w:bookmarkStart w:id="331" w:name="_Toc184313286"/>
      <w:bookmarkEnd w:id="331"/>
      <w:bookmarkStart w:id="332" w:name="_Toc184310278"/>
      <w:bookmarkEnd w:id="332"/>
      <w:bookmarkStart w:id="333" w:name="_Toc184312123"/>
      <w:bookmarkEnd w:id="333"/>
      <w:bookmarkStart w:id="334" w:name="_Toc184308098"/>
      <w:bookmarkEnd w:id="334"/>
      <w:bookmarkStart w:id="335" w:name="_Toc184313250"/>
      <w:bookmarkEnd w:id="335"/>
      <w:bookmarkStart w:id="336" w:name="_Toc184314463"/>
      <w:bookmarkEnd w:id="336"/>
      <w:bookmarkStart w:id="337" w:name="_Toc184312109"/>
      <w:bookmarkEnd w:id="337"/>
      <w:bookmarkStart w:id="338" w:name="_Toc184308095"/>
      <w:bookmarkEnd w:id="338"/>
      <w:bookmarkStart w:id="339" w:name="_Toc184310330"/>
      <w:bookmarkEnd w:id="339"/>
      <w:bookmarkStart w:id="340" w:name="_Toc184310306"/>
      <w:bookmarkEnd w:id="340"/>
      <w:bookmarkStart w:id="341" w:name="_Toc184308089"/>
      <w:bookmarkEnd w:id="341"/>
      <w:bookmarkStart w:id="342" w:name="_Toc184310276"/>
      <w:bookmarkEnd w:id="342"/>
      <w:bookmarkStart w:id="343" w:name="_Toc184313238"/>
      <w:bookmarkEnd w:id="343"/>
      <w:bookmarkStart w:id="344" w:name="_Toc184313310"/>
      <w:bookmarkEnd w:id="344"/>
      <w:bookmarkStart w:id="345" w:name="_Toc184314422"/>
      <w:bookmarkEnd w:id="345"/>
      <w:bookmarkStart w:id="346" w:name="_Toc184308093"/>
      <w:bookmarkEnd w:id="346"/>
      <w:bookmarkStart w:id="347" w:name="_Toc184314457"/>
      <w:bookmarkEnd w:id="347"/>
      <w:bookmarkStart w:id="348" w:name="_Toc184308072"/>
      <w:bookmarkEnd w:id="348"/>
      <w:bookmarkStart w:id="349" w:name="_Toc184313246"/>
      <w:bookmarkEnd w:id="349"/>
      <w:bookmarkStart w:id="350" w:name="_Toc184314415"/>
      <w:bookmarkEnd w:id="350"/>
      <w:bookmarkStart w:id="351" w:name="_Toc184312121"/>
      <w:bookmarkEnd w:id="351"/>
      <w:bookmarkStart w:id="352" w:name="_Toc184308059"/>
      <w:bookmarkEnd w:id="352"/>
      <w:bookmarkStart w:id="353" w:name="_Toc184313304"/>
      <w:bookmarkEnd w:id="353"/>
      <w:bookmarkStart w:id="354" w:name="_Toc184313265"/>
      <w:bookmarkEnd w:id="354"/>
      <w:bookmarkStart w:id="355" w:name="_Toc184313293"/>
      <w:bookmarkEnd w:id="355"/>
      <w:bookmarkStart w:id="356" w:name="_Toc184310334"/>
      <w:bookmarkEnd w:id="356"/>
      <w:bookmarkStart w:id="357" w:name="_Toc184312080"/>
      <w:bookmarkEnd w:id="357"/>
      <w:bookmarkStart w:id="358" w:name="_Toc184313241"/>
      <w:bookmarkEnd w:id="358"/>
      <w:bookmarkStart w:id="359" w:name="_Toc184314423"/>
      <w:bookmarkEnd w:id="359"/>
      <w:bookmarkStart w:id="360" w:name="_Toc184313285"/>
      <w:bookmarkEnd w:id="360"/>
      <w:bookmarkStart w:id="361" w:name="_Toc184310313"/>
      <w:bookmarkEnd w:id="361"/>
      <w:bookmarkStart w:id="362" w:name="_Toc184308077"/>
      <w:bookmarkEnd w:id="362"/>
      <w:bookmarkStart w:id="363" w:name="_Toc184308058"/>
      <w:bookmarkEnd w:id="363"/>
      <w:bookmarkStart w:id="364" w:name="_Toc184308107"/>
      <w:bookmarkEnd w:id="364"/>
      <w:bookmarkStart w:id="365" w:name="_Toc184312126"/>
      <w:bookmarkEnd w:id="365"/>
      <w:bookmarkStart w:id="366" w:name="_Toc184312113"/>
      <w:bookmarkEnd w:id="366"/>
      <w:bookmarkStart w:id="367" w:name="_Toc184313301"/>
      <w:bookmarkEnd w:id="367"/>
      <w:bookmarkStart w:id="368" w:name="_Toc184308073"/>
      <w:bookmarkEnd w:id="368"/>
      <w:bookmarkStart w:id="369" w:name="_Toc184313300"/>
      <w:bookmarkEnd w:id="369"/>
      <w:bookmarkStart w:id="370" w:name="_Toc184312132"/>
      <w:bookmarkEnd w:id="370"/>
      <w:bookmarkStart w:id="371" w:name="_Toc184313305"/>
      <w:bookmarkEnd w:id="371"/>
      <w:bookmarkStart w:id="372" w:name="_Toc184308084"/>
      <w:bookmarkEnd w:id="372"/>
      <w:bookmarkStart w:id="373" w:name="_Toc184310307"/>
      <w:bookmarkEnd w:id="373"/>
      <w:bookmarkStart w:id="374" w:name="_Toc184312124"/>
      <w:bookmarkEnd w:id="374"/>
      <w:bookmarkStart w:id="375" w:name="_Toc184310295"/>
      <w:bookmarkEnd w:id="375"/>
      <w:bookmarkStart w:id="376" w:name="_Toc184314421"/>
      <w:bookmarkEnd w:id="376"/>
      <w:bookmarkStart w:id="377" w:name="_Toc184313297"/>
      <w:bookmarkEnd w:id="377"/>
      <w:bookmarkStart w:id="378" w:name="_Toc184313289"/>
      <w:bookmarkEnd w:id="378"/>
      <w:bookmarkStart w:id="379" w:name="_Toc184308100"/>
      <w:bookmarkEnd w:id="379"/>
      <w:bookmarkStart w:id="380" w:name="_Toc184308099"/>
      <w:bookmarkEnd w:id="380"/>
      <w:bookmarkStart w:id="381" w:name="_Toc184312125"/>
      <w:bookmarkEnd w:id="381"/>
      <w:bookmarkStart w:id="382" w:name="_Toc184314451"/>
      <w:bookmarkEnd w:id="382"/>
      <w:bookmarkStart w:id="383" w:name="_Toc184313249"/>
      <w:bookmarkEnd w:id="383"/>
      <w:bookmarkStart w:id="384" w:name="_Toc184314480"/>
      <w:bookmarkEnd w:id="384"/>
      <w:bookmarkStart w:id="385" w:name="_Toc184312139"/>
      <w:bookmarkEnd w:id="385"/>
      <w:bookmarkStart w:id="386" w:name="_Toc184308092"/>
      <w:bookmarkEnd w:id="386"/>
      <w:bookmarkStart w:id="387" w:name="_Toc184312137"/>
      <w:bookmarkEnd w:id="387"/>
      <w:bookmarkStart w:id="388" w:name="_Toc184312090"/>
      <w:bookmarkEnd w:id="388"/>
      <w:bookmarkStart w:id="389" w:name="_Toc184314424"/>
      <w:bookmarkEnd w:id="389"/>
      <w:bookmarkStart w:id="390" w:name="_Toc184314461"/>
      <w:bookmarkEnd w:id="390"/>
      <w:bookmarkStart w:id="391" w:name="_Toc184308051"/>
      <w:bookmarkEnd w:id="391"/>
      <w:bookmarkStart w:id="392" w:name="_Toc184312119"/>
      <w:bookmarkEnd w:id="392"/>
      <w:r>
        <w:rPr>
          <w:rFonts w:hint="eastAsia" w:ascii="仿宋" w:hAnsi="仿宋" w:eastAsia="仿宋" w:cs="仿宋_GB2312"/>
          <w:b/>
          <w:color w:val="auto"/>
          <w:sz w:val="36"/>
          <w:szCs w:val="36"/>
          <w:highlight w:val="none"/>
        </w:rPr>
        <w:t>评标办法</w:t>
      </w:r>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pPr w:leftFromText="180" w:rightFromText="180" w:vertAnchor="text" w:horzAnchor="page" w:tblpXSpec="center" w:tblpY="12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5185"/>
        <w:gridCol w:w="847"/>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365" w:type="pct"/>
            <w:vAlign w:val="center"/>
          </w:tcPr>
          <w:p>
            <w:pPr>
              <w:adjustRightInd/>
              <w:spacing w:line="360" w:lineRule="auto"/>
              <w:jc w:val="center"/>
              <w:outlineLvl w:val="0"/>
              <w:rPr>
                <w:rFonts w:hint="eastAsia" w:ascii="宋体" w:hAnsi="宋体" w:eastAsia="宋体" w:cs="宋体"/>
                <w:bCs/>
                <w:sz w:val="24"/>
              </w:rPr>
            </w:pPr>
            <w:r>
              <w:rPr>
                <w:rFonts w:hint="eastAsia" w:ascii="宋体" w:hAnsi="宋体" w:eastAsia="宋体" w:cs="宋体"/>
                <w:bCs/>
                <w:sz w:val="24"/>
              </w:rPr>
              <w:t>序号</w:t>
            </w:r>
          </w:p>
        </w:tc>
        <w:tc>
          <w:tcPr>
            <w:tcW w:w="2908" w:type="pct"/>
            <w:vAlign w:val="center"/>
          </w:tcPr>
          <w:p>
            <w:pPr>
              <w:adjustRightInd/>
              <w:spacing w:line="360" w:lineRule="auto"/>
              <w:jc w:val="center"/>
              <w:outlineLvl w:val="0"/>
              <w:rPr>
                <w:rFonts w:hint="eastAsia" w:ascii="宋体" w:hAnsi="宋体" w:eastAsia="宋体" w:cs="宋体"/>
                <w:bCs/>
                <w:sz w:val="24"/>
              </w:rPr>
            </w:pPr>
            <w:r>
              <w:rPr>
                <w:rFonts w:hint="eastAsia" w:ascii="宋体" w:hAnsi="宋体" w:eastAsia="宋体" w:cs="宋体"/>
                <w:bCs/>
                <w:sz w:val="24"/>
              </w:rPr>
              <w:t>评标标准</w:t>
            </w:r>
          </w:p>
        </w:tc>
        <w:tc>
          <w:tcPr>
            <w:tcW w:w="475" w:type="pct"/>
            <w:vAlign w:val="center"/>
          </w:tcPr>
          <w:p>
            <w:pPr>
              <w:adjustRightInd/>
              <w:spacing w:line="360" w:lineRule="auto"/>
              <w:jc w:val="center"/>
              <w:outlineLvl w:val="0"/>
              <w:rPr>
                <w:rFonts w:hint="eastAsia" w:ascii="宋体" w:hAnsi="宋体" w:eastAsia="宋体" w:cs="宋体"/>
                <w:bCs/>
                <w:sz w:val="24"/>
              </w:rPr>
            </w:pPr>
            <w:r>
              <w:rPr>
                <w:rFonts w:hint="eastAsia" w:ascii="宋体" w:hAnsi="宋体" w:eastAsia="宋体" w:cs="宋体"/>
                <w:bCs/>
                <w:sz w:val="24"/>
              </w:rPr>
              <w:t>权重</w:t>
            </w:r>
          </w:p>
        </w:tc>
        <w:tc>
          <w:tcPr>
            <w:tcW w:w="1252" w:type="pct"/>
            <w:vAlign w:val="center"/>
          </w:tcPr>
          <w:p>
            <w:pPr>
              <w:adjustRightInd/>
              <w:spacing w:line="360" w:lineRule="auto"/>
              <w:jc w:val="center"/>
              <w:outlineLvl w:val="0"/>
              <w:rPr>
                <w:rFonts w:hint="eastAsia" w:ascii="宋体" w:hAnsi="宋体" w:eastAsia="宋体" w:cs="宋体"/>
                <w:bCs/>
                <w:sz w:val="24"/>
              </w:rPr>
            </w:pPr>
            <w:r>
              <w:rPr>
                <w:rFonts w:hint="eastAsia" w:ascii="宋体" w:hAnsi="宋体" w:eastAsia="宋体" w:cs="宋体"/>
                <w:bCs/>
                <w:sz w:val="24"/>
              </w:rPr>
              <w:t>投标文件中评标标准相应的商务技术资料目录</w:t>
            </w:r>
            <w:r>
              <w:rPr>
                <w:rFonts w:hint="eastAsia" w:ascii="宋体" w:hAnsi="宋体" w:eastAsia="宋体" w:cs="宋体"/>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65" w:type="pct"/>
            <w:vAlign w:val="center"/>
          </w:tcPr>
          <w:p>
            <w:pPr>
              <w:adjustRightInd/>
              <w:spacing w:line="360" w:lineRule="auto"/>
              <w:jc w:val="center"/>
              <w:outlineLvl w:val="0"/>
              <w:rPr>
                <w:rFonts w:hint="eastAsia" w:ascii="宋体" w:hAnsi="宋体" w:eastAsia="宋体" w:cs="宋体"/>
                <w:sz w:val="24"/>
              </w:rPr>
            </w:pPr>
            <w:r>
              <w:rPr>
                <w:rFonts w:hint="eastAsia" w:ascii="宋体" w:hAnsi="宋体" w:eastAsia="宋体" w:cs="宋体"/>
                <w:sz w:val="24"/>
              </w:rPr>
              <w:t>1</w:t>
            </w:r>
          </w:p>
        </w:tc>
        <w:tc>
          <w:tcPr>
            <w:tcW w:w="2908"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投标人具有通过ISO系列质量管理体系认证证书、ISO系列环境管理体系认证证书、ISO系列职业健康安全管理体系认证证书且在有效期内的，有一个得2分，本项最多得6分。</w:t>
            </w:r>
          </w:p>
          <w:p>
            <w:pPr>
              <w:adjustRightInd/>
              <w:spacing w:line="360" w:lineRule="auto"/>
              <w:rPr>
                <w:rFonts w:hint="eastAsia" w:ascii="宋体" w:hAnsi="宋体" w:eastAsia="宋体" w:cs="宋体"/>
                <w:sz w:val="24"/>
              </w:rPr>
            </w:pPr>
            <w:r>
              <w:rPr>
                <w:rFonts w:hint="eastAsia" w:ascii="宋体" w:hAnsi="宋体" w:eastAsia="宋体" w:cs="宋体"/>
                <w:sz w:val="24"/>
              </w:rPr>
              <w:t>（证明资料：提供认证证书复印件加盖公章，不提供不得分）</w:t>
            </w:r>
          </w:p>
        </w:tc>
        <w:tc>
          <w:tcPr>
            <w:tcW w:w="475"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6</w:t>
            </w:r>
          </w:p>
        </w:tc>
        <w:tc>
          <w:tcPr>
            <w:tcW w:w="1252" w:type="pct"/>
            <w:vAlign w:val="center"/>
          </w:tcPr>
          <w:p>
            <w:pPr>
              <w:adjustRightInd/>
              <w:spacing w:line="360" w:lineRule="auto"/>
              <w:jc w:val="center"/>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65" w:type="pct"/>
            <w:vAlign w:val="center"/>
          </w:tcPr>
          <w:p>
            <w:pPr>
              <w:adjustRightInd/>
              <w:spacing w:line="360" w:lineRule="auto"/>
              <w:jc w:val="center"/>
              <w:outlineLvl w:val="0"/>
              <w:rPr>
                <w:rFonts w:hint="eastAsia" w:ascii="宋体" w:hAnsi="宋体" w:eastAsia="宋体" w:cs="宋体"/>
                <w:sz w:val="24"/>
              </w:rPr>
            </w:pPr>
            <w:r>
              <w:rPr>
                <w:rFonts w:hint="eastAsia" w:ascii="宋体" w:hAnsi="宋体" w:eastAsia="宋体" w:cs="宋体"/>
                <w:sz w:val="24"/>
              </w:rPr>
              <w:t>2</w:t>
            </w:r>
          </w:p>
        </w:tc>
        <w:tc>
          <w:tcPr>
            <w:tcW w:w="2908"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投标人具有劳务派遣许可证，得2分，没有不得分。</w:t>
            </w:r>
          </w:p>
          <w:p>
            <w:pPr>
              <w:adjustRightInd/>
              <w:spacing w:line="360" w:lineRule="auto"/>
              <w:rPr>
                <w:rFonts w:hint="eastAsia" w:ascii="宋体" w:hAnsi="宋体" w:eastAsia="宋体" w:cs="宋体"/>
                <w:sz w:val="24"/>
              </w:rPr>
            </w:pPr>
            <w:r>
              <w:rPr>
                <w:rFonts w:hint="eastAsia" w:ascii="宋体" w:hAnsi="宋体" w:eastAsia="宋体" w:cs="宋体"/>
                <w:sz w:val="24"/>
              </w:rPr>
              <w:t>（证明资料：提供证书复印件加盖公章，不提供不得分）</w:t>
            </w:r>
          </w:p>
        </w:tc>
        <w:tc>
          <w:tcPr>
            <w:tcW w:w="475"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2</w:t>
            </w:r>
          </w:p>
        </w:tc>
        <w:tc>
          <w:tcPr>
            <w:tcW w:w="1252" w:type="pct"/>
            <w:vAlign w:val="center"/>
          </w:tcPr>
          <w:p>
            <w:pPr>
              <w:adjustRightInd/>
              <w:spacing w:line="360" w:lineRule="auto"/>
              <w:jc w:val="center"/>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365" w:type="pct"/>
            <w:vAlign w:val="center"/>
          </w:tcPr>
          <w:p>
            <w:pPr>
              <w:adjustRightInd/>
              <w:spacing w:line="360" w:lineRule="auto"/>
              <w:jc w:val="center"/>
              <w:outlineLvl w:val="0"/>
              <w:rPr>
                <w:rFonts w:hint="eastAsia" w:ascii="宋体" w:hAnsi="宋体" w:eastAsia="宋体" w:cs="宋体"/>
                <w:sz w:val="24"/>
              </w:rPr>
            </w:pPr>
            <w:r>
              <w:rPr>
                <w:rFonts w:hint="eastAsia" w:ascii="宋体" w:hAnsi="宋体" w:eastAsia="宋体" w:cs="宋体"/>
                <w:sz w:val="24"/>
              </w:rPr>
              <w:t>3</w:t>
            </w:r>
          </w:p>
        </w:tc>
        <w:tc>
          <w:tcPr>
            <w:tcW w:w="2908"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投标人自2020年1月1日以来单独实施的类似项目，每提供一个业绩得1分，最多得1分。</w:t>
            </w:r>
          </w:p>
          <w:p>
            <w:pPr>
              <w:adjustRightInd/>
              <w:spacing w:line="360" w:lineRule="auto"/>
              <w:rPr>
                <w:rFonts w:hint="eastAsia" w:ascii="宋体" w:hAnsi="宋体" w:eastAsia="宋体" w:cs="宋体"/>
                <w:sz w:val="24"/>
              </w:rPr>
            </w:pPr>
            <w:r>
              <w:rPr>
                <w:rFonts w:hint="eastAsia" w:ascii="宋体" w:hAnsi="宋体" w:eastAsia="宋体" w:cs="宋体"/>
                <w:sz w:val="24"/>
              </w:rPr>
              <w:t>（证明资料：提供业绩合同复印件加盖公章，不提供不得分）</w:t>
            </w:r>
          </w:p>
        </w:tc>
        <w:tc>
          <w:tcPr>
            <w:tcW w:w="475"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1</w:t>
            </w:r>
          </w:p>
        </w:tc>
        <w:tc>
          <w:tcPr>
            <w:tcW w:w="1252" w:type="pct"/>
            <w:vAlign w:val="center"/>
          </w:tcPr>
          <w:p>
            <w:pPr>
              <w:adjustRightInd/>
              <w:spacing w:line="360" w:lineRule="auto"/>
              <w:jc w:val="center"/>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65" w:type="pct"/>
            <w:vAlign w:val="center"/>
          </w:tcPr>
          <w:p>
            <w:pPr>
              <w:adjustRightInd/>
              <w:spacing w:line="360" w:lineRule="auto"/>
              <w:jc w:val="center"/>
              <w:outlineLvl w:val="0"/>
              <w:rPr>
                <w:rFonts w:hint="eastAsia" w:ascii="宋体" w:hAnsi="宋体" w:eastAsia="宋体" w:cs="宋体"/>
                <w:sz w:val="24"/>
              </w:rPr>
            </w:pPr>
            <w:r>
              <w:rPr>
                <w:rFonts w:hint="eastAsia" w:ascii="宋体" w:hAnsi="宋体" w:eastAsia="宋体" w:cs="宋体"/>
                <w:sz w:val="24"/>
              </w:rPr>
              <w:t>4</w:t>
            </w:r>
          </w:p>
        </w:tc>
        <w:tc>
          <w:tcPr>
            <w:tcW w:w="2908"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投标人自2019年1月1日以来</w:t>
            </w:r>
            <w:r>
              <w:rPr>
                <w:rFonts w:hint="eastAsia" w:ascii="宋体" w:hAnsi="宋体" w:eastAsia="宋体" w:cs="宋体"/>
                <w:sz w:val="24"/>
                <w:lang w:val="en-US" w:eastAsia="zh-CN"/>
              </w:rPr>
              <w:t>获得政府部门颁发</w:t>
            </w:r>
            <w:r>
              <w:rPr>
                <w:rFonts w:hint="eastAsia" w:ascii="宋体" w:hAnsi="宋体" w:eastAsia="宋体" w:cs="宋体"/>
                <w:sz w:val="24"/>
              </w:rPr>
              <w:t>的荣誉证明得2分，没有不得分。</w:t>
            </w:r>
          </w:p>
          <w:p>
            <w:pPr>
              <w:adjustRightInd/>
              <w:spacing w:line="360" w:lineRule="auto"/>
              <w:rPr>
                <w:rFonts w:hint="eastAsia" w:ascii="宋体" w:hAnsi="宋体" w:eastAsia="宋体" w:cs="宋体"/>
                <w:sz w:val="24"/>
              </w:rPr>
            </w:pPr>
            <w:r>
              <w:rPr>
                <w:rFonts w:hint="eastAsia" w:ascii="宋体" w:hAnsi="宋体" w:eastAsia="宋体" w:cs="宋体"/>
                <w:sz w:val="24"/>
              </w:rPr>
              <w:t>（证明资料：提供荣誉证明加盖公章，不提供不得分）</w:t>
            </w:r>
          </w:p>
        </w:tc>
        <w:tc>
          <w:tcPr>
            <w:tcW w:w="475"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2</w:t>
            </w:r>
          </w:p>
        </w:tc>
        <w:tc>
          <w:tcPr>
            <w:tcW w:w="1252" w:type="pct"/>
            <w:vAlign w:val="center"/>
          </w:tcPr>
          <w:p>
            <w:pPr>
              <w:adjustRightInd/>
              <w:spacing w:line="360" w:lineRule="auto"/>
              <w:jc w:val="center"/>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65" w:type="pct"/>
            <w:vAlign w:val="center"/>
          </w:tcPr>
          <w:p>
            <w:pPr>
              <w:adjustRightInd/>
              <w:spacing w:line="360" w:lineRule="auto"/>
              <w:jc w:val="center"/>
              <w:outlineLvl w:val="0"/>
              <w:rPr>
                <w:rFonts w:hint="eastAsia" w:ascii="宋体" w:hAnsi="宋体" w:eastAsia="宋体" w:cs="宋体"/>
                <w:sz w:val="24"/>
              </w:rPr>
            </w:pPr>
            <w:r>
              <w:rPr>
                <w:rFonts w:hint="eastAsia" w:ascii="宋体" w:hAnsi="宋体" w:eastAsia="宋体" w:cs="宋体"/>
                <w:sz w:val="24"/>
              </w:rPr>
              <w:t>5</w:t>
            </w:r>
          </w:p>
        </w:tc>
        <w:tc>
          <w:tcPr>
            <w:tcW w:w="2908"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本次派遣项目负责人：</w:t>
            </w:r>
          </w:p>
          <w:p>
            <w:pPr>
              <w:adjustRightInd/>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具有</w:t>
            </w:r>
            <w:r>
              <w:rPr>
                <w:rFonts w:hint="eastAsia" w:ascii="宋体" w:hAnsi="宋体" w:eastAsia="宋体" w:cs="宋体"/>
                <w:sz w:val="24"/>
              </w:rPr>
              <w:t>保安管理师（保安员二级）证得3分，其余不得分；</w:t>
            </w:r>
          </w:p>
          <w:p>
            <w:pPr>
              <w:adjustRightInd/>
              <w:spacing w:line="360" w:lineRule="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具有</w:t>
            </w:r>
            <w:r>
              <w:rPr>
                <w:rFonts w:hint="eastAsia" w:ascii="宋体" w:hAnsi="宋体" w:eastAsia="宋体" w:cs="宋体"/>
                <w:sz w:val="24"/>
              </w:rPr>
              <w:t>物业项目经理证得3分，没有不得分；</w:t>
            </w:r>
          </w:p>
          <w:p>
            <w:pPr>
              <w:adjustRightInd/>
              <w:spacing w:line="360" w:lineRule="auto"/>
              <w:rPr>
                <w:rFonts w:hint="eastAsia" w:ascii="宋体" w:hAnsi="宋体" w:eastAsia="宋体" w:cs="宋体"/>
                <w:sz w:val="24"/>
              </w:rPr>
            </w:pPr>
            <w:r>
              <w:rPr>
                <w:rFonts w:hint="eastAsia" w:ascii="宋体" w:hAnsi="宋体" w:eastAsia="宋体" w:cs="宋体"/>
                <w:sz w:val="24"/>
              </w:rPr>
              <w:t>（3）</w:t>
            </w:r>
            <w:bookmarkStart w:id="393" w:name="_Toc104477120"/>
            <w:bookmarkStart w:id="394" w:name="_Toc101363214"/>
            <w:bookmarkStart w:id="395" w:name="_Toc92372094"/>
            <w:bookmarkStart w:id="396" w:name="_Toc105416401"/>
            <w:bookmarkStart w:id="397" w:name="_Toc92372383"/>
            <w:r>
              <w:rPr>
                <w:rFonts w:hint="eastAsia" w:ascii="宋体" w:hAnsi="宋体" w:eastAsia="宋体" w:cs="宋体"/>
                <w:sz w:val="24"/>
                <w:lang w:val="en-US" w:eastAsia="zh-CN"/>
              </w:rPr>
              <w:t>具有</w:t>
            </w:r>
            <w:r>
              <w:rPr>
                <w:rFonts w:hint="eastAsia" w:ascii="宋体" w:hAnsi="宋体" w:eastAsia="宋体" w:cs="宋体"/>
                <w:sz w:val="24"/>
              </w:rPr>
              <w:t>建（构）筑物消防员四级</w:t>
            </w:r>
            <w:bookmarkEnd w:id="393"/>
            <w:bookmarkEnd w:id="394"/>
            <w:bookmarkEnd w:id="395"/>
            <w:bookmarkEnd w:id="396"/>
            <w:bookmarkEnd w:id="397"/>
            <w:r>
              <w:rPr>
                <w:rFonts w:hint="eastAsia" w:ascii="宋体" w:hAnsi="宋体" w:eastAsia="宋体" w:cs="宋体"/>
                <w:sz w:val="24"/>
              </w:rPr>
              <w:t>得3分，没有不得分；</w:t>
            </w:r>
          </w:p>
          <w:p>
            <w:pPr>
              <w:adjustRightInd/>
              <w:spacing w:line="360" w:lineRule="auto"/>
              <w:rPr>
                <w:rFonts w:hint="eastAsia" w:ascii="宋体" w:hAnsi="宋体" w:eastAsia="宋体" w:cs="宋体"/>
                <w:sz w:val="24"/>
              </w:rPr>
            </w:pPr>
            <w:r>
              <w:rPr>
                <w:rFonts w:hint="eastAsia" w:ascii="宋体" w:hAnsi="宋体" w:eastAsia="宋体" w:cs="宋体"/>
                <w:sz w:val="24"/>
              </w:rPr>
              <w:t>（证明资料：提供以上证明材料及</w:t>
            </w:r>
            <w:r>
              <w:rPr>
                <w:rFonts w:hint="eastAsia" w:ascii="宋体" w:hAnsi="宋体" w:eastAsia="宋体" w:cs="宋体"/>
                <w:sz w:val="24"/>
                <w:lang w:val="en-US" w:eastAsia="zh-CN"/>
              </w:rPr>
              <w:t>2022年11月-2023年1月</w:t>
            </w:r>
            <w:r>
              <w:rPr>
                <w:rFonts w:hint="eastAsia" w:ascii="宋体" w:hAnsi="宋体" w:eastAsia="宋体" w:cs="宋体"/>
                <w:sz w:val="24"/>
              </w:rPr>
              <w:t>社保缴纳证明。）</w:t>
            </w:r>
          </w:p>
        </w:tc>
        <w:tc>
          <w:tcPr>
            <w:tcW w:w="475"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9</w:t>
            </w:r>
          </w:p>
        </w:tc>
        <w:tc>
          <w:tcPr>
            <w:tcW w:w="1252" w:type="pct"/>
            <w:vAlign w:val="center"/>
          </w:tcPr>
          <w:p>
            <w:pPr>
              <w:adjustRightInd/>
              <w:spacing w:line="360" w:lineRule="auto"/>
              <w:jc w:val="center"/>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65" w:type="pct"/>
            <w:vAlign w:val="center"/>
          </w:tcPr>
          <w:p>
            <w:pPr>
              <w:adjustRightInd/>
              <w:spacing w:line="360" w:lineRule="auto"/>
              <w:jc w:val="center"/>
              <w:outlineLvl w:val="0"/>
              <w:rPr>
                <w:rFonts w:hint="eastAsia" w:ascii="宋体" w:hAnsi="宋体" w:eastAsia="宋体" w:cs="宋体"/>
                <w:sz w:val="24"/>
              </w:rPr>
            </w:pPr>
            <w:r>
              <w:rPr>
                <w:rFonts w:hint="eastAsia" w:ascii="宋体" w:hAnsi="宋体" w:eastAsia="宋体" w:cs="宋体"/>
                <w:sz w:val="24"/>
              </w:rPr>
              <w:t>6</w:t>
            </w:r>
          </w:p>
        </w:tc>
        <w:tc>
          <w:tcPr>
            <w:tcW w:w="2908"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本次拟派遣队员：</w:t>
            </w:r>
          </w:p>
          <w:p>
            <w:pPr>
              <w:adjustRightInd/>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具有</w:t>
            </w:r>
            <w:r>
              <w:rPr>
                <w:rFonts w:hint="eastAsia" w:ascii="宋体" w:hAnsi="宋体" w:eastAsia="宋体" w:cs="宋体"/>
                <w:sz w:val="24"/>
              </w:rPr>
              <w:t>保安管理师（保安员二级）证得2分，持保安管理师（保安员三级）证得1分，最多得4分；</w:t>
            </w:r>
          </w:p>
          <w:p>
            <w:pPr>
              <w:adjustRightInd/>
              <w:spacing w:line="360" w:lineRule="auto"/>
              <w:rPr>
                <w:rFonts w:hint="eastAsia" w:ascii="宋体" w:hAnsi="宋体" w:eastAsia="宋体" w:cs="宋体"/>
                <w:sz w:val="24"/>
              </w:rPr>
            </w:pPr>
            <w:r>
              <w:rPr>
                <w:rFonts w:hint="eastAsia" w:ascii="宋体" w:hAnsi="宋体" w:eastAsia="宋体" w:cs="宋体"/>
                <w:sz w:val="24"/>
              </w:rPr>
              <w:t>（2）派遣队员为退伍军人，每个得1分，最多得4分；</w:t>
            </w:r>
          </w:p>
          <w:p>
            <w:pPr>
              <w:adjustRightInd/>
              <w:spacing w:line="360" w:lineRule="auto"/>
              <w:rPr>
                <w:rFonts w:hint="eastAsia" w:ascii="宋体" w:hAnsi="宋体" w:eastAsia="宋体" w:cs="宋体"/>
                <w:sz w:val="24"/>
              </w:rPr>
            </w:pPr>
            <w:r>
              <w:rPr>
                <w:rFonts w:hint="eastAsia" w:ascii="宋体" w:hAnsi="宋体" w:eastAsia="宋体" w:cs="宋体"/>
                <w:sz w:val="24"/>
              </w:rPr>
              <w:t>（证明资料：提供以上证明材料</w:t>
            </w:r>
            <w:r>
              <w:rPr>
                <w:rFonts w:hint="eastAsia" w:ascii="宋体" w:hAnsi="宋体" w:eastAsia="宋体" w:cs="宋体"/>
                <w:sz w:val="24"/>
                <w:lang w:val="en-US" w:eastAsia="zh-CN"/>
              </w:rPr>
              <w:t>2022年11月-2023年1月</w:t>
            </w:r>
            <w:r>
              <w:rPr>
                <w:rFonts w:hint="eastAsia" w:ascii="宋体" w:hAnsi="宋体" w:eastAsia="宋体" w:cs="宋体"/>
                <w:sz w:val="24"/>
              </w:rPr>
              <w:t>社保缴纳证明。)</w:t>
            </w:r>
          </w:p>
        </w:tc>
        <w:tc>
          <w:tcPr>
            <w:tcW w:w="475"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8</w:t>
            </w:r>
          </w:p>
        </w:tc>
        <w:tc>
          <w:tcPr>
            <w:tcW w:w="1252" w:type="pct"/>
          </w:tcPr>
          <w:p>
            <w:pPr>
              <w:adjustRightInd/>
              <w:spacing w:line="360" w:lineRule="auto"/>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65" w:type="pct"/>
            <w:vAlign w:val="center"/>
          </w:tcPr>
          <w:p>
            <w:pPr>
              <w:adjustRightInd/>
              <w:spacing w:line="360" w:lineRule="auto"/>
              <w:jc w:val="center"/>
              <w:outlineLvl w:val="0"/>
              <w:rPr>
                <w:rFonts w:hint="eastAsia" w:ascii="宋体" w:hAnsi="宋体" w:eastAsia="宋体" w:cs="宋体"/>
                <w:sz w:val="24"/>
              </w:rPr>
            </w:pPr>
            <w:r>
              <w:rPr>
                <w:rFonts w:hint="eastAsia" w:ascii="宋体" w:hAnsi="宋体" w:eastAsia="宋体" w:cs="宋体"/>
                <w:sz w:val="24"/>
              </w:rPr>
              <w:t>7</w:t>
            </w:r>
          </w:p>
        </w:tc>
        <w:tc>
          <w:tcPr>
            <w:tcW w:w="2908"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保安服务企业信用评价等级:</w:t>
            </w:r>
          </w:p>
          <w:p>
            <w:pPr>
              <w:adjustRightInd/>
              <w:spacing w:line="360" w:lineRule="auto"/>
              <w:rPr>
                <w:rFonts w:hint="eastAsia" w:ascii="宋体" w:hAnsi="宋体" w:eastAsia="宋体" w:cs="宋体"/>
                <w:sz w:val="24"/>
              </w:rPr>
            </w:pPr>
            <w:r>
              <w:rPr>
                <w:rFonts w:hint="eastAsia" w:ascii="宋体" w:hAnsi="宋体" w:eastAsia="宋体" w:cs="宋体"/>
                <w:sz w:val="24"/>
              </w:rPr>
              <w:t>投标人具有浙江省公安厅评定的保安服务企业信用评价等级：B级及以上得5分， C级及以下得</w:t>
            </w:r>
            <w:r>
              <w:rPr>
                <w:rFonts w:hint="eastAsia" w:ascii="宋体" w:hAnsi="宋体" w:eastAsia="宋体" w:cs="宋体"/>
                <w:sz w:val="24"/>
                <w:lang w:val="en-US" w:eastAsia="zh-CN"/>
              </w:rPr>
              <w:t>3</w:t>
            </w:r>
            <w:r>
              <w:rPr>
                <w:rFonts w:hint="eastAsia" w:ascii="宋体" w:hAnsi="宋体" w:eastAsia="宋体" w:cs="宋体"/>
                <w:sz w:val="24"/>
              </w:rPr>
              <w:t>分。</w:t>
            </w:r>
          </w:p>
          <w:p>
            <w:pPr>
              <w:adjustRightInd/>
              <w:spacing w:line="360" w:lineRule="auto"/>
              <w:rPr>
                <w:rFonts w:hint="eastAsia" w:ascii="宋体" w:hAnsi="宋体" w:eastAsia="宋体" w:cs="宋体"/>
                <w:sz w:val="24"/>
              </w:rPr>
            </w:pPr>
            <w:r>
              <w:rPr>
                <w:rFonts w:hint="eastAsia" w:ascii="宋体" w:hAnsi="宋体" w:eastAsia="宋体" w:cs="宋体"/>
                <w:sz w:val="24"/>
              </w:rPr>
              <w:t>（证明材料：浙江省公安厅公布的信用评价结果通告）</w:t>
            </w:r>
          </w:p>
        </w:tc>
        <w:tc>
          <w:tcPr>
            <w:tcW w:w="475"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5</w:t>
            </w:r>
          </w:p>
        </w:tc>
        <w:tc>
          <w:tcPr>
            <w:tcW w:w="1252" w:type="pct"/>
          </w:tcPr>
          <w:p>
            <w:pPr>
              <w:adjustRightInd/>
              <w:spacing w:line="360" w:lineRule="auto"/>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65" w:type="pct"/>
            <w:vAlign w:val="center"/>
          </w:tcPr>
          <w:p>
            <w:pPr>
              <w:adjustRightInd/>
              <w:spacing w:line="360" w:lineRule="auto"/>
              <w:jc w:val="center"/>
              <w:outlineLvl w:val="0"/>
              <w:rPr>
                <w:rFonts w:hint="eastAsia" w:ascii="宋体" w:hAnsi="宋体" w:eastAsia="宋体" w:cs="宋体"/>
                <w:sz w:val="24"/>
              </w:rPr>
            </w:pPr>
            <w:r>
              <w:rPr>
                <w:rFonts w:hint="eastAsia" w:ascii="宋体" w:hAnsi="宋体" w:eastAsia="宋体" w:cs="宋体"/>
                <w:sz w:val="24"/>
              </w:rPr>
              <w:t>7</w:t>
            </w:r>
          </w:p>
        </w:tc>
        <w:tc>
          <w:tcPr>
            <w:tcW w:w="2908"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日常服务方案：</w:t>
            </w:r>
          </w:p>
          <w:p>
            <w:pPr>
              <w:adjustRightInd/>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服务标准</w:t>
            </w:r>
            <w:r>
              <w:rPr>
                <w:rFonts w:hint="eastAsia" w:ascii="宋体" w:hAnsi="宋体" w:eastAsia="宋体" w:cs="宋体"/>
                <w:sz w:val="24"/>
                <w:lang w:eastAsia="zh-CN"/>
              </w:rPr>
              <w:t>：</w:t>
            </w:r>
            <w:r>
              <w:rPr>
                <w:rFonts w:hint="eastAsia" w:ascii="宋体" w:hAnsi="宋体" w:eastAsia="宋体" w:cs="宋体"/>
                <w:sz w:val="24"/>
              </w:rPr>
              <w:t>针对本项目的实际情况进行具体制定，抓住重点要点，全面、详细、合理，具有针对性得</w:t>
            </w:r>
            <w:r>
              <w:rPr>
                <w:rFonts w:hint="eastAsia" w:ascii="宋体" w:hAnsi="宋体" w:eastAsia="宋体" w:cs="宋体"/>
                <w:sz w:val="24"/>
                <w:lang w:val="en-US" w:eastAsia="zh-CN"/>
              </w:rPr>
              <w:t>5</w:t>
            </w:r>
            <w:r>
              <w:rPr>
                <w:rFonts w:hint="eastAsia" w:ascii="宋体" w:hAnsi="宋体" w:eastAsia="宋体" w:cs="宋体"/>
                <w:sz w:val="24"/>
              </w:rPr>
              <w:t>分，方案针对本项目的实际情况进行具体制定，较为全面、详细、合理，针对性较好得</w:t>
            </w:r>
            <w:r>
              <w:rPr>
                <w:rFonts w:hint="eastAsia" w:ascii="宋体" w:hAnsi="宋体" w:eastAsia="宋体" w:cs="宋体"/>
                <w:sz w:val="24"/>
                <w:lang w:val="en-US" w:eastAsia="zh-CN"/>
              </w:rPr>
              <w:t>3</w:t>
            </w:r>
            <w:r>
              <w:rPr>
                <w:rFonts w:hint="eastAsia" w:ascii="宋体" w:hAnsi="宋体" w:eastAsia="宋体" w:cs="宋体"/>
                <w:sz w:val="24"/>
              </w:rPr>
              <w:t>分，方案与本项目的实际情况针对性一般，重点要点表述一般得</w:t>
            </w:r>
            <w:r>
              <w:rPr>
                <w:rFonts w:hint="eastAsia" w:ascii="宋体" w:hAnsi="宋体" w:eastAsia="宋体" w:cs="宋体"/>
                <w:sz w:val="24"/>
                <w:lang w:val="en-US" w:eastAsia="zh-CN"/>
              </w:rPr>
              <w:t>1</w:t>
            </w:r>
            <w:r>
              <w:rPr>
                <w:rFonts w:hint="eastAsia" w:ascii="宋体" w:hAnsi="宋体" w:eastAsia="宋体" w:cs="宋体"/>
                <w:sz w:val="24"/>
              </w:rPr>
              <w:t>分，方案有缺项或不合理或未提供方案不得分。</w:t>
            </w:r>
            <w:r>
              <w:rPr>
                <w:rFonts w:hint="eastAsia" w:ascii="宋体" w:hAnsi="宋体" w:eastAsia="宋体" w:cs="宋体"/>
                <w:sz w:val="24"/>
                <w:lang w:eastAsia="zh-CN"/>
              </w:rPr>
              <w:t>；</w:t>
            </w:r>
          </w:p>
          <w:p>
            <w:pPr>
              <w:adjustRightInd/>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rPr>
              <w:t>服务方案</w:t>
            </w:r>
            <w:r>
              <w:rPr>
                <w:rFonts w:hint="eastAsia" w:ascii="宋体" w:hAnsi="宋体" w:eastAsia="宋体" w:cs="宋体"/>
                <w:sz w:val="24"/>
                <w:lang w:eastAsia="zh-CN"/>
              </w:rPr>
              <w:t>：</w:t>
            </w:r>
            <w:r>
              <w:rPr>
                <w:rFonts w:hint="eastAsia" w:ascii="宋体" w:hAnsi="宋体" w:eastAsia="宋体" w:cs="宋体"/>
                <w:sz w:val="24"/>
                <w:lang w:val="en-US" w:eastAsia="zh-CN"/>
              </w:rPr>
              <w:t xml:space="preserve"> </w:t>
            </w:r>
            <w:r>
              <w:rPr>
                <w:rFonts w:hint="eastAsia" w:ascii="宋体" w:hAnsi="宋体" w:eastAsia="宋体" w:cs="宋体"/>
                <w:sz w:val="24"/>
              </w:rPr>
              <w:t>方案针对本项目的实际情况进行具体制定，抓住重点要点，全面、详细、合理，具有针对性得</w:t>
            </w:r>
            <w:r>
              <w:rPr>
                <w:rFonts w:hint="eastAsia" w:ascii="宋体" w:hAnsi="宋体" w:eastAsia="宋体" w:cs="宋体"/>
                <w:sz w:val="24"/>
                <w:lang w:val="en-US" w:eastAsia="zh-CN"/>
              </w:rPr>
              <w:t>5</w:t>
            </w:r>
            <w:r>
              <w:rPr>
                <w:rFonts w:hint="eastAsia" w:ascii="宋体" w:hAnsi="宋体" w:eastAsia="宋体" w:cs="宋体"/>
                <w:sz w:val="24"/>
              </w:rPr>
              <w:t>分，方案针对本项目的实际情况进行具体制定，较为全面、详细、合理，针对性较好得</w:t>
            </w:r>
            <w:r>
              <w:rPr>
                <w:rFonts w:hint="eastAsia" w:ascii="宋体" w:hAnsi="宋体" w:eastAsia="宋体" w:cs="宋体"/>
                <w:sz w:val="24"/>
                <w:lang w:val="en-US" w:eastAsia="zh-CN"/>
              </w:rPr>
              <w:t>3</w:t>
            </w:r>
            <w:r>
              <w:rPr>
                <w:rFonts w:hint="eastAsia" w:ascii="宋体" w:hAnsi="宋体" w:eastAsia="宋体" w:cs="宋体"/>
                <w:sz w:val="24"/>
              </w:rPr>
              <w:t>分，方案与本项目的实际情况针对性一般，重点要点表述一般得</w:t>
            </w:r>
            <w:r>
              <w:rPr>
                <w:rFonts w:hint="eastAsia" w:ascii="宋体" w:hAnsi="宋体" w:eastAsia="宋体" w:cs="宋体"/>
                <w:sz w:val="24"/>
                <w:lang w:val="en-US" w:eastAsia="zh-CN"/>
              </w:rPr>
              <w:t>1</w:t>
            </w:r>
            <w:r>
              <w:rPr>
                <w:rFonts w:hint="eastAsia" w:ascii="宋体" w:hAnsi="宋体" w:eastAsia="宋体" w:cs="宋体"/>
                <w:sz w:val="24"/>
              </w:rPr>
              <w:t>分，方案有缺项或不合理或未提供方案不得分。</w:t>
            </w:r>
          </w:p>
          <w:p>
            <w:pPr>
              <w:adjustRightInd/>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管理规范</w:t>
            </w:r>
            <w:r>
              <w:rPr>
                <w:rFonts w:hint="eastAsia" w:ascii="宋体" w:hAnsi="宋体" w:eastAsia="宋体" w:cs="宋体"/>
                <w:sz w:val="24"/>
                <w:lang w:eastAsia="zh-CN"/>
              </w:rPr>
              <w:t>：</w:t>
            </w:r>
            <w:r>
              <w:rPr>
                <w:rFonts w:hint="eastAsia" w:ascii="宋体" w:hAnsi="宋体" w:eastAsia="宋体" w:cs="宋体"/>
                <w:sz w:val="24"/>
              </w:rPr>
              <w:t>针对本项目的实际情况进行具体制定，抓住重点要点，全面、详细、合理，具有针对性得</w:t>
            </w:r>
            <w:r>
              <w:rPr>
                <w:rFonts w:hint="eastAsia" w:ascii="宋体" w:hAnsi="宋体" w:eastAsia="宋体" w:cs="宋体"/>
                <w:sz w:val="24"/>
                <w:lang w:val="en-US" w:eastAsia="zh-CN"/>
              </w:rPr>
              <w:t>5</w:t>
            </w:r>
            <w:r>
              <w:rPr>
                <w:rFonts w:hint="eastAsia" w:ascii="宋体" w:hAnsi="宋体" w:eastAsia="宋体" w:cs="宋体"/>
                <w:sz w:val="24"/>
              </w:rPr>
              <w:t>分，方案针对本项目的实际情况进行具体制定，较为全面、详细、合理，针对性较好得</w:t>
            </w:r>
            <w:r>
              <w:rPr>
                <w:rFonts w:hint="eastAsia" w:ascii="宋体" w:hAnsi="宋体" w:eastAsia="宋体" w:cs="宋体"/>
                <w:sz w:val="24"/>
                <w:lang w:val="en-US" w:eastAsia="zh-CN"/>
              </w:rPr>
              <w:t>3</w:t>
            </w:r>
            <w:r>
              <w:rPr>
                <w:rFonts w:hint="eastAsia" w:ascii="宋体" w:hAnsi="宋体" w:eastAsia="宋体" w:cs="宋体"/>
                <w:sz w:val="24"/>
              </w:rPr>
              <w:t>分，方案与本项目的实际情况针对性一般，重点要点表述一般得</w:t>
            </w:r>
            <w:r>
              <w:rPr>
                <w:rFonts w:hint="eastAsia" w:ascii="宋体" w:hAnsi="宋体" w:eastAsia="宋体" w:cs="宋体"/>
                <w:sz w:val="24"/>
                <w:lang w:val="en-US" w:eastAsia="zh-CN"/>
              </w:rPr>
              <w:t>1</w:t>
            </w:r>
            <w:r>
              <w:rPr>
                <w:rFonts w:hint="eastAsia" w:ascii="宋体" w:hAnsi="宋体" w:eastAsia="宋体" w:cs="宋体"/>
                <w:sz w:val="24"/>
              </w:rPr>
              <w:t>分，方案有缺项或不合理或未提供方案不得分。</w:t>
            </w:r>
          </w:p>
        </w:tc>
        <w:tc>
          <w:tcPr>
            <w:tcW w:w="475" w:type="pct"/>
            <w:vAlign w:val="center"/>
          </w:tcPr>
          <w:p>
            <w:pPr>
              <w:adjustRightInd/>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1252" w:type="pct"/>
          </w:tcPr>
          <w:p>
            <w:pPr>
              <w:adjustRightInd/>
              <w:spacing w:line="360" w:lineRule="auto"/>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65" w:type="pct"/>
            <w:vAlign w:val="center"/>
          </w:tcPr>
          <w:p>
            <w:pPr>
              <w:adjustRightInd/>
              <w:spacing w:line="360" w:lineRule="auto"/>
              <w:jc w:val="center"/>
              <w:rPr>
                <w:rFonts w:hint="eastAsia" w:ascii="宋体" w:hAnsi="宋体" w:eastAsia="宋体" w:cs="宋体"/>
                <w:sz w:val="24"/>
              </w:rPr>
            </w:pPr>
            <w:r>
              <w:rPr>
                <w:rFonts w:hint="eastAsia" w:ascii="宋体" w:hAnsi="宋体" w:eastAsia="宋体" w:cs="宋体"/>
                <w:sz w:val="24"/>
              </w:rPr>
              <w:t>8</w:t>
            </w:r>
          </w:p>
        </w:tc>
        <w:tc>
          <w:tcPr>
            <w:tcW w:w="2908"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组织机构及管理制度：</w:t>
            </w:r>
          </w:p>
          <w:p>
            <w:pPr>
              <w:adjustRightInd/>
              <w:spacing w:line="360" w:lineRule="auto"/>
              <w:rPr>
                <w:rFonts w:hint="eastAsia" w:ascii="宋体" w:hAnsi="宋体" w:eastAsia="宋体" w:cs="宋体"/>
                <w:sz w:val="24"/>
              </w:rPr>
            </w:pPr>
            <w:r>
              <w:rPr>
                <w:rFonts w:hint="eastAsia" w:ascii="宋体" w:hAnsi="宋体" w:eastAsia="宋体" w:cs="宋体"/>
                <w:sz w:val="24"/>
              </w:rPr>
              <w:t>服务管理制度</w:t>
            </w:r>
            <w:r>
              <w:rPr>
                <w:rFonts w:hint="eastAsia" w:ascii="宋体" w:hAnsi="宋体" w:eastAsia="宋体" w:cs="宋体"/>
                <w:sz w:val="24"/>
                <w:lang w:eastAsia="zh-CN"/>
              </w:rPr>
              <w:t>：</w:t>
            </w:r>
            <w:r>
              <w:rPr>
                <w:rFonts w:hint="eastAsia" w:ascii="宋体" w:hAnsi="宋体" w:eastAsia="宋体" w:cs="宋体"/>
                <w:sz w:val="24"/>
              </w:rPr>
              <w:t>针对本项目的实际情况进行具体制定，抓住重点要点，全面、详细、合理，具有针对性得</w:t>
            </w:r>
            <w:r>
              <w:rPr>
                <w:rFonts w:hint="eastAsia" w:ascii="宋体" w:hAnsi="宋体" w:eastAsia="宋体" w:cs="宋体"/>
                <w:sz w:val="24"/>
                <w:lang w:val="en-US" w:eastAsia="zh-CN"/>
              </w:rPr>
              <w:t>5</w:t>
            </w:r>
            <w:r>
              <w:rPr>
                <w:rFonts w:hint="eastAsia" w:ascii="宋体" w:hAnsi="宋体" w:eastAsia="宋体" w:cs="宋体"/>
                <w:sz w:val="24"/>
              </w:rPr>
              <w:t>分，方案针对本项目的实际情况进行具体制定，较为全面、详细、合理，针对性较好得</w:t>
            </w:r>
            <w:r>
              <w:rPr>
                <w:rFonts w:hint="eastAsia" w:ascii="宋体" w:hAnsi="宋体" w:eastAsia="宋体" w:cs="宋体"/>
                <w:sz w:val="24"/>
                <w:lang w:val="en-US" w:eastAsia="zh-CN"/>
              </w:rPr>
              <w:t>3</w:t>
            </w:r>
            <w:r>
              <w:rPr>
                <w:rFonts w:hint="eastAsia" w:ascii="宋体" w:hAnsi="宋体" w:eastAsia="宋体" w:cs="宋体"/>
                <w:sz w:val="24"/>
              </w:rPr>
              <w:t>分，方案与本项目的实际情况针对性一般，重点要点表述一般得</w:t>
            </w:r>
            <w:r>
              <w:rPr>
                <w:rFonts w:hint="eastAsia" w:ascii="宋体" w:hAnsi="宋体" w:eastAsia="宋体" w:cs="宋体"/>
                <w:sz w:val="24"/>
                <w:lang w:val="en-US" w:eastAsia="zh-CN"/>
              </w:rPr>
              <w:t>1</w:t>
            </w:r>
            <w:r>
              <w:rPr>
                <w:rFonts w:hint="eastAsia" w:ascii="宋体" w:hAnsi="宋体" w:eastAsia="宋体" w:cs="宋体"/>
                <w:sz w:val="24"/>
              </w:rPr>
              <w:t>分，方案有缺项或不合理或未提供方案不得分。</w:t>
            </w:r>
          </w:p>
          <w:p>
            <w:pPr>
              <w:adjustRightInd/>
              <w:spacing w:line="360" w:lineRule="auto"/>
              <w:rPr>
                <w:rFonts w:hint="eastAsia" w:ascii="宋体" w:hAnsi="宋体" w:eastAsia="宋体" w:cs="宋体"/>
                <w:sz w:val="24"/>
              </w:rPr>
            </w:pPr>
            <w:r>
              <w:rPr>
                <w:rFonts w:hint="eastAsia" w:ascii="宋体" w:hAnsi="宋体" w:eastAsia="宋体" w:cs="宋体"/>
                <w:sz w:val="24"/>
              </w:rPr>
              <w:t>岗位责任制度</w:t>
            </w:r>
            <w:r>
              <w:rPr>
                <w:rFonts w:hint="eastAsia" w:ascii="宋体" w:hAnsi="宋体" w:eastAsia="宋体" w:cs="宋体"/>
                <w:sz w:val="24"/>
                <w:lang w:eastAsia="zh-CN"/>
              </w:rPr>
              <w:t>：</w:t>
            </w:r>
            <w:r>
              <w:rPr>
                <w:rFonts w:hint="eastAsia" w:ascii="宋体" w:hAnsi="宋体" w:eastAsia="宋体" w:cs="宋体"/>
                <w:sz w:val="24"/>
              </w:rPr>
              <w:t>针对本项目的实际情况进行具体制定，抓住重点要点，全面、详细、合理，具有针对性得</w:t>
            </w:r>
            <w:r>
              <w:rPr>
                <w:rFonts w:hint="eastAsia" w:ascii="宋体" w:hAnsi="宋体" w:eastAsia="宋体" w:cs="宋体"/>
                <w:sz w:val="24"/>
                <w:lang w:val="en-US" w:eastAsia="zh-CN"/>
              </w:rPr>
              <w:t>5</w:t>
            </w:r>
            <w:r>
              <w:rPr>
                <w:rFonts w:hint="eastAsia" w:ascii="宋体" w:hAnsi="宋体" w:eastAsia="宋体" w:cs="宋体"/>
                <w:sz w:val="24"/>
              </w:rPr>
              <w:t>分，方案针对本项目的实际情况进行具体制定，较为全面、详细、合理，针对性较好得</w:t>
            </w:r>
            <w:r>
              <w:rPr>
                <w:rFonts w:hint="eastAsia" w:ascii="宋体" w:hAnsi="宋体" w:eastAsia="宋体" w:cs="宋体"/>
                <w:sz w:val="24"/>
                <w:lang w:val="en-US" w:eastAsia="zh-CN"/>
              </w:rPr>
              <w:t>3</w:t>
            </w:r>
            <w:r>
              <w:rPr>
                <w:rFonts w:hint="eastAsia" w:ascii="宋体" w:hAnsi="宋体" w:eastAsia="宋体" w:cs="宋体"/>
                <w:sz w:val="24"/>
              </w:rPr>
              <w:t>分，方案与本项目的实际情况针对性一般，重点要点表述一般得</w:t>
            </w:r>
            <w:r>
              <w:rPr>
                <w:rFonts w:hint="eastAsia" w:ascii="宋体" w:hAnsi="宋体" w:eastAsia="宋体" w:cs="宋体"/>
                <w:sz w:val="24"/>
                <w:lang w:val="en-US" w:eastAsia="zh-CN"/>
              </w:rPr>
              <w:t>1</w:t>
            </w:r>
            <w:r>
              <w:rPr>
                <w:rFonts w:hint="eastAsia" w:ascii="宋体" w:hAnsi="宋体" w:eastAsia="宋体" w:cs="宋体"/>
                <w:sz w:val="24"/>
              </w:rPr>
              <w:t>分，方案有缺项或不合理或未提供方案不得分。</w:t>
            </w:r>
          </w:p>
          <w:p>
            <w:pPr>
              <w:adjustRightInd/>
              <w:spacing w:line="360" w:lineRule="auto"/>
              <w:rPr>
                <w:rFonts w:hint="eastAsia" w:ascii="宋体" w:hAnsi="宋体" w:eastAsia="宋体" w:cs="宋体"/>
                <w:sz w:val="24"/>
              </w:rPr>
            </w:pPr>
            <w:r>
              <w:rPr>
                <w:rFonts w:hint="eastAsia" w:ascii="宋体" w:hAnsi="宋体" w:eastAsia="宋体" w:cs="宋体"/>
                <w:sz w:val="24"/>
              </w:rPr>
              <w:t>人员管理制度</w:t>
            </w:r>
            <w:r>
              <w:rPr>
                <w:rFonts w:hint="eastAsia" w:ascii="宋体" w:hAnsi="宋体" w:eastAsia="宋体" w:cs="宋体"/>
                <w:sz w:val="24"/>
                <w:lang w:eastAsia="zh-CN"/>
              </w:rPr>
              <w:t>：</w:t>
            </w:r>
            <w:r>
              <w:rPr>
                <w:rFonts w:hint="eastAsia" w:ascii="宋体" w:hAnsi="宋体" w:eastAsia="宋体" w:cs="宋体"/>
                <w:sz w:val="24"/>
              </w:rPr>
              <w:t>针对本项目的实际情况进行具体制定，抓住重点要点，全面、详细、合理，具有针对性得</w:t>
            </w:r>
            <w:r>
              <w:rPr>
                <w:rFonts w:hint="eastAsia" w:ascii="宋体" w:hAnsi="宋体" w:eastAsia="宋体" w:cs="宋体"/>
                <w:sz w:val="24"/>
                <w:lang w:val="en-US" w:eastAsia="zh-CN"/>
              </w:rPr>
              <w:t>5</w:t>
            </w:r>
            <w:r>
              <w:rPr>
                <w:rFonts w:hint="eastAsia" w:ascii="宋体" w:hAnsi="宋体" w:eastAsia="宋体" w:cs="宋体"/>
                <w:sz w:val="24"/>
              </w:rPr>
              <w:t>分，方案针对本项目的实际情况进行具体制定，较为全面、详细、合理，针对性较好得</w:t>
            </w:r>
            <w:r>
              <w:rPr>
                <w:rFonts w:hint="eastAsia" w:ascii="宋体" w:hAnsi="宋体" w:eastAsia="宋体" w:cs="宋体"/>
                <w:sz w:val="24"/>
                <w:lang w:val="en-US" w:eastAsia="zh-CN"/>
              </w:rPr>
              <w:t>3</w:t>
            </w:r>
            <w:r>
              <w:rPr>
                <w:rFonts w:hint="eastAsia" w:ascii="宋体" w:hAnsi="宋体" w:eastAsia="宋体" w:cs="宋体"/>
                <w:sz w:val="24"/>
              </w:rPr>
              <w:t>分，方案与本项目的实际情况针对性一般，重点要点表述一般得</w:t>
            </w:r>
            <w:r>
              <w:rPr>
                <w:rFonts w:hint="eastAsia" w:ascii="宋体" w:hAnsi="宋体" w:eastAsia="宋体" w:cs="宋体"/>
                <w:sz w:val="24"/>
                <w:lang w:val="en-US" w:eastAsia="zh-CN"/>
              </w:rPr>
              <w:t>1</w:t>
            </w:r>
            <w:r>
              <w:rPr>
                <w:rFonts w:hint="eastAsia" w:ascii="宋体" w:hAnsi="宋体" w:eastAsia="宋体" w:cs="宋体"/>
                <w:sz w:val="24"/>
              </w:rPr>
              <w:t>分，方案有缺项或不合理或未提供方案不得分。</w:t>
            </w:r>
          </w:p>
          <w:p>
            <w:pPr>
              <w:adjustRightInd/>
              <w:spacing w:line="360" w:lineRule="auto"/>
              <w:rPr>
                <w:rFonts w:hint="eastAsia" w:ascii="宋体" w:hAnsi="宋体" w:eastAsia="宋体" w:cs="宋体"/>
                <w:sz w:val="24"/>
              </w:rPr>
            </w:pPr>
            <w:r>
              <w:rPr>
                <w:rFonts w:hint="eastAsia" w:ascii="宋体" w:hAnsi="宋体" w:eastAsia="宋体" w:cs="宋体"/>
                <w:sz w:val="24"/>
              </w:rPr>
              <w:t>人员培训制度</w:t>
            </w:r>
            <w:r>
              <w:rPr>
                <w:rFonts w:hint="eastAsia" w:ascii="宋体" w:hAnsi="宋体" w:eastAsia="宋体" w:cs="宋体"/>
                <w:sz w:val="24"/>
                <w:lang w:eastAsia="zh-CN"/>
              </w:rPr>
              <w:t>：</w:t>
            </w:r>
            <w:r>
              <w:rPr>
                <w:rFonts w:hint="eastAsia" w:ascii="宋体" w:hAnsi="宋体" w:eastAsia="宋体" w:cs="宋体"/>
                <w:sz w:val="24"/>
              </w:rPr>
              <w:t>针对本项目的实际情况进行具体制定，抓住重点要点，全面、详细、合理，具有针对性得</w:t>
            </w:r>
            <w:r>
              <w:rPr>
                <w:rFonts w:hint="eastAsia" w:ascii="宋体" w:hAnsi="宋体" w:eastAsia="宋体" w:cs="宋体"/>
                <w:sz w:val="24"/>
                <w:lang w:val="en-US" w:eastAsia="zh-CN"/>
              </w:rPr>
              <w:t>5</w:t>
            </w:r>
            <w:r>
              <w:rPr>
                <w:rFonts w:hint="eastAsia" w:ascii="宋体" w:hAnsi="宋体" w:eastAsia="宋体" w:cs="宋体"/>
                <w:sz w:val="24"/>
              </w:rPr>
              <w:t>分，方案针对本项目的实际情况进行具体制定，较为全面、详细、合理，针对性较好得</w:t>
            </w:r>
            <w:r>
              <w:rPr>
                <w:rFonts w:hint="eastAsia" w:ascii="宋体" w:hAnsi="宋体" w:eastAsia="宋体" w:cs="宋体"/>
                <w:sz w:val="24"/>
                <w:lang w:val="en-US" w:eastAsia="zh-CN"/>
              </w:rPr>
              <w:t>3</w:t>
            </w:r>
            <w:r>
              <w:rPr>
                <w:rFonts w:hint="eastAsia" w:ascii="宋体" w:hAnsi="宋体" w:eastAsia="宋体" w:cs="宋体"/>
                <w:sz w:val="24"/>
              </w:rPr>
              <w:t>分，方案与本项目的实际情况针对性一般，重点要点表述一般得</w:t>
            </w:r>
            <w:r>
              <w:rPr>
                <w:rFonts w:hint="eastAsia" w:ascii="宋体" w:hAnsi="宋体" w:eastAsia="宋体" w:cs="宋体"/>
                <w:sz w:val="24"/>
                <w:lang w:val="en-US" w:eastAsia="zh-CN"/>
              </w:rPr>
              <w:t>1</w:t>
            </w:r>
            <w:r>
              <w:rPr>
                <w:rFonts w:hint="eastAsia" w:ascii="宋体" w:hAnsi="宋体" w:eastAsia="宋体" w:cs="宋体"/>
                <w:sz w:val="24"/>
              </w:rPr>
              <w:t>分，方案有缺项或不合理或未提供方案不得分。</w:t>
            </w:r>
          </w:p>
        </w:tc>
        <w:tc>
          <w:tcPr>
            <w:tcW w:w="475" w:type="pct"/>
            <w:vAlign w:val="center"/>
          </w:tcPr>
          <w:p>
            <w:pPr>
              <w:adjustRightInd/>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20</w:t>
            </w:r>
          </w:p>
        </w:tc>
        <w:tc>
          <w:tcPr>
            <w:tcW w:w="1252" w:type="pct"/>
          </w:tcPr>
          <w:p>
            <w:pPr>
              <w:adjustRightInd/>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65" w:type="pct"/>
            <w:vAlign w:val="center"/>
          </w:tcPr>
          <w:p>
            <w:pPr>
              <w:adjustRightInd/>
              <w:spacing w:line="360" w:lineRule="auto"/>
              <w:jc w:val="center"/>
              <w:rPr>
                <w:rFonts w:hint="eastAsia" w:ascii="宋体" w:hAnsi="宋体" w:eastAsia="宋体" w:cs="宋体"/>
                <w:sz w:val="24"/>
              </w:rPr>
            </w:pPr>
            <w:r>
              <w:rPr>
                <w:rFonts w:hint="eastAsia" w:ascii="宋体" w:hAnsi="宋体" w:eastAsia="宋体" w:cs="宋体"/>
                <w:sz w:val="24"/>
              </w:rPr>
              <w:t>9</w:t>
            </w:r>
          </w:p>
        </w:tc>
        <w:tc>
          <w:tcPr>
            <w:tcW w:w="2908" w:type="pct"/>
            <w:vAlign w:val="center"/>
          </w:tcPr>
          <w:p>
            <w:pPr>
              <w:adjustRightInd/>
              <w:spacing w:line="360" w:lineRule="auto"/>
              <w:rPr>
                <w:rFonts w:hint="eastAsia" w:ascii="宋体" w:hAnsi="宋体" w:eastAsia="宋体" w:cs="宋体"/>
                <w:sz w:val="24"/>
                <w:lang w:val="en-US"/>
              </w:rPr>
            </w:pPr>
            <w:r>
              <w:rPr>
                <w:rFonts w:hint="eastAsia" w:ascii="宋体" w:hAnsi="宋体" w:eastAsia="宋体" w:cs="宋体"/>
                <w:sz w:val="24"/>
                <w:lang w:val="en-US"/>
              </w:rPr>
              <w:t>管理制度及考核方法</w:t>
            </w:r>
            <w:r>
              <w:rPr>
                <w:rFonts w:hint="eastAsia" w:ascii="宋体" w:hAnsi="宋体" w:eastAsia="宋体" w:cs="宋体"/>
                <w:sz w:val="24"/>
                <w:lang w:val="en-US" w:eastAsia="zh-CN"/>
              </w:rPr>
              <w:t>（0-5分）</w:t>
            </w:r>
            <w:r>
              <w:rPr>
                <w:rFonts w:hint="eastAsia" w:ascii="宋体" w:hAnsi="宋体" w:eastAsia="宋体" w:cs="宋体"/>
                <w:sz w:val="24"/>
                <w:lang w:val="en-US"/>
              </w:rPr>
              <w:t>：</w:t>
            </w:r>
          </w:p>
          <w:p>
            <w:pPr>
              <w:adjustRightInd/>
              <w:spacing w:line="360" w:lineRule="auto"/>
              <w:rPr>
                <w:rFonts w:hint="eastAsia" w:ascii="宋体" w:hAnsi="宋体" w:eastAsia="宋体" w:cs="宋体"/>
                <w:sz w:val="24"/>
              </w:rPr>
            </w:pPr>
            <w:r>
              <w:rPr>
                <w:rFonts w:hint="eastAsia" w:ascii="宋体" w:hAnsi="宋体" w:eastAsia="宋体" w:cs="宋体"/>
                <w:sz w:val="24"/>
              </w:rPr>
              <w:t>公众服务制度、内部岗位责任制度、管理运作制度、管理人员考核制度等；人员、设施、设备管理服务、采购人方反馈资料、文件资料等档案的建立与管理情况，管理制度、规范和标准情况符合要求，内容完整的得</w:t>
            </w:r>
            <w:r>
              <w:rPr>
                <w:rFonts w:hint="eastAsia" w:ascii="宋体" w:hAnsi="宋体" w:eastAsia="宋体" w:cs="宋体"/>
                <w:sz w:val="24"/>
                <w:lang w:val="en-US" w:eastAsia="zh-CN"/>
              </w:rPr>
              <w:t>5</w:t>
            </w:r>
            <w:r>
              <w:rPr>
                <w:rFonts w:hint="eastAsia" w:ascii="宋体" w:hAnsi="宋体" w:eastAsia="宋体" w:cs="宋体"/>
                <w:sz w:val="24"/>
                <w:lang w:val="en-US"/>
              </w:rPr>
              <w:t>分</w:t>
            </w:r>
            <w:r>
              <w:rPr>
                <w:rFonts w:hint="eastAsia" w:ascii="宋体" w:hAnsi="宋体" w:eastAsia="宋体" w:cs="宋体"/>
                <w:sz w:val="24"/>
                <w:lang w:val="en-US" w:eastAsia="zh-CN"/>
              </w:rPr>
              <w:t>,内容完整，但有所欠缺的得3分；符合要求，但内容不完整的得1分，没有不得分。</w:t>
            </w:r>
          </w:p>
        </w:tc>
        <w:tc>
          <w:tcPr>
            <w:tcW w:w="475" w:type="pct"/>
            <w:vAlign w:val="center"/>
          </w:tcPr>
          <w:p>
            <w:pPr>
              <w:adjustRightInd/>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252" w:type="pct"/>
          </w:tcPr>
          <w:p>
            <w:pPr>
              <w:adjustRightInd/>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65" w:type="pct"/>
            <w:vAlign w:val="center"/>
          </w:tcPr>
          <w:p>
            <w:pPr>
              <w:adjustRightInd/>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2908"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lang w:val="en-US" w:eastAsia="zh-CN"/>
              </w:rPr>
              <w:t>应急预案：提供处理突发事件的应急预案进行评议（0-5分）：应急预案符合要求，内容完整、充实的得5分；应急预案符合要求，内容完整，但有所欠缺的得3分；应急预案符合要求，但内容不完整的得1分，没有不得分。</w:t>
            </w:r>
          </w:p>
        </w:tc>
        <w:tc>
          <w:tcPr>
            <w:tcW w:w="475" w:type="pct"/>
            <w:vAlign w:val="center"/>
          </w:tcPr>
          <w:p>
            <w:pPr>
              <w:adjustRightInd/>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252" w:type="pct"/>
          </w:tcPr>
          <w:p>
            <w:pPr>
              <w:adjustRightInd/>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65" w:type="pct"/>
            <w:vAlign w:val="center"/>
          </w:tcPr>
          <w:p>
            <w:pPr>
              <w:adjustRightInd/>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2908"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职工待遇落实及后勤保障措施：根据投标人的职工待遇落实及后勤保障措施，是否为职工提供社保以外的商业保险等</w:t>
            </w:r>
            <w:r>
              <w:rPr>
                <w:rFonts w:hint="eastAsia" w:ascii="宋体" w:hAnsi="宋体" w:eastAsia="宋体" w:cs="宋体"/>
                <w:sz w:val="24"/>
                <w:lang w:eastAsia="zh-CN"/>
              </w:rPr>
              <w:t>；</w:t>
            </w:r>
            <w:r>
              <w:rPr>
                <w:rFonts w:hint="eastAsia" w:ascii="宋体" w:hAnsi="宋体" w:eastAsia="宋体" w:cs="宋体"/>
                <w:sz w:val="24"/>
              </w:rPr>
              <w:t>职工待遇落实及后勤保障措施</w:t>
            </w:r>
            <w:r>
              <w:rPr>
                <w:rFonts w:hint="eastAsia" w:ascii="宋体" w:hAnsi="宋体" w:eastAsia="宋体" w:cs="宋体"/>
                <w:sz w:val="24"/>
                <w:lang w:val="en-US" w:eastAsia="zh-CN"/>
              </w:rPr>
              <w:t>，内容完整、充实的得6分；</w:t>
            </w:r>
            <w:r>
              <w:rPr>
                <w:rFonts w:hint="eastAsia" w:ascii="宋体" w:hAnsi="宋体" w:eastAsia="宋体" w:cs="宋体"/>
                <w:sz w:val="24"/>
              </w:rPr>
              <w:t>职工待遇落实及后勤保障措施</w:t>
            </w:r>
            <w:r>
              <w:rPr>
                <w:rFonts w:hint="eastAsia" w:ascii="宋体" w:hAnsi="宋体" w:eastAsia="宋体" w:cs="宋体"/>
                <w:sz w:val="24"/>
                <w:lang w:val="en-US" w:eastAsia="zh-CN"/>
              </w:rPr>
              <w:t>，内容完整，但有所欠缺的得4分；</w:t>
            </w:r>
            <w:r>
              <w:rPr>
                <w:rFonts w:hint="eastAsia" w:ascii="宋体" w:hAnsi="宋体" w:eastAsia="宋体" w:cs="宋体"/>
                <w:sz w:val="24"/>
              </w:rPr>
              <w:t>职工待遇落实及后勤保障措施</w:t>
            </w:r>
            <w:r>
              <w:rPr>
                <w:rFonts w:hint="eastAsia" w:ascii="宋体" w:hAnsi="宋体" w:eastAsia="宋体" w:cs="宋体"/>
                <w:sz w:val="24"/>
                <w:lang w:val="en-US" w:eastAsia="zh-CN"/>
              </w:rPr>
              <w:t>，但内容不完整的得2分，没有不得分。</w:t>
            </w:r>
          </w:p>
        </w:tc>
        <w:tc>
          <w:tcPr>
            <w:tcW w:w="475" w:type="pct"/>
            <w:vAlign w:val="center"/>
          </w:tcPr>
          <w:p>
            <w:pPr>
              <w:adjustRightInd/>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252" w:type="pct"/>
          </w:tcPr>
          <w:p>
            <w:pPr>
              <w:adjustRightInd/>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65" w:type="pct"/>
            <w:vAlign w:val="center"/>
          </w:tcPr>
          <w:p>
            <w:pPr>
              <w:adjustRightInd/>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2908"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lang w:val="en-US" w:eastAsia="zh-CN"/>
              </w:rPr>
              <w:t>服务承诺：包括服务内容及标准承诺、创建工作承诺等进行评议（0-6分）：服务内容及标准承诺、创建工作承诺符合要求，内容完整、充实的得6分；服务内容及标准承诺、创建工作承诺符合要求，内容完整，但有所欠缺的得4分；服务内容及标准承诺、创建工作承诺符合要求，但内容不完整的得2分，没有不得分。</w:t>
            </w:r>
          </w:p>
        </w:tc>
        <w:tc>
          <w:tcPr>
            <w:tcW w:w="475" w:type="pct"/>
            <w:vAlign w:val="center"/>
          </w:tcPr>
          <w:p>
            <w:pPr>
              <w:adjustRightInd/>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252" w:type="pct"/>
          </w:tcPr>
          <w:p>
            <w:pPr>
              <w:adjustRightInd/>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365" w:type="pct"/>
            <w:vAlign w:val="center"/>
          </w:tcPr>
          <w:p>
            <w:pPr>
              <w:adjustRightInd/>
              <w:spacing w:line="360" w:lineRule="auto"/>
              <w:jc w:val="center"/>
              <w:outlineLvl w:val="0"/>
              <w:rPr>
                <w:rFonts w:hint="eastAsia" w:ascii="宋体" w:hAnsi="宋体" w:eastAsia="宋体" w:cs="宋体"/>
                <w:sz w:val="24"/>
              </w:rPr>
            </w:pPr>
            <w:r>
              <w:rPr>
                <w:rFonts w:hint="eastAsia" w:ascii="宋体" w:hAnsi="宋体" w:eastAsia="宋体" w:cs="宋体"/>
                <w:sz w:val="24"/>
              </w:rPr>
              <w:t>14</w:t>
            </w:r>
          </w:p>
        </w:tc>
        <w:tc>
          <w:tcPr>
            <w:tcW w:w="2908" w:type="pct"/>
          </w:tcPr>
          <w:p>
            <w:pPr>
              <w:adjustRightInd/>
              <w:spacing w:line="360" w:lineRule="auto"/>
              <w:rPr>
                <w:rFonts w:hint="eastAsia" w:ascii="宋体" w:hAnsi="宋体" w:eastAsia="宋体" w:cs="宋体"/>
                <w:sz w:val="24"/>
              </w:rPr>
            </w:pPr>
            <w:r>
              <w:rPr>
                <w:rFonts w:hint="eastAsia" w:ascii="宋体" w:hAnsi="宋体" w:eastAsia="宋体" w:cs="宋体"/>
                <w:sz w:val="24"/>
              </w:rPr>
              <w:t>有效投标报价的最低价作为评标基准价，其最低报价为满分；按［投标报价得分=（评标基准价/投标报价）*10］的计算公式计算。</w:t>
            </w:r>
          </w:p>
          <w:p>
            <w:pPr>
              <w:adjustRightInd/>
              <w:spacing w:line="360" w:lineRule="auto"/>
              <w:rPr>
                <w:rFonts w:hint="eastAsia" w:ascii="宋体" w:hAnsi="宋体" w:eastAsia="宋体" w:cs="宋体"/>
                <w:sz w:val="24"/>
              </w:rPr>
            </w:pPr>
            <w:r>
              <w:rPr>
                <w:rFonts w:hint="eastAsia" w:ascii="宋体" w:hAnsi="宋体" w:eastAsia="宋体" w:cs="宋体"/>
                <w:sz w:val="24"/>
              </w:rPr>
              <w:t>评标过程中，不得去掉报价中的最高报价和最低报价。</w:t>
            </w:r>
          </w:p>
          <w:p>
            <w:pPr>
              <w:adjustRightInd/>
              <w:spacing w:line="360" w:lineRule="auto"/>
              <w:rPr>
                <w:rFonts w:hint="eastAsia" w:ascii="宋体" w:hAnsi="宋体" w:eastAsia="宋体" w:cs="宋体"/>
                <w:sz w:val="24"/>
              </w:rPr>
            </w:pPr>
            <w:r>
              <w:rPr>
                <w:rFonts w:hint="eastAsia" w:ascii="宋体" w:hAnsi="宋体" w:eastAsia="宋体" w:cs="宋体"/>
                <w:sz w:val="24"/>
              </w:rPr>
              <w:t>因落实政府采购政策需要进行价格调整的，以调整后的价格计算评标基准价和投标报价。</w:t>
            </w:r>
          </w:p>
        </w:tc>
        <w:tc>
          <w:tcPr>
            <w:tcW w:w="475" w:type="pct"/>
            <w:vAlign w:val="center"/>
          </w:tcPr>
          <w:p>
            <w:pPr>
              <w:adjustRightInd/>
              <w:spacing w:line="360" w:lineRule="auto"/>
              <w:rPr>
                <w:rFonts w:hint="eastAsia" w:ascii="宋体" w:hAnsi="宋体" w:eastAsia="宋体" w:cs="宋体"/>
                <w:sz w:val="24"/>
              </w:rPr>
            </w:pPr>
            <w:r>
              <w:rPr>
                <w:rFonts w:hint="eastAsia" w:ascii="宋体" w:hAnsi="宋体" w:eastAsia="宋体" w:cs="宋体"/>
                <w:sz w:val="24"/>
              </w:rPr>
              <w:t>10</w:t>
            </w:r>
          </w:p>
        </w:tc>
        <w:tc>
          <w:tcPr>
            <w:tcW w:w="1252" w:type="pct"/>
            <w:vAlign w:val="center"/>
          </w:tcPr>
          <w:p>
            <w:pPr>
              <w:adjustRightInd/>
              <w:spacing w:line="360" w:lineRule="auto"/>
              <w:jc w:val="center"/>
              <w:outlineLvl w:val="0"/>
              <w:rPr>
                <w:rFonts w:hint="eastAsia" w:ascii="宋体" w:hAnsi="宋体" w:eastAsia="宋体" w:cs="宋体"/>
                <w:sz w:val="24"/>
              </w:rPr>
            </w:pPr>
            <w:r>
              <w:rPr>
                <w:rFonts w:hint="eastAsia" w:ascii="宋体" w:hAnsi="宋体" w:eastAsia="宋体" w:cs="宋体"/>
                <w:sz w:val="24"/>
              </w:rPr>
              <w:t>/</w:t>
            </w:r>
          </w:p>
        </w:tc>
      </w:tr>
    </w:tbl>
    <w:p>
      <w:pPr>
        <w:snapToGrid w:val="0"/>
        <w:spacing w:line="360" w:lineRule="auto"/>
        <w:rPr>
          <w:rFonts w:hint="eastAsia" w:ascii="宋体" w:hAnsi="宋体" w:eastAsia="宋体" w:cs="宋体"/>
          <w:color w:val="auto"/>
          <w:sz w:val="20"/>
          <w:szCs w:val="20"/>
          <w:highlight w:val="none"/>
          <w:shd w:val="clear" w:color="auto" w:fill="FFFFFF"/>
        </w:rPr>
      </w:pPr>
    </w:p>
    <w:p>
      <w:pPr>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pPr>
        <w:pStyle w:val="23"/>
        <w:rPr>
          <w:rFonts w:hint="eastAsia"/>
          <w:color w:val="auto"/>
          <w:highlight w:val="none"/>
        </w:rPr>
      </w:pP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r>
        <w:rPr>
          <w:rFonts w:hint="eastAsia" w:ascii="宋体" w:hAnsi="宋体" w:eastAsia="宋体" w:cs="宋体"/>
          <w:b/>
          <w:color w:val="auto"/>
          <w:kern w:val="0"/>
          <w:sz w:val="24"/>
          <w:highlight w:val="none"/>
        </w:rPr>
        <w:t>（评标委员会各成员评分的算术平均值，保留两位小数，后一位四舍五入）</w:t>
      </w:r>
      <w:r>
        <w:rPr>
          <w:rFonts w:hint="eastAsia" w:ascii="宋体" w:hAnsi="宋体" w:eastAsia="宋体" w:cs="宋体"/>
          <w:color w:val="auto"/>
          <w:kern w:val="0"/>
          <w:sz w:val="24"/>
          <w:highlight w:val="none"/>
        </w:rPr>
        <w:t>。</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ind w:firstLine="411" w:firstLineChars="196"/>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84"/>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2"/>
        <w:ind w:left="862" w:leftChars="205"/>
        <w:rPr>
          <w:rFonts w:hint="eastAsia" w:ascii="宋体" w:hAnsi="宋体" w:eastAsia="宋体" w:cs="宋体"/>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p>
      <w:pPr>
        <w:pStyle w:val="25"/>
        <w:snapToGrid w:val="0"/>
        <w:spacing w:line="360" w:lineRule="auto"/>
        <w:ind w:firstLine="0" w:firstLineChars="0"/>
        <w:rPr>
          <w:rFonts w:hint="eastAsia" w:ascii="宋体" w:hAnsi="宋体" w:eastAsia="宋体" w:cs="宋体"/>
          <w:color w:val="auto"/>
          <w:highlight w:val="none"/>
        </w:rPr>
      </w:pPr>
    </w:p>
    <w:bookmarkEnd w:id="27"/>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8" w:name="_Toc86217003"/>
      <w:bookmarkStart w:id="399" w:name="第五部分"/>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pStyle w:val="23"/>
        <w:rPr>
          <w:rFonts w:hint="eastAsia" w:ascii="宋体" w:hAnsi="宋体" w:eastAsia="宋体" w:cs="宋体"/>
          <w:b/>
          <w:color w:val="auto"/>
          <w:sz w:val="36"/>
          <w:szCs w:val="36"/>
          <w:highlight w:val="none"/>
        </w:rPr>
      </w:pPr>
    </w:p>
    <w:p>
      <w:pPr>
        <w:pStyle w:val="61"/>
        <w:rPr>
          <w:rFonts w:hint="eastAsia" w:ascii="宋体" w:hAnsi="宋体" w:eastAsia="宋体" w:cs="宋体"/>
          <w:b/>
          <w:color w:val="auto"/>
          <w:sz w:val="36"/>
          <w:szCs w:val="36"/>
          <w:highlight w:val="none"/>
        </w:rPr>
      </w:pPr>
    </w:p>
    <w:p>
      <w:pPr>
        <w:pStyle w:val="5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第五部分拟签订的合同文本</w:t>
      </w:r>
    </w:p>
    <w:p>
      <w:pPr>
        <w:spacing w:line="480" w:lineRule="auto"/>
        <w:jc w:val="center"/>
        <w:rPr>
          <w:rFonts w:hint="eastAsia" w:ascii="宋体" w:hAnsi="宋体" w:eastAsia="宋体" w:cs="宋体"/>
          <w:b/>
          <w:color w:val="auto"/>
          <w:sz w:val="24"/>
          <w:highlight w:val="none"/>
        </w:rPr>
      </w:pPr>
    </w:p>
    <w:p>
      <w:pPr>
        <w:spacing w:line="480" w:lineRule="auto"/>
        <w:jc w:val="center"/>
        <w:rPr>
          <w:rFonts w:ascii="仿宋" w:hAnsi="仿宋" w:eastAsia="仿宋"/>
          <w:color w:val="auto"/>
          <w:szCs w:val="24"/>
          <w:highlight w:val="none"/>
        </w:rPr>
      </w:pPr>
      <w:r>
        <w:rPr>
          <w:rFonts w:hint="eastAsia" w:ascii="仿宋_GB2312" w:hAnsi="仿宋" w:eastAsia="仿宋_GB2312" w:cs="仿宋_GB2312"/>
          <w:b/>
          <w:color w:val="auto"/>
          <w:sz w:val="36"/>
          <w:szCs w:val="36"/>
          <w:highlight w:val="none"/>
        </w:rPr>
        <w:t>政府采购合同参考范本</w:t>
      </w:r>
    </w:p>
    <w:p>
      <w:pPr>
        <w:pStyle w:val="384"/>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281"/>
        <w:spacing w:before="120" w:line="22" w:lineRule="atLeast"/>
        <w:rPr>
          <w:rFonts w:ascii="仿宋" w:hAnsi="仿宋" w:eastAsia="仿宋"/>
          <w:color w:val="auto"/>
          <w:szCs w:val="24"/>
          <w:highlight w:val="none"/>
        </w:rPr>
      </w:pPr>
    </w:p>
    <w:p>
      <w:pPr>
        <w:pStyle w:val="281"/>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jc w:val="left"/>
        <w:rPr>
          <w:rFonts w:ascii="仿宋" w:hAnsi="仿宋" w:eastAsia="仿宋"/>
          <w:color w:val="auto"/>
          <w:kern w:val="0"/>
          <w:sz w:val="24"/>
          <w:highlight w:val="none"/>
        </w:rPr>
        <w:sectPr>
          <w:pgSz w:w="11907" w:h="16840"/>
          <w:pgMar w:top="1474" w:right="1814" w:bottom="1474" w:left="1814" w:header="851" w:footer="851" w:gutter="0"/>
          <w:cols w:space="720" w:num="1"/>
        </w:sectPr>
      </w:pPr>
    </w:p>
    <w:p>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eastAsia="zh-CN"/>
        </w:rPr>
        <w:t>HZLP</w:t>
      </w:r>
      <w:r>
        <w:rPr>
          <w:rFonts w:hint="eastAsia" w:ascii="宋体" w:hAnsi="宋体" w:eastAsia="宋体" w:cs="宋体"/>
          <w:b/>
          <w:bCs/>
          <w:color w:val="auto"/>
          <w:sz w:val="24"/>
          <w:szCs w:val="24"/>
          <w:highlight w:val="none"/>
        </w:rPr>
        <w:t>ZFCG-20  -    ）公开招标的结果，签署本合同。</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1</w:t>
      </w:r>
      <w:r>
        <w:rPr>
          <w:rFonts w:hint="eastAsia" w:ascii="宋体" w:hAnsi="宋体"/>
          <w:b/>
          <w:color w:val="auto"/>
          <w:sz w:val="24"/>
          <w:highlight w:val="none"/>
          <w:lang w:eastAsia="zh-CN"/>
        </w:rPr>
        <w:t>、</w:t>
      </w:r>
      <w:r>
        <w:rPr>
          <w:rFonts w:hint="eastAsia" w:ascii="宋体" w:hAnsi="宋体" w:eastAsia="宋体"/>
          <w:b/>
          <w:color w:val="auto"/>
          <w:sz w:val="24"/>
          <w:highlight w:val="none"/>
        </w:rPr>
        <w:t>标的</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1.</w:t>
      </w:r>
      <w:r>
        <w:rPr>
          <w:rFonts w:hint="eastAsia" w:ascii="宋体" w:hAnsi="宋体"/>
          <w:color w:val="auto"/>
          <w:sz w:val="24"/>
          <w:highlight w:val="none"/>
          <w:lang w:val="en-US" w:eastAsia="zh-CN"/>
        </w:rPr>
        <w:t>1</w:t>
      </w:r>
      <w:r>
        <w:rPr>
          <w:rFonts w:hint="eastAsia" w:ascii="宋体" w:hAnsi="宋体" w:eastAsia="宋体"/>
          <w:color w:val="auto"/>
          <w:sz w:val="24"/>
          <w:highlight w:val="none"/>
        </w:rPr>
        <w:t>标的</w:t>
      </w:r>
      <w:r>
        <w:rPr>
          <w:rFonts w:ascii="宋体" w:hAnsi="宋体" w:eastAsia="宋体"/>
          <w:color w:val="auto"/>
          <w:sz w:val="24"/>
          <w:highlight w:val="none"/>
        </w:rPr>
        <w:t>名称：</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1.2</w:t>
      </w:r>
      <w:r>
        <w:rPr>
          <w:rFonts w:hint="eastAsia" w:ascii="宋体" w:hAnsi="宋体" w:eastAsia="宋体"/>
          <w:color w:val="auto"/>
          <w:sz w:val="24"/>
          <w:highlight w:val="none"/>
        </w:rPr>
        <w:t>标的</w:t>
      </w:r>
      <w:r>
        <w:rPr>
          <w:rFonts w:ascii="宋体" w:hAnsi="宋体" w:eastAsia="宋体"/>
          <w:color w:val="auto"/>
          <w:sz w:val="24"/>
          <w:highlight w:val="none"/>
        </w:rPr>
        <w:t>数量：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0" w:firstLineChars="200"/>
        <w:rPr>
          <w:rFonts w:ascii="仿宋" w:hAnsi="仿宋" w:eastAsia="仿宋"/>
          <w:color w:val="auto"/>
          <w:sz w:val="24"/>
          <w:highlight w:val="none"/>
        </w:rPr>
      </w:pPr>
      <w:r>
        <w:rPr>
          <w:rFonts w:ascii="宋体" w:hAnsi="宋体" w:eastAsia="宋体"/>
          <w:color w:val="auto"/>
          <w:sz w:val="24"/>
          <w:highlight w:val="none"/>
        </w:rPr>
        <w:t xml:space="preserve">1.3 </w:t>
      </w:r>
      <w:r>
        <w:rPr>
          <w:rFonts w:hint="eastAsia" w:ascii="宋体" w:hAnsi="宋体" w:eastAsia="宋体"/>
          <w:color w:val="auto"/>
          <w:sz w:val="24"/>
          <w:highlight w:val="none"/>
        </w:rPr>
        <w:t>标的质量：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价款</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bl>
    <w:p>
      <w:pPr>
        <w:spacing w:line="360" w:lineRule="auto"/>
        <w:ind w:firstLine="480" w:firstLineChars="200"/>
        <w:rPr>
          <w:rFonts w:hint="eastAsia" w:ascii="仿宋" w:hAnsi="仿宋" w:eastAsia="仿宋" w:cs="Times New Roman"/>
          <w:color w:val="auto"/>
          <w:kern w:val="0"/>
          <w:sz w:val="24"/>
          <w:szCs w:val="20"/>
          <w:highlight w:val="none"/>
        </w:rPr>
      </w:pPr>
    </w:p>
    <w:p>
      <w:pPr>
        <w:pStyle w:val="34"/>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4"/>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616"/>
        <w:spacing w:before="0" w:beforeAutospacing="0" w:after="0" w:afterAutospacing="0" w:line="360" w:lineRule="auto"/>
        <w:ind w:firstLine="420"/>
        <w:rPr>
          <w:rFonts w:ascii="仿宋" w:hAnsi="仿宋" w:eastAsia="仿宋"/>
          <w:color w:val="auto"/>
          <w:highlight w:val="none"/>
        </w:rPr>
      </w:pPr>
      <w:r>
        <w:rPr>
          <w:rFonts w:hint="eastAsia" w:ascii="仿宋" w:hAnsi="仿宋" w:eastAsia="仿宋"/>
          <w:color w:val="auto"/>
          <w:highlight w:val="none"/>
          <w:lang w:val="en-US" w:eastAsia="zh-CN"/>
        </w:rPr>
        <w:t xml:space="preserve"> 5.</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个工作日内，</w:t>
      </w:r>
      <w:r>
        <w:rPr>
          <w:rFonts w:hint="eastAsia" w:ascii="仿宋" w:hAnsi="仿宋" w:eastAsia="仿宋"/>
          <w:color w:val="auto"/>
          <w:sz w:val="24"/>
          <w:highlight w:val="none"/>
          <w:lang w:val="en-US" w:eastAsia="zh-CN"/>
        </w:rPr>
        <w:t>以</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方式将履约保证金退还乙方，逾期退还的，乙方可要求甲方支付违约金，违约金按每迟延退还一日的应退还而未退还金额的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color w:val="auto"/>
          <w:highlight w:val="none"/>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5.5</w:t>
      </w:r>
      <w:r>
        <w:rPr>
          <w:rFonts w:ascii="仿宋" w:hAnsi="仿宋" w:eastAsia="仿宋"/>
          <w:color w:val="auto"/>
          <w:sz w:val="24"/>
          <w:highlight w:val="none"/>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6</w:t>
      </w:r>
      <w:r>
        <w:rPr>
          <w:rFonts w:ascii="仿宋" w:hAnsi="仿宋" w:eastAsia="仿宋"/>
          <w:color w:val="auto"/>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6</w:t>
      </w:r>
      <w:r>
        <w:rPr>
          <w:rFonts w:ascii="仿宋" w:hAnsi="仿宋" w:eastAsia="仿宋"/>
          <w:color w:val="auto"/>
          <w:sz w:val="24"/>
          <w:highlight w:val="none"/>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.履行期限、地点和方式</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 履行期限：</w:t>
      </w:r>
      <w:r>
        <w:rPr>
          <w:rFonts w:hint="eastAsia" w:ascii="宋体" w:hAnsi="宋体" w:eastAsia="宋体" w:cs="宋体"/>
          <w:color w:val="auto"/>
          <w:sz w:val="24"/>
          <w:highlight w:val="none"/>
          <w:u w:val="single" w:color="auto"/>
        </w:rPr>
        <w:t>合同期限为</w:t>
      </w:r>
      <w:r>
        <w:rPr>
          <w:rFonts w:hint="eastAsia" w:ascii="宋体" w:hAnsi="宋体" w:eastAsia="宋体" w:cs="宋体"/>
          <w:color w:val="auto"/>
          <w:sz w:val="24"/>
          <w:highlight w:val="none"/>
          <w:u w:val="single" w:color="auto"/>
          <w:lang w:val="en-US" w:eastAsia="zh-CN"/>
        </w:rPr>
        <w:t>签订合同之日起至20年</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月</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日</w:t>
      </w:r>
      <w:r>
        <w:rPr>
          <w:rFonts w:hint="eastAsia" w:ascii="宋体" w:hAnsi="宋体" w:eastAsia="宋体" w:cs="宋体"/>
          <w:color w:val="auto"/>
          <w:sz w:val="24"/>
          <w:highlight w:val="none"/>
          <w:u w:val="single" w:color="auto"/>
        </w:rPr>
        <w:t>。合同期满后，乙方根据甲方需求另行签订补充服务协议；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2 履行地点：</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3 履行方式：</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pacing w:line="360" w:lineRule="auto"/>
        <w:ind w:firstLine="482" w:firstLineChars="200"/>
        <w:outlineLvl w:val="0"/>
        <w:rPr>
          <w:rFonts w:ascii="仿宋" w:hAnsi="仿宋" w:eastAsia="仿宋"/>
          <w:b/>
          <w:color w:val="auto"/>
          <w:sz w:val="24"/>
          <w:highlight w:val="none"/>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color w:val="auto"/>
          <w:sz w:val="24"/>
          <w:highlight w:val="none"/>
        </w:rPr>
        <w:t>付款方式、时间和条件</w:t>
      </w:r>
    </w:p>
    <w:p>
      <w:pPr>
        <w:pStyle w:val="616"/>
        <w:spacing w:before="0" w:beforeAutospacing="0" w:after="0" w:afterAutospacing="0" w:line="360" w:lineRule="auto"/>
        <w:ind w:firstLine="480"/>
        <w:rPr>
          <w:rFonts w:ascii="仿宋" w:hAnsi="仿宋" w:eastAsia="仿宋" w:cs="Times New Roman"/>
          <w:color w:val="auto"/>
          <w:highlight w:val="none"/>
        </w:rPr>
      </w:pPr>
      <w:r>
        <w:rPr>
          <w:rFonts w:hint="eastAsia" w:ascii="仿宋" w:hAnsi="仿宋" w:eastAsia="仿宋" w:cs="Times New Roman"/>
          <w:color w:val="auto"/>
          <w:highlight w:val="none"/>
          <w:lang w:val="en-US" w:eastAsia="zh-CN"/>
        </w:rPr>
        <w:t>9.</w:t>
      </w:r>
      <w:r>
        <w:rPr>
          <w:rFonts w:ascii="仿宋" w:hAnsi="仿宋" w:eastAsia="仿宋" w:cs="Times New Roman"/>
          <w:color w:val="auto"/>
          <w:highlight w:val="none"/>
        </w:rPr>
        <w:t>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hint="eastAsia" w:ascii="仿宋" w:hAnsi="仿宋" w:eastAsia="仿宋" w:cs="Times New Roman"/>
          <w:color w:val="auto"/>
          <w:highlight w:val="none"/>
          <w:lang w:val="en-US" w:eastAsia="zh-CN"/>
        </w:rPr>
        <w:t>7</w:t>
      </w:r>
      <w:r>
        <w:rPr>
          <w:rFonts w:ascii="仿宋" w:hAnsi="仿宋" w:eastAsia="仿宋" w:cs="Times New Roman"/>
          <w:color w:val="auto"/>
          <w:highlight w:val="none"/>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.2甲方在政府采购合同中约定预付款，预付款比例</w:t>
      </w:r>
      <w:r>
        <w:rPr>
          <w:rFonts w:hint="eastAsia" w:ascii="仿宋" w:hAnsi="仿宋" w:eastAsia="仿宋"/>
          <w:color w:val="auto"/>
          <w:sz w:val="24"/>
          <w:highlight w:val="none"/>
        </w:rPr>
        <w:t>为</w:t>
      </w:r>
      <w:r>
        <w:rPr>
          <w:rFonts w:ascii="仿宋" w:hAnsi="仿宋" w:eastAsia="仿宋"/>
          <w:color w:val="auto"/>
          <w:sz w:val="24"/>
          <w:highlight w:val="none"/>
        </w:rPr>
        <w:t>合同金额的</w:t>
      </w:r>
      <w:r>
        <w:rPr>
          <w:rFonts w:hint="eastAsia" w:ascii="仿宋" w:hAnsi="仿宋" w:eastAsia="仿宋"/>
          <w:color w:val="auto"/>
          <w:sz w:val="24"/>
          <w:highlight w:val="none"/>
          <w:lang w:val="en-US" w:eastAsia="zh-CN"/>
        </w:rPr>
        <w:t>40</w:t>
      </w:r>
      <w:r>
        <w:rPr>
          <w:rFonts w:ascii="仿宋" w:hAnsi="仿宋" w:eastAsia="仿宋"/>
          <w:color w:val="auto"/>
          <w:sz w:val="24"/>
          <w:highlight w:val="none"/>
        </w:rPr>
        <w:t>％；项目分年安排预算的，每年预付款比例</w:t>
      </w:r>
      <w:r>
        <w:rPr>
          <w:rFonts w:hint="eastAsia" w:ascii="仿宋" w:hAnsi="仿宋" w:eastAsia="仿宋"/>
          <w:color w:val="auto"/>
          <w:sz w:val="24"/>
          <w:highlight w:val="none"/>
        </w:rPr>
        <w:t>为</w:t>
      </w:r>
      <w:r>
        <w:rPr>
          <w:rFonts w:ascii="仿宋" w:hAnsi="仿宋" w:eastAsia="仿宋"/>
          <w:color w:val="auto"/>
          <w:sz w:val="24"/>
          <w:highlight w:val="none"/>
        </w:rPr>
        <w:t>项目年度计划支付资金额的</w:t>
      </w:r>
      <w:r>
        <w:rPr>
          <w:rFonts w:hint="eastAsia" w:ascii="仿宋" w:hAnsi="仿宋" w:eastAsia="仿宋"/>
          <w:color w:val="auto"/>
          <w:sz w:val="24"/>
          <w:highlight w:val="none"/>
          <w:lang w:val="en-US" w:eastAsia="zh-CN"/>
        </w:rPr>
        <w:t>40</w:t>
      </w:r>
      <w:r>
        <w:rPr>
          <w:rFonts w:ascii="仿宋" w:hAnsi="仿宋" w:eastAsia="仿宋"/>
          <w:color w:val="auto"/>
          <w:sz w:val="24"/>
          <w:highlight w:val="none"/>
        </w:rPr>
        <w:t>％。采购项目实施以人工投入为主的，可适当降低预付款比例，但不低于</w:t>
      </w:r>
      <w:r>
        <w:rPr>
          <w:rFonts w:hint="eastAsia" w:ascii="仿宋" w:hAnsi="仿宋" w:eastAsia="仿宋"/>
          <w:color w:val="auto"/>
          <w:sz w:val="24"/>
          <w:highlight w:val="none"/>
          <w:lang w:val="en-US" w:eastAsia="zh-CN"/>
        </w:rPr>
        <w:t>20</w:t>
      </w:r>
      <w:r>
        <w:rPr>
          <w:rFonts w:ascii="仿宋" w:hAnsi="仿宋" w:eastAsia="仿宋"/>
          <w:color w:val="auto"/>
          <w:sz w:val="24"/>
          <w:highlight w:val="none"/>
        </w:rPr>
        <w:t>%。甲方可以根据项目特点、乙方信用等实际情况提高预付款比例，最高预付比例可以达到</w:t>
      </w:r>
      <w:r>
        <w:rPr>
          <w:rFonts w:hint="eastAsia" w:ascii="仿宋" w:hAnsi="仿宋" w:eastAsia="仿宋"/>
          <w:color w:val="auto"/>
          <w:sz w:val="24"/>
          <w:highlight w:val="none"/>
          <w:lang w:val="en-US" w:eastAsia="zh-CN"/>
        </w:rPr>
        <w:t>70</w:t>
      </w:r>
      <w:r>
        <w:rPr>
          <w:rFonts w:ascii="仿宋" w:hAnsi="仿宋" w:eastAsia="仿宋"/>
          <w:color w:val="auto"/>
          <w:sz w:val="24"/>
          <w:highlight w:val="none"/>
        </w:rPr>
        <w:t>%。</w:t>
      </w:r>
      <w:r>
        <w:rPr>
          <w:rFonts w:hint="eastAsia" w:ascii="仿宋" w:hAnsi="仿宋" w:eastAsia="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.4资金支付的方式、时间和条</w:t>
      </w:r>
      <w:r>
        <w:rPr>
          <w:rFonts w:hint="eastAsia" w:ascii="仿宋" w:hAnsi="仿宋" w:eastAsia="仿宋"/>
          <w:color w:val="auto"/>
          <w:sz w:val="24"/>
          <w:highlight w:val="none"/>
          <w:lang w:val="en-US" w:eastAsia="zh-CN"/>
        </w:rPr>
        <w:t>件：</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pPr>
        <w:spacing w:line="360" w:lineRule="auto"/>
        <w:ind w:firstLine="480" w:firstLineChars="200"/>
        <w:outlineLvl w:val="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en-US" w:eastAsia="zh-CN"/>
        </w:rPr>
        <w:t>13.1</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color w:val="auto"/>
          <w:highlight w:val="none"/>
        </w:rPr>
      </w:pPr>
      <w:r>
        <w:rPr>
          <w:rFonts w:hint="eastAsia" w:ascii="仿宋" w:hAnsi="仿宋" w:eastAsia="仿宋"/>
          <w:color w:val="auto"/>
          <w:sz w:val="24"/>
          <w:highlight w:val="none"/>
          <w:lang w:val="en-US" w:eastAsia="zh-CN"/>
        </w:rPr>
        <w:t>14</w:t>
      </w:r>
      <w:r>
        <w:rPr>
          <w:rFonts w:hint="eastAsia" w:ascii="仿宋" w:hAnsi="仿宋" w:eastAsia="仿宋"/>
          <w:color w:val="auto"/>
          <w:sz w:val="24"/>
          <w:highlight w:val="none"/>
        </w:rPr>
        <w:t>.7违约责任</w:t>
      </w: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另有约定的</w:t>
      </w:r>
      <w:r>
        <w:rPr>
          <w:rFonts w:hint="eastAsia" w:ascii="仿宋" w:hAnsi="仿宋" w:eastAsia="仿宋"/>
          <w:color w:val="auto"/>
          <w:sz w:val="24"/>
          <w:highlight w:val="none"/>
          <w:lang w:eastAsia="zh-CN"/>
        </w:rPr>
        <w:t>：</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从其约定。</w:t>
      </w:r>
    </w:p>
    <w:p>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15.</w:t>
      </w:r>
      <w:r>
        <w:rPr>
          <w:rFonts w:hint="eastAsia" w:ascii="仿宋" w:hAnsi="仿宋" w:eastAsia="仿宋" w:cs="仿宋"/>
          <w:b/>
          <w:bCs/>
          <w:color w:val="auto"/>
          <w:sz w:val="24"/>
          <w:highlight w:val="none"/>
        </w:rPr>
        <w:t>不可抗力事件处理</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15.1</w:t>
      </w:r>
      <w:r>
        <w:rPr>
          <w:rFonts w:hint="eastAsia" w:ascii="仿宋" w:hAnsi="仿宋" w:eastAsia="仿宋" w:cs="仿宋"/>
          <w:color w:val="auto"/>
          <w:sz w:val="24"/>
          <w:highlight w:val="none"/>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15.2</w:t>
      </w:r>
      <w:r>
        <w:rPr>
          <w:rFonts w:hint="eastAsia" w:ascii="仿宋" w:hAnsi="仿宋" w:eastAsia="仿宋" w:cs="仿宋"/>
          <w:color w:val="auto"/>
          <w:sz w:val="24"/>
          <w:highlight w:val="none"/>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15.3</w:t>
      </w:r>
      <w:r>
        <w:rPr>
          <w:rFonts w:hint="eastAsia" w:ascii="仿宋" w:hAnsi="仿宋" w:eastAsia="仿宋" w:cs="仿宋"/>
          <w:color w:val="auto"/>
          <w:sz w:val="24"/>
          <w:highlight w:val="none"/>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16.</w:t>
      </w:r>
      <w:r>
        <w:rPr>
          <w:rFonts w:hint="eastAsia" w:ascii="仿宋" w:hAnsi="仿宋" w:eastAsia="仿宋" w:cs="仿宋"/>
          <w:b/>
          <w:bCs/>
          <w:color w:val="auto"/>
          <w:sz w:val="24"/>
          <w:highlight w:val="none"/>
        </w:rPr>
        <w:t>诉讼</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17.</w:t>
      </w:r>
      <w:r>
        <w:rPr>
          <w:rFonts w:hint="eastAsia" w:ascii="仿宋" w:hAnsi="仿宋" w:eastAsia="仿宋" w:cs="仿宋"/>
          <w:b/>
          <w:bCs/>
          <w:color w:val="auto"/>
          <w:sz w:val="24"/>
          <w:highlight w:val="none"/>
        </w:rPr>
        <w:t>合同生效及其它</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17.1</w:t>
      </w:r>
      <w:r>
        <w:rPr>
          <w:rFonts w:hint="eastAsia" w:ascii="仿宋" w:hAnsi="仿宋" w:eastAsia="仿宋" w:cs="仿宋"/>
          <w:color w:val="auto"/>
          <w:sz w:val="24"/>
          <w:highlight w:val="none"/>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17.2</w:t>
      </w:r>
      <w:r>
        <w:rPr>
          <w:rFonts w:hint="eastAsia" w:ascii="仿宋" w:hAnsi="仿宋" w:eastAsia="仿宋" w:cs="仿宋"/>
          <w:color w:val="auto"/>
          <w:sz w:val="24"/>
          <w:highlight w:val="none"/>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17.3</w:t>
      </w:r>
      <w:r>
        <w:rPr>
          <w:rFonts w:hint="eastAsia" w:ascii="仿宋" w:hAnsi="仿宋" w:eastAsia="仿宋" w:cs="仿宋"/>
          <w:color w:val="auto"/>
          <w:sz w:val="24"/>
          <w:highlight w:val="none"/>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7.4</w:t>
      </w:r>
      <w:r>
        <w:rPr>
          <w:rFonts w:hint="eastAsia" w:ascii="仿宋" w:hAnsi="仿宋" w:eastAsia="仿宋" w:cs="仿宋"/>
          <w:b/>
          <w:bCs/>
          <w:color w:val="auto"/>
          <w:sz w:val="24"/>
          <w:highlight w:val="none"/>
          <w:lang w:val="zh-CN"/>
        </w:rPr>
        <w:t>本合同</w:t>
      </w:r>
      <w:r>
        <w:rPr>
          <w:rFonts w:hint="eastAsia" w:ascii="仿宋" w:hAnsi="仿宋" w:eastAsia="仿宋" w:cs="仿宋"/>
          <w:b/>
          <w:bCs/>
          <w:color w:val="auto"/>
          <w:sz w:val="24"/>
          <w:highlight w:val="none"/>
        </w:rPr>
        <w:t>（□是  □</w:t>
      </w:r>
      <w:r>
        <w:rPr>
          <w:rFonts w:hint="eastAsia" w:ascii="仿宋" w:hAnsi="仿宋" w:eastAsia="仿宋" w:cs="仿宋"/>
          <w:b/>
          <w:bCs/>
          <w:color w:val="auto"/>
          <w:sz w:val="24"/>
          <w:highlight w:val="none"/>
          <w:lang w:val="zh-CN"/>
        </w:rPr>
        <w:t>否</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为可融资合同</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关于中小企业信用融资事项</w:t>
      </w:r>
      <w:r>
        <w:rPr>
          <w:rFonts w:hint="eastAsia" w:ascii="仿宋" w:hAnsi="仿宋" w:eastAsia="仿宋" w:cs="仿宋"/>
          <w:b/>
          <w:bCs/>
          <w:color w:val="auto"/>
          <w:sz w:val="24"/>
          <w:highlight w:val="none"/>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17.5</w:t>
      </w:r>
      <w:r>
        <w:rPr>
          <w:rFonts w:hint="eastAsia" w:ascii="仿宋" w:hAnsi="仿宋" w:eastAsia="仿宋" w:cs="仿宋"/>
          <w:color w:val="auto"/>
          <w:sz w:val="24"/>
          <w:highlight w:val="none"/>
        </w:rPr>
        <w:t>本合同未尽事宜，遵照《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》有关条文执行。</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17.6</w:t>
      </w:r>
      <w:r>
        <w:rPr>
          <w:rFonts w:hint="eastAsia" w:ascii="仿宋" w:hAnsi="仿宋" w:eastAsia="仿宋" w:cs="仿宋"/>
          <w:color w:val="auto"/>
          <w:sz w:val="24"/>
          <w:highlight w:val="none"/>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adjustRightInd w:val="0"/>
        <w:snapToGrid/>
        <w:spacing w:line="360" w:lineRule="auto"/>
        <w:ind w:left="0" w:leftChars="0" w:right="0" w:firstLine="0" w:firstLineChars="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签约时间：      年    月   日</w:t>
      </w:r>
    </w:p>
    <w:p>
      <w:pPr>
        <w:wordWrap/>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签约地点： </w:t>
      </w:r>
    </w:p>
    <w:p>
      <w:pPr>
        <w:wordWrap/>
        <w:spacing w:line="360" w:lineRule="auto"/>
        <w:jc w:val="both"/>
        <w:rPr>
          <w:rFonts w:hint="eastAsia" w:ascii="仿宋" w:hAnsi="仿宋" w:eastAsia="仿宋" w:cs="仿宋"/>
          <w:color w:val="auto"/>
          <w:sz w:val="24"/>
          <w:highlight w:val="none"/>
        </w:rPr>
      </w:pPr>
    </w:p>
    <w:p>
      <w:pPr>
        <w:wordWrap/>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bCs/>
          <w:color w:val="auto"/>
          <w:sz w:val="24"/>
          <w:highlight w:val="none"/>
        </w:rPr>
      </w:pPr>
      <w:bookmarkStart w:id="400" w:name="_Toc328381300"/>
      <w:bookmarkStart w:id="401" w:name="_Toc868"/>
      <w:bookmarkStart w:id="402" w:name="_Toc326765771"/>
      <w:bookmarkStart w:id="403" w:name="_Toc349721554"/>
      <w:bookmarkStart w:id="404" w:name="_Toc350327365"/>
      <w:bookmarkStart w:id="405" w:name="_Toc339872468"/>
      <w:r>
        <w:rPr>
          <w:rFonts w:hint="eastAsia" w:ascii="仿宋" w:hAnsi="仿宋" w:eastAsia="仿宋" w:cs="仿宋"/>
          <w:b/>
          <w:bCs/>
          <w:color w:val="auto"/>
          <w:sz w:val="24"/>
          <w:highlight w:val="none"/>
        </w:rPr>
        <w:t xml:space="preserve"> 此仅为合同书样本，中标单位需根据实际情况和采购人签订相应的合同！</w:t>
      </w:r>
      <w:bookmarkEnd w:id="400"/>
      <w:bookmarkEnd w:id="401"/>
      <w:bookmarkEnd w:id="402"/>
      <w:bookmarkEnd w:id="403"/>
      <w:bookmarkEnd w:id="404"/>
      <w:bookmarkEnd w:id="405"/>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pStyle w:val="2"/>
        <w:rPr>
          <w:rFonts w:hint="eastAsia" w:ascii="宋体" w:hAnsi="宋体" w:eastAsia="宋体" w:cs="宋体"/>
          <w:color w:val="auto"/>
          <w:highlight w:val="none"/>
          <w:lang w:val="en-US"/>
        </w:rPr>
      </w:pPr>
    </w:p>
    <w:p>
      <w:pPr>
        <w:spacing w:line="360" w:lineRule="auto"/>
        <w:ind w:left="720" w:firstLine="723" w:firstLineChars="200"/>
        <w:outlineLvl w:val="0"/>
        <w:rPr>
          <w:rFonts w:hint="eastAsia" w:ascii="宋体" w:hAnsi="宋体" w:eastAsia="宋体" w:cs="宋体"/>
          <w:b/>
          <w:color w:val="auto"/>
          <w:sz w:val="36"/>
          <w:szCs w:val="20"/>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8"/>
      <w:bookmarkEnd w:id="399"/>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（4）联合协议（单独投标无需提供）……………………………………（页码）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Times New Roman"/>
          <w:color w:val="auto"/>
          <w:sz w:val="24"/>
          <w:highlight w:val="none"/>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二</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投标人（或联合体牵头人）名称 (电子签名)：</w:t>
      </w:r>
    </w:p>
    <w:p>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spacing w:line="360" w:lineRule="auto"/>
        <w:jc w:val="center"/>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bCs/>
          <w:color w:val="auto"/>
          <w:sz w:val="32"/>
          <w:szCs w:val="32"/>
          <w:highlight w:val="none"/>
          <w:lang w:val="zh-CN"/>
        </w:rPr>
      </w:pPr>
    </w:p>
    <w:p>
      <w:pPr>
        <w:jc w:val="center"/>
        <w:rPr>
          <w:rFonts w:hint="eastAsia" w:ascii="宋体" w:hAnsi="宋体" w:eastAsia="宋体" w:cs="宋体"/>
          <w:b/>
          <w:bCs/>
          <w:color w:val="auto"/>
          <w:sz w:val="32"/>
          <w:szCs w:val="32"/>
          <w:highlight w:val="none"/>
          <w:lang w:val="zh-CN"/>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napToGrid w:val="0"/>
        <w:spacing w:line="360" w:lineRule="auto"/>
        <w:ind w:left="479" w:leftChars="228"/>
        <w:rPr>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7</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投标标的清单</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8</w:t>
      </w:r>
      <w:r>
        <w:rPr>
          <w:rFonts w:ascii="仿宋_GB2312" w:hAnsi="仿宋" w:eastAsia="仿宋_GB2312" w:cs="仿宋_GB2312"/>
          <w:color w:val="auto"/>
          <w:sz w:val="24"/>
          <w:highlight w:val="none"/>
        </w:rPr>
        <w:t>）商务技术偏离表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9</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both"/>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lang w:val="zh-CN" w:eastAsia="zh-CN"/>
        </w:rPr>
        <w:t>（</w:t>
      </w:r>
      <w:r>
        <w:rPr>
          <w:rFonts w:hint="eastAsia" w:ascii="仿宋_GB2312" w:hAnsi="仿宋" w:eastAsia="仿宋_GB2312" w:cs="仿宋_GB2312"/>
          <w:color w:val="auto"/>
          <w:sz w:val="24"/>
          <w:highlight w:val="none"/>
          <w:lang w:val="en-US" w:eastAsia="zh-CN"/>
        </w:rPr>
        <w:t>10</w:t>
      </w:r>
      <w:r>
        <w:rPr>
          <w:rFonts w:hint="eastAsia" w:ascii="仿宋_GB2312" w:hAnsi="仿宋" w:eastAsia="仿宋_GB2312" w:cs="仿宋_GB2312"/>
          <w:color w:val="auto"/>
          <w:sz w:val="24"/>
          <w:highlight w:val="none"/>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color w:val="auto"/>
          <w:highlight w:val="none"/>
        </w:rPr>
        <w:t>…………………………………</w:t>
      </w:r>
      <w:r>
        <w:rPr>
          <w:rFonts w:hint="eastAsia" w:cs="仿宋_GB2312"/>
          <w:color w:val="auto"/>
          <w:highlight w:val="none"/>
          <w:lang w:val="en-US" w:eastAsia="zh-CN"/>
        </w:rPr>
        <w:t xml:space="preserve"> </w:t>
      </w:r>
      <w:r>
        <w:rPr>
          <w:rFonts w:hint="eastAsia" w:cs="仿宋_GB2312"/>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pStyle w:val="2"/>
        <w:rPr>
          <w:color w:val="auto"/>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8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6"/>
              <w:adjustRightInd w:val="0"/>
              <w:spacing w:before="0" w:beforeAutospacing="0" w:after="0" w:afterAutospacing="0" w:line="360" w:lineRule="auto"/>
              <w:ind w:left="0" w:right="0"/>
              <w:rPr>
                <w:rFonts w:hint="eastAsia" w:ascii="仿宋_GB2312" w:hAnsi="仿宋" w:eastAsia="仿宋_GB2312" w:cs="Times New Roman"/>
                <w:bCs/>
                <w:color w:val="auto"/>
                <w:sz w:val="24"/>
                <w:szCs w:val="20"/>
                <w:highlight w:val="none"/>
              </w:rPr>
            </w:pPr>
            <w:r>
              <w:rPr>
                <w:rFonts w:hint="eastAsia" w:ascii="仿宋_GB2312" w:hAnsi="仿宋" w:eastAsia="仿宋_GB2312" w:cs="Times New Roman"/>
                <w:bCs/>
                <w:color w:val="auto"/>
                <w:sz w:val="24"/>
                <w:szCs w:val="20"/>
                <w:highlight w:val="none"/>
              </w:rPr>
              <w:t>正面：                                 反面：</w:t>
            </w:r>
          </w:p>
          <w:p>
            <w:pPr>
              <w:pStyle w:val="86"/>
              <w:adjustRightInd w:val="0"/>
              <w:spacing w:before="0" w:beforeAutospacing="0" w:after="0" w:afterAutospacing="0" w:line="360" w:lineRule="auto"/>
              <w:ind w:left="0" w:right="0"/>
              <w:rPr>
                <w:rFonts w:hint="eastAsia" w:ascii="仿宋_GB2312" w:hAnsi="仿宋" w:eastAsia="仿宋_GB2312" w:cs="Times New Roman"/>
                <w:bCs/>
                <w:color w:val="auto"/>
                <w:sz w:val="24"/>
                <w:szCs w:val="20"/>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hint="eastAsia"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投标文件中的</w:t>
            </w:r>
          </w:p>
          <w:p>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_GB2312"/>
                <w:color w:val="auto"/>
                <w:sz w:val="24"/>
                <w:szCs w:val="20"/>
                <w:highlight w:val="none"/>
              </w:rPr>
            </w:pPr>
          </w:p>
          <w:p>
            <w:pPr>
              <w:spacing w:before="0" w:beforeAutospacing="0" w:after="0" w:afterAutospacing="0"/>
              <w:ind w:left="0" w:right="0"/>
              <w:rPr>
                <w:rFonts w:hint="eastAsia"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见投标文件</w:t>
            </w:r>
          </w:p>
          <w:p>
            <w:pP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仿宋" w:hAnsi="Times New Roman" w:eastAsia="仿宋" w:cs="仿宋_GB2312"/>
                <w:color w:val="auto"/>
                <w:sz w:val="24"/>
                <w:szCs w:val="20"/>
                <w:highlight w:val="none"/>
              </w:rPr>
              <w:t>第</w:t>
            </w:r>
            <w:r>
              <w:rPr>
                <w:rFonts w:hint="eastAsia" w:ascii="仿宋" w:hAnsi="Times New Roman" w:eastAsia="仿宋" w:cs="仿宋_GB2312"/>
                <w:color w:val="auto"/>
                <w:sz w:val="24"/>
                <w:szCs w:val="20"/>
                <w:highlight w:val="none"/>
                <w:u w:val="single"/>
              </w:rPr>
              <w:t xml:space="preserve">  </w:t>
            </w:r>
            <w:r>
              <w:rPr>
                <w:rFonts w:hint="eastAsia" w:ascii="仿宋" w:hAnsi="Times New Roman" w:eastAsia="仿宋" w:cs="仿宋_GB2312"/>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2</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_GB2312" w:hAnsi="仿宋" w:eastAsia="仿宋_GB2312" w:cs="仿宋_GB2312"/>
                <w:color w:val="auto"/>
                <w:sz w:val="24"/>
                <w:szCs w:val="20"/>
                <w:highlight w:val="none"/>
              </w:rPr>
              <w:t>节能产品认证证书（本项目</w:t>
            </w:r>
            <w:r>
              <w:rPr>
                <w:rFonts w:hint="eastAsia" w:ascii="仿宋_GB2312" w:hAnsi="仿宋" w:eastAsia="仿宋_GB2312" w:cs="Times New Roman"/>
                <w:color w:val="auto"/>
                <w:sz w:val="24"/>
                <w:szCs w:val="20"/>
                <w:highlight w:val="none"/>
              </w:rPr>
              <w:t>拟采购的产品不属于政府强制采购的节能产品品目清单范围的</w:t>
            </w:r>
            <w:r>
              <w:rPr>
                <w:rFonts w:hint="eastAsia" w:ascii="仿宋_GB2312" w:hAnsi="仿宋" w:eastAsia="仿宋_GB2312" w:cs="仿宋_GB2312"/>
                <w:color w:val="auto"/>
                <w:sz w:val="24"/>
                <w:szCs w:val="20"/>
                <w:highlight w:val="none"/>
              </w:rPr>
              <w:t>，无需提供）</w:t>
            </w:r>
          </w:p>
        </w:tc>
        <w:tc>
          <w:tcPr>
            <w:tcW w:w="1418" w:type="dxa"/>
            <w:vAlign w:val="top"/>
          </w:tcPr>
          <w:p>
            <w:pPr>
              <w:spacing w:before="0" w:beforeAutospacing="0" w:after="0" w:afterAutospacing="0"/>
              <w:ind w:left="0" w:right="0"/>
              <w:rPr>
                <w:rFonts w:hint="eastAsia" w:ascii="仿宋" w:hAnsi="仿宋" w:eastAsia="仿宋" w:cs="仿宋_GB2312"/>
                <w:color w:val="auto"/>
                <w:sz w:val="24"/>
                <w:szCs w:val="20"/>
                <w:highlight w:val="none"/>
              </w:rPr>
            </w:pPr>
          </w:p>
          <w:p>
            <w:pPr>
              <w:spacing w:before="0" w:beforeAutospacing="0" w:after="0" w:afterAutospacing="0"/>
              <w:ind w:left="0" w:right="0"/>
              <w:rPr>
                <w:rFonts w:hint="eastAsia" w:ascii="仿宋" w:hAnsi="仿宋" w:eastAsia="仿宋" w:cs="仿宋_GB2312"/>
                <w:color w:val="auto"/>
                <w:sz w:val="24"/>
                <w:szCs w:val="20"/>
                <w:highlight w:val="none"/>
              </w:rPr>
            </w:pPr>
          </w:p>
          <w:p>
            <w:pPr>
              <w:spacing w:before="0" w:beforeAutospacing="0" w:after="0" w:afterAutospacing="0"/>
              <w:ind w:left="0" w:right="0"/>
              <w:rPr>
                <w:rFonts w:hint="eastAsia"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见投标文件</w:t>
            </w:r>
          </w:p>
          <w:p>
            <w:pPr>
              <w:pStyle w:val="2"/>
              <w:spacing w:before="0" w:beforeAutospacing="0" w:after="0" w:afterAutospacing="0"/>
              <w:ind w:right="0"/>
              <w:rPr>
                <w:rFonts w:hint="eastAsia" w:ascii="Times New Roman" w:hAnsi="Times New Roman" w:cs="Times New Roman"/>
                <w:color w:val="auto"/>
                <w:sz w:val="20"/>
                <w:szCs w:val="20"/>
                <w:highlight w:val="none"/>
                <w:lang w:val="en-US"/>
              </w:rPr>
            </w:pPr>
            <w:r>
              <w:rPr>
                <w:rFonts w:hint="eastAsia" w:ascii="仿宋" w:hAnsi="Times New Roman" w:eastAsia="仿宋" w:cs="仿宋_GB2312"/>
                <w:b w:val="0"/>
                <w:bCs w:val="0"/>
                <w:color w:val="auto"/>
                <w:sz w:val="24"/>
                <w:szCs w:val="24"/>
                <w:highlight w:val="none"/>
                <w:lang w:val="en-US"/>
              </w:rPr>
              <w:t>第</w:t>
            </w:r>
            <w:r>
              <w:rPr>
                <w:rFonts w:hint="eastAsia" w:ascii="仿宋" w:hAnsi="Times New Roman" w:eastAsia="仿宋" w:cs="仿宋_GB2312"/>
                <w:b w:val="0"/>
                <w:bCs w:val="0"/>
                <w:color w:val="auto"/>
                <w:sz w:val="24"/>
                <w:szCs w:val="24"/>
                <w:highlight w:val="none"/>
                <w:u w:val="single"/>
                <w:lang w:val="en-US"/>
              </w:rPr>
              <w:t xml:space="preserve">  </w:t>
            </w:r>
            <w:r>
              <w:rPr>
                <w:rFonts w:hint="eastAsia" w:ascii="仿宋" w:hAnsi="Times New Roman"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3</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color w:val="auto"/>
                <w:sz w:val="24"/>
                <w:szCs w:val="20"/>
                <w:highlight w:val="none"/>
              </w:rPr>
            </w:pPr>
            <w:r>
              <w:rPr>
                <w:rFonts w:hint="eastAsia" w:ascii="仿宋_GB2312" w:hAnsi="仿宋" w:eastAsia="仿宋_GB2312" w:cs="Times New Roman"/>
                <w:color w:val="auto"/>
                <w:sz w:val="24"/>
                <w:szCs w:val="20"/>
                <w:highlight w:val="none"/>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投标函</w:t>
            </w:r>
          </w:p>
        </w:tc>
        <w:tc>
          <w:tcPr>
            <w:tcW w:w="1418" w:type="dxa"/>
            <w:vAlign w:val="top"/>
          </w:tcPr>
          <w:p>
            <w:pP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仿宋" w:hAnsi="仿宋" w:eastAsia="仿宋" w:cs="仿宋_GB2312"/>
                <w:color w:val="auto"/>
                <w:sz w:val="24"/>
                <w:szCs w:val="20"/>
                <w:highlight w:val="none"/>
              </w:rPr>
              <w:t>见投标文件第</w:t>
            </w:r>
            <w:r>
              <w:rPr>
                <w:rFonts w:hint="eastAsia" w:ascii="仿宋" w:hAnsi="仿宋" w:eastAsia="仿宋" w:cs="仿宋_GB2312"/>
                <w:color w:val="auto"/>
                <w:sz w:val="24"/>
                <w:szCs w:val="20"/>
                <w:highlight w:val="none"/>
                <w:u w:val="single"/>
              </w:rPr>
              <w:t xml:space="preserve">  </w:t>
            </w:r>
            <w:r>
              <w:rPr>
                <w:rFonts w:hint="eastAsia" w:ascii="仿宋" w:hAnsi="仿宋" w:eastAsia="仿宋" w:cs="仿宋_GB2312"/>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4</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_GB2312" w:hAnsi="仿宋" w:eastAsia="仿宋_GB2312" w:cs="仿宋_GB2312"/>
                <w:color w:val="auto"/>
                <w:kern w:val="0"/>
                <w:sz w:val="24"/>
                <w:szCs w:val="20"/>
                <w:highlight w:val="none"/>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仿宋" w:hAnsi="仿宋" w:eastAsia="仿宋" w:cs="仿宋_GB2312"/>
                <w:color w:val="auto"/>
                <w:sz w:val="24"/>
                <w:szCs w:val="20"/>
                <w:highlight w:val="none"/>
              </w:rPr>
              <w:t>见投标文件第</w:t>
            </w:r>
            <w:r>
              <w:rPr>
                <w:rFonts w:hint="eastAsia" w:ascii="仿宋" w:hAnsi="仿宋" w:eastAsia="仿宋" w:cs="仿宋_GB2312"/>
                <w:color w:val="auto"/>
                <w:sz w:val="24"/>
                <w:szCs w:val="20"/>
                <w:highlight w:val="none"/>
                <w:u w:val="single"/>
              </w:rPr>
              <w:t xml:space="preserve">  </w:t>
            </w:r>
            <w:r>
              <w:rPr>
                <w:rFonts w:hint="eastAsia" w:ascii="仿宋" w:hAnsi="仿宋" w:eastAsia="仿宋" w:cs="仿宋_GB2312"/>
                <w:color w:val="auto"/>
                <w:sz w:val="24"/>
                <w:szCs w:val="20"/>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2"/>
        <w:rPr>
          <w:color w:val="auto"/>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pPr>
        <w:pStyle w:val="2"/>
        <w:rPr>
          <w:rFonts w:hint="eastAsia"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p>
    <w:p>
      <w:pPr>
        <w:pStyle w:val="2"/>
        <w:rPr>
          <w:rFonts w:hint="eastAsia" w:ascii="仿宋_GB2312" w:hAnsi="仿宋" w:eastAsia="仿宋_GB2312" w:cs="仿宋_GB2312"/>
          <w:b/>
          <w:color w:val="auto"/>
          <w:kern w:val="0"/>
          <w:sz w:val="32"/>
          <w:szCs w:val="32"/>
          <w:highlight w:val="none"/>
        </w:rPr>
      </w:pPr>
    </w:p>
    <w:p>
      <w:pPr>
        <w:rPr>
          <w:rFonts w:hint="eastAsia"/>
          <w:color w:val="auto"/>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t>八</w:t>
      </w:r>
      <w:r>
        <w:rPr>
          <w:rFonts w:hint="eastAsia" w:ascii="仿宋_GB2312" w:hAnsi="仿宋" w:eastAsia="仿宋_GB2312" w:cs="仿宋_GB2312"/>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top"/>
          </w:tcPr>
          <w:p>
            <w:pPr>
              <w:spacing w:before="0" w:beforeAutospacing="0" w:after="0" w:afterAutospacing="0"/>
              <w:ind w:left="0" w:right="0"/>
              <w:jc w:val="center"/>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top"/>
          </w:tcPr>
          <w:p>
            <w:pPr>
              <w:spacing w:before="0" w:beforeAutospacing="0" w:after="0" w:afterAutospacing="0"/>
              <w:ind w:left="0" w:right="0"/>
              <w:jc w:val="center"/>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top"/>
          </w:tcPr>
          <w:p>
            <w:pPr>
              <w:spacing w:before="0" w:beforeAutospacing="0" w:after="0" w:afterAutospacing="0"/>
              <w:ind w:left="0" w:right="0"/>
              <w:jc w:val="center"/>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w:t>
            </w:r>
          </w:p>
        </w:tc>
        <w:tc>
          <w:tcPr>
            <w:tcW w:w="3683"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w:t>
            </w:r>
          </w:p>
        </w:tc>
        <w:tc>
          <w:tcPr>
            <w:tcW w:w="3683"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t>九</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both"/>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lang w:eastAsia="zh-CN"/>
        </w:rPr>
        <w:t>）</w:t>
      </w:r>
      <w:r>
        <w:rPr>
          <w:rFonts w:hint="default" w:ascii="仿宋_GB2312" w:hAnsi="仿宋" w:eastAsia="仿宋_GB2312" w:cs="仿宋_GB2312"/>
          <w:color w:val="auto"/>
          <w:sz w:val="24"/>
          <w:highlight w:val="none"/>
        </w:rPr>
        <w:t>投标人针对报价需要说明的其他文件和说明</w:t>
      </w:r>
      <w:r>
        <w:rPr>
          <w:rFonts w:hint="default" w:ascii="仿宋_GB2312" w:hAnsi="仿宋" w:eastAsia="仿宋_GB2312" w:cs="仿宋_GB2312"/>
          <w:color w:val="auto"/>
          <w:sz w:val="24"/>
          <w:highlight w:val="none"/>
          <w:lang w:eastAsia="zh-CN"/>
        </w:rPr>
        <w:t>（如有）</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375"/>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en-US" w:eastAsia="zh-CN"/>
        </w:rPr>
        <w:t>项目编号</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序号</w:t>
            </w:r>
          </w:p>
        </w:tc>
        <w:tc>
          <w:tcPr>
            <w:tcW w:w="992"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名称</w:t>
            </w:r>
          </w:p>
        </w:tc>
        <w:tc>
          <w:tcPr>
            <w:tcW w:w="2268" w:type="dxa"/>
            <w:vAlign w:val="top"/>
          </w:tcPr>
          <w:p>
            <w:pPr>
              <w:spacing w:before="0" w:beforeAutospacing="0" w:after="0" w:afterAutospacing="0" w:line="360" w:lineRule="auto"/>
              <w:ind w:left="0" w:right="0"/>
              <w:jc w:val="center"/>
              <w:rPr>
                <w:rFonts w:hint="eastAsia" w:ascii="宋体" w:hAnsi="宋体" w:cs="宋体"/>
                <w:b/>
                <w:sz w:val="24"/>
                <w:szCs w:val="20"/>
                <w:highlight w:val="green"/>
              </w:rPr>
            </w:pPr>
          </w:p>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服务范围</w:t>
            </w:r>
          </w:p>
        </w:tc>
        <w:tc>
          <w:tcPr>
            <w:tcW w:w="2410"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服务要求</w:t>
            </w:r>
          </w:p>
        </w:tc>
        <w:tc>
          <w:tcPr>
            <w:tcW w:w="2268"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服务时间</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服务标准</w:t>
            </w:r>
          </w:p>
        </w:tc>
        <w:tc>
          <w:tcPr>
            <w:tcW w:w="2127" w:type="dxa"/>
            <w:vAlign w:val="top"/>
          </w:tcPr>
          <w:p>
            <w:pPr>
              <w:spacing w:before="0" w:beforeAutospacing="0" w:after="0" w:afterAutospacing="0" w:line="360" w:lineRule="auto"/>
              <w:ind w:left="0" w:right="0"/>
              <w:jc w:val="center"/>
              <w:rPr>
                <w:rFonts w:hint="eastAsia" w:ascii="宋体" w:hAnsi="宋体" w:cs="宋体"/>
                <w:b/>
                <w:sz w:val="24"/>
                <w:szCs w:val="20"/>
                <w:highlight w:val="green"/>
              </w:rPr>
            </w:pPr>
          </w:p>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服务人数（如果有）</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p>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备注（如果有）</w:t>
            </w:r>
          </w:p>
          <w:p>
            <w:pPr>
              <w:spacing w:before="0" w:beforeAutospacing="0" w:after="0" w:afterAutospacing="0" w:line="360" w:lineRule="auto"/>
              <w:ind w:left="0" w:right="0"/>
              <w:jc w:val="center"/>
              <w:rPr>
                <w:rFonts w:hint="eastAsia" w:ascii="宋体" w:hAnsi="宋体" w:cs="宋体"/>
                <w:b/>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投标报价（小写）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投标报价（大写）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r>
    </w:tbl>
    <w:p>
      <w:pPr>
        <w:pStyle w:val="2"/>
        <w:rPr>
          <w:rFonts w:hint="eastAsia"/>
          <w:color w:val="auto"/>
          <w:highlight w:val="none"/>
          <w:lang w:val="zh-CN"/>
        </w:rPr>
      </w:pPr>
    </w:p>
    <w:p>
      <w:pPr>
        <w:snapToGrid w:val="0"/>
        <w:spacing w:line="360" w:lineRule="auto"/>
        <w:ind w:left="480"/>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firstLine="480" w:firstLineChars="200"/>
        <w:rPr>
          <w:color w:val="auto"/>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pStyle w:val="2"/>
        <w:rPr>
          <w:rFonts w:hint="eastAsia" w:cs="仿宋_GB2312"/>
          <w:color w:val="auto"/>
          <w:kern w:val="0"/>
          <w:sz w:val="24"/>
          <w:highlight w:val="none"/>
          <w:lang w:val="en-US" w:eastAsia="zh-CN"/>
        </w:rPr>
      </w:pPr>
      <w:r>
        <w:rPr>
          <w:rFonts w:hint="eastAsia" w:cs="仿宋_GB2312"/>
          <w:color w:val="auto"/>
          <w:kern w:val="0"/>
          <w:sz w:val="24"/>
          <w:highlight w:val="none"/>
          <w:lang w:val="en-US" w:eastAsia="zh-CN"/>
        </w:rPr>
        <w:t xml:space="preserve">    </w:t>
      </w:r>
    </w:p>
    <w:p>
      <w:pPr>
        <w:snapToGrid/>
        <w:spacing w:line="240" w:lineRule="auto"/>
        <w:ind w:firstLine="0" w:firstLineChars="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4</w:t>
      </w:r>
      <w:r>
        <w:rPr>
          <w:rFonts w:hint="eastAsia" w:ascii="宋体" w:hAnsi="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pPr>
        <w:pStyle w:val="2"/>
        <w:rPr>
          <w:rFonts w:hint="eastAsia"/>
          <w:color w:val="auto"/>
          <w:highlight w:val="none"/>
          <w:lang w:val="en-US" w:eastAsia="zh-CN"/>
        </w:rPr>
      </w:pPr>
    </w:p>
    <w:p>
      <w:pPr>
        <w:rPr>
          <w:rFonts w:ascii="仿宋_GB2312" w:hAnsi="仿宋" w:eastAsia="仿宋_GB2312" w:cs="仿宋_GB2312"/>
          <w:color w:val="auto"/>
          <w:kern w:val="0"/>
          <w:sz w:val="24"/>
          <w:highlight w:val="none"/>
          <w:lang w:val="zh-CN"/>
        </w:rPr>
      </w:pPr>
    </w:p>
    <w:p>
      <w:pPr>
        <w:pStyle w:val="2"/>
        <w:rPr>
          <w:color w:val="auto"/>
          <w:highlight w:val="none"/>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tabs>
          <w:tab w:val="left" w:pos="8085"/>
        </w:tabs>
        <w:spacing w:line="360" w:lineRule="auto"/>
        <w:ind w:firstLine="1285" w:firstLineChars="400"/>
        <w:jc w:val="left"/>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2"/>
        <w:numPr>
          <w:ilvl w:val="0"/>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2"/>
        <w:numPr>
          <w:ilvl w:val="0"/>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3"/>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r>
        <w:rPr>
          <w:rFonts w:hint="eastAsia" w:ascii="仿宋_GB2312" w:hAnsi="仿宋" w:eastAsia="仿宋_GB2312"/>
          <w:color w:val="auto"/>
          <w:highlight w:val="none"/>
        </w:rPr>
        <w:t>附件</w:t>
      </w:r>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残疾人福利性单位声明函</w:t>
      </w:r>
    </w:p>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rPr>
          <w:color w:val="auto"/>
          <w:highlight w:val="none"/>
        </w:rPr>
      </w:pPr>
      <w:r>
        <w:rPr>
          <w:color w:val="auto"/>
          <w:highlight w:val="none"/>
        </w:rPr>
        <w:br w:type="page"/>
      </w:r>
    </w:p>
    <w:p>
      <w:pPr>
        <w:pStyle w:val="2"/>
        <w:rPr>
          <w:color w:val="auto"/>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4wdgAAAAKAQAADwAAAAAAAAABACAAAAAiAAAAZHJzL2Rvd25yZXYu&#10;eG1sUEsBAhQAFAAAAAgAh07iQEP2I6b7AQAAHwQAAA4AAAAAAAAAAQAgAAAAJwEAAGRycy9lMm9E&#10;b2MueG1sUEsFBgAAAAAGAAYAWQEAAJQ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3TsFjYAAAACgEAAA8AAAAAAAAAAQAgAAAAIgAAAGRycy9kb3ducmV2&#10;LnhtbFBLAQIUABQAAAAIAIdO4kBNZTxq/AEAAB8EAAAOAAAAAAAAAAEAIAAAACcBAABkcnMvZTJv&#10;RG9jLnhtbFBLBQYAAAAABgAGAFkBAACVBQ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color w:val="auto"/>
          <w:highlight w:val="none"/>
          <w:lang w:val="en-US"/>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p>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406" w:name="_Toc131845147"/>
    <w:bookmarkStart w:id="407" w:name="_Toc164085800"/>
    <w:bookmarkStart w:id="408" w:name="_Toc91899912"/>
    <w:bookmarkStart w:id="409" w:name="_Toc36110187"/>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both"/>
      <w:rPr>
        <w:rFonts w:ascii="仿宋_GB2312" w:eastAsia="仿宋_GB2312"/>
        <w:b w:val="0"/>
        <w:i/>
        <w:sz w:val="18"/>
        <w:u w:val="single"/>
      </w:rPr>
    </w:pPr>
    <w:r>
      <w:drawing>
        <wp:inline distT="0" distB="0" distL="114300" distR="114300">
          <wp:extent cx="661670" cy="501015"/>
          <wp:effectExtent l="0" t="0" r="5080"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lang w:val="en-US" w:eastAsia="zh-CN"/>
      </w:rPr>
      <w:t xml:space="preserve">      </w:t>
    </w:r>
    <w:r>
      <w:t></w:t>
    </w:r>
    <w:r>
      <w:rPr>
        <w:rFonts w:hint="eastAsia"/>
      </w:rPr>
      <w:t>海标工程管理有限公司</w:t>
    </w:r>
    <w:r>
      <w:rPr>
        <w:lang w:val="zh-CN"/>
      </w:rPr>
      <w:t>采购招标文件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drawing>
        <wp:inline distT="0" distB="0" distL="114300" distR="114300">
          <wp:extent cx="661670" cy="501015"/>
          <wp:effectExtent l="0" t="0" r="5080"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rPr>
      <w:t>海标工程管理有限公司</w:t>
    </w:r>
    <w:r>
      <w:rPr>
        <w:lang w:val="zh-CN"/>
      </w:rPr>
      <w:t>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95AD8"/>
    <w:multiLevelType w:val="singleLevel"/>
    <w:tmpl w:val="D9D95A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DFmZTY4NTcxMDdhODcwYmE3MTNjMjFmNmIyN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21"/>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AE3"/>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184"/>
    <w:rsid w:val="000808C1"/>
    <w:rsid w:val="00080970"/>
    <w:rsid w:val="00081671"/>
    <w:rsid w:val="00082AD4"/>
    <w:rsid w:val="00083E07"/>
    <w:rsid w:val="0008468A"/>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3E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5D"/>
    <w:rsid w:val="000B47CE"/>
    <w:rsid w:val="000B4B56"/>
    <w:rsid w:val="000B4C62"/>
    <w:rsid w:val="000B541D"/>
    <w:rsid w:val="000B54C1"/>
    <w:rsid w:val="000B5553"/>
    <w:rsid w:val="000B5FE8"/>
    <w:rsid w:val="000B666E"/>
    <w:rsid w:val="000C0A43"/>
    <w:rsid w:val="000C0CB1"/>
    <w:rsid w:val="000C1411"/>
    <w:rsid w:val="000C1700"/>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0C0"/>
    <w:rsid w:val="000E2785"/>
    <w:rsid w:val="000E27BB"/>
    <w:rsid w:val="000E3153"/>
    <w:rsid w:val="000E3484"/>
    <w:rsid w:val="000E386F"/>
    <w:rsid w:val="000E4051"/>
    <w:rsid w:val="000E4139"/>
    <w:rsid w:val="000E4765"/>
    <w:rsid w:val="000E5B7E"/>
    <w:rsid w:val="000E5FF9"/>
    <w:rsid w:val="000E6AE1"/>
    <w:rsid w:val="000E7142"/>
    <w:rsid w:val="000E75ED"/>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ADD"/>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C63"/>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2F80"/>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89F"/>
    <w:rsid w:val="001D4AB6"/>
    <w:rsid w:val="001D4AD3"/>
    <w:rsid w:val="001D5281"/>
    <w:rsid w:val="001E17E3"/>
    <w:rsid w:val="001E2052"/>
    <w:rsid w:val="001E2492"/>
    <w:rsid w:val="001E257C"/>
    <w:rsid w:val="001E286C"/>
    <w:rsid w:val="001E2F34"/>
    <w:rsid w:val="001E35EE"/>
    <w:rsid w:val="001E4B2C"/>
    <w:rsid w:val="001E507F"/>
    <w:rsid w:val="001E56C2"/>
    <w:rsid w:val="001E5761"/>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8F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704"/>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891"/>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EBE"/>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99"/>
    <w:rsid w:val="00355D75"/>
    <w:rsid w:val="00355D8F"/>
    <w:rsid w:val="00356A73"/>
    <w:rsid w:val="00356FF0"/>
    <w:rsid w:val="003577EF"/>
    <w:rsid w:val="00357A60"/>
    <w:rsid w:val="00360304"/>
    <w:rsid w:val="00360A78"/>
    <w:rsid w:val="00361750"/>
    <w:rsid w:val="00363894"/>
    <w:rsid w:val="00363B2A"/>
    <w:rsid w:val="00363BF1"/>
    <w:rsid w:val="0036407E"/>
    <w:rsid w:val="0036660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29C"/>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1B"/>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6DA"/>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CE"/>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2D"/>
    <w:rsid w:val="00425A82"/>
    <w:rsid w:val="00425C60"/>
    <w:rsid w:val="00426B2C"/>
    <w:rsid w:val="00427FA8"/>
    <w:rsid w:val="0043009D"/>
    <w:rsid w:val="0043026B"/>
    <w:rsid w:val="00430299"/>
    <w:rsid w:val="004306D4"/>
    <w:rsid w:val="00431A2A"/>
    <w:rsid w:val="00432AA5"/>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3A7"/>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3A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B3E"/>
    <w:rsid w:val="004A1EA7"/>
    <w:rsid w:val="004A26F5"/>
    <w:rsid w:val="004A2EF8"/>
    <w:rsid w:val="004A3A21"/>
    <w:rsid w:val="004A407A"/>
    <w:rsid w:val="004A4E3B"/>
    <w:rsid w:val="004A550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8DB"/>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43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160"/>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31"/>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82"/>
    <w:rsid w:val="00565F0D"/>
    <w:rsid w:val="005662DC"/>
    <w:rsid w:val="00566329"/>
    <w:rsid w:val="005668B9"/>
    <w:rsid w:val="00566E39"/>
    <w:rsid w:val="0056704E"/>
    <w:rsid w:val="00567623"/>
    <w:rsid w:val="005701C2"/>
    <w:rsid w:val="00570763"/>
    <w:rsid w:val="00570FA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43"/>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9AE"/>
    <w:rsid w:val="00617EFC"/>
    <w:rsid w:val="00620055"/>
    <w:rsid w:val="00620336"/>
    <w:rsid w:val="006204B3"/>
    <w:rsid w:val="006204C2"/>
    <w:rsid w:val="006212D3"/>
    <w:rsid w:val="00621639"/>
    <w:rsid w:val="006220CB"/>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726"/>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84"/>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3EE"/>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A9"/>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97F24"/>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A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4A"/>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6E"/>
    <w:rsid w:val="00730904"/>
    <w:rsid w:val="00731EDE"/>
    <w:rsid w:val="0073245C"/>
    <w:rsid w:val="00732493"/>
    <w:rsid w:val="00732FE9"/>
    <w:rsid w:val="00733772"/>
    <w:rsid w:val="00733A43"/>
    <w:rsid w:val="00733AE4"/>
    <w:rsid w:val="00733D5F"/>
    <w:rsid w:val="00734932"/>
    <w:rsid w:val="00735827"/>
    <w:rsid w:val="00735D53"/>
    <w:rsid w:val="0073618A"/>
    <w:rsid w:val="007364A3"/>
    <w:rsid w:val="00736740"/>
    <w:rsid w:val="007378FD"/>
    <w:rsid w:val="007401DF"/>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6E0"/>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3D"/>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3EAF"/>
    <w:rsid w:val="00805293"/>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DC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73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588"/>
    <w:rsid w:val="00852FA5"/>
    <w:rsid w:val="00853F7D"/>
    <w:rsid w:val="0085517F"/>
    <w:rsid w:val="0085562D"/>
    <w:rsid w:val="00855A78"/>
    <w:rsid w:val="00856154"/>
    <w:rsid w:val="00856286"/>
    <w:rsid w:val="0085657E"/>
    <w:rsid w:val="008566ED"/>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1874"/>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4D"/>
    <w:rsid w:val="008A0BFE"/>
    <w:rsid w:val="008A1932"/>
    <w:rsid w:val="008A21D9"/>
    <w:rsid w:val="008A232D"/>
    <w:rsid w:val="008A3182"/>
    <w:rsid w:val="008A323F"/>
    <w:rsid w:val="008A3AD1"/>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B13"/>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3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C9F"/>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5D"/>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0D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03"/>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3D1F"/>
    <w:rsid w:val="009A4153"/>
    <w:rsid w:val="009A4C2C"/>
    <w:rsid w:val="009A59B3"/>
    <w:rsid w:val="009A5FAE"/>
    <w:rsid w:val="009A670C"/>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0C5"/>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20"/>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FAB"/>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1E8"/>
    <w:rsid w:val="00A564DE"/>
    <w:rsid w:val="00A6054E"/>
    <w:rsid w:val="00A60799"/>
    <w:rsid w:val="00A6170B"/>
    <w:rsid w:val="00A61991"/>
    <w:rsid w:val="00A61B7F"/>
    <w:rsid w:val="00A61B91"/>
    <w:rsid w:val="00A61C3A"/>
    <w:rsid w:val="00A620E8"/>
    <w:rsid w:val="00A63335"/>
    <w:rsid w:val="00A634EB"/>
    <w:rsid w:val="00A63685"/>
    <w:rsid w:val="00A63BE7"/>
    <w:rsid w:val="00A63EA5"/>
    <w:rsid w:val="00A64545"/>
    <w:rsid w:val="00A645AC"/>
    <w:rsid w:val="00A64C79"/>
    <w:rsid w:val="00A64E3B"/>
    <w:rsid w:val="00A65EFB"/>
    <w:rsid w:val="00A66E28"/>
    <w:rsid w:val="00A67429"/>
    <w:rsid w:val="00A677E7"/>
    <w:rsid w:val="00A67A0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83E"/>
    <w:rsid w:val="00AE6575"/>
    <w:rsid w:val="00AE71EE"/>
    <w:rsid w:val="00AF03CF"/>
    <w:rsid w:val="00AF0A0A"/>
    <w:rsid w:val="00AF14FC"/>
    <w:rsid w:val="00AF1ED2"/>
    <w:rsid w:val="00AF1F4E"/>
    <w:rsid w:val="00AF2302"/>
    <w:rsid w:val="00AF262A"/>
    <w:rsid w:val="00AF3557"/>
    <w:rsid w:val="00AF3F86"/>
    <w:rsid w:val="00AF4CEE"/>
    <w:rsid w:val="00AF4F4A"/>
    <w:rsid w:val="00AF4F7C"/>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A69"/>
    <w:rsid w:val="00B04B78"/>
    <w:rsid w:val="00B04C37"/>
    <w:rsid w:val="00B04F00"/>
    <w:rsid w:val="00B05809"/>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69"/>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2E6A"/>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C93"/>
    <w:rsid w:val="00BE7928"/>
    <w:rsid w:val="00BE7F4D"/>
    <w:rsid w:val="00BF03C0"/>
    <w:rsid w:val="00BF0EBF"/>
    <w:rsid w:val="00BF1534"/>
    <w:rsid w:val="00BF2021"/>
    <w:rsid w:val="00BF21C5"/>
    <w:rsid w:val="00BF21D4"/>
    <w:rsid w:val="00BF2DDC"/>
    <w:rsid w:val="00BF32DE"/>
    <w:rsid w:val="00BF43F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F5"/>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3C2"/>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204"/>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A1"/>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BF3"/>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5FD6"/>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474"/>
    <w:rsid w:val="00D316D9"/>
    <w:rsid w:val="00D31B07"/>
    <w:rsid w:val="00D31B9D"/>
    <w:rsid w:val="00D31CB3"/>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12"/>
    <w:rsid w:val="00D82B00"/>
    <w:rsid w:val="00D82B04"/>
    <w:rsid w:val="00D82BE4"/>
    <w:rsid w:val="00D82E05"/>
    <w:rsid w:val="00D83C0D"/>
    <w:rsid w:val="00D83C80"/>
    <w:rsid w:val="00D83F5B"/>
    <w:rsid w:val="00D84BBC"/>
    <w:rsid w:val="00D85FDE"/>
    <w:rsid w:val="00D860D2"/>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B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EC"/>
    <w:rsid w:val="00DE12F1"/>
    <w:rsid w:val="00DE1A9D"/>
    <w:rsid w:val="00DE1CB1"/>
    <w:rsid w:val="00DE2073"/>
    <w:rsid w:val="00DE30AC"/>
    <w:rsid w:val="00DE38D1"/>
    <w:rsid w:val="00DE4106"/>
    <w:rsid w:val="00DE466B"/>
    <w:rsid w:val="00DE48F4"/>
    <w:rsid w:val="00DE5563"/>
    <w:rsid w:val="00DE5C19"/>
    <w:rsid w:val="00DE5D48"/>
    <w:rsid w:val="00DE6E4D"/>
    <w:rsid w:val="00DE7050"/>
    <w:rsid w:val="00DE7498"/>
    <w:rsid w:val="00DE75EF"/>
    <w:rsid w:val="00DE7611"/>
    <w:rsid w:val="00DE7D19"/>
    <w:rsid w:val="00DF05A0"/>
    <w:rsid w:val="00DF1162"/>
    <w:rsid w:val="00DF1BA8"/>
    <w:rsid w:val="00DF1F63"/>
    <w:rsid w:val="00DF2098"/>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F9"/>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DE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A8"/>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F00"/>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10A"/>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AD0"/>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4CA"/>
    <w:rsid w:val="00EE1595"/>
    <w:rsid w:val="00EE1B6B"/>
    <w:rsid w:val="00EE1E71"/>
    <w:rsid w:val="00EE2087"/>
    <w:rsid w:val="00EE20C2"/>
    <w:rsid w:val="00EE2A9D"/>
    <w:rsid w:val="00EE3384"/>
    <w:rsid w:val="00EE499F"/>
    <w:rsid w:val="00EE56E2"/>
    <w:rsid w:val="00EE5FCD"/>
    <w:rsid w:val="00EE63BF"/>
    <w:rsid w:val="00EE6D45"/>
    <w:rsid w:val="00EE6E89"/>
    <w:rsid w:val="00EE7DAD"/>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CD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095"/>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6E9"/>
    <w:rsid w:val="00F81D25"/>
    <w:rsid w:val="00F8245C"/>
    <w:rsid w:val="00F82928"/>
    <w:rsid w:val="00F829B9"/>
    <w:rsid w:val="00F83045"/>
    <w:rsid w:val="00F83615"/>
    <w:rsid w:val="00F836A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7E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175"/>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8A"/>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11B48"/>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D76C3"/>
    <w:rsid w:val="049F330E"/>
    <w:rsid w:val="04AA775C"/>
    <w:rsid w:val="04AF1889"/>
    <w:rsid w:val="04F66F48"/>
    <w:rsid w:val="05251E14"/>
    <w:rsid w:val="05364C4D"/>
    <w:rsid w:val="054F6A66"/>
    <w:rsid w:val="05A16594"/>
    <w:rsid w:val="05A7762D"/>
    <w:rsid w:val="06024707"/>
    <w:rsid w:val="060E5941"/>
    <w:rsid w:val="06110FAF"/>
    <w:rsid w:val="06493CA7"/>
    <w:rsid w:val="065A6178"/>
    <w:rsid w:val="066F1CF3"/>
    <w:rsid w:val="06930BB8"/>
    <w:rsid w:val="06E620BD"/>
    <w:rsid w:val="07245D42"/>
    <w:rsid w:val="07264C62"/>
    <w:rsid w:val="0779354C"/>
    <w:rsid w:val="079F533A"/>
    <w:rsid w:val="08061376"/>
    <w:rsid w:val="083355D9"/>
    <w:rsid w:val="08452D77"/>
    <w:rsid w:val="086401F8"/>
    <w:rsid w:val="08751CAA"/>
    <w:rsid w:val="087E4C40"/>
    <w:rsid w:val="08D66AD6"/>
    <w:rsid w:val="08DA33A3"/>
    <w:rsid w:val="08E80F13"/>
    <w:rsid w:val="09335624"/>
    <w:rsid w:val="09430891"/>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B5179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DFE03DB"/>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951E3"/>
    <w:rsid w:val="10C26171"/>
    <w:rsid w:val="10F33360"/>
    <w:rsid w:val="10FC16EA"/>
    <w:rsid w:val="110F1D40"/>
    <w:rsid w:val="11162CD7"/>
    <w:rsid w:val="11266F33"/>
    <w:rsid w:val="118963A1"/>
    <w:rsid w:val="11C6522A"/>
    <w:rsid w:val="11E104CC"/>
    <w:rsid w:val="11E20309"/>
    <w:rsid w:val="12255233"/>
    <w:rsid w:val="12530213"/>
    <w:rsid w:val="127723A9"/>
    <w:rsid w:val="12862074"/>
    <w:rsid w:val="12883966"/>
    <w:rsid w:val="129E45B4"/>
    <w:rsid w:val="12D76496"/>
    <w:rsid w:val="12D81596"/>
    <w:rsid w:val="12DC3AAD"/>
    <w:rsid w:val="13072A44"/>
    <w:rsid w:val="135F4BE2"/>
    <w:rsid w:val="139B1A0A"/>
    <w:rsid w:val="139D25C7"/>
    <w:rsid w:val="13BF3CE4"/>
    <w:rsid w:val="140F519B"/>
    <w:rsid w:val="141008D8"/>
    <w:rsid w:val="14125FE6"/>
    <w:rsid w:val="146D271E"/>
    <w:rsid w:val="14982588"/>
    <w:rsid w:val="149A5AD9"/>
    <w:rsid w:val="14A7619D"/>
    <w:rsid w:val="150536C3"/>
    <w:rsid w:val="150C1963"/>
    <w:rsid w:val="151447A0"/>
    <w:rsid w:val="154A6454"/>
    <w:rsid w:val="15762120"/>
    <w:rsid w:val="1686445B"/>
    <w:rsid w:val="16A8729C"/>
    <w:rsid w:val="16B33777"/>
    <w:rsid w:val="16BC70A7"/>
    <w:rsid w:val="16C6339E"/>
    <w:rsid w:val="170A6E3A"/>
    <w:rsid w:val="172F2D79"/>
    <w:rsid w:val="17557BEF"/>
    <w:rsid w:val="17D349C1"/>
    <w:rsid w:val="1830729E"/>
    <w:rsid w:val="1870062C"/>
    <w:rsid w:val="18817102"/>
    <w:rsid w:val="18830A15"/>
    <w:rsid w:val="18852B28"/>
    <w:rsid w:val="188B5321"/>
    <w:rsid w:val="190C6894"/>
    <w:rsid w:val="19932372"/>
    <w:rsid w:val="19A20DD5"/>
    <w:rsid w:val="19AE03F1"/>
    <w:rsid w:val="1A071A03"/>
    <w:rsid w:val="1A0758B3"/>
    <w:rsid w:val="1A1F16AE"/>
    <w:rsid w:val="1A3B5C77"/>
    <w:rsid w:val="1A984BAD"/>
    <w:rsid w:val="1AB8220E"/>
    <w:rsid w:val="1AE4166C"/>
    <w:rsid w:val="1AF06CFB"/>
    <w:rsid w:val="1AF11B8D"/>
    <w:rsid w:val="1B11359C"/>
    <w:rsid w:val="1B2A271F"/>
    <w:rsid w:val="1B530544"/>
    <w:rsid w:val="1B5F6B19"/>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C976AF"/>
    <w:rsid w:val="1F0A0FF3"/>
    <w:rsid w:val="1F5771FF"/>
    <w:rsid w:val="1F9B0239"/>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61511"/>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50C91"/>
    <w:rsid w:val="29ED4F74"/>
    <w:rsid w:val="29F26D24"/>
    <w:rsid w:val="2A15033F"/>
    <w:rsid w:val="2A1662C1"/>
    <w:rsid w:val="2A1C7367"/>
    <w:rsid w:val="2A2815FA"/>
    <w:rsid w:val="2A5C7555"/>
    <w:rsid w:val="2A6D6092"/>
    <w:rsid w:val="2A7D76B4"/>
    <w:rsid w:val="2B437463"/>
    <w:rsid w:val="2B7807EE"/>
    <w:rsid w:val="2BBF00EC"/>
    <w:rsid w:val="2BC37CFD"/>
    <w:rsid w:val="2BD5237F"/>
    <w:rsid w:val="2BE536CE"/>
    <w:rsid w:val="2BE758D9"/>
    <w:rsid w:val="2C09049E"/>
    <w:rsid w:val="2C0A653C"/>
    <w:rsid w:val="2C191F85"/>
    <w:rsid w:val="2CE82D6F"/>
    <w:rsid w:val="2D343236"/>
    <w:rsid w:val="2D6D5E50"/>
    <w:rsid w:val="2DD15014"/>
    <w:rsid w:val="2DF72DE4"/>
    <w:rsid w:val="2E0220AF"/>
    <w:rsid w:val="2E4B082A"/>
    <w:rsid w:val="2E5D4E86"/>
    <w:rsid w:val="2E5D790B"/>
    <w:rsid w:val="2E8A4644"/>
    <w:rsid w:val="2E9A3C18"/>
    <w:rsid w:val="2EBB0FEE"/>
    <w:rsid w:val="2EC63002"/>
    <w:rsid w:val="2F0A6B38"/>
    <w:rsid w:val="2F355F59"/>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E2488"/>
    <w:rsid w:val="358D5588"/>
    <w:rsid w:val="363A3B40"/>
    <w:rsid w:val="365302AE"/>
    <w:rsid w:val="365F1A98"/>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860462"/>
    <w:rsid w:val="3CCE23CB"/>
    <w:rsid w:val="3CD17D17"/>
    <w:rsid w:val="3D3C7F39"/>
    <w:rsid w:val="3D440F09"/>
    <w:rsid w:val="3D4504A0"/>
    <w:rsid w:val="3D463CBC"/>
    <w:rsid w:val="3D8734BB"/>
    <w:rsid w:val="3D9A11D4"/>
    <w:rsid w:val="3DA16D89"/>
    <w:rsid w:val="3DA364BE"/>
    <w:rsid w:val="3DE041CB"/>
    <w:rsid w:val="3E0D48F6"/>
    <w:rsid w:val="3E1868B4"/>
    <w:rsid w:val="3E377251"/>
    <w:rsid w:val="3E42664B"/>
    <w:rsid w:val="3E4740D5"/>
    <w:rsid w:val="3E5A7334"/>
    <w:rsid w:val="3E7B5D6B"/>
    <w:rsid w:val="3E843E66"/>
    <w:rsid w:val="3E8F51FE"/>
    <w:rsid w:val="3E926F87"/>
    <w:rsid w:val="3E9A59DE"/>
    <w:rsid w:val="3EAF4836"/>
    <w:rsid w:val="3EC33DFA"/>
    <w:rsid w:val="3ECA5DA6"/>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D56BC"/>
    <w:rsid w:val="465E3F0D"/>
    <w:rsid w:val="466A16E6"/>
    <w:rsid w:val="46893F2B"/>
    <w:rsid w:val="46C4686E"/>
    <w:rsid w:val="477B778F"/>
    <w:rsid w:val="478203EC"/>
    <w:rsid w:val="478B2CC1"/>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E046E"/>
    <w:rsid w:val="4A4424D7"/>
    <w:rsid w:val="4AB82D0F"/>
    <w:rsid w:val="4AEB7664"/>
    <w:rsid w:val="4AFD7C19"/>
    <w:rsid w:val="4B0567D1"/>
    <w:rsid w:val="4B236AAE"/>
    <w:rsid w:val="4B707271"/>
    <w:rsid w:val="4B9739F7"/>
    <w:rsid w:val="4BEE2503"/>
    <w:rsid w:val="4C2278BB"/>
    <w:rsid w:val="4C245A30"/>
    <w:rsid w:val="4CB6685F"/>
    <w:rsid w:val="4CC367FE"/>
    <w:rsid w:val="4D077F3C"/>
    <w:rsid w:val="4D123355"/>
    <w:rsid w:val="4D2A3B31"/>
    <w:rsid w:val="4D312C52"/>
    <w:rsid w:val="4D905305"/>
    <w:rsid w:val="4D964A72"/>
    <w:rsid w:val="4D9C1254"/>
    <w:rsid w:val="4E1C2748"/>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8E1AC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458CB"/>
    <w:rsid w:val="57032A2C"/>
    <w:rsid w:val="570F5219"/>
    <w:rsid w:val="573174F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50645"/>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195A43"/>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75B5A"/>
    <w:rsid w:val="635B1DB5"/>
    <w:rsid w:val="636A1CD7"/>
    <w:rsid w:val="63711FED"/>
    <w:rsid w:val="63880DDC"/>
    <w:rsid w:val="638D750D"/>
    <w:rsid w:val="63AC6CC0"/>
    <w:rsid w:val="64055776"/>
    <w:rsid w:val="64240056"/>
    <w:rsid w:val="643E143A"/>
    <w:rsid w:val="648B6EEF"/>
    <w:rsid w:val="64C158BF"/>
    <w:rsid w:val="64CE2EAA"/>
    <w:rsid w:val="653C3090"/>
    <w:rsid w:val="65854376"/>
    <w:rsid w:val="658767BE"/>
    <w:rsid w:val="65892531"/>
    <w:rsid w:val="65D40B3D"/>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157872"/>
    <w:rsid w:val="693E15D3"/>
    <w:rsid w:val="69627681"/>
    <w:rsid w:val="6977531D"/>
    <w:rsid w:val="69CC2BFF"/>
    <w:rsid w:val="69FD55B8"/>
    <w:rsid w:val="6A0B1C62"/>
    <w:rsid w:val="6A2406C8"/>
    <w:rsid w:val="6AAE63D5"/>
    <w:rsid w:val="6ADE0BD1"/>
    <w:rsid w:val="6AE96859"/>
    <w:rsid w:val="6B147746"/>
    <w:rsid w:val="6B24787C"/>
    <w:rsid w:val="6B573233"/>
    <w:rsid w:val="6B5B6274"/>
    <w:rsid w:val="6B935D53"/>
    <w:rsid w:val="6C196F71"/>
    <w:rsid w:val="6C226FCB"/>
    <w:rsid w:val="6C31226F"/>
    <w:rsid w:val="6C552F0B"/>
    <w:rsid w:val="6C8C67B7"/>
    <w:rsid w:val="6C9D744C"/>
    <w:rsid w:val="6D0C60E8"/>
    <w:rsid w:val="6D167928"/>
    <w:rsid w:val="6D26299B"/>
    <w:rsid w:val="6D4772EC"/>
    <w:rsid w:val="6D8A7502"/>
    <w:rsid w:val="6D9078AF"/>
    <w:rsid w:val="6DAA3FEF"/>
    <w:rsid w:val="6DC0172B"/>
    <w:rsid w:val="6DCB690C"/>
    <w:rsid w:val="6DD41A5B"/>
    <w:rsid w:val="6DF43C2E"/>
    <w:rsid w:val="6DF51CA3"/>
    <w:rsid w:val="6E0850EA"/>
    <w:rsid w:val="6E8335BD"/>
    <w:rsid w:val="6E8E12EF"/>
    <w:rsid w:val="6E972936"/>
    <w:rsid w:val="6EB81E4D"/>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4D3347"/>
    <w:rsid w:val="74706664"/>
    <w:rsid w:val="747F3682"/>
    <w:rsid w:val="749C4185"/>
    <w:rsid w:val="75067759"/>
    <w:rsid w:val="752E6DCD"/>
    <w:rsid w:val="7551380D"/>
    <w:rsid w:val="75600BE5"/>
    <w:rsid w:val="7564475C"/>
    <w:rsid w:val="7583797F"/>
    <w:rsid w:val="75D20F1D"/>
    <w:rsid w:val="75DA2C18"/>
    <w:rsid w:val="75F54412"/>
    <w:rsid w:val="761D08E0"/>
    <w:rsid w:val="76232595"/>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BF1497"/>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05BA0"/>
    <w:rsid w:val="7D491C6C"/>
    <w:rsid w:val="7D5429C0"/>
    <w:rsid w:val="7D6E6D43"/>
    <w:rsid w:val="7DB57A34"/>
    <w:rsid w:val="7DBD25CC"/>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toc 2"/>
    <w:basedOn w:val="1"/>
    <w:next w:val="1"/>
    <w:qFormat/>
    <w:uiPriority w:val="0"/>
    <w:pPr>
      <w:ind w:left="420" w:leftChars="200"/>
    </w:pPr>
  </w:style>
  <w:style w:type="paragraph" w:styleId="25">
    <w:name w:val="Body Text Indent"/>
    <w:basedOn w:val="1"/>
    <w:next w:val="26"/>
    <w:link w:val="780"/>
    <w:qFormat/>
    <w:uiPriority w:val="0"/>
    <w:pPr>
      <w:spacing w:line="480" w:lineRule="exact"/>
      <w:ind w:firstLine="480" w:firstLineChars="200"/>
    </w:pPr>
    <w:rPr>
      <w:rFonts w:ascii="宋体" w:hAnsi="宋体"/>
      <w:sz w:val="24"/>
    </w:rPr>
  </w:style>
  <w:style w:type="paragraph" w:styleId="26">
    <w:name w:val="Body Text First Indent 2"/>
    <w:basedOn w:val="25"/>
    <w:link w:val="652"/>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6"/>
    <w:qFormat/>
    <w:uiPriority w:val="0"/>
    <w:pPr>
      <w:ind w:left="100" w:leftChars="2500"/>
    </w:pPr>
    <w:rPr>
      <w:rFonts w:ascii="宋体"/>
      <w:sz w:val="24"/>
      <w:szCs w:val="21"/>
      <w:lang w:val="zh-CN"/>
    </w:rPr>
  </w:style>
  <w:style w:type="paragraph" w:styleId="38">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713"/>
    <w:qFormat/>
    <w:uiPriority w:val="0"/>
    <w:rPr>
      <w:sz w:val="18"/>
      <w:szCs w:val="18"/>
    </w:rPr>
  </w:style>
  <w:style w:type="paragraph" w:styleId="41">
    <w:name w:val="footer"/>
    <w:basedOn w:val="1"/>
    <w:link w:val="888"/>
    <w:qFormat/>
    <w:uiPriority w:val="99"/>
    <w:pPr>
      <w:tabs>
        <w:tab w:val="center" w:pos="4153"/>
        <w:tab w:val="right" w:pos="8306"/>
      </w:tabs>
      <w:snapToGrid w:val="0"/>
      <w:jc w:val="left"/>
    </w:pPr>
    <w:rPr>
      <w:sz w:val="18"/>
      <w:szCs w:val="18"/>
    </w:rPr>
  </w:style>
  <w:style w:type="paragraph" w:styleId="42">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1"/>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816"/>
    <w:qFormat/>
    <w:uiPriority w:val="0"/>
    <w:pPr>
      <w:spacing w:after="120" w:line="480" w:lineRule="auto"/>
    </w:pPr>
  </w:style>
  <w:style w:type="paragraph" w:styleId="57">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29"/>
    <w:qFormat/>
    <w:uiPriority w:val="0"/>
    <w:rPr>
      <w:b/>
      <w:bCs/>
    </w:rPr>
  </w:style>
  <w:style w:type="paragraph" w:styleId="61">
    <w:name w:val="Body Text First Indent"/>
    <w:basedOn w:val="23"/>
    <w:next w:val="52"/>
    <w:link w:val="831"/>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1"/>
    <w:qFormat/>
    <w:uiPriority w:val="0"/>
    <w:pPr>
      <w:spacing w:before="156" w:line="360" w:lineRule="auto"/>
      <w:ind w:firstLine="510" w:firstLineChars="200"/>
    </w:pPr>
    <w:rPr>
      <w:sz w:val="24"/>
      <w:szCs w:val="20"/>
    </w:rPr>
  </w:style>
  <w:style w:type="paragraph" w:customStyle="1" w:styleId="85">
    <w:name w:val="无间隔1"/>
    <w:link w:val="669"/>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7"/>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2"/>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4"/>
    <w:qFormat/>
    <w:uiPriority w:val="0"/>
    <w:pPr>
      <w:adjustRightInd/>
      <w:spacing w:line="360" w:lineRule="auto"/>
      <w:ind w:firstLine="480" w:firstLineChars="200"/>
    </w:pPr>
    <w:rPr>
      <w:kern w:val="0"/>
      <w:sz w:val="24"/>
    </w:rPr>
  </w:style>
  <w:style w:type="paragraph" w:customStyle="1" w:styleId="97">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5"/>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7"/>
    <w:qFormat/>
    <w:uiPriority w:val="0"/>
    <w:pPr>
      <w:tabs>
        <w:tab w:val="left" w:pos="2356"/>
      </w:tabs>
    </w:pPr>
  </w:style>
  <w:style w:type="paragraph" w:customStyle="1" w:styleId="102">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0"/>
    <w:qFormat/>
    <w:uiPriority w:val="99"/>
    <w:pPr>
      <w:adjustRightInd/>
    </w:pPr>
    <w:rPr>
      <w:rFonts w:ascii="宋体" w:hAnsi="Courier New"/>
      <w:kern w:val="0"/>
      <w:sz w:val="20"/>
      <w:szCs w:val="20"/>
    </w:rPr>
  </w:style>
  <w:style w:type="paragraph" w:customStyle="1" w:styleId="105">
    <w:name w:val="正文说明"/>
    <w:basedOn w:val="1"/>
    <w:link w:val="842"/>
    <w:qFormat/>
    <w:uiPriority w:val="0"/>
    <w:pPr>
      <w:adjustRightInd/>
      <w:spacing w:line="360" w:lineRule="auto"/>
    </w:pPr>
    <w:rPr>
      <w:kern w:val="0"/>
      <w:sz w:val="24"/>
    </w:rPr>
  </w:style>
  <w:style w:type="paragraph" w:customStyle="1" w:styleId="106">
    <w:name w:val="Table Text"/>
    <w:basedOn w:val="1"/>
    <w:link w:val="848"/>
    <w:qFormat/>
    <w:uiPriority w:val="0"/>
    <w:pPr>
      <w:widowControl/>
      <w:spacing w:before="60" w:after="60"/>
      <w:jc w:val="left"/>
    </w:pPr>
    <w:rPr>
      <w:kern w:val="0"/>
      <w:sz w:val="24"/>
    </w:rPr>
  </w:style>
  <w:style w:type="paragraph" w:customStyle="1" w:styleId="107">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0"/>
    <w:qFormat/>
    <w:uiPriority w:val="0"/>
    <w:pPr>
      <w:widowControl/>
      <w:snapToGrid w:val="0"/>
      <w:spacing w:afterLines="50"/>
      <w:ind w:firstLine="200" w:firstLineChars="200"/>
    </w:pPr>
    <w:rPr>
      <w:kern w:val="0"/>
      <w:sz w:val="24"/>
      <w:szCs w:val="20"/>
    </w:rPr>
  </w:style>
  <w:style w:type="paragraph" w:customStyle="1" w:styleId="112">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纯文本3"/>
    <w:basedOn w:val="1"/>
    <w:qFormat/>
    <w:uiPriority w:val="0"/>
    <w:pPr>
      <w:adjustRightInd/>
      <w:snapToGrid w:val="0"/>
      <w:jc w:val="left"/>
    </w:pPr>
    <w:rPr>
      <w:rFonts w:ascii="Century Gothic" w:hAnsi="楷体_GB2312" w:eastAsia="Century Gothic"/>
      <w:szCs w:val="20"/>
    </w:rPr>
  </w:style>
  <w:style w:type="character" w:customStyle="1" w:styleId="618">
    <w:name w:val="表格非标题文字 Char"/>
    <w:link w:val="79"/>
    <w:qFormat/>
    <w:uiPriority w:val="0"/>
    <w:rPr>
      <w:rFonts w:ascii="Futura Bk" w:hAnsi="Futura Bk"/>
      <w:kern w:val="2"/>
      <w:sz w:val="18"/>
      <w:szCs w:val="21"/>
      <w:lang w:val="en-US" w:eastAsia="zh-CN" w:bidi="ar-SA"/>
    </w:rPr>
  </w:style>
  <w:style w:type="character" w:customStyle="1" w:styleId="619">
    <w:name w:val="*正文 Char"/>
    <w:link w:val="80"/>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1"/>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字符"/>
    <w:link w:val="60"/>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2"/>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3"/>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文本首行缩进 2 字符"/>
    <w:link w:val="26"/>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4"/>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字符"/>
    <w:link w:val="48"/>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5"/>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字符"/>
    <w:link w:val="8"/>
    <w:qFormat/>
    <w:uiPriority w:val="0"/>
    <w:rPr>
      <w:rFonts w:ascii="Arial" w:hAnsi="Arial" w:eastAsia="黑体"/>
      <w:b/>
      <w:bCs/>
      <w:kern w:val="2"/>
      <w:sz w:val="24"/>
      <w:szCs w:val="24"/>
    </w:rPr>
  </w:style>
  <w:style w:type="character" w:customStyle="1" w:styleId="677">
    <w:name w:val="纯文本 Char_0"/>
    <w:link w:val="86"/>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8"/>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89"/>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字符"/>
    <w:link w:val="37"/>
    <w:qFormat/>
    <w:uiPriority w:val="0"/>
    <w:rPr>
      <w:rFonts w:ascii="宋体"/>
      <w:kern w:val="2"/>
      <w:sz w:val="24"/>
      <w:szCs w:val="21"/>
      <w:lang w:val="zh-CN"/>
    </w:rPr>
  </w:style>
  <w:style w:type="character" w:customStyle="1" w:styleId="707">
    <w:name w:val="标题 9 字符"/>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字符1"/>
    <w:link w:val="40"/>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0"/>
    <w:qFormat/>
    <w:locked/>
    <w:uiPriority w:val="0"/>
    <w:rPr>
      <w:rFonts w:ascii="Tahoma" w:hAnsi="Tahoma"/>
      <w:sz w:val="24"/>
      <w:szCs w:val="24"/>
    </w:rPr>
  </w:style>
  <w:style w:type="character" w:customStyle="1" w:styleId="717">
    <w:name w:val="正文缩进 字符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1"/>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字符"/>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字符"/>
    <w:link w:val="31"/>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3"/>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4"/>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字符"/>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5"/>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6"/>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7"/>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8"/>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字符1"/>
    <w:link w:val="25"/>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0"/>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字符1"/>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字符"/>
    <w:link w:val="59"/>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字符"/>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字符"/>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字符"/>
    <w:link w:val="57"/>
    <w:qFormat/>
    <w:uiPriority w:val="0"/>
    <w:rPr>
      <w:rFonts w:ascii="黑体" w:hAnsi="Courier New" w:eastAsia="黑体"/>
    </w:rPr>
  </w:style>
  <w:style w:type="character" w:customStyle="1" w:styleId="816">
    <w:name w:val="正文文本 2 字符1"/>
    <w:link w:val="56"/>
    <w:qFormat/>
    <w:uiPriority w:val="0"/>
    <w:rPr>
      <w:kern w:val="2"/>
      <w:sz w:val="21"/>
      <w:szCs w:val="24"/>
    </w:rPr>
  </w:style>
  <w:style w:type="character" w:customStyle="1" w:styleId="817">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字符"/>
    <w:link w:val="9"/>
    <w:qFormat/>
    <w:uiPriority w:val="0"/>
    <w:rPr>
      <w:b/>
      <w:bCs/>
      <w:kern w:val="2"/>
      <w:sz w:val="24"/>
      <w:szCs w:val="24"/>
    </w:rPr>
  </w:style>
  <w:style w:type="character" w:customStyle="1" w:styleId="820">
    <w:name w:val="正文文本缩进 2 字符"/>
    <w:link w:val="38"/>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字符"/>
    <w:link w:val="51"/>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3"/>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4"/>
    <w:qFormat/>
    <w:uiPriority w:val="99"/>
    <w:rPr>
      <w:rFonts w:ascii="宋体" w:hAnsi="Courier New"/>
    </w:rPr>
  </w:style>
  <w:style w:type="character" w:customStyle="1" w:styleId="831">
    <w:name w:val="正文文本首行缩进 字符"/>
    <w:link w:val="61"/>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字符1"/>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字符"/>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5"/>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6"/>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字符1"/>
    <w:link w:val="19"/>
    <w:qFormat/>
    <w:uiPriority w:val="99"/>
    <w:rPr>
      <w:kern w:val="2"/>
      <w:sz w:val="21"/>
      <w:szCs w:val="24"/>
    </w:rPr>
  </w:style>
  <w:style w:type="character" w:customStyle="1" w:styleId="853">
    <w:name w:val="签名 字符"/>
    <w:link w:val="43"/>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7"/>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8"/>
    <w:qFormat/>
    <w:uiPriority w:val="0"/>
    <w:rPr>
      <w:rFonts w:ascii="宋体"/>
    </w:rPr>
  </w:style>
  <w:style w:type="character" w:customStyle="1" w:styleId="864">
    <w:name w:val="标题 8 字符"/>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字符"/>
    <w:link w:val="54"/>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09"/>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字符2"/>
    <w:link w:val="41"/>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0"/>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字符2"/>
    <w:link w:val="42"/>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1"/>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2"/>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3"/>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4"/>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5"/>
    <w:qFormat/>
    <w:uiPriority w:val="0"/>
    <w:rPr>
      <w:rFonts w:cs="宋体"/>
      <w:kern w:val="2"/>
      <w:sz w:val="24"/>
    </w:rPr>
  </w:style>
  <w:style w:type="character" w:customStyle="1" w:styleId="9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字符"/>
    <w:link w:val="39"/>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2">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3">
    <w:name w:val="Char Char Char Char Char Char Char Char Char Char Char Char Char"/>
    <w:basedOn w:val="1"/>
    <w:qFormat/>
    <w:uiPriority w:val="0"/>
    <w:rPr>
      <w:rFonts w:ascii="仿宋_GB2312" w:eastAsia="仿宋_GB2312"/>
      <w:b/>
      <w:sz w:val="32"/>
      <w:szCs w:val="32"/>
    </w:rPr>
  </w:style>
  <w:style w:type="paragraph" w:customStyle="1" w:styleId="964">
    <w:name w:val="纯文本11"/>
    <w:basedOn w:val="1"/>
    <w:qFormat/>
    <w:uiPriority w:val="0"/>
    <w:pPr>
      <w:widowControl/>
      <w:jc w:val="left"/>
      <w:textAlignment w:val="baseline"/>
    </w:pPr>
    <w:rPr>
      <w:rFonts w:ascii="宋体" w:hAnsi="Courier New" w:eastAsia="楷体_GB2312"/>
      <w:kern w:val="0"/>
      <w:sz w:val="26"/>
      <w:szCs w:val="20"/>
    </w:rPr>
  </w:style>
  <w:style w:type="paragraph" w:customStyle="1" w:styleId="96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35218</Words>
  <Characters>37063</Characters>
  <Lines>430</Lines>
  <Paragraphs>121</Paragraphs>
  <TotalTime>41</TotalTime>
  <ScaleCrop>false</ScaleCrop>
  <LinksUpToDate>false</LinksUpToDate>
  <CharactersWithSpaces>42981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海标</cp:lastModifiedBy>
  <cp:lastPrinted>2022-11-04T02:06:00Z</cp:lastPrinted>
  <dcterms:modified xsi:type="dcterms:W3CDTF">2023-02-14T06:08:09Z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7EBE1062AF3A465194A6A0CDEF86DA10</vt:lpwstr>
  </property>
</Properties>
</file>