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南苑城郊结合部道路秩序管理提升服务项目</w:t>
      </w: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招标文件</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 （</w:t>
      </w:r>
      <w:r>
        <w:rPr>
          <w:rFonts w:hint="eastAsia" w:ascii="宋体" w:hAnsi="宋体" w:cs="宋体"/>
          <w:color w:val="auto"/>
          <w:sz w:val="30"/>
          <w:szCs w:val="30"/>
          <w:highlight w:val="none"/>
          <w:lang w:val="en-US" w:eastAsia="zh-CN"/>
        </w:rPr>
        <w:t>HBZFCG-2022-045</w:t>
      </w:r>
      <w:r>
        <w:rPr>
          <w:rFonts w:hint="eastAsia" w:ascii="宋体" w:hAnsi="宋体" w:eastAsia="宋体" w:cs="宋体"/>
          <w:color w:val="auto"/>
          <w:sz w:val="30"/>
          <w:szCs w:val="30"/>
          <w:highlight w:val="none"/>
        </w:rPr>
        <w:t>）</w:t>
      </w:r>
    </w:p>
    <w:p>
      <w:pPr>
        <w:adjustRightInd/>
        <w:spacing w:line="360" w:lineRule="auto"/>
        <w:jc w:val="center"/>
        <w:rPr>
          <w:rFonts w:hint="eastAsia" w:ascii="宋体" w:hAnsi="宋体" w:eastAsia="宋体" w:cs="宋体"/>
          <w:color w:val="auto"/>
          <w:sz w:val="28"/>
          <w:szCs w:val="20"/>
          <w:highlight w:val="none"/>
        </w:rPr>
      </w:pPr>
    </w:p>
    <w:p>
      <w:pPr>
        <w:pStyle w:val="2"/>
        <w:rPr>
          <w:rFonts w:hint="eastAsia" w:ascii="宋体" w:hAnsi="宋体" w:eastAsia="宋体" w:cs="宋体"/>
          <w:color w:val="auto"/>
          <w:sz w:val="28"/>
          <w:szCs w:val="20"/>
          <w:highlight w:val="none"/>
        </w:rPr>
      </w:pPr>
    </w:p>
    <w:p>
      <w:pPr>
        <w:rPr>
          <w:rFonts w:hint="eastAsia" w:ascii="宋体" w:hAnsi="宋体" w:eastAsia="宋体" w:cs="宋体"/>
          <w:color w:val="auto"/>
          <w:sz w:val="28"/>
          <w:szCs w:val="20"/>
          <w:highlight w:val="none"/>
        </w:rPr>
      </w:pPr>
    </w:p>
    <w:p>
      <w:pPr>
        <w:pStyle w:val="2"/>
        <w:rPr>
          <w:rFonts w:hint="eastAsia" w:ascii="宋体" w:hAnsi="宋体" w:eastAsia="宋体" w:cs="宋体"/>
          <w:color w:val="auto"/>
          <w:sz w:val="28"/>
          <w:szCs w:val="20"/>
          <w:highlight w:val="none"/>
        </w:rPr>
      </w:pPr>
    </w:p>
    <w:p>
      <w:pPr>
        <w:rPr>
          <w:rFonts w:hint="eastAsia" w:ascii="宋体" w:hAnsi="宋体" w:eastAsia="宋体" w:cs="宋体"/>
          <w:color w:val="auto"/>
          <w:sz w:val="28"/>
          <w:szCs w:val="20"/>
          <w:highlight w:val="none"/>
        </w:rPr>
      </w:pPr>
    </w:p>
    <w:p>
      <w:pPr>
        <w:pStyle w:val="2"/>
        <w:rPr>
          <w:rFonts w:hint="eastAsia" w:ascii="宋体" w:hAnsi="宋体" w:eastAsia="宋体" w:cs="宋体"/>
          <w:color w:val="auto"/>
          <w:sz w:val="28"/>
          <w:szCs w:val="20"/>
          <w:highlight w:val="none"/>
        </w:rPr>
      </w:pPr>
    </w:p>
    <w:p>
      <w:pPr>
        <w:rPr>
          <w:rFonts w:hint="eastAsia" w:ascii="宋体" w:hAnsi="宋体" w:eastAsia="宋体" w:cs="宋体"/>
          <w:color w:val="auto"/>
          <w:sz w:val="28"/>
          <w:szCs w:val="20"/>
          <w:highlight w:val="none"/>
        </w:rPr>
      </w:pPr>
    </w:p>
    <w:p>
      <w:pPr>
        <w:pStyle w:val="2"/>
        <w:rPr>
          <w:rFonts w:hint="eastAsia" w:ascii="宋体" w:hAnsi="宋体" w:eastAsia="宋体" w:cs="宋体"/>
          <w:color w:val="auto"/>
          <w:sz w:val="28"/>
          <w:szCs w:val="20"/>
          <w:highlight w:val="none"/>
        </w:rPr>
      </w:pPr>
    </w:p>
    <w:p>
      <w:pPr>
        <w:rPr>
          <w:rFonts w:hint="eastAsia" w:ascii="宋体" w:hAnsi="宋体" w:eastAsia="宋体" w:cs="宋体"/>
          <w:color w:val="auto"/>
          <w:sz w:val="28"/>
          <w:szCs w:val="20"/>
          <w:highlight w:val="none"/>
        </w:rPr>
      </w:pPr>
    </w:p>
    <w:p>
      <w:pPr>
        <w:pStyle w:val="2"/>
        <w:rPr>
          <w:rFonts w:hint="eastAsia" w:ascii="宋体" w:hAnsi="宋体" w:eastAsia="宋体" w:cs="宋体"/>
          <w:color w:val="auto"/>
          <w:sz w:val="28"/>
          <w:szCs w:val="20"/>
          <w:highlight w:val="none"/>
        </w:rPr>
      </w:pPr>
    </w:p>
    <w:p>
      <w:pPr>
        <w:rPr>
          <w:rFonts w:hint="eastAsia" w:ascii="宋体" w:hAnsi="宋体" w:eastAsia="宋体" w:cs="宋体"/>
          <w:color w:val="auto"/>
          <w:sz w:val="28"/>
          <w:szCs w:val="20"/>
          <w:highlight w:val="none"/>
        </w:rPr>
      </w:pPr>
    </w:p>
    <w:p>
      <w:pPr>
        <w:pStyle w:val="2"/>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采购人：杭州市临平区人民政府南苑街道办事处 </w:t>
      </w:r>
    </w:p>
    <w:p>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采购代理机构：</w:t>
      </w:r>
      <w:r>
        <w:rPr>
          <w:rFonts w:hint="eastAsia" w:ascii="宋体" w:hAnsi="宋体" w:eastAsia="宋体" w:cs="宋体"/>
          <w:bCs/>
          <w:color w:val="auto"/>
          <w:sz w:val="32"/>
          <w:szCs w:val="32"/>
          <w:highlight w:val="none"/>
          <w:lang w:eastAsia="zh-CN"/>
        </w:rPr>
        <w:t>海标工程管理有限公司</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二〇二二年</w:t>
      </w:r>
      <w:r>
        <w:rPr>
          <w:rFonts w:hint="eastAsia" w:ascii="宋体" w:hAnsi="宋体" w:cs="宋体"/>
          <w:bCs/>
          <w:color w:val="auto"/>
          <w:sz w:val="32"/>
          <w:szCs w:val="32"/>
          <w:highlight w:val="none"/>
          <w:lang w:eastAsia="zh-CN"/>
        </w:rPr>
        <w:t>十</w:t>
      </w:r>
      <w:r>
        <w:rPr>
          <w:rFonts w:hint="eastAsia" w:ascii="宋体" w:hAnsi="宋体" w:cs="宋体"/>
          <w:bCs/>
          <w:color w:val="auto"/>
          <w:sz w:val="32"/>
          <w:szCs w:val="32"/>
          <w:highlight w:val="none"/>
          <w:lang w:val="en-US" w:eastAsia="zh-CN"/>
        </w:rPr>
        <w:t>二</w:t>
      </w:r>
      <w:r>
        <w:rPr>
          <w:rFonts w:hint="eastAsia" w:ascii="宋体" w:hAnsi="宋体" w:eastAsia="宋体" w:cs="宋体"/>
          <w:bCs/>
          <w:color w:val="auto"/>
          <w:sz w:val="32"/>
          <w:szCs w:val="32"/>
          <w:highlight w:val="none"/>
        </w:rPr>
        <w:t xml:space="preserve">月 </w:t>
      </w:r>
    </w:p>
    <w:p>
      <w:pPr>
        <w:spacing w:line="360" w:lineRule="auto"/>
        <w:jc w:val="center"/>
        <w:rPr>
          <w:rFonts w:hint="eastAsia" w:ascii="宋体" w:hAnsi="宋体" w:eastAsia="宋体" w:cs="宋体"/>
          <w:color w:val="auto"/>
          <w:sz w:val="24"/>
          <w:highlight w:val="none"/>
        </w:rPr>
      </w:pPr>
      <w:bookmarkStart w:id="0" w:name="_Hlt67893495"/>
      <w:bookmarkEnd w:id="0"/>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南苑城郊结合部道路秩序管理提升服务项目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一、项目基本情况</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HBZFCG-2022-045</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南苑城郊结合部道路秩序管理提升服务项目</w:t>
      </w:r>
      <w:r>
        <w:rPr>
          <w:rFonts w:hint="eastAsia" w:ascii="宋体" w:hAnsi="宋体" w:eastAsia="宋体" w:cs="宋体"/>
          <w:b/>
          <w:color w:val="auto"/>
          <w:sz w:val="24"/>
          <w:highlight w:val="none"/>
        </w:rPr>
        <w:t xml:space="preserve"> </w:t>
      </w:r>
    </w:p>
    <w:p>
      <w:pPr>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eastAsia="宋体" w:cs="宋体"/>
          <w:b/>
          <w:color w:val="auto"/>
          <w:sz w:val="24"/>
          <w:highlight w:val="none"/>
        </w:rPr>
        <w:t>预算金额（元）：</w:t>
      </w:r>
      <w:r>
        <w:rPr>
          <w:rFonts w:hint="eastAsia" w:ascii="宋体" w:hAnsi="宋体" w:cs="宋体"/>
          <w:b/>
          <w:color w:val="auto"/>
          <w:sz w:val="24"/>
          <w:highlight w:val="none"/>
          <w:lang w:val="en-US" w:eastAsia="zh-CN"/>
        </w:rPr>
        <w:t>5700000</w:t>
      </w:r>
    </w:p>
    <w:p>
      <w:pPr>
        <w:spacing w:line="360" w:lineRule="auto"/>
        <w:ind w:firstLine="480"/>
        <w:rPr>
          <w:rFonts w:hint="default" w:ascii="宋体" w:hAnsi="宋体" w:eastAsia="宋体" w:cs="宋体"/>
          <w:color w:val="auto"/>
          <w:sz w:val="24"/>
          <w:highlight w:val="none"/>
          <w:lang w:val="en-US"/>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5700000</w:t>
      </w:r>
    </w:p>
    <w:p>
      <w:pPr>
        <w:pStyle w:val="5"/>
        <w:spacing w:line="360" w:lineRule="auto"/>
        <w:ind w:firstLine="480"/>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highlight w:val="none"/>
        </w:rPr>
        <w:t>采购需求：</w:t>
      </w:r>
      <w:r>
        <w:rPr>
          <w:rFonts w:hint="eastAsia" w:hAnsi="宋体" w:cs="宋体"/>
          <w:color w:val="auto"/>
          <w:sz w:val="24"/>
          <w:highlight w:val="none"/>
          <w:lang w:eastAsia="zh-CN"/>
        </w:rPr>
        <w:t>南苑城郊结合部道路秩序管理提升服务项目</w:t>
      </w:r>
      <w:r>
        <w:rPr>
          <w:rFonts w:hint="eastAsia" w:ascii="宋体" w:hAnsi="宋体" w:eastAsia="宋体" w:cs="宋体"/>
          <w:bCs/>
          <w:color w:val="auto"/>
          <w:kern w:val="2"/>
          <w:sz w:val="24"/>
          <w:szCs w:val="24"/>
          <w:highlight w:val="none"/>
        </w:rPr>
        <w:t>主要内容：详见招标文件第三部分采购需求。</w:t>
      </w:r>
    </w:p>
    <w:p>
      <w:pPr>
        <w:pStyle w:val="84"/>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Cs/>
          <w:color w:val="auto"/>
          <w:szCs w:val="24"/>
          <w:highlight w:val="none"/>
        </w:rPr>
        <w:t>详见招标文件第三部分采购需求</w:t>
      </w:r>
    </w:p>
    <w:p>
      <w:pPr>
        <w:pStyle w:val="5"/>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sym w:font="Wingdings" w:char="00FE"/>
      </w:r>
      <w:r>
        <w:rPr>
          <w:rFonts w:hint="eastAsia" w:ascii="宋体" w:hAnsi="宋体" w:eastAsia="宋体" w:cs="宋体"/>
          <w:b/>
          <w:color w:val="auto"/>
          <w:sz w:val="24"/>
          <w:highlight w:val="none"/>
        </w:rPr>
        <w:t>是，</w:t>
      </w:r>
      <w:r>
        <w:rPr>
          <w:rFonts w:hint="eastAsia" w:ascii="宋体" w:hAnsi="宋体" w:eastAsia="宋体" w:cs="宋体"/>
          <w:color w:val="auto"/>
          <w:kern w:val="0"/>
          <w:sz w:val="24"/>
          <w:highlight w:val="none"/>
        </w:rPr>
        <w:sym w:font="Wingdings" w:char="00A8"/>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2.落实政府采购政策需满足的资格要求：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sz w:val="24"/>
          <w:highlight w:val="none"/>
        </w:rPr>
        <w:t>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货物全部由符合政策要求的中小企业制造，提供中小企业声明函；</w:t>
      </w:r>
    </w:p>
    <w:p>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货物全部由符合政策要求的小微企业制造，提供中小企业声明函；</w:t>
      </w:r>
    </w:p>
    <w:p>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sz w:val="24"/>
          <w:highlight w:val="none"/>
        </w:rPr>
        <w:t>服务全部由符合政策要求的小微企业承接，提供中小企业声明函；</w:t>
      </w:r>
    </w:p>
    <w:p>
      <w:pPr>
        <w:rPr>
          <w:rFonts w:hint="eastAsia" w:ascii="宋体" w:hAnsi="宋体" w:eastAsia="宋体" w:cs="宋体"/>
          <w:color w:val="auto"/>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要求以联合体形式参加，提供联合协议和中小企业声明函，联合协议中中小企业合同金额应当达到%，小微企业合同金额应当达到%;</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要求合同分包，提供分包意向协议和中小企业声明函，分包意向协议中中小企业合同金额应当达到% ，小微企业合同金额应当达到% ;</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3.本项目的特定资格要求：无；</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本次招标接受联合体投标，联合体投标的，还应满足下列要求：（1）联合体牵头人由投标单位自行决定，必须在联合体协议中明确；（2）联合体成员（含联合体牵头人）不得超过2个；（3）以联合体形式参加政府采购活动的，联合体各方不得再单独参加或者与其他供应商另外组成联合体参加同一合同项下的政府采购活动，否则相关投标均无效。（4）联合体中有同类资质的供应商按照联合体分工承担相同工作的，应当按照资质等级较低的供应商确定资质等级。</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三、获取招标文件</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 xml:space="preserve">12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2202</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五、采购意向公开链接</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https://zfcg.czt.zj.gov.cn/innerUsed_noticeDetails/index.html?noticeId=9048767&amp;utm=web-government-front.49399a16.0.0.d49d13106c0a11eda9d4bfc4a3c6e1da</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六、公告期限</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称：杭州市临平区人民政府南苑街道办事处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址：杭州市临平区南苑街道人民大道792号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1024" w:firstLineChars="427"/>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沈燕</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项目联系方式（询问）：0571-</w:t>
      </w:r>
      <w:r>
        <w:rPr>
          <w:rFonts w:hint="eastAsia" w:ascii="宋体" w:hAnsi="宋体" w:cs="宋体"/>
          <w:color w:val="auto"/>
          <w:sz w:val="24"/>
          <w:highlight w:val="none"/>
          <w:lang w:val="en-US" w:eastAsia="zh-CN"/>
        </w:rPr>
        <w:t xml:space="preserve">89176308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质疑联系人：朱洁</w:t>
      </w:r>
      <w:r>
        <w:rPr>
          <w:rFonts w:hint="eastAsia" w:ascii="宋体" w:hAnsi="宋体" w:cs="宋体"/>
          <w:color w:val="auto"/>
          <w:sz w:val="24"/>
          <w:highlight w:val="none"/>
          <w:lang w:val="en-US" w:eastAsia="zh-CN"/>
        </w:rPr>
        <w:t xml:space="preserve"> </w:t>
      </w:r>
    </w:p>
    <w:p>
      <w:pPr>
        <w:spacing w:line="360" w:lineRule="auto"/>
        <w:ind w:firstLine="480"/>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质疑联系方式：0571-86166019</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海标工程管理有限公司</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地址：杭州市临平区南苑街道</w:t>
      </w:r>
      <w:r>
        <w:rPr>
          <w:rFonts w:hint="eastAsia" w:ascii="宋体" w:hAnsi="宋体" w:eastAsia="宋体" w:cs="宋体"/>
          <w:color w:val="auto"/>
          <w:sz w:val="24"/>
          <w:highlight w:val="none"/>
          <w:lang w:val="en-US" w:eastAsia="zh-CN"/>
        </w:rPr>
        <w:t>深川大厦B座7楼</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传    真：0571-</w:t>
      </w:r>
      <w:r>
        <w:rPr>
          <w:rFonts w:hint="eastAsia" w:ascii="宋体" w:hAnsi="宋体" w:eastAsia="宋体" w:cs="宋体"/>
          <w:color w:val="auto"/>
          <w:sz w:val="24"/>
          <w:highlight w:val="none"/>
          <w:lang w:val="en-US" w:eastAsia="zh-CN"/>
        </w:rPr>
        <w:t>86137060</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王达</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13705815521</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周晓波</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w:t>
      </w:r>
      <w:r>
        <w:rPr>
          <w:rFonts w:hint="eastAsia" w:ascii="宋体" w:hAnsi="宋体" w:eastAsia="宋体" w:cs="宋体"/>
          <w:color w:val="auto"/>
          <w:sz w:val="24"/>
          <w:highlight w:val="none"/>
          <w:lang w:val="en-US" w:eastAsia="zh-CN"/>
        </w:rPr>
        <w:t>86137060</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名    称： 杭州市临平区财政局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联系人 ： 俞先生</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监督投诉电话：0571- 89185312 </w:t>
      </w:r>
    </w:p>
    <w:p>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地址：杭州市临平区临平东湖中路236号</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pStyle w:val="34"/>
        <w:spacing w:line="360" w:lineRule="auto"/>
        <w:ind w:firstLine="480" w:firstLineChars="200"/>
        <w:rPr>
          <w:rFonts w:hint="eastAsia" w:ascii="宋体" w:hAnsi="宋体" w:eastAsia="宋体" w:cs="宋体"/>
          <w:color w:val="auto"/>
          <w:sz w:val="24"/>
          <w:szCs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投标报价超过招标文件中规定的预算金额或者最高限价或单价最高限价的;</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A</w:t>
            </w:r>
            <w:r>
              <w:rPr>
                <w:rFonts w:hint="eastAsia" w:ascii="宋体" w:hAnsi="宋体" w:eastAsia="宋体" w:cs="宋体"/>
                <w:color w:val="auto"/>
                <w:sz w:val="24"/>
                <w:highlight w:val="none"/>
              </w:rPr>
              <w:t>同意将非主体、非关键性的工作分包。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时间：,地点：，联系人：，联系方式：</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☐B要求提供，</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否；☐是，检测机构的要求</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kern w:val="0"/>
                <w:sz w:val="24"/>
                <w:highlight w:val="none"/>
              </w:rPr>
              <w:t>；地点：；联系人</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☐B组织。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本项目不允许采购进口产品。</w:t>
            </w:r>
          </w:p>
          <w:p>
            <w:pPr>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采购标的：道路秩序管理；所属行业：租赁和商务服务业。</w:t>
            </w:r>
          </w:p>
          <w:p>
            <w:pPr>
              <w:pStyle w:val="2"/>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宋体" w:hAnsi="宋体" w:eastAsia="宋体" w:cs="宋体"/>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宋体" w:hAnsi="宋体" w:eastAsia="宋体" w:cs="宋体"/>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备份投标文件送达地点：杭州市临平区南苑街道</w:t>
            </w:r>
            <w:r>
              <w:rPr>
                <w:rFonts w:hint="eastAsia" w:ascii="宋体" w:hAnsi="宋体" w:eastAsia="宋体" w:cs="宋体"/>
                <w:color w:val="auto"/>
                <w:kern w:val="28"/>
                <w:sz w:val="24"/>
                <w:szCs w:val="24"/>
                <w:highlight w:val="none"/>
                <w:lang w:val="en-US" w:eastAsia="zh-CN"/>
              </w:rPr>
              <w:t>深川大厦B座7楼</w:t>
            </w:r>
            <w:r>
              <w:rPr>
                <w:rFonts w:hint="eastAsia" w:ascii="宋体" w:hAnsi="宋体" w:eastAsia="宋体" w:cs="宋体"/>
                <w:color w:val="auto"/>
                <w:kern w:val="28"/>
                <w:sz w:val="24"/>
                <w:szCs w:val="24"/>
                <w:highlight w:val="none"/>
              </w:rPr>
              <w:t>招标代理部；备份投标文件签收人员联系电话：</w:t>
            </w:r>
            <w:r>
              <w:rPr>
                <w:rFonts w:hint="eastAsia" w:ascii="宋体" w:hAnsi="宋体" w:eastAsia="宋体" w:cs="宋体"/>
                <w:color w:val="auto"/>
                <w:kern w:val="28"/>
                <w:sz w:val="24"/>
                <w:szCs w:val="24"/>
                <w:highlight w:val="none"/>
                <w:lang w:val="en-US" w:eastAsia="zh-CN"/>
              </w:rPr>
              <w:t>王达</w:t>
            </w:r>
            <w:r>
              <w:rPr>
                <w:rFonts w:hint="eastAsia" w:ascii="宋体" w:hAnsi="宋体" w:eastAsia="宋体" w:cs="宋体"/>
                <w:color w:val="auto"/>
                <w:kern w:val="28"/>
                <w:sz w:val="24"/>
                <w:szCs w:val="24"/>
                <w:highlight w:val="none"/>
              </w:rPr>
              <w:t xml:space="preserve">  </w:t>
            </w:r>
            <w:r>
              <w:rPr>
                <w:rFonts w:hint="eastAsia" w:ascii="宋体" w:hAnsi="宋体" w:eastAsia="宋体" w:cs="宋体"/>
                <w:color w:val="auto"/>
                <w:kern w:val="28"/>
                <w:sz w:val="24"/>
                <w:szCs w:val="24"/>
                <w:highlight w:val="none"/>
                <w:lang w:val="en-US" w:eastAsia="zh-CN"/>
              </w:rPr>
              <w:t>13705815521</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 xml:space="preserve">中标人在领取中标通知书时需向招标代理机构支付人民币   </w:t>
            </w:r>
            <w:r>
              <w:rPr>
                <w:rFonts w:hint="eastAsia" w:ascii="宋体" w:hAnsi="宋体" w:cs="宋体"/>
                <w:snapToGrid w:val="0"/>
                <w:color w:val="auto"/>
                <w:kern w:val="28"/>
                <w:sz w:val="24"/>
                <w:highlight w:val="none"/>
                <w:lang w:val="en-US" w:eastAsia="zh-CN"/>
              </w:rPr>
              <w:t>53650</w:t>
            </w:r>
            <w:r>
              <w:rPr>
                <w:rFonts w:hint="eastAsia" w:ascii="宋体" w:hAnsi="宋体" w:eastAsia="宋体" w:cs="宋体"/>
                <w:snapToGrid w:val="0"/>
                <w:color w:val="auto"/>
                <w:kern w:val="28"/>
                <w:sz w:val="24"/>
                <w:highlight w:val="none"/>
              </w:rPr>
              <w:t>元招标代理服务费，费用包含在总报价中，不单独列项报价。</w:t>
            </w:r>
          </w:p>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中标服务费的交纳方式：以转帐或支票的形式支付，开户名：</w:t>
            </w:r>
            <w:r>
              <w:rPr>
                <w:rFonts w:hint="eastAsia" w:ascii="宋体" w:hAnsi="宋体" w:eastAsia="宋体" w:cs="宋体"/>
                <w:snapToGrid w:val="0"/>
                <w:color w:val="auto"/>
                <w:kern w:val="28"/>
                <w:sz w:val="24"/>
                <w:highlight w:val="none"/>
                <w:lang w:eastAsia="zh-CN"/>
              </w:rPr>
              <w:t>海标工程管理有限公司</w:t>
            </w:r>
            <w:r>
              <w:rPr>
                <w:rFonts w:hint="eastAsia" w:ascii="宋体" w:hAnsi="宋体" w:eastAsia="宋体" w:cs="宋体"/>
                <w:snapToGrid w:val="0"/>
                <w:color w:val="auto"/>
                <w:kern w:val="28"/>
                <w:sz w:val="24"/>
                <w:highlight w:val="none"/>
              </w:rPr>
              <w:t>；开户行名称：浙江杭州余杭农村商业银行股份有限公司乔司支行 帐号：201000184831550中标单位需在领取中标通知书时缴纳中标服务费，缴纳时注明招标编号。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snapToGrid w:val="0"/>
                <w:color w:val="auto"/>
                <w:kern w:val="28"/>
                <w:sz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联合体约定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供应商以联合体形式投标的：按采购文件要求提供联合协议，联合体投标的联合体各方承担连带责任。</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采用联合体投标，除“联合协议”和“授权委托书”需联合体各方电子签名或公章外，其余由联合体牵头人在投标文件相应位置电子签名即可。</w:t>
            </w:r>
          </w:p>
        </w:tc>
      </w:tr>
    </w:tbl>
    <w:p>
      <w:pPr>
        <w:snapToGrid w:val="0"/>
        <w:spacing w:line="360" w:lineRule="auto"/>
        <w:jc w:val="center"/>
        <w:rPr>
          <w:rFonts w:hint="eastAsia" w:ascii="宋体" w:hAnsi="宋体" w:eastAsia="宋体" w:cs="宋体"/>
          <w:b/>
          <w:color w:val="auto"/>
          <w:sz w:val="32"/>
          <w:szCs w:val="20"/>
          <w:highlight w:val="none"/>
        </w:rPr>
      </w:pPr>
    </w:p>
    <w:bookmarkEnd w:id="10"/>
    <w:p>
      <w:pPr>
        <w:adjustRightInd/>
        <w:spacing w:line="360" w:lineRule="auto"/>
        <w:ind w:firstLine="3845" w:firstLineChars="1197"/>
        <w:outlineLvl w:val="0"/>
        <w:rPr>
          <w:rFonts w:hint="eastAsia" w:ascii="宋体" w:hAnsi="宋体" w:eastAsia="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1" w:name="_Toc164416483"/>
      <w:bookmarkStart w:id="12" w:name="第三部分"/>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“投标人、供应商”系指是指响应招标、参加投标竞争的法人、其他组织或者自然人。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“▲”系指实质性要求条款，“★”系产品采购项目中单一产品或核心产品，“</w:t>
      </w: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sz w:val="24"/>
          <w:highlight w:val="none"/>
        </w:rPr>
        <w:t>”系指适用本项目的要求，“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w:t>
      </w:r>
      <w:r>
        <w:rPr>
          <w:rFonts w:hint="eastAsia" w:ascii="宋体" w:hAnsi="宋体" w:cs="宋体"/>
          <w:color w:val="auto"/>
          <w:sz w:val="24"/>
          <w:highlight w:val="none"/>
          <w:lang w:eastAsia="zh-CN"/>
        </w:rPr>
        <w:t>33</w:t>
      </w:r>
      <w:r>
        <w:rPr>
          <w:rFonts w:hint="eastAsia" w:ascii="宋体" w:hAnsi="宋体" w:eastAsia="宋体" w:cs="宋体"/>
          <w:color w:val="auto"/>
          <w:sz w:val="24"/>
          <w:highlight w:val="none"/>
        </w:rPr>
        <w:t>]68号）规定的监狱企业并提供由省级以上监狱管理局、戒毒管理局（含新疆生产建设兵团）出具的属于监狱企业证明文件的，视同为小型、微型企业。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4.2.2.1对招标文件提出质疑的，质疑期限为供应商获得招标文件之日或者招标文件公告期限届满之日起计算。</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4.2.2.2对采购过程提出质疑的，质疑期限为各采购程序环节结束之日起计算。对同一采购程序环节的质疑，供应商须一次性提出。</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4.2.2.3对采购结果提出质疑的，质疑期限自采购结果公告期限届满之日起计算。</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w:t>
      </w:r>
      <w:r>
        <w:rPr>
          <w:rFonts w:hint="eastAsia" w:ascii="宋体" w:hAnsi="宋体" w:eastAsia="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4.2.3.1供应商的姓名或者名称、地址、邮编、联系人及联系电话；</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4.2.3.2质疑项目的名称、编号；</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4.2.3.3具体、明确的质疑事项和与质疑事项相关的请求；</w:t>
      </w:r>
    </w:p>
    <w:p>
      <w:pPr>
        <w:pStyle w:val="34"/>
        <w:spacing w:line="360" w:lineRule="auto"/>
        <w:ind w:firstLine="240" w:firstLineChars="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4.2.3.4事实依据；</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4.2.3.5必要的法律依据；</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4.2.3.6提出质疑的日期。</w:t>
      </w:r>
    </w:p>
    <w:p>
      <w:pPr>
        <w:pStyle w:val="571"/>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571"/>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1"/>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.5询问或者质疑事项可能影响采购结果的，采购人应当暂停签订合同，已经签订合同的，应当中止履行合同。</w:t>
      </w:r>
    </w:p>
    <w:p>
      <w:pPr>
        <w:pStyle w:val="571"/>
        <w:shd w:val="clear" w:color="auto"/>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4.3供应商投诉</w:t>
      </w:r>
    </w:p>
    <w:p>
      <w:pPr>
        <w:pStyle w:val="571"/>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71"/>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571"/>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4.3.3供应商投诉应当有明确的请求和必要的证明材料。</w:t>
      </w:r>
    </w:p>
    <w:p>
      <w:pPr>
        <w:pStyle w:val="571"/>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4.3.5 以联合体形式参加政府采购活动的，其投诉应当由组成联合体的所有供应商共同提出。</w:t>
      </w:r>
    </w:p>
    <w:p>
      <w:pPr>
        <w:pStyle w:val="571"/>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84"/>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8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pPr>
        <w:pStyle w:val="8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宋体" w:hAnsi="宋体" w:eastAsia="宋体" w:cs="宋体"/>
          <w:color w:val="auto"/>
          <w:sz w:val="18"/>
          <w:szCs w:val="18"/>
          <w:highlight w:val="none"/>
          <w:lang w:val="en-US"/>
        </w:rPr>
      </w:pP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843" w:firstLineChars="400"/>
        <w:rPr>
          <w:rFonts w:hint="eastAsia" w:ascii="宋体" w:hAnsi="宋体" w:eastAsia="宋体" w:cs="宋体"/>
          <w:color w:val="auto"/>
          <w:sz w:val="24"/>
          <w:highlight w:val="none"/>
        </w:rPr>
      </w:pPr>
      <w:r>
        <w:rPr>
          <w:rFonts w:hint="eastAsia" w:ascii="仿宋_GB2312" w:hAnsi="仿宋" w:eastAsia="仿宋_GB2312"/>
          <w:b/>
          <w:color w:val="auto"/>
          <w:highlight w:val="none"/>
        </w:rPr>
        <w:t>▲</w:t>
      </w: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11.1.2落实政府采购政策需满足的资格要求；</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11.1.3本项目的特定资格要求。</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11.1.4联合协议（如采用联合体投标）</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pPr>
        <w:snapToGrid w:val="0"/>
        <w:spacing w:line="360" w:lineRule="auto"/>
        <w:ind w:firstLine="843" w:firstLineChars="400"/>
        <w:rPr>
          <w:rFonts w:hint="eastAsia" w:ascii="宋体" w:hAnsi="宋体" w:eastAsia="宋体" w:cs="宋体"/>
          <w:color w:val="auto"/>
          <w:sz w:val="24"/>
          <w:highlight w:val="none"/>
        </w:rPr>
      </w:pPr>
      <w:r>
        <w:rPr>
          <w:rFonts w:hint="eastAsia" w:ascii="仿宋_GB2312" w:hAnsi="仿宋" w:eastAsia="仿宋_GB2312"/>
          <w:b/>
          <w:color w:val="auto"/>
          <w:highlight w:val="none"/>
        </w:rPr>
        <w:t>▲</w:t>
      </w:r>
      <w:r>
        <w:rPr>
          <w:rFonts w:hint="eastAsia" w:ascii="宋体" w:hAnsi="宋体" w:eastAsia="宋体" w:cs="宋体"/>
          <w:color w:val="auto"/>
          <w:sz w:val="24"/>
          <w:highlight w:val="none"/>
        </w:rPr>
        <w:t>11.2.1投标函；</w:t>
      </w:r>
    </w:p>
    <w:p>
      <w:pPr>
        <w:snapToGrid w:val="0"/>
        <w:spacing w:line="360" w:lineRule="auto"/>
        <w:ind w:firstLine="843" w:firstLineChars="400"/>
        <w:rPr>
          <w:rFonts w:hint="eastAsia" w:ascii="宋体" w:hAnsi="宋体" w:eastAsia="宋体" w:cs="宋体"/>
          <w:color w:val="auto"/>
          <w:sz w:val="24"/>
          <w:highlight w:val="none"/>
        </w:rPr>
      </w:pPr>
      <w:r>
        <w:rPr>
          <w:rFonts w:hint="eastAsia" w:ascii="仿宋_GB2312" w:hAnsi="仿宋" w:eastAsia="仿宋_GB2312"/>
          <w:b/>
          <w:color w:val="auto"/>
          <w:highlight w:val="none"/>
        </w:rPr>
        <w:t>▲</w:t>
      </w: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11.2.3联合协议；（如采用联合体投标）</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11.2.4分包意向协议；（如有）</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11.2.5符合性审查资料；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11.2.6评标标准相应的商务技术资料；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p>
    <w:p>
      <w:pPr>
        <w:snapToGrid w:val="0"/>
        <w:spacing w:line="360" w:lineRule="auto"/>
        <w:ind w:firstLine="843" w:firstLineChars="400"/>
        <w:rPr>
          <w:rFonts w:hint="eastAsia" w:ascii="宋体" w:hAnsi="宋体" w:eastAsia="宋体" w:cs="宋体"/>
          <w:color w:val="auto"/>
          <w:sz w:val="24"/>
          <w:highlight w:val="none"/>
        </w:rPr>
      </w:pPr>
      <w:r>
        <w:rPr>
          <w:rFonts w:hint="eastAsia" w:ascii="仿宋_GB2312" w:hAnsi="仿宋" w:eastAsia="仿宋_GB2312"/>
          <w:b/>
          <w:color w:val="auto"/>
          <w:highlight w:val="none"/>
        </w:rPr>
        <w:t>▲</w:t>
      </w:r>
      <w:r>
        <w:rPr>
          <w:rFonts w:hint="eastAsia" w:ascii="宋体" w:hAnsi="宋体" w:eastAsia="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84"/>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84"/>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8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4"/>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8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84"/>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DVD光盘或【U】盘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15.3直接提交备份投标文件的，投标人应于投标截止时间前在第二部分投标人须知前附表规定的备份投标文件送达地点将备份投标文件提交给采购机构，采购机构将拒绝接受逾期送达的备份投标文件。</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15.5投标人仅提交备份投标文件，没有在电子交易平台传输递交投标文件的，投标无效。</w:t>
      </w:r>
    </w:p>
    <w:p>
      <w:pPr>
        <w:pStyle w:val="8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5"/>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第13项规定</w:t>
      </w:r>
      <w:r>
        <w:rPr>
          <w:rFonts w:hint="eastAsia" w:ascii="宋体" w:hAnsi="宋体" w:eastAsia="宋体" w:cs="宋体"/>
          <w:color w:val="auto"/>
          <w:szCs w:val="21"/>
          <w:highlight w:val="none"/>
        </w:rPr>
        <w:t>的情形之一的，投标无效：</w:t>
      </w:r>
    </w:p>
    <w:p>
      <w:pPr>
        <w:pStyle w:val="8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8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8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4"/>
        <w:spacing w:before="0"/>
        <w:ind w:firstLine="643"/>
        <w:rPr>
          <w:rFonts w:hint="eastAsia" w:ascii="宋体" w:hAnsi="宋体" w:eastAsia="宋体" w:cs="宋体"/>
          <w:b/>
          <w:color w:val="auto"/>
          <w:sz w:val="32"/>
          <w:highlight w:val="none"/>
        </w:rPr>
      </w:pPr>
    </w:p>
    <w:p>
      <w:pPr>
        <w:pStyle w:val="84"/>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239"/>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p>
    <w:p>
      <w:pPr>
        <w:pStyle w:val="239"/>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pStyle w:val="8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采购人或采购机构依据法律法规和招标文件的规定，对投标人的基本资格条件、特定资格条件进行审查。</w:t>
      </w:r>
    </w:p>
    <w:p>
      <w:pPr>
        <w:pStyle w:val="84"/>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84"/>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pPr>
        <w:pStyle w:val="84"/>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pPr>
        <w:pStyle w:val="8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8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8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8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4"/>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84"/>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84"/>
        <w:snapToGrid w:val="0"/>
        <w:spacing w:before="0"/>
        <w:ind w:firstLine="480"/>
        <w:rPr>
          <w:rFonts w:hint="eastAsia" w:ascii="宋体" w:hAnsi="宋体" w:eastAsia="宋体" w:cs="宋体"/>
          <w:b/>
          <w:color w:val="auto"/>
          <w:szCs w:val="24"/>
          <w:highlight w:val="none"/>
        </w:rPr>
      </w:pPr>
      <w:r>
        <w:rPr>
          <w:rFonts w:hint="eastAsia" w:ascii="仿宋_GB2312" w:hAnsi="仿宋" w:eastAsia="仿宋_GB2312" w:cs="仿宋_GB2312"/>
          <w:color w:val="auto"/>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4"/>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r>
        <w:rPr>
          <w:rFonts w:hint="eastAsia" w:ascii="仿宋_GB2312" w:hAnsi="仿宋" w:eastAsia="仿宋_GB2312" w:cs="仿宋_GB2312"/>
          <w:color w:val="auto"/>
          <w:sz w:val="24"/>
          <w:highlight w:val="none"/>
        </w:rPr>
        <w:t>资格审查情况、评审专家抽取规则、符合性审查情况、</w:t>
      </w:r>
      <w:r>
        <w:rPr>
          <w:rFonts w:hint="eastAsia" w:ascii="宋体" w:hAnsi="宋体" w:eastAsia="宋体" w:cs="宋体"/>
          <w:color w:val="auto"/>
          <w:sz w:val="24"/>
          <w:highlight w:val="none"/>
        </w:rPr>
        <w:t>未中标情况说明、中标公告期限以及评审专家名单、评分汇总及明细。</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w:t>
      </w:r>
      <w:r>
        <w:rPr>
          <w:rFonts w:ascii="仿宋_GB2312" w:hAnsi="仿宋" w:eastAsia="仿宋_GB2312" w:cs="Arial"/>
          <w:color w:val="auto"/>
          <w:kern w:val="0"/>
          <w:sz w:val="24"/>
          <w:highlight w:val="none"/>
        </w:rPr>
        <w:t xml:space="preserve"> 采购人与中标人应当通过电子交易平台在中标通知书发出之日起</w:t>
      </w:r>
      <w:r>
        <w:rPr>
          <w:rFonts w:hint="eastAsia" w:ascii="仿宋_GB2312" w:hAnsi="仿宋" w:eastAsia="仿宋_GB2312" w:cs="Arial"/>
          <w:color w:val="auto"/>
          <w:kern w:val="0"/>
          <w:sz w:val="24"/>
          <w:highlight w:val="none"/>
          <w:lang w:eastAsia="zh-CN"/>
        </w:rPr>
        <w:t>十个工作日</w:t>
      </w:r>
      <w:r>
        <w:rPr>
          <w:rFonts w:ascii="仿宋_GB2312" w:hAnsi="仿宋" w:eastAsia="仿宋_GB2312" w:cs="Arial"/>
          <w:color w:val="auto"/>
          <w:kern w:val="0"/>
          <w:sz w:val="24"/>
          <w:highlight w:val="none"/>
        </w:rPr>
        <w:t>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pPr>
        <w:pStyle w:val="84"/>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8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4"/>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pacing w:line="360" w:lineRule="auto"/>
        <w:ind w:firstLine="482"/>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w:t>
      </w:r>
      <w:r>
        <w:rPr>
          <w:rFonts w:hint="eastAsia" w:ascii="仿宋_GB2312" w:hAnsi="仿宋" w:eastAsia="仿宋_GB2312"/>
          <w:color w:val="auto"/>
          <w:sz w:val="24"/>
          <w:highlight w:val="none"/>
          <w:lang w:eastAsia="zh-CN"/>
        </w:rPr>
        <w:t>杭州市政府采购网公布的供应商履约评价为满分的供应商，采购单位应当免收履约保证金。确需收履约保证金的，</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w:t>
      </w:r>
      <w:r>
        <w:rPr>
          <w:rFonts w:hint="eastAsia" w:ascii="宋体" w:hAnsi="宋体" w:eastAsia="宋体" w:cs="宋体"/>
          <w:color w:val="auto"/>
          <w:sz w:val="24"/>
          <w:highlight w:val="none"/>
        </w:rPr>
        <w:t>鼓励和支持供应商以银行、保险公司出具的保函形式提供履约保证金。</w:t>
      </w:r>
      <w:r>
        <w:rPr>
          <w:rFonts w:hint="eastAsia" w:ascii="宋体" w:hAnsi="宋体" w:eastAsia="宋体" w:cs="宋体"/>
          <w:b/>
          <w:color w:val="auto"/>
          <w:sz w:val="24"/>
          <w:highlight w:val="none"/>
        </w:rPr>
        <w:t>采购人不得拒收履约保函。</w:t>
      </w:r>
    </w:p>
    <w:p>
      <w:pPr>
        <w:tabs>
          <w:tab w:val="left" w:pos="0"/>
        </w:tabs>
        <w:ind w:firstLine="482"/>
        <w:rPr>
          <w:rFonts w:hint="eastAsia"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84"/>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rPr>
        <w:t>7.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pPr>
        <w:pStyle w:val="8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pPr>
        <w:pStyle w:val="8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pPr>
        <w:pStyle w:val="8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pPr>
        <w:pStyle w:val="8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pPr>
        <w:pStyle w:val="8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pPr>
        <w:pStyle w:val="84"/>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color w:val="auto"/>
          <w:kern w:val="0"/>
          <w:sz w:val="24"/>
          <w:highlight w:val="none"/>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4" w:name="_Hlt75236290"/>
      <w:bookmarkEnd w:id="14"/>
      <w:bookmarkStart w:id="15" w:name="_Hlt68057669"/>
      <w:bookmarkEnd w:id="15"/>
      <w:bookmarkStart w:id="16" w:name="_Hlt74729768"/>
      <w:bookmarkEnd w:id="16"/>
      <w:bookmarkStart w:id="17" w:name="_Hlt68072998"/>
      <w:bookmarkEnd w:id="17"/>
      <w:bookmarkStart w:id="18" w:name="_Hlt68403820"/>
      <w:bookmarkEnd w:id="18"/>
      <w:bookmarkStart w:id="19" w:name="_Hlt74707468"/>
      <w:bookmarkEnd w:id="19"/>
      <w:bookmarkStart w:id="20" w:name="_Hlt75236101"/>
      <w:bookmarkEnd w:id="20"/>
      <w:bookmarkStart w:id="21" w:name="_Hlt68072990"/>
      <w:bookmarkEnd w:id="21"/>
      <w:bookmarkStart w:id="22" w:name="_Hlt74714665"/>
      <w:bookmarkEnd w:id="22"/>
      <w:bookmarkStart w:id="23" w:name="_Hlt68073093"/>
      <w:bookmarkEnd w:id="23"/>
      <w:bookmarkStart w:id="24" w:name="_Hlt74730295"/>
      <w:bookmarkEnd w:id="24"/>
      <w:bookmarkStart w:id="25" w:name="_Hlt75236011"/>
      <w:bookmarkEnd w:id="25"/>
    </w:p>
    <w:bookmarkEnd w:id="11"/>
    <w:bookmarkEnd w:id="12"/>
    <w:p>
      <w:pPr>
        <w:pageBreakBefore/>
        <w:shd w:val="clear" w:color="auto" w:fill="FFFFFF"/>
        <w:snapToGrid w:val="0"/>
        <w:spacing w:line="360" w:lineRule="auto"/>
        <w:jc w:val="center"/>
        <w:outlineLvl w:val="0"/>
        <w:rPr>
          <w:rFonts w:hint="eastAsia" w:ascii="宋体" w:hAnsi="宋体" w:cs="宋体"/>
          <w:color w:val="auto"/>
          <w:sz w:val="24"/>
          <w:highlight w:val="none"/>
        </w:rPr>
      </w:pPr>
      <w:bookmarkStart w:id="26" w:name="_Toc33194400"/>
      <w:bookmarkStart w:id="27" w:name="第四部分"/>
      <w:r>
        <w:rPr>
          <w:rFonts w:hint="eastAsia" w:ascii="宋体" w:hAnsi="宋体" w:cs="宋体"/>
          <w:b/>
          <w:bCs/>
          <w:color w:val="auto"/>
          <w:sz w:val="28"/>
          <w:szCs w:val="28"/>
          <w:highlight w:val="none"/>
        </w:rPr>
        <w:t>第三部分  项目技术规范和服务要求</w:t>
      </w:r>
      <w:bookmarkEnd w:id="26"/>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一、采购内容：</w:t>
      </w:r>
    </w:p>
    <w:p>
      <w:pPr>
        <w:numPr>
          <w:ilvl w:val="0"/>
          <w:numId w:val="0"/>
        </w:num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本项目为南苑城郊结合部道路秩序管理提升服务项目，为进一步提升城郊结合部共安全管理服务水平和效率，有效维护社会面秩序，做好路面巡查服务，提高群众安全感。</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投标报价包括所有服务人员的工资、社保、加班费、培训费、住宿、餐费、统一服装费、低值易耗品、工具及相关设备费、临时性杂项服务费、政策性文件规定及合同包含的所有风险、责任、税费、合理利润等各项全部费用。</w:t>
      </w: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二、具体服务内容、要求等：</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0"/>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项 目</w:t>
            </w:r>
          </w:p>
        </w:tc>
        <w:tc>
          <w:tcPr>
            <w:tcW w:w="7823" w:type="dxa"/>
            <w:noWrap w:val="0"/>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noWrap w:val="0"/>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保安队员素质要求</w:t>
            </w:r>
          </w:p>
        </w:tc>
        <w:tc>
          <w:tcPr>
            <w:tcW w:w="7823" w:type="dxa"/>
            <w:noWrap w:val="0"/>
            <w:vAlign w:val="center"/>
          </w:tcPr>
          <w:p>
            <w:pPr>
              <w:numPr>
                <w:ilvl w:val="0"/>
                <w:numId w:val="1"/>
              </w:num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服务人员组成要求人员具有初中及以上学历：</w:t>
            </w:r>
          </w:p>
          <w:p>
            <w:pPr>
              <w:numPr>
                <w:ilvl w:val="0"/>
                <w:numId w:val="1"/>
              </w:num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服务人员要求35周岁及以下，身高170cm以上，具有保安员上岗证书、退伍军人优先。政治素质好、品行端正、责任心强、无违法犯罪记录、身体健康，仪表端庄，精力充沛，无不良嗜好，工作认真负责并定期接受培训：</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3、无违法犯罪记录，政审合格。</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4、要求能辅助处理和应对采购人公共秩序维护工作，能正确使用各类消防器械和设备，能够熟悉、掌握各类案件和各类灾害事故的应急预案；</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5、上岗时佩戴统一标志，按需求穿戴统一制服（投标人自行配备，服装款式须征得招标人同意），装备佩戴规范，仪容仪表规范整齐，当值时坐姿挺直，站岗时不倚不靠、采用跨立站岗。</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6、文明执勤，训练有素，言语规范，认真负责；配备必备的安全护卫器械、通讯器材等设备。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12" w:type="dxa"/>
            <w:noWrap w:val="0"/>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项目总负责人要求</w:t>
            </w:r>
          </w:p>
        </w:tc>
        <w:tc>
          <w:tcPr>
            <w:tcW w:w="7823" w:type="dxa"/>
            <w:noWrap w:val="0"/>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具有大专以上学历和管理经验、具有保安管理经验（保安员职业资格等级证书）、具有人力资源调配经验（企业人力资源管理师证书）。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12" w:type="dxa"/>
            <w:noWrap w:val="0"/>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工作职责</w:t>
            </w:r>
          </w:p>
        </w:tc>
        <w:tc>
          <w:tcPr>
            <w:tcW w:w="7823" w:type="dxa"/>
            <w:noWrap w:val="0"/>
            <w:vAlign w:val="center"/>
          </w:tcPr>
          <w:p>
            <w:pPr>
              <w:spacing w:line="600" w:lineRule="exact"/>
              <w:ind w:firstLine="240" w:firstLineChars="1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（一）管理范围</w:t>
            </w:r>
          </w:p>
          <w:p>
            <w:pPr>
              <w:spacing w:line="600" w:lineRule="exact"/>
              <w:ind w:firstLine="480" w:firstLineChars="200"/>
              <w:jc w:val="left"/>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1、南苑街道范围内</w:t>
            </w:r>
          </w:p>
          <w:p>
            <w:pPr>
              <w:spacing w:line="600" w:lineRule="exact"/>
              <w:ind w:firstLine="240" w:firstLineChars="1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（二）工作职责</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1、做好</w:t>
            </w:r>
            <w:r>
              <w:rPr>
                <w:rFonts w:hint="eastAsia" w:ascii="仿宋" w:hAnsi="仿宋" w:eastAsia="仿宋" w:cs="Times New Roman"/>
                <w:sz w:val="24"/>
                <w:szCs w:val="24"/>
                <w:lang w:val="en-US" w:eastAsia="zh-CN" w:bidi="ar-SA"/>
              </w:rPr>
              <w:t>日常路面巡查工作</w:t>
            </w:r>
            <w:r>
              <w:rPr>
                <w:rFonts w:hint="eastAsia" w:ascii="仿宋_GB2312" w:hAnsi="仿宋" w:eastAsia="仿宋_GB2312" w:cs="Arial"/>
                <w:kern w:val="0"/>
                <w:sz w:val="24"/>
                <w:szCs w:val="24"/>
                <w:lang w:val="en-US" w:eastAsia="zh-CN" w:bidi="ar-SA"/>
              </w:rPr>
              <w:t>；</w:t>
            </w:r>
          </w:p>
          <w:p>
            <w:pPr>
              <w:spacing w:line="600" w:lineRule="exact"/>
              <w:ind w:firstLine="480" w:firstLineChars="200"/>
              <w:jc w:val="left"/>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2、做好招标人交代的其他工作：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12" w:type="dxa"/>
            <w:noWrap w:val="0"/>
            <w:vAlign w:val="center"/>
          </w:tcPr>
          <w:p>
            <w:pPr>
              <w:spacing w:line="600" w:lineRule="exact"/>
              <w:jc w:val="left"/>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装备要求</w:t>
            </w:r>
          </w:p>
        </w:tc>
        <w:tc>
          <w:tcPr>
            <w:tcW w:w="7823" w:type="dxa"/>
            <w:noWrap w:val="0"/>
            <w:vAlign w:val="center"/>
          </w:tcPr>
          <w:p>
            <w:pPr>
              <w:tabs>
                <w:tab w:val="left" w:pos="1423"/>
                <w:tab w:val="left" w:pos="3303"/>
              </w:tabs>
              <w:spacing w:line="600" w:lineRule="exact"/>
              <w:jc w:val="both"/>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由中标单位提供七成新及以上电动汽车5辆。</w:t>
            </w:r>
          </w:p>
        </w:tc>
      </w:tr>
    </w:tbl>
    <w:p>
      <w:pPr>
        <w:pStyle w:val="965"/>
        <w:rPr>
          <w:rFonts w:hint="eastAsia"/>
        </w:rPr>
      </w:pP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工作时间由招标单位具体制定，服务人员必须服从招标单位指挥、管理和安排，服务人员工作期间必须穿戴统一执勤衣帽，佩戴管理工作证，遵守招标单位制定的工作纪律，接受招标单位督查考核；中标单位必须确定专人负责对服务人员的管理和督查，定期对服务人员的业务培训，确保服务人员工作稳定性，具体由招标单位根据管理辖区情况统筹安排。</w:t>
      </w: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四、服务期限：</w:t>
      </w:r>
    </w:p>
    <w:p>
      <w:pPr>
        <w:spacing w:line="600" w:lineRule="exact"/>
        <w:ind w:firstLine="482" w:firstLineChars="200"/>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合同签订之日起壹年。</w:t>
      </w: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五、考核要求及制度：</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1、考核要求：服务人员持证上岗，政治素质好、工作积极、热爱保安工作。服务人员的年龄不得超过35周岁，原则上为男性队员。</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2、考核办法</w:t>
      </w:r>
    </w:p>
    <w:p>
      <w:pPr>
        <w:widowControl/>
        <w:ind w:firstLine="3520" w:firstLineChars="1100"/>
        <w:jc w:val="both"/>
        <w:rPr>
          <w:rFonts w:hint="eastAsia" w:ascii="宋体" w:hAnsi="宋体" w:eastAsia="宋体" w:cs="宋体"/>
          <w:bCs/>
          <w:sz w:val="32"/>
          <w:szCs w:val="32"/>
        </w:rPr>
      </w:pPr>
    </w:p>
    <w:p>
      <w:pPr>
        <w:widowControl/>
        <w:ind w:firstLine="3520" w:firstLineChars="1100"/>
        <w:jc w:val="both"/>
        <w:rPr>
          <w:rFonts w:hint="eastAsia" w:ascii="宋体" w:hAnsi="宋体" w:eastAsia="宋体" w:cs="宋体"/>
          <w:bCs/>
          <w:sz w:val="24"/>
          <w:szCs w:val="24"/>
          <w:lang w:val="en-US" w:eastAsia="zh-CN"/>
        </w:rPr>
      </w:pPr>
      <w:r>
        <w:rPr>
          <w:rFonts w:hint="eastAsia" w:ascii="宋体" w:hAnsi="宋体" w:eastAsia="宋体" w:cs="宋体"/>
          <w:bCs/>
          <w:sz w:val="32"/>
          <w:szCs w:val="32"/>
        </w:rPr>
        <w:t>服务人员考核办法</w:t>
      </w:r>
      <w:r>
        <w:rPr>
          <w:rFonts w:hint="eastAsia" w:ascii="宋体" w:hAnsi="宋体" w:eastAsia="宋体" w:cs="宋体"/>
          <w:bCs/>
          <w:sz w:val="32"/>
          <w:szCs w:val="32"/>
          <w:lang w:val="en-US" w:eastAsia="zh-CN"/>
        </w:rPr>
        <w:t xml:space="preserve">  </w:t>
      </w:r>
      <w:r>
        <w:rPr>
          <w:rFonts w:hint="eastAsia" w:ascii="宋体" w:hAnsi="宋体" w:eastAsia="宋体" w:cs="宋体"/>
          <w:bCs/>
          <w:sz w:val="24"/>
          <w:szCs w:val="24"/>
          <w:lang w:val="en-US" w:eastAsia="zh-CN"/>
        </w:rPr>
        <w:t xml:space="preserve">     年     月</w:t>
      </w:r>
    </w:p>
    <w:tbl>
      <w:tblPr>
        <w:tblStyle w:val="62"/>
        <w:tblW w:w="88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6542"/>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类别</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考核内容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考核扣分值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考勤</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上班：迟到、早退的，扣1分∕次；脱岗的扣2分∕次。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内务</w:t>
            </w:r>
          </w:p>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管理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个人仪表、仪容不严整，或不按规定着装等违反队伍正规化管理的扣1分∕次。上述问题被上级部门通报的加倍扣罚。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爱护公物和配发的装备，因个人使用保管不善而造成丢失或损坏的，除照价赔偿外，扣1分∕次。违反节能措施，不按规定关闭电灯、电脑、饮水器、空调等电源开关，扣0.5分∕次。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规章</w:t>
            </w:r>
          </w:p>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制度</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通讯不畅通的或接到指令不按要求到位的，扣1分∕次，工作期间要接受采购人的领导和监督，遵守采购人的有关的规章制度。发现保安违反采购人工作规章制度及纪律扣1分∕次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工作时间玩电脑游戏、看小说、炒股票；手机上网浏览网页、看小说、玩游戏、炒股票，睡觉或做其他与工作无关事情的，扣2分∕次，如被上级部门或新闻媒体通报的，一律予以辞退。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日常行为被上级部门督察计分的，扣2分∕次。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工作时间不按规定上岗、定岗的，扣1分∕次。值班人员在值班期间不按规定履行职责的，扣1-5分∕次。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不服从安排管理，影响工作开展的；破坏团结协作的，扣1-3分∕次。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不规范使用执法车辆或违反职责的，扣1分∕次；违反交通规则的，处罚款项有驾驶人员自行承担；上述问题被上级部门通报的加倍扣罚。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纪律</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上岗前酗酒贻误值班执勤，隐瞒和虚报情况，欺骗领导，视情节轻重扣1-5分∕次，予以辞退。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违反其他法律法规、规章制度或发生不当行为造成较大影响的，酌情扣罚，情节严重的，扣1-5分∕次，予以辞退。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其他</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因工作粗心、对工作不负责任被投诉，经查实确系其本人不当行为造成的（即有理投诉），扣1-5分∕次，造成严重影响的，予以辞退。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本辖区内发生重特大城市管理事件未及时处置的，扣1-5分∕次，造成严重影响的，予以辞退。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对工作表现突出的，报上级部门同意酌情奖励。每月考核成绩作为年终考核主要参与标准。</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总得分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bl>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考核人：                                         审核人：</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 xml:space="preserve">本考核要求采用百分制考核法，即按考核项对应分值进行扣分（如本期考核项被扣除5分，即本期得分为95分），每月考核一次，并按以下原则评定考核等级： </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（1）、考核分高于90分（含）视为优秀，拨付全额服务费。</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（2）、考核分高于80分（含）但低于90分（不含）视为良好，扣除服务费2000元整。</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（3）、考核分高于70分（含）但低于80分（不含）视为合格，扣除服务费5000元整。</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（4）、考核分高于60分（含）但低于70分（不含）视为不合格，扣除服务费8000元整。</w:t>
      </w:r>
    </w:p>
    <w:p>
      <w:pPr>
        <w:spacing w:line="600" w:lineRule="exact"/>
        <w:jc w:val="left"/>
        <w:rPr>
          <w:rFonts w:hint="eastAsia"/>
          <w:lang w:val="en-US" w:eastAsia="zh-CN"/>
        </w:rPr>
      </w:pPr>
      <w:r>
        <w:rPr>
          <w:rFonts w:hint="eastAsia" w:ascii="仿宋_GB2312" w:hAnsi="仿宋" w:eastAsia="仿宋_GB2312" w:cs="Arial"/>
          <w:kern w:val="0"/>
          <w:sz w:val="24"/>
          <w:szCs w:val="24"/>
          <w:lang w:val="en-US" w:eastAsia="zh-CN" w:bidi="ar-SA"/>
        </w:rPr>
        <w:t>（5）、考核分低于60分，扣除服务费12000元整。</w:t>
      </w: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六、费用支付：</w:t>
      </w: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服务费每季度结算一次，经采购人考核合格后于下季度10日前支付上季度的服务费。</w:t>
      </w: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七、其他要求：</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服务人员出现问题响应要求：服务期内中标单位自身出现了问题，如缺岗、离岗、与招标人工作人员发生纠纷等影响采购人及招标人声誉的所有事件，中标单位的主要负责人应立即响应，2小时内到达现场，3小时内解决问题，现场解决不了的应采取应急措施，应立即阻止事态的发展，确保无任何影响采购人的事件发生。</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2、乙方在公司运营中发生的劳资纠纷、工伤纠纷、人身意外伤亡等事件，由乙方自行承担，如因此造成甲方被第三方索赔，甲方有权向乙方进行追偿。</w:t>
      </w:r>
    </w:p>
    <w:p>
      <w:pPr>
        <w:adjustRightInd/>
        <w:spacing w:line="600" w:lineRule="exact"/>
        <w:ind w:firstLine="354" w:firstLineChars="98"/>
        <w:rPr>
          <w:rFonts w:hint="eastAsia" w:ascii="宋体" w:hAnsi="宋体" w:eastAsia="宋体" w:cs="宋体"/>
          <w:b/>
          <w:color w:val="auto"/>
          <w:sz w:val="36"/>
          <w:szCs w:val="36"/>
          <w:highlight w:val="none"/>
        </w:rPr>
      </w:pPr>
    </w:p>
    <w:p>
      <w:pPr>
        <w:adjustRightInd/>
        <w:spacing w:line="600" w:lineRule="exact"/>
        <w:ind w:firstLine="354" w:firstLineChars="98"/>
        <w:rPr>
          <w:rFonts w:hint="eastAsia" w:ascii="宋体" w:hAnsi="宋体" w:eastAsia="宋体" w:cs="宋体"/>
          <w:b/>
          <w:color w:val="auto"/>
          <w:sz w:val="36"/>
          <w:szCs w:val="36"/>
          <w:highlight w:val="none"/>
        </w:rPr>
      </w:pPr>
    </w:p>
    <w:p>
      <w:pPr>
        <w:adjustRightInd/>
        <w:spacing w:line="600" w:lineRule="exact"/>
        <w:ind w:firstLine="354" w:firstLineChars="98"/>
        <w:rPr>
          <w:rFonts w:hint="eastAsia" w:ascii="宋体" w:hAnsi="宋体" w:eastAsia="宋体" w:cs="宋体"/>
          <w:b/>
          <w:color w:val="auto"/>
          <w:sz w:val="36"/>
          <w:szCs w:val="36"/>
          <w:highlight w:val="none"/>
        </w:rPr>
      </w:pPr>
    </w:p>
    <w:p>
      <w:pPr>
        <w:snapToGrid w:val="0"/>
        <w:spacing w:line="360" w:lineRule="auto"/>
        <w:ind w:firstLine="723" w:firstLineChars="200"/>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28" w:name="_Toc184308088"/>
      <w:bookmarkEnd w:id="28"/>
      <w:bookmarkStart w:id="29" w:name="_Toc184313259"/>
      <w:bookmarkEnd w:id="29"/>
      <w:bookmarkStart w:id="30" w:name="_Toc184312103"/>
      <w:bookmarkEnd w:id="30"/>
      <w:bookmarkStart w:id="31" w:name="_Toc184313308"/>
      <w:bookmarkEnd w:id="31"/>
      <w:bookmarkStart w:id="32" w:name="_Toc184313275"/>
      <w:bookmarkEnd w:id="32"/>
      <w:bookmarkStart w:id="33" w:name="_Toc184310303"/>
      <w:bookmarkEnd w:id="33"/>
      <w:bookmarkStart w:id="34" w:name="_Toc184310310"/>
      <w:bookmarkEnd w:id="34"/>
      <w:bookmarkStart w:id="35" w:name="_Toc184312084"/>
      <w:bookmarkEnd w:id="35"/>
      <w:bookmarkStart w:id="36" w:name="_Toc184310341"/>
      <w:bookmarkEnd w:id="36"/>
      <w:bookmarkStart w:id="37" w:name="_Toc184310289"/>
      <w:bookmarkEnd w:id="37"/>
      <w:bookmarkStart w:id="38" w:name="_Toc184312114"/>
      <w:bookmarkEnd w:id="38"/>
      <w:bookmarkStart w:id="39" w:name="_Toc184310299"/>
      <w:bookmarkEnd w:id="39"/>
      <w:bookmarkStart w:id="40" w:name="_Toc184314436"/>
      <w:bookmarkEnd w:id="40"/>
      <w:bookmarkStart w:id="41" w:name="_Toc184312138"/>
      <w:bookmarkEnd w:id="41"/>
      <w:bookmarkStart w:id="42" w:name="_Toc184308061"/>
      <w:bookmarkEnd w:id="42"/>
      <w:bookmarkStart w:id="43" w:name="_Toc184312115"/>
      <w:bookmarkEnd w:id="43"/>
      <w:bookmarkStart w:id="44" w:name="_Toc184308039"/>
      <w:bookmarkEnd w:id="44"/>
      <w:bookmarkStart w:id="45" w:name="_Toc184310291"/>
      <w:bookmarkEnd w:id="45"/>
      <w:bookmarkStart w:id="46" w:name="_Toc184314431"/>
      <w:bookmarkEnd w:id="46"/>
      <w:bookmarkStart w:id="47" w:name="_Toc184313269"/>
      <w:bookmarkEnd w:id="47"/>
      <w:bookmarkStart w:id="48" w:name="_Toc184314411"/>
      <w:bookmarkEnd w:id="48"/>
      <w:bookmarkStart w:id="49" w:name="_Toc184310282"/>
      <w:bookmarkEnd w:id="49"/>
      <w:bookmarkStart w:id="50" w:name="_Toc184308085"/>
      <w:bookmarkEnd w:id="50"/>
      <w:bookmarkStart w:id="51" w:name="_Toc184310290"/>
      <w:bookmarkEnd w:id="51"/>
      <w:bookmarkStart w:id="52" w:name="_Toc184314476"/>
      <w:bookmarkEnd w:id="52"/>
      <w:bookmarkStart w:id="53" w:name="_Toc184308048"/>
      <w:bookmarkEnd w:id="53"/>
      <w:bookmarkStart w:id="54" w:name="_Toc184312087"/>
      <w:bookmarkEnd w:id="54"/>
      <w:bookmarkStart w:id="55" w:name="_Toc184308102"/>
      <w:bookmarkEnd w:id="55"/>
      <w:bookmarkStart w:id="56" w:name="_Toc184313302"/>
      <w:bookmarkEnd w:id="56"/>
      <w:bookmarkStart w:id="57" w:name="_Toc184314414"/>
      <w:bookmarkEnd w:id="57"/>
      <w:bookmarkStart w:id="58" w:name="_Toc184310342"/>
      <w:bookmarkEnd w:id="58"/>
      <w:bookmarkStart w:id="59" w:name="_Toc184314459"/>
      <w:bookmarkEnd w:id="59"/>
      <w:bookmarkStart w:id="60" w:name="_Toc184308049"/>
      <w:bookmarkEnd w:id="60"/>
      <w:bookmarkStart w:id="61" w:name="_Toc184312068"/>
      <w:bookmarkEnd w:id="61"/>
      <w:bookmarkStart w:id="62" w:name="_Toc184312092"/>
      <w:bookmarkEnd w:id="62"/>
      <w:bookmarkStart w:id="63" w:name="_Toc184312100"/>
      <w:bookmarkEnd w:id="63"/>
      <w:bookmarkStart w:id="64" w:name="_Toc184313268"/>
      <w:bookmarkEnd w:id="64"/>
      <w:bookmarkStart w:id="65" w:name="_Toc184314440"/>
      <w:bookmarkEnd w:id="65"/>
      <w:bookmarkStart w:id="66" w:name="_Toc184313274"/>
      <w:bookmarkEnd w:id="66"/>
      <w:bookmarkStart w:id="67" w:name="_Toc184313273"/>
      <w:bookmarkEnd w:id="67"/>
      <w:bookmarkStart w:id="68" w:name="_Toc184312136"/>
      <w:bookmarkEnd w:id="68"/>
      <w:bookmarkStart w:id="69" w:name="_Toc184308101"/>
      <w:bookmarkEnd w:id="69"/>
      <w:bookmarkStart w:id="70" w:name="_Toc184312102"/>
      <w:bookmarkEnd w:id="70"/>
      <w:bookmarkStart w:id="71" w:name="_Toc184310327"/>
      <w:bookmarkEnd w:id="71"/>
      <w:bookmarkStart w:id="72" w:name="_Toc184310298"/>
      <w:bookmarkEnd w:id="72"/>
      <w:bookmarkStart w:id="73" w:name="_Toc184308074"/>
      <w:bookmarkEnd w:id="73"/>
      <w:bookmarkStart w:id="74" w:name="_Toc184314460"/>
      <w:bookmarkEnd w:id="74"/>
      <w:bookmarkStart w:id="75" w:name="_Toc184308066"/>
      <w:bookmarkEnd w:id="75"/>
      <w:bookmarkStart w:id="76" w:name="_Toc184310292"/>
      <w:bookmarkEnd w:id="76"/>
      <w:bookmarkStart w:id="77" w:name="_Toc184314438"/>
      <w:bookmarkEnd w:id="77"/>
      <w:bookmarkStart w:id="78" w:name="_Toc184308078"/>
      <w:bookmarkEnd w:id="78"/>
      <w:bookmarkStart w:id="79" w:name="_Toc184310296"/>
      <w:bookmarkEnd w:id="79"/>
      <w:bookmarkStart w:id="80" w:name="_Toc184313295"/>
      <w:bookmarkEnd w:id="80"/>
      <w:bookmarkStart w:id="81" w:name="_Toc184314432"/>
      <w:bookmarkEnd w:id="81"/>
      <w:bookmarkStart w:id="82" w:name="_Toc184308075"/>
      <w:bookmarkEnd w:id="82"/>
      <w:bookmarkStart w:id="83" w:name="_Toc184314441"/>
      <w:bookmarkEnd w:id="83"/>
      <w:bookmarkStart w:id="84" w:name="_Toc184314417"/>
      <w:bookmarkEnd w:id="84"/>
      <w:bookmarkStart w:id="85" w:name="_Toc184314420"/>
      <w:bookmarkEnd w:id="85"/>
      <w:bookmarkStart w:id="86" w:name="_Toc184312079"/>
      <w:bookmarkEnd w:id="86"/>
      <w:bookmarkStart w:id="87" w:name="_Toc184314475"/>
      <w:bookmarkEnd w:id="87"/>
      <w:bookmarkStart w:id="88" w:name="_Toc184310305"/>
      <w:bookmarkEnd w:id="88"/>
      <w:bookmarkStart w:id="89" w:name="_Toc184313239"/>
      <w:bookmarkEnd w:id="89"/>
      <w:bookmarkStart w:id="90" w:name="_Toc184313242"/>
      <w:bookmarkEnd w:id="90"/>
      <w:bookmarkStart w:id="91" w:name="_Toc184310302"/>
      <w:bookmarkEnd w:id="91"/>
      <w:bookmarkStart w:id="92" w:name="_Toc184312108"/>
      <w:bookmarkEnd w:id="92"/>
      <w:bookmarkStart w:id="93" w:name="_Toc184310309"/>
      <w:bookmarkEnd w:id="93"/>
      <w:bookmarkStart w:id="94" w:name="_Toc184313257"/>
      <w:bookmarkEnd w:id="94"/>
      <w:bookmarkStart w:id="95" w:name="_Toc184312083"/>
      <w:bookmarkEnd w:id="95"/>
      <w:bookmarkStart w:id="96" w:name="_Toc184313264"/>
      <w:bookmarkEnd w:id="96"/>
      <w:bookmarkStart w:id="97" w:name="_Toc184314442"/>
      <w:bookmarkEnd w:id="97"/>
      <w:bookmarkStart w:id="98" w:name="_Toc184314465"/>
      <w:bookmarkEnd w:id="98"/>
      <w:bookmarkStart w:id="99" w:name="_Toc184310301"/>
      <w:bookmarkEnd w:id="99"/>
      <w:bookmarkStart w:id="100" w:name="_Toc184308065"/>
      <w:bookmarkEnd w:id="100"/>
      <w:bookmarkStart w:id="101" w:name="_Toc184314467"/>
      <w:bookmarkEnd w:id="101"/>
      <w:bookmarkStart w:id="102" w:name="_Toc184314482"/>
      <w:bookmarkEnd w:id="102"/>
      <w:bookmarkStart w:id="103" w:name="_Toc184310319"/>
      <w:bookmarkEnd w:id="103"/>
      <w:bookmarkStart w:id="104" w:name="_Toc184308082"/>
      <w:bookmarkEnd w:id="104"/>
      <w:bookmarkStart w:id="105" w:name="_Toc184313279"/>
      <w:bookmarkEnd w:id="105"/>
      <w:bookmarkStart w:id="106" w:name="_Toc184308083"/>
      <w:bookmarkEnd w:id="106"/>
      <w:bookmarkStart w:id="107" w:name="_Toc184308052"/>
      <w:bookmarkEnd w:id="107"/>
      <w:bookmarkStart w:id="108" w:name="_Toc184308079"/>
      <w:bookmarkEnd w:id="108"/>
      <w:bookmarkStart w:id="109" w:name="_Toc184308064"/>
      <w:bookmarkEnd w:id="109"/>
      <w:bookmarkStart w:id="110" w:name="_Toc184310293"/>
      <w:bookmarkEnd w:id="110"/>
      <w:bookmarkStart w:id="111" w:name="_Toc184314410"/>
      <w:bookmarkEnd w:id="111"/>
      <w:bookmarkStart w:id="112" w:name="_Toc184313267"/>
      <w:bookmarkEnd w:id="112"/>
      <w:bookmarkStart w:id="113" w:name="_Toc184310274"/>
      <w:bookmarkEnd w:id="113"/>
      <w:bookmarkStart w:id="114" w:name="_Toc184310273"/>
      <w:bookmarkEnd w:id="114"/>
      <w:bookmarkStart w:id="115" w:name="_Toc184312099"/>
      <w:bookmarkEnd w:id="115"/>
      <w:bookmarkStart w:id="116" w:name="_Toc184310311"/>
      <w:bookmarkEnd w:id="116"/>
      <w:bookmarkStart w:id="117" w:name="_Toc184313260"/>
      <w:bookmarkEnd w:id="117"/>
      <w:bookmarkStart w:id="118" w:name="_Toc184312106"/>
      <w:bookmarkEnd w:id="118"/>
      <w:bookmarkStart w:id="119" w:name="_Toc184310324"/>
      <w:bookmarkEnd w:id="119"/>
      <w:bookmarkStart w:id="120" w:name="_Toc184312117"/>
      <w:bookmarkEnd w:id="120"/>
      <w:bookmarkStart w:id="121" w:name="_Toc184310286"/>
      <w:bookmarkEnd w:id="121"/>
      <w:bookmarkStart w:id="122" w:name="_Toc184313252"/>
      <w:bookmarkEnd w:id="122"/>
      <w:bookmarkStart w:id="123" w:name="_Toc184313291"/>
      <w:bookmarkEnd w:id="123"/>
      <w:bookmarkStart w:id="124" w:name="_Toc184312081"/>
      <w:bookmarkEnd w:id="124"/>
      <w:bookmarkStart w:id="125" w:name="_Toc184313256"/>
      <w:bookmarkEnd w:id="125"/>
      <w:bookmarkStart w:id="126" w:name="_Toc184308037"/>
      <w:bookmarkEnd w:id="126"/>
      <w:bookmarkStart w:id="127" w:name="_Toc184313248"/>
      <w:bookmarkEnd w:id="127"/>
      <w:bookmarkStart w:id="128" w:name="_Toc184310300"/>
      <w:bookmarkEnd w:id="128"/>
      <w:bookmarkStart w:id="129" w:name="_Toc184313290"/>
      <w:bookmarkEnd w:id="129"/>
      <w:bookmarkStart w:id="130" w:name="_Toc184312096"/>
      <w:bookmarkEnd w:id="130"/>
      <w:bookmarkStart w:id="131" w:name="_Toc184310285"/>
      <w:bookmarkEnd w:id="131"/>
      <w:bookmarkStart w:id="132" w:name="_Toc184313258"/>
      <w:bookmarkEnd w:id="132"/>
      <w:bookmarkStart w:id="133" w:name="_Toc184312116"/>
      <w:bookmarkEnd w:id="133"/>
      <w:bookmarkStart w:id="134" w:name="_Toc184314434"/>
      <w:bookmarkEnd w:id="134"/>
      <w:bookmarkStart w:id="135" w:name="_Toc184314419"/>
      <w:bookmarkEnd w:id="135"/>
      <w:bookmarkStart w:id="136" w:name="_Toc184308070"/>
      <w:bookmarkEnd w:id="136"/>
      <w:bookmarkStart w:id="137" w:name="_Toc184313255"/>
      <w:bookmarkEnd w:id="137"/>
      <w:bookmarkStart w:id="138" w:name="_Toc184310323"/>
      <w:bookmarkEnd w:id="138"/>
      <w:bookmarkStart w:id="139" w:name="_Toc184313247"/>
      <w:bookmarkEnd w:id="139"/>
      <w:bookmarkStart w:id="140" w:name="_Toc184313272"/>
      <w:bookmarkEnd w:id="140"/>
      <w:bookmarkStart w:id="141" w:name="_Toc184310315"/>
      <w:bookmarkEnd w:id="141"/>
      <w:bookmarkStart w:id="142" w:name="_Toc184313287"/>
      <w:bookmarkEnd w:id="142"/>
      <w:bookmarkStart w:id="143" w:name="_Toc184314426"/>
      <w:bookmarkEnd w:id="143"/>
      <w:bookmarkStart w:id="144" w:name="_Toc184314445"/>
      <w:bookmarkEnd w:id="144"/>
      <w:bookmarkStart w:id="145" w:name="_Toc184313240"/>
      <w:bookmarkEnd w:id="145"/>
      <w:bookmarkStart w:id="146" w:name="_Toc184310283"/>
      <w:bookmarkEnd w:id="146"/>
      <w:bookmarkStart w:id="147" w:name="_Toc184308036"/>
      <w:bookmarkEnd w:id="147"/>
      <w:bookmarkStart w:id="148" w:name="_Toc184310284"/>
      <w:bookmarkEnd w:id="148"/>
      <w:bookmarkStart w:id="149" w:name="_Toc184312074"/>
      <w:bookmarkEnd w:id="149"/>
      <w:bookmarkStart w:id="150" w:name="_Toc184313281"/>
      <w:bookmarkEnd w:id="150"/>
      <w:bookmarkStart w:id="151" w:name="_Toc184314439"/>
      <w:bookmarkEnd w:id="151"/>
      <w:bookmarkStart w:id="152" w:name="_Toc184308040"/>
      <w:bookmarkEnd w:id="152"/>
      <w:bookmarkStart w:id="153" w:name="_Toc184313307"/>
      <w:bookmarkEnd w:id="153"/>
      <w:bookmarkStart w:id="154" w:name="_Toc184314446"/>
      <w:bookmarkEnd w:id="154"/>
      <w:bookmarkStart w:id="155" w:name="_Toc184308071"/>
      <w:bookmarkEnd w:id="155"/>
      <w:bookmarkStart w:id="156" w:name="_Toc184308081"/>
      <w:bookmarkEnd w:id="156"/>
      <w:bookmarkStart w:id="157" w:name="_Toc184312135"/>
      <w:bookmarkEnd w:id="157"/>
      <w:bookmarkStart w:id="158" w:name="_Toc184313261"/>
      <w:bookmarkEnd w:id="158"/>
      <w:bookmarkStart w:id="159" w:name="_Toc184314413"/>
      <w:bookmarkEnd w:id="159"/>
      <w:bookmarkStart w:id="160" w:name="_Toc184314443"/>
      <w:bookmarkEnd w:id="160"/>
      <w:bookmarkStart w:id="161" w:name="_Toc184312086"/>
      <w:bookmarkEnd w:id="161"/>
      <w:bookmarkStart w:id="162" w:name="_Toc184308053"/>
      <w:bookmarkEnd w:id="162"/>
      <w:bookmarkStart w:id="163" w:name="_Toc184312110"/>
      <w:bookmarkEnd w:id="163"/>
      <w:bookmarkStart w:id="164" w:name="_Toc184310343"/>
      <w:bookmarkEnd w:id="164"/>
      <w:bookmarkStart w:id="165" w:name="_Toc184314455"/>
      <w:bookmarkEnd w:id="165"/>
      <w:bookmarkStart w:id="166" w:name="_Toc184310344"/>
      <w:bookmarkEnd w:id="166"/>
      <w:bookmarkStart w:id="167" w:name="_Toc184312077"/>
      <w:bookmarkEnd w:id="167"/>
      <w:bookmarkStart w:id="168" w:name="_Toc184308042"/>
      <w:bookmarkEnd w:id="168"/>
      <w:bookmarkStart w:id="169" w:name="_Toc184313251"/>
      <w:bookmarkEnd w:id="169"/>
      <w:bookmarkStart w:id="170" w:name="_Toc184312093"/>
      <w:bookmarkEnd w:id="170"/>
      <w:bookmarkStart w:id="171" w:name="_Toc184313283"/>
      <w:bookmarkEnd w:id="171"/>
      <w:bookmarkStart w:id="172" w:name="_Toc184308086"/>
      <w:bookmarkEnd w:id="172"/>
      <w:bookmarkStart w:id="173" w:name="_Toc184313270"/>
      <w:bookmarkEnd w:id="173"/>
      <w:bookmarkStart w:id="174" w:name="_Toc184314453"/>
      <w:bookmarkEnd w:id="174"/>
      <w:bookmarkStart w:id="175" w:name="_Toc184312097"/>
      <w:bookmarkEnd w:id="175"/>
      <w:bookmarkStart w:id="176" w:name="_Toc184308108"/>
      <w:bookmarkEnd w:id="176"/>
      <w:bookmarkStart w:id="177" w:name="_Toc184308069"/>
      <w:bookmarkEnd w:id="177"/>
      <w:bookmarkStart w:id="178" w:name="_Toc184313262"/>
      <w:bookmarkEnd w:id="178"/>
      <w:bookmarkStart w:id="179" w:name="_Toc184310308"/>
      <w:bookmarkEnd w:id="179"/>
      <w:bookmarkStart w:id="180" w:name="_Toc184312101"/>
      <w:bookmarkEnd w:id="180"/>
      <w:bookmarkStart w:id="181" w:name="_Toc184310281"/>
      <w:bookmarkEnd w:id="181"/>
      <w:bookmarkStart w:id="182" w:name="_Toc184308038"/>
      <w:bookmarkEnd w:id="182"/>
      <w:bookmarkStart w:id="183" w:name="_Toc184312131"/>
      <w:bookmarkEnd w:id="183"/>
      <w:bookmarkStart w:id="184" w:name="_Toc184310275"/>
      <w:bookmarkEnd w:id="184"/>
      <w:bookmarkStart w:id="185" w:name="_Toc184312078"/>
      <w:bookmarkEnd w:id="185"/>
      <w:bookmarkStart w:id="186" w:name="_Toc184313254"/>
      <w:bookmarkEnd w:id="186"/>
      <w:bookmarkStart w:id="187" w:name="_Toc184308060"/>
      <w:bookmarkEnd w:id="187"/>
      <w:bookmarkStart w:id="188" w:name="_Toc184312070"/>
      <w:bookmarkEnd w:id="188"/>
      <w:bookmarkStart w:id="189" w:name="_Toc184314444"/>
      <w:bookmarkEnd w:id="189"/>
      <w:bookmarkStart w:id="190" w:name="_Toc184313303"/>
      <w:bookmarkEnd w:id="190"/>
      <w:bookmarkStart w:id="191" w:name="_Toc184312094"/>
      <w:bookmarkEnd w:id="191"/>
      <w:bookmarkStart w:id="192" w:name="_Toc184314425"/>
      <w:bookmarkEnd w:id="192"/>
      <w:bookmarkStart w:id="193" w:name="_Toc184312098"/>
      <w:bookmarkEnd w:id="193"/>
      <w:bookmarkStart w:id="194" w:name="_Toc184314447"/>
      <w:bookmarkEnd w:id="194"/>
      <w:bookmarkStart w:id="195" w:name="_Toc184310322"/>
      <w:bookmarkEnd w:id="195"/>
      <w:bookmarkStart w:id="196" w:name="_Toc184310288"/>
      <w:bookmarkEnd w:id="196"/>
      <w:bookmarkStart w:id="197" w:name="_Toc184310272"/>
      <w:bookmarkEnd w:id="197"/>
      <w:bookmarkStart w:id="198" w:name="_Toc184314437"/>
      <w:bookmarkEnd w:id="198"/>
      <w:bookmarkStart w:id="199" w:name="_Toc184310339"/>
      <w:bookmarkEnd w:id="199"/>
      <w:bookmarkStart w:id="200" w:name="_Toc184310325"/>
      <w:bookmarkEnd w:id="200"/>
      <w:bookmarkStart w:id="201" w:name="_Toc184308090"/>
      <w:bookmarkEnd w:id="201"/>
      <w:bookmarkStart w:id="202" w:name="_Toc184313253"/>
      <w:bookmarkEnd w:id="202"/>
      <w:bookmarkStart w:id="203" w:name="_Toc184310337"/>
      <w:bookmarkEnd w:id="203"/>
      <w:bookmarkStart w:id="204" w:name="_Toc184310317"/>
      <w:bookmarkEnd w:id="204"/>
      <w:bookmarkStart w:id="205" w:name="_Toc184310280"/>
      <w:bookmarkEnd w:id="205"/>
      <w:bookmarkStart w:id="206" w:name="_Toc184312095"/>
      <w:bookmarkEnd w:id="206"/>
      <w:bookmarkStart w:id="207" w:name="_Toc184312075"/>
      <w:bookmarkEnd w:id="207"/>
      <w:bookmarkStart w:id="208" w:name="_Toc184312088"/>
      <w:bookmarkEnd w:id="208"/>
      <w:bookmarkStart w:id="209" w:name="_Toc184313282"/>
      <w:bookmarkEnd w:id="209"/>
      <w:bookmarkStart w:id="210" w:name="_Toc184312067"/>
      <w:bookmarkEnd w:id="210"/>
      <w:bookmarkStart w:id="211" w:name="_Toc184312069"/>
      <w:bookmarkEnd w:id="211"/>
      <w:bookmarkStart w:id="212" w:name="_Toc184314449"/>
      <w:bookmarkEnd w:id="212"/>
      <w:bookmarkStart w:id="213" w:name="_Toc184312112"/>
      <w:bookmarkEnd w:id="213"/>
      <w:bookmarkStart w:id="214" w:name="_Toc184308047"/>
      <w:bookmarkEnd w:id="214"/>
      <w:bookmarkStart w:id="215" w:name="_Toc184312085"/>
      <w:bookmarkEnd w:id="215"/>
      <w:bookmarkStart w:id="216" w:name="_Toc184312133"/>
      <w:bookmarkEnd w:id="216"/>
      <w:bookmarkStart w:id="217" w:name="_Toc184313271"/>
      <w:bookmarkEnd w:id="217"/>
      <w:bookmarkStart w:id="218" w:name="_Toc184308041"/>
      <w:bookmarkEnd w:id="218"/>
      <w:bookmarkStart w:id="219" w:name="_Toc184308057"/>
      <w:bookmarkEnd w:id="219"/>
      <w:bookmarkStart w:id="220" w:name="_Toc184314428"/>
      <w:bookmarkEnd w:id="220"/>
      <w:bookmarkStart w:id="221" w:name="_Toc184310340"/>
      <w:bookmarkEnd w:id="221"/>
      <w:bookmarkStart w:id="222" w:name="_Toc184312076"/>
      <w:bookmarkEnd w:id="222"/>
      <w:bookmarkStart w:id="223" w:name="_Toc184314471"/>
      <w:bookmarkEnd w:id="223"/>
      <w:bookmarkStart w:id="224" w:name="_Toc184314454"/>
      <w:bookmarkEnd w:id="224"/>
      <w:bookmarkStart w:id="225" w:name="_Toc184314450"/>
      <w:bookmarkEnd w:id="225"/>
      <w:bookmarkStart w:id="226" w:name="_Toc184313266"/>
      <w:bookmarkEnd w:id="226"/>
      <w:bookmarkStart w:id="227" w:name="_Toc184313309"/>
      <w:bookmarkEnd w:id="227"/>
      <w:bookmarkStart w:id="228" w:name="_Toc184308055"/>
      <w:bookmarkEnd w:id="228"/>
      <w:bookmarkStart w:id="229" w:name="_Toc184308096"/>
      <w:bookmarkEnd w:id="229"/>
      <w:bookmarkStart w:id="230" w:name="_Toc184313244"/>
      <w:bookmarkEnd w:id="230"/>
      <w:bookmarkStart w:id="231" w:name="_Toc184314478"/>
      <w:bookmarkEnd w:id="231"/>
      <w:bookmarkStart w:id="232" w:name="_Toc184310331"/>
      <w:bookmarkEnd w:id="232"/>
      <w:bookmarkStart w:id="233" w:name="_Toc184308044"/>
      <w:bookmarkEnd w:id="233"/>
      <w:bookmarkStart w:id="234" w:name="_Toc184313292"/>
      <w:bookmarkEnd w:id="234"/>
      <w:bookmarkStart w:id="235" w:name="_Toc184314468"/>
      <w:bookmarkEnd w:id="235"/>
      <w:bookmarkStart w:id="236" w:name="_Toc184314418"/>
      <w:bookmarkEnd w:id="236"/>
      <w:bookmarkStart w:id="237" w:name="_Toc184308054"/>
      <w:bookmarkEnd w:id="237"/>
      <w:bookmarkStart w:id="238" w:name="_Toc184314472"/>
      <w:bookmarkEnd w:id="238"/>
      <w:bookmarkStart w:id="239" w:name="_Toc184314430"/>
      <w:bookmarkEnd w:id="239"/>
      <w:bookmarkStart w:id="240" w:name="_Toc184313284"/>
      <w:bookmarkEnd w:id="240"/>
      <w:bookmarkStart w:id="241" w:name="_Toc184308104"/>
      <w:bookmarkEnd w:id="241"/>
      <w:bookmarkStart w:id="242" w:name="_Toc184308067"/>
      <w:bookmarkEnd w:id="242"/>
      <w:bookmarkStart w:id="243" w:name="_Toc184312073"/>
      <w:bookmarkEnd w:id="243"/>
      <w:bookmarkStart w:id="244" w:name="_Toc184310316"/>
      <w:bookmarkEnd w:id="244"/>
      <w:bookmarkStart w:id="245" w:name="_Toc184308043"/>
      <w:bookmarkEnd w:id="245"/>
      <w:bookmarkStart w:id="246" w:name="_Toc184312072"/>
      <w:bookmarkEnd w:id="246"/>
      <w:bookmarkStart w:id="247" w:name="_Toc184310329"/>
      <w:bookmarkEnd w:id="247"/>
      <w:bookmarkStart w:id="248" w:name="_Toc184312111"/>
      <w:bookmarkEnd w:id="248"/>
      <w:bookmarkStart w:id="249" w:name="_Toc184312129"/>
      <w:bookmarkEnd w:id="249"/>
      <w:bookmarkStart w:id="250" w:name="_Toc184308094"/>
      <w:bookmarkEnd w:id="250"/>
      <w:bookmarkStart w:id="251" w:name="_Toc184313276"/>
      <w:bookmarkEnd w:id="251"/>
      <w:bookmarkStart w:id="252" w:name="_Toc184310338"/>
      <w:bookmarkEnd w:id="252"/>
      <w:bookmarkStart w:id="253" w:name="_Toc184314458"/>
      <w:bookmarkEnd w:id="253"/>
      <w:bookmarkStart w:id="254" w:name="_Toc184308076"/>
      <w:bookmarkEnd w:id="254"/>
      <w:bookmarkStart w:id="255" w:name="_Toc184308045"/>
      <w:bookmarkEnd w:id="255"/>
      <w:bookmarkStart w:id="256" w:name="_Toc184313294"/>
      <w:bookmarkEnd w:id="256"/>
      <w:bookmarkStart w:id="257" w:name="_Toc184310335"/>
      <w:bookmarkEnd w:id="257"/>
      <w:bookmarkStart w:id="258" w:name="_Toc184314477"/>
      <w:bookmarkEnd w:id="258"/>
      <w:bookmarkStart w:id="259" w:name="_Toc184313263"/>
      <w:bookmarkEnd w:id="259"/>
      <w:bookmarkStart w:id="260" w:name="_Toc184310294"/>
      <w:bookmarkEnd w:id="260"/>
      <w:bookmarkStart w:id="261" w:name="_Toc184310314"/>
      <w:bookmarkEnd w:id="261"/>
      <w:bookmarkStart w:id="262" w:name="_Toc184308097"/>
      <w:bookmarkEnd w:id="262"/>
      <w:bookmarkStart w:id="263" w:name="_Toc184314470"/>
      <w:bookmarkEnd w:id="263"/>
      <w:bookmarkStart w:id="264" w:name="_Toc184310318"/>
      <w:bookmarkEnd w:id="264"/>
      <w:bookmarkStart w:id="265" w:name="_Toc184314412"/>
      <w:bookmarkEnd w:id="265"/>
      <w:bookmarkStart w:id="266" w:name="_Toc184308046"/>
      <w:bookmarkEnd w:id="266"/>
      <w:bookmarkStart w:id="267" w:name="_Toc184314464"/>
      <w:bookmarkEnd w:id="267"/>
      <w:bookmarkStart w:id="268" w:name="_Toc184310336"/>
      <w:bookmarkEnd w:id="268"/>
      <w:bookmarkStart w:id="269" w:name="_Toc184312105"/>
      <w:bookmarkEnd w:id="269"/>
      <w:bookmarkStart w:id="270" w:name="_Toc184313277"/>
      <w:bookmarkEnd w:id="270"/>
      <w:bookmarkStart w:id="271" w:name="_Toc184310312"/>
      <w:bookmarkEnd w:id="271"/>
      <w:bookmarkStart w:id="272" w:name="_Toc184314473"/>
      <w:bookmarkEnd w:id="272"/>
      <w:bookmarkStart w:id="273" w:name="_Toc184313296"/>
      <w:bookmarkEnd w:id="273"/>
      <w:bookmarkStart w:id="274" w:name="_Toc184313288"/>
      <w:bookmarkEnd w:id="274"/>
      <w:bookmarkStart w:id="275" w:name="_Toc184312104"/>
      <w:bookmarkEnd w:id="275"/>
      <w:bookmarkStart w:id="276" w:name="_Toc184308068"/>
      <w:bookmarkEnd w:id="276"/>
      <w:bookmarkStart w:id="277" w:name="_Toc184308080"/>
      <w:bookmarkEnd w:id="277"/>
      <w:bookmarkStart w:id="278" w:name="_Toc184310277"/>
      <w:bookmarkEnd w:id="278"/>
      <w:bookmarkStart w:id="279" w:name="_Toc184314433"/>
      <w:bookmarkEnd w:id="279"/>
      <w:bookmarkStart w:id="280" w:name="_Toc184314429"/>
      <w:bookmarkEnd w:id="280"/>
      <w:bookmarkStart w:id="281" w:name="_Toc184313306"/>
      <w:bookmarkEnd w:id="281"/>
      <w:bookmarkStart w:id="282" w:name="_Toc184312107"/>
      <w:bookmarkEnd w:id="282"/>
      <w:bookmarkStart w:id="283" w:name="_Toc184313243"/>
      <w:bookmarkEnd w:id="283"/>
      <w:bookmarkStart w:id="284" w:name="_Toc184310333"/>
      <w:bookmarkEnd w:id="284"/>
      <w:bookmarkStart w:id="285" w:name="_Toc184310279"/>
      <w:bookmarkEnd w:id="285"/>
      <w:bookmarkStart w:id="286" w:name="_Toc184312082"/>
      <w:bookmarkEnd w:id="286"/>
      <w:bookmarkStart w:id="287" w:name="_Toc184310297"/>
      <w:bookmarkEnd w:id="287"/>
      <w:bookmarkStart w:id="288" w:name="_Toc184314416"/>
      <w:bookmarkEnd w:id="288"/>
      <w:bookmarkStart w:id="289" w:name="_Toc184308106"/>
      <w:bookmarkEnd w:id="289"/>
      <w:bookmarkStart w:id="290" w:name="_Toc184312122"/>
      <w:bookmarkEnd w:id="290"/>
      <w:bookmarkStart w:id="291" w:name="_Toc184314469"/>
      <w:bookmarkEnd w:id="291"/>
      <w:bookmarkStart w:id="292" w:name="_Toc184310326"/>
      <w:bookmarkEnd w:id="292"/>
      <w:bookmarkStart w:id="293" w:name="_Toc184313278"/>
      <w:bookmarkEnd w:id="293"/>
      <w:bookmarkStart w:id="294" w:name="_Toc184312127"/>
      <w:bookmarkEnd w:id="294"/>
      <w:bookmarkStart w:id="295" w:name="_Toc184314452"/>
      <w:bookmarkEnd w:id="295"/>
      <w:bookmarkStart w:id="296" w:name="_Toc184312071"/>
      <w:bookmarkEnd w:id="296"/>
      <w:bookmarkStart w:id="297" w:name="_Toc184308062"/>
      <w:bookmarkEnd w:id="297"/>
      <w:bookmarkStart w:id="298" w:name="_Toc184312118"/>
      <w:bookmarkEnd w:id="298"/>
      <w:bookmarkStart w:id="299" w:name="_Toc184308050"/>
      <w:bookmarkEnd w:id="299"/>
      <w:bookmarkStart w:id="300" w:name="_Toc184313245"/>
      <w:bookmarkEnd w:id="300"/>
      <w:bookmarkStart w:id="301" w:name="_Toc184314474"/>
      <w:bookmarkEnd w:id="301"/>
      <w:bookmarkStart w:id="302" w:name="_Toc184312089"/>
      <w:bookmarkEnd w:id="302"/>
      <w:bookmarkStart w:id="303" w:name="_Toc184310304"/>
      <w:bookmarkEnd w:id="303"/>
      <w:bookmarkStart w:id="304" w:name="_Toc184308103"/>
      <w:bookmarkEnd w:id="304"/>
      <w:bookmarkStart w:id="305" w:name="_Toc184312128"/>
      <w:bookmarkEnd w:id="305"/>
      <w:bookmarkStart w:id="306" w:name="_Toc184308056"/>
      <w:bookmarkEnd w:id="306"/>
      <w:bookmarkStart w:id="307" w:name="_Toc184312134"/>
      <w:bookmarkEnd w:id="307"/>
      <w:bookmarkStart w:id="308" w:name="_Toc184310306"/>
      <w:bookmarkEnd w:id="308"/>
      <w:bookmarkStart w:id="309" w:name="_Toc184308105"/>
      <w:bookmarkEnd w:id="309"/>
      <w:bookmarkStart w:id="310" w:name="_Toc184310287"/>
      <w:bookmarkEnd w:id="310"/>
      <w:bookmarkStart w:id="311" w:name="_Toc184310320"/>
      <w:bookmarkEnd w:id="311"/>
      <w:bookmarkStart w:id="312" w:name="_Toc184314448"/>
      <w:bookmarkEnd w:id="312"/>
      <w:bookmarkStart w:id="313" w:name="_Toc184314481"/>
      <w:bookmarkEnd w:id="313"/>
      <w:bookmarkStart w:id="314" w:name="_Toc184313280"/>
      <w:bookmarkEnd w:id="314"/>
      <w:bookmarkStart w:id="315" w:name="_Toc184310332"/>
      <w:bookmarkEnd w:id="315"/>
      <w:bookmarkStart w:id="316" w:name="_Toc184314479"/>
      <w:bookmarkEnd w:id="316"/>
      <w:bookmarkStart w:id="317" w:name="_Toc184312130"/>
      <w:bookmarkEnd w:id="317"/>
      <w:bookmarkStart w:id="318" w:name="_Toc184314462"/>
      <w:bookmarkEnd w:id="318"/>
      <w:bookmarkStart w:id="319" w:name="_Toc184313286"/>
      <w:bookmarkEnd w:id="319"/>
      <w:bookmarkStart w:id="320" w:name="_Toc184313250"/>
      <w:bookmarkEnd w:id="320"/>
      <w:bookmarkStart w:id="321" w:name="_Toc184310330"/>
      <w:bookmarkEnd w:id="321"/>
      <w:bookmarkStart w:id="322" w:name="_Toc184314435"/>
      <w:bookmarkEnd w:id="322"/>
      <w:bookmarkStart w:id="323" w:name="_Toc184313265"/>
      <w:bookmarkEnd w:id="323"/>
      <w:bookmarkStart w:id="324" w:name="_Toc184313238"/>
      <w:bookmarkEnd w:id="324"/>
      <w:bookmarkStart w:id="325" w:name="_Toc184313299"/>
      <w:bookmarkEnd w:id="325"/>
      <w:bookmarkStart w:id="326" w:name="_Toc184312091"/>
      <w:bookmarkEnd w:id="326"/>
      <w:bookmarkStart w:id="327" w:name="_Toc184314457"/>
      <w:bookmarkEnd w:id="327"/>
      <w:bookmarkStart w:id="328" w:name="_Toc184308089"/>
      <w:bookmarkEnd w:id="328"/>
      <w:bookmarkStart w:id="329" w:name="_Toc184310328"/>
      <w:bookmarkEnd w:id="329"/>
      <w:bookmarkStart w:id="330" w:name="_Toc184313310"/>
      <w:bookmarkEnd w:id="330"/>
      <w:bookmarkStart w:id="331" w:name="_Toc184314427"/>
      <w:bookmarkEnd w:id="331"/>
      <w:bookmarkStart w:id="332" w:name="_Toc184312109"/>
      <w:bookmarkEnd w:id="332"/>
      <w:bookmarkStart w:id="333" w:name="_Toc184314463"/>
      <w:bookmarkEnd w:id="333"/>
      <w:bookmarkStart w:id="334" w:name="_Toc184313305"/>
      <w:bookmarkEnd w:id="334"/>
      <w:bookmarkStart w:id="335" w:name="_Toc184313304"/>
      <w:bookmarkEnd w:id="335"/>
      <w:bookmarkStart w:id="336" w:name="_Toc184312123"/>
      <w:bookmarkEnd w:id="336"/>
      <w:bookmarkStart w:id="337" w:name="_Toc184314423"/>
      <w:bookmarkEnd w:id="337"/>
      <w:bookmarkStart w:id="338" w:name="_Toc184313298"/>
      <w:bookmarkEnd w:id="338"/>
      <w:bookmarkStart w:id="339" w:name="_Toc184308093"/>
      <w:bookmarkEnd w:id="339"/>
      <w:bookmarkStart w:id="340" w:name="_Toc184310321"/>
      <w:bookmarkEnd w:id="340"/>
      <w:bookmarkStart w:id="341" w:name="_Toc184314422"/>
      <w:bookmarkEnd w:id="341"/>
      <w:bookmarkStart w:id="342" w:name="_Toc184312126"/>
      <w:bookmarkEnd w:id="342"/>
      <w:bookmarkStart w:id="343" w:name="_Toc184310278"/>
      <w:bookmarkEnd w:id="343"/>
      <w:bookmarkStart w:id="344" w:name="_Toc184312121"/>
      <w:bookmarkEnd w:id="344"/>
      <w:bookmarkStart w:id="345" w:name="_Toc184308098"/>
      <w:bookmarkEnd w:id="345"/>
      <w:bookmarkStart w:id="346" w:name="_Toc184308073"/>
      <w:bookmarkEnd w:id="346"/>
      <w:bookmarkStart w:id="347" w:name="_Toc184308058"/>
      <w:bookmarkEnd w:id="347"/>
      <w:bookmarkStart w:id="348" w:name="_Toc184308059"/>
      <w:bookmarkEnd w:id="348"/>
      <w:bookmarkStart w:id="349" w:name="_Toc184312125"/>
      <w:bookmarkEnd w:id="349"/>
      <w:bookmarkStart w:id="350" w:name="_Toc184314456"/>
      <w:bookmarkEnd w:id="350"/>
      <w:bookmarkStart w:id="351" w:name="_Toc184308091"/>
      <w:bookmarkEnd w:id="351"/>
      <w:bookmarkStart w:id="352" w:name="_Toc184308092"/>
      <w:bookmarkEnd w:id="352"/>
      <w:bookmarkStart w:id="353" w:name="_Toc184312090"/>
      <w:bookmarkEnd w:id="353"/>
      <w:bookmarkStart w:id="354" w:name="_Toc184308051"/>
      <w:bookmarkEnd w:id="354"/>
      <w:bookmarkStart w:id="355" w:name="_Toc184312132"/>
      <w:bookmarkEnd w:id="355"/>
      <w:bookmarkStart w:id="356" w:name="_Toc184314466"/>
      <w:bookmarkEnd w:id="356"/>
      <w:bookmarkStart w:id="357" w:name="_Toc184313246"/>
      <w:bookmarkEnd w:id="357"/>
      <w:bookmarkStart w:id="358" w:name="_Toc184313293"/>
      <w:bookmarkEnd w:id="358"/>
      <w:bookmarkStart w:id="359" w:name="_Toc184308087"/>
      <w:bookmarkEnd w:id="359"/>
      <w:bookmarkStart w:id="360" w:name="_Toc184310276"/>
      <w:bookmarkEnd w:id="360"/>
      <w:bookmarkStart w:id="361" w:name="_Toc184312124"/>
      <w:bookmarkEnd w:id="361"/>
      <w:bookmarkStart w:id="362" w:name="_Toc184310334"/>
      <w:bookmarkEnd w:id="362"/>
      <w:bookmarkStart w:id="363" w:name="_Toc184314480"/>
      <w:bookmarkEnd w:id="363"/>
      <w:bookmarkStart w:id="364" w:name="_Toc184314424"/>
      <w:bookmarkEnd w:id="364"/>
      <w:bookmarkStart w:id="365" w:name="_Toc184313301"/>
      <w:bookmarkEnd w:id="365"/>
      <w:bookmarkStart w:id="366" w:name="_Toc184313285"/>
      <w:bookmarkEnd w:id="366"/>
      <w:bookmarkStart w:id="367" w:name="_Toc184308072"/>
      <w:bookmarkEnd w:id="367"/>
      <w:bookmarkStart w:id="368" w:name="_Toc184312120"/>
      <w:bookmarkEnd w:id="368"/>
      <w:bookmarkStart w:id="369" w:name="_Toc184308100"/>
      <w:bookmarkEnd w:id="369"/>
      <w:bookmarkStart w:id="370" w:name="_Toc184313241"/>
      <w:bookmarkEnd w:id="370"/>
      <w:bookmarkStart w:id="371" w:name="_Toc184313297"/>
      <w:bookmarkEnd w:id="371"/>
      <w:bookmarkStart w:id="372" w:name="_Toc184312113"/>
      <w:bookmarkEnd w:id="372"/>
      <w:bookmarkStart w:id="373" w:name="_Toc184310295"/>
      <w:bookmarkEnd w:id="373"/>
      <w:bookmarkStart w:id="374" w:name="_Toc184314451"/>
      <w:bookmarkEnd w:id="374"/>
      <w:bookmarkStart w:id="375" w:name="_Toc184308099"/>
      <w:bookmarkEnd w:id="375"/>
      <w:bookmarkStart w:id="376" w:name="_Toc184314421"/>
      <w:bookmarkEnd w:id="376"/>
      <w:bookmarkStart w:id="377" w:name="_Toc184310307"/>
      <w:bookmarkEnd w:id="377"/>
      <w:bookmarkStart w:id="378" w:name="_Toc184308107"/>
      <w:bookmarkEnd w:id="378"/>
      <w:bookmarkStart w:id="379" w:name="_Toc184313300"/>
      <w:bookmarkEnd w:id="379"/>
      <w:bookmarkStart w:id="380" w:name="_Toc184308095"/>
      <w:bookmarkEnd w:id="380"/>
      <w:bookmarkStart w:id="381" w:name="_Toc184313289"/>
      <w:bookmarkEnd w:id="381"/>
      <w:bookmarkStart w:id="382" w:name="_Toc184314415"/>
      <w:bookmarkEnd w:id="382"/>
      <w:bookmarkStart w:id="383" w:name="_Toc184308063"/>
      <w:bookmarkEnd w:id="383"/>
      <w:bookmarkStart w:id="384" w:name="_Toc184312119"/>
      <w:bookmarkEnd w:id="384"/>
      <w:bookmarkStart w:id="385" w:name="_Toc184312080"/>
      <w:bookmarkEnd w:id="385"/>
      <w:bookmarkStart w:id="386" w:name="_Toc184312137"/>
      <w:bookmarkEnd w:id="386"/>
      <w:bookmarkStart w:id="387" w:name="_Toc184313249"/>
      <w:bookmarkEnd w:id="387"/>
      <w:bookmarkStart w:id="388" w:name="_Toc184314461"/>
      <w:bookmarkEnd w:id="388"/>
      <w:bookmarkStart w:id="389" w:name="_Toc184308077"/>
      <w:bookmarkEnd w:id="389"/>
      <w:bookmarkStart w:id="390" w:name="_Toc184308084"/>
      <w:bookmarkEnd w:id="390"/>
      <w:bookmarkStart w:id="391" w:name="_Toc184312139"/>
      <w:bookmarkEnd w:id="391"/>
      <w:bookmarkStart w:id="392" w:name="_Toc184310313"/>
      <w:bookmarkEnd w:id="392"/>
      <w:r>
        <w:rPr>
          <w:rFonts w:hint="eastAsia" w:ascii="仿宋" w:hAnsi="仿宋" w:eastAsia="仿宋" w:cs="仿宋_GB2312"/>
          <w:b/>
          <w:color w:val="auto"/>
          <w:sz w:val="36"/>
          <w:szCs w:val="36"/>
          <w:highlight w:val="none"/>
        </w:rPr>
        <w:t>评标办法</w:t>
      </w:r>
    </w:p>
    <w:p>
      <w:pPr>
        <w:snapToGrid w:val="0"/>
        <w:spacing w:line="360" w:lineRule="auto"/>
        <w:jc w:val="center"/>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p>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价格分（共</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0分）</w:t>
      </w:r>
    </w:p>
    <w:tbl>
      <w:tblPr>
        <w:tblStyle w:val="62"/>
        <w:tblpPr w:leftFromText="180" w:rightFromText="180" w:vertAnchor="text" w:horzAnchor="page" w:tblpX="1960" w:tblpY="255"/>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196" w:type="dxa"/>
            <w:noWrap w:val="0"/>
            <w:vAlign w:val="top"/>
          </w:tcPr>
          <w:p>
            <w:pPr>
              <w:spacing w:before="0" w:beforeAutospacing="0" w:after="0" w:afterAutospacing="0" w:line="360" w:lineRule="auto"/>
              <w:ind w:left="0" w:right="0"/>
              <w:outlineLvl w:val="0"/>
              <w:rPr>
                <w:rFonts w:hint="eastAsia"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有效投标报价的最低价作为评标基准价，其最低报价为满分；按［投标报价得分=（评标基准价/投标报价）*</w:t>
            </w:r>
            <w:r>
              <w:rPr>
                <w:rFonts w:hint="eastAsia" w:ascii="仿宋" w:hAnsi="仿宋" w:eastAsia="仿宋" w:cs="仿宋_GB2312"/>
                <w:color w:val="auto"/>
                <w:sz w:val="24"/>
                <w:szCs w:val="20"/>
                <w:highlight w:val="none"/>
                <w:lang w:val="en-US" w:eastAsia="zh-CN"/>
              </w:rPr>
              <w:t>10</w:t>
            </w:r>
            <w:r>
              <w:rPr>
                <w:rFonts w:hint="eastAsia" w:ascii="仿宋" w:hAnsi="仿宋" w:eastAsia="仿宋" w:cs="仿宋_GB2312"/>
                <w:color w:val="auto"/>
                <w:sz w:val="24"/>
                <w:szCs w:val="20"/>
                <w:highlight w:val="none"/>
              </w:rPr>
              <w:t>］的计算公式计算。</w:t>
            </w:r>
          </w:p>
          <w:p>
            <w:pPr>
              <w:widowControl/>
              <w:shd w:val="clear" w:color="auto" w:fill="FFFFFF"/>
              <w:spacing w:before="0" w:beforeAutospacing="0" w:after="225" w:afterAutospacing="0" w:line="315" w:lineRule="atLeast"/>
              <w:ind w:left="0" w:right="0" w:firstLine="420"/>
              <w:jc w:val="left"/>
              <w:rPr>
                <w:rFonts w:hint="eastAsia"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评标过程中，不得去掉报价中的最高报价和最低报价。</w:t>
            </w:r>
          </w:p>
          <w:p>
            <w:pPr>
              <w:widowControl/>
              <w:shd w:val="clear" w:color="auto" w:fill="FFFFFF"/>
              <w:spacing w:before="0" w:beforeAutospacing="0" w:after="225" w:afterAutospacing="0" w:line="315" w:lineRule="atLeast"/>
              <w:ind w:left="0" w:right="0" w:firstLine="420"/>
              <w:jc w:val="left"/>
              <w:rPr>
                <w:rFonts w:hint="eastAsia" w:ascii="仿宋" w:hAnsi="Times New Roman" w:eastAsia="仿宋" w:cs="Times New Roman"/>
                <w:color w:val="auto"/>
                <w:sz w:val="24"/>
                <w:szCs w:val="20"/>
                <w:highlight w:val="none"/>
              </w:rPr>
            </w:pPr>
            <w:r>
              <w:rPr>
                <w:rFonts w:hint="eastAsia" w:ascii="仿宋" w:hAnsi="仿宋" w:eastAsia="仿宋" w:cs="仿宋_GB2312"/>
                <w:color w:val="auto"/>
                <w:sz w:val="24"/>
                <w:szCs w:val="20"/>
                <w:highlight w:val="none"/>
              </w:rPr>
              <w:t>因落实政府采购政策需要进行价格调整的，以调整后的价格计算评标基准价和投标报价。</w:t>
            </w:r>
          </w:p>
        </w:tc>
        <w:tc>
          <w:tcPr>
            <w:tcW w:w="1134" w:type="dxa"/>
            <w:noWrap w:val="0"/>
            <w:vAlign w:val="center"/>
          </w:tcPr>
          <w:p>
            <w:pPr>
              <w:spacing w:before="0" w:beforeAutospacing="0" w:after="0" w:afterAutospacing="0" w:line="360" w:lineRule="auto"/>
              <w:ind w:left="0" w:right="0" w:firstLine="120" w:firstLineChars="50"/>
              <w:outlineLvl w:val="0"/>
              <w:rPr>
                <w:rFonts w:hint="eastAsia"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lang w:val="en-US" w:eastAsia="zh-CN"/>
              </w:rPr>
              <w:t>10</w:t>
            </w:r>
            <w:r>
              <w:rPr>
                <w:rFonts w:hint="eastAsia" w:ascii="仿宋" w:hAnsi="仿宋" w:eastAsia="仿宋" w:cs="仿宋_GB2312"/>
                <w:color w:val="auto"/>
                <w:sz w:val="24"/>
                <w:szCs w:val="20"/>
                <w:highlight w:val="none"/>
              </w:rPr>
              <w:t>分</w:t>
            </w:r>
          </w:p>
        </w:tc>
      </w:tr>
    </w:tbl>
    <w:p>
      <w:pPr>
        <w:pStyle w:val="26"/>
        <w:ind w:left="0" w:leftChars="0" w:firstLine="0" w:firstLineChars="0"/>
        <w:rPr>
          <w:rFonts w:hint="default" w:eastAsia="宋体"/>
          <w:color w:val="auto"/>
          <w:highlight w:val="none"/>
          <w:lang w:val="en-US" w:eastAsia="zh-CN"/>
        </w:rPr>
      </w:pPr>
      <w:r>
        <w:rPr>
          <w:rFonts w:hint="eastAsia" w:ascii="仿宋" w:hAnsi="仿宋" w:eastAsia="仿宋" w:cs="仿宋"/>
          <w:b/>
          <w:bCs/>
          <w:color w:val="auto"/>
          <w:kern w:val="2"/>
          <w:sz w:val="24"/>
          <w:szCs w:val="24"/>
          <w:highlight w:val="none"/>
          <w:lang w:val="en-US" w:eastAsia="zh-CN" w:bidi="ar-SA"/>
        </w:rPr>
        <w:t>商务技术分(共90分）</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273"/>
        <w:gridCol w:w="5882"/>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noWrap w:val="0"/>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序号</w:t>
            </w:r>
          </w:p>
        </w:tc>
        <w:tc>
          <w:tcPr>
            <w:tcW w:w="1276" w:type="dxa"/>
            <w:noWrap w:val="0"/>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评分内容</w:t>
            </w:r>
          </w:p>
        </w:tc>
        <w:tc>
          <w:tcPr>
            <w:tcW w:w="5904" w:type="dxa"/>
            <w:noWrap w:val="0"/>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备注</w:t>
            </w:r>
          </w:p>
        </w:tc>
        <w:tc>
          <w:tcPr>
            <w:tcW w:w="687" w:type="dxa"/>
            <w:noWrap w:val="0"/>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Merge w:val="restart"/>
            <w:noWrap w:val="0"/>
            <w:vAlign w:val="center"/>
          </w:tcPr>
          <w:p>
            <w:pPr>
              <w:spacing w:line="360" w:lineRule="auto"/>
              <w:jc w:val="center"/>
              <w:rPr>
                <w:rFonts w:hint="eastAsia" w:ascii="仿宋" w:hAnsi="仿宋" w:eastAsia="仿宋" w:cs="仿宋"/>
                <w:color w:val="auto"/>
                <w:sz w:val="24"/>
                <w:szCs w:val="24"/>
              </w:rPr>
            </w:pPr>
          </w:p>
        </w:tc>
        <w:tc>
          <w:tcPr>
            <w:tcW w:w="1276" w:type="dxa"/>
            <w:vMerge w:val="restart"/>
            <w:noWrap w:val="0"/>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投标供应商综合实力</w:t>
            </w:r>
          </w:p>
          <w:p>
            <w:pPr>
              <w:spacing w:line="360" w:lineRule="auto"/>
              <w:jc w:val="center"/>
              <w:rPr>
                <w:rFonts w:hint="eastAsia" w:ascii="仿宋" w:hAnsi="仿宋" w:eastAsia="仿宋" w:cs="仿宋"/>
                <w:color w:val="auto"/>
                <w:kern w:val="2"/>
                <w:sz w:val="24"/>
                <w:szCs w:val="24"/>
                <w:lang w:val="en-US" w:eastAsia="zh-CN" w:bidi="ar-SA"/>
              </w:rPr>
            </w:pPr>
          </w:p>
        </w:tc>
        <w:tc>
          <w:tcPr>
            <w:tcW w:w="5904" w:type="dxa"/>
            <w:noWrap w:val="0"/>
            <w:vAlign w:val="center"/>
          </w:tcPr>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投标人获得</w:t>
            </w:r>
            <w:r>
              <w:rPr>
                <w:rFonts w:hint="eastAsia" w:ascii="仿宋" w:hAnsi="仿宋" w:eastAsia="仿宋" w:cs="仿宋"/>
                <w:color w:val="auto"/>
                <w:sz w:val="24"/>
                <w:szCs w:val="24"/>
                <w:lang w:val="en-US" w:eastAsia="zh-CN"/>
              </w:rPr>
              <w:t>政府部门颁发的荣誉有一个得1分,本项最高得2分；</w:t>
            </w:r>
            <w:r>
              <w:rPr>
                <w:rFonts w:hint="eastAsia" w:ascii="仿宋" w:hAnsi="仿宋" w:eastAsia="仿宋" w:cs="仿宋"/>
                <w:color w:val="auto"/>
                <w:sz w:val="24"/>
                <w:szCs w:val="24"/>
              </w:rPr>
              <w:t>具有</w:t>
            </w:r>
            <w:r>
              <w:rPr>
                <w:rFonts w:hint="eastAsia" w:ascii="仿宋" w:hAnsi="仿宋" w:eastAsia="仿宋" w:cs="仿宋"/>
                <w:color w:val="auto"/>
                <w:sz w:val="24"/>
                <w:szCs w:val="24"/>
                <w:lang w:val="en-US" w:eastAsia="zh-CN"/>
              </w:rPr>
              <w:t>市</w:t>
            </w:r>
            <w:r>
              <w:rPr>
                <w:rFonts w:hint="eastAsia" w:ascii="仿宋" w:hAnsi="仿宋" w:eastAsia="仿宋" w:cs="仿宋"/>
                <w:color w:val="auto"/>
                <w:sz w:val="24"/>
                <w:szCs w:val="24"/>
              </w:rPr>
              <w:t>级以上人民政府信息化主管部门发文或国家版权局颁发著作权证书的得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需提供相关证明材料</w:t>
            </w:r>
            <w:r>
              <w:rPr>
                <w:rFonts w:hint="eastAsia" w:ascii="仿宋" w:hAnsi="仿宋" w:eastAsia="仿宋" w:cs="仿宋"/>
                <w:color w:val="auto"/>
                <w:sz w:val="24"/>
                <w:szCs w:val="24"/>
              </w:rPr>
              <w:t>。</w:t>
            </w:r>
          </w:p>
        </w:tc>
        <w:tc>
          <w:tcPr>
            <w:tcW w:w="687" w:type="dxa"/>
            <w:vMerge w:val="restart"/>
            <w:noWrap w:val="0"/>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Merge w:val="continue"/>
            <w:noWrap w:val="0"/>
            <w:vAlign w:val="center"/>
          </w:tcPr>
          <w:p>
            <w:pPr>
              <w:spacing w:line="360" w:lineRule="auto"/>
              <w:jc w:val="center"/>
              <w:rPr>
                <w:rFonts w:hint="eastAsia" w:ascii="仿宋" w:hAnsi="仿宋" w:eastAsia="仿宋" w:cs="仿宋"/>
                <w:color w:val="auto"/>
                <w:sz w:val="24"/>
                <w:szCs w:val="24"/>
              </w:rPr>
            </w:pPr>
          </w:p>
        </w:tc>
        <w:tc>
          <w:tcPr>
            <w:tcW w:w="1276" w:type="dxa"/>
            <w:vMerge w:val="continue"/>
            <w:noWrap w:val="0"/>
            <w:vAlign w:val="center"/>
          </w:tcPr>
          <w:p>
            <w:pPr>
              <w:spacing w:line="360" w:lineRule="auto"/>
              <w:jc w:val="center"/>
              <w:rPr>
                <w:rFonts w:hint="eastAsia" w:ascii="仿宋" w:hAnsi="仿宋" w:eastAsia="仿宋" w:cs="仿宋"/>
                <w:color w:val="auto"/>
                <w:sz w:val="24"/>
                <w:szCs w:val="24"/>
              </w:rPr>
            </w:pPr>
          </w:p>
        </w:tc>
        <w:tc>
          <w:tcPr>
            <w:tcW w:w="5904" w:type="dxa"/>
            <w:noWrap w:val="0"/>
            <w:vAlign w:val="center"/>
          </w:tcPr>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根据投标人各类机构组织</w:t>
            </w:r>
            <w:r>
              <w:rPr>
                <w:rFonts w:hint="eastAsia" w:ascii="仿宋" w:hAnsi="仿宋" w:eastAsia="仿宋" w:cs="仿宋"/>
                <w:color w:val="auto"/>
                <w:sz w:val="24"/>
                <w:szCs w:val="24"/>
                <w:lang w:eastAsia="zh-CN"/>
              </w:rPr>
              <w:t>（党、工、团）</w:t>
            </w:r>
            <w:r>
              <w:rPr>
                <w:rFonts w:hint="eastAsia" w:ascii="仿宋" w:hAnsi="仿宋" w:eastAsia="仿宋" w:cs="仿宋"/>
                <w:color w:val="auto"/>
                <w:sz w:val="24"/>
                <w:szCs w:val="24"/>
              </w:rPr>
              <w:t>健全,要求提供组织架构、机构成员亮相牌</w:t>
            </w:r>
            <w:r>
              <w:rPr>
                <w:rFonts w:hint="eastAsia" w:ascii="仿宋" w:hAnsi="仿宋" w:eastAsia="仿宋" w:cs="仿宋"/>
                <w:color w:val="auto"/>
                <w:sz w:val="24"/>
                <w:szCs w:val="24"/>
                <w:lang w:eastAsia="zh-CN"/>
              </w:rPr>
              <w:t>及相关批文，</w:t>
            </w:r>
            <w:r>
              <w:rPr>
                <w:rFonts w:hint="eastAsia" w:ascii="仿宋" w:hAnsi="仿宋" w:eastAsia="仿宋" w:cs="仿宋"/>
                <w:color w:val="auto"/>
                <w:sz w:val="24"/>
                <w:szCs w:val="24"/>
                <w:lang w:val="en-US" w:eastAsia="zh-CN"/>
              </w:rPr>
              <w:t>健全合理的2分,一般的得1分,不提供或者不健全的不得分。</w:t>
            </w:r>
          </w:p>
        </w:tc>
        <w:tc>
          <w:tcPr>
            <w:tcW w:w="687" w:type="dxa"/>
            <w:vMerge w:val="continue"/>
            <w:noWrap w:val="0"/>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noWrap w:val="0"/>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w:t>
            </w:r>
          </w:p>
        </w:tc>
        <w:tc>
          <w:tcPr>
            <w:tcW w:w="1276" w:type="dxa"/>
            <w:noWrap w:val="0"/>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投标供应商认证</w:t>
            </w:r>
          </w:p>
        </w:tc>
        <w:tc>
          <w:tcPr>
            <w:tcW w:w="5904" w:type="dxa"/>
            <w:noWrap w:val="0"/>
            <w:vAlign w:val="center"/>
          </w:tcPr>
          <w:p>
            <w:pPr>
              <w:widowControl/>
              <w:ind w:left="-5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投标人具有有效期内质量体系认证、环境体系认证、信息安全管理体系认证、职业健康安全管理体系认证</w:t>
            </w:r>
            <w:r>
              <w:rPr>
                <w:rFonts w:hint="eastAsia" w:ascii="仿宋" w:hAnsi="仿宋" w:eastAsia="仿宋" w:cs="仿宋"/>
                <w:color w:val="auto"/>
                <w:kern w:val="0"/>
                <w:sz w:val="24"/>
                <w:szCs w:val="24"/>
                <w:lang w:eastAsia="zh-CN"/>
              </w:rPr>
              <w:t>、售后服务认证证书、</w:t>
            </w:r>
            <w:r>
              <w:rPr>
                <w:rFonts w:hint="eastAsia" w:ascii="仿宋" w:hAnsi="仿宋" w:eastAsia="仿宋" w:cs="仿宋"/>
                <w:color w:val="auto"/>
                <w:sz w:val="24"/>
                <w:szCs w:val="24"/>
                <w:lang w:val="en-US" w:eastAsia="zh-CN"/>
              </w:rPr>
              <w:t>合格供应商综合实力评价认证、社会责任管理体系认证证书的</w:t>
            </w:r>
            <w:r>
              <w:rPr>
                <w:rFonts w:hint="eastAsia" w:ascii="仿宋" w:hAnsi="仿宋" w:eastAsia="仿宋" w:cs="仿宋"/>
                <w:color w:val="auto"/>
                <w:kern w:val="0"/>
                <w:sz w:val="24"/>
                <w:szCs w:val="24"/>
              </w:rPr>
              <w:t>，每个得</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分。</w:t>
            </w:r>
          </w:p>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b/>
                <w:bCs w:val="0"/>
                <w:color w:val="auto"/>
                <w:sz w:val="24"/>
                <w:szCs w:val="24"/>
              </w:rPr>
              <w:t>注：需提供相关证明材料扫描件加盖公章，否则不得分。</w:t>
            </w:r>
          </w:p>
        </w:tc>
        <w:tc>
          <w:tcPr>
            <w:tcW w:w="687" w:type="dxa"/>
            <w:noWrap w:val="0"/>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noWrap w:val="0"/>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w:t>
            </w:r>
          </w:p>
        </w:tc>
        <w:tc>
          <w:tcPr>
            <w:tcW w:w="1276" w:type="dxa"/>
            <w:noWrap w:val="0"/>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201</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年1月1日起至今同类项目业绩</w:t>
            </w:r>
          </w:p>
        </w:tc>
        <w:tc>
          <w:tcPr>
            <w:tcW w:w="5904" w:type="dxa"/>
            <w:noWrap w:val="0"/>
            <w:vAlign w:val="center"/>
          </w:tcPr>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投标供应商自201</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年1月1日以来类</w:t>
            </w:r>
            <w:r>
              <w:rPr>
                <w:rFonts w:hint="eastAsia" w:ascii="仿宋" w:hAnsi="仿宋" w:eastAsia="仿宋" w:cs="仿宋"/>
                <w:color w:val="auto"/>
                <w:sz w:val="24"/>
                <w:szCs w:val="24"/>
                <w:lang w:eastAsia="zh-CN"/>
              </w:rPr>
              <w:t>似</w:t>
            </w:r>
            <w:r>
              <w:rPr>
                <w:rFonts w:hint="eastAsia" w:ascii="仿宋" w:hAnsi="仿宋" w:eastAsia="仿宋" w:cs="仿宋"/>
                <w:color w:val="auto"/>
                <w:sz w:val="24"/>
                <w:szCs w:val="24"/>
              </w:rPr>
              <w:t>安保服务业绩的，1个得</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分，最高得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rPr>
              <w:t>（业绩有效性认定：投标供应商必须同时提供完整合同及</w:t>
            </w:r>
            <w:r>
              <w:rPr>
                <w:rFonts w:hint="eastAsia" w:ascii="仿宋" w:hAnsi="仿宋" w:eastAsia="仿宋" w:cs="仿宋"/>
                <w:b/>
                <w:bCs/>
                <w:color w:val="auto"/>
                <w:sz w:val="24"/>
                <w:szCs w:val="24"/>
                <w:lang w:eastAsia="zh-CN"/>
              </w:rPr>
              <w:t>中标通知书</w:t>
            </w:r>
            <w:r>
              <w:rPr>
                <w:rFonts w:hint="eastAsia" w:ascii="仿宋" w:hAnsi="仿宋" w:eastAsia="仿宋" w:cs="仿宋"/>
                <w:b/>
                <w:bCs/>
                <w:color w:val="auto"/>
                <w:sz w:val="24"/>
                <w:szCs w:val="24"/>
              </w:rPr>
              <w:t>复印件，否则不得分）</w:t>
            </w:r>
          </w:p>
        </w:tc>
        <w:tc>
          <w:tcPr>
            <w:tcW w:w="687" w:type="dxa"/>
            <w:noWrap w:val="0"/>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noWrap w:val="0"/>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276" w:type="dxa"/>
            <w:noWrap w:val="0"/>
            <w:vAlign w:val="center"/>
          </w:tcPr>
          <w:p>
            <w:pPr>
              <w:widowControl/>
              <w:spacing w:line="240" w:lineRule="auto"/>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eastAsia="zh-CN"/>
              </w:rPr>
              <w:t>计工许可</w:t>
            </w:r>
          </w:p>
        </w:tc>
        <w:tc>
          <w:tcPr>
            <w:tcW w:w="5904" w:type="dxa"/>
            <w:noWrap w:val="0"/>
            <w:vAlign w:val="center"/>
          </w:tcPr>
          <w:p>
            <w:pPr>
              <w:numPr>
                <w:ilvl w:val="0"/>
                <w:numId w:val="0"/>
              </w:numPr>
              <w:spacing w:line="360" w:lineRule="auto"/>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lang w:val="en-US" w:eastAsia="zh-CN"/>
              </w:rPr>
              <w:t>具有政府行政主管部门颁发的不定时工作制或综合计算工时工作制许可决定的得3分。</w:t>
            </w:r>
          </w:p>
        </w:tc>
        <w:tc>
          <w:tcPr>
            <w:tcW w:w="687" w:type="dxa"/>
            <w:noWrap w:val="0"/>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Merge w:val="restart"/>
            <w:noWrap w:val="0"/>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1276" w:type="dxa"/>
            <w:vMerge w:val="restart"/>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服务方案</w:t>
            </w:r>
          </w:p>
        </w:tc>
        <w:tc>
          <w:tcPr>
            <w:tcW w:w="5904" w:type="dxa"/>
            <w:noWrap w:val="0"/>
            <w:vAlign w:val="center"/>
          </w:tcPr>
          <w:p>
            <w:pPr>
              <w:spacing w:line="360" w:lineRule="auto"/>
              <w:jc w:val="both"/>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服务组织架构、工作计划和流程、服务机制、服务承诺：</w:t>
            </w:r>
          </w:p>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en-US"/>
              </w:rPr>
              <w:t>有完善的项目服务组织架构</w:t>
            </w:r>
            <w:r>
              <w:rPr>
                <w:rFonts w:hint="eastAsia" w:ascii="仿宋" w:hAnsi="仿宋" w:eastAsia="仿宋" w:cs="仿宋"/>
                <w:color w:val="auto"/>
                <w:sz w:val="24"/>
                <w:szCs w:val="24"/>
                <w:lang w:val="en-US" w:eastAsia="zh-CN"/>
              </w:rPr>
              <w:t>得3分,</w:t>
            </w:r>
            <w:r>
              <w:rPr>
                <w:rFonts w:hint="eastAsia" w:ascii="仿宋" w:hAnsi="仿宋" w:eastAsia="仿宋" w:cs="仿宋"/>
                <w:color w:val="auto"/>
                <w:sz w:val="24"/>
                <w:szCs w:val="24"/>
                <w:lang w:val="en-US"/>
              </w:rPr>
              <w:t>有</w:t>
            </w:r>
            <w:r>
              <w:rPr>
                <w:rFonts w:hint="eastAsia" w:ascii="仿宋" w:hAnsi="仿宋" w:eastAsia="仿宋" w:cs="仿宋"/>
                <w:color w:val="auto"/>
                <w:sz w:val="24"/>
                <w:szCs w:val="24"/>
                <w:lang w:val="en-US" w:eastAsia="zh-CN"/>
              </w:rPr>
              <w:t>较</w:t>
            </w:r>
            <w:r>
              <w:rPr>
                <w:rFonts w:hint="eastAsia" w:ascii="仿宋" w:hAnsi="仿宋" w:eastAsia="仿宋" w:cs="仿宋"/>
                <w:color w:val="auto"/>
                <w:sz w:val="24"/>
                <w:szCs w:val="24"/>
                <w:lang w:val="en-US"/>
              </w:rPr>
              <w:t>完善的项目服务组织架构</w:t>
            </w:r>
            <w:r>
              <w:rPr>
                <w:rFonts w:hint="eastAsia" w:ascii="仿宋" w:hAnsi="仿宋" w:eastAsia="仿宋" w:cs="仿宋"/>
                <w:color w:val="auto"/>
                <w:sz w:val="24"/>
                <w:szCs w:val="24"/>
                <w:lang w:val="en-US" w:eastAsia="zh-CN"/>
              </w:rPr>
              <w:t>得2分</w:t>
            </w:r>
            <w:r>
              <w:rPr>
                <w:rFonts w:hint="eastAsia" w:ascii="仿宋" w:hAnsi="仿宋" w:eastAsia="仿宋" w:cs="仿宋"/>
                <w:color w:val="auto"/>
                <w:sz w:val="24"/>
                <w:szCs w:val="24"/>
                <w:lang w:val="en-US"/>
              </w:rPr>
              <w:t>；项目服务组织架构</w:t>
            </w:r>
            <w:r>
              <w:rPr>
                <w:rFonts w:hint="eastAsia" w:ascii="仿宋" w:hAnsi="仿宋" w:eastAsia="仿宋" w:cs="仿宋"/>
                <w:color w:val="auto"/>
                <w:sz w:val="24"/>
                <w:szCs w:val="24"/>
                <w:lang w:val="en-US" w:eastAsia="zh-CN"/>
              </w:rPr>
              <w:t>一般的得1分</w:t>
            </w:r>
            <w:r>
              <w:rPr>
                <w:rFonts w:hint="eastAsia" w:ascii="仿宋" w:hAnsi="仿宋" w:eastAsia="仿宋" w:cs="仿宋"/>
                <w:color w:val="auto"/>
                <w:sz w:val="24"/>
                <w:szCs w:val="24"/>
                <w:lang w:val="en-US"/>
              </w:rPr>
              <w:t>（0-</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rPr>
              <w:t>分）</w:t>
            </w:r>
          </w:p>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rPr>
              <w:t>（2）清晰地列出主要管理流程，工作流程</w:t>
            </w:r>
            <w:r>
              <w:rPr>
                <w:rFonts w:hint="eastAsia" w:ascii="仿宋" w:hAnsi="仿宋" w:eastAsia="仿宋" w:cs="仿宋"/>
                <w:color w:val="auto"/>
                <w:sz w:val="24"/>
                <w:szCs w:val="24"/>
                <w:lang w:val="en-US" w:eastAsia="zh-CN"/>
              </w:rPr>
              <w:t>得3分,</w:t>
            </w:r>
            <w:r>
              <w:rPr>
                <w:rFonts w:hint="eastAsia" w:ascii="仿宋" w:hAnsi="仿宋" w:eastAsia="仿宋" w:cs="仿宋"/>
                <w:color w:val="auto"/>
                <w:sz w:val="24"/>
                <w:szCs w:val="24"/>
                <w:lang w:val="en-US"/>
              </w:rPr>
              <w:t>管理流程，工作流程</w:t>
            </w:r>
            <w:r>
              <w:rPr>
                <w:rFonts w:hint="eastAsia" w:ascii="仿宋" w:hAnsi="仿宋" w:eastAsia="仿宋" w:cs="仿宋"/>
                <w:color w:val="auto"/>
                <w:sz w:val="24"/>
                <w:szCs w:val="24"/>
                <w:lang w:val="en-US" w:eastAsia="zh-CN"/>
              </w:rPr>
              <w:t>一般的得2分,</w:t>
            </w:r>
            <w:r>
              <w:rPr>
                <w:rFonts w:hint="eastAsia" w:ascii="仿宋" w:hAnsi="仿宋" w:eastAsia="仿宋" w:cs="仿宋"/>
                <w:color w:val="auto"/>
                <w:sz w:val="24"/>
                <w:szCs w:val="24"/>
                <w:lang w:val="en-US"/>
              </w:rPr>
              <w:t>管理流程，工作流程</w:t>
            </w:r>
            <w:r>
              <w:rPr>
                <w:rFonts w:hint="eastAsia" w:ascii="仿宋" w:hAnsi="仿宋" w:eastAsia="仿宋" w:cs="仿宋"/>
                <w:color w:val="auto"/>
                <w:sz w:val="24"/>
                <w:szCs w:val="24"/>
                <w:lang w:val="en-US" w:eastAsia="zh-CN"/>
              </w:rPr>
              <w:t>教差的的得1分</w:t>
            </w:r>
            <w:r>
              <w:rPr>
                <w:rFonts w:hint="eastAsia" w:ascii="仿宋" w:hAnsi="仿宋" w:eastAsia="仿宋" w:cs="仿宋"/>
                <w:color w:val="auto"/>
                <w:sz w:val="24"/>
                <w:szCs w:val="24"/>
                <w:lang w:val="en-US"/>
              </w:rPr>
              <w:t>；（0-</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rPr>
              <w:t>分）</w:t>
            </w:r>
          </w:p>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rPr>
              <w:t>（3）针对项目采取的有效机制，包括激励机制、监督机制、自我约束机制，信息反馈渠道及处理机制等；方案符合要求，内容完整、充实的得5分；方案符合要求，内容完整，但有所欠缺的得3分；方案符合要求，但内容不完整的得1分，没有不得分。（0-</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val="en-US"/>
              </w:rPr>
              <w:t>分）</w:t>
            </w:r>
          </w:p>
        </w:tc>
        <w:tc>
          <w:tcPr>
            <w:tcW w:w="687" w:type="dxa"/>
            <w:noWrap w:val="0"/>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lang w:val="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Merge w:val="continue"/>
            <w:noWrap w:val="0"/>
            <w:vAlign w:val="center"/>
          </w:tcPr>
          <w:p>
            <w:pPr>
              <w:spacing w:line="360" w:lineRule="auto"/>
              <w:jc w:val="center"/>
              <w:rPr>
                <w:rFonts w:hint="eastAsia" w:ascii="仿宋" w:hAnsi="仿宋" w:eastAsia="仿宋" w:cs="仿宋"/>
                <w:color w:val="auto"/>
                <w:sz w:val="24"/>
                <w:szCs w:val="24"/>
              </w:rPr>
            </w:pPr>
          </w:p>
        </w:tc>
        <w:tc>
          <w:tcPr>
            <w:tcW w:w="1276" w:type="dxa"/>
            <w:vMerge w:val="continue"/>
            <w:noWrap w:val="0"/>
            <w:vAlign w:val="center"/>
          </w:tcPr>
          <w:p>
            <w:pPr>
              <w:spacing w:line="360" w:lineRule="auto"/>
              <w:jc w:val="center"/>
              <w:rPr>
                <w:rFonts w:hint="eastAsia" w:ascii="仿宋" w:hAnsi="仿宋" w:eastAsia="仿宋" w:cs="仿宋"/>
                <w:color w:val="auto"/>
                <w:sz w:val="24"/>
                <w:szCs w:val="24"/>
              </w:rPr>
            </w:pPr>
          </w:p>
        </w:tc>
        <w:tc>
          <w:tcPr>
            <w:tcW w:w="5904" w:type="dxa"/>
            <w:noWrap w:val="0"/>
            <w:vAlign w:val="center"/>
          </w:tcPr>
          <w:p>
            <w:pPr>
              <w:spacing w:line="360" w:lineRule="auto"/>
              <w:jc w:val="both"/>
              <w:rPr>
                <w:rFonts w:hint="eastAsia" w:ascii="仿宋" w:hAnsi="仿宋" w:eastAsia="仿宋" w:cs="仿宋"/>
                <w:color w:val="auto"/>
                <w:sz w:val="24"/>
                <w:szCs w:val="24"/>
                <w:lang w:val="en-US"/>
              </w:rPr>
            </w:pPr>
            <w:r>
              <w:rPr>
                <w:rFonts w:hint="eastAsia" w:ascii="仿宋" w:hAnsi="仿宋" w:eastAsia="仿宋" w:cs="仿宋"/>
                <w:color w:val="auto"/>
                <w:sz w:val="24"/>
                <w:szCs w:val="24"/>
              </w:rPr>
              <w:t>员工培训方案：</w:t>
            </w:r>
            <w:r>
              <w:rPr>
                <w:rFonts w:hint="eastAsia" w:ascii="仿宋" w:hAnsi="仿宋" w:eastAsia="仿宋" w:cs="仿宋"/>
                <w:color w:val="auto"/>
                <w:sz w:val="24"/>
                <w:szCs w:val="24"/>
                <w:lang w:val="en-US" w:eastAsia="zh-CN"/>
              </w:rPr>
              <w:t>（0-5分）</w:t>
            </w:r>
          </w:p>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员工能力培训及方案，包括训练计划、</w:t>
            </w:r>
            <w:r>
              <w:rPr>
                <w:rFonts w:hint="eastAsia" w:ascii="仿宋" w:hAnsi="仿宋" w:eastAsia="仿宋" w:cs="仿宋"/>
                <w:color w:val="auto"/>
                <w:sz w:val="24"/>
                <w:szCs w:val="24"/>
                <w:lang w:eastAsia="zh-CN"/>
              </w:rPr>
              <w:t>与警官学院有长期培训协议</w:t>
            </w:r>
            <w:r>
              <w:rPr>
                <w:rFonts w:hint="eastAsia" w:ascii="仿宋" w:hAnsi="仿宋" w:eastAsia="仿宋" w:cs="仿宋"/>
                <w:color w:val="auto"/>
                <w:sz w:val="24"/>
                <w:szCs w:val="24"/>
              </w:rPr>
              <w:t>、要求提供详细方案。方案符合要求，内容完整、充实的得5分；方案符合要求，内容完整，但有所欠缺的得3分；方案符合要求，但内容不完整的得1分，没有不得分。</w:t>
            </w:r>
          </w:p>
        </w:tc>
        <w:tc>
          <w:tcPr>
            <w:tcW w:w="687" w:type="dxa"/>
            <w:noWrap w:val="0"/>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val="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Merge w:val="continue"/>
            <w:noWrap w:val="0"/>
            <w:vAlign w:val="center"/>
          </w:tcPr>
          <w:p>
            <w:pPr>
              <w:spacing w:line="360" w:lineRule="auto"/>
              <w:jc w:val="center"/>
              <w:rPr>
                <w:rFonts w:hint="eastAsia" w:ascii="仿宋" w:hAnsi="仿宋" w:eastAsia="仿宋" w:cs="仿宋"/>
                <w:color w:val="auto"/>
                <w:sz w:val="24"/>
                <w:szCs w:val="24"/>
              </w:rPr>
            </w:pPr>
          </w:p>
        </w:tc>
        <w:tc>
          <w:tcPr>
            <w:tcW w:w="1276" w:type="dxa"/>
            <w:vMerge w:val="continue"/>
            <w:noWrap w:val="0"/>
            <w:vAlign w:val="center"/>
          </w:tcPr>
          <w:p>
            <w:pPr>
              <w:spacing w:line="360" w:lineRule="auto"/>
              <w:jc w:val="center"/>
              <w:rPr>
                <w:rFonts w:hint="eastAsia" w:ascii="仿宋" w:hAnsi="仿宋" w:eastAsia="仿宋" w:cs="仿宋"/>
                <w:color w:val="auto"/>
                <w:sz w:val="24"/>
                <w:szCs w:val="24"/>
              </w:rPr>
            </w:pPr>
          </w:p>
        </w:tc>
        <w:tc>
          <w:tcPr>
            <w:tcW w:w="5904" w:type="dxa"/>
            <w:noWrap w:val="0"/>
            <w:vAlign w:val="center"/>
          </w:tcPr>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应急预案：提供处理突发事件的应急预案进行评议（0-5分）：应急预案符合要求，内容完整、充实的得5分；应急预案符合要求，内容完整，但有所欠缺的得3分；应急预案符合要求，但内容不完整的得1分，没有不得分。</w:t>
            </w:r>
          </w:p>
        </w:tc>
        <w:tc>
          <w:tcPr>
            <w:tcW w:w="687" w:type="dxa"/>
            <w:vMerge w:val="restart"/>
            <w:noWrap w:val="0"/>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val="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Merge w:val="continue"/>
            <w:noWrap w:val="0"/>
            <w:vAlign w:val="center"/>
          </w:tcPr>
          <w:p>
            <w:pPr>
              <w:spacing w:line="360" w:lineRule="auto"/>
              <w:jc w:val="center"/>
              <w:rPr>
                <w:rFonts w:hint="eastAsia" w:ascii="仿宋" w:hAnsi="仿宋" w:eastAsia="仿宋" w:cs="仿宋"/>
                <w:color w:val="auto"/>
                <w:sz w:val="24"/>
                <w:szCs w:val="24"/>
              </w:rPr>
            </w:pPr>
          </w:p>
        </w:tc>
        <w:tc>
          <w:tcPr>
            <w:tcW w:w="1276" w:type="dxa"/>
            <w:vMerge w:val="continue"/>
            <w:noWrap w:val="0"/>
            <w:vAlign w:val="center"/>
          </w:tcPr>
          <w:p>
            <w:pPr>
              <w:spacing w:line="360" w:lineRule="auto"/>
              <w:jc w:val="center"/>
              <w:rPr>
                <w:rFonts w:hint="eastAsia" w:ascii="仿宋" w:hAnsi="仿宋" w:eastAsia="仿宋" w:cs="仿宋"/>
                <w:color w:val="auto"/>
                <w:sz w:val="24"/>
                <w:szCs w:val="24"/>
              </w:rPr>
            </w:pPr>
          </w:p>
        </w:tc>
        <w:tc>
          <w:tcPr>
            <w:tcW w:w="5904" w:type="dxa"/>
            <w:noWrap w:val="0"/>
            <w:vAlign w:val="center"/>
          </w:tcPr>
          <w:p>
            <w:pPr>
              <w:bidi w:val="0"/>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投标人具有7座及以上的自有</w:t>
            </w:r>
            <w:r>
              <w:rPr>
                <w:rFonts w:hint="eastAsia" w:ascii="仿宋" w:hAnsi="仿宋" w:eastAsia="仿宋" w:cs="仿宋"/>
                <w:b w:val="0"/>
                <w:bCs/>
                <w:color w:val="auto"/>
                <w:sz w:val="24"/>
                <w:szCs w:val="24"/>
                <w:lang w:eastAsia="zh-CN"/>
              </w:rPr>
              <w:t>应急</w:t>
            </w:r>
            <w:r>
              <w:rPr>
                <w:rFonts w:hint="eastAsia" w:ascii="仿宋" w:hAnsi="仿宋" w:eastAsia="仿宋" w:cs="仿宋"/>
                <w:b w:val="0"/>
                <w:bCs/>
                <w:color w:val="auto"/>
                <w:sz w:val="24"/>
                <w:szCs w:val="24"/>
              </w:rPr>
              <w:t>车辆，每辆得</w:t>
            </w: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rPr>
              <w:t>分</w:t>
            </w:r>
            <w:r>
              <w:rPr>
                <w:rFonts w:hint="eastAsia" w:ascii="仿宋" w:hAnsi="仿宋" w:eastAsia="仿宋" w:cs="仿宋"/>
                <w:b w:val="0"/>
                <w:bCs/>
                <w:color w:val="auto"/>
                <w:sz w:val="24"/>
                <w:szCs w:val="24"/>
                <w:lang w:eastAsia="zh-CN"/>
              </w:rPr>
              <w:t>；响应节能减排号召使用新能源车辆的，每辆得</w:t>
            </w:r>
            <w:r>
              <w:rPr>
                <w:rFonts w:hint="eastAsia" w:ascii="仿宋" w:hAnsi="仿宋" w:eastAsia="仿宋" w:cs="仿宋"/>
                <w:b w:val="0"/>
                <w:bCs/>
                <w:color w:val="auto"/>
                <w:sz w:val="24"/>
                <w:szCs w:val="24"/>
                <w:lang w:val="en-US" w:eastAsia="zh-CN"/>
              </w:rPr>
              <w:t>2分；本项</w:t>
            </w:r>
            <w:r>
              <w:rPr>
                <w:rFonts w:hint="eastAsia" w:ascii="仿宋" w:hAnsi="仿宋" w:eastAsia="仿宋" w:cs="仿宋"/>
                <w:b w:val="0"/>
                <w:bCs/>
                <w:color w:val="auto"/>
                <w:sz w:val="24"/>
                <w:szCs w:val="24"/>
              </w:rPr>
              <w:t>最多得</w:t>
            </w:r>
            <w:r>
              <w:rPr>
                <w:rFonts w:hint="eastAsia" w:ascii="仿宋" w:hAnsi="仿宋" w:eastAsia="仿宋" w:cs="仿宋"/>
                <w:b w:val="0"/>
                <w:bCs/>
                <w:color w:val="auto"/>
                <w:sz w:val="24"/>
                <w:szCs w:val="24"/>
                <w:lang w:val="en-US" w:eastAsia="zh-CN"/>
              </w:rPr>
              <w:t>4</w:t>
            </w:r>
            <w:r>
              <w:rPr>
                <w:rFonts w:hint="eastAsia" w:ascii="仿宋" w:hAnsi="仿宋" w:eastAsia="仿宋" w:cs="仿宋"/>
                <w:b w:val="0"/>
                <w:bCs/>
                <w:color w:val="auto"/>
                <w:sz w:val="24"/>
                <w:szCs w:val="24"/>
              </w:rPr>
              <w:t>分。</w:t>
            </w:r>
          </w:p>
          <w:p>
            <w:pPr>
              <w:spacing w:line="360" w:lineRule="auto"/>
              <w:jc w:val="both"/>
              <w:rPr>
                <w:rFonts w:hint="eastAsia" w:ascii="仿宋" w:hAnsi="仿宋" w:eastAsia="仿宋" w:cs="仿宋"/>
                <w:color w:val="auto"/>
                <w:sz w:val="24"/>
                <w:szCs w:val="24"/>
              </w:rPr>
            </w:pPr>
            <w:r>
              <w:rPr>
                <w:rFonts w:hint="eastAsia" w:ascii="仿宋" w:hAnsi="仿宋" w:eastAsia="仿宋" w:cs="仿宋"/>
                <w:b/>
                <w:bCs w:val="0"/>
                <w:color w:val="auto"/>
                <w:sz w:val="24"/>
                <w:szCs w:val="24"/>
              </w:rPr>
              <w:t>需提本单位车辆行驶证</w:t>
            </w:r>
            <w:r>
              <w:rPr>
                <w:rFonts w:hint="eastAsia" w:ascii="仿宋" w:hAnsi="仿宋" w:eastAsia="仿宋" w:cs="仿宋"/>
                <w:b/>
                <w:bCs w:val="0"/>
                <w:color w:val="auto"/>
                <w:sz w:val="24"/>
                <w:szCs w:val="24"/>
                <w:lang w:val="en-US" w:eastAsia="zh-CN"/>
              </w:rPr>
              <w:t>、购车发票等相关</w:t>
            </w:r>
            <w:r>
              <w:rPr>
                <w:rFonts w:hint="eastAsia" w:ascii="仿宋" w:hAnsi="仿宋" w:eastAsia="仿宋" w:cs="仿宋"/>
                <w:b/>
                <w:bCs w:val="0"/>
                <w:color w:val="auto"/>
                <w:sz w:val="24"/>
                <w:szCs w:val="24"/>
              </w:rPr>
              <w:t>证明。</w:t>
            </w:r>
          </w:p>
        </w:tc>
        <w:tc>
          <w:tcPr>
            <w:tcW w:w="687" w:type="dxa"/>
            <w:vMerge w:val="continue"/>
            <w:noWrap w:val="0"/>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Merge w:val="continue"/>
            <w:noWrap w:val="0"/>
            <w:vAlign w:val="center"/>
          </w:tcPr>
          <w:p>
            <w:pPr>
              <w:spacing w:line="360" w:lineRule="auto"/>
              <w:jc w:val="center"/>
              <w:rPr>
                <w:rFonts w:hint="eastAsia" w:ascii="仿宋" w:hAnsi="仿宋" w:eastAsia="仿宋" w:cs="仿宋"/>
                <w:color w:val="auto"/>
                <w:sz w:val="24"/>
                <w:szCs w:val="24"/>
              </w:rPr>
            </w:pPr>
          </w:p>
        </w:tc>
        <w:tc>
          <w:tcPr>
            <w:tcW w:w="1276" w:type="dxa"/>
            <w:vMerge w:val="continue"/>
            <w:noWrap w:val="0"/>
            <w:vAlign w:val="center"/>
          </w:tcPr>
          <w:p>
            <w:pPr>
              <w:spacing w:line="360" w:lineRule="auto"/>
              <w:jc w:val="center"/>
              <w:rPr>
                <w:rFonts w:hint="eastAsia" w:ascii="仿宋" w:hAnsi="仿宋" w:eastAsia="仿宋" w:cs="仿宋"/>
                <w:color w:val="auto"/>
                <w:sz w:val="24"/>
                <w:szCs w:val="24"/>
              </w:rPr>
            </w:pPr>
          </w:p>
        </w:tc>
        <w:tc>
          <w:tcPr>
            <w:tcW w:w="5904" w:type="dxa"/>
            <w:noWrap w:val="0"/>
            <w:vAlign w:val="center"/>
          </w:tcPr>
          <w:p>
            <w:pPr>
              <w:spacing w:line="360" w:lineRule="auto"/>
              <w:jc w:val="both"/>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管理制度及考核方法</w:t>
            </w:r>
            <w:r>
              <w:rPr>
                <w:rFonts w:hint="eastAsia" w:ascii="仿宋" w:hAnsi="仿宋" w:eastAsia="仿宋" w:cs="仿宋"/>
                <w:color w:val="auto"/>
                <w:sz w:val="24"/>
                <w:szCs w:val="24"/>
                <w:lang w:val="en-US" w:eastAsia="zh-CN"/>
              </w:rPr>
              <w:t>（0-3分）</w:t>
            </w:r>
            <w:r>
              <w:rPr>
                <w:rFonts w:hint="eastAsia" w:ascii="仿宋" w:hAnsi="仿宋" w:eastAsia="仿宋" w:cs="仿宋"/>
                <w:color w:val="auto"/>
                <w:sz w:val="24"/>
                <w:szCs w:val="24"/>
                <w:lang w:val="en-US"/>
              </w:rPr>
              <w:t>：</w:t>
            </w:r>
          </w:p>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公众服务制度、内部岗位责任制度、管理运作制度、管理人员考核制度等；人员、设施、设备管理服务、采购人方反馈资料、文件资料等档案的建立与管理情况，管理制度、规范和标准情况符合要求，内容完整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rPr>
              <w:t>分</w:t>
            </w:r>
            <w:r>
              <w:rPr>
                <w:rFonts w:hint="eastAsia" w:ascii="仿宋" w:hAnsi="仿宋" w:eastAsia="仿宋" w:cs="仿宋"/>
                <w:color w:val="auto"/>
                <w:sz w:val="24"/>
                <w:szCs w:val="24"/>
                <w:lang w:val="en-US" w:eastAsia="zh-CN"/>
              </w:rPr>
              <w:t>,内容完整，但有所欠缺的得2分；符合要求，但内容不完整的得1分，没有不得分。</w:t>
            </w:r>
          </w:p>
        </w:tc>
        <w:tc>
          <w:tcPr>
            <w:tcW w:w="687" w:type="dxa"/>
            <w:noWrap w:val="0"/>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Merge w:val="continue"/>
            <w:noWrap w:val="0"/>
            <w:vAlign w:val="center"/>
          </w:tcPr>
          <w:p>
            <w:pPr>
              <w:spacing w:line="360" w:lineRule="auto"/>
              <w:jc w:val="center"/>
              <w:rPr>
                <w:rFonts w:hint="eastAsia" w:ascii="仿宋" w:hAnsi="仿宋" w:eastAsia="仿宋" w:cs="仿宋"/>
                <w:color w:val="auto"/>
                <w:sz w:val="24"/>
                <w:szCs w:val="24"/>
              </w:rPr>
            </w:pPr>
          </w:p>
        </w:tc>
        <w:tc>
          <w:tcPr>
            <w:tcW w:w="1276" w:type="dxa"/>
            <w:vMerge w:val="continue"/>
            <w:noWrap w:val="0"/>
            <w:vAlign w:val="center"/>
          </w:tcPr>
          <w:p>
            <w:pPr>
              <w:spacing w:line="360" w:lineRule="auto"/>
              <w:jc w:val="center"/>
              <w:rPr>
                <w:rFonts w:hint="eastAsia" w:ascii="仿宋" w:hAnsi="仿宋" w:eastAsia="仿宋" w:cs="仿宋"/>
                <w:color w:val="auto"/>
                <w:sz w:val="24"/>
                <w:szCs w:val="24"/>
              </w:rPr>
            </w:pPr>
          </w:p>
        </w:tc>
        <w:tc>
          <w:tcPr>
            <w:tcW w:w="5904" w:type="dxa"/>
            <w:noWrap w:val="0"/>
            <w:vAlign w:val="center"/>
          </w:tcPr>
          <w:p>
            <w:pPr>
              <w:spacing w:line="360" w:lineRule="auto"/>
              <w:jc w:val="both"/>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针对本项目的特点和难点分析，并提出解决问题的措施</w:t>
            </w:r>
            <w:r>
              <w:rPr>
                <w:rFonts w:hint="eastAsia" w:ascii="仿宋" w:hAnsi="仿宋" w:eastAsia="仿宋" w:cs="仿宋"/>
                <w:color w:val="auto"/>
                <w:sz w:val="24"/>
                <w:szCs w:val="24"/>
                <w:lang w:val="en-US" w:eastAsia="zh-CN"/>
              </w:rPr>
              <w:t>（0-3分）</w:t>
            </w:r>
            <w:r>
              <w:rPr>
                <w:rFonts w:hint="eastAsia" w:ascii="仿宋" w:hAnsi="仿宋" w:eastAsia="仿宋" w:cs="仿宋"/>
                <w:color w:val="auto"/>
                <w:sz w:val="24"/>
                <w:szCs w:val="24"/>
                <w:lang w:val="en-US"/>
              </w:rPr>
              <w:t>：</w:t>
            </w:r>
          </w:p>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rPr>
              <w:t>对本项目的特点和难点分析及解决措施内容完整、充实的得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rPr>
              <w:t>分</w:t>
            </w:r>
            <w:r>
              <w:rPr>
                <w:rFonts w:hint="eastAsia" w:ascii="仿宋" w:hAnsi="仿宋" w:eastAsia="仿宋" w:cs="仿宋"/>
                <w:color w:val="auto"/>
                <w:sz w:val="24"/>
                <w:szCs w:val="24"/>
                <w:lang w:val="en-US" w:eastAsia="zh-CN"/>
              </w:rPr>
              <w:t>,内容完整，但有所欠缺的得2分；符合要求，但内容不完整的得1分，没有不得分。</w:t>
            </w:r>
          </w:p>
        </w:tc>
        <w:tc>
          <w:tcPr>
            <w:tcW w:w="687" w:type="dxa"/>
            <w:noWrap w:val="0"/>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Merge w:val="continue"/>
            <w:noWrap w:val="0"/>
            <w:vAlign w:val="center"/>
          </w:tcPr>
          <w:p>
            <w:pPr>
              <w:spacing w:line="360" w:lineRule="auto"/>
              <w:jc w:val="center"/>
              <w:rPr>
                <w:rFonts w:hint="eastAsia" w:ascii="仿宋" w:hAnsi="仿宋" w:eastAsia="仿宋" w:cs="仿宋"/>
                <w:color w:val="auto"/>
                <w:sz w:val="24"/>
                <w:szCs w:val="24"/>
              </w:rPr>
            </w:pPr>
          </w:p>
        </w:tc>
        <w:tc>
          <w:tcPr>
            <w:tcW w:w="1276" w:type="dxa"/>
            <w:vMerge w:val="continue"/>
            <w:noWrap w:val="0"/>
            <w:vAlign w:val="center"/>
          </w:tcPr>
          <w:p>
            <w:pPr>
              <w:spacing w:line="360" w:lineRule="auto"/>
              <w:jc w:val="center"/>
              <w:rPr>
                <w:rFonts w:hint="eastAsia" w:ascii="仿宋" w:hAnsi="仿宋" w:eastAsia="仿宋" w:cs="仿宋"/>
                <w:color w:val="auto"/>
                <w:sz w:val="24"/>
                <w:szCs w:val="24"/>
              </w:rPr>
            </w:pPr>
          </w:p>
        </w:tc>
        <w:tc>
          <w:tcPr>
            <w:tcW w:w="5904" w:type="dxa"/>
            <w:noWrap w:val="0"/>
            <w:vAlign w:val="center"/>
          </w:tcPr>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承诺：包括服务内容及标准承诺、创建工作承诺等进行评议（0-3分）：服务内容及标准承诺、创建工作承诺符合要求，内容完整、充实的得3分；服务内容及标准承诺、创建工作承诺符合要求，内容完整，但有所欠缺的得2分；服务内容及标准承诺、创建工作承诺符合要求，但内容不完整的得1分，没有不得分。</w:t>
            </w:r>
          </w:p>
        </w:tc>
        <w:tc>
          <w:tcPr>
            <w:tcW w:w="687" w:type="dxa"/>
            <w:noWrap w:val="0"/>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noWrap w:val="0"/>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276" w:type="dxa"/>
            <w:noWrap w:val="0"/>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现场带队总负责人情况</w:t>
            </w:r>
          </w:p>
        </w:tc>
        <w:tc>
          <w:tcPr>
            <w:tcW w:w="5904" w:type="dxa"/>
            <w:noWrap w:val="0"/>
            <w:vAlign w:val="center"/>
          </w:tcPr>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项目</w:t>
            </w:r>
            <w:r>
              <w:rPr>
                <w:rFonts w:hint="eastAsia" w:ascii="仿宋" w:hAnsi="仿宋" w:eastAsia="仿宋" w:cs="仿宋"/>
                <w:color w:val="auto"/>
                <w:sz w:val="24"/>
                <w:szCs w:val="24"/>
              </w:rPr>
              <w:t>总负责人情况</w:t>
            </w:r>
          </w:p>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年龄</w:t>
            </w:r>
            <w:r>
              <w:rPr>
                <w:rFonts w:hint="eastAsia" w:ascii="仿宋" w:hAnsi="仿宋" w:eastAsia="仿宋" w:cs="仿宋"/>
                <w:color w:val="auto"/>
                <w:sz w:val="24"/>
                <w:szCs w:val="24"/>
              </w:rPr>
              <w:t>45</w:t>
            </w:r>
            <w:r>
              <w:rPr>
                <w:rFonts w:hint="eastAsia" w:ascii="仿宋" w:hAnsi="仿宋" w:eastAsia="仿宋" w:cs="仿宋"/>
                <w:color w:val="auto"/>
                <w:sz w:val="24"/>
                <w:szCs w:val="24"/>
                <w:lang w:val="en-US" w:eastAsia="zh-CN"/>
              </w:rPr>
              <w:t>周</w:t>
            </w:r>
            <w:r>
              <w:rPr>
                <w:rFonts w:hint="eastAsia" w:ascii="仿宋" w:hAnsi="仿宋" w:eastAsia="仿宋" w:cs="仿宋"/>
                <w:color w:val="auto"/>
                <w:sz w:val="24"/>
                <w:szCs w:val="24"/>
              </w:rPr>
              <w:t>岁以下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具有大专学历得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本科及</w:t>
            </w:r>
            <w:r>
              <w:rPr>
                <w:rFonts w:hint="eastAsia" w:ascii="仿宋" w:hAnsi="仿宋" w:eastAsia="仿宋" w:cs="仿宋"/>
                <w:color w:val="auto"/>
                <w:sz w:val="24"/>
                <w:szCs w:val="24"/>
              </w:rPr>
              <w:t>以上学历得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w:t>
            </w:r>
          </w:p>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2、项目负责人为保安员三级的得1分，保安员二级及以上的得2分；</w:t>
            </w:r>
          </w:p>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3、具有退伍军人证的得2分；</w:t>
            </w:r>
          </w:p>
          <w:p>
            <w:pPr>
              <w:spacing w:line="36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4、具有应急管理局培训取得安全培训合格证</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5、具有人力资源</w:t>
            </w:r>
            <w:r>
              <w:rPr>
                <w:rFonts w:hint="eastAsia" w:ascii="仿宋" w:hAnsi="仿宋" w:eastAsia="仿宋" w:cs="仿宋"/>
                <w:color w:val="auto"/>
                <w:sz w:val="24"/>
                <w:szCs w:val="24"/>
                <w:lang w:eastAsia="zh-CN"/>
              </w:rPr>
              <w:t>管理</w:t>
            </w:r>
            <w:r>
              <w:rPr>
                <w:rFonts w:hint="eastAsia" w:ascii="仿宋" w:hAnsi="仿宋" w:eastAsia="仿宋" w:cs="仿宋"/>
                <w:color w:val="auto"/>
                <w:sz w:val="24"/>
                <w:szCs w:val="24"/>
              </w:rPr>
              <w:t>师</w:t>
            </w:r>
            <w:r>
              <w:rPr>
                <w:rFonts w:hint="eastAsia" w:ascii="仿宋" w:hAnsi="仿宋" w:eastAsia="仿宋" w:cs="仿宋"/>
                <w:color w:val="auto"/>
                <w:sz w:val="24"/>
                <w:szCs w:val="24"/>
                <w:lang w:eastAsia="zh-CN"/>
              </w:rPr>
              <w:t>一级的</w:t>
            </w:r>
            <w:r>
              <w:rPr>
                <w:rFonts w:hint="eastAsia" w:ascii="仿宋" w:hAnsi="仿宋" w:eastAsia="仿宋" w:cs="仿宋"/>
                <w:color w:val="auto"/>
                <w:sz w:val="24"/>
                <w:szCs w:val="24"/>
              </w:rPr>
              <w:t>得2分</w:t>
            </w:r>
            <w:r>
              <w:rPr>
                <w:rFonts w:hint="eastAsia" w:ascii="仿宋" w:hAnsi="仿宋" w:eastAsia="仿宋" w:cs="仿宋"/>
                <w:color w:val="auto"/>
                <w:sz w:val="24"/>
                <w:szCs w:val="24"/>
                <w:lang w:eastAsia="zh-CN"/>
              </w:rPr>
              <w:t>；</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具有省级及以上颁发的荣誉</w:t>
            </w:r>
            <w:r>
              <w:rPr>
                <w:rFonts w:hint="eastAsia" w:ascii="仿宋" w:hAnsi="仿宋" w:eastAsia="仿宋" w:cs="仿宋"/>
                <w:color w:val="auto"/>
                <w:sz w:val="24"/>
                <w:szCs w:val="24"/>
                <w:lang w:eastAsia="zh-CN"/>
              </w:rPr>
              <w:t>证书或表彰文件</w:t>
            </w:r>
            <w:r>
              <w:rPr>
                <w:rFonts w:hint="eastAsia" w:ascii="仿宋" w:hAnsi="仿宋" w:eastAsia="仿宋" w:cs="仿宋"/>
                <w:color w:val="auto"/>
                <w:sz w:val="24"/>
                <w:szCs w:val="24"/>
              </w:rPr>
              <w:t>每1个得1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具有</w:t>
            </w:r>
            <w:r>
              <w:rPr>
                <w:rFonts w:hint="eastAsia" w:ascii="仿宋" w:hAnsi="仿宋" w:eastAsia="仿宋" w:cs="仿宋"/>
                <w:color w:val="auto"/>
                <w:sz w:val="24"/>
                <w:szCs w:val="24"/>
                <w:lang w:eastAsia="zh-CN"/>
              </w:rPr>
              <w:t>市级</w:t>
            </w:r>
            <w:r>
              <w:rPr>
                <w:rFonts w:hint="eastAsia" w:ascii="仿宋" w:hAnsi="仿宋" w:eastAsia="仿宋" w:cs="仿宋"/>
                <w:color w:val="auto"/>
                <w:sz w:val="24"/>
                <w:szCs w:val="24"/>
              </w:rPr>
              <w:t>颁发的相关荣誉</w:t>
            </w:r>
            <w:r>
              <w:rPr>
                <w:rFonts w:hint="eastAsia" w:ascii="仿宋" w:hAnsi="仿宋" w:eastAsia="仿宋" w:cs="仿宋"/>
                <w:color w:val="auto"/>
                <w:sz w:val="24"/>
                <w:szCs w:val="24"/>
                <w:lang w:eastAsia="zh-CN"/>
              </w:rPr>
              <w:t>或表彰文件</w:t>
            </w:r>
            <w:r>
              <w:rPr>
                <w:rFonts w:hint="eastAsia" w:ascii="仿宋" w:hAnsi="仿宋" w:eastAsia="仿宋" w:cs="仿宋"/>
                <w:color w:val="auto"/>
                <w:sz w:val="24"/>
                <w:szCs w:val="24"/>
              </w:rPr>
              <w:t>每1个得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分，本项最高得3分。</w:t>
            </w:r>
          </w:p>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rPr>
              <w:t>（提供有效证明材料复印件加盖公章及</w:t>
            </w:r>
            <w:r>
              <w:rPr>
                <w:rFonts w:hint="eastAsia" w:ascii="仿宋" w:hAnsi="仿宋" w:eastAsia="仿宋" w:cs="仿宋"/>
                <w:b/>
                <w:bCs/>
                <w:color w:val="auto"/>
                <w:sz w:val="24"/>
                <w:szCs w:val="24"/>
                <w:lang w:val="en-US" w:eastAsia="zh-CN"/>
              </w:rPr>
              <w:t>9月-11月</w:t>
            </w:r>
            <w:r>
              <w:rPr>
                <w:rFonts w:hint="eastAsia" w:ascii="仿宋" w:hAnsi="仿宋" w:eastAsia="仿宋" w:cs="仿宋"/>
                <w:b/>
                <w:bCs/>
                <w:color w:val="auto"/>
                <w:sz w:val="24"/>
                <w:szCs w:val="24"/>
              </w:rPr>
              <w:t>社保证明。未提供不得分。）</w:t>
            </w:r>
          </w:p>
        </w:tc>
        <w:tc>
          <w:tcPr>
            <w:tcW w:w="687" w:type="dxa"/>
            <w:noWrap w:val="0"/>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noWrap w:val="0"/>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276" w:type="dxa"/>
            <w:noWrap w:val="0"/>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其他</w:t>
            </w:r>
            <w:r>
              <w:rPr>
                <w:rFonts w:hint="eastAsia" w:ascii="仿宋" w:hAnsi="仿宋" w:eastAsia="仿宋" w:cs="仿宋"/>
                <w:color w:val="auto"/>
                <w:sz w:val="24"/>
                <w:szCs w:val="24"/>
                <w:lang w:eastAsia="zh-CN"/>
              </w:rPr>
              <w:t>管理</w:t>
            </w:r>
            <w:r>
              <w:rPr>
                <w:rFonts w:hint="eastAsia" w:ascii="仿宋" w:hAnsi="仿宋" w:eastAsia="仿宋" w:cs="仿宋"/>
                <w:color w:val="auto"/>
                <w:sz w:val="24"/>
                <w:szCs w:val="24"/>
              </w:rPr>
              <w:t>人员配置情况</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45岁以下</w:t>
            </w:r>
            <w:r>
              <w:rPr>
                <w:rFonts w:hint="eastAsia" w:ascii="仿宋" w:hAnsi="仿宋" w:eastAsia="仿宋" w:cs="仿宋"/>
                <w:color w:val="auto"/>
                <w:sz w:val="24"/>
                <w:szCs w:val="24"/>
                <w:lang w:eastAsia="zh-CN"/>
              </w:rPr>
              <w:t>）</w:t>
            </w:r>
          </w:p>
        </w:tc>
        <w:tc>
          <w:tcPr>
            <w:tcW w:w="5904" w:type="dxa"/>
            <w:noWrap w:val="0"/>
            <w:vAlign w:val="center"/>
          </w:tcPr>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rPr>
              <w:t>项目</w:t>
            </w:r>
            <w:r>
              <w:rPr>
                <w:rFonts w:hint="eastAsia" w:ascii="仿宋" w:hAnsi="仿宋" w:eastAsia="仿宋" w:cs="仿宋"/>
                <w:color w:val="auto"/>
                <w:sz w:val="24"/>
                <w:szCs w:val="24"/>
                <w:lang w:val="en-US" w:eastAsia="zh-CN"/>
              </w:rPr>
              <w:t>组</w:t>
            </w:r>
            <w:r>
              <w:rPr>
                <w:rFonts w:hint="eastAsia" w:ascii="仿宋" w:hAnsi="仿宋" w:eastAsia="仿宋" w:cs="仿宋"/>
                <w:color w:val="auto"/>
                <w:sz w:val="24"/>
                <w:szCs w:val="24"/>
                <w:lang w:val="en-US"/>
              </w:rPr>
              <w:t>人员配备</w:t>
            </w:r>
            <w:r>
              <w:rPr>
                <w:rFonts w:hint="eastAsia" w:ascii="仿宋" w:hAnsi="仿宋" w:eastAsia="仿宋" w:cs="仿宋"/>
                <w:color w:val="auto"/>
                <w:sz w:val="24"/>
                <w:szCs w:val="24"/>
                <w:lang w:val="en-US" w:eastAsia="zh-CN"/>
              </w:rPr>
              <w:t>:</w:t>
            </w:r>
          </w:p>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1、取得</w:t>
            </w:r>
            <w:r>
              <w:rPr>
                <w:rFonts w:hint="eastAsia" w:ascii="仿宋" w:hAnsi="仿宋" w:eastAsia="仿宋" w:cs="仿宋"/>
                <w:color w:val="auto"/>
                <w:sz w:val="24"/>
                <w:szCs w:val="24"/>
                <w:lang w:eastAsia="zh-CN"/>
              </w:rPr>
              <w:t>（三级）</w:t>
            </w:r>
            <w:r>
              <w:rPr>
                <w:rFonts w:hint="eastAsia" w:ascii="仿宋" w:hAnsi="仿宋" w:eastAsia="仿宋" w:cs="仿宋"/>
                <w:color w:val="auto"/>
                <w:sz w:val="24"/>
                <w:szCs w:val="24"/>
              </w:rPr>
              <w:t>高级建（构）筑物消防员资质</w:t>
            </w:r>
            <w:r>
              <w:rPr>
                <w:rFonts w:hint="eastAsia" w:ascii="仿宋" w:hAnsi="仿宋" w:eastAsia="仿宋" w:cs="仿宋"/>
                <w:color w:val="auto"/>
                <w:sz w:val="24"/>
                <w:szCs w:val="24"/>
                <w:lang w:eastAsia="zh-CN"/>
              </w:rPr>
              <w:t>或消防设施操作员</w:t>
            </w:r>
            <w:r>
              <w:rPr>
                <w:rFonts w:hint="eastAsia" w:ascii="仿宋" w:hAnsi="仿宋" w:eastAsia="仿宋" w:cs="仿宋"/>
                <w:color w:val="auto"/>
                <w:sz w:val="24"/>
                <w:szCs w:val="24"/>
              </w:rPr>
              <w:t>证书一人得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满分</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w:t>
            </w:r>
          </w:p>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2、具有二级保安员及以上证书一人得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分，保安员三级证书一人得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分,满分</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分；</w:t>
            </w:r>
          </w:p>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、经应急管理局培训取得安全培训合格证一人得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分，满分</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4、具有市级颁发的相关荣誉或表彰文件每1个得1分，本项最高得3分。</w:t>
            </w:r>
          </w:p>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、保安人员（持保安证）的退伍军人</w:t>
            </w:r>
            <w:r>
              <w:rPr>
                <w:rFonts w:hint="eastAsia" w:ascii="仿宋" w:hAnsi="仿宋" w:eastAsia="仿宋" w:cs="仿宋"/>
                <w:color w:val="auto"/>
                <w:sz w:val="24"/>
                <w:szCs w:val="24"/>
                <w:lang w:val="en-US" w:eastAsia="zh-CN"/>
              </w:rPr>
              <w:t>45周岁以下</w:t>
            </w:r>
            <w:r>
              <w:rPr>
                <w:rFonts w:hint="eastAsia" w:ascii="仿宋" w:hAnsi="仿宋" w:eastAsia="仿宋" w:cs="仿宋"/>
                <w:color w:val="auto"/>
                <w:sz w:val="24"/>
                <w:szCs w:val="24"/>
              </w:rPr>
              <w:t>一人得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分，满分</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rPr>
              <w:t>提供有效证明材料复印件加盖公章及</w:t>
            </w:r>
            <w:r>
              <w:rPr>
                <w:rFonts w:hint="eastAsia" w:ascii="仿宋" w:hAnsi="仿宋" w:eastAsia="仿宋" w:cs="仿宋"/>
                <w:b/>
                <w:bCs/>
                <w:color w:val="auto"/>
                <w:sz w:val="24"/>
                <w:szCs w:val="24"/>
                <w:lang w:val="en-US" w:eastAsia="zh-CN"/>
              </w:rPr>
              <w:t>9月-11月</w:t>
            </w:r>
            <w:r>
              <w:rPr>
                <w:rFonts w:hint="eastAsia" w:ascii="仿宋" w:hAnsi="仿宋" w:eastAsia="仿宋" w:cs="仿宋"/>
                <w:b/>
                <w:bCs/>
                <w:color w:val="auto"/>
                <w:sz w:val="24"/>
                <w:szCs w:val="24"/>
              </w:rPr>
              <w:t>社保证明。未提供不得分。</w:t>
            </w:r>
          </w:p>
        </w:tc>
        <w:tc>
          <w:tcPr>
            <w:tcW w:w="687" w:type="dxa"/>
            <w:noWrap w:val="0"/>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val="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noWrap w:val="0"/>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276" w:type="dxa"/>
            <w:noWrap w:val="0"/>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拟投入人员设备、工具</w:t>
            </w:r>
          </w:p>
        </w:tc>
        <w:tc>
          <w:tcPr>
            <w:tcW w:w="5904" w:type="dxa"/>
            <w:noWrap w:val="0"/>
            <w:vAlign w:val="center"/>
          </w:tcPr>
          <w:p>
            <w:pPr>
              <w:spacing w:line="600" w:lineRule="exact"/>
              <w:jc w:val="left"/>
              <w:rPr>
                <w:rFonts w:hint="eastAsia" w:ascii="仿宋" w:hAnsi="仿宋" w:eastAsia="仿宋" w:cs="仿宋"/>
                <w:color w:val="auto"/>
                <w:sz w:val="24"/>
                <w:szCs w:val="24"/>
                <w:lang w:val="en-US" w:eastAsia="zh-CN"/>
              </w:rPr>
            </w:pPr>
            <w:bookmarkStart w:id="405" w:name="_GoBack"/>
            <w:r>
              <w:rPr>
                <w:rFonts w:hint="eastAsia" w:ascii="仿宋" w:hAnsi="仿宋" w:eastAsia="仿宋" w:cs="仿宋"/>
                <w:color w:val="auto"/>
                <w:kern w:val="0"/>
                <w:sz w:val="24"/>
                <w:szCs w:val="24"/>
                <w:lang w:val="en-US" w:eastAsia="zh-CN" w:bidi="ar-SA"/>
              </w:rPr>
              <w:t>投标人拟投入使用的设备、工器具的储备情况进行综合评议:对保安人员的通讯器材、保安装备配置情况等</w:t>
            </w:r>
            <w:r>
              <w:rPr>
                <w:rFonts w:hint="eastAsia" w:ascii="仿宋" w:hAnsi="仿宋" w:eastAsia="仿宋" w:cs="仿宋"/>
                <w:color w:val="auto"/>
                <w:sz w:val="24"/>
                <w:szCs w:val="24"/>
              </w:rPr>
              <w:t>进行评议（</w:t>
            </w:r>
            <w:r>
              <w:rPr>
                <w:rFonts w:hint="eastAsia" w:ascii="仿宋" w:hAnsi="仿宋" w:eastAsia="仿宋" w:cs="仿宋"/>
                <w:color w:val="auto"/>
                <w:sz w:val="24"/>
                <w:szCs w:val="24"/>
                <w:lang w:val="en-US" w:eastAsia="zh-CN"/>
              </w:rPr>
              <w:t>0-3</w:t>
            </w:r>
            <w:r>
              <w:rPr>
                <w:rFonts w:hint="eastAsia" w:ascii="仿宋" w:hAnsi="仿宋" w:eastAsia="仿宋" w:cs="仿宋"/>
                <w:color w:val="auto"/>
                <w:sz w:val="24"/>
                <w:szCs w:val="24"/>
              </w:rPr>
              <w:t>分）：</w:t>
            </w:r>
            <w:r>
              <w:rPr>
                <w:rFonts w:hint="eastAsia" w:ascii="仿宋" w:hAnsi="仿宋" w:eastAsia="仿宋" w:cs="仿宋"/>
                <w:b w:val="0"/>
                <w:bCs w:val="0"/>
                <w:color w:val="auto"/>
                <w:kern w:val="0"/>
                <w:sz w:val="24"/>
                <w:szCs w:val="24"/>
                <w:lang w:val="en-US" w:eastAsia="zh-CN" w:bidi="ar-SA"/>
              </w:rPr>
              <w:t>通讯器材、保安装备配置</w:t>
            </w:r>
            <w:r>
              <w:rPr>
                <w:rFonts w:hint="eastAsia" w:ascii="仿宋" w:hAnsi="仿宋" w:eastAsia="仿宋" w:cs="仿宋"/>
                <w:b w:val="0"/>
                <w:bCs w:val="0"/>
                <w:color w:val="auto"/>
                <w:sz w:val="24"/>
                <w:szCs w:val="24"/>
                <w:lang w:val="en-US" w:eastAsia="zh-CN"/>
              </w:rPr>
              <w:t>情况</w:t>
            </w:r>
            <w:r>
              <w:rPr>
                <w:rFonts w:hint="eastAsia" w:ascii="仿宋" w:hAnsi="仿宋" w:eastAsia="仿宋" w:cs="仿宋"/>
                <w:b w:val="0"/>
                <w:bCs w:val="0"/>
                <w:color w:val="auto"/>
                <w:sz w:val="24"/>
                <w:szCs w:val="24"/>
              </w:rPr>
              <w:t>符合要求，内容完整、充实的得</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分；</w:t>
            </w:r>
            <w:r>
              <w:rPr>
                <w:rFonts w:hint="eastAsia" w:ascii="仿宋" w:hAnsi="仿宋" w:eastAsia="仿宋" w:cs="仿宋"/>
                <w:b w:val="0"/>
                <w:bCs w:val="0"/>
                <w:color w:val="auto"/>
                <w:kern w:val="0"/>
                <w:sz w:val="24"/>
                <w:szCs w:val="24"/>
                <w:lang w:val="en-US" w:eastAsia="zh-CN" w:bidi="ar-SA"/>
              </w:rPr>
              <w:t>通讯器材、保安装备配置</w:t>
            </w:r>
            <w:r>
              <w:rPr>
                <w:rFonts w:hint="eastAsia" w:ascii="仿宋" w:hAnsi="仿宋" w:eastAsia="仿宋" w:cs="仿宋"/>
                <w:b w:val="0"/>
                <w:bCs w:val="0"/>
                <w:color w:val="auto"/>
                <w:sz w:val="24"/>
                <w:szCs w:val="24"/>
                <w:lang w:val="en-US" w:eastAsia="zh-CN"/>
              </w:rPr>
              <w:t>情况</w:t>
            </w:r>
            <w:r>
              <w:rPr>
                <w:rFonts w:hint="eastAsia" w:ascii="仿宋" w:hAnsi="仿宋" w:eastAsia="仿宋" w:cs="仿宋"/>
                <w:b w:val="0"/>
                <w:bCs w:val="0"/>
                <w:color w:val="auto"/>
                <w:sz w:val="24"/>
                <w:szCs w:val="24"/>
              </w:rPr>
              <w:t>符合要求，内容完整，但有所欠缺的得</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分；</w:t>
            </w:r>
            <w:r>
              <w:rPr>
                <w:rFonts w:hint="eastAsia" w:ascii="仿宋" w:hAnsi="仿宋" w:eastAsia="仿宋" w:cs="仿宋"/>
                <w:b w:val="0"/>
                <w:bCs w:val="0"/>
                <w:color w:val="auto"/>
                <w:kern w:val="0"/>
                <w:sz w:val="24"/>
                <w:szCs w:val="24"/>
                <w:lang w:val="en-US" w:eastAsia="zh-CN" w:bidi="ar-SA"/>
              </w:rPr>
              <w:t>通讯器材、保安装备配置</w:t>
            </w:r>
            <w:r>
              <w:rPr>
                <w:rFonts w:hint="eastAsia" w:ascii="仿宋" w:hAnsi="仿宋" w:eastAsia="仿宋" w:cs="仿宋"/>
                <w:b w:val="0"/>
                <w:bCs w:val="0"/>
                <w:color w:val="auto"/>
                <w:sz w:val="24"/>
                <w:szCs w:val="24"/>
                <w:lang w:val="en-US" w:eastAsia="zh-CN"/>
              </w:rPr>
              <w:t>情况</w:t>
            </w:r>
            <w:r>
              <w:rPr>
                <w:rFonts w:hint="eastAsia" w:ascii="仿宋" w:hAnsi="仿宋" w:eastAsia="仿宋" w:cs="仿宋"/>
                <w:b w:val="0"/>
                <w:bCs w:val="0"/>
                <w:color w:val="auto"/>
                <w:sz w:val="24"/>
                <w:szCs w:val="24"/>
              </w:rPr>
              <w:t>符合要求，但内容不完整的得</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分</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没有不得分</w:t>
            </w:r>
            <w:r>
              <w:rPr>
                <w:rFonts w:hint="eastAsia" w:ascii="仿宋" w:hAnsi="仿宋" w:eastAsia="仿宋" w:cs="仿宋"/>
                <w:b w:val="0"/>
                <w:bCs w:val="0"/>
                <w:color w:val="auto"/>
                <w:sz w:val="24"/>
                <w:szCs w:val="24"/>
              </w:rPr>
              <w:t>。</w:t>
            </w:r>
            <w:bookmarkEnd w:id="405"/>
          </w:p>
        </w:tc>
        <w:tc>
          <w:tcPr>
            <w:tcW w:w="687" w:type="dxa"/>
            <w:noWrap w:val="0"/>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rPr>
              <w:t>分</w:t>
            </w:r>
          </w:p>
        </w:tc>
      </w:tr>
    </w:tbl>
    <w:p>
      <w:pPr>
        <w:snapToGrid w:val="0"/>
        <w:spacing w:line="360" w:lineRule="auto"/>
        <w:rPr>
          <w:rFonts w:hint="eastAsia" w:ascii="宋体" w:hAnsi="宋体" w:eastAsia="宋体" w:cs="宋体"/>
          <w:color w:val="auto"/>
          <w:sz w:val="20"/>
          <w:szCs w:val="20"/>
          <w:highlight w:val="none"/>
          <w:shd w:val="clear" w:color="auto" w:fill="FFFFFF"/>
        </w:rPr>
      </w:pPr>
    </w:p>
    <w:p>
      <w:pPr>
        <w:rPr>
          <w:rFonts w:hint="eastAsia" w:ascii="宋体" w:hAnsi="宋体" w:eastAsia="宋体" w:cs="宋体"/>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w:t>
      </w:r>
    </w:p>
    <w:p>
      <w:pPr>
        <w:pStyle w:val="23"/>
        <w:rPr>
          <w:rFonts w:hint="eastAsia"/>
          <w:color w:val="auto"/>
          <w:highlight w:val="none"/>
        </w:rPr>
      </w:pP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r>
        <w:rPr>
          <w:rFonts w:hint="eastAsia" w:ascii="宋体" w:hAnsi="宋体" w:eastAsia="宋体" w:cs="宋体"/>
          <w:b/>
          <w:color w:val="auto"/>
          <w:kern w:val="0"/>
          <w:sz w:val="24"/>
          <w:highlight w:val="none"/>
        </w:rPr>
        <w:t>（评标委员会各成员评分的算术平均值，保留两位小数，后一位四舍五入）</w:t>
      </w:r>
      <w:r>
        <w:rPr>
          <w:rFonts w:hint="eastAsia" w:ascii="宋体" w:hAnsi="宋体" w:eastAsia="宋体" w:cs="宋体"/>
          <w:color w:val="auto"/>
          <w:kern w:val="0"/>
          <w:sz w:val="24"/>
          <w:highlight w:val="none"/>
        </w:rPr>
        <w:t>。</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ind w:firstLine="411" w:firstLineChars="196"/>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8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8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8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8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8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8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szCs w:val="24"/>
          <w:highlight w:val="none"/>
          <w:lang w:val="en-US" w:eastAsia="zh-CN"/>
        </w:rPr>
        <w:t>2</w:t>
      </w:r>
      <w:r>
        <w:rPr>
          <w:rFonts w:hint="eastAsia" w:ascii="宋体" w:hAnsi="宋体" w:eastAsia="宋体" w:cs="宋体"/>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6</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84"/>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有下列情况之一的，投标无效：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4.2.12投标人仅提交备份投标文件，没有在电子交易平台传输递交投标文件的，投标无效；</w:t>
      </w:r>
    </w:p>
    <w:p>
      <w:pPr>
        <w:pStyle w:val="2"/>
        <w:ind w:left="862" w:leftChars="205"/>
        <w:rPr>
          <w:rFonts w:hint="eastAsia" w:ascii="宋体" w:hAnsi="宋体" w:eastAsia="宋体" w:cs="宋体"/>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投标文件不满足招标文件的带“▲”</w:t>
      </w:r>
      <w:r>
        <w:rPr>
          <w:rFonts w:hint="eastAsia" w:cs="Arial"/>
          <w:b w:val="0"/>
          <w:bCs w:val="0"/>
          <w:color w:val="auto"/>
          <w:kern w:val="0"/>
          <w:sz w:val="24"/>
          <w:szCs w:val="24"/>
          <w:highlight w:val="none"/>
          <w:lang w:val="en-US" w:eastAsia="zh-CN"/>
        </w:rPr>
        <w:t>号</w:t>
      </w:r>
      <w:r>
        <w:rPr>
          <w:rFonts w:hint="eastAsia" w:cs="Arial"/>
          <w:b w:val="0"/>
          <w:bCs w:val="0"/>
          <w:color w:val="auto"/>
          <w:kern w:val="0"/>
          <w:sz w:val="24"/>
          <w:szCs w:val="24"/>
          <w:highlight w:val="none"/>
          <w:lang w:val="en-US"/>
        </w:rPr>
        <w:t>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7.1未确定中标或者中标人的，终止本次政府采购活动，重新开展政府采购活动。</w:t>
      </w:r>
    </w:p>
    <w:p>
      <w:pPr>
        <w:pStyle w:val="25"/>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的行为，经改正后仍然影响或者可能影响中标、成交结果或者依法被认定为中标、成交无效的，依照7.1-7.4规定处理。</w:t>
      </w:r>
    </w:p>
    <w:p>
      <w:pPr>
        <w:pStyle w:val="25"/>
        <w:snapToGrid w:val="0"/>
        <w:spacing w:line="360" w:lineRule="auto"/>
        <w:ind w:firstLine="0" w:firstLineChars="0"/>
        <w:rPr>
          <w:rFonts w:hint="eastAsia" w:ascii="宋体" w:hAnsi="宋体" w:eastAsia="宋体" w:cs="宋体"/>
          <w:color w:val="auto"/>
          <w:highlight w:val="none"/>
        </w:rPr>
      </w:pPr>
    </w:p>
    <w:bookmarkEnd w:id="27"/>
    <w:p>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3" w:name="_Toc86217003"/>
      <w:bookmarkStart w:id="394" w:name="第五部分"/>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pStyle w:val="23"/>
        <w:rPr>
          <w:rFonts w:hint="eastAsia" w:ascii="宋体" w:hAnsi="宋体" w:eastAsia="宋体" w:cs="宋体"/>
          <w:b/>
          <w:color w:val="auto"/>
          <w:sz w:val="36"/>
          <w:szCs w:val="36"/>
          <w:highlight w:val="none"/>
        </w:rPr>
      </w:pPr>
    </w:p>
    <w:p>
      <w:pPr>
        <w:pStyle w:val="61"/>
        <w:rPr>
          <w:rFonts w:hint="eastAsia" w:ascii="宋体" w:hAnsi="宋体" w:eastAsia="宋体" w:cs="宋体"/>
          <w:b/>
          <w:color w:val="auto"/>
          <w:sz w:val="36"/>
          <w:szCs w:val="36"/>
          <w:highlight w:val="none"/>
        </w:rPr>
      </w:pPr>
    </w:p>
    <w:p>
      <w:pPr>
        <w:pStyle w:val="52"/>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第五部分拟签订的合同文本</w:t>
      </w:r>
    </w:p>
    <w:p>
      <w:pPr>
        <w:spacing w:line="480" w:lineRule="auto"/>
        <w:jc w:val="center"/>
        <w:rPr>
          <w:rFonts w:hint="eastAsia" w:ascii="宋体" w:hAnsi="宋体" w:eastAsia="宋体" w:cs="宋体"/>
          <w:b/>
          <w:color w:val="auto"/>
          <w:sz w:val="24"/>
          <w:highlight w:val="none"/>
        </w:rPr>
      </w:pPr>
    </w:p>
    <w:p>
      <w:pPr>
        <w:spacing w:line="480" w:lineRule="auto"/>
        <w:jc w:val="center"/>
        <w:rPr>
          <w:rFonts w:ascii="仿宋" w:hAnsi="仿宋" w:eastAsia="仿宋"/>
          <w:color w:val="auto"/>
          <w:szCs w:val="24"/>
          <w:highlight w:val="none"/>
        </w:rPr>
      </w:pPr>
      <w:r>
        <w:rPr>
          <w:rFonts w:hint="eastAsia" w:ascii="仿宋_GB2312" w:hAnsi="仿宋" w:eastAsia="仿宋_GB2312" w:cs="仿宋_GB2312"/>
          <w:b/>
          <w:color w:val="auto"/>
          <w:sz w:val="36"/>
          <w:szCs w:val="36"/>
          <w:highlight w:val="none"/>
        </w:rPr>
        <w:t>政府采购合同参考范本</w:t>
      </w:r>
    </w:p>
    <w:p>
      <w:pPr>
        <w:pStyle w:val="384"/>
        <w:rPr>
          <w:rFonts w:ascii="仿宋" w:hAnsi="仿宋" w:eastAsia="仿宋"/>
          <w:color w:val="auto"/>
          <w:szCs w:val="24"/>
          <w:highlight w:val="none"/>
        </w:rPr>
      </w:pP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pPr>
        <w:pStyle w:val="281"/>
        <w:spacing w:before="120" w:line="22" w:lineRule="atLeast"/>
        <w:rPr>
          <w:rFonts w:ascii="仿宋" w:hAnsi="仿宋" w:eastAsia="仿宋"/>
          <w:color w:val="auto"/>
          <w:szCs w:val="24"/>
          <w:highlight w:val="none"/>
        </w:rPr>
      </w:pPr>
    </w:p>
    <w:p>
      <w:pPr>
        <w:pStyle w:val="281"/>
        <w:spacing w:before="120" w:line="22" w:lineRule="atLeast"/>
        <w:rPr>
          <w:rFonts w:ascii="仿宋" w:hAnsi="仿宋" w:eastAsia="仿宋"/>
          <w:color w:val="auto"/>
          <w:szCs w:val="24"/>
          <w:highlight w:val="none"/>
        </w:rPr>
      </w:pPr>
    </w:p>
    <w:p>
      <w:pPr>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pPr>
        <w:widowControl/>
        <w:jc w:val="left"/>
        <w:rPr>
          <w:rFonts w:ascii="仿宋" w:hAnsi="仿宋" w:eastAsia="仿宋"/>
          <w:color w:val="auto"/>
          <w:kern w:val="0"/>
          <w:sz w:val="24"/>
          <w:highlight w:val="none"/>
        </w:rPr>
        <w:sectPr>
          <w:pgSz w:w="11907" w:h="16840"/>
          <w:pgMar w:top="1474" w:right="1814" w:bottom="1474" w:left="1814" w:header="851" w:footer="851" w:gutter="0"/>
          <w:cols w:space="720" w:num="1"/>
        </w:sectPr>
      </w:pPr>
    </w:p>
    <w:p>
      <w:pPr>
        <w:pStyle w:val="34"/>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甲方：（买方）</w:t>
      </w:r>
    </w:p>
    <w:p>
      <w:pPr>
        <w:pStyle w:val="34"/>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乙方：（卖方）</w:t>
      </w:r>
    </w:p>
    <w:p>
      <w:pPr>
        <w:pStyle w:val="34"/>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甲、乙双方根据                  项目（项目编号：</w:t>
      </w:r>
      <w:r>
        <w:rPr>
          <w:rFonts w:hint="eastAsia" w:hAnsi="宋体" w:cs="宋体"/>
          <w:b/>
          <w:bCs/>
          <w:color w:val="auto"/>
          <w:sz w:val="24"/>
          <w:szCs w:val="24"/>
          <w:highlight w:val="none"/>
          <w:lang w:eastAsia="zh-CN"/>
        </w:rPr>
        <w:t>HZLP</w:t>
      </w:r>
      <w:r>
        <w:rPr>
          <w:rFonts w:hint="eastAsia" w:ascii="宋体" w:hAnsi="宋体" w:eastAsia="宋体" w:cs="宋体"/>
          <w:b/>
          <w:bCs/>
          <w:color w:val="auto"/>
          <w:sz w:val="24"/>
          <w:szCs w:val="24"/>
          <w:highlight w:val="none"/>
        </w:rPr>
        <w:t>ZFCG-20  -    ）公开招标的结果，签署本合同。</w:t>
      </w:r>
    </w:p>
    <w:p>
      <w:pPr>
        <w:spacing w:line="560" w:lineRule="exact"/>
        <w:ind w:firstLine="482" w:firstLineChars="200"/>
        <w:outlineLvl w:val="0"/>
        <w:rPr>
          <w:rFonts w:ascii="宋体" w:hAnsi="宋体" w:eastAsia="宋体"/>
          <w:b/>
          <w:color w:val="auto"/>
          <w:sz w:val="24"/>
          <w:highlight w:val="none"/>
        </w:rPr>
      </w:pPr>
      <w:r>
        <w:rPr>
          <w:rFonts w:ascii="宋体" w:hAnsi="宋体" w:eastAsia="宋体"/>
          <w:b/>
          <w:color w:val="auto"/>
          <w:sz w:val="24"/>
          <w:highlight w:val="none"/>
        </w:rPr>
        <w:t>1</w:t>
      </w:r>
      <w:r>
        <w:rPr>
          <w:rFonts w:hint="eastAsia" w:ascii="宋体" w:hAnsi="宋体"/>
          <w:b/>
          <w:color w:val="auto"/>
          <w:sz w:val="24"/>
          <w:highlight w:val="none"/>
          <w:lang w:eastAsia="zh-CN"/>
        </w:rPr>
        <w:t>、</w:t>
      </w:r>
      <w:r>
        <w:rPr>
          <w:rFonts w:hint="eastAsia" w:ascii="宋体" w:hAnsi="宋体" w:eastAsia="宋体"/>
          <w:b/>
          <w:color w:val="auto"/>
          <w:sz w:val="24"/>
          <w:highlight w:val="none"/>
        </w:rPr>
        <w:t>标的</w:t>
      </w:r>
    </w:p>
    <w:p>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1.</w:t>
      </w:r>
      <w:r>
        <w:rPr>
          <w:rFonts w:hint="eastAsia" w:ascii="宋体" w:hAnsi="宋体"/>
          <w:color w:val="auto"/>
          <w:sz w:val="24"/>
          <w:highlight w:val="none"/>
          <w:lang w:val="en-US" w:eastAsia="zh-CN"/>
        </w:rPr>
        <w:t>1</w:t>
      </w:r>
      <w:r>
        <w:rPr>
          <w:rFonts w:hint="eastAsia" w:ascii="宋体" w:hAnsi="宋体" w:eastAsia="宋体"/>
          <w:color w:val="auto"/>
          <w:sz w:val="24"/>
          <w:highlight w:val="none"/>
        </w:rPr>
        <w:t>标的</w:t>
      </w:r>
      <w:r>
        <w:rPr>
          <w:rFonts w:ascii="宋体" w:hAnsi="宋体" w:eastAsia="宋体"/>
          <w:color w:val="auto"/>
          <w:sz w:val="24"/>
          <w:highlight w:val="none"/>
        </w:rPr>
        <w:t>名称：</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1.2</w:t>
      </w:r>
      <w:r>
        <w:rPr>
          <w:rFonts w:hint="eastAsia" w:ascii="宋体" w:hAnsi="宋体" w:eastAsia="宋体"/>
          <w:color w:val="auto"/>
          <w:sz w:val="24"/>
          <w:highlight w:val="none"/>
        </w:rPr>
        <w:t>标的</w:t>
      </w:r>
      <w:r>
        <w:rPr>
          <w:rFonts w:ascii="宋体" w:hAnsi="宋体" w:eastAsia="宋体"/>
          <w:color w:val="auto"/>
          <w:sz w:val="24"/>
          <w:highlight w:val="none"/>
        </w:rPr>
        <w:t>数量：</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560" w:lineRule="exact"/>
        <w:ind w:firstLine="480" w:firstLineChars="200"/>
        <w:rPr>
          <w:rFonts w:ascii="仿宋" w:hAnsi="仿宋" w:eastAsia="仿宋"/>
          <w:color w:val="auto"/>
          <w:sz w:val="24"/>
          <w:highlight w:val="none"/>
        </w:rPr>
      </w:pPr>
      <w:r>
        <w:rPr>
          <w:rFonts w:ascii="宋体" w:hAnsi="宋体" w:eastAsia="宋体"/>
          <w:color w:val="auto"/>
          <w:sz w:val="24"/>
          <w:highlight w:val="none"/>
        </w:rPr>
        <w:t xml:space="preserve">1.3 </w:t>
      </w:r>
      <w:r>
        <w:rPr>
          <w:rFonts w:hint="eastAsia" w:ascii="宋体" w:hAnsi="宋体" w:eastAsia="宋体"/>
          <w:color w:val="auto"/>
          <w:sz w:val="24"/>
          <w:highlight w:val="none"/>
        </w:rPr>
        <w:t>标的质量：</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pPr>
        <w:pStyle w:val="34"/>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p>
    <w:p>
      <w:pPr>
        <w:pStyle w:val="34"/>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仿宋" w:hAnsi="仿宋" w:eastAsia="仿宋"/>
          <w:b/>
          <w:color w:val="auto"/>
          <w:sz w:val="24"/>
          <w:highlight w:val="none"/>
          <w:lang w:val="en-US" w:eastAsia="zh-CN"/>
        </w:rPr>
        <w:t>2、</w:t>
      </w:r>
      <w:r>
        <w:rPr>
          <w:rFonts w:hint="eastAsia" w:ascii="仿宋" w:hAnsi="仿宋" w:eastAsia="仿宋"/>
          <w:b/>
          <w:color w:val="auto"/>
          <w:sz w:val="24"/>
          <w:highlight w:val="none"/>
        </w:rPr>
        <w:t>价款</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本合同总价为：￥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pPr>
        <w:spacing w:line="560" w:lineRule="exact"/>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bl>
    <w:p>
      <w:pPr>
        <w:spacing w:line="360" w:lineRule="auto"/>
        <w:ind w:firstLine="480" w:firstLineChars="200"/>
        <w:rPr>
          <w:rFonts w:hint="eastAsia" w:ascii="仿宋" w:hAnsi="仿宋" w:eastAsia="仿宋" w:cs="Times New Roman"/>
          <w:color w:val="auto"/>
          <w:kern w:val="0"/>
          <w:sz w:val="24"/>
          <w:szCs w:val="20"/>
          <w:highlight w:val="none"/>
        </w:rPr>
      </w:pPr>
    </w:p>
    <w:p>
      <w:pPr>
        <w:pStyle w:val="34"/>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技术资料</w:t>
      </w:r>
    </w:p>
    <w:p>
      <w:pPr>
        <w:pStyle w:val="34"/>
        <w:adjustRightInd w:val="0"/>
        <w:snapToGrid w:val="0"/>
        <w:spacing w:line="360" w:lineRule="auto"/>
        <w:ind w:left="0" w:leftChars="0" w:right="0"/>
        <w:outlineLvl w:val="9"/>
        <w:rPr>
          <w:rFonts w:hint="eastAsia" w:ascii="仿宋" w:hAnsi="仿宋" w:eastAsia="仿宋" w:cs="Times New Roman"/>
          <w:bCs w:val="0"/>
          <w:color w:val="auto"/>
          <w:kern w:val="0"/>
          <w:sz w:val="24"/>
          <w:szCs w:val="20"/>
          <w:highlight w:val="none"/>
          <w:lang w:val="en-US" w:eastAsia="zh-CN" w:bidi="ar-SA"/>
        </w:rPr>
      </w:pPr>
      <w:r>
        <w:rPr>
          <w:rFonts w:hint="eastAsia" w:ascii="宋体" w:hAnsi="宋体" w:eastAsia="宋体" w:cs="宋体"/>
          <w:bCs/>
          <w:color w:val="auto"/>
          <w:sz w:val="24"/>
          <w:szCs w:val="24"/>
          <w:highlight w:val="none"/>
        </w:rPr>
        <w:t xml:space="preserve">  </w:t>
      </w:r>
      <w:r>
        <w:rPr>
          <w:rFonts w:hint="eastAsia" w:ascii="仿宋" w:hAnsi="仿宋" w:eastAsia="仿宋" w:cs="Times New Roman"/>
          <w:bCs w:val="0"/>
          <w:color w:val="auto"/>
          <w:kern w:val="0"/>
          <w:sz w:val="24"/>
          <w:szCs w:val="20"/>
          <w:highlight w:val="none"/>
          <w:lang w:val="en-US" w:eastAsia="zh-CN" w:bidi="ar-SA"/>
        </w:rPr>
        <w:t xml:space="preserve">  3.1乙方应按招标文件规定的时间向甲方提供使用货物的有关技术资料。</w:t>
      </w:r>
    </w:p>
    <w:p>
      <w:pPr>
        <w:adjustRightInd w:val="0"/>
        <w:snapToGrid/>
        <w:spacing w:line="360" w:lineRule="auto"/>
        <w:ind w:left="0" w:leftChars="0" w:right="0" w:firstLine="480" w:firstLineChars="200"/>
        <w:outlineLvl w:val="9"/>
        <w:rPr>
          <w:rFonts w:hint="eastAsia" w:ascii="仿宋" w:hAnsi="仿宋" w:eastAsia="仿宋" w:cs="Times New Roman"/>
          <w:b w:val="0"/>
          <w:color w:val="auto"/>
          <w:sz w:val="24"/>
          <w:szCs w:val="20"/>
          <w:highlight w:val="none"/>
        </w:rPr>
      </w:pPr>
      <w:r>
        <w:rPr>
          <w:rFonts w:hint="eastAsia" w:ascii="仿宋" w:hAnsi="仿宋" w:eastAsia="仿宋" w:cs="Times New Roman"/>
          <w:bCs w:val="0"/>
          <w:color w:val="auto"/>
          <w:kern w:val="0"/>
          <w:sz w:val="24"/>
          <w:szCs w:val="20"/>
          <w:highlight w:val="none"/>
          <w:lang w:val="en-US" w:eastAsia="zh-CN"/>
        </w:rPr>
        <w:t>3.2</w:t>
      </w:r>
      <w:r>
        <w:rPr>
          <w:rFonts w:hint="eastAsia" w:ascii="仿宋" w:hAnsi="仿宋" w:eastAsia="仿宋" w:cs="Times New Roman"/>
          <w:bCs w:val="0"/>
          <w:color w:val="auto"/>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Times New Roman"/>
          <w:bCs w:val="0"/>
          <w:color w:val="auto"/>
          <w:sz w:val="24"/>
          <w:szCs w:val="20"/>
          <w:highlight w:val="none"/>
        </w:rPr>
        <w:t>。</w:t>
      </w:r>
    </w:p>
    <w:p>
      <w:pPr>
        <w:adjustRightInd w:val="0"/>
        <w:snapToGrid w:val="0"/>
        <w:spacing w:line="360" w:lineRule="auto"/>
        <w:ind w:left="0" w:leftChars="0" w:right="0" w:firstLine="354" w:firstLineChars="147"/>
        <w:outlineLvl w:val="9"/>
        <w:rPr>
          <w:rFonts w:hint="eastAsia" w:ascii="宋体" w:hAnsi="宋体" w:eastAsia="宋体" w:cs="宋体"/>
          <w:b/>
          <w:bCs w:val="0"/>
          <w:color w:val="auto"/>
          <w:sz w:val="24"/>
          <w:szCs w:val="24"/>
          <w:highlight w:val="none"/>
        </w:rPr>
      </w:pPr>
      <w:r>
        <w:rPr>
          <w:rFonts w:hint="eastAsia" w:ascii="宋体" w:hAnsi="宋体" w:cs="宋体"/>
          <w:b/>
          <w:color w:val="auto"/>
          <w:sz w:val="24"/>
          <w:szCs w:val="24"/>
          <w:highlight w:val="none"/>
          <w:lang w:val="en-US" w:eastAsia="zh-CN"/>
        </w:rPr>
        <w:t xml:space="preserve"> 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权利担保</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4.1</w:t>
      </w:r>
      <w:r>
        <w:rPr>
          <w:rFonts w:hint="eastAsia" w:ascii="仿宋" w:hAnsi="仿宋" w:eastAsia="仿宋" w:cs="Times New Roman"/>
          <w:bCs w:val="0"/>
          <w:color w:val="auto"/>
          <w:sz w:val="24"/>
          <w:szCs w:val="20"/>
          <w:highlight w:val="none"/>
        </w:rPr>
        <w:t>乙方应保证所提供的货物或其任何一部分均不会侵犯任何第三方的知识产权。</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4.2</w:t>
      </w:r>
      <w:r>
        <w:rPr>
          <w:rFonts w:hint="eastAsia" w:ascii="仿宋" w:hAnsi="仿宋" w:eastAsia="仿宋" w:cs="Times New Roman"/>
          <w:bCs w:val="0"/>
          <w:color w:val="auto"/>
          <w:sz w:val="24"/>
          <w:szCs w:val="20"/>
          <w:highlight w:val="none"/>
        </w:rPr>
        <w:t>乙方保证所交付的货物的所有权完全属于乙方且无任何抵押、查封等产权瑕疵。</w:t>
      </w:r>
    </w:p>
    <w:p>
      <w:pPr>
        <w:adjustRightInd w:val="0"/>
        <w:snapToGrid w:val="0"/>
        <w:spacing w:line="360" w:lineRule="auto"/>
        <w:ind w:left="0" w:leftChars="0" w:right="0" w:firstLine="354" w:firstLineChars="147"/>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履约保证金</w:t>
      </w:r>
    </w:p>
    <w:p>
      <w:pPr>
        <w:pStyle w:val="616"/>
        <w:spacing w:before="0" w:beforeAutospacing="0" w:after="0" w:afterAutospacing="0" w:line="360" w:lineRule="auto"/>
        <w:ind w:firstLine="420"/>
        <w:rPr>
          <w:rFonts w:ascii="仿宋" w:hAnsi="仿宋" w:eastAsia="仿宋"/>
          <w:color w:val="auto"/>
          <w:highlight w:val="none"/>
        </w:rPr>
      </w:pPr>
      <w:r>
        <w:rPr>
          <w:rFonts w:hint="eastAsia" w:ascii="仿宋" w:hAnsi="仿宋" w:eastAsia="仿宋"/>
          <w:color w:val="auto"/>
          <w:highlight w:val="none"/>
          <w:lang w:val="en-US" w:eastAsia="zh-CN"/>
        </w:rPr>
        <w:t xml:space="preserve"> 5.</w:t>
      </w:r>
      <w:r>
        <w:rPr>
          <w:rFonts w:ascii="仿宋" w:hAnsi="仿宋" w:eastAsia="仿宋"/>
          <w:color w:val="auto"/>
          <w:highlight w:val="none"/>
        </w:rPr>
        <w:t xml:space="preserve">1 </w:t>
      </w:r>
      <w:r>
        <w:rPr>
          <w:rFonts w:hint="eastAsia" w:ascii="仿宋" w:hAnsi="仿宋" w:eastAsia="仿宋"/>
          <w:color w:val="auto"/>
          <w:highlight w:val="none"/>
        </w:rPr>
        <w:t>采购文件要求乙方提交履约保证金的，乙方应按</w:t>
      </w:r>
      <w:r>
        <w:rPr>
          <w:rFonts w:hint="eastAsia" w:ascii="仿宋" w:hAnsi="仿宋" w:eastAsia="仿宋"/>
          <w:color w:val="auto"/>
          <w:highlight w:val="none"/>
          <w:u w:val="single"/>
          <w:lang w:val="en-US" w:eastAsia="zh-CN"/>
        </w:rPr>
        <w:t xml:space="preserve">               </w:t>
      </w:r>
      <w:r>
        <w:rPr>
          <w:rFonts w:hint="eastAsia" w:ascii="仿宋" w:hAnsi="仿宋" w:eastAsia="仿宋"/>
          <w:color w:val="auto"/>
          <w:highlight w:val="none"/>
        </w:rPr>
        <w:t>的方式，以支票、汇票、本票或者金融机构、担保机构出具的保函等非现金形式，提交不超过合同金额</w:t>
      </w:r>
      <w:r>
        <w:rPr>
          <w:rFonts w:hint="eastAsia" w:ascii="仿宋" w:hAnsi="仿宋" w:eastAsia="仿宋"/>
          <w:color w:val="auto"/>
          <w:highlight w:val="none"/>
          <w:lang w:val="en-US" w:eastAsia="zh-CN"/>
        </w:rPr>
        <w:t>1</w:t>
      </w:r>
      <w:r>
        <w:rPr>
          <w:rFonts w:ascii="仿宋" w:hAnsi="仿宋" w:eastAsia="仿宋"/>
          <w:color w:val="auto"/>
          <w:highlight w:val="none"/>
        </w:rPr>
        <w:t>%的履约保证金；鼓励和支持乙方以银行、保险公司出具的保函形式提供履约保证。</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5</w:t>
      </w:r>
      <w:r>
        <w:rPr>
          <w:rFonts w:ascii="仿宋" w:hAnsi="仿宋" w:eastAsia="仿宋"/>
          <w:color w:val="auto"/>
          <w:sz w:val="24"/>
          <w:highlight w:val="none"/>
        </w:rPr>
        <w:t xml:space="preserve">.2  </w:t>
      </w:r>
      <w:r>
        <w:rPr>
          <w:rFonts w:hint="eastAsia" w:ascii="仿宋" w:hAnsi="仿宋" w:eastAsia="仿宋"/>
          <w:color w:val="auto"/>
          <w:sz w:val="24"/>
          <w:highlight w:val="none"/>
        </w:rPr>
        <w:t>履约保证金在</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期间内不予退还。乙方在前述约定期间届满前能履行完合同约定义务事项的，甲方在前述约定期间届满之日起</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5</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个工作日内，</w:t>
      </w:r>
      <w:r>
        <w:rPr>
          <w:rFonts w:hint="eastAsia" w:ascii="仿宋" w:hAnsi="仿宋" w:eastAsia="仿宋"/>
          <w:color w:val="auto"/>
          <w:sz w:val="24"/>
          <w:highlight w:val="none"/>
          <w:lang w:val="en-US" w:eastAsia="zh-CN"/>
        </w:rPr>
        <w:t>以</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方式将履约保证金退还乙方，逾期退还的，乙方可要求甲方支付违约金，违约金按每迟延退还一日的应退还而未退还金额的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%计算，最高限额为本合同履约保证金的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5.</w:t>
      </w:r>
      <w:r>
        <w:rPr>
          <w:rFonts w:ascii="仿宋" w:hAnsi="仿宋" w:eastAsia="仿宋"/>
          <w:color w:val="auto"/>
          <w:sz w:val="24"/>
          <w:highlight w:val="none"/>
        </w:rPr>
        <w:t xml:space="preserve">3 </w:t>
      </w:r>
      <w:r>
        <w:rPr>
          <w:rFonts w:hint="eastAsia" w:ascii="仿宋" w:hAnsi="仿宋" w:eastAsia="仿宋"/>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color w:val="auto"/>
          <w:highlight w:val="none"/>
        </w:rPr>
      </w:pPr>
      <w:r>
        <w:rPr>
          <w:rFonts w:hint="eastAsia" w:ascii="仿宋" w:hAnsi="仿宋" w:eastAsia="仿宋"/>
          <w:color w:val="auto"/>
          <w:sz w:val="24"/>
          <w:highlight w:val="none"/>
          <w:lang w:val="en-US" w:eastAsia="zh-CN"/>
        </w:rPr>
        <w:t>5</w:t>
      </w:r>
      <w:r>
        <w:rPr>
          <w:rFonts w:ascii="仿宋" w:hAnsi="仿宋" w:eastAsia="仿宋"/>
          <w:color w:val="auto"/>
          <w:sz w:val="24"/>
          <w:highlight w:val="none"/>
        </w:rPr>
        <w:t>.</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甲方</w:t>
      </w:r>
      <w:r>
        <w:rPr>
          <w:rFonts w:ascii="仿宋" w:hAnsi="仿宋" w:eastAsia="仿宋"/>
          <w:color w:val="auto"/>
          <w:sz w:val="24"/>
          <w:highlight w:val="none"/>
        </w:rPr>
        <w:t>在</w:t>
      </w:r>
      <w:r>
        <w:rPr>
          <w:rFonts w:hint="eastAsia" w:ascii="仿宋" w:hAnsi="仿宋" w:eastAsia="仿宋"/>
          <w:color w:val="auto"/>
          <w:sz w:val="24"/>
          <w:highlight w:val="none"/>
        </w:rPr>
        <w:t>乙方</w:t>
      </w:r>
      <w:r>
        <w:rPr>
          <w:rFonts w:ascii="仿宋" w:hAnsi="仿宋" w:eastAsia="仿宋"/>
          <w:color w:val="auto"/>
          <w:sz w:val="24"/>
          <w:highlight w:val="none"/>
        </w:rPr>
        <w:t>履行完合同约定义务事项后及时退还，延迟退还的，应当按照合同约定和法律规定承担相应的赔偿责任。</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5.5</w:t>
      </w:r>
      <w:r>
        <w:rPr>
          <w:rFonts w:ascii="仿宋" w:hAnsi="仿宋" w:eastAsia="仿宋"/>
          <w:color w:val="auto"/>
          <w:sz w:val="24"/>
          <w:highlight w:val="none"/>
        </w:rPr>
        <w:t>对于因甲方原因导致变更、中止或者终止政府采购合同的，甲方应当依照合同约定对供应商受到的损失予以赔偿或者补偿。</w:t>
      </w:r>
    </w:p>
    <w:p>
      <w:pPr>
        <w:adjustRightInd w:val="0"/>
        <w:snapToGrid w:val="0"/>
        <w:spacing w:line="360" w:lineRule="auto"/>
        <w:ind w:left="0" w:leftChars="0" w:right="0" w:firstLine="352" w:firstLineChars="147"/>
        <w:outlineLvl w:val="9"/>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转包</w:t>
      </w:r>
      <w:r>
        <w:rPr>
          <w:rFonts w:hint="eastAsia" w:ascii="宋体" w:hAnsi="宋体" w:eastAsia="宋体" w:cs="宋体"/>
          <w:b/>
          <w:color w:val="auto"/>
          <w:sz w:val="24"/>
          <w:szCs w:val="24"/>
          <w:highlight w:val="none"/>
        </w:rPr>
        <w:t>或分包</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6</w:t>
      </w:r>
      <w:r>
        <w:rPr>
          <w:rFonts w:ascii="仿宋" w:hAnsi="仿宋" w:eastAsia="仿宋"/>
          <w:color w:val="auto"/>
          <w:sz w:val="24"/>
          <w:highlight w:val="none"/>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6</w:t>
      </w:r>
      <w:r>
        <w:rPr>
          <w:rFonts w:ascii="仿宋" w:hAnsi="仿宋" w:eastAsia="仿宋"/>
          <w:color w:val="auto"/>
          <w:sz w:val="24"/>
          <w:highlight w:val="none"/>
        </w:rPr>
        <w:t>.2乙方采取分包方式履行合同的，甲方可直接向分包供应商支付款项。</w:t>
      </w:r>
    </w:p>
    <w:p>
      <w:pPr>
        <w:adjustRightInd w:val="0"/>
        <w:snapToGrid w:val="0"/>
        <w:spacing w:line="360" w:lineRule="auto"/>
        <w:ind w:left="0" w:leftChars="0" w:right="0" w:firstLine="354" w:firstLineChars="147"/>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质保期</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质保期：产品验收合格使用之日起，质保期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rPr>
        <w:t>年（具体再参照乙方按投标文件承诺确定），质保期内的维修费用（包括材料）全部由乙方负责。超过质保期的，维修时只收部件成本费。</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8</w:t>
      </w:r>
      <w:r>
        <w:rPr>
          <w:rFonts w:hint="eastAsia" w:ascii="宋体" w:hAnsi="宋体" w:eastAsia="宋体" w:cs="宋体"/>
          <w:b/>
          <w:color w:val="auto"/>
          <w:sz w:val="24"/>
          <w:highlight w:val="none"/>
        </w:rPr>
        <w:t>.履行期限、地点和方式</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1 履行期限：</w:t>
      </w:r>
      <w:r>
        <w:rPr>
          <w:rFonts w:hint="eastAsia" w:ascii="宋体" w:hAnsi="宋体" w:eastAsia="宋体" w:cs="宋体"/>
          <w:color w:val="auto"/>
          <w:sz w:val="24"/>
          <w:highlight w:val="none"/>
          <w:u w:val="single" w:color="auto"/>
        </w:rPr>
        <w:t>合同期限为</w:t>
      </w:r>
      <w:r>
        <w:rPr>
          <w:rFonts w:hint="eastAsia" w:ascii="宋体" w:hAnsi="宋体" w:eastAsia="宋体" w:cs="宋体"/>
          <w:color w:val="auto"/>
          <w:sz w:val="24"/>
          <w:highlight w:val="none"/>
          <w:u w:val="single" w:color="auto"/>
          <w:lang w:val="en-US" w:eastAsia="zh-CN"/>
        </w:rPr>
        <w:t>签订合同之日起至20年</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u w:val="single" w:color="auto"/>
          <w:lang w:val="en-US" w:eastAsia="zh-CN"/>
        </w:rPr>
        <w:t>月</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u w:val="single" w:color="auto"/>
          <w:lang w:val="en-US" w:eastAsia="zh-CN"/>
        </w:rPr>
        <w:t>日</w:t>
      </w:r>
      <w:r>
        <w:rPr>
          <w:rFonts w:hint="eastAsia" w:ascii="宋体" w:hAnsi="宋体" w:eastAsia="宋体" w:cs="宋体"/>
          <w:color w:val="auto"/>
          <w:sz w:val="24"/>
          <w:highlight w:val="none"/>
          <w:u w:val="single" w:color="auto"/>
        </w:rPr>
        <w:t>。合同期满后，乙方根据甲方需求另行签订补充服务协议；</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2 履行地点：</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rPr>
        <w:t>；</w:t>
      </w:r>
    </w:p>
    <w:p>
      <w:pPr>
        <w:adjustRightInd w:val="0"/>
        <w:snapToGrid w:val="0"/>
        <w:spacing w:line="360" w:lineRule="auto"/>
        <w:ind w:right="0"/>
        <w:outlineLvl w:val="9"/>
        <w:rPr>
          <w:rFonts w:hint="eastAsia" w:ascii="仿宋" w:hAnsi="仿宋" w:eastAsia="仿宋" w:cs="仿宋"/>
          <w:color w:val="auto"/>
          <w:sz w:val="24"/>
          <w:szCs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3 履行方式：</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rPr>
        <w:t>。</w:t>
      </w:r>
    </w:p>
    <w:p>
      <w:pPr>
        <w:spacing w:line="360" w:lineRule="auto"/>
        <w:ind w:firstLine="482" w:firstLineChars="200"/>
        <w:outlineLvl w:val="0"/>
        <w:rPr>
          <w:rFonts w:ascii="仿宋" w:hAnsi="仿宋" w:eastAsia="仿宋"/>
          <w:b/>
          <w:color w:val="auto"/>
          <w:sz w:val="24"/>
          <w:highlight w:val="none"/>
        </w:rPr>
      </w:pPr>
      <w:r>
        <w:rPr>
          <w:rFonts w:hint="eastAsia" w:ascii="宋体" w:hAnsi="宋体" w:cs="宋体"/>
          <w:b/>
          <w:bCs w:val="0"/>
          <w:color w:val="auto"/>
          <w:sz w:val="24"/>
          <w:szCs w:val="24"/>
          <w:highlight w:val="none"/>
          <w:lang w:val="en-US" w:eastAsia="zh-CN"/>
        </w:rPr>
        <w:t>9.</w:t>
      </w:r>
      <w:r>
        <w:rPr>
          <w:rFonts w:hint="eastAsia" w:ascii="宋体" w:hAnsi="宋体" w:eastAsia="宋体" w:cs="宋体"/>
          <w:b/>
          <w:color w:val="auto"/>
          <w:sz w:val="24"/>
          <w:highlight w:val="none"/>
        </w:rPr>
        <w:t>付款方式、时间和条件</w:t>
      </w:r>
    </w:p>
    <w:p>
      <w:pPr>
        <w:pStyle w:val="616"/>
        <w:spacing w:before="0" w:beforeAutospacing="0" w:after="0" w:afterAutospacing="0" w:line="360" w:lineRule="auto"/>
        <w:ind w:firstLine="480"/>
        <w:rPr>
          <w:rFonts w:ascii="仿宋" w:hAnsi="仿宋" w:eastAsia="仿宋" w:cs="Times New Roman"/>
          <w:color w:val="auto"/>
          <w:highlight w:val="none"/>
        </w:rPr>
      </w:pPr>
      <w:r>
        <w:rPr>
          <w:rFonts w:hint="eastAsia" w:ascii="仿宋" w:hAnsi="仿宋" w:eastAsia="仿宋" w:cs="Times New Roman"/>
          <w:color w:val="auto"/>
          <w:highlight w:val="none"/>
          <w:lang w:val="en-US" w:eastAsia="zh-CN"/>
        </w:rPr>
        <w:t>9.</w:t>
      </w:r>
      <w:r>
        <w:rPr>
          <w:rFonts w:ascii="仿宋" w:hAnsi="仿宋" w:eastAsia="仿宋" w:cs="Times New Roman"/>
          <w:color w:val="auto"/>
          <w:highlight w:val="none"/>
        </w:rPr>
        <w:t>1</w:t>
      </w:r>
      <w:r>
        <w:rPr>
          <w:rFonts w:hint="eastAsia" w:ascii="仿宋" w:hAnsi="仿宋" w:eastAsia="仿宋" w:cs="Times New Roman"/>
          <w:color w:val="auto"/>
          <w:highlight w:val="none"/>
        </w:rPr>
        <w:t>甲方应严格履行合同，及时组织验收，验收合格后及时将合同款支付完毕。对于满足合同约定支付条件的，甲方自收到发票后</w:t>
      </w:r>
      <w:r>
        <w:rPr>
          <w:rFonts w:hint="eastAsia" w:ascii="仿宋" w:hAnsi="仿宋" w:eastAsia="仿宋" w:cs="Times New Roman"/>
          <w:color w:val="auto"/>
          <w:highlight w:val="none"/>
          <w:lang w:val="en-US" w:eastAsia="zh-CN"/>
        </w:rPr>
        <w:t>7</w:t>
      </w:r>
      <w:r>
        <w:rPr>
          <w:rFonts w:ascii="仿宋" w:hAnsi="仿宋" w:eastAsia="仿宋" w:cs="Times New Roman"/>
          <w:color w:val="auto"/>
          <w:highlight w:val="none"/>
        </w:rPr>
        <w:t>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9</w:t>
      </w:r>
      <w:r>
        <w:rPr>
          <w:rFonts w:ascii="仿宋" w:hAnsi="仿宋" w:eastAsia="仿宋"/>
          <w:color w:val="auto"/>
          <w:sz w:val="24"/>
          <w:highlight w:val="none"/>
        </w:rPr>
        <w:t>.2甲方在政府采购合同中约定预付款，预付款比例</w:t>
      </w:r>
      <w:r>
        <w:rPr>
          <w:rFonts w:hint="eastAsia" w:ascii="仿宋" w:hAnsi="仿宋" w:eastAsia="仿宋"/>
          <w:color w:val="auto"/>
          <w:sz w:val="24"/>
          <w:highlight w:val="none"/>
        </w:rPr>
        <w:t>为</w:t>
      </w:r>
      <w:r>
        <w:rPr>
          <w:rFonts w:ascii="仿宋" w:hAnsi="仿宋" w:eastAsia="仿宋"/>
          <w:color w:val="auto"/>
          <w:sz w:val="24"/>
          <w:highlight w:val="none"/>
        </w:rPr>
        <w:t>合同金额的</w:t>
      </w:r>
      <w:r>
        <w:rPr>
          <w:rFonts w:hint="eastAsia" w:ascii="仿宋" w:hAnsi="仿宋" w:eastAsia="仿宋"/>
          <w:color w:val="auto"/>
          <w:sz w:val="24"/>
          <w:highlight w:val="none"/>
          <w:lang w:val="en-US" w:eastAsia="zh-CN"/>
        </w:rPr>
        <w:t>40</w:t>
      </w:r>
      <w:r>
        <w:rPr>
          <w:rFonts w:ascii="仿宋" w:hAnsi="仿宋" w:eastAsia="仿宋"/>
          <w:color w:val="auto"/>
          <w:sz w:val="24"/>
          <w:highlight w:val="none"/>
        </w:rPr>
        <w:t>％；项目分年安排预算的，每年预付款比例</w:t>
      </w:r>
      <w:r>
        <w:rPr>
          <w:rFonts w:hint="eastAsia" w:ascii="仿宋" w:hAnsi="仿宋" w:eastAsia="仿宋"/>
          <w:color w:val="auto"/>
          <w:sz w:val="24"/>
          <w:highlight w:val="none"/>
        </w:rPr>
        <w:t>为</w:t>
      </w:r>
      <w:r>
        <w:rPr>
          <w:rFonts w:ascii="仿宋" w:hAnsi="仿宋" w:eastAsia="仿宋"/>
          <w:color w:val="auto"/>
          <w:sz w:val="24"/>
          <w:highlight w:val="none"/>
        </w:rPr>
        <w:t>项目年度计划支付资金额的</w:t>
      </w:r>
      <w:r>
        <w:rPr>
          <w:rFonts w:hint="eastAsia" w:ascii="仿宋" w:hAnsi="仿宋" w:eastAsia="仿宋"/>
          <w:color w:val="auto"/>
          <w:sz w:val="24"/>
          <w:highlight w:val="none"/>
          <w:lang w:val="en-US" w:eastAsia="zh-CN"/>
        </w:rPr>
        <w:t>40</w:t>
      </w:r>
      <w:r>
        <w:rPr>
          <w:rFonts w:ascii="仿宋" w:hAnsi="仿宋" w:eastAsia="仿宋"/>
          <w:color w:val="auto"/>
          <w:sz w:val="24"/>
          <w:highlight w:val="none"/>
        </w:rPr>
        <w:t>％。采购项目实施以人工投入为主的，可适当降低预付款比例，但不低于</w:t>
      </w:r>
      <w:r>
        <w:rPr>
          <w:rFonts w:hint="eastAsia" w:ascii="仿宋" w:hAnsi="仿宋" w:eastAsia="仿宋"/>
          <w:color w:val="auto"/>
          <w:sz w:val="24"/>
          <w:highlight w:val="none"/>
          <w:lang w:val="en-US" w:eastAsia="zh-CN"/>
        </w:rPr>
        <w:t>20</w:t>
      </w:r>
      <w:r>
        <w:rPr>
          <w:rFonts w:ascii="仿宋" w:hAnsi="仿宋" w:eastAsia="仿宋"/>
          <w:color w:val="auto"/>
          <w:sz w:val="24"/>
          <w:highlight w:val="none"/>
        </w:rPr>
        <w:t>%。甲方可以根据项目特点、乙方信用等实际情况提高预付款比例，最高预付比例可以达到</w:t>
      </w:r>
      <w:r>
        <w:rPr>
          <w:rFonts w:hint="eastAsia" w:ascii="仿宋" w:hAnsi="仿宋" w:eastAsia="仿宋"/>
          <w:color w:val="auto"/>
          <w:sz w:val="24"/>
          <w:highlight w:val="none"/>
          <w:lang w:val="en-US" w:eastAsia="zh-CN"/>
        </w:rPr>
        <w:t>70</w:t>
      </w:r>
      <w:r>
        <w:rPr>
          <w:rFonts w:ascii="仿宋" w:hAnsi="仿宋" w:eastAsia="仿宋"/>
          <w:color w:val="auto"/>
          <w:sz w:val="24"/>
          <w:highlight w:val="none"/>
        </w:rPr>
        <w:t>%。</w:t>
      </w:r>
      <w:r>
        <w:rPr>
          <w:rFonts w:hint="eastAsia" w:ascii="仿宋" w:hAnsi="仿宋" w:eastAsia="仿宋"/>
          <w:color w:val="auto"/>
          <w:sz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9</w:t>
      </w:r>
      <w:r>
        <w:rPr>
          <w:rFonts w:ascii="仿宋" w:hAnsi="仿宋" w:eastAsia="仿宋"/>
          <w:color w:val="auto"/>
          <w:sz w:val="24"/>
          <w:highlight w:val="none"/>
        </w:rPr>
        <w:t>.3</w:t>
      </w:r>
      <w:r>
        <w:rPr>
          <w:rFonts w:hint="eastAsia" w:ascii="仿宋" w:hAnsi="仿宋" w:eastAsia="仿宋"/>
          <w:color w:val="auto"/>
          <w:sz w:val="24"/>
          <w:highlight w:val="none"/>
        </w:rPr>
        <w:t>甲方迟延支付乙方款项的，向乙方支付逾期利息。双方可以在合同专用条款中约定逾期利率，约定利率不得低于合同订立时</w:t>
      </w:r>
      <w:r>
        <w:rPr>
          <w:rFonts w:ascii="仿宋" w:hAnsi="仿宋" w:eastAsia="仿宋"/>
          <w:color w:val="auto"/>
          <w:sz w:val="24"/>
          <w:highlight w:val="none"/>
        </w:rPr>
        <w:t>1年</w:t>
      </w:r>
      <w:r>
        <w:rPr>
          <w:rFonts w:hint="eastAsia" w:ascii="仿宋" w:hAnsi="仿宋" w:eastAsia="仿宋"/>
          <w:color w:val="auto"/>
          <w:sz w:val="24"/>
          <w:highlight w:val="none"/>
        </w:rPr>
        <w:t>期贷款市场报价利率；未作约定的，按照每日利率万分之五支付逾期利息。</w:t>
      </w:r>
    </w:p>
    <w:p>
      <w:pPr>
        <w:spacing w:line="360" w:lineRule="auto"/>
        <w:ind w:firstLine="480" w:firstLineChars="200"/>
        <w:outlineLvl w:val="0"/>
        <w:rPr>
          <w:rFonts w:ascii="仿宋" w:hAnsi="仿宋" w:eastAsia="仿宋"/>
          <w:color w:val="auto"/>
          <w:sz w:val="24"/>
          <w:highlight w:val="none"/>
        </w:rPr>
      </w:pPr>
      <w:r>
        <w:rPr>
          <w:rFonts w:hint="eastAsia" w:ascii="仿宋" w:hAnsi="仿宋" w:eastAsia="仿宋"/>
          <w:color w:val="auto"/>
          <w:sz w:val="24"/>
          <w:highlight w:val="none"/>
          <w:lang w:val="en-US" w:eastAsia="zh-CN"/>
        </w:rPr>
        <w:t>9</w:t>
      </w:r>
      <w:r>
        <w:rPr>
          <w:rFonts w:ascii="仿宋" w:hAnsi="仿宋" w:eastAsia="仿宋"/>
          <w:color w:val="auto"/>
          <w:sz w:val="24"/>
          <w:highlight w:val="none"/>
        </w:rPr>
        <w:t>.4资金支付的方式、时间和条</w:t>
      </w:r>
      <w:r>
        <w:rPr>
          <w:rFonts w:hint="eastAsia" w:ascii="仿宋" w:hAnsi="仿宋" w:eastAsia="仿宋"/>
          <w:color w:val="auto"/>
          <w:sz w:val="24"/>
          <w:highlight w:val="none"/>
          <w:lang w:val="en-US" w:eastAsia="zh-CN"/>
        </w:rPr>
        <w:t>件：</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highlight w:val="none"/>
        </w:rPr>
        <w:t>。</w:t>
      </w:r>
    </w:p>
    <w:p>
      <w:pPr>
        <w:spacing w:line="360" w:lineRule="auto"/>
        <w:ind w:firstLine="480" w:firstLineChars="200"/>
        <w:outlineLvl w:val="0"/>
        <w:rPr>
          <w:rFonts w:ascii="仿宋" w:hAnsi="仿宋" w:eastAsia="仿宋"/>
          <w:color w:val="auto"/>
          <w:sz w:val="24"/>
          <w:highlight w:val="none"/>
        </w:rPr>
      </w:pPr>
      <w:r>
        <w:rPr>
          <w:rFonts w:hint="eastAsia" w:ascii="仿宋" w:hAnsi="仿宋" w:eastAsia="仿宋"/>
          <w:color w:val="auto"/>
          <w:sz w:val="24"/>
          <w:highlight w:val="none"/>
          <w:lang w:val="en-US" w:eastAsia="zh-CN"/>
        </w:rPr>
        <w:t>9</w:t>
      </w:r>
      <w:r>
        <w:rPr>
          <w:rFonts w:ascii="仿宋" w:hAnsi="仿宋" w:eastAsia="仿宋"/>
          <w:color w:val="auto"/>
          <w:sz w:val="24"/>
          <w:highlight w:val="none"/>
        </w:rPr>
        <w:t>.5</w:t>
      </w:r>
      <w:r>
        <w:rPr>
          <w:rFonts w:hint="eastAsia" w:ascii="仿宋" w:hAnsi="仿宋" w:eastAsia="仿宋"/>
          <w:color w:val="auto"/>
          <w:sz w:val="24"/>
          <w:highlight w:val="none"/>
        </w:rPr>
        <w:t>乙方</w:t>
      </w:r>
      <w:r>
        <w:rPr>
          <w:rFonts w:ascii="仿宋" w:hAnsi="仿宋" w:eastAsia="仿宋"/>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highlight w:val="none"/>
        </w:rPr>
        <w:t>杭财采监〔</w:t>
      </w:r>
      <w:r>
        <w:rPr>
          <w:rFonts w:ascii="仿宋" w:hAnsi="仿宋" w:eastAsia="仿宋"/>
          <w:color w:val="auto"/>
          <w:sz w:val="24"/>
          <w:highlight w:val="none"/>
        </w:rPr>
        <w:t>2021〕17号）。</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宋体" w:hAnsi="宋体" w:cs="宋体"/>
          <w:bCs/>
          <w:color w:val="auto"/>
          <w:sz w:val="24"/>
          <w:szCs w:val="24"/>
          <w:highlight w:val="none"/>
          <w:lang w:val="en-US" w:eastAsia="zh-CN"/>
        </w:rPr>
        <w:t xml:space="preserve"> 10</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税费</w:t>
      </w:r>
    </w:p>
    <w:p>
      <w:pPr>
        <w:adjustRightInd w:val="0"/>
        <w:snapToGrid/>
        <w:spacing w:line="360" w:lineRule="auto"/>
        <w:ind w:left="0" w:leftChars="0" w:right="0"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与合同有关的一切税费，均按照中华人民共和国法律的相关规定缴纳。</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质量保证及售后服务</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11.1</w:t>
      </w:r>
      <w:r>
        <w:rPr>
          <w:rFonts w:hint="eastAsia" w:ascii="仿宋" w:hAnsi="仿宋" w:eastAsia="仿宋" w:cs="仿宋"/>
          <w:bCs/>
          <w:color w:val="auto"/>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11.2</w:t>
      </w:r>
      <w:r>
        <w:rPr>
          <w:rFonts w:hint="eastAsia" w:ascii="仿宋" w:hAnsi="仿宋" w:eastAsia="仿宋" w:cs="仿宋"/>
          <w:bCs/>
          <w:color w:val="auto"/>
          <w:sz w:val="24"/>
          <w:szCs w:val="24"/>
          <w:highlight w:val="none"/>
        </w:rPr>
        <w:t>乙方提供的货物在质保期内因货物本身的质量问题发生故障，乙方应负责免费更换。对达不到技术要求者，根据实际情况，经双方协商，可按以下办法处理：</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更换：由乙方承担所发生的全部费用。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贬值处理：由甲乙双方合议定价。</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退货处理：乙方应退还甲方支付的合同款，同时应承担该货物的直接费用（运输、保险、检验、货款利息及银行手续费等）。</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11.3</w:t>
      </w:r>
      <w:r>
        <w:rPr>
          <w:rFonts w:hint="eastAsia" w:ascii="仿宋" w:hAnsi="仿宋" w:eastAsia="仿宋" w:cs="仿宋"/>
          <w:bCs/>
          <w:color w:val="auto"/>
          <w:sz w:val="24"/>
          <w:szCs w:val="24"/>
          <w:highlight w:val="none"/>
        </w:rPr>
        <w:t>在质保期内，乙方应对货物出现的质量及安全问题负责处理解决并承担一切费用。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11.4</w:t>
      </w:r>
      <w:r>
        <w:rPr>
          <w:rFonts w:hint="eastAsia" w:ascii="仿宋" w:hAnsi="仿宋" w:eastAsia="仿宋" w:cs="仿宋"/>
          <w:bCs/>
          <w:color w:val="auto"/>
          <w:sz w:val="24"/>
          <w:szCs w:val="24"/>
          <w:highlight w:val="none"/>
        </w:rPr>
        <w:t>乙方必须对所供产品实行终身维修，乙方在接到电话后2小时内响应，6小时内到达现场解决问题，最迟在2个工作日内修复，如不能修复应采取补救措施，以保证使用方的正常工作，乙方有其它服务承诺的，一并履行。</w:t>
      </w:r>
    </w:p>
    <w:p>
      <w:pPr>
        <w:adjustRightInd w:val="0"/>
        <w:snapToGrid w:val="0"/>
        <w:spacing w:line="360" w:lineRule="auto"/>
        <w:ind w:left="0" w:leftChars="0" w:right="0" w:firstLine="352" w:firstLineChars="147"/>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en-US" w:eastAsia="zh-CN"/>
        </w:rPr>
        <w:t>11.5</w:t>
      </w:r>
      <w:r>
        <w:rPr>
          <w:rFonts w:hint="eastAsia" w:ascii="仿宋" w:hAnsi="仿宋" w:eastAsia="仿宋" w:cs="仿宋"/>
          <w:bCs/>
          <w:color w:val="auto"/>
          <w:sz w:val="24"/>
          <w:szCs w:val="24"/>
          <w:highlight w:val="none"/>
        </w:rPr>
        <w:t>乙方在质保期内每年应（不少于一次）到使用方进行设备保养、检修。</w:t>
      </w:r>
    </w:p>
    <w:p>
      <w:pPr>
        <w:adjustRightInd w:val="0"/>
        <w:snapToGrid w:val="0"/>
        <w:spacing w:line="360" w:lineRule="auto"/>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货物包装、发运及运输</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12.1</w:t>
      </w:r>
      <w:r>
        <w:rPr>
          <w:rFonts w:hint="eastAsia" w:ascii="仿宋" w:hAnsi="仿宋" w:eastAsia="仿宋" w:cs="仿宋"/>
          <w:bCs/>
          <w:color w:val="auto"/>
          <w:sz w:val="24"/>
          <w:szCs w:val="24"/>
          <w:highlight w:val="none"/>
        </w:rPr>
        <w:t>乙方应在货物发运前对其进行满足运输距离、防潮、防震、防锈和防破损装卸等要求包装，以保证货物安全运达甲方指定地点。</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12.2</w:t>
      </w:r>
      <w:r>
        <w:rPr>
          <w:rFonts w:hint="eastAsia" w:ascii="仿宋" w:hAnsi="仿宋" w:eastAsia="仿宋" w:cs="仿宋"/>
          <w:bCs/>
          <w:color w:val="auto"/>
          <w:sz w:val="24"/>
          <w:szCs w:val="24"/>
          <w:highlight w:val="none"/>
        </w:rPr>
        <w:t>使用说明书、质量检验证明书、随配附件和工具以及清单一并附于货物内。</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12.3</w:t>
      </w:r>
      <w:r>
        <w:rPr>
          <w:rFonts w:hint="eastAsia" w:ascii="仿宋" w:hAnsi="仿宋" w:eastAsia="仿宋" w:cs="仿宋"/>
          <w:bCs/>
          <w:color w:val="auto"/>
          <w:sz w:val="24"/>
          <w:szCs w:val="24"/>
          <w:highlight w:val="none"/>
        </w:rPr>
        <w:t>乙方在货物发运手续办理完毕后24小时内或货到甲方48小时前通知甲方，以准备接货。</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12.4</w:t>
      </w:r>
      <w:r>
        <w:rPr>
          <w:rFonts w:hint="eastAsia" w:ascii="仿宋" w:hAnsi="仿宋" w:eastAsia="仿宋" w:cs="仿宋"/>
          <w:bCs/>
          <w:color w:val="auto"/>
          <w:sz w:val="24"/>
          <w:szCs w:val="24"/>
          <w:highlight w:val="none"/>
        </w:rPr>
        <w:t>货物在交付甲方前发生的风险均由乙方负责。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12.5</w:t>
      </w:r>
      <w:r>
        <w:rPr>
          <w:rFonts w:hint="eastAsia" w:ascii="仿宋" w:hAnsi="仿宋" w:eastAsia="仿宋" w:cs="仿宋"/>
          <w:bCs/>
          <w:color w:val="auto"/>
          <w:sz w:val="24"/>
          <w:szCs w:val="24"/>
          <w:highlight w:val="none"/>
        </w:rPr>
        <w:t>货物在规定的交付期限内由乙方送达甲方指定的地点，及时通知甲方货物已送达并安装调试完毕视为交付。</w:t>
      </w:r>
    </w:p>
    <w:p>
      <w:pPr>
        <w:adjustRightInd w:val="0"/>
        <w:snapToGrid w:val="0"/>
        <w:spacing w:line="360" w:lineRule="auto"/>
        <w:ind w:left="0" w:leftChars="0" w:right="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调试和验收</w:t>
      </w:r>
    </w:p>
    <w:p>
      <w:pPr>
        <w:adjustRightInd w:val="0"/>
        <w:snapToGrid/>
        <w:spacing w:line="360" w:lineRule="auto"/>
        <w:ind w:left="0" w:leftChars="0" w:right="0"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lang w:val="en-US" w:eastAsia="zh-CN"/>
        </w:rPr>
        <w:t>13.1</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highlight w:val="none"/>
        </w:rPr>
        <w:t>。</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13.2</w:t>
      </w:r>
      <w:r>
        <w:rPr>
          <w:rFonts w:hint="eastAsia" w:ascii="仿宋" w:hAnsi="仿宋" w:eastAsia="仿宋" w:cs="仿宋"/>
          <w:bCs/>
          <w:color w:val="auto"/>
          <w:sz w:val="24"/>
          <w:szCs w:val="24"/>
          <w:highlight w:val="none"/>
        </w:rPr>
        <w:t>经验收不合格且无法整改的，不付款不退货，所产生的所有损失由乙方承担。</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14.</w:t>
      </w:r>
      <w:r>
        <w:rPr>
          <w:rFonts w:hint="eastAsia" w:ascii="仿宋" w:hAnsi="仿宋" w:eastAsia="仿宋" w:cs="仿宋"/>
          <w:b/>
          <w:color w:val="auto"/>
          <w:sz w:val="24"/>
          <w:szCs w:val="24"/>
          <w:highlight w:val="none"/>
        </w:rPr>
        <w:t>违约责任</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ascii="仿宋" w:hAnsi="仿宋" w:eastAsia="仿宋"/>
          <w:color w:val="auto"/>
          <w:sz w:val="24"/>
          <w:highlight w:val="none"/>
        </w:rPr>
        <w:t xml:space="preserve">1 </w:t>
      </w:r>
      <w:r>
        <w:rPr>
          <w:rFonts w:hint="eastAsia" w:ascii="仿宋" w:hAnsi="仿宋" w:eastAsia="仿宋"/>
          <w:color w:val="auto"/>
          <w:sz w:val="24"/>
          <w:highlight w:val="none"/>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%计算，最高限额为本合同总价的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%；迟延交付货物的违约金计算数额达到前述最高限额之日起，甲方有权在要求乙方支付违约金的同时，书面通知乙方解除本合同；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ascii="仿宋" w:hAnsi="仿宋" w:eastAsia="仿宋"/>
          <w:color w:val="auto"/>
          <w:sz w:val="24"/>
          <w:highlight w:val="none"/>
        </w:rPr>
        <w:t xml:space="preserve">.2 </w:t>
      </w:r>
      <w:r>
        <w:rPr>
          <w:rFonts w:hint="eastAsia" w:ascii="仿宋" w:hAnsi="仿宋" w:eastAsia="仿宋"/>
          <w:color w:val="auto"/>
          <w:sz w:val="24"/>
          <w:highlight w:val="none"/>
        </w:rPr>
        <w:t>除不可抗力外，如果甲方没有按照本合同约定的付款方式付款，那么乙方可要求甲方支付违约金，违约金按每迟延付款一日的应付而未付款的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%计算，最高限额为本合同总价的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ascii="仿宋" w:hAnsi="仿宋" w:eastAsia="仿宋"/>
          <w:color w:val="auto"/>
          <w:sz w:val="24"/>
          <w:highlight w:val="none"/>
        </w:rPr>
        <w:t xml:space="preserve">3 </w:t>
      </w:r>
      <w:r>
        <w:rPr>
          <w:rFonts w:hint="eastAsia" w:ascii="仿宋" w:hAnsi="仿宋" w:eastAsia="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ascii="仿宋" w:hAnsi="仿宋" w:eastAsia="仿宋"/>
          <w:color w:val="auto"/>
          <w:sz w:val="24"/>
          <w:highlight w:val="none"/>
        </w:rPr>
        <w:t xml:space="preserve">.4 </w:t>
      </w:r>
      <w:r>
        <w:rPr>
          <w:rFonts w:hint="eastAsia" w:ascii="仿宋" w:hAnsi="仿宋" w:eastAsia="仿宋"/>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ascii="仿宋" w:hAnsi="仿宋" w:eastAsia="仿宋"/>
          <w:color w:val="auto"/>
          <w:sz w:val="24"/>
          <w:highlight w:val="none"/>
        </w:rPr>
        <w:t xml:space="preserve">.5 </w:t>
      </w:r>
      <w:r>
        <w:rPr>
          <w:rFonts w:hint="eastAsia" w:ascii="仿宋" w:hAnsi="仿宋" w:eastAsia="仿宋"/>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ascii="仿宋" w:hAnsi="仿宋" w:eastAsia="仿宋"/>
          <w:color w:val="auto"/>
          <w:sz w:val="24"/>
          <w:highlight w:val="none"/>
        </w:rPr>
        <w:t xml:space="preserve">.6 </w:t>
      </w:r>
      <w:r>
        <w:rPr>
          <w:rFonts w:hint="eastAsia" w:ascii="仿宋" w:hAnsi="仿宋" w:eastAsia="仿宋"/>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rPr>
          <w:color w:val="auto"/>
          <w:highlight w:val="none"/>
        </w:rPr>
      </w:pPr>
      <w:r>
        <w:rPr>
          <w:rFonts w:hint="eastAsia" w:ascii="仿宋" w:hAnsi="仿宋" w:eastAsia="仿宋"/>
          <w:color w:val="auto"/>
          <w:sz w:val="24"/>
          <w:highlight w:val="none"/>
          <w:lang w:val="en-US" w:eastAsia="zh-CN"/>
        </w:rPr>
        <w:t>14</w:t>
      </w:r>
      <w:r>
        <w:rPr>
          <w:rFonts w:hint="eastAsia" w:ascii="仿宋" w:hAnsi="仿宋" w:eastAsia="仿宋"/>
          <w:color w:val="auto"/>
          <w:sz w:val="24"/>
          <w:highlight w:val="none"/>
        </w:rPr>
        <w:t>.7违约责任</w:t>
      </w:r>
      <w:r>
        <w:rPr>
          <w:rFonts w:hint="eastAsia" w:ascii="仿宋" w:hAnsi="仿宋" w:eastAsia="仿宋"/>
          <w:color w:val="auto"/>
          <w:sz w:val="24"/>
          <w:highlight w:val="none"/>
          <w:lang w:val="en-US" w:eastAsia="zh-CN"/>
        </w:rPr>
        <w:t>采购人</w:t>
      </w:r>
      <w:r>
        <w:rPr>
          <w:rFonts w:hint="eastAsia" w:ascii="仿宋" w:hAnsi="仿宋" w:eastAsia="仿宋"/>
          <w:color w:val="auto"/>
          <w:sz w:val="24"/>
          <w:highlight w:val="none"/>
        </w:rPr>
        <w:t>另有约定的</w:t>
      </w:r>
      <w:r>
        <w:rPr>
          <w:rFonts w:hint="eastAsia" w:ascii="仿宋" w:hAnsi="仿宋" w:eastAsia="仿宋"/>
          <w:color w:val="auto"/>
          <w:sz w:val="24"/>
          <w:highlight w:val="none"/>
          <w:lang w:eastAsia="zh-CN"/>
        </w:rPr>
        <w:t>：</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highlight w:val="none"/>
        </w:rPr>
        <w:t>从其约定。</w:t>
      </w:r>
    </w:p>
    <w:p>
      <w:pPr>
        <w:adjustRightInd w:val="0"/>
        <w:snapToGrid/>
        <w:spacing w:line="360" w:lineRule="auto"/>
        <w:ind w:left="0" w:leftChars="0" w:right="0" w:firstLine="0" w:firstLineChars="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    15.</w:t>
      </w:r>
      <w:r>
        <w:rPr>
          <w:rFonts w:hint="eastAsia" w:ascii="仿宋" w:hAnsi="仿宋" w:eastAsia="仿宋" w:cs="仿宋"/>
          <w:b/>
          <w:bCs/>
          <w:color w:val="auto"/>
          <w:sz w:val="24"/>
          <w:highlight w:val="none"/>
        </w:rPr>
        <w:t>不可抗力事件处理</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15.1</w:t>
      </w:r>
      <w:r>
        <w:rPr>
          <w:rFonts w:hint="eastAsia" w:ascii="仿宋" w:hAnsi="仿宋" w:eastAsia="仿宋" w:cs="仿宋"/>
          <w:color w:val="auto"/>
          <w:sz w:val="24"/>
          <w:highlight w:val="none"/>
        </w:rPr>
        <w:t>在合同有效期内，任何一方因不可抗力事件导致不能履行合同，则合同履行期可延长，其延长期与不可抗力影响期相同。</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15.2</w:t>
      </w:r>
      <w:r>
        <w:rPr>
          <w:rFonts w:hint="eastAsia" w:ascii="仿宋" w:hAnsi="仿宋" w:eastAsia="仿宋" w:cs="仿宋"/>
          <w:color w:val="auto"/>
          <w:sz w:val="24"/>
          <w:highlight w:val="none"/>
        </w:rPr>
        <w:t>不可抗力事件发生后，应立即通知对方，并寄送有关权威机构出具的证明。</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15.3</w:t>
      </w:r>
      <w:r>
        <w:rPr>
          <w:rFonts w:hint="eastAsia" w:ascii="仿宋" w:hAnsi="仿宋" w:eastAsia="仿宋" w:cs="仿宋"/>
          <w:color w:val="auto"/>
          <w:sz w:val="24"/>
          <w:highlight w:val="none"/>
        </w:rPr>
        <w:t>不可抗力事件延续120天以上，双方应通过友好协商，确定是否继续履行合同。</w:t>
      </w:r>
    </w:p>
    <w:p>
      <w:pPr>
        <w:adjustRightInd w:val="0"/>
        <w:snapToGrid/>
        <w:spacing w:line="360" w:lineRule="auto"/>
        <w:ind w:left="0" w:leftChars="0" w:right="0" w:firstLine="0" w:firstLineChars="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    16.</w:t>
      </w:r>
      <w:r>
        <w:rPr>
          <w:rFonts w:hint="eastAsia" w:ascii="仿宋" w:hAnsi="仿宋" w:eastAsia="仿宋" w:cs="仿宋"/>
          <w:b/>
          <w:bCs/>
          <w:color w:val="auto"/>
          <w:sz w:val="24"/>
          <w:highlight w:val="none"/>
        </w:rPr>
        <w:t>诉讼</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双方在执行合同中所发生的一切争议，应通过协商解决。如协商不成，可向甲方所在地法院起诉。</w:t>
      </w:r>
    </w:p>
    <w:p>
      <w:pPr>
        <w:adjustRightInd w:val="0"/>
        <w:snapToGrid/>
        <w:spacing w:line="360" w:lineRule="auto"/>
        <w:ind w:left="0" w:leftChars="0" w:right="0" w:firstLine="0" w:firstLineChars="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    17.</w:t>
      </w:r>
      <w:r>
        <w:rPr>
          <w:rFonts w:hint="eastAsia" w:ascii="仿宋" w:hAnsi="仿宋" w:eastAsia="仿宋" w:cs="仿宋"/>
          <w:b/>
          <w:bCs/>
          <w:color w:val="auto"/>
          <w:sz w:val="24"/>
          <w:highlight w:val="none"/>
        </w:rPr>
        <w:t>合同生效及其它</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17.1</w:t>
      </w:r>
      <w:r>
        <w:rPr>
          <w:rFonts w:hint="eastAsia" w:ascii="仿宋" w:hAnsi="仿宋" w:eastAsia="仿宋" w:cs="仿宋"/>
          <w:color w:val="auto"/>
          <w:sz w:val="24"/>
          <w:highlight w:val="none"/>
        </w:rPr>
        <w:t>招标文件、投标文件、更正公告、中标通知书、承诺函等均作为本合同组成部分，具有同等效力。</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17.2</w:t>
      </w:r>
      <w:r>
        <w:rPr>
          <w:rFonts w:hint="eastAsia" w:ascii="仿宋" w:hAnsi="仿宋" w:eastAsia="仿宋" w:cs="仿宋"/>
          <w:color w:val="auto"/>
          <w:sz w:val="24"/>
          <w:highlight w:val="none"/>
        </w:rPr>
        <w:t>合同经双方法定代表人或其授权代表签字并加盖单位公章后方可生效。</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17.3</w:t>
      </w:r>
      <w:r>
        <w:rPr>
          <w:rFonts w:hint="eastAsia" w:ascii="仿宋" w:hAnsi="仿宋" w:eastAsia="仿宋" w:cs="仿宋"/>
          <w:color w:val="auto"/>
          <w:sz w:val="24"/>
          <w:highlight w:val="none"/>
        </w:rPr>
        <w:t>合同执行中涉及采购资金和采购内容修改或补充的，须经财政部门审批，并签书面补充协议报政府采购监督管理部门备案，作为主合同不可分割的一部分。</w:t>
      </w:r>
    </w:p>
    <w:p>
      <w:pPr>
        <w:snapToGrid/>
        <w:spacing w:line="360" w:lineRule="auto"/>
        <w:ind w:firstLine="0" w:firstLineChars="0"/>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lang w:val="en-US" w:eastAsia="zh-CN"/>
        </w:rPr>
        <w:t>7.4</w:t>
      </w:r>
      <w:r>
        <w:rPr>
          <w:rFonts w:hint="eastAsia" w:ascii="仿宋" w:hAnsi="仿宋" w:eastAsia="仿宋" w:cs="仿宋"/>
          <w:b/>
          <w:bCs/>
          <w:color w:val="auto"/>
          <w:sz w:val="24"/>
          <w:highlight w:val="none"/>
          <w:lang w:val="zh-CN"/>
        </w:rPr>
        <w:t>本合同</w:t>
      </w:r>
      <w:r>
        <w:rPr>
          <w:rFonts w:hint="eastAsia" w:ascii="仿宋" w:hAnsi="仿宋" w:eastAsia="仿宋" w:cs="仿宋"/>
          <w:b/>
          <w:bCs/>
          <w:color w:val="auto"/>
          <w:sz w:val="24"/>
          <w:highlight w:val="none"/>
        </w:rPr>
        <w:t>（□是  □</w:t>
      </w:r>
      <w:r>
        <w:rPr>
          <w:rFonts w:hint="eastAsia" w:ascii="仿宋" w:hAnsi="仿宋" w:eastAsia="仿宋" w:cs="仿宋"/>
          <w:b/>
          <w:bCs/>
          <w:color w:val="auto"/>
          <w:sz w:val="24"/>
          <w:highlight w:val="none"/>
          <w:lang w:val="zh-CN"/>
        </w:rPr>
        <w:t>否</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zh-CN"/>
        </w:rPr>
        <w:t>为可融资合同</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zh-CN"/>
        </w:rPr>
        <w:t>关于中小企业信用融资事项</w:t>
      </w:r>
      <w:r>
        <w:rPr>
          <w:rFonts w:hint="eastAsia" w:ascii="仿宋" w:hAnsi="仿宋" w:eastAsia="仿宋" w:cs="仿宋"/>
          <w:b/>
          <w:bCs/>
          <w:color w:val="auto"/>
          <w:sz w:val="24"/>
          <w:highlight w:val="none"/>
        </w:rPr>
        <w:t>详见《政府采购支持中小企业信用融资相关事项通知》，或登录杭州市政府采购网“中小企业信用融资”模块，查看信用融资政策文件及各相关银行服务方案。</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17.5</w:t>
      </w:r>
      <w:r>
        <w:rPr>
          <w:rFonts w:hint="eastAsia" w:ascii="仿宋" w:hAnsi="仿宋" w:eastAsia="仿宋" w:cs="仿宋"/>
          <w:color w:val="auto"/>
          <w:sz w:val="24"/>
          <w:highlight w:val="none"/>
        </w:rPr>
        <w:t>本合同未尽事宜，遵照《</w:t>
      </w:r>
      <w:r>
        <w:rPr>
          <w:rFonts w:hint="eastAsia" w:ascii="仿宋" w:hAnsi="仿宋" w:eastAsia="仿宋" w:cs="仿宋"/>
          <w:color w:val="auto"/>
          <w:sz w:val="24"/>
          <w:highlight w:val="none"/>
          <w:lang w:val="en-US" w:eastAsia="zh-CN"/>
        </w:rPr>
        <w:t>民法典</w:t>
      </w:r>
      <w:r>
        <w:rPr>
          <w:rFonts w:hint="eastAsia" w:ascii="仿宋" w:hAnsi="仿宋" w:eastAsia="仿宋" w:cs="仿宋"/>
          <w:color w:val="auto"/>
          <w:sz w:val="24"/>
          <w:highlight w:val="none"/>
        </w:rPr>
        <w:t>》有关条文执行。</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17.6</w:t>
      </w:r>
      <w:r>
        <w:rPr>
          <w:rFonts w:hint="eastAsia" w:ascii="仿宋" w:hAnsi="仿宋" w:eastAsia="仿宋" w:cs="仿宋"/>
          <w:color w:val="auto"/>
          <w:sz w:val="24"/>
          <w:highlight w:val="none"/>
        </w:rPr>
        <w:t xml:space="preserve">本合同一式多份，具有同等法律效力，甲乙双方、区财政局采购监管科、验收单位，各执一份。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甲方（盖章）：                         乙方（盖章）：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                          法定代表人：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或授权代表（签字）：                   或授权代表（签字）：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地址：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邮编：                                邮编：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电话：                                电话：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传真：                                传真：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帐号：                                帐号：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p>
    <w:p>
      <w:pPr>
        <w:adjustRightInd w:val="0"/>
        <w:snapToGrid/>
        <w:spacing w:line="360" w:lineRule="auto"/>
        <w:ind w:left="0" w:leftChars="0" w:right="0" w:firstLine="0" w:firstLineChars="0"/>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签约时间：      年    月   日</w:t>
      </w:r>
    </w:p>
    <w:p>
      <w:pPr>
        <w:wordWrap/>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签约地点： </w:t>
      </w:r>
    </w:p>
    <w:p>
      <w:pPr>
        <w:wordWrap/>
        <w:spacing w:line="360" w:lineRule="auto"/>
        <w:jc w:val="both"/>
        <w:rPr>
          <w:rFonts w:hint="eastAsia" w:ascii="仿宋" w:hAnsi="仿宋" w:eastAsia="仿宋" w:cs="仿宋"/>
          <w:color w:val="auto"/>
          <w:sz w:val="24"/>
          <w:highlight w:val="none"/>
        </w:rPr>
      </w:pPr>
    </w:p>
    <w:p>
      <w:pPr>
        <w:wordWrap/>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b/>
          <w:bCs/>
          <w:color w:val="auto"/>
          <w:sz w:val="24"/>
          <w:highlight w:val="none"/>
        </w:rPr>
      </w:pPr>
      <w:bookmarkStart w:id="395" w:name="_Toc328381300"/>
      <w:bookmarkStart w:id="396" w:name="_Toc349721554"/>
      <w:bookmarkStart w:id="397" w:name="_Toc339872468"/>
      <w:bookmarkStart w:id="398" w:name="_Toc326765771"/>
      <w:bookmarkStart w:id="399" w:name="_Toc868"/>
      <w:bookmarkStart w:id="400" w:name="_Toc350327365"/>
      <w:r>
        <w:rPr>
          <w:rFonts w:hint="eastAsia" w:ascii="仿宋" w:hAnsi="仿宋" w:eastAsia="仿宋" w:cs="仿宋"/>
          <w:b/>
          <w:bCs/>
          <w:color w:val="auto"/>
          <w:sz w:val="24"/>
          <w:highlight w:val="none"/>
        </w:rPr>
        <w:t xml:space="preserve"> 此仅为合同书样本，中标单位需根据实际情况和采购人签订相应的合同！</w:t>
      </w:r>
      <w:bookmarkEnd w:id="395"/>
      <w:bookmarkEnd w:id="396"/>
      <w:bookmarkEnd w:id="397"/>
      <w:bookmarkEnd w:id="398"/>
      <w:bookmarkEnd w:id="399"/>
      <w:bookmarkEnd w:id="400"/>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rPr>
          <w:rFonts w:hint="eastAsia" w:ascii="宋体" w:hAnsi="宋体" w:eastAsia="宋体" w:cs="宋体"/>
          <w:color w:val="auto"/>
          <w:sz w:val="24"/>
          <w:highlight w:val="none"/>
        </w:rPr>
      </w:pPr>
    </w:p>
    <w:p>
      <w:pPr>
        <w:pStyle w:val="2"/>
        <w:rPr>
          <w:rFonts w:hint="eastAsia" w:ascii="宋体" w:hAnsi="宋体" w:eastAsia="宋体" w:cs="宋体"/>
          <w:color w:val="auto"/>
          <w:highlight w:val="none"/>
          <w:lang w:val="en-US"/>
        </w:rPr>
      </w:pPr>
    </w:p>
    <w:p>
      <w:pPr>
        <w:spacing w:line="360" w:lineRule="auto"/>
        <w:ind w:left="720" w:firstLine="723" w:firstLineChars="200"/>
        <w:outlineLvl w:val="0"/>
        <w:rPr>
          <w:rFonts w:hint="eastAsia" w:ascii="宋体" w:hAnsi="宋体" w:eastAsia="宋体" w:cs="宋体"/>
          <w:b/>
          <w:color w:val="auto"/>
          <w:sz w:val="36"/>
          <w:szCs w:val="20"/>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bookmarkEnd w:id="394"/>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（4）联合协议（单独投标无需提供）……………………………………（页码）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s="Times New Roman"/>
          <w:color w:val="auto"/>
          <w:sz w:val="24"/>
          <w:highlight w:val="none"/>
        </w:rPr>
        <w:t>（一）</w:t>
      </w:r>
      <w:r>
        <w:rPr>
          <w:rFonts w:hint="eastAsia" w:ascii="仿宋_GB2312" w:hAnsi="仿宋" w:eastAsia="仿宋_GB2312"/>
          <w:color w:val="auto"/>
          <w:sz w:val="24"/>
          <w:szCs w:val="24"/>
          <w:highlight w:val="none"/>
        </w:rPr>
        <w:t>符合参与政府采购活动的资格条件并且没有税收缴纳、社会保障等方面的失信记录的承诺函</w:t>
      </w:r>
      <w:r>
        <w:rPr>
          <w:rFonts w:hint="eastAsia" w:ascii="仿宋_GB2312" w:hAnsi="仿宋" w:eastAsia="仿宋_GB2312"/>
          <w:color w:val="auto"/>
          <w:sz w:val="24"/>
          <w:szCs w:val="24"/>
          <w:highlight w:val="none"/>
          <w:lang w:val="en-US" w:eastAsia="zh-CN"/>
        </w:rPr>
        <w:t>;</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lang w:val="en-US" w:eastAsia="zh-CN"/>
        </w:rPr>
        <w:t>二</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投标人（或联合体牵头人）名称 (电子签名)：</w:t>
      </w:r>
    </w:p>
    <w:p>
      <w:pPr>
        <w:snapToGrid w:val="0"/>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widowControl/>
        <w:spacing w:line="360" w:lineRule="auto"/>
        <w:ind w:firstLine="480"/>
        <w:jc w:val="left"/>
        <w:rPr>
          <w:rFonts w:ascii="仿宋_GB2312" w:hAnsi="宋体" w:eastAsia="仿宋_GB2312"/>
          <w:color w:val="auto"/>
          <w:sz w:val="24"/>
          <w:highlight w:val="none"/>
        </w:rPr>
      </w:pPr>
    </w:p>
    <w:p>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2"/>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spacing w:line="360" w:lineRule="auto"/>
        <w:jc w:val="center"/>
        <w:rPr>
          <w:rFonts w:hint="eastAsia" w:ascii="宋体" w:hAnsi="宋体" w:eastAsia="宋体" w:cs="宋体"/>
          <w:color w:val="auto"/>
          <w:sz w:val="24"/>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bCs/>
          <w:color w:val="auto"/>
          <w:sz w:val="32"/>
          <w:szCs w:val="32"/>
          <w:highlight w:val="none"/>
          <w:lang w:val="zh-CN"/>
        </w:rPr>
      </w:pPr>
    </w:p>
    <w:p>
      <w:pPr>
        <w:jc w:val="center"/>
        <w:rPr>
          <w:rFonts w:hint="eastAsia" w:ascii="宋体" w:hAnsi="宋体" w:eastAsia="宋体" w:cs="宋体"/>
          <w:b/>
          <w:bCs/>
          <w:color w:val="auto"/>
          <w:sz w:val="32"/>
          <w:szCs w:val="32"/>
          <w:highlight w:val="none"/>
          <w:lang w:val="zh-CN"/>
        </w:rPr>
      </w:pP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（3）联合协议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（6）评标标准相应的商务技术资料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pPr>
        <w:snapToGrid w:val="0"/>
        <w:spacing w:line="360" w:lineRule="auto"/>
        <w:ind w:left="479" w:leftChars="228"/>
        <w:rPr>
          <w:color w:val="auto"/>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7</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投标标的清单</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8</w:t>
      </w:r>
      <w:r>
        <w:rPr>
          <w:rFonts w:ascii="仿宋_GB2312" w:hAnsi="仿宋" w:eastAsia="仿宋_GB2312" w:cs="仿宋_GB2312"/>
          <w:color w:val="auto"/>
          <w:sz w:val="24"/>
          <w:highlight w:val="none"/>
        </w:rPr>
        <w:t>）商务技术偏离表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lang w:val="en-US" w:eastAsia="zh-CN"/>
        </w:rPr>
        <w:t>9</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napToGrid w:val="0"/>
        <w:spacing w:line="360" w:lineRule="auto"/>
        <w:jc w:val="both"/>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color w:val="auto"/>
          <w:sz w:val="24"/>
          <w:highlight w:val="none"/>
          <w:lang w:val="en-US" w:eastAsia="zh-CN"/>
        </w:rPr>
        <w:t xml:space="preserve">    </w:t>
      </w:r>
      <w:r>
        <w:rPr>
          <w:rFonts w:hint="eastAsia" w:ascii="仿宋_GB2312" w:hAnsi="仿宋" w:eastAsia="仿宋_GB2312" w:cs="仿宋_GB2312"/>
          <w:color w:val="auto"/>
          <w:sz w:val="24"/>
          <w:highlight w:val="none"/>
          <w:lang w:val="zh-CN" w:eastAsia="zh-CN"/>
        </w:rPr>
        <w:t>（</w:t>
      </w:r>
      <w:r>
        <w:rPr>
          <w:rFonts w:hint="eastAsia" w:ascii="仿宋_GB2312" w:hAnsi="仿宋" w:eastAsia="仿宋_GB2312" w:cs="仿宋_GB2312"/>
          <w:color w:val="auto"/>
          <w:sz w:val="24"/>
          <w:highlight w:val="none"/>
          <w:lang w:val="en-US" w:eastAsia="zh-CN"/>
        </w:rPr>
        <w:t>10</w:t>
      </w:r>
      <w:r>
        <w:rPr>
          <w:rFonts w:hint="eastAsia" w:ascii="仿宋_GB2312" w:hAnsi="仿宋" w:eastAsia="仿宋_GB2312" w:cs="仿宋_GB2312"/>
          <w:color w:val="auto"/>
          <w:sz w:val="24"/>
          <w:highlight w:val="none"/>
          <w:lang w:val="zh-CN" w:eastAsia="zh-CN"/>
        </w:rPr>
        <w:t>）</w:t>
      </w:r>
      <w:r>
        <w:rPr>
          <w:rFonts w:hint="eastAsia" w:ascii="仿宋_GB2312" w:hAnsi="仿宋" w:eastAsia="仿宋_GB2312" w:cs="仿宋_GB2312"/>
          <w:color w:val="auto"/>
          <w:sz w:val="24"/>
          <w:szCs w:val="24"/>
          <w:highlight w:val="none"/>
          <w:lang w:val="zh-CN"/>
        </w:rPr>
        <w:t>投标</w:t>
      </w:r>
      <w:r>
        <w:rPr>
          <w:rFonts w:hint="eastAsia" w:ascii="仿宋_GB2312" w:hAnsi="仿宋" w:eastAsia="仿宋_GB2312" w:cs="仿宋_GB2312"/>
          <w:color w:val="auto"/>
          <w:sz w:val="24"/>
          <w:szCs w:val="24"/>
          <w:highlight w:val="none"/>
          <w:lang w:val="en-US" w:eastAsia="zh-CN"/>
        </w:rPr>
        <w:t>人</w:t>
      </w:r>
      <w:r>
        <w:rPr>
          <w:rFonts w:hint="eastAsia" w:ascii="仿宋_GB2312" w:hAnsi="仿宋" w:eastAsia="仿宋_GB2312" w:cs="仿宋_GB2312"/>
          <w:color w:val="auto"/>
          <w:sz w:val="24"/>
          <w:szCs w:val="24"/>
          <w:highlight w:val="none"/>
          <w:lang w:val="zh-CN"/>
        </w:rPr>
        <w:t>认为需要的其他文件资料</w:t>
      </w:r>
      <w:r>
        <w:rPr>
          <w:rFonts w:hint="eastAsia" w:ascii="仿宋_GB2312" w:hAnsi="仿宋" w:eastAsia="仿宋_GB2312" w:cs="仿宋_GB2312"/>
          <w:color w:val="auto"/>
          <w:sz w:val="24"/>
          <w:szCs w:val="24"/>
          <w:highlight w:val="none"/>
          <w:lang w:val="zh-CN" w:eastAsia="zh-CN"/>
        </w:rPr>
        <w:t>（如有）</w:t>
      </w:r>
      <w:r>
        <w:rPr>
          <w:rFonts w:hint="eastAsia" w:cs="仿宋_GB2312"/>
          <w:color w:val="auto"/>
          <w:highlight w:val="none"/>
        </w:rPr>
        <w:t>…………………………………</w:t>
      </w:r>
      <w:r>
        <w:rPr>
          <w:rFonts w:hint="eastAsia" w:cs="仿宋_GB2312"/>
          <w:color w:val="auto"/>
          <w:highlight w:val="none"/>
          <w:lang w:val="en-US" w:eastAsia="zh-CN"/>
        </w:rPr>
        <w:t xml:space="preserve"> </w:t>
      </w:r>
      <w:r>
        <w:rPr>
          <w:rFonts w:hint="eastAsia" w:cs="仿宋_GB2312"/>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pP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pStyle w:val="2"/>
        <w:rPr>
          <w:color w:val="auto"/>
          <w:highlight w:val="none"/>
          <w:lang w:val="zh-CN"/>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86"/>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6"/>
              <w:adjustRightInd w:val="0"/>
              <w:spacing w:before="0" w:beforeAutospacing="0" w:after="0" w:afterAutospacing="0" w:line="360" w:lineRule="auto"/>
              <w:ind w:left="0" w:right="0"/>
              <w:rPr>
                <w:rFonts w:hint="eastAsia" w:ascii="仿宋_GB2312" w:hAnsi="仿宋" w:eastAsia="仿宋_GB2312" w:cs="Times New Roman"/>
                <w:bCs/>
                <w:color w:val="auto"/>
                <w:sz w:val="24"/>
                <w:szCs w:val="20"/>
                <w:highlight w:val="none"/>
              </w:rPr>
            </w:pPr>
            <w:r>
              <w:rPr>
                <w:rFonts w:hint="eastAsia" w:ascii="仿宋_GB2312" w:hAnsi="仿宋" w:eastAsia="仿宋_GB2312" w:cs="Times New Roman"/>
                <w:bCs/>
                <w:color w:val="auto"/>
                <w:sz w:val="24"/>
                <w:szCs w:val="20"/>
                <w:highlight w:val="none"/>
              </w:rPr>
              <w:t>正面：                                 反面：</w:t>
            </w:r>
          </w:p>
          <w:p>
            <w:pPr>
              <w:pStyle w:val="86"/>
              <w:adjustRightInd w:val="0"/>
              <w:spacing w:before="0" w:beforeAutospacing="0" w:after="0" w:afterAutospacing="0" w:line="360" w:lineRule="auto"/>
              <w:ind w:left="0" w:right="0"/>
              <w:rPr>
                <w:rFonts w:hint="eastAsia" w:ascii="仿宋_GB2312" w:hAnsi="仿宋" w:eastAsia="仿宋_GB2312" w:cs="Times New Roman"/>
                <w:bCs/>
                <w:color w:val="auto"/>
                <w:sz w:val="24"/>
                <w:szCs w:val="20"/>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hint="eastAsia"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2"/>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hint="eastAsia"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jc w:val="center"/>
        <w:rPr>
          <w:rFonts w:ascii="仿宋_GB2312" w:hAnsi="仿宋" w:eastAsia="仿宋_GB2312" w:cs="仿宋_GB2312"/>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序号</w:t>
            </w:r>
          </w:p>
        </w:tc>
        <w:tc>
          <w:tcPr>
            <w:tcW w:w="4991" w:type="dxa"/>
            <w:vAlign w:val="center"/>
          </w:tcPr>
          <w:p>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实质性要求</w:t>
            </w:r>
          </w:p>
        </w:tc>
        <w:tc>
          <w:tcPr>
            <w:tcW w:w="2551" w:type="dxa"/>
            <w:vAlign w:val="center"/>
          </w:tcPr>
          <w:p>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需要提供的符合性审查资料</w:t>
            </w:r>
          </w:p>
        </w:tc>
        <w:tc>
          <w:tcPr>
            <w:tcW w:w="1418" w:type="dxa"/>
            <w:vAlign w:val="center"/>
          </w:tcPr>
          <w:p>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投标文件中的</w:t>
            </w:r>
          </w:p>
          <w:p>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w:t>
            </w:r>
          </w:p>
        </w:tc>
        <w:tc>
          <w:tcPr>
            <w:tcW w:w="4991" w:type="dxa"/>
            <w:vAlign w:val="top"/>
          </w:tcPr>
          <w:p>
            <w:pPr>
              <w:spacing w:before="0" w:beforeAutospacing="0" w:after="0" w:afterAutospacing="0" w:line="360" w:lineRule="auto"/>
              <w:ind w:left="0" w:right="0"/>
              <w:rPr>
                <w:rFonts w:hint="eastAsia"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投标文件按照招标文件要求签署、盖章。</w:t>
            </w:r>
          </w:p>
        </w:tc>
        <w:tc>
          <w:tcPr>
            <w:tcW w:w="2551" w:type="dxa"/>
            <w:vAlign w:val="center"/>
          </w:tcPr>
          <w:p>
            <w:pPr>
              <w:spacing w:before="0" w:beforeAutospacing="0" w:after="0" w:afterAutospacing="0"/>
              <w:ind w:left="0" w:right="0"/>
              <w:rPr>
                <w:rFonts w:hint="eastAsia"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需要使用电子签名或者签字盖章的投标文件的组成部分</w:t>
            </w:r>
          </w:p>
        </w:tc>
        <w:tc>
          <w:tcPr>
            <w:tcW w:w="1418" w:type="dxa"/>
            <w:vAlign w:val="top"/>
          </w:tcPr>
          <w:p>
            <w:pPr>
              <w:spacing w:before="0" w:beforeAutospacing="0" w:after="0" w:afterAutospacing="0"/>
              <w:ind w:left="0" w:right="0"/>
              <w:rPr>
                <w:rFonts w:hint="eastAsia" w:ascii="仿宋" w:hAnsi="仿宋" w:eastAsia="仿宋" w:cs="仿宋_GB2312"/>
                <w:color w:val="auto"/>
                <w:sz w:val="24"/>
                <w:szCs w:val="20"/>
                <w:highlight w:val="none"/>
              </w:rPr>
            </w:pPr>
          </w:p>
          <w:p>
            <w:pPr>
              <w:spacing w:before="0" w:beforeAutospacing="0" w:after="0" w:afterAutospacing="0"/>
              <w:ind w:left="0" w:right="0"/>
              <w:rPr>
                <w:rFonts w:hint="eastAsia"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见投标文件</w:t>
            </w:r>
          </w:p>
          <w:p>
            <w:pPr>
              <w:spacing w:before="0" w:beforeAutospacing="0" w:after="0" w:afterAutospacing="0"/>
              <w:ind w:left="0" w:right="0"/>
              <w:rPr>
                <w:rFonts w:hint="eastAsia" w:ascii="Times New Roman" w:hAnsi="Times New Roman" w:cs="Times New Roman"/>
                <w:color w:val="auto"/>
                <w:sz w:val="20"/>
                <w:szCs w:val="20"/>
                <w:highlight w:val="none"/>
              </w:rPr>
            </w:pPr>
            <w:r>
              <w:rPr>
                <w:rFonts w:hint="eastAsia" w:ascii="仿宋" w:hAnsi="Times New Roman" w:eastAsia="仿宋" w:cs="仿宋_GB2312"/>
                <w:color w:val="auto"/>
                <w:sz w:val="24"/>
                <w:szCs w:val="20"/>
                <w:highlight w:val="none"/>
              </w:rPr>
              <w:t>第</w:t>
            </w:r>
            <w:r>
              <w:rPr>
                <w:rFonts w:hint="eastAsia" w:ascii="仿宋" w:hAnsi="Times New Roman" w:eastAsia="仿宋" w:cs="仿宋_GB2312"/>
                <w:color w:val="auto"/>
                <w:sz w:val="24"/>
                <w:szCs w:val="20"/>
                <w:highlight w:val="none"/>
                <w:u w:val="single"/>
              </w:rPr>
              <w:t xml:space="preserve">  </w:t>
            </w:r>
            <w:r>
              <w:rPr>
                <w:rFonts w:hint="eastAsia" w:ascii="仿宋" w:hAnsi="Times New Roman" w:eastAsia="仿宋" w:cs="仿宋_GB2312"/>
                <w:color w:val="auto"/>
                <w:sz w:val="24"/>
                <w:szCs w:val="20"/>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2</w:t>
            </w:r>
          </w:p>
        </w:tc>
        <w:tc>
          <w:tcPr>
            <w:tcW w:w="4991" w:type="dxa"/>
            <w:vAlign w:val="top"/>
          </w:tcPr>
          <w:p>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before="0" w:beforeAutospacing="0" w:after="0" w:afterAutospacing="0"/>
              <w:ind w:left="0" w:right="0"/>
              <w:rPr>
                <w:rFonts w:hint="eastAsia" w:ascii="仿宋" w:hAnsi="仿宋" w:eastAsia="仿宋" w:cs="Times New Roman"/>
                <w:color w:val="auto"/>
                <w:sz w:val="24"/>
                <w:szCs w:val="20"/>
                <w:highlight w:val="none"/>
              </w:rPr>
            </w:pPr>
            <w:r>
              <w:rPr>
                <w:rFonts w:hint="eastAsia" w:ascii="仿宋_GB2312" w:hAnsi="仿宋" w:eastAsia="仿宋_GB2312" w:cs="仿宋_GB2312"/>
                <w:color w:val="auto"/>
                <w:sz w:val="24"/>
                <w:szCs w:val="20"/>
                <w:highlight w:val="none"/>
              </w:rPr>
              <w:t>节能产品认证证书（本项目</w:t>
            </w:r>
            <w:r>
              <w:rPr>
                <w:rFonts w:hint="eastAsia" w:ascii="仿宋_GB2312" w:hAnsi="仿宋" w:eastAsia="仿宋_GB2312" w:cs="Times New Roman"/>
                <w:color w:val="auto"/>
                <w:sz w:val="24"/>
                <w:szCs w:val="20"/>
                <w:highlight w:val="none"/>
              </w:rPr>
              <w:t>拟采购的产品不属于政府强制采购的节能产品品目清单范围的</w:t>
            </w:r>
            <w:r>
              <w:rPr>
                <w:rFonts w:hint="eastAsia" w:ascii="仿宋_GB2312" w:hAnsi="仿宋" w:eastAsia="仿宋_GB2312" w:cs="仿宋_GB2312"/>
                <w:color w:val="auto"/>
                <w:sz w:val="24"/>
                <w:szCs w:val="20"/>
                <w:highlight w:val="none"/>
              </w:rPr>
              <w:t>，无需提供）</w:t>
            </w:r>
          </w:p>
        </w:tc>
        <w:tc>
          <w:tcPr>
            <w:tcW w:w="1418" w:type="dxa"/>
            <w:vAlign w:val="top"/>
          </w:tcPr>
          <w:p>
            <w:pPr>
              <w:spacing w:before="0" w:beforeAutospacing="0" w:after="0" w:afterAutospacing="0"/>
              <w:ind w:left="0" w:right="0"/>
              <w:rPr>
                <w:rFonts w:hint="eastAsia" w:ascii="仿宋" w:hAnsi="仿宋" w:eastAsia="仿宋" w:cs="仿宋_GB2312"/>
                <w:color w:val="auto"/>
                <w:sz w:val="24"/>
                <w:szCs w:val="20"/>
                <w:highlight w:val="none"/>
              </w:rPr>
            </w:pPr>
          </w:p>
          <w:p>
            <w:pPr>
              <w:spacing w:before="0" w:beforeAutospacing="0" w:after="0" w:afterAutospacing="0"/>
              <w:ind w:left="0" w:right="0"/>
              <w:rPr>
                <w:rFonts w:hint="eastAsia" w:ascii="仿宋" w:hAnsi="仿宋" w:eastAsia="仿宋" w:cs="仿宋_GB2312"/>
                <w:color w:val="auto"/>
                <w:sz w:val="24"/>
                <w:szCs w:val="20"/>
                <w:highlight w:val="none"/>
              </w:rPr>
            </w:pPr>
          </w:p>
          <w:p>
            <w:pPr>
              <w:spacing w:before="0" w:beforeAutospacing="0" w:after="0" w:afterAutospacing="0"/>
              <w:ind w:left="0" w:right="0"/>
              <w:rPr>
                <w:rFonts w:hint="eastAsia"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见投标文件</w:t>
            </w:r>
          </w:p>
          <w:p>
            <w:pPr>
              <w:pStyle w:val="2"/>
              <w:spacing w:before="0" w:beforeAutospacing="0" w:after="0" w:afterAutospacing="0"/>
              <w:ind w:right="0"/>
              <w:rPr>
                <w:rFonts w:hint="eastAsia" w:ascii="Times New Roman" w:hAnsi="Times New Roman" w:cs="Times New Roman"/>
                <w:color w:val="auto"/>
                <w:sz w:val="20"/>
                <w:szCs w:val="20"/>
                <w:highlight w:val="none"/>
                <w:lang w:val="en-US"/>
              </w:rPr>
            </w:pPr>
            <w:r>
              <w:rPr>
                <w:rFonts w:hint="eastAsia" w:ascii="仿宋" w:hAnsi="Times New Roman" w:eastAsia="仿宋" w:cs="仿宋_GB2312"/>
                <w:b w:val="0"/>
                <w:bCs w:val="0"/>
                <w:color w:val="auto"/>
                <w:sz w:val="24"/>
                <w:szCs w:val="24"/>
                <w:highlight w:val="none"/>
                <w:lang w:val="en-US"/>
              </w:rPr>
              <w:t>第</w:t>
            </w:r>
            <w:r>
              <w:rPr>
                <w:rFonts w:hint="eastAsia" w:ascii="仿宋" w:hAnsi="Times New Roman" w:eastAsia="仿宋" w:cs="仿宋_GB2312"/>
                <w:b w:val="0"/>
                <w:bCs w:val="0"/>
                <w:color w:val="auto"/>
                <w:sz w:val="24"/>
                <w:szCs w:val="24"/>
                <w:highlight w:val="none"/>
                <w:u w:val="single"/>
                <w:lang w:val="en-US"/>
              </w:rPr>
              <w:t xml:space="preserve">  </w:t>
            </w:r>
            <w:r>
              <w:rPr>
                <w:rFonts w:hint="eastAsia" w:ascii="仿宋" w:hAnsi="Times New Roman" w:eastAsia="仿宋" w:cs="仿宋_GB2312"/>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3</w:t>
            </w:r>
          </w:p>
        </w:tc>
        <w:tc>
          <w:tcPr>
            <w:tcW w:w="4991" w:type="dxa"/>
            <w:vAlign w:val="top"/>
          </w:tcPr>
          <w:p>
            <w:pPr>
              <w:spacing w:before="0" w:beforeAutospacing="0" w:after="0" w:afterAutospacing="0" w:line="360" w:lineRule="auto"/>
              <w:ind w:left="0" w:right="0"/>
              <w:rPr>
                <w:rFonts w:hint="eastAsia" w:ascii="仿宋_GB2312" w:hAnsi="仿宋" w:eastAsia="仿宋_GB2312" w:cs="仿宋_GB2312"/>
                <w:color w:val="auto"/>
                <w:sz w:val="24"/>
                <w:szCs w:val="20"/>
                <w:highlight w:val="none"/>
              </w:rPr>
            </w:pPr>
            <w:r>
              <w:rPr>
                <w:rFonts w:hint="eastAsia" w:ascii="仿宋_GB2312" w:hAnsi="仿宋" w:eastAsia="仿宋_GB2312" w:cs="Times New Roman"/>
                <w:color w:val="auto"/>
                <w:sz w:val="24"/>
                <w:szCs w:val="20"/>
                <w:highlight w:val="none"/>
              </w:rPr>
              <w:t>投标文件中承诺的投标有效期不少于招标文件中载明的投标有效期。</w:t>
            </w:r>
          </w:p>
        </w:tc>
        <w:tc>
          <w:tcPr>
            <w:tcW w:w="2551" w:type="dxa"/>
            <w:vAlign w:val="center"/>
          </w:tcPr>
          <w:p>
            <w:pPr>
              <w:spacing w:before="0" w:beforeAutospacing="0" w:after="0" w:afterAutospacing="0"/>
              <w:ind w:left="0" w:right="0"/>
              <w:rPr>
                <w:rFonts w:hint="eastAsia"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投标函</w:t>
            </w:r>
          </w:p>
        </w:tc>
        <w:tc>
          <w:tcPr>
            <w:tcW w:w="1418" w:type="dxa"/>
            <w:vAlign w:val="top"/>
          </w:tcPr>
          <w:p>
            <w:pPr>
              <w:spacing w:before="0" w:beforeAutospacing="0" w:after="0" w:afterAutospacing="0"/>
              <w:ind w:left="0" w:right="0"/>
              <w:rPr>
                <w:rFonts w:hint="eastAsia" w:ascii="Times New Roman" w:hAnsi="Times New Roman" w:cs="Times New Roman"/>
                <w:color w:val="auto"/>
                <w:sz w:val="20"/>
                <w:szCs w:val="20"/>
                <w:highlight w:val="none"/>
              </w:rPr>
            </w:pPr>
            <w:r>
              <w:rPr>
                <w:rFonts w:hint="eastAsia" w:ascii="仿宋" w:hAnsi="仿宋" w:eastAsia="仿宋" w:cs="仿宋_GB2312"/>
                <w:color w:val="auto"/>
                <w:sz w:val="24"/>
                <w:szCs w:val="20"/>
                <w:highlight w:val="none"/>
              </w:rPr>
              <w:t>见投标文件第</w:t>
            </w:r>
            <w:r>
              <w:rPr>
                <w:rFonts w:hint="eastAsia" w:ascii="仿宋" w:hAnsi="仿宋" w:eastAsia="仿宋" w:cs="仿宋_GB2312"/>
                <w:color w:val="auto"/>
                <w:sz w:val="24"/>
                <w:szCs w:val="20"/>
                <w:highlight w:val="none"/>
                <w:u w:val="single"/>
              </w:rPr>
              <w:t xml:space="preserve">  </w:t>
            </w:r>
            <w:r>
              <w:rPr>
                <w:rFonts w:hint="eastAsia" w:ascii="仿宋" w:hAnsi="仿宋" w:eastAsia="仿宋" w:cs="仿宋_GB2312"/>
                <w:color w:val="auto"/>
                <w:sz w:val="24"/>
                <w:szCs w:val="20"/>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4</w:t>
            </w:r>
          </w:p>
        </w:tc>
        <w:tc>
          <w:tcPr>
            <w:tcW w:w="4991" w:type="dxa"/>
            <w:vAlign w:val="top"/>
          </w:tcPr>
          <w:p>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投标文件满足招标文件的其它实质性要求。</w:t>
            </w:r>
          </w:p>
        </w:tc>
        <w:tc>
          <w:tcPr>
            <w:tcW w:w="2551" w:type="dxa"/>
            <w:vAlign w:val="center"/>
          </w:tcPr>
          <w:p>
            <w:pPr>
              <w:spacing w:before="0" w:beforeAutospacing="0" w:after="0" w:afterAutospacing="0"/>
              <w:ind w:left="0" w:right="0"/>
              <w:rPr>
                <w:rFonts w:hint="eastAsia" w:ascii="仿宋" w:hAnsi="仿宋" w:eastAsia="仿宋" w:cs="Times New Roman"/>
                <w:color w:val="auto"/>
                <w:sz w:val="24"/>
                <w:szCs w:val="20"/>
                <w:highlight w:val="none"/>
              </w:rPr>
            </w:pPr>
            <w:r>
              <w:rPr>
                <w:rFonts w:hint="eastAsia" w:ascii="仿宋_GB2312" w:hAnsi="仿宋" w:eastAsia="仿宋_GB2312" w:cs="仿宋_GB2312"/>
                <w:color w:val="auto"/>
                <w:kern w:val="0"/>
                <w:sz w:val="24"/>
                <w:szCs w:val="20"/>
                <w:highlight w:val="none"/>
              </w:rPr>
              <w:t>招标文件其它实质性要求相应的材料（“▲” 系指实质性要求条款，招标文件无其它实质性要求的，无需提供）</w:t>
            </w:r>
          </w:p>
        </w:tc>
        <w:tc>
          <w:tcPr>
            <w:tcW w:w="1418" w:type="dxa"/>
            <w:vAlign w:val="top"/>
          </w:tcPr>
          <w:p>
            <w:pPr>
              <w:spacing w:before="0" w:beforeAutospacing="0" w:after="0" w:afterAutospacing="0"/>
              <w:ind w:left="0" w:right="0"/>
              <w:rPr>
                <w:rFonts w:hint="eastAsia" w:ascii="Times New Roman" w:hAnsi="Times New Roman" w:cs="Times New Roman"/>
                <w:color w:val="auto"/>
                <w:sz w:val="20"/>
                <w:szCs w:val="20"/>
                <w:highlight w:val="none"/>
              </w:rPr>
            </w:pPr>
            <w:r>
              <w:rPr>
                <w:rFonts w:hint="eastAsia" w:ascii="仿宋" w:hAnsi="仿宋" w:eastAsia="仿宋" w:cs="仿宋_GB2312"/>
                <w:color w:val="auto"/>
                <w:sz w:val="24"/>
                <w:szCs w:val="20"/>
                <w:highlight w:val="none"/>
              </w:rPr>
              <w:t>见投标文件第</w:t>
            </w:r>
            <w:r>
              <w:rPr>
                <w:rFonts w:hint="eastAsia" w:ascii="仿宋" w:hAnsi="仿宋" w:eastAsia="仿宋" w:cs="仿宋_GB2312"/>
                <w:color w:val="auto"/>
                <w:sz w:val="24"/>
                <w:szCs w:val="20"/>
                <w:highlight w:val="none"/>
                <w:u w:val="single"/>
              </w:rPr>
              <w:t xml:space="preserve">  </w:t>
            </w:r>
            <w:r>
              <w:rPr>
                <w:rFonts w:hint="eastAsia" w:ascii="仿宋" w:hAnsi="仿宋" w:eastAsia="仿宋" w:cs="仿宋_GB2312"/>
                <w:color w:val="auto"/>
                <w:sz w:val="24"/>
                <w:szCs w:val="20"/>
                <w:highlight w:val="none"/>
              </w:rPr>
              <w:t>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pStyle w:val="2"/>
        <w:rPr>
          <w:color w:val="auto"/>
          <w:highlight w:val="none"/>
        </w:rPr>
      </w:pPr>
    </w:p>
    <w:p>
      <w:pP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hint="eastAsia" w:ascii="仿宋_GB2312" w:hAnsi="仿宋" w:eastAsia="仿宋_GB2312" w:cs="仿宋_GB2312"/>
          <w:b/>
          <w:color w:val="auto"/>
          <w:kern w:val="0"/>
          <w:sz w:val="32"/>
          <w:szCs w:val="32"/>
          <w:highlight w:val="none"/>
        </w:rPr>
      </w:pPr>
    </w:p>
    <w:p>
      <w:pPr>
        <w:jc w:val="center"/>
        <w:rPr>
          <w:rFonts w:hint="eastAsia" w:ascii="仿宋_GB2312" w:hAnsi="仿宋" w:eastAsia="仿宋_GB2312" w:cs="仿宋_GB2312"/>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cs="宋体"/>
                <w:b/>
                <w:color w:val="auto"/>
                <w:sz w:val="24"/>
                <w:szCs w:val="20"/>
                <w:highlight w:val="none"/>
              </w:rPr>
            </w:pPr>
          </w:p>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p>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pPr>
        <w:pStyle w:val="2"/>
        <w:rPr>
          <w:rFonts w:hint="eastAsia" w:ascii="仿宋_GB2312" w:hAnsi="仿宋" w:eastAsia="仿宋_GB2312" w:cs="仿宋_GB2312"/>
          <w:b/>
          <w:color w:val="auto"/>
          <w:kern w:val="0"/>
          <w:sz w:val="32"/>
          <w:szCs w:val="32"/>
          <w:highlight w:val="none"/>
        </w:rPr>
      </w:pPr>
    </w:p>
    <w:p>
      <w:pPr>
        <w:rPr>
          <w:rFonts w:hint="eastAsia" w:ascii="仿宋_GB2312" w:hAnsi="仿宋" w:eastAsia="仿宋_GB2312" w:cs="仿宋_GB2312"/>
          <w:b/>
          <w:color w:val="auto"/>
          <w:kern w:val="0"/>
          <w:sz w:val="32"/>
          <w:szCs w:val="32"/>
          <w:highlight w:val="none"/>
        </w:rPr>
      </w:pPr>
    </w:p>
    <w:p>
      <w:pPr>
        <w:pStyle w:val="2"/>
        <w:rPr>
          <w:rFonts w:hint="eastAsia" w:ascii="仿宋_GB2312" w:hAnsi="仿宋" w:eastAsia="仿宋_GB2312" w:cs="仿宋_GB2312"/>
          <w:b/>
          <w:color w:val="auto"/>
          <w:kern w:val="0"/>
          <w:sz w:val="32"/>
          <w:szCs w:val="32"/>
          <w:highlight w:val="none"/>
        </w:rPr>
      </w:pPr>
    </w:p>
    <w:p>
      <w:pPr>
        <w:rPr>
          <w:rFonts w:hint="eastAsia"/>
          <w:color w:val="auto"/>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en-US" w:eastAsia="zh-CN"/>
        </w:rPr>
        <w:t>八</w:t>
      </w:r>
      <w:r>
        <w:rPr>
          <w:rFonts w:hint="eastAsia" w:ascii="仿宋_GB2312" w:hAnsi="仿宋" w:eastAsia="仿宋_GB2312" w:cs="仿宋_GB2312"/>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vAlign w:val="top"/>
          </w:tcPr>
          <w:p>
            <w:pPr>
              <w:spacing w:before="0" w:beforeAutospacing="0" w:after="0" w:afterAutospacing="0"/>
              <w:ind w:left="0" w:right="0"/>
              <w:jc w:val="center"/>
              <w:rPr>
                <w:rFonts w:hint="eastAsia"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vAlign w:val="top"/>
          </w:tcPr>
          <w:p>
            <w:pPr>
              <w:spacing w:before="0" w:beforeAutospacing="0" w:after="0" w:afterAutospacing="0"/>
              <w:ind w:left="0" w:right="0"/>
              <w:jc w:val="center"/>
              <w:rPr>
                <w:rFonts w:hint="eastAsia"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vAlign w:val="top"/>
          </w:tcPr>
          <w:p>
            <w:pPr>
              <w:spacing w:before="0" w:beforeAutospacing="0" w:after="0" w:afterAutospacing="0"/>
              <w:ind w:left="0" w:right="0"/>
              <w:jc w:val="center"/>
              <w:rPr>
                <w:rFonts w:hint="eastAsia"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w:t>
            </w:r>
          </w:p>
        </w:tc>
        <w:tc>
          <w:tcPr>
            <w:tcW w:w="3683" w:type="dxa"/>
            <w:vAlign w:val="top"/>
          </w:tcPr>
          <w:p>
            <w:pPr>
              <w:spacing w:before="0" w:beforeAutospacing="0" w:after="0" w:afterAutospacing="0"/>
              <w:ind w:left="0" w:right="0"/>
              <w:jc w:val="center"/>
              <w:rPr>
                <w:rFonts w:hint="eastAsia" w:ascii="仿宋_GB2312" w:hAnsi="仿宋" w:eastAsia="仿宋_GB2312" w:cs="仿宋_GB2312"/>
                <w:b/>
                <w:color w:val="auto"/>
                <w:kern w:val="0"/>
                <w:sz w:val="32"/>
                <w:szCs w:val="32"/>
                <w:highlight w:val="none"/>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color w:val="auto"/>
                <w:kern w:val="0"/>
                <w:sz w:val="32"/>
                <w:szCs w:val="32"/>
                <w:highlight w:val="none"/>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w:t>
            </w:r>
          </w:p>
        </w:tc>
        <w:tc>
          <w:tcPr>
            <w:tcW w:w="3683" w:type="dxa"/>
            <w:vAlign w:val="top"/>
          </w:tcPr>
          <w:p>
            <w:pPr>
              <w:spacing w:before="0" w:beforeAutospacing="0" w:after="0" w:afterAutospacing="0"/>
              <w:ind w:left="0" w:right="0"/>
              <w:jc w:val="center"/>
              <w:rPr>
                <w:rFonts w:hint="eastAsia" w:ascii="仿宋_GB2312" w:hAnsi="仿宋" w:eastAsia="仿宋_GB2312" w:cs="仿宋_GB2312"/>
                <w:b/>
                <w:color w:val="auto"/>
                <w:kern w:val="0"/>
                <w:sz w:val="32"/>
                <w:szCs w:val="32"/>
                <w:highlight w:val="none"/>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color w:val="auto"/>
                <w:kern w:val="0"/>
                <w:sz w:val="32"/>
                <w:szCs w:val="32"/>
                <w:highlight w:val="none"/>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vAlign w:val="top"/>
          </w:tcPr>
          <w:p>
            <w:pPr>
              <w:spacing w:before="0" w:beforeAutospacing="0" w:after="0" w:afterAutospacing="0"/>
              <w:ind w:left="0" w:right="0"/>
              <w:jc w:val="center"/>
              <w:rPr>
                <w:rFonts w:hint="eastAsia" w:ascii="仿宋_GB2312" w:hAnsi="仿宋" w:eastAsia="仿宋_GB2312" w:cs="仿宋_GB2312"/>
                <w:b/>
                <w:color w:val="auto"/>
                <w:kern w:val="0"/>
                <w:sz w:val="32"/>
                <w:szCs w:val="32"/>
                <w:highlight w:val="none"/>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color w:val="auto"/>
                <w:kern w:val="0"/>
                <w:sz w:val="32"/>
                <w:szCs w:val="32"/>
                <w:highlight w:val="none"/>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en-US" w:eastAsia="zh-CN"/>
        </w:rPr>
        <w:t>九</w:t>
      </w:r>
      <w:r>
        <w:rPr>
          <w:rFonts w:hint="eastAsia" w:ascii="仿宋_GB2312" w:hAnsi="仿宋" w:eastAsia="仿宋_GB2312" w:cs="仿宋_GB2312"/>
          <w:b/>
          <w:color w:val="auto"/>
          <w:kern w:val="0"/>
          <w:sz w:val="32"/>
          <w:szCs w:val="32"/>
          <w:highlight w:val="none"/>
        </w:rPr>
        <w:t>、</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2）中小企业声明函……</w:t>
      </w:r>
      <w:r>
        <w:rPr>
          <w:rFonts w:hint="eastAsia" w:ascii="仿宋_GB2312" w:hAnsi="仿宋" w:eastAsia="仿宋_GB2312" w:cs="仿宋_GB2312"/>
          <w:color w:val="auto"/>
          <w:sz w:val="24"/>
          <w:highlight w:val="none"/>
        </w:rPr>
        <w:t>………………………………………………………（页码）</w:t>
      </w:r>
    </w:p>
    <w:p>
      <w:pPr>
        <w:snapToGrid w:val="0"/>
        <w:spacing w:line="360" w:lineRule="auto"/>
        <w:ind w:right="480"/>
        <w:jc w:val="both"/>
        <w:rPr>
          <w:rFonts w:ascii="仿宋_GB2312" w:hAnsi="仿宋" w:eastAsia="仿宋_GB2312" w:cs="仿宋_GB2312"/>
          <w:b/>
          <w:color w:val="auto"/>
          <w:kern w:val="0"/>
          <w:sz w:val="32"/>
          <w:szCs w:val="32"/>
          <w:highlight w:val="none"/>
        </w:rPr>
      </w:pP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3</w:t>
      </w:r>
      <w:r>
        <w:rPr>
          <w:rFonts w:hint="eastAsia" w:ascii="仿宋_GB2312" w:hAnsi="仿宋" w:eastAsia="仿宋_GB2312" w:cs="仿宋_GB2312"/>
          <w:color w:val="auto"/>
          <w:sz w:val="24"/>
          <w:highlight w:val="none"/>
          <w:lang w:eastAsia="zh-CN"/>
        </w:rPr>
        <w:t>）</w:t>
      </w:r>
      <w:r>
        <w:rPr>
          <w:rFonts w:hint="default" w:ascii="仿宋_GB2312" w:hAnsi="仿宋" w:eastAsia="仿宋_GB2312" w:cs="仿宋_GB2312"/>
          <w:color w:val="auto"/>
          <w:sz w:val="24"/>
          <w:highlight w:val="none"/>
        </w:rPr>
        <w:t>投标人针对报价需要说明的其他文件和说明</w:t>
      </w:r>
      <w:r>
        <w:rPr>
          <w:rFonts w:hint="default" w:ascii="仿宋_GB2312" w:hAnsi="仿宋" w:eastAsia="仿宋_GB2312" w:cs="仿宋_GB2312"/>
          <w:color w:val="auto"/>
          <w:sz w:val="24"/>
          <w:highlight w:val="none"/>
          <w:lang w:eastAsia="zh-CN"/>
        </w:rPr>
        <w:t>（如有）</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 xml:space="preserve"> </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375"/>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5"/>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rPr>
        <w:t>（项目名称）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en-US" w:eastAsia="zh-CN"/>
        </w:rPr>
        <w:t>项目编号</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序号</w:t>
            </w:r>
          </w:p>
        </w:tc>
        <w:tc>
          <w:tcPr>
            <w:tcW w:w="992" w:type="dxa"/>
            <w:vAlign w:val="center"/>
          </w:tcPr>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名称</w:t>
            </w:r>
          </w:p>
        </w:tc>
        <w:tc>
          <w:tcPr>
            <w:tcW w:w="2268" w:type="dxa"/>
            <w:vAlign w:val="top"/>
          </w:tcPr>
          <w:p>
            <w:pPr>
              <w:spacing w:before="0" w:beforeAutospacing="0" w:after="0" w:afterAutospacing="0" w:line="360" w:lineRule="auto"/>
              <w:ind w:left="0" w:right="0"/>
              <w:jc w:val="center"/>
              <w:rPr>
                <w:rFonts w:hint="eastAsia" w:ascii="宋体" w:hAnsi="宋体" w:cs="宋体"/>
                <w:b/>
                <w:sz w:val="24"/>
                <w:szCs w:val="20"/>
                <w:highlight w:val="green"/>
              </w:rPr>
            </w:pPr>
          </w:p>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服务范围</w:t>
            </w:r>
          </w:p>
        </w:tc>
        <w:tc>
          <w:tcPr>
            <w:tcW w:w="2410" w:type="dxa"/>
            <w:vAlign w:val="center"/>
          </w:tcPr>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服务要求</w:t>
            </w:r>
          </w:p>
        </w:tc>
        <w:tc>
          <w:tcPr>
            <w:tcW w:w="2268" w:type="dxa"/>
            <w:vAlign w:val="center"/>
          </w:tcPr>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服务时间</w:t>
            </w:r>
          </w:p>
        </w:tc>
        <w:tc>
          <w:tcPr>
            <w:tcW w:w="2126" w:type="dxa"/>
            <w:vAlign w:val="center"/>
          </w:tcPr>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服务标准</w:t>
            </w:r>
          </w:p>
        </w:tc>
        <w:tc>
          <w:tcPr>
            <w:tcW w:w="2127" w:type="dxa"/>
            <w:vAlign w:val="top"/>
          </w:tcPr>
          <w:p>
            <w:pPr>
              <w:spacing w:before="0" w:beforeAutospacing="0" w:after="0" w:afterAutospacing="0" w:line="360" w:lineRule="auto"/>
              <w:ind w:left="0" w:right="0"/>
              <w:jc w:val="center"/>
              <w:rPr>
                <w:rFonts w:hint="eastAsia" w:ascii="宋体" w:hAnsi="宋体" w:cs="宋体"/>
                <w:b/>
                <w:sz w:val="24"/>
                <w:szCs w:val="20"/>
                <w:highlight w:val="green"/>
              </w:rPr>
            </w:pPr>
          </w:p>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服务人数（如果有）</w:t>
            </w:r>
          </w:p>
        </w:tc>
        <w:tc>
          <w:tcPr>
            <w:tcW w:w="2126" w:type="dxa"/>
            <w:vAlign w:val="center"/>
          </w:tcPr>
          <w:p>
            <w:pPr>
              <w:spacing w:before="0" w:beforeAutospacing="0" w:after="0" w:afterAutospacing="0" w:line="360" w:lineRule="auto"/>
              <w:ind w:left="0" w:right="0"/>
              <w:jc w:val="center"/>
              <w:rPr>
                <w:rFonts w:hint="eastAsia" w:ascii="宋体" w:hAnsi="宋体" w:cs="宋体"/>
                <w:b/>
                <w:sz w:val="24"/>
                <w:szCs w:val="20"/>
                <w:highlight w:val="green"/>
              </w:rPr>
            </w:pPr>
          </w:p>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备注（如果有）</w:t>
            </w:r>
          </w:p>
          <w:p>
            <w:pPr>
              <w:spacing w:before="0" w:beforeAutospacing="0" w:after="0" w:afterAutospacing="0" w:line="360" w:lineRule="auto"/>
              <w:ind w:left="0" w:right="0"/>
              <w:jc w:val="center"/>
              <w:rPr>
                <w:rFonts w:hint="eastAsia" w:ascii="宋体" w:hAnsi="宋体" w:cs="宋体"/>
                <w:b/>
                <w:sz w:val="24"/>
                <w:szCs w:val="20"/>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r>
              <w:rPr>
                <w:rFonts w:hint="eastAsia" w:ascii="宋体" w:hAnsi="宋体" w:cs="宋体"/>
                <w:sz w:val="24"/>
                <w:szCs w:val="20"/>
                <w:highlight w:val="green"/>
              </w:rPr>
              <w:t>1</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r>
              <w:rPr>
                <w:rFonts w:hint="eastAsia" w:ascii="宋体" w:hAnsi="宋体" w:cs="宋体"/>
                <w:sz w:val="24"/>
                <w:szCs w:val="20"/>
                <w:highlight w:val="green"/>
              </w:rPr>
              <w:t>XX</w:t>
            </w: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r>
              <w:rPr>
                <w:rFonts w:hint="eastAsia" w:ascii="宋体" w:hAnsi="宋体" w:cs="宋体"/>
                <w:sz w:val="24"/>
                <w:szCs w:val="20"/>
                <w:highlight w:val="green"/>
              </w:rPr>
              <w:t>2</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r>
              <w:rPr>
                <w:rFonts w:hint="eastAsia" w:ascii="宋体" w:hAnsi="宋体" w:cs="宋体"/>
                <w:sz w:val="24"/>
                <w:szCs w:val="20"/>
                <w:highlight w:val="green"/>
              </w:rPr>
              <w:t>XX</w:t>
            </w: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r>
              <w:rPr>
                <w:rFonts w:hint="eastAsia" w:ascii="宋体" w:hAnsi="宋体" w:cs="宋体"/>
                <w:sz w:val="24"/>
                <w:szCs w:val="20"/>
                <w:highlight w:val="green"/>
              </w:rPr>
              <w:t>…</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投标报价（小写）</w:t>
            </w:r>
          </w:p>
        </w:tc>
        <w:tc>
          <w:tcPr>
            <w:tcW w:w="8647" w:type="dxa"/>
            <w:gridSpan w:val="4"/>
            <w:vAlign w:val="top"/>
          </w:tcPr>
          <w:p>
            <w:pPr>
              <w:spacing w:before="0" w:beforeAutospacing="0" w:after="0" w:afterAutospacing="0" w:line="360" w:lineRule="auto"/>
              <w:ind w:left="0" w:right="0"/>
              <w:jc w:val="center"/>
              <w:rPr>
                <w:rFonts w:hint="eastAsia" w:ascii="宋体" w:hAnsi="宋体" w:cs="宋体"/>
                <w:sz w:val="24"/>
                <w:szCs w:val="20"/>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投标报价（大写）</w:t>
            </w:r>
          </w:p>
        </w:tc>
        <w:tc>
          <w:tcPr>
            <w:tcW w:w="8647" w:type="dxa"/>
            <w:gridSpan w:val="4"/>
            <w:vAlign w:val="top"/>
          </w:tcPr>
          <w:p>
            <w:pPr>
              <w:spacing w:before="0" w:beforeAutospacing="0" w:after="0" w:afterAutospacing="0" w:line="360" w:lineRule="auto"/>
              <w:ind w:left="0" w:right="0"/>
              <w:jc w:val="center"/>
              <w:rPr>
                <w:rFonts w:hint="eastAsia" w:ascii="宋体" w:hAnsi="宋体" w:cs="宋体"/>
                <w:sz w:val="24"/>
                <w:szCs w:val="20"/>
                <w:highlight w:val="green"/>
              </w:rPr>
            </w:pPr>
          </w:p>
        </w:tc>
      </w:tr>
    </w:tbl>
    <w:p>
      <w:pPr>
        <w:pStyle w:val="2"/>
        <w:rPr>
          <w:rFonts w:hint="eastAsia"/>
          <w:color w:val="auto"/>
          <w:highlight w:val="none"/>
          <w:lang w:val="zh-CN"/>
        </w:rPr>
      </w:pPr>
    </w:p>
    <w:p>
      <w:pPr>
        <w:snapToGrid w:val="0"/>
        <w:spacing w:line="360" w:lineRule="auto"/>
        <w:ind w:left="480"/>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pacing w:line="360" w:lineRule="auto"/>
        <w:ind w:left="-2" w:firstLine="480" w:firstLineChars="200"/>
        <w:rPr>
          <w:color w:val="auto"/>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仿宋_GB2312" w:hAnsi="仿宋" w:eastAsia="仿宋_GB2312" w:cs="仿宋_GB2312"/>
          <w:color w:val="auto"/>
          <w:kern w:val="0"/>
          <w:sz w:val="24"/>
          <w:highlight w:val="none"/>
          <w:lang w:val="en-US" w:eastAsia="zh-CN"/>
        </w:rPr>
        <w:t>2</w:t>
      </w:r>
      <w:r>
        <w:rPr>
          <w:rFonts w:ascii="仿宋_GB2312" w:hAnsi="仿宋" w:eastAsia="仿宋_GB2312" w:cs="仿宋_GB2312"/>
          <w:color w:val="auto"/>
          <w:kern w:val="0"/>
          <w:sz w:val="24"/>
          <w:highlight w:val="none"/>
          <w:lang w:val="zh-CN"/>
        </w:rPr>
        <w:t>、有关本项目实施所涉及的一切费用均计入报价。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；采购内容未包含在《开标一览表（报价表）》名称栏中，投标人不能作出合理解释的，视为投标文件含有采购人不能接受的附加条件的，投标无效。</w:t>
      </w:r>
    </w:p>
    <w:p>
      <w:pPr>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en-US" w:eastAsia="zh-CN"/>
        </w:rPr>
        <w:t>3</w:t>
      </w:r>
      <w:r>
        <w:rPr>
          <w:rFonts w:ascii="仿宋_GB2312" w:hAnsi="仿宋" w:eastAsia="仿宋_GB2312" w:cs="仿宋_GB2312"/>
          <w:color w:val="auto"/>
          <w:kern w:val="0"/>
          <w:sz w:val="24"/>
          <w:szCs w:val="22"/>
          <w:highlight w:val="none"/>
          <w:lang w:val="zh-CN"/>
        </w:rPr>
        <w:t>、</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pStyle w:val="2"/>
        <w:rPr>
          <w:rFonts w:hint="eastAsia" w:cs="仿宋_GB2312"/>
          <w:color w:val="auto"/>
          <w:kern w:val="0"/>
          <w:sz w:val="24"/>
          <w:highlight w:val="none"/>
          <w:lang w:val="en-US" w:eastAsia="zh-CN"/>
        </w:rPr>
      </w:pPr>
      <w:r>
        <w:rPr>
          <w:rFonts w:hint="eastAsia" w:cs="仿宋_GB2312"/>
          <w:color w:val="auto"/>
          <w:kern w:val="0"/>
          <w:sz w:val="24"/>
          <w:highlight w:val="none"/>
          <w:lang w:val="en-US" w:eastAsia="zh-CN"/>
        </w:rPr>
        <w:t xml:space="preserve">    </w:t>
      </w:r>
    </w:p>
    <w:p>
      <w:pPr>
        <w:snapToGrid/>
        <w:spacing w:line="240" w:lineRule="auto"/>
        <w:ind w:firstLine="0" w:firstLineChars="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 xml:space="preserve">  4</w:t>
      </w:r>
      <w:r>
        <w:rPr>
          <w:rFonts w:hint="eastAsia" w:ascii="宋体" w:hAnsi="宋体" w:cs="宋体"/>
          <w:color w:val="auto"/>
          <w:kern w:val="0"/>
          <w:sz w:val="24"/>
          <w:highlight w:val="none"/>
          <w:lang w:val="zh-CN"/>
        </w:rPr>
        <w:t>、特别提示：采购机构将对项目名称和项目编号，中标供应商名称、地址和中标金额，主要中标标的名称、服务范围、服务要求、服务时间、服务标准等予以公示。</w:t>
      </w:r>
    </w:p>
    <w:p>
      <w:pPr>
        <w:pStyle w:val="2"/>
        <w:rPr>
          <w:rFonts w:hint="eastAsia"/>
          <w:color w:val="auto"/>
          <w:highlight w:val="none"/>
          <w:lang w:val="en-US" w:eastAsia="zh-CN"/>
        </w:rPr>
      </w:pPr>
    </w:p>
    <w:p>
      <w:pPr>
        <w:rPr>
          <w:rFonts w:ascii="仿宋_GB2312" w:hAnsi="仿宋" w:eastAsia="仿宋_GB2312" w:cs="仿宋_GB2312"/>
          <w:color w:val="auto"/>
          <w:kern w:val="0"/>
          <w:sz w:val="24"/>
          <w:highlight w:val="none"/>
          <w:lang w:val="zh-CN"/>
        </w:rPr>
      </w:pPr>
    </w:p>
    <w:p>
      <w:pPr>
        <w:pStyle w:val="2"/>
        <w:rPr>
          <w:color w:val="auto"/>
          <w:highlight w:val="none"/>
        </w:rPr>
        <w:sectPr>
          <w:pgSz w:w="16838" w:h="11906" w:orient="landscape"/>
          <w:pgMar w:top="1418" w:right="1247" w:bottom="1418" w:left="1276" w:header="851" w:footer="992" w:gutter="0"/>
          <w:cols w:space="720" w:num="1"/>
          <w:titlePg/>
          <w:docGrid w:linePitch="312" w:charSpace="0"/>
        </w:sectPr>
      </w:pPr>
    </w:p>
    <w:p>
      <w:pPr>
        <w:pStyle w:val="375"/>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pPr>
        <w:tabs>
          <w:tab w:val="left" w:pos="8085"/>
        </w:tabs>
        <w:spacing w:line="360" w:lineRule="auto"/>
        <w:ind w:firstLine="1285" w:firstLineChars="400"/>
        <w:jc w:val="left"/>
        <w:rPr>
          <w:rFonts w:hint="eastAsia"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br w:type="page"/>
      </w:r>
    </w:p>
    <w:p>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pStyle w:val="2"/>
        <w:numPr>
          <w:ilvl w:val="0"/>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（三）杭州e融平台申请融资</w:t>
      </w:r>
    </w:p>
    <w:p>
      <w:pPr>
        <w:pStyle w:val="2"/>
        <w:numPr>
          <w:ilvl w:val="0"/>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highlight w:val="none"/>
        </w:rPr>
        <w:t>。</w:t>
      </w:r>
    </w:p>
    <w:p>
      <w:pPr>
        <w:spacing w:line="360" w:lineRule="auto"/>
        <w:ind w:left="5060" w:hanging="5060" w:hangingChars="2100"/>
        <w:rPr>
          <w:rFonts w:ascii="仿宋_GB2312" w:hAnsi="仿宋" w:eastAsia="仿宋_GB2312" w:cs="仿宋_GB2312"/>
          <w:b/>
          <w:bCs/>
          <w:color w:val="auto"/>
          <w:kern w:val="0"/>
          <w:sz w:val="24"/>
          <w:highlight w:val="none"/>
        </w:rPr>
      </w:pPr>
    </w:p>
    <w:p>
      <w:pPr>
        <w:pStyle w:val="3"/>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r>
        <w:rPr>
          <w:rFonts w:hint="eastAsia" w:ascii="仿宋_GB2312" w:hAnsi="仿宋" w:eastAsia="仿宋_GB2312"/>
          <w:color w:val="auto"/>
          <w:highlight w:val="none"/>
        </w:rPr>
        <w:t>附件</w:t>
      </w:r>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残疾人福利性单位声明函</w:t>
      </w:r>
    </w:p>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rPr>
          <w:color w:val="auto"/>
          <w:highlight w:val="none"/>
        </w:rPr>
      </w:pPr>
      <w:r>
        <w:rPr>
          <w:color w:val="auto"/>
          <w:highlight w:val="none"/>
        </w:rPr>
        <w:br w:type="page"/>
      </w:r>
    </w:p>
    <w:p>
      <w:pPr>
        <w:pStyle w:val="2"/>
        <w:rPr>
          <w:color w:val="auto"/>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（项目名称）项目</w:t>
      </w:r>
      <w:r>
        <w:rPr>
          <w:rFonts w:hint="eastAsia" w:ascii="仿宋" w:hAnsi="仿宋" w:eastAsia="仿宋" w:cs="仿宋_GB2312"/>
          <w:color w:val="auto"/>
          <w:sz w:val="24"/>
          <w:highlight w:val="none"/>
        </w:rPr>
        <w:t>【招标编号：（采购编号）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cs="Times New Roman"/>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c/4wdgAAAAKAQAADwAAAAAAAAABACAAAAAiAAAAZHJzL2Rvd25yZXYu&#10;eG1sUEsBAhQAFAAAAAgAh07iQEP2I6b7AQAAHwQAAA4AAAAAAAAAAQAgAAAAJwEAAGRycy9lMm9E&#10;b2MueG1sUEsFBgAAAAAGAAYAWQEAAJQFAAAAAA==&#10;">
                <v:fill on="t" focussize="0,0"/>
                <v:stroke color="#000000" joinstyle="miter"/>
                <v:imagedata o:title=""/>
                <o:lock v:ext="edit" aspectratio="f"/>
              </v:rect>
            </w:pict>
          </mc:Fallback>
        </mc:AlternateContent>
      </w:r>
      <w:r>
        <w:rPr>
          <w:rFonts w:ascii="仿宋" w:hAnsi="仿宋" w:eastAsia="仿宋" w:cs="Times New Roman"/>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3TsFjYAAAACgEAAA8AAAAAAAAAAQAgAAAAIgAAAGRycy9kb3ducmV2&#10;LnhtbFBLAQIUABQAAAAIAIdO4kBNZTxq/AEAAB8EAAAOAAAAAAAAAAEAIAAAACcBAABkcnMvZTJv&#10;RG9jLnhtbFBLBQYAAAAABgAGAFkBAACVBQAAAAA=&#10;">
                <v:fill on="t" focussize="0,0"/>
                <v:stroke color="#000000"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hint="eastAsia"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br w:type="page"/>
      </w: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小企业声明函</w:t>
      </w:r>
      <w:r>
        <w:rPr>
          <w:rFonts w:hint="eastAsia" w:ascii="仿宋_GB2312" w:hAnsi="宋体" w:eastAsia="仿宋_GB2312"/>
          <w:b/>
          <w:color w:val="auto"/>
          <w:sz w:val="32"/>
          <w:szCs w:val="32"/>
          <w:highlight w:val="none"/>
        </w:rPr>
        <w:t>（工程、服务）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color w:val="auto"/>
          <w:highlight w:val="none"/>
          <w:lang w:val="en-US"/>
        </w:rPr>
      </w:pPr>
    </w:p>
    <w:p>
      <w:pPr>
        <w:spacing w:line="360" w:lineRule="auto"/>
        <w:ind w:right="420"/>
        <w:rPr>
          <w:color w:val="auto"/>
          <w:highlight w:val="none"/>
        </w:rPr>
      </w:pPr>
    </w:p>
    <w:p>
      <w:pPr>
        <w:spacing w:line="360" w:lineRule="auto"/>
        <w:rPr>
          <w:rFonts w:ascii="仿宋" w:hAnsi="仿宋" w:eastAsia="仿宋"/>
          <w:bCs/>
          <w:color w:val="auto"/>
          <w:sz w:val="24"/>
          <w:highlight w:val="none"/>
        </w:rPr>
      </w:pPr>
    </w:p>
    <w:p>
      <w:pPr>
        <w:spacing w:line="360" w:lineRule="auto"/>
        <w:rPr>
          <w:rFonts w:hint="eastAsia" w:ascii="宋体" w:hAnsi="宋体" w:eastAsia="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bookmarkStart w:id="401" w:name="_Toc131845147"/>
    <w:bookmarkStart w:id="402" w:name="_Toc164085800"/>
    <w:bookmarkStart w:id="403" w:name="_Toc91899912"/>
    <w:bookmarkStart w:id="404" w:name="_Toc36110187"/>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both"/>
      <w:rPr>
        <w:rFonts w:ascii="仿宋_GB2312" w:eastAsia="仿宋_GB2312"/>
        <w:b w:val="0"/>
        <w:i/>
        <w:sz w:val="18"/>
        <w:u w:val="single"/>
      </w:rPr>
    </w:pPr>
    <w:r>
      <w:drawing>
        <wp:inline distT="0" distB="0" distL="114300" distR="114300">
          <wp:extent cx="661670" cy="501015"/>
          <wp:effectExtent l="0" t="0" r="5080"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w:t>
    </w:r>
    <w:r>
      <w:rPr>
        <w:rFonts w:hint="eastAsia"/>
        <w:lang w:val="en-US" w:eastAsia="zh-CN"/>
      </w:rPr>
      <w:t xml:space="preserve">      </w:t>
    </w:r>
    <w:r>
      <w:t></w:t>
    </w:r>
    <w:r>
      <w:rPr>
        <w:rFonts w:hint="eastAsia"/>
      </w:rPr>
      <w:t>海标工程管理有限公司</w:t>
    </w:r>
    <w:r>
      <w:rPr>
        <w:lang w:val="zh-CN"/>
      </w:rPr>
      <w:t>采购招标文件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drawing>
        <wp:inline distT="0" distB="0" distL="114300" distR="114300">
          <wp:extent cx="661670" cy="501015"/>
          <wp:effectExtent l="0" t="0" r="5080"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w:t>
    </w:r>
    <w:r>
      <w:rPr>
        <w:rFonts w:hint="eastAsia"/>
      </w:rPr>
      <w:t>海标工程管理有限公司</w:t>
    </w:r>
    <w:r>
      <w:rPr>
        <w:lang w:val="zh-CN"/>
      </w:rPr>
      <w:t>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95AD8"/>
    <w:multiLevelType w:val="singleLevel"/>
    <w:tmpl w:val="D9D95AD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DFmZTY4NTcxMDdhODcwYmE3MTNjMjFmNmIyNz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21"/>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AE3"/>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184"/>
    <w:rsid w:val="000808C1"/>
    <w:rsid w:val="00080970"/>
    <w:rsid w:val="00081671"/>
    <w:rsid w:val="00082AD4"/>
    <w:rsid w:val="00083E07"/>
    <w:rsid w:val="0008468A"/>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3E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5D"/>
    <w:rsid w:val="000B47CE"/>
    <w:rsid w:val="000B4B56"/>
    <w:rsid w:val="000B4C62"/>
    <w:rsid w:val="000B541D"/>
    <w:rsid w:val="000B54C1"/>
    <w:rsid w:val="000B5553"/>
    <w:rsid w:val="000B5FE8"/>
    <w:rsid w:val="000B666E"/>
    <w:rsid w:val="000C0A43"/>
    <w:rsid w:val="000C0CB1"/>
    <w:rsid w:val="000C1411"/>
    <w:rsid w:val="000C1700"/>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0C0"/>
    <w:rsid w:val="000E2785"/>
    <w:rsid w:val="000E27BB"/>
    <w:rsid w:val="000E3153"/>
    <w:rsid w:val="000E3484"/>
    <w:rsid w:val="000E386F"/>
    <w:rsid w:val="000E4051"/>
    <w:rsid w:val="000E4139"/>
    <w:rsid w:val="000E4765"/>
    <w:rsid w:val="000E5B7E"/>
    <w:rsid w:val="000E5FF9"/>
    <w:rsid w:val="000E6AE1"/>
    <w:rsid w:val="000E7142"/>
    <w:rsid w:val="000E75ED"/>
    <w:rsid w:val="000E7632"/>
    <w:rsid w:val="000E7737"/>
    <w:rsid w:val="000E7739"/>
    <w:rsid w:val="000E77EE"/>
    <w:rsid w:val="000F0310"/>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ADD"/>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560"/>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2C63"/>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2F80"/>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89F"/>
    <w:rsid w:val="001D4AB6"/>
    <w:rsid w:val="001D4AD3"/>
    <w:rsid w:val="001D5281"/>
    <w:rsid w:val="001E17E3"/>
    <w:rsid w:val="001E2052"/>
    <w:rsid w:val="001E2492"/>
    <w:rsid w:val="001E257C"/>
    <w:rsid w:val="001E286C"/>
    <w:rsid w:val="001E2F34"/>
    <w:rsid w:val="001E35EE"/>
    <w:rsid w:val="001E4B2C"/>
    <w:rsid w:val="001E507F"/>
    <w:rsid w:val="001E56C2"/>
    <w:rsid w:val="001E5761"/>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8FD"/>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704"/>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64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891"/>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1EBE"/>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499"/>
    <w:rsid w:val="00355D75"/>
    <w:rsid w:val="00355D8F"/>
    <w:rsid w:val="00356A73"/>
    <w:rsid w:val="00356FF0"/>
    <w:rsid w:val="003577EF"/>
    <w:rsid w:val="00357A60"/>
    <w:rsid w:val="00360304"/>
    <w:rsid w:val="00360A78"/>
    <w:rsid w:val="00361750"/>
    <w:rsid w:val="00363894"/>
    <w:rsid w:val="00363B2A"/>
    <w:rsid w:val="00363BF1"/>
    <w:rsid w:val="0036407E"/>
    <w:rsid w:val="0036660B"/>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29C"/>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21B"/>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6DA"/>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CCE"/>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2D"/>
    <w:rsid w:val="00425A82"/>
    <w:rsid w:val="00425C60"/>
    <w:rsid w:val="00426B2C"/>
    <w:rsid w:val="00427FA8"/>
    <w:rsid w:val="0043009D"/>
    <w:rsid w:val="0043026B"/>
    <w:rsid w:val="00430299"/>
    <w:rsid w:val="004306D4"/>
    <w:rsid w:val="00431A2A"/>
    <w:rsid w:val="00432AA5"/>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C7E"/>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3A7"/>
    <w:rsid w:val="00465A21"/>
    <w:rsid w:val="00465DE5"/>
    <w:rsid w:val="00466978"/>
    <w:rsid w:val="00466ABA"/>
    <w:rsid w:val="004672E3"/>
    <w:rsid w:val="0046775D"/>
    <w:rsid w:val="00467823"/>
    <w:rsid w:val="00467DD7"/>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3A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2D0"/>
    <w:rsid w:val="004A1AFA"/>
    <w:rsid w:val="004A1B3E"/>
    <w:rsid w:val="004A1EA7"/>
    <w:rsid w:val="004A26F5"/>
    <w:rsid w:val="004A2EF8"/>
    <w:rsid w:val="004A3A21"/>
    <w:rsid w:val="004A407A"/>
    <w:rsid w:val="004A4E3B"/>
    <w:rsid w:val="004A550D"/>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8DB"/>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43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160"/>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A23"/>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831"/>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E82"/>
    <w:rsid w:val="00565F0D"/>
    <w:rsid w:val="005662DC"/>
    <w:rsid w:val="00566329"/>
    <w:rsid w:val="005668B9"/>
    <w:rsid w:val="00566E39"/>
    <w:rsid w:val="0056704E"/>
    <w:rsid w:val="00567623"/>
    <w:rsid w:val="005701C2"/>
    <w:rsid w:val="00570763"/>
    <w:rsid w:val="00570FA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143"/>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9AE"/>
    <w:rsid w:val="00617EFC"/>
    <w:rsid w:val="00620055"/>
    <w:rsid w:val="00620336"/>
    <w:rsid w:val="006204B3"/>
    <w:rsid w:val="006204C2"/>
    <w:rsid w:val="006212D3"/>
    <w:rsid w:val="00621639"/>
    <w:rsid w:val="006220CB"/>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726"/>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F84"/>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036"/>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3EE"/>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A9"/>
    <w:rsid w:val="00692416"/>
    <w:rsid w:val="00692AFF"/>
    <w:rsid w:val="00692D2D"/>
    <w:rsid w:val="00693B73"/>
    <w:rsid w:val="00693D10"/>
    <w:rsid w:val="006945A1"/>
    <w:rsid w:val="00694A53"/>
    <w:rsid w:val="006952DE"/>
    <w:rsid w:val="00695985"/>
    <w:rsid w:val="00695C78"/>
    <w:rsid w:val="00695E6C"/>
    <w:rsid w:val="00695EAC"/>
    <w:rsid w:val="00696C79"/>
    <w:rsid w:val="00697068"/>
    <w:rsid w:val="006977DE"/>
    <w:rsid w:val="00697D5F"/>
    <w:rsid w:val="00697F24"/>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08A2"/>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292"/>
    <w:rsid w:val="00700405"/>
    <w:rsid w:val="00700D18"/>
    <w:rsid w:val="0070168D"/>
    <w:rsid w:val="00701C36"/>
    <w:rsid w:val="00702F2D"/>
    <w:rsid w:val="0070353F"/>
    <w:rsid w:val="00703FCB"/>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4A"/>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76E"/>
    <w:rsid w:val="00730904"/>
    <w:rsid w:val="00731EDE"/>
    <w:rsid w:val="0073245C"/>
    <w:rsid w:val="00732493"/>
    <w:rsid w:val="00732FE9"/>
    <w:rsid w:val="00733772"/>
    <w:rsid w:val="00733A43"/>
    <w:rsid w:val="00733AE4"/>
    <w:rsid w:val="00733D5F"/>
    <w:rsid w:val="00734932"/>
    <w:rsid w:val="00735827"/>
    <w:rsid w:val="00735D53"/>
    <w:rsid w:val="0073618A"/>
    <w:rsid w:val="007364A3"/>
    <w:rsid w:val="00736740"/>
    <w:rsid w:val="007378FD"/>
    <w:rsid w:val="007401DF"/>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6E0"/>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A22"/>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3D"/>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3EAF"/>
    <w:rsid w:val="00805293"/>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5DC5"/>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73D"/>
    <w:rsid w:val="00825441"/>
    <w:rsid w:val="00825E6E"/>
    <w:rsid w:val="00826855"/>
    <w:rsid w:val="00827D42"/>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588"/>
    <w:rsid w:val="00852FA5"/>
    <w:rsid w:val="00853F7D"/>
    <w:rsid w:val="0085517F"/>
    <w:rsid w:val="0085562D"/>
    <w:rsid w:val="00855A78"/>
    <w:rsid w:val="00856154"/>
    <w:rsid w:val="00856286"/>
    <w:rsid w:val="0085657E"/>
    <w:rsid w:val="008566ED"/>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3D4"/>
    <w:rsid w:val="0088093C"/>
    <w:rsid w:val="00880BC0"/>
    <w:rsid w:val="0088127A"/>
    <w:rsid w:val="00881D59"/>
    <w:rsid w:val="00882991"/>
    <w:rsid w:val="00882EC1"/>
    <w:rsid w:val="0088324E"/>
    <w:rsid w:val="0088434F"/>
    <w:rsid w:val="00884371"/>
    <w:rsid w:val="008848E2"/>
    <w:rsid w:val="00884B7A"/>
    <w:rsid w:val="00884D47"/>
    <w:rsid w:val="008856C5"/>
    <w:rsid w:val="00885F23"/>
    <w:rsid w:val="00886112"/>
    <w:rsid w:val="008872B3"/>
    <w:rsid w:val="00887392"/>
    <w:rsid w:val="00890A64"/>
    <w:rsid w:val="00890C40"/>
    <w:rsid w:val="0089122E"/>
    <w:rsid w:val="008912A7"/>
    <w:rsid w:val="0089183A"/>
    <w:rsid w:val="00891874"/>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44D"/>
    <w:rsid w:val="008A0BFE"/>
    <w:rsid w:val="008A1932"/>
    <w:rsid w:val="008A21D9"/>
    <w:rsid w:val="008A232D"/>
    <w:rsid w:val="008A3182"/>
    <w:rsid w:val="008A323F"/>
    <w:rsid w:val="008A3AD1"/>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B13"/>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63C"/>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C9F"/>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C5D"/>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09B2"/>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0D3"/>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175"/>
    <w:rsid w:val="0098055B"/>
    <w:rsid w:val="00980B30"/>
    <w:rsid w:val="009810BE"/>
    <w:rsid w:val="009817BC"/>
    <w:rsid w:val="009819A7"/>
    <w:rsid w:val="0098220A"/>
    <w:rsid w:val="00982E75"/>
    <w:rsid w:val="00983337"/>
    <w:rsid w:val="009836AA"/>
    <w:rsid w:val="009846BF"/>
    <w:rsid w:val="00985103"/>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2141"/>
    <w:rsid w:val="009921DB"/>
    <w:rsid w:val="00992C67"/>
    <w:rsid w:val="00992D5B"/>
    <w:rsid w:val="00993135"/>
    <w:rsid w:val="00993AC7"/>
    <w:rsid w:val="00993BAD"/>
    <w:rsid w:val="00993E49"/>
    <w:rsid w:val="00994120"/>
    <w:rsid w:val="009942F5"/>
    <w:rsid w:val="00994568"/>
    <w:rsid w:val="00994602"/>
    <w:rsid w:val="00994E69"/>
    <w:rsid w:val="00995B01"/>
    <w:rsid w:val="00996055"/>
    <w:rsid w:val="00996EF4"/>
    <w:rsid w:val="00997044"/>
    <w:rsid w:val="00997BC9"/>
    <w:rsid w:val="009A113D"/>
    <w:rsid w:val="009A1ECA"/>
    <w:rsid w:val="009A2BE9"/>
    <w:rsid w:val="009A2BF3"/>
    <w:rsid w:val="009A3688"/>
    <w:rsid w:val="009A3713"/>
    <w:rsid w:val="009A3C3E"/>
    <w:rsid w:val="009A3D1F"/>
    <w:rsid w:val="009A4153"/>
    <w:rsid w:val="009A4C2C"/>
    <w:rsid w:val="009A59B3"/>
    <w:rsid w:val="009A5FAE"/>
    <w:rsid w:val="009A670C"/>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0C5"/>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620"/>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FAB"/>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1B27"/>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1E8"/>
    <w:rsid w:val="00A564DE"/>
    <w:rsid w:val="00A6054E"/>
    <w:rsid w:val="00A60799"/>
    <w:rsid w:val="00A6170B"/>
    <w:rsid w:val="00A61991"/>
    <w:rsid w:val="00A61B7F"/>
    <w:rsid w:val="00A61B91"/>
    <w:rsid w:val="00A61C3A"/>
    <w:rsid w:val="00A620E8"/>
    <w:rsid w:val="00A63335"/>
    <w:rsid w:val="00A634EB"/>
    <w:rsid w:val="00A63685"/>
    <w:rsid w:val="00A63BE7"/>
    <w:rsid w:val="00A63EA5"/>
    <w:rsid w:val="00A64545"/>
    <w:rsid w:val="00A645AC"/>
    <w:rsid w:val="00A64C79"/>
    <w:rsid w:val="00A64E3B"/>
    <w:rsid w:val="00A65EFB"/>
    <w:rsid w:val="00A66E28"/>
    <w:rsid w:val="00A67429"/>
    <w:rsid w:val="00A677E7"/>
    <w:rsid w:val="00A67A03"/>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83E"/>
    <w:rsid w:val="00AE6575"/>
    <w:rsid w:val="00AE71EE"/>
    <w:rsid w:val="00AF03CF"/>
    <w:rsid w:val="00AF0A0A"/>
    <w:rsid w:val="00AF14FC"/>
    <w:rsid w:val="00AF1ED2"/>
    <w:rsid w:val="00AF1F4E"/>
    <w:rsid w:val="00AF2302"/>
    <w:rsid w:val="00AF262A"/>
    <w:rsid w:val="00AF3557"/>
    <w:rsid w:val="00AF3F86"/>
    <w:rsid w:val="00AF4CEE"/>
    <w:rsid w:val="00AF4F4A"/>
    <w:rsid w:val="00AF4F7C"/>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A69"/>
    <w:rsid w:val="00B04B78"/>
    <w:rsid w:val="00B04C37"/>
    <w:rsid w:val="00B04F00"/>
    <w:rsid w:val="00B05809"/>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B3B"/>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03B"/>
    <w:rsid w:val="00B40222"/>
    <w:rsid w:val="00B404C3"/>
    <w:rsid w:val="00B41497"/>
    <w:rsid w:val="00B41A04"/>
    <w:rsid w:val="00B42743"/>
    <w:rsid w:val="00B427AD"/>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ED"/>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69"/>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2E6A"/>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D2E"/>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C93"/>
    <w:rsid w:val="00BE7928"/>
    <w:rsid w:val="00BE7F4D"/>
    <w:rsid w:val="00BF03C0"/>
    <w:rsid w:val="00BF0EBF"/>
    <w:rsid w:val="00BF1534"/>
    <w:rsid w:val="00BF2021"/>
    <w:rsid w:val="00BF21C5"/>
    <w:rsid w:val="00BF21D4"/>
    <w:rsid w:val="00BF2DDC"/>
    <w:rsid w:val="00BF32DE"/>
    <w:rsid w:val="00BF43FA"/>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AF5"/>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2A8"/>
    <w:rsid w:val="00C433C2"/>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204"/>
    <w:rsid w:val="00C5531B"/>
    <w:rsid w:val="00C55375"/>
    <w:rsid w:val="00C5570F"/>
    <w:rsid w:val="00C56C98"/>
    <w:rsid w:val="00C56DE1"/>
    <w:rsid w:val="00C56DEE"/>
    <w:rsid w:val="00C57120"/>
    <w:rsid w:val="00C571D5"/>
    <w:rsid w:val="00C575D4"/>
    <w:rsid w:val="00C57899"/>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D1"/>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A1"/>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BF3"/>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5FD6"/>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474"/>
    <w:rsid w:val="00D316D9"/>
    <w:rsid w:val="00D31B07"/>
    <w:rsid w:val="00D31B9D"/>
    <w:rsid w:val="00D31CB3"/>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712"/>
    <w:rsid w:val="00D82B00"/>
    <w:rsid w:val="00D82B04"/>
    <w:rsid w:val="00D82BE4"/>
    <w:rsid w:val="00D82E05"/>
    <w:rsid w:val="00D83C0D"/>
    <w:rsid w:val="00D83C80"/>
    <w:rsid w:val="00D83F5B"/>
    <w:rsid w:val="00D84BBC"/>
    <w:rsid w:val="00D85FDE"/>
    <w:rsid w:val="00D860D2"/>
    <w:rsid w:val="00D8665E"/>
    <w:rsid w:val="00D869C1"/>
    <w:rsid w:val="00D86EC6"/>
    <w:rsid w:val="00D87418"/>
    <w:rsid w:val="00D8789F"/>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B0B"/>
    <w:rsid w:val="00DA0F18"/>
    <w:rsid w:val="00DA2125"/>
    <w:rsid w:val="00DA21EC"/>
    <w:rsid w:val="00DA24DE"/>
    <w:rsid w:val="00DA270C"/>
    <w:rsid w:val="00DA281F"/>
    <w:rsid w:val="00DA3C5B"/>
    <w:rsid w:val="00DA3D23"/>
    <w:rsid w:val="00DA4A61"/>
    <w:rsid w:val="00DA5AFE"/>
    <w:rsid w:val="00DA61AB"/>
    <w:rsid w:val="00DA61CD"/>
    <w:rsid w:val="00DA6EB5"/>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7D9"/>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5EC"/>
    <w:rsid w:val="00DE12F1"/>
    <w:rsid w:val="00DE1A9D"/>
    <w:rsid w:val="00DE1CB1"/>
    <w:rsid w:val="00DE2073"/>
    <w:rsid w:val="00DE30AC"/>
    <w:rsid w:val="00DE38D1"/>
    <w:rsid w:val="00DE4106"/>
    <w:rsid w:val="00DE466B"/>
    <w:rsid w:val="00DE48F4"/>
    <w:rsid w:val="00DE5563"/>
    <w:rsid w:val="00DE5C19"/>
    <w:rsid w:val="00DE5D48"/>
    <w:rsid w:val="00DE6E4D"/>
    <w:rsid w:val="00DE7050"/>
    <w:rsid w:val="00DE7498"/>
    <w:rsid w:val="00DE75EF"/>
    <w:rsid w:val="00DE7611"/>
    <w:rsid w:val="00DE7D19"/>
    <w:rsid w:val="00DF05A0"/>
    <w:rsid w:val="00DF1162"/>
    <w:rsid w:val="00DF1BA8"/>
    <w:rsid w:val="00DF1F63"/>
    <w:rsid w:val="00DF2098"/>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4EF9"/>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2DE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3A8"/>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57F00"/>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10A"/>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E5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84"/>
    <w:rsid w:val="00EB54AB"/>
    <w:rsid w:val="00EB6257"/>
    <w:rsid w:val="00EB68E6"/>
    <w:rsid w:val="00EB6AE9"/>
    <w:rsid w:val="00EB6B2D"/>
    <w:rsid w:val="00EB71C9"/>
    <w:rsid w:val="00EB763E"/>
    <w:rsid w:val="00EB7B67"/>
    <w:rsid w:val="00EC07F1"/>
    <w:rsid w:val="00EC1AD0"/>
    <w:rsid w:val="00EC1E8A"/>
    <w:rsid w:val="00EC328C"/>
    <w:rsid w:val="00EC32F5"/>
    <w:rsid w:val="00EC3852"/>
    <w:rsid w:val="00EC4528"/>
    <w:rsid w:val="00EC5241"/>
    <w:rsid w:val="00EC5817"/>
    <w:rsid w:val="00EC594C"/>
    <w:rsid w:val="00EC5C7B"/>
    <w:rsid w:val="00EC6509"/>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4CA"/>
    <w:rsid w:val="00EE1595"/>
    <w:rsid w:val="00EE1B6B"/>
    <w:rsid w:val="00EE1E71"/>
    <w:rsid w:val="00EE2087"/>
    <w:rsid w:val="00EE20C2"/>
    <w:rsid w:val="00EE2A9D"/>
    <w:rsid w:val="00EE3384"/>
    <w:rsid w:val="00EE499F"/>
    <w:rsid w:val="00EE56E2"/>
    <w:rsid w:val="00EE5FCD"/>
    <w:rsid w:val="00EE63BF"/>
    <w:rsid w:val="00EE6D45"/>
    <w:rsid w:val="00EE6E89"/>
    <w:rsid w:val="00EE7DAD"/>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CD2"/>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095"/>
    <w:rsid w:val="00F33262"/>
    <w:rsid w:val="00F33B82"/>
    <w:rsid w:val="00F343EE"/>
    <w:rsid w:val="00F3511C"/>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6E9"/>
    <w:rsid w:val="00F81D25"/>
    <w:rsid w:val="00F8245C"/>
    <w:rsid w:val="00F82928"/>
    <w:rsid w:val="00F829B9"/>
    <w:rsid w:val="00F83045"/>
    <w:rsid w:val="00F83615"/>
    <w:rsid w:val="00F836A3"/>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7E8"/>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175"/>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E8A"/>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364C4D"/>
    <w:rsid w:val="05A16594"/>
    <w:rsid w:val="05A7762D"/>
    <w:rsid w:val="06024707"/>
    <w:rsid w:val="060E5941"/>
    <w:rsid w:val="06110FAF"/>
    <w:rsid w:val="06493CA7"/>
    <w:rsid w:val="065A6178"/>
    <w:rsid w:val="066F1CF3"/>
    <w:rsid w:val="06930BB8"/>
    <w:rsid w:val="06E620BD"/>
    <w:rsid w:val="07245D42"/>
    <w:rsid w:val="07264C62"/>
    <w:rsid w:val="0779354C"/>
    <w:rsid w:val="079F533A"/>
    <w:rsid w:val="08061376"/>
    <w:rsid w:val="083355D9"/>
    <w:rsid w:val="08452D77"/>
    <w:rsid w:val="086401F8"/>
    <w:rsid w:val="08751CAA"/>
    <w:rsid w:val="087E4C40"/>
    <w:rsid w:val="08D66AD6"/>
    <w:rsid w:val="08DA33A3"/>
    <w:rsid w:val="08E80F13"/>
    <w:rsid w:val="09335624"/>
    <w:rsid w:val="09430891"/>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DFE03DB"/>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951E3"/>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0F519B"/>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0C6894"/>
    <w:rsid w:val="19932372"/>
    <w:rsid w:val="19A20DD5"/>
    <w:rsid w:val="19AE03F1"/>
    <w:rsid w:val="1A071A03"/>
    <w:rsid w:val="1A1F16AE"/>
    <w:rsid w:val="1A3B5C77"/>
    <w:rsid w:val="1A984BAD"/>
    <w:rsid w:val="1AB8220E"/>
    <w:rsid w:val="1AE4166C"/>
    <w:rsid w:val="1AF06CFB"/>
    <w:rsid w:val="1AF11B8D"/>
    <w:rsid w:val="1B11359C"/>
    <w:rsid w:val="1B2A271F"/>
    <w:rsid w:val="1B530544"/>
    <w:rsid w:val="1B5F6B19"/>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EC976AF"/>
    <w:rsid w:val="1F0A0FF3"/>
    <w:rsid w:val="1F5771FF"/>
    <w:rsid w:val="1F9B0239"/>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50C91"/>
    <w:rsid w:val="29ED4F74"/>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6D5E50"/>
    <w:rsid w:val="2DD15014"/>
    <w:rsid w:val="2DF72DE4"/>
    <w:rsid w:val="2E0220AF"/>
    <w:rsid w:val="2E4B082A"/>
    <w:rsid w:val="2E5D4E86"/>
    <w:rsid w:val="2E5D790B"/>
    <w:rsid w:val="2E9A3C18"/>
    <w:rsid w:val="2EBB0FEE"/>
    <w:rsid w:val="2EC63002"/>
    <w:rsid w:val="2F0A6B38"/>
    <w:rsid w:val="2F355F59"/>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0E2488"/>
    <w:rsid w:val="358D5588"/>
    <w:rsid w:val="363A3B40"/>
    <w:rsid w:val="365302AE"/>
    <w:rsid w:val="365F1A98"/>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463CBC"/>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CA5DA6"/>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D56BC"/>
    <w:rsid w:val="465E3F0D"/>
    <w:rsid w:val="466A16E6"/>
    <w:rsid w:val="46893F2B"/>
    <w:rsid w:val="46C4686E"/>
    <w:rsid w:val="477B778F"/>
    <w:rsid w:val="478203EC"/>
    <w:rsid w:val="478B2CC1"/>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278BB"/>
    <w:rsid w:val="4C245A30"/>
    <w:rsid w:val="4CB6685F"/>
    <w:rsid w:val="4CC367FE"/>
    <w:rsid w:val="4D077F3C"/>
    <w:rsid w:val="4D123355"/>
    <w:rsid w:val="4D2A3B31"/>
    <w:rsid w:val="4D312C52"/>
    <w:rsid w:val="4D905305"/>
    <w:rsid w:val="4D964A72"/>
    <w:rsid w:val="4D9C1254"/>
    <w:rsid w:val="4E1C2748"/>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8E1AC5"/>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458CB"/>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950645"/>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075B5A"/>
    <w:rsid w:val="635B1DB5"/>
    <w:rsid w:val="636A1CD7"/>
    <w:rsid w:val="63711FED"/>
    <w:rsid w:val="63880DDC"/>
    <w:rsid w:val="638D750D"/>
    <w:rsid w:val="63AC6CC0"/>
    <w:rsid w:val="64055776"/>
    <w:rsid w:val="64240056"/>
    <w:rsid w:val="643E143A"/>
    <w:rsid w:val="648B6EEF"/>
    <w:rsid w:val="64C158BF"/>
    <w:rsid w:val="64CE2EAA"/>
    <w:rsid w:val="653C3090"/>
    <w:rsid w:val="65854376"/>
    <w:rsid w:val="658767BE"/>
    <w:rsid w:val="65892531"/>
    <w:rsid w:val="65D40B3D"/>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AE63D5"/>
    <w:rsid w:val="6ADE0BD1"/>
    <w:rsid w:val="6AE96859"/>
    <w:rsid w:val="6B147746"/>
    <w:rsid w:val="6B24787C"/>
    <w:rsid w:val="6B573233"/>
    <w:rsid w:val="6B5B6274"/>
    <w:rsid w:val="6B935D53"/>
    <w:rsid w:val="6C196F71"/>
    <w:rsid w:val="6C226FCB"/>
    <w:rsid w:val="6C31226F"/>
    <w:rsid w:val="6C552F0B"/>
    <w:rsid w:val="6C8C67B7"/>
    <w:rsid w:val="6C9D744C"/>
    <w:rsid w:val="6D0C60E8"/>
    <w:rsid w:val="6D167928"/>
    <w:rsid w:val="6D26299B"/>
    <w:rsid w:val="6D4772EC"/>
    <w:rsid w:val="6D9078AF"/>
    <w:rsid w:val="6DAA3FEF"/>
    <w:rsid w:val="6DC0172B"/>
    <w:rsid w:val="6DCB690C"/>
    <w:rsid w:val="6DD41A5B"/>
    <w:rsid w:val="6DF43C2E"/>
    <w:rsid w:val="6DF51CA3"/>
    <w:rsid w:val="6E0850EA"/>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232595"/>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BF1497"/>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305BA0"/>
    <w:rsid w:val="7D491C6C"/>
    <w:rsid w:val="7D5429C0"/>
    <w:rsid w:val="7D6E6D43"/>
    <w:rsid w:val="7DB57A34"/>
    <w:rsid w:val="7DBD25CC"/>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4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4"/>
    <w:qFormat/>
    <w:uiPriority w:val="0"/>
    <w:pPr>
      <w:shd w:val="clear" w:color="auto" w:fill="000080"/>
    </w:pPr>
  </w:style>
  <w:style w:type="paragraph" w:styleId="19">
    <w:name w:val="annotation text"/>
    <w:basedOn w:val="1"/>
    <w:link w:val="852"/>
    <w:qFormat/>
    <w:uiPriority w:val="99"/>
    <w:pPr>
      <w:jc w:val="left"/>
    </w:pPr>
  </w:style>
  <w:style w:type="paragraph" w:styleId="20">
    <w:name w:val="Salutation"/>
    <w:basedOn w:val="1"/>
    <w:next w:val="1"/>
    <w:link w:val="812"/>
    <w:qFormat/>
    <w:uiPriority w:val="0"/>
    <w:rPr>
      <w:rFonts w:ascii="仿宋_GB2312" w:eastAsia="仿宋_GB2312"/>
      <w:sz w:val="28"/>
      <w:szCs w:val="20"/>
    </w:rPr>
  </w:style>
  <w:style w:type="paragraph" w:styleId="21">
    <w:name w:val="Body Text 3"/>
    <w:basedOn w:val="1"/>
    <w:link w:val="84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29"/>
    <w:qFormat/>
    <w:uiPriority w:val="0"/>
    <w:pPr>
      <w:autoSpaceDE w:val="0"/>
      <w:autoSpaceDN w:val="0"/>
      <w:spacing w:line="360" w:lineRule="auto"/>
    </w:pPr>
    <w:rPr>
      <w:rFonts w:ascii="宋体" w:hAnsi="Arial" w:cs="Arial"/>
      <w:snapToGrid w:val="0"/>
      <w:sz w:val="24"/>
      <w:szCs w:val="21"/>
      <w:lang w:val="zh-CN"/>
    </w:rPr>
  </w:style>
  <w:style w:type="paragraph" w:styleId="24">
    <w:name w:val="toc 2"/>
    <w:basedOn w:val="1"/>
    <w:next w:val="1"/>
    <w:qFormat/>
    <w:uiPriority w:val="0"/>
    <w:pPr>
      <w:ind w:left="420" w:leftChars="200"/>
    </w:pPr>
  </w:style>
  <w:style w:type="paragraph" w:styleId="25">
    <w:name w:val="Body Text Indent"/>
    <w:basedOn w:val="1"/>
    <w:next w:val="26"/>
    <w:link w:val="780"/>
    <w:qFormat/>
    <w:uiPriority w:val="0"/>
    <w:pPr>
      <w:spacing w:line="480" w:lineRule="exact"/>
      <w:ind w:firstLine="480" w:firstLineChars="200"/>
    </w:pPr>
    <w:rPr>
      <w:rFonts w:ascii="宋体" w:hAnsi="宋体"/>
      <w:sz w:val="24"/>
    </w:rPr>
  </w:style>
  <w:style w:type="paragraph" w:styleId="26">
    <w:name w:val="Body Text First Indent 2"/>
    <w:basedOn w:val="25"/>
    <w:link w:val="652"/>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6"/>
    <w:qFormat/>
    <w:uiPriority w:val="0"/>
    <w:pPr>
      <w:ind w:left="100" w:leftChars="2500"/>
    </w:pPr>
    <w:rPr>
      <w:rFonts w:ascii="宋体"/>
      <w:sz w:val="24"/>
      <w:szCs w:val="21"/>
      <w:lang w:val="zh-CN"/>
    </w:rPr>
  </w:style>
  <w:style w:type="paragraph" w:styleId="38">
    <w:name w:val="Body Text Indent 2"/>
    <w:basedOn w:val="1"/>
    <w:link w:val="820"/>
    <w:qFormat/>
    <w:uiPriority w:val="0"/>
    <w:pPr>
      <w:spacing w:line="360" w:lineRule="auto"/>
      <w:ind w:firstLine="601"/>
      <w:textAlignment w:val="baseline"/>
    </w:pPr>
    <w:rPr>
      <w:rFonts w:ascii="宋体"/>
      <w:kern w:val="0"/>
      <w:sz w:val="28"/>
      <w:szCs w:val="20"/>
    </w:rPr>
  </w:style>
  <w:style w:type="paragraph" w:styleId="39">
    <w:name w:val="endnote text"/>
    <w:basedOn w:val="1"/>
    <w:link w:val="937"/>
    <w:qFormat/>
    <w:uiPriority w:val="0"/>
    <w:rPr>
      <w:lang w:val="zh-CN"/>
    </w:rPr>
  </w:style>
  <w:style w:type="paragraph" w:styleId="40">
    <w:name w:val="Balloon Text"/>
    <w:basedOn w:val="1"/>
    <w:link w:val="713"/>
    <w:qFormat/>
    <w:uiPriority w:val="0"/>
    <w:rPr>
      <w:sz w:val="18"/>
      <w:szCs w:val="18"/>
    </w:rPr>
  </w:style>
  <w:style w:type="paragraph" w:styleId="41">
    <w:name w:val="footer"/>
    <w:basedOn w:val="1"/>
    <w:link w:val="888"/>
    <w:qFormat/>
    <w:uiPriority w:val="99"/>
    <w:pPr>
      <w:tabs>
        <w:tab w:val="center" w:pos="4153"/>
        <w:tab w:val="right" w:pos="8306"/>
      </w:tabs>
      <w:snapToGrid w:val="0"/>
      <w:jc w:val="left"/>
    </w:pPr>
    <w:rPr>
      <w:sz w:val="18"/>
      <w:szCs w:val="18"/>
    </w:rPr>
  </w:style>
  <w:style w:type="paragraph" w:styleId="42">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822"/>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1"/>
    <w:qFormat/>
    <w:uiPriority w:val="0"/>
    <w:pPr>
      <w:spacing w:line="360" w:lineRule="auto"/>
      <w:ind w:firstLine="420"/>
    </w:pPr>
    <w:rPr>
      <w:sz w:val="24"/>
      <w:szCs w:val="20"/>
    </w:rPr>
  </w:style>
  <w:style w:type="paragraph" w:styleId="55">
    <w:name w:val="toc 9"/>
    <w:basedOn w:val="1"/>
    <w:next w:val="1"/>
    <w:qFormat/>
    <w:uiPriority w:val="0"/>
    <w:pPr>
      <w:ind w:left="3360" w:leftChars="1600"/>
    </w:pPr>
  </w:style>
  <w:style w:type="paragraph" w:styleId="56">
    <w:name w:val="Body Text 2"/>
    <w:basedOn w:val="1"/>
    <w:link w:val="816"/>
    <w:qFormat/>
    <w:uiPriority w:val="0"/>
    <w:pPr>
      <w:spacing w:after="120" w:line="480" w:lineRule="auto"/>
    </w:pPr>
  </w:style>
  <w:style w:type="paragraph" w:styleId="57">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0"/>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29"/>
    <w:qFormat/>
    <w:uiPriority w:val="0"/>
    <w:rPr>
      <w:b/>
      <w:bCs/>
    </w:rPr>
  </w:style>
  <w:style w:type="paragraph" w:styleId="61">
    <w:name w:val="Body Text First Indent"/>
    <w:basedOn w:val="23"/>
    <w:next w:val="52"/>
    <w:link w:val="831"/>
    <w:qFormat/>
    <w:uiPriority w:val="0"/>
    <w:pPr>
      <w:ind w:firstLine="420"/>
    </w:pPr>
    <w:rPr>
      <w:rFonts w:hAnsi="Calibri" w:cs="Times New Roman"/>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link w:val="661"/>
    <w:qFormat/>
    <w:uiPriority w:val="0"/>
    <w:pPr>
      <w:spacing w:before="156" w:line="360" w:lineRule="auto"/>
      <w:ind w:firstLine="510" w:firstLineChars="200"/>
    </w:pPr>
    <w:rPr>
      <w:sz w:val="24"/>
      <w:szCs w:val="20"/>
    </w:rPr>
  </w:style>
  <w:style w:type="paragraph" w:customStyle="1" w:styleId="85">
    <w:name w:val="无间隔1"/>
    <w:link w:val="669"/>
    <w:qFormat/>
    <w:uiPriority w:val="1"/>
    <w:rPr>
      <w:rFonts w:ascii="Times New Roman" w:hAnsi="Times New Roman" w:eastAsia="宋体" w:cs="Times New Roman"/>
      <w:sz w:val="22"/>
      <w:szCs w:val="22"/>
      <w:lang w:val="en-US" w:eastAsia="zh-CN" w:bidi="ar-SA"/>
    </w:rPr>
  </w:style>
  <w:style w:type="paragraph" w:customStyle="1" w:styleId="86">
    <w:name w:val="纯文本_0_0"/>
    <w:basedOn w:val="87"/>
    <w:link w:val="677"/>
    <w:qFormat/>
    <w:uiPriority w:val="0"/>
    <w:rPr>
      <w:rFonts w:ascii="宋体" w:hAnsi="Courier New"/>
      <w:szCs w:val="21"/>
    </w:rPr>
  </w:style>
  <w:style w:type="paragraph" w:customStyle="1" w:styleId="8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2"/>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2"/>
    <w:qFormat/>
    <w:uiPriority w:val="0"/>
    <w:pPr>
      <w:ind w:left="0" w:right="466" w:firstLine="288"/>
    </w:pPr>
    <w:rPr>
      <w:rFonts w:hAnsi="宋体"/>
    </w:rPr>
  </w:style>
  <w:style w:type="paragraph" w:customStyle="1" w:styleId="92">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6"/>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4"/>
    <w:qFormat/>
    <w:uiPriority w:val="0"/>
    <w:pPr>
      <w:adjustRightInd/>
      <w:spacing w:line="360" w:lineRule="auto"/>
      <w:ind w:firstLine="480" w:firstLineChars="200"/>
    </w:pPr>
    <w:rPr>
      <w:kern w:val="0"/>
      <w:sz w:val="24"/>
    </w:rPr>
  </w:style>
  <w:style w:type="paragraph" w:customStyle="1" w:styleId="97">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列出段落1"/>
    <w:basedOn w:val="1"/>
    <w:qFormat/>
    <w:uiPriority w:val="34"/>
    <w:pPr>
      <w:spacing w:line="360" w:lineRule="auto"/>
      <w:ind w:firstLine="200" w:firstLineChars="200"/>
    </w:pPr>
    <w:rPr>
      <w:rFonts w:eastAsia="楷体_GB2312" w:cs="Lucida Sans"/>
      <w:sz w:val="24"/>
    </w:rPr>
  </w:style>
  <w:style w:type="paragraph" w:customStyle="1" w:styleId="100">
    <w:name w:val="此正文"/>
    <w:basedOn w:val="1"/>
    <w:link w:val="795"/>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17"/>
    <w:qFormat/>
    <w:uiPriority w:val="0"/>
    <w:pPr>
      <w:tabs>
        <w:tab w:val="left" w:pos="2356"/>
      </w:tabs>
    </w:pPr>
  </w:style>
  <w:style w:type="paragraph" w:customStyle="1" w:styleId="102">
    <w:name w:val="样式 标题 4h4H4Fab-4T5Ref Heading 1rh1Heading sqlsect 1.2.3...."/>
    <w:basedOn w:val="6"/>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0"/>
    <w:qFormat/>
    <w:uiPriority w:val="99"/>
    <w:pPr>
      <w:adjustRightInd/>
    </w:pPr>
    <w:rPr>
      <w:rFonts w:ascii="宋体" w:hAnsi="Courier New"/>
      <w:kern w:val="0"/>
      <w:sz w:val="20"/>
      <w:szCs w:val="20"/>
    </w:rPr>
  </w:style>
  <w:style w:type="paragraph" w:customStyle="1" w:styleId="105">
    <w:name w:val="正文说明"/>
    <w:basedOn w:val="1"/>
    <w:link w:val="842"/>
    <w:qFormat/>
    <w:uiPriority w:val="0"/>
    <w:pPr>
      <w:adjustRightInd/>
      <w:spacing w:line="360" w:lineRule="auto"/>
    </w:pPr>
    <w:rPr>
      <w:kern w:val="0"/>
      <w:sz w:val="24"/>
    </w:rPr>
  </w:style>
  <w:style w:type="paragraph" w:customStyle="1" w:styleId="106">
    <w:name w:val="Table Text"/>
    <w:basedOn w:val="1"/>
    <w:link w:val="848"/>
    <w:qFormat/>
    <w:uiPriority w:val="0"/>
    <w:pPr>
      <w:widowControl/>
      <w:spacing w:before="60" w:after="60"/>
      <w:jc w:val="left"/>
    </w:pPr>
    <w:rPr>
      <w:kern w:val="0"/>
      <w:sz w:val="24"/>
    </w:rPr>
  </w:style>
  <w:style w:type="paragraph" w:customStyle="1" w:styleId="107">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0"/>
    <w:qFormat/>
    <w:uiPriority w:val="0"/>
    <w:pPr>
      <w:widowControl/>
      <w:snapToGrid w:val="0"/>
      <w:spacing w:afterLines="50"/>
      <w:ind w:firstLine="200" w:firstLineChars="200"/>
    </w:pPr>
    <w:rPr>
      <w:kern w:val="0"/>
      <w:sz w:val="24"/>
      <w:szCs w:val="20"/>
    </w:rPr>
  </w:style>
  <w:style w:type="paragraph" w:customStyle="1" w:styleId="112">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5"/>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6"/>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qFormat/>
    <w:uiPriority w:val="0"/>
    <w:pPr>
      <w:spacing w:before="120" w:line="360" w:lineRule="auto"/>
      <w:ind w:firstLine="567"/>
    </w:pPr>
    <w:rPr>
      <w:rFonts w:ascii="Arial" w:hAnsi="Arial"/>
      <w:sz w:val="20"/>
      <w:szCs w:val="20"/>
    </w:rPr>
  </w:style>
  <w:style w:type="paragraph" w:customStyle="1" w:styleId="12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3">
    <w:name w:val="封面公司名"/>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qFormat/>
    <w:uiPriority w:val="0"/>
    <w:pPr>
      <w:adjustRightInd/>
      <w:ind w:firstLine="200" w:firstLineChars="200"/>
    </w:pPr>
    <w:rPr>
      <w:rFonts w:ascii="Tahoma" w:hAnsi="Tahoma"/>
      <w:sz w:val="24"/>
      <w:szCs w:val="20"/>
    </w:rPr>
  </w:style>
  <w:style w:type="paragraph" w:customStyle="1" w:styleId="1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qFormat/>
    <w:uiPriority w:val="0"/>
    <w:pPr>
      <w:tabs>
        <w:tab w:val="left" w:pos="360"/>
      </w:tabs>
    </w:pPr>
    <w:rPr>
      <w:sz w:val="24"/>
      <w:szCs w:val="20"/>
    </w:rPr>
  </w:style>
  <w:style w:type="paragraph" w:customStyle="1" w:styleId="138">
    <w:name w:val="Char Char11 Char Char Char"/>
    <w:basedOn w:val="1"/>
    <w:qFormat/>
    <w:uiPriority w:val="0"/>
    <w:pPr>
      <w:spacing w:line="360" w:lineRule="auto"/>
    </w:pPr>
    <w:rPr>
      <w:szCs w:val="20"/>
    </w:rPr>
  </w:style>
  <w:style w:type="paragraph" w:customStyle="1" w:styleId="13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qFormat/>
    <w:uiPriority w:val="0"/>
    <w:pPr>
      <w:tabs>
        <w:tab w:val="left" w:pos="2790"/>
        <w:tab w:val="left" w:pos="4230"/>
      </w:tabs>
      <w:spacing w:beforeLines="100"/>
      <w:jc w:val="left"/>
    </w:pPr>
  </w:style>
  <w:style w:type="paragraph" w:customStyle="1" w:styleId="14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qFormat/>
    <w:uiPriority w:val="0"/>
    <w:pPr>
      <w:tabs>
        <w:tab w:val="left" w:pos="840"/>
      </w:tabs>
      <w:ind w:left="840" w:hanging="420"/>
    </w:pPr>
    <w:rPr>
      <w:rFonts w:ascii="Tahoma" w:hAnsi="Tahoma"/>
      <w:sz w:val="24"/>
    </w:rPr>
  </w:style>
  <w:style w:type="paragraph" w:customStyle="1" w:styleId="14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2"/>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qFormat/>
    <w:uiPriority w:val="0"/>
    <w:pPr>
      <w:adjustRightInd/>
      <w:spacing w:before="156" w:line="360" w:lineRule="auto"/>
      <w:ind w:firstLine="510" w:firstLineChars="200"/>
    </w:pPr>
    <w:rPr>
      <w:sz w:val="24"/>
      <w:szCs w:val="20"/>
    </w:rPr>
  </w:style>
  <w:style w:type="paragraph" w:customStyle="1" w:styleId="14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qFormat/>
    <w:uiPriority w:val="0"/>
    <w:rPr>
      <w:rFonts w:ascii="仿宋_GB2312" w:eastAsia="仿宋_GB2312"/>
      <w:b/>
      <w:sz w:val="32"/>
      <w:szCs w:val="32"/>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outlineLvl w:val="5"/>
    </w:pPr>
  </w:style>
  <w:style w:type="paragraph" w:customStyle="1" w:styleId="156">
    <w:name w:val="5级标题"/>
    <w:basedOn w:val="157"/>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7">
    <w:name w:val="4级标题"/>
    <w:basedOn w:val="9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938"/>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4"/>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Lines="50"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qFormat/>
    <w:uiPriority w:val="0"/>
    <w:rPr>
      <w:rFonts w:ascii="宋体" w:eastAsia="宋体" w:cs="Times New Roman"/>
      <w:color w:val="auto"/>
    </w:rPr>
  </w:style>
  <w:style w:type="paragraph" w:customStyle="1" w:styleId="23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6"/>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Lines="0" w:afterLines="0"/>
      <w:ind w:left="1680"/>
      <w:outlineLvl w:val="2"/>
    </w:pPr>
  </w:style>
  <w:style w:type="paragraph" w:customStyle="1" w:styleId="340">
    <w:name w:val="章标题"/>
    <w:next w:val="32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Lines="50"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8"/>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5"/>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纯文本3"/>
    <w:basedOn w:val="1"/>
    <w:qFormat/>
    <w:uiPriority w:val="0"/>
    <w:pPr>
      <w:adjustRightInd/>
      <w:snapToGrid w:val="0"/>
      <w:jc w:val="left"/>
    </w:pPr>
    <w:rPr>
      <w:rFonts w:ascii="Century Gothic" w:hAnsi="楷体_GB2312" w:eastAsia="Century Gothic"/>
      <w:szCs w:val="20"/>
    </w:rPr>
  </w:style>
  <w:style w:type="character" w:customStyle="1" w:styleId="618">
    <w:name w:val="表格非标题文字 Char"/>
    <w:link w:val="79"/>
    <w:qFormat/>
    <w:uiPriority w:val="0"/>
    <w:rPr>
      <w:rFonts w:ascii="Futura Bk" w:hAnsi="Futura Bk"/>
      <w:kern w:val="2"/>
      <w:sz w:val="18"/>
      <w:szCs w:val="21"/>
      <w:lang w:val="en-US" w:eastAsia="zh-CN" w:bidi="ar-SA"/>
    </w:rPr>
  </w:style>
  <w:style w:type="character" w:customStyle="1" w:styleId="619">
    <w:name w:val="*正文 Char"/>
    <w:link w:val="80"/>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1"/>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字符"/>
    <w:link w:val="60"/>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2"/>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3"/>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文本首行缩进 2 字符"/>
    <w:link w:val="26"/>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9"/>
    <w:qFormat/>
    <w:uiPriority w:val="0"/>
    <w:rPr>
      <w:rFonts w:ascii="Arial" w:hAnsi="Arial" w:eastAsia="黑体" w:cs="Arial"/>
      <w:snapToGrid w:val="0"/>
      <w:kern w:val="0"/>
      <w:szCs w:val="21"/>
    </w:rPr>
  </w:style>
  <w:style w:type="character" w:customStyle="1" w:styleId="656">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4"/>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字符"/>
    <w:link w:val="48"/>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5"/>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字符"/>
    <w:link w:val="8"/>
    <w:qFormat/>
    <w:uiPriority w:val="0"/>
    <w:rPr>
      <w:rFonts w:ascii="Arial" w:hAnsi="Arial" w:eastAsia="黑体"/>
      <w:b/>
      <w:bCs/>
      <w:kern w:val="2"/>
      <w:sz w:val="24"/>
      <w:szCs w:val="24"/>
    </w:rPr>
  </w:style>
  <w:style w:type="character" w:customStyle="1" w:styleId="677">
    <w:name w:val="纯文本 Char_0"/>
    <w:link w:val="86"/>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8"/>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89"/>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字符"/>
    <w:link w:val="37"/>
    <w:qFormat/>
    <w:uiPriority w:val="0"/>
    <w:rPr>
      <w:rFonts w:ascii="宋体"/>
      <w:kern w:val="2"/>
      <w:sz w:val="24"/>
      <w:szCs w:val="21"/>
      <w:lang w:val="zh-CN"/>
    </w:rPr>
  </w:style>
  <w:style w:type="character" w:customStyle="1" w:styleId="707">
    <w:name w:val="标题 9 字符"/>
    <w:link w:val="11"/>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99"/>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字符1"/>
    <w:link w:val="40"/>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0"/>
    <w:qFormat/>
    <w:locked/>
    <w:uiPriority w:val="0"/>
    <w:rPr>
      <w:rFonts w:ascii="Tahoma" w:hAnsi="Tahoma"/>
      <w:sz w:val="24"/>
      <w:szCs w:val="24"/>
    </w:rPr>
  </w:style>
  <w:style w:type="character" w:customStyle="1" w:styleId="717">
    <w:name w:val="正文缩进 字符2"/>
    <w:link w:val="5"/>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1"/>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字符"/>
    <w:link w:val="18"/>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9"/>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字符"/>
    <w:link w:val="31"/>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3"/>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4"/>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字符"/>
    <w:link w:val="16"/>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5"/>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6"/>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7"/>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8"/>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字符1"/>
    <w:link w:val="25"/>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0"/>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字符1"/>
    <w:link w:val="3"/>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字符"/>
    <w:link w:val="59"/>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字符"/>
    <w:link w:val="7"/>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字符"/>
    <w:link w:val="20"/>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字符"/>
    <w:link w:val="57"/>
    <w:qFormat/>
    <w:uiPriority w:val="0"/>
    <w:rPr>
      <w:rFonts w:ascii="黑体" w:hAnsi="Courier New" w:eastAsia="黑体"/>
    </w:rPr>
  </w:style>
  <w:style w:type="character" w:customStyle="1" w:styleId="816">
    <w:name w:val="正文文本 2 字符1"/>
    <w:link w:val="56"/>
    <w:qFormat/>
    <w:uiPriority w:val="0"/>
    <w:rPr>
      <w:kern w:val="2"/>
      <w:sz w:val="21"/>
      <w:szCs w:val="24"/>
    </w:rPr>
  </w:style>
  <w:style w:type="character" w:customStyle="1" w:styleId="817">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字符"/>
    <w:link w:val="9"/>
    <w:qFormat/>
    <w:uiPriority w:val="0"/>
    <w:rPr>
      <w:b/>
      <w:bCs/>
      <w:kern w:val="2"/>
      <w:sz w:val="24"/>
      <w:szCs w:val="24"/>
    </w:rPr>
  </w:style>
  <w:style w:type="character" w:customStyle="1" w:styleId="820">
    <w:name w:val="正文文本缩进 2 字符"/>
    <w:link w:val="38"/>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字符"/>
    <w:link w:val="51"/>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3"/>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4"/>
    <w:qFormat/>
    <w:uiPriority w:val="99"/>
    <w:rPr>
      <w:rFonts w:ascii="宋体" w:hAnsi="Courier New"/>
    </w:rPr>
  </w:style>
  <w:style w:type="character" w:customStyle="1" w:styleId="831">
    <w:name w:val="正文文本首行缩进 字符"/>
    <w:link w:val="61"/>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字符1"/>
    <w:link w:val="6"/>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字符"/>
    <w:link w:val="21"/>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5"/>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6"/>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字符1"/>
    <w:link w:val="19"/>
    <w:qFormat/>
    <w:uiPriority w:val="99"/>
    <w:rPr>
      <w:kern w:val="2"/>
      <w:sz w:val="21"/>
      <w:szCs w:val="24"/>
    </w:rPr>
  </w:style>
  <w:style w:type="character" w:customStyle="1" w:styleId="853">
    <w:name w:val="签名 字符"/>
    <w:link w:val="43"/>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7"/>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8"/>
    <w:qFormat/>
    <w:uiPriority w:val="0"/>
    <w:rPr>
      <w:rFonts w:ascii="宋体"/>
    </w:rPr>
  </w:style>
  <w:style w:type="character" w:customStyle="1" w:styleId="864">
    <w:name w:val="标题 8 字符"/>
    <w:link w:val="10"/>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字符"/>
    <w:link w:val="54"/>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09"/>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字符2"/>
    <w:link w:val="41"/>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0"/>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字符2"/>
    <w:link w:val="42"/>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1"/>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2"/>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3"/>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4"/>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9"/>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5"/>
    <w:qFormat/>
    <w:uiPriority w:val="0"/>
    <w:rPr>
      <w:rFonts w:cs="宋体"/>
      <w:kern w:val="2"/>
      <w:sz w:val="24"/>
    </w:rPr>
  </w:style>
  <w:style w:type="character" w:customStyle="1" w:styleId="9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30">
    <w:name w:val="gray6"/>
    <w:basedOn w:val="69"/>
    <w:qFormat/>
    <w:uiPriority w:val="0"/>
    <w:rPr>
      <w:rFonts w:ascii="Arial" w:hAnsi="Arial" w:eastAsia="黑体" w:cs="Arial"/>
      <w:snapToGrid w:val="0"/>
      <w:kern w:val="0"/>
      <w:szCs w:val="21"/>
    </w:rPr>
  </w:style>
  <w:style w:type="character" w:customStyle="1" w:styleId="931">
    <w:name w:val="hui"/>
    <w:basedOn w:val="69"/>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字符"/>
    <w:link w:val="39"/>
    <w:qFormat/>
    <w:uiPriority w:val="0"/>
    <w:rPr>
      <w:kern w:val="2"/>
      <w:sz w:val="21"/>
      <w:szCs w:val="24"/>
      <w:lang w:val="zh-CN"/>
    </w:rPr>
  </w:style>
  <w:style w:type="character" w:customStyle="1" w:styleId="938">
    <w:name w:val="无间隔 Char"/>
    <w:link w:val="165"/>
    <w:qFormat/>
    <w:uiPriority w:val="99"/>
    <w:rPr>
      <w:kern w:val="2"/>
      <w:sz w:val="21"/>
      <w:szCs w:val="22"/>
    </w:rPr>
  </w:style>
  <w:style w:type="character" w:customStyle="1" w:styleId="939">
    <w:name w:val="标准文本 Char Char"/>
    <w:link w:val="604"/>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9"/>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2">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963">
    <w:name w:val="Char Char Char Char Char Char Char Char Char Char Char Char Char"/>
    <w:basedOn w:val="1"/>
    <w:qFormat/>
    <w:uiPriority w:val="0"/>
    <w:rPr>
      <w:rFonts w:ascii="仿宋_GB2312" w:eastAsia="仿宋_GB2312"/>
      <w:b/>
      <w:sz w:val="32"/>
      <w:szCs w:val="32"/>
    </w:rPr>
  </w:style>
  <w:style w:type="paragraph" w:customStyle="1" w:styleId="964">
    <w:name w:val="纯文本11"/>
    <w:basedOn w:val="1"/>
    <w:qFormat/>
    <w:uiPriority w:val="0"/>
    <w:pPr>
      <w:widowControl/>
      <w:jc w:val="left"/>
      <w:textAlignment w:val="baseline"/>
    </w:pPr>
    <w:rPr>
      <w:rFonts w:ascii="宋体" w:hAnsi="Courier New" w:eastAsia="楷体_GB2312"/>
      <w:kern w:val="0"/>
      <w:sz w:val="26"/>
      <w:szCs w:val="20"/>
    </w:rPr>
  </w:style>
  <w:style w:type="paragraph" w:customStyle="1" w:styleId="965">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35206</Words>
  <Characters>37051</Characters>
  <Lines>430</Lines>
  <Paragraphs>121</Paragraphs>
  <TotalTime>44</TotalTime>
  <ScaleCrop>false</ScaleCrop>
  <LinksUpToDate>false</LinksUpToDate>
  <CharactersWithSpaces>42950</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2022-02-08T01:58:00Z</dcterms:created>
  <dc:creator>玥</dc:creator>
  <cp:lastModifiedBy>海标</cp:lastModifiedBy>
  <cp:lastPrinted>2022-11-04T02:06:00Z</cp:lastPrinted>
  <dcterms:modified xsi:type="dcterms:W3CDTF">2022-12-02T03:31:08Z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7EBE1062AF3A465194A6A0CDEF86DA10</vt:lpwstr>
  </property>
</Properties>
</file>