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adjustRightInd/>
        <w:spacing w:line="360" w:lineRule="auto"/>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涉网投诉举报件及数字化改革项目</w:t>
      </w: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应用辅助处理服务外包项目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HZZR-F240515N</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杭州市临平区市场监督管理局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杭州中瑞招标代理有限公司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二十一</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涉网投诉举报件及数字化改革项目应用辅助处理服务外包项目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rPr>
        <w:t>4</w:t>
      </w:r>
      <w:r>
        <w:rPr>
          <w:rStyle w:val="78"/>
          <w:rFonts w:hint="eastAsia" w:ascii="宋体" w:hAnsi="宋体" w:eastAsia="宋体" w:cs="宋体"/>
          <w:snapToGrid/>
          <w:color w:val="auto"/>
          <w:kern w:val="2"/>
          <w:sz w:val="24"/>
          <w:szCs w:val="24"/>
          <w:highlight w:val="none"/>
        </w:rPr>
        <w:t>年</w:t>
      </w:r>
      <w:r>
        <w:rPr>
          <w:rStyle w:val="78"/>
          <w:rFonts w:hint="eastAsia" w:ascii="宋体" w:hAnsi="宋体" w:eastAsia="黑体" w:cs="宋体"/>
          <w:snapToGrid/>
          <w:color w:val="auto"/>
          <w:kern w:val="2"/>
          <w:sz w:val="24"/>
          <w:szCs w:val="24"/>
          <w:highlight w:val="none"/>
          <w:lang w:val="en-US" w:eastAsia="zh-CN"/>
        </w:rPr>
        <w:t>6</w:t>
      </w:r>
      <w:r>
        <w:rPr>
          <w:rStyle w:val="78"/>
          <w:rFonts w:hint="eastAsia" w:ascii="宋体" w:hAnsi="宋体" w:eastAsia="宋体" w:cs="宋体"/>
          <w:snapToGrid/>
          <w:color w:val="auto"/>
          <w:kern w:val="2"/>
          <w:sz w:val="24"/>
          <w:szCs w:val="24"/>
          <w:highlight w:val="none"/>
        </w:rPr>
        <w:t>月</w:t>
      </w:r>
      <w:r>
        <w:rPr>
          <w:rStyle w:val="78"/>
          <w:rFonts w:hint="eastAsia" w:ascii="宋体" w:hAnsi="宋体" w:eastAsia="黑体" w:cs="宋体"/>
          <w:snapToGrid/>
          <w:color w:val="auto"/>
          <w:kern w:val="2"/>
          <w:sz w:val="24"/>
          <w:szCs w:val="24"/>
          <w:highlight w:val="none"/>
          <w:lang w:val="en-US" w:eastAsia="zh-CN"/>
        </w:rPr>
        <w:t>11</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HZZR-F240515N</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涉网投诉举报件及数字化改革项目应用辅助处理服务外包项目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825000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825000</w:t>
      </w:r>
    </w:p>
    <w:p>
      <w:pPr>
        <w:pStyle w:val="1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Times New Roman" w:asciiTheme="minorEastAsia" w:hAnsiTheme="minorEastAsia" w:eastAsiaTheme="minorEastAsia"/>
          <w:i w:val="0"/>
          <w:iCs w:val="0"/>
          <w:caps w:val="0"/>
          <w:snapToGrid/>
          <w:color w:val="auto"/>
          <w:spacing w:val="0"/>
          <w:kern w:val="2"/>
          <w:sz w:val="24"/>
          <w:szCs w:val="24"/>
          <w:highlight w:val="none"/>
        </w:rPr>
        <w:t>涉网投诉举报件及数字化改革项目应用辅助处理工作</w:t>
      </w:r>
      <w:r>
        <w:rPr>
          <w:rFonts w:hint="eastAsia" w:cs="Times New Roman" w:asciiTheme="minorEastAsia" w:hAnsiTheme="minorEastAsia" w:eastAsiaTheme="minorEastAsia"/>
          <w:b w:val="0"/>
          <w:bCs w:val="0"/>
          <w:snapToGrid/>
          <w:color w:val="auto"/>
          <w:kern w:val="2"/>
          <w:sz w:val="24"/>
          <w:szCs w:val="24"/>
          <w:highlight w:val="none"/>
        </w:rPr>
        <w:t>。</w:t>
      </w:r>
    </w:p>
    <w:p>
      <w:pPr>
        <w:pStyle w:val="16"/>
        <w:spacing w:line="360" w:lineRule="auto"/>
        <w:ind w:firstLine="480"/>
        <w:rPr>
          <w:rFonts w:asciiTheme="minorEastAsia" w:hAnsiTheme="minorEastAsia" w:eastAsiaTheme="minorEastAsia"/>
          <w:snapToGrid/>
          <w:color w:val="auto"/>
          <w:kern w:val="2"/>
          <w:sz w:val="24"/>
          <w:szCs w:val="24"/>
          <w:highlight w:val="none"/>
        </w:rPr>
      </w:pPr>
      <w:r>
        <w:rPr>
          <w:rFonts w:hint="eastAsia" w:hAnsi="宋体" w:cs="宋体"/>
          <w:b/>
          <w:bCs w:val="0"/>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rPr>
        <w:t>详见招标文件第三部分采购需求。</w:t>
      </w:r>
    </w:p>
    <w:p>
      <w:pPr>
        <w:pStyle w:val="16"/>
        <w:spacing w:line="360" w:lineRule="auto"/>
        <w:ind w:firstLine="480"/>
        <w:rPr>
          <w:rFonts w:hAnsi="宋体" w:cs="宋体"/>
          <w:b/>
          <w:color w:val="auto"/>
          <w:sz w:val="24"/>
          <w:highlight w:val="none"/>
        </w:rPr>
      </w:pPr>
      <w:r>
        <w:rPr>
          <w:rFonts w:hint="eastAsia" w:hAnsi="宋体" w:cs="宋体"/>
          <w:b/>
          <w:color w:val="auto"/>
          <w:sz w:val="24"/>
          <w:highlight w:val="none"/>
        </w:rPr>
        <w:t>合同履约期限：</w:t>
      </w:r>
      <w:r>
        <w:rPr>
          <w:rFonts w:hint="eastAsia" w:hAnsi="宋体" w:cs="宋体"/>
          <w:b w:val="0"/>
          <w:bCs/>
          <w:color w:val="auto"/>
          <w:sz w:val="24"/>
          <w:highlight w:val="none"/>
          <w:lang w:val="en-US" w:eastAsia="zh-CN"/>
        </w:rPr>
        <w:t>签订合同起</w:t>
      </w:r>
      <w:r>
        <w:rPr>
          <w:rFonts w:hint="eastAsia" w:hAnsi="宋体" w:cs="宋体"/>
          <w:bCs/>
          <w:color w:val="auto"/>
          <w:sz w:val="24"/>
          <w:highlight w:val="none"/>
          <w:lang w:val="en-US" w:eastAsia="zh-CN"/>
        </w:rPr>
        <w:t>9</w:t>
      </w:r>
      <w:r>
        <w:rPr>
          <w:rFonts w:hint="eastAsia" w:ascii="宋体" w:hAnsi="宋体" w:eastAsia="宋体" w:cs="宋体"/>
          <w:bCs/>
          <w:color w:val="auto"/>
          <w:sz w:val="24"/>
          <w:highlight w:val="none"/>
        </w:rPr>
        <w:t>个月内完成。</w:t>
      </w:r>
    </w:p>
    <w:p>
      <w:pPr>
        <w:pStyle w:val="1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Segoe UI Symbol"/>
              <w:color w:val="auto"/>
              <w:kern w:val="0"/>
              <w:sz w:val="24"/>
              <w:highlight w:val="none"/>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szCs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566211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w:t>
      </w:r>
      <w:bookmarkStart w:id="523" w:name="_GoBack"/>
      <w:bookmarkEnd w:id="523"/>
      <w:r>
        <w:rPr>
          <w:rFonts w:hint="eastAsia" w:ascii="宋体" w:hAnsi="宋体" w:cs="宋体"/>
          <w:color w:val="auto"/>
          <w:spacing w:val="8"/>
          <w:kern w:val="0"/>
          <w:sz w:val="24"/>
          <w:highlight w:val="none"/>
        </w:rPr>
        <w:t>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日14点00分00秒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日14点00分00秒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五、采购意向公开链接</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https://zfcg.czt.zj.gov.cn/site/detail?categoryCode=ZcyAnnouncement&amp;parentId=600007&amp;articleId=+BsPIoniFu0E2H2M3doxnw==&amp;utm=site.site-PC-36449.972-pc-websitegroup-zhejiang-mainSearchPage-front.1.85f6fe00110511efb8a323fa01879855</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杭州市临平区市场监督管理局</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z w:val="24"/>
          <w:highlight w:val="none"/>
        </w:rPr>
        <w:t>杭州市临平区世纪大道928号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张斌</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rPr>
        <w:t>0571-8</w:t>
      </w:r>
      <w:r>
        <w:rPr>
          <w:rFonts w:hint="eastAsia" w:ascii="宋体" w:hAnsi="宋体" w:eastAsia="宋体" w:cs="宋体"/>
          <w:color w:val="auto"/>
          <w:sz w:val="24"/>
          <w:highlight w:val="none"/>
          <w:lang w:val="en-US" w:eastAsia="zh-CN"/>
        </w:rPr>
        <w:t>6329323</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质疑联系人：章</w:t>
      </w:r>
      <w:r>
        <w:rPr>
          <w:rFonts w:hint="eastAsia" w:ascii="宋体" w:hAnsi="宋体" w:cs="宋体"/>
          <w:color w:val="auto"/>
          <w:kern w:val="0"/>
          <w:sz w:val="24"/>
          <w:highlight w:val="none"/>
          <w:lang w:val="en-US" w:eastAsia="zh-CN"/>
        </w:rPr>
        <w:t>怡</w:t>
      </w:r>
      <w:r>
        <w:rPr>
          <w:rFonts w:hint="eastAsia" w:ascii="宋体" w:hAnsi="宋体" w:eastAsia="宋体" w:cs="宋体"/>
          <w:color w:val="auto"/>
          <w:kern w:val="0"/>
          <w:sz w:val="24"/>
          <w:highlight w:val="none"/>
        </w:rPr>
        <w:t xml:space="preserve"> </w:t>
      </w:r>
    </w:p>
    <w:p>
      <w:pPr>
        <w:spacing w:line="360" w:lineRule="auto"/>
        <w:ind w:left="480"/>
        <w:rPr>
          <w:rFonts w:hint="eastAsia" w:ascii="宋体" w:hAnsi="宋体" w:cs="宋体"/>
          <w:color w:val="auto"/>
          <w:sz w:val="24"/>
          <w:highlight w:val="none"/>
        </w:rPr>
      </w:pPr>
      <w:r>
        <w:rPr>
          <w:rFonts w:hint="eastAsia" w:ascii="宋体" w:hAnsi="宋体" w:eastAsia="宋体" w:cs="宋体"/>
          <w:color w:val="auto"/>
          <w:kern w:val="0"/>
          <w:sz w:val="24"/>
          <w:highlight w:val="none"/>
        </w:rPr>
        <w:t>质疑联系方式：0571-89530811</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名称：杭州中瑞招标代理有限公司</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地址：杭州市临平区南苑街道河南埭路108号临平新天地3号楼3楼</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项目联系人：金佳霖</w:t>
      </w:r>
      <w:r>
        <w:rPr>
          <w:rFonts w:hint="eastAsia" w:ascii="宋体" w:hAnsi="宋体" w:cs="宋体"/>
          <w:color w:val="auto"/>
          <w:sz w:val="24"/>
          <w:highlight w:val="none"/>
        </w:rPr>
        <w:tab/>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项目联系方式：0571-86111691</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质疑联系人：秦沙金</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 xml:space="preserve">质疑联系方式：0571-86111691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ind w:left="480"/>
        <w:rPr>
          <w:rFonts w:ascii="宋体" w:hAnsi="宋体" w:cs="宋体"/>
          <w:color w:val="auto"/>
          <w:sz w:val="24"/>
          <w:highlight w:val="none"/>
        </w:rPr>
      </w:pPr>
      <w:bookmarkStart w:id="11" w:name="_Toc76824065"/>
      <w:r>
        <w:rPr>
          <w:rFonts w:hint="eastAsia" w:ascii="宋体" w:hAnsi="宋体" w:cs="宋体"/>
          <w:color w:val="auto"/>
          <w:sz w:val="24"/>
          <w:highlight w:val="none"/>
        </w:rPr>
        <w:t>名称：杭州市</w:t>
      </w:r>
      <w:r>
        <w:rPr>
          <w:rFonts w:hint="eastAsia" w:ascii="宋体" w:hAnsi="宋体" w:cs="宋体"/>
          <w:color w:val="auto"/>
          <w:sz w:val="24"/>
          <w:highlight w:val="none"/>
          <w:lang w:val="en-US" w:eastAsia="zh-CN"/>
        </w:rPr>
        <w:t>临平</w:t>
      </w:r>
      <w:r>
        <w:rPr>
          <w:rFonts w:hint="eastAsia" w:ascii="宋体" w:hAnsi="宋体" w:cs="宋体"/>
          <w:color w:val="auto"/>
          <w:sz w:val="24"/>
          <w:highlight w:val="none"/>
        </w:rPr>
        <w:t>区财政局、浙江省政府采购行政裁决服务中心（杭州）</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地址：杭州市上城区四季青街道新业路市民之家G03办公室（快递仅限ems或顺丰）</w:t>
      </w:r>
    </w:p>
    <w:p>
      <w:pPr>
        <w:spacing w:line="360" w:lineRule="auto"/>
        <w:ind w:left="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联系人：朱女士、王女士</w:t>
      </w:r>
    </w:p>
    <w:p>
      <w:pPr>
        <w:spacing w:line="360" w:lineRule="auto"/>
        <w:ind w:left="480"/>
        <w:rPr>
          <w:rFonts w:ascii="宋体" w:hAnsi="宋体" w:cs="宋体"/>
          <w:color w:val="auto"/>
          <w:sz w:val="24"/>
          <w:highlight w:val="none"/>
        </w:rPr>
      </w:pPr>
      <w:r>
        <w:rPr>
          <w:rFonts w:hint="eastAsia" w:ascii="宋体" w:hAnsi="宋体" w:cs="宋体"/>
          <w:color w:val="auto"/>
          <w:sz w:val="24"/>
          <w:highlight w:val="none"/>
        </w:rPr>
        <w:t>监督投诉电话：0571-85252453</w:t>
      </w:r>
    </w:p>
    <w:bookmarkEnd w:id="11"/>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ind w:left="0" w:firstLine="0"/>
              <w:rPr>
                <w:rFonts w:ascii="宋体" w:hAnsi="宋体" w:eastAsia="宋体" w:cs="宋体"/>
                <w:color w:val="auto"/>
                <w:highlight w:val="none"/>
                <w:lang w:val="en-US"/>
              </w:rPr>
            </w:pPr>
            <w:r>
              <w:rPr>
                <w:rFonts w:hint="eastAsia" w:ascii="宋体" w:hAnsi="宋体" w:eastAsia="宋体"/>
                <w:color w:val="auto"/>
                <w:sz w:val="24"/>
                <w:highlight w:val="none"/>
              </w:rPr>
              <w:t>（1）标的：</w:t>
            </w:r>
            <w:r>
              <w:rPr>
                <w:rFonts w:hint="eastAsia" w:ascii="宋体" w:hAnsi="宋体" w:eastAsia="宋体"/>
                <w:color w:val="auto"/>
                <w:sz w:val="24"/>
                <w:highlight w:val="none"/>
                <w:lang w:eastAsia="zh-CN"/>
              </w:rPr>
              <w:t>涉网投诉举报件及数字化改革项目应用辅助处理服务外包项目</w:t>
            </w:r>
            <w:r>
              <w:rPr>
                <w:rFonts w:hint="eastAsia" w:ascii="宋体" w:hAnsi="宋体" w:eastAsia="宋体"/>
                <w:color w:val="auto"/>
                <w:sz w:val="24"/>
                <w:highlight w:val="none"/>
              </w:rPr>
              <w:t>，属于</w:t>
            </w:r>
            <w:r>
              <w:rPr>
                <w:rFonts w:hint="eastAsia" w:ascii="宋体" w:hAnsi="宋体" w:eastAsia="宋体" w:cs="仿宋"/>
                <w:color w:val="auto"/>
                <w:kern w:val="0"/>
                <w:sz w:val="24"/>
                <w:szCs w:val="20"/>
                <w:highlight w:val="none"/>
                <w:u w:val="single"/>
                <w:lang w:eastAsia="zh-CN"/>
              </w:rPr>
              <w:t>租赁与商务服务</w:t>
            </w:r>
            <w:r>
              <w:rPr>
                <w:rFonts w:hint="eastAsia" w:ascii="宋体" w:hAnsi="宋体" w:eastAsia="宋体" w:cs="仿宋"/>
                <w:color w:val="auto"/>
                <w:kern w:val="0"/>
                <w:sz w:val="24"/>
                <w:szCs w:val="20"/>
                <w:highlight w:val="none"/>
              </w:rPr>
              <w:t>行业；</w:t>
            </w:r>
            <w:r>
              <w:rPr>
                <w:rFonts w:hint="eastAsia" w:ascii="宋体" w:hAnsi="宋体" w:eastAsia="宋体"/>
                <w:color w:val="auto"/>
                <w:sz w:val="24"/>
                <w:highlight w:val="none"/>
              </w:rPr>
              <w:t>中小企业划</w:t>
            </w:r>
            <w:r>
              <w:rPr>
                <w:rFonts w:hint="eastAsia" w:ascii="宋体" w:hAnsi="宋体" w:eastAsia="宋体"/>
                <w:color w:val="auto"/>
                <w:sz w:val="24"/>
                <w:highlight w:val="none"/>
                <w:lang w:val="en-US" w:eastAsia="zh-CN"/>
              </w:rPr>
              <w:t>分</w:t>
            </w:r>
            <w:r>
              <w:rPr>
                <w:rFonts w:hint="eastAsia" w:ascii="宋体" w:hAnsi="宋体" w:eastAsia="宋体"/>
                <w:color w:val="auto"/>
                <w:sz w:val="24"/>
                <w:highlight w:val="none"/>
              </w:rPr>
              <w:t>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Ansi="宋体" w:cs="宋体"/>
                <w:bCs/>
                <w:color w:val="auto"/>
                <w:sz w:val="24"/>
                <w:szCs w:val="24"/>
                <w:highlight w:val="none"/>
              </w:rPr>
            </w:pPr>
            <w:r>
              <w:rPr>
                <w:rFonts w:hint="eastAsia" w:hAnsi="宋体" w:cs="宋体"/>
                <w:bCs/>
                <w:color w:val="auto"/>
                <w:sz w:val="24"/>
                <w:szCs w:val="24"/>
                <w:highlight w:val="none"/>
              </w:rPr>
              <w:t>备份投标文件送达地点：杭州市临平区南苑街道河南埭路108号临平新天地3号楼301室；</w:t>
            </w:r>
          </w:p>
          <w:p>
            <w:pPr>
              <w:pStyle w:val="36"/>
              <w:spacing w:line="360" w:lineRule="auto"/>
              <w:rPr>
                <w:rFonts w:hAnsi="宋体" w:cs="宋体"/>
                <w:color w:val="auto"/>
                <w:kern w:val="28"/>
                <w:sz w:val="24"/>
                <w:highlight w:val="none"/>
              </w:rPr>
            </w:pPr>
            <w:r>
              <w:rPr>
                <w:rFonts w:hint="eastAsia" w:hAnsi="宋体" w:cs="宋体"/>
                <w:bCs/>
                <w:color w:val="auto"/>
                <w:sz w:val="24"/>
                <w:szCs w:val="24"/>
                <w:highlight w:val="none"/>
              </w:rPr>
              <w:t>备份投标文件签收人员联系电话：金佳霖，0571-86111691。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1"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bCs/>
                <w:color w:val="auto"/>
                <w:sz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本项目的采购代理费由中标人支付；招标代理服务费</w:t>
            </w:r>
            <w:r>
              <w:rPr>
                <w:rFonts w:hint="eastAsia" w:ascii="宋体" w:hAnsi="宋体" w:cs="宋体"/>
                <w:snapToGrid w:val="0"/>
                <w:color w:val="auto"/>
                <w:kern w:val="28"/>
                <w:sz w:val="24"/>
                <w:highlight w:val="none"/>
                <w:lang w:val="en-US" w:eastAsia="zh-CN"/>
              </w:rPr>
              <w:t>参</w:t>
            </w:r>
            <w:r>
              <w:rPr>
                <w:rFonts w:hint="eastAsia" w:ascii="宋体" w:hAnsi="宋体" w:cs="宋体"/>
                <w:snapToGrid w:val="0"/>
                <w:color w:val="auto"/>
                <w:kern w:val="28"/>
                <w:sz w:val="24"/>
                <w:highlight w:val="none"/>
              </w:rPr>
              <w:t>照[2002]1980号、发改办价格[2003]857号规定收费，本项目招标代理服务费为人民币</w:t>
            </w:r>
            <w:r>
              <w:rPr>
                <w:rFonts w:hint="eastAsia" w:ascii="宋体" w:hAnsi="宋体" w:cs="宋体"/>
                <w:snapToGrid w:val="0"/>
                <w:color w:val="auto"/>
                <w:kern w:val="28"/>
                <w:sz w:val="24"/>
                <w:highlight w:val="none"/>
                <w:lang w:val="en-US" w:eastAsia="zh-CN"/>
              </w:rPr>
              <w:t>14900</w:t>
            </w:r>
            <w:r>
              <w:rPr>
                <w:rFonts w:hint="eastAsia" w:ascii="宋体" w:hAnsi="宋体" w:cs="宋体"/>
                <w:snapToGrid w:val="0"/>
                <w:color w:val="auto"/>
                <w:kern w:val="28"/>
                <w:sz w:val="24"/>
                <w:highlight w:val="none"/>
              </w:rPr>
              <w:t>元整。</w:t>
            </w:r>
          </w:p>
          <w:p>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中标服务费的交纳方式：以转帐或支票的形式支付，开户名：杭州中瑞招标代理有限公司；开户行名称：中国银行临平支行，帐号：</w:t>
            </w:r>
            <w:r>
              <w:rPr>
                <w:rFonts w:ascii="宋体" w:hAnsi="宋体" w:cs="宋体"/>
                <w:snapToGrid w:val="0"/>
                <w:color w:val="auto"/>
                <w:kern w:val="28"/>
                <w:sz w:val="24"/>
                <w:highlight w:val="none"/>
              </w:rPr>
              <w:t>364975499143</w:t>
            </w:r>
            <w:r>
              <w:rPr>
                <w:rFonts w:hint="eastAsia" w:ascii="宋体" w:hAnsi="宋体" w:cs="宋体"/>
                <w:snapToGrid w:val="0"/>
                <w:color w:val="auto"/>
                <w:kern w:val="28"/>
                <w:sz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bCs/>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pPr>
        <w:snapToGrid w:val="0"/>
        <w:spacing w:line="360" w:lineRule="auto"/>
        <w:jc w:val="center"/>
        <w:rPr>
          <w:rFonts w:ascii="宋体" w:hAnsi="宋体" w:cs="宋体"/>
          <w:b/>
          <w:color w:val="auto"/>
          <w:sz w:val="32"/>
          <w:szCs w:val="20"/>
          <w:highlight w:val="none"/>
        </w:rPr>
      </w:pPr>
    </w:p>
    <w:p>
      <w:pPr>
        <w:pStyle w:val="27"/>
        <w:ind w:firstLine="643"/>
        <w:rPr>
          <w:rFonts w:cs="宋体"/>
          <w:b/>
          <w:color w:val="auto"/>
          <w:sz w:val="32"/>
          <w:szCs w:val="20"/>
          <w:highlight w:val="none"/>
        </w:rPr>
      </w:pPr>
    </w:p>
    <w:p>
      <w:pPr>
        <w:pStyle w:val="63"/>
        <w:ind w:firstLine="643"/>
        <w:rPr>
          <w:rFonts w:cs="宋体"/>
          <w:b/>
          <w:color w:val="auto"/>
          <w:sz w:val="32"/>
          <w:szCs w:val="20"/>
          <w:highlight w:val="none"/>
        </w:rPr>
      </w:pPr>
    </w:p>
    <w:p>
      <w:pPr>
        <w:pStyle w:val="63"/>
        <w:ind w:firstLine="643"/>
        <w:rPr>
          <w:rFonts w:cs="宋体"/>
          <w:b/>
          <w:color w:val="auto"/>
          <w:sz w:val="32"/>
          <w:szCs w:val="20"/>
          <w:highlight w:val="none"/>
        </w:rPr>
      </w:pPr>
    </w:p>
    <w:p>
      <w:pPr>
        <w:pStyle w:val="63"/>
        <w:ind w:firstLine="643"/>
        <w:rPr>
          <w:rFonts w:cs="宋体"/>
          <w:b/>
          <w:color w:val="auto"/>
          <w:sz w:val="32"/>
          <w:szCs w:val="20"/>
          <w:highlight w:val="none"/>
        </w:rPr>
      </w:pPr>
    </w:p>
    <w:p>
      <w:pPr>
        <w:pStyle w:val="63"/>
        <w:ind w:firstLine="643"/>
        <w:rPr>
          <w:rFonts w:cs="宋体"/>
          <w:b/>
          <w:color w:val="auto"/>
          <w:sz w:val="32"/>
          <w:szCs w:val="20"/>
          <w:highlight w:val="none"/>
        </w:rPr>
      </w:pPr>
    </w:p>
    <w:p>
      <w:pPr>
        <w:pStyle w:val="63"/>
        <w:ind w:firstLine="643"/>
        <w:rPr>
          <w:rFonts w:cs="宋体"/>
          <w:b/>
          <w:color w:val="auto"/>
          <w:sz w:val="32"/>
          <w:szCs w:val="20"/>
          <w:highlight w:val="none"/>
        </w:rPr>
      </w:pPr>
    </w:p>
    <w:p>
      <w:pPr>
        <w:pStyle w:val="63"/>
        <w:ind w:firstLine="643"/>
        <w:rPr>
          <w:rFonts w:cs="宋体"/>
          <w:b/>
          <w:color w:val="auto"/>
          <w:sz w:val="32"/>
          <w:szCs w:val="20"/>
          <w:highlight w:val="none"/>
        </w:rPr>
      </w:pPr>
    </w:p>
    <w:p>
      <w:pPr>
        <w:pStyle w:val="63"/>
        <w:ind w:left="0" w:leftChars="0" w:firstLine="0" w:firstLineChars="0"/>
        <w:rPr>
          <w:rFonts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91"/>
        <w:spacing w:line="360" w:lineRule="auto"/>
        <w:ind w:firstLine="480" w:firstLineChars="200"/>
        <w:rPr>
          <w:color w:val="auto"/>
          <w:highlight w:val="none"/>
        </w:rPr>
      </w:pPr>
      <w:r>
        <w:rPr>
          <w:rFonts w:hint="eastAsia"/>
          <w:color w:val="auto"/>
          <w:highlight w:val="none"/>
        </w:rPr>
        <w:t>4.5 补偿救济</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3"/>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6"/>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8.开标前答疑会或现场考察</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spacing w:line="360" w:lineRule="auto"/>
        <w:ind w:firstLine="723" w:firstLineChars="300"/>
        <w:rPr>
          <w:b/>
          <w:bCs/>
          <w:color w:val="auto"/>
          <w:highlight w:val="none"/>
        </w:rPr>
      </w:pPr>
      <w:r>
        <w:rPr>
          <w:rFonts w:hint="eastAsia"/>
          <w:b/>
          <w:bCs/>
          <w:color w:val="auto"/>
          <w:sz w:val="24"/>
          <w:highlight w:val="none"/>
          <w:shd w:val="clear" w:color="auto" w:fill="FFFFFF"/>
        </w:rPr>
        <w:t>投标人应对投标文件中材料的真实性、合法性负责。</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12</w:t>
      </w:r>
      <w:r>
        <w:rPr>
          <w:rFonts w:hint="eastAsia" w:hAnsi="宋体" w:cs="宋体"/>
          <w:b/>
          <w:color w:val="auto"/>
          <w:sz w:val="24"/>
          <w:szCs w:val="24"/>
          <w:highlight w:val="none"/>
          <w:lang w:val="zh-CN"/>
        </w:rPr>
        <w:t xml:space="preserve">. </w:t>
      </w:r>
      <w:r>
        <w:rPr>
          <w:rFonts w:hint="eastAsia" w:hAnsi="宋体" w:cs="宋体"/>
          <w:b/>
          <w:color w:val="auto"/>
          <w:sz w:val="24"/>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w:t>
      </w:r>
      <w:r>
        <w:rPr>
          <w:rFonts w:hint="default" w:ascii="宋体" w:hAnsi="宋体" w:cs="宋体"/>
          <w:color w:val="auto"/>
          <w:highlight w:val="none"/>
          <w:lang w:val="en-US"/>
        </w:rPr>
        <w:t>署</w:t>
      </w:r>
      <w:r>
        <w:rPr>
          <w:rFonts w:hint="eastAsia" w:ascii="宋体" w:hAnsi="宋体" w:cs="宋体"/>
          <w:color w:val="auto"/>
          <w:highlight w:val="none"/>
          <w:lang w:val="en-US" w:eastAsia="zh-CN"/>
        </w:rPr>
        <w:t>、</w:t>
      </w:r>
      <w:r>
        <w:rPr>
          <w:rFonts w:hint="eastAsia" w:ascii="宋体" w:hAnsi="宋体" w:cs="宋体"/>
          <w:color w:val="auto"/>
          <w:highlight w:val="none"/>
        </w:rPr>
        <w:t>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643"/>
        <w:rPr>
          <w:rFonts w:ascii="宋体" w:hAnsi="宋体" w:cs="宋体"/>
          <w:b/>
          <w:color w:val="auto"/>
          <w:sz w:val="32"/>
          <w:highlight w:val="none"/>
        </w:rPr>
      </w:pPr>
    </w:p>
    <w:p>
      <w:pPr>
        <w:pStyle w:val="133"/>
        <w:spacing w:before="0"/>
        <w:ind w:firstLine="1928" w:firstLineChars="600"/>
        <w:outlineLvl w:val="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3"/>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3"/>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480"/>
        <w:rPr>
          <w:rFonts w:ascii="宋体" w:hAnsi="宋体" w:cs="宋体"/>
          <w:color w:val="auto"/>
          <w:highlight w:val="none"/>
        </w:rPr>
      </w:pPr>
    </w:p>
    <w:p>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firstLineChars="0"/>
        <w:rPr>
          <w:rFonts w:ascii="宋体" w:hAnsi="宋体" w:cs="宋体"/>
          <w:color w:val="auto"/>
          <w:kern w:val="0"/>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color w:val="auto"/>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pStyle w:val="133"/>
        <w:snapToGrid w:val="0"/>
        <w:spacing w:before="0"/>
        <w:ind w:firstLine="480"/>
        <w:rPr>
          <w:rStyle w:val="80"/>
          <w:color w:val="auto"/>
          <w:highlight w:val="none"/>
        </w:rPr>
      </w:pPr>
      <w:r>
        <w:rPr>
          <w:rFonts w:hint="eastAsia" w:ascii="宋体" w:hAnsi="宋体" w:cs="宋体"/>
          <w:bCs/>
          <w:color w:val="auto"/>
          <w:szCs w:val="24"/>
          <w:highlight w:val="none"/>
        </w:rPr>
        <w:t>23.4 由于中标、成交供应商原因导致重新采购的，中标</w:t>
      </w:r>
      <w:r>
        <w:rPr>
          <w:rFonts w:hint="eastAsia" w:ascii="宋体" w:hAnsi="宋体" w:cs="宋体"/>
          <w:bCs/>
          <w:color w:val="auto"/>
          <w:szCs w:val="24"/>
          <w:highlight w:val="none"/>
          <w:lang w:val="en-US" w:eastAsia="zh-CN"/>
        </w:rPr>
        <w:t>单位</w:t>
      </w:r>
      <w:r>
        <w:rPr>
          <w:rFonts w:hint="eastAsia" w:ascii="宋体" w:hAnsi="宋体" w:cs="宋体"/>
          <w:bCs/>
          <w:color w:val="auto"/>
          <w:szCs w:val="24"/>
          <w:highlight w:val="none"/>
        </w:rPr>
        <w:t>、成交供应商应当承担支付代理费和专家评审费等费用在内的赔偿责任。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0"/>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pPr>
        <w:pStyle w:val="27"/>
        <w:spacing w:line="360" w:lineRule="auto"/>
        <w:ind w:left="479" w:leftChars="228" w:firstLine="0" w:firstLineChars="0"/>
        <w:rPr>
          <w:rFonts w:cs="宋体"/>
          <w:color w:val="auto"/>
          <w:kern w:val="0"/>
          <w:highlight w:val="none"/>
        </w:rPr>
      </w:pPr>
      <w:r>
        <w:rPr>
          <w:rFonts w:hint="eastAsia" w:cs="宋体"/>
          <w:color w:val="auto"/>
          <w:kern w:val="0"/>
          <w:highlight w:val="none"/>
        </w:rPr>
        <w:t>本项目不收取履约保证金。</w:t>
      </w:r>
    </w:p>
    <w:p>
      <w:pPr>
        <w:pStyle w:val="27"/>
        <w:spacing w:line="360" w:lineRule="auto"/>
        <w:ind w:left="479" w:hanging="479" w:hangingChars="199"/>
        <w:rPr>
          <w:rFonts w:cs="宋体"/>
          <w:b/>
          <w:color w:val="auto"/>
          <w:highlight w:val="none"/>
        </w:rPr>
      </w:pPr>
      <w:r>
        <w:rPr>
          <w:rFonts w:hint="eastAsia" w:cs="宋体"/>
          <w:b/>
          <w:color w:val="auto"/>
          <w:highlight w:val="none"/>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jc w:val="center"/>
        <w:outlineLvl w:val="0"/>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0"/>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firstLine="480"/>
        <w:rPr>
          <w:rFonts w:ascii="宋体" w:hAnsi="宋体" w:cs="宋体"/>
          <w:color w:val="auto"/>
          <w:sz w:val="18"/>
          <w:szCs w:val="18"/>
          <w:highlight w:val="none"/>
        </w:rPr>
      </w:pPr>
    </w:p>
    <w:bookmarkEnd w:id="14"/>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5236011"/>
      <w:bookmarkEnd w:id="17"/>
      <w:bookmarkStart w:id="18" w:name="_Hlt68403820"/>
      <w:bookmarkEnd w:id="18"/>
      <w:bookmarkStart w:id="19" w:name="_Hlt74729768"/>
      <w:bookmarkEnd w:id="19"/>
      <w:bookmarkStart w:id="20" w:name="_Hlt75236101"/>
      <w:bookmarkEnd w:id="20"/>
      <w:bookmarkStart w:id="21" w:name="_Hlt74707468"/>
      <w:bookmarkEnd w:id="21"/>
      <w:bookmarkStart w:id="22" w:name="_Hlt74730295"/>
      <w:bookmarkEnd w:id="22"/>
      <w:bookmarkStart w:id="23" w:name="_Hlt68072998"/>
      <w:bookmarkEnd w:id="23"/>
      <w:bookmarkStart w:id="24" w:name="_Hlt74714665"/>
      <w:bookmarkEnd w:id="24"/>
      <w:bookmarkStart w:id="25" w:name="_Hlt75236290"/>
      <w:bookmarkEnd w:id="25"/>
      <w:bookmarkStart w:id="26" w:name="_Hlt68057669"/>
      <w:bookmarkEnd w:id="26"/>
      <w:bookmarkStart w:id="27" w:name="_Hlt68073093"/>
      <w:bookmarkEnd w:id="27"/>
    </w:p>
    <w:bookmarkEnd w:id="12"/>
    <w:bookmarkEnd w:id="13"/>
    <w:p>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pPr>
        <w:widowControl w:val="0"/>
        <w:wordWrap/>
        <w:adjustRightInd/>
        <w:snapToGri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采购需求中带“</w:t>
      </w:r>
      <w:r>
        <w:rPr>
          <w:rFonts w:hint="eastAsia" w:ascii="宋体" w:hAnsi="宋体" w:eastAsia="宋体" w:cs="宋体"/>
          <w:sz w:val="24"/>
          <w:szCs w:val="24"/>
          <w:highlight w:val="none"/>
        </w:rPr>
        <w:t>▲</w:t>
      </w:r>
      <w:r>
        <w:rPr>
          <w:rFonts w:hint="eastAsia" w:ascii="宋体" w:hAnsi="宋体" w:eastAsia="宋体" w:cs="宋体"/>
          <w:b/>
          <w:color w:val="000000"/>
          <w:sz w:val="24"/>
          <w:szCs w:val="24"/>
          <w:highlight w:val="none"/>
        </w:rPr>
        <w:t>”条款为实质性内容，投标人须在投标文件中提供《符合性审查资料》（格式见第</w:t>
      </w:r>
      <w:r>
        <w:rPr>
          <w:rFonts w:hint="eastAsia" w:ascii="宋体" w:hAnsi="宋体" w:eastAsia="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部分  应提交的有关格式范例），如有任意一条未响应或不满足，将被视为无效。</w:t>
      </w:r>
    </w:p>
    <w:p>
      <w:pPr>
        <w:widowControl w:val="0"/>
        <w:numPr>
          <w:ilvl w:val="0"/>
          <w:numId w:val="0"/>
        </w:numPr>
        <w:wordWrap/>
        <w:adjustRightInd/>
        <w:snapToGrid/>
        <w:spacing w:line="360" w:lineRule="auto"/>
        <w:textAlignment w:val="auto"/>
        <w:rPr>
          <w:rFonts w:hint="eastAsia" w:ascii="宋体" w:hAnsi="宋体" w:eastAsia="宋体" w:cs="宋体"/>
          <w:b/>
          <w:bCs/>
          <w:sz w:val="24"/>
          <w:szCs w:val="24"/>
          <w:highlight w:val="none"/>
          <w:lang w:eastAsia="zh-CN"/>
        </w:rPr>
      </w:pPr>
      <w:bookmarkStart w:id="29" w:name="_Toc135212467"/>
      <w:bookmarkStart w:id="30" w:name="_Toc33335632"/>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项目概况</w:t>
      </w:r>
      <w:r>
        <w:rPr>
          <w:rFonts w:hint="eastAsia" w:ascii="宋体" w:hAnsi="宋体" w:eastAsia="宋体" w:cs="宋体"/>
          <w:b/>
          <w:bCs/>
          <w:sz w:val="24"/>
          <w:szCs w:val="24"/>
          <w:highlight w:val="none"/>
          <w:lang w:eastAsia="zh-CN"/>
        </w:rPr>
        <w:t>：</w:t>
      </w:r>
    </w:p>
    <w:bookmarkEnd w:id="29"/>
    <w:bookmarkEnd w:id="30"/>
    <w:p>
      <w:pPr>
        <w:widowControl w:val="0"/>
        <w:numPr>
          <w:ilvl w:val="0"/>
          <w:numId w:val="0"/>
        </w:numPr>
        <w:wordWrap/>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bookmarkStart w:id="31" w:name="_Toc135212471"/>
      <w:bookmarkStart w:id="32" w:name="_Toc33335636"/>
      <w:r>
        <w:rPr>
          <w:rFonts w:hint="eastAsia" w:ascii="宋体" w:hAnsi="宋体" w:eastAsia="宋体" w:cs="宋体"/>
          <w:b w:val="0"/>
          <w:bCs w:val="0"/>
          <w:sz w:val="24"/>
          <w:szCs w:val="24"/>
          <w:highlight w:val="none"/>
          <w:lang w:val="en-US" w:eastAsia="zh-CN"/>
        </w:rPr>
        <w:t>随着互联网经济的高速发展，网络交易及其引起的消费投诉举报事件呈几何级增加，临平</w:t>
      </w:r>
      <w:r>
        <w:rPr>
          <w:rFonts w:hint="eastAsia" w:ascii="宋体" w:hAnsi="宋体" w:cs="宋体"/>
          <w:b w:val="0"/>
          <w:bCs w:val="0"/>
          <w:sz w:val="24"/>
          <w:szCs w:val="24"/>
          <w:highlight w:val="none"/>
          <w:lang w:val="en-US" w:eastAsia="zh-CN"/>
        </w:rPr>
        <w:t>区电商产业集聚</w:t>
      </w:r>
      <w:r>
        <w:rPr>
          <w:rFonts w:hint="eastAsia" w:ascii="宋体" w:hAnsi="宋体" w:eastAsia="宋体" w:cs="宋体"/>
          <w:b w:val="0"/>
          <w:bCs w:val="0"/>
          <w:sz w:val="24"/>
          <w:szCs w:val="24"/>
          <w:highlight w:val="none"/>
          <w:lang w:val="en-US" w:eastAsia="zh-CN"/>
        </w:rPr>
        <w:t>，每年承担十分巨大的工作量。鉴于“互联网+”环境下，临平区市场监督管理局为</w:t>
      </w:r>
      <w:r>
        <w:rPr>
          <w:rFonts w:hint="eastAsia" w:ascii="宋体" w:hAnsi="宋体" w:cs="宋体"/>
          <w:b w:val="0"/>
          <w:bCs w:val="0"/>
          <w:sz w:val="24"/>
          <w:szCs w:val="24"/>
          <w:highlight w:val="none"/>
          <w:lang w:val="en-US" w:eastAsia="zh-CN"/>
        </w:rPr>
        <w:t>推进网络数字化</w:t>
      </w:r>
      <w:r>
        <w:rPr>
          <w:rFonts w:hint="eastAsia" w:ascii="宋体" w:hAnsi="宋体" w:eastAsia="宋体" w:cs="宋体"/>
          <w:b w:val="0"/>
          <w:bCs w:val="0"/>
          <w:sz w:val="24"/>
          <w:szCs w:val="24"/>
          <w:highlight w:val="none"/>
          <w:lang w:val="en-US" w:eastAsia="zh-CN"/>
        </w:rPr>
        <w:t>应用工作顺利开展，加快实现信息化管理，</w:t>
      </w:r>
      <w:r>
        <w:rPr>
          <w:rFonts w:hint="eastAsia" w:ascii="宋体" w:hAnsi="宋体" w:cs="宋体"/>
          <w:b w:val="0"/>
          <w:bCs w:val="0"/>
          <w:sz w:val="24"/>
          <w:szCs w:val="24"/>
          <w:highlight w:val="none"/>
          <w:lang w:val="en-US" w:eastAsia="zh-CN"/>
        </w:rPr>
        <w:t>提升工作效能，</w:t>
      </w:r>
      <w:r>
        <w:rPr>
          <w:rFonts w:hint="eastAsia" w:ascii="宋体" w:hAnsi="宋体" w:eastAsia="宋体" w:cs="宋体"/>
          <w:b w:val="0"/>
          <w:bCs w:val="0"/>
          <w:sz w:val="24"/>
          <w:szCs w:val="24"/>
          <w:highlight w:val="none"/>
          <w:lang w:val="en-US" w:eastAsia="zh-CN"/>
        </w:rPr>
        <w:t>现拟将</w:t>
      </w:r>
      <w:r>
        <w:rPr>
          <w:rFonts w:hint="eastAsia" w:ascii="宋体" w:hAnsi="宋体" w:cs="宋体"/>
          <w:b w:val="0"/>
          <w:bCs w:val="0"/>
          <w:sz w:val="24"/>
          <w:szCs w:val="24"/>
          <w:highlight w:val="none"/>
          <w:lang w:val="en-US" w:eastAsia="zh-CN"/>
        </w:rPr>
        <w:t>临平市场监管</w:t>
      </w:r>
      <w:r>
        <w:rPr>
          <w:rFonts w:hint="eastAsia" w:ascii="宋体" w:hAnsi="宋体" w:eastAsia="宋体" w:cs="宋体"/>
          <w:b w:val="0"/>
          <w:bCs w:val="0"/>
          <w:sz w:val="24"/>
          <w:szCs w:val="24"/>
          <w:highlight w:val="none"/>
          <w:lang w:val="en-US" w:eastAsia="zh-CN"/>
        </w:rPr>
        <w:t>局的“网络投诉举报、定向监测、案件处理、投诉举报处理等”进行服务外包。</w:t>
      </w:r>
    </w:p>
    <w:p>
      <w:pPr>
        <w:widowControl w:val="0"/>
        <w:numPr>
          <w:ilvl w:val="0"/>
          <w:numId w:val="0"/>
        </w:numPr>
        <w:wordWrap/>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二、采购内容：</w:t>
      </w:r>
    </w:p>
    <w:p>
      <w:pPr>
        <w:pStyle w:val="974"/>
        <w:spacing w:line="360" w:lineRule="auto"/>
        <w:ind w:left="0"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  （一）、采购内容：涉网投诉举报件及数字化改革项目应用辅助处理服务。</w:t>
      </w:r>
    </w:p>
    <w:p>
      <w:pPr>
        <w:pStyle w:val="974"/>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（二）、服务项目内容：</w:t>
      </w:r>
    </w:p>
    <w:tbl>
      <w:tblPr>
        <w:tblStyle w:val="65"/>
        <w:tblW w:w="6317" w:type="dxa"/>
        <w:tblInd w:w="9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17" w:type="dxa"/>
            <w:vAlign w:val="center"/>
          </w:tcPr>
          <w:p>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序号</w:t>
            </w:r>
          </w:p>
        </w:tc>
        <w:tc>
          <w:tcPr>
            <w:tcW w:w="5300" w:type="dxa"/>
            <w:vAlign w:val="center"/>
          </w:tcPr>
          <w:p>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服务项目内容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17" w:type="dxa"/>
            <w:vAlign w:val="center"/>
          </w:tcPr>
          <w:p>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w:t>
            </w:r>
          </w:p>
        </w:tc>
        <w:tc>
          <w:tcPr>
            <w:tcW w:w="5300" w:type="dxa"/>
            <w:vAlign w:val="center"/>
          </w:tcPr>
          <w:p>
            <w:pPr>
              <w:widowControl w:val="0"/>
              <w:wordWrap/>
              <w:adjustRightInd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投诉举报</w:t>
            </w:r>
            <w:r>
              <w:rPr>
                <w:rFonts w:hint="eastAsia" w:ascii="宋体" w:hAnsi="宋体" w:cs="宋体"/>
                <w:sz w:val="24"/>
                <w:szCs w:val="24"/>
                <w:highlight w:val="none"/>
                <w:lang w:val="en-US" w:eastAsia="zh-CN"/>
              </w:rPr>
              <w:t>件</w:t>
            </w:r>
            <w:r>
              <w:rPr>
                <w:rFonts w:hint="eastAsia" w:ascii="宋体" w:hAnsi="宋体" w:eastAsia="宋体" w:cs="宋体"/>
                <w:sz w:val="24"/>
                <w:szCs w:val="24"/>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17" w:type="dxa"/>
            <w:vAlign w:val="center"/>
          </w:tcPr>
          <w:p>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tc>
        <w:tc>
          <w:tcPr>
            <w:tcW w:w="5300" w:type="dxa"/>
            <w:vAlign w:val="center"/>
          </w:tcPr>
          <w:p>
            <w:pPr>
              <w:widowControl w:val="0"/>
              <w:wordWrap/>
              <w:adjustRightInd w:val="0"/>
              <w:snapToGrid/>
              <w:spacing w:line="360" w:lineRule="auto"/>
              <w:jc w:val="center"/>
              <w:textAlignment w:val="auto"/>
              <w:rPr>
                <w:rFonts w:hint="eastAsia" w:ascii="宋体" w:hAnsi="宋体" w:eastAsia="宋体" w:cs="宋体"/>
                <w:kern w:val="0"/>
                <w:sz w:val="24"/>
                <w:szCs w:val="24"/>
                <w:highlight w:val="none"/>
                <w:lang w:val="zh-CN" w:eastAsia="zh-CN" w:bidi="ar-SA"/>
              </w:rPr>
            </w:pPr>
            <w:r>
              <w:rPr>
                <w:rFonts w:hint="eastAsia" w:ascii="宋体" w:hAnsi="宋体" w:eastAsia="宋体" w:cs="宋体"/>
                <w:sz w:val="24"/>
                <w:szCs w:val="24"/>
                <w:highlight w:val="none"/>
              </w:rPr>
              <w:t>电话</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rPr>
              <w:t>网上投诉件的辅助处理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17" w:type="dxa"/>
            <w:vAlign w:val="center"/>
          </w:tcPr>
          <w:p>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p>
        </w:tc>
        <w:tc>
          <w:tcPr>
            <w:tcW w:w="5300" w:type="dxa"/>
            <w:vAlign w:val="center"/>
          </w:tcPr>
          <w:p>
            <w:pPr>
              <w:widowControl w:val="0"/>
              <w:wordWrap/>
              <w:adjustRightInd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电话接听、登记、咨询、受理工作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17" w:type="dxa"/>
            <w:vAlign w:val="center"/>
          </w:tcPr>
          <w:p>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p>
        </w:tc>
        <w:tc>
          <w:tcPr>
            <w:tcW w:w="5300" w:type="dxa"/>
            <w:vAlign w:val="center"/>
          </w:tcPr>
          <w:p>
            <w:pPr>
              <w:widowControl w:val="0"/>
              <w:wordWrap/>
              <w:adjustRightInd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数据统计分析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17" w:type="dxa"/>
            <w:vAlign w:val="center"/>
          </w:tcPr>
          <w:p>
            <w:pPr>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w:t>
            </w:r>
          </w:p>
        </w:tc>
        <w:tc>
          <w:tcPr>
            <w:tcW w:w="5300" w:type="dxa"/>
            <w:vAlign w:val="center"/>
          </w:tcPr>
          <w:p>
            <w:pPr>
              <w:widowControl w:val="0"/>
              <w:wordWrap/>
              <w:adjustRightInd w:val="0"/>
              <w:snapToGrid/>
              <w:spacing w:line="360" w:lineRule="auto"/>
              <w:jc w:val="center"/>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网络定向监测</w:t>
            </w:r>
            <w:r>
              <w:rPr>
                <w:rFonts w:hint="eastAsia" w:ascii="宋体" w:hAnsi="宋体" w:eastAsia="宋体" w:cs="宋体"/>
                <w:sz w:val="24"/>
                <w:szCs w:val="24"/>
                <w:highlight w:val="none"/>
                <w:lang w:val="en-US" w:eastAsia="zh-CN"/>
              </w:rPr>
              <w:t>处理</w:t>
            </w:r>
          </w:p>
        </w:tc>
      </w:tr>
    </w:tbl>
    <w:p>
      <w:pPr>
        <w:pStyle w:val="974"/>
        <w:widowControl w:val="0"/>
        <w:wordWrap/>
        <w:adjustRightInd/>
        <w:snapToGrid/>
        <w:spacing w:before="0" w:line="360" w:lineRule="auto"/>
        <w:ind w:left="0" w:leftChars="0" w:right="0"/>
        <w:jc w:val="both"/>
        <w:textAlignment w:val="auto"/>
        <w:outlineLvl w:val="9"/>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（三）、预算金额及最高限价：预算金额：82.5万元，包括薪资待遇、奖金配套、办公经费、办公设备、培训费、验收等相关费用，以及政策性文件规定及合同包含的所有风险、责任等各项费用。</w:t>
      </w:r>
    </w:p>
    <w:p>
      <w:pPr>
        <w:widowControl w:val="0"/>
        <w:numPr>
          <w:ilvl w:val="0"/>
          <w:numId w:val="0"/>
        </w:numPr>
        <w:wordWrap/>
        <w:adjustRightInd/>
        <w:snapToGrid/>
        <w:spacing w:line="360" w:lineRule="auto"/>
        <w:textAlignment w:val="auto"/>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eastAsia="zh-CN"/>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val="zh-CN" w:eastAsia="zh-CN"/>
        </w:rPr>
        <w:t>、服务外包内容</w:t>
      </w:r>
      <w:r>
        <w:rPr>
          <w:rFonts w:hint="eastAsia" w:ascii="宋体" w:hAnsi="宋体" w:eastAsia="宋体" w:cs="宋体"/>
          <w:b/>
          <w:bCs/>
          <w:sz w:val="24"/>
          <w:szCs w:val="24"/>
          <w:highlight w:val="none"/>
          <w:lang w:eastAsia="zh-CN"/>
        </w:rPr>
        <w:t>：</w:t>
      </w:r>
    </w:p>
    <w:p>
      <w:pPr>
        <w:widowControl w:val="0"/>
        <w:numPr>
          <w:ilvl w:val="0"/>
          <w:numId w:val="2"/>
        </w:numPr>
        <w:wordWrap/>
        <w:adjustRightInd/>
        <w:snapToGrid/>
        <w:spacing w:line="360" w:lineRule="auto"/>
        <w:ind w:left="0" w:leftChars="0" w:firstLine="420" w:firstLine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kern w:val="0"/>
          <w:sz w:val="24"/>
          <w:szCs w:val="24"/>
          <w:highlight w:val="none"/>
          <w:lang w:val="en-US" w:eastAsia="zh-CN" w:bidi="ar-SA"/>
        </w:rPr>
        <w:t>、投诉举报件记录、受理、分流及后续的整理、归档工作（主要是网络投诉举报件辅助处理）。主要是处理网络投</w:t>
      </w:r>
      <w:r>
        <w:rPr>
          <w:rFonts w:hint="eastAsia" w:ascii="宋体" w:hAnsi="宋体" w:eastAsia="宋体" w:cs="宋体"/>
          <w:b w:val="0"/>
          <w:bCs w:val="0"/>
          <w:sz w:val="24"/>
          <w:szCs w:val="24"/>
          <w:highlight w:val="none"/>
          <w:lang w:val="en-US" w:eastAsia="zh-CN"/>
        </w:rPr>
        <w:t>诉举报有关的来信来函记录、受理、分流、处理及后续的整理、归档工作，具体包括网络书式信访件的信件分类、信息登记、扫描存档、系统录入、协查/信息交换、分流交办、告知、移送（举报）、寄递、反馈及后续处理、整理归档工作；</w:t>
      </w:r>
    </w:p>
    <w:p>
      <w:pPr>
        <w:widowControl w:val="0"/>
        <w:numPr>
          <w:ilvl w:val="0"/>
          <w:numId w:val="0"/>
        </w:numPr>
        <w:wordWrap/>
        <w:adjustRightInd/>
        <w:snapToGrid/>
        <w:spacing w:line="360" w:lineRule="auto"/>
        <w:ind w:leftChars="0"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其他各类电话或信件的网上分流、协查/信息交换、分流交办、告知、移送（举报）、寄递、反馈后续处理、整理归档工作；</w:t>
      </w:r>
    </w:p>
    <w:p>
      <w:pPr>
        <w:widowControl w:val="0"/>
        <w:numPr>
          <w:ilvl w:val="0"/>
          <w:numId w:val="2"/>
        </w:numPr>
        <w:wordWrap/>
        <w:adjustRightInd/>
        <w:snapToGrid/>
        <w:spacing w:line="360" w:lineRule="auto"/>
        <w:ind w:left="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、直接从事电话接听、登记、受理等工作。包括消费投诉举报</w:t>
      </w:r>
      <w:r>
        <w:rPr>
          <w:rFonts w:hint="eastAsia" w:ascii="宋体" w:hAnsi="宋体" w:eastAsia="宋体" w:cs="宋体"/>
          <w:b w:val="0"/>
          <w:bCs w:val="0"/>
          <w:sz w:val="24"/>
          <w:szCs w:val="24"/>
          <w:highlight w:val="none"/>
          <w:lang w:val="en-US" w:eastAsia="zh-CN"/>
        </w:rPr>
        <w:t>热线、值班室应急电话接听、登记、咨询，来人和各网络渠道投诉件的登记录入、受理和咨询；接听全国各地网络投诉举报人员咨询</w:t>
      </w:r>
      <w:r>
        <w:rPr>
          <w:rFonts w:hint="eastAsia" w:ascii="宋体" w:hAnsi="宋体" w:eastAsia="宋体" w:cs="宋体"/>
          <w:sz w:val="24"/>
          <w:szCs w:val="24"/>
          <w:highlight w:val="none"/>
        </w:rPr>
        <w:t>受理情况、处理进度、处理结果等具体内容，接听全国各地有关部门来电查询网络案件有关事项；</w:t>
      </w:r>
    </w:p>
    <w:p>
      <w:pPr>
        <w:widowControl w:val="0"/>
        <w:numPr>
          <w:ilvl w:val="0"/>
          <w:numId w:val="2"/>
        </w:numPr>
        <w:wordWrap/>
        <w:adjustRightInd/>
        <w:snapToGrid/>
        <w:spacing w:line="360" w:lineRule="auto"/>
        <w:ind w:left="0" w:leftChars="0" w:firstLine="42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投标人应根据本项目采购需求提供符合工作流程的软件，具有网络书式投诉举报件信息接收、任务分发、案件整理功能，资料扫描、图像处理功能，与第三方平台数据往来交换接收处理功能，各类/移交/告知（含短信告知）文书辅助处理功能，案件归档、虚拟库房管理等。</w:t>
      </w:r>
    </w:p>
    <w:p>
      <w:pPr>
        <w:widowControl w:val="0"/>
        <w:numPr>
          <w:ilvl w:val="0"/>
          <w:numId w:val="0"/>
        </w:numPr>
        <w:wordWrap/>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▲四、服务外包具体要求：</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（一）、涉及网络交易案件的辅助处理：</w:t>
      </w:r>
    </w:p>
    <w:p>
      <w:p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1、网络书式投诉举报件信息登记、扫描存档、系统录入、信件分类、信件分流交办等，数量</w:t>
      </w:r>
      <w:r>
        <w:rPr>
          <w:rFonts w:hint="eastAsia" w:ascii="宋体" w:hAnsi="宋体" w:eastAsia="宋体" w:cs="宋体"/>
          <w:b w:val="0"/>
          <w:bCs w:val="0"/>
          <w:kern w:val="2"/>
          <w:sz w:val="24"/>
          <w:szCs w:val="24"/>
          <w:highlight w:val="none"/>
          <w:lang w:val="en-US" w:eastAsia="zh-CN" w:bidi="ar-SA"/>
        </w:rPr>
        <w:t>合计</w:t>
      </w:r>
      <w:r>
        <w:rPr>
          <w:rFonts w:hint="eastAsia" w:ascii="宋体" w:hAnsi="宋体" w:cs="宋体"/>
          <w:b w:val="0"/>
          <w:bCs w:val="0"/>
          <w:kern w:val="2"/>
          <w:sz w:val="24"/>
          <w:szCs w:val="24"/>
          <w:highlight w:val="none"/>
          <w:lang w:val="en-US" w:eastAsia="zh-CN" w:bidi="ar-SA"/>
        </w:rPr>
        <w:t>70</w:t>
      </w:r>
      <w:r>
        <w:rPr>
          <w:rFonts w:hint="eastAsia" w:ascii="宋体" w:hAnsi="宋体" w:eastAsia="宋体" w:cs="宋体"/>
          <w:b w:val="0"/>
          <w:bCs w:val="0"/>
          <w:kern w:val="2"/>
          <w:sz w:val="24"/>
          <w:szCs w:val="24"/>
          <w:highlight w:val="none"/>
          <w:lang w:val="en-US" w:eastAsia="zh-CN" w:bidi="ar-SA"/>
        </w:rPr>
        <w:t>0条。</w:t>
      </w:r>
    </w:p>
    <w:p>
      <w:pPr>
        <w:spacing w:line="360" w:lineRule="auto"/>
        <w:ind w:firstLine="480" w:firstLineChars="200"/>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sz w:val="24"/>
          <w:szCs w:val="24"/>
          <w:highlight w:val="none"/>
          <w:lang w:val="en-US" w:eastAsia="zh-CN"/>
        </w:rPr>
        <w:t>2、外地/本地案件协查、与网络交易平台数据往来交换接收</w:t>
      </w:r>
      <w:r>
        <w:rPr>
          <w:rFonts w:hint="eastAsia" w:ascii="宋体" w:hAnsi="宋体" w:eastAsia="宋体" w:cs="宋体"/>
          <w:b w:val="0"/>
          <w:bCs w:val="0"/>
          <w:kern w:val="2"/>
          <w:sz w:val="24"/>
          <w:szCs w:val="24"/>
          <w:highlight w:val="none"/>
          <w:lang w:val="en-US" w:eastAsia="zh-CN" w:bidi="ar-SA"/>
        </w:rPr>
        <w:t>处理，数量合计共</w:t>
      </w:r>
      <w:r>
        <w:rPr>
          <w:rFonts w:hint="eastAsia" w:ascii="宋体" w:hAnsi="宋体" w:cs="宋体"/>
          <w:b w:val="0"/>
          <w:bCs w:val="0"/>
          <w:kern w:val="2"/>
          <w:sz w:val="24"/>
          <w:szCs w:val="24"/>
          <w:highlight w:val="none"/>
          <w:lang w:val="en-US" w:eastAsia="zh-CN" w:bidi="ar-SA"/>
        </w:rPr>
        <w:t>40</w:t>
      </w:r>
      <w:r>
        <w:rPr>
          <w:rFonts w:hint="eastAsia" w:ascii="宋体" w:hAnsi="宋体" w:eastAsia="宋体" w:cs="宋体"/>
          <w:b w:val="0"/>
          <w:bCs w:val="0"/>
          <w:kern w:val="2"/>
          <w:sz w:val="24"/>
          <w:szCs w:val="24"/>
          <w:highlight w:val="none"/>
          <w:lang w:val="en-US" w:eastAsia="zh-CN" w:bidi="ar-SA"/>
        </w:rPr>
        <w:t>0条。</w:t>
      </w:r>
    </w:p>
    <w:p>
      <w:p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3、各类移送/移交/告知（含短信告知）文书辅助处理</w:t>
      </w:r>
      <w:r>
        <w:rPr>
          <w:rFonts w:hint="eastAsia" w:ascii="宋体" w:hAnsi="宋体" w:eastAsia="宋体" w:cs="宋体"/>
          <w:b w:val="0"/>
          <w:bCs w:val="0"/>
          <w:kern w:val="2"/>
          <w:sz w:val="24"/>
          <w:szCs w:val="24"/>
          <w:highlight w:val="none"/>
          <w:lang w:val="en-US" w:eastAsia="zh-CN" w:bidi="ar-SA"/>
        </w:rPr>
        <w:t>，全年共计</w:t>
      </w:r>
      <w:r>
        <w:rPr>
          <w:rFonts w:hint="eastAsia" w:ascii="宋体" w:hAnsi="宋体" w:cs="宋体"/>
          <w:b w:val="0"/>
          <w:bCs w:val="0"/>
          <w:kern w:val="2"/>
          <w:sz w:val="24"/>
          <w:szCs w:val="24"/>
          <w:highlight w:val="none"/>
          <w:lang w:val="en-US" w:eastAsia="zh-CN" w:bidi="ar-SA"/>
        </w:rPr>
        <w:t>7</w:t>
      </w:r>
      <w:r>
        <w:rPr>
          <w:rFonts w:hint="eastAsia" w:ascii="宋体" w:hAnsi="宋体" w:eastAsia="宋体" w:cs="宋体"/>
          <w:b w:val="0"/>
          <w:bCs w:val="0"/>
          <w:kern w:val="2"/>
          <w:sz w:val="24"/>
          <w:szCs w:val="24"/>
          <w:highlight w:val="none"/>
          <w:lang w:val="en-US" w:eastAsia="zh-CN" w:bidi="ar-SA"/>
        </w:rPr>
        <w:t>00条。</w:t>
      </w:r>
    </w:p>
    <w:p>
      <w:pPr>
        <w:spacing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4、各类退函/反馈件后续辅助处理，共计</w:t>
      </w:r>
      <w:r>
        <w:rPr>
          <w:rFonts w:hint="eastAsia" w:ascii="宋体" w:hAnsi="宋体" w:cs="宋体"/>
          <w:b w:val="0"/>
          <w:bCs w:val="0"/>
          <w:kern w:val="2"/>
          <w:sz w:val="24"/>
          <w:szCs w:val="24"/>
          <w:highlight w:val="none"/>
          <w:lang w:val="en-US" w:eastAsia="zh-CN" w:bidi="ar-SA"/>
        </w:rPr>
        <w:t>7</w:t>
      </w:r>
      <w:r>
        <w:rPr>
          <w:rFonts w:hint="eastAsia" w:ascii="宋体" w:hAnsi="宋体" w:eastAsia="宋体" w:cs="宋体"/>
          <w:b w:val="0"/>
          <w:bCs w:val="0"/>
          <w:kern w:val="2"/>
          <w:sz w:val="24"/>
          <w:szCs w:val="24"/>
          <w:highlight w:val="none"/>
          <w:lang w:val="en-US" w:eastAsia="zh-CN" w:bidi="ar-SA"/>
        </w:rPr>
        <w:t>0件。</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5、各类行政救济途径（效能投诉、行政复议诉讼、信息公开等）辅助处理：材料收集、情况分析、数据统计等；</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6、各类书面文书材料寄递；</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7、各类书面材料/数据资料整理归档，全年共计</w:t>
      </w:r>
      <w:r>
        <w:rPr>
          <w:rFonts w:hint="eastAsia" w:ascii="宋体"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00条。</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综上，投诉举报涉网案件需完成</w:t>
      </w:r>
      <w:r>
        <w:rPr>
          <w:rFonts w:hint="eastAsia" w:ascii="宋体" w:hAnsi="宋体" w:cs="宋体"/>
          <w:b w:val="0"/>
          <w:bCs w:val="0"/>
          <w:sz w:val="24"/>
          <w:szCs w:val="24"/>
          <w:highlight w:val="none"/>
          <w:lang w:val="en-US" w:eastAsia="zh-CN"/>
        </w:rPr>
        <w:t>2570</w:t>
      </w:r>
      <w:r>
        <w:rPr>
          <w:rFonts w:hint="eastAsia" w:ascii="宋体" w:hAnsi="宋体" w:eastAsia="宋体" w:cs="宋体"/>
          <w:b w:val="0"/>
          <w:bCs w:val="0"/>
          <w:sz w:val="24"/>
          <w:szCs w:val="24"/>
          <w:highlight w:val="none"/>
          <w:lang w:val="en-US" w:eastAsia="zh-CN"/>
        </w:rPr>
        <w:t>件，上下浮动30%。</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（二）、各类电话或网上投诉</w:t>
      </w:r>
      <w:r>
        <w:rPr>
          <w:rFonts w:hint="eastAsia" w:ascii="宋体" w:hAnsi="宋体" w:cs="宋体"/>
          <w:b w:val="0"/>
          <w:bCs w:val="0"/>
          <w:sz w:val="24"/>
          <w:szCs w:val="24"/>
          <w:highlight w:val="none"/>
          <w:lang w:val="en-US" w:eastAsia="zh-CN"/>
        </w:rPr>
        <w:t>举报</w:t>
      </w:r>
      <w:r>
        <w:rPr>
          <w:rFonts w:hint="eastAsia" w:ascii="宋体" w:hAnsi="宋体" w:eastAsia="宋体" w:cs="宋体"/>
          <w:b w:val="0"/>
          <w:bCs w:val="0"/>
          <w:sz w:val="24"/>
          <w:szCs w:val="24"/>
          <w:highlight w:val="none"/>
          <w:lang w:val="en-US" w:eastAsia="zh-CN"/>
        </w:rPr>
        <w:t>件的辅助处理工作：</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1、各类网上投诉举报件举报电话接听以及网上投诉件登记；</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2、消费投诉热线以及值班室联动应急电话电话接听、登记和咨询；</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3、值班室来人投诉举报的接待、登记和咨询受理；</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4、各类网络系统转办的投诉举报记录的数据录入；</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5、接听全国各地相关部门咨询网络案件相关事项，对咨询事项予以答复并记录在案；</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6、网上分流交办；</w:t>
      </w:r>
    </w:p>
    <w:p>
      <w:pPr>
        <w:spacing w:line="360" w:lineRule="auto"/>
        <w:ind w:firstLine="480" w:firstLineChars="200"/>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sz w:val="24"/>
          <w:szCs w:val="24"/>
          <w:highlight w:val="none"/>
          <w:lang w:val="en-US" w:eastAsia="zh-CN"/>
        </w:rPr>
        <w:t>综上，</w:t>
      </w:r>
      <w:r>
        <w:rPr>
          <w:rFonts w:hint="default" w:ascii="宋体" w:hAnsi="宋体" w:cs="宋体"/>
          <w:b w:val="0"/>
          <w:bCs w:val="0"/>
          <w:sz w:val="24"/>
          <w:szCs w:val="24"/>
          <w:highlight w:val="none"/>
          <w:lang w:eastAsia="zh-CN"/>
        </w:rPr>
        <w:t>辅助</w:t>
      </w:r>
      <w:r>
        <w:rPr>
          <w:rFonts w:hint="eastAsia" w:ascii="宋体" w:hAnsi="宋体" w:eastAsia="宋体" w:cs="宋体"/>
          <w:b w:val="0"/>
          <w:bCs w:val="0"/>
          <w:sz w:val="24"/>
          <w:szCs w:val="24"/>
          <w:highlight w:val="none"/>
          <w:lang w:val="en-US" w:eastAsia="zh-CN"/>
        </w:rPr>
        <w:t>处理投诉举报</w:t>
      </w:r>
      <w:r>
        <w:rPr>
          <w:rFonts w:hint="default" w:ascii="宋体" w:hAnsi="宋体" w:cs="宋体"/>
          <w:b w:val="0"/>
          <w:bCs w:val="0"/>
          <w:sz w:val="24"/>
          <w:szCs w:val="24"/>
          <w:highlight w:val="none"/>
          <w:lang w:eastAsia="zh-CN"/>
        </w:rPr>
        <w:t>工作</w:t>
      </w:r>
      <w:r>
        <w:rPr>
          <w:rFonts w:hint="eastAsia" w:ascii="宋体" w:hAnsi="宋体" w:eastAsia="宋体" w:cs="宋体"/>
          <w:b w:val="0"/>
          <w:bCs w:val="0"/>
          <w:sz w:val="24"/>
          <w:szCs w:val="24"/>
          <w:highlight w:val="none"/>
          <w:lang w:val="en-US" w:eastAsia="zh-CN"/>
        </w:rPr>
        <w:t>需达到</w:t>
      </w:r>
      <w:r>
        <w:rPr>
          <w:rFonts w:hint="eastAsia" w:ascii="宋体" w:hAnsi="宋体" w:cs="宋体"/>
          <w:b w:val="0"/>
          <w:bCs w:val="0"/>
          <w:sz w:val="24"/>
          <w:szCs w:val="24"/>
          <w:highlight w:val="none"/>
          <w:lang w:val="en-US" w:eastAsia="zh-CN"/>
        </w:rPr>
        <w:t>9</w:t>
      </w:r>
      <w:r>
        <w:rPr>
          <w:rFonts w:hint="eastAsia" w:ascii="宋体" w:hAnsi="宋体" w:eastAsia="宋体" w:cs="宋体"/>
          <w:b w:val="0"/>
          <w:bCs w:val="0"/>
          <w:sz w:val="24"/>
          <w:szCs w:val="24"/>
          <w:highlight w:val="none"/>
          <w:lang w:val="en-US" w:eastAsia="zh-CN"/>
        </w:rPr>
        <w:t>000件。（该数量按实际</w:t>
      </w:r>
      <w:r>
        <w:rPr>
          <w:rFonts w:hint="eastAsia" w:ascii="宋体" w:hAnsi="宋体" w:cs="宋体"/>
          <w:b w:val="0"/>
          <w:bCs w:val="0"/>
          <w:sz w:val="24"/>
          <w:szCs w:val="24"/>
          <w:highlight w:val="none"/>
          <w:lang w:val="en-US" w:eastAsia="zh-CN"/>
        </w:rPr>
        <w:t>工作量上下浮动30%）</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（三）、数据统计分析：</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根据甲方的要求，对网络投诉举报原始数据进行统计分析，形成日常处理报告（分为季报、年报等），报告需体现涉网投诉举报案件的数据分析。</w:t>
      </w:r>
    </w:p>
    <w:p>
      <w:pPr>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（四）、网络定向监测：</w:t>
      </w:r>
    </w:p>
    <w:p>
      <w:pPr>
        <w:spacing w:line="360" w:lineRule="auto"/>
        <w:ind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sz w:val="24"/>
          <w:szCs w:val="24"/>
          <w:highlight w:val="none"/>
          <w:lang w:val="en-US" w:eastAsia="zh-CN"/>
        </w:rPr>
        <w:t>对区内网络平台企业的监测、平台内网店的监测、自建网站的监测、</w:t>
      </w:r>
      <w:r>
        <w:rPr>
          <w:rFonts w:hint="eastAsia" w:ascii="宋体" w:hAnsi="宋体" w:cs="宋体"/>
          <w:b w:val="0"/>
          <w:bCs w:val="0"/>
          <w:sz w:val="24"/>
          <w:szCs w:val="24"/>
          <w:highlight w:val="none"/>
          <w:lang w:val="en-US" w:eastAsia="zh-CN"/>
        </w:rPr>
        <w:t>直播间监测、</w:t>
      </w:r>
      <w:r>
        <w:rPr>
          <w:rFonts w:hint="eastAsia" w:ascii="宋体" w:hAnsi="宋体" w:eastAsia="宋体" w:cs="宋体"/>
          <w:b w:val="0"/>
          <w:bCs w:val="0"/>
          <w:sz w:val="24"/>
          <w:szCs w:val="24"/>
          <w:highlight w:val="none"/>
          <w:lang w:val="en-US" w:eastAsia="zh-CN"/>
        </w:rPr>
        <w:t>网售商品质量监测</w:t>
      </w:r>
      <w:r>
        <w:rPr>
          <w:rFonts w:hint="eastAsia" w:ascii="宋体" w:hAnsi="宋体" w:eastAsia="宋体" w:cs="宋体"/>
          <w:b w:val="0"/>
          <w:bCs w:val="0"/>
          <w:color w:val="000000"/>
          <w:sz w:val="24"/>
          <w:szCs w:val="24"/>
          <w:highlight w:val="none"/>
          <w:lang w:val="en-US" w:eastAsia="zh-CN"/>
        </w:rPr>
        <w:t>，监测数量需达1</w:t>
      </w:r>
      <w:r>
        <w:rPr>
          <w:rFonts w:hint="eastAsia" w:ascii="宋体" w:hAnsi="宋体" w:cs="宋体"/>
          <w:b w:val="0"/>
          <w:bCs w:val="0"/>
          <w:color w:val="000000"/>
          <w:sz w:val="24"/>
          <w:szCs w:val="24"/>
          <w:highlight w:val="none"/>
          <w:lang w:val="en-US" w:eastAsia="zh-CN"/>
        </w:rPr>
        <w:t>0</w:t>
      </w:r>
      <w:r>
        <w:rPr>
          <w:rFonts w:hint="eastAsia" w:ascii="宋体" w:hAnsi="宋体" w:eastAsia="宋体" w:cs="宋体"/>
          <w:b w:val="0"/>
          <w:bCs w:val="0"/>
          <w:color w:val="000000"/>
          <w:sz w:val="24"/>
          <w:szCs w:val="24"/>
          <w:highlight w:val="none"/>
          <w:lang w:val="en-US" w:eastAsia="zh-CN"/>
        </w:rPr>
        <w:t>000家次，监测发现违法线索</w:t>
      </w:r>
      <w:r>
        <w:rPr>
          <w:rFonts w:hint="eastAsia" w:ascii="宋体" w:hAnsi="宋体" w:cs="宋体"/>
          <w:b w:val="0"/>
          <w:bCs w:val="0"/>
          <w:color w:val="000000"/>
          <w:sz w:val="24"/>
          <w:szCs w:val="24"/>
          <w:highlight w:val="none"/>
          <w:lang w:val="en-US" w:eastAsia="zh-CN"/>
        </w:rPr>
        <w:t>80</w:t>
      </w:r>
      <w:r>
        <w:rPr>
          <w:rFonts w:hint="eastAsia" w:ascii="宋体" w:hAnsi="宋体" w:eastAsia="宋体" w:cs="宋体"/>
          <w:b w:val="0"/>
          <w:bCs w:val="0"/>
          <w:color w:val="000000"/>
          <w:sz w:val="24"/>
          <w:szCs w:val="24"/>
          <w:highlight w:val="none"/>
          <w:lang w:val="en-US" w:eastAsia="zh-CN"/>
        </w:rPr>
        <w:t>0条以上，有效线索</w:t>
      </w:r>
      <w:r>
        <w:rPr>
          <w:rFonts w:hint="eastAsia" w:ascii="宋体" w:hAnsi="宋体" w:cs="宋体"/>
          <w:b w:val="0"/>
          <w:bCs w:val="0"/>
          <w:color w:val="000000"/>
          <w:sz w:val="24"/>
          <w:szCs w:val="24"/>
          <w:highlight w:val="none"/>
          <w:lang w:val="en-US" w:eastAsia="zh-CN"/>
        </w:rPr>
        <w:t>140</w:t>
      </w:r>
      <w:r>
        <w:rPr>
          <w:rFonts w:hint="eastAsia" w:ascii="宋体" w:hAnsi="宋体" w:eastAsia="宋体" w:cs="宋体"/>
          <w:b w:val="0"/>
          <w:bCs w:val="0"/>
          <w:color w:val="000000"/>
          <w:sz w:val="24"/>
          <w:szCs w:val="24"/>
          <w:highlight w:val="none"/>
          <w:lang w:val="en-US" w:eastAsia="zh-CN"/>
        </w:rPr>
        <w:t>条以上</w:t>
      </w:r>
      <w:r>
        <w:rPr>
          <w:rFonts w:hint="eastAsia" w:ascii="宋体" w:hAnsi="宋体" w:cs="宋体"/>
          <w:b w:val="0"/>
          <w:bCs w:val="0"/>
          <w:color w:val="000000"/>
          <w:sz w:val="24"/>
          <w:szCs w:val="24"/>
          <w:highlight w:val="none"/>
          <w:lang w:val="en-US" w:eastAsia="zh-CN"/>
        </w:rPr>
        <w:t>并</w:t>
      </w:r>
      <w:r>
        <w:rPr>
          <w:rFonts w:hint="eastAsia" w:ascii="宋体" w:hAnsi="宋体" w:eastAsia="宋体" w:cs="宋体"/>
          <w:b w:val="0"/>
          <w:bCs w:val="0"/>
          <w:color w:val="000000"/>
          <w:sz w:val="24"/>
          <w:szCs w:val="24"/>
          <w:highlight w:val="none"/>
          <w:lang w:val="en-US" w:eastAsia="zh-CN"/>
        </w:rPr>
        <w:t>做好固证</w:t>
      </w:r>
      <w:r>
        <w:rPr>
          <w:rFonts w:hint="default" w:ascii="宋体" w:hAnsi="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有效线索指能用于案件处罚的线索</w:t>
      </w:r>
      <w:r>
        <w:rPr>
          <w:rFonts w:hint="default" w:ascii="宋体" w:hAnsi="宋体" w:cs="宋体"/>
          <w:b w:val="0"/>
          <w:bCs w:val="0"/>
          <w:color w:val="000000"/>
          <w:sz w:val="24"/>
          <w:szCs w:val="24"/>
          <w:highlight w:val="none"/>
          <w:lang w:eastAsia="zh-CN"/>
        </w:rPr>
        <w:t>）</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线索</w:t>
      </w:r>
      <w:r>
        <w:rPr>
          <w:rFonts w:hint="eastAsia" w:ascii="宋体" w:hAnsi="宋体" w:cs="宋体"/>
          <w:b w:val="0"/>
          <w:bCs w:val="0"/>
          <w:color w:val="000000"/>
          <w:sz w:val="24"/>
          <w:szCs w:val="24"/>
          <w:highlight w:val="none"/>
          <w:lang w:val="en-US" w:eastAsia="zh-CN"/>
        </w:rPr>
        <w:t>数量</w:t>
      </w:r>
      <w:r>
        <w:rPr>
          <w:rFonts w:hint="eastAsia" w:ascii="宋体" w:hAnsi="宋体" w:eastAsia="宋体" w:cs="宋体"/>
          <w:b w:val="0"/>
          <w:bCs w:val="0"/>
          <w:color w:val="000000"/>
          <w:sz w:val="24"/>
          <w:szCs w:val="24"/>
          <w:highlight w:val="none"/>
          <w:lang w:val="en-US" w:eastAsia="zh-CN"/>
        </w:rPr>
        <w:t>上下浮动30%。</w:t>
      </w:r>
    </w:p>
    <w:p>
      <w:pPr>
        <w:numPr>
          <w:ilvl w:val="0"/>
          <w:numId w:val="3"/>
        </w:numPr>
        <w:spacing w:line="36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、排摸未纳入现有电商主体数据库的且在经营中的网店（以个人店铺为主）、直播间、自建网站、MCN机构、电商供应链等新兴业态主体，以扩充电商主体数据库，需排摸数量不少于</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000个。</w:t>
      </w: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val="0"/>
          <w:color w:val="000000"/>
          <w:kern w:val="2"/>
          <w:sz w:val="24"/>
          <w:szCs w:val="24"/>
          <w:highlight w:val="none"/>
          <w:lang w:val="en-US" w:eastAsia="zh-CN" w:bidi="ar-SA"/>
        </w:rPr>
        <w:t xml:space="preserve"> </w:t>
      </w:r>
    </w:p>
    <w:p>
      <w:pPr>
        <w:widowControl w:val="0"/>
        <w:numPr>
          <w:ilvl w:val="0"/>
          <w:numId w:val="0"/>
        </w:numPr>
        <w:wordWrap/>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eastAsia="zh-CN"/>
        </w:rPr>
        <w:t>服务时间和人员要求</w:t>
      </w:r>
      <w:r>
        <w:rPr>
          <w:rFonts w:hint="eastAsia" w:ascii="宋体" w:hAnsi="宋体" w:eastAsia="宋体" w:cs="宋体"/>
          <w:b/>
          <w:bCs/>
          <w:sz w:val="24"/>
          <w:szCs w:val="24"/>
          <w:highlight w:val="none"/>
          <w:lang w:val="en-US" w:eastAsia="zh-CN"/>
        </w:rPr>
        <w:t>：</w:t>
      </w:r>
    </w:p>
    <w:p>
      <w:pPr>
        <w:numPr>
          <w:ilvl w:val="0"/>
          <w:numId w:val="4"/>
        </w:numPr>
        <w:spacing w:line="360" w:lineRule="auto"/>
        <w:ind w:left="0" w:leftChars="0" w:firstLine="42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本次招标的项目及范围：网络投诉件辅助处理</w:t>
      </w:r>
      <w:r>
        <w:rPr>
          <w:rFonts w:hint="eastAsia" w:ascii="宋体" w:hAnsi="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en-US" w:eastAsia="zh-CN"/>
        </w:rPr>
        <w:t>外包项目。</w:t>
      </w:r>
    </w:p>
    <w:p>
      <w:pPr>
        <w:numPr>
          <w:ilvl w:val="0"/>
          <w:numId w:val="4"/>
        </w:numPr>
        <w:spacing w:line="360" w:lineRule="auto"/>
        <w:ind w:left="0" w:leftChars="0" w:firstLine="420" w:firstLineChars="0"/>
        <w:rPr>
          <w:rFonts w:hint="eastAsia"/>
          <w:highlight w:val="none"/>
          <w:lang w:val="en-US" w:eastAsia="zh-CN"/>
        </w:rPr>
      </w:pPr>
      <w:r>
        <w:rPr>
          <w:rFonts w:hint="eastAsia" w:ascii="宋体" w:hAnsi="宋体" w:eastAsia="宋体" w:cs="宋体"/>
          <w:b/>
          <w:bCs/>
          <w:sz w:val="24"/>
          <w:szCs w:val="24"/>
          <w:highlight w:val="none"/>
          <w:lang w:val="en-US" w:eastAsia="zh-CN"/>
        </w:rPr>
        <w:t>合同期为签订合同起</w:t>
      </w:r>
      <w:r>
        <w:rPr>
          <w:rFonts w:hint="eastAsia" w:ascii="宋体" w:hAnsi="宋体" w:cs="宋体"/>
          <w:b/>
          <w:bCs/>
          <w:sz w:val="24"/>
          <w:szCs w:val="24"/>
          <w:highlight w:val="none"/>
          <w:lang w:val="en-US" w:eastAsia="zh-CN"/>
        </w:rPr>
        <w:t>9个月</w:t>
      </w:r>
      <w:r>
        <w:rPr>
          <w:rFonts w:hint="eastAsia" w:ascii="宋体" w:hAnsi="宋体" w:eastAsia="宋体" w:cs="宋体"/>
          <w:b/>
          <w:bCs/>
          <w:sz w:val="24"/>
          <w:szCs w:val="24"/>
          <w:highlight w:val="none"/>
          <w:lang w:val="en-US" w:eastAsia="zh-CN"/>
        </w:rPr>
        <w:t>，中标后3天内需进场开展试用开发工作，试用期一周，采购人根据乙方在试用期的开发技术工作情况和服务能力，若不能达到用户所要求的技术人员具备的技术要求，将取消中标资格。</w:t>
      </w:r>
    </w:p>
    <w:p>
      <w:pPr>
        <w:spacing w:line="6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3、本项目投标报价包括：投标人</w:t>
      </w:r>
      <w:r>
        <w:rPr>
          <w:rFonts w:hint="default" w:ascii="宋体" w:hAnsi="宋体" w:cs="宋体"/>
          <w:b w:val="0"/>
          <w:bCs w:val="0"/>
          <w:color w:val="000000"/>
          <w:sz w:val="24"/>
          <w:szCs w:val="24"/>
          <w:highlight w:val="none"/>
          <w:lang w:eastAsia="zh-CN"/>
        </w:rPr>
        <w:t>工作</w:t>
      </w:r>
      <w:r>
        <w:rPr>
          <w:rFonts w:hint="eastAsia" w:ascii="宋体" w:hAnsi="宋体" w:eastAsia="宋体" w:cs="宋体"/>
          <w:b w:val="0"/>
          <w:bCs w:val="0"/>
          <w:color w:val="000000"/>
          <w:sz w:val="24"/>
          <w:szCs w:val="24"/>
          <w:highlight w:val="none"/>
          <w:lang w:val="en-US" w:eastAsia="zh-CN"/>
        </w:rPr>
        <w:t>人员工资、</w:t>
      </w:r>
      <w:r>
        <w:rPr>
          <w:rFonts w:hint="eastAsia" w:ascii="宋体" w:hAnsi="宋体" w:eastAsia="宋体" w:cs="宋体"/>
          <w:sz w:val="24"/>
          <w:szCs w:val="24"/>
          <w:highlight w:val="none"/>
          <w:lang w:val="en-US" w:eastAsia="zh-CN"/>
        </w:rPr>
        <w:t>社保、医疗、住房公积金及完成该项目一切税费等招标文件要求的所有费用。</w:t>
      </w:r>
    </w:p>
    <w:p>
      <w:pPr>
        <w:widowControl w:val="0"/>
        <w:wordWrap/>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本项目由</w:t>
      </w:r>
      <w:r>
        <w:rPr>
          <w:rFonts w:hint="eastAsia" w:ascii="宋体" w:hAnsi="宋体" w:cs="宋体"/>
          <w:sz w:val="24"/>
          <w:szCs w:val="24"/>
          <w:highlight w:val="none"/>
          <w:lang w:val="en-US" w:eastAsia="zh-CN"/>
        </w:rPr>
        <w:t>中标单位</w:t>
      </w:r>
      <w:r>
        <w:rPr>
          <w:rFonts w:hint="eastAsia" w:ascii="宋体" w:hAnsi="宋体" w:eastAsia="宋体" w:cs="宋体"/>
          <w:sz w:val="24"/>
          <w:szCs w:val="24"/>
          <w:highlight w:val="none"/>
          <w:lang w:val="en-US" w:eastAsia="zh-CN"/>
        </w:rPr>
        <w:t>承包及负责招标文件对</w:t>
      </w:r>
      <w:r>
        <w:rPr>
          <w:rFonts w:hint="eastAsia" w:ascii="宋体" w:hAnsi="宋体" w:cs="宋体"/>
          <w:sz w:val="24"/>
          <w:szCs w:val="24"/>
          <w:highlight w:val="none"/>
          <w:lang w:val="en-US" w:eastAsia="zh-CN"/>
        </w:rPr>
        <w:t>中标单位</w:t>
      </w:r>
      <w:r>
        <w:rPr>
          <w:rFonts w:hint="eastAsia" w:ascii="宋体" w:hAnsi="宋体" w:eastAsia="宋体" w:cs="宋体"/>
          <w:sz w:val="24"/>
          <w:szCs w:val="24"/>
          <w:highlight w:val="none"/>
          <w:lang w:val="en-US" w:eastAsia="zh-CN"/>
        </w:rPr>
        <w:t>要求的一切事宜及责任。</w:t>
      </w:r>
    </w:p>
    <w:p>
      <w:pPr>
        <w:widowControl w:val="0"/>
        <w:wordWrap/>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5、中标单位</w:t>
      </w:r>
      <w:r>
        <w:rPr>
          <w:rFonts w:hint="eastAsia" w:ascii="宋体" w:hAnsi="宋体" w:eastAsia="宋体" w:cs="宋体"/>
          <w:sz w:val="24"/>
          <w:szCs w:val="24"/>
          <w:highlight w:val="none"/>
          <w:lang w:val="en-US" w:eastAsia="zh-CN"/>
        </w:rPr>
        <w:t>未经采购人批准，不得再以任何方式转包或分包。</w:t>
      </w:r>
    </w:p>
    <w:p>
      <w:pPr>
        <w:pStyle w:val="27"/>
        <w:rPr>
          <w:rFonts w:hint="eastAsia"/>
          <w:highlight w:val="none"/>
          <w:lang w:val="en-US" w:eastAsia="zh-CN"/>
        </w:rPr>
      </w:pPr>
    </w:p>
    <w:tbl>
      <w:tblPr>
        <w:tblStyle w:val="64"/>
        <w:tblW w:w="969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71"/>
        <w:gridCol w:w="7141"/>
        <w:gridCol w:w="7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28"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71"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岗位</w:t>
            </w:r>
          </w:p>
        </w:tc>
        <w:tc>
          <w:tcPr>
            <w:tcW w:w="7141" w:type="dxa"/>
            <w:vAlign w:val="center"/>
          </w:tcPr>
          <w:p>
            <w:pPr>
              <w:widowControl w:val="0"/>
              <w:wordWrap/>
              <w:adjustRightInd w:val="0"/>
              <w:snapToGrid/>
              <w:spacing w:line="360" w:lineRule="auto"/>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需求</w:t>
            </w:r>
          </w:p>
        </w:tc>
        <w:tc>
          <w:tcPr>
            <w:tcW w:w="750"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相关工作经验要求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28"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71"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投诉举报处理</w:t>
            </w:r>
          </w:p>
        </w:tc>
        <w:tc>
          <w:tcPr>
            <w:tcW w:w="7141" w:type="dxa"/>
            <w:vAlign w:val="center"/>
          </w:tcPr>
          <w:p>
            <w:pPr>
              <w:widowControl w:val="0"/>
              <w:wordWrap/>
              <w:adjustRightInd w:val="0"/>
              <w:snapToGrid/>
              <w:spacing w:line="360" w:lineRule="auto"/>
              <w:jc w:val="left"/>
              <w:textAlignment w:val="auto"/>
              <w:rPr>
                <w:rFonts w:hint="eastAsia"/>
                <w:highlight w:val="none"/>
              </w:rPr>
            </w:pPr>
            <w:r>
              <w:rPr>
                <w:rFonts w:hint="eastAsia"/>
                <w:highlight w:val="none"/>
                <w:lang w:val="en-US" w:eastAsia="zh-CN"/>
              </w:rPr>
              <w:t>1、</w:t>
            </w:r>
            <w:r>
              <w:rPr>
                <w:rFonts w:hint="eastAsia"/>
                <w:highlight w:val="none"/>
              </w:rPr>
              <w:t>具有良好的团队精神和协作能力，</w:t>
            </w:r>
            <w:r>
              <w:rPr>
                <w:rFonts w:hint="eastAsia"/>
                <w:highlight w:val="none"/>
                <w:lang w:val="en-US" w:eastAsia="zh-CN"/>
              </w:rPr>
              <w:t>较强</w:t>
            </w:r>
            <w:r>
              <w:rPr>
                <w:rFonts w:hint="eastAsia"/>
                <w:highlight w:val="none"/>
              </w:rPr>
              <w:t>的抗压</w:t>
            </w:r>
            <w:r>
              <w:rPr>
                <w:rFonts w:hint="eastAsia"/>
                <w:highlight w:val="none"/>
                <w:lang w:val="en-US" w:eastAsia="zh-CN"/>
              </w:rPr>
              <w:t>能力</w:t>
            </w:r>
            <w:r>
              <w:rPr>
                <w:rFonts w:hint="eastAsia"/>
                <w:highlight w:val="none"/>
              </w:rPr>
              <w:t>，能专注于</w:t>
            </w:r>
            <w:r>
              <w:rPr>
                <w:rFonts w:hint="eastAsia"/>
                <w:highlight w:val="none"/>
                <w:lang w:val="en-US" w:eastAsia="zh-CN"/>
              </w:rPr>
              <w:t>相关业务</w:t>
            </w:r>
            <w:r>
              <w:rPr>
                <w:rFonts w:hint="eastAsia"/>
                <w:highlight w:val="none"/>
              </w:rPr>
              <w:t>的研究与创新。</w:t>
            </w:r>
          </w:p>
          <w:p>
            <w:pPr>
              <w:widowControl w:val="0"/>
              <w:wordWrap/>
              <w:adjustRightInd w:val="0"/>
              <w:snapToGrid/>
              <w:spacing w:line="360" w:lineRule="auto"/>
              <w:jc w:val="left"/>
              <w:textAlignment w:val="auto"/>
              <w:rPr>
                <w:rFonts w:hint="eastAsia"/>
                <w:highlight w:val="none"/>
              </w:rPr>
            </w:pPr>
            <w:r>
              <w:rPr>
                <w:rFonts w:hint="eastAsia"/>
                <w:highlight w:val="none"/>
                <w:lang w:val="en-US" w:eastAsia="zh-CN"/>
              </w:rPr>
              <w:t>2</w:t>
            </w:r>
            <w:r>
              <w:rPr>
                <w:rFonts w:hint="eastAsia"/>
                <w:highlight w:val="none"/>
              </w:rPr>
              <w:t>、从事政府部门网络投诉举报处理</w:t>
            </w:r>
            <w:r>
              <w:rPr>
                <w:rFonts w:hint="eastAsia"/>
                <w:highlight w:val="none"/>
                <w:lang w:val="en-US" w:eastAsia="zh-CN"/>
              </w:rPr>
              <w:t>等</w:t>
            </w:r>
            <w:r>
              <w:rPr>
                <w:rFonts w:hint="eastAsia"/>
                <w:highlight w:val="none"/>
              </w:rPr>
              <w:t>相关工作</w:t>
            </w:r>
            <w:r>
              <w:rPr>
                <w:rFonts w:hint="eastAsia"/>
                <w:highlight w:val="none"/>
                <w:lang w:val="en-US" w:eastAsia="zh-CN"/>
              </w:rPr>
              <w:t>经验3</w:t>
            </w:r>
            <w:r>
              <w:rPr>
                <w:rFonts w:hint="eastAsia"/>
                <w:highlight w:val="none"/>
              </w:rPr>
              <w:t>年以上</w:t>
            </w:r>
            <w:r>
              <w:rPr>
                <w:rFonts w:hint="eastAsia"/>
                <w:highlight w:val="none"/>
                <w:lang w:eastAsia="zh-CN"/>
              </w:rPr>
              <w:t>，</w:t>
            </w:r>
            <w:r>
              <w:rPr>
                <w:rFonts w:hint="eastAsia"/>
                <w:highlight w:val="none"/>
                <w:lang w:val="en-US" w:eastAsia="zh-CN"/>
              </w:rPr>
              <w:t>能独立撰写公文材料</w:t>
            </w:r>
            <w:r>
              <w:rPr>
                <w:rFonts w:hint="eastAsia"/>
                <w:highlight w:val="none"/>
              </w:rPr>
              <w:t>。</w:t>
            </w:r>
          </w:p>
          <w:p>
            <w:pPr>
              <w:widowControl w:val="0"/>
              <w:wordWrap/>
              <w:adjustRightInd w:val="0"/>
              <w:snapToGrid/>
              <w:spacing w:line="360" w:lineRule="auto"/>
              <w:jc w:val="left"/>
              <w:textAlignment w:val="auto"/>
              <w:rPr>
                <w:rFonts w:hint="eastAsia"/>
                <w:highlight w:val="none"/>
              </w:rPr>
            </w:pPr>
            <w:r>
              <w:rPr>
                <w:rFonts w:hint="eastAsia"/>
                <w:highlight w:val="none"/>
                <w:lang w:val="en-US" w:eastAsia="zh-CN"/>
              </w:rPr>
              <w:t>3</w:t>
            </w:r>
            <w:r>
              <w:rPr>
                <w:rFonts w:hint="eastAsia"/>
                <w:highlight w:val="none"/>
              </w:rPr>
              <w:t>、</w:t>
            </w:r>
            <w:r>
              <w:rPr>
                <w:rFonts w:hint="eastAsia"/>
                <w:highlight w:val="none"/>
                <w:lang w:val="en-US" w:eastAsia="zh-CN"/>
              </w:rPr>
              <w:t>其中一位管理人员需拥有互联网营销师或电子商务师资格证书（有一项即可），且具有浙江省技能人才技能标准和题库开发（互联网营销师选品员）专家评审经验。</w:t>
            </w:r>
          </w:p>
          <w:p>
            <w:pPr>
              <w:widowControl w:val="0"/>
              <w:wordWrap/>
              <w:adjustRightInd w:val="0"/>
              <w:snapToGrid/>
              <w:spacing w:line="360" w:lineRule="auto"/>
              <w:jc w:val="left"/>
              <w:textAlignment w:val="auto"/>
              <w:rPr>
                <w:rFonts w:hint="eastAsia" w:eastAsia="宋体"/>
                <w:highlight w:val="none"/>
                <w:lang w:val="en-US" w:eastAsia="zh-CN"/>
              </w:rPr>
            </w:pPr>
            <w:r>
              <w:rPr>
                <w:rFonts w:hint="eastAsia" w:cs="宋体"/>
                <w:sz w:val="21"/>
                <w:szCs w:val="21"/>
                <w:highlight w:val="none"/>
                <w:lang w:val="en-US" w:eastAsia="zh-CN"/>
              </w:rPr>
              <w:t>学历要求：1、大学本科以上学历，电子商务、公共事业管理、文化产业管理专业专业优先。</w:t>
            </w:r>
          </w:p>
        </w:tc>
        <w:tc>
          <w:tcPr>
            <w:tcW w:w="750"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3年以上相关工作经验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8"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71"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电话或网上投诉件的辅助处理工作</w:t>
            </w:r>
          </w:p>
        </w:tc>
        <w:tc>
          <w:tcPr>
            <w:tcW w:w="7141" w:type="dxa"/>
            <w:vAlign w:val="center"/>
          </w:tcPr>
          <w:p>
            <w:pPr>
              <w:widowControl w:val="0"/>
              <w:wordWrap/>
              <w:adjustRightInd w:val="0"/>
              <w:snapToGrid/>
              <w:spacing w:line="360" w:lineRule="auto"/>
              <w:jc w:val="left"/>
              <w:textAlignment w:val="auto"/>
              <w:rPr>
                <w:rFonts w:hint="eastAsia"/>
                <w:highlight w:val="none"/>
              </w:rPr>
            </w:pPr>
            <w:r>
              <w:rPr>
                <w:rFonts w:hint="eastAsia"/>
                <w:highlight w:val="none"/>
              </w:rPr>
              <w:t>1、有较强的沟通协调能力强，有较强的文字表达能力和独立撰写能力，熟练使用各类办公软件。</w:t>
            </w:r>
          </w:p>
          <w:p>
            <w:pPr>
              <w:widowControl w:val="0"/>
              <w:wordWrap/>
              <w:adjustRightInd w:val="0"/>
              <w:snapToGrid/>
              <w:spacing w:line="360" w:lineRule="auto"/>
              <w:jc w:val="left"/>
              <w:textAlignment w:val="auto"/>
              <w:rPr>
                <w:rFonts w:hint="eastAsia"/>
                <w:highlight w:val="none"/>
              </w:rPr>
            </w:pPr>
            <w:r>
              <w:rPr>
                <w:rFonts w:hint="eastAsia"/>
                <w:highlight w:val="none"/>
              </w:rPr>
              <w:t>2、从事政府部门电话或网上投诉件的辅助处理相关工作经验</w:t>
            </w:r>
            <w:r>
              <w:rPr>
                <w:rFonts w:hint="eastAsia"/>
                <w:highlight w:val="none"/>
                <w:lang w:val="en-US" w:eastAsia="zh-CN"/>
              </w:rPr>
              <w:t>3</w:t>
            </w:r>
            <w:r>
              <w:rPr>
                <w:rFonts w:hint="eastAsia"/>
                <w:highlight w:val="none"/>
              </w:rPr>
              <w:t>年以上。</w:t>
            </w:r>
          </w:p>
          <w:p>
            <w:pPr>
              <w:spacing w:line="360" w:lineRule="auto"/>
              <w:jc w:val="left"/>
              <w:rPr>
                <w:rFonts w:hint="eastAsia"/>
                <w:highlight w:val="none"/>
              </w:rPr>
            </w:pPr>
            <w:r>
              <w:rPr>
                <w:rFonts w:hint="eastAsia" w:cs="宋体"/>
                <w:sz w:val="21"/>
                <w:szCs w:val="21"/>
                <w:highlight w:val="none"/>
                <w:lang w:val="en-US" w:eastAsia="zh-CN"/>
              </w:rPr>
              <w:t>学历要求：1、大学本科以上学历，电子商务、公共事业管理优先。</w:t>
            </w:r>
          </w:p>
        </w:tc>
        <w:tc>
          <w:tcPr>
            <w:tcW w:w="750"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3年以上相关工作经验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8"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71"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电话接听、登记、咨询、受理工作</w:t>
            </w:r>
          </w:p>
        </w:tc>
        <w:tc>
          <w:tcPr>
            <w:tcW w:w="7141" w:type="dxa"/>
            <w:vAlign w:val="center"/>
          </w:tcPr>
          <w:p>
            <w:pPr>
              <w:widowControl w:val="0"/>
              <w:wordWrap/>
              <w:adjustRightInd w:val="0"/>
              <w:snapToGrid/>
              <w:spacing w:line="360" w:lineRule="auto"/>
              <w:jc w:val="left"/>
              <w:textAlignment w:val="auto"/>
              <w:rPr>
                <w:rFonts w:hint="eastAsia"/>
                <w:highlight w:val="none"/>
              </w:rPr>
            </w:pPr>
            <w:r>
              <w:rPr>
                <w:rFonts w:hint="eastAsia"/>
                <w:highlight w:val="none"/>
              </w:rPr>
              <w:t>1、有较强的沟通协调能力强，有较强的文字表达能力和独立撰写能力，熟练使用各类办公软件。</w:t>
            </w:r>
          </w:p>
          <w:p>
            <w:pPr>
              <w:widowControl w:val="0"/>
              <w:wordWrap/>
              <w:adjustRightInd w:val="0"/>
              <w:snapToGrid/>
              <w:spacing w:line="360" w:lineRule="auto"/>
              <w:jc w:val="left"/>
              <w:textAlignment w:val="auto"/>
              <w:rPr>
                <w:rFonts w:hint="eastAsia"/>
                <w:highlight w:val="none"/>
                <w:lang w:val="en-US"/>
              </w:rPr>
            </w:pPr>
            <w:r>
              <w:rPr>
                <w:rFonts w:hint="eastAsia"/>
                <w:highlight w:val="none"/>
                <w:lang w:val="en-US"/>
              </w:rPr>
              <w:t>2、从事政府部门电话接听、登记、咨询、受理相关工作经验</w:t>
            </w:r>
            <w:r>
              <w:rPr>
                <w:rFonts w:hint="eastAsia"/>
                <w:highlight w:val="none"/>
                <w:lang w:val="en-US" w:eastAsia="zh-CN"/>
              </w:rPr>
              <w:t>2</w:t>
            </w:r>
            <w:r>
              <w:rPr>
                <w:rFonts w:hint="eastAsia"/>
                <w:highlight w:val="none"/>
                <w:lang w:val="en-US"/>
              </w:rPr>
              <w:t>年以上。</w:t>
            </w:r>
          </w:p>
          <w:p>
            <w:pPr>
              <w:spacing w:line="360" w:lineRule="auto"/>
              <w:jc w:val="left"/>
              <w:rPr>
                <w:rFonts w:hint="eastAsia"/>
                <w:highlight w:val="none"/>
              </w:rPr>
            </w:pPr>
            <w:r>
              <w:rPr>
                <w:rFonts w:hint="eastAsia" w:cs="宋体"/>
                <w:sz w:val="21"/>
                <w:szCs w:val="21"/>
                <w:highlight w:val="none"/>
                <w:lang w:val="en-US" w:eastAsia="zh-CN"/>
              </w:rPr>
              <w:t>学历要求：1、大学专科以上学历，专业不限。</w:t>
            </w:r>
          </w:p>
        </w:tc>
        <w:tc>
          <w:tcPr>
            <w:tcW w:w="750"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2年以上相关工作经验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28"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71"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数据统计分析</w:t>
            </w:r>
          </w:p>
        </w:tc>
        <w:tc>
          <w:tcPr>
            <w:tcW w:w="7141" w:type="dxa"/>
            <w:vAlign w:val="center"/>
          </w:tcPr>
          <w:p>
            <w:pPr>
              <w:widowControl w:val="0"/>
              <w:wordWrap/>
              <w:adjustRightInd w:val="0"/>
              <w:snapToGrid/>
              <w:spacing w:line="360" w:lineRule="auto"/>
              <w:jc w:val="left"/>
              <w:textAlignment w:val="auto"/>
              <w:rPr>
                <w:rFonts w:hint="eastAsia"/>
                <w:highlight w:val="none"/>
              </w:rPr>
            </w:pPr>
            <w:r>
              <w:rPr>
                <w:rFonts w:hint="eastAsia"/>
                <w:highlight w:val="none"/>
              </w:rPr>
              <w:t>1、有较强的技术文档总结性工作的经验和较好的沟通、协作能力，良好的团队合作精神；</w:t>
            </w:r>
          </w:p>
          <w:p>
            <w:pPr>
              <w:widowControl w:val="0"/>
              <w:wordWrap/>
              <w:adjustRightInd w:val="0"/>
              <w:snapToGrid/>
              <w:spacing w:line="360" w:lineRule="auto"/>
              <w:jc w:val="left"/>
              <w:textAlignment w:val="auto"/>
              <w:rPr>
                <w:rFonts w:hint="eastAsia"/>
                <w:highlight w:val="none"/>
              </w:rPr>
            </w:pPr>
            <w:r>
              <w:rPr>
                <w:rFonts w:hint="eastAsia"/>
                <w:highlight w:val="none"/>
              </w:rPr>
              <w:t>2、能自动化实现数据库日常操作；</w:t>
            </w:r>
          </w:p>
          <w:p>
            <w:pPr>
              <w:widowControl w:val="0"/>
              <w:wordWrap/>
              <w:adjustRightInd w:val="0"/>
              <w:snapToGrid/>
              <w:spacing w:line="360" w:lineRule="auto"/>
              <w:jc w:val="left"/>
              <w:textAlignment w:val="auto"/>
              <w:rPr>
                <w:rFonts w:hint="eastAsia"/>
                <w:highlight w:val="none"/>
              </w:rPr>
            </w:pPr>
            <w:r>
              <w:rPr>
                <w:rFonts w:hint="eastAsia"/>
                <w:highlight w:val="none"/>
              </w:rPr>
              <w:t>3、具有较强的字整理、分析、撰写能力和较强的调研能力；</w:t>
            </w:r>
          </w:p>
          <w:p>
            <w:pPr>
              <w:widowControl w:val="0"/>
              <w:wordWrap/>
              <w:adjustRightInd w:val="0"/>
              <w:snapToGrid/>
              <w:spacing w:line="360" w:lineRule="auto"/>
              <w:jc w:val="left"/>
              <w:textAlignment w:val="auto"/>
              <w:rPr>
                <w:rFonts w:hint="eastAsia"/>
                <w:highlight w:val="none"/>
              </w:rPr>
            </w:pPr>
            <w:r>
              <w:rPr>
                <w:rFonts w:hint="eastAsia"/>
                <w:highlight w:val="none"/>
              </w:rPr>
              <w:t>4、从事政府部门网络投诉举报处理相关工作经验</w:t>
            </w:r>
            <w:r>
              <w:rPr>
                <w:rFonts w:hint="eastAsia"/>
                <w:highlight w:val="none"/>
                <w:lang w:val="en-US" w:eastAsia="zh-CN"/>
              </w:rPr>
              <w:t>2</w:t>
            </w:r>
            <w:r>
              <w:rPr>
                <w:rFonts w:hint="eastAsia"/>
                <w:highlight w:val="none"/>
              </w:rPr>
              <w:t>年以上。</w:t>
            </w:r>
          </w:p>
          <w:p>
            <w:pPr>
              <w:spacing w:line="360" w:lineRule="auto"/>
              <w:jc w:val="left"/>
              <w:rPr>
                <w:rFonts w:hint="eastAsia"/>
                <w:highlight w:val="none"/>
              </w:rPr>
            </w:pPr>
            <w:r>
              <w:rPr>
                <w:rFonts w:hint="eastAsia" w:cs="宋体"/>
                <w:sz w:val="21"/>
                <w:szCs w:val="21"/>
                <w:highlight w:val="none"/>
                <w:lang w:val="en-US" w:eastAsia="zh-CN"/>
              </w:rPr>
              <w:t>学历要求：1、大学专科以上学历，会计、工商企业企业管理专业优先。</w:t>
            </w:r>
          </w:p>
        </w:tc>
        <w:tc>
          <w:tcPr>
            <w:tcW w:w="750"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2年以上相关工作经验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8"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71"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网络定向监测</w:t>
            </w:r>
          </w:p>
        </w:tc>
        <w:tc>
          <w:tcPr>
            <w:tcW w:w="7141" w:type="dxa"/>
            <w:vAlign w:val="center"/>
          </w:tcPr>
          <w:p>
            <w:pPr>
              <w:widowControl w:val="0"/>
              <w:wordWrap/>
              <w:adjustRightInd w:val="0"/>
              <w:snapToGrid/>
              <w:spacing w:line="360" w:lineRule="auto"/>
              <w:jc w:val="left"/>
              <w:textAlignment w:val="auto"/>
              <w:rPr>
                <w:rFonts w:hint="eastAsia"/>
                <w:highlight w:val="none"/>
              </w:rPr>
            </w:pPr>
            <w:r>
              <w:rPr>
                <w:rFonts w:hint="eastAsia"/>
                <w:highlight w:val="none"/>
              </w:rPr>
              <w:t>1、有较强的技术文档总结性工作的经验和较好的沟通、协作能力，良好的团队合作精神；</w:t>
            </w:r>
          </w:p>
          <w:p>
            <w:pPr>
              <w:widowControl w:val="0"/>
              <w:wordWrap/>
              <w:adjustRightInd w:val="0"/>
              <w:snapToGrid/>
              <w:spacing w:line="360" w:lineRule="auto"/>
              <w:jc w:val="left"/>
              <w:textAlignment w:val="auto"/>
              <w:rPr>
                <w:rFonts w:hint="eastAsia"/>
                <w:highlight w:val="none"/>
              </w:rPr>
            </w:pPr>
            <w:r>
              <w:rPr>
                <w:rFonts w:hint="eastAsia"/>
                <w:highlight w:val="none"/>
              </w:rPr>
              <w:t>2、具有较强的字整理、分析、撰写能力和较强的调研能力</w:t>
            </w:r>
            <w:r>
              <w:rPr>
                <w:rFonts w:hint="eastAsia"/>
                <w:highlight w:val="none"/>
                <w:lang w:eastAsia="zh-CN"/>
              </w:rPr>
              <w:t>，</w:t>
            </w:r>
            <w:r>
              <w:rPr>
                <w:rFonts w:hint="eastAsia"/>
                <w:highlight w:val="none"/>
                <w:lang w:val="en-US" w:eastAsia="zh-CN"/>
              </w:rPr>
              <w:t>具有撰写分析报告能力</w:t>
            </w:r>
            <w:r>
              <w:rPr>
                <w:rFonts w:hint="eastAsia"/>
                <w:highlight w:val="none"/>
              </w:rPr>
              <w:t>；</w:t>
            </w:r>
          </w:p>
          <w:p>
            <w:pPr>
              <w:widowControl w:val="0"/>
              <w:wordWrap/>
              <w:adjustRightInd w:val="0"/>
              <w:snapToGrid/>
              <w:spacing w:line="360" w:lineRule="auto"/>
              <w:jc w:val="left"/>
              <w:textAlignment w:val="auto"/>
              <w:rPr>
                <w:rFonts w:hint="eastAsia"/>
                <w:highlight w:val="none"/>
              </w:rPr>
            </w:pPr>
            <w:r>
              <w:rPr>
                <w:rFonts w:hint="eastAsia"/>
                <w:highlight w:val="none"/>
              </w:rPr>
              <w:t>3、从事政府部门网络监测处理相关工作经验</w:t>
            </w:r>
            <w:r>
              <w:rPr>
                <w:rFonts w:hint="eastAsia"/>
                <w:highlight w:val="none"/>
                <w:lang w:val="en-US" w:eastAsia="zh-CN"/>
              </w:rPr>
              <w:t>1</w:t>
            </w:r>
            <w:r>
              <w:rPr>
                <w:rFonts w:hint="eastAsia"/>
                <w:highlight w:val="none"/>
              </w:rPr>
              <w:t>年以上。</w:t>
            </w:r>
          </w:p>
          <w:p>
            <w:pPr>
              <w:spacing w:line="360" w:lineRule="auto"/>
              <w:jc w:val="left"/>
              <w:rPr>
                <w:rFonts w:hint="eastAsia"/>
                <w:highlight w:val="none"/>
              </w:rPr>
            </w:pPr>
            <w:r>
              <w:rPr>
                <w:rFonts w:hint="eastAsia" w:cs="宋体"/>
                <w:sz w:val="21"/>
                <w:szCs w:val="21"/>
                <w:highlight w:val="none"/>
                <w:lang w:val="en-US" w:eastAsia="zh-CN"/>
              </w:rPr>
              <w:t>学历要求：1、大学本科以上学历，公共事业管理专业优先。</w:t>
            </w:r>
          </w:p>
        </w:tc>
        <w:tc>
          <w:tcPr>
            <w:tcW w:w="750" w:type="dxa"/>
            <w:vAlign w:val="center"/>
          </w:tcPr>
          <w:p>
            <w:pPr>
              <w:widowControl w:val="0"/>
              <w:wordWrap/>
              <w:adjustRightInd w:val="0"/>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1年以上相关工作经验</w:t>
            </w:r>
          </w:p>
        </w:tc>
      </w:tr>
    </w:tbl>
    <w:p>
      <w:pPr>
        <w:widowControl w:val="0"/>
        <w:wordWrap/>
        <w:adjustRightInd w:val="0"/>
        <w:snapToGrid/>
        <w:spacing w:line="60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r>
        <w:rPr>
          <w:rFonts w:hint="eastAsia" w:ascii="宋体" w:hAnsi="宋体" w:cs="宋体"/>
          <w:b w:val="0"/>
          <w:bCs w:val="0"/>
          <w:color w:val="auto"/>
          <w:sz w:val="24"/>
          <w:szCs w:val="24"/>
          <w:highlight w:val="none"/>
          <w:lang w:val="en-US" w:eastAsia="zh-CN"/>
        </w:rPr>
        <w:t>乙方</w:t>
      </w:r>
      <w:r>
        <w:rPr>
          <w:rFonts w:hint="eastAsia" w:ascii="宋体" w:hAnsi="宋体" w:cs="宋体"/>
          <w:b w:val="0"/>
          <w:bCs w:val="0"/>
          <w:sz w:val="24"/>
          <w:szCs w:val="24"/>
          <w:highlight w:val="none"/>
          <w:lang w:val="en-US" w:eastAsia="zh-CN"/>
        </w:rPr>
        <w:t>为工作人员配置办公所需的电脑、显示器、手机、监测摄像头等办公所需物资。</w:t>
      </w:r>
    </w:p>
    <w:bookmarkEnd w:id="31"/>
    <w:bookmarkEnd w:id="32"/>
    <w:p>
      <w:pPr>
        <w:widowControl w:val="0"/>
        <w:numPr>
          <w:ilvl w:val="0"/>
          <w:numId w:val="0"/>
        </w:numPr>
        <w:wordWrap/>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val="en-US" w:eastAsia="zh-CN"/>
        </w:rPr>
        <w:t>、支付方式</w:t>
      </w:r>
      <w:r>
        <w:rPr>
          <w:rFonts w:hint="eastAsia" w:ascii="宋体" w:hAnsi="宋体" w:cs="宋体"/>
          <w:b/>
          <w:bCs/>
          <w:sz w:val="24"/>
          <w:szCs w:val="24"/>
          <w:highlight w:val="none"/>
          <w:lang w:val="en-US" w:eastAsia="zh-CN"/>
        </w:rPr>
        <w:t>及履约保证金</w:t>
      </w:r>
      <w:r>
        <w:rPr>
          <w:rFonts w:hint="eastAsia" w:ascii="宋体" w:hAnsi="宋体" w:eastAsia="宋体" w:cs="宋体"/>
          <w:b/>
          <w:bCs/>
          <w:sz w:val="24"/>
          <w:szCs w:val="24"/>
          <w:highlight w:val="none"/>
          <w:lang w:val="en-US" w:eastAsia="zh-CN"/>
        </w:rPr>
        <w:t>：</w:t>
      </w:r>
    </w:p>
    <w:p>
      <w:pPr>
        <w:pStyle w:val="83"/>
        <w:wordWrap/>
        <w:snapToGrid/>
        <w:spacing w:line="360" w:lineRule="auto"/>
        <w:ind w:firstLine="480" w:firstLineChars="200"/>
        <w:textAlignment w:val="auto"/>
        <w:rPr>
          <w:rFonts w:hint="eastAsia" w:cs="宋体"/>
          <w:kern w:val="2"/>
          <w:sz w:val="24"/>
          <w:szCs w:val="24"/>
          <w:highlight w:val="none"/>
          <w:lang w:val="en-US" w:eastAsia="zh-CN" w:bidi="ar-SA"/>
        </w:rPr>
      </w:pPr>
      <w:r>
        <w:rPr>
          <w:rFonts w:hint="eastAsia" w:cs="宋体"/>
          <w:kern w:val="2"/>
          <w:sz w:val="24"/>
          <w:szCs w:val="24"/>
          <w:highlight w:val="none"/>
          <w:lang w:val="en-US" w:eastAsia="zh-CN" w:bidi="ar-SA"/>
        </w:rPr>
        <w:t>1、支付方式：</w:t>
      </w:r>
    </w:p>
    <w:p>
      <w:pPr>
        <w:pStyle w:val="83"/>
        <w:wordWrap/>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本项目合同金额采用分期付款方式，在采购人和中标人合同签订后，且财政资金到位后，按下款要求支付相应的合同款项。分期付款的时间进度要求和支付比例具体如下：</w:t>
      </w:r>
    </w:p>
    <w:p>
      <w:pPr>
        <w:pStyle w:val="83"/>
        <w:wordWrap/>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(1)签订合同后，支付合同金额的</w:t>
      </w:r>
      <w:r>
        <w:rPr>
          <w:rFonts w:hint="eastAsia"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0</w:t>
      </w:r>
      <w:r>
        <w:rPr>
          <w:rFonts w:hint="eastAsia" w:cs="宋体"/>
          <w:kern w:val="2"/>
          <w:sz w:val="24"/>
          <w:szCs w:val="24"/>
          <w:highlight w:val="none"/>
          <w:lang w:val="en-US" w:eastAsia="zh-CN" w:bidi="ar-SA"/>
        </w:rPr>
        <w:t>.24</w:t>
      </w:r>
      <w:r>
        <w:rPr>
          <w:rFonts w:hint="eastAsia" w:ascii="宋体" w:hAnsi="宋体" w:eastAsia="宋体" w:cs="宋体"/>
          <w:kern w:val="2"/>
          <w:sz w:val="24"/>
          <w:szCs w:val="24"/>
          <w:highlight w:val="none"/>
          <w:lang w:val="en-US" w:eastAsia="zh-CN" w:bidi="ar-SA"/>
        </w:rPr>
        <w:t>%。</w:t>
      </w:r>
    </w:p>
    <w:p>
      <w:pPr>
        <w:pStyle w:val="83"/>
        <w:wordWrap/>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(2)项目进行满</w:t>
      </w:r>
      <w:r>
        <w:rPr>
          <w:rFonts w:hint="eastAsia"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zh-CN" w:bidi="ar-SA"/>
        </w:rPr>
        <w:t>个月后进行考核评估，考核结果公布的10个工作日内支付合同金额的30%；</w:t>
      </w:r>
    </w:p>
    <w:p>
      <w:pPr>
        <w:pStyle w:val="28"/>
        <w:wordWrap/>
        <w:snapToGrid/>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(3)项目年终考核评估结束后，结合中期和年终考核结果支付剩余合同款（如有扣款，相应扣除）。</w:t>
      </w:r>
    </w:p>
    <w:p>
      <w:pPr>
        <w:pStyle w:val="28"/>
        <w:wordWrap/>
        <w:snapToGrid/>
        <w:spacing w:line="360" w:lineRule="auto"/>
        <w:textAlignment w:val="auto"/>
        <w:rPr>
          <w:rFonts w:hint="default"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2、履约保证金：本项目不收取履约保证金。</w:t>
      </w:r>
    </w:p>
    <w:p>
      <w:pPr>
        <w:widowControl/>
        <w:numPr>
          <w:ilvl w:val="-1"/>
          <w:numId w:val="0"/>
        </w:numPr>
        <w:tabs>
          <w:tab w:val="left" w:pos="0"/>
        </w:tabs>
        <w:wordWrap/>
        <w:adjustRightInd/>
        <w:snapToGrid/>
        <w:spacing w:line="360" w:lineRule="auto"/>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七、验收与考核</w:t>
      </w:r>
    </w:p>
    <w:p>
      <w:pPr>
        <w:tabs>
          <w:tab w:val="left" w:pos="0"/>
        </w:tabs>
        <w:spacing w:line="360" w:lineRule="auto"/>
        <w:rPr>
          <w:rFonts w:hint="eastAsia" w:ascii="宋体" w:hAnsi="宋体" w:cs="宋体"/>
          <w:b/>
          <w:color w:val="auto"/>
          <w:sz w:val="24"/>
          <w:highlight w:val="none"/>
          <w:lang w:val="en-US" w:eastAsia="zh-CN"/>
        </w:rPr>
      </w:pPr>
      <w:r>
        <w:rPr>
          <w:rFonts w:hint="eastAsia" w:ascii="宋体" w:hAnsi="宋体" w:eastAsia="宋体" w:cs="宋体"/>
          <w:color w:val="000000"/>
          <w:sz w:val="24"/>
          <w:szCs w:val="24"/>
          <w:highlight w:val="none"/>
        </w:rPr>
        <w:t>采购人有权对本项目的服务进行验收或考核。对</w:t>
      </w:r>
      <w:r>
        <w:rPr>
          <w:rFonts w:hint="eastAsia" w:ascii="宋体" w:hAnsi="宋体" w:eastAsia="宋体" w:cs="宋体"/>
          <w:b w:val="0"/>
          <w:bCs w:val="0"/>
          <w:sz w:val="24"/>
          <w:szCs w:val="24"/>
          <w:highlight w:val="none"/>
          <w:lang w:val="en-US" w:eastAsia="zh-CN"/>
        </w:rPr>
        <w:t>投诉举报涉网案件每年需完成</w:t>
      </w:r>
      <w:r>
        <w:rPr>
          <w:rFonts w:hint="eastAsia" w:hAnsi="宋体" w:cs="宋体"/>
          <w:b w:val="0"/>
          <w:bCs w:val="0"/>
          <w:sz w:val="24"/>
          <w:szCs w:val="24"/>
          <w:highlight w:val="none"/>
          <w:lang w:val="en-US" w:eastAsia="zh-CN"/>
        </w:rPr>
        <w:t>257</w:t>
      </w:r>
      <w:r>
        <w:rPr>
          <w:rFonts w:hint="eastAsia" w:ascii="宋体" w:hAnsi="宋体" w:eastAsia="宋体" w:cs="宋体"/>
          <w:b w:val="0"/>
          <w:bCs w:val="0"/>
          <w:sz w:val="24"/>
          <w:szCs w:val="24"/>
          <w:highlight w:val="none"/>
          <w:lang w:val="en-US" w:eastAsia="zh-CN"/>
        </w:rPr>
        <w:t>0件，上下浮动3</w:t>
      </w:r>
      <w:r>
        <w:rPr>
          <w:rFonts w:hint="eastAsia" w:ascii="宋体" w:hAnsi="宋体" w:eastAsia="宋体" w:cs="宋体"/>
          <w:color w:val="000000"/>
          <w:sz w:val="24"/>
          <w:szCs w:val="24"/>
          <w:highlight w:val="none"/>
          <w:lang w:val="en-US" w:eastAsia="zh-CN"/>
        </w:rPr>
        <w:t>0% ；处理投诉举报量需达到每年</w:t>
      </w:r>
      <w:r>
        <w:rPr>
          <w:rFonts w:hint="eastAsia" w:hAnsi="宋体" w:cs="宋体"/>
          <w:color w:val="000000"/>
          <w:sz w:val="24"/>
          <w:szCs w:val="24"/>
          <w:highlight w:val="none"/>
          <w:lang w:val="en-US" w:eastAsia="zh-CN"/>
        </w:rPr>
        <w:t>90</w:t>
      </w:r>
      <w:r>
        <w:rPr>
          <w:rFonts w:hint="eastAsia" w:ascii="宋体" w:hAnsi="宋体" w:eastAsia="宋体" w:cs="宋体"/>
          <w:color w:val="000000"/>
          <w:sz w:val="24"/>
          <w:szCs w:val="24"/>
          <w:highlight w:val="none"/>
          <w:lang w:val="en-US" w:eastAsia="zh-CN"/>
        </w:rPr>
        <w:t>00件；网络定向监测数量每年需达1</w:t>
      </w:r>
      <w:r>
        <w:rPr>
          <w:rFonts w:hint="eastAsia"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000个，</w:t>
      </w:r>
      <w:r>
        <w:rPr>
          <w:rFonts w:hint="eastAsia" w:ascii="宋体" w:hAnsi="宋体" w:eastAsia="宋体" w:cs="宋体"/>
          <w:b w:val="0"/>
          <w:bCs w:val="0"/>
          <w:color w:val="000000"/>
          <w:sz w:val="24"/>
          <w:szCs w:val="24"/>
          <w:highlight w:val="none"/>
          <w:lang w:val="en-US" w:eastAsia="zh-CN"/>
        </w:rPr>
        <w:t>监测发现违法线索</w:t>
      </w:r>
      <w:r>
        <w:rPr>
          <w:rFonts w:hint="eastAsia" w:hAnsi="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lang w:val="en-US" w:eastAsia="zh-CN"/>
        </w:rPr>
        <w:t>00条以上，有效线索</w:t>
      </w:r>
      <w:r>
        <w:rPr>
          <w:rFonts w:hint="eastAsia" w:hAnsi="宋体" w:cs="宋体"/>
          <w:b w:val="0"/>
          <w:bCs w:val="0"/>
          <w:color w:val="000000"/>
          <w:sz w:val="24"/>
          <w:szCs w:val="24"/>
          <w:highlight w:val="none"/>
          <w:lang w:val="en-US" w:eastAsia="zh-CN"/>
        </w:rPr>
        <w:t>14</w:t>
      </w:r>
      <w:r>
        <w:rPr>
          <w:rFonts w:hint="eastAsia" w:ascii="宋体" w:hAnsi="宋体" w:eastAsia="宋体" w:cs="宋体"/>
          <w:b w:val="0"/>
          <w:bCs w:val="0"/>
          <w:color w:val="000000"/>
          <w:sz w:val="24"/>
          <w:szCs w:val="24"/>
          <w:highlight w:val="none"/>
          <w:lang w:val="en-US" w:eastAsia="zh-CN"/>
        </w:rPr>
        <w:t>0条</w:t>
      </w:r>
      <w:r>
        <w:rPr>
          <w:rFonts w:hint="eastAsia" w:hAnsi="宋体" w:cs="宋体"/>
          <w:b w:val="0"/>
          <w:bCs w:val="0"/>
          <w:color w:val="000000"/>
          <w:sz w:val="24"/>
          <w:szCs w:val="24"/>
          <w:highlight w:val="none"/>
          <w:lang w:val="en-US" w:eastAsia="zh-CN"/>
        </w:rPr>
        <w:t>，线索</w:t>
      </w:r>
      <w:r>
        <w:rPr>
          <w:rFonts w:hint="eastAsia" w:ascii="宋体" w:hAnsi="宋体" w:eastAsia="宋体" w:cs="宋体"/>
          <w:color w:val="000000"/>
          <w:sz w:val="24"/>
          <w:szCs w:val="24"/>
          <w:highlight w:val="none"/>
          <w:lang w:val="en-US" w:eastAsia="zh-CN"/>
        </w:rPr>
        <w:t>上下浮动30%；排摸数量每年需不少于</w:t>
      </w:r>
      <w:r>
        <w:rPr>
          <w:rFonts w:hint="eastAsia"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000个。对未完成上述工作</w:t>
      </w:r>
      <w:r>
        <w:rPr>
          <w:rFonts w:hint="eastAsia" w:ascii="宋体" w:hAnsi="宋体" w:eastAsia="宋体" w:cs="宋体"/>
          <w:b w:val="0"/>
          <w:bCs w:val="0"/>
          <w:sz w:val="24"/>
          <w:szCs w:val="24"/>
          <w:highlight w:val="none"/>
          <w:lang w:val="en-US" w:eastAsia="zh-CN"/>
        </w:rPr>
        <w:t>数量的按比例扣除相应合同金额。（每年所产生的工作量未达到本次招标的预估量不进行处罚）</w:t>
      </w:r>
      <w:r>
        <w:rPr>
          <w:rFonts w:hint="eastAsia" w:ascii="宋体" w:hAnsi="宋体" w:eastAsia="宋体" w:cs="宋体"/>
          <w:color w:val="000000"/>
          <w:sz w:val="24"/>
          <w:szCs w:val="24"/>
          <w:highlight w:val="none"/>
          <w:lang w:val="en-US" w:eastAsia="zh-CN"/>
        </w:rPr>
        <w:t>若经过采购人考核为优秀，次年可以续签合同。</w:t>
      </w:r>
    </w:p>
    <w:p>
      <w:pPr>
        <w:tabs>
          <w:tab w:val="left" w:pos="0"/>
        </w:tabs>
        <w:spacing w:line="360" w:lineRule="auto"/>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、服务标准</w:t>
      </w:r>
    </w:p>
    <w:p>
      <w:pPr>
        <w:tabs>
          <w:tab w:val="left" w:pos="0"/>
        </w:tabs>
        <w:spacing w:line="360" w:lineRule="auto"/>
        <w:ind w:firstLine="480"/>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本次采购的服务所涉及的标准、规范、验收标准、规范，应符合国家有关条例及规范。如有新的标准应采纳新标准；若同一产品同时有几个标准（国际标准、国家标准、行业标准、企业标准等），则按最高层次的标准执行。</w:t>
      </w:r>
    </w:p>
    <w:p>
      <w:pPr>
        <w:tabs>
          <w:tab w:val="left" w:pos="0"/>
        </w:tabs>
        <w:snapToGrid/>
        <w:spacing w:line="360" w:lineRule="auto"/>
        <w:ind w:firstLine="480"/>
        <w:rPr>
          <w:rFonts w:hint="eastAsia" w:ascii="宋体" w:hAns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．中国国家标准及其它被普遍认可的标准，由招标人认可的其他国家的其他权威标准；原有规范若已被废弃，则以相应的新规范为准。</w:t>
      </w:r>
    </w:p>
    <w:p>
      <w:pPr>
        <w:tabs>
          <w:tab w:val="left" w:pos="0"/>
        </w:tabs>
        <w:spacing w:line="360" w:lineRule="auto"/>
        <w:ind w:firstLine="0"/>
        <w:jc w:val="center"/>
        <w:outlineLvl w:val="9"/>
        <w:rPr>
          <w:rFonts w:ascii="宋体" w:hAnsi="宋体" w:cs="宋体"/>
          <w:b/>
          <w:color w:val="auto"/>
          <w:sz w:val="36"/>
          <w:szCs w:val="36"/>
          <w:highlight w:val="none"/>
        </w:rPr>
      </w:pPr>
      <w:r>
        <w:rPr>
          <w:rFonts w:ascii="宋体" w:hAnsi="宋体" w:cs="宋体"/>
          <w:kern w:val="0"/>
          <w:sz w:val="24"/>
          <w:highlight w:val="none"/>
        </w:rPr>
        <w:t>3</w:t>
      </w:r>
      <w:r>
        <w:rPr>
          <w:rFonts w:hint="eastAsia" w:ascii="宋体" w:hAnsi="宋体" w:cs="宋体"/>
          <w:kern w:val="0"/>
          <w:sz w:val="24"/>
          <w:highlight w:val="none"/>
        </w:rPr>
        <w:t>．供应商提供的服务必须满足招标文件中提出的相关技术要求。</w:t>
      </w: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0317"/>
      <w:bookmarkEnd w:id="33"/>
      <w:bookmarkStart w:id="34" w:name="_Toc184313247"/>
      <w:bookmarkEnd w:id="34"/>
      <w:bookmarkStart w:id="35" w:name="_Toc184312139"/>
      <w:bookmarkEnd w:id="35"/>
      <w:bookmarkStart w:id="36" w:name="_Toc184312092"/>
      <w:bookmarkEnd w:id="36"/>
      <w:bookmarkStart w:id="37" w:name="_Toc184310312"/>
      <w:bookmarkEnd w:id="37"/>
      <w:bookmarkStart w:id="38" w:name="_Toc184312129"/>
      <w:bookmarkEnd w:id="38"/>
      <w:bookmarkStart w:id="39" w:name="_Toc184313310"/>
      <w:bookmarkEnd w:id="39"/>
      <w:bookmarkStart w:id="40" w:name="_Toc184314445"/>
      <w:bookmarkEnd w:id="40"/>
      <w:bookmarkStart w:id="41" w:name="_Toc184312121"/>
      <w:bookmarkEnd w:id="41"/>
      <w:bookmarkStart w:id="42" w:name="_Toc184308100"/>
      <w:bookmarkEnd w:id="42"/>
      <w:bookmarkStart w:id="43" w:name="_Toc184313292"/>
      <w:bookmarkEnd w:id="43"/>
      <w:bookmarkStart w:id="44" w:name="_Toc184308095"/>
      <w:bookmarkEnd w:id="44"/>
      <w:bookmarkStart w:id="45" w:name="_Toc184312101"/>
      <w:bookmarkEnd w:id="45"/>
      <w:bookmarkStart w:id="46" w:name="_Toc184308050"/>
      <w:bookmarkEnd w:id="46"/>
      <w:bookmarkStart w:id="47" w:name="_Toc184314456"/>
      <w:bookmarkEnd w:id="47"/>
      <w:bookmarkStart w:id="48" w:name="_Toc184313271"/>
      <w:bookmarkEnd w:id="48"/>
      <w:bookmarkStart w:id="49" w:name="_Toc184312075"/>
      <w:bookmarkEnd w:id="49"/>
      <w:bookmarkStart w:id="50" w:name="_Toc184312118"/>
      <w:bookmarkEnd w:id="50"/>
      <w:bookmarkStart w:id="51" w:name="_Toc184314413"/>
      <w:bookmarkEnd w:id="51"/>
      <w:bookmarkStart w:id="52" w:name="_Toc184312108"/>
      <w:bookmarkEnd w:id="52"/>
      <w:bookmarkStart w:id="53" w:name="_Toc184313258"/>
      <w:bookmarkEnd w:id="53"/>
      <w:bookmarkStart w:id="54" w:name="_Toc184313269"/>
      <w:bookmarkEnd w:id="54"/>
      <w:bookmarkStart w:id="55" w:name="_Toc184308089"/>
      <w:bookmarkEnd w:id="55"/>
      <w:bookmarkStart w:id="56" w:name="_Toc184314460"/>
      <w:bookmarkEnd w:id="56"/>
      <w:bookmarkStart w:id="57" w:name="_Toc184313286"/>
      <w:bookmarkEnd w:id="57"/>
      <w:bookmarkStart w:id="58" w:name="_Toc184312125"/>
      <w:bookmarkEnd w:id="58"/>
      <w:bookmarkStart w:id="59" w:name="_Toc184313285"/>
      <w:bookmarkEnd w:id="59"/>
      <w:bookmarkStart w:id="60" w:name="_Toc184314472"/>
      <w:bookmarkEnd w:id="60"/>
      <w:bookmarkStart w:id="61" w:name="_Toc184312089"/>
      <w:bookmarkEnd w:id="61"/>
      <w:bookmarkStart w:id="62" w:name="_Toc184310278"/>
      <w:bookmarkEnd w:id="62"/>
      <w:bookmarkStart w:id="63" w:name="_Toc184308047"/>
      <w:bookmarkEnd w:id="63"/>
      <w:bookmarkStart w:id="64" w:name="_Toc184313295"/>
      <w:bookmarkEnd w:id="64"/>
      <w:bookmarkStart w:id="65" w:name="_Toc184310301"/>
      <w:bookmarkEnd w:id="65"/>
      <w:bookmarkStart w:id="66" w:name="_Toc184308066"/>
      <w:bookmarkEnd w:id="66"/>
      <w:bookmarkStart w:id="67" w:name="_Toc184308105"/>
      <w:bookmarkEnd w:id="67"/>
      <w:bookmarkStart w:id="68" w:name="_Toc184310295"/>
      <w:bookmarkEnd w:id="68"/>
      <w:bookmarkStart w:id="69" w:name="_Toc184310322"/>
      <w:bookmarkEnd w:id="69"/>
      <w:bookmarkStart w:id="70" w:name="_Toc184314449"/>
      <w:bookmarkEnd w:id="70"/>
      <w:bookmarkStart w:id="71" w:name="_Toc184310298"/>
      <w:bookmarkEnd w:id="71"/>
      <w:bookmarkStart w:id="72" w:name="_Toc184314468"/>
      <w:bookmarkEnd w:id="72"/>
      <w:bookmarkStart w:id="73" w:name="_Toc184310277"/>
      <w:bookmarkEnd w:id="73"/>
      <w:bookmarkStart w:id="74" w:name="_Toc184312120"/>
      <w:bookmarkEnd w:id="74"/>
      <w:bookmarkStart w:id="75" w:name="_Toc184313240"/>
      <w:bookmarkEnd w:id="75"/>
      <w:bookmarkStart w:id="76" w:name="_Toc184313264"/>
      <w:bookmarkEnd w:id="76"/>
      <w:bookmarkStart w:id="77" w:name="_Toc184310316"/>
      <w:bookmarkEnd w:id="77"/>
      <w:bookmarkStart w:id="78" w:name="_Toc184312113"/>
      <w:bookmarkEnd w:id="78"/>
      <w:bookmarkStart w:id="79" w:name="_Toc184313252"/>
      <w:bookmarkEnd w:id="79"/>
      <w:bookmarkStart w:id="80" w:name="_Toc184314482"/>
      <w:bookmarkEnd w:id="80"/>
      <w:bookmarkStart w:id="81" w:name="_Toc184313261"/>
      <w:bookmarkEnd w:id="81"/>
      <w:bookmarkStart w:id="82" w:name="_Toc184312137"/>
      <w:bookmarkEnd w:id="82"/>
      <w:bookmarkStart w:id="83" w:name="_Toc184313257"/>
      <w:bookmarkEnd w:id="83"/>
      <w:bookmarkStart w:id="84" w:name="_Toc184308093"/>
      <w:bookmarkEnd w:id="84"/>
      <w:bookmarkStart w:id="85" w:name="_Toc184312124"/>
      <w:bookmarkEnd w:id="85"/>
      <w:bookmarkStart w:id="86" w:name="_Toc184314478"/>
      <w:bookmarkEnd w:id="86"/>
      <w:bookmarkStart w:id="87" w:name="_Toc184310279"/>
      <w:bookmarkEnd w:id="87"/>
      <w:bookmarkStart w:id="88" w:name="_Toc184310337"/>
      <w:bookmarkEnd w:id="88"/>
      <w:bookmarkStart w:id="89" w:name="_Toc184312111"/>
      <w:bookmarkEnd w:id="89"/>
      <w:bookmarkStart w:id="90" w:name="_Toc184308065"/>
      <w:bookmarkEnd w:id="90"/>
      <w:bookmarkStart w:id="91" w:name="_Toc184310327"/>
      <w:bookmarkEnd w:id="91"/>
      <w:bookmarkStart w:id="92" w:name="_Toc184312086"/>
      <w:bookmarkEnd w:id="92"/>
      <w:bookmarkStart w:id="93" w:name="_Toc184310288"/>
      <w:bookmarkEnd w:id="93"/>
      <w:bookmarkStart w:id="94" w:name="_Toc184313289"/>
      <w:bookmarkEnd w:id="94"/>
      <w:bookmarkStart w:id="95" w:name="_Toc184308081"/>
      <w:bookmarkEnd w:id="95"/>
      <w:bookmarkStart w:id="96" w:name="_Toc184310308"/>
      <w:bookmarkEnd w:id="96"/>
      <w:bookmarkStart w:id="97" w:name="_Toc184310280"/>
      <w:bookmarkEnd w:id="97"/>
      <w:bookmarkStart w:id="98" w:name="_Toc184314442"/>
      <w:bookmarkEnd w:id="98"/>
      <w:bookmarkStart w:id="99" w:name="_Toc184308051"/>
      <w:bookmarkEnd w:id="99"/>
      <w:bookmarkStart w:id="100" w:name="_Toc184314469"/>
      <w:bookmarkEnd w:id="100"/>
      <w:bookmarkStart w:id="101" w:name="_Toc184314446"/>
      <w:bookmarkEnd w:id="101"/>
      <w:bookmarkStart w:id="102" w:name="_Toc184313305"/>
      <w:bookmarkEnd w:id="102"/>
      <w:bookmarkStart w:id="103" w:name="_Toc184312076"/>
      <w:bookmarkEnd w:id="103"/>
      <w:bookmarkStart w:id="104" w:name="_Toc184313250"/>
      <w:bookmarkEnd w:id="104"/>
      <w:bookmarkStart w:id="105" w:name="_Toc184310333"/>
      <w:bookmarkEnd w:id="105"/>
      <w:bookmarkStart w:id="106" w:name="_Toc184313249"/>
      <w:bookmarkEnd w:id="106"/>
      <w:bookmarkStart w:id="107" w:name="_Toc184314481"/>
      <w:bookmarkEnd w:id="107"/>
      <w:bookmarkStart w:id="108" w:name="_Toc184312115"/>
      <w:bookmarkEnd w:id="108"/>
      <w:bookmarkStart w:id="109" w:name="_Toc184308046"/>
      <w:bookmarkEnd w:id="109"/>
      <w:bookmarkStart w:id="110" w:name="_Toc184313256"/>
      <w:bookmarkEnd w:id="110"/>
      <w:bookmarkStart w:id="111" w:name="_Toc184308082"/>
      <w:bookmarkEnd w:id="111"/>
      <w:bookmarkStart w:id="112" w:name="_Toc184314452"/>
      <w:bookmarkEnd w:id="112"/>
      <w:bookmarkStart w:id="113" w:name="_Toc184313281"/>
      <w:bookmarkEnd w:id="113"/>
      <w:bookmarkStart w:id="114" w:name="_Toc184310309"/>
      <w:bookmarkEnd w:id="114"/>
      <w:bookmarkStart w:id="115" w:name="_Toc184312071"/>
      <w:bookmarkEnd w:id="115"/>
      <w:bookmarkStart w:id="116" w:name="_Toc184310332"/>
      <w:bookmarkEnd w:id="116"/>
      <w:bookmarkStart w:id="117" w:name="_Toc184312106"/>
      <w:bookmarkEnd w:id="117"/>
      <w:bookmarkStart w:id="118" w:name="_Toc184314439"/>
      <w:bookmarkEnd w:id="118"/>
      <w:bookmarkStart w:id="119" w:name="_Toc184310302"/>
      <w:bookmarkEnd w:id="119"/>
      <w:bookmarkStart w:id="120" w:name="_Toc184310311"/>
      <w:bookmarkEnd w:id="120"/>
      <w:bookmarkStart w:id="121" w:name="_Toc184308071"/>
      <w:bookmarkEnd w:id="121"/>
      <w:bookmarkStart w:id="122" w:name="_Toc184313282"/>
      <w:bookmarkEnd w:id="122"/>
      <w:bookmarkStart w:id="123" w:name="_Toc184313276"/>
      <w:bookmarkEnd w:id="123"/>
      <w:bookmarkStart w:id="124" w:name="_Toc184310294"/>
      <w:bookmarkEnd w:id="124"/>
      <w:bookmarkStart w:id="125" w:name="_Toc184313279"/>
      <w:bookmarkEnd w:id="125"/>
      <w:bookmarkStart w:id="126" w:name="_Toc184313283"/>
      <w:bookmarkEnd w:id="126"/>
      <w:bookmarkStart w:id="127" w:name="_Toc184312133"/>
      <w:bookmarkEnd w:id="127"/>
      <w:bookmarkStart w:id="128" w:name="_Toc184313296"/>
      <w:bookmarkEnd w:id="128"/>
      <w:bookmarkStart w:id="129" w:name="_Toc184308108"/>
      <w:bookmarkEnd w:id="129"/>
      <w:bookmarkStart w:id="130" w:name="_Toc184310325"/>
      <w:bookmarkEnd w:id="130"/>
      <w:bookmarkStart w:id="131" w:name="_Toc184313302"/>
      <w:bookmarkEnd w:id="131"/>
      <w:bookmarkStart w:id="132" w:name="_Toc184312088"/>
      <w:bookmarkEnd w:id="132"/>
      <w:bookmarkStart w:id="133" w:name="_Toc184314441"/>
      <w:bookmarkEnd w:id="133"/>
      <w:bookmarkStart w:id="134" w:name="_Toc184314464"/>
      <w:bookmarkEnd w:id="134"/>
      <w:bookmarkStart w:id="135" w:name="_Toc184313246"/>
      <w:bookmarkEnd w:id="135"/>
      <w:bookmarkStart w:id="136" w:name="_Toc184314435"/>
      <w:bookmarkEnd w:id="136"/>
      <w:bookmarkStart w:id="137" w:name="_Toc184308037"/>
      <w:bookmarkEnd w:id="137"/>
      <w:bookmarkStart w:id="138" w:name="_Toc184312130"/>
      <w:bookmarkEnd w:id="138"/>
      <w:bookmarkStart w:id="139" w:name="_Toc184312068"/>
      <w:bookmarkEnd w:id="139"/>
      <w:bookmarkStart w:id="140" w:name="_Toc184314432"/>
      <w:bookmarkEnd w:id="140"/>
      <w:bookmarkStart w:id="141" w:name="_Toc184308088"/>
      <w:bookmarkEnd w:id="141"/>
      <w:bookmarkStart w:id="142" w:name="_Toc184314431"/>
      <w:bookmarkEnd w:id="142"/>
      <w:bookmarkStart w:id="143" w:name="_Toc184313242"/>
      <w:bookmarkEnd w:id="143"/>
      <w:bookmarkStart w:id="144" w:name="_Toc184308069"/>
      <w:bookmarkEnd w:id="144"/>
      <w:bookmarkStart w:id="145" w:name="_Toc184313243"/>
      <w:bookmarkEnd w:id="145"/>
      <w:bookmarkStart w:id="146" w:name="_Toc184313277"/>
      <w:bookmarkEnd w:id="146"/>
      <w:bookmarkStart w:id="147" w:name="_Toc184312085"/>
      <w:bookmarkEnd w:id="147"/>
      <w:bookmarkStart w:id="148" w:name="_Toc184310341"/>
      <w:bookmarkEnd w:id="148"/>
      <w:bookmarkStart w:id="149" w:name="_Toc184310336"/>
      <w:bookmarkEnd w:id="149"/>
      <w:bookmarkStart w:id="150" w:name="_Toc184312126"/>
      <w:bookmarkEnd w:id="150"/>
      <w:bookmarkStart w:id="151" w:name="_Toc184308056"/>
      <w:bookmarkEnd w:id="151"/>
      <w:bookmarkStart w:id="152" w:name="_Toc184312094"/>
      <w:bookmarkEnd w:id="152"/>
      <w:bookmarkStart w:id="153" w:name="_Toc184314436"/>
      <w:bookmarkEnd w:id="153"/>
      <w:bookmarkStart w:id="154" w:name="_Toc184308062"/>
      <w:bookmarkEnd w:id="154"/>
      <w:bookmarkStart w:id="155" w:name="_Toc184308084"/>
      <w:bookmarkEnd w:id="155"/>
      <w:bookmarkStart w:id="156" w:name="_Toc184312099"/>
      <w:bookmarkEnd w:id="156"/>
      <w:bookmarkStart w:id="157" w:name="_Toc184313260"/>
      <w:bookmarkEnd w:id="157"/>
      <w:bookmarkStart w:id="158" w:name="_Toc184312114"/>
      <w:bookmarkEnd w:id="158"/>
      <w:bookmarkStart w:id="159" w:name="_Toc184314443"/>
      <w:bookmarkEnd w:id="159"/>
      <w:bookmarkStart w:id="160" w:name="_Toc184310281"/>
      <w:bookmarkEnd w:id="160"/>
      <w:bookmarkStart w:id="161" w:name="_Toc184308085"/>
      <w:bookmarkEnd w:id="161"/>
      <w:bookmarkStart w:id="162" w:name="_Toc184312136"/>
      <w:bookmarkEnd w:id="162"/>
      <w:bookmarkStart w:id="163" w:name="_Toc184308038"/>
      <w:bookmarkEnd w:id="163"/>
      <w:bookmarkStart w:id="164" w:name="_Toc184314470"/>
      <w:bookmarkEnd w:id="164"/>
      <w:bookmarkStart w:id="165" w:name="_Toc184308058"/>
      <w:bookmarkEnd w:id="165"/>
      <w:bookmarkStart w:id="166" w:name="_Toc184310331"/>
      <w:bookmarkEnd w:id="166"/>
      <w:bookmarkStart w:id="167" w:name="_Toc184313293"/>
      <w:bookmarkEnd w:id="167"/>
      <w:bookmarkStart w:id="168" w:name="_Toc184313254"/>
      <w:bookmarkEnd w:id="168"/>
      <w:bookmarkStart w:id="169" w:name="_Toc184308099"/>
      <w:bookmarkEnd w:id="169"/>
      <w:bookmarkStart w:id="170" w:name="_Toc184312084"/>
      <w:bookmarkEnd w:id="170"/>
      <w:bookmarkStart w:id="171" w:name="_Toc184314420"/>
      <w:bookmarkEnd w:id="171"/>
      <w:bookmarkStart w:id="172" w:name="_Toc184308098"/>
      <w:bookmarkEnd w:id="172"/>
      <w:bookmarkStart w:id="173" w:name="_Toc184310296"/>
      <w:bookmarkEnd w:id="173"/>
      <w:bookmarkStart w:id="174" w:name="_Toc184308075"/>
      <w:bookmarkEnd w:id="174"/>
      <w:bookmarkStart w:id="175" w:name="_Toc184312093"/>
      <w:bookmarkEnd w:id="175"/>
      <w:bookmarkStart w:id="176" w:name="_Toc184314434"/>
      <w:bookmarkEnd w:id="176"/>
      <w:bookmarkStart w:id="177" w:name="_Toc184314428"/>
      <w:bookmarkEnd w:id="177"/>
      <w:bookmarkStart w:id="178" w:name="_Toc184314426"/>
      <w:bookmarkEnd w:id="178"/>
      <w:bookmarkStart w:id="179" w:name="_Toc184310273"/>
      <w:bookmarkEnd w:id="179"/>
      <w:bookmarkStart w:id="180" w:name="_Toc184310342"/>
      <w:bookmarkEnd w:id="180"/>
      <w:bookmarkStart w:id="181" w:name="_Toc184308094"/>
      <w:bookmarkEnd w:id="181"/>
      <w:bookmarkStart w:id="182" w:name="_Toc184314454"/>
      <w:bookmarkEnd w:id="182"/>
      <w:bookmarkStart w:id="183" w:name="_Toc184310340"/>
      <w:bookmarkEnd w:id="183"/>
      <w:bookmarkStart w:id="184" w:name="_Toc184308078"/>
      <w:bookmarkEnd w:id="184"/>
      <w:bookmarkStart w:id="185" w:name="_Toc184314461"/>
      <w:bookmarkEnd w:id="185"/>
      <w:bookmarkStart w:id="186" w:name="_Toc184308067"/>
      <w:bookmarkEnd w:id="186"/>
      <w:bookmarkStart w:id="187" w:name="_Toc184314473"/>
      <w:bookmarkEnd w:id="187"/>
      <w:bookmarkStart w:id="188" w:name="_Toc184313287"/>
      <w:bookmarkEnd w:id="188"/>
      <w:bookmarkStart w:id="189" w:name="_Toc184308045"/>
      <w:bookmarkEnd w:id="189"/>
      <w:bookmarkStart w:id="190" w:name="_Toc184308057"/>
      <w:bookmarkEnd w:id="190"/>
      <w:bookmarkStart w:id="191" w:name="_Toc184308054"/>
      <w:bookmarkEnd w:id="191"/>
      <w:bookmarkStart w:id="192" w:name="_Toc184310293"/>
      <w:bookmarkEnd w:id="192"/>
      <w:bookmarkStart w:id="193" w:name="_Toc184310290"/>
      <w:bookmarkEnd w:id="193"/>
      <w:bookmarkStart w:id="194" w:name="_Toc184314412"/>
      <w:bookmarkEnd w:id="194"/>
      <w:bookmarkStart w:id="195" w:name="_Toc184308074"/>
      <w:bookmarkEnd w:id="195"/>
      <w:bookmarkStart w:id="196" w:name="_Toc184310328"/>
      <w:bookmarkEnd w:id="196"/>
      <w:bookmarkStart w:id="197" w:name="_Toc184313280"/>
      <w:bookmarkEnd w:id="197"/>
      <w:bookmarkStart w:id="198" w:name="_Toc184308059"/>
      <w:bookmarkEnd w:id="198"/>
      <w:bookmarkStart w:id="199" w:name="_Toc184308053"/>
      <w:bookmarkEnd w:id="199"/>
      <w:bookmarkStart w:id="200" w:name="_Toc184312073"/>
      <w:bookmarkEnd w:id="200"/>
      <w:bookmarkStart w:id="201" w:name="_Toc184313266"/>
      <w:bookmarkEnd w:id="201"/>
      <w:bookmarkStart w:id="202" w:name="_Toc184308090"/>
      <w:bookmarkEnd w:id="202"/>
      <w:bookmarkStart w:id="203" w:name="_Toc184310303"/>
      <w:bookmarkEnd w:id="203"/>
      <w:bookmarkStart w:id="204" w:name="_Toc184314438"/>
      <w:bookmarkEnd w:id="204"/>
      <w:bookmarkStart w:id="205" w:name="_Toc184314421"/>
      <w:bookmarkEnd w:id="205"/>
      <w:bookmarkStart w:id="206" w:name="_Toc184312104"/>
      <w:bookmarkEnd w:id="206"/>
      <w:bookmarkStart w:id="207" w:name="_Toc184314455"/>
      <w:bookmarkEnd w:id="207"/>
      <w:bookmarkStart w:id="208" w:name="_Toc184312102"/>
      <w:bookmarkEnd w:id="208"/>
      <w:bookmarkStart w:id="209" w:name="_Toc184312107"/>
      <w:bookmarkEnd w:id="209"/>
      <w:bookmarkStart w:id="210" w:name="_Toc184314448"/>
      <w:bookmarkEnd w:id="210"/>
      <w:bookmarkStart w:id="211" w:name="_Toc184308092"/>
      <w:bookmarkEnd w:id="211"/>
      <w:bookmarkStart w:id="212" w:name="_Toc184308041"/>
      <w:bookmarkEnd w:id="212"/>
      <w:bookmarkStart w:id="213" w:name="_Toc184314416"/>
      <w:bookmarkEnd w:id="213"/>
      <w:bookmarkStart w:id="214" w:name="_Toc184313263"/>
      <w:bookmarkEnd w:id="214"/>
      <w:bookmarkStart w:id="215" w:name="_Toc184312127"/>
      <w:bookmarkEnd w:id="215"/>
      <w:bookmarkStart w:id="216" w:name="_Toc184314477"/>
      <w:bookmarkEnd w:id="216"/>
      <w:bookmarkStart w:id="217" w:name="_Toc184314453"/>
      <w:bookmarkEnd w:id="217"/>
      <w:bookmarkStart w:id="218" w:name="_Toc184310287"/>
      <w:bookmarkEnd w:id="218"/>
      <w:bookmarkStart w:id="219" w:name="_Toc184313267"/>
      <w:bookmarkEnd w:id="219"/>
      <w:bookmarkStart w:id="220" w:name="_Toc184312096"/>
      <w:bookmarkEnd w:id="220"/>
      <w:bookmarkStart w:id="221" w:name="_Toc184313272"/>
      <w:bookmarkEnd w:id="221"/>
      <w:bookmarkStart w:id="222" w:name="_Toc184310330"/>
      <w:bookmarkEnd w:id="222"/>
      <w:bookmarkStart w:id="223" w:name="_Toc184310300"/>
      <w:bookmarkEnd w:id="223"/>
      <w:bookmarkStart w:id="224" w:name="_Toc184314467"/>
      <w:bookmarkEnd w:id="224"/>
      <w:bookmarkStart w:id="225" w:name="_Toc184308043"/>
      <w:bookmarkEnd w:id="225"/>
      <w:bookmarkStart w:id="226" w:name="_Toc184313300"/>
      <w:bookmarkEnd w:id="226"/>
      <w:bookmarkStart w:id="227" w:name="_Toc184313244"/>
      <w:bookmarkEnd w:id="227"/>
      <w:bookmarkStart w:id="228" w:name="_Toc184314423"/>
      <w:bookmarkEnd w:id="228"/>
      <w:bookmarkStart w:id="229" w:name="_Toc184310318"/>
      <w:bookmarkEnd w:id="229"/>
      <w:bookmarkStart w:id="230" w:name="_Toc184310334"/>
      <w:bookmarkEnd w:id="230"/>
      <w:bookmarkStart w:id="231" w:name="_Toc184313270"/>
      <w:bookmarkEnd w:id="231"/>
      <w:bookmarkStart w:id="232" w:name="_Toc184314458"/>
      <w:bookmarkEnd w:id="232"/>
      <w:bookmarkStart w:id="233" w:name="_Toc184314463"/>
      <w:bookmarkEnd w:id="233"/>
      <w:bookmarkStart w:id="234" w:name="_Toc184313274"/>
      <w:bookmarkEnd w:id="234"/>
      <w:bookmarkStart w:id="235" w:name="_Toc184308060"/>
      <w:bookmarkEnd w:id="235"/>
      <w:bookmarkStart w:id="236" w:name="_Toc184308076"/>
      <w:bookmarkEnd w:id="236"/>
      <w:bookmarkStart w:id="237" w:name="_Toc184314451"/>
      <w:bookmarkEnd w:id="237"/>
      <w:bookmarkStart w:id="238" w:name="_Toc184313304"/>
      <w:bookmarkEnd w:id="238"/>
      <w:bookmarkStart w:id="239" w:name="_Toc184312077"/>
      <w:bookmarkEnd w:id="239"/>
      <w:bookmarkStart w:id="240" w:name="_Toc184310324"/>
      <w:bookmarkEnd w:id="240"/>
      <w:bookmarkStart w:id="241" w:name="_Toc184313259"/>
      <w:bookmarkEnd w:id="241"/>
      <w:bookmarkStart w:id="242" w:name="_Toc184310320"/>
      <w:bookmarkEnd w:id="242"/>
      <w:bookmarkStart w:id="243" w:name="_Toc184313278"/>
      <w:bookmarkEnd w:id="243"/>
      <w:bookmarkStart w:id="244" w:name="_Toc184310326"/>
      <w:bookmarkEnd w:id="244"/>
      <w:bookmarkStart w:id="245" w:name="_Toc184308097"/>
      <w:bookmarkEnd w:id="245"/>
      <w:bookmarkStart w:id="246" w:name="_Toc184314425"/>
      <w:bookmarkEnd w:id="246"/>
      <w:bookmarkStart w:id="247" w:name="_Toc184313262"/>
      <w:bookmarkEnd w:id="247"/>
      <w:bookmarkStart w:id="248" w:name="_Toc184308036"/>
      <w:bookmarkEnd w:id="248"/>
      <w:bookmarkStart w:id="249" w:name="_Toc184313245"/>
      <w:bookmarkEnd w:id="249"/>
      <w:bookmarkStart w:id="250" w:name="_Toc184314417"/>
      <w:bookmarkEnd w:id="250"/>
      <w:bookmarkStart w:id="251" w:name="_Toc184310319"/>
      <w:bookmarkEnd w:id="251"/>
      <w:bookmarkStart w:id="252" w:name="_Toc184313308"/>
      <w:bookmarkEnd w:id="252"/>
      <w:bookmarkStart w:id="253" w:name="_Toc184308072"/>
      <w:bookmarkEnd w:id="253"/>
      <w:bookmarkStart w:id="254" w:name="_Toc184314440"/>
      <w:bookmarkEnd w:id="254"/>
      <w:bookmarkStart w:id="255" w:name="_Toc184312090"/>
      <w:bookmarkEnd w:id="255"/>
      <w:bookmarkStart w:id="256" w:name="_Toc184308077"/>
      <w:bookmarkEnd w:id="256"/>
      <w:bookmarkStart w:id="257" w:name="_Toc184308096"/>
      <w:bookmarkEnd w:id="257"/>
      <w:bookmarkStart w:id="258" w:name="_Toc184308102"/>
      <w:bookmarkEnd w:id="258"/>
      <w:bookmarkStart w:id="259" w:name="_Toc184314415"/>
      <w:bookmarkEnd w:id="259"/>
      <w:bookmarkStart w:id="260" w:name="_Toc184314411"/>
      <w:bookmarkEnd w:id="260"/>
      <w:bookmarkStart w:id="261" w:name="_Toc184310335"/>
      <w:bookmarkEnd w:id="261"/>
      <w:bookmarkStart w:id="262" w:name="_Toc184312117"/>
      <w:bookmarkEnd w:id="262"/>
      <w:bookmarkStart w:id="263" w:name="_Toc184313253"/>
      <w:bookmarkEnd w:id="263"/>
      <w:bookmarkStart w:id="264" w:name="_Toc184308070"/>
      <w:bookmarkEnd w:id="264"/>
      <w:bookmarkStart w:id="265" w:name="_Toc184312070"/>
      <w:bookmarkEnd w:id="265"/>
      <w:bookmarkStart w:id="266" w:name="_Toc184313291"/>
      <w:bookmarkEnd w:id="266"/>
      <w:bookmarkStart w:id="267" w:name="_Toc184310315"/>
      <w:bookmarkEnd w:id="267"/>
      <w:bookmarkStart w:id="268" w:name="_Toc184314427"/>
      <w:bookmarkEnd w:id="268"/>
      <w:bookmarkStart w:id="269" w:name="_Toc184312079"/>
      <w:bookmarkEnd w:id="269"/>
      <w:bookmarkStart w:id="270" w:name="_Toc184310323"/>
      <w:bookmarkEnd w:id="270"/>
      <w:bookmarkStart w:id="271" w:name="_Toc184310305"/>
      <w:bookmarkEnd w:id="271"/>
      <w:bookmarkStart w:id="272" w:name="_Toc184310313"/>
      <w:bookmarkEnd w:id="272"/>
      <w:bookmarkStart w:id="273" w:name="_Toc184310283"/>
      <w:bookmarkEnd w:id="273"/>
      <w:bookmarkStart w:id="274" w:name="_Toc184308048"/>
      <w:bookmarkEnd w:id="274"/>
      <w:bookmarkStart w:id="275" w:name="_Toc184314429"/>
      <w:bookmarkEnd w:id="275"/>
      <w:bookmarkStart w:id="276" w:name="_Toc184308103"/>
      <w:bookmarkEnd w:id="276"/>
      <w:bookmarkStart w:id="277" w:name="_Toc184310275"/>
      <w:bookmarkEnd w:id="277"/>
      <w:bookmarkStart w:id="278" w:name="_Toc184310289"/>
      <w:bookmarkEnd w:id="278"/>
      <w:bookmarkStart w:id="279" w:name="_Toc184308083"/>
      <w:bookmarkEnd w:id="279"/>
      <w:bookmarkStart w:id="280" w:name="_Toc184312112"/>
      <w:bookmarkEnd w:id="280"/>
      <w:bookmarkStart w:id="281" w:name="_Toc184310291"/>
      <w:bookmarkEnd w:id="281"/>
      <w:bookmarkStart w:id="282" w:name="_Toc184312098"/>
      <w:bookmarkEnd w:id="282"/>
      <w:bookmarkStart w:id="283" w:name="_Toc184314471"/>
      <w:bookmarkEnd w:id="283"/>
      <w:bookmarkStart w:id="284" w:name="_Toc184312122"/>
      <w:bookmarkEnd w:id="284"/>
      <w:bookmarkStart w:id="285" w:name="_Toc184313268"/>
      <w:bookmarkEnd w:id="285"/>
      <w:bookmarkStart w:id="286" w:name="_Toc184314433"/>
      <w:bookmarkEnd w:id="286"/>
      <w:bookmarkStart w:id="287" w:name="_Toc184310329"/>
      <w:bookmarkEnd w:id="287"/>
      <w:bookmarkStart w:id="288" w:name="_Toc184312067"/>
      <w:bookmarkEnd w:id="288"/>
      <w:bookmarkStart w:id="289" w:name="_Toc184310321"/>
      <w:bookmarkEnd w:id="289"/>
      <w:bookmarkStart w:id="290" w:name="_Toc184312103"/>
      <w:bookmarkEnd w:id="290"/>
      <w:bookmarkStart w:id="291" w:name="_Toc184310338"/>
      <w:bookmarkEnd w:id="291"/>
      <w:bookmarkStart w:id="292" w:name="_Toc184314450"/>
      <w:bookmarkEnd w:id="292"/>
      <w:bookmarkStart w:id="293" w:name="_Toc184314474"/>
      <w:bookmarkEnd w:id="293"/>
      <w:bookmarkStart w:id="294" w:name="_Toc184314457"/>
      <w:bookmarkEnd w:id="294"/>
      <w:bookmarkStart w:id="295" w:name="_Toc184312069"/>
      <w:bookmarkEnd w:id="295"/>
      <w:bookmarkStart w:id="296" w:name="_Toc184312119"/>
      <w:bookmarkEnd w:id="296"/>
      <w:bookmarkStart w:id="297" w:name="_Toc184308040"/>
      <w:bookmarkEnd w:id="297"/>
      <w:bookmarkStart w:id="298" w:name="_Toc184313298"/>
      <w:bookmarkEnd w:id="298"/>
      <w:bookmarkStart w:id="299" w:name="_Toc184312128"/>
      <w:bookmarkEnd w:id="299"/>
      <w:bookmarkStart w:id="300" w:name="_Toc184310344"/>
      <w:bookmarkEnd w:id="300"/>
      <w:bookmarkStart w:id="301" w:name="_Toc184310343"/>
      <w:bookmarkEnd w:id="301"/>
      <w:bookmarkStart w:id="302" w:name="_Toc184314479"/>
      <w:bookmarkEnd w:id="302"/>
      <w:bookmarkStart w:id="303" w:name="_Toc184313309"/>
      <w:bookmarkEnd w:id="303"/>
      <w:bookmarkStart w:id="304" w:name="_Toc184314465"/>
      <w:bookmarkEnd w:id="304"/>
      <w:bookmarkStart w:id="305" w:name="_Toc184310285"/>
      <w:bookmarkEnd w:id="305"/>
      <w:bookmarkStart w:id="306" w:name="_Toc184312078"/>
      <w:bookmarkEnd w:id="306"/>
      <w:bookmarkStart w:id="307" w:name="_Toc184313294"/>
      <w:bookmarkEnd w:id="307"/>
      <w:bookmarkStart w:id="308" w:name="_Toc184313239"/>
      <w:bookmarkEnd w:id="308"/>
      <w:bookmarkStart w:id="309" w:name="_Toc184312097"/>
      <w:bookmarkEnd w:id="309"/>
      <w:bookmarkStart w:id="310" w:name="_Toc184313241"/>
      <w:bookmarkEnd w:id="310"/>
      <w:bookmarkStart w:id="311" w:name="_Toc184312110"/>
      <w:bookmarkEnd w:id="311"/>
      <w:bookmarkStart w:id="312" w:name="_Toc184312135"/>
      <w:bookmarkEnd w:id="312"/>
      <w:bookmarkStart w:id="313" w:name="_Toc184313301"/>
      <w:bookmarkEnd w:id="313"/>
      <w:bookmarkStart w:id="314" w:name="_Toc184314410"/>
      <w:bookmarkEnd w:id="314"/>
      <w:bookmarkStart w:id="315" w:name="_Toc184310339"/>
      <w:bookmarkEnd w:id="315"/>
      <w:bookmarkStart w:id="316" w:name="_Toc184308104"/>
      <w:bookmarkEnd w:id="316"/>
      <w:bookmarkStart w:id="317" w:name="_Toc184308068"/>
      <w:bookmarkEnd w:id="317"/>
      <w:bookmarkStart w:id="318" w:name="_Toc184308052"/>
      <w:bookmarkEnd w:id="318"/>
      <w:bookmarkStart w:id="319" w:name="_Toc184314444"/>
      <w:bookmarkEnd w:id="319"/>
      <w:bookmarkStart w:id="320" w:name="_Toc184313290"/>
      <w:bookmarkEnd w:id="320"/>
      <w:bookmarkStart w:id="321" w:name="_Toc184308064"/>
      <w:bookmarkEnd w:id="321"/>
      <w:bookmarkStart w:id="322" w:name="_Toc184313306"/>
      <w:bookmarkEnd w:id="322"/>
      <w:bookmarkStart w:id="323" w:name="_Toc184310292"/>
      <w:bookmarkEnd w:id="323"/>
      <w:bookmarkStart w:id="324" w:name="_Toc184312091"/>
      <w:bookmarkEnd w:id="324"/>
      <w:bookmarkStart w:id="325" w:name="_Toc184314475"/>
      <w:bookmarkEnd w:id="325"/>
      <w:bookmarkStart w:id="326" w:name="_Toc184312082"/>
      <w:bookmarkEnd w:id="326"/>
      <w:bookmarkStart w:id="327" w:name="_Toc184313307"/>
      <w:bookmarkEnd w:id="327"/>
      <w:bookmarkStart w:id="328" w:name="_Toc184310286"/>
      <w:bookmarkEnd w:id="328"/>
      <w:bookmarkStart w:id="329" w:name="_Toc184314466"/>
      <w:bookmarkEnd w:id="329"/>
      <w:bookmarkStart w:id="330" w:name="_Toc184310314"/>
      <w:bookmarkEnd w:id="330"/>
      <w:bookmarkStart w:id="331" w:name="_Toc184310284"/>
      <w:bookmarkEnd w:id="331"/>
      <w:bookmarkStart w:id="332" w:name="_Toc184314480"/>
      <w:bookmarkEnd w:id="332"/>
      <w:bookmarkStart w:id="333" w:name="_Toc184313288"/>
      <w:bookmarkEnd w:id="333"/>
      <w:bookmarkStart w:id="334" w:name="_Toc184314424"/>
      <w:bookmarkEnd w:id="334"/>
      <w:bookmarkStart w:id="335" w:name="_Toc184313303"/>
      <w:bookmarkEnd w:id="335"/>
      <w:bookmarkStart w:id="336" w:name="_Toc184313275"/>
      <w:bookmarkEnd w:id="336"/>
      <w:bookmarkStart w:id="337" w:name="_Toc184308061"/>
      <w:bookmarkEnd w:id="337"/>
      <w:bookmarkStart w:id="338" w:name="_Toc184312100"/>
      <w:bookmarkEnd w:id="338"/>
      <w:bookmarkStart w:id="339" w:name="_Toc184314422"/>
      <w:bookmarkEnd w:id="339"/>
      <w:bookmarkStart w:id="340" w:name="_Toc184312132"/>
      <w:bookmarkEnd w:id="340"/>
      <w:bookmarkStart w:id="341" w:name="_Toc184312087"/>
      <w:bookmarkEnd w:id="341"/>
      <w:bookmarkStart w:id="342" w:name="_Toc184310276"/>
      <w:bookmarkEnd w:id="342"/>
      <w:bookmarkStart w:id="343" w:name="_Toc184310274"/>
      <w:bookmarkEnd w:id="343"/>
      <w:bookmarkStart w:id="344" w:name="_Toc184312123"/>
      <w:bookmarkEnd w:id="344"/>
      <w:bookmarkStart w:id="345" w:name="_Toc184313299"/>
      <w:bookmarkEnd w:id="345"/>
      <w:bookmarkStart w:id="346" w:name="_Toc184314437"/>
      <w:bookmarkEnd w:id="346"/>
      <w:bookmarkStart w:id="347" w:name="_Toc184312072"/>
      <w:bookmarkEnd w:id="347"/>
      <w:bookmarkStart w:id="348" w:name="_Toc184308087"/>
      <w:bookmarkEnd w:id="348"/>
      <w:bookmarkStart w:id="349" w:name="_Toc184308091"/>
      <w:bookmarkEnd w:id="349"/>
      <w:bookmarkStart w:id="350" w:name="_Toc184312083"/>
      <w:bookmarkEnd w:id="350"/>
      <w:bookmarkStart w:id="351" w:name="_Toc184313238"/>
      <w:bookmarkEnd w:id="351"/>
      <w:bookmarkStart w:id="352" w:name="_Toc184308044"/>
      <w:bookmarkEnd w:id="352"/>
      <w:bookmarkStart w:id="353" w:name="_Toc184312080"/>
      <w:bookmarkEnd w:id="353"/>
      <w:bookmarkStart w:id="354" w:name="_Toc184312105"/>
      <w:bookmarkEnd w:id="354"/>
      <w:bookmarkStart w:id="355" w:name="_Toc184310272"/>
      <w:bookmarkEnd w:id="355"/>
      <w:bookmarkStart w:id="356" w:name="_Toc184314419"/>
      <w:bookmarkEnd w:id="356"/>
      <w:bookmarkStart w:id="357" w:name="_Toc184313273"/>
      <w:bookmarkEnd w:id="357"/>
      <w:bookmarkStart w:id="358" w:name="_Toc184308042"/>
      <w:bookmarkEnd w:id="358"/>
      <w:bookmarkStart w:id="359" w:name="_Toc184314430"/>
      <w:bookmarkEnd w:id="359"/>
      <w:bookmarkStart w:id="360" w:name="_Toc184314476"/>
      <w:bookmarkEnd w:id="360"/>
      <w:bookmarkStart w:id="361" w:name="_Toc184310307"/>
      <w:bookmarkEnd w:id="361"/>
      <w:bookmarkStart w:id="362" w:name="_Toc184313248"/>
      <w:bookmarkEnd w:id="362"/>
      <w:bookmarkStart w:id="363" w:name="_Toc184308106"/>
      <w:bookmarkEnd w:id="363"/>
      <w:bookmarkStart w:id="364" w:name="_Toc184313297"/>
      <w:bookmarkEnd w:id="364"/>
      <w:bookmarkStart w:id="365" w:name="_Toc184312081"/>
      <w:bookmarkEnd w:id="365"/>
      <w:bookmarkStart w:id="366" w:name="_Toc184310304"/>
      <w:bookmarkEnd w:id="366"/>
      <w:bookmarkStart w:id="367" w:name="_Toc184308073"/>
      <w:bookmarkEnd w:id="367"/>
      <w:bookmarkStart w:id="368" w:name="_Toc184310282"/>
      <w:bookmarkEnd w:id="368"/>
      <w:bookmarkStart w:id="369" w:name="_Toc184314418"/>
      <w:bookmarkEnd w:id="369"/>
      <w:bookmarkStart w:id="370" w:name="_Toc184313284"/>
      <w:bookmarkEnd w:id="370"/>
      <w:bookmarkStart w:id="371" w:name="_Toc184312109"/>
      <w:bookmarkEnd w:id="371"/>
      <w:bookmarkStart w:id="372" w:name="_Toc184314447"/>
      <w:bookmarkEnd w:id="372"/>
      <w:bookmarkStart w:id="373" w:name="_Toc184313251"/>
      <w:bookmarkEnd w:id="373"/>
      <w:bookmarkStart w:id="374" w:name="_Toc184310297"/>
      <w:bookmarkEnd w:id="374"/>
      <w:bookmarkStart w:id="375" w:name="_Toc184312116"/>
      <w:bookmarkEnd w:id="375"/>
      <w:bookmarkStart w:id="376" w:name="_Toc184308086"/>
      <w:bookmarkEnd w:id="376"/>
      <w:bookmarkStart w:id="377" w:name="_Toc184308049"/>
      <w:bookmarkEnd w:id="377"/>
      <w:bookmarkStart w:id="378" w:name="_Toc184312138"/>
      <w:bookmarkEnd w:id="378"/>
      <w:bookmarkStart w:id="379" w:name="_Toc184310310"/>
      <w:bookmarkEnd w:id="379"/>
      <w:bookmarkStart w:id="380" w:name="_Toc184314459"/>
      <w:bookmarkEnd w:id="380"/>
      <w:bookmarkStart w:id="381" w:name="_Toc184312095"/>
      <w:bookmarkEnd w:id="381"/>
      <w:bookmarkStart w:id="382" w:name="_Toc184314414"/>
      <w:bookmarkEnd w:id="382"/>
      <w:bookmarkStart w:id="383" w:name="_Toc184312131"/>
      <w:bookmarkEnd w:id="383"/>
      <w:bookmarkStart w:id="384" w:name="_Toc184308039"/>
      <w:bookmarkEnd w:id="384"/>
      <w:bookmarkStart w:id="385" w:name="_Toc184308079"/>
      <w:bookmarkEnd w:id="385"/>
      <w:bookmarkStart w:id="386" w:name="_Toc184312074"/>
      <w:bookmarkEnd w:id="386"/>
      <w:bookmarkStart w:id="387" w:name="_Toc184314462"/>
      <w:bookmarkEnd w:id="387"/>
      <w:bookmarkStart w:id="388" w:name="_Toc184312134"/>
      <w:bookmarkEnd w:id="388"/>
      <w:bookmarkStart w:id="389" w:name="_Toc184313255"/>
      <w:bookmarkEnd w:id="389"/>
      <w:bookmarkStart w:id="390" w:name="_Toc184308080"/>
      <w:bookmarkEnd w:id="390"/>
      <w:bookmarkStart w:id="391" w:name="_Toc184308055"/>
      <w:bookmarkEnd w:id="391"/>
      <w:bookmarkStart w:id="392" w:name="_Toc184308063"/>
      <w:bookmarkEnd w:id="392"/>
      <w:bookmarkStart w:id="393" w:name="_Toc184308107"/>
      <w:bookmarkEnd w:id="393"/>
      <w:bookmarkStart w:id="394" w:name="_Toc184310299"/>
      <w:bookmarkEnd w:id="394"/>
      <w:bookmarkStart w:id="395" w:name="_Toc184308101"/>
      <w:bookmarkEnd w:id="395"/>
      <w:bookmarkStart w:id="396" w:name="_Toc184310306"/>
      <w:bookmarkEnd w:id="396"/>
      <w:bookmarkStart w:id="397" w:name="_Toc184313265"/>
      <w:bookmarkEnd w:id="397"/>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10334"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649"/>
        <w:gridCol w:w="748"/>
        <w:gridCol w:w="92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13"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序号</w:t>
            </w:r>
          </w:p>
        </w:tc>
        <w:tc>
          <w:tcPr>
            <w:tcW w:w="6649"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评标标准</w:t>
            </w:r>
          </w:p>
        </w:tc>
        <w:tc>
          <w:tcPr>
            <w:tcW w:w="748"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权重</w:t>
            </w:r>
          </w:p>
        </w:tc>
        <w:tc>
          <w:tcPr>
            <w:tcW w:w="920" w:type="dxa"/>
            <w:vAlign w:val="center"/>
          </w:tcPr>
          <w:p>
            <w:pPr>
              <w:snapToGrid w:val="0"/>
              <w:spacing w:line="360" w:lineRule="auto"/>
              <w:jc w:val="center"/>
              <w:rPr>
                <w:rFonts w:ascii="宋体" w:cs="仿宋_GB2312"/>
                <w:bCs/>
                <w:sz w:val="24"/>
                <w:highlight w:val="none"/>
              </w:rPr>
            </w:pPr>
            <w:r>
              <w:rPr>
                <w:rFonts w:hint="eastAsia" w:ascii="宋体" w:hAnsi="宋体" w:cs="仿宋_GB2312"/>
                <w:bCs/>
                <w:sz w:val="24"/>
                <w:highlight w:val="none"/>
              </w:rPr>
              <w:t>主观分</w:t>
            </w:r>
            <w:r>
              <w:rPr>
                <w:rFonts w:ascii="宋体" w:hAnsi="宋体" w:cs="仿宋_GB2312"/>
                <w:bCs/>
                <w:sz w:val="24"/>
                <w:highlight w:val="none"/>
              </w:rPr>
              <w:t>/</w:t>
            </w:r>
            <w:r>
              <w:rPr>
                <w:rFonts w:hint="eastAsia" w:ascii="宋体" w:hAnsi="宋体" w:cs="仿宋_GB2312"/>
                <w:bCs/>
                <w:sz w:val="24"/>
                <w:highlight w:val="none"/>
              </w:rPr>
              <w:t>客观分属性</w:t>
            </w:r>
          </w:p>
        </w:tc>
        <w:tc>
          <w:tcPr>
            <w:tcW w:w="1404" w:type="dxa"/>
            <w:vAlign w:val="center"/>
          </w:tcPr>
          <w:p>
            <w:pPr>
              <w:snapToGrid w:val="0"/>
              <w:spacing w:line="360" w:lineRule="auto"/>
              <w:jc w:val="center"/>
              <w:rPr>
                <w:rFonts w:ascii="宋体" w:cs="仿宋_GB2312"/>
                <w:sz w:val="24"/>
                <w:highlight w:val="none"/>
              </w:rPr>
            </w:pPr>
            <w:r>
              <w:rPr>
                <w:rFonts w:hint="eastAsia" w:ascii="宋体" w:hAnsi="宋体" w:cs="仿宋_GB2312"/>
                <w:bCs/>
                <w:sz w:val="24"/>
                <w:highlight w:val="none"/>
              </w:rPr>
              <w:t>投标文件中评标标准相应的商务技术资料目录</w:t>
            </w:r>
            <w:r>
              <w:rPr>
                <w:rFonts w:ascii="宋体" w:hAnsi="宋体" w:cs="仿宋_GB2312"/>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pPr>
              <w:snapToGrid w:val="0"/>
              <w:spacing w:line="360" w:lineRule="auto"/>
              <w:jc w:val="center"/>
              <w:rPr>
                <w:rFonts w:ascii="宋体" w:hAnsi="宋体" w:cs="仿宋_GB2312"/>
                <w:sz w:val="24"/>
                <w:highlight w:val="none"/>
              </w:rPr>
            </w:pPr>
            <w:r>
              <w:rPr>
                <w:rFonts w:ascii="宋体" w:hAnsi="宋体" w:cs="仿宋_GB2312"/>
                <w:sz w:val="24"/>
                <w:highlight w:val="none"/>
              </w:rPr>
              <w:t>1</w:t>
            </w:r>
          </w:p>
        </w:tc>
        <w:tc>
          <w:tcPr>
            <w:tcW w:w="6649" w:type="dxa"/>
            <w:vAlign w:val="center"/>
          </w:tcPr>
          <w:p>
            <w:pPr>
              <w:pStyle w:val="63"/>
              <w:spacing w:after="0" w:line="360" w:lineRule="auto"/>
              <w:ind w:left="0" w:leftChars="0" w:firstLine="0" w:firstLineChars="0"/>
              <w:rPr>
                <w:rFonts w:cs="宋体"/>
                <w:kern w:val="0"/>
                <w:sz w:val="24"/>
                <w:highlight w:val="none"/>
              </w:rPr>
            </w:pPr>
            <w:r>
              <w:rPr>
                <w:rFonts w:hint="eastAsia" w:ascii="宋体" w:hAnsi="宋体" w:eastAsia="宋体" w:cs="宋体"/>
                <w:color w:val="000000"/>
                <w:sz w:val="24"/>
                <w:szCs w:val="24"/>
                <w:highlight w:val="none"/>
                <w:lang w:val="en-US" w:eastAsia="zh-CN"/>
              </w:rPr>
              <w:t>服务需求分析：根据投标人对项目工作任务特点认识和理解情况,服务需求中重难点分析及对策描述</w:t>
            </w:r>
            <w:r>
              <w:rPr>
                <w:rFonts w:hint="eastAsia" w:cs="宋体"/>
                <w:color w:val="000000"/>
                <w:sz w:val="24"/>
                <w:szCs w:val="24"/>
                <w:highlight w:val="none"/>
                <w:lang w:val="en-US" w:eastAsia="zh-CN"/>
              </w:rPr>
              <w:t>；内容</w:t>
            </w:r>
            <w:r>
              <w:rPr>
                <w:rFonts w:hint="eastAsia" w:ascii="宋体" w:hAnsi="宋体" w:eastAsia="宋体" w:cs="宋体"/>
                <w:color w:val="000000"/>
                <w:sz w:val="24"/>
                <w:szCs w:val="24"/>
                <w:highlight w:val="none"/>
                <w:lang w:val="en-US" w:eastAsia="zh-CN"/>
              </w:rPr>
              <w:t>分析全面详细、思路清晰</w:t>
            </w:r>
            <w:r>
              <w:rPr>
                <w:rFonts w:hint="eastAsia" w:cs="宋体"/>
                <w:color w:val="000000"/>
                <w:sz w:val="24"/>
                <w:szCs w:val="24"/>
                <w:highlight w:val="none"/>
                <w:lang w:val="en-US" w:eastAsia="zh-CN"/>
              </w:rPr>
              <w:t>的</w:t>
            </w:r>
            <w:r>
              <w:rPr>
                <w:rFonts w:hint="eastAsia" w:ascii="宋体" w:hAnsi="宋体" w:eastAsia="宋体" w:cs="宋体"/>
                <w:spacing w:val="-2"/>
                <w:sz w:val="24"/>
                <w:szCs w:val="24"/>
                <w:highlight w:val="none"/>
                <w:lang w:eastAsia="zh-CN"/>
              </w:rPr>
              <w:t>得</w:t>
            </w:r>
            <w:r>
              <w:rPr>
                <w:rFonts w:hint="eastAsia" w:ascii="宋体" w:hAnsi="宋体" w:eastAsia="宋体" w:cs="宋体"/>
                <w:spacing w:val="-2"/>
                <w:sz w:val="24"/>
                <w:szCs w:val="24"/>
                <w:highlight w:val="none"/>
                <w:lang w:val="en-US" w:eastAsia="zh-CN"/>
              </w:rPr>
              <w:t>5分，</w:t>
            </w:r>
            <w:r>
              <w:rPr>
                <w:rFonts w:hint="eastAsia" w:cs="宋体"/>
                <w:spacing w:val="-2"/>
                <w:sz w:val="24"/>
                <w:szCs w:val="24"/>
                <w:highlight w:val="none"/>
                <w:lang w:val="en-US" w:eastAsia="zh-CN"/>
              </w:rPr>
              <w:t>内容分析较为符合、思路较为清晰的得3</w:t>
            </w:r>
            <w:r>
              <w:rPr>
                <w:rFonts w:hint="eastAsia" w:ascii="宋体" w:hAnsi="宋体" w:eastAsia="宋体" w:cs="宋体"/>
                <w:spacing w:val="-2"/>
                <w:sz w:val="24"/>
                <w:szCs w:val="24"/>
                <w:highlight w:val="none"/>
                <w:lang w:val="en-US" w:eastAsia="zh-CN"/>
              </w:rPr>
              <w:t>分；</w:t>
            </w:r>
            <w:r>
              <w:rPr>
                <w:rFonts w:hint="eastAsia" w:cs="宋体"/>
                <w:spacing w:val="-2"/>
                <w:sz w:val="24"/>
                <w:szCs w:val="24"/>
                <w:highlight w:val="none"/>
                <w:lang w:val="en-US" w:eastAsia="zh-CN"/>
              </w:rPr>
              <w:t>内容有所缺陷需进一步完善的得1分；内容</w:t>
            </w:r>
            <w:r>
              <w:rPr>
                <w:rFonts w:hint="eastAsia" w:cs="宋体"/>
                <w:sz w:val="24"/>
                <w:highlight w:val="none"/>
              </w:rPr>
              <w:t>不</w:t>
            </w:r>
            <w:r>
              <w:rPr>
                <w:rFonts w:hint="eastAsia" w:cs="宋体"/>
                <w:sz w:val="24"/>
                <w:highlight w:val="none"/>
                <w:lang w:val="en-US" w:eastAsia="zh-CN"/>
              </w:rPr>
              <w:t>符合</w:t>
            </w:r>
            <w:r>
              <w:rPr>
                <w:rFonts w:hint="eastAsia" w:cs="宋体"/>
                <w:sz w:val="24"/>
                <w:highlight w:val="none"/>
              </w:rPr>
              <w:t>或未提供的不得分。</w:t>
            </w:r>
          </w:p>
        </w:tc>
        <w:tc>
          <w:tcPr>
            <w:tcW w:w="748"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20"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2</w:t>
            </w:r>
          </w:p>
        </w:tc>
        <w:tc>
          <w:tcPr>
            <w:tcW w:w="6649" w:type="dxa"/>
            <w:vAlign w:val="center"/>
          </w:tcPr>
          <w:p>
            <w:pPr>
              <w:pStyle w:val="63"/>
              <w:spacing w:after="0" w:line="360" w:lineRule="auto"/>
              <w:ind w:left="0" w:leftChars="0" w:firstLine="0" w:firstLineChars="0"/>
              <w:rPr>
                <w:rFonts w:cs="宋体"/>
                <w:sz w:val="24"/>
                <w:highlight w:val="none"/>
              </w:rPr>
            </w:pPr>
            <w:r>
              <w:rPr>
                <w:rFonts w:hint="eastAsia" w:ascii="宋体" w:hAnsi="宋体" w:eastAsia="宋体" w:cs="宋体"/>
                <w:color w:val="000000"/>
                <w:sz w:val="24"/>
                <w:szCs w:val="24"/>
                <w:highlight w:val="none"/>
                <w:lang w:val="en-US" w:eastAsia="zh-CN"/>
              </w:rPr>
              <w:t>工作方案：投标人提供涉网投诉举报件及数字化改革项目应用辅助处理工作方案</w:t>
            </w:r>
            <w:r>
              <w:rPr>
                <w:rFonts w:hint="eastAsia" w:cs="宋体"/>
                <w:color w:val="000000"/>
                <w:sz w:val="24"/>
                <w:szCs w:val="24"/>
                <w:highlight w:val="none"/>
                <w:lang w:val="en-US" w:eastAsia="zh-CN"/>
              </w:rPr>
              <w:t>；内容</w:t>
            </w:r>
            <w:r>
              <w:rPr>
                <w:rFonts w:hint="eastAsia" w:ascii="宋体" w:hAnsi="宋体" w:eastAsia="宋体" w:cs="宋体"/>
                <w:color w:val="000000"/>
                <w:sz w:val="24"/>
                <w:szCs w:val="24"/>
                <w:highlight w:val="none"/>
                <w:lang w:val="en-US" w:eastAsia="zh-CN"/>
              </w:rPr>
              <w:t>满足招标采购要求，</w:t>
            </w:r>
            <w:r>
              <w:rPr>
                <w:rFonts w:hint="eastAsia" w:ascii="宋体" w:hAnsi="宋体" w:eastAsia="宋体" w:cs="宋体"/>
                <w:bCs/>
                <w:kern w:val="2"/>
                <w:sz w:val="24"/>
                <w:szCs w:val="24"/>
                <w:highlight w:val="none"/>
                <w:lang w:val="en-US" w:eastAsia="zh-CN" w:bidi="ar-SA"/>
              </w:rPr>
              <w:t>方案完整合理、可行</w:t>
            </w:r>
            <w:r>
              <w:rPr>
                <w:rFonts w:hint="eastAsia" w:ascii="宋体" w:hAnsi="宋体" w:cs="宋体"/>
                <w:bCs/>
                <w:kern w:val="2"/>
                <w:sz w:val="24"/>
                <w:szCs w:val="24"/>
                <w:highlight w:val="none"/>
                <w:lang w:val="en-US" w:eastAsia="zh-CN" w:bidi="ar-SA"/>
              </w:rPr>
              <w:t>、</w:t>
            </w:r>
            <w:r>
              <w:rPr>
                <w:rFonts w:hint="eastAsia" w:ascii="宋体" w:hAnsi="宋体" w:eastAsia="宋体" w:cs="宋体"/>
                <w:color w:val="000000"/>
                <w:sz w:val="24"/>
                <w:szCs w:val="24"/>
                <w:highlight w:val="none"/>
                <w:lang w:val="en-US" w:eastAsia="zh-CN"/>
              </w:rPr>
              <w:t>内容齐全</w:t>
            </w:r>
            <w:r>
              <w:rPr>
                <w:rFonts w:hint="eastAsia" w:cs="宋体"/>
                <w:sz w:val="24"/>
                <w:highlight w:val="none"/>
              </w:rPr>
              <w:t>的得5分；</w:t>
            </w:r>
            <w:r>
              <w:rPr>
                <w:rFonts w:hint="eastAsia" w:cs="宋体"/>
                <w:color w:val="000000"/>
                <w:sz w:val="24"/>
                <w:szCs w:val="24"/>
                <w:highlight w:val="none"/>
                <w:lang w:val="en-US" w:eastAsia="zh-CN"/>
              </w:rPr>
              <w:t>内容较为</w:t>
            </w:r>
            <w:r>
              <w:rPr>
                <w:rFonts w:hint="eastAsia" w:ascii="宋体" w:hAnsi="宋体" w:eastAsia="宋体" w:cs="宋体"/>
                <w:color w:val="000000"/>
                <w:sz w:val="24"/>
                <w:szCs w:val="24"/>
                <w:highlight w:val="none"/>
                <w:lang w:val="en-US" w:eastAsia="zh-CN"/>
              </w:rPr>
              <w:t>满足招标采购要求，</w:t>
            </w:r>
            <w:r>
              <w:rPr>
                <w:rFonts w:hint="eastAsia" w:ascii="宋体" w:hAnsi="宋体" w:eastAsia="宋体" w:cs="宋体"/>
                <w:bCs/>
                <w:kern w:val="2"/>
                <w:sz w:val="24"/>
                <w:szCs w:val="24"/>
                <w:highlight w:val="none"/>
                <w:lang w:val="en-US" w:eastAsia="zh-CN" w:bidi="ar-SA"/>
              </w:rPr>
              <w:t>方案较为完整合理、可行</w:t>
            </w:r>
            <w:r>
              <w:rPr>
                <w:rFonts w:hint="eastAsia" w:ascii="宋体" w:hAnsi="宋体" w:cs="宋体"/>
                <w:bCs/>
                <w:kern w:val="2"/>
                <w:sz w:val="24"/>
                <w:szCs w:val="24"/>
                <w:highlight w:val="none"/>
                <w:lang w:val="en-US" w:eastAsia="zh-CN" w:bidi="ar-SA"/>
              </w:rPr>
              <w:t>、</w:t>
            </w:r>
            <w:r>
              <w:rPr>
                <w:rFonts w:hint="eastAsia" w:ascii="宋体" w:hAnsi="宋体" w:eastAsia="宋体" w:cs="宋体"/>
                <w:color w:val="000000"/>
                <w:sz w:val="24"/>
                <w:szCs w:val="24"/>
                <w:highlight w:val="none"/>
                <w:lang w:val="en-US" w:eastAsia="zh-CN"/>
              </w:rPr>
              <w:t>内容较为齐全</w:t>
            </w:r>
            <w:r>
              <w:rPr>
                <w:rFonts w:hint="eastAsia" w:cs="宋体"/>
                <w:sz w:val="24"/>
                <w:highlight w:val="none"/>
              </w:rPr>
              <w:t>的得</w:t>
            </w:r>
            <w:r>
              <w:rPr>
                <w:rFonts w:hint="eastAsia" w:cs="宋体"/>
                <w:sz w:val="24"/>
                <w:highlight w:val="none"/>
                <w:lang w:val="en-US" w:eastAsia="zh-CN"/>
              </w:rPr>
              <w:t>3</w:t>
            </w:r>
            <w:r>
              <w:rPr>
                <w:rFonts w:hint="eastAsia" w:cs="宋体"/>
                <w:sz w:val="24"/>
                <w:highlight w:val="none"/>
              </w:rPr>
              <w:t>分；</w:t>
            </w:r>
            <w:r>
              <w:rPr>
                <w:rFonts w:hint="eastAsia" w:cs="宋体"/>
                <w:spacing w:val="-2"/>
                <w:sz w:val="24"/>
                <w:szCs w:val="24"/>
                <w:highlight w:val="none"/>
                <w:lang w:val="en-US" w:eastAsia="zh-CN"/>
              </w:rPr>
              <w:t>内容有所缺陷需进一步完善的得1分；内容</w:t>
            </w:r>
            <w:r>
              <w:rPr>
                <w:rFonts w:hint="eastAsia" w:cs="宋体"/>
                <w:sz w:val="24"/>
                <w:highlight w:val="none"/>
              </w:rPr>
              <w:t>不</w:t>
            </w:r>
            <w:r>
              <w:rPr>
                <w:rFonts w:hint="eastAsia" w:cs="宋体"/>
                <w:sz w:val="24"/>
                <w:highlight w:val="none"/>
                <w:lang w:val="en-US" w:eastAsia="zh-CN"/>
              </w:rPr>
              <w:t>符合</w:t>
            </w:r>
            <w:r>
              <w:rPr>
                <w:rFonts w:hint="eastAsia" w:cs="宋体"/>
                <w:sz w:val="24"/>
                <w:highlight w:val="none"/>
              </w:rPr>
              <w:t>或未提供的不得分。</w:t>
            </w:r>
          </w:p>
        </w:tc>
        <w:tc>
          <w:tcPr>
            <w:tcW w:w="748"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20"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3</w:t>
            </w:r>
          </w:p>
        </w:tc>
        <w:tc>
          <w:tcPr>
            <w:tcW w:w="6649" w:type="dxa"/>
            <w:vAlign w:val="center"/>
          </w:tcPr>
          <w:p>
            <w:pPr>
              <w:pStyle w:val="63"/>
              <w:spacing w:after="0" w:line="360" w:lineRule="auto"/>
              <w:ind w:left="0" w:leftChars="0" w:firstLine="0" w:firstLineChars="0"/>
              <w:rPr>
                <w:rFonts w:cs="宋体"/>
                <w:sz w:val="24"/>
                <w:highlight w:val="none"/>
              </w:rPr>
            </w:pPr>
            <w:r>
              <w:rPr>
                <w:rFonts w:hint="eastAsia" w:cs="宋体"/>
                <w:color w:val="000000"/>
                <w:sz w:val="24"/>
                <w:szCs w:val="24"/>
                <w:highlight w:val="none"/>
                <w:lang w:val="en-US" w:eastAsia="zh-CN"/>
              </w:rPr>
              <w:t>投标人针对本项目的</w:t>
            </w:r>
            <w:r>
              <w:rPr>
                <w:rFonts w:hint="eastAsia" w:ascii="宋体" w:hAnsi="宋体" w:eastAsia="宋体" w:cs="宋体"/>
                <w:color w:val="000000"/>
                <w:sz w:val="24"/>
                <w:szCs w:val="24"/>
                <w:highlight w:val="none"/>
                <w:lang w:val="en-US" w:eastAsia="zh-CN"/>
              </w:rPr>
              <w:t>管理制度</w:t>
            </w:r>
            <w:r>
              <w:rPr>
                <w:rFonts w:hint="eastAsia" w:cs="宋体"/>
                <w:color w:val="000000"/>
                <w:sz w:val="24"/>
                <w:szCs w:val="24"/>
                <w:highlight w:val="none"/>
                <w:lang w:val="en-US" w:eastAsia="zh-CN"/>
              </w:rPr>
              <w:t>；管理制度完善、合理可行、贴合实际的得5分；管理制度较为完善、较为合理可行、较为贴合实际的得3分；管理制度有所缺陷需进一步完善的得1分；内容不符合或未提供的不得分。</w:t>
            </w:r>
          </w:p>
        </w:tc>
        <w:tc>
          <w:tcPr>
            <w:tcW w:w="748"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20"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4</w:t>
            </w:r>
          </w:p>
        </w:tc>
        <w:tc>
          <w:tcPr>
            <w:tcW w:w="6649" w:type="dxa"/>
            <w:vAlign w:val="center"/>
          </w:tcPr>
          <w:p>
            <w:pPr>
              <w:rPr>
                <w:highlight w:val="none"/>
              </w:rPr>
            </w:pPr>
          </w:p>
          <w:p>
            <w:pPr>
              <w:snapToGrid w:val="0"/>
              <w:spacing w:line="360" w:lineRule="auto"/>
              <w:rPr>
                <w:rFonts w:ascii="宋体" w:hAnsi="宋体" w:cs="宋体"/>
                <w:sz w:val="24"/>
                <w:highlight w:val="none"/>
              </w:rPr>
            </w:pPr>
            <w:r>
              <w:rPr>
                <w:rFonts w:hint="eastAsia" w:cs="宋体"/>
                <w:color w:val="000000"/>
                <w:sz w:val="24"/>
                <w:szCs w:val="24"/>
                <w:highlight w:val="none"/>
                <w:lang w:val="en-US" w:eastAsia="zh-CN"/>
              </w:rPr>
              <w:t>投标人针对本项目的档案</w:t>
            </w:r>
            <w:r>
              <w:rPr>
                <w:rFonts w:hint="eastAsia" w:ascii="宋体" w:hAnsi="宋体" w:eastAsia="宋体" w:cs="宋体"/>
                <w:color w:val="000000"/>
                <w:sz w:val="24"/>
                <w:szCs w:val="24"/>
                <w:highlight w:val="none"/>
                <w:lang w:val="en-US" w:eastAsia="zh-CN"/>
              </w:rPr>
              <w:t>管理方案</w:t>
            </w:r>
            <w:r>
              <w:rPr>
                <w:rFonts w:hint="eastAsia" w:cs="宋体"/>
                <w:color w:val="000000"/>
                <w:sz w:val="24"/>
                <w:szCs w:val="24"/>
                <w:highlight w:val="none"/>
                <w:lang w:val="en-US" w:eastAsia="zh-CN"/>
              </w:rPr>
              <w:t>；档案管理</w:t>
            </w:r>
            <w:r>
              <w:rPr>
                <w:rFonts w:hint="eastAsia" w:ascii="宋体" w:hAnsi="宋体" w:eastAsia="宋体" w:cs="宋体"/>
                <w:color w:val="000000"/>
                <w:sz w:val="24"/>
                <w:szCs w:val="24"/>
                <w:highlight w:val="none"/>
                <w:lang w:val="en-US" w:eastAsia="zh-CN"/>
              </w:rPr>
              <w:t>方案</w:t>
            </w:r>
            <w:r>
              <w:rPr>
                <w:rFonts w:hint="eastAsia" w:cs="宋体"/>
                <w:color w:val="000000"/>
                <w:sz w:val="24"/>
                <w:szCs w:val="24"/>
                <w:highlight w:val="none"/>
                <w:lang w:val="en-US" w:eastAsia="zh-CN"/>
              </w:rPr>
              <w:t>完善、合理可行、贴合实际的得5分；档案管理</w:t>
            </w:r>
            <w:r>
              <w:rPr>
                <w:rFonts w:hint="eastAsia" w:ascii="宋体" w:hAnsi="宋体" w:eastAsia="宋体" w:cs="宋体"/>
                <w:color w:val="000000"/>
                <w:sz w:val="24"/>
                <w:szCs w:val="24"/>
                <w:highlight w:val="none"/>
                <w:lang w:val="en-US" w:eastAsia="zh-CN"/>
              </w:rPr>
              <w:t>方案</w:t>
            </w:r>
            <w:r>
              <w:rPr>
                <w:rFonts w:hint="eastAsia" w:cs="宋体"/>
                <w:color w:val="000000"/>
                <w:sz w:val="24"/>
                <w:szCs w:val="24"/>
                <w:highlight w:val="none"/>
                <w:lang w:val="en-US" w:eastAsia="zh-CN"/>
              </w:rPr>
              <w:t>较为完善、较为合理可行、较为贴合实际的得3分；档案管理</w:t>
            </w:r>
            <w:r>
              <w:rPr>
                <w:rFonts w:hint="eastAsia" w:ascii="宋体" w:hAnsi="宋体" w:eastAsia="宋体" w:cs="宋体"/>
                <w:color w:val="000000"/>
                <w:sz w:val="24"/>
                <w:szCs w:val="24"/>
                <w:highlight w:val="none"/>
                <w:lang w:val="en-US" w:eastAsia="zh-CN"/>
              </w:rPr>
              <w:t>方案</w:t>
            </w:r>
            <w:r>
              <w:rPr>
                <w:rFonts w:hint="eastAsia" w:cs="宋体"/>
                <w:color w:val="000000"/>
                <w:sz w:val="24"/>
                <w:szCs w:val="24"/>
                <w:highlight w:val="none"/>
                <w:lang w:val="en-US" w:eastAsia="zh-CN"/>
              </w:rPr>
              <w:t>有所缺陷需进一步完善的得1分；内容不符合或未提供的不得分。</w:t>
            </w:r>
          </w:p>
        </w:tc>
        <w:tc>
          <w:tcPr>
            <w:tcW w:w="748"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5</w:t>
            </w:r>
          </w:p>
        </w:tc>
        <w:tc>
          <w:tcPr>
            <w:tcW w:w="920"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6649" w:type="dxa"/>
            <w:vAlign w:val="center"/>
          </w:tcPr>
          <w:p>
            <w:pPr>
              <w:snapToGrid/>
              <w:spacing w:line="360" w:lineRule="auto"/>
              <w:rPr>
                <w:highlight w:val="none"/>
              </w:rPr>
            </w:pPr>
            <w:r>
              <w:rPr>
                <w:rFonts w:hint="eastAsia" w:ascii="宋体" w:hAnsi="宋体" w:eastAsia="宋体" w:cs="宋体"/>
                <w:b w:val="0"/>
                <w:bCs w:val="0"/>
                <w:sz w:val="24"/>
                <w:szCs w:val="24"/>
                <w:highlight w:val="none"/>
                <w:lang w:val="en-US" w:eastAsia="zh-CN"/>
              </w:rPr>
              <w:t>工作实施进度</w:t>
            </w:r>
            <w:r>
              <w:rPr>
                <w:rFonts w:hint="eastAsia" w:ascii="宋体" w:hAnsi="宋体" w:eastAsia="宋体" w:cs="宋体"/>
                <w:b w:val="0"/>
                <w:bCs w:val="0"/>
                <w:sz w:val="24"/>
                <w:szCs w:val="24"/>
                <w:highlight w:val="none"/>
                <w:lang w:eastAsia="zh-CN"/>
              </w:rPr>
              <w:t>：根据</w:t>
            </w:r>
            <w:r>
              <w:rPr>
                <w:rFonts w:hint="eastAsia" w:ascii="宋体" w:hAnsi="宋体" w:eastAsia="宋体" w:cs="宋体"/>
                <w:color w:val="000000"/>
                <w:sz w:val="24"/>
                <w:szCs w:val="24"/>
                <w:highlight w:val="none"/>
              </w:rPr>
              <w:t>服务工作计划及实施时间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实施进度</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服务工作计划及实施时间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实施进度</w:t>
            </w:r>
            <w:r>
              <w:rPr>
                <w:rFonts w:hint="eastAsia" w:ascii="宋体" w:hAnsi="宋体" w:cs="宋体"/>
                <w:sz w:val="24"/>
                <w:highlight w:val="none"/>
              </w:rPr>
              <w:t>合理、可行，符合项目实际的得5分；</w:t>
            </w:r>
            <w:r>
              <w:rPr>
                <w:rFonts w:hint="eastAsia" w:ascii="宋体" w:hAnsi="宋体" w:eastAsia="宋体" w:cs="宋体"/>
                <w:color w:val="000000"/>
                <w:sz w:val="24"/>
                <w:szCs w:val="24"/>
                <w:highlight w:val="none"/>
              </w:rPr>
              <w:t>服务工作计划及实施时间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实施进度</w:t>
            </w:r>
            <w:r>
              <w:rPr>
                <w:rFonts w:hint="eastAsia" w:ascii="宋体" w:hAnsi="宋体" w:cs="宋体"/>
                <w:sz w:val="24"/>
                <w:highlight w:val="none"/>
              </w:rPr>
              <w:t>较为合理、可行，较为符合项目实际，但内容有所欠缺的得3分；</w:t>
            </w:r>
            <w:r>
              <w:rPr>
                <w:rFonts w:hint="eastAsia" w:ascii="宋体" w:hAnsi="宋体" w:eastAsia="宋体" w:cs="宋体"/>
                <w:color w:val="000000"/>
                <w:sz w:val="24"/>
                <w:szCs w:val="24"/>
                <w:highlight w:val="none"/>
              </w:rPr>
              <w:t>服务工作计划及实施时间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实施进度</w:t>
            </w:r>
            <w:r>
              <w:rPr>
                <w:rFonts w:hint="eastAsia" w:ascii="宋体" w:hAnsi="宋体" w:cs="宋体"/>
                <w:sz w:val="24"/>
                <w:highlight w:val="none"/>
              </w:rPr>
              <w:t>较不符合实际、内容偏差较大的得1分；</w:t>
            </w:r>
            <w:r>
              <w:rPr>
                <w:rFonts w:hint="eastAsia" w:cs="宋体"/>
                <w:color w:val="000000"/>
                <w:sz w:val="24"/>
                <w:szCs w:val="24"/>
                <w:highlight w:val="none"/>
                <w:lang w:val="en-US" w:eastAsia="zh-CN"/>
              </w:rPr>
              <w:t>内容不符合或未提供的不得分。</w:t>
            </w:r>
          </w:p>
        </w:tc>
        <w:tc>
          <w:tcPr>
            <w:tcW w:w="748"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20"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6</w:t>
            </w:r>
          </w:p>
        </w:tc>
        <w:tc>
          <w:tcPr>
            <w:tcW w:w="6649" w:type="dxa"/>
            <w:vAlign w:val="center"/>
          </w:tcPr>
          <w:p>
            <w:pPr>
              <w:snapToGrid w:val="0"/>
              <w:spacing w:line="360" w:lineRule="auto"/>
              <w:rPr>
                <w:rFonts w:ascii="宋体" w:hAnsi="宋体" w:cs="宋体"/>
                <w:sz w:val="24"/>
                <w:highlight w:val="none"/>
              </w:rPr>
            </w:pPr>
            <w:r>
              <w:rPr>
                <w:rFonts w:hint="eastAsia" w:ascii="宋体" w:hAnsi="宋体" w:eastAsia="宋体" w:cs="宋体"/>
                <w:spacing w:val="-2"/>
                <w:sz w:val="24"/>
                <w:szCs w:val="24"/>
                <w:highlight w:val="none"/>
                <w:lang w:eastAsia="zh-CN"/>
              </w:rPr>
              <w:t>内控管理：投标人提供调解服务质量管理考核制定情况及内控管理制度</w:t>
            </w:r>
            <w:r>
              <w:rPr>
                <w:rFonts w:hint="eastAsia" w:ascii="宋体" w:hAnsi="宋体" w:cs="宋体"/>
                <w:spacing w:val="-2"/>
                <w:sz w:val="24"/>
                <w:szCs w:val="24"/>
                <w:highlight w:val="none"/>
                <w:lang w:eastAsia="zh-CN"/>
              </w:rPr>
              <w:t>；</w:t>
            </w:r>
            <w:r>
              <w:rPr>
                <w:rFonts w:hint="eastAsia" w:ascii="宋体" w:hAnsi="宋体" w:cs="宋体"/>
                <w:spacing w:val="-2"/>
                <w:sz w:val="24"/>
                <w:szCs w:val="24"/>
                <w:highlight w:val="none"/>
                <w:lang w:val="en-US" w:eastAsia="zh-CN"/>
              </w:rPr>
              <w:t>内容完整、合理可行的得5分；内容较为完整、较为合理可行的得3分；内容有所缺陷需进一步完善的得1分；</w:t>
            </w:r>
            <w:r>
              <w:rPr>
                <w:rFonts w:hint="eastAsia" w:cs="宋体"/>
                <w:color w:val="000000"/>
                <w:sz w:val="24"/>
                <w:szCs w:val="24"/>
                <w:highlight w:val="none"/>
                <w:lang w:val="en-US" w:eastAsia="zh-CN"/>
              </w:rPr>
              <w:t>内容不符合或未提供的不得分。</w:t>
            </w:r>
          </w:p>
        </w:tc>
        <w:tc>
          <w:tcPr>
            <w:tcW w:w="748"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20"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7</w:t>
            </w:r>
          </w:p>
        </w:tc>
        <w:tc>
          <w:tcPr>
            <w:tcW w:w="6649" w:type="dxa"/>
            <w:vAlign w:val="center"/>
          </w:tcPr>
          <w:p>
            <w:pPr>
              <w:snapToGrid w:val="0"/>
              <w:spacing w:line="360" w:lineRule="auto"/>
              <w:rPr>
                <w:highlight w:val="none"/>
              </w:rPr>
            </w:pPr>
            <w:r>
              <w:rPr>
                <w:rFonts w:hint="eastAsia" w:ascii="宋体" w:hAnsi="宋体" w:eastAsia="宋体" w:cs="宋体"/>
                <w:color w:val="auto"/>
                <w:spacing w:val="-2"/>
                <w:sz w:val="24"/>
                <w:szCs w:val="24"/>
                <w:highlight w:val="none"/>
                <w:lang w:eastAsia="zh-CN"/>
              </w:rPr>
              <w:t>服务响应：</w:t>
            </w:r>
            <w:r>
              <w:rPr>
                <w:rFonts w:hint="eastAsia" w:ascii="宋体" w:hAnsi="宋体" w:eastAsia="宋体" w:cs="宋体"/>
                <w:bCs/>
                <w:color w:val="auto"/>
                <w:sz w:val="24"/>
                <w:szCs w:val="24"/>
                <w:highlight w:val="none"/>
                <w:lang w:eastAsia="zh-CN"/>
              </w:rPr>
              <w:t>投标人提供</w:t>
            </w:r>
            <w:r>
              <w:rPr>
                <w:rFonts w:hint="eastAsia" w:ascii="宋体" w:hAnsi="宋体" w:eastAsia="宋体" w:cs="宋体"/>
                <w:sz w:val="24"/>
                <w:szCs w:val="24"/>
                <w:highlight w:val="none"/>
              </w:rPr>
              <w:t>服务响应承诺及保障措施</w:t>
            </w:r>
            <w:r>
              <w:rPr>
                <w:rFonts w:hint="eastAsia" w:ascii="宋体" w:hAnsi="宋体" w:eastAsia="宋体" w:cs="宋体"/>
                <w:bCs/>
                <w:color w:val="auto"/>
                <w:sz w:val="24"/>
                <w:szCs w:val="24"/>
                <w:highlight w:val="none"/>
                <w:lang w:eastAsia="zh-CN"/>
              </w:rPr>
              <w:t>，根据</w:t>
            </w:r>
            <w:r>
              <w:rPr>
                <w:rFonts w:hint="eastAsia" w:ascii="宋体" w:hAnsi="宋体" w:eastAsia="宋体" w:cs="宋体"/>
                <w:bCs/>
                <w:sz w:val="24"/>
                <w:szCs w:val="24"/>
                <w:highlight w:val="none"/>
              </w:rPr>
              <w:t>服务承诺的响应时间、范围和完善程度</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服务响应及时、保障措施到位、内容完善的得5分；服务响应较为及时、保障措施较为到位、内容较为完善的得3分；内容有所缺陷需进一步完善的得1分；内容不符合或未提供的不得分。</w:t>
            </w:r>
          </w:p>
        </w:tc>
        <w:tc>
          <w:tcPr>
            <w:tcW w:w="748"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20"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8</w:t>
            </w:r>
          </w:p>
        </w:tc>
        <w:tc>
          <w:tcPr>
            <w:tcW w:w="6649" w:type="dxa"/>
            <w:vAlign w:val="center"/>
          </w:tcPr>
          <w:p>
            <w:pPr>
              <w:snapToGrid w:val="0"/>
              <w:spacing w:line="360" w:lineRule="auto"/>
              <w:rPr>
                <w:rFonts w:hint="eastAsia" w:ascii="宋体" w:hAnsi="宋体" w:eastAsia="宋体" w:cs="宋体"/>
                <w:sz w:val="24"/>
                <w:highlight w:val="none"/>
                <w:lang w:eastAsia="zh-CN"/>
              </w:rPr>
            </w:pPr>
            <w:r>
              <w:rPr>
                <w:rFonts w:hint="eastAsia" w:cs="宋体"/>
                <w:color w:val="000000"/>
                <w:sz w:val="24"/>
                <w:szCs w:val="24"/>
                <w:highlight w:val="none"/>
                <w:lang w:val="en-US" w:eastAsia="zh-CN"/>
              </w:rPr>
              <w:t>投标人针对本项目的</w:t>
            </w:r>
            <w:r>
              <w:rPr>
                <w:rFonts w:hint="eastAsia" w:ascii="宋体" w:hAnsi="宋体" w:eastAsia="宋体" w:cs="宋体"/>
                <w:spacing w:val="-2"/>
                <w:sz w:val="24"/>
                <w:szCs w:val="24"/>
                <w:highlight w:val="none"/>
                <w:lang w:eastAsia="zh-CN"/>
              </w:rPr>
              <w:t>安全保密措施</w:t>
            </w:r>
            <w:r>
              <w:rPr>
                <w:rFonts w:hint="eastAsia" w:cs="宋体"/>
                <w:color w:val="000000"/>
                <w:sz w:val="24"/>
                <w:szCs w:val="24"/>
                <w:highlight w:val="none"/>
                <w:lang w:val="en-US" w:eastAsia="zh-CN"/>
              </w:rPr>
              <w:t>；</w:t>
            </w:r>
            <w:r>
              <w:rPr>
                <w:rFonts w:hint="eastAsia" w:ascii="宋体" w:hAnsi="宋体" w:eastAsia="宋体" w:cs="宋体"/>
                <w:spacing w:val="-2"/>
                <w:sz w:val="24"/>
                <w:szCs w:val="24"/>
                <w:highlight w:val="none"/>
                <w:lang w:eastAsia="zh-CN"/>
              </w:rPr>
              <w:t>安全保密措施</w:t>
            </w:r>
            <w:r>
              <w:rPr>
                <w:rFonts w:hint="eastAsia" w:cs="宋体"/>
                <w:color w:val="000000"/>
                <w:sz w:val="24"/>
                <w:szCs w:val="24"/>
                <w:highlight w:val="none"/>
                <w:lang w:val="en-US" w:eastAsia="zh-CN"/>
              </w:rPr>
              <w:t>完善、合理可行、贴合实际的得5分；</w:t>
            </w:r>
            <w:r>
              <w:rPr>
                <w:rFonts w:hint="eastAsia" w:ascii="宋体" w:hAnsi="宋体" w:eastAsia="宋体" w:cs="宋体"/>
                <w:spacing w:val="-2"/>
                <w:sz w:val="24"/>
                <w:szCs w:val="24"/>
                <w:highlight w:val="none"/>
                <w:lang w:eastAsia="zh-CN"/>
              </w:rPr>
              <w:t>安全保密措施</w:t>
            </w:r>
            <w:r>
              <w:rPr>
                <w:rFonts w:hint="eastAsia" w:cs="宋体"/>
                <w:color w:val="000000"/>
                <w:sz w:val="24"/>
                <w:szCs w:val="24"/>
                <w:highlight w:val="none"/>
                <w:lang w:val="en-US" w:eastAsia="zh-CN"/>
              </w:rPr>
              <w:t>较为完善、较为合理可行、较为贴合实际的得3分；</w:t>
            </w:r>
            <w:r>
              <w:rPr>
                <w:rFonts w:hint="eastAsia" w:ascii="宋体" w:hAnsi="宋体" w:eastAsia="宋体" w:cs="宋体"/>
                <w:spacing w:val="-2"/>
                <w:sz w:val="24"/>
                <w:szCs w:val="24"/>
                <w:highlight w:val="none"/>
                <w:lang w:eastAsia="zh-CN"/>
              </w:rPr>
              <w:t>安全保密措施</w:t>
            </w:r>
            <w:r>
              <w:rPr>
                <w:rFonts w:hint="eastAsia" w:cs="宋体"/>
                <w:color w:val="000000"/>
                <w:sz w:val="24"/>
                <w:szCs w:val="24"/>
                <w:highlight w:val="none"/>
                <w:lang w:val="en-US" w:eastAsia="zh-CN"/>
              </w:rPr>
              <w:t>有所缺陷需进一步完善的得1分；内容不符合或未提供的不得分。</w:t>
            </w:r>
          </w:p>
        </w:tc>
        <w:tc>
          <w:tcPr>
            <w:tcW w:w="748"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20"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9</w:t>
            </w:r>
          </w:p>
        </w:tc>
        <w:tc>
          <w:tcPr>
            <w:tcW w:w="6649" w:type="dxa"/>
          </w:tcPr>
          <w:p>
            <w:pPr>
              <w:snapToGrid w:val="0"/>
              <w:spacing w:line="360" w:lineRule="auto"/>
              <w:rPr>
                <w:highlight w:val="none"/>
              </w:rPr>
            </w:pPr>
            <w:r>
              <w:rPr>
                <w:rFonts w:hint="eastAsia" w:ascii="宋体" w:hAnsi="宋体" w:eastAsia="宋体" w:cs="宋体"/>
                <w:spacing w:val="-2"/>
                <w:sz w:val="24"/>
                <w:szCs w:val="24"/>
                <w:highlight w:val="none"/>
                <w:lang w:eastAsia="zh-CN"/>
              </w:rPr>
              <w:t>培训计划：</w:t>
            </w:r>
            <w:r>
              <w:rPr>
                <w:rFonts w:hint="eastAsia" w:ascii="宋体" w:hAnsi="宋体" w:eastAsia="宋体" w:cs="宋体"/>
                <w:spacing w:val="-2"/>
                <w:sz w:val="24"/>
                <w:szCs w:val="24"/>
                <w:highlight w:val="none"/>
                <w:lang w:val="zh-TW" w:eastAsia="zh-CN"/>
              </w:rPr>
              <w:t>投标人提供专业培训计划及培训内容，</w:t>
            </w:r>
            <w:r>
              <w:rPr>
                <w:rFonts w:hint="eastAsia" w:ascii="宋体" w:hAnsi="宋体" w:cs="宋体"/>
                <w:spacing w:val="-2"/>
                <w:sz w:val="24"/>
                <w:szCs w:val="24"/>
                <w:highlight w:val="none"/>
                <w:lang w:val="en-US" w:eastAsia="zh-CN"/>
              </w:rPr>
              <w:t>内容完善、合理可行的得5分；内容较为完善、较为合理可行的得3分；内容有所缺陷需进一步完善的得1分；</w:t>
            </w:r>
            <w:r>
              <w:rPr>
                <w:rFonts w:hint="eastAsia" w:cs="宋体"/>
                <w:color w:val="000000"/>
                <w:sz w:val="24"/>
                <w:szCs w:val="24"/>
                <w:highlight w:val="none"/>
                <w:lang w:val="en-US" w:eastAsia="zh-CN"/>
              </w:rPr>
              <w:t>内容不符合或未提供的不得分。</w:t>
            </w:r>
          </w:p>
        </w:tc>
        <w:tc>
          <w:tcPr>
            <w:tcW w:w="748"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5</w:t>
            </w:r>
          </w:p>
        </w:tc>
        <w:tc>
          <w:tcPr>
            <w:tcW w:w="920"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10</w:t>
            </w:r>
          </w:p>
        </w:tc>
        <w:tc>
          <w:tcPr>
            <w:tcW w:w="6649" w:type="dxa"/>
          </w:tcPr>
          <w:p>
            <w:pPr>
              <w:snapToGrid w:val="0"/>
              <w:spacing w:line="360" w:lineRule="auto"/>
              <w:rPr>
                <w:rFonts w:ascii="宋体" w:hAnsi="宋体" w:cs="宋体"/>
                <w:sz w:val="24"/>
                <w:highlight w:val="none"/>
              </w:rPr>
            </w:pPr>
            <w:r>
              <w:rPr>
                <w:rFonts w:hint="eastAsia" w:ascii="宋体" w:hAnsi="宋体" w:eastAsia="宋体" w:cs="宋体"/>
                <w:color w:val="auto"/>
                <w:kern w:val="0"/>
                <w:sz w:val="24"/>
                <w:szCs w:val="24"/>
                <w:highlight w:val="none"/>
                <w:lang w:val="en-US" w:eastAsia="zh-CN" w:bidi="ar"/>
              </w:rPr>
              <w:t>建立突发事件应急预案，方案对于项目实施可能遇到的问题及其应对措施的考虑情况：方案合理、有效、可操作性强的得5分；方案较为合理、有效，具备一定的操作性的得3分；</w:t>
            </w:r>
            <w:r>
              <w:rPr>
                <w:rFonts w:hint="eastAsia" w:ascii="宋体" w:hAnsi="宋体" w:cs="宋体"/>
                <w:spacing w:val="-2"/>
                <w:sz w:val="24"/>
                <w:szCs w:val="24"/>
                <w:highlight w:val="none"/>
                <w:lang w:val="en-US" w:eastAsia="zh-CN"/>
              </w:rPr>
              <w:t>内容有所缺陷需进一步完善的得1分；</w:t>
            </w:r>
            <w:r>
              <w:rPr>
                <w:rFonts w:hint="eastAsia" w:cs="宋体"/>
                <w:color w:val="000000"/>
                <w:sz w:val="24"/>
                <w:szCs w:val="24"/>
                <w:highlight w:val="none"/>
                <w:lang w:val="en-US" w:eastAsia="zh-CN"/>
              </w:rPr>
              <w:t>内容不符合或未提供的不得分。</w:t>
            </w:r>
          </w:p>
        </w:tc>
        <w:tc>
          <w:tcPr>
            <w:tcW w:w="748"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5</w:t>
            </w:r>
          </w:p>
        </w:tc>
        <w:tc>
          <w:tcPr>
            <w:tcW w:w="920"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11</w:t>
            </w:r>
          </w:p>
        </w:tc>
        <w:tc>
          <w:tcPr>
            <w:tcW w:w="6649" w:type="dxa"/>
          </w:tcPr>
          <w:p>
            <w:pPr>
              <w:pStyle w:val="237"/>
              <w:spacing w:line="360" w:lineRule="auto"/>
              <w:jc w:val="both"/>
              <w:rPr>
                <w:rFonts w:ascii="宋体" w:hAnsi="宋体" w:eastAsia="宋体" w:cs="宋体"/>
                <w:color w:val="auto"/>
                <w:highlight w:val="none"/>
              </w:rPr>
            </w:pPr>
            <w:r>
              <w:rPr>
                <w:rFonts w:hint="eastAsia" w:cs="仿宋_GB2312" w:asciiTheme="minorEastAsia" w:hAnsiTheme="minorEastAsia" w:eastAsiaTheme="minorEastAsia"/>
                <w:color w:val="auto"/>
                <w:sz w:val="24"/>
                <w:highlight w:val="none"/>
              </w:rPr>
              <w:t>针对本项目的管理机构设置：机构设置情况合理可行、可操作性好得</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分；机构设置情况较为合理可行、可操作性较好得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分；机构设置情况与实际偏差较大得1分；</w:t>
            </w:r>
            <w:r>
              <w:rPr>
                <w:rFonts w:hint="eastAsia" w:cs="仿宋_GB2312" w:asciiTheme="minorEastAsia" w:hAnsiTheme="minorEastAsia" w:eastAsiaTheme="minorEastAsia"/>
                <w:color w:val="auto"/>
                <w:sz w:val="24"/>
                <w:highlight w:val="none"/>
                <w:lang w:val="en-US" w:eastAsia="zh-CN"/>
              </w:rPr>
              <w:t>内容不符合或未提供的不得分。</w:t>
            </w:r>
          </w:p>
        </w:tc>
        <w:tc>
          <w:tcPr>
            <w:tcW w:w="748"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5</w:t>
            </w:r>
          </w:p>
        </w:tc>
        <w:tc>
          <w:tcPr>
            <w:tcW w:w="920"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12</w:t>
            </w:r>
          </w:p>
        </w:tc>
        <w:tc>
          <w:tcPr>
            <w:tcW w:w="6649" w:type="dxa"/>
          </w:tcPr>
          <w:p>
            <w:pPr>
              <w:pStyle w:val="237"/>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人力资源保障措施：</w:t>
            </w:r>
            <w:r>
              <w:rPr>
                <w:rFonts w:hint="eastAsia" w:ascii="宋体" w:hAnsi="宋体" w:eastAsia="宋体" w:cs="宋体"/>
                <w:color w:val="auto"/>
                <w:highlight w:val="none"/>
                <w:lang w:eastAsia="zh-CN"/>
              </w:rPr>
              <w:t>投标人提供</w:t>
            </w:r>
            <w:r>
              <w:rPr>
                <w:rFonts w:hint="eastAsia" w:ascii="宋体" w:hAnsi="宋体" w:eastAsia="宋体" w:cs="宋体"/>
                <w:color w:val="auto"/>
                <w:highlight w:val="none"/>
              </w:rPr>
              <w:t>人员稳定保障措施、薪酬福利水平、岗位晋升保障措施</w:t>
            </w:r>
            <w:r>
              <w:rPr>
                <w:rFonts w:hint="eastAsia" w:ascii="宋体" w:hAnsi="宋体" w:eastAsia="宋体" w:cs="宋体"/>
                <w:color w:val="auto"/>
                <w:highlight w:val="none"/>
                <w:lang w:eastAsia="zh-CN"/>
              </w:rPr>
              <w:t>，</w:t>
            </w:r>
            <w:r>
              <w:rPr>
                <w:rFonts w:hint="eastAsia" w:ascii="宋体" w:hAnsi="宋体" w:eastAsia="宋体" w:cs="宋体"/>
                <w:sz w:val="24"/>
                <w:szCs w:val="24"/>
                <w:highlight w:val="none"/>
              </w:rPr>
              <w:t>人力资源保障措施</w:t>
            </w:r>
            <w:r>
              <w:rPr>
                <w:rFonts w:hint="eastAsia" w:ascii="宋体" w:hAnsi="宋体" w:eastAsia="宋体" w:cs="宋体"/>
                <w:sz w:val="24"/>
                <w:szCs w:val="24"/>
                <w:highlight w:val="none"/>
                <w:lang w:val="en-US" w:eastAsia="zh-CN"/>
              </w:rPr>
              <w:t>完善、合理可行的得5分；人力资源保障措施较为完善、较为合理可行的得3分；内容有所缺陷需进一步完善的得1分；</w:t>
            </w:r>
            <w:r>
              <w:rPr>
                <w:rFonts w:hint="eastAsia" w:cs="仿宋_GB2312" w:asciiTheme="minorEastAsia" w:hAnsiTheme="minorEastAsia" w:eastAsiaTheme="minorEastAsia"/>
                <w:color w:val="auto"/>
                <w:sz w:val="24"/>
                <w:highlight w:val="none"/>
                <w:lang w:val="en-US" w:eastAsia="zh-CN"/>
              </w:rPr>
              <w:t>内容不符合或未提供的不得分。</w:t>
            </w:r>
          </w:p>
        </w:tc>
        <w:tc>
          <w:tcPr>
            <w:tcW w:w="748"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5</w:t>
            </w:r>
          </w:p>
        </w:tc>
        <w:tc>
          <w:tcPr>
            <w:tcW w:w="920"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13</w:t>
            </w:r>
          </w:p>
        </w:tc>
        <w:tc>
          <w:tcPr>
            <w:tcW w:w="6649" w:type="dxa"/>
          </w:tcPr>
          <w:p>
            <w:pPr>
              <w:pStyle w:val="237"/>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针对本项目</w:t>
            </w:r>
            <w:r>
              <w:rPr>
                <w:rFonts w:hint="eastAsia" w:ascii="宋体" w:hAnsi="宋体" w:eastAsia="宋体" w:cs="宋体"/>
                <w:bCs/>
                <w:sz w:val="24"/>
                <w:szCs w:val="24"/>
                <w:highlight w:val="none"/>
                <w:lang w:val="en-US"/>
              </w:rPr>
              <w:t>调解</w:t>
            </w:r>
            <w:r>
              <w:rPr>
                <w:rFonts w:hint="eastAsia" w:ascii="宋体" w:hAnsi="宋体" w:eastAsia="宋体" w:cs="宋体"/>
                <w:bCs/>
                <w:sz w:val="24"/>
                <w:szCs w:val="24"/>
                <w:highlight w:val="none"/>
                <w:lang w:val="en-US" w:eastAsia="zh-CN"/>
              </w:rPr>
              <w:t>项目后续出现的问题如何解决与维护的</w:t>
            </w:r>
            <w:r>
              <w:rPr>
                <w:rFonts w:hint="eastAsia" w:ascii="宋体" w:hAnsi="宋体" w:eastAsia="宋体" w:cs="宋体"/>
                <w:kern w:val="0"/>
                <w:sz w:val="24"/>
                <w:szCs w:val="24"/>
                <w:highlight w:val="none"/>
                <w:lang w:val="zh-TW"/>
              </w:rPr>
              <w:t>售后服务方案</w:t>
            </w:r>
            <w:r>
              <w:rPr>
                <w:rFonts w:hint="eastAsia" w:ascii="宋体" w:hAnsi="宋体" w:eastAsia="宋体" w:cs="宋体"/>
                <w:kern w:val="0"/>
                <w:sz w:val="24"/>
                <w:szCs w:val="24"/>
                <w:highlight w:val="none"/>
                <w:lang w:val="zh-TW" w:eastAsia="zh-CN"/>
              </w:rPr>
              <w:t>；</w:t>
            </w:r>
            <w:r>
              <w:rPr>
                <w:rFonts w:hint="eastAsia" w:ascii="宋体" w:hAnsi="宋体" w:eastAsia="宋体" w:cs="宋体"/>
                <w:kern w:val="0"/>
                <w:sz w:val="24"/>
                <w:szCs w:val="24"/>
                <w:highlight w:val="none"/>
                <w:lang w:val="en-US" w:eastAsia="zh-CN"/>
              </w:rPr>
              <w:t>方案内容完善、合理可行的得5分；方案内容较为完善、较为合理可行的得3分；内容有所缺陷需进一步完善的得1分；</w:t>
            </w:r>
            <w:r>
              <w:rPr>
                <w:rFonts w:hint="eastAsia" w:cs="仿宋_GB2312" w:asciiTheme="minorEastAsia" w:hAnsiTheme="minorEastAsia" w:eastAsiaTheme="minorEastAsia"/>
                <w:color w:val="auto"/>
                <w:sz w:val="24"/>
                <w:highlight w:val="none"/>
                <w:lang w:val="en-US" w:eastAsia="zh-CN"/>
              </w:rPr>
              <w:t>内容不符合或未提供的不得分。</w:t>
            </w:r>
          </w:p>
        </w:tc>
        <w:tc>
          <w:tcPr>
            <w:tcW w:w="748"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5</w:t>
            </w:r>
          </w:p>
        </w:tc>
        <w:tc>
          <w:tcPr>
            <w:tcW w:w="920" w:type="dxa"/>
            <w:vAlign w:val="center"/>
          </w:tcPr>
          <w:p>
            <w:pPr>
              <w:snapToGrid w:val="0"/>
              <w:spacing w:line="360" w:lineRule="auto"/>
              <w:jc w:val="center"/>
              <w:rPr>
                <w:rFonts w:asci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13"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14</w:t>
            </w:r>
          </w:p>
        </w:tc>
        <w:tc>
          <w:tcPr>
            <w:tcW w:w="6649" w:type="dxa"/>
          </w:tcPr>
          <w:p>
            <w:pPr>
              <w:pStyle w:val="237"/>
              <w:spacing w:line="360" w:lineRule="auto"/>
              <w:jc w:val="both"/>
              <w:rPr>
                <w:rFonts w:ascii="宋体" w:hAnsi="宋体" w:eastAsia="宋体" w:cs="宋体"/>
                <w:color w:val="auto"/>
                <w:highlight w:val="none"/>
              </w:rPr>
            </w:pPr>
            <w:r>
              <w:rPr>
                <w:rFonts w:hint="eastAsia" w:ascii="宋体" w:hAnsi="宋体" w:eastAsia="宋体" w:cs="宋体"/>
                <w:color w:val="auto"/>
                <w:spacing w:val="-2"/>
                <w:sz w:val="24"/>
                <w:szCs w:val="24"/>
                <w:highlight w:val="none"/>
                <w:lang w:eastAsia="zh-CN"/>
              </w:rPr>
              <w:t>项目团队组织管理情况：投标人</w:t>
            </w:r>
            <w:r>
              <w:rPr>
                <w:rFonts w:hint="eastAsia" w:ascii="宋体" w:hAnsi="宋体" w:eastAsia="宋体" w:cs="宋体"/>
                <w:color w:val="auto"/>
                <w:spacing w:val="-2"/>
                <w:sz w:val="24"/>
                <w:szCs w:val="24"/>
                <w:highlight w:val="none"/>
                <w:lang w:val="en-US" w:eastAsia="zh-CN"/>
              </w:rPr>
              <w:t>针对本项目</w:t>
            </w:r>
            <w:r>
              <w:rPr>
                <w:rFonts w:hint="eastAsia" w:ascii="宋体" w:hAnsi="宋体" w:eastAsia="宋体" w:cs="宋体"/>
                <w:color w:val="auto"/>
                <w:spacing w:val="-2"/>
                <w:sz w:val="24"/>
                <w:szCs w:val="24"/>
                <w:highlight w:val="none"/>
                <w:lang w:eastAsia="zh-CN"/>
              </w:rPr>
              <w:t>建立现代企业管理体制，具有完备的管理规章制度（工作规范、岗位职责、管理运营制度及标准、管理人员考核制度及标准）</w:t>
            </w:r>
            <w:r>
              <w:rPr>
                <w:rFonts w:hint="eastAsia" w:ascii="宋体" w:hAnsi="宋体" w:eastAsia="宋体" w:cs="宋体"/>
                <w:color w:val="auto"/>
                <w:spacing w:val="-2"/>
                <w:sz w:val="24"/>
                <w:szCs w:val="24"/>
                <w:highlight w:val="none"/>
                <w:lang w:val="en-US" w:eastAsia="zh-CN"/>
              </w:rPr>
              <w:t>的得5分；具有较为完善的管理规章制度</w:t>
            </w:r>
            <w:r>
              <w:rPr>
                <w:rFonts w:hint="eastAsia" w:ascii="宋体" w:hAnsi="宋体" w:eastAsia="宋体" w:cs="宋体"/>
                <w:color w:val="auto"/>
                <w:spacing w:val="-2"/>
                <w:sz w:val="24"/>
                <w:szCs w:val="24"/>
                <w:highlight w:val="none"/>
                <w:lang w:eastAsia="zh-CN"/>
              </w:rPr>
              <w:t>（工作规范、岗位职责、管理运营制度及标准、管理人员考核制度及标准）</w:t>
            </w:r>
            <w:r>
              <w:rPr>
                <w:rFonts w:hint="eastAsia" w:ascii="宋体" w:hAnsi="宋体" w:eastAsia="宋体" w:cs="宋体"/>
                <w:color w:val="auto"/>
                <w:spacing w:val="-2"/>
                <w:sz w:val="24"/>
                <w:szCs w:val="24"/>
                <w:highlight w:val="none"/>
                <w:lang w:val="en-US" w:eastAsia="zh-CN"/>
              </w:rPr>
              <w:t>的得3分；管理规章制度有所缺陷需进一步完善的得1分；内容不符合或未提供的不得分。</w:t>
            </w:r>
          </w:p>
        </w:tc>
        <w:tc>
          <w:tcPr>
            <w:tcW w:w="748"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5</w:t>
            </w:r>
          </w:p>
        </w:tc>
        <w:tc>
          <w:tcPr>
            <w:tcW w:w="920"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13" w:type="dxa"/>
            <w:vAlign w:val="center"/>
          </w:tcPr>
          <w:p>
            <w:pPr>
              <w:snapToGrid w:val="0"/>
              <w:spacing w:line="360" w:lineRule="auto"/>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15</w:t>
            </w:r>
          </w:p>
        </w:tc>
        <w:tc>
          <w:tcPr>
            <w:tcW w:w="6649" w:type="dxa"/>
          </w:tcPr>
          <w:p>
            <w:pPr>
              <w:pStyle w:val="237"/>
              <w:spacing w:line="360" w:lineRule="auto"/>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kern w:val="0"/>
                <w:sz w:val="24"/>
                <w:szCs w:val="24"/>
                <w:highlight w:val="none"/>
                <w:lang w:val="en-US" w:eastAsia="zh-CN" w:bidi="ar"/>
              </w:rPr>
              <w:t>针对本项目的合理化、优化建议：投标人针对本项目提出合理化、优化建议进行评议：合理化、优化建议符合实际情况，内容切实可行的得4分；合理化、优化建议较为符合实际情况，内容较为切实可行的得2分；合理化、优化建议基本符合实际情况，但内容有所不足需进一步完善的得1分；</w:t>
            </w:r>
            <w:r>
              <w:rPr>
                <w:rFonts w:hint="eastAsia" w:ascii="宋体" w:hAnsi="宋体" w:eastAsia="宋体" w:cs="宋体"/>
                <w:color w:val="auto"/>
                <w:spacing w:val="-2"/>
                <w:sz w:val="24"/>
                <w:szCs w:val="24"/>
                <w:highlight w:val="none"/>
                <w:lang w:val="en-US" w:eastAsia="zh-CN"/>
              </w:rPr>
              <w:t>内容不符合或未提供的不得分。</w:t>
            </w:r>
          </w:p>
        </w:tc>
        <w:tc>
          <w:tcPr>
            <w:tcW w:w="748" w:type="dxa"/>
            <w:vAlign w:val="center"/>
          </w:tcPr>
          <w:p>
            <w:pPr>
              <w:snapToGrid w:val="0"/>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4</w:t>
            </w:r>
          </w:p>
        </w:tc>
        <w:tc>
          <w:tcPr>
            <w:tcW w:w="920" w:type="dxa"/>
            <w:vAlign w:val="center"/>
          </w:tcPr>
          <w:p>
            <w:pPr>
              <w:snapToGrid w:val="0"/>
              <w:spacing w:line="360" w:lineRule="auto"/>
              <w:jc w:val="center"/>
              <w:rPr>
                <w:rFonts w:hint="eastAsia" w:ascii="宋体" w:hAnsi="宋体" w:cs="仿宋_GB2312"/>
                <w:sz w:val="24"/>
                <w:highlight w:val="none"/>
              </w:rPr>
            </w:pPr>
            <w:r>
              <w:rPr>
                <w:rFonts w:hint="eastAsia" w:ascii="宋体" w:hAnsi="宋体" w:cs="仿宋_GB2312"/>
                <w:sz w:val="24"/>
                <w:highlight w:val="none"/>
              </w:rPr>
              <w:t>主观分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13"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rPr>
              <w:t>1</w:t>
            </w:r>
            <w:r>
              <w:rPr>
                <w:rFonts w:hint="eastAsia" w:ascii="宋体" w:hAnsi="宋体" w:cs="仿宋_GB2312"/>
                <w:sz w:val="24"/>
                <w:highlight w:val="none"/>
                <w:lang w:val="en-US" w:eastAsia="zh-CN"/>
              </w:rPr>
              <w:t>6</w:t>
            </w:r>
          </w:p>
        </w:tc>
        <w:tc>
          <w:tcPr>
            <w:tcW w:w="6649" w:type="dxa"/>
            <w:vAlign w:val="center"/>
          </w:tcPr>
          <w:p>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pacing w:val="-2"/>
                <w:sz w:val="24"/>
                <w:szCs w:val="24"/>
                <w:highlight w:val="none"/>
                <w:lang w:eastAsia="zh-CN"/>
              </w:rPr>
              <w:t>拟</w:t>
            </w:r>
            <w:r>
              <w:rPr>
                <w:rFonts w:hint="eastAsia" w:ascii="宋体" w:hAnsi="宋体" w:eastAsia="宋体" w:cs="宋体"/>
                <w:color w:val="auto"/>
                <w:spacing w:val="-2"/>
                <w:sz w:val="24"/>
                <w:szCs w:val="24"/>
                <w:highlight w:val="none"/>
                <w:lang w:val="en-US" w:eastAsia="zh-CN"/>
              </w:rPr>
              <w:t>投入</w:t>
            </w:r>
            <w:r>
              <w:rPr>
                <w:rFonts w:hint="eastAsia" w:ascii="宋体" w:hAnsi="宋体" w:cs="宋体"/>
                <w:color w:val="auto"/>
                <w:spacing w:val="-2"/>
                <w:sz w:val="24"/>
                <w:szCs w:val="24"/>
                <w:highlight w:val="none"/>
                <w:lang w:eastAsia="zh-CN"/>
              </w:rPr>
              <w:t>成员</w:t>
            </w:r>
            <w:r>
              <w:rPr>
                <w:rFonts w:hint="eastAsia" w:ascii="宋体" w:hAnsi="宋体" w:eastAsia="宋体" w:cs="宋体"/>
                <w:color w:val="auto"/>
                <w:spacing w:val="-2"/>
                <w:sz w:val="24"/>
                <w:szCs w:val="24"/>
                <w:highlight w:val="none"/>
                <w:lang w:eastAsia="zh-CN"/>
              </w:rPr>
              <w:t>情况</w:t>
            </w:r>
            <w:r>
              <w:rPr>
                <w:rFonts w:hint="eastAsia" w:ascii="宋体" w:hAnsi="宋体" w:eastAsia="宋体" w:cs="宋体"/>
                <w:bCs/>
                <w:color w:val="auto"/>
                <w:sz w:val="24"/>
                <w:szCs w:val="24"/>
                <w:highlight w:val="none"/>
                <w:lang w:val="en-US" w:eastAsia="zh-CN"/>
              </w:rPr>
              <w:t>：</w:t>
            </w:r>
          </w:p>
          <w:p>
            <w:pPr>
              <w:widowControl w:val="0"/>
              <w:numPr>
                <w:ilvl w:val="0"/>
                <w:numId w:val="0"/>
              </w:numPr>
              <w:wordWrap/>
              <w:adjustRightInd w:val="0"/>
              <w:snapToGrid/>
              <w:spacing w:line="600" w:lineRule="exact"/>
              <w:ind w:leftChars="0" w:right="0"/>
              <w:textAlignment w:val="auto"/>
              <w:outlineLvl w:val="9"/>
              <w:rPr>
                <w:rFonts w:hint="eastAsia" w:ascii="宋体" w:hAnsi="宋体" w:cs="宋体"/>
                <w:b/>
                <w:bCs/>
                <w:color w:val="auto"/>
                <w:spacing w:val="-2"/>
                <w:sz w:val="24"/>
                <w:szCs w:val="24"/>
                <w:highlight w:val="none"/>
                <w:lang w:val="en-US" w:eastAsia="zh-CN"/>
              </w:rPr>
            </w:pPr>
            <w:r>
              <w:rPr>
                <w:rFonts w:hint="eastAsia" w:ascii="宋体" w:hAnsi="宋体" w:cs="宋体"/>
                <w:b w:val="0"/>
                <w:bCs w:val="0"/>
                <w:color w:val="auto"/>
                <w:spacing w:val="-2"/>
                <w:sz w:val="24"/>
                <w:szCs w:val="24"/>
                <w:highlight w:val="none"/>
                <w:lang w:val="en-US" w:eastAsia="zh-CN"/>
              </w:rPr>
              <w:t>1）拟派专职人员为本科及以上文化程度，每提供一人得1分，最高得3分；</w:t>
            </w:r>
            <w:r>
              <w:rPr>
                <w:rFonts w:hint="eastAsia" w:ascii="宋体" w:hAnsi="宋体" w:cs="宋体"/>
                <w:b/>
                <w:bCs/>
                <w:color w:val="auto"/>
                <w:spacing w:val="-2"/>
                <w:sz w:val="24"/>
                <w:szCs w:val="24"/>
                <w:highlight w:val="none"/>
                <w:lang w:val="en-US" w:eastAsia="zh-CN"/>
              </w:rPr>
              <w:t>投标文件中提供人员学历证书证明材料复印件并加盖公章，未提供不得分；</w:t>
            </w:r>
          </w:p>
          <w:p>
            <w:pPr>
              <w:pStyle w:val="237"/>
              <w:spacing w:line="360" w:lineRule="auto"/>
              <w:jc w:val="both"/>
              <w:rPr>
                <w:rFonts w:ascii="宋体" w:hAnsi="宋体" w:eastAsia="宋体" w:cs="宋体"/>
                <w:color w:val="auto"/>
                <w:highlight w:val="none"/>
              </w:rPr>
            </w:pP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sz w:val="24"/>
                <w:szCs w:val="24"/>
                <w:highlight w:val="none"/>
                <w:lang w:val="en-US" w:eastAsia="zh-CN"/>
              </w:rPr>
              <w:t>拟派本项目人员具有相关涉网投诉举报件处理经验，每提供一人得2分，最高得8分；处理涉网投诉举报件，获得业主好评的，每提供一份得2分，最高得4分；本项最多得12分；</w:t>
            </w:r>
            <w:r>
              <w:rPr>
                <w:rFonts w:hint="eastAsia" w:ascii="宋体" w:hAnsi="宋体" w:eastAsia="宋体" w:cs="宋体"/>
                <w:b/>
                <w:bCs/>
                <w:sz w:val="24"/>
                <w:szCs w:val="24"/>
                <w:highlight w:val="none"/>
                <w:lang w:val="en-US" w:eastAsia="zh-CN"/>
              </w:rPr>
              <w:t>投标文件中提供拟派人员履历及类似经验相关证明材料复印件并加盖公章，未提供不得分；</w:t>
            </w:r>
          </w:p>
        </w:tc>
        <w:tc>
          <w:tcPr>
            <w:tcW w:w="748" w:type="dxa"/>
            <w:vAlign w:val="center"/>
          </w:tcPr>
          <w:p>
            <w:pPr>
              <w:snapToGrid w:val="0"/>
              <w:spacing w:line="360" w:lineRule="auto"/>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15</w:t>
            </w:r>
          </w:p>
        </w:tc>
        <w:tc>
          <w:tcPr>
            <w:tcW w:w="920"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lang w:val="en-US" w:eastAsia="zh-CN"/>
              </w:rPr>
              <w:t>客</w:t>
            </w:r>
            <w:r>
              <w:rPr>
                <w:rFonts w:hint="eastAsia" w:ascii="宋体" w:hAnsi="宋体" w:cs="仿宋_GB2312"/>
                <w:sz w:val="24"/>
                <w:highlight w:val="none"/>
              </w:rPr>
              <w:t>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613"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rPr>
              <w:t>1</w:t>
            </w:r>
            <w:r>
              <w:rPr>
                <w:rFonts w:hint="eastAsia" w:ascii="宋体" w:hAnsi="宋体" w:cs="仿宋_GB2312"/>
                <w:sz w:val="24"/>
                <w:highlight w:val="none"/>
                <w:lang w:val="en-US" w:eastAsia="zh-CN"/>
              </w:rPr>
              <w:t>7</w:t>
            </w:r>
          </w:p>
        </w:tc>
        <w:tc>
          <w:tcPr>
            <w:tcW w:w="6649" w:type="dxa"/>
            <w:vAlign w:val="center"/>
          </w:tcPr>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b w:val="0"/>
                <w:bCs w:val="0"/>
                <w:spacing w:val="-2"/>
                <w:sz w:val="24"/>
                <w:szCs w:val="24"/>
                <w:highlight w:val="none"/>
                <w:lang w:eastAsia="zh-CN"/>
              </w:rPr>
            </w:pPr>
            <w:r>
              <w:rPr>
                <w:rFonts w:hint="eastAsia" w:ascii="宋体" w:hAnsi="宋体" w:cs="宋体"/>
                <w:b w:val="0"/>
                <w:bCs w:val="0"/>
                <w:spacing w:val="-2"/>
                <w:sz w:val="24"/>
                <w:szCs w:val="24"/>
                <w:highlight w:val="none"/>
                <w:lang w:val="en-US" w:eastAsia="zh-CN"/>
              </w:rPr>
              <w:t>投标单位自2021</w:t>
            </w:r>
            <w:r>
              <w:rPr>
                <w:rFonts w:hint="eastAsia" w:ascii="宋体" w:hAnsi="宋体" w:eastAsia="宋体" w:cs="宋体"/>
                <w:b w:val="0"/>
                <w:bCs w:val="0"/>
                <w:spacing w:val="-2"/>
                <w:sz w:val="24"/>
                <w:szCs w:val="24"/>
                <w:highlight w:val="none"/>
                <w:lang w:eastAsia="zh-CN"/>
              </w:rPr>
              <w:t>年1月以来（以合同签订时间为准）</w:t>
            </w:r>
            <w:r>
              <w:rPr>
                <w:rFonts w:hint="eastAsia" w:ascii="宋体" w:hAnsi="宋体" w:eastAsia="宋体" w:cs="宋体"/>
                <w:b w:val="0"/>
                <w:bCs w:val="0"/>
                <w:spacing w:val="-2"/>
                <w:sz w:val="24"/>
                <w:szCs w:val="24"/>
                <w:highlight w:val="none"/>
                <w:lang w:val="en-US" w:eastAsia="zh-CN"/>
              </w:rPr>
              <w:t>承担过</w:t>
            </w:r>
            <w:r>
              <w:rPr>
                <w:rFonts w:hint="eastAsia" w:ascii="宋体" w:hAnsi="宋体" w:cs="宋体"/>
                <w:b w:val="0"/>
                <w:bCs w:val="0"/>
                <w:spacing w:val="-2"/>
                <w:sz w:val="24"/>
                <w:szCs w:val="24"/>
                <w:highlight w:val="none"/>
                <w:lang w:val="en-US" w:eastAsia="zh-CN"/>
              </w:rPr>
              <w:t>类似</w:t>
            </w:r>
            <w:r>
              <w:rPr>
                <w:rFonts w:hint="eastAsia" w:ascii="宋体" w:hAnsi="宋体" w:eastAsia="宋体" w:cs="宋体"/>
                <w:b w:val="0"/>
                <w:bCs w:val="0"/>
                <w:spacing w:val="-2"/>
                <w:sz w:val="24"/>
                <w:szCs w:val="24"/>
                <w:highlight w:val="none"/>
                <w:lang w:val="en-US" w:eastAsia="zh-CN"/>
              </w:rPr>
              <w:t>涉网投诉举报件及数字化改革项目应用辅助处理服务</w:t>
            </w:r>
            <w:r>
              <w:rPr>
                <w:rFonts w:hint="eastAsia" w:ascii="宋体" w:hAnsi="宋体" w:eastAsia="宋体" w:cs="宋体"/>
                <w:b w:val="0"/>
                <w:bCs w:val="0"/>
                <w:spacing w:val="-2"/>
                <w:sz w:val="24"/>
                <w:szCs w:val="24"/>
                <w:highlight w:val="none"/>
                <w:lang w:eastAsia="zh-CN"/>
              </w:rPr>
              <w:t>项目业绩,每提供一份案例</w:t>
            </w:r>
            <w:r>
              <w:rPr>
                <w:rFonts w:hint="eastAsia" w:ascii="宋体" w:hAnsi="宋体" w:cs="宋体"/>
                <w:b w:val="0"/>
                <w:bCs w:val="0"/>
                <w:spacing w:val="-2"/>
                <w:sz w:val="24"/>
                <w:szCs w:val="24"/>
                <w:highlight w:val="none"/>
                <w:lang w:val="en-US" w:eastAsia="zh-CN"/>
              </w:rPr>
              <w:t>业绩的得1</w:t>
            </w:r>
            <w:r>
              <w:rPr>
                <w:rFonts w:hint="eastAsia" w:ascii="宋体" w:hAnsi="宋体" w:eastAsia="宋体" w:cs="宋体"/>
                <w:b w:val="0"/>
                <w:bCs w:val="0"/>
                <w:spacing w:val="-2"/>
                <w:sz w:val="24"/>
                <w:szCs w:val="24"/>
                <w:highlight w:val="none"/>
                <w:lang w:eastAsia="zh-CN"/>
              </w:rPr>
              <w:t>分，最高得1分。</w:t>
            </w:r>
          </w:p>
          <w:p>
            <w:pPr>
              <w:snapToGrid w:val="0"/>
              <w:spacing w:line="360" w:lineRule="auto"/>
              <w:rPr>
                <w:rFonts w:ascii="宋体" w:hAnsi="宋体" w:cs="宋体"/>
                <w:highlight w:val="none"/>
                <w:lang w:val="zh-CN"/>
              </w:rPr>
            </w:pPr>
            <w:r>
              <w:rPr>
                <w:rFonts w:hint="eastAsia" w:ascii="宋体" w:hAnsi="宋体" w:eastAsia="宋体" w:cs="宋体"/>
                <w:b/>
                <w:bCs/>
                <w:sz w:val="24"/>
                <w:szCs w:val="24"/>
                <w:highlight w:val="none"/>
                <w:lang w:val="en-US" w:eastAsia="zh-CN"/>
              </w:rPr>
              <w:t>投标文件中</w:t>
            </w:r>
            <w:r>
              <w:rPr>
                <w:rFonts w:hint="eastAsia" w:ascii="宋体" w:hAnsi="宋体" w:eastAsia="宋体" w:cs="宋体"/>
                <w:b/>
                <w:bCs/>
                <w:spacing w:val="-2"/>
                <w:sz w:val="24"/>
                <w:szCs w:val="24"/>
                <w:highlight w:val="none"/>
                <w:lang w:eastAsia="zh-CN"/>
              </w:rPr>
              <w:t>提供合同复印件</w:t>
            </w:r>
            <w:r>
              <w:rPr>
                <w:rFonts w:hint="eastAsia" w:ascii="宋体" w:hAnsi="宋体" w:eastAsia="宋体" w:cs="宋体"/>
                <w:b/>
                <w:bCs/>
                <w:spacing w:val="-2"/>
                <w:sz w:val="24"/>
                <w:szCs w:val="24"/>
                <w:highlight w:val="none"/>
                <w:lang w:val="en-US" w:eastAsia="zh-CN"/>
              </w:rPr>
              <w:t>并加盖公章，未提供不得分；</w:t>
            </w:r>
          </w:p>
        </w:tc>
        <w:tc>
          <w:tcPr>
            <w:tcW w:w="748"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1</w:t>
            </w:r>
          </w:p>
        </w:tc>
        <w:tc>
          <w:tcPr>
            <w:tcW w:w="920" w:type="dxa"/>
            <w:vAlign w:val="center"/>
          </w:tcPr>
          <w:p>
            <w:pPr>
              <w:snapToGrid w:val="0"/>
              <w:spacing w:line="360" w:lineRule="auto"/>
              <w:jc w:val="center"/>
              <w:rPr>
                <w:rFonts w:ascii="宋体" w:hAnsi="宋体" w:cs="仿宋_GB2312"/>
                <w:sz w:val="24"/>
                <w:highlight w:val="none"/>
              </w:rPr>
            </w:pPr>
            <w:r>
              <w:rPr>
                <w:rFonts w:hint="eastAsia" w:ascii="宋体" w:hAnsi="宋体" w:cs="仿宋_GB2312"/>
                <w:sz w:val="24"/>
                <w:highlight w:val="none"/>
                <w:lang w:val="en-US" w:eastAsia="zh-CN"/>
              </w:rPr>
              <w:t>客</w:t>
            </w:r>
            <w:r>
              <w:rPr>
                <w:rFonts w:hint="eastAsia" w:ascii="宋体" w:hAnsi="宋体" w:cs="仿宋_GB2312"/>
                <w:sz w:val="24"/>
                <w:highlight w:val="none"/>
              </w:rPr>
              <w:t>观分</w:t>
            </w:r>
          </w:p>
        </w:tc>
        <w:tc>
          <w:tcPr>
            <w:tcW w:w="1404" w:type="dxa"/>
          </w:tcPr>
          <w:p>
            <w:pPr>
              <w:snapToGrid w:val="0"/>
              <w:spacing w:line="360" w:lineRule="auto"/>
              <w:jc w:val="center"/>
              <w:rPr>
                <w:rFonts w:asci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pPr>
              <w:snapToGrid w:val="0"/>
              <w:spacing w:line="360" w:lineRule="auto"/>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18</w:t>
            </w:r>
          </w:p>
        </w:tc>
        <w:tc>
          <w:tcPr>
            <w:tcW w:w="6649" w:type="dxa"/>
            <w:vAlign w:val="center"/>
          </w:tcPr>
          <w:p>
            <w:pPr>
              <w:snapToGrid w:val="0"/>
              <w:spacing w:line="360" w:lineRule="auto"/>
              <w:rPr>
                <w:rFonts w:ascii="宋体" w:hAnsi="宋体" w:cs="宋体"/>
                <w:sz w:val="24"/>
                <w:highlight w:val="none"/>
              </w:rPr>
            </w:pPr>
            <w:r>
              <w:rPr>
                <w:rFonts w:hint="eastAsia" w:ascii="宋体" w:hAnsi="宋体" w:cs="宋体"/>
                <w:sz w:val="24"/>
                <w:highlight w:val="none"/>
              </w:rPr>
              <w:t>价格分采用低价优先法计算，即满足招标文件要求且投标价格最低的投标报价为评标基准价，其他投标人的价格分按照下列公式计算：</w:t>
            </w:r>
          </w:p>
          <w:p>
            <w:pPr>
              <w:snapToGrid w:val="0"/>
              <w:spacing w:line="360" w:lineRule="auto"/>
              <w:rPr>
                <w:rFonts w:ascii="宋体"/>
                <w:sz w:val="24"/>
                <w:highlight w:val="none"/>
              </w:rPr>
            </w:pPr>
            <w:r>
              <w:rPr>
                <w:rFonts w:hint="eastAsia" w:ascii="宋体" w:hAnsi="宋体" w:cs="宋体"/>
                <w:sz w:val="24"/>
                <w:highlight w:val="none"/>
              </w:rPr>
              <w:t>价格分=（评标基准价/投标报价）×权值%×100</w:t>
            </w:r>
          </w:p>
        </w:tc>
        <w:tc>
          <w:tcPr>
            <w:tcW w:w="748" w:type="dxa"/>
            <w:vAlign w:val="center"/>
          </w:tcPr>
          <w:p>
            <w:pPr>
              <w:snapToGrid w:val="0"/>
              <w:spacing w:line="360" w:lineRule="auto"/>
              <w:jc w:val="center"/>
              <w:rPr>
                <w:rFonts w:hint="eastAsia" w:ascii="宋体" w:hAnsi="宋体" w:eastAsia="宋体" w:cs="仿宋_GB2312"/>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920" w:type="dxa"/>
            <w:vAlign w:val="center"/>
          </w:tcPr>
          <w:p>
            <w:pPr>
              <w:spacing w:line="360" w:lineRule="auto"/>
              <w:jc w:val="center"/>
              <w:outlineLvl w:val="0"/>
              <w:rPr>
                <w:rFonts w:ascii="宋体" w:hAnsi="宋体" w:cs="仿宋_GB2312"/>
                <w:sz w:val="24"/>
                <w:highlight w:val="none"/>
              </w:rPr>
            </w:pPr>
            <w:r>
              <w:rPr>
                <w:rFonts w:ascii="宋体" w:hAnsi="宋体" w:cs="仿宋_GB2312"/>
                <w:sz w:val="24"/>
                <w:highlight w:val="none"/>
              </w:rPr>
              <w:t>/</w:t>
            </w:r>
          </w:p>
        </w:tc>
        <w:tc>
          <w:tcPr>
            <w:tcW w:w="1404" w:type="dxa"/>
            <w:vAlign w:val="center"/>
          </w:tcPr>
          <w:p>
            <w:pPr>
              <w:spacing w:line="360" w:lineRule="auto"/>
              <w:jc w:val="center"/>
              <w:outlineLvl w:val="0"/>
              <w:rPr>
                <w:rFonts w:ascii="宋体" w:hAnsi="宋体" w:cs="仿宋_GB2312"/>
                <w:sz w:val="24"/>
                <w:highlight w:val="none"/>
              </w:rPr>
            </w:pPr>
            <w:r>
              <w:rPr>
                <w:rFonts w:ascii="宋体" w:hAnsi="宋体" w:cs="仿宋_GB2312"/>
                <w:sz w:val="24"/>
                <w:highlight w:val="none"/>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w:t>
      </w:r>
      <w:r>
        <w:rPr>
          <w:rFonts w:hint="default" w:ascii="宋体" w:hAnsi="宋体" w:cs="宋体"/>
          <w:color w:val="auto"/>
          <w:kern w:val="0"/>
          <w:sz w:val="24"/>
          <w:highlight w:val="none"/>
          <w:lang w:val="en-US"/>
        </w:rPr>
        <w:t>署、</w:t>
      </w:r>
      <w:r>
        <w:rPr>
          <w:rFonts w:hint="eastAsia" w:ascii="宋体" w:hAnsi="宋体" w:cs="宋体"/>
          <w:color w:val="auto"/>
          <w:kern w:val="0"/>
          <w:sz w:val="24"/>
          <w:highlight w:val="none"/>
        </w:rPr>
        <w:t>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7"/>
        <w:snapToGrid w:val="0"/>
        <w:spacing w:line="360" w:lineRule="auto"/>
        <w:rPr>
          <w:rFonts w:cs="宋体"/>
          <w:color w:val="auto"/>
          <w:highlight w:val="none"/>
        </w:rPr>
      </w:pPr>
      <w:r>
        <w:rPr>
          <w:rFonts w:hint="eastAsia" w:cs="宋体"/>
          <w:color w:val="auto"/>
          <w:highlight w:val="none"/>
        </w:rPr>
        <w:t>5.4因重大变故，采购任务取消的。</w:t>
      </w:r>
    </w:p>
    <w:p>
      <w:pPr>
        <w:pStyle w:val="2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8"/>
    <w:p>
      <w:pPr>
        <w:spacing w:line="360" w:lineRule="auto"/>
        <w:rPr>
          <w:rFonts w:ascii="宋体" w:hAnsi="宋体" w:cs="宋体"/>
          <w:b/>
          <w:color w:val="auto"/>
          <w:sz w:val="36"/>
          <w:szCs w:val="36"/>
          <w:highlight w:val="none"/>
        </w:rPr>
      </w:pPr>
      <w:bookmarkStart w:id="398" w:name="第五部分"/>
      <w:bookmarkStart w:id="399" w:name="_Toc86217003"/>
    </w:p>
    <w:p>
      <w:pPr>
        <w:pStyle w:val="2"/>
        <w:rPr>
          <w:color w:val="auto"/>
          <w:highlight w:val="none"/>
        </w:rPr>
      </w:pPr>
    </w:p>
    <w:p>
      <w:pPr>
        <w:rPr>
          <w:color w:val="auto"/>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rPr>
      </w:pPr>
    </w:p>
    <w:p>
      <w:pPr>
        <w:pStyle w:val="27"/>
        <w:rPr>
          <w:color w:val="auto"/>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1"/>
        <w:spacing w:before="120" w:line="22" w:lineRule="atLeast"/>
        <w:rPr>
          <w:rFonts w:ascii="宋体" w:hAnsi="宋体" w:eastAsia="宋体" w:cs="宋体"/>
          <w:color w:val="auto"/>
          <w:szCs w:val="24"/>
          <w:highlight w:val="none"/>
        </w:rPr>
      </w:pPr>
    </w:p>
    <w:p>
      <w:pPr>
        <w:pStyle w:val="60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00" w:name="_Toc20421"/>
      <w:bookmarkStart w:id="401" w:name="_Toc22967"/>
      <w:bookmarkStart w:id="402" w:name="_Toc19273"/>
      <w:bookmarkStart w:id="403" w:name="_Toc28855"/>
      <w:bookmarkStart w:id="404"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0"/>
      <w:bookmarkEnd w:id="401"/>
      <w:bookmarkEnd w:id="402"/>
      <w:bookmarkEnd w:id="403"/>
      <w:bookmarkEnd w:id="40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5" w:name="_Toc22185"/>
      <w:bookmarkStart w:id="406" w:name="_Toc6773"/>
      <w:bookmarkStart w:id="407" w:name="_Toc6311"/>
      <w:bookmarkStart w:id="408" w:name="_Toc18585"/>
      <w:bookmarkStart w:id="409"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5"/>
      <w:bookmarkEnd w:id="406"/>
      <w:bookmarkEnd w:id="407"/>
      <w:bookmarkEnd w:id="408"/>
      <w:bookmarkEnd w:id="409"/>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10" w:name="_Toc1386"/>
      <w:bookmarkStart w:id="411" w:name="_Toc4929"/>
      <w:bookmarkStart w:id="412" w:name="_Toc13918"/>
      <w:bookmarkStart w:id="413" w:name="_Toc21124"/>
      <w:bookmarkStart w:id="414"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0"/>
      <w:bookmarkEnd w:id="411"/>
      <w:bookmarkEnd w:id="412"/>
      <w:bookmarkEnd w:id="413"/>
      <w:bookmarkEnd w:id="414"/>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highlight w:val="none"/>
              </w:rPr>
            </w:pPr>
          </w:p>
        </w:tc>
        <w:tc>
          <w:tcPr>
            <w:tcW w:w="3402" w:type="dxa"/>
            <w:vAlign w:val="center"/>
          </w:tcPr>
          <w:p>
            <w:pPr>
              <w:pStyle w:val="322"/>
              <w:spacing w:line="560" w:lineRule="exact"/>
              <w:ind w:firstLine="200"/>
              <w:jc w:val="center"/>
              <w:rPr>
                <w:rFonts w:hAnsi="宋体"/>
                <w:color w:val="auto"/>
                <w:sz w:val="24"/>
                <w:szCs w:val="24"/>
                <w:highlight w:val="none"/>
              </w:rPr>
            </w:pPr>
          </w:p>
        </w:tc>
        <w:tc>
          <w:tcPr>
            <w:tcW w:w="2552" w:type="dxa"/>
            <w:vAlign w:val="center"/>
          </w:tcPr>
          <w:p>
            <w:pPr>
              <w:pStyle w:val="3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highlight w:val="none"/>
              </w:rPr>
            </w:pPr>
          </w:p>
        </w:tc>
        <w:tc>
          <w:tcPr>
            <w:tcW w:w="3402" w:type="dxa"/>
            <w:vAlign w:val="center"/>
          </w:tcPr>
          <w:p>
            <w:pPr>
              <w:pStyle w:val="322"/>
              <w:spacing w:line="560" w:lineRule="exact"/>
              <w:ind w:firstLine="200"/>
              <w:jc w:val="center"/>
              <w:rPr>
                <w:rFonts w:hAnsi="宋体"/>
                <w:color w:val="auto"/>
                <w:sz w:val="24"/>
                <w:szCs w:val="24"/>
                <w:highlight w:val="none"/>
              </w:rPr>
            </w:pPr>
          </w:p>
        </w:tc>
        <w:tc>
          <w:tcPr>
            <w:tcW w:w="2552" w:type="dxa"/>
            <w:vAlign w:val="center"/>
          </w:tcPr>
          <w:p>
            <w:pPr>
              <w:pStyle w:val="3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highlight w:val="none"/>
              </w:rPr>
            </w:pPr>
          </w:p>
        </w:tc>
        <w:tc>
          <w:tcPr>
            <w:tcW w:w="3402" w:type="dxa"/>
            <w:vAlign w:val="center"/>
          </w:tcPr>
          <w:p>
            <w:pPr>
              <w:pStyle w:val="322"/>
              <w:spacing w:line="560" w:lineRule="exact"/>
              <w:ind w:firstLine="200"/>
              <w:jc w:val="center"/>
              <w:rPr>
                <w:rFonts w:hAnsi="宋体"/>
                <w:color w:val="auto"/>
                <w:sz w:val="24"/>
                <w:szCs w:val="24"/>
                <w:highlight w:val="none"/>
              </w:rPr>
            </w:pPr>
          </w:p>
        </w:tc>
        <w:tc>
          <w:tcPr>
            <w:tcW w:w="2552" w:type="dxa"/>
            <w:vAlign w:val="center"/>
          </w:tcPr>
          <w:p>
            <w:pPr>
              <w:pStyle w:val="3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hAnsi="宋体"/>
                <w:color w:val="auto"/>
                <w:sz w:val="24"/>
                <w:szCs w:val="24"/>
                <w:highlight w:val="none"/>
              </w:rPr>
            </w:pPr>
          </w:p>
        </w:tc>
        <w:tc>
          <w:tcPr>
            <w:tcW w:w="3402" w:type="dxa"/>
            <w:vAlign w:val="center"/>
          </w:tcPr>
          <w:p>
            <w:pPr>
              <w:pStyle w:val="322"/>
              <w:spacing w:line="560" w:lineRule="exact"/>
              <w:ind w:firstLine="200"/>
              <w:jc w:val="center"/>
              <w:rPr>
                <w:rFonts w:hAnsi="宋体"/>
                <w:color w:val="auto"/>
                <w:sz w:val="24"/>
                <w:szCs w:val="24"/>
                <w:highlight w:val="none"/>
              </w:rPr>
            </w:pPr>
          </w:p>
        </w:tc>
        <w:tc>
          <w:tcPr>
            <w:tcW w:w="2552" w:type="dxa"/>
            <w:vAlign w:val="center"/>
          </w:tcPr>
          <w:p>
            <w:pPr>
              <w:pStyle w:val="3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2"/>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5" w:name="_Toc26916"/>
      <w:bookmarkStart w:id="416" w:name="_Toc3654"/>
      <w:bookmarkStart w:id="417" w:name="_Toc30506"/>
      <w:bookmarkStart w:id="418" w:name="_Toc30158"/>
      <w:bookmarkStart w:id="419"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5"/>
    <w:bookmarkEnd w:id="416"/>
    <w:bookmarkEnd w:id="417"/>
    <w:bookmarkEnd w:id="418"/>
    <w:bookmarkEnd w:id="419"/>
    <w:p>
      <w:pPr>
        <w:pStyle w:val="962"/>
        <w:spacing w:before="0" w:beforeAutospacing="0" w:after="0" w:afterAutospacing="0" w:line="360" w:lineRule="auto"/>
        <w:ind w:firstLine="480"/>
        <w:rPr>
          <w:b/>
          <w:color w:val="auto"/>
          <w:highlight w:val="none"/>
        </w:rPr>
      </w:pPr>
      <w:bookmarkStart w:id="420" w:name="_Toc10340"/>
      <w:bookmarkStart w:id="421" w:name="_Toc22618"/>
      <w:bookmarkStart w:id="422" w:name="_Toc1814"/>
      <w:bookmarkStart w:id="423" w:name="_Toc31421"/>
      <w:bookmarkStart w:id="424" w:name="_Toc3625"/>
      <w:bookmarkStart w:id="425" w:name="_Toc8772"/>
      <w:bookmarkStart w:id="426" w:name="_Toc11108"/>
      <w:bookmarkStart w:id="427" w:name="_Toc4760"/>
      <w:r>
        <w:rPr>
          <w:rFonts w:hint="eastAsia"/>
          <w:b/>
          <w:color w:val="auto"/>
          <w:highlight w:val="none"/>
        </w:rPr>
        <w:t>1.4履约保证金</w:t>
      </w:r>
    </w:p>
    <w:p>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0"/>
      <w:bookmarkEnd w:id="421"/>
      <w:bookmarkEnd w:id="422"/>
      <w:r>
        <w:rPr>
          <w:rFonts w:hint="eastAsia" w:ascii="宋体" w:hAnsi="宋体" w:cs="宋体"/>
          <w:b/>
          <w:color w:val="auto"/>
          <w:sz w:val="24"/>
          <w:highlight w:val="none"/>
        </w:rPr>
        <w:t>预付款</w:t>
      </w:r>
    </w:p>
    <w:p>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3"/>
      <w:bookmarkEnd w:id="424"/>
      <w:bookmarkEnd w:id="425"/>
      <w:bookmarkEnd w:id="426"/>
      <w:bookmarkEnd w:id="42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8" w:name="_Toc24662"/>
      <w:bookmarkStart w:id="429" w:name="_Toc5698"/>
      <w:bookmarkStart w:id="430" w:name="_Toc2375"/>
      <w:bookmarkStart w:id="431" w:name="_Toc3079"/>
      <w:bookmarkStart w:id="432"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8"/>
      <w:bookmarkEnd w:id="429"/>
      <w:bookmarkEnd w:id="430"/>
      <w:bookmarkEnd w:id="431"/>
      <w:bookmarkEnd w:id="432"/>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3" w:name="_Toc18683"/>
      <w:bookmarkStart w:id="434" w:name="_Toc30329"/>
      <w:bookmarkStart w:id="435" w:name="_Toc26807"/>
      <w:bookmarkStart w:id="436" w:name="_Toc9497"/>
      <w:bookmarkStart w:id="437"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3"/>
    <w:bookmarkEnd w:id="434"/>
    <w:bookmarkEnd w:id="435"/>
    <w:bookmarkEnd w:id="436"/>
    <w:bookmarkEnd w:id="437"/>
    <w:p>
      <w:pPr>
        <w:spacing w:line="560" w:lineRule="exact"/>
        <w:ind w:firstLine="482" w:firstLineChars="200"/>
        <w:outlineLvl w:val="0"/>
        <w:rPr>
          <w:rFonts w:ascii="宋体" w:hAnsi="宋体" w:cs="宋体"/>
          <w:b/>
          <w:color w:val="auto"/>
          <w:sz w:val="24"/>
          <w:highlight w:val="none"/>
        </w:rPr>
      </w:pPr>
      <w:bookmarkStart w:id="438" w:name="_Toc15583"/>
      <w:bookmarkStart w:id="439" w:name="_Toc16021"/>
      <w:bookmarkStart w:id="440" w:name="_Toc28375"/>
      <w:r>
        <w:rPr>
          <w:rFonts w:hint="eastAsia" w:ascii="宋体" w:hAnsi="宋体" w:cs="宋体"/>
          <w:b/>
          <w:color w:val="auto"/>
          <w:sz w:val="24"/>
          <w:highlight w:val="none"/>
        </w:rPr>
        <w:t>1.9合同争议的解决</w:t>
      </w:r>
      <w:bookmarkEnd w:id="438"/>
      <w:bookmarkEnd w:id="439"/>
      <w:bookmarkEnd w:id="440"/>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41" w:name="_Toc15322"/>
      <w:bookmarkStart w:id="442" w:name="_Toc11173"/>
      <w:bookmarkStart w:id="443" w:name="_Toc7245"/>
      <w:r>
        <w:rPr>
          <w:rFonts w:hint="eastAsia" w:ascii="宋体" w:hAnsi="宋体" w:cs="宋体"/>
          <w:b/>
          <w:color w:val="auto"/>
          <w:sz w:val="24"/>
          <w:highlight w:val="none"/>
        </w:rPr>
        <w:t>2.0 合同生效</w:t>
      </w:r>
      <w:bookmarkEnd w:id="441"/>
      <w:bookmarkEnd w:id="442"/>
      <w:bookmarkEnd w:id="44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704"/>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4" w:name="_Toc5228"/>
      <w:bookmarkStart w:id="445" w:name="_Toc25079"/>
      <w:bookmarkStart w:id="446" w:name="_Toc14021"/>
      <w:bookmarkStart w:id="447" w:name="_Toc19680"/>
      <w:bookmarkStart w:id="448" w:name="_Toc31297"/>
      <w:r>
        <w:rPr>
          <w:rFonts w:ascii="宋体" w:hAnsi="宋体"/>
          <w:b/>
          <w:color w:val="auto"/>
          <w:sz w:val="24"/>
          <w:highlight w:val="none"/>
        </w:rPr>
        <w:t>2.1 定义</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9" w:name="_Toc19539"/>
      <w:bookmarkStart w:id="450" w:name="_Toc3769"/>
      <w:bookmarkStart w:id="451" w:name="_Toc16752"/>
      <w:bookmarkStart w:id="452" w:name="_Toc31402"/>
      <w:bookmarkStart w:id="453" w:name="_Toc23289"/>
      <w:r>
        <w:rPr>
          <w:rFonts w:ascii="宋体" w:hAnsi="宋体"/>
          <w:b/>
          <w:color w:val="auto"/>
          <w:sz w:val="24"/>
          <w:highlight w:val="none"/>
        </w:rPr>
        <w:t>2.2 技术规范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4" w:name="_Toc27945"/>
      <w:bookmarkStart w:id="455" w:name="_Toc9161"/>
      <w:bookmarkStart w:id="456" w:name="_Toc13673"/>
      <w:bookmarkStart w:id="457" w:name="_Toc4133"/>
      <w:bookmarkStart w:id="458" w:name="_Toc12412"/>
      <w:r>
        <w:rPr>
          <w:rFonts w:ascii="宋体" w:hAnsi="宋体"/>
          <w:b/>
          <w:color w:val="auto"/>
          <w:sz w:val="24"/>
          <w:highlight w:val="none"/>
        </w:rPr>
        <w:t>2.3 知识产权</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9" w:name="_Toc31233"/>
      <w:bookmarkStart w:id="460" w:name="_Toc22011"/>
      <w:bookmarkStart w:id="461" w:name="_Toc15447"/>
      <w:bookmarkStart w:id="462" w:name="_Toc32670"/>
      <w:bookmarkStart w:id="463" w:name="_Toc26555"/>
      <w:r>
        <w:rPr>
          <w:rFonts w:ascii="宋体" w:hAnsi="宋体"/>
          <w:b/>
          <w:color w:val="auto"/>
          <w:sz w:val="24"/>
          <w:highlight w:val="none"/>
        </w:rPr>
        <w:t>2.5 结算方式和付款条件</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4" w:name="_Toc30507"/>
      <w:bookmarkStart w:id="465" w:name="_Toc13154"/>
      <w:bookmarkStart w:id="466" w:name="_Toc13467"/>
      <w:bookmarkStart w:id="467" w:name="_Toc18990"/>
      <w:bookmarkStart w:id="468" w:name="_Toc16163"/>
      <w:r>
        <w:rPr>
          <w:rFonts w:ascii="宋体" w:hAnsi="宋体"/>
          <w:b/>
          <w:color w:val="auto"/>
          <w:sz w:val="24"/>
          <w:highlight w:val="none"/>
        </w:rPr>
        <w:t>2.6 技术资料和保密义务</w:t>
      </w:r>
      <w:bookmarkEnd w:id="464"/>
      <w:bookmarkEnd w:id="465"/>
      <w:bookmarkEnd w:id="466"/>
      <w:bookmarkEnd w:id="467"/>
      <w:bookmarkEnd w:id="468"/>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2" w:name="_Toc23368"/>
      <w:bookmarkStart w:id="473" w:name="_Toc42"/>
      <w:bookmarkStart w:id="474" w:name="_Toc26689"/>
      <w:bookmarkStart w:id="475" w:name="_Toc10663"/>
      <w:bookmarkStart w:id="476" w:name="_Toc21830"/>
      <w:r>
        <w:rPr>
          <w:rFonts w:ascii="宋体" w:hAnsi="宋体"/>
          <w:b/>
          <w:color w:val="auto"/>
          <w:sz w:val="24"/>
          <w:highlight w:val="none"/>
        </w:rPr>
        <w:t>2.10 合同转让和分包</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7" w:name="_Toc32494"/>
      <w:bookmarkStart w:id="478" w:name="_Toc26633"/>
      <w:bookmarkStart w:id="479" w:name="_Toc4720"/>
      <w:bookmarkStart w:id="480" w:name="_Toc14371"/>
      <w:bookmarkStart w:id="481" w:name="_Toc25571"/>
      <w:r>
        <w:rPr>
          <w:rFonts w:ascii="宋体" w:hAnsi="宋体"/>
          <w:b/>
          <w:color w:val="auto"/>
          <w:sz w:val="24"/>
          <w:highlight w:val="none"/>
        </w:rPr>
        <w:t>2.11 不可抗力</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2" w:name="_Toc24465"/>
      <w:bookmarkStart w:id="483" w:name="_Toc3638"/>
      <w:bookmarkStart w:id="484" w:name="_Toc14115"/>
      <w:bookmarkStart w:id="485" w:name="_Toc25783"/>
      <w:bookmarkStart w:id="486" w:name="_Toc23854"/>
      <w:r>
        <w:rPr>
          <w:rFonts w:ascii="宋体" w:hAnsi="宋体"/>
          <w:b/>
          <w:color w:val="auto"/>
          <w:sz w:val="24"/>
          <w:highlight w:val="none"/>
        </w:rPr>
        <w:t>2.12 税费</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7" w:name="_Toc14814"/>
      <w:bookmarkStart w:id="488" w:name="_Toc7315"/>
      <w:bookmarkStart w:id="489" w:name="_Toc30105"/>
      <w:bookmarkStart w:id="490" w:name="_Toc26883"/>
      <w:bookmarkStart w:id="491" w:name="_Toc25525"/>
      <w:r>
        <w:rPr>
          <w:rFonts w:ascii="宋体" w:hAnsi="宋体"/>
          <w:b/>
          <w:color w:val="auto"/>
          <w:sz w:val="24"/>
          <w:highlight w:val="none"/>
        </w:rPr>
        <w:t>2.13 乙方破产</w:t>
      </w:r>
      <w:bookmarkEnd w:id="487"/>
      <w:bookmarkEnd w:id="488"/>
      <w:bookmarkEnd w:id="489"/>
      <w:bookmarkEnd w:id="490"/>
      <w:bookmarkEnd w:id="491"/>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2" w:name="_Toc23323"/>
      <w:bookmarkStart w:id="493" w:name="_Toc1123"/>
      <w:bookmarkStart w:id="494" w:name="_Toc2016"/>
      <w:r>
        <w:rPr>
          <w:rFonts w:ascii="宋体" w:hAnsi="宋体"/>
          <w:b/>
          <w:color w:val="auto"/>
          <w:sz w:val="24"/>
          <w:highlight w:val="none"/>
        </w:rPr>
        <w:t>2.14 合同中止、终止</w:t>
      </w:r>
      <w:bookmarkEnd w:id="492"/>
      <w:bookmarkEnd w:id="493"/>
      <w:bookmarkEnd w:id="49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5" w:name="_Toc17363"/>
      <w:bookmarkStart w:id="496" w:name="_Toc14525"/>
      <w:bookmarkStart w:id="497" w:name="_Toc1969"/>
      <w:r>
        <w:rPr>
          <w:rFonts w:ascii="宋体" w:hAnsi="宋体"/>
          <w:b/>
          <w:color w:val="auto"/>
          <w:sz w:val="24"/>
          <w:highlight w:val="none"/>
        </w:rPr>
        <w:t>2.15 检验和验收</w:t>
      </w:r>
      <w:bookmarkEnd w:id="495"/>
      <w:bookmarkEnd w:id="496"/>
      <w:bookmarkEnd w:id="497"/>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8" w:name="_Toc25198"/>
      <w:bookmarkStart w:id="499" w:name="_Toc31892"/>
      <w:bookmarkStart w:id="500" w:name="_Toc9808"/>
      <w:bookmarkStart w:id="501" w:name="_Toc2308"/>
      <w:bookmarkStart w:id="502" w:name="_Toc12666"/>
      <w:r>
        <w:rPr>
          <w:rFonts w:ascii="宋体" w:hAnsi="宋体"/>
          <w:b/>
          <w:color w:val="auto"/>
          <w:sz w:val="24"/>
          <w:highlight w:val="none"/>
        </w:rPr>
        <w:t>2.16 通知和送达</w:t>
      </w:r>
      <w:bookmarkEnd w:id="498"/>
      <w:bookmarkEnd w:id="499"/>
      <w:bookmarkEnd w:id="500"/>
      <w:bookmarkEnd w:id="501"/>
      <w:bookmarkEnd w:id="502"/>
    </w:p>
    <w:p>
      <w:pPr>
        <w:spacing w:line="560" w:lineRule="exact"/>
        <w:ind w:firstLine="480" w:firstLineChars="200"/>
        <w:rPr>
          <w:rFonts w:ascii="宋体" w:hAnsi="宋体"/>
          <w:color w:val="auto"/>
          <w:sz w:val="24"/>
          <w:highlight w:val="none"/>
        </w:rPr>
      </w:pPr>
      <w:bookmarkStart w:id="503" w:name="_Toc18401"/>
      <w:bookmarkStart w:id="504"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pPr>
        <w:spacing w:line="560" w:lineRule="exact"/>
        <w:ind w:firstLine="482" w:firstLineChars="200"/>
        <w:outlineLvl w:val="0"/>
        <w:rPr>
          <w:rFonts w:ascii="宋体" w:hAnsi="宋体"/>
          <w:b/>
          <w:color w:val="auto"/>
          <w:sz w:val="24"/>
          <w:highlight w:val="none"/>
        </w:rPr>
      </w:pPr>
      <w:bookmarkStart w:id="505" w:name="_Toc12254"/>
      <w:bookmarkStart w:id="506" w:name="_Toc28906"/>
      <w:bookmarkStart w:id="507" w:name="_Toc5063"/>
      <w:bookmarkStart w:id="508" w:name="_Toc27644"/>
      <w:bookmarkStart w:id="509"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10" w:name="_Toc30599"/>
      <w:bookmarkStart w:id="511" w:name="_Toc18540"/>
      <w:bookmarkStart w:id="512" w:name="_Toc4355"/>
      <w:r>
        <w:rPr>
          <w:rFonts w:hint="eastAsia" w:ascii="宋体" w:hAnsi="宋体" w:cs="宋体"/>
          <w:b/>
          <w:color w:val="auto"/>
          <w:sz w:val="24"/>
          <w:highlight w:val="none"/>
        </w:rPr>
        <w:t>2.18 计量单位</w:t>
      </w:r>
      <w:bookmarkEnd w:id="510"/>
      <w:bookmarkEnd w:id="511"/>
      <w:bookmarkEnd w:id="51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rPr>
          <w:rFonts w:ascii="宋体" w:hAnsi="宋体" w:cs="宋体"/>
          <w:color w:val="auto"/>
          <w:sz w:val="24"/>
          <w:highlight w:val="none"/>
        </w:rPr>
      </w:pPr>
    </w:p>
    <w:p>
      <w:pPr>
        <w:rPr>
          <w:rFonts w:ascii="宋体" w:hAnsi="宋体" w:cs="宋体"/>
          <w:color w:val="auto"/>
          <w:sz w:val="24"/>
          <w:highlight w:val="none"/>
        </w:rPr>
      </w:pPr>
    </w:p>
    <w:p>
      <w:pPr>
        <w:spacing w:line="360" w:lineRule="auto"/>
        <w:ind w:right="-420" w:rightChars="-200"/>
        <w:rPr>
          <w:rFonts w:ascii="宋体" w:hAnsi="宋体" w:cs="宋体"/>
          <w:color w:val="auto"/>
          <w:sz w:val="24"/>
          <w:highlight w:val="none"/>
        </w:rPr>
      </w:pPr>
    </w:p>
    <w:p>
      <w:pPr>
        <w:widowControl/>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pPr>
        <w:spacing w:line="360" w:lineRule="auto"/>
        <w:jc w:val="center"/>
        <w:rPr>
          <w:rFonts w:ascii="宋体" w:hAnsi="宋体" w:cs="宋体"/>
          <w:b/>
          <w:color w:val="auto"/>
          <w:kern w:val="0"/>
          <w:sz w:val="36"/>
          <w:szCs w:val="36"/>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杭州市临平区市场监督管理局</w:t>
      </w:r>
      <w:r>
        <w:rPr>
          <w:rFonts w:hint="eastAsia" w:ascii="宋体" w:hAnsi="宋体" w:cs="宋体"/>
          <w:color w:val="auto"/>
          <w:sz w:val="24"/>
          <w:highlight w:val="none"/>
        </w:rPr>
        <w:t>、杭州中瑞招标代理有限公司：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涉网投诉举报件及数字化改革项目应用辅助处理服务外包项目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HZZR-F240515N</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widowControl/>
        <w:adjustRightInd/>
        <w:jc w:val="cente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4"/>
          <w:highlight w:val="none"/>
        </w:r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杭州市临平区市场监督管理局</w:t>
      </w:r>
      <w:r>
        <w:rPr>
          <w:rFonts w:hint="eastAsia" w:ascii="宋体" w:hAnsi="宋体" w:cs="宋体"/>
          <w:color w:val="auto"/>
          <w:sz w:val="24"/>
          <w:highlight w:val="none"/>
        </w:rPr>
        <w:t>、杭州中瑞招标代理有限公司：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涉网投诉举报件及数字化改革项目应用辅助处理服务外包项目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HZZR-F240515N</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pPr>
        <w:pStyle w:val="8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color w:val="auto"/>
          <w:highlight w:val="none"/>
        </w:rPr>
      </w:pPr>
    </w:p>
    <w:p>
      <w:pPr>
        <w:jc w:val="center"/>
        <w:rPr>
          <w:rFonts w:ascii="宋体" w:hAnsi="宋体" w:cs="宋体"/>
          <w:b/>
          <w:color w:val="auto"/>
          <w:kern w:val="0"/>
          <w:sz w:val="32"/>
          <w:szCs w:val="32"/>
          <w:highlight w:val="none"/>
        </w:rPr>
      </w:pPr>
    </w:p>
    <w:p>
      <w:pPr>
        <w:pStyle w:val="81"/>
        <w:ind w:firstLine="643"/>
        <w:rPr>
          <w:rFonts w:ascii="宋体" w:hAnsi="宋体" w:cs="宋体"/>
          <w:b/>
          <w:color w:val="auto"/>
          <w:kern w:val="0"/>
          <w:highlight w:val="none"/>
        </w:rPr>
      </w:pPr>
    </w:p>
    <w:p>
      <w:pPr>
        <w:pStyle w:val="81"/>
        <w:ind w:firstLine="643"/>
        <w:rPr>
          <w:rFonts w:ascii="宋体" w:hAnsi="宋体" w:cs="宋体"/>
          <w:b/>
          <w:color w:val="auto"/>
          <w:kern w:val="0"/>
          <w:highlight w:val="none"/>
        </w:rPr>
      </w:pPr>
    </w:p>
    <w:p>
      <w:pPr>
        <w:rPr>
          <w:color w:val="auto"/>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杭州市临平区市场监督管理局</w:t>
      </w:r>
      <w:r>
        <w:rPr>
          <w:rFonts w:hint="eastAsia" w:ascii="宋体" w:hAnsi="宋体" w:cs="宋体"/>
          <w:color w:val="auto"/>
          <w:sz w:val="24"/>
          <w:highlight w:val="none"/>
        </w:rPr>
        <w:t>、杭州中瑞招标代理有限公司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涉网投诉举报件及数字化改革项目应用辅助处理服务外包项目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HZZR-F240515N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杭州市临平区市场监督管理局</w:t>
      </w:r>
      <w:r>
        <w:rPr>
          <w:rFonts w:hint="eastAsia" w:ascii="宋体" w:hAnsi="宋体" w:cs="宋体"/>
          <w:color w:val="auto"/>
          <w:sz w:val="24"/>
          <w:highlight w:val="none"/>
        </w:rPr>
        <w:t>、杭州中瑞招标代理有限公司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涉网投诉举报件及数字化改革项目应用辅助处理服务外包项目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HZZR-F240515N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pPr>
        <w:pStyle w:val="83"/>
        <w:rPr>
          <w:color w:val="auto"/>
          <w:highlight w:val="none"/>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1"/>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杭州市临平区市场监督管理局</w:t>
      </w:r>
      <w:r>
        <w:rPr>
          <w:rFonts w:hint="eastAsia" w:ascii="宋体" w:hAnsi="宋体" w:cs="宋体"/>
          <w:color w:val="auto"/>
          <w:sz w:val="24"/>
          <w:highlight w:val="none"/>
        </w:rPr>
        <w:t>、杭州中瑞招标代理有限公司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numPr>
          <w:ilvl w:val="0"/>
          <w:numId w:val="5"/>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杭州市临平区市场监督管理局</w:t>
      </w:r>
      <w:r>
        <w:rPr>
          <w:rFonts w:hint="eastAsia" w:ascii="宋体" w:hAnsi="宋体" w:cs="宋体"/>
          <w:color w:val="auto"/>
          <w:sz w:val="24"/>
          <w:highlight w:val="none"/>
        </w:rPr>
        <w:t>、杭州中瑞招标代理有限公司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涉网投诉举报件及数字化改革项目应用辅助处理服务外包项目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HZZR-F240515N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1</w:t>
            </w:r>
          </w:p>
        </w:tc>
        <w:tc>
          <w:tcPr>
            <w:tcW w:w="992" w:type="dxa"/>
            <w:vAlign w:val="center"/>
          </w:tcPr>
          <w:p>
            <w:pPr>
              <w:snapToGrid w:val="0"/>
              <w:spacing w:line="360" w:lineRule="auto"/>
              <w:jc w:val="center"/>
              <w:rPr>
                <w:rFonts w:ascii="宋体" w:hAnsi="宋体" w:cs="宋体"/>
                <w:color w:val="0000FF"/>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2</w:t>
            </w:r>
          </w:p>
        </w:tc>
        <w:tc>
          <w:tcPr>
            <w:tcW w:w="992" w:type="dxa"/>
            <w:vAlign w:val="center"/>
          </w:tcPr>
          <w:p>
            <w:pPr>
              <w:snapToGrid w:val="0"/>
              <w:spacing w:line="360" w:lineRule="auto"/>
              <w:jc w:val="center"/>
              <w:rPr>
                <w:rFonts w:ascii="宋体" w:hAnsi="宋体" w:cs="宋体"/>
                <w:color w:val="0000FF"/>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w:t>
            </w:r>
          </w:p>
        </w:tc>
        <w:tc>
          <w:tcPr>
            <w:tcW w:w="992" w:type="dxa"/>
            <w:vAlign w:val="center"/>
          </w:tcPr>
          <w:p>
            <w:pPr>
              <w:snapToGrid w:val="0"/>
              <w:spacing w:line="360" w:lineRule="auto"/>
              <w:jc w:val="center"/>
              <w:rPr>
                <w:rFonts w:ascii="宋体" w:hAnsi="宋体" w:cs="宋体"/>
                <w:color w:val="0000FF"/>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pPr>
        <w:autoSpaceDE w:val="0"/>
        <w:autoSpaceDN w:val="0"/>
        <w:snapToGrid w:val="0"/>
        <w:spacing w:line="360" w:lineRule="auto"/>
        <w:ind w:firstLine="8040" w:firstLineChars="33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pPr>
        <w:autoSpaceDE w:val="0"/>
        <w:autoSpaceDN w:val="0"/>
        <w:snapToGrid w:val="0"/>
        <w:spacing w:line="360" w:lineRule="auto"/>
        <w:ind w:firstLine="8040" w:firstLineChars="3350"/>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highlight w:val="none"/>
          <w:lang w:val="zh-CN"/>
        </w:rPr>
        <w:t xml:space="preserve">日期： 年  月   </w:t>
      </w:r>
      <w:r>
        <w:rPr>
          <w:rFonts w:hint="eastAsia" w:ascii="宋体" w:hAnsi="宋体" w:cs="宋体"/>
          <w:color w:val="auto"/>
          <w:kern w:val="0"/>
          <w:sz w:val="24"/>
          <w:highlight w:val="none"/>
        </w:rPr>
        <w:t>日</w:t>
      </w:r>
    </w:p>
    <w:p>
      <w:pPr>
        <w:pStyle w:val="695"/>
        <w:keepNext w:val="0"/>
        <w:numPr>
          <w:ilvl w:val="0"/>
          <w:numId w:val="6"/>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pPr>
        <w:pStyle w:val="2"/>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3"/>
        <w:keepNext w:val="0"/>
        <w:keepLines w:val="0"/>
        <w:pageBreakBefore/>
        <w:widowControl/>
        <w:spacing w:before="100" w:beforeAutospacing="1" w:after="100" w:afterAutospacing="1" w:line="360" w:lineRule="auto"/>
        <w:ind w:left="0" w:firstLine="0"/>
        <w:jc w:val="center"/>
        <w:rPr>
          <w:rFonts w:ascii="宋体" w:hAnsi="宋体" w:cs="宋体"/>
          <w:color w:val="auto"/>
          <w:highlight w:val="none"/>
        </w:rPr>
      </w:pPr>
      <w:r>
        <w:rPr>
          <w:rFonts w:hint="eastAsia" w:ascii="宋体" w:hAnsi="宋体" w:cs="宋体"/>
          <w:color w:val="auto"/>
          <w:highlight w:val="none"/>
        </w:rPr>
        <w:t>附件</w:t>
      </w:r>
    </w:p>
    <w:p>
      <w:pPr>
        <w:autoSpaceDE w:val="0"/>
        <w:autoSpaceDN w:val="0"/>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附件1：残疾人福利性单位声明函</w:t>
      </w:r>
    </w:p>
    <w:p>
      <w:pPr>
        <w:spacing w:line="360" w:lineRule="auto"/>
        <w:jc w:val="center"/>
        <w:rPr>
          <w:rFonts w:ascii="宋体" w:hAnsi="宋体" w:cs="宋体"/>
          <w:b/>
          <w:color w:val="auto"/>
          <w:spacing w:val="6"/>
          <w:sz w:val="32"/>
          <w:szCs w:val="32"/>
          <w:highlight w:val="none"/>
        </w:rPr>
      </w:pPr>
      <w:bookmarkStart w:id="514" w:name="OLE_LINK14"/>
      <w:bookmarkStart w:id="515" w:name="OLE_LINK13"/>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bookmarkEnd w:id="514"/>
    <w:bookmarkEnd w:id="515"/>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杭州市临平区市场监督管理局</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涉网投诉举报件及数字化改革项目应用辅助处理服务外包项目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pStyle w:val="27"/>
        <w:rPr>
          <w:color w:val="auto"/>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pStyle w:val="83"/>
        <w:rPr>
          <w:color w:val="auto"/>
          <w:highlight w:val="none"/>
        </w:rPr>
      </w:pPr>
    </w:p>
    <w:p>
      <w:pPr>
        <w:pStyle w:val="81"/>
        <w:ind w:firstLine="0" w:firstLineChars="0"/>
        <w:rPr>
          <w:color w:val="auto"/>
          <w:highlight w:val="none"/>
        </w:rPr>
      </w:pPr>
    </w:p>
    <w:p>
      <w:pPr>
        <w:pStyle w:val="2"/>
        <w:ind w:left="0" w:firstLine="0"/>
        <w:rPr>
          <w:color w:val="auto"/>
          <w:highlight w:val="none"/>
        </w:rPr>
      </w:pPr>
    </w:p>
    <w:p>
      <w:pPr>
        <w:autoSpaceDE w:val="0"/>
        <w:autoSpaceDN w:val="0"/>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autoSpaceDE w:val="0"/>
        <w:autoSpaceDN w:val="0"/>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tabs>
          <w:tab w:val="left" w:pos="1738"/>
        </w:tabs>
        <w:autoSpaceDE w:val="0"/>
        <w:autoSpaceDN w:val="0"/>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ab/>
      </w:r>
    </w:p>
    <w:p>
      <w:pPr>
        <w:tabs>
          <w:tab w:val="left" w:pos="1738"/>
        </w:tabs>
        <w:autoSpaceDE w:val="0"/>
        <w:autoSpaceDN w:val="0"/>
        <w:rPr>
          <w:rFonts w:ascii="宋体" w:hAnsi="宋体" w:cs="宋体"/>
          <w:b/>
          <w:color w:val="auto"/>
          <w:spacing w:val="6"/>
          <w:sz w:val="32"/>
          <w:szCs w:val="32"/>
          <w:highlight w:val="none"/>
        </w:rPr>
      </w:pPr>
    </w:p>
    <w:p>
      <w:pPr>
        <w:autoSpaceDE w:val="0"/>
        <w:autoSpaceDN w:val="0"/>
        <w:outlineLvl w:val="0"/>
        <w:rPr>
          <w:rFonts w:ascii="宋体" w:hAnsi="宋体" w:cs="宋体"/>
          <w:b/>
          <w:bCs/>
          <w:color w:val="auto"/>
          <w:sz w:val="32"/>
          <w:szCs w:val="32"/>
          <w:highlight w:val="none"/>
        </w:rPr>
      </w:pPr>
      <w:r>
        <w:rPr>
          <w:rFonts w:hint="eastAsia" w:ascii="宋体" w:hAnsi="宋体" w:cs="宋体"/>
          <w:b/>
          <w:color w:val="auto"/>
          <w:sz w:val="36"/>
          <w:szCs w:val="20"/>
          <w:highlight w:val="none"/>
        </w:rPr>
        <w:t>附件4：业务专用章使用说明函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杭州市临平区市场监督管理局</w:t>
      </w:r>
      <w:r>
        <w:rPr>
          <w:rFonts w:hint="eastAsia" w:ascii="宋体" w:hAnsi="宋体" w:cs="宋体"/>
          <w:color w:val="auto"/>
          <w:sz w:val="24"/>
          <w:highlight w:val="none"/>
          <w:u w:val="single"/>
        </w:rPr>
        <w:t>、杭州中瑞招标代理有限公司：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涉网投诉举报件及数字化改革项目应用辅助处理服务外包项目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HZZR-F240515N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rPr>
          <w:rFonts w:ascii="宋体" w:hAnsi="宋体" w:cs="宋体"/>
          <w:b/>
          <w:color w:val="auto"/>
          <w:spacing w:val="6"/>
          <w:sz w:val="32"/>
          <w:szCs w:val="32"/>
          <w:highlight w:val="none"/>
        </w:rPr>
      </w:pPr>
    </w:p>
    <w:p>
      <w:pPr>
        <w:rPr>
          <w:rFonts w:ascii="宋体" w:hAnsi="宋体"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rPr>
          <w:color w:val="auto"/>
          <w:highlight w:val="none"/>
        </w:rPr>
      </w:pPr>
    </w:p>
    <w:p>
      <w:pPr>
        <w:spacing w:line="360" w:lineRule="auto"/>
        <w:jc w:val="left"/>
        <w:outlineLvl w:val="0"/>
        <w:rPr>
          <w:rFonts w:ascii="宋体" w:hAnsi="宋体" w:cs="宋体"/>
          <w:b/>
          <w:color w:val="auto"/>
          <w:sz w:val="36"/>
          <w:szCs w:val="20"/>
          <w:highlight w:val="none"/>
          <w:lang w:val="zh-CN"/>
        </w:rPr>
      </w:pPr>
      <w:r>
        <w:rPr>
          <w:rFonts w:hint="eastAsia" w:ascii="宋体" w:hAnsi="宋体" w:cs="宋体"/>
          <w:b/>
          <w:color w:val="auto"/>
          <w:sz w:val="36"/>
          <w:szCs w:val="20"/>
          <w:highlight w:val="none"/>
        </w:rPr>
        <w:t>附件5：</w:t>
      </w:r>
      <w:r>
        <w:rPr>
          <w:rFonts w:hint="eastAsia" w:ascii="宋体" w:hAnsi="宋体" w:cs="宋体"/>
          <w:b/>
          <w:color w:val="auto"/>
          <w:sz w:val="36"/>
          <w:szCs w:val="20"/>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涉网投诉举报件及数字化改革项目应用辅助处理服务外包项目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HZZR-F240515N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pStyle w:val="83"/>
        <w:rPr>
          <w:rFonts w:cs="宋体"/>
          <w:b/>
          <w:color w:val="auto"/>
          <w:spacing w:val="6"/>
          <w:sz w:val="32"/>
          <w:szCs w:val="32"/>
          <w:highlight w:val="none"/>
        </w:rPr>
      </w:pPr>
    </w:p>
    <w:p>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t>附件6：分包意向协议</w:t>
      </w:r>
    </w:p>
    <w:p>
      <w:pPr>
        <w:widowControl/>
        <w:spacing w:line="360" w:lineRule="auto"/>
        <w:ind w:firstLine="120" w:firstLineChars="50"/>
        <w:jc w:val="left"/>
        <w:rPr>
          <w:rFonts w:ascii="宋体" w:hAnsi="宋体" w:cs="宋体"/>
          <w:color w:val="auto"/>
          <w:sz w:val="24"/>
          <w:highlight w:val="none"/>
        </w:rPr>
      </w:pP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涉网投诉举报件及数字化改革项目应用辅助处理服务外包项目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HZZR-F240515N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2"/>
        <w:rPr>
          <w:rFonts w:ascii="宋体" w:hAnsi="宋体" w:cs="宋体"/>
          <w:b/>
          <w:color w:val="auto"/>
          <w:spacing w:val="6"/>
          <w:sz w:val="32"/>
          <w:szCs w:val="32"/>
          <w:highlight w:val="none"/>
        </w:rPr>
      </w:pPr>
    </w:p>
    <w:p>
      <w:pPr>
        <w:rPr>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rPr>
          <w:rFonts w:ascii="宋体" w:hAnsi="宋体" w:cs="宋体"/>
          <w:b/>
          <w:color w:val="auto"/>
          <w:sz w:val="36"/>
          <w:szCs w:val="20"/>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涉网投诉举报件及数字化改革项目应用辅助处理服务外包项目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涉网投诉举报件及数字化改革项目应用辅助处理服务外包项目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租赁与商务服务</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涉网投诉举报件及数字化改革项目应用辅助处理服务外包项目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租赁与商务服务</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19" w:name="_Toc131845147"/>
    <w:bookmarkStart w:id="520" w:name="_Toc36110187"/>
    <w:bookmarkStart w:id="521" w:name="_Toc164085800"/>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4"/>
      </w:rPr>
    </w:pPr>
    <w:r>
      <w:fldChar w:fldCharType="begin"/>
    </w:r>
    <w:r>
      <w:rPr>
        <w:rStyle w:val="74"/>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67E55"/>
    <w:multiLevelType w:val="singleLevel"/>
    <w:tmpl w:val="82667E55"/>
    <w:lvl w:ilvl="0" w:tentative="0">
      <w:start w:val="1"/>
      <w:numFmt w:val="chineseCounting"/>
      <w:suff w:val="nothing"/>
      <w:lvlText w:val="（%1）"/>
      <w:lvlJc w:val="left"/>
      <w:pPr>
        <w:ind w:left="0" w:firstLine="420"/>
      </w:pPr>
      <w:rPr>
        <w:rFonts w:hint="eastAsia"/>
      </w:rPr>
    </w:lvl>
  </w:abstractNum>
  <w:abstractNum w:abstractNumId="1">
    <w:nsid w:val="D74BCE07"/>
    <w:multiLevelType w:val="singleLevel"/>
    <w:tmpl w:val="D74BCE07"/>
    <w:lvl w:ilvl="0" w:tentative="0">
      <w:start w:val="4"/>
      <w:numFmt w:val="decimal"/>
      <w:lvlText w:val="%1."/>
      <w:lvlJc w:val="left"/>
      <w:pPr>
        <w:tabs>
          <w:tab w:val="left" w:pos="312"/>
        </w:tabs>
      </w:pPr>
    </w:lvl>
  </w:abstractNum>
  <w:abstractNum w:abstractNumId="2">
    <w:nsid w:val="F2FC2888"/>
    <w:multiLevelType w:val="singleLevel"/>
    <w:tmpl w:val="F2FC2888"/>
    <w:lvl w:ilvl="0" w:tentative="0">
      <w:start w:val="1"/>
      <w:numFmt w:val="chineseCounting"/>
      <w:suff w:val="nothing"/>
      <w:lvlText w:val="（%1）"/>
      <w:lvlJc w:val="left"/>
      <w:pPr>
        <w:ind w:left="0" w:firstLine="420"/>
      </w:pPr>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642B9A13"/>
    <w:multiLevelType w:val="singleLevel"/>
    <w:tmpl w:val="642B9A13"/>
    <w:lvl w:ilvl="0" w:tentative="0">
      <w:start w:val="5"/>
      <w:numFmt w:val="chineseCounting"/>
      <w:suff w:val="nothing"/>
      <w:lvlText w:val="（%1）"/>
      <w:lvlJc w:val="left"/>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zBjOTUwNTYyMzdiNDYxZjE0ZmUwMGQ0ZWIx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AA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A2A"/>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AB1"/>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DE9"/>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CDE"/>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A89"/>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5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D01FC"/>
    <w:rsid w:val="025F0711"/>
    <w:rsid w:val="026B2E25"/>
    <w:rsid w:val="02824D4D"/>
    <w:rsid w:val="02B969C2"/>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84D90"/>
    <w:rsid w:val="04F66F48"/>
    <w:rsid w:val="05085485"/>
    <w:rsid w:val="05251E14"/>
    <w:rsid w:val="054D402B"/>
    <w:rsid w:val="05A16594"/>
    <w:rsid w:val="05A7762D"/>
    <w:rsid w:val="05AE173F"/>
    <w:rsid w:val="05B20947"/>
    <w:rsid w:val="060E5941"/>
    <w:rsid w:val="06110FAF"/>
    <w:rsid w:val="06493CA7"/>
    <w:rsid w:val="065A6178"/>
    <w:rsid w:val="066F1CF3"/>
    <w:rsid w:val="06930BB8"/>
    <w:rsid w:val="06C11ADC"/>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C5758"/>
    <w:rsid w:val="09B06B87"/>
    <w:rsid w:val="09C13146"/>
    <w:rsid w:val="09E04166"/>
    <w:rsid w:val="0A0D3193"/>
    <w:rsid w:val="0A1C0718"/>
    <w:rsid w:val="0A3E7710"/>
    <w:rsid w:val="0A5B7E63"/>
    <w:rsid w:val="0A961240"/>
    <w:rsid w:val="0AA374A5"/>
    <w:rsid w:val="0AAB7649"/>
    <w:rsid w:val="0ABC5606"/>
    <w:rsid w:val="0ABE3BFD"/>
    <w:rsid w:val="0B27418B"/>
    <w:rsid w:val="0B30404E"/>
    <w:rsid w:val="0B3F25E8"/>
    <w:rsid w:val="0B4C6C14"/>
    <w:rsid w:val="0B547599"/>
    <w:rsid w:val="0B631A88"/>
    <w:rsid w:val="0B683D45"/>
    <w:rsid w:val="0B7F3F11"/>
    <w:rsid w:val="0B884417"/>
    <w:rsid w:val="0BF6188C"/>
    <w:rsid w:val="0BF73C91"/>
    <w:rsid w:val="0BFA7A78"/>
    <w:rsid w:val="0C071B2C"/>
    <w:rsid w:val="0C170175"/>
    <w:rsid w:val="0C571A41"/>
    <w:rsid w:val="0C5C1171"/>
    <w:rsid w:val="0C5E1CBC"/>
    <w:rsid w:val="0C615B50"/>
    <w:rsid w:val="0C8445DA"/>
    <w:rsid w:val="0C87121B"/>
    <w:rsid w:val="0C9E047D"/>
    <w:rsid w:val="0CC007F7"/>
    <w:rsid w:val="0CC617AC"/>
    <w:rsid w:val="0CE618DF"/>
    <w:rsid w:val="0CFE707A"/>
    <w:rsid w:val="0D063BDA"/>
    <w:rsid w:val="0D08375F"/>
    <w:rsid w:val="0D184CFB"/>
    <w:rsid w:val="0D4A7419"/>
    <w:rsid w:val="0D827401"/>
    <w:rsid w:val="0D84094E"/>
    <w:rsid w:val="0D8A00E9"/>
    <w:rsid w:val="0D8C547A"/>
    <w:rsid w:val="0D8D589E"/>
    <w:rsid w:val="0D8E7DAF"/>
    <w:rsid w:val="0DA01C73"/>
    <w:rsid w:val="0DCF4C51"/>
    <w:rsid w:val="0DD63300"/>
    <w:rsid w:val="0DF50604"/>
    <w:rsid w:val="0DF702FE"/>
    <w:rsid w:val="0E060E51"/>
    <w:rsid w:val="0E5604B2"/>
    <w:rsid w:val="0E5F2491"/>
    <w:rsid w:val="0E6D5D79"/>
    <w:rsid w:val="0E9D0089"/>
    <w:rsid w:val="0EB803EE"/>
    <w:rsid w:val="0EF94D4B"/>
    <w:rsid w:val="0F0F1FEB"/>
    <w:rsid w:val="0F4958DC"/>
    <w:rsid w:val="0F515DF7"/>
    <w:rsid w:val="0F596BA8"/>
    <w:rsid w:val="0F6248D2"/>
    <w:rsid w:val="0F693536"/>
    <w:rsid w:val="0F7B0511"/>
    <w:rsid w:val="0F7B76D9"/>
    <w:rsid w:val="0F816ACD"/>
    <w:rsid w:val="0F9832DB"/>
    <w:rsid w:val="0FBF3FD2"/>
    <w:rsid w:val="0FBF7FF3"/>
    <w:rsid w:val="10284C2D"/>
    <w:rsid w:val="10646583"/>
    <w:rsid w:val="107D4B15"/>
    <w:rsid w:val="108A3C80"/>
    <w:rsid w:val="10C26171"/>
    <w:rsid w:val="10F33360"/>
    <w:rsid w:val="10FC16EA"/>
    <w:rsid w:val="110F1D40"/>
    <w:rsid w:val="11266F33"/>
    <w:rsid w:val="118963A1"/>
    <w:rsid w:val="11AC39CF"/>
    <w:rsid w:val="11C6522A"/>
    <w:rsid w:val="11E104CC"/>
    <w:rsid w:val="11E20309"/>
    <w:rsid w:val="12255233"/>
    <w:rsid w:val="12530213"/>
    <w:rsid w:val="127723A9"/>
    <w:rsid w:val="12862074"/>
    <w:rsid w:val="12883966"/>
    <w:rsid w:val="129E45B4"/>
    <w:rsid w:val="12D81596"/>
    <w:rsid w:val="12D8351B"/>
    <w:rsid w:val="13072A44"/>
    <w:rsid w:val="134C6F1D"/>
    <w:rsid w:val="135F4BE2"/>
    <w:rsid w:val="139B1A0A"/>
    <w:rsid w:val="139D25C7"/>
    <w:rsid w:val="13BF3CE4"/>
    <w:rsid w:val="141008D8"/>
    <w:rsid w:val="14125FE6"/>
    <w:rsid w:val="14317FAE"/>
    <w:rsid w:val="146D271E"/>
    <w:rsid w:val="14982588"/>
    <w:rsid w:val="149A5AD9"/>
    <w:rsid w:val="14A7619D"/>
    <w:rsid w:val="14B06F9F"/>
    <w:rsid w:val="150536C3"/>
    <w:rsid w:val="150C1963"/>
    <w:rsid w:val="151447A0"/>
    <w:rsid w:val="154A6454"/>
    <w:rsid w:val="1555652D"/>
    <w:rsid w:val="15762120"/>
    <w:rsid w:val="16087839"/>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AC5629"/>
    <w:rsid w:val="1AB8220E"/>
    <w:rsid w:val="1AE4166C"/>
    <w:rsid w:val="1AF06CFB"/>
    <w:rsid w:val="1AF11B8D"/>
    <w:rsid w:val="1B11359C"/>
    <w:rsid w:val="1B2A271F"/>
    <w:rsid w:val="1B530544"/>
    <w:rsid w:val="1B543484"/>
    <w:rsid w:val="1B713184"/>
    <w:rsid w:val="1BA209CF"/>
    <w:rsid w:val="1BB4777D"/>
    <w:rsid w:val="1BD75AB8"/>
    <w:rsid w:val="1C0459C2"/>
    <w:rsid w:val="1C1B3B4A"/>
    <w:rsid w:val="1C88086E"/>
    <w:rsid w:val="1D266CE1"/>
    <w:rsid w:val="1D3963AF"/>
    <w:rsid w:val="1D4145D6"/>
    <w:rsid w:val="1D6A673C"/>
    <w:rsid w:val="1D9247AE"/>
    <w:rsid w:val="1DB567EC"/>
    <w:rsid w:val="1DF51A98"/>
    <w:rsid w:val="1E3D060F"/>
    <w:rsid w:val="1E3F7D2E"/>
    <w:rsid w:val="1E4134E4"/>
    <w:rsid w:val="1E5062B3"/>
    <w:rsid w:val="1E523514"/>
    <w:rsid w:val="1E714A66"/>
    <w:rsid w:val="1E7A756B"/>
    <w:rsid w:val="1E802593"/>
    <w:rsid w:val="1E8B6156"/>
    <w:rsid w:val="1EA703CC"/>
    <w:rsid w:val="1EB7330C"/>
    <w:rsid w:val="1F0A0FF3"/>
    <w:rsid w:val="1F5771FF"/>
    <w:rsid w:val="1F5F584A"/>
    <w:rsid w:val="1FA140B4"/>
    <w:rsid w:val="1FD52DD5"/>
    <w:rsid w:val="1FE868A9"/>
    <w:rsid w:val="20034907"/>
    <w:rsid w:val="20173E4B"/>
    <w:rsid w:val="204E48BC"/>
    <w:rsid w:val="208921B3"/>
    <w:rsid w:val="208D1F55"/>
    <w:rsid w:val="20973DEB"/>
    <w:rsid w:val="20A95766"/>
    <w:rsid w:val="20B26522"/>
    <w:rsid w:val="20B44310"/>
    <w:rsid w:val="20FF025E"/>
    <w:rsid w:val="211116EB"/>
    <w:rsid w:val="216133FC"/>
    <w:rsid w:val="21C66B0E"/>
    <w:rsid w:val="21D56769"/>
    <w:rsid w:val="21E52EF3"/>
    <w:rsid w:val="21FB5D7B"/>
    <w:rsid w:val="22015E94"/>
    <w:rsid w:val="220B1C3D"/>
    <w:rsid w:val="221D1D20"/>
    <w:rsid w:val="22334A87"/>
    <w:rsid w:val="2247447A"/>
    <w:rsid w:val="22BE6801"/>
    <w:rsid w:val="23045CB7"/>
    <w:rsid w:val="23204472"/>
    <w:rsid w:val="233500BF"/>
    <w:rsid w:val="23377FF7"/>
    <w:rsid w:val="236B425F"/>
    <w:rsid w:val="23836192"/>
    <w:rsid w:val="23901F29"/>
    <w:rsid w:val="239C0061"/>
    <w:rsid w:val="23B908A4"/>
    <w:rsid w:val="23E95BEF"/>
    <w:rsid w:val="23FD0064"/>
    <w:rsid w:val="24155071"/>
    <w:rsid w:val="24294761"/>
    <w:rsid w:val="245375B0"/>
    <w:rsid w:val="24642C0A"/>
    <w:rsid w:val="24B22173"/>
    <w:rsid w:val="24B95AD9"/>
    <w:rsid w:val="24BE24DA"/>
    <w:rsid w:val="24CF5825"/>
    <w:rsid w:val="24D663E6"/>
    <w:rsid w:val="24D77F2B"/>
    <w:rsid w:val="24E66C44"/>
    <w:rsid w:val="258B00E2"/>
    <w:rsid w:val="25A917A6"/>
    <w:rsid w:val="25BE27CC"/>
    <w:rsid w:val="25F74A5C"/>
    <w:rsid w:val="2628662C"/>
    <w:rsid w:val="262D45DE"/>
    <w:rsid w:val="26871DC8"/>
    <w:rsid w:val="268E297D"/>
    <w:rsid w:val="26A53EF9"/>
    <w:rsid w:val="26A94201"/>
    <w:rsid w:val="26AC274F"/>
    <w:rsid w:val="26C3767C"/>
    <w:rsid w:val="27044A29"/>
    <w:rsid w:val="271D34C8"/>
    <w:rsid w:val="273C6D0B"/>
    <w:rsid w:val="276142BF"/>
    <w:rsid w:val="276445A8"/>
    <w:rsid w:val="27783712"/>
    <w:rsid w:val="27907362"/>
    <w:rsid w:val="28333E1D"/>
    <w:rsid w:val="28454BD6"/>
    <w:rsid w:val="28455253"/>
    <w:rsid w:val="284621F1"/>
    <w:rsid w:val="28551971"/>
    <w:rsid w:val="285B1C53"/>
    <w:rsid w:val="28667ACC"/>
    <w:rsid w:val="289F7086"/>
    <w:rsid w:val="28C32028"/>
    <w:rsid w:val="28CC490F"/>
    <w:rsid w:val="28DE40AA"/>
    <w:rsid w:val="29345E77"/>
    <w:rsid w:val="294C65AD"/>
    <w:rsid w:val="297273F1"/>
    <w:rsid w:val="297D572A"/>
    <w:rsid w:val="297F59EF"/>
    <w:rsid w:val="29806583"/>
    <w:rsid w:val="298B3C4C"/>
    <w:rsid w:val="29E44ADC"/>
    <w:rsid w:val="29F26D24"/>
    <w:rsid w:val="2A15033F"/>
    <w:rsid w:val="2A1662C1"/>
    <w:rsid w:val="2A1C7367"/>
    <w:rsid w:val="2A2815FA"/>
    <w:rsid w:val="2A6D6092"/>
    <w:rsid w:val="2A7D76B4"/>
    <w:rsid w:val="2B437463"/>
    <w:rsid w:val="2B7807EE"/>
    <w:rsid w:val="2B8C182C"/>
    <w:rsid w:val="2BA50BF7"/>
    <w:rsid w:val="2BBF00EC"/>
    <w:rsid w:val="2BC37CFD"/>
    <w:rsid w:val="2BD5237F"/>
    <w:rsid w:val="2BE536CE"/>
    <w:rsid w:val="2BE758D9"/>
    <w:rsid w:val="2C09049E"/>
    <w:rsid w:val="2C0A653C"/>
    <w:rsid w:val="2C191F85"/>
    <w:rsid w:val="2CDE24A4"/>
    <w:rsid w:val="2CE82D6F"/>
    <w:rsid w:val="2CF9552F"/>
    <w:rsid w:val="2D343236"/>
    <w:rsid w:val="2DA74C11"/>
    <w:rsid w:val="2DD15014"/>
    <w:rsid w:val="2DF72DE4"/>
    <w:rsid w:val="2E0220AF"/>
    <w:rsid w:val="2E4B082A"/>
    <w:rsid w:val="2E5D4E86"/>
    <w:rsid w:val="2E5D790B"/>
    <w:rsid w:val="2E9A3C18"/>
    <w:rsid w:val="2EBB0FEE"/>
    <w:rsid w:val="2EC63002"/>
    <w:rsid w:val="2F0A6B38"/>
    <w:rsid w:val="2F6E7AFA"/>
    <w:rsid w:val="2F946CCB"/>
    <w:rsid w:val="2FD25781"/>
    <w:rsid w:val="2FDC745C"/>
    <w:rsid w:val="2FFD7934"/>
    <w:rsid w:val="3003591D"/>
    <w:rsid w:val="30733ACD"/>
    <w:rsid w:val="308C3862"/>
    <w:rsid w:val="309379D8"/>
    <w:rsid w:val="30A270F7"/>
    <w:rsid w:val="30DF1478"/>
    <w:rsid w:val="30EC586F"/>
    <w:rsid w:val="314550B7"/>
    <w:rsid w:val="315C223F"/>
    <w:rsid w:val="319C6071"/>
    <w:rsid w:val="31AC537E"/>
    <w:rsid w:val="31C00377"/>
    <w:rsid w:val="31D1075D"/>
    <w:rsid w:val="31E3679B"/>
    <w:rsid w:val="31E732FD"/>
    <w:rsid w:val="3229022B"/>
    <w:rsid w:val="322E003C"/>
    <w:rsid w:val="32517576"/>
    <w:rsid w:val="3253294F"/>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1770D"/>
    <w:rsid w:val="358D5588"/>
    <w:rsid w:val="35971DFE"/>
    <w:rsid w:val="35D2291D"/>
    <w:rsid w:val="363A3B40"/>
    <w:rsid w:val="365302AE"/>
    <w:rsid w:val="36607A0A"/>
    <w:rsid w:val="366E227C"/>
    <w:rsid w:val="366F2E0D"/>
    <w:rsid w:val="367B6A5C"/>
    <w:rsid w:val="36A74ADA"/>
    <w:rsid w:val="36AD60D5"/>
    <w:rsid w:val="36B224F9"/>
    <w:rsid w:val="36DD12B7"/>
    <w:rsid w:val="36EC0CC9"/>
    <w:rsid w:val="36F906BA"/>
    <w:rsid w:val="373F410B"/>
    <w:rsid w:val="37EE7094"/>
    <w:rsid w:val="38175C58"/>
    <w:rsid w:val="38296C89"/>
    <w:rsid w:val="383002EB"/>
    <w:rsid w:val="384E24BD"/>
    <w:rsid w:val="38586797"/>
    <w:rsid w:val="38A74091"/>
    <w:rsid w:val="38BC0149"/>
    <w:rsid w:val="38D87D1C"/>
    <w:rsid w:val="38F80D91"/>
    <w:rsid w:val="393F43CF"/>
    <w:rsid w:val="39636459"/>
    <w:rsid w:val="396B7F6C"/>
    <w:rsid w:val="39B417A9"/>
    <w:rsid w:val="39FC5695"/>
    <w:rsid w:val="3A006D8E"/>
    <w:rsid w:val="3A3651E5"/>
    <w:rsid w:val="3A744481"/>
    <w:rsid w:val="3A8C7BEF"/>
    <w:rsid w:val="3A906246"/>
    <w:rsid w:val="3AE710BD"/>
    <w:rsid w:val="3B2349B7"/>
    <w:rsid w:val="3B616CFF"/>
    <w:rsid w:val="3B6259F6"/>
    <w:rsid w:val="3B976654"/>
    <w:rsid w:val="3BA94068"/>
    <w:rsid w:val="3BC01EFC"/>
    <w:rsid w:val="3BCA786A"/>
    <w:rsid w:val="3BD31E2F"/>
    <w:rsid w:val="3BF15831"/>
    <w:rsid w:val="3C105946"/>
    <w:rsid w:val="3C471448"/>
    <w:rsid w:val="3C5F759A"/>
    <w:rsid w:val="3C6C525A"/>
    <w:rsid w:val="3CCE23CB"/>
    <w:rsid w:val="3CD17D17"/>
    <w:rsid w:val="3CF4361D"/>
    <w:rsid w:val="3CFE26EE"/>
    <w:rsid w:val="3D3C7F39"/>
    <w:rsid w:val="3D440F09"/>
    <w:rsid w:val="3D4504A0"/>
    <w:rsid w:val="3D8734BB"/>
    <w:rsid w:val="3D9A11D4"/>
    <w:rsid w:val="3DA16D89"/>
    <w:rsid w:val="3DA364BE"/>
    <w:rsid w:val="3DE041CB"/>
    <w:rsid w:val="3DFA79FE"/>
    <w:rsid w:val="3E0D48F6"/>
    <w:rsid w:val="3E151A9D"/>
    <w:rsid w:val="3E1868B4"/>
    <w:rsid w:val="3E377251"/>
    <w:rsid w:val="3E42664B"/>
    <w:rsid w:val="3E5A7334"/>
    <w:rsid w:val="3E7B5D6B"/>
    <w:rsid w:val="3E843E66"/>
    <w:rsid w:val="3E8F51FE"/>
    <w:rsid w:val="3E926F87"/>
    <w:rsid w:val="3E9A59DE"/>
    <w:rsid w:val="3EAF4836"/>
    <w:rsid w:val="3EC24BF3"/>
    <w:rsid w:val="3EC33DFA"/>
    <w:rsid w:val="3F060E16"/>
    <w:rsid w:val="3F1D1096"/>
    <w:rsid w:val="3F2F0234"/>
    <w:rsid w:val="3F3E5024"/>
    <w:rsid w:val="3F6363FE"/>
    <w:rsid w:val="3F756B8F"/>
    <w:rsid w:val="3F95482B"/>
    <w:rsid w:val="4019356B"/>
    <w:rsid w:val="40592157"/>
    <w:rsid w:val="406E1CAE"/>
    <w:rsid w:val="40A0133A"/>
    <w:rsid w:val="40C31A53"/>
    <w:rsid w:val="40FF545D"/>
    <w:rsid w:val="410067C8"/>
    <w:rsid w:val="411A73CB"/>
    <w:rsid w:val="412A1D04"/>
    <w:rsid w:val="416C5E7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951EB"/>
    <w:rsid w:val="451B225C"/>
    <w:rsid w:val="452410C9"/>
    <w:rsid w:val="45317DFB"/>
    <w:rsid w:val="456D3CE4"/>
    <w:rsid w:val="4579042C"/>
    <w:rsid w:val="457F0571"/>
    <w:rsid w:val="45851176"/>
    <w:rsid w:val="45C63B94"/>
    <w:rsid w:val="460E7DA5"/>
    <w:rsid w:val="461E5035"/>
    <w:rsid w:val="46422483"/>
    <w:rsid w:val="46560EA5"/>
    <w:rsid w:val="4659254A"/>
    <w:rsid w:val="465B0637"/>
    <w:rsid w:val="465E3F0D"/>
    <w:rsid w:val="466A16E6"/>
    <w:rsid w:val="46893F2B"/>
    <w:rsid w:val="469F45FA"/>
    <w:rsid w:val="46C4686E"/>
    <w:rsid w:val="477B778F"/>
    <w:rsid w:val="478203EC"/>
    <w:rsid w:val="47AE0567"/>
    <w:rsid w:val="47B025FA"/>
    <w:rsid w:val="4809698F"/>
    <w:rsid w:val="4811697D"/>
    <w:rsid w:val="4820176A"/>
    <w:rsid w:val="487A3E25"/>
    <w:rsid w:val="488B5503"/>
    <w:rsid w:val="48937E21"/>
    <w:rsid w:val="489A0361"/>
    <w:rsid w:val="489D725F"/>
    <w:rsid w:val="48B94FF3"/>
    <w:rsid w:val="48E37AAB"/>
    <w:rsid w:val="48FD4B4C"/>
    <w:rsid w:val="490A68E0"/>
    <w:rsid w:val="491055FE"/>
    <w:rsid w:val="49372721"/>
    <w:rsid w:val="495F5B3E"/>
    <w:rsid w:val="496F77D7"/>
    <w:rsid w:val="497654FD"/>
    <w:rsid w:val="49B64211"/>
    <w:rsid w:val="49E56AF9"/>
    <w:rsid w:val="49F6167F"/>
    <w:rsid w:val="4A064FA0"/>
    <w:rsid w:val="4A0F7528"/>
    <w:rsid w:val="4A16615C"/>
    <w:rsid w:val="4A183041"/>
    <w:rsid w:val="4A243B74"/>
    <w:rsid w:val="4A4424D7"/>
    <w:rsid w:val="4AB82D0F"/>
    <w:rsid w:val="4AE7656F"/>
    <w:rsid w:val="4AEB7664"/>
    <w:rsid w:val="4AF25E5C"/>
    <w:rsid w:val="4AFD7C19"/>
    <w:rsid w:val="4B0567D1"/>
    <w:rsid w:val="4B236AAE"/>
    <w:rsid w:val="4B271062"/>
    <w:rsid w:val="4B707271"/>
    <w:rsid w:val="4B9739F7"/>
    <w:rsid w:val="4BEE2503"/>
    <w:rsid w:val="4C245A30"/>
    <w:rsid w:val="4C5B6FA8"/>
    <w:rsid w:val="4C951AB1"/>
    <w:rsid w:val="4CB6685F"/>
    <w:rsid w:val="4CC367FE"/>
    <w:rsid w:val="4D077F3C"/>
    <w:rsid w:val="4D123355"/>
    <w:rsid w:val="4D2A3B31"/>
    <w:rsid w:val="4D312C52"/>
    <w:rsid w:val="4D44414D"/>
    <w:rsid w:val="4D6D2809"/>
    <w:rsid w:val="4D905305"/>
    <w:rsid w:val="4D964A72"/>
    <w:rsid w:val="4D9C1254"/>
    <w:rsid w:val="4E793892"/>
    <w:rsid w:val="4E800872"/>
    <w:rsid w:val="4EB21E31"/>
    <w:rsid w:val="4EC569ED"/>
    <w:rsid w:val="4ED50EA1"/>
    <w:rsid w:val="4EEC050C"/>
    <w:rsid w:val="4F104EC3"/>
    <w:rsid w:val="4F47354A"/>
    <w:rsid w:val="4F911C54"/>
    <w:rsid w:val="4FE625E0"/>
    <w:rsid w:val="5021480F"/>
    <w:rsid w:val="50321902"/>
    <w:rsid w:val="504B4DDA"/>
    <w:rsid w:val="508136B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63B78"/>
    <w:rsid w:val="52615633"/>
    <w:rsid w:val="526F4DE4"/>
    <w:rsid w:val="52977FD4"/>
    <w:rsid w:val="52A25790"/>
    <w:rsid w:val="52A96B6F"/>
    <w:rsid w:val="52B45975"/>
    <w:rsid w:val="52D94AA4"/>
    <w:rsid w:val="52EA3A62"/>
    <w:rsid w:val="52F50BB8"/>
    <w:rsid w:val="52F642A1"/>
    <w:rsid w:val="53097272"/>
    <w:rsid w:val="53544462"/>
    <w:rsid w:val="5397158E"/>
    <w:rsid w:val="54013861"/>
    <w:rsid w:val="54487265"/>
    <w:rsid w:val="544D6070"/>
    <w:rsid w:val="54605E1E"/>
    <w:rsid w:val="54752E3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73412"/>
    <w:rsid w:val="57AB7B30"/>
    <w:rsid w:val="57AF5251"/>
    <w:rsid w:val="57B26373"/>
    <w:rsid w:val="57B63F04"/>
    <w:rsid w:val="57CD20C2"/>
    <w:rsid w:val="57D675AB"/>
    <w:rsid w:val="57D6B4E8"/>
    <w:rsid w:val="57D95FDD"/>
    <w:rsid w:val="58252D1D"/>
    <w:rsid w:val="58917D2F"/>
    <w:rsid w:val="5894085C"/>
    <w:rsid w:val="58AD4060"/>
    <w:rsid w:val="58AE4F0C"/>
    <w:rsid w:val="58B85899"/>
    <w:rsid w:val="58CB0543"/>
    <w:rsid w:val="58E363A9"/>
    <w:rsid w:val="595219A0"/>
    <w:rsid w:val="595E1678"/>
    <w:rsid w:val="596D5BD4"/>
    <w:rsid w:val="597E3DD8"/>
    <w:rsid w:val="59B840AE"/>
    <w:rsid w:val="59F80043"/>
    <w:rsid w:val="5A09252F"/>
    <w:rsid w:val="5A0B2778"/>
    <w:rsid w:val="5A2A7C7B"/>
    <w:rsid w:val="5A3E2560"/>
    <w:rsid w:val="5A5D3B6E"/>
    <w:rsid w:val="5A637A76"/>
    <w:rsid w:val="5A6D33BA"/>
    <w:rsid w:val="5A792B1F"/>
    <w:rsid w:val="5A874767"/>
    <w:rsid w:val="5AA85BE2"/>
    <w:rsid w:val="5AAD6F28"/>
    <w:rsid w:val="5AD63A24"/>
    <w:rsid w:val="5AFF16B3"/>
    <w:rsid w:val="5B2E1A1D"/>
    <w:rsid w:val="5B843A1C"/>
    <w:rsid w:val="5B873E3F"/>
    <w:rsid w:val="5C02690E"/>
    <w:rsid w:val="5C196DA7"/>
    <w:rsid w:val="5C2A048C"/>
    <w:rsid w:val="5C80234E"/>
    <w:rsid w:val="5C8A680C"/>
    <w:rsid w:val="5CD04542"/>
    <w:rsid w:val="5D0C4701"/>
    <w:rsid w:val="5D0F0395"/>
    <w:rsid w:val="5D221076"/>
    <w:rsid w:val="5D397964"/>
    <w:rsid w:val="5D5A391C"/>
    <w:rsid w:val="5D5F10C0"/>
    <w:rsid w:val="5D891B7B"/>
    <w:rsid w:val="5DAD38EE"/>
    <w:rsid w:val="5E006862"/>
    <w:rsid w:val="5E0207B9"/>
    <w:rsid w:val="5E1834A1"/>
    <w:rsid w:val="5E2200B6"/>
    <w:rsid w:val="5E261785"/>
    <w:rsid w:val="5E4A7017"/>
    <w:rsid w:val="5E552BBA"/>
    <w:rsid w:val="5E611C10"/>
    <w:rsid w:val="5E7A0F3F"/>
    <w:rsid w:val="5EFC7377"/>
    <w:rsid w:val="5F06174D"/>
    <w:rsid w:val="5F230494"/>
    <w:rsid w:val="5F3A3602"/>
    <w:rsid w:val="5F45733B"/>
    <w:rsid w:val="5F534220"/>
    <w:rsid w:val="5F6159BD"/>
    <w:rsid w:val="5F6277C6"/>
    <w:rsid w:val="5F6D0B1D"/>
    <w:rsid w:val="5F8D0B82"/>
    <w:rsid w:val="5FCC5339"/>
    <w:rsid w:val="5FE34A5B"/>
    <w:rsid w:val="5FFE1E36"/>
    <w:rsid w:val="60232584"/>
    <w:rsid w:val="603B5589"/>
    <w:rsid w:val="607330CE"/>
    <w:rsid w:val="60825176"/>
    <w:rsid w:val="609F2AC4"/>
    <w:rsid w:val="60FA2EE8"/>
    <w:rsid w:val="61054A27"/>
    <w:rsid w:val="610A52BC"/>
    <w:rsid w:val="611D2366"/>
    <w:rsid w:val="61421856"/>
    <w:rsid w:val="615227C4"/>
    <w:rsid w:val="61654E3F"/>
    <w:rsid w:val="6182292A"/>
    <w:rsid w:val="618908EB"/>
    <w:rsid w:val="619F7F92"/>
    <w:rsid w:val="61C809BD"/>
    <w:rsid w:val="61F94C26"/>
    <w:rsid w:val="62000E56"/>
    <w:rsid w:val="620E696F"/>
    <w:rsid w:val="624F3E49"/>
    <w:rsid w:val="62632286"/>
    <w:rsid w:val="62734D23"/>
    <w:rsid w:val="627F75DC"/>
    <w:rsid w:val="62885958"/>
    <w:rsid w:val="62F40B65"/>
    <w:rsid w:val="62FC2CFE"/>
    <w:rsid w:val="63024505"/>
    <w:rsid w:val="631321A0"/>
    <w:rsid w:val="635600A5"/>
    <w:rsid w:val="635B1DB5"/>
    <w:rsid w:val="636F142C"/>
    <w:rsid w:val="63711FED"/>
    <w:rsid w:val="63880DDC"/>
    <w:rsid w:val="638D750D"/>
    <w:rsid w:val="63AB2175"/>
    <w:rsid w:val="63AC6CC0"/>
    <w:rsid w:val="64055776"/>
    <w:rsid w:val="64240056"/>
    <w:rsid w:val="643E143A"/>
    <w:rsid w:val="64491666"/>
    <w:rsid w:val="648B6EEF"/>
    <w:rsid w:val="64C158BF"/>
    <w:rsid w:val="64CE2EAA"/>
    <w:rsid w:val="64F21078"/>
    <w:rsid w:val="653C3090"/>
    <w:rsid w:val="65607B43"/>
    <w:rsid w:val="65854376"/>
    <w:rsid w:val="658767BE"/>
    <w:rsid w:val="65892531"/>
    <w:rsid w:val="66195831"/>
    <w:rsid w:val="662E75B1"/>
    <w:rsid w:val="66342C2E"/>
    <w:rsid w:val="66372649"/>
    <w:rsid w:val="663E784C"/>
    <w:rsid w:val="668B6A45"/>
    <w:rsid w:val="67011F07"/>
    <w:rsid w:val="672F3F24"/>
    <w:rsid w:val="673E055F"/>
    <w:rsid w:val="67551CE3"/>
    <w:rsid w:val="67A22552"/>
    <w:rsid w:val="67B22DCC"/>
    <w:rsid w:val="67BE71AA"/>
    <w:rsid w:val="67D90273"/>
    <w:rsid w:val="67DE5875"/>
    <w:rsid w:val="67E55852"/>
    <w:rsid w:val="67EB1AB4"/>
    <w:rsid w:val="67FA1285"/>
    <w:rsid w:val="683D381B"/>
    <w:rsid w:val="68551F4F"/>
    <w:rsid w:val="686D0021"/>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3A6264"/>
    <w:rsid w:val="6ADE0BD1"/>
    <w:rsid w:val="6AE96859"/>
    <w:rsid w:val="6B147746"/>
    <w:rsid w:val="6B24787C"/>
    <w:rsid w:val="6B573233"/>
    <w:rsid w:val="6B5B6274"/>
    <w:rsid w:val="6B9347D5"/>
    <w:rsid w:val="6B935D53"/>
    <w:rsid w:val="6C196F71"/>
    <w:rsid w:val="6C226FCB"/>
    <w:rsid w:val="6C231E31"/>
    <w:rsid w:val="6C31226F"/>
    <w:rsid w:val="6C552F0B"/>
    <w:rsid w:val="6C635F46"/>
    <w:rsid w:val="6C8C67B7"/>
    <w:rsid w:val="6C921458"/>
    <w:rsid w:val="6C9D744C"/>
    <w:rsid w:val="6CAA0E75"/>
    <w:rsid w:val="6CCC1BE9"/>
    <w:rsid w:val="6CFC3CA5"/>
    <w:rsid w:val="6D167928"/>
    <w:rsid w:val="6D26299B"/>
    <w:rsid w:val="6D4772EC"/>
    <w:rsid w:val="6D9078AF"/>
    <w:rsid w:val="6DAA3FEF"/>
    <w:rsid w:val="6DC0172B"/>
    <w:rsid w:val="6DC26C9C"/>
    <w:rsid w:val="6DCB690C"/>
    <w:rsid w:val="6DD41A5B"/>
    <w:rsid w:val="6DF43C2E"/>
    <w:rsid w:val="6DF51CA3"/>
    <w:rsid w:val="6E4D7ADD"/>
    <w:rsid w:val="6E8335BD"/>
    <w:rsid w:val="6E8E12EF"/>
    <w:rsid w:val="6E972936"/>
    <w:rsid w:val="6ED446C5"/>
    <w:rsid w:val="6F2A7D94"/>
    <w:rsid w:val="6F8331F1"/>
    <w:rsid w:val="6FAE1A09"/>
    <w:rsid w:val="6FD75BF8"/>
    <w:rsid w:val="70466F60"/>
    <w:rsid w:val="7053676F"/>
    <w:rsid w:val="707723D0"/>
    <w:rsid w:val="709A41CE"/>
    <w:rsid w:val="70F5661B"/>
    <w:rsid w:val="71360107"/>
    <w:rsid w:val="71361156"/>
    <w:rsid w:val="713B688E"/>
    <w:rsid w:val="71A7123C"/>
    <w:rsid w:val="71D43752"/>
    <w:rsid w:val="71F1796A"/>
    <w:rsid w:val="72154626"/>
    <w:rsid w:val="72262B5D"/>
    <w:rsid w:val="72283FF7"/>
    <w:rsid w:val="722E7212"/>
    <w:rsid w:val="723A0474"/>
    <w:rsid w:val="725923E4"/>
    <w:rsid w:val="72864BF7"/>
    <w:rsid w:val="729023FC"/>
    <w:rsid w:val="733E680A"/>
    <w:rsid w:val="73C0646E"/>
    <w:rsid w:val="742222F5"/>
    <w:rsid w:val="74476126"/>
    <w:rsid w:val="745B7A9E"/>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C14FD"/>
    <w:rsid w:val="78530DB3"/>
    <w:rsid w:val="785E73E8"/>
    <w:rsid w:val="78775729"/>
    <w:rsid w:val="78A42DB0"/>
    <w:rsid w:val="78A656AB"/>
    <w:rsid w:val="78B2245C"/>
    <w:rsid w:val="78E172CC"/>
    <w:rsid w:val="78EA1D1F"/>
    <w:rsid w:val="78EA6E7E"/>
    <w:rsid w:val="7904172F"/>
    <w:rsid w:val="79052133"/>
    <w:rsid w:val="790F7E27"/>
    <w:rsid w:val="792A231A"/>
    <w:rsid w:val="79316829"/>
    <w:rsid w:val="794E7636"/>
    <w:rsid w:val="797E66A9"/>
    <w:rsid w:val="798518A4"/>
    <w:rsid w:val="79A97383"/>
    <w:rsid w:val="79D40BB8"/>
    <w:rsid w:val="79E27E8B"/>
    <w:rsid w:val="79EA1A55"/>
    <w:rsid w:val="79EE7929"/>
    <w:rsid w:val="79F850CE"/>
    <w:rsid w:val="79FD443C"/>
    <w:rsid w:val="7A1D1975"/>
    <w:rsid w:val="7A3E5150"/>
    <w:rsid w:val="7A4670D6"/>
    <w:rsid w:val="7A534B63"/>
    <w:rsid w:val="7A5C2227"/>
    <w:rsid w:val="7A615382"/>
    <w:rsid w:val="7A67303B"/>
    <w:rsid w:val="7A8E2512"/>
    <w:rsid w:val="7AAB1D04"/>
    <w:rsid w:val="7ABA4368"/>
    <w:rsid w:val="7AD05746"/>
    <w:rsid w:val="7B257FFD"/>
    <w:rsid w:val="7B273D20"/>
    <w:rsid w:val="7B343476"/>
    <w:rsid w:val="7B5A2978"/>
    <w:rsid w:val="7B5A7E4C"/>
    <w:rsid w:val="7B667AF9"/>
    <w:rsid w:val="7B7468F8"/>
    <w:rsid w:val="7BC40083"/>
    <w:rsid w:val="7BEE0103"/>
    <w:rsid w:val="7C0A0FE4"/>
    <w:rsid w:val="7C254906"/>
    <w:rsid w:val="7C590818"/>
    <w:rsid w:val="7C7C10F6"/>
    <w:rsid w:val="7C853BEA"/>
    <w:rsid w:val="7C881368"/>
    <w:rsid w:val="7CE27788"/>
    <w:rsid w:val="7D0C32F1"/>
    <w:rsid w:val="7D0F408D"/>
    <w:rsid w:val="7D340E40"/>
    <w:rsid w:val="7D491C6C"/>
    <w:rsid w:val="7D5429C0"/>
    <w:rsid w:val="7D6E6D43"/>
    <w:rsid w:val="7DB57A34"/>
    <w:rsid w:val="7DD24CD9"/>
    <w:rsid w:val="7DE60973"/>
    <w:rsid w:val="7DEF0916"/>
    <w:rsid w:val="7E1E5218"/>
    <w:rsid w:val="7E9A4E1F"/>
    <w:rsid w:val="7EA7723A"/>
    <w:rsid w:val="7EE24C2A"/>
    <w:rsid w:val="7EE796FF"/>
    <w:rsid w:val="7EEB2043"/>
    <w:rsid w:val="7EF56FBB"/>
    <w:rsid w:val="7F0768EB"/>
    <w:rsid w:val="7F0A7CDB"/>
    <w:rsid w:val="7F0E5614"/>
    <w:rsid w:val="7F143BEC"/>
    <w:rsid w:val="7F522E00"/>
    <w:rsid w:val="7F715AF2"/>
    <w:rsid w:val="7F886E69"/>
    <w:rsid w:val="7FAF4BA7"/>
    <w:rsid w:val="BB7FA927"/>
    <w:rsid w:val="F5FFD31F"/>
    <w:rsid w:val="FF53B9DA"/>
    <w:rsid w:val="FFB88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next w:val="26"/>
    <w:link w:val="323"/>
    <w:autoRedefine/>
    <w:qFormat/>
    <w:uiPriority w:val="0"/>
    <w:pPr>
      <w:ind w:firstLine="420"/>
    </w:pPr>
    <w:rPr>
      <w:rFonts w:hAnsi="Calibri"/>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7"/>
    <w:autoRedefine/>
    <w:qFormat/>
    <w:uiPriority w:val="0"/>
    <w:pPr>
      <w:spacing w:line="480" w:lineRule="exact"/>
      <w:ind w:firstLine="480" w:firstLineChars="200"/>
    </w:pPr>
    <w:rPr>
      <w:rFonts w:ascii="宋体" w:hAnsi="宋体"/>
      <w:sz w:val="24"/>
    </w:rPr>
  </w:style>
  <w:style w:type="paragraph" w:customStyle="1" w:styleId="28">
    <w:name w:val="正文文本首行缩进 2"/>
    <w:basedOn w:val="27"/>
    <w:autoRedefine/>
    <w:qFormat/>
    <w:uiPriority w:val="99"/>
    <w:pPr>
      <w:spacing w:line="200" w:lineRule="atLeast"/>
      <w:ind w:firstLine="420"/>
    </w:pPr>
    <w:rPr>
      <w:rFonts w:ascii="宋体" w:hAnsi="Courier New"/>
      <w:spacing w:val="-4"/>
      <w:sz w:val="18"/>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7"/>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3"/>
    <w:autoRedefine/>
    <w:qFormat/>
    <w:uiPriority w:val="0"/>
    <w:pPr>
      <w:ind w:left="100" w:leftChars="2500"/>
    </w:pPr>
    <w:rPr>
      <w:rFonts w:ascii="宋体"/>
      <w:sz w:val="24"/>
      <w:szCs w:val="21"/>
      <w:lang w:val="zh-CN"/>
    </w:rPr>
  </w:style>
  <w:style w:type="paragraph" w:styleId="40">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4"/>
    <w:autoRedefine/>
    <w:qFormat/>
    <w:uiPriority w:val="0"/>
    <w:rPr>
      <w:lang w:val="zh-CN"/>
    </w:rPr>
  </w:style>
  <w:style w:type="paragraph" w:styleId="42">
    <w:name w:val="Balloon Text"/>
    <w:basedOn w:val="1"/>
    <w:link w:val="190"/>
    <w:autoRedefine/>
    <w:qFormat/>
    <w:uiPriority w:val="0"/>
    <w:rPr>
      <w:sz w:val="18"/>
      <w:szCs w:val="18"/>
    </w:rPr>
  </w:style>
  <w:style w:type="paragraph" w:styleId="43">
    <w:name w:val="footer"/>
    <w:basedOn w:val="1"/>
    <w:link w:val="385"/>
    <w:autoRedefine/>
    <w:qFormat/>
    <w:uiPriority w:val="99"/>
    <w:pPr>
      <w:tabs>
        <w:tab w:val="center" w:pos="4153"/>
        <w:tab w:val="right" w:pos="8306"/>
      </w:tabs>
      <w:snapToGrid w:val="0"/>
      <w:jc w:val="left"/>
    </w:pPr>
    <w:rPr>
      <w:sz w:val="18"/>
      <w:szCs w:val="18"/>
    </w:rPr>
  </w:style>
  <w:style w:type="paragraph" w:styleId="44">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4"/>
    <w:autoRedefine/>
    <w:qFormat/>
    <w:uiPriority w:val="0"/>
    <w:pPr>
      <w:spacing w:after="120" w:line="480" w:lineRule="auto"/>
    </w:p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paragraph" w:styleId="63">
    <w:name w:val="Body Text First Indent 2"/>
    <w:basedOn w:val="27"/>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basedOn w:val="71"/>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Normal]"/>
    <w:autoRedefine/>
    <w:qFormat/>
    <w:uiPriority w:val="99"/>
    <w:rPr>
      <w:rFonts w:ascii="宋体" w:hAnsi="宋体" w:eastAsia="宋体" w:cs="Times New Roman"/>
      <w:sz w:val="24"/>
      <w:szCs w:val="22"/>
      <w:lang w:val="zh-CN"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2"/>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9"/>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2"/>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next w:val="14"/>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7"/>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9"/>
    <w:autoRedefine/>
    <w:qFormat/>
    <w:uiPriority w:val="0"/>
    <w:rPr>
      <w:rFonts w:ascii="黑体" w:hAnsi="Courier New" w:eastAsia="黑体"/>
    </w:rPr>
  </w:style>
  <w:style w:type="character" w:customStyle="1" w:styleId="304">
    <w:name w:val="正文文本 2 字符1"/>
    <w:link w:val="58"/>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40"/>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3"/>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autoRedefine/>
    <w:qFormat/>
    <w:uiPriority w:val="99"/>
    <w:rPr>
      <w:kern w:val="2"/>
      <w:sz w:val="21"/>
      <w:szCs w:val="24"/>
    </w:rPr>
  </w:style>
  <w:style w:type="character" w:customStyle="1" w:styleId="347">
    <w:name w:val="签名 字符"/>
    <w:link w:val="45"/>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3"/>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4"/>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41"/>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jd-正文1"/>
    <w:basedOn w:val="1"/>
    <w:autoRedefine/>
    <w:qFormat/>
    <w:uiPriority w:val="0"/>
    <w:pPr>
      <w:widowControl/>
      <w:adjustRightInd/>
      <w:spacing w:line="360" w:lineRule="auto"/>
      <w:ind w:firstLine="482" w:firstLineChars="200"/>
    </w:pPr>
    <w:rPr>
      <w:rFonts w:ascii="宋体" w:hAnsi="宋体" w:cs="宋体"/>
      <w:sz w:val="24"/>
      <w:szCs w:val="20"/>
    </w:rPr>
  </w:style>
  <w:style w:type="paragraph" w:customStyle="1" w:styleId="968">
    <w:name w:val="纯文本3"/>
    <w:basedOn w:val="1"/>
    <w:autoRedefine/>
    <w:qFormat/>
    <w:uiPriority w:val="99"/>
    <w:pPr>
      <w:adjustRightInd/>
      <w:snapToGrid w:val="0"/>
      <w:jc w:val="left"/>
    </w:pPr>
    <w:rPr>
      <w:rFonts w:ascii="Century Gothic" w:hAnsi="楷体_GB2312" w:eastAsia="Times New Roman" w:cs="Century Gothic"/>
    </w:rPr>
  </w:style>
  <w:style w:type="paragraph" w:customStyle="1" w:styleId="969">
    <w:name w:val="正文 仿宋"/>
    <w:basedOn w:val="1"/>
    <w:autoRedefine/>
    <w:qFormat/>
    <w:uiPriority w:val="0"/>
    <w:pPr>
      <w:spacing w:line="360" w:lineRule="auto"/>
      <w:ind w:firstLine="200" w:firstLineChars="200"/>
      <w:contextualSpacing/>
    </w:pPr>
    <w:rPr>
      <w:rFonts w:eastAsia="仿宋_GB2312"/>
      <w:sz w:val="28"/>
      <w:szCs w:val="20"/>
    </w:rPr>
  </w:style>
  <w:style w:type="paragraph" w:customStyle="1" w:styleId="970">
    <w:name w:val="UserStyle_0"/>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971">
    <w:name w:val="正文文本首行缩进 21"/>
    <w:basedOn w:val="27"/>
    <w:autoRedefine/>
    <w:qFormat/>
    <w:uiPriority w:val="99"/>
    <w:pPr>
      <w:spacing w:line="200" w:lineRule="atLeast"/>
      <w:ind w:firstLine="420"/>
    </w:pPr>
    <w:rPr>
      <w:rFonts w:hAnsi="Courier New"/>
      <w:spacing w:val="-4"/>
      <w:sz w:val="18"/>
    </w:rPr>
  </w:style>
  <w:style w:type="paragraph" w:customStyle="1" w:styleId="972">
    <w:name w:val="Other|1"/>
    <w:basedOn w:val="1"/>
    <w:autoRedefine/>
    <w:qFormat/>
    <w:uiPriority w:val="0"/>
    <w:pPr>
      <w:spacing w:line="434" w:lineRule="auto"/>
      <w:ind w:firstLine="400"/>
    </w:pPr>
    <w:rPr>
      <w:rFonts w:ascii="宋体" w:hAnsi="宋体" w:cs="宋体"/>
      <w:sz w:val="20"/>
      <w:szCs w:val="20"/>
      <w:lang w:val="zh-TW" w:eastAsia="zh-TW" w:bidi="zh-TW"/>
    </w:rPr>
  </w:style>
  <w:style w:type="paragraph" w:customStyle="1" w:styleId="973">
    <w:name w:val="图名"/>
    <w:next w:val="1"/>
    <w:autoRedefine/>
    <w:qFormat/>
    <w:uiPriority w:val="1"/>
    <w:pPr>
      <w:spacing w:line="360" w:lineRule="auto"/>
      <w:jc w:val="center"/>
    </w:pPr>
    <w:rPr>
      <w:rFonts w:ascii="宋体" w:hAnsi="宋体" w:eastAsia="宋体" w:cs="宋体"/>
      <w:b/>
      <w:color w:val="000000"/>
      <w:sz w:val="28"/>
      <w:szCs w:val="28"/>
      <w:lang w:val="en-US" w:eastAsia="zh-CN" w:bidi="ar-SA"/>
    </w:rPr>
  </w:style>
  <w:style w:type="paragraph" w:customStyle="1" w:styleId="974">
    <w:name w:val="公文标1级"/>
    <w:basedOn w:val="355"/>
    <w:autoRedefine/>
    <w:qFormat/>
    <w:uiPriority w:val="0"/>
    <w:rPr>
      <w:rFonts w:ascii="黑体" w:hAns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6592</Words>
  <Characters>37581</Characters>
  <Lines>313</Lines>
  <Paragraphs>88</Paragraphs>
  <TotalTime>8</TotalTime>
  <ScaleCrop>false</ScaleCrop>
  <LinksUpToDate>false</LinksUpToDate>
  <CharactersWithSpaces>44085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金佳霖</cp:lastModifiedBy>
  <cp:lastPrinted>2023-06-28T23:27:00Z</cp:lastPrinted>
  <dcterms:modified xsi:type="dcterms:W3CDTF">2024-05-20T08:58:09Z</dcterms:modified>
  <dc:title>杭州市市民卡扩大发卡工程</dc:title>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CF4E9F275ADE4AE19A754C9A9115F334_13</vt:lpwstr>
  </property>
</Properties>
</file>