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adjustRightInd/>
        <w:spacing w:line="360" w:lineRule="auto"/>
        <w:jc w:val="both"/>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hint="eastAsia" w:ascii="宋体" w:hAnsi="宋体" w:cs="宋体"/>
          <w:color w:val="auto"/>
          <w:sz w:val="52"/>
          <w:szCs w:val="52"/>
          <w:highlight w:val="none"/>
          <w:lang w:eastAsia="zh-CN"/>
        </w:rPr>
      </w:pPr>
      <w:r>
        <w:rPr>
          <w:rFonts w:hint="eastAsia" w:ascii="宋体" w:hAnsi="宋体" w:cs="宋体"/>
          <w:color w:val="auto"/>
          <w:sz w:val="52"/>
          <w:szCs w:val="52"/>
          <w:highlight w:val="none"/>
          <w:lang w:eastAsia="zh-CN"/>
        </w:rPr>
        <w:t>消费投诉积案动态清零服务外包项目</w:t>
      </w:r>
    </w:p>
    <w:p>
      <w:pPr>
        <w:adjustRightInd/>
        <w:spacing w:line="360" w:lineRule="auto"/>
        <w:jc w:val="center"/>
        <w:rPr>
          <w:rFonts w:hint="eastAsia" w:ascii="宋体" w:hAnsi="宋体" w:cs="宋体"/>
          <w:color w:val="auto"/>
          <w:sz w:val="48"/>
          <w:szCs w:val="48"/>
          <w:highlight w:val="none"/>
        </w:rPr>
      </w:pP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HZZR-F230422N</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杭州市余杭区市场监督管理局</w:t>
      </w:r>
    </w:p>
    <w:p>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杭州中瑞招标代理有限公司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二〇二三年</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十二</w:t>
      </w:r>
      <w:r>
        <w:rPr>
          <w:rFonts w:hint="eastAsia" w:ascii="宋体" w:hAnsi="宋体" w:cs="宋体"/>
          <w:bCs/>
          <w:color w:val="auto"/>
          <w:sz w:val="32"/>
          <w:szCs w:val="32"/>
          <w:highlight w:val="none"/>
        </w:rPr>
        <w:t>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637"/>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消费投诉积案动态清零服务外包项目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9"/>
          <w:rFonts w:hint="eastAsia" w:ascii="宋体" w:hAnsi="宋体" w:eastAsia="宋体" w:cs="宋体"/>
          <w:snapToGrid/>
          <w:color w:val="auto"/>
          <w:kern w:val="2"/>
          <w:sz w:val="24"/>
          <w:szCs w:val="24"/>
          <w:highlight w:val="none"/>
        </w:rPr>
        <w:t>https://www.zcygov.cn/）获取（下载）招标文件，并于202</w:t>
      </w:r>
      <w:r>
        <w:rPr>
          <w:rStyle w:val="79"/>
          <w:rFonts w:hint="eastAsia" w:ascii="宋体" w:hAnsi="宋体" w:cs="宋体"/>
          <w:snapToGrid/>
          <w:color w:val="auto"/>
          <w:kern w:val="2"/>
          <w:sz w:val="24"/>
          <w:szCs w:val="24"/>
          <w:highlight w:val="none"/>
          <w:lang w:val="en-US" w:eastAsia="zh-CN"/>
        </w:rPr>
        <w:t>3</w:t>
      </w:r>
      <w:r>
        <w:rPr>
          <w:rStyle w:val="79"/>
          <w:rFonts w:hint="eastAsia" w:ascii="宋体" w:hAnsi="宋体" w:eastAsia="宋体" w:cs="宋体"/>
          <w:snapToGrid/>
          <w:color w:val="auto"/>
          <w:kern w:val="2"/>
          <w:sz w:val="24"/>
          <w:szCs w:val="24"/>
          <w:highlight w:val="none"/>
        </w:rPr>
        <w:t>年</w:t>
      </w:r>
      <w:r>
        <w:rPr>
          <w:rStyle w:val="79"/>
          <w:rFonts w:hint="eastAsia" w:ascii="宋体" w:hAnsi="宋体" w:cs="宋体"/>
          <w:snapToGrid/>
          <w:color w:val="auto"/>
          <w:kern w:val="2"/>
          <w:sz w:val="24"/>
          <w:szCs w:val="24"/>
          <w:highlight w:val="none"/>
          <w:lang w:val="en-US" w:eastAsia="zh-CN"/>
        </w:rPr>
        <w:t>06</w:t>
      </w:r>
      <w:r>
        <w:rPr>
          <w:rStyle w:val="79"/>
          <w:rFonts w:hint="eastAsia" w:ascii="宋体" w:hAnsi="宋体" w:eastAsia="宋体" w:cs="宋体"/>
          <w:snapToGrid/>
          <w:color w:val="auto"/>
          <w:kern w:val="2"/>
          <w:sz w:val="24"/>
          <w:szCs w:val="24"/>
          <w:highlight w:val="none"/>
        </w:rPr>
        <w:t>月</w:t>
      </w:r>
      <w:r>
        <w:rPr>
          <w:rStyle w:val="79"/>
          <w:rFonts w:hint="eastAsia" w:ascii="宋体" w:hAnsi="宋体" w:cs="宋体"/>
          <w:snapToGrid/>
          <w:color w:val="auto"/>
          <w:kern w:val="2"/>
          <w:sz w:val="24"/>
          <w:szCs w:val="24"/>
          <w:highlight w:val="none"/>
          <w:lang w:val="en-US" w:eastAsia="zh-CN"/>
        </w:rPr>
        <w:t>02</w:t>
      </w:r>
      <w:r>
        <w:rPr>
          <w:rStyle w:val="79"/>
          <w:rFonts w:hint="eastAsia" w:ascii="宋体" w:hAnsi="宋体" w:eastAsia="宋体" w:cs="宋体"/>
          <w:snapToGrid/>
          <w:color w:val="auto"/>
          <w:kern w:val="2"/>
          <w:sz w:val="24"/>
          <w:szCs w:val="24"/>
          <w:highlight w:val="none"/>
        </w:rPr>
        <w:t>日</w:t>
      </w:r>
      <w:r>
        <w:rPr>
          <w:rStyle w:val="79"/>
          <w:rFonts w:hint="eastAsia" w:ascii="宋体" w:hAnsi="宋体" w:cs="宋体"/>
          <w:snapToGrid/>
          <w:color w:val="auto"/>
          <w:kern w:val="2"/>
          <w:sz w:val="24"/>
          <w:szCs w:val="24"/>
          <w:highlight w:val="none"/>
          <w:lang w:val="en-US" w:eastAsia="zh-CN"/>
        </w:rPr>
        <w:t>14</w:t>
      </w:r>
      <w:r>
        <w:rPr>
          <w:rStyle w:val="79"/>
          <w:rFonts w:hint="eastAsia" w:ascii="宋体" w:hAnsi="宋体" w:eastAsia="宋体" w:cs="宋体"/>
          <w:snapToGrid/>
          <w:color w:val="auto"/>
          <w:kern w:val="2"/>
          <w:sz w:val="24"/>
          <w:szCs w:val="24"/>
          <w:highlight w:val="none"/>
        </w:rPr>
        <w:t>点</w:t>
      </w:r>
      <w:r>
        <w:rPr>
          <w:rStyle w:val="79"/>
          <w:rFonts w:hint="eastAsia" w:ascii="宋体" w:hAnsi="宋体" w:cs="宋体"/>
          <w:snapToGrid/>
          <w:color w:val="auto"/>
          <w:kern w:val="2"/>
          <w:sz w:val="24"/>
          <w:szCs w:val="24"/>
          <w:highlight w:val="none"/>
          <w:lang w:val="en-US" w:eastAsia="zh-CN"/>
        </w:rPr>
        <w:t>00</w:t>
      </w:r>
      <w:r>
        <w:rPr>
          <w:rStyle w:val="79"/>
          <w:rFonts w:hint="eastAsia" w:ascii="宋体" w:hAnsi="宋体" w:eastAsia="宋体" w:cs="宋体"/>
          <w:snapToGrid/>
          <w:color w:val="auto"/>
          <w:kern w:val="2"/>
          <w:sz w:val="24"/>
          <w:szCs w:val="24"/>
          <w:highlight w:val="none"/>
        </w:rPr>
        <w:t>分</w:t>
      </w:r>
      <w:r>
        <w:rPr>
          <w:rStyle w:val="79"/>
          <w:rFonts w:hint="eastAsia" w:ascii="宋体" w:hAnsi="宋体" w:eastAsia="宋体" w:cs="宋体"/>
          <w:bCs/>
          <w:snapToGrid/>
          <w:color w:val="auto"/>
          <w:kern w:val="2"/>
          <w:sz w:val="24"/>
          <w:szCs w:val="24"/>
          <w:highlight w:val="none"/>
        </w:rPr>
        <w:t>00秒</w:t>
      </w:r>
      <w:r>
        <w:rPr>
          <w:rStyle w:val="79"/>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HZZR-F230422N</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消费投诉积案动态清零服务外包项目</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75</w:t>
      </w:r>
      <w:r>
        <w:rPr>
          <w:rFonts w:hint="eastAsia" w:ascii="宋体" w:hAnsi="宋体" w:cs="宋体"/>
          <w:b/>
          <w:color w:val="auto"/>
          <w:sz w:val="24"/>
          <w:highlight w:val="none"/>
        </w:rPr>
        <w:t>0000</w:t>
      </w:r>
      <w:r>
        <w:rPr>
          <w:rFonts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75</w:t>
      </w:r>
      <w:r>
        <w:rPr>
          <w:rFonts w:hint="eastAsia" w:ascii="宋体" w:hAnsi="宋体" w:cs="宋体"/>
          <w:b/>
          <w:color w:val="auto"/>
          <w:sz w:val="24"/>
          <w:highlight w:val="none"/>
        </w:rPr>
        <w:t>0000</w:t>
      </w:r>
      <w:r>
        <w:rPr>
          <w:rFonts w:ascii="宋体" w:hAnsi="宋体" w:cs="宋体"/>
          <w:color w:val="auto"/>
          <w:sz w:val="24"/>
          <w:highlight w:val="none"/>
        </w:rPr>
        <w:t xml:space="preserve"> </w:t>
      </w:r>
    </w:p>
    <w:p>
      <w:pPr>
        <w:pStyle w:val="6"/>
        <w:spacing w:line="360" w:lineRule="auto"/>
        <w:ind w:firstLine="480"/>
        <w:rPr>
          <w:rFonts w:hint="eastAsia" w:hAnsi="宋体" w:eastAsia="宋体" w:cs="宋体"/>
          <w:bCs/>
          <w:snapToGrid/>
          <w:color w:val="auto"/>
          <w:kern w:val="2"/>
          <w:sz w:val="24"/>
          <w:szCs w:val="24"/>
          <w:highlight w:val="none"/>
          <w:lang w:val="en-US" w:eastAsia="zh-CN"/>
        </w:rPr>
      </w:pPr>
      <w:r>
        <w:rPr>
          <w:rFonts w:hint="eastAsia" w:hAnsi="宋体" w:cs="宋体"/>
          <w:b/>
          <w:color w:val="auto"/>
          <w:sz w:val="24"/>
          <w:highlight w:val="none"/>
        </w:rPr>
        <w:t>采购需求：</w:t>
      </w:r>
      <w:r>
        <w:rPr>
          <w:rFonts w:hint="eastAsia" w:hAnsi="宋体" w:cs="宋体"/>
          <w:b w:val="0"/>
          <w:bCs/>
          <w:color w:val="auto"/>
          <w:sz w:val="24"/>
          <w:highlight w:val="none"/>
        </w:rPr>
        <w:t>对消费投诉积案进行辅助处理量，对消费投诉源头进行有针对性指导，增强企业消费投诉自行处理能力</w:t>
      </w:r>
      <w:r>
        <w:rPr>
          <w:rFonts w:hint="eastAsia" w:hAnsi="宋体" w:cs="宋体"/>
          <w:b w:val="0"/>
          <w:bCs/>
          <w:color w:val="auto"/>
          <w:sz w:val="24"/>
          <w:highlight w:val="none"/>
          <w:lang w:eastAsia="zh-CN"/>
        </w:rPr>
        <w:t>。</w:t>
      </w:r>
    </w:p>
    <w:p>
      <w:pPr>
        <w:pStyle w:val="6"/>
        <w:spacing w:line="360" w:lineRule="auto"/>
        <w:ind w:firstLine="480"/>
        <w:rPr>
          <w:rFonts w:asciiTheme="minorEastAsia" w:hAnsiTheme="minorEastAsia" w:eastAsiaTheme="minorEastAsia"/>
          <w:snapToGrid/>
          <w:color w:val="auto"/>
          <w:kern w:val="2"/>
          <w:sz w:val="24"/>
          <w:szCs w:val="24"/>
          <w:highlight w:val="none"/>
        </w:rPr>
      </w:pPr>
      <w:r>
        <w:rPr>
          <w:rFonts w:hint="eastAsia" w:hAnsi="宋体" w:cs="宋体"/>
          <w:bCs/>
          <w:snapToGrid/>
          <w:color w:val="auto"/>
          <w:kern w:val="2"/>
          <w:sz w:val="24"/>
          <w:szCs w:val="24"/>
          <w:highlight w:val="none"/>
        </w:rPr>
        <w:t>备注：</w:t>
      </w:r>
      <w:r>
        <w:rPr>
          <w:rFonts w:hint="eastAsia" w:asciiTheme="minorEastAsia" w:hAnsiTheme="minorEastAsia" w:eastAsiaTheme="minorEastAsia"/>
          <w:snapToGrid/>
          <w:color w:val="auto"/>
          <w:kern w:val="2"/>
          <w:sz w:val="24"/>
          <w:szCs w:val="24"/>
          <w:highlight w:val="none"/>
        </w:rPr>
        <w:t>详见招标文件第三部分采购需求。</w:t>
      </w:r>
    </w:p>
    <w:p>
      <w:pPr>
        <w:pStyle w:val="6"/>
        <w:spacing w:line="360" w:lineRule="auto"/>
        <w:ind w:firstLine="480"/>
        <w:rPr>
          <w:rFonts w:hAnsi="宋体" w:cs="宋体"/>
          <w:b w:val="0"/>
          <w:bCs/>
          <w:color w:val="auto"/>
          <w:sz w:val="24"/>
          <w:highlight w:val="none"/>
        </w:rPr>
      </w:pPr>
      <w:r>
        <w:rPr>
          <w:rFonts w:hint="eastAsia" w:hAnsi="宋体" w:cs="宋体"/>
          <w:b/>
          <w:color w:val="auto"/>
          <w:sz w:val="24"/>
          <w:highlight w:val="none"/>
        </w:rPr>
        <w:t>合同履约期限：</w:t>
      </w:r>
      <w:r>
        <w:rPr>
          <w:rFonts w:hint="eastAsia" w:hAnsi="宋体" w:cs="宋体"/>
          <w:b w:val="0"/>
          <w:bCs/>
          <w:color w:val="auto"/>
          <w:sz w:val="24"/>
          <w:highlight w:val="none"/>
          <w:lang w:val="en-US" w:eastAsia="zh-CN"/>
        </w:rPr>
        <w:t>12个月</w:t>
      </w:r>
      <w:r>
        <w:rPr>
          <w:rFonts w:hint="eastAsia" w:hAnsi="宋体" w:cs="宋体"/>
          <w:b w:val="0"/>
          <w:bCs/>
          <w:color w:val="auto"/>
          <w:sz w:val="24"/>
          <w:highlight w:val="none"/>
        </w:rPr>
        <w:t>。</w:t>
      </w:r>
    </w:p>
    <w:p>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2023年</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02</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2023年</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2023年</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五、采购意向公开链接</w:t>
      </w:r>
    </w:p>
    <w:p>
      <w:pPr>
        <w:spacing w:line="360" w:lineRule="auto"/>
        <w:rPr>
          <w:rFonts w:ascii="宋体" w:hAnsi="宋体" w:cs="宋体"/>
          <w:b/>
          <w:color w:val="auto"/>
          <w:sz w:val="24"/>
          <w:highlight w:val="none"/>
        </w:rPr>
      </w:pPr>
      <w:r>
        <w:rPr>
          <w:rFonts w:hint="eastAsia" w:ascii="宋体" w:hAnsi="宋体" w:cs="宋体"/>
          <w:color w:val="auto"/>
          <w:sz w:val="24"/>
          <w:highlight w:val="none"/>
        </w:rPr>
        <w:t>https://zfcg.czt.zj.gov.cn/innerUsed_noticeDetails/index.html?noticeId=9221438&amp;utm=web-government-front.49399a16.0.0.d06b7110a2a111ed91f7032723140903</w:t>
      </w:r>
      <w:r>
        <w:rPr>
          <w:rFonts w:hint="eastAsia" w:ascii="宋体" w:hAnsi="宋体" w:cs="宋体"/>
          <w:b/>
          <w:color w:val="auto"/>
          <w:sz w:val="24"/>
          <w:highlight w:val="none"/>
        </w:rPr>
        <w:t xml:space="preserve">六、公告期限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widowControl/>
        <w:snapToGrid w:val="0"/>
        <w:spacing w:line="360" w:lineRule="auto"/>
        <w:ind w:firstLine="480" w:firstLineChars="20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名称：</w:t>
      </w:r>
      <w:r>
        <w:rPr>
          <w:rFonts w:hint="eastAsia" w:ascii="宋体" w:hAnsi="宋体" w:eastAsia="宋体" w:cs="宋体"/>
          <w:color w:val="auto"/>
          <w:kern w:val="0"/>
          <w:sz w:val="24"/>
          <w:highlight w:val="none"/>
          <w:lang w:eastAsia="zh-CN"/>
        </w:rPr>
        <w:t>杭州市余杭区市场监督管理局</w:t>
      </w:r>
    </w:p>
    <w:p>
      <w:pPr>
        <w:widowControl/>
        <w:snapToGrid w:val="0"/>
        <w:spacing w:line="360" w:lineRule="auto"/>
        <w:ind w:firstLine="480" w:firstLineChars="20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 w:val="24"/>
          <w:highlight w:val="none"/>
          <w:lang w:eastAsia="zh-CN"/>
        </w:rPr>
        <w:t>杭州市余杭区五常街道中国电信浙江创新产业园1幢北楼4楼</w:t>
      </w:r>
    </w:p>
    <w:p>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项目联系人：</w:t>
      </w:r>
      <w:r>
        <w:rPr>
          <w:rFonts w:hint="eastAsia" w:ascii="宋体" w:hAnsi="宋体" w:eastAsia="宋体" w:cs="宋体"/>
          <w:color w:val="auto"/>
          <w:kern w:val="0"/>
          <w:sz w:val="24"/>
          <w:highlight w:val="none"/>
          <w:lang w:val="en-US" w:eastAsia="zh-CN"/>
        </w:rPr>
        <w:t>陈娅菁</w:t>
      </w:r>
      <w:r>
        <w:rPr>
          <w:rFonts w:hint="eastAsia" w:ascii="宋体" w:hAnsi="宋体" w:eastAsia="宋体" w:cs="宋体"/>
          <w:color w:val="auto"/>
          <w:kern w:val="0"/>
          <w:sz w:val="24"/>
          <w:highlight w:val="none"/>
        </w:rPr>
        <w:t xml:space="preserve">  </w:t>
      </w:r>
    </w:p>
    <w:p>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项目联系方式：0571-89392127</w:t>
      </w:r>
    </w:p>
    <w:p>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质疑联系人：</w:t>
      </w:r>
      <w:r>
        <w:rPr>
          <w:rFonts w:hint="eastAsia" w:ascii="宋体" w:hAnsi="宋体" w:eastAsia="宋体" w:cs="宋体"/>
          <w:color w:val="auto"/>
          <w:kern w:val="0"/>
          <w:sz w:val="24"/>
          <w:highlight w:val="none"/>
          <w:lang w:val="en-US" w:eastAsia="zh-CN"/>
        </w:rPr>
        <w:t>胡凯凯</w:t>
      </w:r>
      <w:r>
        <w:rPr>
          <w:rFonts w:hint="eastAsia" w:ascii="宋体" w:hAnsi="宋体" w:eastAsia="宋体" w:cs="宋体"/>
          <w:color w:val="auto"/>
          <w:kern w:val="0"/>
          <w:sz w:val="24"/>
          <w:highlight w:val="none"/>
        </w:rPr>
        <w:t xml:space="preserve"> </w:t>
      </w:r>
    </w:p>
    <w:p>
      <w:pPr>
        <w:widowControl/>
        <w:snapToGrid w:val="0"/>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质疑联系方式：0571-</w:t>
      </w:r>
      <w:r>
        <w:rPr>
          <w:rFonts w:hint="eastAsia" w:ascii="宋体" w:hAnsi="宋体" w:eastAsia="宋体" w:cs="宋体"/>
          <w:color w:val="auto"/>
          <w:kern w:val="0"/>
          <w:sz w:val="24"/>
          <w:highlight w:val="none"/>
          <w:lang w:val="en-US" w:eastAsia="zh-CN"/>
        </w:rPr>
        <w:t>88729063</w:t>
      </w:r>
    </w:p>
    <w:p>
      <w:pPr>
        <w:numPr>
          <w:ilvl w:val="0"/>
          <w:numId w:val="1"/>
        </w:numPr>
        <w:spacing w:line="360" w:lineRule="auto"/>
        <w:rPr>
          <w:rFonts w:ascii="宋体" w:hAnsi="宋体" w:cs="宋体"/>
          <w:color w:val="auto"/>
          <w:sz w:val="24"/>
          <w:highlight w:val="none"/>
        </w:rPr>
      </w:pPr>
      <w:r>
        <w:rPr>
          <w:rFonts w:hint="eastAsia" w:ascii="宋体" w:hAnsi="宋体" w:cs="宋体"/>
          <w:color w:val="auto"/>
          <w:sz w:val="24"/>
          <w:highlight w:val="none"/>
        </w:rPr>
        <w:t xml:space="preserve">采购代理机构信息           </w:t>
      </w:r>
    </w:p>
    <w:p>
      <w:pPr>
        <w:spacing w:line="360" w:lineRule="auto"/>
        <w:ind w:left="480"/>
        <w:rPr>
          <w:rFonts w:ascii="宋体" w:hAnsi="宋体" w:cs="宋体"/>
          <w:color w:val="auto"/>
          <w:sz w:val="24"/>
          <w:highlight w:val="none"/>
        </w:rPr>
      </w:pPr>
      <w:r>
        <w:rPr>
          <w:rFonts w:hint="eastAsia" w:ascii="宋体" w:hAnsi="宋体" w:cs="宋体"/>
          <w:color w:val="auto"/>
          <w:sz w:val="24"/>
          <w:highlight w:val="none"/>
        </w:rPr>
        <w:t>名称：杭州中瑞招标代理有限公司</w:t>
      </w:r>
    </w:p>
    <w:p>
      <w:pPr>
        <w:spacing w:line="360" w:lineRule="auto"/>
        <w:ind w:left="480"/>
        <w:rPr>
          <w:rFonts w:ascii="宋体" w:hAnsi="宋体" w:cs="宋体"/>
          <w:color w:val="auto"/>
          <w:sz w:val="24"/>
          <w:highlight w:val="none"/>
        </w:rPr>
      </w:pPr>
      <w:r>
        <w:rPr>
          <w:rFonts w:hint="eastAsia" w:ascii="宋体" w:hAnsi="宋体" w:cs="宋体"/>
          <w:color w:val="auto"/>
          <w:sz w:val="24"/>
          <w:highlight w:val="none"/>
        </w:rPr>
        <w:t>地址：杭州市临平区南苑街道河南埭路108号临平新天地3号楼3楼</w:t>
      </w:r>
    </w:p>
    <w:p>
      <w:pPr>
        <w:spacing w:line="360" w:lineRule="auto"/>
        <w:ind w:left="480"/>
        <w:rPr>
          <w:rFonts w:ascii="宋体" w:hAnsi="宋体" w:cs="宋体"/>
          <w:color w:val="auto"/>
          <w:sz w:val="24"/>
          <w:highlight w:val="none"/>
        </w:rPr>
      </w:pPr>
      <w:r>
        <w:rPr>
          <w:rFonts w:hint="eastAsia" w:ascii="宋体" w:hAnsi="宋体" w:cs="宋体"/>
          <w:color w:val="auto"/>
          <w:sz w:val="24"/>
          <w:highlight w:val="none"/>
        </w:rPr>
        <w:t>项目联系人：金佳霖</w:t>
      </w:r>
      <w:r>
        <w:rPr>
          <w:rFonts w:hint="eastAsia" w:ascii="宋体" w:hAnsi="宋体" w:cs="宋体"/>
          <w:color w:val="auto"/>
          <w:sz w:val="24"/>
          <w:highlight w:val="none"/>
        </w:rPr>
        <w:tab/>
      </w:r>
    </w:p>
    <w:p>
      <w:pPr>
        <w:spacing w:line="360" w:lineRule="auto"/>
        <w:ind w:left="480"/>
        <w:rPr>
          <w:rFonts w:ascii="宋体" w:hAnsi="宋体" w:cs="宋体"/>
          <w:color w:val="auto"/>
          <w:sz w:val="24"/>
          <w:highlight w:val="none"/>
        </w:rPr>
      </w:pPr>
      <w:r>
        <w:rPr>
          <w:rFonts w:hint="eastAsia" w:ascii="宋体" w:hAnsi="宋体" w:cs="宋体"/>
          <w:color w:val="auto"/>
          <w:sz w:val="24"/>
          <w:highlight w:val="none"/>
        </w:rPr>
        <w:t>项目联系方式：0571-86111691</w:t>
      </w:r>
    </w:p>
    <w:p>
      <w:pPr>
        <w:spacing w:line="360" w:lineRule="auto"/>
        <w:ind w:left="480"/>
        <w:rPr>
          <w:rFonts w:ascii="宋体" w:hAnsi="宋体" w:cs="宋体"/>
          <w:color w:val="auto"/>
          <w:sz w:val="24"/>
          <w:highlight w:val="none"/>
        </w:rPr>
      </w:pPr>
      <w:r>
        <w:rPr>
          <w:rFonts w:hint="eastAsia" w:ascii="宋体" w:hAnsi="宋体" w:cs="宋体"/>
          <w:color w:val="auto"/>
          <w:sz w:val="24"/>
          <w:highlight w:val="none"/>
        </w:rPr>
        <w:t>质疑联系人：秦沙金</w:t>
      </w:r>
    </w:p>
    <w:p>
      <w:pPr>
        <w:spacing w:line="360" w:lineRule="auto"/>
        <w:ind w:left="480"/>
        <w:rPr>
          <w:rFonts w:ascii="宋体" w:hAnsi="宋体" w:cs="宋体"/>
          <w:color w:val="auto"/>
          <w:sz w:val="24"/>
          <w:highlight w:val="none"/>
        </w:rPr>
      </w:pPr>
      <w:r>
        <w:rPr>
          <w:rFonts w:hint="eastAsia" w:ascii="宋体" w:hAnsi="宋体" w:cs="宋体"/>
          <w:color w:val="auto"/>
          <w:sz w:val="24"/>
          <w:highlight w:val="none"/>
        </w:rPr>
        <w:t xml:space="preserve">质疑联系方式：0571-86111691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pPr>
        <w:numPr>
          <w:ilvl w:val="0"/>
          <w:numId w:val="0"/>
        </w:numPr>
        <w:spacing w:line="360" w:lineRule="auto"/>
        <w:ind w:left="48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名称：杭州市余杭区财政局 　　　　　　　　　　　</w:t>
      </w:r>
    </w:p>
    <w:p>
      <w:pPr>
        <w:spacing w:line="360" w:lineRule="auto"/>
        <w:ind w:firstLine="480" w:firstLineChars="200"/>
        <w:rPr>
          <w:rFonts w:hint="eastAsia" w:ascii="宋体" w:hAnsi="宋体" w:eastAsia="宋体" w:cs="宋体"/>
          <w:color w:val="auto"/>
          <w:sz w:val="24"/>
          <w:highlight w:val="none"/>
        </w:rPr>
      </w:pPr>
      <w:bookmarkStart w:id="11" w:name="_Toc76824066"/>
      <w:r>
        <w:rPr>
          <w:rFonts w:hint="eastAsia" w:ascii="宋体" w:hAnsi="宋体" w:eastAsia="宋体" w:cs="宋体"/>
          <w:color w:val="auto"/>
          <w:sz w:val="24"/>
          <w:highlight w:val="none"/>
        </w:rPr>
        <w:t>地址：杭州市余杭区仓前街道文一西路1500号</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号楼</w:t>
      </w:r>
      <w:bookmarkEnd w:id="11"/>
      <w:bookmarkStart w:id="518" w:name="_GoBack"/>
      <w:bookmarkEnd w:id="518"/>
      <w:r>
        <w:rPr>
          <w:rFonts w:hint="eastAsia" w:ascii="宋体" w:hAnsi="宋体" w:eastAsia="宋体" w:cs="宋体"/>
          <w:color w:val="auto"/>
          <w:sz w:val="24"/>
          <w:highlight w:val="none"/>
          <w:lang w:val="en-US" w:eastAsia="zh-CN"/>
        </w:rPr>
        <w:t>12楼</w:t>
      </w:r>
      <w:r>
        <w:rPr>
          <w:rFonts w:hint="eastAsia" w:ascii="宋体" w:hAnsi="宋体" w:eastAsia="宋体" w:cs="宋体"/>
          <w:color w:val="auto"/>
          <w:sz w:val="24"/>
          <w:highlight w:val="none"/>
        </w:rPr>
        <w:t> 　　　　　　　　　　　</w:t>
      </w:r>
    </w:p>
    <w:p>
      <w:pPr>
        <w:spacing w:line="360" w:lineRule="auto"/>
        <w:ind w:firstLine="480" w:firstLineChars="200"/>
        <w:rPr>
          <w:rFonts w:hint="eastAsia" w:ascii="宋体" w:hAnsi="宋体" w:eastAsia="宋体" w:cs="宋体"/>
          <w:color w:val="auto"/>
          <w:sz w:val="24"/>
          <w:highlight w:val="none"/>
        </w:rPr>
      </w:pPr>
      <w:bookmarkStart w:id="12" w:name="_Toc76824067"/>
      <w:r>
        <w:rPr>
          <w:rFonts w:hint="eastAsia" w:ascii="宋体" w:hAnsi="宋体" w:eastAsia="宋体" w:cs="宋体"/>
          <w:color w:val="auto"/>
          <w:sz w:val="24"/>
          <w:highlight w:val="none"/>
        </w:rPr>
        <w:t>传真：/</w:t>
      </w:r>
      <w:bookmarkEnd w:id="12"/>
      <w:r>
        <w:rPr>
          <w:rFonts w:hint="eastAsia" w:ascii="宋体" w:hAnsi="宋体" w:eastAsia="宋体" w:cs="宋体"/>
          <w:color w:val="auto"/>
          <w:sz w:val="24"/>
          <w:highlight w:val="none"/>
        </w:rPr>
        <w:t>　   </w:t>
      </w:r>
    </w:p>
    <w:p>
      <w:pPr>
        <w:spacing w:line="360" w:lineRule="auto"/>
        <w:ind w:firstLine="480" w:firstLineChars="200"/>
        <w:rPr>
          <w:rFonts w:hint="eastAsia" w:ascii="宋体" w:hAnsi="宋体" w:eastAsia="宋体" w:cs="宋体"/>
          <w:color w:val="auto"/>
          <w:sz w:val="24"/>
          <w:highlight w:val="none"/>
        </w:rPr>
      </w:pPr>
      <w:bookmarkStart w:id="13" w:name="_Toc76824068"/>
      <w:r>
        <w:rPr>
          <w:rFonts w:hint="eastAsia" w:ascii="宋体" w:hAnsi="宋体" w:eastAsia="宋体" w:cs="宋体"/>
          <w:color w:val="auto"/>
          <w:sz w:val="24"/>
          <w:highlight w:val="none"/>
        </w:rPr>
        <w:t>联系人 ：杜国强</w:t>
      </w:r>
      <w:bookmarkEnd w:id="13"/>
      <w:r>
        <w:rPr>
          <w:rFonts w:hint="eastAsia" w:ascii="宋体" w:hAnsi="宋体" w:eastAsia="宋体" w:cs="宋体"/>
          <w:color w:val="auto"/>
          <w:sz w:val="24"/>
          <w:highlight w:val="non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监督投诉电话：0571-88728858</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lang w:eastAsia="zh-CN"/>
              </w:rPr>
              <w:t>消费投诉积案动态清零服务外包项目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lang w:eastAsia="zh-CN"/>
              </w:rPr>
              <w:t>其他未列明行业</w:t>
            </w:r>
            <w:r>
              <w:rPr>
                <w:rFonts w:hint="eastAsia" w:ascii="宋体" w:hAnsi="宋体" w:cs="宋体"/>
                <w:color w:val="auto"/>
                <w:kern w:val="0"/>
                <w:sz w:val="24"/>
                <w:highlight w:val="none"/>
              </w:rPr>
              <w:t>；</w:t>
            </w:r>
          </w:p>
          <w:p>
            <w:pPr>
              <w:pStyle w:val="4"/>
              <w:ind w:left="0" w:firstLine="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其他未列明行业中小企业划型标准：从业人员300人以下的为中小微型企业。其中，从业人员100人及以上的为中型企业;从业人员10人及以上的为小型企业;从业人员10人以下的为微型企业。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w:t>
            </w:r>
            <w:r>
              <w:rPr>
                <w:rFonts w:ascii="宋体" w:hAnsi="宋体" w:cs="宋体"/>
                <w:bCs/>
                <w:color w:val="auto"/>
                <w:kern w:val="0"/>
                <w:sz w:val="24"/>
                <w:highlight w:val="none"/>
                <w:lang w:val="zh-CN"/>
              </w:rPr>
              <w:t>1）在评标时安排每个投标人进行</w:t>
            </w:r>
            <w:r>
              <w:rPr>
                <w:rFonts w:hint="eastAsia" w:ascii="宋体" w:hAnsi="宋体" w:cs="宋体"/>
                <w:bCs/>
                <w:color w:val="auto"/>
                <w:kern w:val="0"/>
                <w:sz w:val="24"/>
                <w:highlight w:val="none"/>
                <w:lang w:val="zh-CN"/>
              </w:rPr>
              <w:t>功能</w:t>
            </w:r>
            <w:r>
              <w:rPr>
                <w:rFonts w:ascii="宋体" w:hAnsi="宋体" w:cs="宋体"/>
                <w:bCs/>
                <w:color w:val="auto"/>
                <w:kern w:val="0"/>
                <w:sz w:val="24"/>
                <w:highlight w:val="none"/>
                <w:lang w:val="zh-CN"/>
              </w:rPr>
              <w:t>演示。每个投标人时间不超过</w:t>
            </w:r>
            <w:r>
              <w:rPr>
                <w:rFonts w:hint="eastAsia" w:ascii="宋体" w:hAnsi="宋体" w:cs="宋体"/>
                <w:bCs/>
                <w:color w:val="auto"/>
                <w:kern w:val="0"/>
                <w:sz w:val="24"/>
                <w:highlight w:val="none"/>
                <w:u w:val="single"/>
                <w:lang w:val="en-US" w:eastAsia="zh-CN"/>
              </w:rPr>
              <w:t xml:space="preserve">   </w:t>
            </w:r>
            <w:r>
              <w:rPr>
                <w:rFonts w:ascii="宋体" w:hAnsi="宋体" w:cs="宋体"/>
                <w:bCs/>
                <w:color w:val="auto"/>
                <w:kern w:val="0"/>
                <w:sz w:val="24"/>
                <w:highlight w:val="none"/>
                <w:lang w:val="zh-CN"/>
              </w:rPr>
              <w:t>分钟，</w:t>
            </w:r>
            <w:r>
              <w:rPr>
                <w:rFonts w:hint="eastAsia" w:ascii="宋体" w:hAnsi="宋体" w:cs="宋体"/>
                <w:bCs/>
                <w:color w:val="auto"/>
                <w:kern w:val="0"/>
                <w:sz w:val="24"/>
                <w:highlight w:val="none"/>
                <w:lang w:val="zh-CN"/>
              </w:rPr>
              <w:t>提供录制功能演示U盘随备份文件一同邮寄至：</w:t>
            </w:r>
            <w:r>
              <w:rPr>
                <w:rFonts w:hint="eastAsia" w:ascii="宋体" w:hAnsi="宋体" w:cs="宋体"/>
                <w:bCs/>
                <w:color w:val="auto"/>
                <w:kern w:val="0"/>
                <w:sz w:val="24"/>
                <w:highlight w:val="none"/>
                <w:u w:val="single"/>
                <w:lang w:val="en-US" w:eastAsia="zh-CN"/>
              </w:rPr>
              <w:t xml:space="preserve">        </w:t>
            </w:r>
            <w:r>
              <w:rPr>
                <w:rFonts w:hint="eastAsia" w:ascii="宋体" w:hAnsi="宋体" w:cs="宋体"/>
                <w:bCs/>
                <w:color w:val="auto"/>
                <w:kern w:val="0"/>
                <w:sz w:val="24"/>
                <w:highlight w:val="none"/>
                <w:lang w:val="zh-CN"/>
              </w:rPr>
              <w:t>；联系人：</w:t>
            </w:r>
            <w:r>
              <w:rPr>
                <w:rFonts w:hint="eastAsia" w:ascii="宋体" w:hAnsi="宋体" w:cs="宋体"/>
                <w:bCs/>
                <w:color w:val="auto"/>
                <w:kern w:val="0"/>
                <w:sz w:val="24"/>
                <w:highlight w:val="none"/>
                <w:u w:val="single"/>
                <w:lang w:val="en-US" w:eastAsia="zh-CN"/>
              </w:rPr>
              <w:t xml:space="preserve">     </w:t>
            </w:r>
            <w:r>
              <w:rPr>
                <w:rFonts w:hint="eastAsia" w:ascii="宋体" w:hAnsi="宋体" w:cs="宋体"/>
                <w:bCs/>
                <w:color w:val="auto"/>
                <w:kern w:val="0"/>
                <w:sz w:val="24"/>
                <w:highlight w:val="none"/>
                <w:lang w:val="zh-CN"/>
              </w:rPr>
              <w:t>；电话：</w:t>
            </w:r>
            <w:r>
              <w:rPr>
                <w:rFonts w:hint="eastAsia" w:ascii="宋体" w:hAnsi="宋体" w:cs="宋体"/>
                <w:bCs/>
                <w:color w:val="auto"/>
                <w:kern w:val="0"/>
                <w:sz w:val="24"/>
                <w:highlight w:val="none"/>
                <w:u w:val="single"/>
                <w:lang w:val="en-US" w:eastAsia="zh-CN"/>
              </w:rPr>
              <w:t xml:space="preserve">       </w:t>
            </w:r>
            <w:r>
              <w:rPr>
                <w:rFonts w:ascii="宋体" w:hAnsi="宋体" w:cs="宋体"/>
                <w:bCs/>
                <w:color w:val="auto"/>
                <w:kern w:val="0"/>
                <w:sz w:val="24"/>
                <w:highlight w:val="none"/>
                <w:lang w:val="zh-CN"/>
              </w:rPr>
              <w:t>。</w:t>
            </w:r>
          </w:p>
          <w:p>
            <w:pPr>
              <w:snapToGrid w:val="0"/>
              <w:spacing w:line="360" w:lineRule="auto"/>
              <w:rPr>
                <w:rFonts w:ascii="宋体" w:hAnsi="宋体" w:cs="宋体"/>
                <w:b/>
                <w:color w:val="auto"/>
                <w:kern w:val="0"/>
                <w:sz w:val="24"/>
                <w:highlight w:val="none"/>
                <w:lang w:val="zh-CN"/>
              </w:rPr>
            </w:pPr>
            <w:r>
              <w:rPr>
                <w:rFonts w:hint="eastAsia" w:ascii="宋体" w:hAnsi="宋体" w:cs="宋体"/>
                <w:bCs/>
                <w:color w:val="auto"/>
                <w:kern w:val="0"/>
                <w:sz w:val="24"/>
                <w:highlight w:val="none"/>
                <w:lang w:val="zh-CN"/>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6"/>
              <w:spacing w:line="360" w:lineRule="auto"/>
              <w:rPr>
                <w:rFonts w:hAnsi="宋体" w:cs="宋体"/>
                <w:bCs/>
                <w:color w:val="auto"/>
                <w:sz w:val="24"/>
                <w:szCs w:val="24"/>
                <w:highlight w:val="none"/>
              </w:rPr>
            </w:pPr>
            <w:r>
              <w:rPr>
                <w:rFonts w:hint="eastAsia" w:hAnsi="宋体" w:cs="宋体"/>
                <w:bCs/>
                <w:color w:val="auto"/>
                <w:sz w:val="24"/>
                <w:szCs w:val="24"/>
                <w:highlight w:val="none"/>
              </w:rPr>
              <w:t>备份投标文件送达地点：杭州市临平区南苑街道河南埭路108号临平新天地3号楼301室；</w:t>
            </w:r>
          </w:p>
          <w:p>
            <w:pPr>
              <w:pStyle w:val="36"/>
              <w:spacing w:line="360" w:lineRule="auto"/>
              <w:rPr>
                <w:rFonts w:hAnsi="宋体" w:cs="宋体"/>
                <w:color w:val="auto"/>
                <w:kern w:val="28"/>
                <w:sz w:val="24"/>
                <w:highlight w:val="none"/>
              </w:rPr>
            </w:pPr>
            <w:r>
              <w:rPr>
                <w:rFonts w:hint="eastAsia" w:hAnsi="宋体" w:cs="宋体"/>
                <w:bCs/>
                <w:color w:val="auto"/>
                <w:sz w:val="24"/>
                <w:szCs w:val="24"/>
                <w:highlight w:val="none"/>
              </w:rPr>
              <w:t>备份投标文件签收人员联系电话：金佳霖，0571-86111691。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auto" w:sz="4" w:space="0"/>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bCs/>
                <w:color w:val="auto"/>
                <w:sz w:val="24"/>
                <w:highlight w:val="none"/>
              </w:rPr>
              <w:t>代理服务费</w:t>
            </w:r>
          </w:p>
        </w:tc>
        <w:tc>
          <w:tcPr>
            <w:tcW w:w="6095" w:type="dxa"/>
            <w:tcBorders>
              <w:top w:val="single" w:color="auto" w:sz="4" w:space="0"/>
              <w:left w:val="single" w:color="000000" w:sz="2" w:space="0"/>
              <w:bottom w:val="single" w:color="auto" w:sz="4" w:space="0"/>
              <w:right w:val="single" w:color="auto" w:sz="4"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本项目的采购代理费由中标人支付；以中标金额为计费基准，计费标准按《计价格［2002］1980号》文件中服务类收费标准计算（最低7000元）。</w:t>
            </w:r>
          </w:p>
          <w:p>
            <w:pPr>
              <w:spacing w:line="360" w:lineRule="auto"/>
              <w:rPr>
                <w:rFonts w:cs="Arial" w:asciiTheme="minorEastAsia" w:hAnsiTheme="minorEastAsia" w:eastAsiaTheme="minorEastAsia"/>
                <w:color w:val="auto"/>
                <w:kern w:val="0"/>
                <w:sz w:val="24"/>
                <w:highlight w:val="none"/>
              </w:rPr>
            </w:pPr>
            <w:r>
              <w:rPr>
                <w:rFonts w:hint="eastAsia" w:ascii="宋体" w:hAnsi="宋体" w:cs="宋体"/>
                <w:snapToGrid w:val="0"/>
                <w:color w:val="auto"/>
                <w:kern w:val="28"/>
                <w:sz w:val="24"/>
                <w:highlight w:val="none"/>
              </w:rPr>
              <w:t>中标服务费的交纳方式：以转帐或支票的形式支付，开户名：杭州中瑞招标代理有限公司；开户行名称：中国银行临平支行，帐号：</w:t>
            </w:r>
            <w:r>
              <w:rPr>
                <w:rFonts w:ascii="宋体" w:hAnsi="宋体" w:cs="宋体"/>
                <w:snapToGrid w:val="0"/>
                <w:color w:val="auto"/>
                <w:kern w:val="28"/>
                <w:sz w:val="24"/>
                <w:highlight w:val="none"/>
              </w:rPr>
              <w:t>364975499143</w:t>
            </w:r>
            <w:r>
              <w:rPr>
                <w:rFonts w:hint="eastAsia" w:ascii="宋体" w:hAnsi="宋体" w:cs="宋体"/>
                <w:snapToGrid w:val="0"/>
                <w:color w:val="auto"/>
                <w:kern w:val="28"/>
                <w:sz w:val="24"/>
                <w:highlight w:val="none"/>
              </w:rPr>
              <w:t>中标单位需在领取中标通知书时缴纳中标服务费，缴纳时注明招标编号。</w:t>
            </w:r>
          </w:p>
        </w:tc>
      </w:tr>
    </w:tbl>
    <w:p>
      <w:pPr>
        <w:snapToGrid w:val="0"/>
        <w:spacing w:line="360" w:lineRule="auto"/>
        <w:jc w:val="center"/>
        <w:rPr>
          <w:rFonts w:ascii="宋体" w:hAnsi="宋体" w:cs="宋体"/>
          <w:b/>
          <w:color w:val="auto"/>
          <w:sz w:val="32"/>
          <w:szCs w:val="20"/>
          <w:highlight w:val="none"/>
        </w:rPr>
      </w:pPr>
    </w:p>
    <w:p>
      <w:pPr>
        <w:pStyle w:val="27"/>
        <w:ind w:firstLine="643"/>
        <w:rPr>
          <w:rFonts w:cs="宋体"/>
          <w:b/>
          <w:color w:val="auto"/>
          <w:sz w:val="32"/>
          <w:szCs w:val="20"/>
          <w:highlight w:val="none"/>
        </w:rPr>
      </w:pPr>
    </w:p>
    <w:p>
      <w:pPr>
        <w:pStyle w:val="64"/>
        <w:ind w:firstLine="643"/>
        <w:rPr>
          <w:rFonts w:cs="宋体"/>
          <w:b/>
          <w:color w:val="auto"/>
          <w:sz w:val="32"/>
          <w:szCs w:val="20"/>
          <w:highlight w:val="none"/>
        </w:rPr>
      </w:pPr>
    </w:p>
    <w:p>
      <w:pPr>
        <w:pStyle w:val="64"/>
        <w:ind w:firstLine="643"/>
        <w:rPr>
          <w:rFonts w:cs="宋体"/>
          <w:b/>
          <w:color w:val="auto"/>
          <w:sz w:val="32"/>
          <w:szCs w:val="20"/>
          <w:highlight w:val="none"/>
        </w:rPr>
      </w:pPr>
    </w:p>
    <w:p>
      <w:pPr>
        <w:pStyle w:val="64"/>
        <w:ind w:firstLine="643"/>
        <w:rPr>
          <w:rFonts w:cs="宋体"/>
          <w:b/>
          <w:color w:val="auto"/>
          <w:sz w:val="32"/>
          <w:szCs w:val="20"/>
          <w:highlight w:val="none"/>
        </w:rPr>
      </w:pPr>
    </w:p>
    <w:p>
      <w:pPr>
        <w:pStyle w:val="64"/>
        <w:ind w:firstLine="643"/>
        <w:rPr>
          <w:rFonts w:cs="宋体"/>
          <w:b/>
          <w:color w:val="auto"/>
          <w:sz w:val="32"/>
          <w:szCs w:val="20"/>
          <w:highlight w:val="none"/>
        </w:rPr>
      </w:pPr>
    </w:p>
    <w:p>
      <w:pPr>
        <w:pStyle w:val="64"/>
        <w:ind w:firstLine="643"/>
        <w:rPr>
          <w:rFonts w:cs="宋体"/>
          <w:b/>
          <w:color w:val="auto"/>
          <w:sz w:val="32"/>
          <w:szCs w:val="20"/>
          <w:highlight w:val="none"/>
        </w:rPr>
      </w:pPr>
    </w:p>
    <w:p>
      <w:pPr>
        <w:pStyle w:val="64"/>
        <w:ind w:firstLine="643"/>
        <w:rPr>
          <w:rFonts w:cs="宋体"/>
          <w:b/>
          <w:color w:val="auto"/>
          <w:sz w:val="32"/>
          <w:szCs w:val="20"/>
          <w:highlight w:val="none"/>
        </w:rPr>
      </w:pPr>
    </w:p>
    <w:p>
      <w:pPr>
        <w:pStyle w:val="64"/>
        <w:ind w:firstLine="643"/>
        <w:rPr>
          <w:rFonts w:cs="宋体"/>
          <w:b/>
          <w:color w:val="auto"/>
          <w:sz w:val="32"/>
          <w:szCs w:val="20"/>
          <w:highlight w:val="none"/>
        </w:rPr>
      </w:pPr>
    </w:p>
    <w:p>
      <w:pPr>
        <w:pStyle w:val="64"/>
        <w:ind w:left="0" w:leftChars="0" w:firstLine="0" w:firstLineChars="0"/>
        <w:rPr>
          <w:rFonts w:cs="宋体"/>
          <w:b/>
          <w:color w:val="auto"/>
          <w:sz w:val="32"/>
          <w:szCs w:val="20"/>
          <w:highlight w:val="none"/>
        </w:rPr>
      </w:pPr>
    </w:p>
    <w:bookmarkEnd w:id="10"/>
    <w:p>
      <w:pPr>
        <w:adjustRightInd/>
        <w:spacing w:line="360" w:lineRule="auto"/>
        <w:ind w:firstLine="3845" w:firstLineChars="1197"/>
        <w:outlineLvl w:val="0"/>
        <w:rPr>
          <w:rFonts w:ascii="宋体" w:hAnsi="宋体" w:cs="宋体"/>
          <w:b/>
          <w:color w:val="auto"/>
          <w:sz w:val="32"/>
          <w:szCs w:val="20"/>
          <w:highlight w:val="none"/>
        </w:rPr>
      </w:pPr>
      <w:bookmarkStart w:id="14" w:name="第三部分"/>
      <w:bookmarkStart w:id="15" w:name="_Toc164416483"/>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6"/>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6"/>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131"/>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6"/>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6"/>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pPr>
        <w:pStyle w:val="36"/>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6"/>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7"/>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1"/>
        <w:spacing w:before="0"/>
        <w:ind w:firstLine="643"/>
        <w:rPr>
          <w:rFonts w:ascii="宋体" w:hAnsi="宋体" w:cs="宋体"/>
          <w:b/>
          <w:color w:val="auto"/>
          <w:sz w:val="32"/>
          <w:highlight w:val="none"/>
        </w:rPr>
      </w:pPr>
    </w:p>
    <w:p>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1"/>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6"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7"/>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7" w:name="_Hlk101184471"/>
      <w:r>
        <w:rPr>
          <w:rFonts w:hint="eastAsia" w:ascii="宋体" w:hAnsi="宋体" w:cs="宋体"/>
          <w:color w:val="auto"/>
          <w:sz w:val="24"/>
          <w:highlight w:val="none"/>
        </w:rPr>
        <w:t>资格审查情况、评审专家抽取规则、符合性审查情况、</w:t>
      </w:r>
      <w:bookmarkEnd w:id="17"/>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7"/>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7"/>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7"/>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color w:val="auto"/>
          <w:highlight w:val="none"/>
        </w:rPr>
      </w:pPr>
      <w:r>
        <w:rPr>
          <w:rFonts w:ascii="宋体" w:hAnsi="宋体" w:eastAsia="宋体"/>
          <w:color w:val="auto"/>
          <w:sz w:val="24"/>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1"/>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7"/>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6"/>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8" w:name="_Hlt75236101"/>
      <w:bookmarkEnd w:id="18"/>
      <w:bookmarkStart w:id="19" w:name="_Hlt68072990"/>
      <w:bookmarkEnd w:id="19"/>
      <w:bookmarkStart w:id="20" w:name="_Hlt74707468"/>
      <w:bookmarkEnd w:id="20"/>
      <w:bookmarkStart w:id="21" w:name="_Hlt75236011"/>
      <w:bookmarkEnd w:id="21"/>
      <w:bookmarkStart w:id="22" w:name="_Hlt68403820"/>
      <w:bookmarkEnd w:id="22"/>
      <w:bookmarkStart w:id="23" w:name="_Hlt74729768"/>
      <w:bookmarkEnd w:id="23"/>
      <w:bookmarkStart w:id="24" w:name="_Hlt74714665"/>
      <w:bookmarkEnd w:id="24"/>
      <w:bookmarkStart w:id="25" w:name="_Hlt68057669"/>
      <w:bookmarkEnd w:id="25"/>
      <w:bookmarkStart w:id="26" w:name="_Hlt68072998"/>
      <w:bookmarkEnd w:id="26"/>
      <w:bookmarkStart w:id="27" w:name="_Hlt68073093"/>
      <w:bookmarkEnd w:id="27"/>
      <w:bookmarkStart w:id="28" w:name="_Hlt75236290"/>
      <w:bookmarkEnd w:id="28"/>
      <w:bookmarkStart w:id="29" w:name="_Hlt74730295"/>
      <w:bookmarkEnd w:id="29"/>
    </w:p>
    <w:bookmarkEnd w:id="14"/>
    <w:bookmarkEnd w:id="15"/>
    <w:p>
      <w:pPr>
        <w:spacing w:line="360" w:lineRule="auto"/>
        <w:jc w:val="center"/>
        <w:outlineLvl w:val="0"/>
        <w:rPr>
          <w:rFonts w:ascii="宋体" w:hAnsi="宋体" w:cs="宋体"/>
          <w:b/>
          <w:color w:val="auto"/>
          <w:sz w:val="36"/>
          <w:szCs w:val="36"/>
          <w:highlight w:val="none"/>
        </w:rPr>
      </w:pPr>
      <w:bookmarkStart w:id="30" w:name="第四部分"/>
      <w:r>
        <w:rPr>
          <w:rFonts w:hint="eastAsia" w:ascii="宋体" w:hAnsi="宋体" w:cs="宋体"/>
          <w:b/>
          <w:color w:val="auto"/>
          <w:sz w:val="36"/>
          <w:szCs w:val="36"/>
          <w:highlight w:val="none"/>
        </w:rPr>
        <w:t>第三部分   采购需求</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一、项目背景</w:t>
      </w:r>
    </w:p>
    <w:p>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我区投诉举报量大面广，近年来除了网络平台投诉举报量高速增长外，线下体量也一直在高位。一方面由于我区是国内大型网络交易平台集聚地，另一方面我区在册市场主体高达2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38</w:t>
      </w:r>
      <w:r>
        <w:rPr>
          <w:rFonts w:hint="eastAsia" w:ascii="宋体" w:hAnsi="宋体" w:eastAsia="宋体" w:cs="宋体"/>
          <w:color w:val="auto"/>
          <w:sz w:val="24"/>
          <w:szCs w:val="24"/>
          <w:highlight w:val="none"/>
          <w:lang w:val="en-US" w:eastAsia="zh-CN"/>
        </w:rPr>
        <w:t>万家，企业数量高达</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27</w:t>
      </w:r>
      <w:r>
        <w:rPr>
          <w:rFonts w:hint="eastAsia" w:ascii="宋体" w:hAnsi="宋体" w:eastAsia="宋体" w:cs="宋体"/>
          <w:color w:val="auto"/>
          <w:sz w:val="24"/>
          <w:szCs w:val="24"/>
          <w:highlight w:val="none"/>
          <w:lang w:val="en-US" w:eastAsia="zh-CN"/>
        </w:rPr>
        <w:t>万家，位于杭州市前列。为了进一步优化消费投诉处理，减少并且着力实现信访积案动态清零，强化源头治理大力推进放心消费创建工作，我局花费了大量的人力、物力、精力，但还存在以下困难。一是治理重复信访、化解信访积案工作压力大。积案</w:t>
      </w:r>
      <w:r>
        <w:rPr>
          <w:rFonts w:hint="eastAsia" w:ascii="宋体" w:hAnsi="宋体" w:cs="宋体"/>
          <w:color w:val="auto"/>
          <w:sz w:val="24"/>
          <w:szCs w:val="24"/>
          <w:highlight w:val="none"/>
          <w:lang w:val="en-US" w:eastAsia="zh-CN"/>
        </w:rPr>
        <w:t>500</w:t>
      </w:r>
      <w:r>
        <w:rPr>
          <w:rFonts w:hint="eastAsia" w:ascii="宋体" w:hAnsi="宋体" w:eastAsia="宋体" w:cs="宋体"/>
          <w:color w:val="auto"/>
          <w:sz w:val="24"/>
          <w:szCs w:val="24"/>
          <w:highlight w:val="none"/>
          <w:lang w:val="en-US" w:eastAsia="zh-CN"/>
        </w:rPr>
        <w:t>余件，占全区和全省系统的1/3。此外，由于投诉举报途径越来越丰富便捷，群众知晓度更高，各大网络平台迅速发展，我区的投诉举报量每年递增，预计产生的重复件、疑难件等积案也可能会有所增加。二是放心消费行动是民生实事工程，旨在通过规范商家行为，提升消费满意度，源头降低投诉举报量。然而由于市场主体的正常更迭变动，人员素质参差不齐等原因，实际经营中难以确保放心消费单位持续符合创建标准。</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二、服务外包内容、期限及项目预算</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bidi="ar"/>
        </w:rPr>
        <w:t>负责投诉举报重复件、疑难件、不满意件，尤其是信访积案件梳理、交办、跟踪，必要时与具体经办部门共同推进化解工作。负责放心消费创建、检查、宣传等工作，推动</w:t>
      </w:r>
      <w:r>
        <w:rPr>
          <w:rFonts w:hint="eastAsia" w:ascii="宋体" w:hAnsi="宋体" w:eastAsia="宋体" w:cs="宋体"/>
          <w:color w:val="auto"/>
          <w:sz w:val="24"/>
          <w:szCs w:val="24"/>
          <w:highlight w:val="none"/>
          <w:lang w:val="en-US" w:eastAsia="zh-CN"/>
        </w:rPr>
        <w:t>放心消费单位进行“评价全覆盖、标准全落地、动态全掌握”。</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服务期限12个月。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项目最高限价：</w:t>
      </w:r>
      <w:r>
        <w:rPr>
          <w:rFonts w:hint="eastAsia" w:ascii="宋体" w:hAnsi="宋体" w:eastAsia="宋体" w:cs="宋体"/>
          <w:color w:val="auto"/>
          <w:sz w:val="24"/>
          <w:szCs w:val="24"/>
          <w:highlight w:val="none"/>
          <w:lang w:val="en-US" w:eastAsia="zh-CN" w:bidi="ar"/>
        </w:rPr>
        <w:t>7500</w:t>
      </w:r>
      <w:r>
        <w:rPr>
          <w:rFonts w:hint="eastAsia" w:ascii="宋体" w:hAnsi="宋体" w:cs="宋体"/>
          <w:color w:val="auto"/>
          <w:sz w:val="24"/>
          <w:szCs w:val="24"/>
          <w:highlight w:val="none"/>
          <w:lang w:val="en-US" w:eastAsia="zh-CN" w:bidi="ar"/>
        </w:rPr>
        <w:t>0</w:t>
      </w:r>
      <w:r>
        <w:rPr>
          <w:rFonts w:hint="eastAsia" w:ascii="宋体" w:hAnsi="宋体" w:eastAsia="宋体" w:cs="宋体"/>
          <w:color w:val="auto"/>
          <w:sz w:val="24"/>
          <w:szCs w:val="24"/>
          <w:highlight w:val="none"/>
          <w:lang w:val="en-US" w:eastAsia="zh-CN" w:bidi="ar"/>
        </w:rPr>
        <w:t>0</w:t>
      </w:r>
      <w:r>
        <w:rPr>
          <w:rFonts w:hint="eastAsia" w:ascii="宋体" w:hAnsi="宋体" w:eastAsia="宋体" w:cs="宋体"/>
          <w:color w:val="auto"/>
          <w:sz w:val="24"/>
          <w:szCs w:val="24"/>
          <w:highlight w:val="none"/>
          <w:lang w:bidi="ar"/>
        </w:rPr>
        <w:t>元（</w:t>
      </w:r>
      <w:r>
        <w:rPr>
          <w:rFonts w:hint="eastAsia" w:ascii="宋体" w:hAnsi="宋体" w:eastAsia="宋体" w:cs="宋体"/>
          <w:color w:val="auto"/>
          <w:sz w:val="24"/>
          <w:szCs w:val="24"/>
          <w:highlight w:val="none"/>
          <w:lang w:val="en-US" w:eastAsia="zh-CN" w:bidi="ar"/>
        </w:rPr>
        <w:t>12</w:t>
      </w:r>
      <w:r>
        <w:rPr>
          <w:rFonts w:hint="eastAsia" w:ascii="宋体" w:hAnsi="宋体" w:eastAsia="宋体" w:cs="宋体"/>
          <w:color w:val="auto"/>
          <w:sz w:val="24"/>
          <w:szCs w:val="24"/>
          <w:highlight w:val="none"/>
          <w:lang w:bidi="ar"/>
        </w:rPr>
        <w:t>个月）。</w:t>
      </w:r>
    </w:p>
    <w:p>
      <w:pPr>
        <w:numPr>
          <w:ilvl w:val="0"/>
          <w:numId w:val="0"/>
        </w:numPr>
        <w:tabs>
          <w:tab w:val="center" w:pos="4153"/>
        </w:tabs>
        <w:spacing w:line="360" w:lineRule="auto"/>
        <w:rPr>
          <w:rFonts w:hint="eastAsia" w:ascii="宋体" w:hAnsi="宋体" w:eastAsia="宋体" w:cs="宋体"/>
          <w:b/>
          <w:color w:val="auto"/>
          <w:sz w:val="24"/>
          <w:szCs w:val="24"/>
          <w:highlight w:val="none"/>
          <w:lang w:eastAsia="zh-CN" w:bidi="ar"/>
        </w:rPr>
      </w:pPr>
      <w:r>
        <w:rPr>
          <w:rFonts w:hint="eastAsia" w:ascii="宋体" w:hAnsi="宋体" w:eastAsia="宋体" w:cs="宋体"/>
          <w:b/>
          <w:color w:val="auto"/>
          <w:sz w:val="24"/>
          <w:szCs w:val="24"/>
          <w:highlight w:val="none"/>
          <w:lang w:val="en-US" w:eastAsia="zh-CN" w:bidi="ar"/>
        </w:rPr>
        <w:t>三、</w:t>
      </w:r>
      <w:r>
        <w:rPr>
          <w:rFonts w:hint="eastAsia" w:ascii="宋体" w:hAnsi="宋体" w:eastAsia="宋体" w:cs="宋体"/>
          <w:b/>
          <w:color w:val="auto"/>
          <w:sz w:val="24"/>
          <w:szCs w:val="24"/>
          <w:highlight w:val="none"/>
          <w:lang w:bidi="ar"/>
        </w:rPr>
        <w:t>服务外包具体要求</w:t>
      </w:r>
      <w:r>
        <w:rPr>
          <w:rFonts w:hint="eastAsia" w:ascii="宋体" w:hAnsi="宋体" w:eastAsia="宋体" w:cs="宋体"/>
          <w:b/>
          <w:color w:val="auto"/>
          <w:sz w:val="24"/>
          <w:szCs w:val="24"/>
          <w:highlight w:val="none"/>
          <w:lang w:eastAsia="zh-CN" w:bidi="ar"/>
        </w:rPr>
        <w:tab/>
      </w:r>
    </w:p>
    <w:p>
      <w:pPr>
        <w:pStyle w:val="27"/>
        <w:numPr>
          <w:ilvl w:val="0"/>
          <w:numId w:val="2"/>
        </w:numPr>
        <w:ind w:left="42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人员要求</w:t>
      </w:r>
    </w:p>
    <w:p>
      <w:pPr>
        <w:pStyle w:val="27"/>
        <w:numPr>
          <w:ilvl w:val="0"/>
          <w:numId w:val="3"/>
        </w:num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按照整体工作量，配备不少于4名工作人员；</w:t>
      </w:r>
    </w:p>
    <w:p>
      <w:pPr>
        <w:pStyle w:val="27"/>
        <w:numPr>
          <w:ilvl w:val="0"/>
          <w:numId w:val="3"/>
        </w:num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因业务处理需求，要求配备人员中，有相关工作经验或者法学类（含法律）、工商管理等专业人员不少于1人；</w:t>
      </w:r>
    </w:p>
    <w:p>
      <w:pPr>
        <w:pStyle w:val="27"/>
        <w:numPr>
          <w:ilvl w:val="0"/>
          <w:numId w:val="3"/>
        </w:num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年龄及学历要求：人员要求22周岁（含）——45周岁（含）具有大专及以上学历；</w:t>
      </w:r>
    </w:p>
    <w:p>
      <w:pPr>
        <w:pStyle w:val="27"/>
        <w:numPr>
          <w:ilvl w:val="0"/>
          <w:numId w:val="3"/>
        </w:num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配备人员需具备良好的政治素质好，组织纪律性强，爱岗敬业，乐于奉献，具有较强的事业心和责任感，无犯罪记录和不良嗜好；</w:t>
      </w:r>
    </w:p>
    <w:p>
      <w:pPr>
        <w:pStyle w:val="27"/>
        <w:numPr>
          <w:ilvl w:val="0"/>
          <w:numId w:val="3"/>
        </w:num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工作责任心强，注重细节、准确率及工作态度；</w:t>
      </w:r>
    </w:p>
    <w:p>
      <w:pPr>
        <w:pStyle w:val="27"/>
        <w:numPr>
          <w:ilvl w:val="0"/>
          <w:numId w:val="3"/>
        </w:num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身体健康，所有人员都要经过体检，患有不适合本工作的疾病，不得录用；</w:t>
      </w:r>
    </w:p>
    <w:p>
      <w:pPr>
        <w:pStyle w:val="27"/>
        <w:numPr>
          <w:ilvl w:val="0"/>
          <w:numId w:val="3"/>
        </w:num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其他需求：中标单位中途更换人员需提前十个工作日告知招标人，并经招标人同意。</w:t>
      </w:r>
    </w:p>
    <w:p>
      <w:pPr>
        <w:pStyle w:val="28"/>
        <w:numPr>
          <w:ilvl w:val="0"/>
          <w:numId w:val="0"/>
        </w:numPr>
        <w:ind w:firstLine="60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（二）制度要求</w:t>
      </w:r>
    </w:p>
    <w:p>
      <w:pPr>
        <w:pStyle w:val="27"/>
        <w:numPr>
          <w:ilvl w:val="0"/>
          <w:numId w:val="0"/>
        </w:num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1、制定完善的人员招聘（包括更换）方案，为保持人员队伍的稳定，并考虑到物价上涨等因素，各投标单位应对人员的薪资水准给予良好待遇；</w:t>
      </w:r>
    </w:p>
    <w:p>
      <w:pPr>
        <w:pStyle w:val="27"/>
        <w:numPr>
          <w:ilvl w:val="0"/>
          <w:numId w:val="0"/>
        </w:num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2、制定有效的人员激励计划和相关制度；</w:t>
      </w:r>
    </w:p>
    <w:p>
      <w:pPr>
        <w:pStyle w:val="27"/>
        <w:numPr>
          <w:ilvl w:val="0"/>
          <w:numId w:val="0"/>
        </w:num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3、制定完善的人员业务操作培训方案；</w:t>
      </w:r>
    </w:p>
    <w:p>
      <w:pPr>
        <w:pStyle w:val="27"/>
        <w:numPr>
          <w:ilvl w:val="0"/>
          <w:numId w:val="0"/>
        </w:num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4、制定与服务内容相关包括工作流程和管理制度；</w:t>
      </w:r>
    </w:p>
    <w:p>
      <w:pPr>
        <w:pStyle w:val="27"/>
        <w:numPr>
          <w:ilvl w:val="0"/>
          <w:numId w:val="0"/>
        </w:num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5、制定有效的数据分析，工作汇报等实务操作方案；</w:t>
      </w:r>
    </w:p>
    <w:p>
      <w:pPr>
        <w:pStyle w:val="27"/>
        <w:numPr>
          <w:ilvl w:val="0"/>
          <w:numId w:val="0"/>
        </w:num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6、完成业主单位要求的其它工作内容。</w:t>
      </w:r>
    </w:p>
    <w:p>
      <w:pPr>
        <w:pStyle w:val="27"/>
        <w:numPr>
          <w:ilvl w:val="0"/>
          <w:numId w:val="0"/>
        </w:num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（三）工作要求</w:t>
      </w:r>
    </w:p>
    <w:p>
      <w:pPr>
        <w:pStyle w:val="27"/>
        <w:numPr>
          <w:ilvl w:val="0"/>
          <w:numId w:val="0"/>
        </w:num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1、工作能力：认真负责，耐心热情，做到文明礼貌、认真细致、标准规范；</w:t>
      </w:r>
    </w:p>
    <w:p>
      <w:pPr>
        <w:pStyle w:val="27"/>
        <w:numPr>
          <w:ilvl w:val="0"/>
          <w:numId w:val="0"/>
        </w:num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2、业务熟练程度：熟悉投诉举报处置业务内容，熟练全国12315平台、浙江省统一政务咨询投诉举报平台、放心消费智慧监管平台等系统操作；</w:t>
      </w:r>
    </w:p>
    <w:p>
      <w:pPr>
        <w:pStyle w:val="27"/>
        <w:numPr>
          <w:ilvl w:val="0"/>
          <w:numId w:val="0"/>
        </w:num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3、电脑操作技能：具备一定的电脑操作技能，打字速度保证在60字/分以上；</w:t>
      </w:r>
    </w:p>
    <w:p>
      <w:pPr>
        <w:pStyle w:val="27"/>
        <w:numPr>
          <w:ilvl w:val="0"/>
          <w:numId w:val="0"/>
        </w:num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4、具有较好的文字组织能力和口头表达、沟通能力；普通话标准流利，声音亲和力强，持有普通话等级证书者优先考虑；</w:t>
      </w:r>
    </w:p>
    <w:p>
      <w:pPr>
        <w:pStyle w:val="27"/>
        <w:numPr>
          <w:ilvl w:val="0"/>
          <w:numId w:val="0"/>
        </w:num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5、良好心理素质：抗压能力较强，积极乐观；工作主动性较强，通过不断学习提高自身综合业务水平的处理能力；</w:t>
      </w:r>
    </w:p>
    <w:p>
      <w:pPr>
        <w:pStyle w:val="27"/>
        <w:numPr>
          <w:ilvl w:val="0"/>
          <w:numId w:val="0"/>
        </w:num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6、能应对经常性出勤、值班值守等紧急事项。</w:t>
      </w:r>
    </w:p>
    <w:p>
      <w:pPr>
        <w:pStyle w:val="27"/>
        <w:numPr>
          <w:ilvl w:val="0"/>
          <w:numId w:val="0"/>
        </w:num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（四）考核要求</w:t>
      </w:r>
    </w:p>
    <w:p>
      <w:pPr>
        <w:pStyle w:val="27"/>
        <w:numPr>
          <w:ilvl w:val="0"/>
          <w:numId w:val="0"/>
        </w:num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1、完成服务期间重复件、疑难件、不满意件尤其是信访积案等的处置工作；</w:t>
      </w:r>
    </w:p>
    <w:p>
      <w:pPr>
        <w:pStyle w:val="27"/>
        <w:numPr>
          <w:ilvl w:val="0"/>
          <w:numId w:val="0"/>
        </w:num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2、对放心消费单位进行“评价全覆盖、标准全落地、动态全掌握”的动态化检查；</w:t>
      </w:r>
    </w:p>
    <w:p>
      <w:pPr>
        <w:pStyle w:val="27"/>
        <w:numPr>
          <w:ilvl w:val="0"/>
          <w:numId w:val="0"/>
        </w:num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3、全年完成放心消费单位创建成功总数不少于5</w:t>
      </w:r>
      <w:r>
        <w:rPr>
          <w:rFonts w:hint="eastAsia" w:cs="宋体"/>
          <w:color w:val="auto"/>
          <w:kern w:val="2"/>
          <w:sz w:val="24"/>
          <w:szCs w:val="24"/>
          <w:highlight w:val="none"/>
          <w:lang w:val="en-US" w:eastAsia="zh-CN" w:bidi="ar-SA"/>
        </w:rPr>
        <w:t>400</w:t>
      </w:r>
      <w:r>
        <w:rPr>
          <w:rFonts w:hint="eastAsia" w:ascii="宋体" w:hAnsi="宋体" w:eastAsia="宋体" w:cs="宋体"/>
          <w:color w:val="auto"/>
          <w:kern w:val="2"/>
          <w:sz w:val="24"/>
          <w:szCs w:val="24"/>
          <w:highlight w:val="none"/>
          <w:lang w:val="en-US" w:eastAsia="zh-CN" w:bidi="ar-SA"/>
        </w:rPr>
        <w:t>家；</w:t>
      </w:r>
    </w:p>
    <w:p>
      <w:pPr>
        <w:pStyle w:val="27"/>
        <w:numPr>
          <w:ilvl w:val="0"/>
          <w:numId w:val="0"/>
        </w:numPr>
        <w:ind w:firstLine="480" w:firstLineChars="200"/>
        <w:rPr>
          <w:rFonts w:hint="eastAsia"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、完成其他工作要求。</w:t>
      </w:r>
    </w:p>
    <w:p>
      <w:pPr>
        <w:pStyle w:val="27"/>
        <w:numPr>
          <w:ilvl w:val="0"/>
          <w:numId w:val="0"/>
        </w:num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（五）其他要求</w:t>
      </w:r>
    </w:p>
    <w:p>
      <w:pPr>
        <w:pStyle w:val="27"/>
        <w:numPr>
          <w:ilvl w:val="0"/>
          <w:numId w:val="0"/>
        </w:num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1、中标单位需按要求配备统一着装，整齐规范，确保仪容仪表整洁端庄；</w:t>
      </w:r>
    </w:p>
    <w:p>
      <w:pPr>
        <w:pStyle w:val="27"/>
        <w:numPr>
          <w:ilvl w:val="0"/>
          <w:numId w:val="0"/>
        </w:num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2、对余杭区各镇街分布及辖区企业熟悉者优先；</w:t>
      </w:r>
    </w:p>
    <w:p>
      <w:pPr>
        <w:pStyle w:val="27"/>
        <w:numPr>
          <w:ilvl w:val="0"/>
          <w:numId w:val="0"/>
        </w:num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3、对淘宝、天猫等各类网络经营平台熟悉者优先；</w:t>
      </w:r>
    </w:p>
    <w:p>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w:t>
      </w:r>
      <w:bookmarkStart w:id="31" w:name="_Toc24983642"/>
      <w:r>
        <w:rPr>
          <w:rFonts w:hint="eastAsia" w:ascii="宋体" w:hAnsi="宋体" w:eastAsia="宋体" w:cs="宋体"/>
          <w:b/>
          <w:bCs/>
          <w:color w:val="auto"/>
          <w:sz w:val="24"/>
          <w:szCs w:val="24"/>
          <w:highlight w:val="none"/>
          <w:lang w:val="en-US" w:eastAsia="zh-CN"/>
        </w:rPr>
        <w:t>验收要求</w:t>
      </w:r>
    </w:p>
    <w:p>
      <w:pPr>
        <w:snapToGrid w:val="0"/>
        <w:spacing w:line="360" w:lineRule="auto"/>
        <w:ind w:firstLine="482"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bCs/>
          <w:color w:val="auto"/>
          <w:sz w:val="24"/>
          <w:szCs w:val="24"/>
          <w:highlight w:val="none"/>
        </w:rPr>
        <w:t>1．招标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2．招标人可以邀请参加本项目的其他投标人或者第三方机构参与验收。参与验收的投标人或者第三方机构的意见作为验收书的参考资料一并存档。</w:t>
      </w:r>
    </w:p>
    <w:p>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严格按照采购合同开展履约验收。招标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验收合格的项目，招标人将根据采购合同的约定及时向供应商支付采购资金、退还履约保证金。验收不合格的项目，招标人将依法及时处理。采购合同的履行、违约责任和解决争议的方式等适用《中华人民共和国民法典》。供应商在履约过程中有政府采购法律法规规定的违法违规情形的，招标人应当及时报告本级财政部门。</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t>初次验收费用由招标人支付。如初次验收未通过，后续验收费用由中标人支付。</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w:t>
      </w:r>
      <w:bookmarkEnd w:id="31"/>
      <w:r>
        <w:rPr>
          <w:rFonts w:hint="eastAsia" w:ascii="宋体" w:hAnsi="宋体" w:eastAsia="宋体" w:cs="宋体"/>
          <w:b/>
          <w:bCs/>
          <w:color w:val="auto"/>
          <w:sz w:val="24"/>
          <w:szCs w:val="24"/>
          <w:highlight w:val="none"/>
        </w:rPr>
        <w:t>服务标准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采购的产品所涉及的产品标准、规范、验收标准、规范，应符合国家有关条例及规范。如有新的标准应采纳新标准；若同一产品同时有几个标准（国际标准、国家标准、行业标准、企业标准等），则按最高层次的标准执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2．中国国家标准及其它被普遍认可的标准，由采购人认可的其他国家的其他权威标准；原有规范若已被废弃，则以相应的新规范为准。</w:t>
      </w:r>
    </w:p>
    <w:p>
      <w:pPr>
        <w:pStyle w:val="27"/>
        <w:spacing w:line="360" w:lineRule="auto"/>
        <w:rPr>
          <w:rFonts w:hint="eastAsia" w:ascii="宋体" w:hAnsi="宋体" w:eastAsia="宋体" w:cs="宋体"/>
          <w:color w:val="auto"/>
          <w:highlight w:val="none"/>
        </w:rPr>
      </w:pPr>
      <w:r>
        <w:rPr>
          <w:rFonts w:hint="eastAsia" w:ascii="宋体" w:hAnsi="宋体" w:eastAsia="宋体" w:cs="宋体"/>
          <w:color w:val="auto"/>
          <w:sz w:val="24"/>
          <w:szCs w:val="24"/>
          <w:highlight w:val="none"/>
        </w:rPr>
        <w:t>3．供应商提供的产品必须满足采购文件中提出的相关技术要求。</w:t>
      </w:r>
    </w:p>
    <w:p>
      <w:pPr>
        <w:spacing w:line="360" w:lineRule="auto"/>
        <w:ind w:firstLine="181" w:firstLineChars="50"/>
        <w:rPr>
          <w:rFonts w:ascii="宋体" w:hAnsi="宋体" w:cs="宋体"/>
          <w:b/>
          <w:color w:val="auto"/>
          <w:sz w:val="36"/>
          <w:szCs w:val="36"/>
          <w:highlight w:val="none"/>
        </w:rPr>
      </w:pPr>
    </w:p>
    <w:p>
      <w:pPr>
        <w:spacing w:line="360" w:lineRule="auto"/>
        <w:rPr>
          <w:rFonts w:ascii="宋体" w:hAnsi="宋体" w:cs="宋体"/>
          <w:color w:val="auto"/>
          <w:sz w:val="24"/>
          <w:highlight w:val="none"/>
        </w:rPr>
      </w:pPr>
    </w:p>
    <w:p>
      <w:pPr>
        <w:widowControl/>
        <w:ind w:firstLine="720" w:firstLineChars="300"/>
        <w:jc w:val="left"/>
        <w:rPr>
          <w:rFonts w:ascii="宋体" w:hAnsi="宋体" w:cs="宋体"/>
          <w:bCs/>
          <w:color w:val="auto"/>
          <w:sz w:val="24"/>
          <w:highlight w:val="none"/>
        </w:rPr>
      </w:pPr>
    </w:p>
    <w:p>
      <w:pPr>
        <w:rPr>
          <w:rFonts w:ascii="宋体" w:hAnsi="宋体" w:cs="宋体"/>
          <w:snapToGrid w:val="0"/>
          <w:color w:val="auto"/>
          <w:kern w:val="0"/>
          <w:sz w:val="24"/>
          <w:highlight w:val="none"/>
        </w:r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2" w:name="_Toc184313299"/>
      <w:bookmarkEnd w:id="32"/>
      <w:bookmarkStart w:id="33" w:name="_Toc184308102"/>
      <w:bookmarkEnd w:id="33"/>
      <w:bookmarkStart w:id="34" w:name="_Toc184313250"/>
      <w:bookmarkEnd w:id="34"/>
      <w:bookmarkStart w:id="35" w:name="_Toc184310315"/>
      <w:bookmarkEnd w:id="35"/>
      <w:bookmarkStart w:id="36" w:name="_Toc184314433"/>
      <w:bookmarkEnd w:id="36"/>
      <w:bookmarkStart w:id="37" w:name="_Toc184308037"/>
      <w:bookmarkEnd w:id="37"/>
      <w:bookmarkStart w:id="38" w:name="_Toc184314419"/>
      <w:bookmarkEnd w:id="38"/>
      <w:bookmarkStart w:id="39" w:name="_Toc184313305"/>
      <w:bookmarkEnd w:id="39"/>
      <w:bookmarkStart w:id="40" w:name="_Toc184310316"/>
      <w:bookmarkEnd w:id="40"/>
      <w:bookmarkStart w:id="41" w:name="_Toc184313257"/>
      <w:bookmarkEnd w:id="41"/>
      <w:bookmarkStart w:id="42" w:name="_Toc184308069"/>
      <w:bookmarkEnd w:id="42"/>
      <w:bookmarkStart w:id="43" w:name="_Toc184314468"/>
      <w:bookmarkEnd w:id="43"/>
      <w:bookmarkStart w:id="44" w:name="_Toc184312118"/>
      <w:bookmarkEnd w:id="44"/>
      <w:bookmarkStart w:id="45" w:name="_Toc184312074"/>
      <w:bookmarkEnd w:id="45"/>
      <w:bookmarkStart w:id="46" w:name="_Toc184310294"/>
      <w:bookmarkEnd w:id="46"/>
      <w:bookmarkStart w:id="47" w:name="_Toc184308070"/>
      <w:bookmarkEnd w:id="47"/>
      <w:bookmarkStart w:id="48" w:name="_Toc184313280"/>
      <w:bookmarkEnd w:id="48"/>
      <w:bookmarkStart w:id="49" w:name="_Toc184310291"/>
      <w:bookmarkEnd w:id="49"/>
      <w:bookmarkStart w:id="50" w:name="_Toc184314421"/>
      <w:bookmarkEnd w:id="50"/>
      <w:bookmarkStart w:id="51" w:name="_Toc184314458"/>
      <w:bookmarkEnd w:id="51"/>
      <w:bookmarkStart w:id="52" w:name="_Toc184312084"/>
      <w:bookmarkEnd w:id="52"/>
      <w:bookmarkStart w:id="53" w:name="_Toc184313290"/>
      <w:bookmarkEnd w:id="53"/>
      <w:bookmarkStart w:id="54" w:name="_Toc184312090"/>
      <w:bookmarkEnd w:id="54"/>
      <w:bookmarkStart w:id="55" w:name="_Toc184310293"/>
      <w:bookmarkEnd w:id="55"/>
      <w:bookmarkStart w:id="56" w:name="_Toc184310275"/>
      <w:bookmarkEnd w:id="56"/>
      <w:bookmarkStart w:id="57" w:name="_Toc184314449"/>
      <w:bookmarkEnd w:id="57"/>
      <w:bookmarkStart w:id="58" w:name="_Toc184313291"/>
      <w:bookmarkEnd w:id="58"/>
      <w:bookmarkStart w:id="59" w:name="_Toc184310331"/>
      <w:bookmarkEnd w:id="59"/>
      <w:bookmarkStart w:id="60" w:name="_Toc184313243"/>
      <w:bookmarkEnd w:id="60"/>
      <w:bookmarkStart w:id="61" w:name="_Toc184313253"/>
      <w:bookmarkEnd w:id="61"/>
      <w:bookmarkStart w:id="62" w:name="_Toc184312086"/>
      <w:bookmarkEnd w:id="62"/>
      <w:bookmarkStart w:id="63" w:name="_Toc184310306"/>
      <w:bookmarkEnd w:id="63"/>
      <w:bookmarkStart w:id="64" w:name="_Toc184312107"/>
      <w:bookmarkEnd w:id="64"/>
      <w:bookmarkStart w:id="65" w:name="_Toc184310324"/>
      <w:bookmarkEnd w:id="65"/>
      <w:bookmarkStart w:id="66" w:name="_Toc184310300"/>
      <w:bookmarkEnd w:id="66"/>
      <w:bookmarkStart w:id="67" w:name="_Toc184314414"/>
      <w:bookmarkEnd w:id="67"/>
      <w:bookmarkStart w:id="68" w:name="_Toc184308046"/>
      <w:bookmarkEnd w:id="68"/>
      <w:bookmarkStart w:id="69" w:name="_Toc184308061"/>
      <w:bookmarkEnd w:id="69"/>
      <w:bookmarkStart w:id="70" w:name="_Toc184312112"/>
      <w:bookmarkEnd w:id="70"/>
      <w:bookmarkStart w:id="71" w:name="_Toc184308051"/>
      <w:bookmarkEnd w:id="71"/>
      <w:bookmarkStart w:id="72" w:name="_Toc184312088"/>
      <w:bookmarkEnd w:id="72"/>
      <w:bookmarkStart w:id="73" w:name="_Toc184313271"/>
      <w:bookmarkEnd w:id="73"/>
      <w:bookmarkStart w:id="74" w:name="_Toc184310327"/>
      <w:bookmarkEnd w:id="74"/>
      <w:bookmarkStart w:id="75" w:name="_Toc184312105"/>
      <w:bookmarkEnd w:id="75"/>
      <w:bookmarkStart w:id="76" w:name="_Toc184310298"/>
      <w:bookmarkEnd w:id="76"/>
      <w:bookmarkStart w:id="77" w:name="_Toc184308068"/>
      <w:bookmarkEnd w:id="77"/>
      <w:bookmarkStart w:id="78" w:name="_Toc184314470"/>
      <w:bookmarkEnd w:id="78"/>
      <w:bookmarkStart w:id="79" w:name="_Toc184308093"/>
      <w:bookmarkEnd w:id="79"/>
      <w:bookmarkStart w:id="80" w:name="_Toc184312117"/>
      <w:bookmarkEnd w:id="80"/>
      <w:bookmarkStart w:id="81" w:name="_Toc184312115"/>
      <w:bookmarkEnd w:id="81"/>
      <w:bookmarkStart w:id="82" w:name="_Toc184310305"/>
      <w:bookmarkEnd w:id="82"/>
      <w:bookmarkStart w:id="83" w:name="_Toc184313252"/>
      <w:bookmarkEnd w:id="83"/>
      <w:bookmarkStart w:id="84" w:name="_Toc184312134"/>
      <w:bookmarkEnd w:id="84"/>
      <w:bookmarkStart w:id="85" w:name="_Toc184313289"/>
      <w:bookmarkEnd w:id="85"/>
      <w:bookmarkStart w:id="86" w:name="_Toc184312071"/>
      <w:bookmarkEnd w:id="86"/>
      <w:bookmarkStart w:id="87" w:name="_Toc184314430"/>
      <w:bookmarkEnd w:id="87"/>
      <w:bookmarkStart w:id="88" w:name="_Toc184308060"/>
      <w:bookmarkEnd w:id="88"/>
      <w:bookmarkStart w:id="89" w:name="_Toc184308100"/>
      <w:bookmarkEnd w:id="89"/>
      <w:bookmarkStart w:id="90" w:name="_Toc184308065"/>
      <w:bookmarkEnd w:id="90"/>
      <w:bookmarkStart w:id="91" w:name="_Toc184312126"/>
      <w:bookmarkEnd w:id="91"/>
      <w:bookmarkStart w:id="92" w:name="_Toc184314481"/>
      <w:bookmarkEnd w:id="92"/>
      <w:bookmarkStart w:id="93" w:name="_Toc184314452"/>
      <w:bookmarkEnd w:id="93"/>
      <w:bookmarkStart w:id="94" w:name="_Toc184314444"/>
      <w:bookmarkEnd w:id="94"/>
      <w:bookmarkStart w:id="95" w:name="_Toc184314471"/>
      <w:bookmarkEnd w:id="95"/>
      <w:bookmarkStart w:id="96" w:name="_Toc184314416"/>
      <w:bookmarkEnd w:id="96"/>
      <w:bookmarkStart w:id="97" w:name="_Toc184314454"/>
      <w:bookmarkEnd w:id="97"/>
      <w:bookmarkStart w:id="98" w:name="_Toc184314475"/>
      <w:bookmarkEnd w:id="98"/>
      <w:bookmarkStart w:id="99" w:name="_Toc184313251"/>
      <w:bookmarkEnd w:id="99"/>
      <w:bookmarkStart w:id="100" w:name="_Toc184308063"/>
      <w:bookmarkEnd w:id="100"/>
      <w:bookmarkStart w:id="101" w:name="_Toc184312103"/>
      <w:bookmarkEnd w:id="101"/>
      <w:bookmarkStart w:id="102" w:name="_Toc184314469"/>
      <w:bookmarkEnd w:id="102"/>
      <w:bookmarkStart w:id="103" w:name="_Toc184313293"/>
      <w:bookmarkEnd w:id="103"/>
      <w:bookmarkStart w:id="104" w:name="_Toc184313297"/>
      <w:bookmarkEnd w:id="104"/>
      <w:bookmarkStart w:id="105" w:name="_Toc184310338"/>
      <w:bookmarkEnd w:id="105"/>
      <w:bookmarkStart w:id="106" w:name="_Toc184312132"/>
      <w:bookmarkEnd w:id="106"/>
      <w:bookmarkStart w:id="107" w:name="_Toc184308036"/>
      <w:bookmarkEnd w:id="107"/>
      <w:bookmarkStart w:id="108" w:name="_Toc184312127"/>
      <w:bookmarkEnd w:id="108"/>
      <w:bookmarkStart w:id="109" w:name="_Toc184312077"/>
      <w:bookmarkEnd w:id="109"/>
      <w:bookmarkStart w:id="110" w:name="_Toc184313276"/>
      <w:bookmarkEnd w:id="110"/>
      <w:bookmarkStart w:id="111" w:name="_Toc184310330"/>
      <w:bookmarkEnd w:id="111"/>
      <w:bookmarkStart w:id="112" w:name="_Toc184310288"/>
      <w:bookmarkEnd w:id="112"/>
      <w:bookmarkStart w:id="113" w:name="_Toc184314450"/>
      <w:bookmarkEnd w:id="113"/>
      <w:bookmarkStart w:id="114" w:name="_Toc184314431"/>
      <w:bookmarkEnd w:id="114"/>
      <w:bookmarkStart w:id="115" w:name="_Toc184308098"/>
      <w:bookmarkEnd w:id="115"/>
      <w:bookmarkStart w:id="116" w:name="_Toc184308084"/>
      <w:bookmarkEnd w:id="116"/>
      <w:bookmarkStart w:id="117" w:name="_Toc184308055"/>
      <w:bookmarkEnd w:id="117"/>
      <w:bookmarkStart w:id="118" w:name="_Toc184312069"/>
      <w:bookmarkEnd w:id="118"/>
      <w:bookmarkStart w:id="119" w:name="_Toc184310278"/>
      <w:bookmarkEnd w:id="119"/>
      <w:bookmarkStart w:id="120" w:name="_Toc184308092"/>
      <w:bookmarkEnd w:id="120"/>
      <w:bookmarkStart w:id="121" w:name="_Toc184308058"/>
      <w:bookmarkEnd w:id="121"/>
      <w:bookmarkStart w:id="122" w:name="_Toc184308044"/>
      <w:bookmarkEnd w:id="122"/>
      <w:bookmarkStart w:id="123" w:name="_Toc184308038"/>
      <w:bookmarkEnd w:id="123"/>
      <w:bookmarkStart w:id="124" w:name="_Toc184313266"/>
      <w:bookmarkEnd w:id="124"/>
      <w:bookmarkStart w:id="125" w:name="_Toc184314467"/>
      <w:bookmarkEnd w:id="125"/>
      <w:bookmarkStart w:id="126" w:name="_Toc184312073"/>
      <w:bookmarkEnd w:id="126"/>
      <w:bookmarkStart w:id="127" w:name="_Toc184313245"/>
      <w:bookmarkEnd w:id="127"/>
      <w:bookmarkStart w:id="128" w:name="_Toc184312085"/>
      <w:bookmarkEnd w:id="128"/>
      <w:bookmarkStart w:id="129" w:name="_Toc184312121"/>
      <w:bookmarkEnd w:id="129"/>
      <w:bookmarkStart w:id="130" w:name="_Toc184312082"/>
      <w:bookmarkEnd w:id="130"/>
      <w:bookmarkStart w:id="131" w:name="_Toc184314447"/>
      <w:bookmarkEnd w:id="131"/>
      <w:bookmarkStart w:id="132" w:name="_Toc184312133"/>
      <w:bookmarkEnd w:id="132"/>
      <w:bookmarkStart w:id="133" w:name="_Toc184314465"/>
      <w:bookmarkEnd w:id="133"/>
      <w:bookmarkStart w:id="134" w:name="_Toc184310289"/>
      <w:bookmarkEnd w:id="134"/>
      <w:bookmarkStart w:id="135" w:name="_Toc184312125"/>
      <w:bookmarkEnd w:id="135"/>
      <w:bookmarkStart w:id="136" w:name="_Toc184313264"/>
      <w:bookmarkEnd w:id="136"/>
      <w:bookmarkStart w:id="137" w:name="_Toc184313254"/>
      <w:bookmarkEnd w:id="137"/>
      <w:bookmarkStart w:id="138" w:name="_Toc184313262"/>
      <w:bookmarkEnd w:id="138"/>
      <w:bookmarkStart w:id="139" w:name="_Toc184308074"/>
      <w:bookmarkEnd w:id="139"/>
      <w:bookmarkStart w:id="140" w:name="_Toc184313239"/>
      <w:bookmarkEnd w:id="140"/>
      <w:bookmarkStart w:id="141" w:name="_Toc184313265"/>
      <w:bookmarkEnd w:id="141"/>
      <w:bookmarkStart w:id="142" w:name="_Toc184310301"/>
      <w:bookmarkEnd w:id="142"/>
      <w:bookmarkStart w:id="143" w:name="_Toc184308090"/>
      <w:bookmarkEnd w:id="143"/>
      <w:bookmarkStart w:id="144" w:name="_Toc184310317"/>
      <w:bookmarkEnd w:id="144"/>
      <w:bookmarkStart w:id="145" w:name="_Toc184314476"/>
      <w:bookmarkEnd w:id="145"/>
      <w:bookmarkStart w:id="146" w:name="_Toc184313256"/>
      <w:bookmarkEnd w:id="146"/>
      <w:bookmarkStart w:id="147" w:name="_Toc184308042"/>
      <w:bookmarkEnd w:id="147"/>
      <w:bookmarkStart w:id="148" w:name="_Toc184310290"/>
      <w:bookmarkEnd w:id="148"/>
      <w:bookmarkStart w:id="149" w:name="_Toc184314463"/>
      <w:bookmarkEnd w:id="149"/>
      <w:bookmarkStart w:id="150" w:name="_Toc184313298"/>
      <w:bookmarkEnd w:id="150"/>
      <w:bookmarkStart w:id="151" w:name="_Toc184313285"/>
      <w:bookmarkEnd w:id="151"/>
      <w:bookmarkStart w:id="152" w:name="_Toc184308105"/>
      <w:bookmarkEnd w:id="152"/>
      <w:bookmarkStart w:id="153" w:name="_Toc184310276"/>
      <w:bookmarkEnd w:id="153"/>
      <w:bookmarkStart w:id="154" w:name="_Toc184310274"/>
      <w:bookmarkEnd w:id="154"/>
      <w:bookmarkStart w:id="155" w:name="_Toc184314436"/>
      <w:bookmarkEnd w:id="155"/>
      <w:bookmarkStart w:id="156" w:name="_Toc184313279"/>
      <w:bookmarkEnd w:id="156"/>
      <w:bookmarkStart w:id="157" w:name="_Toc184308091"/>
      <w:bookmarkEnd w:id="157"/>
      <w:bookmarkStart w:id="158" w:name="_Toc184313300"/>
      <w:bookmarkEnd w:id="158"/>
      <w:bookmarkStart w:id="159" w:name="_Toc184313247"/>
      <w:bookmarkEnd w:id="159"/>
      <w:bookmarkStart w:id="160" w:name="_Toc184308071"/>
      <w:bookmarkEnd w:id="160"/>
      <w:bookmarkStart w:id="161" w:name="_Toc184314466"/>
      <w:bookmarkEnd w:id="161"/>
      <w:bookmarkStart w:id="162" w:name="_Toc184310308"/>
      <w:bookmarkEnd w:id="162"/>
      <w:bookmarkStart w:id="163" w:name="_Toc184310335"/>
      <w:bookmarkEnd w:id="163"/>
      <w:bookmarkStart w:id="164" w:name="_Toc184314425"/>
      <w:bookmarkEnd w:id="164"/>
      <w:bookmarkStart w:id="165" w:name="_Toc184313294"/>
      <w:bookmarkEnd w:id="165"/>
      <w:bookmarkStart w:id="166" w:name="_Toc184312100"/>
      <w:bookmarkEnd w:id="166"/>
      <w:bookmarkStart w:id="167" w:name="_Toc184308081"/>
      <w:bookmarkEnd w:id="167"/>
      <w:bookmarkStart w:id="168" w:name="_Toc184308041"/>
      <w:bookmarkEnd w:id="168"/>
      <w:bookmarkStart w:id="169" w:name="_Toc184312081"/>
      <w:bookmarkEnd w:id="169"/>
      <w:bookmarkStart w:id="170" w:name="_Toc184312079"/>
      <w:bookmarkEnd w:id="170"/>
      <w:bookmarkStart w:id="171" w:name="_Toc184314412"/>
      <w:bookmarkEnd w:id="171"/>
      <w:bookmarkStart w:id="172" w:name="_Toc184310322"/>
      <w:bookmarkEnd w:id="172"/>
      <w:bookmarkStart w:id="173" w:name="_Toc184313260"/>
      <w:bookmarkEnd w:id="173"/>
      <w:bookmarkStart w:id="174" w:name="_Toc184310344"/>
      <w:bookmarkEnd w:id="174"/>
      <w:bookmarkStart w:id="175" w:name="_Toc184313263"/>
      <w:bookmarkEnd w:id="175"/>
      <w:bookmarkStart w:id="176" w:name="_Toc184310339"/>
      <w:bookmarkEnd w:id="176"/>
      <w:bookmarkStart w:id="177" w:name="_Toc184308043"/>
      <w:bookmarkEnd w:id="177"/>
      <w:bookmarkStart w:id="178" w:name="_Toc184312098"/>
      <w:bookmarkEnd w:id="178"/>
      <w:bookmarkStart w:id="179" w:name="_Toc184313309"/>
      <w:bookmarkEnd w:id="179"/>
      <w:bookmarkStart w:id="180" w:name="_Toc184312075"/>
      <w:bookmarkEnd w:id="180"/>
      <w:bookmarkStart w:id="181" w:name="_Toc184313272"/>
      <w:bookmarkEnd w:id="181"/>
      <w:bookmarkStart w:id="182" w:name="_Toc184308067"/>
      <w:bookmarkEnd w:id="182"/>
      <w:bookmarkStart w:id="183" w:name="_Toc184312067"/>
      <w:bookmarkEnd w:id="183"/>
      <w:bookmarkStart w:id="184" w:name="_Toc184308096"/>
      <w:bookmarkEnd w:id="184"/>
      <w:bookmarkStart w:id="185" w:name="_Toc184312108"/>
      <w:bookmarkEnd w:id="185"/>
      <w:bookmarkStart w:id="186" w:name="_Toc184312072"/>
      <w:bookmarkEnd w:id="186"/>
      <w:bookmarkStart w:id="187" w:name="_Toc184308089"/>
      <w:bookmarkEnd w:id="187"/>
      <w:bookmarkStart w:id="188" w:name="_Toc184314417"/>
      <w:bookmarkEnd w:id="188"/>
      <w:bookmarkStart w:id="189" w:name="_Toc184308106"/>
      <w:bookmarkEnd w:id="189"/>
      <w:bookmarkStart w:id="190" w:name="_Toc184310296"/>
      <w:bookmarkEnd w:id="190"/>
      <w:bookmarkStart w:id="191" w:name="_Toc184310341"/>
      <w:bookmarkEnd w:id="191"/>
      <w:bookmarkStart w:id="192" w:name="_Toc184312104"/>
      <w:bookmarkEnd w:id="192"/>
      <w:bookmarkStart w:id="193" w:name="_Toc184314413"/>
      <w:bookmarkEnd w:id="193"/>
      <w:bookmarkStart w:id="194" w:name="_Toc184313301"/>
      <w:bookmarkEnd w:id="194"/>
      <w:bookmarkStart w:id="195" w:name="_Toc184314420"/>
      <w:bookmarkEnd w:id="195"/>
      <w:bookmarkStart w:id="196" w:name="_Toc184313242"/>
      <w:bookmarkEnd w:id="196"/>
      <w:bookmarkStart w:id="197" w:name="_Toc184310342"/>
      <w:bookmarkEnd w:id="197"/>
      <w:bookmarkStart w:id="198" w:name="_Toc184313248"/>
      <w:bookmarkEnd w:id="198"/>
      <w:bookmarkStart w:id="199" w:name="_Toc184310272"/>
      <w:bookmarkEnd w:id="199"/>
      <w:bookmarkStart w:id="200" w:name="_Toc184308077"/>
      <w:bookmarkEnd w:id="200"/>
      <w:bookmarkStart w:id="201" w:name="_Toc184312068"/>
      <w:bookmarkEnd w:id="201"/>
      <w:bookmarkStart w:id="202" w:name="_Toc184314443"/>
      <w:bookmarkEnd w:id="202"/>
      <w:bookmarkStart w:id="203" w:name="_Toc184310314"/>
      <w:bookmarkEnd w:id="203"/>
      <w:bookmarkStart w:id="204" w:name="_Toc184313308"/>
      <w:bookmarkEnd w:id="204"/>
      <w:bookmarkStart w:id="205" w:name="_Toc184313303"/>
      <w:bookmarkEnd w:id="205"/>
      <w:bookmarkStart w:id="206" w:name="_Toc184308057"/>
      <w:bookmarkEnd w:id="206"/>
      <w:bookmarkStart w:id="207" w:name="_Toc184310319"/>
      <w:bookmarkEnd w:id="207"/>
      <w:bookmarkStart w:id="208" w:name="_Toc184313258"/>
      <w:bookmarkEnd w:id="208"/>
      <w:bookmarkStart w:id="209" w:name="_Toc184313267"/>
      <w:bookmarkEnd w:id="209"/>
      <w:bookmarkStart w:id="210" w:name="_Toc184314445"/>
      <w:bookmarkEnd w:id="210"/>
      <w:bookmarkStart w:id="211" w:name="_Toc184310273"/>
      <w:bookmarkEnd w:id="211"/>
      <w:bookmarkStart w:id="212" w:name="_Toc184310302"/>
      <w:bookmarkEnd w:id="212"/>
      <w:bookmarkStart w:id="213" w:name="_Toc184314439"/>
      <w:bookmarkEnd w:id="213"/>
      <w:bookmarkStart w:id="214" w:name="_Toc184314461"/>
      <w:bookmarkEnd w:id="214"/>
      <w:bookmarkStart w:id="215" w:name="_Toc184313241"/>
      <w:bookmarkEnd w:id="215"/>
      <w:bookmarkStart w:id="216" w:name="_Toc184314422"/>
      <w:bookmarkEnd w:id="216"/>
      <w:bookmarkStart w:id="217" w:name="_Toc184312087"/>
      <w:bookmarkEnd w:id="217"/>
      <w:bookmarkStart w:id="218" w:name="_Toc184308079"/>
      <w:bookmarkEnd w:id="218"/>
      <w:bookmarkStart w:id="219" w:name="_Toc184313296"/>
      <w:bookmarkEnd w:id="219"/>
      <w:bookmarkStart w:id="220" w:name="_Toc184313295"/>
      <w:bookmarkEnd w:id="220"/>
      <w:bookmarkStart w:id="221" w:name="_Toc184308072"/>
      <w:bookmarkEnd w:id="221"/>
      <w:bookmarkStart w:id="222" w:name="_Toc184310297"/>
      <w:bookmarkEnd w:id="222"/>
      <w:bookmarkStart w:id="223" w:name="_Toc184312078"/>
      <w:bookmarkEnd w:id="223"/>
      <w:bookmarkStart w:id="224" w:name="_Toc184308062"/>
      <w:bookmarkEnd w:id="224"/>
      <w:bookmarkStart w:id="225" w:name="_Toc184308076"/>
      <w:bookmarkEnd w:id="225"/>
      <w:bookmarkStart w:id="226" w:name="_Toc184308064"/>
      <w:bookmarkEnd w:id="226"/>
      <w:bookmarkStart w:id="227" w:name="_Toc184312109"/>
      <w:bookmarkEnd w:id="227"/>
      <w:bookmarkStart w:id="228" w:name="_Toc184314456"/>
      <w:bookmarkEnd w:id="228"/>
      <w:bookmarkStart w:id="229" w:name="_Toc184313281"/>
      <w:bookmarkEnd w:id="229"/>
      <w:bookmarkStart w:id="230" w:name="_Toc184312097"/>
      <w:bookmarkEnd w:id="230"/>
      <w:bookmarkStart w:id="231" w:name="_Toc184314411"/>
      <w:bookmarkEnd w:id="231"/>
      <w:bookmarkStart w:id="232" w:name="_Toc184313277"/>
      <w:bookmarkEnd w:id="232"/>
      <w:bookmarkStart w:id="233" w:name="_Toc184310286"/>
      <w:bookmarkEnd w:id="233"/>
      <w:bookmarkStart w:id="234" w:name="_Toc184313259"/>
      <w:bookmarkEnd w:id="234"/>
      <w:bookmarkStart w:id="235" w:name="_Toc184312128"/>
      <w:bookmarkEnd w:id="235"/>
      <w:bookmarkStart w:id="236" w:name="_Toc184308086"/>
      <w:bookmarkEnd w:id="236"/>
      <w:bookmarkStart w:id="237" w:name="_Toc184310313"/>
      <w:bookmarkEnd w:id="237"/>
      <w:bookmarkStart w:id="238" w:name="_Toc184314477"/>
      <w:bookmarkEnd w:id="238"/>
      <w:bookmarkStart w:id="239" w:name="_Toc184313270"/>
      <w:bookmarkEnd w:id="239"/>
      <w:bookmarkStart w:id="240" w:name="_Toc184308101"/>
      <w:bookmarkEnd w:id="240"/>
      <w:bookmarkStart w:id="241" w:name="_Toc184314423"/>
      <w:bookmarkEnd w:id="241"/>
      <w:bookmarkStart w:id="242" w:name="_Toc184312113"/>
      <w:bookmarkEnd w:id="242"/>
      <w:bookmarkStart w:id="243" w:name="_Toc184310333"/>
      <w:bookmarkEnd w:id="243"/>
      <w:bookmarkStart w:id="244" w:name="_Toc184314473"/>
      <w:bookmarkEnd w:id="244"/>
      <w:bookmarkStart w:id="245" w:name="_Toc184308075"/>
      <w:bookmarkEnd w:id="245"/>
      <w:bookmarkStart w:id="246" w:name="_Toc184314440"/>
      <w:bookmarkEnd w:id="246"/>
      <w:bookmarkStart w:id="247" w:name="_Toc184308052"/>
      <w:bookmarkEnd w:id="247"/>
      <w:bookmarkStart w:id="248" w:name="_Toc184314462"/>
      <w:bookmarkEnd w:id="248"/>
      <w:bookmarkStart w:id="249" w:name="_Toc184308050"/>
      <w:bookmarkEnd w:id="249"/>
      <w:bookmarkStart w:id="250" w:name="_Toc184310325"/>
      <w:bookmarkEnd w:id="250"/>
      <w:bookmarkStart w:id="251" w:name="_Toc184314438"/>
      <w:bookmarkEnd w:id="251"/>
      <w:bookmarkStart w:id="252" w:name="_Toc184313286"/>
      <w:bookmarkEnd w:id="252"/>
      <w:bookmarkStart w:id="253" w:name="_Toc184312129"/>
      <w:bookmarkEnd w:id="253"/>
      <w:bookmarkStart w:id="254" w:name="_Toc184312106"/>
      <w:bookmarkEnd w:id="254"/>
      <w:bookmarkStart w:id="255" w:name="_Toc184312092"/>
      <w:bookmarkEnd w:id="255"/>
      <w:bookmarkStart w:id="256" w:name="_Toc184310284"/>
      <w:bookmarkEnd w:id="256"/>
      <w:bookmarkStart w:id="257" w:name="_Toc184310307"/>
      <w:bookmarkEnd w:id="257"/>
      <w:bookmarkStart w:id="258" w:name="_Toc184314482"/>
      <w:bookmarkEnd w:id="258"/>
      <w:bookmarkStart w:id="259" w:name="_Toc184310295"/>
      <w:bookmarkEnd w:id="259"/>
      <w:bookmarkStart w:id="260" w:name="_Toc184310282"/>
      <w:bookmarkEnd w:id="260"/>
      <w:bookmarkStart w:id="261" w:name="_Toc184308108"/>
      <w:bookmarkEnd w:id="261"/>
      <w:bookmarkStart w:id="262" w:name="_Toc184308107"/>
      <w:bookmarkEnd w:id="262"/>
      <w:bookmarkStart w:id="263" w:name="_Toc184314427"/>
      <w:bookmarkEnd w:id="263"/>
      <w:bookmarkStart w:id="264" w:name="_Toc184310312"/>
      <w:bookmarkEnd w:id="264"/>
      <w:bookmarkStart w:id="265" w:name="_Toc184310343"/>
      <w:bookmarkEnd w:id="265"/>
      <w:bookmarkStart w:id="266" w:name="_Toc184310320"/>
      <w:bookmarkEnd w:id="266"/>
      <w:bookmarkStart w:id="267" w:name="_Toc184314415"/>
      <w:bookmarkEnd w:id="267"/>
      <w:bookmarkStart w:id="268" w:name="_Toc184313274"/>
      <w:bookmarkEnd w:id="268"/>
      <w:bookmarkStart w:id="269" w:name="_Toc184312116"/>
      <w:bookmarkEnd w:id="269"/>
      <w:bookmarkStart w:id="270" w:name="_Toc184308088"/>
      <w:bookmarkEnd w:id="270"/>
      <w:bookmarkStart w:id="271" w:name="_Toc184312137"/>
      <w:bookmarkEnd w:id="271"/>
      <w:bookmarkStart w:id="272" w:name="_Toc184312094"/>
      <w:bookmarkEnd w:id="272"/>
      <w:bookmarkStart w:id="273" w:name="_Toc184313261"/>
      <w:bookmarkEnd w:id="273"/>
      <w:bookmarkStart w:id="274" w:name="_Toc184308048"/>
      <w:bookmarkEnd w:id="274"/>
      <w:bookmarkStart w:id="275" w:name="_Toc184313292"/>
      <w:bookmarkEnd w:id="275"/>
      <w:bookmarkStart w:id="276" w:name="_Toc184310283"/>
      <w:bookmarkEnd w:id="276"/>
      <w:bookmarkStart w:id="277" w:name="_Toc184310334"/>
      <w:bookmarkEnd w:id="277"/>
      <w:bookmarkStart w:id="278" w:name="_Toc184310321"/>
      <w:bookmarkEnd w:id="278"/>
      <w:bookmarkStart w:id="279" w:name="_Toc184310304"/>
      <w:bookmarkEnd w:id="279"/>
      <w:bookmarkStart w:id="280" w:name="_Toc184314432"/>
      <w:bookmarkEnd w:id="280"/>
      <w:bookmarkStart w:id="281" w:name="_Toc184308047"/>
      <w:bookmarkEnd w:id="281"/>
      <w:bookmarkStart w:id="282" w:name="_Toc184308095"/>
      <w:bookmarkEnd w:id="282"/>
      <w:bookmarkStart w:id="283" w:name="_Toc184308097"/>
      <w:bookmarkEnd w:id="283"/>
      <w:bookmarkStart w:id="284" w:name="_Toc184313273"/>
      <w:bookmarkEnd w:id="284"/>
      <w:bookmarkStart w:id="285" w:name="_Toc184310326"/>
      <w:bookmarkEnd w:id="285"/>
      <w:bookmarkStart w:id="286" w:name="_Toc184310280"/>
      <w:bookmarkEnd w:id="286"/>
      <w:bookmarkStart w:id="287" w:name="_Toc184308045"/>
      <w:bookmarkEnd w:id="287"/>
      <w:bookmarkStart w:id="288" w:name="_Toc184310332"/>
      <w:bookmarkEnd w:id="288"/>
      <w:bookmarkStart w:id="289" w:name="_Toc184312111"/>
      <w:bookmarkEnd w:id="289"/>
      <w:bookmarkStart w:id="290" w:name="_Toc184310285"/>
      <w:bookmarkEnd w:id="290"/>
      <w:bookmarkStart w:id="291" w:name="_Toc184313278"/>
      <w:bookmarkEnd w:id="291"/>
      <w:bookmarkStart w:id="292" w:name="_Toc184312135"/>
      <w:bookmarkEnd w:id="292"/>
      <w:bookmarkStart w:id="293" w:name="_Toc184308066"/>
      <w:bookmarkEnd w:id="293"/>
      <w:bookmarkStart w:id="294" w:name="_Toc184312131"/>
      <w:bookmarkEnd w:id="294"/>
      <w:bookmarkStart w:id="295" w:name="_Toc184308085"/>
      <w:bookmarkEnd w:id="295"/>
      <w:bookmarkStart w:id="296" w:name="_Toc184314424"/>
      <w:bookmarkEnd w:id="296"/>
      <w:bookmarkStart w:id="297" w:name="_Toc184312114"/>
      <w:bookmarkEnd w:id="297"/>
      <w:bookmarkStart w:id="298" w:name="_Toc184312070"/>
      <w:bookmarkEnd w:id="298"/>
      <w:bookmarkStart w:id="299" w:name="_Toc184313240"/>
      <w:bookmarkEnd w:id="299"/>
      <w:bookmarkStart w:id="300" w:name="_Toc184310311"/>
      <w:bookmarkEnd w:id="300"/>
      <w:bookmarkStart w:id="301" w:name="_Toc184314441"/>
      <w:bookmarkEnd w:id="301"/>
      <w:bookmarkStart w:id="302" w:name="_Toc184310323"/>
      <w:bookmarkEnd w:id="302"/>
      <w:bookmarkStart w:id="303" w:name="_Toc184312093"/>
      <w:bookmarkEnd w:id="303"/>
      <w:bookmarkStart w:id="304" w:name="_Toc184314410"/>
      <w:bookmarkEnd w:id="304"/>
      <w:bookmarkStart w:id="305" w:name="_Toc184308094"/>
      <w:bookmarkEnd w:id="305"/>
      <w:bookmarkStart w:id="306" w:name="_Toc184312089"/>
      <w:bookmarkEnd w:id="306"/>
      <w:bookmarkStart w:id="307" w:name="_Toc184314472"/>
      <w:bookmarkEnd w:id="307"/>
      <w:bookmarkStart w:id="308" w:name="_Toc184308056"/>
      <w:bookmarkEnd w:id="308"/>
      <w:bookmarkStart w:id="309" w:name="_Toc184314460"/>
      <w:bookmarkEnd w:id="309"/>
      <w:bookmarkStart w:id="310" w:name="_Toc184312120"/>
      <w:bookmarkEnd w:id="310"/>
      <w:bookmarkStart w:id="311" w:name="_Toc184312102"/>
      <w:bookmarkEnd w:id="311"/>
      <w:bookmarkStart w:id="312" w:name="_Toc184308083"/>
      <w:bookmarkEnd w:id="312"/>
      <w:bookmarkStart w:id="313" w:name="_Toc184314442"/>
      <w:bookmarkEnd w:id="313"/>
      <w:bookmarkStart w:id="314" w:name="_Toc184312101"/>
      <w:bookmarkEnd w:id="314"/>
      <w:bookmarkStart w:id="315" w:name="_Toc184314474"/>
      <w:bookmarkEnd w:id="315"/>
      <w:bookmarkStart w:id="316" w:name="_Toc184310287"/>
      <w:bookmarkEnd w:id="316"/>
      <w:bookmarkStart w:id="317" w:name="_Toc184310277"/>
      <w:bookmarkEnd w:id="317"/>
      <w:bookmarkStart w:id="318" w:name="_Toc184310299"/>
      <w:bookmarkEnd w:id="318"/>
      <w:bookmarkStart w:id="319" w:name="_Toc184310309"/>
      <w:bookmarkEnd w:id="319"/>
      <w:bookmarkStart w:id="320" w:name="_Toc184310328"/>
      <w:bookmarkEnd w:id="320"/>
      <w:bookmarkStart w:id="321" w:name="_Toc184314479"/>
      <w:bookmarkEnd w:id="321"/>
      <w:bookmarkStart w:id="322" w:name="_Toc184310279"/>
      <w:bookmarkEnd w:id="322"/>
      <w:bookmarkStart w:id="323" w:name="_Toc184310340"/>
      <w:bookmarkEnd w:id="323"/>
      <w:bookmarkStart w:id="324" w:name="_Toc184314434"/>
      <w:bookmarkEnd w:id="324"/>
      <w:bookmarkStart w:id="325" w:name="_Toc184312124"/>
      <w:bookmarkEnd w:id="325"/>
      <w:bookmarkStart w:id="326" w:name="_Toc184312122"/>
      <w:bookmarkEnd w:id="326"/>
      <w:bookmarkStart w:id="327" w:name="_Toc184313304"/>
      <w:bookmarkEnd w:id="327"/>
      <w:bookmarkStart w:id="328" w:name="_Toc184312083"/>
      <w:bookmarkEnd w:id="328"/>
      <w:bookmarkStart w:id="329" w:name="_Toc184312138"/>
      <w:bookmarkEnd w:id="329"/>
      <w:bookmarkStart w:id="330" w:name="_Toc184312130"/>
      <w:bookmarkEnd w:id="330"/>
      <w:bookmarkStart w:id="331" w:name="_Toc184314459"/>
      <w:bookmarkEnd w:id="331"/>
      <w:bookmarkStart w:id="332" w:name="_Toc184314480"/>
      <w:bookmarkEnd w:id="332"/>
      <w:bookmarkStart w:id="333" w:name="_Toc184313288"/>
      <w:bookmarkEnd w:id="333"/>
      <w:bookmarkStart w:id="334" w:name="_Toc184308087"/>
      <w:bookmarkEnd w:id="334"/>
      <w:bookmarkStart w:id="335" w:name="_Toc184310336"/>
      <w:bookmarkEnd w:id="335"/>
      <w:bookmarkStart w:id="336" w:name="_Toc184314457"/>
      <w:bookmarkEnd w:id="336"/>
      <w:bookmarkStart w:id="337" w:name="_Toc184313244"/>
      <w:bookmarkEnd w:id="337"/>
      <w:bookmarkStart w:id="338" w:name="_Toc184313275"/>
      <w:bookmarkEnd w:id="338"/>
      <w:bookmarkStart w:id="339" w:name="_Toc184313306"/>
      <w:bookmarkEnd w:id="339"/>
      <w:bookmarkStart w:id="340" w:name="_Toc184314451"/>
      <w:bookmarkEnd w:id="340"/>
      <w:bookmarkStart w:id="341" w:name="_Toc184313284"/>
      <w:bookmarkEnd w:id="341"/>
      <w:bookmarkStart w:id="342" w:name="_Toc184308073"/>
      <w:bookmarkEnd w:id="342"/>
      <w:bookmarkStart w:id="343" w:name="_Toc184312139"/>
      <w:bookmarkEnd w:id="343"/>
      <w:bookmarkStart w:id="344" w:name="_Toc184314448"/>
      <w:bookmarkEnd w:id="344"/>
      <w:bookmarkStart w:id="345" w:name="_Toc184312136"/>
      <w:bookmarkEnd w:id="345"/>
      <w:bookmarkStart w:id="346" w:name="_Toc184312096"/>
      <w:bookmarkEnd w:id="346"/>
      <w:bookmarkStart w:id="347" w:name="_Toc184308054"/>
      <w:bookmarkEnd w:id="347"/>
      <w:bookmarkStart w:id="348" w:name="_Toc184310292"/>
      <w:bookmarkEnd w:id="348"/>
      <w:bookmarkStart w:id="349" w:name="_Toc184312095"/>
      <w:bookmarkEnd w:id="349"/>
      <w:bookmarkStart w:id="350" w:name="_Toc184310310"/>
      <w:bookmarkEnd w:id="350"/>
      <w:bookmarkStart w:id="351" w:name="_Toc184308078"/>
      <w:bookmarkEnd w:id="351"/>
      <w:bookmarkStart w:id="352" w:name="_Toc184314429"/>
      <w:bookmarkEnd w:id="352"/>
      <w:bookmarkStart w:id="353" w:name="_Toc184308099"/>
      <w:bookmarkEnd w:id="353"/>
      <w:bookmarkStart w:id="354" w:name="_Toc184308059"/>
      <w:bookmarkEnd w:id="354"/>
      <w:bookmarkStart w:id="355" w:name="_Toc184314453"/>
      <w:bookmarkEnd w:id="355"/>
      <w:bookmarkStart w:id="356" w:name="_Toc184312119"/>
      <w:bookmarkEnd w:id="356"/>
      <w:bookmarkStart w:id="357" w:name="_Toc184313246"/>
      <w:bookmarkEnd w:id="357"/>
      <w:bookmarkStart w:id="358" w:name="_Toc184308053"/>
      <w:bookmarkEnd w:id="358"/>
      <w:bookmarkStart w:id="359" w:name="_Toc184314428"/>
      <w:bookmarkEnd w:id="359"/>
      <w:bookmarkStart w:id="360" w:name="_Toc184314418"/>
      <w:bookmarkEnd w:id="360"/>
      <w:bookmarkStart w:id="361" w:name="_Toc184308039"/>
      <w:bookmarkEnd w:id="361"/>
      <w:bookmarkStart w:id="362" w:name="_Toc184310303"/>
      <w:bookmarkEnd w:id="362"/>
      <w:bookmarkStart w:id="363" w:name="_Toc184312080"/>
      <w:bookmarkEnd w:id="363"/>
      <w:bookmarkStart w:id="364" w:name="_Toc184313302"/>
      <w:bookmarkEnd w:id="364"/>
      <w:bookmarkStart w:id="365" w:name="_Toc184313255"/>
      <w:bookmarkEnd w:id="365"/>
      <w:bookmarkStart w:id="366" w:name="_Toc184312091"/>
      <w:bookmarkEnd w:id="366"/>
      <w:bookmarkStart w:id="367" w:name="_Toc184314435"/>
      <w:bookmarkEnd w:id="367"/>
      <w:bookmarkStart w:id="368" w:name="_Toc184312110"/>
      <w:bookmarkEnd w:id="368"/>
      <w:bookmarkStart w:id="369" w:name="_Toc184313287"/>
      <w:bookmarkEnd w:id="369"/>
      <w:bookmarkStart w:id="370" w:name="_Toc184314426"/>
      <w:bookmarkEnd w:id="370"/>
      <w:bookmarkStart w:id="371" w:name="_Toc184314478"/>
      <w:bookmarkEnd w:id="371"/>
      <w:bookmarkStart w:id="372" w:name="_Toc184308080"/>
      <w:bookmarkEnd w:id="372"/>
      <w:bookmarkStart w:id="373" w:name="_Toc184314464"/>
      <w:bookmarkEnd w:id="373"/>
      <w:bookmarkStart w:id="374" w:name="_Toc184308040"/>
      <w:bookmarkEnd w:id="374"/>
      <w:bookmarkStart w:id="375" w:name="_Toc184308103"/>
      <w:bookmarkEnd w:id="375"/>
      <w:bookmarkStart w:id="376" w:name="_Toc184310329"/>
      <w:bookmarkEnd w:id="376"/>
      <w:bookmarkStart w:id="377" w:name="_Toc184313307"/>
      <w:bookmarkEnd w:id="377"/>
      <w:bookmarkStart w:id="378" w:name="_Toc184313310"/>
      <w:bookmarkEnd w:id="378"/>
      <w:bookmarkStart w:id="379" w:name="_Toc184314446"/>
      <w:bookmarkEnd w:id="379"/>
      <w:bookmarkStart w:id="380" w:name="_Toc184314437"/>
      <w:bookmarkEnd w:id="380"/>
      <w:bookmarkStart w:id="381" w:name="_Toc184308104"/>
      <w:bookmarkEnd w:id="381"/>
      <w:bookmarkStart w:id="382" w:name="_Toc184314455"/>
      <w:bookmarkEnd w:id="382"/>
      <w:bookmarkStart w:id="383" w:name="_Toc184313249"/>
      <w:bookmarkEnd w:id="383"/>
      <w:bookmarkStart w:id="384" w:name="_Toc184310318"/>
      <w:bookmarkEnd w:id="384"/>
      <w:bookmarkStart w:id="385" w:name="_Toc184310337"/>
      <w:bookmarkEnd w:id="385"/>
      <w:bookmarkStart w:id="386" w:name="_Toc184308082"/>
      <w:bookmarkEnd w:id="386"/>
      <w:bookmarkStart w:id="387" w:name="_Toc184313268"/>
      <w:bookmarkEnd w:id="387"/>
      <w:bookmarkStart w:id="388" w:name="_Toc184312123"/>
      <w:bookmarkEnd w:id="388"/>
      <w:bookmarkStart w:id="389" w:name="_Toc184308049"/>
      <w:bookmarkEnd w:id="389"/>
      <w:bookmarkStart w:id="390" w:name="_Toc184313238"/>
      <w:bookmarkEnd w:id="390"/>
      <w:bookmarkStart w:id="391" w:name="_Toc184310281"/>
      <w:bookmarkEnd w:id="391"/>
      <w:bookmarkStart w:id="392" w:name="_Toc184312076"/>
      <w:bookmarkEnd w:id="392"/>
      <w:bookmarkStart w:id="393" w:name="_Toc184312099"/>
      <w:bookmarkEnd w:id="393"/>
      <w:bookmarkStart w:id="394" w:name="_Toc184313283"/>
      <w:bookmarkEnd w:id="394"/>
      <w:bookmarkStart w:id="395" w:name="_Toc184313282"/>
      <w:bookmarkEnd w:id="395"/>
      <w:bookmarkStart w:id="396" w:name="_Toc184313269"/>
      <w:bookmarkEnd w:id="396"/>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6"/>
        <w:tblW w:w="10020" w:type="dxa"/>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6468"/>
        <w:gridCol w:w="684"/>
        <w:gridCol w:w="828"/>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trPr>
        <w:tc>
          <w:tcPr>
            <w:tcW w:w="480"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6468"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684"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828" w:type="dxa"/>
            <w:vAlign w:val="center"/>
          </w:tcPr>
          <w:p>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1560" w:type="dxa"/>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trPr>
        <w:tc>
          <w:tcPr>
            <w:tcW w:w="480"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6468" w:type="dxa"/>
            <w:vAlign w:val="center"/>
          </w:tcPr>
          <w:p>
            <w:pPr>
              <w:pStyle w:val="64"/>
              <w:spacing w:line="360" w:lineRule="auto"/>
              <w:ind w:left="0" w:leftChars="0" w:firstLine="0" w:firstLineChars="0"/>
              <w:jc w:val="left"/>
              <w:rPr>
                <w:rFonts w:cs="宋体"/>
                <w:color w:val="auto"/>
                <w:kern w:val="0"/>
                <w:sz w:val="24"/>
                <w:highlight w:val="none"/>
              </w:rPr>
            </w:pPr>
            <w:r>
              <w:rPr>
                <w:rFonts w:hint="eastAsia" w:cs="宋体"/>
                <w:color w:val="auto"/>
                <w:kern w:val="0"/>
                <w:sz w:val="24"/>
                <w:highlight w:val="none"/>
              </w:rPr>
              <w:t>针对本项目的服务理念、定位、目标：根据本项目服务特点提出合理的管理服务理念，提出服务定位、目标，投标人的管理模式能够切合实际。①服务定位、②服务目标、③文明服务的计划；每一项内容完整、措施有效、符合采购人实际视为合理得</w:t>
            </w:r>
            <w:r>
              <w:rPr>
                <w:rFonts w:hint="eastAsia" w:cs="宋体"/>
                <w:color w:val="auto"/>
                <w:kern w:val="0"/>
                <w:sz w:val="24"/>
                <w:highlight w:val="none"/>
                <w:lang w:val="en-US" w:eastAsia="zh-CN"/>
              </w:rPr>
              <w:t>3</w:t>
            </w:r>
            <w:r>
              <w:rPr>
                <w:rFonts w:hint="eastAsia" w:cs="宋体"/>
                <w:color w:val="auto"/>
                <w:kern w:val="0"/>
                <w:sz w:val="24"/>
                <w:highlight w:val="none"/>
              </w:rPr>
              <w:t>分；每一项内容较为完整、措施较为有效、较为符合采购人实际得2分；每一项内容有所欠缺需进一步完善得1分；不提供或不合理不得分；本项最多得</w:t>
            </w:r>
            <w:r>
              <w:rPr>
                <w:rFonts w:hint="eastAsia" w:cs="宋体"/>
                <w:color w:val="auto"/>
                <w:kern w:val="0"/>
                <w:sz w:val="24"/>
                <w:highlight w:val="none"/>
                <w:lang w:val="en-US" w:eastAsia="zh-CN"/>
              </w:rPr>
              <w:t>9</w:t>
            </w:r>
            <w:r>
              <w:rPr>
                <w:rFonts w:hint="eastAsia" w:cs="宋体"/>
                <w:color w:val="auto"/>
                <w:kern w:val="0"/>
                <w:sz w:val="24"/>
                <w:highlight w:val="none"/>
              </w:rPr>
              <w:t>分。</w:t>
            </w:r>
          </w:p>
        </w:tc>
        <w:tc>
          <w:tcPr>
            <w:tcW w:w="684"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9</w:t>
            </w:r>
          </w:p>
        </w:tc>
        <w:tc>
          <w:tcPr>
            <w:tcW w:w="828"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w:t>
            </w:r>
            <w:r>
              <w:rPr>
                <w:rFonts w:hint="eastAsia" w:cs="仿宋_GB2312" w:asciiTheme="minorEastAsia" w:hAnsiTheme="minorEastAsia" w:eastAsiaTheme="minorEastAsia"/>
                <w:color w:val="auto"/>
                <w:sz w:val="24"/>
                <w:highlight w:val="none"/>
              </w:rPr>
              <w:t>观分</w:t>
            </w:r>
          </w:p>
        </w:tc>
        <w:tc>
          <w:tcPr>
            <w:tcW w:w="156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0"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6468" w:type="dxa"/>
            <w:vAlign w:val="center"/>
          </w:tcPr>
          <w:p>
            <w:pPr>
              <w:pStyle w:val="64"/>
              <w:spacing w:line="360" w:lineRule="auto"/>
              <w:ind w:left="0" w:leftChars="0" w:firstLine="0" w:firstLineChars="0"/>
              <w:rPr>
                <w:color w:val="auto"/>
                <w:highlight w:val="none"/>
              </w:rPr>
            </w:pPr>
            <w:r>
              <w:rPr>
                <w:rFonts w:hint="eastAsia" w:ascii="宋体" w:hAnsi="宋体" w:eastAsia="宋体" w:cs="宋体"/>
                <w:color w:val="auto"/>
                <w:kern w:val="0"/>
                <w:sz w:val="24"/>
                <w:highlight w:val="none"/>
              </w:rPr>
              <w:t>针对本项目的组织架构、管理机制：有比较完善的组织架构，清晰简练地列出主要管理流程，包括对运作流程图、激励机制、监督机制、自我约束机制、信息反馈渠道及处理机制。①运作流程图、②激励机制、③监督机制、④自我约束机制、⑤信息反馈渠道及处理机制；每一项内容完整、措施有效、符合采购人实际视为合理</w:t>
            </w:r>
            <w:r>
              <w:rPr>
                <w:rFonts w:hint="eastAsia" w:ascii="宋体" w:hAnsi="宋体" w:eastAsia="宋体" w:cs="宋体"/>
                <w:color w:val="auto"/>
                <w:kern w:val="0"/>
                <w:sz w:val="24"/>
                <w:highlight w:val="none"/>
                <w:lang w:val="en-US" w:eastAsia="zh-CN"/>
              </w:rPr>
              <w:t>得3分；每一项内容较为完整、措施较为有效、较为符合采购人实际得2分；每一项内容有所欠缺需进一步完善得1分；不提供或不合理不得分；本项最多得15分。</w:t>
            </w:r>
          </w:p>
        </w:tc>
        <w:tc>
          <w:tcPr>
            <w:tcW w:w="684"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15</w:t>
            </w:r>
          </w:p>
        </w:tc>
        <w:tc>
          <w:tcPr>
            <w:tcW w:w="828"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w:t>
            </w:r>
            <w:r>
              <w:rPr>
                <w:rFonts w:hint="eastAsia" w:cs="仿宋_GB2312" w:asciiTheme="minorEastAsia" w:hAnsiTheme="minorEastAsia" w:eastAsiaTheme="minorEastAsia"/>
                <w:color w:val="auto"/>
                <w:sz w:val="24"/>
                <w:highlight w:val="none"/>
              </w:rPr>
              <w:t>观分</w:t>
            </w:r>
          </w:p>
        </w:tc>
        <w:tc>
          <w:tcPr>
            <w:tcW w:w="156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atLeast"/>
        </w:trPr>
        <w:tc>
          <w:tcPr>
            <w:tcW w:w="480"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6468" w:type="dxa"/>
            <w:vAlign w:val="center"/>
          </w:tcPr>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针对本项目的管理机构设置：机构设置情况合理可行、可操作性好得</w:t>
            </w:r>
            <w:r>
              <w:rPr>
                <w:rFonts w:hint="eastAsia" w:cs="仿宋_GB2312" w:asciiTheme="minorEastAsia" w:hAnsiTheme="minorEastAsia" w:eastAsiaTheme="minorEastAsia"/>
                <w:color w:val="auto"/>
                <w:sz w:val="24"/>
                <w:highlight w:val="none"/>
                <w:lang w:val="en-US" w:eastAsia="zh-CN"/>
              </w:rPr>
              <w:t>5</w:t>
            </w:r>
            <w:r>
              <w:rPr>
                <w:rFonts w:hint="eastAsia" w:cs="仿宋_GB2312" w:asciiTheme="minorEastAsia" w:hAnsiTheme="minorEastAsia" w:eastAsiaTheme="minorEastAsia"/>
                <w:color w:val="auto"/>
                <w:sz w:val="24"/>
                <w:highlight w:val="none"/>
              </w:rPr>
              <w:t>分；机构设置情况较为合理可行、可操作性较好得</w:t>
            </w:r>
            <w:r>
              <w:rPr>
                <w:rFonts w:hint="eastAsia" w:cs="仿宋_GB2312" w:asciiTheme="minorEastAsia" w:hAnsiTheme="minorEastAsia" w:eastAsiaTheme="minorEastAsia"/>
                <w:color w:val="auto"/>
                <w:sz w:val="24"/>
                <w:highlight w:val="none"/>
                <w:lang w:val="en-US" w:eastAsia="zh-CN"/>
              </w:rPr>
              <w:t>3</w:t>
            </w:r>
            <w:r>
              <w:rPr>
                <w:rFonts w:hint="eastAsia" w:cs="仿宋_GB2312" w:asciiTheme="minorEastAsia" w:hAnsiTheme="minorEastAsia" w:eastAsiaTheme="minorEastAsia"/>
                <w:color w:val="auto"/>
                <w:sz w:val="24"/>
                <w:highlight w:val="none"/>
              </w:rPr>
              <w:t>分；机构设置情况与实际偏差较大得1分；完全不符合或未提供不得分；最多得</w:t>
            </w:r>
            <w:r>
              <w:rPr>
                <w:rFonts w:hint="eastAsia" w:cs="仿宋_GB2312" w:asciiTheme="minorEastAsia" w:hAnsiTheme="minorEastAsia" w:eastAsiaTheme="minorEastAsia"/>
                <w:color w:val="auto"/>
                <w:sz w:val="24"/>
                <w:highlight w:val="none"/>
                <w:lang w:val="en-US" w:eastAsia="zh-CN"/>
              </w:rPr>
              <w:t>5</w:t>
            </w:r>
            <w:r>
              <w:rPr>
                <w:rFonts w:hint="eastAsia" w:cs="仿宋_GB2312" w:asciiTheme="minorEastAsia" w:hAnsiTheme="minorEastAsia" w:eastAsiaTheme="minorEastAsia"/>
                <w:color w:val="auto"/>
                <w:sz w:val="24"/>
                <w:highlight w:val="none"/>
              </w:rPr>
              <w:t>分。</w:t>
            </w:r>
          </w:p>
        </w:tc>
        <w:tc>
          <w:tcPr>
            <w:tcW w:w="684"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5</w:t>
            </w:r>
          </w:p>
        </w:tc>
        <w:tc>
          <w:tcPr>
            <w:tcW w:w="828"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56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480"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6468" w:type="dxa"/>
            <w:vAlign w:val="center"/>
          </w:tcPr>
          <w:p>
            <w:pPr>
              <w:snapToGrid w:val="0"/>
              <w:spacing w:line="360" w:lineRule="auto"/>
              <w:rPr>
                <w:rFonts w:hint="eastAsia"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投标人人员配置：</w:t>
            </w:r>
          </w:p>
          <w:p>
            <w:pPr>
              <w:snapToGrid w:val="0"/>
              <w:spacing w:line="360" w:lineRule="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1、配备不少于4名工作人员，22周岁（含）——45周岁（含），具有大专及以上学历，每满足1人得3分，最多得12分。</w:t>
            </w:r>
          </w:p>
          <w:p>
            <w:pPr>
              <w:snapToGrid w:val="0"/>
              <w:spacing w:line="360" w:lineRule="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2、配备人员中，具有相关工作经验或者法学类（含法律）、工商管理等专业人员不少于1人，满足得3分，不满足不得分；</w:t>
            </w:r>
          </w:p>
          <w:p>
            <w:pPr>
              <w:snapToGrid w:val="0"/>
              <w:spacing w:line="360" w:lineRule="auto"/>
              <w:rPr>
                <w:color w:val="auto"/>
                <w:highlight w:val="none"/>
              </w:rPr>
            </w:pPr>
            <w:r>
              <w:rPr>
                <w:rFonts w:hint="eastAsia" w:cs="仿宋_GB2312" w:asciiTheme="minorEastAsia" w:hAnsiTheme="minorEastAsia" w:eastAsiaTheme="minorEastAsia"/>
                <w:b/>
                <w:bCs/>
                <w:color w:val="auto"/>
                <w:sz w:val="24"/>
                <w:highlight w:val="none"/>
                <w:lang w:val="en-US" w:eastAsia="zh-CN"/>
              </w:rPr>
              <w:t>注：</w:t>
            </w:r>
            <w:r>
              <w:rPr>
                <w:rFonts w:hint="eastAsia" w:cs="仿宋_GB2312" w:asciiTheme="minorEastAsia" w:hAnsiTheme="minorEastAsia" w:eastAsiaTheme="minorEastAsia"/>
                <w:b/>
                <w:bCs/>
                <w:color w:val="auto"/>
                <w:sz w:val="24"/>
                <w:highlight w:val="none"/>
              </w:rPr>
              <w:t>投标文件中</w:t>
            </w:r>
            <w:r>
              <w:rPr>
                <w:rFonts w:hint="eastAsia" w:cs="仿宋_GB2312" w:asciiTheme="minorEastAsia" w:hAnsiTheme="minorEastAsia" w:eastAsiaTheme="minorEastAsia"/>
                <w:b/>
                <w:bCs/>
                <w:color w:val="auto"/>
                <w:sz w:val="24"/>
                <w:highlight w:val="none"/>
                <w:lang w:eastAsia="zh-CN"/>
              </w:rPr>
              <w:t>提供人员清单</w:t>
            </w:r>
            <w:r>
              <w:rPr>
                <w:rFonts w:hint="eastAsia" w:cs="仿宋_GB2312" w:asciiTheme="minorEastAsia" w:hAnsiTheme="minorEastAsia" w:eastAsiaTheme="minorEastAsia"/>
                <w:b/>
                <w:bCs/>
                <w:color w:val="auto"/>
                <w:sz w:val="24"/>
                <w:highlight w:val="none"/>
              </w:rPr>
              <w:t>同时提供</w:t>
            </w:r>
            <w:r>
              <w:rPr>
                <w:rFonts w:hint="eastAsia" w:cs="仿宋_GB2312" w:asciiTheme="minorEastAsia" w:hAnsiTheme="minorEastAsia" w:eastAsiaTheme="minorEastAsia"/>
                <w:b/>
                <w:bCs/>
                <w:color w:val="auto"/>
                <w:sz w:val="24"/>
                <w:highlight w:val="none"/>
                <w:lang w:eastAsia="zh-CN"/>
              </w:rPr>
              <w:t>二代身份证</w:t>
            </w:r>
            <w:r>
              <w:rPr>
                <w:rFonts w:hint="eastAsia" w:cs="仿宋_GB2312" w:asciiTheme="minorEastAsia" w:hAnsiTheme="minorEastAsia" w:eastAsiaTheme="minorEastAsia"/>
                <w:b/>
                <w:bCs/>
                <w:color w:val="auto"/>
                <w:sz w:val="24"/>
                <w:highlight w:val="none"/>
                <w:lang w:val="en-US" w:eastAsia="zh-CN"/>
              </w:rPr>
              <w:t>复印件或</w:t>
            </w:r>
            <w:r>
              <w:rPr>
                <w:rFonts w:hint="eastAsia" w:cs="仿宋_GB2312" w:asciiTheme="minorEastAsia" w:hAnsiTheme="minorEastAsia" w:eastAsiaTheme="minorEastAsia"/>
                <w:b/>
                <w:bCs/>
                <w:color w:val="auto"/>
                <w:sz w:val="24"/>
                <w:highlight w:val="none"/>
              </w:rPr>
              <w:t>扫描件并加盖公章</w:t>
            </w:r>
            <w:r>
              <w:rPr>
                <w:rFonts w:hint="eastAsia" w:cs="仿宋_GB2312" w:asciiTheme="minorEastAsia" w:hAnsiTheme="minorEastAsia" w:eastAsiaTheme="minorEastAsia"/>
                <w:b/>
                <w:bCs/>
                <w:color w:val="auto"/>
                <w:sz w:val="24"/>
                <w:highlight w:val="none"/>
                <w:lang w:eastAsia="zh-CN"/>
              </w:rPr>
              <w:t>、</w:t>
            </w:r>
            <w:r>
              <w:rPr>
                <w:rFonts w:hint="eastAsia" w:cs="仿宋_GB2312" w:asciiTheme="minorEastAsia" w:hAnsiTheme="minorEastAsia" w:eastAsiaTheme="minorEastAsia"/>
                <w:b/>
                <w:bCs/>
                <w:color w:val="auto"/>
                <w:sz w:val="24"/>
                <w:highlight w:val="none"/>
              </w:rPr>
              <w:t>学历证书</w:t>
            </w:r>
            <w:r>
              <w:rPr>
                <w:rFonts w:hint="eastAsia" w:cs="仿宋_GB2312" w:asciiTheme="minorEastAsia" w:hAnsiTheme="minorEastAsia" w:eastAsiaTheme="minorEastAsia"/>
                <w:b/>
                <w:bCs/>
                <w:color w:val="auto"/>
                <w:sz w:val="24"/>
                <w:highlight w:val="none"/>
                <w:lang w:val="en-US" w:eastAsia="zh-CN"/>
              </w:rPr>
              <w:t>复印件或</w:t>
            </w:r>
            <w:r>
              <w:rPr>
                <w:rFonts w:hint="eastAsia" w:cs="仿宋_GB2312" w:asciiTheme="minorEastAsia" w:hAnsiTheme="minorEastAsia" w:eastAsiaTheme="minorEastAsia"/>
                <w:b/>
                <w:bCs/>
                <w:color w:val="auto"/>
                <w:sz w:val="24"/>
                <w:highlight w:val="none"/>
              </w:rPr>
              <w:t>扫描件并加盖公章</w:t>
            </w:r>
            <w:r>
              <w:rPr>
                <w:rFonts w:hint="eastAsia" w:cs="仿宋_GB2312" w:asciiTheme="minorEastAsia" w:hAnsiTheme="minorEastAsia" w:eastAsiaTheme="minorEastAsia"/>
                <w:b/>
                <w:bCs/>
                <w:color w:val="auto"/>
                <w:sz w:val="24"/>
                <w:highlight w:val="none"/>
                <w:lang w:eastAsia="zh-CN"/>
              </w:rPr>
              <w:t>、</w:t>
            </w:r>
            <w:r>
              <w:rPr>
                <w:rFonts w:hint="eastAsia" w:cs="仿宋_GB2312" w:asciiTheme="minorEastAsia" w:hAnsiTheme="minorEastAsia" w:eastAsiaTheme="minorEastAsia"/>
                <w:b/>
                <w:bCs/>
                <w:color w:val="auto"/>
                <w:sz w:val="24"/>
                <w:highlight w:val="none"/>
                <w:lang w:val="en-US" w:eastAsia="zh-CN"/>
              </w:rPr>
              <w:t>相关工作经验经验要求提供原服务单位开具的证明材料复印件或</w:t>
            </w:r>
            <w:r>
              <w:rPr>
                <w:rFonts w:hint="eastAsia" w:cs="仿宋_GB2312" w:asciiTheme="minorEastAsia" w:hAnsiTheme="minorEastAsia" w:eastAsiaTheme="minorEastAsia"/>
                <w:b/>
                <w:bCs/>
                <w:color w:val="auto"/>
                <w:sz w:val="24"/>
                <w:highlight w:val="none"/>
              </w:rPr>
              <w:t>扫描件并加盖公章</w:t>
            </w:r>
            <w:r>
              <w:rPr>
                <w:rFonts w:hint="eastAsia" w:cs="仿宋_GB2312" w:asciiTheme="minorEastAsia" w:hAnsiTheme="minorEastAsia" w:eastAsiaTheme="minorEastAsia"/>
                <w:b/>
                <w:bCs/>
                <w:color w:val="auto"/>
                <w:sz w:val="24"/>
                <w:highlight w:val="none"/>
                <w:lang w:eastAsia="zh-CN"/>
              </w:rPr>
              <w:t>，</w:t>
            </w:r>
            <w:r>
              <w:rPr>
                <w:rFonts w:hint="eastAsia" w:cs="仿宋_GB2312" w:asciiTheme="minorEastAsia" w:hAnsiTheme="minorEastAsia" w:eastAsiaTheme="minorEastAsia"/>
                <w:b/>
                <w:bCs/>
                <w:color w:val="auto"/>
                <w:sz w:val="24"/>
                <w:highlight w:val="none"/>
              </w:rPr>
              <w:t>否则不得分。</w:t>
            </w:r>
          </w:p>
        </w:tc>
        <w:tc>
          <w:tcPr>
            <w:tcW w:w="684"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15</w:t>
            </w:r>
          </w:p>
        </w:tc>
        <w:tc>
          <w:tcPr>
            <w:tcW w:w="828"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客</w:t>
            </w:r>
            <w:r>
              <w:rPr>
                <w:rFonts w:hint="eastAsia" w:cs="仿宋_GB2312" w:asciiTheme="minorEastAsia" w:hAnsiTheme="minorEastAsia" w:eastAsiaTheme="minorEastAsia"/>
                <w:color w:val="auto"/>
                <w:sz w:val="24"/>
                <w:highlight w:val="none"/>
              </w:rPr>
              <w:t>观分</w:t>
            </w:r>
          </w:p>
        </w:tc>
        <w:tc>
          <w:tcPr>
            <w:tcW w:w="156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6468" w:type="dxa"/>
          </w:tcPr>
          <w:p>
            <w:pPr>
              <w:snapToGrid w:val="0"/>
              <w:spacing w:line="360" w:lineRule="auto"/>
              <w:rPr>
                <w:rFonts w:hint="eastAsia" w:cs="仿宋_GB2312" w:asciiTheme="minorEastAsia" w:hAnsiTheme="minorEastAsia" w:eastAsiaTheme="minorEastAsia"/>
                <w:b/>
                <w:bCs/>
                <w:color w:val="auto"/>
                <w:sz w:val="24"/>
                <w:highlight w:val="none"/>
                <w:lang w:val="en-US" w:eastAsia="zh-CN"/>
              </w:rPr>
            </w:pPr>
            <w:r>
              <w:rPr>
                <w:rFonts w:hint="eastAsia" w:cs="仿宋_GB2312" w:asciiTheme="minorEastAsia" w:hAnsiTheme="minorEastAsia" w:eastAsiaTheme="minorEastAsia"/>
                <w:b/>
                <w:bCs/>
                <w:color w:val="auto"/>
                <w:sz w:val="24"/>
                <w:highlight w:val="none"/>
                <w:lang w:val="en-US" w:eastAsia="zh-CN"/>
              </w:rPr>
              <w:t>服务组织实施方案：</w:t>
            </w:r>
          </w:p>
          <w:p>
            <w:pPr>
              <w:snapToGrid w:val="0"/>
              <w:spacing w:line="360" w:lineRule="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为保持人员队伍的稳定，制定完善的人员招聘（包括更换）方案措施针对性强、合理可行的得4分，方案措施较有针对性，较为合理可行得2分，方案措施有所欠缺存在不足的得1分，无相关内容或方案不合理的不得分，最多得4分；</w:t>
            </w:r>
          </w:p>
          <w:p>
            <w:pPr>
              <w:snapToGrid w:val="0"/>
              <w:spacing w:line="360" w:lineRule="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人员激励计划和相关制度针对性强、合理可行的得4分，人员激励计划和相关制度针对性较强、较为合理的得2分，人员激励计划和相关制度有所欠缺存在不足的得1分，无相关内容或方案不合理的不得分，最多得4分；</w:t>
            </w:r>
          </w:p>
          <w:p>
            <w:pPr>
              <w:snapToGrid w:val="0"/>
              <w:spacing w:line="360" w:lineRule="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3）人员业务操作培训方案针对性强、合理可行的得4分，方案内容较有针对性，较为合理可行得2分，方案内容有所欠缺存在不足的得1分，无相关内容或方案不合理的不得分，最多得4分；</w:t>
            </w:r>
          </w:p>
          <w:p>
            <w:pPr>
              <w:snapToGrid w:val="0"/>
              <w:spacing w:line="360" w:lineRule="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4）服务内容相关包括工作流程和管理制度针对性强、合理可行的得4分，方案内容较有针对性，较为合理可行得2分，方案内容有所欠缺存在不足的得1分，无相关内容或方案不合理的不得分，最多得4分；</w:t>
            </w:r>
          </w:p>
          <w:p>
            <w:pPr>
              <w:snapToGrid w:val="0"/>
              <w:spacing w:line="360" w:lineRule="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5）数据分析，工作汇报等实务操作方案针对性强、合理可行的得4分，方案内容较有针对性，较为合理可行得2分，方案内容有所欠缺存在不足的得1分，无相关内容或方案不合理的不得分，最多得4分；</w:t>
            </w:r>
          </w:p>
          <w:p>
            <w:pPr>
              <w:snapToGrid w:val="0"/>
              <w:spacing w:line="360" w:lineRule="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对重复件、疑难件、不满意件尤其是信访积案等的处置工作方案针对性强、合理可行的得3分，方案内容较有针对性，较为合理可行得2分，方案内容有所欠缺存在不足的得1分，无相关内容或方案不合理的不得分，最多得3分；</w:t>
            </w:r>
          </w:p>
          <w:p>
            <w:pPr>
              <w:snapToGrid w:val="0"/>
              <w:spacing w:line="360" w:lineRule="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7）对放心消费单位进行“评价全覆盖、标准全落地、动态全掌握”的动态化检查方案针对性强、合理可行的得3分，方案内容较有针对性，较为合理可行得2分，方案内容有所欠缺存在不足的得1分，无相关内容或方案不合理的不得分，最多得3分；</w:t>
            </w:r>
          </w:p>
          <w:p>
            <w:pPr>
              <w:snapToGrid w:val="0"/>
              <w:spacing w:line="360" w:lineRule="auto"/>
              <w:rPr>
                <w:color w:val="auto"/>
                <w:highlight w:val="none"/>
              </w:rPr>
            </w:pPr>
            <w:r>
              <w:rPr>
                <w:rFonts w:hint="eastAsia" w:cs="仿宋_GB2312" w:asciiTheme="minorEastAsia" w:hAnsiTheme="minorEastAsia" w:eastAsiaTheme="minorEastAsia"/>
                <w:color w:val="auto"/>
                <w:sz w:val="24"/>
                <w:highlight w:val="none"/>
                <w:lang w:val="en-US" w:eastAsia="zh-CN"/>
              </w:rPr>
              <w:t>8）承诺全年完成放心消费单位创建成功总数不少于5400家满足得2分，未承诺不得分，提供承诺函并加公章；</w:t>
            </w:r>
          </w:p>
        </w:tc>
        <w:tc>
          <w:tcPr>
            <w:tcW w:w="684"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28</w:t>
            </w:r>
          </w:p>
        </w:tc>
        <w:tc>
          <w:tcPr>
            <w:tcW w:w="828"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主/客</w:t>
            </w:r>
            <w:r>
              <w:rPr>
                <w:rFonts w:hint="eastAsia" w:cs="仿宋_GB2312" w:asciiTheme="minorEastAsia" w:hAnsiTheme="minorEastAsia" w:eastAsiaTheme="minorEastAsia"/>
                <w:color w:val="auto"/>
                <w:sz w:val="24"/>
                <w:highlight w:val="none"/>
              </w:rPr>
              <w:t>观分</w:t>
            </w:r>
          </w:p>
        </w:tc>
        <w:tc>
          <w:tcPr>
            <w:tcW w:w="156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w:t>
            </w:r>
          </w:p>
        </w:tc>
        <w:tc>
          <w:tcPr>
            <w:tcW w:w="6468" w:type="dxa"/>
          </w:tcPr>
          <w:p>
            <w:pPr>
              <w:pStyle w:val="235"/>
              <w:spacing w:line="360" w:lineRule="auto"/>
              <w:jc w:val="both"/>
              <w:rPr>
                <w:rFonts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建立突发事件应急预案，方案对于项目实施可能遇到的问题及其应对措施的考虑情况：方案合理、有效、可操作性强的得4分；方案较为合理、有效，具备一定的操作性的得2分；方案基本合理、基本有效，可操作性一般的得 1 分；方案完全不合理、无效、毫无操作性的或者未提供相关方案的不得分；最多得4分。</w:t>
            </w:r>
          </w:p>
        </w:tc>
        <w:tc>
          <w:tcPr>
            <w:tcW w:w="684"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4</w:t>
            </w:r>
          </w:p>
        </w:tc>
        <w:tc>
          <w:tcPr>
            <w:tcW w:w="828"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56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7</w:t>
            </w:r>
          </w:p>
        </w:tc>
        <w:tc>
          <w:tcPr>
            <w:tcW w:w="6468" w:type="dxa"/>
          </w:tcPr>
          <w:p>
            <w:pPr>
              <w:pStyle w:val="235"/>
              <w:spacing w:line="360" w:lineRule="auto"/>
              <w:jc w:val="both"/>
              <w:rPr>
                <w:rFonts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针对本项目的合理化、优化建议：投标人针对本项目提出合理化、优化建议进行评议：合理化、优化建议符合实际情况，内容切实可行的得4分；合理化、优化建议较为符合实际情况，内容较为切实可行的得2分；合理化、优化建议基本符合实际情况，但内容有所不足需进一步完善的得1分；完全不符合或未提供不得分；最多得4分。</w:t>
            </w:r>
          </w:p>
        </w:tc>
        <w:tc>
          <w:tcPr>
            <w:tcW w:w="684"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4</w:t>
            </w:r>
          </w:p>
        </w:tc>
        <w:tc>
          <w:tcPr>
            <w:tcW w:w="828"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56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480"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8</w:t>
            </w:r>
          </w:p>
        </w:tc>
        <w:tc>
          <w:tcPr>
            <w:tcW w:w="6468" w:type="dxa"/>
          </w:tcPr>
          <w:p>
            <w:pPr>
              <w:spacing w:after="0"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企业证书：</w:t>
            </w:r>
          </w:p>
          <w:p>
            <w:pPr>
              <w:numPr>
                <w:ilvl w:val="0"/>
                <w:numId w:val="4"/>
              </w:numPr>
              <w:spacing w:after="0"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投标人具有质量管理体系认证证书得3分，没有不得分；</w:t>
            </w:r>
          </w:p>
          <w:p>
            <w:pPr>
              <w:pStyle w:val="966"/>
              <w:widowControl w:val="0"/>
              <w:numPr>
                <w:ilvl w:val="0"/>
                <w:numId w:val="4"/>
              </w:numPr>
              <w:spacing w:after="0" w:line="360" w:lineRule="auto"/>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投标人具有职业健康安全管理体系认证证书得3分，没有不得分；</w:t>
            </w:r>
          </w:p>
          <w:p>
            <w:pPr>
              <w:pStyle w:val="966"/>
              <w:widowControl w:val="0"/>
              <w:numPr>
                <w:ilvl w:val="0"/>
                <w:numId w:val="4"/>
              </w:numPr>
              <w:spacing w:after="0" w:line="360" w:lineRule="auto"/>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投标人具有环境管理体系认证证书得3分，没有不得分；</w:t>
            </w:r>
          </w:p>
          <w:p>
            <w:pPr>
              <w:pStyle w:val="235"/>
              <w:spacing w:line="360" w:lineRule="auto"/>
              <w:jc w:val="both"/>
              <w:rPr>
                <w:rFonts w:ascii="宋体" w:hAnsi="宋体" w:eastAsia="宋体" w:cs="宋体"/>
                <w:color w:val="auto"/>
                <w:highlight w:val="none"/>
              </w:rPr>
            </w:pPr>
            <w:r>
              <w:rPr>
                <w:rFonts w:hint="eastAsia" w:ascii="宋体" w:hAnsi="宋体" w:eastAsia="宋体" w:cs="宋体"/>
                <w:b/>
                <w:bCs/>
                <w:color w:val="auto"/>
                <w:kern w:val="0"/>
                <w:sz w:val="24"/>
                <w:szCs w:val="24"/>
                <w:highlight w:val="none"/>
                <w:lang w:val="en-US" w:eastAsia="zh-CN" w:bidi="ar"/>
              </w:rPr>
              <w:t>注：投标文件中提供有效期内的相关证书扫描件并加盖公章，否则不得分。</w:t>
            </w:r>
          </w:p>
        </w:tc>
        <w:tc>
          <w:tcPr>
            <w:tcW w:w="684"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9</w:t>
            </w:r>
          </w:p>
        </w:tc>
        <w:tc>
          <w:tcPr>
            <w:tcW w:w="828"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客</w:t>
            </w:r>
            <w:r>
              <w:rPr>
                <w:rFonts w:hint="eastAsia" w:cs="仿宋_GB2312" w:asciiTheme="minorEastAsia" w:hAnsiTheme="minorEastAsia" w:eastAsiaTheme="minorEastAsia"/>
                <w:color w:val="auto"/>
                <w:sz w:val="24"/>
                <w:highlight w:val="none"/>
              </w:rPr>
              <w:t>观分</w:t>
            </w:r>
          </w:p>
        </w:tc>
        <w:tc>
          <w:tcPr>
            <w:tcW w:w="156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trPr>
        <w:tc>
          <w:tcPr>
            <w:tcW w:w="480"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9</w:t>
            </w:r>
          </w:p>
        </w:tc>
        <w:tc>
          <w:tcPr>
            <w:tcW w:w="6468" w:type="dxa"/>
          </w:tcPr>
          <w:p>
            <w:pPr>
              <w:pStyle w:val="966"/>
              <w:widowControl w:val="0"/>
              <w:numPr>
                <w:ilvl w:val="0"/>
                <w:numId w:val="0"/>
              </w:numPr>
              <w:spacing w:after="0" w:line="360" w:lineRule="auto"/>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类似项目实施业绩一览表：投标人自20</w:t>
            </w:r>
            <w:r>
              <w:rPr>
                <w:rFonts w:hint="eastAsia" w:cs="宋体"/>
                <w:color w:val="auto"/>
                <w:kern w:val="0"/>
                <w:sz w:val="24"/>
                <w:szCs w:val="24"/>
                <w:highlight w:val="none"/>
                <w:lang w:val="en-US" w:eastAsia="zh-CN" w:bidi="ar"/>
              </w:rPr>
              <w:t>20</w:t>
            </w:r>
            <w:r>
              <w:rPr>
                <w:rFonts w:hint="eastAsia" w:ascii="宋体" w:hAnsi="宋体" w:eastAsia="宋体" w:cs="宋体"/>
                <w:color w:val="auto"/>
                <w:kern w:val="0"/>
                <w:sz w:val="24"/>
                <w:szCs w:val="24"/>
                <w:highlight w:val="none"/>
                <w:lang w:val="en-US" w:eastAsia="zh-CN" w:bidi="ar"/>
              </w:rPr>
              <w:t>年1月1日以来（时间以合同签订时间为准）以承担过的类似项目（如社会化服务项目等），每提供一个业绩得0.2分，最多得1分；</w:t>
            </w:r>
          </w:p>
          <w:p>
            <w:pPr>
              <w:pStyle w:val="966"/>
              <w:widowControl w:val="0"/>
              <w:numPr>
                <w:ilvl w:val="0"/>
                <w:numId w:val="0"/>
              </w:numPr>
              <w:spacing w:after="0" w:line="360" w:lineRule="auto"/>
              <w:jc w:val="both"/>
              <w:rPr>
                <w:rFonts w:ascii="宋体" w:hAnsi="宋体" w:eastAsia="宋体" w:cs="宋体"/>
                <w:color w:val="auto"/>
                <w:highlight w:val="none"/>
              </w:rPr>
            </w:pPr>
            <w:r>
              <w:rPr>
                <w:rFonts w:hint="eastAsia" w:ascii="宋体" w:hAnsi="宋体" w:eastAsia="宋体" w:cs="宋体"/>
                <w:b/>
                <w:bCs/>
                <w:color w:val="auto"/>
                <w:kern w:val="0"/>
                <w:sz w:val="24"/>
                <w:szCs w:val="24"/>
                <w:highlight w:val="none"/>
                <w:lang w:val="en-US" w:eastAsia="zh-CN" w:bidi="ar"/>
              </w:rPr>
              <w:t>注：投标文件中提供相关业绩证明材料扫描件并加盖公章，否则不得分。</w:t>
            </w:r>
          </w:p>
        </w:tc>
        <w:tc>
          <w:tcPr>
            <w:tcW w:w="684"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1</w:t>
            </w:r>
          </w:p>
        </w:tc>
        <w:tc>
          <w:tcPr>
            <w:tcW w:w="828"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客</w:t>
            </w:r>
            <w:r>
              <w:rPr>
                <w:rFonts w:hint="eastAsia" w:cs="仿宋_GB2312" w:asciiTheme="minorEastAsia" w:hAnsiTheme="minorEastAsia" w:eastAsiaTheme="minorEastAsia"/>
                <w:color w:val="auto"/>
                <w:sz w:val="24"/>
                <w:highlight w:val="none"/>
              </w:rPr>
              <w:t>观分</w:t>
            </w:r>
          </w:p>
        </w:tc>
        <w:tc>
          <w:tcPr>
            <w:tcW w:w="156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16</w:t>
            </w:r>
          </w:p>
        </w:tc>
        <w:tc>
          <w:tcPr>
            <w:tcW w:w="6468" w:type="dxa"/>
          </w:tcPr>
          <w:p>
            <w:pPr>
              <w:spacing w:line="360" w:lineRule="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rPr>
              <w:t>10</w:t>
            </w:r>
            <w:r>
              <w:rPr>
                <w:rFonts w:cs="仿宋_GB2312" w:asciiTheme="minorEastAsia" w:hAnsiTheme="minorEastAsia" w:eastAsiaTheme="minorEastAsia"/>
                <w:color w:val="auto"/>
                <w:sz w:val="24"/>
                <w:highlight w:val="none"/>
              </w:rPr>
              <w:t>］的计算公式计算。</w:t>
            </w:r>
          </w:p>
          <w:p>
            <w:pPr>
              <w:widowControl/>
              <w:shd w:val="clear" w:color="auto" w:fill="FFFFFF"/>
              <w:adjustRightInd/>
              <w:spacing w:after="225" w:line="315" w:lineRule="atLeast"/>
              <w:ind w:firstLine="420"/>
              <w:jc w:val="left"/>
              <w:rPr>
                <w:rFonts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评标过程中，不得去掉报价中的最高报价和最低报价。</w:t>
            </w:r>
          </w:p>
        </w:tc>
        <w:tc>
          <w:tcPr>
            <w:tcW w:w="684" w:type="dxa"/>
            <w:vAlign w:val="center"/>
          </w:tcPr>
          <w:p>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10</w:t>
            </w:r>
          </w:p>
        </w:tc>
        <w:tc>
          <w:tcPr>
            <w:tcW w:w="828" w:type="dxa"/>
            <w:vAlign w:val="center"/>
          </w:tcPr>
          <w:p>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tc>
        <w:tc>
          <w:tcPr>
            <w:tcW w:w="1560" w:type="dxa"/>
            <w:vAlign w:val="center"/>
          </w:tcPr>
          <w:p>
            <w:pPr>
              <w:spacing w:line="360" w:lineRule="auto"/>
              <w:jc w:val="center"/>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tbl>
    <w:p>
      <w:pPr>
        <w:rPr>
          <w:color w:val="auto"/>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7"/>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7"/>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7"/>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7"/>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7"/>
        <w:snapToGrid w:val="0"/>
        <w:spacing w:line="360" w:lineRule="auto"/>
        <w:rPr>
          <w:rFonts w:cs="宋体"/>
          <w:color w:val="auto"/>
          <w:highlight w:val="none"/>
        </w:rPr>
      </w:pPr>
      <w:r>
        <w:rPr>
          <w:rFonts w:hint="eastAsia" w:cs="宋体"/>
          <w:color w:val="auto"/>
          <w:highlight w:val="none"/>
        </w:rPr>
        <w:t>5.4因重大变故，采购任务取消的。</w:t>
      </w:r>
    </w:p>
    <w:p>
      <w:pPr>
        <w:pStyle w:val="27"/>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pPr>
        <w:pStyle w:val="27"/>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7"/>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7"/>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7"/>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7"/>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7"/>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7"/>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7"/>
        <w:snapToGrid w:val="0"/>
        <w:spacing w:line="360" w:lineRule="auto"/>
        <w:ind w:firstLine="0" w:firstLineChars="0"/>
        <w:rPr>
          <w:rFonts w:cs="宋体"/>
          <w:color w:val="auto"/>
          <w:highlight w:val="none"/>
        </w:rPr>
      </w:pPr>
    </w:p>
    <w:bookmarkEnd w:id="30"/>
    <w:p>
      <w:pPr>
        <w:spacing w:line="360" w:lineRule="auto"/>
        <w:outlineLvl w:val="0"/>
        <w:rPr>
          <w:rFonts w:ascii="宋体" w:hAnsi="宋体" w:cs="宋体"/>
          <w:b/>
          <w:color w:val="auto"/>
          <w:sz w:val="36"/>
          <w:szCs w:val="36"/>
          <w:highlight w:val="none"/>
        </w:rPr>
      </w:pPr>
      <w:bookmarkStart w:id="397" w:name="第五部分"/>
      <w:bookmarkStart w:id="398" w:name="_Toc86217003"/>
    </w:p>
    <w:p>
      <w:pPr>
        <w:pStyle w:val="27"/>
        <w:ind w:firstLine="723"/>
        <w:rPr>
          <w:rFonts w:cs="宋体"/>
          <w:b/>
          <w:color w:val="auto"/>
          <w:sz w:val="36"/>
          <w:szCs w:val="36"/>
          <w:highlight w:val="none"/>
        </w:rPr>
      </w:pPr>
    </w:p>
    <w:p>
      <w:pPr>
        <w:rPr>
          <w:rFonts w:ascii="宋体" w:hAnsi="宋体" w:cs="宋体"/>
          <w:b/>
          <w:color w:val="auto"/>
          <w:sz w:val="36"/>
          <w:szCs w:val="36"/>
          <w:highlight w:val="none"/>
        </w:rPr>
      </w:pPr>
    </w:p>
    <w:p>
      <w:pPr>
        <w:pStyle w:val="27"/>
        <w:ind w:firstLine="723"/>
        <w:rPr>
          <w:rFonts w:cs="宋体"/>
          <w:b/>
          <w:color w:val="auto"/>
          <w:sz w:val="36"/>
          <w:szCs w:val="36"/>
          <w:highlight w:val="none"/>
        </w:rPr>
      </w:pPr>
    </w:p>
    <w:p>
      <w:pPr>
        <w:pStyle w:val="64"/>
        <w:ind w:firstLine="723"/>
        <w:rPr>
          <w:rFonts w:cs="宋体"/>
          <w:b/>
          <w:color w:val="auto"/>
          <w:sz w:val="36"/>
          <w:szCs w:val="36"/>
          <w:highlight w:val="none"/>
        </w:rPr>
      </w:pPr>
    </w:p>
    <w:p>
      <w:pPr>
        <w:pStyle w:val="64"/>
        <w:ind w:firstLine="723"/>
        <w:rPr>
          <w:rFonts w:cs="宋体"/>
          <w:b/>
          <w:color w:val="auto"/>
          <w:sz w:val="36"/>
          <w:szCs w:val="36"/>
          <w:highlight w:val="none"/>
        </w:rPr>
      </w:pPr>
    </w:p>
    <w:p>
      <w:pPr>
        <w:rPr>
          <w:color w:val="auto"/>
          <w:highlight w:val="none"/>
        </w:rPr>
      </w:pPr>
    </w:p>
    <w:p>
      <w:pPr>
        <w:spacing w:line="360" w:lineRule="auto"/>
        <w:outlineLvl w:val="0"/>
        <w:rPr>
          <w:rFonts w:ascii="宋体" w:hAnsi="宋体" w:cs="宋体"/>
          <w:b/>
          <w:color w:val="auto"/>
          <w:sz w:val="36"/>
          <w:szCs w:val="36"/>
          <w:highlight w:val="none"/>
        </w:rPr>
      </w:pPr>
    </w:p>
    <w:p>
      <w:pPr>
        <w:pStyle w:val="4"/>
        <w:rPr>
          <w:rFonts w:ascii="宋体" w:hAnsi="宋体" w:cs="宋体"/>
          <w:b/>
          <w:color w:val="auto"/>
          <w:sz w:val="36"/>
          <w:szCs w:val="36"/>
          <w:highlight w:val="none"/>
        </w:rPr>
      </w:pPr>
    </w:p>
    <w:p>
      <w:pPr>
        <w:rPr>
          <w:rFonts w:ascii="宋体" w:hAnsi="宋体" w:cs="宋体"/>
          <w:b/>
          <w:color w:val="auto"/>
          <w:sz w:val="36"/>
          <w:szCs w:val="36"/>
          <w:highlight w:val="none"/>
        </w:rPr>
      </w:pPr>
    </w:p>
    <w:p>
      <w:pPr>
        <w:pStyle w:val="2"/>
        <w:rPr>
          <w:rFonts w:ascii="宋体" w:hAnsi="宋体" w:cs="宋体"/>
          <w:b/>
          <w:color w:val="auto"/>
          <w:sz w:val="36"/>
          <w:szCs w:val="36"/>
          <w:highlight w:val="none"/>
        </w:rPr>
      </w:pPr>
    </w:p>
    <w:p>
      <w:pPr>
        <w:pStyle w:val="2"/>
        <w:rPr>
          <w:rFonts w:ascii="宋体" w:hAnsi="宋体" w:cs="宋体"/>
          <w:b/>
          <w:color w:val="auto"/>
          <w:sz w:val="36"/>
          <w:szCs w:val="36"/>
          <w:highlight w:val="none"/>
        </w:rPr>
      </w:pPr>
    </w:p>
    <w:p>
      <w:pPr>
        <w:pStyle w:val="2"/>
        <w:rPr>
          <w:rFonts w:ascii="宋体" w:hAnsi="宋体" w:cs="宋体"/>
          <w:b/>
          <w:color w:val="auto"/>
          <w:sz w:val="36"/>
          <w:szCs w:val="36"/>
          <w:highlight w:val="none"/>
        </w:rPr>
      </w:pPr>
    </w:p>
    <w:p>
      <w:pPr>
        <w:pStyle w:val="2"/>
        <w:rPr>
          <w:rFonts w:ascii="宋体" w:hAnsi="宋体" w:cs="宋体"/>
          <w:b/>
          <w:color w:val="auto"/>
          <w:sz w:val="36"/>
          <w:szCs w:val="36"/>
          <w:highlight w:val="none"/>
        </w:rPr>
      </w:pPr>
    </w:p>
    <w:p>
      <w:pPr>
        <w:pStyle w:val="2"/>
        <w:rPr>
          <w:rFonts w:ascii="宋体" w:hAnsi="宋体" w:cs="宋体"/>
          <w:b/>
          <w:color w:val="auto"/>
          <w:sz w:val="36"/>
          <w:szCs w:val="36"/>
          <w:highlight w:val="none"/>
        </w:rPr>
      </w:pPr>
    </w:p>
    <w:p>
      <w:pPr>
        <w:pStyle w:val="2"/>
        <w:rPr>
          <w:rFonts w:ascii="宋体" w:hAnsi="宋体" w:cs="宋体"/>
          <w:b/>
          <w:color w:val="auto"/>
          <w:sz w:val="36"/>
          <w:szCs w:val="36"/>
          <w:highlight w:val="none"/>
        </w:rPr>
      </w:pPr>
    </w:p>
    <w:p>
      <w:pPr>
        <w:pStyle w:val="2"/>
        <w:rPr>
          <w:rFonts w:ascii="宋体" w:hAnsi="宋体" w:cs="宋体"/>
          <w:b/>
          <w:color w:val="auto"/>
          <w:sz w:val="36"/>
          <w:szCs w:val="36"/>
          <w:highlight w:val="none"/>
        </w:rPr>
      </w:pPr>
    </w:p>
    <w:p>
      <w:pPr>
        <w:pStyle w:val="2"/>
        <w:rPr>
          <w:rFonts w:ascii="宋体" w:hAnsi="宋体" w:cs="宋体"/>
          <w:b/>
          <w:color w:val="auto"/>
          <w:sz w:val="36"/>
          <w:szCs w:val="36"/>
          <w:highlight w:val="none"/>
        </w:rPr>
      </w:pPr>
    </w:p>
    <w:p>
      <w:pPr>
        <w:pStyle w:val="2"/>
        <w:rPr>
          <w:rFonts w:ascii="宋体" w:hAnsi="宋体" w:cs="宋体"/>
          <w:b/>
          <w:color w:val="auto"/>
          <w:sz w:val="36"/>
          <w:szCs w:val="36"/>
          <w:highlight w:val="none"/>
        </w:rPr>
      </w:pPr>
    </w:p>
    <w:p>
      <w:pPr>
        <w:pStyle w:val="2"/>
        <w:rPr>
          <w:rFonts w:ascii="宋体" w:hAnsi="宋体" w:cs="宋体"/>
          <w:b/>
          <w:color w:val="auto"/>
          <w:sz w:val="36"/>
          <w:szCs w:val="36"/>
          <w:highlight w:val="none"/>
        </w:rPr>
      </w:pPr>
    </w:p>
    <w:p>
      <w:pPr>
        <w:pStyle w:val="2"/>
        <w:rPr>
          <w:rFonts w:ascii="宋体" w:hAnsi="宋体" w:cs="宋体"/>
          <w:b/>
          <w:color w:val="auto"/>
          <w:sz w:val="36"/>
          <w:szCs w:val="36"/>
          <w:highlight w:val="none"/>
        </w:rPr>
      </w:pPr>
    </w:p>
    <w:p>
      <w:pPr>
        <w:pStyle w:val="2"/>
        <w:rPr>
          <w:rFonts w:ascii="宋体" w:hAnsi="宋体" w:cs="宋体"/>
          <w:b/>
          <w:color w:val="auto"/>
          <w:sz w:val="36"/>
          <w:szCs w:val="36"/>
          <w:highlight w:val="none"/>
        </w:rPr>
      </w:pPr>
    </w:p>
    <w:p>
      <w:pPr>
        <w:rPr>
          <w:color w:val="auto"/>
          <w:highlight w:val="none"/>
        </w:rPr>
      </w:pP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rPr>
      </w:pPr>
    </w:p>
    <w:p>
      <w:pPr>
        <w:pStyle w:val="27"/>
        <w:rPr>
          <w:color w:val="auto"/>
          <w:highlight w:val="none"/>
        </w:rPr>
      </w:pP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spacing w:before="120" w:line="22" w:lineRule="atLeast"/>
        <w:rPr>
          <w:rFonts w:ascii="宋体" w:hAnsi="宋体" w:cs="宋体"/>
          <w:color w:val="auto"/>
          <w:sz w:val="24"/>
          <w:highlight w:val="none"/>
        </w:rPr>
      </w:pPr>
    </w:p>
    <w:p>
      <w:pPr>
        <w:pStyle w:val="4"/>
        <w:rPr>
          <w:color w:val="auto"/>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599"/>
        <w:spacing w:before="120" w:line="22" w:lineRule="atLeast"/>
        <w:rPr>
          <w:rFonts w:ascii="宋体" w:hAnsi="宋体" w:eastAsia="宋体" w:cs="宋体"/>
          <w:color w:val="auto"/>
          <w:szCs w:val="24"/>
          <w:highlight w:val="none"/>
        </w:rPr>
      </w:pPr>
    </w:p>
    <w:p>
      <w:pPr>
        <w:pStyle w:val="599"/>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rPr>
          <w:rFonts w:ascii="宋体" w:hAnsi="宋体" w:cs="宋体"/>
          <w:b/>
          <w:color w:val="auto"/>
          <w:sz w:val="24"/>
          <w:highlight w:val="none"/>
        </w:rPr>
      </w:pPr>
    </w:p>
    <w:p>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杭州市余杭区市场监督管理局</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olor w:val="auto"/>
          <w:sz w:val="24"/>
          <w:highlight w:val="none"/>
          <w:u w:val="single"/>
        </w:rPr>
        <w:t>公开招标方式</w:t>
      </w:r>
      <w:r>
        <w:rPr>
          <w:rFonts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消费投诉积案动态清零服务外包项目</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消费投诉积案动态清零服务外包项目</w:t>
      </w:r>
      <w:r>
        <w:rPr>
          <w:rFonts w:hint="eastAsia" w:ascii="宋体" w:hAnsi="宋体" w:cs="宋体"/>
          <w:color w:val="auto"/>
          <w:sz w:val="24"/>
          <w:highlight w:val="none"/>
          <w:u w:val="single"/>
        </w:rPr>
        <w:t>评审</w:t>
      </w:r>
      <w:r>
        <w:rPr>
          <w:rFonts w:hint="eastAsia" w:ascii="宋体" w:hAnsi="宋体" w:cs="宋体"/>
          <w:color w:val="auto"/>
          <w:sz w:val="24"/>
          <w:highlight w:val="none"/>
          <w:u w:val="single"/>
          <w:lang w:val="en-US" w:eastAsia="zh-CN"/>
        </w:rPr>
        <w:t>委员会</w:t>
      </w:r>
      <w:r>
        <w:rPr>
          <w:rFonts w:ascii="宋体" w:hAnsi="宋体"/>
          <w:color w:val="auto"/>
          <w:sz w:val="24"/>
          <w:highlight w:val="none"/>
          <w:u w:val="single"/>
        </w:rPr>
        <w:t xml:space="preserve">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杭州市余杭区市场监督管理局</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560" w:lineRule="exact"/>
        <w:ind w:firstLine="482" w:firstLineChars="200"/>
        <w:outlineLvl w:val="0"/>
        <w:rPr>
          <w:rFonts w:ascii="宋体" w:hAnsi="宋体"/>
          <w:color w:val="auto"/>
          <w:sz w:val="24"/>
          <w:highlight w:val="none"/>
        </w:rPr>
      </w:pPr>
      <w:bookmarkStart w:id="399" w:name="_Toc15367"/>
      <w:bookmarkStart w:id="400" w:name="_Toc20421"/>
      <w:bookmarkStart w:id="401" w:name="_Toc19273"/>
      <w:bookmarkStart w:id="402" w:name="_Toc22967"/>
      <w:bookmarkStart w:id="403"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9"/>
      <w:bookmarkEnd w:id="400"/>
      <w:bookmarkEnd w:id="401"/>
      <w:bookmarkEnd w:id="402"/>
      <w:bookmarkEnd w:id="403"/>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spacing w:line="560" w:lineRule="exact"/>
        <w:ind w:firstLine="482" w:firstLineChars="200"/>
        <w:outlineLvl w:val="0"/>
        <w:rPr>
          <w:rFonts w:ascii="宋体" w:hAnsi="宋体"/>
          <w:b/>
          <w:color w:val="auto"/>
          <w:sz w:val="24"/>
          <w:highlight w:val="none"/>
        </w:rPr>
      </w:pPr>
      <w:bookmarkStart w:id="404" w:name="_Toc18585"/>
      <w:bookmarkStart w:id="405" w:name="_Toc2918"/>
      <w:bookmarkStart w:id="406" w:name="_Toc22185"/>
      <w:bookmarkStart w:id="407" w:name="_Toc6773"/>
      <w:bookmarkStart w:id="408" w:name="_Toc6311"/>
      <w:r>
        <w:rPr>
          <w:rFonts w:ascii="宋体" w:hAnsi="宋体"/>
          <w:b/>
          <w:color w:val="auto"/>
          <w:sz w:val="24"/>
          <w:highlight w:val="none"/>
        </w:rPr>
        <w:t xml:space="preserve">1.2 </w:t>
      </w:r>
      <w:r>
        <w:rPr>
          <w:rFonts w:hint="eastAsia" w:ascii="宋体" w:hAnsi="宋体"/>
          <w:b/>
          <w:color w:val="auto"/>
          <w:sz w:val="24"/>
          <w:highlight w:val="none"/>
        </w:rPr>
        <w:t>标的</w:t>
      </w:r>
      <w:bookmarkEnd w:id="404"/>
      <w:bookmarkEnd w:id="405"/>
      <w:bookmarkEnd w:id="406"/>
      <w:bookmarkEnd w:id="407"/>
      <w:bookmarkEnd w:id="408"/>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pPr>
        <w:spacing w:line="560" w:lineRule="exact"/>
        <w:ind w:firstLine="480" w:firstLineChars="200"/>
        <w:rPr>
          <w:rFonts w:ascii="宋体" w:hAnsi="宋体" w:cs="宋体"/>
          <w:color w:val="auto"/>
          <w:sz w:val="24"/>
          <w:highlight w:val="none"/>
          <w:u w:val="single"/>
        </w:rPr>
      </w:pPr>
      <w:bookmarkStart w:id="409" w:name="_Toc21124"/>
      <w:bookmarkStart w:id="410" w:name="_Toc4929"/>
      <w:bookmarkStart w:id="411" w:name="_Toc5635"/>
      <w:bookmarkStart w:id="412" w:name="_Toc1386"/>
      <w:bookmarkStart w:id="413" w:name="_Toc13918"/>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bookmarkEnd w:id="409"/>
    <w:bookmarkEnd w:id="410"/>
    <w:bookmarkEnd w:id="411"/>
    <w:bookmarkEnd w:id="412"/>
    <w:bookmarkEnd w:id="413"/>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本合同总价为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5"/>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Ansi="宋体"/>
                <w:color w:val="auto"/>
                <w:sz w:val="24"/>
                <w:szCs w:val="24"/>
                <w:highlight w:val="none"/>
              </w:rPr>
            </w:pPr>
          </w:p>
        </w:tc>
        <w:tc>
          <w:tcPr>
            <w:tcW w:w="3402" w:type="dxa"/>
            <w:vAlign w:val="center"/>
          </w:tcPr>
          <w:p>
            <w:pPr>
              <w:pStyle w:val="320"/>
              <w:spacing w:line="560" w:lineRule="exact"/>
              <w:ind w:firstLine="200"/>
              <w:jc w:val="center"/>
              <w:rPr>
                <w:rFonts w:hAnsi="宋体"/>
                <w:color w:val="auto"/>
                <w:sz w:val="24"/>
                <w:szCs w:val="24"/>
                <w:highlight w:val="none"/>
              </w:rPr>
            </w:pPr>
          </w:p>
        </w:tc>
        <w:tc>
          <w:tcPr>
            <w:tcW w:w="2552" w:type="dxa"/>
            <w:vAlign w:val="center"/>
          </w:tcPr>
          <w:p>
            <w:pPr>
              <w:pStyle w:val="320"/>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Ansi="宋体"/>
                <w:color w:val="auto"/>
                <w:sz w:val="24"/>
                <w:szCs w:val="24"/>
                <w:highlight w:val="none"/>
              </w:rPr>
            </w:pPr>
          </w:p>
        </w:tc>
        <w:tc>
          <w:tcPr>
            <w:tcW w:w="3402" w:type="dxa"/>
            <w:vAlign w:val="center"/>
          </w:tcPr>
          <w:p>
            <w:pPr>
              <w:pStyle w:val="320"/>
              <w:spacing w:line="560" w:lineRule="exact"/>
              <w:ind w:firstLine="200"/>
              <w:jc w:val="center"/>
              <w:rPr>
                <w:rFonts w:hAnsi="宋体"/>
                <w:color w:val="auto"/>
                <w:sz w:val="24"/>
                <w:szCs w:val="24"/>
                <w:highlight w:val="none"/>
              </w:rPr>
            </w:pPr>
          </w:p>
        </w:tc>
        <w:tc>
          <w:tcPr>
            <w:tcW w:w="2552" w:type="dxa"/>
            <w:vAlign w:val="center"/>
          </w:tcPr>
          <w:p>
            <w:pPr>
              <w:pStyle w:val="320"/>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Ansi="宋体"/>
                <w:color w:val="auto"/>
                <w:sz w:val="24"/>
                <w:szCs w:val="24"/>
                <w:highlight w:val="none"/>
              </w:rPr>
            </w:pPr>
          </w:p>
        </w:tc>
        <w:tc>
          <w:tcPr>
            <w:tcW w:w="3402" w:type="dxa"/>
            <w:vAlign w:val="center"/>
          </w:tcPr>
          <w:p>
            <w:pPr>
              <w:pStyle w:val="320"/>
              <w:spacing w:line="560" w:lineRule="exact"/>
              <w:ind w:firstLine="200"/>
              <w:jc w:val="center"/>
              <w:rPr>
                <w:rFonts w:hAnsi="宋体"/>
                <w:color w:val="auto"/>
                <w:sz w:val="24"/>
                <w:szCs w:val="24"/>
                <w:highlight w:val="none"/>
              </w:rPr>
            </w:pPr>
          </w:p>
        </w:tc>
        <w:tc>
          <w:tcPr>
            <w:tcW w:w="2552" w:type="dxa"/>
            <w:vAlign w:val="center"/>
          </w:tcPr>
          <w:p>
            <w:pPr>
              <w:pStyle w:val="320"/>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Ansi="宋体"/>
                <w:color w:val="auto"/>
                <w:sz w:val="24"/>
                <w:szCs w:val="24"/>
                <w:highlight w:val="none"/>
              </w:rPr>
            </w:pPr>
          </w:p>
        </w:tc>
        <w:tc>
          <w:tcPr>
            <w:tcW w:w="3402" w:type="dxa"/>
            <w:vAlign w:val="center"/>
          </w:tcPr>
          <w:p>
            <w:pPr>
              <w:pStyle w:val="320"/>
              <w:spacing w:line="560" w:lineRule="exact"/>
              <w:ind w:firstLine="200"/>
              <w:jc w:val="center"/>
              <w:rPr>
                <w:rFonts w:hAnsi="宋体"/>
                <w:color w:val="auto"/>
                <w:sz w:val="24"/>
                <w:szCs w:val="24"/>
                <w:highlight w:val="none"/>
              </w:rPr>
            </w:pPr>
          </w:p>
        </w:tc>
        <w:tc>
          <w:tcPr>
            <w:tcW w:w="2552" w:type="dxa"/>
            <w:vAlign w:val="center"/>
          </w:tcPr>
          <w:p>
            <w:pPr>
              <w:pStyle w:val="320"/>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pPr>
              <w:pStyle w:val="320"/>
              <w:spacing w:line="560" w:lineRule="exact"/>
              <w:ind w:firstLine="200"/>
              <w:jc w:val="center"/>
              <w:rPr>
                <w:rFonts w:hAnsi="宋体"/>
                <w:color w:val="auto"/>
                <w:sz w:val="24"/>
                <w:szCs w:val="24"/>
                <w:highlight w:val="none"/>
              </w:rPr>
            </w:pPr>
          </w:p>
        </w:tc>
      </w:tr>
    </w:tbl>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1.4 付款方式和发票开具方式</w:t>
      </w:r>
    </w:p>
    <w:p>
      <w:pPr>
        <w:pStyle w:val="960"/>
        <w:spacing w:before="0" w:beforeAutospacing="0" w:after="0" w:afterAutospacing="0" w:line="360" w:lineRule="auto"/>
        <w:ind w:firstLine="480"/>
        <w:rPr>
          <w:rFonts w:cs="Times New Roman"/>
          <w:color w:val="auto"/>
          <w:highlight w:val="none"/>
        </w:rPr>
      </w:pPr>
      <w:r>
        <w:rPr>
          <w:rFonts w:cs="Times New Roman"/>
          <w:color w:val="auto"/>
          <w:highlight w:val="none"/>
        </w:rPr>
        <w:t>1.4.1</w:t>
      </w:r>
      <w:r>
        <w:rPr>
          <w:rFonts w:hint="eastAsia" w:cs="Times New Roman"/>
          <w:color w:val="auto"/>
          <w:highlight w:val="none"/>
        </w:rPr>
        <w:t>甲方应严格履行合同，及时组织验收，验收合格后及时将合同款支付完毕。对于满足合同约定支付条件的，甲方自收到发票后</w:t>
      </w:r>
      <w:r>
        <w:rPr>
          <w:rFonts w:cs="Times New Roman"/>
          <w:color w:val="auto"/>
          <w:highlight w:val="none"/>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1.4.2 </w:t>
      </w:r>
      <w:r>
        <w:rPr>
          <w:rFonts w:hint="eastAsia" w:ascii="宋体" w:hAnsi="宋体"/>
          <w:color w:val="auto"/>
          <w:sz w:val="24"/>
          <w:highlight w:val="none"/>
        </w:rPr>
        <w:t>合同预付款比例为合同金额的</w:t>
      </w:r>
      <w:r>
        <w:rPr>
          <w:rFonts w:ascii="宋体" w:hAnsi="宋体"/>
          <w:color w:val="auto"/>
          <w:sz w:val="24"/>
          <w:highlight w:val="none"/>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宋体" w:hAnsi="宋体"/>
          <w:color w:val="auto"/>
          <w:sz w:val="24"/>
          <w:highlight w:val="none"/>
        </w:rPr>
        <w:t>5</w:t>
      </w:r>
      <w:r>
        <w:rPr>
          <w:rFonts w:ascii="宋体" w:hAnsi="宋体"/>
          <w:color w:val="auto"/>
          <w:sz w:val="24"/>
          <w:highlight w:val="none"/>
        </w:rPr>
        <w:t>个工作日内支付。</w:t>
      </w:r>
      <w:r>
        <w:rPr>
          <w:rFonts w:hint="eastAsia" w:ascii="宋体" w:hAnsi="宋体"/>
          <w:color w:val="auto"/>
          <w:sz w:val="24"/>
          <w:highlight w:val="none"/>
        </w:rPr>
        <w:t>政府采购工程以及与工程建设有关的货物、服务，采用招标方式采购的，预付款从其相关规定。乙方可登录政采云前台大厅选择金融服务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1.4.3</w:t>
      </w:r>
      <w:r>
        <w:rPr>
          <w:rFonts w:hint="eastAsia" w:ascii="宋体" w:hAnsi="宋体"/>
          <w:color w:val="auto"/>
          <w:sz w:val="24"/>
          <w:highlight w:val="none"/>
        </w:rPr>
        <w:t>甲方迟延支付乙方款项的，向乙方支付逾期利息。双方可以在合同专用条款中约定逾期利率，约定利率不得低于合同订立时</w:t>
      </w:r>
      <w:r>
        <w:rPr>
          <w:rFonts w:ascii="宋体" w:hAnsi="宋体"/>
          <w:color w:val="auto"/>
          <w:sz w:val="24"/>
          <w:highlight w:val="none"/>
        </w:rPr>
        <w:t>1年</w:t>
      </w:r>
      <w:r>
        <w:rPr>
          <w:rFonts w:hint="eastAsia" w:ascii="宋体" w:hAnsi="宋体"/>
          <w:color w:val="auto"/>
          <w:sz w:val="24"/>
          <w:highlight w:val="none"/>
        </w:rPr>
        <w:t>期贷款市场报价利率；未作约定的，按照每日利率万分之五支付逾期利息。</w:t>
      </w:r>
    </w:p>
    <w:p>
      <w:pPr>
        <w:spacing w:line="560" w:lineRule="exact"/>
        <w:ind w:firstLine="480" w:firstLineChars="200"/>
        <w:outlineLvl w:val="0"/>
        <w:rPr>
          <w:rFonts w:ascii="宋体" w:hAnsi="宋体"/>
          <w:color w:val="auto"/>
          <w:sz w:val="24"/>
          <w:highlight w:val="none"/>
        </w:rPr>
      </w:pPr>
      <w:r>
        <w:rPr>
          <w:rFonts w:ascii="宋体" w:hAnsi="宋体"/>
          <w:color w:val="auto"/>
          <w:sz w:val="24"/>
          <w:highlight w:val="none"/>
        </w:rPr>
        <w:t>1.4.4资金支付的方式、时间和条件详见</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outlineLvl w:val="0"/>
        <w:rPr>
          <w:rFonts w:ascii="宋体" w:hAnsi="宋体"/>
          <w:color w:val="auto"/>
          <w:sz w:val="24"/>
          <w:highlight w:val="none"/>
        </w:rPr>
      </w:pPr>
      <w:r>
        <w:rPr>
          <w:rFonts w:ascii="宋体" w:hAnsi="宋体"/>
          <w:color w:val="auto"/>
          <w:sz w:val="24"/>
          <w:highlight w:val="none"/>
        </w:rPr>
        <w:t>1.4.5</w:t>
      </w:r>
      <w:r>
        <w:rPr>
          <w:rFonts w:hint="eastAsia" w:ascii="宋体" w:hAnsi="宋体"/>
          <w:color w:val="auto"/>
          <w:sz w:val="24"/>
          <w:highlight w:val="none"/>
        </w:rPr>
        <w:t>乙方</w:t>
      </w:r>
      <w:r>
        <w:rPr>
          <w:rFonts w:ascii="宋体" w:hAnsi="宋体"/>
          <w:color w:val="auto"/>
          <w:sz w:val="24"/>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宋体" w:hAnsi="宋体"/>
          <w:color w:val="auto"/>
          <w:sz w:val="24"/>
          <w:highlight w:val="none"/>
        </w:rPr>
        <w:t>杭财采监〔</w:t>
      </w:r>
      <w:r>
        <w:rPr>
          <w:rFonts w:ascii="宋体" w:hAnsi="宋体"/>
          <w:color w:val="auto"/>
          <w:sz w:val="24"/>
          <w:highlight w:val="none"/>
        </w:rPr>
        <w:t>2021〕17号）。</w:t>
      </w:r>
    </w:p>
    <w:p>
      <w:pPr>
        <w:spacing w:line="560" w:lineRule="exact"/>
        <w:ind w:firstLine="482" w:firstLineChars="200"/>
        <w:outlineLvl w:val="0"/>
        <w:rPr>
          <w:rFonts w:ascii="宋体" w:hAnsi="宋体"/>
          <w:b/>
          <w:color w:val="auto"/>
          <w:sz w:val="24"/>
          <w:highlight w:val="none"/>
        </w:rPr>
      </w:pPr>
      <w:bookmarkStart w:id="414" w:name="_Toc11108"/>
      <w:bookmarkStart w:id="415" w:name="_Toc3625"/>
      <w:bookmarkStart w:id="416" w:name="_Toc4760"/>
      <w:bookmarkStart w:id="417" w:name="_Toc31421"/>
      <w:bookmarkStart w:id="418" w:name="_Toc8772"/>
      <w:r>
        <w:rPr>
          <w:rFonts w:ascii="宋体" w:hAnsi="宋体"/>
          <w:b/>
          <w:color w:val="auto"/>
          <w:sz w:val="24"/>
          <w:highlight w:val="none"/>
        </w:rPr>
        <w:t>1.5 履行期限</w:t>
      </w:r>
      <w:r>
        <w:rPr>
          <w:rFonts w:hint="eastAsia" w:ascii="宋体" w:hAnsi="宋体"/>
          <w:b/>
          <w:color w:val="auto"/>
          <w:sz w:val="24"/>
          <w:highlight w:val="none"/>
        </w:rPr>
        <w:t>、地点和方式</w:t>
      </w:r>
      <w:bookmarkEnd w:id="414"/>
      <w:bookmarkEnd w:id="415"/>
      <w:bookmarkEnd w:id="416"/>
      <w:bookmarkEnd w:id="417"/>
      <w:bookmarkEnd w:id="418"/>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1.5.1 </w:t>
      </w:r>
      <w:r>
        <w:rPr>
          <w:rFonts w:hint="eastAsia" w:ascii="宋体" w:hAnsi="宋体"/>
          <w:color w:val="auto"/>
          <w:sz w:val="24"/>
          <w:highlight w:val="none"/>
        </w:rPr>
        <w:t>履行期限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1.5.2 </w:t>
      </w:r>
      <w:r>
        <w:rPr>
          <w:rFonts w:hint="eastAsia" w:ascii="宋体" w:hAnsi="宋体"/>
          <w:color w:val="auto"/>
          <w:sz w:val="24"/>
          <w:highlight w:val="none"/>
        </w:rPr>
        <w:t>履行地点</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1.5.3 </w:t>
      </w:r>
      <w:r>
        <w:rPr>
          <w:rFonts w:hint="eastAsia" w:ascii="宋体" w:hAnsi="宋体"/>
          <w:color w:val="auto"/>
          <w:sz w:val="24"/>
          <w:highlight w:val="none"/>
        </w:rPr>
        <w:t>履行方式：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2" w:firstLineChars="200"/>
        <w:outlineLvl w:val="0"/>
        <w:rPr>
          <w:rFonts w:ascii="宋体" w:hAnsi="宋体"/>
          <w:color w:val="auto"/>
          <w:sz w:val="24"/>
          <w:highlight w:val="none"/>
          <w:u w:val="single"/>
        </w:rPr>
      </w:pPr>
      <w:bookmarkStart w:id="419" w:name="_Toc5698"/>
      <w:bookmarkStart w:id="420" w:name="_Toc3079"/>
      <w:bookmarkStart w:id="421" w:name="_Toc2375"/>
      <w:bookmarkStart w:id="422" w:name="_Toc24662"/>
      <w:bookmarkStart w:id="423" w:name="_Toc8586"/>
      <w:r>
        <w:rPr>
          <w:rFonts w:ascii="宋体" w:hAnsi="宋体"/>
          <w:b/>
          <w:color w:val="auto"/>
          <w:sz w:val="24"/>
          <w:highlight w:val="none"/>
        </w:rPr>
        <w:t xml:space="preserve">1.6 </w:t>
      </w:r>
      <w:r>
        <w:rPr>
          <w:rFonts w:hint="eastAsia" w:ascii="宋体" w:hAnsi="宋体"/>
          <w:b/>
          <w:color w:val="auto"/>
          <w:sz w:val="24"/>
          <w:highlight w:val="none"/>
        </w:rPr>
        <w:t>违约责任</w:t>
      </w:r>
      <w:bookmarkEnd w:id="419"/>
      <w:bookmarkEnd w:id="420"/>
      <w:bookmarkEnd w:id="421"/>
      <w:bookmarkEnd w:id="422"/>
      <w:bookmarkEnd w:id="423"/>
    </w:p>
    <w:p>
      <w:pPr>
        <w:spacing w:line="560" w:lineRule="exact"/>
        <w:ind w:firstLine="480" w:firstLineChars="200"/>
        <w:rPr>
          <w:rFonts w:ascii="宋体" w:hAnsi="宋体"/>
          <w:color w:val="auto"/>
          <w:sz w:val="24"/>
          <w:highlight w:val="none"/>
        </w:rPr>
      </w:pPr>
      <w:r>
        <w:rPr>
          <w:rFonts w:ascii="宋体" w:hAnsi="宋体"/>
          <w:color w:val="auto"/>
          <w:sz w:val="24"/>
          <w:highlight w:val="none"/>
        </w:rPr>
        <w:t>1.6.1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履行</w:t>
      </w:r>
      <w:r>
        <w:rPr>
          <w:rFonts w:ascii="宋体" w:hAnsi="宋体"/>
          <w:color w:val="auto"/>
          <w:sz w:val="24"/>
          <w:highlight w:val="none"/>
        </w:rPr>
        <w:t>，那么甲方可要求乙方支付违约金</w:t>
      </w:r>
      <w:r>
        <w:rPr>
          <w:rFonts w:hint="eastAsia" w:ascii="宋体" w:hAnsi="宋体"/>
          <w:color w:val="auto"/>
          <w:sz w:val="24"/>
          <w:highlight w:val="none"/>
        </w:rPr>
        <w:t>，</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ascii="宋体" w:hAnsi="宋体"/>
          <w:color w:val="auto"/>
          <w:sz w:val="24"/>
          <w:highlight w:val="none"/>
          <w:u w:val="single"/>
        </w:rPr>
        <w:t xml:space="preserve"> 0.05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1.6.2 除不可抗力外，如果甲方没有按照本合同约定的付款方式付款，那么乙方可要求甲方支付违约金</w:t>
      </w:r>
      <w:r>
        <w:rPr>
          <w:rFonts w:hint="eastAsia" w:ascii="宋体" w:hAnsi="宋体"/>
          <w:color w:val="auto"/>
          <w:sz w:val="24"/>
          <w:highlight w:val="none"/>
        </w:rPr>
        <w:t>，</w:t>
      </w:r>
      <w:r>
        <w:rPr>
          <w:rFonts w:ascii="宋体" w:hAnsi="宋体"/>
          <w:color w:val="auto"/>
          <w:sz w:val="24"/>
          <w:highlight w:val="none"/>
        </w:rPr>
        <w:t>违约金按每迟延</w:t>
      </w:r>
      <w:r>
        <w:rPr>
          <w:rFonts w:hint="eastAsia" w:ascii="宋体" w:hAnsi="宋体"/>
          <w:color w:val="auto"/>
          <w:sz w:val="24"/>
          <w:highlight w:val="none"/>
        </w:rPr>
        <w:t>付款</w:t>
      </w:r>
      <w:r>
        <w:rPr>
          <w:rFonts w:ascii="宋体" w:hAnsi="宋体"/>
          <w:color w:val="auto"/>
          <w:sz w:val="24"/>
          <w:highlight w:val="none"/>
        </w:rPr>
        <w:t>一日的应付而未付款的</w:t>
      </w:r>
      <w:r>
        <w:rPr>
          <w:rFonts w:ascii="宋体" w:hAnsi="宋体"/>
          <w:color w:val="auto"/>
          <w:sz w:val="24"/>
          <w:highlight w:val="none"/>
          <w:u w:val="single"/>
        </w:rPr>
        <w:t xml:space="preserve"> 0.05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付款</w:t>
      </w:r>
      <w:r>
        <w:rPr>
          <w:rFonts w:ascii="宋体" w:hAnsi="宋体"/>
          <w:color w:val="auto"/>
          <w:sz w:val="24"/>
          <w:highlight w:val="none"/>
        </w:rPr>
        <w:t>的违约金计算数额达到前述最高限额之日起</w:t>
      </w:r>
      <w:r>
        <w:rPr>
          <w:rFonts w:hint="eastAsia" w:ascii="宋体" w:hAnsi="宋体"/>
          <w:color w:val="auto"/>
          <w:sz w:val="24"/>
          <w:highlight w:val="none"/>
        </w:rPr>
        <w:t>，乙</w:t>
      </w:r>
      <w:r>
        <w:rPr>
          <w:rFonts w:ascii="宋体" w:hAnsi="宋体"/>
          <w:color w:val="auto"/>
          <w:sz w:val="24"/>
          <w:highlight w:val="none"/>
        </w:rPr>
        <w:t>方有权在要求甲方支付违约金的同时</w:t>
      </w:r>
      <w:r>
        <w:rPr>
          <w:rFonts w:hint="eastAsia" w:ascii="宋体" w:hAnsi="宋体"/>
          <w:color w:val="auto"/>
          <w:sz w:val="24"/>
          <w:highlight w:val="none"/>
        </w:rPr>
        <w:t>，书面通知甲方</w:t>
      </w:r>
      <w:r>
        <w:rPr>
          <w:rFonts w:ascii="宋体" w:hAnsi="宋体"/>
          <w:color w:val="auto"/>
          <w:sz w:val="24"/>
          <w:highlight w:val="none"/>
        </w:rPr>
        <w:t>解除本合同</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1.6.3 </w:t>
      </w:r>
      <w:r>
        <w:rPr>
          <w:rFonts w:hint="eastAsia" w:ascii="宋体" w:hAnsi="宋体"/>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1.6.4 </w:t>
      </w:r>
      <w:r>
        <w:rPr>
          <w:rFonts w:hint="eastAsia" w:ascii="宋体" w:hAnsi="宋体"/>
          <w:color w:val="auto"/>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1.6.5 </w:t>
      </w:r>
      <w:r>
        <w:rPr>
          <w:rFonts w:hint="eastAsia" w:ascii="宋体" w:hAnsi="宋体"/>
          <w:color w:val="auto"/>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1.6.6 </w:t>
      </w:r>
      <w:r>
        <w:rPr>
          <w:rFonts w:hint="eastAsia" w:ascii="宋体" w:hAnsi="宋体"/>
          <w:color w:val="auto"/>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ascii="宋体" w:hAnsi="宋体"/>
          <w:color w:val="auto"/>
          <w:highlight w:val="none"/>
        </w:rPr>
      </w:pPr>
      <w:r>
        <w:rPr>
          <w:rFonts w:ascii="宋体" w:hAnsi="宋体"/>
          <w:color w:val="auto"/>
          <w:sz w:val="24"/>
          <w:highlight w:val="none"/>
        </w:rPr>
        <w:t>1.6.7违约责任</w:t>
      </w:r>
      <w:r>
        <w:rPr>
          <w:rFonts w:hint="eastAsia" w:ascii="宋体" w:hAnsi="宋体"/>
          <w:b/>
          <w:i/>
          <w:color w:val="auto"/>
          <w:sz w:val="24"/>
          <w:highlight w:val="none"/>
          <w:u w:val="single"/>
        </w:rPr>
        <w:t>合同专用条款</w:t>
      </w:r>
      <w:r>
        <w:rPr>
          <w:rFonts w:hint="eastAsia" w:ascii="宋体" w:hAnsi="宋体"/>
          <w:color w:val="auto"/>
          <w:sz w:val="24"/>
          <w:highlight w:val="none"/>
        </w:rPr>
        <w:t>另有约定的，从其约定。</w:t>
      </w:r>
    </w:p>
    <w:p>
      <w:pPr>
        <w:spacing w:line="560" w:lineRule="exact"/>
        <w:ind w:firstLine="482" w:firstLineChars="200"/>
        <w:outlineLvl w:val="0"/>
        <w:rPr>
          <w:rFonts w:ascii="宋体" w:hAnsi="宋体"/>
          <w:b/>
          <w:color w:val="auto"/>
          <w:sz w:val="24"/>
          <w:highlight w:val="none"/>
        </w:rPr>
      </w:pPr>
      <w:bookmarkStart w:id="424" w:name="_Toc30329"/>
      <w:bookmarkStart w:id="425" w:name="_Toc9497"/>
      <w:bookmarkStart w:id="426" w:name="_Toc26807"/>
      <w:bookmarkStart w:id="427" w:name="_Toc32454"/>
      <w:bookmarkStart w:id="428" w:name="_Toc18683"/>
      <w:r>
        <w:rPr>
          <w:rFonts w:ascii="宋体" w:hAnsi="宋体"/>
          <w:b/>
          <w:color w:val="auto"/>
          <w:sz w:val="24"/>
          <w:highlight w:val="none"/>
        </w:rPr>
        <w:t xml:space="preserve">1.7 </w:t>
      </w:r>
      <w:r>
        <w:rPr>
          <w:rFonts w:hint="eastAsia" w:ascii="宋体" w:hAnsi="宋体"/>
          <w:b/>
          <w:color w:val="auto"/>
          <w:sz w:val="24"/>
          <w:highlight w:val="none"/>
        </w:rPr>
        <w:t>合同</w:t>
      </w:r>
      <w:r>
        <w:rPr>
          <w:rFonts w:ascii="宋体" w:hAnsi="宋体"/>
          <w:b/>
          <w:color w:val="auto"/>
          <w:sz w:val="24"/>
          <w:highlight w:val="none"/>
        </w:rPr>
        <w:t>争议的解决</w:t>
      </w:r>
      <w:bookmarkEnd w:id="424"/>
      <w:bookmarkEnd w:id="425"/>
      <w:bookmarkEnd w:id="426"/>
      <w:bookmarkEnd w:id="427"/>
      <w:bookmarkEnd w:id="428"/>
    </w:p>
    <w:p>
      <w:pPr>
        <w:spacing w:line="560" w:lineRule="exact"/>
        <w:ind w:left="-61" w:leftChars="-29" w:right="-420" w:rightChars="-200" w:firstLine="240" w:firstLineChars="100"/>
        <w:rPr>
          <w:rFonts w:ascii="宋体" w:hAnsi="宋体"/>
          <w:color w:val="auto"/>
          <w:sz w:val="24"/>
          <w:highlight w:val="none"/>
        </w:rPr>
      </w:pPr>
      <w:r>
        <w:rPr>
          <w:rFonts w:hint="eastAsia" w:ascii="宋体" w:hAnsi="宋体"/>
          <w:color w:val="auto"/>
          <w:sz w:val="24"/>
          <w:highlight w:val="none"/>
        </w:rPr>
        <w:t>本合同履行过程中发生的任何争议，双方当事人均可通过和解或者调解解决；不愿和解、调解或者和解、调解不成的，可以选择以下第</w:t>
      </w:r>
      <w:r>
        <w:rPr>
          <w:rFonts w:ascii="宋体" w:hAnsi="宋体"/>
          <w:b/>
          <w:i/>
          <w:color w:val="auto"/>
          <w:sz w:val="24"/>
          <w:highlight w:val="none"/>
          <w:u w:val="single"/>
        </w:rPr>
        <w:t xml:space="preserve"> 合同专用条款  </w:t>
      </w:r>
      <w:r>
        <w:rPr>
          <w:rFonts w:hint="eastAsia" w:ascii="宋体" w:hAnsi="宋体"/>
          <w:color w:val="auto"/>
          <w:sz w:val="24"/>
          <w:highlight w:val="none"/>
        </w:rPr>
        <w:t>条款规定的方式解决：</w:t>
      </w:r>
    </w:p>
    <w:p>
      <w:pPr>
        <w:spacing w:line="560" w:lineRule="exact"/>
        <w:ind w:left="-420" w:leftChars="-200" w:right="-420" w:rightChars="-200" w:firstLine="600" w:firstLineChars="250"/>
        <w:rPr>
          <w:rFonts w:ascii="宋体" w:hAnsi="宋体"/>
          <w:color w:val="auto"/>
          <w:sz w:val="24"/>
          <w:highlight w:val="none"/>
        </w:rPr>
      </w:pPr>
      <w:r>
        <w:rPr>
          <w:rFonts w:ascii="宋体" w:hAnsi="宋体"/>
          <w:color w:val="auto"/>
          <w:sz w:val="24"/>
          <w:highlight w:val="none"/>
        </w:rPr>
        <w:t xml:space="preserve">1.7.1 </w:t>
      </w:r>
      <w:r>
        <w:rPr>
          <w:rFonts w:hint="eastAsia" w:ascii="宋体" w:hAnsi="宋体"/>
          <w:color w:val="auto"/>
          <w:sz w:val="24"/>
          <w:highlight w:val="none"/>
        </w:rPr>
        <w:t>将争议提交</w:t>
      </w:r>
      <w:r>
        <w:rPr>
          <w:rFonts w:hint="eastAsia" w:ascii="宋体" w:hAnsi="宋体"/>
          <w:b/>
          <w:i/>
          <w:color w:val="auto"/>
          <w:sz w:val="24"/>
          <w:highlight w:val="none"/>
          <w:u w:val="single"/>
        </w:rPr>
        <w:t>合同专用条款</w:t>
      </w:r>
      <w:r>
        <w:rPr>
          <w:rFonts w:hint="eastAsia" w:ascii="宋体" w:hAnsi="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olor w:val="auto"/>
          <w:sz w:val="24"/>
          <w:highlight w:val="none"/>
        </w:rPr>
      </w:pPr>
      <w:r>
        <w:rPr>
          <w:rFonts w:ascii="宋体" w:hAnsi="宋体"/>
          <w:color w:val="auto"/>
          <w:sz w:val="24"/>
          <w:highlight w:val="none"/>
        </w:rPr>
        <w:t xml:space="preserve">1.7.2 </w:t>
      </w:r>
      <w:r>
        <w:rPr>
          <w:rFonts w:hint="eastAsia" w:ascii="宋体" w:hAnsi="宋体"/>
          <w:color w:val="auto"/>
          <w:sz w:val="24"/>
          <w:highlight w:val="none"/>
        </w:rPr>
        <w:t>向</w:t>
      </w:r>
      <w:r>
        <w:rPr>
          <w:rFonts w:hint="eastAsia" w:ascii="宋体" w:hAnsi="宋体"/>
          <w:b/>
          <w:i/>
          <w:color w:val="auto"/>
          <w:sz w:val="24"/>
          <w:highlight w:val="none"/>
          <w:u w:val="single"/>
        </w:rPr>
        <w:t>合同专用条款</w:t>
      </w:r>
      <w:r>
        <w:rPr>
          <w:rFonts w:hint="eastAsia" w:ascii="宋体" w:hAnsi="宋体"/>
          <w:color w:val="auto"/>
          <w:sz w:val="24"/>
          <w:highlight w:val="none"/>
        </w:rPr>
        <w:t>人民法院起诉。</w:t>
      </w:r>
    </w:p>
    <w:p>
      <w:pPr>
        <w:spacing w:line="560" w:lineRule="exact"/>
        <w:ind w:firstLine="241" w:firstLineChars="100"/>
        <w:outlineLvl w:val="0"/>
        <w:rPr>
          <w:rFonts w:ascii="宋体" w:hAnsi="宋体"/>
          <w:b/>
          <w:color w:val="auto"/>
          <w:sz w:val="24"/>
          <w:highlight w:val="none"/>
        </w:rPr>
      </w:pPr>
      <w:bookmarkStart w:id="429" w:name="_Toc23784"/>
      <w:bookmarkStart w:id="430" w:name="_Toc12273"/>
      <w:bookmarkStart w:id="431" w:name="_Toc26227"/>
      <w:bookmarkStart w:id="432" w:name="_Toc16417"/>
      <w:bookmarkStart w:id="433" w:name="_Toc15827"/>
      <w:r>
        <w:rPr>
          <w:rFonts w:ascii="宋体" w:hAnsi="宋体"/>
          <w:b/>
          <w:color w:val="auto"/>
          <w:sz w:val="24"/>
          <w:highlight w:val="none"/>
        </w:rPr>
        <w:t>1.8 合同生效</w:t>
      </w:r>
      <w:bookmarkEnd w:id="429"/>
      <w:bookmarkEnd w:id="430"/>
      <w:bookmarkEnd w:id="431"/>
      <w:bookmarkEnd w:id="432"/>
      <w:bookmarkEnd w:id="433"/>
    </w:p>
    <w:p>
      <w:pPr>
        <w:spacing w:line="560" w:lineRule="exact"/>
        <w:ind w:firstLine="480" w:firstLineChars="200"/>
        <w:rPr>
          <w:rFonts w:ascii="宋体" w:hAnsi="宋体"/>
          <w:b/>
          <w:color w:val="auto"/>
          <w:sz w:val="24"/>
          <w:highlight w:val="none"/>
        </w:rPr>
      </w:pPr>
      <w:r>
        <w:rPr>
          <w:rFonts w:ascii="宋体" w:hAnsi="宋体"/>
          <w:color w:val="auto"/>
          <w:sz w:val="24"/>
          <w:highlight w:val="none"/>
        </w:rPr>
        <w:t>本合同自</w:t>
      </w:r>
      <w:r>
        <w:rPr>
          <w:rFonts w:hint="eastAsia" w:ascii="宋体" w:hAnsi="宋体"/>
          <w:color w:val="auto"/>
          <w:sz w:val="24"/>
          <w:highlight w:val="none"/>
        </w:rPr>
        <w:t>双方当事人盖章或者签字时</w:t>
      </w:r>
      <w:r>
        <w:rPr>
          <w:rFonts w:ascii="宋体" w:hAnsi="宋体"/>
          <w:color w:val="auto"/>
          <w:sz w:val="24"/>
          <w:highlight w:val="none"/>
        </w:rPr>
        <w:t>生效。</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pPr>
        <w:widowControl/>
        <w:adjustRightInd/>
        <w:jc w:val="left"/>
        <w:rPr>
          <w:rFonts w:ascii="宋体" w:hAnsi="宋体"/>
          <w:b/>
          <w:color w:val="auto"/>
          <w:sz w:val="24"/>
          <w:highlight w:val="none"/>
        </w:rPr>
      </w:pPr>
    </w:p>
    <w:p>
      <w:pPr>
        <w:pStyle w:val="702"/>
        <w:spacing w:line="560" w:lineRule="exact"/>
        <w:ind w:left="0" w:leftChars="0" w:firstLine="0" w:firstLineChars="0"/>
        <w:jc w:val="center"/>
        <w:rPr>
          <w:rFonts w:ascii="宋体" w:hAnsi="宋体"/>
          <w:b/>
          <w:color w:val="auto"/>
          <w:szCs w:val="24"/>
          <w:highlight w:val="none"/>
        </w:rPr>
      </w:pPr>
    </w:p>
    <w:p>
      <w:pPr>
        <w:pStyle w:val="702"/>
        <w:spacing w:line="560" w:lineRule="exact"/>
        <w:ind w:left="0" w:leftChars="0" w:firstLine="0" w:firstLineChars="0"/>
        <w:jc w:val="center"/>
        <w:rPr>
          <w:rFonts w:ascii="宋体" w:hAnsi="宋体"/>
          <w:b/>
          <w:color w:val="auto"/>
          <w:szCs w:val="24"/>
          <w:highlight w:val="none"/>
        </w:rPr>
      </w:pPr>
    </w:p>
    <w:p>
      <w:pPr>
        <w:pStyle w:val="702"/>
        <w:spacing w:line="560" w:lineRule="exact"/>
        <w:ind w:left="0" w:leftChars="0" w:firstLine="0" w:firstLineChars="0"/>
        <w:jc w:val="center"/>
        <w:rPr>
          <w:rFonts w:ascii="宋体" w:hAnsi="宋体"/>
          <w:b/>
          <w:color w:val="auto"/>
          <w:szCs w:val="24"/>
          <w:highlight w:val="none"/>
        </w:rPr>
      </w:pPr>
    </w:p>
    <w:p>
      <w:pPr>
        <w:pStyle w:val="702"/>
        <w:spacing w:line="560" w:lineRule="exact"/>
        <w:ind w:left="0" w:leftChars="0" w:firstLine="0" w:firstLineChars="0"/>
        <w:jc w:val="center"/>
        <w:rPr>
          <w:rFonts w:ascii="宋体" w:hAnsi="宋体"/>
          <w:b/>
          <w:color w:val="auto"/>
          <w:szCs w:val="24"/>
          <w:highlight w:val="none"/>
        </w:rPr>
      </w:pPr>
    </w:p>
    <w:p>
      <w:pPr>
        <w:pStyle w:val="702"/>
        <w:spacing w:line="560" w:lineRule="exact"/>
        <w:ind w:left="0" w:leftChars="0" w:firstLine="0" w:firstLineChars="0"/>
        <w:jc w:val="center"/>
        <w:rPr>
          <w:rFonts w:ascii="宋体" w:hAnsi="宋体"/>
          <w:b/>
          <w:color w:val="auto"/>
          <w:szCs w:val="24"/>
          <w:highlight w:val="none"/>
        </w:rPr>
      </w:pPr>
    </w:p>
    <w:p>
      <w:pPr>
        <w:pStyle w:val="702"/>
        <w:spacing w:line="560" w:lineRule="exact"/>
        <w:ind w:left="0" w:leftChars="0" w:firstLine="0" w:firstLineChars="0"/>
        <w:rPr>
          <w:rFonts w:ascii="宋体" w:hAnsi="宋体"/>
          <w:b/>
          <w:color w:val="auto"/>
          <w:szCs w:val="24"/>
          <w:highlight w:val="none"/>
        </w:rPr>
      </w:pPr>
    </w:p>
    <w:p>
      <w:pPr>
        <w:pStyle w:val="702"/>
        <w:spacing w:line="560" w:lineRule="exact"/>
        <w:ind w:left="0" w:leftChars="0" w:firstLine="0" w:firstLineChars="0"/>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pPr>
        <w:spacing w:line="560" w:lineRule="exact"/>
        <w:ind w:firstLine="482" w:firstLineChars="200"/>
        <w:outlineLvl w:val="0"/>
        <w:rPr>
          <w:rFonts w:ascii="宋体" w:hAnsi="宋体"/>
          <w:b/>
          <w:color w:val="auto"/>
          <w:sz w:val="24"/>
          <w:highlight w:val="none"/>
        </w:rPr>
      </w:pPr>
      <w:bookmarkStart w:id="434" w:name="_Toc31297"/>
      <w:bookmarkStart w:id="435" w:name="_Toc19680"/>
      <w:bookmarkStart w:id="436" w:name="_Toc5228"/>
      <w:bookmarkStart w:id="437" w:name="_Toc25079"/>
      <w:bookmarkStart w:id="438" w:name="_Toc14021"/>
      <w:r>
        <w:rPr>
          <w:rFonts w:ascii="宋体" w:hAnsi="宋体"/>
          <w:b/>
          <w:color w:val="auto"/>
          <w:sz w:val="24"/>
          <w:highlight w:val="none"/>
        </w:rPr>
        <w:t>2.1 定义</w:t>
      </w:r>
      <w:bookmarkEnd w:id="434"/>
      <w:bookmarkEnd w:id="435"/>
      <w:bookmarkEnd w:id="436"/>
      <w:bookmarkEnd w:id="437"/>
      <w:bookmarkEnd w:id="438"/>
    </w:p>
    <w:p>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“合同价”系指根据合同约定，中标供应商在完全履行合同义务后</w:t>
      </w:r>
      <w:r>
        <w:rPr>
          <w:rFonts w:hint="eastAsia" w:ascii="宋体" w:hAnsi="宋体"/>
          <w:color w:val="auto"/>
          <w:sz w:val="24"/>
          <w:highlight w:val="none"/>
        </w:rPr>
        <w:t>，</w:t>
      </w:r>
      <w:r>
        <w:rPr>
          <w:rFonts w:ascii="宋体" w:hAnsi="宋体"/>
          <w:color w:val="auto"/>
          <w:sz w:val="24"/>
          <w:highlight w:val="none"/>
        </w:rPr>
        <w:t>采购人应支付给中标供应商的价格。</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olor w:val="auto"/>
          <w:sz w:val="24"/>
          <w:highlight w:val="none"/>
        </w:rPr>
        <w:t>中标供应商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olor w:val="auto"/>
          <w:sz w:val="24"/>
          <w:highlight w:val="none"/>
        </w:rPr>
        <w:t>中标供应商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“乙方”系指根据合同约定提供服务的中标供应商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pPr>
        <w:spacing w:line="560" w:lineRule="exact"/>
        <w:ind w:firstLine="482" w:firstLineChars="200"/>
        <w:outlineLvl w:val="0"/>
        <w:rPr>
          <w:rFonts w:ascii="宋体" w:hAnsi="宋体"/>
          <w:b/>
          <w:color w:val="auto"/>
          <w:sz w:val="24"/>
          <w:highlight w:val="none"/>
        </w:rPr>
      </w:pPr>
      <w:bookmarkStart w:id="439" w:name="_Toc19539"/>
      <w:bookmarkStart w:id="440" w:name="_Toc3769"/>
      <w:bookmarkStart w:id="441" w:name="_Toc16752"/>
      <w:bookmarkStart w:id="442" w:name="_Toc23289"/>
      <w:bookmarkStart w:id="443" w:name="_Toc31402"/>
      <w:r>
        <w:rPr>
          <w:rFonts w:ascii="宋体" w:hAnsi="宋体"/>
          <w:b/>
          <w:color w:val="auto"/>
          <w:sz w:val="24"/>
          <w:highlight w:val="none"/>
        </w:rPr>
        <w:t>2.2 技术规范</w:t>
      </w:r>
      <w:bookmarkEnd w:id="439"/>
      <w:bookmarkEnd w:id="440"/>
      <w:bookmarkEnd w:id="441"/>
      <w:bookmarkEnd w:id="442"/>
      <w:bookmarkEnd w:id="443"/>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spacing w:line="560" w:lineRule="exact"/>
        <w:ind w:firstLine="482" w:firstLineChars="200"/>
        <w:outlineLvl w:val="0"/>
        <w:rPr>
          <w:rFonts w:ascii="宋体" w:hAnsi="宋体"/>
          <w:b/>
          <w:color w:val="auto"/>
          <w:sz w:val="24"/>
          <w:highlight w:val="none"/>
        </w:rPr>
      </w:pPr>
      <w:bookmarkStart w:id="444" w:name="_Toc9161"/>
      <w:bookmarkStart w:id="445" w:name="_Toc12412"/>
      <w:bookmarkStart w:id="446" w:name="_Toc4133"/>
      <w:bookmarkStart w:id="447" w:name="_Toc27945"/>
      <w:bookmarkStart w:id="448" w:name="_Toc13673"/>
      <w:r>
        <w:rPr>
          <w:rFonts w:ascii="宋体" w:hAnsi="宋体"/>
          <w:b/>
          <w:color w:val="auto"/>
          <w:sz w:val="24"/>
          <w:highlight w:val="none"/>
        </w:rPr>
        <w:t>2.3 知识产权</w:t>
      </w:r>
      <w:bookmarkEnd w:id="444"/>
      <w:bookmarkEnd w:id="445"/>
      <w:bookmarkEnd w:id="446"/>
      <w:bookmarkEnd w:id="447"/>
      <w:bookmarkEnd w:id="448"/>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highlight w:val="none"/>
        </w:rPr>
      </w:pPr>
      <w:bookmarkStart w:id="449" w:name="_Toc15447"/>
      <w:bookmarkStart w:id="450" w:name="_Toc32670"/>
      <w:bookmarkStart w:id="451" w:name="_Toc22011"/>
      <w:bookmarkStart w:id="452" w:name="_Toc26555"/>
      <w:bookmarkStart w:id="453" w:name="_Toc31233"/>
      <w:r>
        <w:rPr>
          <w:rFonts w:ascii="宋体" w:hAnsi="宋体"/>
          <w:b/>
          <w:color w:val="auto"/>
          <w:sz w:val="24"/>
          <w:highlight w:val="none"/>
        </w:rPr>
        <w:t>2.5 结算方式和付款条件</w:t>
      </w:r>
      <w:bookmarkEnd w:id="449"/>
      <w:bookmarkEnd w:id="450"/>
      <w:bookmarkEnd w:id="451"/>
      <w:bookmarkEnd w:id="452"/>
      <w:bookmarkEnd w:id="453"/>
    </w:p>
    <w:p>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54" w:name="_Toc13154"/>
      <w:bookmarkStart w:id="455" w:name="_Toc18990"/>
      <w:bookmarkStart w:id="456" w:name="_Toc30507"/>
      <w:bookmarkStart w:id="457" w:name="_Toc13467"/>
      <w:bookmarkStart w:id="458" w:name="_Toc16163"/>
      <w:r>
        <w:rPr>
          <w:rFonts w:ascii="宋体" w:hAnsi="宋体"/>
          <w:b/>
          <w:color w:val="auto"/>
          <w:sz w:val="24"/>
          <w:highlight w:val="none"/>
        </w:rPr>
        <w:t>2.6 技术资料和保密义务</w:t>
      </w:r>
      <w:bookmarkEnd w:id="454"/>
      <w:bookmarkEnd w:id="455"/>
      <w:bookmarkEnd w:id="456"/>
      <w:bookmarkEnd w:id="457"/>
      <w:bookmarkEnd w:id="458"/>
    </w:p>
    <w:p>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highlight w:val="none"/>
        </w:rPr>
      </w:pPr>
      <w:bookmarkStart w:id="459"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59"/>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highlight w:val="none"/>
        </w:rPr>
      </w:pPr>
      <w:bookmarkStart w:id="460"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0"/>
    </w:p>
    <w:p>
      <w:pPr>
        <w:spacing w:line="560" w:lineRule="exact"/>
        <w:ind w:firstLine="480" w:firstLineChars="200"/>
        <w:rPr>
          <w:rFonts w:ascii="宋体" w:hAnsi="宋体"/>
          <w:color w:val="auto"/>
          <w:sz w:val="24"/>
          <w:highlight w:val="none"/>
        </w:rPr>
      </w:pPr>
      <w:r>
        <w:rPr>
          <w:rFonts w:ascii="宋体" w:hAnsi="宋体"/>
          <w:color w:val="auto"/>
          <w:sz w:val="24"/>
          <w:highlight w:val="none"/>
        </w:rPr>
        <w:t>在合同履行过程中，如果乙方遇到不能按时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pPr>
        <w:spacing w:line="560" w:lineRule="exact"/>
        <w:ind w:firstLine="482" w:firstLineChars="200"/>
        <w:outlineLvl w:val="0"/>
        <w:rPr>
          <w:rFonts w:ascii="宋体" w:hAnsi="宋体"/>
          <w:b/>
          <w:color w:val="auto"/>
          <w:sz w:val="24"/>
          <w:highlight w:val="none"/>
        </w:rPr>
      </w:pPr>
      <w:bookmarkStart w:id="461"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1"/>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62" w:name="_Toc23368"/>
      <w:bookmarkStart w:id="463" w:name="_Toc42"/>
      <w:bookmarkStart w:id="464" w:name="_Toc21830"/>
      <w:bookmarkStart w:id="465" w:name="_Toc26689"/>
      <w:bookmarkStart w:id="466" w:name="_Toc10663"/>
      <w:r>
        <w:rPr>
          <w:rFonts w:ascii="宋体" w:hAnsi="宋体"/>
          <w:b/>
          <w:color w:val="auto"/>
          <w:sz w:val="24"/>
          <w:highlight w:val="none"/>
        </w:rPr>
        <w:t>2.10 合同转让和分包</w:t>
      </w:r>
      <w:bookmarkEnd w:id="462"/>
      <w:bookmarkEnd w:id="463"/>
      <w:bookmarkEnd w:id="464"/>
      <w:bookmarkEnd w:id="465"/>
      <w:bookmarkEnd w:id="466"/>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pPr>
        <w:spacing w:line="560" w:lineRule="exact"/>
        <w:ind w:firstLine="482" w:firstLineChars="200"/>
        <w:outlineLvl w:val="0"/>
        <w:rPr>
          <w:rFonts w:ascii="宋体" w:hAnsi="宋体"/>
          <w:b/>
          <w:color w:val="auto"/>
          <w:sz w:val="24"/>
          <w:highlight w:val="none"/>
        </w:rPr>
      </w:pPr>
      <w:bookmarkStart w:id="467" w:name="_Toc4720"/>
      <w:bookmarkStart w:id="468" w:name="_Toc14371"/>
      <w:bookmarkStart w:id="469" w:name="_Toc26633"/>
      <w:bookmarkStart w:id="470" w:name="_Toc25571"/>
      <w:bookmarkStart w:id="471" w:name="_Toc32494"/>
      <w:r>
        <w:rPr>
          <w:rFonts w:ascii="宋体" w:hAnsi="宋体"/>
          <w:b/>
          <w:color w:val="auto"/>
          <w:sz w:val="24"/>
          <w:highlight w:val="none"/>
        </w:rPr>
        <w:t>2.11 不可抗力</w:t>
      </w:r>
      <w:bookmarkEnd w:id="467"/>
      <w:bookmarkEnd w:id="468"/>
      <w:bookmarkEnd w:id="469"/>
      <w:bookmarkEnd w:id="470"/>
      <w:bookmarkEnd w:id="471"/>
    </w:p>
    <w:p>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72" w:name="_Toc23854"/>
      <w:bookmarkStart w:id="473" w:name="_Toc24465"/>
      <w:bookmarkStart w:id="474" w:name="_Toc25783"/>
      <w:bookmarkStart w:id="475" w:name="_Toc14115"/>
      <w:bookmarkStart w:id="476" w:name="_Toc3638"/>
      <w:r>
        <w:rPr>
          <w:rFonts w:ascii="宋体" w:hAnsi="宋体"/>
          <w:b/>
          <w:color w:val="auto"/>
          <w:sz w:val="24"/>
          <w:highlight w:val="none"/>
        </w:rPr>
        <w:t>2.12 税费</w:t>
      </w:r>
      <w:bookmarkEnd w:id="472"/>
      <w:bookmarkEnd w:id="473"/>
      <w:bookmarkEnd w:id="474"/>
      <w:bookmarkEnd w:id="475"/>
      <w:bookmarkEnd w:id="476"/>
    </w:p>
    <w:p>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pPr>
        <w:spacing w:line="560" w:lineRule="exact"/>
        <w:ind w:firstLine="482" w:firstLineChars="200"/>
        <w:outlineLvl w:val="0"/>
        <w:rPr>
          <w:rFonts w:ascii="宋体" w:hAnsi="宋体"/>
          <w:b/>
          <w:color w:val="auto"/>
          <w:sz w:val="24"/>
          <w:highlight w:val="none"/>
        </w:rPr>
      </w:pPr>
      <w:bookmarkStart w:id="477" w:name="_Toc25525"/>
      <w:bookmarkStart w:id="478" w:name="_Toc7315"/>
      <w:bookmarkStart w:id="479" w:name="_Toc30105"/>
      <w:bookmarkStart w:id="480" w:name="_Toc26883"/>
      <w:bookmarkStart w:id="481" w:name="_Toc14814"/>
      <w:r>
        <w:rPr>
          <w:rFonts w:ascii="宋体" w:hAnsi="宋体"/>
          <w:b/>
          <w:color w:val="auto"/>
          <w:sz w:val="24"/>
          <w:highlight w:val="none"/>
        </w:rPr>
        <w:t>2.13 乙方破产</w:t>
      </w:r>
      <w:bookmarkEnd w:id="477"/>
      <w:bookmarkEnd w:id="478"/>
      <w:bookmarkEnd w:id="479"/>
      <w:bookmarkEnd w:id="480"/>
      <w:bookmarkEnd w:id="481"/>
    </w:p>
    <w:p>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82" w:name="_Toc1123"/>
      <w:bookmarkStart w:id="483" w:name="_Toc2016"/>
      <w:bookmarkStart w:id="484" w:name="_Toc23323"/>
      <w:r>
        <w:rPr>
          <w:rFonts w:ascii="宋体" w:hAnsi="宋体"/>
          <w:b/>
          <w:color w:val="auto"/>
          <w:sz w:val="24"/>
          <w:highlight w:val="none"/>
        </w:rPr>
        <w:t>2.14 合同中止、终止</w:t>
      </w:r>
      <w:bookmarkEnd w:id="482"/>
      <w:bookmarkEnd w:id="483"/>
      <w:bookmarkEnd w:id="484"/>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85" w:name="_Toc17363"/>
      <w:bookmarkStart w:id="486" w:name="_Toc1969"/>
      <w:bookmarkStart w:id="487" w:name="_Toc14525"/>
      <w:r>
        <w:rPr>
          <w:rFonts w:ascii="宋体" w:hAnsi="宋体"/>
          <w:b/>
          <w:color w:val="auto"/>
          <w:sz w:val="24"/>
          <w:highlight w:val="none"/>
        </w:rPr>
        <w:t>2.15 检验和验收</w:t>
      </w:r>
      <w:bookmarkEnd w:id="485"/>
      <w:bookmarkEnd w:id="486"/>
      <w:bookmarkEnd w:id="487"/>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pPr>
        <w:spacing w:line="560" w:lineRule="exact"/>
        <w:ind w:firstLine="482" w:firstLineChars="200"/>
        <w:outlineLvl w:val="0"/>
        <w:rPr>
          <w:rFonts w:ascii="宋体" w:hAnsi="宋体"/>
          <w:b/>
          <w:color w:val="auto"/>
          <w:sz w:val="24"/>
          <w:highlight w:val="none"/>
        </w:rPr>
      </w:pPr>
      <w:bookmarkStart w:id="488" w:name="_Toc25198"/>
      <w:bookmarkStart w:id="489" w:name="_Toc31892"/>
      <w:bookmarkStart w:id="490" w:name="_Toc2308"/>
      <w:bookmarkStart w:id="491" w:name="_Toc9808"/>
      <w:bookmarkStart w:id="492" w:name="_Toc12666"/>
      <w:r>
        <w:rPr>
          <w:rFonts w:ascii="宋体" w:hAnsi="宋体"/>
          <w:b/>
          <w:color w:val="auto"/>
          <w:sz w:val="24"/>
          <w:highlight w:val="none"/>
        </w:rPr>
        <w:t>2.16 通知和送达</w:t>
      </w:r>
      <w:bookmarkEnd w:id="488"/>
      <w:bookmarkEnd w:id="489"/>
      <w:bookmarkEnd w:id="490"/>
      <w:bookmarkEnd w:id="491"/>
      <w:bookmarkEnd w:id="492"/>
    </w:p>
    <w:p>
      <w:pPr>
        <w:spacing w:line="560" w:lineRule="exact"/>
        <w:ind w:firstLine="480" w:firstLineChars="200"/>
        <w:rPr>
          <w:rFonts w:ascii="宋体" w:hAnsi="宋体"/>
          <w:color w:val="auto"/>
          <w:sz w:val="24"/>
          <w:highlight w:val="none"/>
        </w:rPr>
      </w:pPr>
      <w:bookmarkStart w:id="493" w:name="_Toc18401"/>
      <w:bookmarkStart w:id="494" w:name="_Toc27674"/>
      <w:r>
        <w:rPr>
          <w:rFonts w:ascii="宋体" w:hAnsi="宋体"/>
          <w:color w:val="auto"/>
          <w:sz w:val="24"/>
          <w:highlight w:val="none"/>
        </w:rPr>
        <w:t>2.1</w:t>
      </w:r>
      <w:r>
        <w:rPr>
          <w:rFonts w:hint="eastAsia" w:ascii="宋体" w:hAnsi="宋体"/>
          <w:color w:val="auto"/>
          <w:sz w:val="24"/>
          <w:highlight w:val="none"/>
        </w:rPr>
        <w:t>6</w:t>
      </w:r>
      <w:r>
        <w:rPr>
          <w:rFonts w:ascii="宋体" w:hAnsi="宋体"/>
          <w:color w:val="auto"/>
          <w:sz w:val="24"/>
          <w:highlight w:val="none"/>
        </w:rPr>
        <w:t>.1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6</w:t>
      </w:r>
      <w:r>
        <w:rPr>
          <w:rFonts w:ascii="宋体" w:hAnsi="宋体"/>
          <w:color w:val="auto"/>
          <w:sz w:val="24"/>
          <w:highlight w:val="none"/>
        </w:rPr>
        <w:t>.2以当面交付方式送达的，交付之时视为送达；以电子邮件方式送达的，发出电子邮件之时视为送达；以传真方式送达的，发出传真之时视为送达；以邮寄方式送达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3"/>
      <w:bookmarkEnd w:id="494"/>
    </w:p>
    <w:p>
      <w:pPr>
        <w:spacing w:line="560" w:lineRule="exact"/>
        <w:ind w:firstLine="482" w:firstLineChars="200"/>
        <w:outlineLvl w:val="0"/>
        <w:rPr>
          <w:rFonts w:ascii="宋体" w:hAnsi="宋体"/>
          <w:b/>
          <w:color w:val="auto"/>
          <w:sz w:val="24"/>
          <w:highlight w:val="none"/>
        </w:rPr>
      </w:pPr>
      <w:bookmarkStart w:id="495" w:name="_Toc28906"/>
      <w:bookmarkStart w:id="496" w:name="_Toc27644"/>
      <w:bookmarkStart w:id="497" w:name="_Toc12254"/>
      <w:bookmarkStart w:id="498" w:name="_Toc5063"/>
      <w:bookmarkStart w:id="499" w:name="_Toc20808"/>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495"/>
      <w:bookmarkEnd w:id="496"/>
      <w:bookmarkEnd w:id="497"/>
      <w:bookmarkEnd w:id="498"/>
      <w:bookmarkEnd w:id="499"/>
    </w:p>
    <w:p>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pPr>
        <w:spacing w:line="560" w:lineRule="exact"/>
        <w:ind w:firstLine="482" w:firstLineChars="200"/>
        <w:outlineLvl w:val="0"/>
        <w:rPr>
          <w:rFonts w:ascii="宋体" w:hAnsi="宋体"/>
          <w:b/>
          <w:color w:val="auto"/>
          <w:sz w:val="24"/>
          <w:highlight w:val="none"/>
        </w:rPr>
      </w:pPr>
      <w:bookmarkStart w:id="500" w:name="_Toc30096"/>
      <w:bookmarkStart w:id="501" w:name="_Toc22266"/>
      <w:bookmarkStart w:id="502" w:name="_Toc27403"/>
      <w:bookmarkStart w:id="503" w:name="_Toc1492"/>
      <w:bookmarkStart w:id="504" w:name="_Toc27127"/>
      <w:r>
        <w:rPr>
          <w:rFonts w:ascii="宋体" w:hAnsi="宋体"/>
          <w:b/>
          <w:color w:val="auto"/>
          <w:sz w:val="24"/>
          <w:highlight w:val="none"/>
        </w:rPr>
        <w:t>2.18 履约保证金</w:t>
      </w:r>
      <w:bookmarkEnd w:id="500"/>
      <w:bookmarkEnd w:id="501"/>
      <w:bookmarkEnd w:id="502"/>
      <w:bookmarkEnd w:id="503"/>
      <w:bookmarkEnd w:id="504"/>
    </w:p>
    <w:p>
      <w:pPr>
        <w:pStyle w:val="960"/>
        <w:spacing w:before="0" w:beforeAutospacing="0" w:after="0" w:afterAutospacing="0" w:line="360" w:lineRule="auto"/>
        <w:ind w:firstLine="420"/>
        <w:rPr>
          <w:color w:val="auto"/>
          <w:highlight w:val="none"/>
        </w:rPr>
      </w:pPr>
      <w:r>
        <w:rPr>
          <w:color w:val="auto"/>
          <w:highlight w:val="none"/>
        </w:rPr>
        <w:t xml:space="preserve">2.18.1 </w:t>
      </w:r>
      <w:r>
        <w:rPr>
          <w:rFonts w:hint="eastAsia"/>
          <w:color w:val="auto"/>
          <w:highlight w:val="none"/>
        </w:rPr>
        <w:t>采购文件要求乙方提交履约保证金的，乙方应按</w:t>
      </w:r>
      <w:r>
        <w:rPr>
          <w:rFonts w:hint="eastAsia"/>
          <w:b/>
          <w:i/>
          <w:color w:val="auto"/>
          <w:highlight w:val="none"/>
          <w:u w:val="single"/>
        </w:rPr>
        <w:t>合同专用条款</w:t>
      </w:r>
      <w:r>
        <w:rPr>
          <w:rFonts w:hint="eastAsia"/>
          <w:color w:val="auto"/>
          <w:highlight w:val="none"/>
        </w:rPr>
        <w:t>约定的方式，以支票、汇票、本票或者金融机构、担保机构出具的保函等非现金形式，提交不超过合同金额</w:t>
      </w:r>
      <w:r>
        <w:rPr>
          <w:color w:val="auto"/>
          <w:highlight w:val="none"/>
        </w:rPr>
        <w:t>1%的履约保证金；鼓励和支持乙方以银行、保险公司出具的保函形式提供履约保证</w:t>
      </w:r>
      <w:r>
        <w:rPr>
          <w:rFonts w:hint="eastAsia"/>
          <w:color w:val="auto"/>
          <w:highlight w:val="none"/>
        </w:rPr>
        <w:t>，乙方以银行、保险公司出具保函形式提交履约保证金的，甲方不得拒收。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2.18.2  </w:t>
      </w:r>
      <w:r>
        <w:rPr>
          <w:rFonts w:hint="eastAsia" w:ascii="宋体" w:hAnsi="宋体"/>
          <w:color w:val="auto"/>
          <w:sz w:val="24"/>
          <w:highlight w:val="none"/>
        </w:rPr>
        <w:t>甲方在项目验收结束后及时退还履约保证金。</w:t>
      </w:r>
      <w:r>
        <w:rPr>
          <w:rFonts w:hint="eastAsia" w:ascii="宋体" w:hAnsi="宋体" w:cs="宋体"/>
          <w:color w:val="auto"/>
          <w:sz w:val="24"/>
          <w:highlight w:val="none"/>
        </w:rPr>
        <w:t>甲方在项目通过验收之日起</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个工作日内将履约保证金退还乙方，逾期退还的，</w:t>
      </w:r>
      <w:r>
        <w:rPr>
          <w:rFonts w:hint="eastAsia" w:ascii="宋体" w:hAnsi="宋体"/>
          <w:color w:val="auto"/>
          <w:sz w:val="24"/>
          <w:highlight w:val="none"/>
        </w:rPr>
        <w:t>乙方可要求甲方支付违约金，违约金按每迟延退还一日的应退还而未退还金额的</w:t>
      </w:r>
      <w:r>
        <w:rPr>
          <w:rFonts w:ascii="宋体" w:hAnsi="宋体"/>
          <w:color w:val="auto"/>
          <w:sz w:val="24"/>
          <w:highlight w:val="none"/>
          <w:u w:val="single"/>
        </w:rPr>
        <w:t xml:space="preserve">  0.05  </w:t>
      </w:r>
      <w:r>
        <w:rPr>
          <w:rFonts w:ascii="宋体" w:hAnsi="宋体"/>
          <w:color w:val="auto"/>
          <w:sz w:val="24"/>
          <w:highlight w:val="none"/>
        </w:rPr>
        <w:t>%计算，最高限额为本合同履约保证金的</w:t>
      </w:r>
      <w:r>
        <w:rPr>
          <w:rFonts w:ascii="宋体" w:hAnsi="宋体"/>
          <w:color w:val="auto"/>
          <w:sz w:val="24"/>
          <w:highlight w:val="none"/>
          <w:u w:val="single"/>
        </w:rPr>
        <w:t xml:space="preserve">  20   </w:t>
      </w:r>
      <w:r>
        <w:rPr>
          <w:rFonts w:ascii="宋体" w:hAnsi="宋体"/>
          <w:color w:val="auto"/>
          <w:sz w:val="24"/>
          <w:highlight w:val="none"/>
        </w:rPr>
        <w:t xml:space="preserve">%； </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2.18.3 </w:t>
      </w:r>
      <w:r>
        <w:rPr>
          <w:rFonts w:hint="eastAsia" w:ascii="宋体" w:hAnsi="宋体"/>
          <w:color w:val="auto"/>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宋体" w:hAnsi="宋体"/>
          <w:color w:val="auto"/>
          <w:highlight w:val="none"/>
        </w:rPr>
      </w:pPr>
      <w:r>
        <w:rPr>
          <w:rFonts w:ascii="宋体" w:hAnsi="宋体"/>
          <w:color w:val="auto"/>
          <w:sz w:val="24"/>
          <w:highlight w:val="none"/>
        </w:rPr>
        <w:t>2.18.4</w:t>
      </w:r>
      <w:r>
        <w:rPr>
          <w:rFonts w:hint="eastAsia" w:ascii="宋体" w:hAnsi="宋体"/>
          <w:color w:val="auto"/>
          <w:sz w:val="24"/>
          <w:highlight w:val="none"/>
        </w:rPr>
        <w:t> 甲方</w:t>
      </w:r>
      <w:r>
        <w:rPr>
          <w:rFonts w:ascii="宋体" w:hAnsi="宋体"/>
          <w:color w:val="auto"/>
          <w:sz w:val="24"/>
          <w:highlight w:val="none"/>
        </w:rPr>
        <w:t>在</w:t>
      </w:r>
      <w:r>
        <w:rPr>
          <w:rFonts w:hint="eastAsia" w:ascii="宋体" w:hAnsi="宋体"/>
          <w:color w:val="auto"/>
          <w:sz w:val="24"/>
          <w:highlight w:val="none"/>
        </w:rPr>
        <w:t>乙方</w:t>
      </w:r>
      <w:r>
        <w:rPr>
          <w:rFonts w:ascii="宋体" w:hAnsi="宋体"/>
          <w:color w:val="auto"/>
          <w:sz w:val="24"/>
          <w:highlight w:val="none"/>
        </w:rPr>
        <w:t>履行完合同约定义务事项后及时退还，延迟退还的，应当按照合同约定和法律规定承担相应的赔偿责任。</w:t>
      </w:r>
    </w:p>
    <w:p>
      <w:pPr>
        <w:spacing w:line="560" w:lineRule="exact"/>
        <w:ind w:firstLine="482" w:firstLineChars="200"/>
        <w:rPr>
          <w:rFonts w:ascii="宋体" w:hAnsi="宋体"/>
          <w:color w:val="auto"/>
          <w:sz w:val="24"/>
          <w:highlight w:val="none"/>
        </w:rPr>
      </w:pPr>
      <w:r>
        <w:rPr>
          <w:rFonts w:ascii="宋体" w:hAnsi="宋体"/>
          <w:b/>
          <w:bCs/>
          <w:color w:val="auto"/>
          <w:sz w:val="24"/>
          <w:highlight w:val="none"/>
        </w:rPr>
        <w:t>2.19</w:t>
      </w:r>
      <w:r>
        <w:rPr>
          <w:rFonts w:ascii="宋体" w:hAnsi="宋体"/>
          <w:color w:val="auto"/>
          <w:sz w:val="24"/>
          <w:highlight w:val="none"/>
        </w:rPr>
        <w:t>对于因甲方原因导致变更、中止或者终止政府采购合同的，甲方应当依照合同约定对供应商受到的损失予以赔偿或者补偿</w:t>
      </w:r>
      <w:r>
        <w:rPr>
          <w:rFonts w:hint="eastAsia" w:ascii="宋体" w:hAnsi="宋体"/>
          <w:color w:val="auto"/>
          <w:sz w:val="24"/>
          <w:highlight w:val="none"/>
        </w:rPr>
        <w:t>。</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2.20合同份数</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5" w:name="_Toc331685784"/>
      <w:r>
        <w:rPr>
          <w:rFonts w:hint="eastAsia" w:ascii="宋体" w:hAnsi="宋体" w:cs="宋体"/>
          <w:b/>
          <w:color w:val="auto"/>
          <w:sz w:val="24"/>
          <w:highlight w:val="none"/>
        </w:rPr>
        <w:t xml:space="preserve"> </w:t>
      </w:r>
      <w:bookmarkEnd w:id="505"/>
      <w:r>
        <w:rPr>
          <w:rFonts w:hint="eastAsia" w:ascii="宋体" w:hAnsi="宋体" w:cs="宋体"/>
          <w:b/>
          <w:color w:val="auto"/>
          <w:sz w:val="24"/>
          <w:highlight w:val="none"/>
        </w:rPr>
        <w:t>第三部分  合同专用条款</w:t>
      </w:r>
    </w:p>
    <w:p>
      <w:pPr>
        <w:spacing w:line="560" w:lineRule="exact"/>
        <w:ind w:left="-420" w:leftChars="-200" w:right="-420" w:rightChars="-200" w:firstLine="480" w:firstLineChars="200"/>
        <w:rPr>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971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4"/>
        <w:gridCol w:w="88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4" w:type="dxa"/>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863"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4"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1.4.4</w:t>
            </w:r>
          </w:p>
        </w:tc>
        <w:tc>
          <w:tcPr>
            <w:tcW w:w="8863" w:type="dxa"/>
            <w:vAlign w:val="center"/>
          </w:tcPr>
          <w:p>
            <w:pPr>
              <w:pStyle w:val="25"/>
              <w:spacing w:before="125" w:after="120" w:line="360" w:lineRule="auto"/>
              <w:ind w:firstLine="480" w:firstLineChars="200"/>
              <w:rPr>
                <w:b w:val="0"/>
                <w:bCs w:val="0"/>
                <w:color w:val="auto"/>
                <w:highlight w:val="none"/>
                <w:lang w:val="en-US"/>
              </w:rPr>
            </w:pPr>
            <w:r>
              <w:rPr>
                <w:rFonts w:hint="eastAsia"/>
                <w:b w:val="0"/>
                <w:bCs w:val="0"/>
                <w:color w:val="auto"/>
                <w:highlight w:val="none"/>
                <w:lang w:val="en-US"/>
              </w:rPr>
              <w:t>本次项目合同金额为大写人民币        元整（￥    元）</w:t>
            </w:r>
            <w:r>
              <w:rPr>
                <w:rFonts w:hint="eastAsia"/>
                <w:b w:val="0"/>
                <w:bCs w:val="0"/>
                <w:color w:val="auto"/>
                <w:highlight w:val="none"/>
              </w:rPr>
              <w:t>。付款方式具体如下：</w:t>
            </w:r>
          </w:p>
          <w:p>
            <w:pPr>
              <w:snapToGrid w:val="0"/>
              <w:spacing w:line="360" w:lineRule="auto"/>
              <w:ind w:firstLine="480" w:firstLineChars="200"/>
              <w:rPr>
                <w:color w:val="auto"/>
                <w:highlight w:val="none"/>
              </w:rPr>
            </w:pPr>
            <w:r>
              <w:rPr>
                <w:rFonts w:hint="eastAsia" w:ascii="宋体" w:hAnsi="宋体" w:eastAsia="宋体" w:cs="宋体"/>
                <w:b w:val="0"/>
                <w:bCs w:val="0"/>
                <w:color w:val="auto"/>
                <w:sz w:val="24"/>
                <w:highlight w:val="none"/>
                <w:lang w:val="en-US" w:eastAsia="zh-CN"/>
              </w:rPr>
              <w:t>签订合同之日起十个工作日内，具备支付条件，甲方向乙方支付合同总价的50%作为预付款；服务期满9个月后，具备支付条件，甲方向乙方支付合同总价的40%合同款；服务期结束且乙方通过甲方考核，具备支付条件，甲方向乙方支付合同剩余款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4"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863" w:type="dxa"/>
            <w:vAlign w:val="center"/>
          </w:tcPr>
          <w:p>
            <w:pPr>
              <w:pStyle w:val="131"/>
              <w:snapToGrid w:val="0"/>
              <w:spacing w:before="0"/>
              <w:ind w:firstLine="0" w:firstLineChars="0"/>
              <w:rPr>
                <w:rFonts w:ascii="宋体" w:hAnsi="宋体" w:cs="宋体"/>
                <w:color w:val="auto"/>
                <w:szCs w:val="24"/>
                <w:highlight w:val="none"/>
              </w:rPr>
            </w:pPr>
            <w:r>
              <w:rPr>
                <w:rFonts w:hint="eastAsia" w:ascii="宋体" w:hAnsi="宋体"/>
                <w:bCs/>
                <w:color w:val="auto"/>
                <w:szCs w:val="24"/>
                <w:highlight w:val="none"/>
              </w:rPr>
              <w:t>2023年  月  日-20  年  月   日</w:t>
            </w:r>
            <w:r>
              <w:rPr>
                <w:rFonts w:hint="eastAsia" w:ascii="宋体" w:hAnsi="宋体"/>
                <w:color w:val="auto"/>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4"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863"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4"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863" w:type="dxa"/>
            <w:vAlign w:val="center"/>
          </w:tcPr>
          <w:p>
            <w:pPr>
              <w:spacing w:line="360" w:lineRule="auto"/>
              <w:rPr>
                <w:rFonts w:ascii="宋体" w:hAnsi="宋体" w:cs="宋体"/>
                <w:color w:val="auto"/>
                <w:sz w:val="24"/>
                <w:highlight w:val="none"/>
              </w:rPr>
            </w:pPr>
            <w:r>
              <w:rPr>
                <w:rFonts w:hint="eastAsia" w:ascii="宋体" w:hAnsi="宋体"/>
                <w:color w:val="auto"/>
                <w:sz w:val="24"/>
                <w:highlight w:val="none"/>
              </w:rPr>
              <w:t>按行业通用模式执行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4"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1.6.7</w:t>
            </w:r>
          </w:p>
        </w:tc>
        <w:tc>
          <w:tcPr>
            <w:tcW w:w="8863" w:type="dxa"/>
            <w:vAlign w:val="center"/>
          </w:tcPr>
          <w:p>
            <w:pPr>
              <w:pStyle w:val="799"/>
              <w:ind w:firstLine="0" w:firstLineChars="0"/>
              <w:rPr>
                <w:rFonts w:ascii="宋体" w:hAnsi="宋体"/>
                <w:color w:val="auto"/>
                <w:szCs w:val="24"/>
                <w:highlight w:val="none"/>
              </w:rPr>
            </w:pPr>
            <w:r>
              <w:rPr>
                <w:rFonts w:ascii="宋体" w:hAnsi="宋体"/>
                <w:color w:val="auto"/>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4"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w:t>
            </w:r>
          </w:p>
        </w:tc>
        <w:tc>
          <w:tcPr>
            <w:tcW w:w="8863"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4"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863" w:type="dxa"/>
            <w:vAlign w:val="center"/>
          </w:tcPr>
          <w:p>
            <w:pPr>
              <w:spacing w:line="360" w:lineRule="auto"/>
              <w:rPr>
                <w:rFonts w:ascii="宋体" w:hAnsi="宋体" w:cs="宋体"/>
                <w:color w:val="auto"/>
                <w:sz w:val="24"/>
                <w:highlight w:val="none"/>
              </w:rPr>
            </w:pPr>
            <w:r>
              <w:rPr>
                <w:rFonts w:ascii="宋体" w:hAnsi="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4"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863" w:type="dxa"/>
            <w:vAlign w:val="center"/>
          </w:tcPr>
          <w:p>
            <w:pPr>
              <w:spacing w:line="360" w:lineRule="auto"/>
              <w:rPr>
                <w:rFonts w:ascii="宋体" w:hAnsi="宋体" w:cs="宋体"/>
                <w:color w:val="auto"/>
                <w:sz w:val="24"/>
                <w:highlight w:val="none"/>
              </w:rPr>
            </w:pPr>
            <w:bookmarkStart w:id="506" w:name="_Hlk124179938"/>
            <w:r>
              <w:rPr>
                <w:rFonts w:hint="eastAsia" w:ascii="宋体" w:hAnsi="宋体"/>
                <w:iCs/>
                <w:color w:val="auto"/>
                <w:sz w:val="24"/>
                <w:highlight w:val="none"/>
              </w:rPr>
              <w:t>本合同履行过程中如发生争议的，双方应友好协商；协商不成的，任何一方均可向甲方所在地人民法院提起诉讼。</w:t>
            </w:r>
            <w:bookmarkEnd w:id="506"/>
            <w:r>
              <w:rPr>
                <w:rFonts w:ascii="宋体" w:hAnsi="宋体"/>
                <w:iCs/>
                <w:color w:val="auto"/>
                <w:sz w:val="24"/>
                <w:highlight w:val="non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4"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863" w:type="dxa"/>
            <w:vAlign w:val="center"/>
          </w:tcPr>
          <w:p>
            <w:pPr>
              <w:spacing w:line="360" w:lineRule="auto"/>
              <w:rPr>
                <w:rFonts w:ascii="宋体" w:hAnsi="宋体" w:cs="宋体"/>
                <w:color w:val="auto"/>
                <w:sz w:val="24"/>
                <w:highlight w:val="none"/>
              </w:rPr>
            </w:pPr>
            <w:r>
              <w:rPr>
                <w:rFonts w:hint="eastAsia" w:ascii="宋体" w:hAnsi="宋体"/>
                <w:iCs/>
                <w:color w:val="auto"/>
                <w:sz w:val="24"/>
                <w:highlight w:val="none"/>
              </w:rPr>
              <w:t>合同涉及技术成果的归属和收益均属于甲方。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14" w:hRule="atLeast"/>
        </w:trPr>
        <w:tc>
          <w:tcPr>
            <w:tcW w:w="854"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863" w:type="dxa"/>
            <w:vAlign w:val="center"/>
          </w:tcPr>
          <w:p>
            <w:pPr>
              <w:snapToGrid w:val="0"/>
              <w:spacing w:line="360" w:lineRule="auto"/>
              <w:rPr>
                <w:rFonts w:ascii="宋体" w:hAnsi="宋体"/>
                <w:color w:val="auto"/>
                <w:sz w:val="24"/>
                <w:highlight w:val="none"/>
              </w:rPr>
            </w:pPr>
            <w:r>
              <w:rPr>
                <w:rFonts w:hint="eastAsia" w:ascii="宋体" w:hAnsi="宋体" w:eastAsia="宋体" w:cs="宋体"/>
                <w:b w:val="0"/>
                <w:bCs w:val="0"/>
                <w:color w:val="auto"/>
                <w:sz w:val="24"/>
                <w:highlight w:val="none"/>
                <w:lang w:val="en-US" w:eastAsia="zh-CN"/>
              </w:rPr>
              <w:t>签订合同之日起十个工作日内，具备支付条件，甲方向乙方支付合同总价的50%作为预付款；服务期满9个月后，具备支付条件，甲方向乙方支付合同总价的40%合同款；服务期结束且乙方通过甲方考核，具备支付条件，甲方向乙方支付合同剩余款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3" w:hRule="atLeast"/>
        </w:trPr>
        <w:tc>
          <w:tcPr>
            <w:tcW w:w="854"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863" w:type="dxa"/>
            <w:vAlign w:val="center"/>
          </w:tcPr>
          <w:p>
            <w:pPr>
              <w:spacing w:line="360" w:lineRule="auto"/>
              <w:rPr>
                <w:rFonts w:ascii="宋体" w:hAnsi="宋体" w:cs="宋体"/>
                <w:color w:val="auto"/>
                <w:sz w:val="24"/>
                <w:highlight w:val="none"/>
              </w:rPr>
            </w:pPr>
            <w:r>
              <w:rPr>
                <w:rFonts w:hint="eastAsia" w:ascii="宋体" w:hAnsi="宋体" w:cs="仿宋"/>
                <w:color w:val="auto"/>
                <w:sz w:val="24"/>
                <w:highlight w:val="none"/>
              </w:rPr>
              <w:t>因不可抗力致使合同有变更必要的，双方当事人应在</w:t>
            </w:r>
            <w:r>
              <w:rPr>
                <w:rFonts w:ascii="宋体" w:hAnsi="宋体" w:cs="仿宋"/>
                <w:color w:val="auto"/>
                <w:sz w:val="24"/>
                <w:highlight w:val="none"/>
              </w:rPr>
              <w:t>15日</w:t>
            </w:r>
            <w:r>
              <w:rPr>
                <w:rFonts w:hint="eastAsia" w:ascii="宋体" w:hAnsi="宋体" w:cs="仿宋"/>
                <w:color w:val="auto"/>
                <w:sz w:val="24"/>
                <w:highlight w:val="none"/>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4" w:type="dxa"/>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863" w:type="dxa"/>
          </w:tcPr>
          <w:p>
            <w:pPr>
              <w:spacing w:line="360" w:lineRule="auto"/>
              <w:rPr>
                <w:rFonts w:ascii="宋体" w:hAnsi="宋体" w:cs="宋体"/>
                <w:color w:val="auto"/>
                <w:sz w:val="24"/>
                <w:highlight w:val="none"/>
              </w:rPr>
            </w:pPr>
            <w:r>
              <w:rPr>
                <w:rFonts w:ascii="宋体" w:hAnsi="宋体" w:cs="仿宋"/>
                <w:color w:val="auto"/>
                <w:sz w:val="24"/>
                <w:highlight w:val="none"/>
              </w:rPr>
              <w:t>受不可抗力影响的一方在不可抗力发生后，应在15日内以书面形式通知对方当事人，并在15日内，将有关部门出具的证明文件送达对方当事人</w:t>
            </w:r>
            <w:r>
              <w:rPr>
                <w:rFonts w:hint="eastAsia" w:ascii="宋体" w:hAnsi="宋体" w:cs="仿宋"/>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4"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863" w:type="dxa"/>
            <w:vAlign w:val="center"/>
          </w:tcPr>
          <w:p>
            <w:pPr>
              <w:spacing w:line="360" w:lineRule="auto"/>
              <w:ind w:firstLine="420"/>
              <w:rPr>
                <w:rFonts w:ascii="宋体" w:hAnsi="宋体"/>
                <w:color w:val="auto"/>
                <w:sz w:val="24"/>
                <w:highlight w:val="none"/>
              </w:rPr>
            </w:pPr>
            <w:r>
              <w:rPr>
                <w:rFonts w:hint="eastAsia" w:ascii="宋体" w:hAnsi="宋体"/>
                <w:color w:val="auto"/>
                <w:sz w:val="24"/>
                <w:highlight w:val="none"/>
              </w:rPr>
              <w:t>项目交付前，乙方应对服务的质量、数量等方面进行详细、全面的检验，并向甲方出具证明服务符合合同约定的文件，提供相关实施文档及用户评价，提出验收申请；甲方根据乙方的验收申请发起验收，并可依法邀请相关方参加，验收应出具验收书。</w:t>
            </w:r>
          </w:p>
          <w:p>
            <w:pPr>
              <w:spacing w:line="360" w:lineRule="auto"/>
              <w:rPr>
                <w:rFonts w:ascii="宋体" w:hAnsi="宋体" w:cs="宋体"/>
                <w:color w:val="auto"/>
                <w:sz w:val="24"/>
                <w:highlight w:val="none"/>
              </w:rPr>
            </w:pPr>
            <w:r>
              <w:rPr>
                <w:rFonts w:hint="eastAsia" w:ascii="宋体" w:hAnsi="宋体"/>
                <w:color w:val="auto"/>
                <w:sz w:val="24"/>
                <w:highlight w:val="none"/>
              </w:rPr>
              <w:t>甲方在乙方提供相关服务的过程中，有权不定期对服务内容和质量进行考核。乙方提供相关服务过程中有违反合同约定、不达约定标准情况的，甲方有权要求乙方限期整改，乙方未按甲方要求整改的，甲方有权拒绝验收，乙方应承担相应的违约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4"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863" w:type="dxa"/>
            <w:vAlign w:val="center"/>
          </w:tcPr>
          <w:p>
            <w:pPr>
              <w:pStyle w:val="27"/>
              <w:spacing w:after="120" w:line="360" w:lineRule="auto"/>
              <w:ind w:firstLine="0" w:firstLineChars="0"/>
              <w:rPr>
                <w:rFonts w:cs="仿宋"/>
                <w:color w:val="auto"/>
                <w:highlight w:val="none"/>
              </w:rPr>
            </w:pPr>
            <w:r>
              <w:rPr>
                <w:rFonts w:cs="仿宋"/>
                <w:color w:val="auto"/>
                <w:highlight w:val="none"/>
              </w:rPr>
              <w:t>1</w:t>
            </w:r>
            <w:r>
              <w:rPr>
                <w:rFonts w:hint="eastAsia" w:cs="仿宋"/>
                <w:color w:val="auto"/>
                <w:highlight w:val="none"/>
              </w:rPr>
              <w:t>）满足所有采购需求及响应文件承诺；</w:t>
            </w:r>
          </w:p>
          <w:p>
            <w:pPr>
              <w:pStyle w:val="27"/>
              <w:spacing w:after="120" w:line="360" w:lineRule="auto"/>
              <w:ind w:firstLine="0" w:firstLineChars="0"/>
              <w:rPr>
                <w:rFonts w:cs="仿宋"/>
                <w:color w:val="auto"/>
                <w:highlight w:val="none"/>
              </w:rPr>
            </w:pPr>
            <w:r>
              <w:rPr>
                <w:rFonts w:hint="eastAsia" w:cs="仿宋"/>
                <w:color w:val="auto"/>
                <w:highlight w:val="none"/>
              </w:rPr>
              <w:t>2）</w:t>
            </w:r>
            <w:r>
              <w:rPr>
                <w:rFonts w:cs="仿宋"/>
                <w:color w:val="auto"/>
                <w:highlight w:val="none"/>
              </w:rPr>
              <w:t>拟投服务团队</w:t>
            </w:r>
            <w:r>
              <w:rPr>
                <w:rFonts w:hint="eastAsia" w:cs="仿宋"/>
                <w:color w:val="auto"/>
                <w:highlight w:val="none"/>
              </w:rPr>
              <w:t>管理</w:t>
            </w:r>
            <w:r>
              <w:rPr>
                <w:rFonts w:cs="仿宋"/>
                <w:color w:val="auto"/>
                <w:highlight w:val="none"/>
              </w:rPr>
              <w:t>人员全部到位，与</w:t>
            </w:r>
            <w:r>
              <w:rPr>
                <w:rFonts w:hint="eastAsia" w:cs="仿宋"/>
                <w:color w:val="auto"/>
                <w:highlight w:val="none"/>
              </w:rPr>
              <w:t>响应</w:t>
            </w:r>
            <w:r>
              <w:rPr>
                <w:rFonts w:cs="仿宋"/>
                <w:color w:val="auto"/>
                <w:highlight w:val="none"/>
              </w:rPr>
              <w:t>文件</w:t>
            </w:r>
            <w:r>
              <w:rPr>
                <w:rFonts w:hint="eastAsia" w:cs="仿宋"/>
                <w:color w:val="auto"/>
                <w:highlight w:val="none"/>
              </w:rPr>
              <w:t>管理</w:t>
            </w:r>
            <w:r>
              <w:rPr>
                <w:rFonts w:cs="仿宋"/>
                <w:color w:val="auto"/>
                <w:highlight w:val="none"/>
              </w:rPr>
              <w:t>人员信息清单一致；</w:t>
            </w:r>
          </w:p>
          <w:p>
            <w:pPr>
              <w:pStyle w:val="27"/>
              <w:spacing w:line="360" w:lineRule="auto"/>
              <w:ind w:firstLine="0" w:firstLineChars="0"/>
              <w:rPr>
                <w:rFonts w:cs="Arial"/>
                <w:color w:val="auto"/>
                <w:highlight w:val="none"/>
              </w:rPr>
            </w:pPr>
            <w:r>
              <w:rPr>
                <w:rFonts w:hint="eastAsia" w:cs="仿宋"/>
                <w:color w:val="auto"/>
                <w:highlight w:val="none"/>
              </w:rPr>
              <w:t>3）项目验收资料齐全。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4"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8</w:t>
            </w:r>
            <w:r>
              <w:rPr>
                <w:rFonts w:hint="eastAsia" w:ascii="宋体" w:hAnsi="宋体" w:cs="宋体"/>
                <w:color w:val="auto"/>
                <w:sz w:val="24"/>
                <w:highlight w:val="none"/>
              </w:rPr>
              <w:t>.1</w:t>
            </w:r>
          </w:p>
        </w:tc>
        <w:tc>
          <w:tcPr>
            <w:tcW w:w="8863"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本项目不收取履约保证金</w:t>
            </w: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4"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8</w:t>
            </w:r>
            <w:r>
              <w:rPr>
                <w:rFonts w:hint="eastAsia" w:ascii="宋体" w:hAnsi="宋体" w:cs="宋体"/>
                <w:color w:val="auto"/>
                <w:sz w:val="24"/>
                <w:highlight w:val="none"/>
              </w:rPr>
              <w:t>.</w:t>
            </w:r>
            <w:r>
              <w:rPr>
                <w:rFonts w:ascii="宋体" w:hAnsi="宋体" w:cs="宋体"/>
                <w:color w:val="auto"/>
                <w:sz w:val="24"/>
                <w:highlight w:val="none"/>
              </w:rPr>
              <w:t>2</w:t>
            </w:r>
          </w:p>
        </w:tc>
        <w:tc>
          <w:tcPr>
            <w:tcW w:w="8863"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4" w:type="dxa"/>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2.20</w:t>
            </w:r>
          </w:p>
        </w:tc>
        <w:tc>
          <w:tcPr>
            <w:tcW w:w="8863" w:type="dxa"/>
          </w:tcPr>
          <w:p>
            <w:pPr>
              <w:spacing w:line="360" w:lineRule="auto"/>
              <w:rPr>
                <w:rFonts w:ascii="宋体" w:hAnsi="宋体" w:cs="宋体"/>
                <w:color w:val="auto"/>
                <w:sz w:val="24"/>
                <w:highlight w:val="none"/>
              </w:rPr>
            </w:pPr>
            <w:bookmarkStart w:id="507" w:name="_Hlk124179984"/>
            <w:r>
              <w:rPr>
                <w:rFonts w:hint="eastAsia" w:ascii="宋体" w:hAnsi="宋体" w:cs="仿宋"/>
                <w:color w:val="auto"/>
                <w:sz w:val="24"/>
                <w:highlight w:val="none"/>
              </w:rPr>
              <w:t>本合同壹式陆份，甲方执叁份，乙方执叁份。每份均具有同等法律效力。</w:t>
            </w:r>
            <w:bookmarkEnd w:id="507"/>
          </w:p>
        </w:tc>
      </w:tr>
    </w:tbl>
    <w:p>
      <w:pPr>
        <w:spacing w:line="360" w:lineRule="auto"/>
        <w:ind w:left="-420" w:leftChars="-200" w:right="-420" w:rightChars="-200" w:firstLine="480" w:firstLineChars="200"/>
        <w:rPr>
          <w:rFonts w:ascii="宋体" w:hAnsi="宋体" w:cs="宋体"/>
          <w:color w:val="auto"/>
          <w:sz w:val="24"/>
          <w:highlight w:val="none"/>
        </w:rPr>
      </w:pPr>
    </w:p>
    <w:p>
      <w:pPr>
        <w:pStyle w:val="4"/>
        <w:rPr>
          <w:rFonts w:ascii="宋体" w:hAnsi="宋体" w:cs="宋体"/>
          <w:color w:val="auto"/>
          <w:sz w:val="24"/>
          <w:highlight w:val="none"/>
        </w:rPr>
      </w:pPr>
    </w:p>
    <w:p>
      <w:pPr>
        <w:rPr>
          <w:rFonts w:ascii="宋体" w:hAnsi="宋体" w:cs="宋体"/>
          <w:color w:val="auto"/>
          <w:sz w:val="24"/>
          <w:highlight w:val="none"/>
        </w:rPr>
      </w:pPr>
    </w:p>
    <w:p>
      <w:pPr>
        <w:pStyle w:val="4"/>
        <w:rPr>
          <w:rFonts w:ascii="宋体" w:hAnsi="宋体" w:cs="宋体"/>
          <w:color w:val="auto"/>
          <w:sz w:val="24"/>
          <w:highlight w:val="none"/>
        </w:rPr>
      </w:pPr>
    </w:p>
    <w:p>
      <w:pPr>
        <w:rPr>
          <w:rFonts w:ascii="宋体" w:hAnsi="宋体" w:cs="宋体"/>
          <w:color w:val="auto"/>
          <w:sz w:val="24"/>
          <w:highlight w:val="none"/>
        </w:rPr>
      </w:pPr>
    </w:p>
    <w:p>
      <w:pPr>
        <w:pStyle w:val="4"/>
        <w:rPr>
          <w:rFonts w:ascii="宋体" w:hAnsi="宋体" w:cs="宋体"/>
          <w:color w:val="auto"/>
          <w:sz w:val="24"/>
          <w:highlight w:val="none"/>
        </w:rPr>
      </w:pPr>
    </w:p>
    <w:p>
      <w:pPr>
        <w:rPr>
          <w:rFonts w:ascii="宋体" w:hAnsi="宋体" w:cs="宋体"/>
          <w:color w:val="auto"/>
          <w:sz w:val="24"/>
          <w:highlight w:val="none"/>
        </w:rPr>
      </w:pPr>
    </w:p>
    <w:p>
      <w:pPr>
        <w:pStyle w:val="4"/>
        <w:rPr>
          <w:rFonts w:ascii="宋体" w:hAnsi="宋体" w:cs="宋体"/>
          <w:color w:val="auto"/>
          <w:sz w:val="24"/>
          <w:highlight w:val="none"/>
        </w:rPr>
      </w:pPr>
    </w:p>
    <w:p>
      <w:pPr>
        <w:rPr>
          <w:rFonts w:ascii="宋体" w:hAnsi="宋体" w:cs="宋体"/>
          <w:color w:val="auto"/>
          <w:sz w:val="24"/>
          <w:highlight w:val="none"/>
        </w:rPr>
      </w:pPr>
    </w:p>
    <w:p>
      <w:pPr>
        <w:pStyle w:val="4"/>
        <w:rPr>
          <w:rFonts w:ascii="宋体" w:hAnsi="宋体" w:cs="宋体"/>
          <w:color w:val="auto"/>
          <w:sz w:val="24"/>
          <w:highlight w:val="none"/>
        </w:rPr>
      </w:pPr>
    </w:p>
    <w:p>
      <w:pPr>
        <w:rPr>
          <w:rFonts w:ascii="宋体" w:hAnsi="宋体" w:cs="宋体"/>
          <w:color w:val="auto"/>
          <w:sz w:val="24"/>
          <w:highlight w:val="none"/>
        </w:rPr>
      </w:pPr>
    </w:p>
    <w:p>
      <w:pPr>
        <w:pStyle w:val="4"/>
        <w:rPr>
          <w:rFonts w:ascii="宋体" w:hAnsi="宋体" w:cs="宋体"/>
          <w:color w:val="auto"/>
          <w:sz w:val="24"/>
          <w:highlight w:val="none"/>
        </w:rPr>
      </w:pPr>
    </w:p>
    <w:p>
      <w:pPr>
        <w:rPr>
          <w:rFonts w:ascii="宋体" w:hAnsi="宋体" w:cs="宋体"/>
          <w:color w:val="auto"/>
          <w:sz w:val="24"/>
          <w:highlight w:val="none"/>
        </w:rPr>
      </w:pPr>
    </w:p>
    <w:p>
      <w:pPr>
        <w:pStyle w:val="4"/>
        <w:rPr>
          <w:rFonts w:ascii="宋体" w:hAnsi="宋体" w:cs="宋体"/>
          <w:color w:val="auto"/>
          <w:sz w:val="24"/>
          <w:highlight w:val="none"/>
        </w:rPr>
      </w:pPr>
    </w:p>
    <w:p>
      <w:pPr>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杭州市余杭区市场监督管理局</w:t>
      </w:r>
      <w:r>
        <w:rPr>
          <w:rFonts w:hint="eastAsia" w:ascii="宋体" w:hAnsi="宋体" w:cs="宋体"/>
          <w:color w:val="auto"/>
          <w:sz w:val="24"/>
          <w:highlight w:val="none"/>
        </w:rPr>
        <w:t>、杭州中瑞招标代理有限公司：</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消费投诉积案动态清零服务外包项目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HZZR-F230422N</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杭州市余杭区市场监督管理局</w:t>
      </w:r>
      <w:r>
        <w:rPr>
          <w:rFonts w:hint="eastAsia" w:ascii="宋体" w:hAnsi="宋体" w:cs="宋体"/>
          <w:color w:val="auto"/>
          <w:sz w:val="24"/>
          <w:highlight w:val="none"/>
        </w:rPr>
        <w:t>、杭州中瑞招标代理有限公司：</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消费投诉积案动态清零服务外包项目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HZZR-F230422N</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8" w:name="_Hlk101257010"/>
      <w:r>
        <w:rPr>
          <w:rFonts w:hint="eastAsia" w:ascii="宋体" w:hAnsi="宋体" w:cs="宋体"/>
          <w:color w:val="auto"/>
          <w:sz w:val="24"/>
          <w:highlight w:val="none"/>
        </w:rPr>
        <w:t>（如果有)</w:t>
      </w:r>
      <w:bookmarkEnd w:id="508"/>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4"/>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杭州市余杭区市场监督管理局</w:t>
      </w:r>
      <w:r>
        <w:rPr>
          <w:rFonts w:hint="eastAsia" w:ascii="宋体" w:hAnsi="宋体" w:cs="宋体"/>
          <w:color w:val="auto"/>
          <w:sz w:val="24"/>
          <w:highlight w:val="none"/>
        </w:rPr>
        <w:t>、杭州中瑞招标代理有限公司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消费投诉积案动态清零服务外包项目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HZZR-F230422N</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杭州市余杭区市场监督管理局</w:t>
      </w:r>
      <w:r>
        <w:rPr>
          <w:rFonts w:hint="eastAsia" w:ascii="宋体" w:hAnsi="宋体" w:cs="宋体"/>
          <w:color w:val="auto"/>
          <w:sz w:val="24"/>
          <w:highlight w:val="none"/>
        </w:rPr>
        <w:t>、杭州中瑞招标代理有限公司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消费投诉积案动态清零服务外包项目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HZZR-F230422N</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9"/>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杭州市余杭区市场监督管理局</w:t>
      </w:r>
      <w:r>
        <w:rPr>
          <w:rFonts w:hint="eastAsia" w:ascii="宋体" w:hAnsi="宋体" w:cs="宋体"/>
          <w:color w:val="auto"/>
          <w:sz w:val="24"/>
          <w:highlight w:val="none"/>
        </w:rPr>
        <w:t>、杭州中瑞招标代理有限公司</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杭州市余杭区市场监督管理局</w:t>
      </w:r>
      <w:r>
        <w:rPr>
          <w:rFonts w:hint="eastAsia" w:ascii="宋体" w:hAnsi="宋体" w:cs="宋体"/>
          <w:color w:val="auto"/>
          <w:sz w:val="24"/>
          <w:highlight w:val="none"/>
        </w:rPr>
        <w:t>、杭州中瑞招标代理有限公司</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消费投诉积案动态清零服务外包项目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HZZR-F230422N</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5"/>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3"/>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pPr>
    </w:p>
    <w:p>
      <w:pPr>
        <w:autoSpaceDE w:val="0"/>
        <w:autoSpaceDN w:val="0"/>
        <w:snapToGrid w:val="0"/>
        <w:spacing w:line="360" w:lineRule="auto"/>
        <w:ind w:firstLine="8040" w:firstLineChars="335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投标人名称(电子签名)：</w:t>
      </w:r>
    </w:p>
    <w:p>
      <w:pPr>
        <w:autoSpaceDE w:val="0"/>
        <w:autoSpaceDN w:val="0"/>
        <w:snapToGrid w:val="0"/>
        <w:spacing w:line="360" w:lineRule="auto"/>
        <w:ind w:firstLine="8040" w:firstLineChars="3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09" w:name="OLE_LINK14"/>
      <w:bookmarkStart w:id="510" w:name="OLE_LINK13"/>
      <w:r>
        <w:rPr>
          <w:rFonts w:hint="eastAsia" w:ascii="宋体" w:hAnsi="宋体" w:cs="宋体"/>
          <w:b/>
          <w:color w:val="auto"/>
          <w:spacing w:val="6"/>
          <w:sz w:val="32"/>
          <w:szCs w:val="32"/>
          <w:highlight w:val="none"/>
        </w:rPr>
        <w:t>残疾人福利性单位声明函</w:t>
      </w:r>
    </w:p>
    <w:bookmarkEnd w:id="509"/>
    <w:bookmarkEnd w:id="510"/>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本单位郑重声明，根据《财政部民政部中国残疾人联合会关于促进残疾人就业政府采购政策的通知》（财库〔2017〕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eastAsia="zh-CN"/>
        </w:rPr>
        <w:t>杭州市余杭区市场监督管理局</w:t>
      </w:r>
      <w:r>
        <w:rPr>
          <w:rFonts w:hint="eastAsia" w:ascii="宋体" w:hAnsi="宋体" w:cs="宋体"/>
          <w:color w:val="auto"/>
          <w:sz w:val="24"/>
          <w:highlight w:val="none"/>
        </w:rPr>
        <w:t>单位的_</w:t>
      </w:r>
      <w:r>
        <w:rPr>
          <w:rFonts w:hint="eastAsia" w:ascii="宋体" w:hAnsi="宋体" w:cs="宋体"/>
          <w:color w:val="auto"/>
          <w:sz w:val="24"/>
          <w:highlight w:val="none"/>
          <w:u w:val="single"/>
          <w:lang w:eastAsia="zh-CN"/>
        </w:rPr>
        <w:t>消费投诉积案动态清零服务外包项目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杭州市余杭区市场监督管理局</w:t>
      </w:r>
      <w:r>
        <w:rPr>
          <w:rFonts w:hint="eastAsia" w:ascii="宋体" w:hAnsi="宋体" w:cs="宋体"/>
          <w:color w:val="auto"/>
          <w:sz w:val="24"/>
          <w:highlight w:val="none"/>
          <w:u w:val="single"/>
        </w:rPr>
        <w:t>、杭州中瑞招标代理有限公司：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消费投诉积案动态清零服务外包项目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HZZR-F230422N</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rPr>
          <w:rFonts w:ascii="宋体" w:hAnsi="宋体" w:cs="宋体"/>
          <w:b/>
          <w:color w:val="auto"/>
          <w:spacing w:val="6"/>
          <w:sz w:val="32"/>
          <w:szCs w:val="32"/>
          <w:highlight w:val="none"/>
        </w:rPr>
      </w:pPr>
    </w:p>
    <w:p>
      <w:pPr>
        <w:pStyle w:val="4"/>
        <w:rPr>
          <w:rFonts w:ascii="宋体" w:hAnsi="宋体" w:cs="宋体"/>
          <w:color w:val="auto"/>
          <w:spacing w:val="6"/>
          <w:highlight w:val="none"/>
        </w:rPr>
      </w:pPr>
    </w:p>
    <w:p>
      <w:pPr>
        <w:rPr>
          <w:rFonts w:ascii="宋体" w:hAnsi="宋体" w:cs="宋体"/>
          <w:color w:val="auto"/>
          <w:spacing w:val="6"/>
          <w:highlight w:val="none"/>
        </w:rPr>
      </w:pPr>
    </w:p>
    <w:p>
      <w:pPr>
        <w:pStyle w:val="2"/>
        <w:rPr>
          <w:color w:val="auto"/>
          <w:highlight w:val="none"/>
        </w:rPr>
      </w:pPr>
    </w:p>
    <w:p>
      <w:pPr>
        <w:rPr>
          <w:rFonts w:ascii="宋体" w:hAnsi="宋体" w:cs="宋体"/>
          <w:b/>
          <w:color w:val="auto"/>
          <w:spacing w:val="6"/>
          <w:sz w:val="32"/>
          <w:szCs w:val="32"/>
          <w:highlight w:val="none"/>
        </w:rPr>
      </w:pPr>
    </w:p>
    <w:p>
      <w:pPr>
        <w:pStyle w:val="4"/>
        <w:rPr>
          <w:color w:val="auto"/>
          <w:highlight w:val="none"/>
        </w:rPr>
      </w:pPr>
    </w:p>
    <w:p>
      <w:pPr>
        <w:rPr>
          <w:color w:val="auto"/>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消费投诉积案动态清零服务外包项目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HZZR-F230422N</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1"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1"/>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2"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2"/>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3"/>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消费投诉积案动态清零服务外包项目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HZZR-F230422N</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rPr>
          <w:rFonts w:ascii="宋体" w:hAnsi="宋体" w:cs="宋体"/>
          <w:b/>
          <w:color w:val="auto"/>
          <w:spacing w:val="6"/>
          <w:sz w:val="32"/>
          <w:szCs w:val="32"/>
          <w:highlight w:val="none"/>
        </w:rPr>
      </w:pPr>
    </w:p>
    <w:p>
      <w:pPr>
        <w:pStyle w:val="4"/>
        <w:rPr>
          <w:color w:val="auto"/>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杭州市余杭区市场监督管理局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消费投诉积案动态清零服务外包项目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eastAsia="zh-CN"/>
        </w:rPr>
        <w:t>消费投诉积案动态清零服务外包项目</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lang w:eastAsia="zh-CN"/>
        </w:rPr>
        <w:t>消费投诉积案动态清零服务外包项目</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其他未列明行业</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ascii="宋体" w:hAnsi="宋体" w:eastAsia="宋体" w:cs="宋体"/>
          <w:color w:val="auto"/>
          <w:highlight w:val="none"/>
          <w:lang w:val="en-US"/>
        </w:rPr>
      </w:pPr>
    </w:p>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5"/>
      </w:rPr>
    </w:pPr>
    <w:r>
      <w:fldChar w:fldCharType="begin"/>
    </w:r>
    <w:r>
      <w:rPr>
        <w:rStyle w:val="75"/>
      </w:rPr>
      <w:instrText xml:space="preserve">PAGE  </w:instrText>
    </w:r>
    <w:r>
      <w:fldChar w:fldCharType="end"/>
    </w:r>
  </w:p>
  <w:p>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bookmarkStart w:id="514" w:name="_Toc36110187"/>
    <w:bookmarkStart w:id="515" w:name="_Toc131845147"/>
    <w:bookmarkStart w:id="516" w:name="_Toc164085800"/>
    <w:bookmarkStart w:id="517" w:name="_Toc91899912"/>
    <w:r>
      <w:rPr>
        <w:rFonts w:hint="eastAsia" w:ascii="仿宋_GB2312" w:eastAsia="仿宋_GB2312"/>
        <w:kern w:val="0"/>
        <w:szCs w:val="21"/>
      </w:rPr>
      <w:t xml:space="preserve"> 页</w:t>
    </w:r>
    <w:bookmarkEnd w:id="514"/>
    <w:bookmarkEnd w:id="515"/>
    <w:bookmarkEnd w:id="516"/>
    <w:bookmarkEnd w:id="5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5"/>
      </w:rPr>
    </w:pPr>
    <w:r>
      <w:fldChar w:fldCharType="begin"/>
    </w:r>
    <w:r>
      <w:rPr>
        <w:rStyle w:val="75"/>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r>
      <w:rPr>
        <w:rFonts w:hint="eastAsia"/>
      </w:rPr>
      <w:t xml:space="preserve">             </w:t>
    </w:r>
    <w:r>
      <w:t>杭州市政府采购公开招标文件</w:t>
    </w:r>
  </w:p>
  <w:p>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4B3C83"/>
    <w:multiLevelType w:val="singleLevel"/>
    <w:tmpl w:val="844B3C83"/>
    <w:lvl w:ilvl="0" w:tentative="0">
      <w:start w:val="2"/>
      <w:numFmt w:val="decimal"/>
      <w:lvlText w:val="%1."/>
      <w:lvlJc w:val="left"/>
      <w:pPr>
        <w:tabs>
          <w:tab w:val="left" w:pos="312"/>
        </w:tabs>
        <w:ind w:left="480" w:firstLine="0"/>
      </w:pPr>
    </w:lvl>
  </w:abstractNum>
  <w:abstractNum w:abstractNumId="1">
    <w:nsid w:val="C3EE445F"/>
    <w:multiLevelType w:val="singleLevel"/>
    <w:tmpl w:val="C3EE445F"/>
    <w:lvl w:ilvl="0" w:tentative="0">
      <w:start w:val="1"/>
      <w:numFmt w:val="chineseCounting"/>
      <w:suff w:val="nothing"/>
      <w:lvlText w:val="（%1）"/>
      <w:lvlJc w:val="left"/>
      <w:pPr>
        <w:ind w:left="420" w:firstLine="0"/>
      </w:pPr>
      <w:rPr>
        <w:rFonts w:hint="eastAsia"/>
      </w:rPr>
    </w:lvl>
  </w:abstractNum>
  <w:abstractNum w:abstractNumId="2">
    <w:nsid w:val="00000010"/>
    <w:multiLevelType w:val="singleLevel"/>
    <w:tmpl w:val="00000010"/>
    <w:lvl w:ilvl="0" w:tentative="0">
      <w:start w:val="1"/>
      <w:numFmt w:val="decimal"/>
      <w:suff w:val="nothing"/>
      <w:lvlText w:val="%1）"/>
      <w:lvlJc w:val="left"/>
    </w:lvl>
  </w:abstractNum>
  <w:abstractNum w:abstractNumId="3">
    <w:nsid w:val="24608278"/>
    <w:multiLevelType w:val="singleLevel"/>
    <w:tmpl w:val="24608278"/>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NhMTQyZTBmYWEwMGI0OWI5YTYxODM0NWU1ZmJhMz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4FF9"/>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6C1"/>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0C3"/>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0F107F"/>
    <w:rsid w:val="0B30404E"/>
    <w:rsid w:val="0B4C6C14"/>
    <w:rsid w:val="0B547599"/>
    <w:rsid w:val="0B631A88"/>
    <w:rsid w:val="0B683D45"/>
    <w:rsid w:val="0B7F3F11"/>
    <w:rsid w:val="0B884417"/>
    <w:rsid w:val="0BF6188C"/>
    <w:rsid w:val="0BF73C91"/>
    <w:rsid w:val="0C071B2C"/>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AC39CF"/>
    <w:rsid w:val="11C6522A"/>
    <w:rsid w:val="11E104CC"/>
    <w:rsid w:val="11E20309"/>
    <w:rsid w:val="12255233"/>
    <w:rsid w:val="12530213"/>
    <w:rsid w:val="127723A9"/>
    <w:rsid w:val="12862074"/>
    <w:rsid w:val="12883966"/>
    <w:rsid w:val="129E45B4"/>
    <w:rsid w:val="12D81596"/>
    <w:rsid w:val="13072A44"/>
    <w:rsid w:val="134C6F1D"/>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E70314"/>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C3767C"/>
    <w:rsid w:val="27044A29"/>
    <w:rsid w:val="271D34C8"/>
    <w:rsid w:val="273C6D0B"/>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0B6898"/>
    <w:rsid w:val="30733ACD"/>
    <w:rsid w:val="308A0009"/>
    <w:rsid w:val="308C3862"/>
    <w:rsid w:val="309379D8"/>
    <w:rsid w:val="30A270F7"/>
    <w:rsid w:val="30DF1478"/>
    <w:rsid w:val="30EC586F"/>
    <w:rsid w:val="314550B7"/>
    <w:rsid w:val="319C6071"/>
    <w:rsid w:val="31AC537E"/>
    <w:rsid w:val="31C00377"/>
    <w:rsid w:val="31E3679B"/>
    <w:rsid w:val="31E732FD"/>
    <w:rsid w:val="322E003C"/>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EE15FA"/>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8F80D91"/>
    <w:rsid w:val="39636459"/>
    <w:rsid w:val="396B7F6C"/>
    <w:rsid w:val="39B417A9"/>
    <w:rsid w:val="39FC5695"/>
    <w:rsid w:val="3A006D8E"/>
    <w:rsid w:val="3A087401"/>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1A73CB"/>
    <w:rsid w:val="418F0D2A"/>
    <w:rsid w:val="41D01505"/>
    <w:rsid w:val="42474939"/>
    <w:rsid w:val="424C3C57"/>
    <w:rsid w:val="42613FF3"/>
    <w:rsid w:val="42660D96"/>
    <w:rsid w:val="428667D2"/>
    <w:rsid w:val="42A26EAA"/>
    <w:rsid w:val="42CD1CE0"/>
    <w:rsid w:val="42E1381E"/>
    <w:rsid w:val="42ED6459"/>
    <w:rsid w:val="42FE58DD"/>
    <w:rsid w:val="43174B3D"/>
    <w:rsid w:val="434B790E"/>
    <w:rsid w:val="435C016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0B571A"/>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243B74"/>
    <w:rsid w:val="4A4424D7"/>
    <w:rsid w:val="4AB82D0F"/>
    <w:rsid w:val="4AE7656F"/>
    <w:rsid w:val="4AEB7664"/>
    <w:rsid w:val="4AFD7C19"/>
    <w:rsid w:val="4B0567D1"/>
    <w:rsid w:val="4B236AAE"/>
    <w:rsid w:val="4B707271"/>
    <w:rsid w:val="4B9739F7"/>
    <w:rsid w:val="4BEE2503"/>
    <w:rsid w:val="4C245A30"/>
    <w:rsid w:val="4C951AB1"/>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CE2947"/>
    <w:rsid w:val="57D675AB"/>
    <w:rsid w:val="57D95FDD"/>
    <w:rsid w:val="58917D2F"/>
    <w:rsid w:val="5894085C"/>
    <w:rsid w:val="58AD4060"/>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0E3F01"/>
    <w:rsid w:val="5C196DA7"/>
    <w:rsid w:val="5C2A048C"/>
    <w:rsid w:val="5C4B1173"/>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C773EB"/>
    <w:rsid w:val="5EFC7377"/>
    <w:rsid w:val="5F06174D"/>
    <w:rsid w:val="5F230494"/>
    <w:rsid w:val="5F3A3602"/>
    <w:rsid w:val="5F45733B"/>
    <w:rsid w:val="5F4D6E91"/>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118C0"/>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0B1B2B"/>
    <w:rsid w:val="653C3090"/>
    <w:rsid w:val="65854376"/>
    <w:rsid w:val="658767BE"/>
    <w:rsid w:val="65892531"/>
    <w:rsid w:val="66195831"/>
    <w:rsid w:val="662E75B1"/>
    <w:rsid w:val="66342C2E"/>
    <w:rsid w:val="663E784C"/>
    <w:rsid w:val="668B6A45"/>
    <w:rsid w:val="6696450E"/>
    <w:rsid w:val="66E97C7B"/>
    <w:rsid w:val="67011F07"/>
    <w:rsid w:val="672D6E6F"/>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273B3F"/>
    <w:rsid w:val="693E15D3"/>
    <w:rsid w:val="69627681"/>
    <w:rsid w:val="6977531D"/>
    <w:rsid w:val="69AA4AC7"/>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9F4CA3"/>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A97EE3"/>
    <w:rsid w:val="7DB57A34"/>
    <w:rsid w:val="7DE60973"/>
    <w:rsid w:val="7DEF0916"/>
    <w:rsid w:val="7E1E5218"/>
    <w:rsid w:val="7E9A4E1F"/>
    <w:rsid w:val="7EA7723A"/>
    <w:rsid w:val="7EF56FBB"/>
    <w:rsid w:val="7F0768EB"/>
    <w:rsid w:val="7F143BEC"/>
    <w:rsid w:val="7F715AF2"/>
    <w:rsid w:val="7F886E69"/>
    <w:rsid w:val="7FF8479F"/>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customStyle="1" w:styleId="2">
    <w:name w:val="UserStyle_0"/>
    <w:qFormat/>
    <w:uiPriority w:val="0"/>
    <w:pPr>
      <w:textAlignment w:val="baseline"/>
    </w:pPr>
    <w:rPr>
      <w:rFonts w:ascii="Arial" w:hAnsi="Arial" w:eastAsia="宋体" w:cs="Times New Roman"/>
      <w:color w:val="000000"/>
      <w:sz w:val="24"/>
      <w:szCs w:val="24"/>
      <w:lang w:val="en-US" w:eastAsia="zh-CN" w:bidi="ar-SA"/>
    </w:rPr>
  </w:style>
  <w:style w:type="paragraph" w:styleId="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index 8"/>
    <w:next w:val="1"/>
    <w:qFormat/>
    <w:uiPriority w:val="0"/>
    <w:pPr>
      <w:widowControl w:val="0"/>
      <w:ind w:left="2940" w:leftChars="1400"/>
      <w:jc w:val="both"/>
    </w:pPr>
    <w:rPr>
      <w:rFonts w:ascii="Times New Roman" w:hAnsi="Times New Roman" w:eastAsia="宋体" w:cs="Times New Roman"/>
      <w:kern w:val="2"/>
      <w:sz w:val="21"/>
      <w:szCs w:val="24"/>
      <w:lang w:val="en-US" w:eastAsia="zh-CN" w:bidi="ar-SA"/>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0"/>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21"/>
    <w:qFormat/>
    <w:uiPriority w:val="0"/>
    <w:pPr>
      <w:ind w:firstLine="420"/>
    </w:pPr>
    <w:rPr>
      <w:rFonts w:hAnsi="Calibri" w:cs="Times New Roman"/>
      <w:snapToGrid/>
      <w:szCs w:val="20"/>
    </w:rPr>
  </w:style>
  <w:style w:type="paragraph" w:styleId="27">
    <w:name w:val="Body Text Indent"/>
    <w:basedOn w:val="1"/>
    <w:next w:val="28"/>
    <w:link w:val="265"/>
    <w:qFormat/>
    <w:uiPriority w:val="0"/>
    <w:pPr>
      <w:spacing w:line="480" w:lineRule="exact"/>
      <w:ind w:firstLine="480" w:firstLineChars="200"/>
    </w:pPr>
    <w:rPr>
      <w:rFonts w:ascii="宋体" w:hAnsi="宋体"/>
      <w:sz w:val="24"/>
    </w:rPr>
  </w:style>
  <w:style w:type="paragraph" w:customStyle="1" w:styleId="28">
    <w:name w:val="正文文本首行缩进 2"/>
    <w:basedOn w:val="27"/>
    <w:qFormat/>
    <w:uiPriority w:val="99"/>
    <w:pPr>
      <w:spacing w:line="200" w:lineRule="atLeast"/>
      <w:ind w:firstLine="420"/>
    </w:pPr>
    <w:rPr>
      <w:rFonts w:ascii="宋体" w:hAnsi="Courier New"/>
      <w:spacing w:val="-4"/>
      <w:sz w:val="18"/>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25"/>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1"/>
    <w:qFormat/>
    <w:uiPriority w:val="0"/>
    <w:pPr>
      <w:ind w:left="100" w:leftChars="2500"/>
    </w:pPr>
    <w:rPr>
      <w:rFonts w:ascii="宋体"/>
      <w:sz w:val="24"/>
      <w:szCs w:val="21"/>
      <w:lang w:val="zh-CN"/>
    </w:rPr>
  </w:style>
  <w:style w:type="paragraph" w:styleId="40">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1">
    <w:name w:val="endnote text"/>
    <w:basedOn w:val="1"/>
    <w:link w:val="932"/>
    <w:qFormat/>
    <w:uiPriority w:val="0"/>
    <w:rPr>
      <w:lang w:val="zh-CN"/>
    </w:rPr>
  </w:style>
  <w:style w:type="paragraph" w:styleId="42">
    <w:name w:val="Balloon Text"/>
    <w:basedOn w:val="1"/>
    <w:link w:val="188"/>
    <w:qFormat/>
    <w:uiPriority w:val="0"/>
    <w:rPr>
      <w:sz w:val="18"/>
      <w:szCs w:val="18"/>
    </w:rPr>
  </w:style>
  <w:style w:type="paragraph" w:styleId="43">
    <w:name w:val="footer"/>
    <w:basedOn w:val="1"/>
    <w:link w:val="383"/>
    <w:qFormat/>
    <w:uiPriority w:val="99"/>
    <w:pPr>
      <w:tabs>
        <w:tab w:val="center" w:pos="4153"/>
        <w:tab w:val="right" w:pos="8306"/>
      </w:tabs>
      <w:snapToGrid w:val="0"/>
      <w:jc w:val="left"/>
    </w:pPr>
    <w:rPr>
      <w:sz w:val="18"/>
      <w:szCs w:val="18"/>
    </w:rPr>
  </w:style>
  <w:style w:type="paragraph" w:styleId="44">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5"/>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2"/>
    <w:qFormat/>
    <w:uiPriority w:val="0"/>
    <w:pPr>
      <w:spacing w:after="120" w:line="480" w:lineRule="auto"/>
    </w:pPr>
  </w:style>
  <w:style w:type="paragraph" w:styleId="60">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1"/>
    <w:next w:val="21"/>
    <w:link w:val="96"/>
    <w:qFormat/>
    <w:uiPriority w:val="0"/>
    <w:rPr>
      <w:b/>
      <w:bCs/>
    </w:rPr>
  </w:style>
  <w:style w:type="paragraph" w:styleId="64">
    <w:name w:val="Body Text First Indent 2"/>
    <w:basedOn w:val="27"/>
    <w:link w:val="121"/>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3"/>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字符"/>
    <w:link w:val="64"/>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2"/>
    <w:qFormat/>
    <w:uiPriority w:val="0"/>
    <w:rPr>
      <w:rFonts w:ascii="Arial" w:hAnsi="Arial" w:eastAsia="黑体" w:cs="Arial"/>
      <w:snapToGrid w:val="0"/>
      <w:kern w:val="0"/>
      <w:szCs w:val="21"/>
    </w:rPr>
  </w:style>
  <w:style w:type="character" w:customStyle="1" w:styleId="125">
    <w:name w:val="纯文本 字符1"/>
    <w:link w:val="36"/>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50"/>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9"/>
    <w:qFormat/>
    <w:uiPriority w:val="0"/>
    <w:rPr>
      <w:rFonts w:ascii="宋体"/>
      <w:kern w:val="2"/>
      <w:sz w:val="24"/>
      <w:szCs w:val="21"/>
      <w:lang w:val="zh-CN"/>
    </w:rPr>
  </w:style>
  <w:style w:type="character" w:customStyle="1" w:styleId="182">
    <w:name w:val="标题 9 字符"/>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42"/>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2"/>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3"/>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next w:val="16"/>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7"/>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62"/>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60"/>
    <w:qFormat/>
    <w:uiPriority w:val="0"/>
    <w:rPr>
      <w:rFonts w:ascii="黑体" w:hAnsi="Courier New" w:eastAsia="黑体"/>
    </w:rPr>
  </w:style>
  <w:style w:type="character" w:customStyle="1" w:styleId="302">
    <w:name w:val="正文文本 2 字符1"/>
    <w:link w:val="59"/>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10"/>
    <w:qFormat/>
    <w:uiPriority w:val="0"/>
    <w:rPr>
      <w:b/>
      <w:bCs/>
      <w:kern w:val="2"/>
      <w:sz w:val="24"/>
      <w:szCs w:val="24"/>
    </w:rPr>
  </w:style>
  <w:style w:type="character" w:customStyle="1" w:styleId="308">
    <w:name w:val="正文文本缩进 2 字符"/>
    <w:link w:val="40"/>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3"/>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字符"/>
    <w:link w:val="26"/>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1"/>
    <w:qFormat/>
    <w:uiPriority w:val="99"/>
    <w:rPr>
      <w:kern w:val="2"/>
      <w:sz w:val="21"/>
      <w:szCs w:val="24"/>
    </w:rPr>
  </w:style>
  <w:style w:type="character" w:customStyle="1" w:styleId="345">
    <w:name w:val="签名 字符"/>
    <w:link w:val="45"/>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6"/>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3"/>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4"/>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2"/>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1">
    <w:name w:val="gray6"/>
    <w:basedOn w:val="72"/>
    <w:qFormat/>
    <w:uiPriority w:val="0"/>
    <w:rPr>
      <w:rFonts w:ascii="Arial" w:hAnsi="Arial" w:eastAsia="黑体" w:cs="Arial"/>
      <w:snapToGrid w:val="0"/>
      <w:kern w:val="0"/>
      <w:szCs w:val="21"/>
    </w:rPr>
  </w:style>
  <w:style w:type="character" w:customStyle="1" w:styleId="432">
    <w:name w:val="hui"/>
    <w:basedOn w:val="72"/>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9"/>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40"/>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6"/>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41"/>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2"/>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jd-正文1"/>
    <w:basedOn w:val="1"/>
    <w:qFormat/>
    <w:uiPriority w:val="0"/>
    <w:pPr>
      <w:widowControl/>
      <w:adjustRightInd/>
      <w:spacing w:line="360" w:lineRule="auto"/>
      <w:ind w:firstLine="482" w:firstLineChars="200"/>
    </w:pPr>
    <w:rPr>
      <w:rFonts w:ascii="宋体" w:hAnsi="宋体" w:cs="宋体"/>
      <w:sz w:val="24"/>
      <w:szCs w:val="20"/>
    </w:rPr>
  </w:style>
  <w:style w:type="paragraph" w:customStyle="1" w:styleId="966">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F96C8A-EDC1-4716-A838-56E6CD4A71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76</Pages>
  <Words>36094</Words>
  <Characters>38254</Characters>
  <Lines>353</Lines>
  <Paragraphs>99</Paragraphs>
  <TotalTime>15</TotalTime>
  <ScaleCrop>false</ScaleCrop>
  <LinksUpToDate>false</LinksUpToDate>
  <CharactersWithSpaces>43468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2023-04-04T07:11:00Z</dcterms:created>
  <dc:creator>玥</dc:creator>
  <cp:lastModifiedBy>金佳霖</cp:lastModifiedBy>
  <cp:lastPrinted>2021-12-27T03:06:00Z</cp:lastPrinted>
  <dcterms:modified xsi:type="dcterms:W3CDTF">2023-05-12T08:35:58Z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69420BAD51F0426BA82B3A4B442984EA_13</vt:lpwstr>
  </property>
</Properties>
</file>