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ascii="仿宋" w:hAnsi="仿宋" w:eastAsia="仿宋" w:cs="仿宋_GB2312"/>
          <w:b/>
          <w:color w:val="auto"/>
          <w:sz w:val="24"/>
          <w:highlight w:val="none"/>
        </w:rPr>
      </w:pPr>
    </w:p>
    <w:p>
      <w:pPr>
        <w:snapToGrid w:val="0"/>
        <w:spacing w:line="360" w:lineRule="auto"/>
        <w:rPr>
          <w:rFonts w:ascii="仿宋" w:hAnsi="仿宋" w:eastAsia="仿宋" w:cs="仿宋_GB2312"/>
          <w:b/>
          <w:color w:val="auto"/>
          <w:sz w:val="48"/>
          <w:szCs w:val="48"/>
          <w:highlight w:val="none"/>
        </w:rPr>
      </w:pPr>
    </w:p>
    <w:p>
      <w:pPr>
        <w:shd w:val="clear" w:color="auto" w:fill="FFFFFF"/>
        <w:tabs>
          <w:tab w:val="left" w:pos="4500"/>
        </w:tabs>
        <w:snapToGrid w:val="0"/>
        <w:spacing w:line="360" w:lineRule="auto"/>
        <w:jc w:val="center"/>
        <w:textAlignment w:val="bottom"/>
        <w:rPr>
          <w:rFonts w:ascii="仿宋" w:hAnsi="仿宋" w:eastAsia="仿宋" w:cs="宋体"/>
          <w:b/>
          <w:bCs/>
          <w:color w:val="auto"/>
          <w:spacing w:val="6"/>
          <w:sz w:val="48"/>
          <w:szCs w:val="48"/>
          <w:highlight w:val="none"/>
        </w:rPr>
      </w:pPr>
      <w:bookmarkStart w:id="0" w:name="_Hlk94030499"/>
      <w:r>
        <w:rPr>
          <w:rFonts w:hint="eastAsia" w:ascii="仿宋" w:hAnsi="仿宋" w:eastAsia="仿宋" w:cs="宋体"/>
          <w:b/>
          <w:bCs/>
          <w:color w:val="auto"/>
          <w:spacing w:val="6"/>
          <w:sz w:val="48"/>
          <w:szCs w:val="48"/>
          <w:highlight w:val="none"/>
        </w:rPr>
        <w:t>“俞樾纪念馆”陈列布展服务项目</w:t>
      </w:r>
      <w:bookmarkEnd w:id="0"/>
    </w:p>
    <w:p>
      <w:pPr>
        <w:shd w:val="clear" w:color="auto" w:fill="FFFFFF"/>
        <w:tabs>
          <w:tab w:val="left" w:pos="4500"/>
        </w:tabs>
        <w:snapToGrid w:val="0"/>
        <w:spacing w:line="360" w:lineRule="auto"/>
        <w:jc w:val="center"/>
        <w:textAlignment w:val="bottom"/>
        <w:rPr>
          <w:rFonts w:ascii="仿宋" w:hAnsi="仿宋" w:eastAsia="仿宋" w:cs="宋体"/>
          <w:b/>
          <w:bCs/>
          <w:color w:val="auto"/>
          <w:sz w:val="52"/>
          <w:szCs w:val="52"/>
          <w:highlight w:val="none"/>
        </w:rPr>
      </w:pPr>
    </w:p>
    <w:p>
      <w:pPr>
        <w:shd w:val="clear" w:color="auto" w:fill="FFFFFF"/>
        <w:tabs>
          <w:tab w:val="left" w:pos="4500"/>
        </w:tabs>
        <w:snapToGrid w:val="0"/>
        <w:spacing w:line="360" w:lineRule="auto"/>
        <w:jc w:val="center"/>
        <w:textAlignment w:val="bottom"/>
        <w:rPr>
          <w:rFonts w:ascii="仿宋" w:hAnsi="仿宋" w:eastAsia="仿宋" w:cs="宋体"/>
          <w:b/>
          <w:bCs/>
          <w:color w:val="auto"/>
          <w:sz w:val="72"/>
          <w:szCs w:val="72"/>
          <w:highlight w:val="none"/>
        </w:rPr>
      </w:pPr>
      <w:r>
        <w:rPr>
          <w:rFonts w:hint="eastAsia" w:ascii="仿宋" w:hAnsi="仿宋" w:eastAsia="仿宋" w:cs="宋体"/>
          <w:b/>
          <w:bCs/>
          <w:color w:val="auto"/>
          <w:sz w:val="72"/>
          <w:szCs w:val="72"/>
          <w:highlight w:val="none"/>
        </w:rPr>
        <w:t>公开招标文件</w:t>
      </w:r>
    </w:p>
    <w:p>
      <w:pPr>
        <w:widowControl/>
        <w:snapToGrid w:val="0"/>
        <w:spacing w:line="360" w:lineRule="auto"/>
        <w:jc w:val="center"/>
        <w:rPr>
          <w:rFonts w:ascii="仿宋" w:hAnsi="仿宋" w:eastAsia="仿宋" w:cs="宋体"/>
          <w:color w:val="auto"/>
          <w:highlight w:val="none"/>
        </w:rPr>
      </w:pPr>
      <w:r>
        <w:rPr>
          <w:rFonts w:hint="eastAsia" w:ascii="仿宋" w:hAnsi="仿宋" w:eastAsia="仿宋" w:cs="宋体"/>
          <w:b/>
          <w:color w:val="auto"/>
          <w:sz w:val="36"/>
          <w:highlight w:val="none"/>
        </w:rPr>
        <w:t>（电子化招投标）</w:t>
      </w:r>
    </w:p>
    <w:p>
      <w:pPr>
        <w:widowControl/>
        <w:snapToGrid w:val="0"/>
        <w:spacing w:line="360" w:lineRule="auto"/>
        <w:jc w:val="center"/>
        <w:rPr>
          <w:rFonts w:ascii="仿宋" w:hAnsi="仿宋" w:eastAsia="仿宋" w:cs="宋体"/>
          <w:color w:val="auto"/>
          <w:kern w:val="0"/>
          <w:sz w:val="24"/>
          <w:highlight w:val="none"/>
        </w:rPr>
      </w:pPr>
    </w:p>
    <w:p>
      <w:pPr>
        <w:pStyle w:val="36"/>
        <w:rPr>
          <w:color w:val="auto"/>
          <w:highlight w:val="none"/>
        </w:rPr>
      </w:pPr>
    </w:p>
    <w:p>
      <w:pPr>
        <w:shd w:val="clear" w:color="auto" w:fill="FFFFFF"/>
        <w:snapToGrid w:val="0"/>
        <w:spacing w:line="360" w:lineRule="auto"/>
        <w:rPr>
          <w:rFonts w:ascii="仿宋" w:hAnsi="仿宋" w:eastAsia="仿宋" w:cs="宋体"/>
          <w:b/>
          <w:color w:val="auto"/>
          <w:sz w:val="36"/>
          <w:highlight w:val="none"/>
        </w:rPr>
      </w:pPr>
    </w:p>
    <w:p>
      <w:pPr>
        <w:shd w:val="clear" w:color="auto" w:fill="FFFFFF"/>
        <w:snapToGrid w:val="0"/>
        <w:spacing w:line="360" w:lineRule="auto"/>
        <w:jc w:val="center"/>
        <w:rPr>
          <w:rFonts w:ascii="仿宋" w:hAnsi="仿宋" w:eastAsia="仿宋" w:cs="宋体"/>
          <w:b/>
          <w:bCs/>
          <w:color w:val="auto"/>
          <w:sz w:val="36"/>
          <w:szCs w:val="36"/>
          <w:highlight w:val="none"/>
        </w:rPr>
      </w:pPr>
      <w:r>
        <w:rPr>
          <w:rFonts w:hint="eastAsia" w:ascii="仿宋" w:hAnsi="仿宋" w:eastAsia="仿宋" w:cs="宋体"/>
          <w:b/>
          <w:bCs/>
          <w:color w:val="auto"/>
          <w:sz w:val="36"/>
          <w:szCs w:val="36"/>
          <w:highlight w:val="none"/>
        </w:rPr>
        <w:t>招标编号：HZZR-F221201N</w:t>
      </w:r>
    </w:p>
    <w:p>
      <w:pPr>
        <w:shd w:val="clear" w:color="auto" w:fill="FFFFFF"/>
        <w:snapToGrid w:val="0"/>
        <w:spacing w:line="360" w:lineRule="auto"/>
        <w:textAlignment w:val="bottom"/>
        <w:rPr>
          <w:rFonts w:ascii="仿宋" w:hAnsi="仿宋" w:eastAsia="仿宋" w:cs="宋体"/>
          <w:b/>
          <w:bCs/>
          <w:color w:val="auto"/>
          <w:sz w:val="48"/>
          <w:szCs w:val="48"/>
          <w:highlight w:val="none"/>
        </w:rPr>
      </w:pPr>
      <w:r>
        <w:rPr>
          <w:rFonts w:ascii="仿宋" w:hAnsi="仿宋" w:eastAsia="仿宋"/>
          <w:color w:val="auto"/>
          <w:highlight w:val="none"/>
        </w:rPr>
        <mc:AlternateContent>
          <mc:Choice Requires="wps">
            <w:drawing>
              <wp:anchor distT="0" distB="0" distL="114300" distR="114300" simplePos="0" relativeHeight="251666432" behindDoc="0" locked="0" layoutInCell="0" allowOverlap="1">
                <wp:simplePos x="0" y="0"/>
                <wp:positionH relativeFrom="column">
                  <wp:posOffset>4191000</wp:posOffset>
                </wp:positionH>
                <wp:positionV relativeFrom="paragraph">
                  <wp:posOffset>72390</wp:posOffset>
                </wp:positionV>
                <wp:extent cx="635" cy="635"/>
                <wp:effectExtent l="0" t="0" r="0" b="0"/>
                <wp:wrapSquare wrapText="bothSides"/>
                <wp:docPr id="3" name="直接连接符 3"/>
                <wp:cNvGraphicFramePr/>
                <a:graphic xmlns:a="http://schemas.openxmlformats.org/drawingml/2006/main">
                  <a:graphicData uri="http://schemas.microsoft.com/office/word/2010/wordprocessingShape">
                    <wps:wsp>
                      <wps:cNvCnPr/>
                      <wps:spPr>
                        <a:xfrm>
                          <a:off x="0" y="0"/>
                          <a:ext cx="635"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330pt;margin-top:5.7pt;height:0.05pt;width:0.05pt;mso-wrap-distance-bottom:0pt;mso-wrap-distance-left:9pt;mso-wrap-distance-right:9pt;mso-wrap-distance-top:0pt;z-index:251666432;mso-width-relative:page;mso-height-relative:page;" filled="f" stroked="t" coordsize="21600,21600" o:allowincell="f" o:gfxdata="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n8jy61QAA&#10;AAkBAAAPAAAAAAAAAAEAIAAAACIAAABkcnMvZG93bnJldi54bWxQSwECFAAUAAAACACHTuJAWgbv&#10;AOgBAADWAwAADgAAAAAAAAABACAAAAAkAQAAZHJzL2Uyb0RvYy54bWxQSwUGAAAAAAYABgBZAQAA&#10;fgUAAAAA&#10;">
                <v:fill on="f" focussize="0,0"/>
                <v:stroke color="#000000" joinstyle="round"/>
                <v:imagedata o:title=""/>
                <o:lock v:ext="edit" aspectratio="f"/>
                <w10:wrap type="square"/>
              </v:line>
            </w:pict>
          </mc:Fallback>
        </mc:AlternateContent>
      </w:r>
    </w:p>
    <w:p>
      <w:pPr>
        <w:shd w:val="clear" w:color="auto" w:fill="FFFFFF"/>
        <w:snapToGrid w:val="0"/>
        <w:spacing w:line="360" w:lineRule="auto"/>
        <w:ind w:firstLine="1419" w:firstLineChars="471"/>
        <w:textAlignment w:val="bottom"/>
        <w:rPr>
          <w:rFonts w:ascii="仿宋" w:hAnsi="仿宋" w:eastAsia="仿宋" w:cs="宋体"/>
          <w:b/>
          <w:bCs/>
          <w:color w:val="auto"/>
          <w:sz w:val="30"/>
          <w:szCs w:val="30"/>
          <w:highlight w:val="none"/>
        </w:rPr>
      </w:pPr>
      <w:r>
        <w:rPr>
          <w:rFonts w:hint="eastAsia" w:ascii="仿宋" w:hAnsi="仿宋" w:eastAsia="仿宋" w:cs="宋体"/>
          <w:b/>
          <w:bCs/>
          <w:color w:val="auto"/>
          <w:sz w:val="30"/>
          <w:szCs w:val="30"/>
          <w:highlight w:val="none"/>
        </w:rPr>
        <w:t>招标人：</w:t>
      </w:r>
      <w:r>
        <w:rPr>
          <w:rFonts w:ascii="仿宋" w:hAnsi="仿宋" w:eastAsia="仿宋" w:cs="宋体"/>
          <w:b/>
          <w:bCs/>
          <w:color w:val="auto"/>
          <w:sz w:val="30"/>
          <w:szCs w:val="30"/>
          <w:highlight w:val="none"/>
        </w:rPr>
        <w:t xml:space="preserve"> </w:t>
      </w:r>
      <w:r>
        <w:rPr>
          <w:rFonts w:hint="eastAsia" w:ascii="仿宋" w:hAnsi="仿宋" w:eastAsia="仿宋" w:cs="宋体"/>
          <w:b/>
          <w:bCs/>
          <w:color w:val="auto"/>
          <w:spacing w:val="-24"/>
          <w:sz w:val="30"/>
          <w:szCs w:val="30"/>
          <w:highlight w:val="none"/>
        </w:rPr>
        <w:t xml:space="preserve">杭州市临平区人民政府临平街道办事处 </w:t>
      </w:r>
    </w:p>
    <w:p>
      <w:pPr>
        <w:shd w:val="clear" w:color="auto" w:fill="FFFFFF"/>
        <w:snapToGrid w:val="0"/>
        <w:spacing w:line="360" w:lineRule="auto"/>
        <w:ind w:firstLine="426"/>
        <w:jc w:val="center"/>
        <w:textAlignment w:val="bottom"/>
        <w:rPr>
          <w:rFonts w:ascii="仿宋" w:hAnsi="仿宋" w:eastAsia="仿宋" w:cs="宋体"/>
          <w:b/>
          <w:bCs/>
          <w:color w:val="auto"/>
          <w:sz w:val="30"/>
          <w:szCs w:val="30"/>
          <w:highlight w:val="none"/>
        </w:rPr>
      </w:pPr>
      <w:r>
        <w:rPr>
          <w:rFonts w:hint="eastAsia" w:ascii="仿宋" w:hAnsi="仿宋" w:eastAsia="仿宋" w:cs="宋体"/>
          <w:b/>
          <w:bCs/>
          <w:color w:val="auto"/>
          <w:sz w:val="30"/>
          <w:szCs w:val="30"/>
          <w:highlight w:val="none"/>
        </w:rPr>
        <w:t>招标代理机构：杭州中瑞招标代理有限公司</w:t>
      </w:r>
    </w:p>
    <w:p>
      <w:pPr>
        <w:shd w:val="clear" w:color="auto" w:fill="FFFFFF"/>
        <w:snapToGrid w:val="0"/>
        <w:spacing w:line="360" w:lineRule="auto"/>
        <w:ind w:firstLine="426"/>
        <w:jc w:val="center"/>
        <w:textAlignment w:val="bottom"/>
        <w:rPr>
          <w:rFonts w:ascii="仿宋" w:hAnsi="仿宋" w:eastAsia="仿宋" w:cs="宋体"/>
          <w:b/>
          <w:bCs/>
          <w:color w:val="auto"/>
          <w:sz w:val="30"/>
          <w:szCs w:val="30"/>
          <w:highlight w:val="none"/>
        </w:rPr>
      </w:pPr>
      <w:r>
        <w:rPr>
          <w:rFonts w:hint="eastAsia" w:ascii="仿宋" w:hAnsi="仿宋" w:eastAsia="仿宋" w:cs="宋体"/>
          <w:b/>
          <w:bCs/>
          <w:color w:val="auto"/>
          <w:sz w:val="30"/>
          <w:szCs w:val="30"/>
          <w:highlight w:val="none"/>
        </w:rPr>
        <w:t>二O二三年三月</w:t>
      </w:r>
    </w:p>
    <w:p>
      <w:pPr>
        <w:snapToGrid w:val="0"/>
        <w:spacing w:line="360" w:lineRule="auto"/>
        <w:rPr>
          <w:rFonts w:ascii="仿宋" w:hAnsi="仿宋" w:eastAsia="仿宋" w:cs="仿宋_GB2312"/>
          <w:b/>
          <w:color w:val="auto"/>
          <w:sz w:val="48"/>
          <w:szCs w:val="48"/>
          <w:highlight w:val="none"/>
        </w:rPr>
      </w:pPr>
      <w:r>
        <w:rPr>
          <w:rFonts w:hint="eastAsia" w:ascii="仿宋" w:hAnsi="仿宋" w:eastAsia="仿宋" w:cs="仿宋_GB2312"/>
          <w:b/>
          <w:color w:val="auto"/>
          <w:sz w:val="48"/>
          <w:szCs w:val="48"/>
          <w:highlight w:val="none"/>
        </w:rPr>
        <w:br w:type="page"/>
      </w:r>
    </w:p>
    <w:p>
      <w:pPr>
        <w:spacing w:line="360" w:lineRule="auto"/>
        <w:jc w:val="center"/>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目录</w:t>
      </w:r>
    </w:p>
    <w:p>
      <w:pPr>
        <w:pStyle w:val="60"/>
        <w:tabs>
          <w:tab w:val="right" w:leader="dot" w:pos="8306"/>
        </w:tabs>
        <w:spacing w:line="360" w:lineRule="auto"/>
        <w:rPr>
          <w:rFonts w:ascii="仿宋" w:hAnsi="仿宋" w:eastAsia="仿宋"/>
          <w:b/>
          <w:bCs/>
          <w:color w:val="auto"/>
          <w:sz w:val="24"/>
          <w:highlight w:val="none"/>
        </w:rPr>
      </w:pPr>
      <w:r>
        <w:rPr>
          <w:rFonts w:hint="eastAsia" w:ascii="仿宋" w:hAnsi="仿宋" w:eastAsia="仿宋" w:cs="仿宋"/>
          <w:b/>
          <w:bCs/>
          <w:color w:val="auto"/>
          <w:sz w:val="24"/>
          <w:highlight w:val="none"/>
        </w:rPr>
        <w:fldChar w:fldCharType="begin"/>
      </w:r>
      <w:r>
        <w:rPr>
          <w:rFonts w:hint="eastAsia" w:ascii="仿宋" w:hAnsi="仿宋" w:eastAsia="仿宋" w:cs="仿宋"/>
          <w:b/>
          <w:bCs/>
          <w:color w:val="auto"/>
          <w:sz w:val="24"/>
          <w:highlight w:val="none"/>
        </w:rPr>
        <w:instrText xml:space="preserve">TOC \o "1-3" \h \u </w:instrText>
      </w:r>
      <w:r>
        <w:rPr>
          <w:rFonts w:hint="eastAsia" w:ascii="仿宋" w:hAnsi="仿宋" w:eastAsia="仿宋" w:cs="仿宋"/>
          <w:b/>
          <w:bCs/>
          <w:color w:val="auto"/>
          <w:sz w:val="24"/>
          <w:highlight w:val="none"/>
        </w:rPr>
        <w:fldChar w:fldCharType="separate"/>
      </w:r>
      <w:r>
        <w:rPr>
          <w:color w:val="auto"/>
          <w:highlight w:val="none"/>
        </w:rPr>
        <w:fldChar w:fldCharType="begin"/>
      </w:r>
      <w:r>
        <w:rPr>
          <w:color w:val="auto"/>
          <w:highlight w:val="none"/>
        </w:rPr>
        <w:instrText xml:space="preserve"> HYPERLINK \l "_Toc24913" </w:instrText>
      </w:r>
      <w:r>
        <w:rPr>
          <w:color w:val="auto"/>
          <w:highlight w:val="none"/>
        </w:rPr>
        <w:fldChar w:fldCharType="separate"/>
      </w:r>
      <w:r>
        <w:rPr>
          <w:rFonts w:hint="eastAsia" w:ascii="仿宋" w:hAnsi="仿宋" w:eastAsia="仿宋"/>
          <w:b/>
          <w:bCs/>
          <w:color w:val="auto"/>
          <w:sz w:val="24"/>
          <w:highlight w:val="none"/>
        </w:rPr>
        <w:t>第一部分</w:t>
      </w:r>
      <w:r>
        <w:rPr>
          <w:rFonts w:ascii="仿宋" w:hAnsi="仿宋" w:eastAsia="仿宋"/>
          <w:b/>
          <w:bCs/>
          <w:color w:val="auto"/>
          <w:sz w:val="24"/>
          <w:highlight w:val="none"/>
        </w:rPr>
        <w:t xml:space="preserve"> </w:t>
      </w:r>
      <w:r>
        <w:rPr>
          <w:rFonts w:hint="eastAsia" w:ascii="仿宋" w:hAnsi="仿宋" w:eastAsia="仿宋"/>
          <w:b/>
          <w:bCs/>
          <w:color w:val="auto"/>
          <w:sz w:val="24"/>
          <w:highlight w:val="none"/>
        </w:rPr>
        <w:t>招标公告</w:t>
      </w:r>
      <w:r>
        <w:rPr>
          <w:rFonts w:ascii="仿宋" w:hAnsi="仿宋" w:eastAsia="仿宋"/>
          <w:b/>
          <w:bCs/>
          <w:color w:val="auto"/>
          <w:sz w:val="24"/>
          <w:highlight w:val="none"/>
        </w:rPr>
        <w:tab/>
      </w:r>
      <w:r>
        <w:rPr>
          <w:rFonts w:ascii="仿宋" w:hAnsi="仿宋" w:eastAsia="仿宋"/>
          <w:b/>
          <w:bCs/>
          <w:color w:val="auto"/>
          <w:sz w:val="24"/>
          <w:highlight w:val="none"/>
        </w:rPr>
        <w:fldChar w:fldCharType="begin"/>
      </w:r>
      <w:r>
        <w:rPr>
          <w:rFonts w:ascii="仿宋" w:hAnsi="仿宋" w:eastAsia="仿宋"/>
          <w:b/>
          <w:bCs/>
          <w:color w:val="auto"/>
          <w:sz w:val="24"/>
          <w:highlight w:val="none"/>
        </w:rPr>
        <w:instrText xml:space="preserve"> PAGEREF _Toc24913 \h </w:instrText>
      </w:r>
      <w:r>
        <w:rPr>
          <w:rFonts w:ascii="仿宋" w:hAnsi="仿宋" w:eastAsia="仿宋"/>
          <w:b/>
          <w:bCs/>
          <w:color w:val="auto"/>
          <w:sz w:val="24"/>
          <w:highlight w:val="none"/>
        </w:rPr>
        <w:fldChar w:fldCharType="separate"/>
      </w:r>
      <w:r>
        <w:rPr>
          <w:rFonts w:ascii="仿宋" w:hAnsi="仿宋" w:eastAsia="仿宋"/>
          <w:b/>
          <w:bCs/>
          <w:color w:val="auto"/>
          <w:sz w:val="24"/>
          <w:highlight w:val="none"/>
        </w:rPr>
        <w:t>3</w:t>
      </w:r>
      <w:r>
        <w:rPr>
          <w:rFonts w:ascii="仿宋" w:hAnsi="仿宋" w:eastAsia="仿宋"/>
          <w:b/>
          <w:bCs/>
          <w:color w:val="auto"/>
          <w:sz w:val="24"/>
          <w:highlight w:val="none"/>
        </w:rPr>
        <w:fldChar w:fldCharType="end"/>
      </w:r>
      <w:r>
        <w:rPr>
          <w:rFonts w:ascii="仿宋" w:hAnsi="仿宋" w:eastAsia="仿宋"/>
          <w:b/>
          <w:bCs/>
          <w:color w:val="auto"/>
          <w:sz w:val="24"/>
          <w:highlight w:val="none"/>
        </w:rPr>
        <w:fldChar w:fldCharType="end"/>
      </w:r>
    </w:p>
    <w:p>
      <w:pPr>
        <w:pStyle w:val="60"/>
        <w:tabs>
          <w:tab w:val="right" w:leader="dot" w:pos="8306"/>
        </w:tabs>
        <w:spacing w:line="360" w:lineRule="auto"/>
        <w:rPr>
          <w:rFonts w:ascii="仿宋" w:hAnsi="仿宋" w:eastAsia="仿宋"/>
          <w:b/>
          <w:bCs/>
          <w:color w:val="auto"/>
          <w:sz w:val="24"/>
          <w:highlight w:val="none"/>
        </w:rPr>
      </w:pPr>
      <w:r>
        <w:rPr>
          <w:color w:val="auto"/>
          <w:highlight w:val="none"/>
        </w:rPr>
        <w:fldChar w:fldCharType="begin"/>
      </w:r>
      <w:r>
        <w:rPr>
          <w:color w:val="auto"/>
          <w:highlight w:val="none"/>
        </w:rPr>
        <w:instrText xml:space="preserve"> HYPERLINK \l "_Toc12764" </w:instrText>
      </w:r>
      <w:r>
        <w:rPr>
          <w:color w:val="auto"/>
          <w:highlight w:val="none"/>
        </w:rPr>
        <w:fldChar w:fldCharType="separate"/>
      </w:r>
      <w:r>
        <w:rPr>
          <w:rFonts w:hint="eastAsia" w:ascii="仿宋" w:hAnsi="仿宋" w:eastAsia="仿宋"/>
          <w:b/>
          <w:bCs/>
          <w:color w:val="auto"/>
          <w:sz w:val="24"/>
          <w:highlight w:val="none"/>
        </w:rPr>
        <w:t>第二部分</w:t>
      </w:r>
      <w:r>
        <w:rPr>
          <w:rFonts w:ascii="仿宋" w:hAnsi="仿宋" w:eastAsia="仿宋"/>
          <w:b/>
          <w:bCs/>
          <w:color w:val="auto"/>
          <w:sz w:val="24"/>
          <w:highlight w:val="none"/>
        </w:rPr>
        <w:t xml:space="preserve"> </w:t>
      </w:r>
      <w:r>
        <w:rPr>
          <w:rFonts w:hint="eastAsia" w:ascii="仿宋" w:hAnsi="仿宋" w:eastAsia="仿宋"/>
          <w:b/>
          <w:bCs/>
          <w:color w:val="auto"/>
          <w:sz w:val="24"/>
          <w:highlight w:val="none"/>
        </w:rPr>
        <w:t>投标人</w:t>
      </w:r>
      <w:r>
        <w:rPr>
          <w:rFonts w:ascii="仿宋" w:hAnsi="仿宋" w:eastAsia="仿宋"/>
          <w:b/>
          <w:bCs/>
          <w:color w:val="auto"/>
          <w:sz w:val="24"/>
          <w:highlight w:val="none"/>
        </w:rPr>
        <w:t>须知</w:t>
      </w:r>
      <w:r>
        <w:rPr>
          <w:rFonts w:ascii="仿宋" w:hAnsi="仿宋" w:eastAsia="仿宋"/>
          <w:b/>
          <w:bCs/>
          <w:color w:val="auto"/>
          <w:sz w:val="24"/>
          <w:highlight w:val="none"/>
        </w:rPr>
        <w:tab/>
      </w:r>
      <w:r>
        <w:rPr>
          <w:rFonts w:ascii="仿宋" w:hAnsi="仿宋" w:eastAsia="仿宋"/>
          <w:b/>
          <w:bCs/>
          <w:color w:val="auto"/>
          <w:sz w:val="24"/>
          <w:highlight w:val="none"/>
        </w:rPr>
        <w:fldChar w:fldCharType="begin"/>
      </w:r>
      <w:r>
        <w:rPr>
          <w:rFonts w:ascii="仿宋" w:hAnsi="仿宋" w:eastAsia="仿宋"/>
          <w:b/>
          <w:bCs/>
          <w:color w:val="auto"/>
          <w:sz w:val="24"/>
          <w:highlight w:val="none"/>
        </w:rPr>
        <w:instrText xml:space="preserve"> PAGEREF _Toc12764 \h </w:instrText>
      </w:r>
      <w:r>
        <w:rPr>
          <w:rFonts w:ascii="仿宋" w:hAnsi="仿宋" w:eastAsia="仿宋"/>
          <w:b/>
          <w:bCs/>
          <w:color w:val="auto"/>
          <w:sz w:val="24"/>
          <w:highlight w:val="none"/>
        </w:rPr>
        <w:fldChar w:fldCharType="separate"/>
      </w:r>
      <w:r>
        <w:rPr>
          <w:rFonts w:ascii="仿宋" w:hAnsi="仿宋" w:eastAsia="仿宋"/>
          <w:b/>
          <w:bCs/>
          <w:color w:val="auto"/>
          <w:sz w:val="24"/>
          <w:highlight w:val="none"/>
        </w:rPr>
        <w:t>8</w:t>
      </w:r>
      <w:r>
        <w:rPr>
          <w:rFonts w:ascii="仿宋" w:hAnsi="仿宋" w:eastAsia="仿宋"/>
          <w:b/>
          <w:bCs/>
          <w:color w:val="auto"/>
          <w:sz w:val="24"/>
          <w:highlight w:val="none"/>
        </w:rPr>
        <w:fldChar w:fldCharType="end"/>
      </w:r>
      <w:r>
        <w:rPr>
          <w:rFonts w:ascii="仿宋" w:hAnsi="仿宋" w:eastAsia="仿宋"/>
          <w:b/>
          <w:bCs/>
          <w:color w:val="auto"/>
          <w:sz w:val="24"/>
          <w:highlight w:val="none"/>
        </w:rPr>
        <w:fldChar w:fldCharType="end"/>
      </w:r>
    </w:p>
    <w:p>
      <w:pPr>
        <w:pStyle w:val="60"/>
        <w:tabs>
          <w:tab w:val="right" w:leader="dot" w:pos="8306"/>
        </w:tabs>
        <w:spacing w:line="360" w:lineRule="auto"/>
        <w:rPr>
          <w:rFonts w:ascii="仿宋" w:hAnsi="仿宋" w:eastAsia="仿宋"/>
          <w:b/>
          <w:bCs/>
          <w:color w:val="auto"/>
          <w:sz w:val="24"/>
          <w:highlight w:val="none"/>
        </w:rPr>
      </w:pPr>
      <w:r>
        <w:rPr>
          <w:color w:val="auto"/>
          <w:highlight w:val="none"/>
        </w:rPr>
        <w:fldChar w:fldCharType="begin"/>
      </w:r>
      <w:r>
        <w:rPr>
          <w:color w:val="auto"/>
          <w:highlight w:val="none"/>
        </w:rPr>
        <w:instrText xml:space="preserve"> HYPERLINK \l "_Toc24825" </w:instrText>
      </w:r>
      <w:r>
        <w:rPr>
          <w:color w:val="auto"/>
          <w:highlight w:val="none"/>
        </w:rPr>
        <w:fldChar w:fldCharType="separate"/>
      </w:r>
      <w:r>
        <w:rPr>
          <w:rFonts w:hint="eastAsia" w:ascii="仿宋" w:hAnsi="仿宋" w:eastAsia="仿宋"/>
          <w:b/>
          <w:bCs/>
          <w:color w:val="auto"/>
          <w:sz w:val="24"/>
          <w:highlight w:val="none"/>
        </w:rPr>
        <w:t>第三部分</w:t>
      </w:r>
      <w:r>
        <w:rPr>
          <w:rFonts w:ascii="仿宋" w:hAnsi="仿宋" w:eastAsia="仿宋"/>
          <w:b/>
          <w:bCs/>
          <w:color w:val="auto"/>
          <w:sz w:val="24"/>
          <w:highlight w:val="none"/>
        </w:rPr>
        <w:t xml:space="preserve"> </w:t>
      </w:r>
      <w:r>
        <w:rPr>
          <w:rFonts w:hint="eastAsia" w:ascii="仿宋" w:hAnsi="仿宋" w:eastAsia="仿宋"/>
          <w:b/>
          <w:bCs/>
          <w:color w:val="auto"/>
          <w:sz w:val="24"/>
          <w:highlight w:val="none"/>
        </w:rPr>
        <w:t>采购需求</w:t>
      </w:r>
      <w:r>
        <w:rPr>
          <w:rFonts w:ascii="仿宋" w:hAnsi="仿宋" w:eastAsia="仿宋"/>
          <w:b/>
          <w:bCs/>
          <w:color w:val="auto"/>
          <w:sz w:val="24"/>
          <w:highlight w:val="none"/>
        </w:rPr>
        <w:tab/>
      </w:r>
      <w:r>
        <w:rPr>
          <w:rFonts w:ascii="仿宋" w:hAnsi="仿宋" w:eastAsia="仿宋"/>
          <w:b/>
          <w:bCs/>
          <w:color w:val="auto"/>
          <w:sz w:val="24"/>
          <w:highlight w:val="none"/>
        </w:rPr>
        <w:fldChar w:fldCharType="begin"/>
      </w:r>
      <w:r>
        <w:rPr>
          <w:rFonts w:ascii="仿宋" w:hAnsi="仿宋" w:eastAsia="仿宋"/>
          <w:b/>
          <w:bCs/>
          <w:color w:val="auto"/>
          <w:sz w:val="24"/>
          <w:highlight w:val="none"/>
        </w:rPr>
        <w:instrText xml:space="preserve"> PAGEREF _Toc24825 \h </w:instrText>
      </w:r>
      <w:r>
        <w:rPr>
          <w:rFonts w:ascii="仿宋" w:hAnsi="仿宋" w:eastAsia="仿宋"/>
          <w:b/>
          <w:bCs/>
          <w:color w:val="auto"/>
          <w:sz w:val="24"/>
          <w:highlight w:val="none"/>
        </w:rPr>
        <w:fldChar w:fldCharType="separate"/>
      </w:r>
      <w:r>
        <w:rPr>
          <w:rFonts w:ascii="仿宋" w:hAnsi="仿宋" w:eastAsia="仿宋"/>
          <w:b/>
          <w:bCs/>
          <w:color w:val="auto"/>
          <w:sz w:val="24"/>
          <w:highlight w:val="none"/>
        </w:rPr>
        <w:t>24</w:t>
      </w:r>
      <w:r>
        <w:rPr>
          <w:rFonts w:ascii="仿宋" w:hAnsi="仿宋" w:eastAsia="仿宋"/>
          <w:b/>
          <w:bCs/>
          <w:color w:val="auto"/>
          <w:sz w:val="24"/>
          <w:highlight w:val="none"/>
        </w:rPr>
        <w:fldChar w:fldCharType="end"/>
      </w:r>
      <w:r>
        <w:rPr>
          <w:rFonts w:ascii="仿宋" w:hAnsi="仿宋" w:eastAsia="仿宋"/>
          <w:b/>
          <w:bCs/>
          <w:color w:val="auto"/>
          <w:sz w:val="24"/>
          <w:highlight w:val="none"/>
        </w:rPr>
        <w:fldChar w:fldCharType="end"/>
      </w:r>
    </w:p>
    <w:p>
      <w:pPr>
        <w:pStyle w:val="60"/>
        <w:tabs>
          <w:tab w:val="right" w:leader="dot" w:pos="8306"/>
        </w:tabs>
        <w:spacing w:line="360" w:lineRule="auto"/>
        <w:rPr>
          <w:rFonts w:ascii="仿宋" w:hAnsi="仿宋" w:eastAsia="仿宋"/>
          <w:b/>
          <w:bCs/>
          <w:color w:val="auto"/>
          <w:sz w:val="24"/>
          <w:highlight w:val="none"/>
        </w:rPr>
      </w:pPr>
      <w:r>
        <w:rPr>
          <w:color w:val="auto"/>
          <w:highlight w:val="none"/>
        </w:rPr>
        <w:fldChar w:fldCharType="begin"/>
      </w:r>
      <w:r>
        <w:rPr>
          <w:color w:val="auto"/>
          <w:highlight w:val="none"/>
        </w:rPr>
        <w:instrText xml:space="preserve"> HYPERLINK \l "_Toc24273" </w:instrText>
      </w:r>
      <w:r>
        <w:rPr>
          <w:color w:val="auto"/>
          <w:highlight w:val="none"/>
        </w:rPr>
        <w:fldChar w:fldCharType="separate"/>
      </w:r>
      <w:r>
        <w:rPr>
          <w:rFonts w:hint="eastAsia" w:ascii="仿宋" w:hAnsi="仿宋" w:eastAsia="仿宋" w:cs="宋体"/>
          <w:b/>
          <w:bCs/>
          <w:color w:val="auto"/>
          <w:sz w:val="24"/>
          <w:highlight w:val="none"/>
        </w:rPr>
        <w:t>第四部分 评标办法</w:t>
      </w:r>
      <w:r>
        <w:rPr>
          <w:rFonts w:ascii="仿宋" w:hAnsi="仿宋" w:eastAsia="仿宋"/>
          <w:b/>
          <w:bCs/>
          <w:color w:val="auto"/>
          <w:sz w:val="24"/>
          <w:highlight w:val="none"/>
        </w:rPr>
        <w:tab/>
      </w:r>
      <w:r>
        <w:rPr>
          <w:rFonts w:ascii="仿宋" w:hAnsi="仿宋" w:eastAsia="仿宋"/>
          <w:b/>
          <w:bCs/>
          <w:color w:val="auto"/>
          <w:sz w:val="24"/>
          <w:highlight w:val="none"/>
        </w:rPr>
        <w:fldChar w:fldCharType="begin"/>
      </w:r>
      <w:r>
        <w:rPr>
          <w:rFonts w:ascii="仿宋" w:hAnsi="仿宋" w:eastAsia="仿宋"/>
          <w:b/>
          <w:bCs/>
          <w:color w:val="auto"/>
          <w:sz w:val="24"/>
          <w:highlight w:val="none"/>
        </w:rPr>
        <w:instrText xml:space="preserve"> PAGEREF _Toc24273 \h </w:instrText>
      </w:r>
      <w:r>
        <w:rPr>
          <w:rFonts w:ascii="仿宋" w:hAnsi="仿宋" w:eastAsia="仿宋"/>
          <w:b/>
          <w:bCs/>
          <w:color w:val="auto"/>
          <w:sz w:val="24"/>
          <w:highlight w:val="none"/>
        </w:rPr>
        <w:fldChar w:fldCharType="separate"/>
      </w:r>
      <w:r>
        <w:rPr>
          <w:rFonts w:ascii="仿宋" w:hAnsi="仿宋" w:eastAsia="仿宋"/>
          <w:b/>
          <w:bCs/>
          <w:color w:val="auto"/>
          <w:sz w:val="24"/>
          <w:highlight w:val="none"/>
        </w:rPr>
        <w:t>51</w:t>
      </w:r>
      <w:r>
        <w:rPr>
          <w:rFonts w:ascii="仿宋" w:hAnsi="仿宋" w:eastAsia="仿宋"/>
          <w:b/>
          <w:bCs/>
          <w:color w:val="auto"/>
          <w:sz w:val="24"/>
          <w:highlight w:val="none"/>
        </w:rPr>
        <w:fldChar w:fldCharType="end"/>
      </w:r>
      <w:r>
        <w:rPr>
          <w:rFonts w:ascii="仿宋" w:hAnsi="仿宋" w:eastAsia="仿宋"/>
          <w:b/>
          <w:bCs/>
          <w:color w:val="auto"/>
          <w:sz w:val="24"/>
          <w:highlight w:val="none"/>
        </w:rPr>
        <w:fldChar w:fldCharType="end"/>
      </w:r>
    </w:p>
    <w:p>
      <w:pPr>
        <w:pStyle w:val="60"/>
        <w:tabs>
          <w:tab w:val="right" w:leader="dot" w:pos="8306"/>
        </w:tabs>
        <w:spacing w:line="360" w:lineRule="auto"/>
        <w:rPr>
          <w:rFonts w:ascii="仿宋" w:hAnsi="仿宋" w:eastAsia="仿宋"/>
          <w:b/>
          <w:bCs/>
          <w:color w:val="auto"/>
          <w:sz w:val="24"/>
          <w:highlight w:val="none"/>
        </w:rPr>
      </w:pPr>
      <w:r>
        <w:rPr>
          <w:color w:val="auto"/>
          <w:highlight w:val="none"/>
        </w:rPr>
        <w:fldChar w:fldCharType="begin"/>
      </w:r>
      <w:r>
        <w:rPr>
          <w:color w:val="auto"/>
          <w:highlight w:val="none"/>
        </w:rPr>
        <w:instrText xml:space="preserve"> HYPERLINK \l "_Toc16184" </w:instrText>
      </w:r>
      <w:r>
        <w:rPr>
          <w:color w:val="auto"/>
          <w:highlight w:val="none"/>
        </w:rPr>
        <w:fldChar w:fldCharType="separate"/>
      </w:r>
      <w:r>
        <w:rPr>
          <w:rFonts w:hint="eastAsia" w:ascii="仿宋" w:hAnsi="仿宋" w:eastAsia="仿宋"/>
          <w:b/>
          <w:bCs/>
          <w:color w:val="auto"/>
          <w:sz w:val="24"/>
          <w:highlight w:val="none"/>
        </w:rPr>
        <w:t>第五部分</w:t>
      </w:r>
      <w:r>
        <w:rPr>
          <w:rFonts w:ascii="仿宋" w:hAnsi="仿宋" w:eastAsia="仿宋"/>
          <w:b/>
          <w:bCs/>
          <w:color w:val="auto"/>
          <w:sz w:val="24"/>
          <w:highlight w:val="none"/>
        </w:rPr>
        <w:t xml:space="preserve"> </w:t>
      </w:r>
      <w:r>
        <w:rPr>
          <w:rFonts w:hint="eastAsia" w:ascii="仿宋" w:hAnsi="仿宋" w:eastAsia="仿宋"/>
          <w:b/>
          <w:bCs/>
          <w:color w:val="auto"/>
          <w:sz w:val="24"/>
          <w:highlight w:val="none"/>
        </w:rPr>
        <w:t>拟签订的合同文本</w:t>
      </w:r>
      <w:r>
        <w:rPr>
          <w:rFonts w:ascii="仿宋" w:hAnsi="仿宋" w:eastAsia="仿宋"/>
          <w:b/>
          <w:bCs/>
          <w:color w:val="auto"/>
          <w:sz w:val="24"/>
          <w:highlight w:val="none"/>
        </w:rPr>
        <w:tab/>
      </w:r>
      <w:r>
        <w:rPr>
          <w:rFonts w:ascii="仿宋" w:hAnsi="仿宋" w:eastAsia="仿宋"/>
          <w:b/>
          <w:bCs/>
          <w:color w:val="auto"/>
          <w:sz w:val="24"/>
          <w:highlight w:val="none"/>
        </w:rPr>
        <w:fldChar w:fldCharType="begin"/>
      </w:r>
      <w:r>
        <w:rPr>
          <w:rFonts w:ascii="仿宋" w:hAnsi="仿宋" w:eastAsia="仿宋"/>
          <w:b/>
          <w:bCs/>
          <w:color w:val="auto"/>
          <w:sz w:val="24"/>
          <w:highlight w:val="none"/>
        </w:rPr>
        <w:instrText xml:space="preserve"> PAGEREF _Toc16184 \h </w:instrText>
      </w:r>
      <w:r>
        <w:rPr>
          <w:rFonts w:ascii="仿宋" w:hAnsi="仿宋" w:eastAsia="仿宋"/>
          <w:b/>
          <w:bCs/>
          <w:color w:val="auto"/>
          <w:sz w:val="24"/>
          <w:highlight w:val="none"/>
        </w:rPr>
        <w:fldChar w:fldCharType="separate"/>
      </w:r>
      <w:r>
        <w:rPr>
          <w:rFonts w:ascii="仿宋" w:hAnsi="仿宋" w:eastAsia="仿宋"/>
          <w:b/>
          <w:bCs/>
          <w:color w:val="auto"/>
          <w:sz w:val="24"/>
          <w:highlight w:val="none"/>
        </w:rPr>
        <w:t>63</w:t>
      </w:r>
      <w:r>
        <w:rPr>
          <w:rFonts w:ascii="仿宋" w:hAnsi="仿宋" w:eastAsia="仿宋"/>
          <w:b/>
          <w:bCs/>
          <w:color w:val="auto"/>
          <w:sz w:val="24"/>
          <w:highlight w:val="none"/>
        </w:rPr>
        <w:fldChar w:fldCharType="end"/>
      </w:r>
      <w:r>
        <w:rPr>
          <w:rFonts w:ascii="仿宋" w:hAnsi="仿宋" w:eastAsia="仿宋"/>
          <w:b/>
          <w:bCs/>
          <w:color w:val="auto"/>
          <w:sz w:val="24"/>
          <w:highlight w:val="none"/>
        </w:rPr>
        <w:fldChar w:fldCharType="end"/>
      </w:r>
    </w:p>
    <w:p>
      <w:pPr>
        <w:pStyle w:val="60"/>
        <w:tabs>
          <w:tab w:val="right" w:leader="dot" w:pos="8306"/>
        </w:tabs>
        <w:spacing w:line="360" w:lineRule="auto"/>
        <w:rPr>
          <w:rFonts w:ascii="仿宋" w:hAnsi="仿宋" w:eastAsia="仿宋"/>
          <w:b/>
          <w:bCs/>
          <w:color w:val="auto"/>
          <w:sz w:val="24"/>
          <w:highlight w:val="none"/>
        </w:rPr>
      </w:pPr>
      <w:r>
        <w:rPr>
          <w:color w:val="auto"/>
          <w:highlight w:val="none"/>
        </w:rPr>
        <w:fldChar w:fldCharType="begin"/>
      </w:r>
      <w:r>
        <w:rPr>
          <w:color w:val="auto"/>
          <w:highlight w:val="none"/>
        </w:rPr>
        <w:instrText xml:space="preserve"> HYPERLINK \l "_Toc17409" </w:instrText>
      </w:r>
      <w:r>
        <w:rPr>
          <w:color w:val="auto"/>
          <w:highlight w:val="none"/>
        </w:rPr>
        <w:fldChar w:fldCharType="separate"/>
      </w:r>
      <w:r>
        <w:rPr>
          <w:rFonts w:hint="eastAsia" w:ascii="仿宋" w:hAnsi="仿宋" w:eastAsia="仿宋"/>
          <w:b/>
          <w:bCs/>
          <w:color w:val="auto"/>
          <w:sz w:val="24"/>
          <w:highlight w:val="none"/>
        </w:rPr>
        <w:t>第六部分</w:t>
      </w:r>
      <w:r>
        <w:rPr>
          <w:rFonts w:ascii="仿宋" w:hAnsi="仿宋" w:eastAsia="仿宋"/>
          <w:b/>
          <w:bCs/>
          <w:color w:val="auto"/>
          <w:sz w:val="24"/>
          <w:highlight w:val="none"/>
        </w:rPr>
        <w:t xml:space="preserve"> </w:t>
      </w:r>
      <w:r>
        <w:rPr>
          <w:rFonts w:hint="eastAsia" w:ascii="仿宋" w:hAnsi="仿宋" w:eastAsia="仿宋"/>
          <w:b/>
          <w:bCs/>
          <w:color w:val="auto"/>
          <w:sz w:val="24"/>
          <w:highlight w:val="none"/>
        </w:rPr>
        <w:t>应提交的有关格式范例</w:t>
      </w:r>
      <w:r>
        <w:rPr>
          <w:rFonts w:ascii="仿宋" w:hAnsi="仿宋" w:eastAsia="仿宋"/>
          <w:b/>
          <w:bCs/>
          <w:color w:val="auto"/>
          <w:sz w:val="24"/>
          <w:highlight w:val="none"/>
        </w:rPr>
        <w:tab/>
      </w:r>
      <w:r>
        <w:rPr>
          <w:rFonts w:ascii="仿宋" w:hAnsi="仿宋" w:eastAsia="仿宋"/>
          <w:b/>
          <w:bCs/>
          <w:color w:val="auto"/>
          <w:sz w:val="24"/>
          <w:highlight w:val="none"/>
        </w:rPr>
        <w:fldChar w:fldCharType="begin"/>
      </w:r>
      <w:r>
        <w:rPr>
          <w:rFonts w:ascii="仿宋" w:hAnsi="仿宋" w:eastAsia="仿宋"/>
          <w:b/>
          <w:bCs/>
          <w:color w:val="auto"/>
          <w:sz w:val="24"/>
          <w:highlight w:val="none"/>
        </w:rPr>
        <w:instrText xml:space="preserve"> PAGEREF _Toc17409 \h </w:instrText>
      </w:r>
      <w:r>
        <w:rPr>
          <w:rFonts w:ascii="仿宋" w:hAnsi="仿宋" w:eastAsia="仿宋"/>
          <w:b/>
          <w:bCs/>
          <w:color w:val="auto"/>
          <w:sz w:val="24"/>
          <w:highlight w:val="none"/>
        </w:rPr>
        <w:fldChar w:fldCharType="separate"/>
      </w:r>
      <w:r>
        <w:rPr>
          <w:rFonts w:ascii="仿宋" w:hAnsi="仿宋" w:eastAsia="仿宋"/>
          <w:b/>
          <w:bCs/>
          <w:color w:val="auto"/>
          <w:sz w:val="24"/>
          <w:highlight w:val="none"/>
        </w:rPr>
        <w:t>77</w:t>
      </w:r>
      <w:r>
        <w:rPr>
          <w:rFonts w:ascii="仿宋" w:hAnsi="仿宋" w:eastAsia="仿宋"/>
          <w:b/>
          <w:bCs/>
          <w:color w:val="auto"/>
          <w:sz w:val="24"/>
          <w:highlight w:val="none"/>
        </w:rPr>
        <w:fldChar w:fldCharType="end"/>
      </w:r>
      <w:r>
        <w:rPr>
          <w:rFonts w:ascii="仿宋" w:hAnsi="仿宋" w:eastAsia="仿宋"/>
          <w:b/>
          <w:bCs/>
          <w:color w:val="auto"/>
          <w:sz w:val="24"/>
          <w:highlight w:val="none"/>
        </w:rPr>
        <w:fldChar w:fldCharType="end"/>
      </w:r>
    </w:p>
    <w:p>
      <w:pPr>
        <w:pStyle w:val="36"/>
        <w:spacing w:line="360" w:lineRule="auto"/>
        <w:ind w:firstLine="0" w:firstLineChars="0"/>
        <w:rPr>
          <w:rFonts w:ascii="仿宋" w:hAnsi="仿宋" w:eastAsia="仿宋" w:cs="仿宋"/>
          <w:b/>
          <w:bCs/>
          <w:color w:val="auto"/>
          <w:highlight w:val="none"/>
        </w:rPr>
      </w:pPr>
      <w:r>
        <w:rPr>
          <w:rFonts w:hint="eastAsia" w:ascii="仿宋" w:hAnsi="仿宋" w:eastAsia="仿宋" w:cs="仿宋"/>
          <w:b/>
          <w:bCs/>
          <w:color w:val="auto"/>
          <w:highlight w:val="none"/>
        </w:rPr>
        <w:fldChar w:fldCharType="end"/>
      </w:r>
    </w:p>
    <w:p>
      <w:pPr>
        <w:pStyle w:val="5"/>
        <w:rPr>
          <w:rFonts w:ascii="仿宋" w:hAnsi="仿宋" w:eastAsia="仿宋" w:cs="仿宋"/>
          <w:color w:val="auto"/>
          <w:sz w:val="24"/>
          <w:szCs w:val="24"/>
          <w:highlight w:val="none"/>
        </w:rPr>
        <w:sectPr>
          <w:footerReference r:id="rId4" w:type="first"/>
          <w:footerReference r:id="rId3" w:type="default"/>
          <w:pgSz w:w="11906" w:h="16838"/>
          <w:pgMar w:top="1440" w:right="1800" w:bottom="1440" w:left="1800" w:header="851" w:footer="992" w:gutter="0"/>
          <w:pgNumType w:start="1"/>
          <w:cols w:space="720" w:num="1"/>
          <w:docGrid w:linePitch="312" w:charSpace="0"/>
        </w:sectPr>
      </w:pPr>
      <w:bookmarkStart w:id="1" w:name="_Toc829790387"/>
      <w:bookmarkStart w:id="2" w:name="_Toc24823"/>
      <w:bookmarkStart w:id="3" w:name="_Toc27876"/>
      <w:bookmarkStart w:id="4" w:name="_Toc12868"/>
      <w:bookmarkStart w:id="5" w:name="_Toc95312933"/>
      <w:bookmarkStart w:id="6" w:name="第二部分"/>
      <w:bookmarkStart w:id="7" w:name="_Toc91899870"/>
      <w:bookmarkStart w:id="8" w:name="_Toc91899871"/>
    </w:p>
    <w:p>
      <w:pPr>
        <w:pStyle w:val="4"/>
        <w:jc w:val="center"/>
        <w:rPr>
          <w:rFonts w:ascii="仿宋" w:hAnsi="仿宋" w:eastAsia="仿宋"/>
          <w:color w:val="auto"/>
          <w:highlight w:val="none"/>
        </w:rPr>
      </w:pPr>
      <w:bookmarkStart w:id="9" w:name="_Toc24913"/>
      <w:r>
        <w:rPr>
          <w:rFonts w:hint="eastAsia" w:ascii="仿宋" w:hAnsi="仿宋" w:eastAsia="仿宋"/>
          <w:color w:val="auto"/>
          <w:highlight w:val="none"/>
        </w:rPr>
        <w:t>第一部分</w:t>
      </w:r>
      <w:r>
        <w:rPr>
          <w:rFonts w:ascii="仿宋" w:hAnsi="仿宋" w:eastAsia="仿宋"/>
          <w:color w:val="auto"/>
          <w:highlight w:val="none"/>
        </w:rPr>
        <w:t xml:space="preserve"> </w:t>
      </w:r>
      <w:r>
        <w:rPr>
          <w:rFonts w:hint="eastAsia" w:ascii="仿宋" w:hAnsi="仿宋" w:eastAsia="仿宋"/>
          <w:color w:val="auto"/>
          <w:highlight w:val="none"/>
        </w:rPr>
        <w:t>招标公告</w:t>
      </w:r>
      <w:bookmarkEnd w:id="1"/>
      <w:bookmarkEnd w:id="2"/>
      <w:bookmarkEnd w:id="3"/>
      <w:bookmarkEnd w:id="4"/>
      <w:bookmarkEnd w:id="5"/>
      <w:bookmarkEnd w:id="9"/>
    </w:p>
    <w:p>
      <w:pPr>
        <w:pBdr>
          <w:top w:val="single" w:color="auto" w:sz="4" w:space="1"/>
          <w:left w:val="single" w:color="auto" w:sz="4" w:space="4"/>
          <w:bottom w:val="single" w:color="auto" w:sz="4" w:space="1"/>
          <w:right w:val="single" w:color="auto" w:sz="4" w:space="4"/>
        </w:pBd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项目概况</w:t>
      </w:r>
    </w:p>
    <w:p>
      <w:pPr>
        <w:pBdr>
          <w:top w:val="single" w:color="auto" w:sz="4" w:space="1"/>
          <w:left w:val="single" w:color="auto" w:sz="4" w:space="4"/>
          <w:bottom w:val="single" w:color="auto" w:sz="4" w:space="1"/>
          <w:right w:val="single" w:color="auto" w:sz="4" w:space="4"/>
        </w:pBdr>
        <w:snapToGrid w:val="0"/>
        <w:spacing w:line="360" w:lineRule="auto"/>
        <w:ind w:firstLine="480" w:firstLineChars="200"/>
        <w:rPr>
          <w:rFonts w:ascii="仿宋" w:hAnsi="仿宋" w:eastAsia="仿宋"/>
          <w:color w:val="auto"/>
          <w:sz w:val="24"/>
          <w:highlight w:val="none"/>
        </w:rPr>
      </w:pPr>
      <w:bookmarkStart w:id="10" w:name="_Hlk94195394"/>
      <w:r>
        <w:rPr>
          <w:rFonts w:hint="eastAsia" w:ascii="仿宋" w:hAnsi="仿宋" w:eastAsia="仿宋" w:cs="仿宋_GB2312"/>
          <w:color w:val="auto"/>
          <w:sz w:val="24"/>
          <w:highlight w:val="none"/>
        </w:rPr>
        <w:t>“俞樾纪念馆”陈列布展服务</w:t>
      </w:r>
      <w:r>
        <w:rPr>
          <w:rFonts w:hint="eastAsia" w:ascii="仿宋" w:hAnsi="仿宋" w:eastAsia="仿宋"/>
          <w:color w:val="auto"/>
          <w:sz w:val="24"/>
          <w:highlight w:val="none"/>
        </w:rPr>
        <w:t>项目</w:t>
      </w:r>
      <w:bookmarkEnd w:id="10"/>
      <w:r>
        <w:rPr>
          <w:rFonts w:hint="eastAsia" w:ascii="仿宋" w:hAnsi="仿宋" w:eastAsia="仿宋"/>
          <w:color w:val="auto"/>
          <w:sz w:val="24"/>
          <w:highlight w:val="none"/>
        </w:rPr>
        <w:t>的潜在供应商应在政采云平台（</w:t>
      </w:r>
      <w:r>
        <w:rPr>
          <w:color w:val="auto"/>
          <w:highlight w:val="none"/>
        </w:rPr>
        <w:fldChar w:fldCharType="begin"/>
      </w:r>
      <w:r>
        <w:rPr>
          <w:color w:val="auto"/>
          <w:highlight w:val="none"/>
        </w:rPr>
        <w:instrText xml:space="preserve"> HYPERLINK "https://www.zcygov.cn/）获取（下载）采购文件，并于2023年%20%20月%20%20日09点30分00秒" </w:instrText>
      </w:r>
      <w:r>
        <w:rPr>
          <w:color w:val="auto"/>
          <w:highlight w:val="none"/>
        </w:rPr>
        <w:fldChar w:fldCharType="separate"/>
      </w:r>
      <w:r>
        <w:rPr>
          <w:rStyle w:val="102"/>
          <w:rFonts w:ascii="仿宋" w:hAnsi="仿宋" w:eastAsia="仿宋" w:cs="Times New Roman"/>
          <w:color w:val="auto"/>
          <w:kern w:val="2"/>
          <w:sz w:val="24"/>
          <w:szCs w:val="24"/>
          <w:highlight w:val="none"/>
        </w:rPr>
        <w:t>https://www.zcygov.cn/）获取（下载）采购文件，并于202</w:t>
      </w:r>
      <w:r>
        <w:rPr>
          <w:rStyle w:val="102"/>
          <w:rFonts w:hint="eastAsia" w:ascii="仿宋" w:hAnsi="仿宋" w:eastAsia="仿宋" w:cs="Times New Roman"/>
          <w:color w:val="auto"/>
          <w:kern w:val="2"/>
          <w:sz w:val="24"/>
          <w:szCs w:val="24"/>
          <w:highlight w:val="none"/>
        </w:rPr>
        <w:t>3</w:t>
      </w:r>
      <w:r>
        <w:rPr>
          <w:rStyle w:val="102"/>
          <w:rFonts w:ascii="仿宋" w:hAnsi="仿宋" w:eastAsia="仿宋" w:cs="Times New Roman"/>
          <w:color w:val="auto"/>
          <w:kern w:val="2"/>
          <w:sz w:val="24"/>
          <w:szCs w:val="24"/>
          <w:highlight w:val="none"/>
        </w:rPr>
        <w:t>年</w:t>
      </w:r>
      <w:r>
        <w:rPr>
          <w:rStyle w:val="102"/>
          <w:rFonts w:hint="eastAsia" w:ascii="仿宋" w:hAnsi="仿宋" w:eastAsia="仿宋" w:cs="Times New Roman"/>
          <w:color w:val="auto"/>
          <w:kern w:val="2"/>
          <w:sz w:val="24"/>
          <w:szCs w:val="24"/>
          <w:highlight w:val="none"/>
          <w:lang w:val="en-US" w:eastAsia="zh-CN"/>
        </w:rPr>
        <w:t>04</w:t>
      </w:r>
      <w:r>
        <w:rPr>
          <w:rStyle w:val="102"/>
          <w:rFonts w:hint="eastAsia" w:ascii="仿宋" w:hAnsi="仿宋" w:eastAsia="仿宋" w:cs="Times New Roman"/>
          <w:color w:val="auto"/>
          <w:kern w:val="2"/>
          <w:sz w:val="24"/>
          <w:szCs w:val="24"/>
          <w:highlight w:val="none"/>
        </w:rPr>
        <w:t>月</w:t>
      </w:r>
      <w:r>
        <w:rPr>
          <w:rStyle w:val="102"/>
          <w:rFonts w:hint="eastAsia" w:ascii="仿宋" w:hAnsi="仿宋" w:eastAsia="仿宋" w:cs="Times New Roman"/>
          <w:color w:val="auto"/>
          <w:kern w:val="2"/>
          <w:sz w:val="24"/>
          <w:szCs w:val="24"/>
          <w:highlight w:val="none"/>
          <w:lang w:val="en-US" w:eastAsia="zh-CN"/>
        </w:rPr>
        <w:t>03</w:t>
      </w:r>
      <w:r>
        <w:rPr>
          <w:rStyle w:val="102"/>
          <w:rFonts w:hint="eastAsia" w:ascii="仿宋" w:hAnsi="仿宋" w:eastAsia="仿宋" w:cs="Times New Roman"/>
          <w:color w:val="auto"/>
          <w:kern w:val="2"/>
          <w:sz w:val="24"/>
          <w:szCs w:val="24"/>
          <w:highlight w:val="none"/>
        </w:rPr>
        <w:t>日</w:t>
      </w:r>
      <w:r>
        <w:rPr>
          <w:rStyle w:val="102"/>
          <w:rFonts w:hint="eastAsia" w:ascii="仿宋" w:hAnsi="仿宋" w:eastAsia="仿宋" w:cs="Times New Roman"/>
          <w:color w:val="auto"/>
          <w:kern w:val="2"/>
          <w:sz w:val="24"/>
          <w:szCs w:val="24"/>
          <w:highlight w:val="none"/>
          <w:lang w:val="en-US" w:eastAsia="zh-CN"/>
        </w:rPr>
        <w:t>13</w:t>
      </w:r>
      <w:r>
        <w:rPr>
          <w:rStyle w:val="102"/>
          <w:rFonts w:ascii="仿宋" w:hAnsi="仿宋" w:eastAsia="仿宋" w:cs="Times New Roman"/>
          <w:color w:val="auto"/>
          <w:kern w:val="2"/>
          <w:sz w:val="24"/>
          <w:szCs w:val="24"/>
          <w:highlight w:val="none"/>
        </w:rPr>
        <w:t>点</w:t>
      </w:r>
      <w:r>
        <w:rPr>
          <w:rStyle w:val="102"/>
          <w:rFonts w:hint="eastAsia" w:ascii="仿宋" w:hAnsi="仿宋" w:eastAsia="仿宋" w:cs="Times New Roman"/>
          <w:color w:val="auto"/>
          <w:kern w:val="2"/>
          <w:sz w:val="24"/>
          <w:szCs w:val="24"/>
          <w:highlight w:val="none"/>
        </w:rPr>
        <w:t>3</w:t>
      </w:r>
      <w:r>
        <w:rPr>
          <w:rStyle w:val="102"/>
          <w:rFonts w:ascii="仿宋" w:hAnsi="仿宋" w:eastAsia="仿宋" w:cs="Times New Roman"/>
          <w:color w:val="auto"/>
          <w:kern w:val="2"/>
          <w:sz w:val="24"/>
          <w:szCs w:val="24"/>
          <w:highlight w:val="none"/>
        </w:rPr>
        <w:t>0分</w:t>
      </w:r>
      <w:r>
        <w:rPr>
          <w:rStyle w:val="102"/>
          <w:rFonts w:ascii="仿宋" w:hAnsi="仿宋" w:eastAsia="仿宋" w:cs="Times New Roman"/>
          <w:bCs/>
          <w:color w:val="auto"/>
          <w:kern w:val="2"/>
          <w:sz w:val="24"/>
          <w:szCs w:val="24"/>
          <w:highlight w:val="none"/>
        </w:rPr>
        <w:t>00秒</w:t>
      </w:r>
      <w:r>
        <w:rPr>
          <w:rStyle w:val="102"/>
          <w:rFonts w:ascii="仿宋" w:hAnsi="仿宋" w:eastAsia="仿宋" w:cs="Times New Roman"/>
          <w:bCs/>
          <w:color w:val="auto"/>
          <w:kern w:val="2"/>
          <w:sz w:val="24"/>
          <w:szCs w:val="24"/>
          <w:highlight w:val="none"/>
        </w:rPr>
        <w:fldChar w:fldCharType="end"/>
      </w:r>
      <w:r>
        <w:rPr>
          <w:rFonts w:hint="eastAsia" w:ascii="仿宋" w:hAnsi="仿宋" w:eastAsia="仿宋"/>
          <w:bCs/>
          <w:color w:val="auto"/>
          <w:sz w:val="24"/>
          <w:highlight w:val="none"/>
        </w:rPr>
        <w:t>（北京时间）前</w:t>
      </w:r>
      <w:r>
        <w:rPr>
          <w:rFonts w:hint="eastAsia" w:ascii="仿宋" w:hAnsi="仿宋" w:eastAsia="仿宋"/>
          <w:color w:val="auto"/>
          <w:sz w:val="24"/>
          <w:highlight w:val="none"/>
        </w:rPr>
        <w:t>递交（上传）投标文件。</w:t>
      </w:r>
    </w:p>
    <w:p>
      <w:pPr>
        <w:snapToGrid w:val="0"/>
        <w:spacing w:line="360" w:lineRule="auto"/>
        <w:rPr>
          <w:rFonts w:ascii="仿宋" w:hAnsi="仿宋" w:eastAsia="仿宋"/>
          <w:b/>
          <w:color w:val="auto"/>
          <w:sz w:val="24"/>
          <w:highlight w:val="none"/>
        </w:rPr>
      </w:pPr>
      <w:r>
        <w:rPr>
          <w:rFonts w:hint="eastAsia" w:ascii="仿宋" w:hAnsi="仿宋" w:eastAsia="仿宋" w:cs="仿宋_GB2312"/>
          <w:b/>
          <w:bCs/>
          <w:color w:val="auto"/>
          <w:sz w:val="24"/>
          <w:highlight w:val="none"/>
        </w:rPr>
        <w:t>一、项目基本情况</w:t>
      </w:r>
    </w:p>
    <w:p>
      <w:pPr>
        <w:snapToGrid w:val="0"/>
        <w:spacing w:line="360" w:lineRule="auto"/>
        <w:ind w:firstLine="482" w:firstLineChars="200"/>
        <w:rPr>
          <w:rFonts w:ascii="仿宋" w:hAnsi="仿宋" w:eastAsia="仿宋"/>
          <w:color w:val="auto"/>
          <w:sz w:val="24"/>
          <w:highlight w:val="none"/>
        </w:rPr>
      </w:pPr>
      <w:r>
        <w:rPr>
          <w:rFonts w:hint="eastAsia" w:ascii="仿宋" w:hAnsi="仿宋" w:eastAsia="仿宋"/>
          <w:b/>
          <w:color w:val="auto"/>
          <w:sz w:val="24"/>
          <w:highlight w:val="none"/>
        </w:rPr>
        <w:t>项目编号：</w:t>
      </w:r>
      <w:r>
        <w:rPr>
          <w:rFonts w:hint="eastAsia" w:ascii="仿宋" w:hAnsi="仿宋" w:eastAsia="仿宋"/>
          <w:color w:val="auto"/>
          <w:sz w:val="24"/>
          <w:highlight w:val="none"/>
        </w:rPr>
        <w:t>HZZR-F221201N</w:t>
      </w:r>
    </w:p>
    <w:p>
      <w:pPr>
        <w:snapToGrid w:val="0"/>
        <w:spacing w:line="360" w:lineRule="auto"/>
        <w:ind w:firstLine="482" w:firstLineChars="200"/>
        <w:rPr>
          <w:rFonts w:ascii="仿宋" w:hAnsi="仿宋" w:eastAsia="仿宋"/>
          <w:b/>
          <w:color w:val="auto"/>
          <w:sz w:val="24"/>
          <w:highlight w:val="none"/>
        </w:rPr>
      </w:pPr>
      <w:r>
        <w:rPr>
          <w:rFonts w:hint="eastAsia" w:ascii="仿宋" w:hAnsi="仿宋" w:eastAsia="仿宋"/>
          <w:b/>
          <w:color w:val="auto"/>
          <w:sz w:val="24"/>
          <w:highlight w:val="none"/>
        </w:rPr>
        <w:t>项目名称：</w:t>
      </w:r>
      <w:bookmarkStart w:id="11" w:name="_Hlk94199876"/>
      <w:r>
        <w:rPr>
          <w:rFonts w:hint="eastAsia" w:ascii="仿宋" w:hAnsi="仿宋" w:eastAsia="仿宋"/>
          <w:b/>
          <w:color w:val="auto"/>
          <w:sz w:val="24"/>
          <w:highlight w:val="none"/>
        </w:rPr>
        <w:t>”俞樾纪念馆”陈列布展服务项目</w:t>
      </w:r>
      <w:bookmarkEnd w:id="11"/>
    </w:p>
    <w:p>
      <w:pPr>
        <w:snapToGrid w:val="0"/>
        <w:spacing w:line="360" w:lineRule="auto"/>
        <w:ind w:firstLine="482" w:firstLineChars="200"/>
        <w:rPr>
          <w:rFonts w:ascii="仿宋" w:hAnsi="仿宋" w:eastAsia="仿宋"/>
          <w:bCs/>
          <w:color w:val="auto"/>
          <w:sz w:val="24"/>
          <w:highlight w:val="none"/>
        </w:rPr>
      </w:pPr>
      <w:r>
        <w:rPr>
          <w:rFonts w:ascii="仿宋" w:hAnsi="仿宋" w:eastAsia="仿宋"/>
          <w:b/>
          <w:color w:val="auto"/>
          <w:sz w:val="24"/>
          <w:highlight w:val="none"/>
        </w:rPr>
        <w:t>预算金额（元）：</w:t>
      </w:r>
      <w:bookmarkStart w:id="12" w:name="_Hlk120830979"/>
      <w:r>
        <w:rPr>
          <w:rFonts w:hint="eastAsia" w:ascii="仿宋" w:hAnsi="仿宋" w:eastAsia="仿宋"/>
          <w:color w:val="auto"/>
          <w:sz w:val="24"/>
          <w:highlight w:val="none"/>
        </w:rPr>
        <w:t>5283186</w:t>
      </w:r>
      <w:bookmarkEnd w:id="12"/>
      <w:r>
        <w:rPr>
          <w:rFonts w:ascii="仿宋" w:hAnsi="仿宋" w:eastAsia="仿宋" w:cs="宋体"/>
          <w:color w:val="auto"/>
          <w:sz w:val="24"/>
          <w:highlight w:val="none"/>
        </w:rPr>
        <w:t xml:space="preserve">  </w:t>
      </w:r>
    </w:p>
    <w:p>
      <w:pPr>
        <w:snapToGrid w:val="0"/>
        <w:spacing w:line="360" w:lineRule="auto"/>
        <w:ind w:firstLine="482" w:firstLineChars="200"/>
        <w:rPr>
          <w:rFonts w:ascii="仿宋" w:hAnsi="仿宋" w:eastAsia="仿宋"/>
          <w:color w:val="auto"/>
          <w:sz w:val="24"/>
          <w:highlight w:val="none"/>
        </w:rPr>
      </w:pPr>
      <w:r>
        <w:rPr>
          <w:rFonts w:hint="eastAsia" w:ascii="仿宋" w:hAnsi="仿宋" w:eastAsia="仿宋"/>
          <w:b/>
          <w:color w:val="auto"/>
          <w:sz w:val="24"/>
          <w:highlight w:val="none"/>
        </w:rPr>
        <w:t>最高限价（元）：</w:t>
      </w:r>
      <w:r>
        <w:rPr>
          <w:rFonts w:hint="eastAsia" w:ascii="仿宋" w:hAnsi="仿宋" w:eastAsia="仿宋"/>
          <w:color w:val="auto"/>
          <w:sz w:val="24"/>
          <w:highlight w:val="none"/>
        </w:rPr>
        <w:t>5</w:t>
      </w:r>
      <w:r>
        <w:rPr>
          <w:rFonts w:ascii="仿宋" w:hAnsi="仿宋" w:eastAsia="仿宋"/>
          <w:color w:val="auto"/>
          <w:sz w:val="24"/>
          <w:highlight w:val="none"/>
        </w:rPr>
        <w:t>150000</w:t>
      </w:r>
    </w:p>
    <w:p>
      <w:pPr>
        <w:spacing w:before="75" w:line="360" w:lineRule="auto"/>
        <w:ind w:left="207" w:firstLine="241" w:firstLineChars="100"/>
        <w:rPr>
          <w:rFonts w:hint="eastAsia" w:ascii="仿宋" w:hAnsi="仿宋" w:eastAsia="仿宋" w:cs="仿宋"/>
          <w:color w:val="auto"/>
          <w:spacing w:val="9"/>
          <w:sz w:val="24"/>
          <w:highlight w:val="none"/>
        </w:rPr>
      </w:pPr>
      <w:r>
        <w:rPr>
          <w:rFonts w:hint="eastAsia" w:ascii="仿宋" w:hAnsi="仿宋" w:eastAsia="仿宋"/>
          <w:b/>
          <w:color w:val="auto"/>
          <w:sz w:val="24"/>
          <w:highlight w:val="none"/>
        </w:rPr>
        <w:t>采购需求：</w:t>
      </w:r>
      <w:r>
        <w:rPr>
          <w:rFonts w:hint="eastAsia" w:ascii="仿宋" w:hAnsi="仿宋" w:eastAsia="仿宋" w:cs="仿宋"/>
          <w:color w:val="auto"/>
          <w:spacing w:val="9"/>
          <w:sz w:val="24"/>
          <w:highlight w:val="none"/>
        </w:rPr>
        <w:t>包括不限于：1）根据提供的建筑平面图进行设计：包含室内陈列布展设计方案、施工方案等；2）布展制作：含展陈布展项制作实施、布展工程设计实施；3）其它：大门改造、门厅、走廊景观及户外附属用房局部改造设计制作；4）布展、维护等。</w:t>
      </w:r>
    </w:p>
    <w:p>
      <w:pPr>
        <w:spacing w:before="75" w:line="360" w:lineRule="auto"/>
        <w:ind w:left="207" w:firstLine="241" w:firstLineChars="100"/>
        <w:rPr>
          <w:rFonts w:hint="default" w:ascii="仿宋" w:hAnsi="仿宋" w:eastAsia="仿宋" w:cs="Times New Roman"/>
          <w:b/>
          <w:bCs/>
          <w:color w:val="auto"/>
          <w:kern w:val="2"/>
          <w:sz w:val="24"/>
          <w:szCs w:val="24"/>
          <w:highlight w:val="none"/>
          <w:lang w:val="en-US" w:eastAsia="zh-CN" w:bidi="ar-SA"/>
        </w:rPr>
      </w:pPr>
      <w:r>
        <w:rPr>
          <w:rFonts w:hint="eastAsia" w:ascii="仿宋" w:hAnsi="仿宋" w:eastAsia="仿宋" w:cs="Times New Roman"/>
          <w:b/>
          <w:bCs/>
          <w:color w:val="auto"/>
          <w:kern w:val="2"/>
          <w:sz w:val="24"/>
          <w:szCs w:val="24"/>
          <w:highlight w:val="none"/>
          <w:lang w:val="en-US" w:eastAsia="zh-CN" w:bidi="ar-SA"/>
        </w:rPr>
        <w:t>备注：</w:t>
      </w:r>
      <w:r>
        <w:rPr>
          <w:rFonts w:hint="eastAsia" w:ascii="仿宋" w:hAnsi="仿宋" w:eastAsia="仿宋" w:cs="Times New Roman"/>
          <w:b w:val="0"/>
          <w:bCs w:val="0"/>
          <w:color w:val="auto"/>
          <w:kern w:val="2"/>
          <w:sz w:val="24"/>
          <w:szCs w:val="24"/>
          <w:highlight w:val="none"/>
          <w:lang w:val="en-US" w:eastAsia="zh-CN" w:bidi="ar-SA"/>
        </w:rPr>
        <w:t>详见招标文件第三部分采购需求。</w:t>
      </w:r>
    </w:p>
    <w:p>
      <w:pPr>
        <w:spacing w:line="360" w:lineRule="auto"/>
        <w:ind w:firstLine="482" w:firstLineChars="200"/>
        <w:rPr>
          <w:rFonts w:ascii="仿宋" w:hAnsi="仿宋" w:eastAsia="仿宋"/>
          <w:color w:val="auto"/>
          <w:sz w:val="24"/>
          <w:highlight w:val="none"/>
          <w:u w:val="single"/>
        </w:rPr>
      </w:pPr>
      <w:r>
        <w:rPr>
          <w:rFonts w:hint="eastAsia" w:ascii="仿宋" w:hAnsi="仿宋" w:eastAsia="仿宋"/>
          <w:b/>
          <w:bCs/>
          <w:color w:val="auto"/>
          <w:sz w:val="24"/>
          <w:highlight w:val="none"/>
        </w:rPr>
        <w:t>合同履约期限：</w:t>
      </w:r>
      <w:r>
        <w:rPr>
          <w:rFonts w:hint="eastAsia" w:ascii="仿宋" w:hAnsi="仿宋" w:eastAsia="仿宋" w:cs="仿宋"/>
          <w:color w:val="auto"/>
          <w:spacing w:val="8"/>
          <w:sz w:val="24"/>
          <w:highlight w:val="none"/>
        </w:rPr>
        <w:t>自合同签订后</w:t>
      </w:r>
      <w:r>
        <w:rPr>
          <w:rFonts w:ascii="仿宋" w:hAnsi="仿宋" w:eastAsia="仿宋" w:cs="仿宋"/>
          <w:color w:val="auto"/>
          <w:spacing w:val="8"/>
          <w:sz w:val="24"/>
          <w:highlight w:val="none"/>
        </w:rPr>
        <w:t>90</w:t>
      </w:r>
      <w:r>
        <w:rPr>
          <w:rFonts w:hint="eastAsia" w:ascii="仿宋" w:hAnsi="仿宋" w:eastAsia="仿宋" w:cs="仿宋"/>
          <w:color w:val="auto"/>
          <w:spacing w:val="8"/>
          <w:sz w:val="24"/>
          <w:highlight w:val="none"/>
        </w:rPr>
        <w:t>日内(具体以合同签订为准)。</w:t>
      </w:r>
    </w:p>
    <w:p>
      <w:pPr>
        <w:pStyle w:val="21"/>
        <w:spacing w:line="360" w:lineRule="auto"/>
        <w:ind w:firstLine="482" w:firstLineChars="200"/>
        <w:rPr>
          <w:rFonts w:ascii="仿宋" w:hAnsi="仿宋" w:eastAsia="仿宋"/>
          <w:b/>
          <w:color w:val="auto"/>
          <w:sz w:val="24"/>
          <w:szCs w:val="24"/>
          <w:highlight w:val="none"/>
        </w:rPr>
      </w:pPr>
      <w:r>
        <w:rPr>
          <w:rFonts w:hint="eastAsia" w:ascii="仿宋" w:hAnsi="仿宋" w:eastAsia="仿宋"/>
          <w:b/>
          <w:color w:val="auto"/>
          <w:sz w:val="24"/>
          <w:szCs w:val="24"/>
          <w:highlight w:val="none"/>
        </w:rPr>
        <w:t>本项目接受联合体投标：</w:t>
      </w:r>
      <w:r>
        <w:rPr>
          <w:rFonts w:ascii="仿宋" w:hAnsi="仿宋" w:eastAsia="仿宋" w:cs="Arial"/>
          <w:color w:val="auto"/>
          <w:kern w:val="0"/>
          <w:sz w:val="24"/>
          <w:szCs w:val="24"/>
          <w:highlight w:val="none"/>
        </w:rPr>
        <w:sym w:font="Wingdings" w:char="F0FE"/>
      </w:r>
      <w:r>
        <w:rPr>
          <w:rFonts w:hint="eastAsia" w:ascii="仿宋" w:hAnsi="仿宋" w:eastAsia="仿宋"/>
          <w:b/>
          <w:color w:val="auto"/>
          <w:sz w:val="24"/>
          <w:szCs w:val="24"/>
          <w:highlight w:val="none"/>
        </w:rPr>
        <w:t>是，</w:t>
      </w:r>
      <w:r>
        <w:rPr>
          <w:rFonts w:ascii="仿宋" w:hAnsi="仿宋" w:eastAsia="仿宋" w:cs="Arial"/>
          <w:color w:val="auto"/>
          <w:kern w:val="0"/>
          <w:sz w:val="24"/>
          <w:szCs w:val="24"/>
          <w:highlight w:val="none"/>
        </w:rPr>
        <w:sym w:font="Wingdings" w:char="00A8"/>
      </w:r>
      <w:r>
        <w:rPr>
          <w:rFonts w:hint="eastAsia" w:ascii="仿宋" w:hAnsi="仿宋" w:eastAsia="仿宋"/>
          <w:b/>
          <w:color w:val="auto"/>
          <w:sz w:val="24"/>
          <w:szCs w:val="24"/>
          <w:highlight w:val="none"/>
        </w:rPr>
        <w:t>否</w:t>
      </w:r>
      <w:r>
        <w:rPr>
          <w:rFonts w:hint="eastAsia" w:ascii="仿宋" w:hAnsi="仿宋" w:eastAsia="仿宋" w:cs="Arial"/>
          <w:color w:val="auto"/>
          <w:kern w:val="0"/>
          <w:sz w:val="24"/>
          <w:szCs w:val="24"/>
          <w:highlight w:val="none"/>
        </w:rPr>
        <w:t>。</w:t>
      </w:r>
    </w:p>
    <w:p>
      <w:pPr>
        <w:snapToGrid w:val="0"/>
        <w:spacing w:line="360" w:lineRule="auto"/>
        <w:ind w:firstLine="482" w:firstLineChars="200"/>
        <w:rPr>
          <w:rFonts w:ascii="仿宋" w:hAnsi="仿宋" w:eastAsia="仿宋"/>
          <w:b/>
          <w:color w:val="auto"/>
          <w:sz w:val="24"/>
          <w:highlight w:val="none"/>
        </w:rPr>
      </w:pPr>
      <w:r>
        <w:rPr>
          <w:rFonts w:hint="eastAsia" w:ascii="仿宋" w:hAnsi="仿宋" w:eastAsia="仿宋"/>
          <w:b/>
          <w:color w:val="auto"/>
          <w:sz w:val="24"/>
          <w:highlight w:val="none"/>
        </w:rPr>
        <w:t>二、申请人的资格要求：</w:t>
      </w:r>
    </w:p>
    <w:p>
      <w:pPr>
        <w:spacing w:line="360" w:lineRule="auto"/>
        <w:ind w:firstLine="480"/>
        <w:rPr>
          <w:rFonts w:ascii="仿宋" w:hAnsi="仿宋" w:eastAsia="仿宋" w:cs="仿宋"/>
          <w:snapToGrid w:val="0"/>
          <w:color w:val="auto"/>
          <w:kern w:val="28"/>
          <w:sz w:val="24"/>
          <w:szCs w:val="24"/>
          <w:highlight w:val="none"/>
        </w:rPr>
      </w:pPr>
      <w:bookmarkStart w:id="13" w:name="_Hlk120831040"/>
      <w:r>
        <w:rPr>
          <w:rFonts w:hint="eastAsia" w:ascii="仿宋" w:hAnsi="仿宋" w:eastAsia="仿宋" w:cs="仿宋"/>
          <w:snapToGrid w:val="0"/>
          <w:color w:val="auto"/>
          <w:kern w:val="28"/>
          <w:sz w:val="24"/>
          <w:szCs w:val="24"/>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仿宋" w:hAnsi="仿宋" w:eastAsia="仿宋" w:cs="仿宋"/>
          <w:snapToGrid w:val="0"/>
          <w:color w:val="auto"/>
          <w:kern w:val="28"/>
          <w:sz w:val="24"/>
          <w:szCs w:val="24"/>
          <w:highlight w:val="none"/>
        </w:rPr>
      </w:pPr>
      <w:r>
        <w:rPr>
          <w:rFonts w:hint="eastAsia" w:ascii="仿宋" w:hAnsi="仿宋" w:eastAsia="仿宋" w:cs="仿宋"/>
          <w:snapToGrid w:val="0"/>
          <w:color w:val="auto"/>
          <w:kern w:val="28"/>
          <w:sz w:val="24"/>
          <w:szCs w:val="24"/>
          <w:highlight w:val="none"/>
        </w:rPr>
        <w:t xml:space="preserve">    2.落实政府采购政策需满足的资格要求：</w:t>
      </w:r>
    </w:p>
    <w:p>
      <w:pPr>
        <w:spacing w:line="360" w:lineRule="auto"/>
        <w:ind w:firstLine="480" w:firstLineChars="200"/>
        <w:rPr>
          <w:rFonts w:ascii="仿宋" w:hAnsi="仿宋" w:eastAsia="仿宋" w:cs="仿宋"/>
          <w:color w:val="auto"/>
          <w:sz w:val="24"/>
          <w:highlight w:val="none"/>
        </w:rPr>
      </w:pPr>
      <w:r>
        <w:rPr>
          <w:rFonts w:hint="eastAsia" w:ascii="Wingdings" w:hAnsi="Wingdings" w:eastAsia="仿宋" w:cs="仿宋"/>
          <w:color w:val="auto"/>
          <w:kern w:val="0"/>
          <w:sz w:val="24"/>
          <w:highlight w:val="none"/>
        </w:rPr>
        <w:t>þ</w:t>
      </w:r>
      <w:r>
        <w:rPr>
          <w:rFonts w:hint="eastAsia" w:ascii="仿宋" w:hAnsi="仿宋" w:eastAsia="仿宋" w:cs="仿宋"/>
          <w:color w:val="auto"/>
          <w:kern w:val="0"/>
          <w:sz w:val="24"/>
          <w:highlight w:val="none"/>
        </w:rPr>
        <w:t>专</w:t>
      </w:r>
      <w:r>
        <w:rPr>
          <w:rFonts w:hint="eastAsia" w:ascii="仿宋" w:hAnsi="仿宋" w:eastAsia="仿宋" w:cs="仿宋"/>
          <w:color w:val="auto"/>
          <w:sz w:val="24"/>
          <w:highlight w:val="none"/>
        </w:rPr>
        <w:t>门面向中小企业</w:t>
      </w:r>
    </w:p>
    <w:p>
      <w:pPr>
        <w:spacing w:line="360" w:lineRule="auto"/>
        <w:ind w:firstLine="897" w:firstLineChars="374"/>
        <w:rPr>
          <w:rFonts w:ascii="仿宋" w:hAnsi="仿宋" w:eastAsia="仿宋" w:cs="仿宋"/>
          <w:color w:val="auto"/>
          <w:sz w:val="24"/>
          <w:highlight w:val="none"/>
        </w:rPr>
      </w:pPr>
      <w:r>
        <w:rPr>
          <w:rFonts w:hint="eastAsia" w:ascii="Wingdings" w:hAnsi="Wingdings" w:eastAsia="仿宋" w:cs="仿宋"/>
          <w:color w:val="auto"/>
          <w:kern w:val="0"/>
          <w:sz w:val="24"/>
          <w:highlight w:val="none"/>
        </w:rPr>
        <w:t>þ</w:t>
      </w:r>
      <w:r>
        <w:rPr>
          <w:rFonts w:hint="eastAsia" w:ascii="仿宋" w:hAnsi="仿宋" w:eastAsia="仿宋" w:cs="仿宋"/>
          <w:color w:val="auto"/>
          <w:sz w:val="24"/>
          <w:highlight w:val="none"/>
        </w:rPr>
        <w:t>服务全部由符合政策要求的中小企业承接，提供中小企业声明函；</w:t>
      </w:r>
    </w:p>
    <w:p>
      <w:pPr>
        <w:spacing w:line="360" w:lineRule="auto"/>
        <w:ind w:firstLine="897" w:firstLineChars="374"/>
        <w:rPr>
          <w:rFonts w:ascii="仿宋" w:hAnsi="仿宋" w:eastAsia="仿宋" w:cs="仿宋"/>
          <w:color w:val="auto"/>
          <w:highlight w:val="none"/>
        </w:rPr>
      </w:pPr>
      <w:r>
        <w:rPr>
          <w:rFonts w:hint="eastAsia" w:ascii="仿宋" w:hAnsi="仿宋" w:eastAsia="仿宋" w:cs="仿宋"/>
          <w:color w:val="auto"/>
          <w:kern w:val="0"/>
          <w:sz w:val="24"/>
          <w:highlight w:val="none"/>
        </w:rPr>
        <w:t>☐</w:t>
      </w:r>
      <w:r>
        <w:rPr>
          <w:rFonts w:hint="eastAsia" w:ascii="仿宋" w:hAnsi="仿宋" w:eastAsia="仿宋" w:cs="仿宋"/>
          <w:color w:val="auto"/>
          <w:sz w:val="24"/>
          <w:highlight w:val="none"/>
        </w:rPr>
        <w:t>服务全部由符合政策要求的小微企业承接，提供中小企业声明函；</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kern w:val="0"/>
          <w:sz w:val="24"/>
          <w:highlight w:val="none"/>
        </w:rPr>
        <w:t>☐</w:t>
      </w:r>
      <w:r>
        <w:rPr>
          <w:rFonts w:hint="eastAsia" w:ascii="仿宋" w:hAnsi="仿宋" w:eastAsia="仿宋" w:cs="仿宋"/>
          <w:color w:val="auto"/>
          <w:sz w:val="24"/>
          <w:highlight w:val="none"/>
        </w:rPr>
        <w:t>要求以联合体形式参加，提供联合协议和中小企业声明函，联合协议中中小企业合同金额应当达到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%，小微企业合同金额应当达到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r>
        <w:rPr>
          <w:rFonts w:hint="eastAsia" w:ascii="仿宋" w:hAnsi="仿宋" w:eastAsia="仿宋" w:cs="仿宋"/>
          <w:color w:val="auto"/>
          <w:spacing w:val="8"/>
          <w:kern w:val="0"/>
          <w:sz w:val="24"/>
          <w:highlight w:val="none"/>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仿宋" w:hAnsi="仿宋" w:eastAsia="仿宋" w:cs="仿宋"/>
          <w:color w:val="auto"/>
          <w:sz w:val="24"/>
          <w:highlight w:val="none"/>
        </w:rPr>
        <w:t>；</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kern w:val="0"/>
          <w:sz w:val="24"/>
          <w:highlight w:val="none"/>
        </w:rPr>
        <w:t>☐</w:t>
      </w:r>
      <w:r>
        <w:rPr>
          <w:rFonts w:hint="eastAsia" w:ascii="仿宋" w:hAnsi="仿宋" w:eastAsia="仿宋" w:cs="仿宋"/>
          <w:color w:val="auto"/>
          <w:sz w:val="24"/>
          <w:highlight w:val="none"/>
        </w:rPr>
        <w:t>要求合同分包，提供分包意向协议和中小企业声明函，分包意向协议中中小企业合同金额应当达到达到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，小微企业合同金额应当达到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w:t>
      </w:r>
      <w:r>
        <w:rPr>
          <w:rFonts w:hint="eastAsia" w:ascii="仿宋" w:hAnsi="仿宋" w:eastAsia="仿宋" w:cs="仿宋"/>
          <w:color w:val="auto"/>
          <w:spacing w:val="8"/>
          <w:kern w:val="0"/>
          <w:sz w:val="24"/>
          <w:highlight w:val="none"/>
        </w:rPr>
        <w:t>如果供应商本身提供所有标的均由中小企业制造、承建或承接，并相应达到了前述比例要求，视同符合了资格条件，无需再向中小企业分包，无需提供分包意向协议</w:t>
      </w:r>
      <w:r>
        <w:rPr>
          <w:rFonts w:hint="eastAsia" w:ascii="仿宋" w:hAnsi="仿宋" w:eastAsia="仿宋" w:cs="仿宋"/>
          <w:color w:val="auto"/>
          <w:sz w:val="24"/>
          <w:highlight w:val="none"/>
        </w:rPr>
        <w:t>；</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4.本项目的特定资格要求：</w:t>
      </w:r>
      <w:r>
        <w:rPr>
          <w:rFonts w:hint="eastAsia" w:ascii="仿宋" w:hAnsi="仿宋" w:eastAsia="仿宋" w:cs="仿宋"/>
          <w:b/>
          <w:bCs/>
          <w:color w:val="auto"/>
          <w:sz w:val="24"/>
          <w:highlight w:val="none"/>
        </w:rPr>
        <w:t>建筑装饰工程设计专项乙级及以上资质、建筑装修装饰工程专业承包贰级及以上资质、企业安全生产许可证；</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s="仿宋"/>
          <w:color w:val="auto"/>
          <w:sz w:val="24"/>
          <w:highlight w:val="none"/>
        </w:rPr>
        <w:t>5.单位负责人为同一人或者存在直接控股、管理关系的不同供应商，不得参加同一合同项下的政府采购活动；为采购项目提供整体设计、规范编制或者项目管理、监理、检测等服务后不得再参加该采购项目的其他采购活动。</w:t>
      </w:r>
      <w:bookmarkEnd w:id="13"/>
    </w:p>
    <w:p>
      <w:pPr>
        <w:snapToGrid w:val="0"/>
        <w:spacing w:line="360" w:lineRule="auto"/>
        <w:ind w:firstLine="482" w:firstLineChars="200"/>
        <w:rPr>
          <w:rFonts w:ascii="仿宋" w:hAnsi="仿宋" w:eastAsia="仿宋"/>
          <w:b/>
          <w:color w:val="auto"/>
          <w:sz w:val="24"/>
          <w:highlight w:val="none"/>
        </w:rPr>
      </w:pPr>
      <w:r>
        <w:rPr>
          <w:rFonts w:hint="eastAsia" w:ascii="仿宋" w:hAnsi="仿宋" w:eastAsia="仿宋"/>
          <w:b/>
          <w:color w:val="auto"/>
          <w:sz w:val="24"/>
          <w:highlight w:val="none"/>
        </w:rPr>
        <w:t>三、获取采购文件</w:t>
      </w:r>
      <w:r>
        <w:rPr>
          <w:rFonts w:ascii="仿宋" w:hAnsi="仿宋" w:eastAsia="仿宋"/>
          <w:b/>
          <w:color w:val="auto"/>
          <w:sz w:val="24"/>
          <w:highlight w:val="none"/>
        </w:rPr>
        <w:t xml:space="preserve"> </w:t>
      </w:r>
    </w:p>
    <w:p>
      <w:pPr>
        <w:snapToGrid w:val="0"/>
        <w:spacing w:line="360" w:lineRule="auto"/>
        <w:ind w:firstLine="482" w:firstLineChars="200"/>
        <w:rPr>
          <w:rFonts w:ascii="仿宋" w:hAnsi="仿宋" w:eastAsia="仿宋"/>
          <w:color w:val="auto"/>
          <w:sz w:val="24"/>
          <w:highlight w:val="none"/>
        </w:rPr>
      </w:pPr>
      <w:r>
        <w:rPr>
          <w:rFonts w:hint="eastAsia" w:ascii="仿宋" w:hAnsi="仿宋" w:eastAsia="仿宋"/>
          <w:b/>
          <w:color w:val="auto"/>
          <w:sz w:val="24"/>
          <w:highlight w:val="none"/>
        </w:rPr>
        <w:t>时间：</w:t>
      </w:r>
      <w:r>
        <w:rPr>
          <w:rFonts w:ascii="仿宋" w:hAnsi="仿宋" w:eastAsia="仿宋"/>
          <w:color w:val="auto"/>
          <w:sz w:val="24"/>
          <w:highlight w:val="none"/>
        </w:rPr>
        <w:t>/至</w:t>
      </w:r>
      <w:r>
        <w:rPr>
          <w:rFonts w:hint="eastAsia" w:ascii="仿宋" w:hAnsi="仿宋" w:eastAsia="仿宋"/>
          <w:color w:val="auto"/>
          <w:sz w:val="24"/>
          <w:highlight w:val="none"/>
        </w:rPr>
        <w:t>2023</w:t>
      </w:r>
      <w:r>
        <w:rPr>
          <w:rFonts w:ascii="仿宋" w:hAnsi="仿宋" w:eastAsia="仿宋"/>
          <w:color w:val="auto"/>
          <w:sz w:val="24"/>
          <w:highlight w:val="none"/>
        </w:rPr>
        <w:t>年</w:t>
      </w:r>
      <w:r>
        <w:rPr>
          <w:rFonts w:hint="eastAsia" w:ascii="仿宋" w:hAnsi="仿宋" w:eastAsia="仿宋"/>
          <w:color w:val="auto"/>
          <w:sz w:val="24"/>
          <w:highlight w:val="none"/>
          <w:lang w:val="en-US" w:eastAsia="zh-CN"/>
        </w:rPr>
        <w:t>04</w:t>
      </w:r>
      <w:r>
        <w:rPr>
          <w:rFonts w:ascii="仿宋" w:hAnsi="仿宋" w:eastAsia="仿宋"/>
          <w:color w:val="auto"/>
          <w:sz w:val="24"/>
          <w:highlight w:val="none"/>
        </w:rPr>
        <w:t>月</w:t>
      </w:r>
      <w:r>
        <w:rPr>
          <w:rFonts w:hint="eastAsia" w:ascii="仿宋" w:hAnsi="仿宋" w:eastAsia="仿宋"/>
          <w:color w:val="auto"/>
          <w:sz w:val="24"/>
          <w:highlight w:val="none"/>
          <w:lang w:val="en-US" w:eastAsia="zh-CN"/>
        </w:rPr>
        <w:t>03</w:t>
      </w:r>
      <w:r>
        <w:rPr>
          <w:rFonts w:ascii="仿宋" w:hAnsi="仿宋" w:eastAsia="仿宋"/>
          <w:color w:val="auto"/>
          <w:sz w:val="24"/>
          <w:highlight w:val="none"/>
        </w:rPr>
        <w:t>日</w:t>
      </w:r>
      <w:r>
        <w:rPr>
          <w:rFonts w:hint="eastAsia" w:ascii="仿宋" w:hAnsi="仿宋" w:eastAsia="仿宋"/>
          <w:color w:val="auto"/>
          <w:sz w:val="24"/>
          <w:highlight w:val="none"/>
        </w:rPr>
        <w:t>，每天上午</w:t>
      </w:r>
      <w:r>
        <w:rPr>
          <w:rFonts w:ascii="仿宋" w:hAnsi="仿宋" w:eastAsia="仿宋"/>
          <w:color w:val="auto"/>
          <w:sz w:val="24"/>
          <w:highlight w:val="none"/>
        </w:rPr>
        <w:t xml:space="preserve">00:00至12:00 </w:t>
      </w:r>
      <w:r>
        <w:rPr>
          <w:rFonts w:hint="eastAsia" w:ascii="仿宋" w:hAnsi="仿宋" w:eastAsia="仿宋"/>
          <w:color w:val="auto"/>
          <w:sz w:val="24"/>
          <w:highlight w:val="none"/>
        </w:rPr>
        <w:t>，下午</w:t>
      </w:r>
      <w:r>
        <w:rPr>
          <w:rFonts w:ascii="仿宋" w:hAnsi="仿宋" w:eastAsia="仿宋"/>
          <w:color w:val="auto"/>
          <w:sz w:val="24"/>
          <w:highlight w:val="none"/>
        </w:rPr>
        <w:t>12:00至23:59（北京时间，线上获取法定节假日均可，线下获取文件法定节假日除外）</w:t>
      </w:r>
    </w:p>
    <w:p>
      <w:pPr>
        <w:snapToGrid w:val="0"/>
        <w:spacing w:line="360" w:lineRule="auto"/>
        <w:ind w:firstLine="482" w:firstLineChars="200"/>
        <w:rPr>
          <w:rFonts w:ascii="仿宋" w:hAnsi="仿宋" w:eastAsia="仿宋"/>
          <w:color w:val="auto"/>
          <w:sz w:val="24"/>
          <w:highlight w:val="none"/>
        </w:rPr>
      </w:pPr>
      <w:r>
        <w:rPr>
          <w:rFonts w:hint="eastAsia" w:ascii="仿宋" w:hAnsi="仿宋" w:eastAsia="仿宋"/>
          <w:b/>
          <w:color w:val="auto"/>
          <w:sz w:val="24"/>
          <w:highlight w:val="none"/>
        </w:rPr>
        <w:t>地点（网址）：</w:t>
      </w:r>
      <w:r>
        <w:rPr>
          <w:rFonts w:hint="eastAsia" w:ascii="仿宋" w:hAnsi="仿宋" w:eastAsia="仿宋"/>
          <w:color w:val="auto"/>
          <w:sz w:val="24"/>
          <w:highlight w:val="none"/>
        </w:rPr>
        <w:t>政采云平台（</w:t>
      </w:r>
      <w:r>
        <w:rPr>
          <w:rFonts w:ascii="仿宋" w:hAnsi="仿宋" w:eastAsia="仿宋"/>
          <w:color w:val="auto"/>
          <w:sz w:val="24"/>
          <w:highlight w:val="none"/>
        </w:rPr>
        <w:t xml:space="preserve">https://www.zcygov.cn/） </w:t>
      </w:r>
    </w:p>
    <w:p>
      <w:pPr>
        <w:snapToGrid w:val="0"/>
        <w:spacing w:line="360" w:lineRule="auto"/>
        <w:ind w:firstLine="482" w:firstLineChars="200"/>
        <w:rPr>
          <w:rFonts w:ascii="仿宋" w:hAnsi="仿宋" w:eastAsia="仿宋"/>
          <w:color w:val="auto"/>
          <w:sz w:val="24"/>
          <w:highlight w:val="none"/>
        </w:rPr>
      </w:pPr>
      <w:r>
        <w:rPr>
          <w:rFonts w:hint="eastAsia" w:ascii="仿宋" w:hAnsi="仿宋" w:eastAsia="仿宋"/>
          <w:b/>
          <w:color w:val="auto"/>
          <w:sz w:val="24"/>
          <w:highlight w:val="none"/>
        </w:rPr>
        <w:t>方式：</w:t>
      </w:r>
      <w:r>
        <w:rPr>
          <w:rFonts w:hint="eastAsia" w:ascii="仿宋" w:hAnsi="仿宋" w:eastAsia="仿宋"/>
          <w:color w:val="auto"/>
          <w:sz w:val="24"/>
          <w:highlight w:val="none"/>
        </w:rPr>
        <w:t>供应商登录政采云平台</w:t>
      </w:r>
      <w:r>
        <w:rPr>
          <w:rFonts w:ascii="仿宋" w:hAnsi="仿宋" w:eastAsia="仿宋"/>
          <w:color w:val="auto"/>
          <w:sz w:val="24"/>
          <w:highlight w:val="none"/>
        </w:rPr>
        <w:t xml:space="preserve">https://www.zcygov.cn/在线申请获取采购文件（进入“项目采购”应用，在获取采购文件菜单中选择项目，申请获取采购文件）。 </w:t>
      </w:r>
    </w:p>
    <w:p>
      <w:pPr>
        <w:snapToGrid w:val="0"/>
        <w:spacing w:line="360" w:lineRule="auto"/>
        <w:ind w:firstLine="482" w:firstLineChars="200"/>
        <w:rPr>
          <w:rFonts w:ascii="仿宋" w:hAnsi="仿宋" w:eastAsia="仿宋"/>
          <w:color w:val="auto"/>
          <w:sz w:val="24"/>
          <w:highlight w:val="none"/>
        </w:rPr>
      </w:pPr>
      <w:r>
        <w:rPr>
          <w:rFonts w:hint="eastAsia" w:ascii="仿宋" w:hAnsi="仿宋" w:eastAsia="仿宋"/>
          <w:b/>
          <w:color w:val="auto"/>
          <w:sz w:val="24"/>
          <w:highlight w:val="none"/>
        </w:rPr>
        <w:t>售价（元）：</w:t>
      </w:r>
      <w:r>
        <w:rPr>
          <w:rFonts w:ascii="仿宋" w:hAnsi="仿宋" w:eastAsia="仿宋"/>
          <w:color w:val="auto"/>
          <w:sz w:val="24"/>
          <w:highlight w:val="none"/>
        </w:rPr>
        <w:t xml:space="preserve">0 </w:t>
      </w:r>
      <w:r>
        <w:rPr>
          <w:rFonts w:ascii="仿宋" w:hAnsi="仿宋" w:eastAsia="仿宋"/>
          <w:color w:val="auto"/>
          <w:sz w:val="24"/>
          <w:highlight w:val="none"/>
        </w:rPr>
        <w:tab/>
      </w:r>
    </w:p>
    <w:p>
      <w:pPr>
        <w:snapToGrid w:val="0"/>
        <w:spacing w:line="360" w:lineRule="auto"/>
        <w:ind w:firstLine="482" w:firstLineChars="200"/>
        <w:rPr>
          <w:rFonts w:ascii="仿宋" w:hAnsi="仿宋" w:eastAsia="仿宋"/>
          <w:b/>
          <w:color w:val="auto"/>
          <w:sz w:val="24"/>
          <w:highlight w:val="none"/>
        </w:rPr>
      </w:pPr>
      <w:r>
        <w:rPr>
          <w:rFonts w:hint="eastAsia" w:ascii="仿宋" w:hAnsi="仿宋" w:eastAsia="仿宋"/>
          <w:b/>
          <w:color w:val="auto"/>
          <w:sz w:val="24"/>
          <w:highlight w:val="none"/>
        </w:rPr>
        <w:t>四、提交投标文件截止时间、开标时间和地点</w:t>
      </w:r>
    </w:p>
    <w:p>
      <w:pPr>
        <w:snapToGrid w:val="0"/>
        <w:spacing w:line="360" w:lineRule="auto"/>
        <w:ind w:firstLine="482" w:firstLineChars="200"/>
        <w:rPr>
          <w:rFonts w:ascii="仿宋" w:hAnsi="仿宋" w:eastAsia="仿宋"/>
          <w:color w:val="auto"/>
          <w:sz w:val="24"/>
          <w:highlight w:val="none"/>
        </w:rPr>
      </w:pPr>
      <w:r>
        <w:rPr>
          <w:rFonts w:hint="eastAsia" w:ascii="仿宋" w:hAnsi="仿宋" w:eastAsia="仿宋"/>
          <w:b/>
          <w:color w:val="auto"/>
          <w:sz w:val="24"/>
          <w:highlight w:val="none"/>
        </w:rPr>
        <w:t>提交投标文件截止时间：</w:t>
      </w:r>
      <w:r>
        <w:rPr>
          <w:rFonts w:hint="eastAsia" w:ascii="仿宋" w:hAnsi="仿宋" w:eastAsia="仿宋"/>
          <w:color w:val="auto"/>
          <w:sz w:val="24"/>
          <w:highlight w:val="none"/>
        </w:rPr>
        <w:t>2023</w:t>
      </w:r>
      <w:r>
        <w:rPr>
          <w:rFonts w:ascii="仿宋" w:hAnsi="仿宋" w:eastAsia="仿宋"/>
          <w:color w:val="auto"/>
          <w:sz w:val="24"/>
          <w:highlight w:val="none"/>
        </w:rPr>
        <w:t>年</w:t>
      </w:r>
      <w:r>
        <w:rPr>
          <w:rFonts w:hint="eastAsia" w:ascii="仿宋" w:hAnsi="仿宋" w:eastAsia="仿宋"/>
          <w:color w:val="auto"/>
          <w:sz w:val="24"/>
          <w:highlight w:val="none"/>
          <w:lang w:val="en-US" w:eastAsia="zh-CN"/>
        </w:rPr>
        <w:t>04</w:t>
      </w:r>
      <w:r>
        <w:rPr>
          <w:rFonts w:hint="eastAsia" w:ascii="仿宋" w:hAnsi="仿宋" w:eastAsia="仿宋"/>
          <w:color w:val="auto"/>
          <w:sz w:val="24"/>
          <w:highlight w:val="none"/>
        </w:rPr>
        <w:t>月</w:t>
      </w:r>
      <w:r>
        <w:rPr>
          <w:rFonts w:hint="eastAsia" w:ascii="仿宋" w:hAnsi="仿宋" w:eastAsia="仿宋"/>
          <w:color w:val="auto"/>
          <w:sz w:val="24"/>
          <w:highlight w:val="none"/>
          <w:lang w:val="en-US" w:eastAsia="zh-CN"/>
        </w:rPr>
        <w:t>03</w:t>
      </w:r>
      <w:r>
        <w:rPr>
          <w:rFonts w:hint="eastAsia" w:ascii="仿宋" w:hAnsi="仿宋" w:eastAsia="仿宋"/>
          <w:color w:val="auto"/>
          <w:sz w:val="24"/>
          <w:highlight w:val="none"/>
        </w:rPr>
        <w:t>日</w:t>
      </w:r>
      <w:r>
        <w:rPr>
          <w:rFonts w:hint="eastAsia" w:ascii="仿宋" w:hAnsi="仿宋" w:eastAsia="仿宋"/>
          <w:color w:val="auto"/>
          <w:sz w:val="24"/>
          <w:highlight w:val="none"/>
          <w:lang w:val="en-US" w:eastAsia="zh-CN"/>
        </w:rPr>
        <w:t>13</w:t>
      </w:r>
      <w:r>
        <w:rPr>
          <w:rFonts w:hint="eastAsia" w:ascii="仿宋" w:hAnsi="仿宋" w:eastAsia="仿宋"/>
          <w:color w:val="auto"/>
          <w:sz w:val="24"/>
          <w:highlight w:val="none"/>
        </w:rPr>
        <w:t>点30分</w:t>
      </w:r>
      <w:r>
        <w:rPr>
          <w:rFonts w:hint="eastAsia" w:ascii="仿宋" w:hAnsi="仿宋" w:eastAsia="仿宋"/>
          <w:bCs/>
          <w:color w:val="auto"/>
          <w:sz w:val="24"/>
          <w:highlight w:val="none"/>
        </w:rPr>
        <w:t xml:space="preserve"> </w:t>
      </w:r>
      <w:r>
        <w:rPr>
          <w:rFonts w:hint="eastAsia" w:ascii="仿宋" w:hAnsi="仿宋" w:eastAsia="仿宋"/>
          <w:color w:val="auto"/>
          <w:sz w:val="24"/>
          <w:highlight w:val="none"/>
        </w:rPr>
        <w:t>（北京时间）</w:t>
      </w:r>
    </w:p>
    <w:p>
      <w:pPr>
        <w:snapToGrid w:val="0"/>
        <w:spacing w:line="360" w:lineRule="auto"/>
        <w:ind w:firstLine="482" w:firstLineChars="200"/>
        <w:rPr>
          <w:rFonts w:ascii="仿宋" w:hAnsi="仿宋" w:eastAsia="仿宋"/>
          <w:b/>
          <w:color w:val="auto"/>
          <w:sz w:val="24"/>
          <w:highlight w:val="none"/>
        </w:rPr>
      </w:pPr>
      <w:r>
        <w:rPr>
          <w:rFonts w:hint="eastAsia" w:ascii="仿宋" w:hAnsi="仿宋" w:eastAsia="仿宋"/>
          <w:b/>
          <w:color w:val="auto"/>
          <w:sz w:val="24"/>
          <w:highlight w:val="none"/>
        </w:rPr>
        <w:t>投标地点（网址）：</w:t>
      </w:r>
      <w:r>
        <w:rPr>
          <w:rFonts w:hint="eastAsia" w:ascii="仿宋" w:hAnsi="仿宋" w:eastAsia="仿宋"/>
          <w:color w:val="auto"/>
          <w:sz w:val="24"/>
          <w:highlight w:val="none"/>
        </w:rPr>
        <w:t>政采云平台（</w:t>
      </w:r>
      <w:r>
        <w:rPr>
          <w:rFonts w:ascii="仿宋" w:hAnsi="仿宋" w:eastAsia="仿宋"/>
          <w:color w:val="auto"/>
          <w:sz w:val="24"/>
          <w:highlight w:val="none"/>
        </w:rPr>
        <w:t xml:space="preserve">https://www.zcygov.cn/） </w:t>
      </w:r>
    </w:p>
    <w:p>
      <w:pPr>
        <w:snapToGrid w:val="0"/>
        <w:spacing w:line="360" w:lineRule="auto"/>
        <w:ind w:firstLine="482" w:firstLineChars="200"/>
        <w:rPr>
          <w:rFonts w:ascii="仿宋" w:hAnsi="仿宋" w:eastAsia="仿宋"/>
          <w:bCs/>
          <w:color w:val="auto"/>
          <w:sz w:val="24"/>
          <w:highlight w:val="none"/>
          <w:u w:val="single"/>
        </w:rPr>
      </w:pPr>
      <w:r>
        <w:rPr>
          <w:rFonts w:hint="eastAsia" w:ascii="仿宋" w:hAnsi="仿宋" w:eastAsia="仿宋"/>
          <w:b/>
          <w:color w:val="auto"/>
          <w:sz w:val="24"/>
          <w:highlight w:val="none"/>
        </w:rPr>
        <w:t>开标时间：</w:t>
      </w:r>
      <w:r>
        <w:rPr>
          <w:rFonts w:hint="eastAsia" w:ascii="仿宋" w:hAnsi="仿宋" w:eastAsia="仿宋"/>
          <w:color w:val="auto"/>
          <w:sz w:val="24"/>
          <w:highlight w:val="none"/>
        </w:rPr>
        <w:t>2023</w:t>
      </w:r>
      <w:r>
        <w:rPr>
          <w:rFonts w:ascii="仿宋" w:hAnsi="仿宋" w:eastAsia="仿宋"/>
          <w:color w:val="auto"/>
          <w:sz w:val="24"/>
          <w:highlight w:val="none"/>
        </w:rPr>
        <w:t>年</w:t>
      </w:r>
      <w:r>
        <w:rPr>
          <w:rFonts w:hint="eastAsia" w:ascii="仿宋" w:hAnsi="仿宋" w:eastAsia="仿宋"/>
          <w:color w:val="auto"/>
          <w:sz w:val="24"/>
          <w:highlight w:val="none"/>
          <w:lang w:val="en-US" w:eastAsia="zh-CN"/>
        </w:rPr>
        <w:t>04</w:t>
      </w:r>
      <w:r>
        <w:rPr>
          <w:rFonts w:hint="eastAsia" w:ascii="仿宋" w:hAnsi="仿宋" w:eastAsia="仿宋"/>
          <w:color w:val="auto"/>
          <w:sz w:val="24"/>
          <w:highlight w:val="none"/>
        </w:rPr>
        <w:t>月</w:t>
      </w:r>
      <w:r>
        <w:rPr>
          <w:rFonts w:hint="eastAsia" w:ascii="仿宋" w:hAnsi="仿宋" w:eastAsia="仿宋"/>
          <w:color w:val="auto"/>
          <w:sz w:val="24"/>
          <w:highlight w:val="none"/>
          <w:lang w:val="en-US" w:eastAsia="zh-CN"/>
        </w:rPr>
        <w:t>03</w:t>
      </w:r>
      <w:r>
        <w:rPr>
          <w:rFonts w:hint="eastAsia" w:ascii="仿宋" w:hAnsi="仿宋" w:eastAsia="仿宋"/>
          <w:color w:val="auto"/>
          <w:sz w:val="24"/>
          <w:highlight w:val="none"/>
        </w:rPr>
        <w:t>日</w:t>
      </w:r>
      <w:r>
        <w:rPr>
          <w:rFonts w:hint="eastAsia" w:ascii="仿宋" w:hAnsi="仿宋" w:eastAsia="仿宋"/>
          <w:color w:val="auto"/>
          <w:sz w:val="24"/>
          <w:highlight w:val="none"/>
          <w:lang w:val="en-US" w:eastAsia="zh-CN"/>
        </w:rPr>
        <w:t>13</w:t>
      </w:r>
      <w:r>
        <w:rPr>
          <w:rFonts w:hint="eastAsia" w:ascii="仿宋" w:hAnsi="仿宋" w:eastAsia="仿宋"/>
          <w:color w:val="auto"/>
          <w:sz w:val="24"/>
          <w:highlight w:val="none"/>
        </w:rPr>
        <w:t>点30分</w:t>
      </w:r>
      <w:r>
        <w:rPr>
          <w:rFonts w:hint="eastAsia" w:ascii="仿宋" w:hAnsi="仿宋" w:eastAsia="仿宋"/>
          <w:bCs/>
          <w:color w:val="auto"/>
          <w:sz w:val="24"/>
          <w:highlight w:val="none"/>
        </w:rPr>
        <w:t xml:space="preserve"> </w:t>
      </w:r>
    </w:p>
    <w:p>
      <w:pPr>
        <w:tabs>
          <w:tab w:val="left" w:pos="900"/>
        </w:tabs>
        <w:snapToGrid w:val="0"/>
        <w:spacing w:line="360" w:lineRule="auto"/>
        <w:ind w:firstLine="482" w:firstLineChars="200"/>
        <w:rPr>
          <w:rFonts w:ascii="仿宋" w:hAnsi="仿宋" w:eastAsia="仿宋" w:cs="仿宋"/>
          <w:b/>
          <w:bCs/>
          <w:color w:val="auto"/>
          <w:kern w:val="0"/>
          <w:sz w:val="24"/>
          <w:highlight w:val="none"/>
        </w:rPr>
      </w:pPr>
      <w:r>
        <w:rPr>
          <w:rFonts w:hint="eastAsia" w:ascii="仿宋" w:hAnsi="仿宋" w:eastAsia="仿宋" w:cs="仿宋"/>
          <w:b/>
          <w:bCs/>
          <w:color w:val="auto"/>
          <w:sz w:val="24"/>
          <w:highlight w:val="none"/>
        </w:rPr>
        <w:t>开标地点（网址）：</w:t>
      </w:r>
      <w:r>
        <w:rPr>
          <w:rFonts w:hint="eastAsia" w:ascii="仿宋" w:hAnsi="仿宋" w:eastAsia="仿宋"/>
          <w:color w:val="auto"/>
          <w:sz w:val="24"/>
          <w:highlight w:val="none"/>
        </w:rPr>
        <w:t>政采云平台（</w:t>
      </w:r>
      <w:r>
        <w:rPr>
          <w:rFonts w:ascii="仿宋" w:hAnsi="仿宋" w:eastAsia="仿宋"/>
          <w:color w:val="auto"/>
          <w:sz w:val="24"/>
          <w:highlight w:val="none"/>
        </w:rPr>
        <w:t>https://www.zcygov.cn/）</w:t>
      </w:r>
      <w:r>
        <w:rPr>
          <w:rFonts w:hint="eastAsia" w:ascii="仿宋" w:hAnsi="仿宋" w:eastAsia="仿宋"/>
          <w:color w:val="auto"/>
          <w:sz w:val="24"/>
          <w:highlight w:val="none"/>
        </w:rPr>
        <w:t>（杭州市临平区临平街道河南埭路108号临平新天地3号楼301室</w:t>
      </w:r>
      <w:bookmarkStart w:id="14" w:name="_Toc20890"/>
      <w:bookmarkStart w:id="15" w:name="_Toc10486"/>
      <w:bookmarkStart w:id="16" w:name="_Toc29045"/>
      <w:r>
        <w:rPr>
          <w:rFonts w:hint="eastAsia" w:ascii="仿宋" w:hAnsi="仿宋" w:eastAsia="仿宋"/>
          <w:color w:val="auto"/>
          <w:sz w:val="24"/>
          <w:highlight w:val="none"/>
        </w:rPr>
        <w:t>）</w:t>
      </w:r>
    </w:p>
    <w:p>
      <w:pPr>
        <w:tabs>
          <w:tab w:val="left" w:pos="900"/>
        </w:tabs>
        <w:snapToGrid w:val="0"/>
        <w:spacing w:line="360" w:lineRule="auto"/>
        <w:ind w:firstLine="482" w:firstLineChars="200"/>
        <w:rPr>
          <w:rFonts w:ascii="仿宋" w:hAnsi="仿宋" w:eastAsia="仿宋" w:cs="宋体"/>
          <w:b/>
          <w:bCs/>
          <w:color w:val="auto"/>
          <w:sz w:val="24"/>
          <w:highlight w:val="none"/>
        </w:rPr>
      </w:pPr>
      <w:r>
        <w:rPr>
          <w:rFonts w:hint="eastAsia" w:ascii="仿宋" w:hAnsi="仿宋" w:eastAsia="仿宋" w:cs="宋体"/>
          <w:b/>
          <w:bCs/>
          <w:color w:val="auto"/>
          <w:sz w:val="24"/>
          <w:highlight w:val="none"/>
        </w:rPr>
        <w:t>五、采购意向公开链接</w:t>
      </w:r>
      <w:bookmarkEnd w:id="14"/>
      <w:bookmarkEnd w:id="15"/>
      <w:bookmarkEnd w:id="16"/>
    </w:p>
    <w:p>
      <w:pPr>
        <w:snapToGrid w:val="0"/>
        <w:spacing w:line="360" w:lineRule="auto"/>
        <w:ind w:firstLine="420" w:firstLineChars="200"/>
        <w:rPr>
          <w:color w:val="auto"/>
          <w:highlight w:val="none"/>
        </w:rPr>
      </w:pPr>
      <w:r>
        <w:rPr>
          <w:color w:val="auto"/>
          <w:highlight w:val="none"/>
        </w:rPr>
        <w:fldChar w:fldCharType="begin"/>
      </w:r>
      <w:r>
        <w:rPr>
          <w:color w:val="auto"/>
          <w:highlight w:val="none"/>
        </w:rPr>
        <w:instrText xml:space="preserve"> HYPERLINK "https://zfcg.czt.zj.gov.cn/innerUsed_noticeDetails/index.html?noticeId=8998706&amp;utm=web-government-front.49399a16.0.0.76c4abc070b711ed970d198012b461a2" </w:instrText>
      </w:r>
      <w:r>
        <w:rPr>
          <w:color w:val="auto"/>
          <w:highlight w:val="none"/>
        </w:rPr>
        <w:fldChar w:fldCharType="separate"/>
      </w:r>
      <w:r>
        <w:rPr>
          <w:rStyle w:val="102"/>
          <w:rFonts w:ascii="Times New Roman" w:hAnsi="Times New Roman" w:eastAsia="宋体" w:cs="Times New Roman"/>
          <w:snapToGrid/>
          <w:color w:val="auto"/>
          <w:kern w:val="2"/>
          <w:sz w:val="21"/>
          <w:szCs w:val="24"/>
          <w:highlight w:val="none"/>
        </w:rPr>
        <w:t>https://zfcg.czt.zj.gov.cn/innerUsed_noticeDetails/index.html?noticeId=8998706&amp;utm=web-government-front.49399a16.0.0.76c4abc070b711ed970d198012b461a2</w:t>
      </w:r>
      <w:r>
        <w:rPr>
          <w:rStyle w:val="102"/>
          <w:rFonts w:ascii="Times New Roman" w:hAnsi="Times New Roman" w:eastAsia="宋体" w:cs="Times New Roman"/>
          <w:snapToGrid/>
          <w:color w:val="auto"/>
          <w:kern w:val="2"/>
          <w:sz w:val="21"/>
          <w:szCs w:val="24"/>
          <w:highlight w:val="none"/>
        </w:rPr>
        <w:fldChar w:fldCharType="end"/>
      </w:r>
    </w:p>
    <w:p>
      <w:pPr>
        <w:snapToGrid w:val="0"/>
        <w:spacing w:line="360" w:lineRule="auto"/>
        <w:ind w:firstLine="482" w:firstLineChars="200"/>
        <w:rPr>
          <w:rFonts w:ascii="仿宋" w:hAnsi="仿宋" w:eastAsia="仿宋"/>
          <w:color w:val="auto"/>
          <w:sz w:val="24"/>
          <w:highlight w:val="none"/>
        </w:rPr>
      </w:pPr>
      <w:r>
        <w:rPr>
          <w:rFonts w:hint="eastAsia" w:ascii="仿宋" w:hAnsi="仿宋" w:eastAsia="仿宋"/>
          <w:b/>
          <w:color w:val="auto"/>
          <w:sz w:val="24"/>
          <w:highlight w:val="none"/>
        </w:rPr>
        <w:t>六、公告期限</w:t>
      </w:r>
      <w:r>
        <w:rPr>
          <w:rFonts w:ascii="仿宋" w:hAnsi="仿宋" w:eastAsia="仿宋"/>
          <w:b/>
          <w:color w:val="auto"/>
          <w:sz w:val="24"/>
          <w:highlight w:val="none"/>
        </w:rPr>
        <w:t xml:space="preserve"> </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自本公告发布之日起</w:t>
      </w:r>
      <w:r>
        <w:rPr>
          <w:rFonts w:ascii="仿宋" w:hAnsi="仿宋" w:eastAsia="仿宋"/>
          <w:color w:val="auto"/>
          <w:sz w:val="24"/>
          <w:highlight w:val="none"/>
        </w:rPr>
        <w:t>5个工作日。</w:t>
      </w:r>
    </w:p>
    <w:p>
      <w:pPr>
        <w:snapToGrid w:val="0"/>
        <w:spacing w:line="360" w:lineRule="auto"/>
        <w:ind w:firstLine="482" w:firstLineChars="200"/>
        <w:rPr>
          <w:rFonts w:ascii="仿宋" w:hAnsi="仿宋" w:eastAsia="仿宋"/>
          <w:b/>
          <w:color w:val="auto"/>
          <w:sz w:val="24"/>
          <w:highlight w:val="none"/>
        </w:rPr>
      </w:pPr>
      <w:r>
        <w:rPr>
          <w:rFonts w:hint="eastAsia" w:ascii="仿宋" w:hAnsi="仿宋" w:eastAsia="仿宋"/>
          <w:b/>
          <w:color w:val="auto"/>
          <w:sz w:val="24"/>
          <w:highlight w:val="none"/>
        </w:rPr>
        <w:t>七、其他补充事宜</w:t>
      </w:r>
    </w:p>
    <w:p>
      <w:pPr>
        <w:snapToGrid w:val="0"/>
        <w:spacing w:line="360" w:lineRule="auto"/>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napToGrid w:val="0"/>
        <w:spacing w:line="360" w:lineRule="auto"/>
        <w:ind w:firstLine="480" w:firstLineChars="200"/>
        <w:jc w:val="left"/>
        <w:rPr>
          <w:rFonts w:ascii="仿宋" w:hAnsi="仿宋" w:eastAsia="仿宋"/>
          <w:color w:val="auto"/>
          <w:sz w:val="24"/>
          <w:highlight w:val="none"/>
        </w:rPr>
      </w:pPr>
      <w:r>
        <w:rPr>
          <w:rFonts w:ascii="仿宋" w:hAnsi="仿宋" w:eastAsia="仿宋"/>
          <w:color w:val="auto"/>
          <w:sz w:val="24"/>
          <w:highlight w:val="none"/>
        </w:rPr>
        <w:t xml:space="preserve"> </w:t>
      </w:r>
      <w:r>
        <w:rPr>
          <w:rFonts w:hint="eastAsia" w:ascii="仿宋" w:hAnsi="仿宋" w:eastAsia="仿宋"/>
          <w:color w:val="auto"/>
          <w:sz w:val="24"/>
          <w:highlight w:val="none"/>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napToGrid w:val="0"/>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3.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w:t>
      </w:r>
      <w:r>
        <w:rPr>
          <w:rFonts w:hint="eastAsia" w:ascii="仿宋" w:hAnsi="仿宋" w:eastAsia="仿宋"/>
          <w:color w:val="auto"/>
          <w:sz w:val="24"/>
          <w:highlight w:val="none"/>
        </w:rPr>
        <w:t>作出答复的，可以在答复期满后十五个工作日内向同级政府采购监督管理部门投诉。质疑函范本、投诉书范本请到浙江政府采购网下载专区下载。</w:t>
      </w:r>
    </w:p>
    <w:p>
      <w:pPr>
        <w:snapToGrid w:val="0"/>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4</w:t>
      </w:r>
      <w:r>
        <w:rPr>
          <w:rFonts w:hint="eastAsia" w:ascii="仿宋" w:hAnsi="仿宋" w:eastAsia="仿宋"/>
          <w:color w:val="auto"/>
          <w:sz w:val="24"/>
          <w:highlight w:val="none"/>
        </w:rPr>
        <w:t>.其他事项：</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（1）需要落实的政府采购政策：包括节约资源、保护环境、支持创新、促进中小企业发展等。详见采购文件的第二部分总则。</w:t>
      </w:r>
    </w:p>
    <w:p>
      <w:pPr>
        <w:snapToGrid w:val="0"/>
        <w:spacing w:line="360" w:lineRule="auto"/>
        <w:ind w:firstLine="480" w:firstLineChars="200"/>
        <w:rPr>
          <w:rFonts w:ascii="仿宋" w:hAnsi="仿宋" w:eastAsia="仿宋" w:cs="仿宋_GB2312"/>
          <w:color w:val="auto"/>
          <w:sz w:val="24"/>
          <w:highlight w:val="none"/>
        </w:rPr>
      </w:pPr>
      <w:r>
        <w:rPr>
          <w:rFonts w:hint="eastAsia" w:ascii="仿宋" w:hAnsi="仿宋" w:eastAsia="仿宋"/>
          <w:color w:val="auto"/>
          <w:sz w:val="24"/>
          <w:highlight w:val="none"/>
        </w:rPr>
        <w:t>（2）</w:t>
      </w:r>
      <w:r>
        <w:rPr>
          <w:rFonts w:ascii="仿宋" w:hAnsi="仿宋" w:eastAsia="仿宋"/>
          <w:color w:val="auto"/>
          <w:sz w:val="24"/>
          <w:highlight w:val="none"/>
        </w:rPr>
        <w:t>电子招投标的说明：</w:t>
      </w:r>
      <w:r>
        <w:rPr>
          <w:rFonts w:hint="eastAsia" w:ascii="仿宋" w:hAnsi="仿宋" w:eastAsia="仿宋" w:cs="仿宋_GB2312"/>
          <w:color w:val="auto"/>
          <w:sz w:val="24"/>
          <w:highlight w:val="none"/>
        </w:rPr>
        <w:t>①</w:t>
      </w:r>
      <w:r>
        <w:rPr>
          <w:rFonts w:ascii="仿宋" w:hAnsi="仿宋" w:eastAsia="仿宋" w:cs="仿宋_GB2312"/>
          <w:color w:val="auto"/>
          <w:sz w:val="24"/>
          <w:highlight w:val="none"/>
        </w:rPr>
        <w:t>电子招投标：本项目以数据电文形式，依托“政府采购云平台（www.zcygov.cn）”进行招投标活动，不接受纸质投标文件</w:t>
      </w:r>
      <w:r>
        <w:rPr>
          <w:rFonts w:hint="eastAsia" w:ascii="仿宋" w:hAnsi="仿宋" w:eastAsia="仿宋" w:cs="仿宋_GB2312"/>
          <w:color w:val="auto"/>
          <w:sz w:val="24"/>
          <w:highlight w:val="none"/>
        </w:rPr>
        <w:t>；②</w:t>
      </w:r>
      <w:r>
        <w:rPr>
          <w:rFonts w:ascii="仿宋" w:hAnsi="仿宋" w:eastAsia="仿宋" w:cs="仿宋_GB2312"/>
          <w:color w:val="auto"/>
          <w:sz w:val="24"/>
          <w:highlight w:val="none"/>
        </w:rPr>
        <w:t>投标准备：注册账号--点击“商家入驻”，进行政府采购供应商资料填写；申领CA数字证书---申领流程详见“浙江政府采购网-下载专区-电子交易客户端-CA驱动和申领流程”；安装“政</w:t>
      </w:r>
      <w:r>
        <w:rPr>
          <w:rFonts w:hint="eastAsia" w:ascii="仿宋" w:hAnsi="仿宋" w:eastAsia="仿宋" w:cs="仿宋_GB2312"/>
          <w:color w:val="auto"/>
          <w:sz w:val="24"/>
          <w:highlight w:val="none"/>
        </w:rPr>
        <w:t>采云电子交易客户端”</w:t>
      </w:r>
      <w:r>
        <w:rPr>
          <w:rFonts w:ascii="仿宋" w:hAnsi="仿宋" w:eastAsia="仿宋" w:cs="仿宋_GB2312"/>
          <w:color w:val="auto"/>
          <w:sz w:val="24"/>
          <w:highlight w:val="none"/>
        </w:rPr>
        <w:t>----前往“浙江政府采购网-下载专区-电子交易客户端”进行下载并安装</w:t>
      </w:r>
      <w:r>
        <w:rPr>
          <w:rFonts w:hint="eastAsia" w:ascii="仿宋" w:hAnsi="仿宋" w:eastAsia="仿宋" w:cs="仿宋_GB2312"/>
          <w:color w:val="auto"/>
          <w:sz w:val="24"/>
          <w:highlight w:val="none"/>
        </w:rPr>
        <w:t>；③</w:t>
      </w:r>
      <w:r>
        <w:rPr>
          <w:rFonts w:ascii="仿宋" w:hAnsi="仿宋" w:eastAsia="仿宋" w:cs="仿宋_GB2312"/>
          <w:color w:val="auto"/>
          <w:sz w:val="24"/>
          <w:highlight w:val="none"/>
        </w:rPr>
        <w:t>采购文件的获取：使用账号登录或者使用CA登录政</w:t>
      </w:r>
      <w:r>
        <w:rPr>
          <w:rFonts w:hint="eastAsia" w:ascii="仿宋" w:hAnsi="仿宋" w:eastAsia="仿宋" w:cs="仿宋_GB2312"/>
          <w:color w:val="auto"/>
          <w:sz w:val="24"/>
          <w:highlight w:val="none"/>
        </w:rPr>
        <w:t>采云平台；进入“项目采购”应用，在获取采购文件菜单中选择项目，获取采购文件；④</w:t>
      </w:r>
      <w:r>
        <w:rPr>
          <w:rFonts w:ascii="仿宋" w:hAnsi="仿宋" w:eastAsia="仿宋" w:cs="仿宋_GB2312"/>
          <w:color w:val="auto"/>
          <w:sz w:val="24"/>
          <w:highlight w:val="none"/>
        </w:rPr>
        <w:t>投标文件的制作：在“政</w:t>
      </w:r>
      <w:r>
        <w:rPr>
          <w:rFonts w:hint="eastAsia" w:ascii="仿宋" w:hAnsi="仿宋" w:eastAsia="仿宋" w:cs="仿宋_GB2312"/>
          <w:color w:val="auto"/>
          <w:sz w:val="24"/>
          <w:highlight w:val="none"/>
        </w:rPr>
        <w:t>采云电子交易客户端”中完成“填写基本信息”、“导入投标文件”、“标书关联”、“标书检查”、“电子签名”、“生成电子标书”等操作；</w:t>
      </w:r>
      <w:r>
        <w:rPr>
          <w:rFonts w:hint="eastAsia" w:ascii="仿宋" w:hAnsi="仿宋" w:eastAsia="仿宋"/>
          <w:color w:val="auto"/>
          <w:sz w:val="24"/>
          <w:highlight w:val="none"/>
        </w:rPr>
        <w:t>⑤</w:t>
      </w:r>
      <w:r>
        <w:rPr>
          <w:rFonts w:ascii="仿宋" w:hAnsi="仿宋" w:eastAsia="仿宋"/>
          <w:color w:val="auto"/>
          <w:sz w:val="24"/>
          <w:highlight w:val="none"/>
        </w:rPr>
        <w:t>采购人、采购代理机构将依托政</w:t>
      </w:r>
      <w:r>
        <w:rPr>
          <w:rFonts w:hint="eastAsia" w:ascii="仿宋" w:hAnsi="仿宋" w:eastAsia="仿宋"/>
          <w:color w:val="auto"/>
          <w:sz w:val="24"/>
          <w:highlight w:val="none"/>
        </w:rPr>
        <w:t>采云平台完成本项目的电子交易活动，平台不接受未按上述方式获取采购文件的供应商进行投标活动；</w:t>
      </w:r>
      <w:r>
        <w:rPr>
          <w:rFonts w:ascii="仿宋" w:hAnsi="仿宋" w:eastAsia="仿宋"/>
          <w:color w:val="auto"/>
          <w:sz w:val="24"/>
          <w:highlight w:val="none"/>
        </w:rPr>
        <w:t xml:space="preserve"> </w:t>
      </w:r>
      <w:r>
        <w:rPr>
          <w:rFonts w:hint="eastAsia" w:ascii="仿宋" w:hAnsi="仿宋" w:eastAsia="仿宋"/>
          <w:color w:val="auto"/>
          <w:sz w:val="24"/>
          <w:highlight w:val="none"/>
        </w:rPr>
        <w:t>⑥</w:t>
      </w:r>
      <w:r>
        <w:rPr>
          <w:rFonts w:ascii="仿宋" w:hAnsi="仿宋" w:eastAsia="仿宋"/>
          <w:color w:val="auto"/>
          <w:sz w:val="24"/>
          <w:highlight w:val="none"/>
        </w:rPr>
        <w:t>对未按上述方式获取采购文件的供应商对该文件提出的质疑，采购人或采购代理机构将</w:t>
      </w:r>
      <w:r>
        <w:rPr>
          <w:rFonts w:hint="eastAsia" w:ascii="仿宋" w:hAnsi="仿宋" w:eastAsia="仿宋"/>
          <w:color w:val="auto"/>
          <w:sz w:val="24"/>
          <w:highlight w:val="none"/>
        </w:rPr>
        <w:t>不予处理；⑦</w:t>
      </w:r>
      <w:r>
        <w:rPr>
          <w:rFonts w:ascii="仿宋" w:hAnsi="仿宋" w:eastAsia="仿宋"/>
          <w:color w:val="auto"/>
          <w:sz w:val="24"/>
          <w:highlight w:val="none"/>
        </w:rPr>
        <w:t>不提供采购文件纸质版</w:t>
      </w:r>
      <w:r>
        <w:rPr>
          <w:rFonts w:hint="eastAsia" w:ascii="仿宋" w:hAnsi="仿宋" w:eastAsia="仿宋"/>
          <w:color w:val="auto"/>
          <w:sz w:val="24"/>
          <w:highlight w:val="none"/>
        </w:rPr>
        <w:t>；</w:t>
      </w:r>
      <w:r>
        <w:rPr>
          <w:rFonts w:hint="eastAsia" w:ascii="仿宋" w:hAnsi="仿宋" w:eastAsia="仿宋" w:cs="仿宋_GB2312"/>
          <w:color w:val="auto"/>
          <w:sz w:val="24"/>
          <w:highlight w:val="none"/>
        </w:rPr>
        <w:t>⑧</w:t>
      </w:r>
      <w:r>
        <w:rPr>
          <w:rFonts w:ascii="仿宋" w:hAnsi="仿宋" w:eastAsia="仿宋" w:cs="仿宋_GB2312"/>
          <w:color w:val="auto"/>
          <w:sz w:val="24"/>
          <w:highlight w:val="none"/>
        </w:rPr>
        <w:t>投标文件的传输递交：供应商在投标截止时间前将加密的投标文件上传至政府采购云平台，还可以在投标截止时间前直接提交或者以邮政快递方式递交备份投标文件1份。备份投标文件的制作、存储、密封详见采购文件第二部分第15点—“备份投标文件”</w:t>
      </w:r>
      <w:r>
        <w:rPr>
          <w:rFonts w:hint="eastAsia" w:ascii="仿宋" w:hAnsi="仿宋" w:eastAsia="仿宋" w:cs="仿宋_GB2312"/>
          <w:color w:val="auto"/>
          <w:sz w:val="24"/>
          <w:highlight w:val="none"/>
        </w:rPr>
        <w:t>；</w:t>
      </w:r>
      <w:r>
        <w:rPr>
          <w:rFonts w:hint="eastAsia" w:ascii="仿宋" w:hAnsi="仿宋" w:eastAsia="仿宋"/>
          <w:color w:val="auto"/>
          <w:sz w:val="24"/>
          <w:highlight w:val="none"/>
        </w:rPr>
        <w:t>⑨</w:t>
      </w:r>
      <w:r>
        <w:rPr>
          <w:rFonts w:hint="eastAsia" w:ascii="仿宋" w:hAnsi="仿宋" w:eastAsia="仿宋" w:cs="仿宋_GB2312"/>
          <w:color w:val="auto"/>
          <w:sz w:val="24"/>
          <w:highlight w:val="none"/>
        </w:rPr>
        <w:t>投标文件的解密：供应商按照平台提示和采购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供应商仅提交备份投标文件，没有在电子交易平台传输递交投标文件的，投标无效；⑩</w:t>
      </w:r>
      <w:r>
        <w:rPr>
          <w:rFonts w:ascii="仿宋" w:hAnsi="仿宋" w:eastAsia="仿宋" w:cs="仿宋_GB2312"/>
          <w:color w:val="auto"/>
          <w:sz w:val="24"/>
          <w:highlight w:val="none"/>
        </w:rPr>
        <w:t>具体操作指南：详见政</w:t>
      </w:r>
      <w:r>
        <w:rPr>
          <w:rFonts w:hint="eastAsia" w:ascii="仿宋" w:hAnsi="仿宋" w:eastAsia="仿宋" w:cs="仿宋_GB2312"/>
          <w:color w:val="auto"/>
          <w:sz w:val="24"/>
          <w:highlight w:val="none"/>
        </w:rPr>
        <w:t>采云平台“服务中心</w:t>
      </w:r>
      <w:r>
        <w:rPr>
          <w:rFonts w:ascii="仿宋" w:hAnsi="仿宋" w:eastAsia="仿宋" w:cs="仿宋_GB2312"/>
          <w:color w:val="auto"/>
          <w:sz w:val="24"/>
          <w:highlight w:val="none"/>
        </w:rPr>
        <w:t>-帮助文档-项目采购-操作流程-电子招投标-政府采购项目电子交易管理操作指南-供应商”。</w:t>
      </w:r>
    </w:p>
    <w:p>
      <w:pPr>
        <w:pStyle w:val="36"/>
        <w:snapToGrid w:val="0"/>
        <w:spacing w:line="360" w:lineRule="auto"/>
        <w:rPr>
          <w:rFonts w:ascii="仿宋" w:hAnsi="仿宋" w:eastAsia="仿宋"/>
          <w:color w:val="auto"/>
          <w:highlight w:val="none"/>
        </w:rPr>
      </w:pPr>
      <w:r>
        <w:rPr>
          <w:rFonts w:hint="eastAsia" w:ascii="仿宋" w:hAnsi="仿宋" w:eastAsia="仿宋"/>
          <w:color w:val="auto"/>
          <w:highlight w:val="none"/>
        </w:rPr>
        <w:t>（3）单位负责人为同一人或者存在直接控股、管理关系的不同供应商，不得参加同一合同项下的政府采购活动；</w:t>
      </w:r>
      <w:r>
        <w:rPr>
          <w:rFonts w:ascii="仿宋" w:hAnsi="仿宋" w:eastAsia="仿宋" w:cs="仿宋_GB2312"/>
          <w:color w:val="auto"/>
          <w:highlight w:val="none"/>
        </w:rPr>
        <w:t>为采购项目提供整体设计、规范编制或者项目管理、监理、检测等服务后</w:t>
      </w:r>
      <w:r>
        <w:rPr>
          <w:rFonts w:hint="eastAsia" w:ascii="仿宋" w:hAnsi="仿宋" w:eastAsia="仿宋" w:cs="仿宋_GB2312"/>
          <w:color w:val="auto"/>
          <w:highlight w:val="none"/>
        </w:rPr>
        <w:t>不得</w:t>
      </w:r>
      <w:r>
        <w:rPr>
          <w:rFonts w:ascii="仿宋" w:hAnsi="仿宋" w:eastAsia="仿宋" w:cs="仿宋_GB2312"/>
          <w:color w:val="auto"/>
          <w:highlight w:val="none"/>
        </w:rPr>
        <w:t>再参加该采购项目的其他采购活动。</w:t>
      </w:r>
    </w:p>
    <w:p>
      <w:pPr>
        <w:snapToGrid w:val="0"/>
        <w:spacing w:line="360" w:lineRule="auto"/>
        <w:ind w:firstLine="482" w:firstLineChars="200"/>
        <w:rPr>
          <w:rFonts w:ascii="仿宋" w:hAnsi="仿宋" w:eastAsia="仿宋"/>
          <w:b/>
          <w:color w:val="auto"/>
          <w:sz w:val="24"/>
          <w:highlight w:val="none"/>
        </w:rPr>
      </w:pPr>
      <w:r>
        <w:rPr>
          <w:rFonts w:hint="eastAsia" w:ascii="仿宋" w:hAnsi="仿宋" w:eastAsia="仿宋"/>
          <w:b/>
          <w:color w:val="auto"/>
          <w:sz w:val="24"/>
          <w:highlight w:val="none"/>
        </w:rPr>
        <w:t>八、对本次采购提出询问、质疑、投诉，请按以下方式联系</w:t>
      </w:r>
    </w:p>
    <w:p>
      <w:pPr>
        <w:pStyle w:val="644"/>
        <w:adjustRightInd w:val="0"/>
        <w:snapToGrid w:val="0"/>
        <w:ind w:firstLine="480"/>
        <w:rPr>
          <w:rFonts w:ascii="仿宋" w:hAnsi="仿宋" w:eastAsia="仿宋"/>
          <w:color w:val="auto"/>
          <w:szCs w:val="24"/>
          <w:highlight w:val="none"/>
        </w:rPr>
      </w:pPr>
      <w:r>
        <w:rPr>
          <w:rFonts w:ascii="仿宋" w:hAnsi="仿宋" w:eastAsia="仿宋"/>
          <w:color w:val="auto"/>
          <w:szCs w:val="24"/>
          <w:highlight w:val="none"/>
        </w:rPr>
        <w:t>1.</w:t>
      </w:r>
      <w:r>
        <w:rPr>
          <w:rFonts w:hint="eastAsia" w:ascii="仿宋" w:hAnsi="仿宋" w:eastAsia="仿宋"/>
          <w:color w:val="auto"/>
          <w:szCs w:val="24"/>
          <w:highlight w:val="none"/>
        </w:rPr>
        <w:t>采购人信息</w:t>
      </w:r>
    </w:p>
    <w:p>
      <w:pPr>
        <w:widowControl/>
        <w:snapToGrid w:val="0"/>
        <w:spacing w:line="360" w:lineRule="auto"/>
        <w:ind w:firstLine="480" w:firstLineChars="200"/>
        <w:jc w:val="left"/>
        <w:rPr>
          <w:rFonts w:ascii="仿宋" w:hAnsi="仿宋" w:eastAsia="仿宋" w:cs="宋体"/>
          <w:color w:val="auto"/>
          <w:kern w:val="0"/>
          <w:sz w:val="24"/>
          <w:highlight w:val="none"/>
        </w:rPr>
      </w:pPr>
      <w:r>
        <w:rPr>
          <w:rFonts w:ascii="仿宋" w:hAnsi="仿宋" w:eastAsia="仿宋" w:cs="宋体"/>
          <w:color w:val="auto"/>
          <w:kern w:val="0"/>
          <w:sz w:val="24"/>
          <w:highlight w:val="none"/>
        </w:rPr>
        <w:t>名称：</w:t>
      </w:r>
      <w:r>
        <w:rPr>
          <w:rFonts w:hint="eastAsia" w:ascii="仿宋" w:hAnsi="仿宋" w:eastAsia="仿宋" w:cs="宋体"/>
          <w:color w:val="auto"/>
          <w:kern w:val="0"/>
          <w:sz w:val="24"/>
          <w:highlight w:val="none"/>
        </w:rPr>
        <w:t>杭州市临平区人民政府临平街道办事处</w:t>
      </w:r>
    </w:p>
    <w:p>
      <w:pPr>
        <w:widowControl/>
        <w:snapToGrid w:val="0"/>
        <w:spacing w:line="360" w:lineRule="auto"/>
        <w:ind w:firstLine="480" w:firstLineChars="200"/>
        <w:jc w:val="left"/>
        <w:rPr>
          <w:rFonts w:ascii="仿宋" w:hAnsi="仿宋" w:eastAsia="仿宋" w:cs="宋体"/>
          <w:color w:val="auto"/>
          <w:kern w:val="0"/>
          <w:sz w:val="24"/>
          <w:highlight w:val="none"/>
        </w:rPr>
      </w:pPr>
      <w:r>
        <w:rPr>
          <w:rFonts w:ascii="仿宋" w:hAnsi="仿宋" w:eastAsia="仿宋" w:cs="宋体"/>
          <w:color w:val="auto"/>
          <w:kern w:val="0"/>
          <w:sz w:val="24"/>
          <w:highlight w:val="none"/>
        </w:rPr>
        <w:t>地址：</w:t>
      </w:r>
      <w:r>
        <w:rPr>
          <w:rFonts w:hint="eastAsia" w:ascii="仿宋" w:hAnsi="仿宋" w:eastAsia="仿宋" w:cs="宋体"/>
          <w:color w:val="auto"/>
          <w:kern w:val="0"/>
          <w:sz w:val="24"/>
          <w:highlight w:val="none"/>
        </w:rPr>
        <w:t>杭州市临平区临平北沙东路50号</w:t>
      </w:r>
      <w:r>
        <w:rPr>
          <w:rFonts w:ascii="仿宋" w:hAnsi="仿宋" w:eastAsia="仿宋" w:cs="宋体"/>
          <w:color w:val="auto"/>
          <w:kern w:val="0"/>
          <w:sz w:val="24"/>
          <w:highlight w:val="none"/>
        </w:rPr>
        <w:t xml:space="preserve">  </w:t>
      </w:r>
    </w:p>
    <w:p>
      <w:pPr>
        <w:widowControl/>
        <w:snapToGrid w:val="0"/>
        <w:spacing w:line="360" w:lineRule="auto"/>
        <w:ind w:firstLine="480" w:firstLineChars="200"/>
        <w:jc w:val="left"/>
        <w:rPr>
          <w:rFonts w:ascii="仿宋" w:hAnsi="仿宋" w:eastAsia="仿宋" w:cs="宋体"/>
          <w:color w:val="auto"/>
          <w:kern w:val="0"/>
          <w:sz w:val="24"/>
          <w:highlight w:val="none"/>
        </w:rPr>
      </w:pPr>
      <w:r>
        <w:rPr>
          <w:rFonts w:ascii="仿宋" w:hAnsi="仿宋" w:eastAsia="仿宋" w:cs="宋体"/>
          <w:color w:val="auto"/>
          <w:kern w:val="0"/>
          <w:sz w:val="24"/>
          <w:highlight w:val="none"/>
        </w:rPr>
        <w:t>项目联系人：</w:t>
      </w:r>
      <w:r>
        <w:rPr>
          <w:rFonts w:hint="eastAsia" w:ascii="仿宋" w:hAnsi="仿宋" w:eastAsia="仿宋" w:cs="宋体"/>
          <w:color w:val="auto"/>
          <w:kern w:val="0"/>
          <w:sz w:val="24"/>
          <w:highlight w:val="none"/>
        </w:rPr>
        <w:t xml:space="preserve">孙伟         </w:t>
      </w:r>
      <w:r>
        <w:rPr>
          <w:rFonts w:ascii="仿宋" w:hAnsi="仿宋" w:eastAsia="仿宋" w:cs="宋体"/>
          <w:color w:val="auto"/>
          <w:kern w:val="0"/>
          <w:sz w:val="24"/>
          <w:highlight w:val="none"/>
        </w:rPr>
        <w:t xml:space="preserve"> </w:t>
      </w:r>
    </w:p>
    <w:p>
      <w:pPr>
        <w:widowControl/>
        <w:snapToGrid w:val="0"/>
        <w:spacing w:line="360" w:lineRule="auto"/>
        <w:ind w:firstLine="480" w:firstLineChars="200"/>
        <w:jc w:val="left"/>
        <w:rPr>
          <w:rFonts w:ascii="仿宋" w:hAnsi="仿宋" w:eastAsia="仿宋" w:cs="宋体"/>
          <w:color w:val="auto"/>
          <w:kern w:val="0"/>
          <w:sz w:val="24"/>
          <w:highlight w:val="none"/>
        </w:rPr>
      </w:pPr>
      <w:r>
        <w:rPr>
          <w:rFonts w:ascii="仿宋" w:hAnsi="仿宋" w:eastAsia="仿宋" w:cs="宋体"/>
          <w:color w:val="auto"/>
          <w:kern w:val="0"/>
          <w:sz w:val="24"/>
          <w:highlight w:val="none"/>
        </w:rPr>
        <w:t>项目联系方式：</w:t>
      </w:r>
      <w:r>
        <w:rPr>
          <w:rFonts w:hint="eastAsia" w:ascii="仿宋" w:hAnsi="仿宋" w:eastAsia="仿宋" w:cs="宋体"/>
          <w:color w:val="auto"/>
          <w:kern w:val="0"/>
          <w:sz w:val="24"/>
          <w:highlight w:val="none"/>
        </w:rPr>
        <w:t xml:space="preserve">0571-89188271       </w:t>
      </w:r>
    </w:p>
    <w:p>
      <w:pPr>
        <w:widowControl/>
        <w:snapToGrid w:val="0"/>
        <w:spacing w:line="360" w:lineRule="auto"/>
        <w:ind w:firstLine="480" w:firstLineChars="200"/>
        <w:jc w:val="left"/>
        <w:rPr>
          <w:rFonts w:ascii="仿宋" w:hAnsi="仿宋" w:eastAsia="仿宋" w:cs="宋体"/>
          <w:color w:val="auto"/>
          <w:kern w:val="0"/>
          <w:sz w:val="24"/>
          <w:highlight w:val="none"/>
        </w:rPr>
      </w:pPr>
      <w:r>
        <w:rPr>
          <w:rFonts w:ascii="仿宋" w:hAnsi="仿宋" w:eastAsia="仿宋" w:cs="宋体"/>
          <w:color w:val="auto"/>
          <w:kern w:val="0"/>
          <w:sz w:val="24"/>
          <w:highlight w:val="none"/>
        </w:rPr>
        <w:t>质疑联系人</w:t>
      </w:r>
      <w:r>
        <w:rPr>
          <w:rFonts w:hint="eastAsia" w:ascii="仿宋" w:hAnsi="仿宋" w:eastAsia="仿宋" w:cs="宋体"/>
          <w:color w:val="auto"/>
          <w:kern w:val="0"/>
          <w:sz w:val="24"/>
          <w:highlight w:val="none"/>
        </w:rPr>
        <w:t xml:space="preserve">：李莉     </w:t>
      </w:r>
    </w:p>
    <w:p>
      <w:pPr>
        <w:widowControl/>
        <w:snapToGrid w:val="0"/>
        <w:spacing w:line="360" w:lineRule="auto"/>
        <w:ind w:firstLine="480" w:firstLineChars="200"/>
        <w:jc w:val="left"/>
        <w:rPr>
          <w:rFonts w:ascii="仿宋" w:hAnsi="仿宋" w:eastAsia="仿宋" w:cs="宋体"/>
          <w:color w:val="auto"/>
          <w:kern w:val="0"/>
          <w:sz w:val="24"/>
          <w:highlight w:val="none"/>
        </w:rPr>
      </w:pPr>
      <w:r>
        <w:rPr>
          <w:rFonts w:ascii="仿宋" w:hAnsi="仿宋" w:eastAsia="仿宋" w:cs="宋体"/>
          <w:color w:val="auto"/>
          <w:kern w:val="0"/>
          <w:sz w:val="24"/>
          <w:highlight w:val="none"/>
        </w:rPr>
        <w:t>质疑联系方式：</w:t>
      </w:r>
      <w:r>
        <w:rPr>
          <w:rFonts w:hint="eastAsia" w:ascii="仿宋" w:hAnsi="仿宋" w:eastAsia="仿宋" w:cs="宋体"/>
          <w:color w:val="auto"/>
          <w:kern w:val="0"/>
          <w:sz w:val="24"/>
          <w:highlight w:val="none"/>
        </w:rPr>
        <w:t xml:space="preserve">0571-89266376       </w:t>
      </w:r>
    </w:p>
    <w:p>
      <w:pPr>
        <w:widowControl/>
        <w:snapToGrid w:val="0"/>
        <w:spacing w:line="360" w:lineRule="auto"/>
        <w:ind w:firstLine="480" w:firstLineChars="200"/>
        <w:rPr>
          <w:rFonts w:ascii="仿宋" w:hAnsi="仿宋" w:eastAsia="仿宋" w:cs="宋体"/>
          <w:color w:val="auto"/>
          <w:sz w:val="24"/>
          <w:highlight w:val="none"/>
        </w:rPr>
      </w:pPr>
      <w:r>
        <w:rPr>
          <w:rFonts w:ascii="仿宋" w:hAnsi="仿宋" w:eastAsia="仿宋" w:cs="宋体"/>
          <w:color w:val="auto"/>
          <w:sz w:val="24"/>
          <w:highlight w:val="none"/>
        </w:rPr>
        <w:t>2.</w:t>
      </w:r>
      <w:r>
        <w:rPr>
          <w:rFonts w:hint="eastAsia" w:ascii="仿宋" w:hAnsi="仿宋" w:eastAsia="仿宋" w:cs="宋体"/>
          <w:color w:val="auto"/>
          <w:sz w:val="24"/>
          <w:highlight w:val="none"/>
        </w:rPr>
        <w:t>采购代理机构信息</w:t>
      </w:r>
    </w:p>
    <w:p>
      <w:pPr>
        <w:pStyle w:val="644"/>
        <w:adjustRightInd w:val="0"/>
        <w:snapToGrid w:val="0"/>
        <w:ind w:firstLine="480"/>
        <w:rPr>
          <w:rFonts w:ascii="仿宋" w:hAnsi="仿宋" w:eastAsia="仿宋"/>
          <w:color w:val="auto"/>
          <w:szCs w:val="24"/>
          <w:highlight w:val="none"/>
        </w:rPr>
      </w:pPr>
      <w:r>
        <w:rPr>
          <w:rFonts w:hint="eastAsia" w:ascii="仿宋" w:hAnsi="仿宋" w:eastAsia="仿宋"/>
          <w:color w:val="auto"/>
          <w:szCs w:val="24"/>
          <w:highlight w:val="none"/>
        </w:rPr>
        <w:t>名称：杭州中瑞招标代理有限公司</w:t>
      </w:r>
    </w:p>
    <w:p>
      <w:pPr>
        <w:pStyle w:val="644"/>
        <w:adjustRightInd w:val="0"/>
        <w:snapToGrid w:val="0"/>
        <w:ind w:firstLine="480"/>
        <w:rPr>
          <w:rFonts w:ascii="仿宋" w:hAnsi="仿宋" w:eastAsia="仿宋"/>
          <w:color w:val="auto"/>
          <w:szCs w:val="24"/>
          <w:highlight w:val="none"/>
        </w:rPr>
      </w:pPr>
      <w:r>
        <w:rPr>
          <w:rFonts w:hint="eastAsia" w:ascii="仿宋" w:hAnsi="仿宋" w:eastAsia="仿宋"/>
          <w:color w:val="auto"/>
          <w:szCs w:val="24"/>
          <w:highlight w:val="none"/>
        </w:rPr>
        <w:t>地址：杭州市临平区临平街道河南埭路108号临平新天地3号楼3楼</w:t>
      </w:r>
    </w:p>
    <w:p>
      <w:pPr>
        <w:pStyle w:val="644"/>
        <w:adjustRightInd w:val="0"/>
        <w:snapToGrid w:val="0"/>
        <w:ind w:firstLine="480"/>
        <w:rPr>
          <w:rFonts w:ascii="仿宋" w:hAnsi="仿宋" w:eastAsia="仿宋"/>
          <w:color w:val="auto"/>
          <w:szCs w:val="24"/>
          <w:highlight w:val="none"/>
        </w:rPr>
      </w:pPr>
      <w:r>
        <w:rPr>
          <w:rFonts w:hint="eastAsia" w:ascii="仿宋" w:hAnsi="仿宋" w:eastAsia="仿宋"/>
          <w:color w:val="auto"/>
          <w:szCs w:val="24"/>
          <w:highlight w:val="none"/>
        </w:rPr>
        <w:t>项目联系人：金佳霖</w:t>
      </w:r>
      <w:r>
        <w:rPr>
          <w:rFonts w:hint="eastAsia" w:ascii="仿宋" w:hAnsi="仿宋" w:eastAsia="仿宋"/>
          <w:color w:val="auto"/>
          <w:szCs w:val="24"/>
          <w:highlight w:val="none"/>
        </w:rPr>
        <w:tab/>
      </w:r>
    </w:p>
    <w:p>
      <w:pPr>
        <w:pStyle w:val="644"/>
        <w:adjustRightInd w:val="0"/>
        <w:snapToGrid w:val="0"/>
        <w:ind w:firstLine="480"/>
        <w:rPr>
          <w:rFonts w:ascii="仿宋" w:hAnsi="仿宋" w:eastAsia="仿宋"/>
          <w:color w:val="auto"/>
          <w:szCs w:val="24"/>
          <w:highlight w:val="none"/>
        </w:rPr>
      </w:pPr>
      <w:r>
        <w:rPr>
          <w:rFonts w:hint="eastAsia" w:ascii="仿宋" w:hAnsi="仿宋" w:eastAsia="仿宋"/>
          <w:color w:val="auto"/>
          <w:szCs w:val="24"/>
          <w:highlight w:val="none"/>
        </w:rPr>
        <w:t>项目联系方式：0571-86111691</w:t>
      </w:r>
    </w:p>
    <w:p>
      <w:pPr>
        <w:pStyle w:val="644"/>
        <w:adjustRightInd w:val="0"/>
        <w:snapToGrid w:val="0"/>
        <w:ind w:firstLine="480"/>
        <w:rPr>
          <w:rFonts w:ascii="仿宋" w:hAnsi="仿宋" w:eastAsia="仿宋"/>
          <w:color w:val="auto"/>
          <w:szCs w:val="24"/>
          <w:highlight w:val="none"/>
        </w:rPr>
      </w:pPr>
      <w:r>
        <w:rPr>
          <w:rFonts w:hint="eastAsia" w:ascii="仿宋" w:hAnsi="仿宋" w:eastAsia="仿宋"/>
          <w:color w:val="auto"/>
          <w:szCs w:val="24"/>
          <w:highlight w:val="none"/>
        </w:rPr>
        <w:t>质疑联系人：秦沙金</w:t>
      </w:r>
    </w:p>
    <w:p>
      <w:pPr>
        <w:pStyle w:val="644"/>
        <w:adjustRightInd w:val="0"/>
        <w:snapToGrid w:val="0"/>
        <w:ind w:firstLine="480"/>
        <w:rPr>
          <w:rFonts w:ascii="仿宋" w:hAnsi="仿宋" w:eastAsia="仿宋"/>
          <w:color w:val="auto"/>
          <w:szCs w:val="24"/>
          <w:highlight w:val="none"/>
        </w:rPr>
      </w:pPr>
      <w:r>
        <w:rPr>
          <w:rFonts w:hint="eastAsia" w:ascii="仿宋" w:hAnsi="仿宋" w:eastAsia="仿宋"/>
          <w:color w:val="auto"/>
          <w:szCs w:val="24"/>
          <w:highlight w:val="none"/>
        </w:rPr>
        <w:t xml:space="preserve">质疑联系方式：0571-86111691 </w:t>
      </w:r>
    </w:p>
    <w:p>
      <w:pPr>
        <w:numPr>
          <w:ilvl w:val="0"/>
          <w:numId w:val="14"/>
        </w:numPr>
        <w:spacing w:line="360" w:lineRule="auto"/>
        <w:rPr>
          <w:rFonts w:ascii="仿宋" w:hAnsi="仿宋" w:eastAsia="仿宋"/>
          <w:color w:val="auto"/>
          <w:sz w:val="24"/>
          <w:highlight w:val="none"/>
        </w:rPr>
      </w:pPr>
      <w:r>
        <w:rPr>
          <w:rFonts w:ascii="仿宋" w:hAnsi="仿宋" w:eastAsia="仿宋"/>
          <w:color w:val="auto"/>
          <w:sz w:val="24"/>
          <w:highlight w:val="none"/>
        </w:rPr>
        <w:t xml:space="preserve">同级政府采购监督管理部门            </w:t>
      </w:r>
      <w:bookmarkStart w:id="17" w:name="_Toc76824065"/>
    </w:p>
    <w:bookmarkEnd w:id="17"/>
    <w:p>
      <w:pPr>
        <w:widowControl/>
        <w:snapToGrid w:val="0"/>
        <w:spacing w:line="360" w:lineRule="auto"/>
        <w:ind w:firstLine="480" w:firstLineChars="200"/>
        <w:jc w:val="left"/>
        <w:rPr>
          <w:rFonts w:ascii="仿宋" w:hAnsi="仿宋" w:eastAsia="仿宋"/>
          <w:color w:val="auto"/>
          <w:sz w:val="24"/>
          <w:highlight w:val="none"/>
        </w:rPr>
      </w:pPr>
      <w:r>
        <w:rPr>
          <w:rFonts w:ascii="仿宋" w:hAnsi="仿宋" w:eastAsia="仿宋"/>
          <w:color w:val="auto"/>
          <w:sz w:val="24"/>
          <w:highlight w:val="none"/>
        </w:rPr>
        <w:t>名称：杭州市</w:t>
      </w:r>
      <w:r>
        <w:rPr>
          <w:rFonts w:hint="eastAsia" w:ascii="仿宋" w:hAnsi="仿宋" w:eastAsia="仿宋"/>
          <w:color w:val="auto"/>
          <w:sz w:val="24"/>
          <w:highlight w:val="none"/>
        </w:rPr>
        <w:t>临平区</w:t>
      </w:r>
      <w:r>
        <w:rPr>
          <w:rFonts w:ascii="仿宋" w:hAnsi="仿宋" w:eastAsia="仿宋"/>
          <w:color w:val="auto"/>
          <w:sz w:val="24"/>
          <w:highlight w:val="none"/>
        </w:rPr>
        <w:t>财政局</w:t>
      </w:r>
      <w:r>
        <w:rPr>
          <w:rFonts w:ascii="Calibri" w:hAnsi="Calibri" w:eastAsia="仿宋" w:cs="Calibri"/>
          <w:color w:val="auto"/>
          <w:sz w:val="24"/>
          <w:highlight w:val="none"/>
        </w:rPr>
        <w:t> </w:t>
      </w:r>
      <w:r>
        <w:rPr>
          <w:rFonts w:ascii="仿宋" w:hAnsi="仿宋" w:eastAsia="仿宋"/>
          <w:color w:val="auto"/>
          <w:sz w:val="24"/>
          <w:highlight w:val="none"/>
        </w:rPr>
        <w:t>　　　　　　　　　　　</w:t>
      </w:r>
    </w:p>
    <w:p>
      <w:pPr>
        <w:widowControl/>
        <w:snapToGrid w:val="0"/>
        <w:spacing w:line="360" w:lineRule="auto"/>
        <w:ind w:firstLine="480" w:firstLineChars="200"/>
        <w:jc w:val="left"/>
        <w:rPr>
          <w:rFonts w:ascii="仿宋" w:hAnsi="仿宋" w:eastAsia="仿宋"/>
          <w:color w:val="auto"/>
          <w:sz w:val="24"/>
          <w:highlight w:val="none"/>
        </w:rPr>
      </w:pPr>
      <w:r>
        <w:rPr>
          <w:rFonts w:ascii="仿宋" w:hAnsi="仿宋" w:eastAsia="仿宋"/>
          <w:color w:val="auto"/>
          <w:sz w:val="24"/>
          <w:highlight w:val="none"/>
        </w:rPr>
        <w:t>地址：</w:t>
      </w:r>
      <w:r>
        <w:rPr>
          <w:rFonts w:hint="eastAsia" w:ascii="仿宋" w:hAnsi="仿宋" w:eastAsia="仿宋"/>
          <w:color w:val="auto"/>
          <w:sz w:val="24"/>
          <w:highlight w:val="none"/>
        </w:rPr>
        <w:t>杭州市临平区临平东湖中路236号财税大楼</w:t>
      </w:r>
      <w:r>
        <w:rPr>
          <w:rFonts w:ascii="Calibri" w:hAnsi="Calibri" w:eastAsia="仿宋" w:cs="Calibri"/>
          <w:color w:val="auto"/>
          <w:sz w:val="24"/>
          <w:highlight w:val="none"/>
        </w:rPr>
        <w:t>  </w:t>
      </w:r>
      <w:r>
        <w:rPr>
          <w:rFonts w:ascii="仿宋" w:hAnsi="仿宋" w:eastAsia="仿宋"/>
          <w:color w:val="auto"/>
          <w:sz w:val="24"/>
          <w:highlight w:val="none"/>
        </w:rPr>
        <w:t>　　　　　　　　　　　</w:t>
      </w:r>
    </w:p>
    <w:p>
      <w:pPr>
        <w:widowControl/>
        <w:snapToGrid w:val="0"/>
        <w:spacing w:line="360" w:lineRule="auto"/>
        <w:ind w:firstLine="480" w:firstLineChars="200"/>
        <w:jc w:val="left"/>
        <w:rPr>
          <w:rFonts w:ascii="仿宋" w:hAnsi="仿宋" w:eastAsia="仿宋"/>
          <w:color w:val="auto"/>
          <w:sz w:val="24"/>
          <w:highlight w:val="none"/>
        </w:rPr>
      </w:pPr>
      <w:r>
        <w:rPr>
          <w:rFonts w:ascii="仿宋" w:hAnsi="仿宋" w:eastAsia="仿宋"/>
          <w:color w:val="auto"/>
          <w:sz w:val="24"/>
          <w:highlight w:val="none"/>
        </w:rPr>
        <w:t>传真：</w:t>
      </w:r>
      <w:r>
        <w:rPr>
          <w:rFonts w:hint="eastAsia" w:ascii="仿宋" w:hAnsi="仿宋" w:eastAsia="仿宋"/>
          <w:color w:val="auto"/>
          <w:sz w:val="24"/>
          <w:highlight w:val="none"/>
        </w:rPr>
        <w:t>/</w:t>
      </w:r>
      <w:r>
        <w:rPr>
          <w:rFonts w:ascii="仿宋" w:hAnsi="仿宋" w:eastAsia="仿宋"/>
          <w:color w:val="auto"/>
          <w:sz w:val="24"/>
          <w:highlight w:val="none"/>
        </w:rPr>
        <w:t xml:space="preserve"> </w:t>
      </w:r>
      <w:r>
        <w:rPr>
          <w:rFonts w:ascii="Calibri" w:hAnsi="Calibri" w:eastAsia="仿宋" w:cs="Calibri"/>
          <w:color w:val="auto"/>
          <w:sz w:val="24"/>
          <w:highlight w:val="none"/>
        </w:rPr>
        <w:t> </w:t>
      </w:r>
    </w:p>
    <w:p>
      <w:pPr>
        <w:widowControl/>
        <w:snapToGrid w:val="0"/>
        <w:spacing w:line="360" w:lineRule="auto"/>
        <w:ind w:firstLine="480" w:firstLineChars="200"/>
        <w:jc w:val="left"/>
        <w:rPr>
          <w:rFonts w:ascii="仿宋" w:hAnsi="仿宋" w:eastAsia="仿宋"/>
          <w:color w:val="auto"/>
          <w:sz w:val="24"/>
          <w:highlight w:val="none"/>
        </w:rPr>
      </w:pPr>
      <w:r>
        <w:rPr>
          <w:rFonts w:ascii="仿宋" w:hAnsi="仿宋" w:eastAsia="仿宋"/>
          <w:color w:val="auto"/>
          <w:sz w:val="24"/>
          <w:highlight w:val="none"/>
        </w:rPr>
        <w:t>联系人：</w:t>
      </w:r>
      <w:r>
        <w:rPr>
          <w:rFonts w:hint="eastAsia" w:ascii="仿宋" w:hAnsi="仿宋" w:eastAsia="仿宋"/>
          <w:color w:val="auto"/>
          <w:sz w:val="24"/>
          <w:highlight w:val="none"/>
        </w:rPr>
        <w:t>俞征</w:t>
      </w:r>
      <w:r>
        <w:rPr>
          <w:rFonts w:ascii="仿宋" w:hAnsi="仿宋" w:eastAsia="仿宋"/>
          <w:color w:val="auto"/>
          <w:sz w:val="24"/>
          <w:highlight w:val="none"/>
        </w:rPr>
        <w:t>　　　　　　　　　　　</w:t>
      </w:r>
    </w:p>
    <w:p>
      <w:pPr>
        <w:shd w:val="clear" w:color="auto" w:fill="FFFFFF"/>
        <w:snapToGrid w:val="0"/>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监督投诉电话：</w:t>
      </w:r>
      <w:r>
        <w:rPr>
          <w:rFonts w:hint="eastAsia" w:ascii="仿宋" w:hAnsi="仿宋" w:eastAsia="仿宋"/>
          <w:color w:val="auto"/>
          <w:sz w:val="24"/>
          <w:highlight w:val="none"/>
        </w:rPr>
        <w:t xml:space="preserve">0571-89185312 </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若对项目采购电子交易系统操作有疑问，可登录政采云（</w:t>
      </w:r>
      <w:r>
        <w:rPr>
          <w:rFonts w:ascii="仿宋" w:hAnsi="仿宋" w:eastAsia="仿宋"/>
          <w:color w:val="auto"/>
          <w:sz w:val="24"/>
          <w:highlight w:val="none"/>
        </w:rPr>
        <w:t>https://www.zcygov.cn/），点击右侧咨询小采，获取采小蜜智能服务管家帮助，或拨打政</w:t>
      </w:r>
      <w:r>
        <w:rPr>
          <w:rFonts w:hint="eastAsia" w:ascii="仿宋" w:hAnsi="仿宋" w:eastAsia="仿宋"/>
          <w:color w:val="auto"/>
          <w:sz w:val="24"/>
          <w:highlight w:val="none"/>
        </w:rPr>
        <w:t>采云服务热线</w:t>
      </w:r>
      <w:r>
        <w:rPr>
          <w:rFonts w:ascii="仿宋" w:hAnsi="仿宋" w:eastAsia="仿宋"/>
          <w:color w:val="auto"/>
          <w:sz w:val="24"/>
          <w:highlight w:val="none"/>
        </w:rPr>
        <w:t>400-881-7190获取热线服务帮助。</w:t>
      </w:r>
    </w:p>
    <w:p>
      <w:pPr>
        <w:snapToGrid w:val="0"/>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CA问题联系电话（人工）：</w:t>
      </w:r>
      <w:r>
        <w:rPr>
          <w:rFonts w:hint="eastAsia" w:ascii="仿宋" w:hAnsi="仿宋" w:eastAsia="仿宋"/>
          <w:color w:val="auto"/>
          <w:sz w:val="24"/>
          <w:highlight w:val="none"/>
        </w:rPr>
        <w:t>汇信</w:t>
      </w:r>
      <w:r>
        <w:rPr>
          <w:rFonts w:ascii="仿宋" w:hAnsi="仿宋" w:eastAsia="仿宋"/>
          <w:color w:val="auto"/>
          <w:sz w:val="24"/>
          <w:highlight w:val="none"/>
        </w:rPr>
        <w:t>CA 400-888-4636；天谷CA 400-087-8198。</w:t>
      </w:r>
      <w:r>
        <w:rPr>
          <w:rFonts w:ascii="仿宋" w:hAnsi="仿宋" w:eastAsia="仿宋" w:cs="仿宋_GB2312"/>
          <w:color w:val="auto"/>
          <w:sz w:val="24"/>
          <w:highlight w:val="none"/>
        </w:rPr>
        <w:t xml:space="preserve">       </w:t>
      </w:r>
    </w:p>
    <w:p>
      <w:pPr>
        <w:pStyle w:val="46"/>
        <w:snapToGrid w:val="0"/>
        <w:spacing w:line="360" w:lineRule="auto"/>
        <w:ind w:firstLine="480" w:firstLineChars="200"/>
        <w:rPr>
          <w:rFonts w:ascii="仿宋" w:hAnsi="仿宋" w:eastAsia="仿宋" w:cs="仿宋_GB2312"/>
          <w:color w:val="auto"/>
          <w:sz w:val="24"/>
          <w:highlight w:val="none"/>
        </w:rPr>
      </w:pPr>
    </w:p>
    <w:p>
      <w:pPr>
        <w:pStyle w:val="46"/>
        <w:snapToGrid w:val="0"/>
        <w:spacing w:line="360" w:lineRule="auto"/>
        <w:ind w:firstLine="480" w:firstLineChars="200"/>
        <w:rPr>
          <w:rFonts w:ascii="仿宋" w:hAnsi="仿宋" w:eastAsia="仿宋" w:cs="仿宋_GB2312"/>
          <w:color w:val="auto"/>
          <w:sz w:val="24"/>
          <w:highlight w:val="none"/>
        </w:rPr>
      </w:pPr>
    </w:p>
    <w:p>
      <w:pPr>
        <w:pStyle w:val="46"/>
        <w:snapToGrid w:val="0"/>
        <w:spacing w:line="360" w:lineRule="auto"/>
        <w:ind w:firstLine="480" w:firstLineChars="200"/>
        <w:rPr>
          <w:rFonts w:ascii="仿宋" w:hAnsi="仿宋" w:eastAsia="仿宋" w:cs="仿宋_GB2312"/>
          <w:color w:val="auto"/>
          <w:sz w:val="24"/>
          <w:highlight w:val="none"/>
        </w:rPr>
      </w:pPr>
    </w:p>
    <w:p>
      <w:pPr>
        <w:pStyle w:val="46"/>
        <w:snapToGrid w:val="0"/>
        <w:spacing w:line="360" w:lineRule="auto"/>
        <w:ind w:firstLine="480" w:firstLineChars="200"/>
        <w:rPr>
          <w:rFonts w:ascii="仿宋" w:hAnsi="仿宋" w:eastAsia="仿宋" w:cs="仿宋_GB2312"/>
          <w:color w:val="auto"/>
          <w:sz w:val="24"/>
          <w:highlight w:val="none"/>
        </w:rPr>
      </w:pPr>
    </w:p>
    <w:p>
      <w:pPr>
        <w:pStyle w:val="46"/>
        <w:snapToGrid w:val="0"/>
        <w:spacing w:line="360" w:lineRule="auto"/>
        <w:ind w:firstLine="480" w:firstLineChars="200"/>
        <w:rPr>
          <w:rFonts w:ascii="仿宋" w:hAnsi="仿宋" w:eastAsia="仿宋" w:cs="仿宋_GB2312"/>
          <w:color w:val="auto"/>
          <w:sz w:val="24"/>
          <w:highlight w:val="none"/>
        </w:rPr>
      </w:pPr>
    </w:p>
    <w:p>
      <w:pPr>
        <w:pStyle w:val="46"/>
        <w:snapToGrid w:val="0"/>
        <w:spacing w:line="360" w:lineRule="auto"/>
        <w:ind w:firstLine="480" w:firstLineChars="200"/>
        <w:rPr>
          <w:rFonts w:ascii="仿宋" w:hAnsi="仿宋" w:eastAsia="仿宋" w:cs="仿宋_GB2312"/>
          <w:color w:val="auto"/>
          <w:sz w:val="24"/>
          <w:highlight w:val="none"/>
        </w:rPr>
      </w:pPr>
    </w:p>
    <w:p>
      <w:pPr>
        <w:pStyle w:val="46"/>
        <w:snapToGrid w:val="0"/>
        <w:spacing w:line="360" w:lineRule="auto"/>
        <w:ind w:firstLine="480" w:firstLineChars="200"/>
        <w:rPr>
          <w:rFonts w:ascii="仿宋" w:hAnsi="仿宋" w:eastAsia="仿宋" w:cs="仿宋_GB2312"/>
          <w:color w:val="auto"/>
          <w:sz w:val="24"/>
          <w:highlight w:val="none"/>
        </w:rPr>
      </w:pPr>
    </w:p>
    <w:p>
      <w:pPr>
        <w:pStyle w:val="46"/>
        <w:snapToGrid w:val="0"/>
        <w:spacing w:line="360" w:lineRule="auto"/>
        <w:ind w:firstLine="480" w:firstLineChars="200"/>
        <w:rPr>
          <w:rFonts w:ascii="仿宋" w:hAnsi="仿宋" w:eastAsia="仿宋" w:cs="仿宋_GB2312"/>
          <w:color w:val="auto"/>
          <w:sz w:val="24"/>
          <w:highlight w:val="none"/>
        </w:rPr>
      </w:pPr>
    </w:p>
    <w:p>
      <w:pPr>
        <w:pStyle w:val="46"/>
        <w:snapToGrid w:val="0"/>
        <w:spacing w:line="360" w:lineRule="auto"/>
        <w:ind w:firstLine="480" w:firstLineChars="200"/>
        <w:rPr>
          <w:rFonts w:ascii="仿宋" w:hAnsi="仿宋" w:eastAsia="仿宋" w:cs="仿宋_GB2312"/>
          <w:color w:val="auto"/>
          <w:sz w:val="24"/>
          <w:highlight w:val="none"/>
        </w:rPr>
      </w:pPr>
    </w:p>
    <w:p>
      <w:pPr>
        <w:pStyle w:val="46"/>
        <w:snapToGrid w:val="0"/>
        <w:spacing w:line="360" w:lineRule="auto"/>
        <w:ind w:firstLine="480" w:firstLineChars="200"/>
        <w:rPr>
          <w:rFonts w:ascii="仿宋" w:hAnsi="仿宋" w:eastAsia="仿宋" w:cs="仿宋_GB2312"/>
          <w:color w:val="auto"/>
          <w:sz w:val="24"/>
          <w:highlight w:val="none"/>
        </w:rPr>
      </w:pPr>
    </w:p>
    <w:p>
      <w:pPr>
        <w:pStyle w:val="46"/>
        <w:snapToGrid w:val="0"/>
        <w:spacing w:line="360" w:lineRule="auto"/>
        <w:ind w:firstLine="480" w:firstLineChars="200"/>
        <w:rPr>
          <w:rFonts w:ascii="仿宋" w:hAnsi="仿宋" w:eastAsia="仿宋" w:cs="仿宋_GB2312"/>
          <w:color w:val="auto"/>
          <w:sz w:val="24"/>
          <w:highlight w:val="none"/>
        </w:rPr>
      </w:pPr>
    </w:p>
    <w:p>
      <w:pPr>
        <w:pStyle w:val="46"/>
        <w:snapToGrid w:val="0"/>
        <w:spacing w:line="360" w:lineRule="auto"/>
        <w:ind w:firstLine="480" w:firstLineChars="200"/>
        <w:rPr>
          <w:rFonts w:ascii="仿宋" w:hAnsi="仿宋" w:eastAsia="仿宋" w:cs="仿宋_GB2312"/>
          <w:color w:val="auto"/>
          <w:sz w:val="24"/>
          <w:highlight w:val="none"/>
        </w:rPr>
      </w:pPr>
    </w:p>
    <w:p>
      <w:pPr>
        <w:pStyle w:val="46"/>
        <w:snapToGrid w:val="0"/>
        <w:spacing w:line="360" w:lineRule="auto"/>
        <w:ind w:firstLine="480" w:firstLineChars="200"/>
        <w:rPr>
          <w:rFonts w:ascii="仿宋" w:hAnsi="仿宋" w:eastAsia="仿宋" w:cs="仿宋_GB2312"/>
          <w:color w:val="auto"/>
          <w:sz w:val="24"/>
          <w:highlight w:val="none"/>
        </w:rPr>
      </w:pPr>
    </w:p>
    <w:p>
      <w:pPr>
        <w:spacing w:line="360" w:lineRule="auto"/>
        <w:rPr>
          <w:rFonts w:ascii="仿宋" w:hAnsi="仿宋" w:eastAsia="仿宋"/>
          <w:color w:val="auto"/>
          <w:highlight w:val="none"/>
        </w:rPr>
      </w:pPr>
      <w:bookmarkStart w:id="831" w:name="_GoBack"/>
      <w:bookmarkEnd w:id="831"/>
      <w:bookmarkStart w:id="18" w:name="_Toc27720"/>
      <w:bookmarkStart w:id="19" w:name="_Toc9084"/>
      <w:bookmarkStart w:id="20" w:name="_Toc2935"/>
      <w:bookmarkStart w:id="21" w:name="_Toc528230691"/>
      <w:bookmarkStart w:id="22" w:name="_Toc95312934"/>
    </w:p>
    <w:p>
      <w:pPr>
        <w:pStyle w:val="4"/>
        <w:jc w:val="center"/>
        <w:rPr>
          <w:rFonts w:ascii="仿宋" w:hAnsi="仿宋" w:eastAsia="仿宋"/>
          <w:color w:val="auto"/>
          <w:highlight w:val="none"/>
        </w:rPr>
      </w:pPr>
      <w:bookmarkStart w:id="23" w:name="_Toc12764"/>
      <w:r>
        <w:rPr>
          <w:rFonts w:hint="eastAsia" w:ascii="仿宋" w:hAnsi="仿宋" w:eastAsia="仿宋"/>
          <w:color w:val="auto"/>
          <w:highlight w:val="none"/>
        </w:rPr>
        <w:t>第二部分</w:t>
      </w:r>
      <w:bookmarkEnd w:id="6"/>
      <w:r>
        <w:rPr>
          <w:rFonts w:ascii="仿宋" w:hAnsi="仿宋" w:eastAsia="仿宋"/>
          <w:color w:val="auto"/>
          <w:highlight w:val="none"/>
        </w:rPr>
        <w:t xml:space="preserve"> </w:t>
      </w:r>
      <w:r>
        <w:rPr>
          <w:rFonts w:hint="eastAsia" w:ascii="仿宋" w:hAnsi="仿宋" w:eastAsia="仿宋"/>
          <w:color w:val="auto"/>
          <w:highlight w:val="none"/>
        </w:rPr>
        <w:t>投标人</w:t>
      </w:r>
      <w:r>
        <w:rPr>
          <w:rFonts w:ascii="仿宋" w:hAnsi="仿宋" w:eastAsia="仿宋"/>
          <w:color w:val="auto"/>
          <w:highlight w:val="none"/>
        </w:rPr>
        <w:t>须知</w:t>
      </w:r>
      <w:bookmarkEnd w:id="7"/>
      <w:bookmarkEnd w:id="18"/>
      <w:bookmarkEnd w:id="19"/>
      <w:bookmarkEnd w:id="20"/>
      <w:bookmarkEnd w:id="21"/>
      <w:bookmarkEnd w:id="22"/>
      <w:bookmarkEnd w:id="23"/>
    </w:p>
    <w:p>
      <w:pPr>
        <w:pStyle w:val="5"/>
        <w:jc w:val="center"/>
        <w:rPr>
          <w:rFonts w:ascii="仿宋" w:hAnsi="仿宋" w:eastAsia="仿宋"/>
          <w:color w:val="auto"/>
          <w:highlight w:val="none"/>
        </w:rPr>
      </w:pPr>
      <w:bookmarkStart w:id="24" w:name="_Toc275826939"/>
      <w:bookmarkStart w:id="25" w:name="_Toc26268"/>
      <w:bookmarkStart w:id="26" w:name="_Toc12938"/>
      <w:bookmarkStart w:id="27" w:name="_Toc28300"/>
      <w:bookmarkStart w:id="28" w:name="_Toc95312935"/>
      <w:bookmarkStart w:id="29" w:name="_Toc4935"/>
      <w:r>
        <w:rPr>
          <w:rFonts w:hint="eastAsia" w:ascii="仿宋" w:hAnsi="仿宋" w:eastAsia="仿宋"/>
          <w:color w:val="auto"/>
          <w:highlight w:val="none"/>
        </w:rPr>
        <w:t>前附表</w:t>
      </w:r>
      <w:bookmarkEnd w:id="24"/>
      <w:bookmarkEnd w:id="25"/>
      <w:bookmarkEnd w:id="26"/>
      <w:bookmarkEnd w:id="27"/>
      <w:bookmarkEnd w:id="28"/>
      <w:bookmarkEnd w:id="29"/>
    </w:p>
    <w:tbl>
      <w:tblPr>
        <w:tblStyle w:val="88"/>
        <w:tblW w:w="856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96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_GB2312"/>
                <w:color w:val="auto"/>
                <w:sz w:val="24"/>
                <w:highlight w:val="none"/>
              </w:rPr>
            </w:pPr>
            <w:r>
              <w:rPr>
                <w:rFonts w:ascii="仿宋" w:hAnsi="仿宋" w:eastAsia="仿宋" w:cs="仿宋_GB2312"/>
                <w:color w:val="auto"/>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b/>
                <w:bCs/>
                <w:color w:val="auto"/>
                <w:sz w:val="24"/>
                <w:highlight w:val="none"/>
              </w:rPr>
            </w:pPr>
            <w:bookmarkStart w:id="30" w:name="_Toc18461"/>
            <w:bookmarkStart w:id="31" w:name="_Toc1553653547"/>
            <w:bookmarkStart w:id="32" w:name="_Toc95736576"/>
            <w:bookmarkStart w:id="33" w:name="_Toc547338095"/>
            <w:bookmarkStart w:id="34" w:name="_Toc31589"/>
            <w:bookmarkStart w:id="35" w:name="_Toc31188"/>
            <w:bookmarkStart w:id="36" w:name="_Toc95312936"/>
            <w:r>
              <w:rPr>
                <w:rFonts w:hint="eastAsia" w:ascii="仿宋" w:hAnsi="仿宋" w:eastAsia="仿宋"/>
                <w:b/>
                <w:bCs/>
                <w:color w:val="auto"/>
                <w:sz w:val="24"/>
                <w:highlight w:val="none"/>
              </w:rPr>
              <w:t>本次报价须包含按采购文件要求完成本项目所需的所有费用</w:t>
            </w:r>
            <w:r>
              <w:rPr>
                <w:rFonts w:ascii="仿宋" w:hAnsi="仿宋" w:eastAsia="仿宋"/>
                <w:b/>
                <w:bCs/>
                <w:color w:val="auto"/>
                <w:sz w:val="24"/>
                <w:highlight w:val="none"/>
              </w:rPr>
              <w:t>(包括</w:t>
            </w:r>
            <w:r>
              <w:rPr>
                <w:rFonts w:hint="eastAsia" w:ascii="仿宋" w:hAnsi="仿宋" w:eastAsia="仿宋"/>
                <w:b/>
                <w:bCs/>
                <w:color w:val="auto"/>
                <w:sz w:val="24"/>
                <w:highlight w:val="none"/>
              </w:rPr>
              <w:t>设计、制作、安装、现场技术服务、人员交通食宿费、税金、</w:t>
            </w:r>
            <w:r>
              <w:rPr>
                <w:rFonts w:ascii="仿宋" w:hAnsi="仿宋" w:eastAsia="仿宋"/>
                <w:b/>
                <w:bCs/>
                <w:color w:val="auto"/>
                <w:sz w:val="24"/>
                <w:highlight w:val="none"/>
              </w:rPr>
              <w:t>保险等，一切费用均计入报价。对于保障本项目完整顺利实施的必须项，如上述未包含，供应商需自行测算及预估，且费用均已包含在报价中)。</w:t>
            </w:r>
          </w:p>
          <w:bookmarkEnd w:id="30"/>
          <w:bookmarkEnd w:id="31"/>
          <w:bookmarkEnd w:id="32"/>
          <w:bookmarkEnd w:id="33"/>
          <w:bookmarkEnd w:id="34"/>
          <w:bookmarkEnd w:id="35"/>
          <w:bookmarkEnd w:id="36"/>
          <w:p>
            <w:pPr>
              <w:snapToGrid w:val="0"/>
              <w:spacing w:line="360" w:lineRule="auto"/>
              <w:rPr>
                <w:rFonts w:ascii="仿宋" w:hAnsi="仿宋" w:eastAsia="仿宋"/>
                <w:b/>
                <w:bCs/>
                <w:color w:val="auto"/>
                <w:sz w:val="24"/>
                <w:highlight w:val="none"/>
                <w:lang w:val="zh-CN"/>
              </w:rPr>
            </w:pPr>
            <w:r>
              <w:rPr>
                <w:rFonts w:hint="eastAsia" w:ascii="仿宋" w:hAnsi="仿宋" w:eastAsia="仿宋"/>
                <w:b/>
                <w:bCs/>
                <w:color w:val="auto"/>
                <w:sz w:val="24"/>
                <w:highlight w:val="none"/>
                <w:lang w:val="zh-CN"/>
              </w:rPr>
              <w:t>投标报价出现下列情形的，投标无效：</w:t>
            </w:r>
          </w:p>
          <w:p>
            <w:pPr>
              <w:snapToGrid w:val="0"/>
              <w:spacing w:line="360" w:lineRule="auto"/>
              <w:rPr>
                <w:rFonts w:ascii="仿宋" w:hAnsi="仿宋" w:eastAsia="仿宋"/>
                <w:b/>
                <w:bCs/>
                <w:color w:val="auto"/>
                <w:sz w:val="24"/>
                <w:highlight w:val="none"/>
                <w:lang w:val="zh-CN"/>
              </w:rPr>
            </w:pPr>
            <w:r>
              <w:rPr>
                <w:rFonts w:hint="eastAsia" w:ascii="仿宋" w:hAnsi="仿宋" w:eastAsia="仿宋"/>
                <w:b/>
                <w:bCs/>
                <w:color w:val="auto"/>
                <w:sz w:val="24"/>
                <w:highlight w:val="none"/>
                <w:lang w:val="zh-CN"/>
              </w:rPr>
              <w:t>投标文件出现不是唯一的、有选择性投标报价的；</w:t>
            </w:r>
          </w:p>
          <w:p>
            <w:pPr>
              <w:snapToGrid w:val="0"/>
              <w:spacing w:line="360" w:lineRule="auto"/>
              <w:rPr>
                <w:rFonts w:ascii="仿宋" w:hAnsi="仿宋" w:eastAsia="仿宋"/>
                <w:b/>
                <w:bCs/>
                <w:color w:val="auto"/>
                <w:sz w:val="24"/>
                <w:highlight w:val="none"/>
                <w:lang w:val="zh-CN"/>
              </w:rPr>
            </w:pPr>
            <w:r>
              <w:rPr>
                <w:rFonts w:hint="eastAsia" w:ascii="仿宋" w:hAnsi="仿宋" w:eastAsia="仿宋"/>
                <w:b/>
                <w:bCs/>
                <w:color w:val="auto"/>
                <w:sz w:val="24"/>
                <w:highlight w:val="none"/>
                <w:lang w:val="zh-CN"/>
              </w:rPr>
              <w:t>投标报价超过采购文件中规定的预算金额或者最高限价的;</w:t>
            </w:r>
          </w:p>
          <w:p>
            <w:pPr>
              <w:snapToGrid w:val="0"/>
              <w:spacing w:line="360" w:lineRule="auto"/>
              <w:rPr>
                <w:rFonts w:ascii="仿宋" w:hAnsi="仿宋" w:eastAsia="仿宋"/>
                <w:b/>
                <w:bCs/>
                <w:color w:val="auto"/>
                <w:sz w:val="24"/>
                <w:highlight w:val="none"/>
              </w:rPr>
            </w:pPr>
            <w:r>
              <w:rPr>
                <w:rFonts w:hint="eastAsia" w:ascii="仿宋" w:hAnsi="仿宋" w:eastAsia="仿宋"/>
                <w:b/>
                <w:bCs/>
                <w:color w:val="auto"/>
                <w:sz w:val="24"/>
                <w:highlight w:val="none"/>
              </w:rPr>
              <w:t>报价明显低于其他通过符合性审查供应商的报价，有可能影响产品质量或者不能诚信履约的，未能按要求提供书面说明或者提交相关证明材料证明其报价合理性的;</w:t>
            </w:r>
          </w:p>
          <w:p>
            <w:pPr>
              <w:snapToGrid w:val="0"/>
              <w:spacing w:line="360" w:lineRule="auto"/>
              <w:ind w:left="-425" w:firstLine="482" w:firstLineChars="200"/>
              <w:rPr>
                <w:rFonts w:ascii="仿宋" w:hAnsi="仿宋" w:eastAsia="仿宋"/>
                <w:color w:val="auto"/>
                <w:sz w:val="24"/>
                <w:highlight w:val="none"/>
              </w:rPr>
            </w:pPr>
            <w:r>
              <w:rPr>
                <w:rFonts w:hint="eastAsia" w:ascii="仿宋" w:hAnsi="仿宋" w:eastAsia="仿宋"/>
                <w:b/>
                <w:bCs/>
                <w:color w:val="auto"/>
                <w:sz w:val="24"/>
                <w:highlight w:val="none"/>
              </w:rPr>
              <w:t>供应商对根据修正原则修正后的报价不确认的。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_GB2312"/>
                <w:color w:val="auto"/>
                <w:sz w:val="24"/>
                <w:highlight w:val="none"/>
              </w:rPr>
            </w:pPr>
            <w:bookmarkStart w:id="37" w:name="_Hlk96377661"/>
            <w:r>
              <w:rPr>
                <w:rFonts w:hint="eastAsia" w:ascii="仿宋" w:hAnsi="仿宋" w:eastAsia="仿宋" w:cs="仿宋_GB2312"/>
                <w:color w:val="auto"/>
                <w:sz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分包、转包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kern w:val="0"/>
                <w:sz w:val="24"/>
                <w:highlight w:val="none"/>
              </w:rPr>
            </w:pPr>
            <w:sdt>
              <w:sdtPr>
                <w:rPr>
                  <w:rFonts w:hint="eastAsia" w:ascii="宋体" w:hAnsi="宋体" w:cs="宋体"/>
                  <w:color w:val="auto"/>
                  <w:kern w:val="0"/>
                  <w:sz w:val="24"/>
                  <w:highlight w:val="none"/>
                </w:rPr>
                <w:id w:val="-1477286927"/>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ascii="Wingdings" w:hAnsi="Wingdings" w:cs="宋体"/>
                    <w:color w:val="auto"/>
                    <w:kern w:val="0"/>
                    <w:sz w:val="24"/>
                    <w:highlight w:val="none"/>
                  </w:rPr>
                  <w:t></w:t>
                </w:r>
              </w:sdtContent>
            </w:sdt>
            <w:r>
              <w:rPr>
                <w:rFonts w:hint="eastAsia" w:ascii="宋体" w:hAnsi="宋体" w:cs="宋体"/>
                <w:color w:val="auto"/>
                <w:kern w:val="0"/>
                <w:sz w:val="24"/>
                <w:highlight w:val="none"/>
              </w:rPr>
              <w:t xml:space="preserve"> </w:t>
            </w:r>
            <w:r>
              <w:rPr>
                <w:rFonts w:hint="eastAsia" w:ascii="仿宋" w:hAnsi="仿宋" w:eastAsia="仿宋" w:cs="仿宋"/>
                <w:color w:val="auto"/>
                <w:kern w:val="0"/>
                <w:sz w:val="24"/>
                <w:highlight w:val="none"/>
              </w:rPr>
              <w:t>A</w:t>
            </w:r>
            <w:r>
              <w:rPr>
                <w:rFonts w:hint="eastAsia" w:ascii="仿宋" w:hAnsi="仿宋" w:eastAsia="仿宋" w:cs="仿宋"/>
                <w:color w:val="auto"/>
                <w:sz w:val="24"/>
                <w:highlight w:val="none"/>
              </w:rPr>
              <w:t>同意将非主体、非关键性的</w:t>
            </w:r>
            <w:r>
              <w:rPr>
                <w:rFonts w:hint="eastAsia" w:ascii="仿宋" w:hAnsi="仿宋" w:eastAsia="仿宋" w:cs="仿宋"/>
                <w:b/>
                <w:color w:val="auto"/>
                <w:sz w:val="24"/>
                <w:highlight w:val="none"/>
                <w:u w:val="single"/>
              </w:rPr>
              <w:t>信息化设备集成</w:t>
            </w:r>
            <w:r>
              <w:rPr>
                <w:rFonts w:hint="eastAsia" w:ascii="仿宋" w:hAnsi="仿宋" w:eastAsia="仿宋" w:cs="仿宋"/>
                <w:color w:val="auto"/>
                <w:sz w:val="24"/>
                <w:highlight w:val="none"/>
              </w:rPr>
              <w:t>工作分包。</w:t>
            </w:r>
          </w:p>
          <w:p>
            <w:pPr>
              <w:spacing w:line="360" w:lineRule="auto"/>
              <w:rPr>
                <w:rFonts w:ascii="仿宋" w:hAnsi="仿宋" w:eastAsia="仿宋"/>
                <w:color w:val="auto"/>
                <w:highlight w:val="none"/>
              </w:rPr>
            </w:pPr>
            <w:sdt>
              <w:sdtPr>
                <w:rPr>
                  <w:rFonts w:hint="eastAsia" w:ascii="宋体" w:hAnsi="宋体" w:cs="宋体"/>
                  <w:color w:val="auto"/>
                  <w:kern w:val="0"/>
                  <w:sz w:val="24"/>
                  <w:highlight w:val="none"/>
                </w:rPr>
                <w:id w:val="-123577859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ascii="MS Gothic" w:hAnsi="MS Gothic" w:cs="宋体"/>
                    <w:color w:val="auto"/>
                    <w:kern w:val="0"/>
                    <w:sz w:val="24"/>
                    <w:highlight w:val="none"/>
                  </w:rPr>
                  <w:t>☐</w:t>
                </w:r>
              </w:sdtContent>
            </w:sdt>
            <w:r>
              <w:rPr>
                <w:rFonts w:hint="eastAsia" w:ascii="宋体" w:hAnsi="宋体" w:cs="宋体"/>
                <w:color w:val="auto"/>
                <w:kern w:val="0"/>
                <w:sz w:val="24"/>
                <w:highlight w:val="none"/>
              </w:rPr>
              <w:t xml:space="preserve"> </w:t>
            </w:r>
            <w:r>
              <w:rPr>
                <w:rFonts w:hint="eastAsia" w:ascii="仿宋" w:hAnsi="仿宋" w:eastAsia="仿宋" w:cs="仿宋"/>
                <w:color w:val="auto"/>
                <w:kern w:val="0"/>
                <w:sz w:val="24"/>
                <w:highlight w:val="none"/>
              </w:rPr>
              <w:t>B</w:t>
            </w:r>
            <w:r>
              <w:rPr>
                <w:rFonts w:hint="eastAsia" w:ascii="仿宋" w:hAnsi="仿宋" w:eastAsia="仿宋" w:cs="仿宋"/>
                <w:color w:val="auto"/>
                <w:sz w:val="24"/>
                <w:highlight w:val="none"/>
              </w:rPr>
              <w:t>不同意分包。</w:t>
            </w:r>
          </w:p>
        </w:tc>
      </w:tr>
      <w:bookmarkEnd w:id="37"/>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67"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3</w:t>
            </w:r>
          </w:p>
        </w:tc>
        <w:tc>
          <w:tcPr>
            <w:tcW w:w="1843" w:type="dxa"/>
            <w:tcBorders>
              <w:top w:val="single" w:color="000000" w:sz="8" w:space="0"/>
              <w:left w:val="single" w:color="auto" w:sz="4" w:space="0"/>
              <w:right w:val="single" w:color="000000" w:sz="8" w:space="0"/>
            </w:tcBorders>
            <w:vAlign w:val="center"/>
          </w:tcPr>
          <w:p>
            <w:pPr>
              <w:snapToGrid w:val="0"/>
              <w:spacing w:line="360" w:lineRule="auto"/>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供应商应当提供的资格证明文件</w:t>
            </w:r>
          </w:p>
        </w:tc>
        <w:tc>
          <w:tcPr>
            <w:tcW w:w="6095" w:type="dxa"/>
            <w:tcBorders>
              <w:top w:val="single" w:color="000000" w:sz="8" w:space="0"/>
              <w:left w:val="single" w:color="000000" w:sz="2" w:space="0"/>
              <w:right w:val="single" w:color="000000" w:sz="8" w:space="0"/>
            </w:tcBorders>
            <w:vAlign w:val="center"/>
          </w:tcPr>
          <w:p>
            <w:pPr>
              <w:snapToGrid w:val="0"/>
              <w:spacing w:line="360" w:lineRule="auto"/>
              <w:rPr>
                <w:rFonts w:ascii="仿宋" w:hAnsi="仿宋" w:eastAsia="仿宋"/>
                <w:color w:val="auto"/>
                <w:sz w:val="24"/>
                <w:highlight w:val="none"/>
              </w:rPr>
            </w:pPr>
            <w:r>
              <w:rPr>
                <w:rFonts w:ascii="仿宋" w:hAnsi="仿宋" w:eastAsia="仿宋"/>
                <w:color w:val="auto"/>
                <w:sz w:val="24"/>
                <w:highlight w:val="none"/>
              </w:rPr>
              <w:t>资格证明文件：见采购文件第二部分11.1。</w:t>
            </w:r>
          </w:p>
          <w:p>
            <w:pPr>
              <w:snapToGrid w:val="0"/>
              <w:spacing w:line="360" w:lineRule="auto"/>
              <w:rPr>
                <w:rFonts w:ascii="仿宋" w:hAnsi="仿宋" w:eastAsia="仿宋" w:cs="Arial"/>
                <w:snapToGrid w:val="0"/>
                <w:color w:val="auto"/>
                <w:kern w:val="0"/>
                <w:szCs w:val="21"/>
                <w:highlight w:val="none"/>
              </w:rPr>
            </w:pPr>
            <w:r>
              <w:rPr>
                <w:rFonts w:hint="eastAsia" w:ascii="仿宋" w:hAnsi="仿宋" w:eastAsia="仿宋"/>
                <w:color w:val="auto"/>
                <w:kern w:val="0"/>
                <w:sz w:val="24"/>
                <w:highlight w:val="none"/>
                <w:lang w:val="zh-CN"/>
              </w:rPr>
              <w:t>供应商未提供有效的资格证明文件的，视为供应商不具备采购文件中规定的资格要求，投标无效。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color w:val="auto"/>
                <w:sz w:val="24"/>
                <w:highlight w:val="none"/>
              </w:rPr>
            </w:pPr>
            <w:r>
              <w:rPr>
                <w:rFonts w:hint="eastAsia" w:ascii="仿宋" w:hAnsi="仿宋" w:eastAsia="仿宋" w:cs="Arial"/>
                <w:color w:val="auto"/>
                <w:kern w:val="0"/>
                <w:sz w:val="24"/>
                <w:highlight w:val="none"/>
              </w:rPr>
              <w:sym w:font="Wingdings" w:char="F0FE"/>
            </w:r>
            <w:r>
              <w:rPr>
                <w:rFonts w:ascii="仿宋" w:hAnsi="仿宋" w:eastAsia="仿宋" w:cs="Arial"/>
                <w:color w:val="auto"/>
                <w:kern w:val="0"/>
                <w:sz w:val="24"/>
                <w:highlight w:val="none"/>
              </w:rPr>
              <w:t>A</w:t>
            </w:r>
            <w:r>
              <w:rPr>
                <w:rFonts w:hint="eastAsia" w:ascii="仿宋" w:hAnsi="仿宋" w:eastAsia="仿宋"/>
                <w:color w:val="auto"/>
                <w:sz w:val="24"/>
                <w:highlight w:val="none"/>
              </w:rPr>
              <w:t>不组织。</w:t>
            </w:r>
          </w:p>
          <w:p>
            <w:pPr>
              <w:snapToGrid w:val="0"/>
              <w:spacing w:line="360" w:lineRule="auto"/>
              <w:rPr>
                <w:rFonts w:ascii="仿宋" w:hAnsi="仿宋" w:eastAsia="仿宋"/>
                <w:color w:val="auto"/>
                <w:sz w:val="24"/>
                <w:szCs w:val="20"/>
                <w:highlight w:val="none"/>
              </w:rPr>
            </w:pPr>
            <w:r>
              <w:rPr>
                <w:rFonts w:ascii="Segoe UI Symbol" w:hAnsi="Segoe UI Symbol" w:eastAsia="仿宋" w:cs="Segoe UI Symbol"/>
                <w:color w:val="auto"/>
                <w:kern w:val="0"/>
                <w:sz w:val="24"/>
                <w:highlight w:val="none"/>
              </w:rPr>
              <w:t>☐</w:t>
            </w:r>
            <w:r>
              <w:rPr>
                <w:rFonts w:ascii="仿宋" w:hAnsi="仿宋" w:eastAsia="仿宋"/>
                <w:color w:val="auto"/>
                <w:kern w:val="0"/>
                <w:sz w:val="24"/>
                <w:highlight w:val="none"/>
              </w:rPr>
              <w:t>B组织，</w:t>
            </w:r>
            <w:r>
              <w:rPr>
                <w:rFonts w:hint="eastAsia" w:ascii="仿宋" w:hAnsi="仿宋" w:eastAsia="仿宋"/>
                <w:color w:val="auto"/>
                <w:sz w:val="24"/>
                <w:highlight w:val="none"/>
              </w:rPr>
              <w:t>时间：</w:t>
            </w:r>
            <w:r>
              <w:rPr>
                <w:rFonts w:ascii="仿宋" w:hAnsi="仿宋" w:eastAsia="仿宋"/>
                <w:color w:val="auto"/>
                <w:sz w:val="24"/>
                <w:highlight w:val="none"/>
                <w:u w:val="single"/>
              </w:rPr>
              <w:t xml:space="preserve">      </w:t>
            </w:r>
            <w:r>
              <w:rPr>
                <w:rFonts w:ascii="仿宋" w:hAnsi="仿宋" w:eastAsia="仿宋"/>
                <w:color w:val="auto"/>
                <w:sz w:val="24"/>
                <w:highlight w:val="none"/>
              </w:rPr>
              <w:t>,地点：</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，联系人：</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，联系方式：</w:t>
            </w:r>
            <w:r>
              <w:rPr>
                <w:rFonts w:ascii="仿宋" w:hAnsi="仿宋" w:eastAsia="仿宋"/>
                <w:color w:val="auto"/>
                <w:sz w:val="24"/>
                <w:highlight w:val="none"/>
                <w:u w:val="single"/>
              </w:rPr>
              <w:t xml:space="preserve">      </w:t>
            </w:r>
            <w:r>
              <w:rPr>
                <w:rFonts w:hint="eastAsia" w:ascii="仿宋" w:hAnsi="仿宋" w:eastAsia="仿宋"/>
                <w:color w:val="auto"/>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color w:val="auto"/>
                <w:sz w:val="24"/>
                <w:highlight w:val="none"/>
              </w:rPr>
            </w:pPr>
            <w:r>
              <w:rPr>
                <w:rFonts w:hint="eastAsia" w:ascii="仿宋" w:hAnsi="仿宋" w:eastAsia="仿宋" w:cs="Arial"/>
                <w:color w:val="auto"/>
                <w:kern w:val="0"/>
                <w:sz w:val="24"/>
                <w:highlight w:val="none"/>
              </w:rPr>
              <w:sym w:font="Wingdings" w:char="F0FE"/>
            </w:r>
            <w:r>
              <w:rPr>
                <w:rFonts w:ascii="仿宋" w:hAnsi="仿宋" w:eastAsia="仿宋" w:cs="Arial"/>
                <w:color w:val="auto"/>
                <w:kern w:val="0"/>
                <w:sz w:val="24"/>
                <w:highlight w:val="none"/>
              </w:rPr>
              <w:t>A</w:t>
            </w:r>
            <w:r>
              <w:rPr>
                <w:rFonts w:hint="eastAsia" w:ascii="仿宋" w:hAnsi="仿宋" w:eastAsia="仿宋"/>
                <w:color w:val="auto"/>
                <w:sz w:val="24"/>
                <w:highlight w:val="none"/>
              </w:rPr>
              <w:t>不要求提供。</w:t>
            </w:r>
          </w:p>
          <w:p>
            <w:pPr>
              <w:snapToGrid w:val="0"/>
              <w:spacing w:line="360" w:lineRule="auto"/>
              <w:rPr>
                <w:rFonts w:ascii="仿宋" w:hAnsi="仿宋" w:eastAsia="仿宋"/>
                <w:color w:val="auto"/>
                <w:kern w:val="0"/>
                <w:sz w:val="24"/>
                <w:highlight w:val="none"/>
              </w:rPr>
            </w:pPr>
            <w:r>
              <w:rPr>
                <w:rFonts w:ascii="Segoe UI Symbol" w:hAnsi="Segoe UI Symbol" w:eastAsia="仿宋" w:cs="Segoe UI Symbol"/>
                <w:color w:val="auto"/>
                <w:kern w:val="0"/>
                <w:sz w:val="24"/>
                <w:highlight w:val="none"/>
              </w:rPr>
              <w:t>☐</w:t>
            </w:r>
            <w:r>
              <w:rPr>
                <w:rFonts w:ascii="仿宋" w:hAnsi="仿宋" w:eastAsia="仿宋"/>
                <w:color w:val="auto"/>
                <w:kern w:val="0"/>
                <w:sz w:val="24"/>
                <w:highlight w:val="none"/>
              </w:rPr>
              <w:t>B</w:t>
            </w:r>
            <w:r>
              <w:rPr>
                <w:rFonts w:hint="eastAsia" w:ascii="仿宋" w:hAnsi="仿宋" w:eastAsia="仿宋"/>
                <w:color w:val="auto"/>
                <w:kern w:val="0"/>
                <w:sz w:val="24"/>
                <w:highlight w:val="none"/>
              </w:rPr>
              <w:t>要求提供，</w:t>
            </w:r>
          </w:p>
          <w:p>
            <w:pPr>
              <w:numPr>
                <w:ilvl w:val="0"/>
                <w:numId w:val="15"/>
              </w:numPr>
              <w:snapToGrid w:val="0"/>
              <w:spacing w:line="360" w:lineRule="auto"/>
              <w:ind w:left="0"/>
              <w:rPr>
                <w:rFonts w:ascii="仿宋" w:hAnsi="仿宋" w:eastAsia="仿宋"/>
                <w:color w:val="auto"/>
                <w:kern w:val="0"/>
                <w:sz w:val="24"/>
                <w:highlight w:val="none"/>
              </w:rPr>
            </w:pPr>
            <w:r>
              <w:rPr>
                <w:rFonts w:hint="eastAsia" w:ascii="仿宋" w:hAnsi="仿宋" w:eastAsia="仿宋"/>
                <w:snapToGrid w:val="0"/>
                <w:color w:val="auto"/>
                <w:kern w:val="28"/>
                <w:sz w:val="24"/>
                <w:highlight w:val="none"/>
              </w:rPr>
              <w:t>样品：</w:t>
            </w:r>
            <w:r>
              <w:rPr>
                <w:rFonts w:hint="eastAsia" w:ascii="仿宋" w:hAnsi="仿宋" w:eastAsia="仿宋"/>
                <w:color w:val="auto"/>
                <w:sz w:val="24"/>
                <w:highlight w:val="none"/>
                <w:u w:val="single"/>
              </w:rPr>
              <w:t xml:space="preserve">    </w:t>
            </w:r>
            <w:r>
              <w:rPr>
                <w:rFonts w:hint="eastAsia" w:ascii="仿宋" w:hAnsi="仿宋" w:eastAsia="仿宋"/>
                <w:color w:val="auto"/>
                <w:kern w:val="0"/>
                <w:sz w:val="24"/>
                <w:highlight w:val="none"/>
              </w:rPr>
              <w:t>；</w:t>
            </w:r>
          </w:p>
          <w:p>
            <w:pPr>
              <w:numPr>
                <w:ilvl w:val="0"/>
                <w:numId w:val="15"/>
              </w:numPr>
              <w:snapToGrid w:val="0"/>
              <w:spacing w:line="360" w:lineRule="auto"/>
              <w:ind w:left="0"/>
              <w:rPr>
                <w:rFonts w:ascii="仿宋" w:hAnsi="仿宋" w:eastAsia="仿宋"/>
                <w:color w:val="auto"/>
                <w:kern w:val="0"/>
                <w:sz w:val="24"/>
                <w:highlight w:val="none"/>
              </w:rPr>
            </w:pPr>
            <w:r>
              <w:rPr>
                <w:rFonts w:hint="eastAsia" w:ascii="仿宋" w:hAnsi="仿宋" w:eastAsia="仿宋"/>
                <w:snapToGrid w:val="0"/>
                <w:color w:val="auto"/>
                <w:kern w:val="28"/>
                <w:sz w:val="24"/>
                <w:highlight w:val="none"/>
              </w:rPr>
              <w:t>样品制作的标准和要求：</w:t>
            </w:r>
            <w:r>
              <w:rPr>
                <w:rFonts w:hint="eastAsia" w:ascii="仿宋" w:hAnsi="仿宋" w:eastAsia="仿宋"/>
                <w:color w:val="auto"/>
                <w:sz w:val="24"/>
                <w:highlight w:val="none"/>
                <w:u w:val="single"/>
              </w:rPr>
              <w:t xml:space="preserve">    </w:t>
            </w:r>
            <w:r>
              <w:rPr>
                <w:rFonts w:hint="eastAsia" w:ascii="仿宋" w:hAnsi="仿宋" w:eastAsia="仿宋"/>
                <w:color w:val="auto"/>
                <w:kern w:val="0"/>
                <w:sz w:val="24"/>
                <w:highlight w:val="none"/>
              </w:rPr>
              <w:t>；</w:t>
            </w:r>
          </w:p>
          <w:p>
            <w:pPr>
              <w:numPr>
                <w:ilvl w:val="0"/>
                <w:numId w:val="15"/>
              </w:numPr>
              <w:snapToGrid w:val="0"/>
              <w:spacing w:line="360" w:lineRule="auto"/>
              <w:ind w:left="0"/>
              <w:rPr>
                <w:rFonts w:ascii="仿宋" w:hAnsi="仿宋" w:eastAsia="仿宋"/>
                <w:color w:val="auto"/>
                <w:kern w:val="0"/>
                <w:sz w:val="24"/>
                <w:highlight w:val="none"/>
              </w:rPr>
            </w:pPr>
            <w:r>
              <w:rPr>
                <w:rFonts w:ascii="仿宋" w:hAnsi="仿宋" w:eastAsia="仿宋"/>
                <w:color w:val="auto"/>
                <w:kern w:val="0"/>
                <w:sz w:val="24"/>
                <w:highlight w:val="none"/>
              </w:rPr>
              <w:t>样品的评审方法以及评审标准</w:t>
            </w:r>
            <w:r>
              <w:rPr>
                <w:rFonts w:hint="eastAsia" w:ascii="仿宋" w:hAnsi="仿宋" w:eastAsia="仿宋"/>
                <w:snapToGrid w:val="0"/>
                <w:color w:val="auto"/>
                <w:kern w:val="28"/>
                <w:sz w:val="24"/>
                <w:highlight w:val="none"/>
              </w:rPr>
              <w:t>：详见</w:t>
            </w:r>
            <w:r>
              <w:rPr>
                <w:rFonts w:hint="eastAsia" w:ascii="仿宋" w:hAnsi="仿宋" w:eastAsia="仿宋"/>
                <w:color w:val="auto"/>
                <w:sz w:val="24"/>
                <w:highlight w:val="none"/>
                <w:u w:val="single"/>
              </w:rPr>
              <w:t>评标办法</w:t>
            </w:r>
            <w:r>
              <w:rPr>
                <w:rFonts w:hint="eastAsia" w:ascii="仿宋" w:hAnsi="仿宋" w:eastAsia="仿宋"/>
                <w:color w:val="auto"/>
                <w:kern w:val="0"/>
                <w:sz w:val="24"/>
                <w:highlight w:val="none"/>
              </w:rPr>
              <w:t>；</w:t>
            </w:r>
          </w:p>
          <w:p>
            <w:pPr>
              <w:numPr>
                <w:ilvl w:val="0"/>
                <w:numId w:val="15"/>
              </w:numPr>
              <w:snapToGrid w:val="0"/>
              <w:spacing w:line="360" w:lineRule="auto"/>
              <w:ind w:left="0"/>
              <w:rPr>
                <w:rFonts w:ascii="仿宋" w:hAnsi="仿宋" w:eastAsia="仿宋"/>
                <w:color w:val="auto"/>
                <w:kern w:val="0"/>
                <w:sz w:val="24"/>
                <w:highlight w:val="none"/>
              </w:rPr>
            </w:pPr>
            <w:r>
              <w:rPr>
                <w:rFonts w:ascii="仿宋" w:hAnsi="仿宋" w:eastAsia="仿宋"/>
                <w:color w:val="auto"/>
                <w:kern w:val="0"/>
                <w:sz w:val="24"/>
                <w:highlight w:val="none"/>
              </w:rPr>
              <w:t>是否需要随样品提交检测报告</w:t>
            </w:r>
            <w:r>
              <w:rPr>
                <w:rFonts w:hint="eastAsia" w:ascii="仿宋" w:hAnsi="仿宋" w:eastAsia="仿宋"/>
                <w:color w:val="auto"/>
                <w:kern w:val="0"/>
                <w:sz w:val="24"/>
                <w:highlight w:val="none"/>
              </w:rPr>
              <w:t>：</w:t>
            </w:r>
            <w:r>
              <w:rPr>
                <w:rFonts w:ascii="Segoe UI Symbol" w:hAnsi="Segoe UI Symbol" w:eastAsia="仿宋" w:cs="Segoe UI Symbol"/>
                <w:color w:val="auto"/>
                <w:kern w:val="0"/>
                <w:sz w:val="24"/>
                <w:highlight w:val="none"/>
              </w:rPr>
              <w:t>☐</w:t>
            </w:r>
            <w:r>
              <w:rPr>
                <w:rFonts w:ascii="仿宋" w:hAnsi="仿宋" w:eastAsia="仿宋"/>
                <w:color w:val="auto"/>
                <w:kern w:val="0"/>
                <w:sz w:val="24"/>
                <w:highlight w:val="none"/>
              </w:rPr>
              <w:t>否；</w:t>
            </w:r>
            <w:r>
              <w:rPr>
                <w:rFonts w:ascii="Segoe UI Symbol" w:hAnsi="Segoe UI Symbol" w:eastAsia="仿宋" w:cs="Segoe UI Symbol"/>
                <w:color w:val="auto"/>
                <w:kern w:val="0"/>
                <w:sz w:val="24"/>
                <w:highlight w:val="none"/>
              </w:rPr>
              <w:t>☐</w:t>
            </w:r>
            <w:r>
              <w:rPr>
                <w:rFonts w:ascii="仿宋" w:hAnsi="仿宋" w:eastAsia="仿宋"/>
                <w:color w:val="auto"/>
                <w:kern w:val="0"/>
                <w:sz w:val="24"/>
                <w:highlight w:val="none"/>
              </w:rPr>
              <w:t>是，检测机构的要求</w:t>
            </w:r>
            <w:r>
              <w:rPr>
                <w:rFonts w:hint="eastAsia" w:ascii="仿宋" w:hAnsi="仿宋" w:eastAsia="仿宋"/>
                <w:color w:val="auto"/>
                <w:sz w:val="24"/>
                <w:highlight w:val="none"/>
              </w:rPr>
              <w:t>：</w:t>
            </w:r>
            <w:r>
              <w:rPr>
                <w:rFonts w:hint="eastAsia" w:ascii="仿宋" w:hAnsi="仿宋" w:eastAsia="仿宋"/>
                <w:color w:val="auto"/>
                <w:sz w:val="24"/>
                <w:highlight w:val="none"/>
                <w:u w:val="single"/>
              </w:rPr>
              <w:t xml:space="preserve">    </w:t>
            </w:r>
            <w:r>
              <w:rPr>
                <w:rFonts w:hint="eastAsia" w:ascii="仿宋" w:hAnsi="仿宋" w:eastAsia="仿宋"/>
                <w:color w:val="auto"/>
                <w:kern w:val="0"/>
                <w:sz w:val="24"/>
                <w:highlight w:val="none"/>
              </w:rPr>
              <w:t>；检测内容</w:t>
            </w:r>
            <w:r>
              <w:rPr>
                <w:rFonts w:hint="eastAsia" w:ascii="仿宋" w:hAnsi="仿宋" w:eastAsia="仿宋"/>
                <w:color w:val="auto"/>
                <w:sz w:val="24"/>
                <w:highlight w:val="none"/>
              </w:rPr>
              <w:t>：</w:t>
            </w:r>
            <w:r>
              <w:rPr>
                <w:rFonts w:hint="eastAsia" w:ascii="仿宋" w:hAnsi="仿宋" w:eastAsia="仿宋"/>
                <w:color w:val="auto"/>
                <w:sz w:val="24"/>
                <w:highlight w:val="none"/>
                <w:u w:val="single"/>
              </w:rPr>
              <w:t xml:space="preserve">    </w:t>
            </w:r>
            <w:r>
              <w:rPr>
                <w:rFonts w:hint="eastAsia" w:ascii="仿宋" w:hAnsi="仿宋" w:eastAsia="仿宋"/>
                <w:color w:val="auto"/>
                <w:kern w:val="0"/>
                <w:sz w:val="24"/>
                <w:highlight w:val="none"/>
              </w:rPr>
              <w:t>。</w:t>
            </w:r>
          </w:p>
          <w:p>
            <w:pPr>
              <w:numPr>
                <w:ilvl w:val="0"/>
                <w:numId w:val="15"/>
              </w:numPr>
              <w:snapToGrid w:val="0"/>
              <w:spacing w:line="360" w:lineRule="auto"/>
              <w:ind w:left="0"/>
              <w:rPr>
                <w:rFonts w:ascii="仿宋" w:hAnsi="仿宋" w:eastAsia="仿宋"/>
                <w:color w:val="auto"/>
                <w:sz w:val="24"/>
                <w:highlight w:val="none"/>
              </w:rPr>
            </w:pPr>
            <w:r>
              <w:rPr>
                <w:rFonts w:ascii="仿宋" w:hAnsi="仿宋" w:eastAsia="仿宋"/>
                <w:color w:val="auto"/>
                <w:sz w:val="24"/>
                <w:highlight w:val="none"/>
              </w:rPr>
              <w:t>提供样品的时间：</w:t>
            </w:r>
            <w:r>
              <w:rPr>
                <w:rFonts w:hint="eastAsia" w:ascii="仿宋" w:hAnsi="仿宋" w:eastAsia="仿宋"/>
                <w:color w:val="auto"/>
                <w:sz w:val="24"/>
                <w:highlight w:val="none"/>
                <w:u w:val="single"/>
              </w:rPr>
              <w:t xml:space="preserve">    </w:t>
            </w:r>
            <w:r>
              <w:rPr>
                <w:rFonts w:hint="eastAsia" w:ascii="仿宋" w:hAnsi="仿宋" w:eastAsia="仿宋"/>
                <w:color w:val="auto"/>
                <w:kern w:val="0"/>
                <w:sz w:val="24"/>
                <w:highlight w:val="none"/>
              </w:rPr>
              <w:t>；地点：</w:t>
            </w:r>
            <w:r>
              <w:rPr>
                <w:rFonts w:hint="eastAsia" w:ascii="仿宋" w:hAnsi="仿宋" w:eastAsia="仿宋"/>
                <w:color w:val="auto"/>
                <w:sz w:val="24"/>
                <w:highlight w:val="none"/>
                <w:u w:val="single"/>
              </w:rPr>
              <w:t xml:space="preserve">    </w:t>
            </w:r>
            <w:r>
              <w:rPr>
                <w:rFonts w:hint="eastAsia" w:ascii="仿宋" w:hAnsi="仿宋" w:eastAsia="仿宋"/>
                <w:color w:val="auto"/>
                <w:kern w:val="0"/>
                <w:sz w:val="24"/>
                <w:highlight w:val="none"/>
              </w:rPr>
              <w:t>；联系人</w:t>
            </w:r>
            <w:r>
              <w:rPr>
                <w:rFonts w:hint="eastAsia" w:ascii="仿宋" w:hAnsi="仿宋" w:eastAsia="仿宋"/>
                <w:color w:val="auto"/>
                <w:sz w:val="24"/>
                <w:highlight w:val="none"/>
              </w:rPr>
              <w:t>：</w:t>
            </w:r>
            <w:r>
              <w:rPr>
                <w:rFonts w:hint="eastAsia" w:ascii="仿宋" w:hAnsi="仿宋" w:eastAsia="仿宋"/>
                <w:color w:val="auto"/>
                <w:sz w:val="24"/>
                <w:highlight w:val="none"/>
                <w:u w:val="single"/>
              </w:rPr>
              <w:t xml:space="preserve">   </w:t>
            </w:r>
            <w:r>
              <w:rPr>
                <w:rFonts w:hint="eastAsia" w:ascii="仿宋" w:hAnsi="仿宋" w:eastAsia="仿宋"/>
                <w:color w:val="auto"/>
                <w:sz w:val="24"/>
                <w:highlight w:val="none"/>
              </w:rPr>
              <w:t>，</w:t>
            </w:r>
            <w:r>
              <w:rPr>
                <w:rFonts w:hint="eastAsia" w:ascii="仿宋" w:hAnsi="仿宋" w:eastAsia="仿宋"/>
                <w:color w:val="auto"/>
                <w:kern w:val="28"/>
                <w:sz w:val="24"/>
                <w:highlight w:val="none"/>
              </w:rPr>
              <w:t>联系电话：</w:t>
            </w:r>
            <w:r>
              <w:rPr>
                <w:rFonts w:hint="eastAsia" w:ascii="仿宋" w:hAnsi="仿宋" w:eastAsia="仿宋"/>
                <w:color w:val="auto"/>
                <w:sz w:val="24"/>
                <w:highlight w:val="none"/>
                <w:u w:val="single"/>
              </w:rPr>
              <w:t xml:space="preserve">    </w:t>
            </w:r>
            <w:r>
              <w:rPr>
                <w:rFonts w:hint="eastAsia" w:ascii="仿宋" w:hAnsi="仿宋" w:eastAsia="仿宋"/>
                <w:color w:val="auto"/>
                <w:sz w:val="24"/>
                <w:highlight w:val="none"/>
              </w:rPr>
              <w:t>。请供应商在上述时间内提供样品并按规定位置安装完毕。超过截止时间的，采购人或采购代理机构将不予接收，并将清场并封闭样品现场。</w:t>
            </w:r>
          </w:p>
          <w:p>
            <w:pPr>
              <w:numPr>
                <w:ilvl w:val="0"/>
                <w:numId w:val="15"/>
              </w:numPr>
              <w:snapToGrid w:val="0"/>
              <w:spacing w:line="360" w:lineRule="auto"/>
              <w:ind w:left="0"/>
              <w:rPr>
                <w:rFonts w:ascii="仿宋" w:hAnsi="仿宋" w:eastAsia="仿宋"/>
                <w:color w:val="auto"/>
                <w:highlight w:val="none"/>
              </w:rPr>
            </w:pPr>
            <w:r>
              <w:rPr>
                <w:rFonts w:ascii="仿宋" w:hAnsi="仿宋" w:eastAsia="仿宋"/>
                <w:color w:val="auto"/>
                <w:sz w:val="24"/>
                <w:highlight w:val="none"/>
              </w:rPr>
              <w:t>采购活动结束后，对于未中标人提供的样品，</w:t>
            </w:r>
            <w:r>
              <w:rPr>
                <w:rFonts w:hint="eastAsia" w:ascii="仿宋" w:hAnsi="仿宋" w:eastAsia="仿宋"/>
                <w:color w:val="auto"/>
                <w:sz w:val="24"/>
                <w:highlight w:val="none"/>
              </w:rPr>
              <w:t>采购人、采购代理机构将通知</w:t>
            </w:r>
            <w:r>
              <w:rPr>
                <w:rFonts w:ascii="仿宋" w:hAnsi="仿宋" w:eastAsia="仿宋"/>
                <w:color w:val="auto"/>
                <w:sz w:val="24"/>
                <w:highlight w:val="none"/>
              </w:rPr>
              <w:t>未中标人</w:t>
            </w:r>
            <w:r>
              <w:rPr>
                <w:rFonts w:hint="eastAsia" w:ascii="仿宋" w:hAnsi="仿宋" w:eastAsia="仿宋"/>
                <w:color w:val="auto"/>
                <w:sz w:val="24"/>
                <w:highlight w:val="none"/>
              </w:rPr>
              <w:t>在规定的时间内取回，逾期未取回的，采购人、采购代理机构不负保管义务</w:t>
            </w:r>
            <w:r>
              <w:rPr>
                <w:rFonts w:ascii="仿宋" w:hAnsi="仿宋" w:eastAsia="仿宋"/>
                <w:color w:val="auto"/>
                <w:sz w:val="24"/>
                <w:highlight w:val="none"/>
              </w:rPr>
              <w:t>；对于中标人提供的样品，</w:t>
            </w:r>
            <w:r>
              <w:rPr>
                <w:rFonts w:hint="eastAsia" w:ascii="仿宋" w:hAnsi="仿宋" w:eastAsia="仿宋"/>
                <w:color w:val="auto"/>
                <w:sz w:val="24"/>
                <w:highlight w:val="none"/>
              </w:rPr>
              <w:t>采购人将进</w:t>
            </w:r>
            <w:r>
              <w:rPr>
                <w:rFonts w:ascii="仿宋" w:hAnsi="仿宋" w:eastAsia="仿宋"/>
                <w:color w:val="auto"/>
                <w:sz w:val="24"/>
                <w:highlight w:val="none"/>
              </w:rPr>
              <w:t>行保管、封存，并作为履约验收的参考。</w:t>
            </w:r>
          </w:p>
          <w:p>
            <w:pPr>
              <w:numPr>
                <w:ilvl w:val="0"/>
                <w:numId w:val="15"/>
              </w:numPr>
              <w:snapToGrid w:val="0"/>
              <w:spacing w:line="360" w:lineRule="auto"/>
              <w:ind w:left="0"/>
              <w:rPr>
                <w:rFonts w:ascii="仿宋" w:hAnsi="仿宋" w:eastAsia="仿宋"/>
                <w:b/>
                <w:color w:val="auto"/>
                <w:sz w:val="24"/>
                <w:highlight w:val="none"/>
              </w:rPr>
            </w:pPr>
            <w:r>
              <w:rPr>
                <w:rFonts w:ascii="仿宋" w:hAnsi="仿宋" w:eastAsia="仿宋"/>
                <w:color w:val="auto"/>
                <w:sz w:val="24"/>
                <w:highlight w:val="none"/>
              </w:rPr>
              <w:t>制作、运输、安装和保管样品所发生的一切费用由供应商自理。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Cs/>
                <w:color w:val="auto"/>
                <w:sz w:val="24"/>
                <w:highlight w:val="none"/>
              </w:rPr>
            </w:pPr>
            <w:r>
              <w:rPr>
                <w:rFonts w:hint="eastAsia" w:ascii="仿宋" w:hAnsi="仿宋" w:eastAsia="仿宋" w:cs="仿宋_GB2312"/>
                <w:b/>
                <w:color w:val="auto"/>
                <w:sz w:val="24"/>
                <w:highlight w:val="none"/>
              </w:rPr>
              <w:t>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color w:val="auto"/>
                <w:kern w:val="0"/>
                <w:sz w:val="24"/>
                <w:highlight w:val="none"/>
              </w:rPr>
            </w:pPr>
            <w:r>
              <w:rPr>
                <w:rFonts w:ascii="Segoe UI Symbol" w:hAnsi="Segoe UI Symbol" w:eastAsia="仿宋" w:cs="Segoe UI Symbol"/>
                <w:color w:val="auto"/>
                <w:kern w:val="0"/>
                <w:sz w:val="24"/>
                <w:highlight w:val="none"/>
              </w:rPr>
              <w:t>☐</w:t>
            </w:r>
            <w:r>
              <w:rPr>
                <w:rFonts w:ascii="仿宋" w:hAnsi="仿宋" w:eastAsia="仿宋"/>
                <w:color w:val="auto"/>
                <w:kern w:val="0"/>
                <w:sz w:val="24"/>
                <w:highlight w:val="none"/>
              </w:rPr>
              <w:t>A</w:t>
            </w:r>
            <w:r>
              <w:rPr>
                <w:rFonts w:hint="eastAsia" w:ascii="仿宋" w:hAnsi="仿宋" w:eastAsia="仿宋"/>
                <w:color w:val="auto"/>
                <w:kern w:val="0"/>
                <w:sz w:val="24"/>
                <w:highlight w:val="none"/>
              </w:rPr>
              <w:t>不组织。</w:t>
            </w:r>
          </w:p>
          <w:p>
            <w:pPr>
              <w:snapToGrid w:val="0"/>
              <w:spacing w:line="360" w:lineRule="auto"/>
              <w:rPr>
                <w:rFonts w:ascii="仿宋" w:hAnsi="仿宋" w:eastAsia="仿宋"/>
                <w:color w:val="auto"/>
                <w:kern w:val="0"/>
                <w:sz w:val="24"/>
                <w:highlight w:val="none"/>
              </w:rPr>
            </w:pPr>
            <w:r>
              <w:rPr>
                <w:rFonts w:hint="eastAsia" w:ascii="仿宋" w:hAnsi="仿宋" w:eastAsia="仿宋"/>
                <w:color w:val="auto"/>
                <w:kern w:val="0"/>
                <w:sz w:val="24"/>
                <w:highlight w:val="none"/>
              </w:rPr>
              <w:sym w:font="Wingdings" w:char="F0FE"/>
            </w:r>
            <w:r>
              <w:rPr>
                <w:rFonts w:ascii="仿宋" w:hAnsi="仿宋" w:eastAsia="仿宋"/>
                <w:color w:val="auto"/>
                <w:kern w:val="0"/>
                <w:sz w:val="24"/>
                <w:highlight w:val="none"/>
              </w:rPr>
              <w:t>B组织。</w:t>
            </w:r>
          </w:p>
          <w:p>
            <w:pPr>
              <w:pStyle w:val="36"/>
              <w:ind w:firstLine="0" w:firstLineChars="0"/>
              <w:rPr>
                <w:color w:val="auto"/>
                <w:highlight w:val="none"/>
              </w:rPr>
            </w:pPr>
            <w:r>
              <w:rPr>
                <w:rFonts w:hint="eastAsia" w:ascii="仿宋" w:hAnsi="仿宋" w:eastAsia="仿宋" w:cs="宋体"/>
                <w:color w:val="auto"/>
                <w:highlight w:val="none"/>
              </w:rPr>
              <w:t>设计方案多媒体演示，文件的演示时间不超过10分钟（普通话口语）</w:t>
            </w:r>
            <w:r>
              <w:rPr>
                <w:rFonts w:hint="eastAsia" w:ascii="仿宋" w:hAnsi="仿宋" w:eastAsia="仿宋"/>
                <w:color w:val="auto"/>
                <w:kern w:val="0"/>
                <w:highlight w:val="none"/>
              </w:rPr>
              <w:t>演示地点：</w:t>
            </w:r>
            <w:r>
              <w:rPr>
                <w:rFonts w:hint="eastAsia" w:ascii="仿宋" w:hAnsi="仿宋" w:eastAsia="仿宋"/>
                <w:color w:val="auto"/>
                <w:kern w:val="28"/>
                <w:highlight w:val="none"/>
                <w:u w:val="single"/>
              </w:rPr>
              <w:t xml:space="preserve"> </w:t>
            </w:r>
            <w:r>
              <w:rPr>
                <w:rFonts w:ascii="仿宋" w:hAnsi="仿宋" w:eastAsia="仿宋"/>
                <w:color w:val="auto"/>
                <w:kern w:val="28"/>
                <w:highlight w:val="none"/>
                <w:u w:val="single"/>
              </w:rPr>
              <w:t xml:space="preserve">           </w:t>
            </w:r>
            <w:r>
              <w:rPr>
                <w:rFonts w:hint="eastAsia" w:ascii="仿宋" w:hAnsi="仿宋" w:eastAsia="仿宋"/>
                <w:color w:val="auto"/>
                <w:kern w:val="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color w:val="auto"/>
                <w:sz w:val="24"/>
                <w:highlight w:val="none"/>
              </w:rPr>
            </w:pPr>
            <w:r>
              <w:rPr>
                <w:rFonts w:ascii="Segoe UI Symbol" w:hAnsi="Segoe UI Symbol" w:eastAsia="仿宋" w:cs="Segoe UI Symbol"/>
                <w:color w:val="auto"/>
                <w:kern w:val="0"/>
                <w:sz w:val="24"/>
                <w:highlight w:val="none"/>
              </w:rPr>
              <w:t>☐</w:t>
            </w:r>
            <w:r>
              <w:rPr>
                <w:rFonts w:ascii="仿宋" w:hAnsi="仿宋" w:eastAsia="仿宋" w:cs="Arial"/>
                <w:color w:val="auto"/>
                <w:kern w:val="0"/>
                <w:sz w:val="24"/>
                <w:highlight w:val="none"/>
              </w:rPr>
              <w:t>A</w:t>
            </w:r>
            <w:r>
              <w:rPr>
                <w:rFonts w:hint="eastAsia" w:ascii="仿宋" w:hAnsi="仿宋" w:eastAsia="仿宋"/>
                <w:color w:val="auto"/>
                <w:sz w:val="24"/>
                <w:highlight w:val="none"/>
              </w:rPr>
              <w:t>货物类，单一产品或</w:t>
            </w:r>
            <w:r>
              <w:rPr>
                <w:rFonts w:hint="eastAsia" w:ascii="仿宋" w:hAnsi="仿宋" w:eastAsia="仿宋"/>
                <w:color w:val="auto"/>
                <w:kern w:val="0"/>
                <w:sz w:val="24"/>
                <w:highlight w:val="none"/>
              </w:rPr>
              <w:t>核心产品为：</w:t>
            </w:r>
            <w:r>
              <w:rPr>
                <w:rFonts w:hint="eastAsia" w:ascii="仿宋" w:hAnsi="仿宋" w:eastAsia="仿宋"/>
                <w:b/>
                <w:bCs/>
                <w:color w:val="auto"/>
                <w:sz w:val="24"/>
                <w:highlight w:val="none"/>
                <w:u w:val="single"/>
              </w:rPr>
              <w:t xml:space="preserve"> </w:t>
            </w:r>
            <w:r>
              <w:rPr>
                <w:rFonts w:ascii="仿宋" w:hAnsi="仿宋" w:eastAsia="仿宋"/>
                <w:b/>
                <w:bCs/>
                <w:color w:val="auto"/>
                <w:sz w:val="24"/>
                <w:highlight w:val="none"/>
                <w:u w:val="single"/>
              </w:rPr>
              <w:t xml:space="preserve">         </w:t>
            </w:r>
            <w:r>
              <w:rPr>
                <w:rFonts w:hint="eastAsia" w:ascii="仿宋" w:hAnsi="仿宋" w:eastAsia="仿宋"/>
                <w:color w:val="auto"/>
                <w:sz w:val="24"/>
                <w:highlight w:val="none"/>
              </w:rPr>
              <w:t>。</w:t>
            </w:r>
          </w:p>
          <w:p>
            <w:pPr>
              <w:snapToGrid w:val="0"/>
              <w:spacing w:line="360" w:lineRule="auto"/>
              <w:rPr>
                <w:rFonts w:ascii="仿宋" w:hAnsi="仿宋" w:eastAsia="仿宋"/>
                <w:color w:val="auto"/>
                <w:sz w:val="24"/>
                <w:highlight w:val="none"/>
              </w:rPr>
            </w:pPr>
            <w:r>
              <w:rPr>
                <w:rFonts w:ascii="仿宋" w:hAnsi="仿宋" w:eastAsia="仿宋" w:cs="Arial"/>
                <w:color w:val="auto"/>
                <w:kern w:val="0"/>
                <w:sz w:val="24"/>
                <w:highlight w:val="none"/>
              </w:rPr>
              <w:sym w:font="Wingdings" w:char="00FE"/>
            </w:r>
            <w:r>
              <w:rPr>
                <w:rFonts w:ascii="仿宋" w:hAnsi="仿宋" w:eastAsia="仿宋" w:cs="Arial"/>
                <w:color w:val="auto"/>
                <w:kern w:val="0"/>
                <w:sz w:val="24"/>
                <w:highlight w:val="none"/>
              </w:rPr>
              <w:t>B</w:t>
            </w:r>
            <w:r>
              <w:rPr>
                <w:rFonts w:hint="eastAsia" w:ascii="仿宋" w:hAnsi="仿宋" w:eastAsia="仿宋"/>
                <w:color w:val="auto"/>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cs="Arial"/>
                <w:b/>
                <w:bCs/>
                <w:color w:val="auto"/>
                <w:kern w:val="0"/>
                <w:sz w:val="24"/>
                <w:highlight w:val="none"/>
              </w:rPr>
            </w:pPr>
            <w:r>
              <w:rPr>
                <w:rFonts w:hint="eastAsia" w:ascii="仿宋" w:hAnsi="仿宋" w:eastAsia="仿宋" w:cs="Arial"/>
                <w:b/>
                <w:bCs/>
                <w:color w:val="auto"/>
                <w:kern w:val="0"/>
                <w:sz w:val="24"/>
                <w:highlight w:val="none"/>
              </w:rPr>
              <w:t>标的：</w:t>
            </w:r>
            <w:r>
              <w:rPr>
                <w:rFonts w:hint="eastAsia" w:ascii="仿宋" w:hAnsi="仿宋" w:eastAsia="仿宋" w:cs="Arial"/>
                <w:b/>
                <w:bCs/>
                <w:color w:val="auto"/>
                <w:kern w:val="0"/>
                <w:sz w:val="24"/>
                <w:highlight w:val="none"/>
                <w:u w:val="single"/>
              </w:rPr>
              <w:t>”俞樾纪念馆”陈列布展服务项目</w:t>
            </w:r>
            <w:r>
              <w:rPr>
                <w:rFonts w:hint="eastAsia" w:ascii="仿宋" w:hAnsi="仿宋" w:eastAsia="仿宋" w:cs="Arial"/>
                <w:b/>
                <w:bCs/>
                <w:color w:val="auto"/>
                <w:kern w:val="0"/>
                <w:sz w:val="24"/>
                <w:highlight w:val="none"/>
              </w:rPr>
              <w:t>，属于</w:t>
            </w:r>
            <w:r>
              <w:rPr>
                <w:rFonts w:hint="eastAsia" w:ascii="仿宋" w:hAnsi="仿宋" w:eastAsia="仿宋" w:cs="Arial"/>
                <w:b/>
                <w:bCs/>
                <w:color w:val="auto"/>
                <w:kern w:val="0"/>
                <w:sz w:val="24"/>
                <w:highlight w:val="none"/>
                <w:u w:val="single"/>
              </w:rPr>
              <w:t>其他未列明</w:t>
            </w:r>
            <w:r>
              <w:rPr>
                <w:rFonts w:hint="eastAsia" w:ascii="仿宋" w:hAnsi="仿宋" w:eastAsia="仿宋" w:cs="Arial"/>
                <w:b/>
                <w:bCs/>
                <w:color w:val="auto"/>
                <w:kern w:val="0"/>
                <w:sz w:val="24"/>
                <w:highlight w:val="none"/>
              </w:rPr>
              <w:t>行业</w:t>
            </w:r>
            <w:r>
              <w:rPr>
                <w:rFonts w:ascii="仿宋" w:hAnsi="仿宋" w:eastAsia="仿宋" w:cs="Arial"/>
                <w:b/>
                <w:bCs/>
                <w:color w:val="auto"/>
                <w:kern w:val="0"/>
                <w:sz w:val="24"/>
                <w:highlight w:val="none"/>
              </w:rPr>
              <w:t>。</w:t>
            </w:r>
          </w:p>
          <w:p>
            <w:pPr>
              <w:snapToGrid w:val="0"/>
              <w:spacing w:line="360" w:lineRule="auto"/>
              <w:rPr>
                <w:rFonts w:ascii="仿宋" w:hAnsi="仿宋" w:eastAsia="仿宋"/>
                <w:b/>
                <w:bCs/>
                <w:color w:val="auto"/>
                <w:sz w:val="24"/>
                <w:highlight w:val="none"/>
              </w:rPr>
            </w:pPr>
            <w:r>
              <w:rPr>
                <w:rFonts w:hint="eastAsia" w:ascii="仿宋" w:hAnsi="仿宋" w:eastAsia="仿宋"/>
                <w:b/>
                <w:bCs/>
                <w:color w:val="auto"/>
                <w:sz w:val="24"/>
                <w:highlight w:val="none"/>
              </w:rPr>
              <w:t>其他未列明行业中小企业划型标准：从业人员300人以下的为中小微型企业。其中，从业人员100人及以上的为中型企业；从业人员10人及以上的为小型企业；从业人员10人以下的为微型企业。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color w:val="auto"/>
                <w:highlight w:val="none"/>
              </w:rPr>
            </w:pPr>
            <w:r>
              <w:rPr>
                <w:rFonts w:hint="eastAsia" w:ascii="仿宋" w:hAnsi="仿宋" w:eastAsia="仿宋" w:cs="Arial"/>
                <w:color w:val="auto"/>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jc w:val="cent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ascii="仿宋" w:hAnsi="仿宋" w:eastAsia="仿宋" w:cs="仿宋_GB2312"/>
                <w:color w:val="auto"/>
                <w:sz w:val="24"/>
                <w:highlight w:val="none"/>
              </w:rPr>
            </w:pPr>
            <w:r>
              <w:rPr>
                <w:rFonts w:ascii="仿宋" w:hAnsi="仿宋" w:eastAsia="仿宋" w:cs="仿宋_GB2312"/>
                <w:color w:val="auto"/>
                <w:sz w:val="24"/>
                <w:highlight w:val="none"/>
              </w:rPr>
              <w:t>1</w:t>
            </w:r>
            <w:r>
              <w:rPr>
                <w:rFonts w:hint="eastAsia" w:ascii="仿宋" w:hAnsi="仿宋" w:eastAsia="仿宋" w:cs="仿宋_GB2312"/>
                <w:color w:val="auto"/>
                <w:sz w:val="24"/>
                <w:highlight w:val="none"/>
              </w:rPr>
              <w:t>0</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color w:val="auto"/>
                <w:sz w:val="24"/>
                <w:highlight w:val="none"/>
              </w:rPr>
            </w:pPr>
            <w:r>
              <w:rPr>
                <w:rFonts w:hint="eastAsia" w:ascii="仿宋" w:hAnsi="仿宋" w:eastAsia="仿宋"/>
                <w:snapToGrid w:val="0"/>
                <w:color w:val="auto"/>
                <w:kern w:val="28"/>
                <w:sz w:val="24"/>
                <w:highlight w:val="none"/>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jc w:val="center"/>
        </w:trPr>
        <w:tc>
          <w:tcPr>
            <w:tcW w:w="629" w:type="dxa"/>
            <w:vMerge w:val="continue"/>
            <w:tcBorders>
              <w:left w:val="single" w:color="000000" w:sz="8" w:space="0"/>
              <w:right w:val="single" w:color="000000" w:sz="2" w:space="0"/>
            </w:tcBorders>
            <w:vAlign w:val="center"/>
          </w:tcPr>
          <w:p>
            <w:pPr>
              <w:snapToGrid w:val="0"/>
              <w:spacing w:line="360" w:lineRule="auto"/>
              <w:ind w:firstLine="420" w:firstLineChars="200"/>
              <w:jc w:val="center"/>
              <w:rPr>
                <w:rFonts w:ascii="仿宋" w:hAnsi="仿宋" w:eastAsia="仿宋"/>
                <w:color w:val="auto"/>
                <w:highlight w:val="none"/>
              </w:rPr>
            </w:pPr>
          </w:p>
        </w:tc>
        <w:tc>
          <w:tcPr>
            <w:tcW w:w="1843" w:type="dxa"/>
            <w:vMerge w:val="continue"/>
            <w:tcBorders>
              <w:left w:val="single" w:color="000000" w:sz="2" w:space="0"/>
              <w:right w:val="single" w:color="000000" w:sz="8" w:space="0"/>
            </w:tcBorders>
            <w:vAlign w:val="center"/>
          </w:tcPr>
          <w:p>
            <w:pPr>
              <w:snapToGrid w:val="0"/>
              <w:spacing w:line="360" w:lineRule="auto"/>
              <w:ind w:firstLine="420" w:firstLineChars="200"/>
              <w:rPr>
                <w:rFonts w:ascii="仿宋" w:hAnsi="仿宋" w:eastAsia="仿宋"/>
                <w:color w:val="auto"/>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snapToGrid w:val="0"/>
                <w:color w:val="auto"/>
                <w:kern w:val="28"/>
                <w:sz w:val="24"/>
                <w:highlight w:val="none"/>
              </w:rPr>
            </w:pPr>
            <w:r>
              <w:rPr>
                <w:rFonts w:hint="eastAsia" w:ascii="仿宋" w:hAnsi="仿宋" w:eastAsia="仿宋"/>
                <w:snapToGrid w:val="0"/>
                <w:color w:val="auto"/>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88" w:hRule="atLeast"/>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_GB2312"/>
                <w:color w:val="auto"/>
                <w:sz w:val="24"/>
                <w:highlight w:val="none"/>
              </w:rPr>
            </w:pPr>
            <w:r>
              <w:rPr>
                <w:rFonts w:ascii="仿宋" w:hAnsi="仿宋" w:eastAsia="仿宋" w:cs="仿宋_GB2312"/>
                <w:color w:val="auto"/>
                <w:sz w:val="24"/>
                <w:highlight w:val="none"/>
              </w:rPr>
              <w:t>1</w:t>
            </w:r>
            <w:r>
              <w:rPr>
                <w:rFonts w:hint="eastAsia" w:ascii="仿宋" w:hAnsi="仿宋" w:eastAsia="仿宋" w:cs="仿宋_GB2312"/>
                <w:color w:val="auto"/>
                <w:sz w:val="24"/>
                <w:highlight w:val="none"/>
              </w:rPr>
              <w:t>1</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备份投标文件送达地点和签收人员</w:t>
            </w:r>
            <w:r>
              <w:rPr>
                <w:rFonts w:ascii="仿宋" w:hAnsi="仿宋" w:eastAsia="仿宋" w:cs="仿宋_GB2312"/>
                <w:b/>
                <w:color w:val="auto"/>
                <w:sz w:val="24"/>
                <w:highlight w:val="none"/>
              </w:rPr>
              <w:t xml:space="preserve">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46"/>
              <w:snapToGrid w:val="0"/>
              <w:spacing w:line="360" w:lineRule="auto"/>
              <w:rPr>
                <w:rFonts w:ascii="仿宋" w:hAnsi="仿宋" w:eastAsia="仿宋" w:cs="Times New Roman"/>
                <w:color w:val="auto"/>
                <w:kern w:val="28"/>
                <w:sz w:val="24"/>
                <w:szCs w:val="24"/>
                <w:highlight w:val="none"/>
              </w:rPr>
            </w:pPr>
            <w:r>
              <w:rPr>
                <w:rFonts w:hint="eastAsia" w:ascii="仿宋" w:hAnsi="仿宋" w:eastAsia="仿宋" w:cs="Times New Roman"/>
                <w:color w:val="auto"/>
                <w:kern w:val="28"/>
                <w:sz w:val="24"/>
                <w:szCs w:val="24"/>
                <w:highlight w:val="none"/>
              </w:rPr>
              <w:t>备份投标文件送达地点：杭州市临平区临平街道河南埭路108号临平新天地3号楼301室；</w:t>
            </w:r>
          </w:p>
          <w:p>
            <w:pPr>
              <w:pStyle w:val="46"/>
              <w:snapToGrid w:val="0"/>
              <w:spacing w:line="360" w:lineRule="auto"/>
              <w:rPr>
                <w:rFonts w:ascii="仿宋" w:hAnsi="仿宋" w:eastAsia="仿宋" w:cs="仿宋_GB2312"/>
                <w:color w:val="auto"/>
                <w:sz w:val="24"/>
                <w:szCs w:val="24"/>
                <w:highlight w:val="none"/>
              </w:rPr>
            </w:pPr>
            <w:r>
              <w:rPr>
                <w:rFonts w:hint="eastAsia" w:ascii="仿宋" w:hAnsi="仿宋" w:eastAsia="仿宋" w:cs="Times New Roman"/>
                <w:color w:val="auto"/>
                <w:kern w:val="28"/>
                <w:sz w:val="24"/>
                <w:szCs w:val="24"/>
                <w:highlight w:val="none"/>
              </w:rPr>
              <w:t>备份投标文件签收人员联系电话：</w:t>
            </w:r>
            <w:r>
              <w:rPr>
                <w:rFonts w:hint="eastAsia" w:ascii="仿宋" w:hAnsi="仿宋" w:eastAsia="仿宋"/>
                <w:color w:val="auto"/>
                <w:sz w:val="24"/>
                <w:highlight w:val="none"/>
                <w:u w:val="single"/>
              </w:rPr>
              <w:t>金佳霖，0571-86111691</w:t>
            </w:r>
            <w:r>
              <w:rPr>
                <w:rFonts w:hint="eastAsia" w:ascii="仿宋" w:hAnsi="仿宋" w:eastAsia="仿宋" w:cs="仿宋_GB2312"/>
                <w:color w:val="auto"/>
                <w:sz w:val="24"/>
                <w:szCs w:val="24"/>
                <w:highlight w:val="none"/>
              </w:rPr>
              <w:t>。</w:t>
            </w:r>
          </w:p>
          <w:p>
            <w:pPr>
              <w:pStyle w:val="46"/>
              <w:snapToGrid w:val="0"/>
              <w:spacing w:line="360" w:lineRule="auto"/>
              <w:rPr>
                <w:rFonts w:ascii="仿宋" w:hAnsi="仿宋" w:eastAsia="仿宋"/>
                <w:color w:val="auto"/>
                <w:kern w:val="28"/>
                <w:sz w:val="24"/>
                <w:highlight w:val="none"/>
              </w:rPr>
            </w:pPr>
            <w:r>
              <w:rPr>
                <w:rFonts w:hint="eastAsia" w:ascii="仿宋" w:hAnsi="仿宋" w:eastAsia="仿宋" w:cs="仿宋_GB2312"/>
                <w:b/>
                <w:color w:val="auto"/>
                <w:sz w:val="24"/>
                <w:szCs w:val="24"/>
                <w:highlight w:val="none"/>
              </w:rPr>
              <w:t>采购人、采购代理机构不强制或变相强制供应商提交备份投标文件。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_GB2312"/>
                <w:color w:val="auto"/>
                <w:sz w:val="24"/>
                <w:highlight w:val="none"/>
              </w:rPr>
            </w:pPr>
            <w:r>
              <w:rPr>
                <w:rFonts w:ascii="仿宋" w:hAnsi="仿宋" w:eastAsia="仿宋" w:cs="仿宋_GB2312"/>
                <w:color w:val="auto"/>
                <w:sz w:val="24"/>
                <w:highlight w:val="none"/>
              </w:rPr>
              <w:t>1</w:t>
            </w:r>
            <w:r>
              <w:rPr>
                <w:rFonts w:hint="eastAsia" w:ascii="仿宋" w:hAnsi="仿宋" w:eastAsia="仿宋" w:cs="仿宋_GB2312"/>
                <w:color w:val="auto"/>
                <w:sz w:val="24"/>
                <w:highlight w:val="none"/>
              </w:rPr>
              <w:t>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snapToGrid w:val="0"/>
                <w:color w:val="auto"/>
                <w:kern w:val="28"/>
                <w:sz w:val="24"/>
                <w:highlight w:val="none"/>
              </w:rPr>
            </w:pPr>
            <w:r>
              <w:rPr>
                <w:rFonts w:hint="eastAsia" w:ascii="仿宋" w:hAnsi="仿宋" w:eastAsia="仿宋"/>
                <w:snapToGrid w:val="0"/>
                <w:color w:val="auto"/>
                <w:kern w:val="28"/>
                <w:sz w:val="24"/>
                <w:highlight w:val="none"/>
              </w:rPr>
              <w:t>无</w:t>
            </w:r>
            <w:r>
              <w:rPr>
                <w:rFonts w:hint="eastAsia" w:ascii="仿宋" w:hAnsi="仿宋" w:eastAsia="仿宋" w:cs="宋体"/>
                <w:b/>
                <w:color w:val="auto"/>
                <w:kern w:val="0"/>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98" w:hRule="atLeast"/>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代理服务费</w:t>
            </w:r>
          </w:p>
        </w:tc>
        <w:tc>
          <w:tcPr>
            <w:tcW w:w="6095" w:type="dxa"/>
            <w:tcBorders>
              <w:top w:val="single" w:color="000000" w:sz="8" w:space="0"/>
              <w:left w:val="single" w:color="000000" w:sz="2" w:space="0"/>
              <w:bottom w:val="single" w:color="000000" w:sz="8" w:space="0"/>
              <w:right w:val="single" w:color="000000" w:sz="8" w:space="0"/>
            </w:tcBorders>
            <w:vAlign w:val="center"/>
          </w:tcPr>
          <w:p>
            <w:pPr>
              <w:widowControl/>
              <w:snapToGrid w:val="0"/>
              <w:spacing w:line="360" w:lineRule="auto"/>
              <w:jc w:val="left"/>
              <w:rPr>
                <w:rFonts w:ascii="仿宋" w:hAnsi="仿宋" w:eastAsia="仿宋"/>
                <w:snapToGrid w:val="0"/>
                <w:color w:val="auto"/>
                <w:kern w:val="28"/>
                <w:sz w:val="24"/>
                <w:highlight w:val="none"/>
              </w:rPr>
            </w:pPr>
            <w:r>
              <w:rPr>
                <w:rFonts w:hint="eastAsia" w:ascii="仿宋" w:hAnsi="仿宋" w:eastAsia="仿宋"/>
                <w:snapToGrid w:val="0"/>
                <w:color w:val="auto"/>
                <w:kern w:val="28"/>
                <w:sz w:val="24"/>
                <w:highlight w:val="none"/>
              </w:rPr>
              <w:t>本项目的采购代理费由中标人支付；以中标金额为计费基准，计费标准按《计价格［</w:t>
            </w:r>
            <w:r>
              <w:rPr>
                <w:rFonts w:ascii="仿宋" w:hAnsi="仿宋" w:eastAsia="仿宋"/>
                <w:snapToGrid w:val="0"/>
                <w:color w:val="auto"/>
                <w:kern w:val="28"/>
                <w:sz w:val="24"/>
                <w:highlight w:val="none"/>
              </w:rPr>
              <w:t>2002</w:t>
            </w:r>
            <w:r>
              <w:rPr>
                <w:rFonts w:hint="eastAsia" w:ascii="仿宋" w:hAnsi="仿宋" w:eastAsia="仿宋"/>
                <w:snapToGrid w:val="0"/>
                <w:color w:val="auto"/>
                <w:kern w:val="28"/>
                <w:sz w:val="24"/>
                <w:highlight w:val="none"/>
              </w:rPr>
              <w:t>］</w:t>
            </w:r>
            <w:r>
              <w:rPr>
                <w:rFonts w:ascii="仿宋" w:hAnsi="仿宋" w:eastAsia="仿宋"/>
                <w:snapToGrid w:val="0"/>
                <w:color w:val="auto"/>
                <w:kern w:val="28"/>
                <w:sz w:val="24"/>
                <w:highlight w:val="none"/>
              </w:rPr>
              <w:t>1980</w:t>
            </w:r>
            <w:r>
              <w:rPr>
                <w:rFonts w:hint="eastAsia" w:ascii="仿宋" w:hAnsi="仿宋" w:eastAsia="仿宋"/>
                <w:snapToGrid w:val="0"/>
                <w:color w:val="auto"/>
                <w:kern w:val="28"/>
                <w:sz w:val="24"/>
                <w:highlight w:val="none"/>
              </w:rPr>
              <w:t>号》及《发改办价格［</w:t>
            </w:r>
            <w:r>
              <w:rPr>
                <w:rFonts w:ascii="仿宋" w:hAnsi="仿宋" w:eastAsia="仿宋"/>
                <w:snapToGrid w:val="0"/>
                <w:color w:val="auto"/>
                <w:kern w:val="28"/>
                <w:sz w:val="24"/>
                <w:highlight w:val="none"/>
              </w:rPr>
              <w:t>2003</w:t>
            </w:r>
            <w:r>
              <w:rPr>
                <w:rFonts w:hint="eastAsia" w:ascii="仿宋" w:hAnsi="仿宋" w:eastAsia="仿宋"/>
                <w:snapToGrid w:val="0"/>
                <w:color w:val="auto"/>
                <w:kern w:val="28"/>
                <w:sz w:val="24"/>
                <w:highlight w:val="none"/>
              </w:rPr>
              <w:t>］</w:t>
            </w:r>
            <w:r>
              <w:rPr>
                <w:rFonts w:ascii="仿宋" w:hAnsi="仿宋" w:eastAsia="仿宋"/>
                <w:snapToGrid w:val="0"/>
                <w:color w:val="auto"/>
                <w:kern w:val="28"/>
                <w:sz w:val="24"/>
                <w:highlight w:val="none"/>
              </w:rPr>
              <w:t>857</w:t>
            </w:r>
            <w:r>
              <w:rPr>
                <w:rFonts w:hint="eastAsia" w:ascii="仿宋" w:hAnsi="仿宋" w:eastAsia="仿宋"/>
                <w:snapToGrid w:val="0"/>
                <w:color w:val="auto"/>
                <w:kern w:val="28"/>
                <w:sz w:val="24"/>
                <w:highlight w:val="none"/>
              </w:rPr>
              <w:t>号》文件中服务类收费标准计算。</w:t>
            </w:r>
          </w:p>
          <w:p>
            <w:pPr>
              <w:widowControl/>
              <w:snapToGrid w:val="0"/>
              <w:spacing w:line="360" w:lineRule="auto"/>
              <w:jc w:val="left"/>
              <w:rPr>
                <w:rFonts w:ascii="仿宋" w:hAnsi="仿宋" w:eastAsia="仿宋"/>
                <w:snapToGrid w:val="0"/>
                <w:color w:val="auto"/>
                <w:kern w:val="28"/>
                <w:sz w:val="24"/>
                <w:highlight w:val="none"/>
              </w:rPr>
            </w:pPr>
            <w:r>
              <w:rPr>
                <w:rFonts w:hint="eastAsia" w:ascii="仿宋" w:hAnsi="仿宋" w:eastAsia="仿宋"/>
                <w:snapToGrid w:val="0"/>
                <w:color w:val="auto"/>
                <w:kern w:val="28"/>
                <w:sz w:val="24"/>
                <w:highlight w:val="none"/>
              </w:rPr>
              <w:t>收款单位（户名）：杭州中瑞招标代理有限公司；</w:t>
            </w:r>
          </w:p>
          <w:p>
            <w:pPr>
              <w:widowControl/>
              <w:snapToGrid w:val="0"/>
              <w:spacing w:line="360" w:lineRule="auto"/>
              <w:jc w:val="left"/>
              <w:rPr>
                <w:rFonts w:ascii="仿宋" w:hAnsi="仿宋" w:eastAsia="仿宋"/>
                <w:snapToGrid w:val="0"/>
                <w:color w:val="auto"/>
                <w:kern w:val="28"/>
                <w:sz w:val="24"/>
                <w:highlight w:val="none"/>
              </w:rPr>
            </w:pPr>
            <w:r>
              <w:rPr>
                <w:rFonts w:hint="eastAsia" w:ascii="仿宋" w:hAnsi="仿宋" w:eastAsia="仿宋"/>
                <w:snapToGrid w:val="0"/>
                <w:color w:val="auto"/>
                <w:kern w:val="28"/>
                <w:sz w:val="24"/>
                <w:highlight w:val="none"/>
              </w:rPr>
              <w:t>开户银行：中国银行临平支行；</w:t>
            </w:r>
          </w:p>
          <w:p>
            <w:pPr>
              <w:pStyle w:val="111"/>
              <w:snapToGrid w:val="0"/>
              <w:spacing w:before="0"/>
              <w:ind w:firstLine="0" w:firstLineChars="0"/>
              <w:rPr>
                <w:rFonts w:ascii="仿宋" w:hAnsi="仿宋" w:eastAsia="仿宋"/>
                <w:color w:val="auto"/>
                <w:highlight w:val="none"/>
              </w:rPr>
            </w:pPr>
            <w:r>
              <w:rPr>
                <w:rFonts w:hint="eastAsia" w:ascii="仿宋" w:hAnsi="仿宋" w:eastAsia="仿宋"/>
                <w:bCs/>
                <w:snapToGrid w:val="0"/>
                <w:color w:val="auto"/>
                <w:kern w:val="28"/>
                <w:highlight w:val="none"/>
              </w:rPr>
              <w:t>银行账号：</w:t>
            </w:r>
            <w:r>
              <w:rPr>
                <w:rFonts w:ascii="仿宋" w:hAnsi="仿宋" w:eastAsia="仿宋"/>
                <w:bCs/>
                <w:snapToGrid w:val="0"/>
                <w:color w:val="auto"/>
                <w:kern w:val="28"/>
                <w:highlight w:val="none"/>
              </w:rPr>
              <w:t>364975499143</w:t>
            </w:r>
            <w:r>
              <w:rPr>
                <w:rFonts w:hint="eastAsia" w:ascii="仿宋" w:hAnsi="仿宋" w:eastAsia="仿宋"/>
                <w:bCs/>
                <w:snapToGrid w:val="0"/>
                <w:color w:val="auto"/>
                <w:kern w:val="28"/>
                <w:highlight w:val="none"/>
              </w:rPr>
              <w:t>。</w:t>
            </w:r>
          </w:p>
        </w:tc>
      </w:tr>
      <w:bookmarkEnd w:id="8"/>
    </w:tbl>
    <w:p>
      <w:pPr>
        <w:snapToGrid w:val="0"/>
        <w:spacing w:line="360" w:lineRule="auto"/>
        <w:jc w:val="center"/>
        <w:rPr>
          <w:rFonts w:ascii="仿宋" w:hAnsi="仿宋" w:eastAsia="仿宋" w:cs="仿宋_GB2312"/>
          <w:b/>
          <w:color w:val="auto"/>
          <w:sz w:val="32"/>
          <w:szCs w:val="20"/>
          <w:highlight w:val="none"/>
        </w:rPr>
      </w:pPr>
    </w:p>
    <w:p>
      <w:pPr>
        <w:snapToGrid w:val="0"/>
        <w:spacing w:line="360" w:lineRule="auto"/>
        <w:jc w:val="center"/>
        <w:rPr>
          <w:rFonts w:ascii="仿宋" w:hAnsi="仿宋" w:eastAsia="仿宋"/>
          <w:b/>
          <w:bCs/>
          <w:color w:val="auto"/>
          <w:kern w:val="44"/>
          <w:sz w:val="28"/>
          <w:szCs w:val="32"/>
          <w:highlight w:val="none"/>
          <w:lang w:val="zh-CN"/>
        </w:rPr>
      </w:pPr>
      <w:bookmarkStart w:id="38" w:name="_Toc164416483"/>
      <w:bookmarkStart w:id="39" w:name="第三部分"/>
      <w:r>
        <w:rPr>
          <w:rFonts w:hint="eastAsia" w:ascii="仿宋" w:hAnsi="仿宋" w:eastAsia="仿宋" w:cs="仿宋_GB2312"/>
          <w:b/>
          <w:color w:val="auto"/>
          <w:sz w:val="32"/>
          <w:szCs w:val="20"/>
          <w:highlight w:val="none"/>
        </w:rPr>
        <w:br w:type="page"/>
      </w:r>
      <w:bookmarkStart w:id="40" w:name="_Toc95312938"/>
      <w:bookmarkStart w:id="41" w:name="_Toc6298"/>
      <w:bookmarkStart w:id="42" w:name="_Toc11537"/>
      <w:bookmarkStart w:id="43" w:name="_Toc13069"/>
      <w:bookmarkStart w:id="44" w:name="_Toc18125"/>
      <w:bookmarkStart w:id="45" w:name="_Toc243019506"/>
      <w:r>
        <w:rPr>
          <w:rFonts w:hint="eastAsia" w:ascii="仿宋" w:hAnsi="仿宋" w:eastAsia="仿宋"/>
          <w:b/>
          <w:bCs/>
          <w:color w:val="auto"/>
          <w:kern w:val="44"/>
          <w:sz w:val="28"/>
          <w:szCs w:val="32"/>
          <w:highlight w:val="none"/>
          <w:lang w:val="zh-CN"/>
        </w:rPr>
        <w:t>一、总则</w:t>
      </w:r>
      <w:bookmarkEnd w:id="40"/>
      <w:bookmarkEnd w:id="41"/>
      <w:bookmarkEnd w:id="42"/>
      <w:bookmarkEnd w:id="43"/>
      <w:bookmarkEnd w:id="44"/>
      <w:bookmarkEnd w:id="45"/>
    </w:p>
    <w:p>
      <w:pPr>
        <w:pStyle w:val="2"/>
        <w:rPr>
          <w:rFonts w:ascii="仿宋" w:hAnsi="仿宋" w:eastAsia="仿宋"/>
          <w:color w:val="auto"/>
          <w:highlight w:val="none"/>
        </w:rPr>
      </w:pPr>
      <w:bookmarkStart w:id="46" w:name="_Toc5493"/>
      <w:bookmarkStart w:id="47" w:name="_Toc5666"/>
      <w:bookmarkStart w:id="48" w:name="_Toc4118"/>
      <w:bookmarkStart w:id="49" w:name="_Toc95312939"/>
      <w:r>
        <w:rPr>
          <w:rFonts w:ascii="仿宋" w:hAnsi="仿宋" w:eastAsia="仿宋"/>
          <w:color w:val="auto"/>
          <w:highlight w:val="none"/>
        </w:rPr>
        <w:t>1.</w:t>
      </w:r>
      <w:r>
        <w:rPr>
          <w:rFonts w:hint="eastAsia" w:ascii="仿宋" w:hAnsi="仿宋" w:eastAsia="仿宋"/>
          <w:color w:val="auto"/>
          <w:highlight w:val="none"/>
        </w:rPr>
        <w:t>适用范围</w:t>
      </w:r>
      <w:bookmarkEnd w:id="46"/>
      <w:bookmarkEnd w:id="47"/>
      <w:bookmarkEnd w:id="48"/>
      <w:bookmarkEnd w:id="49"/>
    </w:p>
    <w:p>
      <w:pPr>
        <w:snapToGrid w:val="0"/>
        <w:spacing w:line="360" w:lineRule="auto"/>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本采购文件适用于该项目的招标、投标、开标、资格审查及信用信息查询、评标、定标、合同、验收等行为（法律、法规另有规定的，从其规定）。</w:t>
      </w:r>
    </w:p>
    <w:p>
      <w:pPr>
        <w:pStyle w:val="36"/>
        <w:spacing w:line="360" w:lineRule="auto"/>
        <w:rPr>
          <w:rFonts w:ascii="仿宋" w:hAnsi="仿宋" w:eastAsia="仿宋"/>
          <w:color w:val="auto"/>
          <w:highlight w:val="none"/>
        </w:rPr>
      </w:pPr>
    </w:p>
    <w:p>
      <w:pPr>
        <w:pStyle w:val="2"/>
        <w:rPr>
          <w:rFonts w:ascii="仿宋" w:hAnsi="仿宋" w:eastAsia="仿宋"/>
          <w:color w:val="auto"/>
          <w:highlight w:val="none"/>
        </w:rPr>
      </w:pPr>
      <w:bookmarkStart w:id="50" w:name="_Toc17022"/>
      <w:bookmarkStart w:id="51" w:name="_Toc95312940"/>
      <w:bookmarkStart w:id="52" w:name="_Toc27293"/>
      <w:bookmarkStart w:id="53" w:name="_Toc20903"/>
      <w:r>
        <w:rPr>
          <w:rFonts w:ascii="仿宋" w:hAnsi="仿宋" w:eastAsia="仿宋"/>
          <w:color w:val="auto"/>
          <w:highlight w:val="none"/>
        </w:rPr>
        <w:t>2.定义</w:t>
      </w:r>
      <w:bookmarkEnd w:id="50"/>
      <w:bookmarkEnd w:id="51"/>
      <w:bookmarkEnd w:id="52"/>
      <w:bookmarkEnd w:id="53"/>
    </w:p>
    <w:p>
      <w:pPr>
        <w:snapToGrid w:val="0"/>
        <w:spacing w:line="360" w:lineRule="auto"/>
        <w:ind w:firstLine="480" w:firstLineChars="200"/>
        <w:rPr>
          <w:rFonts w:ascii="仿宋" w:hAnsi="仿宋" w:eastAsia="仿宋" w:cs="宋体"/>
          <w:snapToGrid w:val="0"/>
          <w:color w:val="auto"/>
          <w:kern w:val="0"/>
          <w:sz w:val="24"/>
          <w:highlight w:val="none"/>
        </w:rPr>
      </w:pPr>
      <w:r>
        <w:rPr>
          <w:rFonts w:ascii="仿宋" w:hAnsi="仿宋" w:eastAsia="仿宋" w:cs="宋体"/>
          <w:snapToGrid w:val="0"/>
          <w:color w:val="auto"/>
          <w:kern w:val="0"/>
          <w:sz w:val="24"/>
          <w:highlight w:val="none"/>
        </w:rPr>
        <w:t>2.1</w:t>
      </w:r>
      <w:r>
        <w:rPr>
          <w:rFonts w:hint="eastAsia" w:ascii="仿宋" w:hAnsi="仿宋" w:eastAsia="仿宋" w:cs="宋体"/>
          <w:snapToGrid w:val="0"/>
          <w:color w:val="auto"/>
          <w:kern w:val="0"/>
          <w:sz w:val="24"/>
          <w:highlight w:val="none"/>
        </w:rPr>
        <w:t>“采购人”系指杭州市临平区人民政府临平街道办事处 （合同中的甲方）。</w:t>
      </w:r>
    </w:p>
    <w:p>
      <w:pPr>
        <w:snapToGrid w:val="0"/>
        <w:spacing w:line="360" w:lineRule="auto"/>
        <w:ind w:firstLine="480" w:firstLineChars="200"/>
        <w:rPr>
          <w:rFonts w:ascii="仿宋" w:hAnsi="仿宋" w:eastAsia="仿宋" w:cs="宋体"/>
          <w:snapToGrid w:val="0"/>
          <w:color w:val="auto"/>
          <w:kern w:val="0"/>
          <w:sz w:val="24"/>
          <w:highlight w:val="none"/>
        </w:rPr>
      </w:pPr>
      <w:r>
        <w:rPr>
          <w:rFonts w:ascii="仿宋" w:hAnsi="仿宋" w:eastAsia="仿宋" w:cs="宋体"/>
          <w:snapToGrid w:val="0"/>
          <w:color w:val="auto"/>
          <w:kern w:val="0"/>
          <w:sz w:val="24"/>
          <w:highlight w:val="none"/>
        </w:rPr>
        <w:t>2.2</w:t>
      </w:r>
      <w:r>
        <w:rPr>
          <w:rFonts w:hint="eastAsia" w:ascii="仿宋" w:hAnsi="仿宋" w:eastAsia="仿宋" w:cs="宋体"/>
          <w:snapToGrid w:val="0"/>
          <w:color w:val="auto"/>
          <w:kern w:val="0"/>
          <w:sz w:val="24"/>
          <w:highlight w:val="none"/>
        </w:rPr>
        <w:t>“监督管理部门”系指杭州市临平区财政局。</w:t>
      </w:r>
    </w:p>
    <w:p>
      <w:pPr>
        <w:snapToGrid w:val="0"/>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2.3 </w:t>
      </w:r>
      <w:r>
        <w:rPr>
          <w:rFonts w:hint="eastAsia" w:ascii="仿宋" w:hAnsi="仿宋" w:eastAsia="仿宋"/>
          <w:color w:val="auto"/>
          <w:sz w:val="24"/>
          <w:highlight w:val="none"/>
        </w:rPr>
        <w:t>“采购代理机构”</w:t>
      </w:r>
      <w:r>
        <w:rPr>
          <w:rFonts w:hint="eastAsia" w:ascii="仿宋" w:hAnsi="仿宋" w:eastAsia="仿宋" w:cs="宋体"/>
          <w:snapToGrid w:val="0"/>
          <w:color w:val="auto"/>
          <w:kern w:val="0"/>
          <w:sz w:val="24"/>
          <w:highlight w:val="none"/>
        </w:rPr>
        <w:t>系指杭州中瑞招标代理有限公司</w:t>
      </w:r>
      <w:r>
        <w:rPr>
          <w:rFonts w:hint="eastAsia" w:ascii="仿宋" w:hAnsi="仿宋" w:eastAsia="仿宋"/>
          <w:color w:val="auto"/>
          <w:sz w:val="24"/>
          <w:highlight w:val="none"/>
        </w:rPr>
        <w:t>。</w:t>
      </w:r>
    </w:p>
    <w:p>
      <w:pPr>
        <w:snapToGrid w:val="0"/>
        <w:spacing w:line="360" w:lineRule="auto"/>
        <w:ind w:firstLine="480" w:firstLineChars="200"/>
        <w:rPr>
          <w:rFonts w:ascii="仿宋" w:hAnsi="仿宋" w:eastAsia="仿宋" w:cs="宋体"/>
          <w:snapToGrid w:val="0"/>
          <w:color w:val="auto"/>
          <w:kern w:val="0"/>
          <w:sz w:val="24"/>
          <w:highlight w:val="none"/>
        </w:rPr>
      </w:pPr>
      <w:r>
        <w:rPr>
          <w:rFonts w:ascii="仿宋" w:hAnsi="仿宋" w:eastAsia="仿宋" w:cs="宋体"/>
          <w:snapToGrid w:val="0"/>
          <w:color w:val="auto"/>
          <w:kern w:val="0"/>
          <w:sz w:val="24"/>
          <w:highlight w:val="none"/>
        </w:rPr>
        <w:t>2.4</w:t>
      </w:r>
      <w:r>
        <w:rPr>
          <w:rFonts w:hint="eastAsia" w:ascii="仿宋" w:hAnsi="仿宋" w:eastAsia="仿宋" w:cs="宋体"/>
          <w:snapToGrid w:val="0"/>
          <w:color w:val="auto"/>
          <w:kern w:val="0"/>
          <w:sz w:val="24"/>
          <w:highlight w:val="none"/>
        </w:rPr>
        <w:t>“服务”系指采购文件或合同规定供应商须承担的服务以及其他类似的义务。</w:t>
      </w:r>
    </w:p>
    <w:p>
      <w:pPr>
        <w:snapToGrid w:val="0"/>
        <w:spacing w:line="360" w:lineRule="auto"/>
        <w:ind w:firstLine="480" w:firstLineChars="200"/>
        <w:rPr>
          <w:rFonts w:ascii="仿宋" w:hAnsi="仿宋" w:eastAsia="仿宋" w:cs="宋体"/>
          <w:snapToGrid w:val="0"/>
          <w:color w:val="auto"/>
          <w:kern w:val="0"/>
          <w:sz w:val="24"/>
          <w:highlight w:val="none"/>
        </w:rPr>
      </w:pPr>
      <w:r>
        <w:rPr>
          <w:rFonts w:ascii="仿宋" w:hAnsi="仿宋" w:eastAsia="仿宋" w:cs="宋体"/>
          <w:snapToGrid w:val="0"/>
          <w:color w:val="auto"/>
          <w:kern w:val="0"/>
          <w:sz w:val="24"/>
          <w:highlight w:val="none"/>
        </w:rPr>
        <w:t>2.5</w:t>
      </w:r>
      <w:r>
        <w:rPr>
          <w:rFonts w:hint="eastAsia" w:ascii="仿宋" w:hAnsi="仿宋" w:eastAsia="仿宋" w:cs="宋体"/>
          <w:snapToGrid w:val="0"/>
          <w:color w:val="auto"/>
          <w:kern w:val="0"/>
          <w:sz w:val="24"/>
          <w:highlight w:val="none"/>
        </w:rPr>
        <w:t>官方指定网站公示的内容视为书面告知。</w:t>
      </w:r>
    </w:p>
    <w:p>
      <w:pPr>
        <w:snapToGrid w:val="0"/>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2.6 </w:t>
      </w:r>
      <w:r>
        <w:rPr>
          <w:rFonts w:hint="eastAsia" w:ascii="仿宋" w:hAnsi="仿宋" w:eastAsia="仿宋"/>
          <w:color w:val="auto"/>
          <w:sz w:val="24"/>
          <w:highlight w:val="none"/>
        </w:rPr>
        <w:t>“投标人”系指是指响应招标、参加投标竞争的法人、其他组织或者自然人。</w:t>
      </w:r>
    </w:p>
    <w:p>
      <w:pPr>
        <w:snapToGrid w:val="0"/>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2.7 </w:t>
      </w:r>
      <w:r>
        <w:rPr>
          <w:rFonts w:hint="eastAsia" w:ascii="仿宋" w:hAnsi="仿宋" w:eastAsia="仿宋"/>
          <w:color w:val="auto"/>
          <w:sz w:val="24"/>
          <w:highlight w:val="none"/>
        </w:rPr>
        <w:t>“负责人”系指法人企业的法定负责人，或其他组织为法律、行政法规规定代表单位行使职权的主要负责人，或自然人本人。</w:t>
      </w:r>
    </w:p>
    <w:p>
      <w:pPr>
        <w:snapToGrid w:val="0"/>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2.8“电子签名”系指数据电文中以电子形式所含、所附用于识别签名人身份并表明签名人认可其中内容的数据；</w:t>
      </w:r>
      <w:r>
        <w:rPr>
          <w:rFonts w:hint="eastAsia" w:ascii="仿宋" w:hAnsi="仿宋" w:eastAsia="仿宋"/>
          <w:color w:val="auto"/>
          <w:sz w:val="24"/>
          <w:highlight w:val="none"/>
        </w:rPr>
        <w:t>“公章”系指单位法定名称章。因特殊原因需要使用冠以法定名称的业务专用章的，投标时须提供《业务专用章使用说明函》（附件</w:t>
      </w:r>
      <w:r>
        <w:rPr>
          <w:rFonts w:ascii="仿宋" w:hAnsi="仿宋" w:eastAsia="仿宋"/>
          <w:color w:val="auto"/>
          <w:sz w:val="24"/>
          <w:highlight w:val="none"/>
        </w:rPr>
        <w:t>4）</w:t>
      </w:r>
      <w:r>
        <w:rPr>
          <w:rFonts w:hint="eastAsia" w:ascii="仿宋" w:hAnsi="仿宋" w:eastAsia="仿宋"/>
          <w:color w:val="auto"/>
          <w:sz w:val="24"/>
          <w:highlight w:val="none"/>
        </w:rPr>
        <w:t>。</w:t>
      </w:r>
    </w:p>
    <w:p>
      <w:pPr>
        <w:snapToGrid w:val="0"/>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2.9“电子交易平台”是指本项目政府采购活动所依托的政府采购云平台（https://www.zcygov.cn/）。</w:t>
      </w:r>
    </w:p>
    <w:p>
      <w:pPr>
        <w:snapToGrid w:val="0"/>
        <w:spacing w:line="360" w:lineRule="auto"/>
        <w:ind w:firstLine="482" w:firstLineChars="200"/>
        <w:rPr>
          <w:rFonts w:ascii="仿宋" w:hAnsi="仿宋" w:eastAsia="仿宋"/>
          <w:b/>
          <w:bCs/>
          <w:color w:val="auto"/>
          <w:sz w:val="24"/>
          <w:highlight w:val="none"/>
        </w:rPr>
      </w:pPr>
      <w:r>
        <w:rPr>
          <w:rFonts w:ascii="仿宋" w:hAnsi="仿宋" w:eastAsia="仿宋"/>
          <w:b/>
          <w:bCs/>
          <w:color w:val="auto"/>
          <w:sz w:val="24"/>
          <w:highlight w:val="none"/>
        </w:rPr>
        <w:t xml:space="preserve">2.10 </w:t>
      </w:r>
      <w:r>
        <w:rPr>
          <w:rFonts w:hint="eastAsia" w:ascii="仿宋" w:hAnsi="仿宋" w:eastAsia="仿宋"/>
          <w:b/>
          <w:bCs/>
          <w:color w:val="auto"/>
          <w:sz w:val="24"/>
          <w:highlight w:val="none"/>
        </w:rPr>
        <w:t>“▲”</w:t>
      </w:r>
      <w:r>
        <w:rPr>
          <w:rFonts w:ascii="仿宋" w:hAnsi="仿宋" w:eastAsia="仿宋"/>
          <w:b/>
          <w:bCs/>
          <w:color w:val="auto"/>
          <w:sz w:val="24"/>
          <w:highlight w:val="none"/>
        </w:rPr>
        <w:t xml:space="preserve"> </w:t>
      </w:r>
      <w:r>
        <w:rPr>
          <w:rFonts w:hint="eastAsia" w:ascii="仿宋" w:hAnsi="仿宋" w:eastAsia="仿宋"/>
          <w:b/>
          <w:bCs/>
          <w:color w:val="auto"/>
          <w:sz w:val="24"/>
          <w:highlight w:val="none"/>
        </w:rPr>
        <w:t>系指实质性要求条款，“★”系产品采购项目中单一产品或核心产品，“</w:t>
      </w:r>
      <w:r>
        <w:rPr>
          <w:rFonts w:hint="eastAsia" w:ascii="仿宋" w:hAnsi="仿宋" w:eastAsia="仿宋" w:cs="Arial"/>
          <w:b/>
          <w:bCs/>
          <w:color w:val="auto"/>
          <w:kern w:val="0"/>
          <w:sz w:val="24"/>
          <w:highlight w:val="none"/>
        </w:rPr>
        <w:sym w:font="Wingdings" w:char="F0FE"/>
      </w:r>
      <w:r>
        <w:rPr>
          <w:rFonts w:hint="eastAsia" w:ascii="仿宋" w:hAnsi="仿宋" w:eastAsia="仿宋"/>
          <w:b/>
          <w:bCs/>
          <w:color w:val="auto"/>
          <w:sz w:val="24"/>
          <w:highlight w:val="none"/>
        </w:rPr>
        <w:t>”</w:t>
      </w:r>
      <w:r>
        <w:rPr>
          <w:rFonts w:ascii="仿宋" w:hAnsi="仿宋" w:eastAsia="仿宋"/>
          <w:b/>
          <w:bCs/>
          <w:color w:val="auto"/>
          <w:sz w:val="24"/>
          <w:highlight w:val="none"/>
        </w:rPr>
        <w:t xml:space="preserve"> </w:t>
      </w:r>
      <w:r>
        <w:rPr>
          <w:rFonts w:hint="eastAsia" w:ascii="仿宋" w:hAnsi="仿宋" w:eastAsia="仿宋"/>
          <w:b/>
          <w:bCs/>
          <w:color w:val="auto"/>
          <w:sz w:val="24"/>
          <w:highlight w:val="none"/>
        </w:rPr>
        <w:t>系指适用本项目的要求，“</w:t>
      </w:r>
      <w:r>
        <w:rPr>
          <w:rFonts w:ascii="Segoe UI Symbol" w:hAnsi="Segoe UI Symbol" w:eastAsia="仿宋" w:cs="Segoe UI Symbol"/>
          <w:b/>
          <w:bCs/>
          <w:color w:val="auto"/>
          <w:kern w:val="0"/>
          <w:sz w:val="24"/>
          <w:highlight w:val="none"/>
        </w:rPr>
        <w:t>☐</w:t>
      </w:r>
      <w:r>
        <w:rPr>
          <w:rFonts w:hint="eastAsia" w:ascii="仿宋" w:hAnsi="仿宋" w:eastAsia="仿宋"/>
          <w:b/>
          <w:bCs/>
          <w:color w:val="auto"/>
          <w:sz w:val="24"/>
          <w:highlight w:val="none"/>
        </w:rPr>
        <w:t>”</w:t>
      </w:r>
      <w:r>
        <w:rPr>
          <w:rFonts w:ascii="仿宋" w:hAnsi="仿宋" w:eastAsia="仿宋"/>
          <w:b/>
          <w:bCs/>
          <w:color w:val="auto"/>
          <w:sz w:val="24"/>
          <w:highlight w:val="none"/>
        </w:rPr>
        <w:t xml:space="preserve"> </w:t>
      </w:r>
      <w:r>
        <w:rPr>
          <w:rFonts w:hint="eastAsia" w:ascii="仿宋" w:hAnsi="仿宋" w:eastAsia="仿宋"/>
          <w:b/>
          <w:bCs/>
          <w:color w:val="auto"/>
          <w:sz w:val="24"/>
          <w:highlight w:val="none"/>
        </w:rPr>
        <w:t>系指不适用本项目的要求。</w:t>
      </w:r>
    </w:p>
    <w:p>
      <w:pPr>
        <w:snapToGrid w:val="0"/>
        <w:spacing w:line="360" w:lineRule="auto"/>
        <w:ind w:firstLine="241" w:firstLineChars="100"/>
        <w:rPr>
          <w:rFonts w:ascii="仿宋" w:hAnsi="仿宋" w:eastAsia="仿宋"/>
          <w:b/>
          <w:color w:val="auto"/>
          <w:sz w:val="24"/>
          <w:highlight w:val="none"/>
        </w:rPr>
      </w:pPr>
    </w:p>
    <w:p>
      <w:pPr>
        <w:pStyle w:val="2"/>
        <w:rPr>
          <w:rFonts w:ascii="仿宋" w:hAnsi="仿宋" w:eastAsia="仿宋"/>
          <w:color w:val="auto"/>
          <w:highlight w:val="none"/>
        </w:rPr>
      </w:pPr>
      <w:bookmarkStart w:id="54" w:name="_Toc14912"/>
      <w:bookmarkStart w:id="55" w:name="_Toc21010"/>
      <w:bookmarkStart w:id="56" w:name="_Toc95312941"/>
      <w:bookmarkStart w:id="57" w:name="_Toc19383"/>
      <w:r>
        <w:rPr>
          <w:rFonts w:ascii="仿宋" w:hAnsi="仿宋" w:eastAsia="仿宋"/>
          <w:color w:val="auto"/>
          <w:highlight w:val="none"/>
        </w:rPr>
        <w:t>3.</w:t>
      </w:r>
      <w:r>
        <w:rPr>
          <w:rFonts w:hint="eastAsia" w:ascii="仿宋" w:hAnsi="仿宋" w:eastAsia="仿宋"/>
          <w:color w:val="auto"/>
          <w:highlight w:val="none"/>
        </w:rPr>
        <w:t>采购项目需要落实的政府采购政策</w:t>
      </w:r>
      <w:bookmarkEnd w:id="54"/>
      <w:bookmarkEnd w:id="55"/>
      <w:bookmarkEnd w:id="56"/>
      <w:bookmarkEnd w:id="57"/>
    </w:p>
    <w:p>
      <w:pPr>
        <w:snapToGrid w:val="0"/>
        <w:spacing w:line="360" w:lineRule="auto"/>
        <w:ind w:firstLine="420"/>
        <w:rPr>
          <w:rFonts w:ascii="仿宋" w:hAnsi="仿宋" w:eastAsia="仿宋"/>
          <w:color w:val="auto"/>
          <w:sz w:val="24"/>
          <w:highlight w:val="none"/>
        </w:rPr>
      </w:pPr>
      <w:r>
        <w:rPr>
          <w:rFonts w:ascii="仿宋" w:hAnsi="仿宋" w:eastAsia="仿宋"/>
          <w:color w:val="auto"/>
          <w:sz w:val="24"/>
          <w:highlight w:val="none"/>
        </w:rPr>
        <w:t xml:space="preserve">3.1 </w:t>
      </w:r>
      <w:r>
        <w:rPr>
          <w:rFonts w:hint="eastAsia" w:ascii="仿宋" w:hAnsi="仿宋" w:eastAsia="仿宋"/>
          <w:color w:val="auto"/>
          <w:sz w:val="24"/>
          <w:highlight w:val="none"/>
        </w:rPr>
        <w:t>支持绿色发展</w:t>
      </w:r>
    </w:p>
    <w:p>
      <w:pPr>
        <w:snapToGrid w:val="0"/>
        <w:spacing w:line="360" w:lineRule="auto"/>
        <w:ind w:firstLine="420"/>
        <w:rPr>
          <w:rFonts w:ascii="仿宋" w:hAnsi="仿宋" w:eastAsia="仿宋"/>
          <w:b/>
          <w:color w:val="auto"/>
          <w:sz w:val="24"/>
          <w:highlight w:val="none"/>
        </w:rPr>
      </w:pPr>
      <w:r>
        <w:rPr>
          <w:rFonts w:ascii="仿宋" w:hAnsi="仿宋" w:eastAsia="仿宋"/>
          <w:color w:val="auto"/>
          <w:sz w:val="24"/>
          <w:highlight w:val="none"/>
        </w:rPr>
        <w:t>3.1.1采购人拟采购的产品属于品目清单范围的，采购人及其委托的采购代理机构将依据国家确定的认证机构出具的、处于有效期之内的节能产品、环境标志产品认证证书，对获得证书的产品实施政府优先采购或强制采购。供应商须按采购文件要求提供相关产品认证证书。</w:t>
      </w:r>
    </w:p>
    <w:p>
      <w:pPr>
        <w:snapToGrid w:val="0"/>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3.1.2 </w:t>
      </w:r>
      <w:r>
        <w:rPr>
          <w:rFonts w:hint="eastAsia" w:ascii="仿宋" w:hAnsi="仿宋" w:eastAsia="仿宋"/>
          <w:color w:val="auto"/>
          <w:sz w:val="24"/>
          <w:highlight w:val="none"/>
        </w:rPr>
        <w:t>修缮、装修类项目采购建材的，采购人应将绿色建筑和绿色建材性能、指标等作为实质性条件纳入采购文件和合同。</w:t>
      </w:r>
    </w:p>
    <w:p>
      <w:pPr>
        <w:snapToGrid w:val="0"/>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3.1.3</w:t>
      </w:r>
      <w:r>
        <w:rPr>
          <w:rFonts w:hint="eastAsia" w:ascii="仿宋" w:hAnsi="仿宋" w:eastAsia="仿宋"/>
          <w:color w:val="auto"/>
          <w:sz w:val="24"/>
          <w:highlight w:val="none"/>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napToGrid w:val="0"/>
        <w:spacing w:line="360" w:lineRule="auto"/>
        <w:ind w:firstLine="420"/>
        <w:rPr>
          <w:rFonts w:ascii="仿宋" w:hAnsi="仿宋" w:eastAsia="仿宋"/>
          <w:color w:val="auto"/>
          <w:sz w:val="24"/>
          <w:highlight w:val="none"/>
        </w:rPr>
      </w:pPr>
      <w:r>
        <w:rPr>
          <w:rFonts w:ascii="仿宋" w:hAnsi="仿宋" w:eastAsia="仿宋"/>
          <w:color w:val="auto"/>
          <w:sz w:val="24"/>
          <w:highlight w:val="none"/>
        </w:rPr>
        <w:t>3.2支持中小企业发展</w:t>
      </w:r>
    </w:p>
    <w:p>
      <w:pPr>
        <w:snapToGrid w:val="0"/>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3.2.1中小企业，是指在中华人民共和国境内依法设立，依据国务院批准的中小企业划分标准确定的中型企业、小型企业和微型企业，但与大企业的负责人为同一人，或者与大企业存在直接控股、管理关系的除外。</w:t>
      </w:r>
    </w:p>
    <w:p>
      <w:pPr>
        <w:snapToGrid w:val="0"/>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符合中小企业划分标准的个体工商户，在政府采购活动中视同中小企业。</w:t>
      </w:r>
    </w:p>
    <w:p>
      <w:pPr>
        <w:widowControl/>
        <w:snapToGrid w:val="0"/>
        <w:spacing w:line="360" w:lineRule="auto"/>
        <w:ind w:firstLine="480" w:firstLineChars="200"/>
        <w:rPr>
          <w:rFonts w:ascii="仿宋" w:hAnsi="仿宋" w:eastAsia="仿宋" w:cs="宋体"/>
          <w:color w:val="auto"/>
          <w:kern w:val="0"/>
          <w:sz w:val="24"/>
          <w:highlight w:val="none"/>
        </w:rPr>
      </w:pPr>
      <w:r>
        <w:rPr>
          <w:rFonts w:ascii="仿宋" w:hAnsi="仿宋" w:eastAsia="仿宋"/>
          <w:bCs/>
          <w:color w:val="auto"/>
          <w:sz w:val="24"/>
          <w:highlight w:val="none"/>
        </w:rPr>
        <w:t>3.2.2</w:t>
      </w:r>
      <w:r>
        <w:rPr>
          <w:rFonts w:hint="eastAsia" w:ascii="仿宋" w:hAnsi="仿宋" w:eastAsia="仿宋" w:cs="宋体"/>
          <w:color w:val="auto"/>
          <w:kern w:val="0"/>
          <w:sz w:val="24"/>
          <w:highlight w:val="none"/>
        </w:rPr>
        <w:t>在政府采购活动中，供应商提供的货物、工程或者服务符合下列情形的，享受中小企业扶持政策：</w:t>
      </w:r>
    </w:p>
    <w:p>
      <w:pPr>
        <w:widowControl/>
        <w:snapToGrid w:val="0"/>
        <w:spacing w:line="360" w:lineRule="auto"/>
        <w:ind w:firstLine="480" w:firstLineChars="200"/>
        <w:rPr>
          <w:rFonts w:ascii="仿宋" w:hAnsi="仿宋" w:eastAsia="仿宋" w:cs="宋体"/>
          <w:color w:val="auto"/>
          <w:kern w:val="0"/>
          <w:sz w:val="24"/>
          <w:highlight w:val="none"/>
        </w:rPr>
      </w:pPr>
      <w:r>
        <w:rPr>
          <w:rFonts w:ascii="仿宋" w:hAnsi="仿宋" w:eastAsia="仿宋" w:cs="宋体"/>
          <w:color w:val="auto"/>
          <w:kern w:val="0"/>
          <w:sz w:val="24"/>
          <w:highlight w:val="none"/>
        </w:rPr>
        <w:t>3.2.2.1在货物采购项目中，货物由中小企业制造，即货物由中小企业生产且使用该中小企业商号或者注册商标；</w:t>
      </w:r>
    </w:p>
    <w:p>
      <w:pPr>
        <w:widowControl/>
        <w:snapToGrid w:val="0"/>
        <w:spacing w:line="360" w:lineRule="auto"/>
        <w:ind w:firstLine="480" w:firstLineChars="200"/>
        <w:rPr>
          <w:rFonts w:ascii="仿宋" w:hAnsi="仿宋" w:eastAsia="仿宋" w:cs="宋体"/>
          <w:color w:val="auto"/>
          <w:kern w:val="0"/>
          <w:sz w:val="24"/>
          <w:highlight w:val="none"/>
        </w:rPr>
      </w:pPr>
      <w:r>
        <w:rPr>
          <w:rFonts w:ascii="仿宋" w:hAnsi="仿宋" w:eastAsia="仿宋" w:cs="宋体"/>
          <w:color w:val="auto"/>
          <w:kern w:val="0"/>
          <w:sz w:val="24"/>
          <w:highlight w:val="none"/>
        </w:rPr>
        <w:t>3.2.2.2在工程采购项目中，工程由中小企业承建，即工程施工单位为中小企业；</w:t>
      </w:r>
    </w:p>
    <w:p>
      <w:pPr>
        <w:widowControl/>
        <w:snapToGrid w:val="0"/>
        <w:spacing w:line="360" w:lineRule="auto"/>
        <w:ind w:firstLine="480" w:firstLineChars="200"/>
        <w:rPr>
          <w:rFonts w:ascii="仿宋" w:hAnsi="仿宋" w:eastAsia="仿宋" w:cs="宋体"/>
          <w:color w:val="auto"/>
          <w:kern w:val="0"/>
          <w:sz w:val="24"/>
          <w:highlight w:val="none"/>
        </w:rPr>
      </w:pPr>
      <w:r>
        <w:rPr>
          <w:rFonts w:ascii="仿宋" w:hAnsi="仿宋" w:eastAsia="仿宋" w:cs="宋体"/>
          <w:color w:val="auto"/>
          <w:kern w:val="0"/>
          <w:sz w:val="24"/>
          <w:highlight w:val="none"/>
        </w:rPr>
        <w:t>3.2.2.3在服务采购项目中，服务由中小企业承接，即提供服务的人员为中小企业依照《中华人民共和国劳动合同法》订立劳动合同的从业人员。</w:t>
      </w:r>
    </w:p>
    <w:p>
      <w:pPr>
        <w:widowControl/>
        <w:snapToGrid w:val="0"/>
        <w:spacing w:line="360" w:lineRule="auto"/>
        <w:ind w:firstLine="480" w:firstLineChars="200"/>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在货物采购项目中，供应商提供的货物既有中小企业制造货物，也有大型企业制造货物的，不享受中小企业扶持政策。</w:t>
      </w:r>
    </w:p>
    <w:p>
      <w:pPr>
        <w:widowControl/>
        <w:snapToGrid w:val="0"/>
        <w:spacing w:line="360" w:lineRule="auto"/>
        <w:ind w:firstLine="480" w:firstLineChars="200"/>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以联合体形式参加政府采购活动，联合体各方均为中小企业的，联合体视同中小企业。其中，联合体各方均为小微企业的，联合体视同小微企业。</w:t>
      </w:r>
    </w:p>
    <w:p>
      <w:pPr>
        <w:snapToGrid w:val="0"/>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3.2.3</w:t>
      </w:r>
      <w:r>
        <w:rPr>
          <w:rFonts w:hint="eastAsia" w:ascii="仿宋" w:hAnsi="仿宋" w:eastAsia="仿宋"/>
          <w:color w:val="auto"/>
          <w:sz w:val="24"/>
          <w:highlight w:val="none"/>
        </w:rPr>
        <w:t>对于未预留份额专门面向中小企业的政府采购货物或服务项目，以及预留份额政府采购货物或服务项目中的非预留部分标项，对小型和微型企业的投标报价给予</w:t>
      </w:r>
      <w:r>
        <w:rPr>
          <w:rFonts w:ascii="仿宋" w:hAnsi="仿宋" w:eastAsia="仿宋"/>
          <w:b/>
          <w:bCs/>
          <w:color w:val="auto"/>
          <w:sz w:val="24"/>
          <w:highlight w:val="none"/>
        </w:rPr>
        <w:t>20%</w:t>
      </w:r>
      <w:r>
        <w:rPr>
          <w:rFonts w:ascii="仿宋" w:hAnsi="仿宋" w:eastAsia="仿宋"/>
          <w:color w:val="auto"/>
          <w:sz w:val="24"/>
          <w:highlight w:val="none"/>
        </w:rPr>
        <w:t>的扣除，用扣除后的价格参与评审。接受大中型企业与小微企业组成联合体或者允许大中型企业向一家或者多家小微企业分包的</w:t>
      </w:r>
      <w:r>
        <w:rPr>
          <w:rFonts w:hint="eastAsia" w:ascii="仿宋" w:hAnsi="仿宋" w:eastAsia="仿宋"/>
          <w:color w:val="auto"/>
          <w:sz w:val="24"/>
          <w:highlight w:val="none"/>
        </w:rPr>
        <w:t>政府</w:t>
      </w:r>
      <w:r>
        <w:rPr>
          <w:rFonts w:ascii="仿宋" w:hAnsi="仿宋" w:eastAsia="仿宋"/>
          <w:color w:val="auto"/>
          <w:sz w:val="24"/>
          <w:highlight w:val="none"/>
        </w:rPr>
        <w:t>采购</w:t>
      </w:r>
      <w:r>
        <w:rPr>
          <w:rFonts w:hint="eastAsia" w:ascii="仿宋" w:hAnsi="仿宋" w:eastAsia="仿宋"/>
          <w:color w:val="auto"/>
          <w:sz w:val="24"/>
          <w:highlight w:val="none"/>
        </w:rPr>
        <w:t>货物或服务</w:t>
      </w:r>
      <w:r>
        <w:rPr>
          <w:rFonts w:ascii="仿宋" w:hAnsi="仿宋" w:eastAsia="仿宋"/>
          <w:color w:val="auto"/>
          <w:sz w:val="24"/>
          <w:highlight w:val="none"/>
        </w:rPr>
        <w:t>项目，对于联合协议或者分包意向协议约定小微企业的合同份额占到合同总金额30%以上的，对联合体或者大中型企业的报价给予</w:t>
      </w:r>
      <w:r>
        <w:rPr>
          <w:rFonts w:ascii="仿宋" w:hAnsi="仿宋" w:eastAsia="仿宋"/>
          <w:b/>
          <w:bCs/>
          <w:color w:val="auto"/>
          <w:sz w:val="24"/>
          <w:highlight w:val="none"/>
        </w:rPr>
        <w:t>6%</w:t>
      </w:r>
      <w:r>
        <w:rPr>
          <w:rFonts w:ascii="仿宋" w:hAnsi="仿宋" w:eastAsia="仿宋"/>
          <w:color w:val="auto"/>
          <w:sz w:val="24"/>
          <w:highlight w:val="none"/>
        </w:rPr>
        <w:t>的扣除，用扣除后的价格参加评审。组成联合体或者接受分包的小微企业与联合体内其他企业、分包企业之间存在直接控股、管理关系的，不享受价格扣除优惠政策。</w:t>
      </w:r>
    </w:p>
    <w:p>
      <w:pPr>
        <w:snapToGrid w:val="0"/>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3.2.4符合《关于促进残疾人就业政府采购政策的通知》（财库〔2017〕141号）规定的条件并提供《残疾人福利性单位声明函》（附件1）的残疾人福利性单位视同小型、微型企业；</w:t>
      </w:r>
    </w:p>
    <w:p>
      <w:pPr>
        <w:snapToGrid w:val="0"/>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3.2.5符合《关于政府采购支持监狱企业发展有关问题的通知》（财库[2014]68号）规定的监狱企业并提供由省级以上监狱管理局、戒毒管理局（含新疆生产建设兵团）出具的属于监狱企业证明文件的，视同为小型、微型企业。</w:t>
      </w:r>
    </w:p>
    <w:p>
      <w:pPr>
        <w:snapToGrid w:val="0"/>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3.2.6</w:t>
      </w:r>
      <w:r>
        <w:rPr>
          <w:rFonts w:hint="eastAsia" w:ascii="仿宋" w:hAnsi="仿宋" w:eastAsia="仿宋"/>
          <w:color w:val="auto"/>
          <w:sz w:val="24"/>
          <w:highlight w:val="none"/>
        </w:rPr>
        <w:t>可享受中小企业扶持政策的供应商应按照采购文件格式要求提供《中小企业声明函》，供应商提供的《中小企业声明函》与实际情况不符的，不享受中小企业扶持政策。声明内容不实的，属于提供虚假材料谋取中标、成交的，依法承担法律责任。</w:t>
      </w:r>
    </w:p>
    <w:p>
      <w:pPr>
        <w:snapToGrid w:val="0"/>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3.2.7中小企业享受扶持政策获得政府采购合同的，小微企业不得将合同分包给大中型企业，中型企业不得将合同分包给大型企业</w:t>
      </w:r>
      <w:r>
        <w:rPr>
          <w:rFonts w:hint="eastAsia" w:ascii="仿宋" w:hAnsi="仿宋" w:eastAsia="仿宋"/>
          <w:color w:val="auto"/>
          <w:sz w:val="24"/>
          <w:highlight w:val="none"/>
        </w:rPr>
        <w:t>。</w:t>
      </w:r>
    </w:p>
    <w:p>
      <w:pPr>
        <w:snapToGrid w:val="0"/>
        <w:spacing w:line="360" w:lineRule="auto"/>
        <w:ind w:firstLine="420"/>
        <w:rPr>
          <w:rFonts w:ascii="仿宋" w:hAnsi="仿宋" w:eastAsia="仿宋"/>
          <w:color w:val="auto"/>
          <w:sz w:val="24"/>
          <w:highlight w:val="none"/>
        </w:rPr>
      </w:pPr>
      <w:r>
        <w:rPr>
          <w:rFonts w:ascii="仿宋" w:hAnsi="仿宋" w:eastAsia="仿宋"/>
          <w:color w:val="auto"/>
          <w:sz w:val="24"/>
          <w:highlight w:val="none"/>
        </w:rPr>
        <w:t>3.3</w:t>
      </w:r>
      <w:r>
        <w:rPr>
          <w:rFonts w:hint="eastAsia" w:ascii="仿宋" w:hAnsi="仿宋" w:eastAsia="仿宋"/>
          <w:bCs/>
          <w:color w:val="auto"/>
          <w:sz w:val="24"/>
          <w:highlight w:val="none"/>
        </w:rPr>
        <w:t>支持创新发展</w:t>
      </w:r>
    </w:p>
    <w:p>
      <w:pPr>
        <w:snapToGrid w:val="0"/>
        <w:spacing w:line="360" w:lineRule="auto"/>
        <w:ind w:firstLine="424" w:firstLineChars="177"/>
        <w:rPr>
          <w:rFonts w:ascii="仿宋" w:hAnsi="仿宋" w:eastAsia="仿宋"/>
          <w:color w:val="auto"/>
          <w:sz w:val="24"/>
          <w:highlight w:val="none"/>
        </w:rPr>
      </w:pPr>
      <w:r>
        <w:rPr>
          <w:rFonts w:ascii="仿宋" w:hAnsi="仿宋" w:eastAsia="仿宋"/>
          <w:color w:val="auto"/>
          <w:sz w:val="24"/>
          <w:highlight w:val="none"/>
        </w:rPr>
        <w:t>3.3.1 采购人优先采购被认定</w:t>
      </w:r>
      <w:r>
        <w:rPr>
          <w:rFonts w:hint="eastAsia" w:ascii="仿宋" w:hAnsi="仿宋" w:eastAsia="仿宋"/>
          <w:color w:val="auto"/>
          <w:sz w:val="24"/>
          <w:highlight w:val="none"/>
        </w:rPr>
        <w:t>为首台套产品和“制造精品”的自主创新产品。</w:t>
      </w:r>
    </w:p>
    <w:p>
      <w:pPr>
        <w:snapToGrid w:val="0"/>
        <w:spacing w:line="360" w:lineRule="auto"/>
        <w:ind w:firstLine="424" w:firstLineChars="177"/>
        <w:rPr>
          <w:rFonts w:ascii="仿宋" w:hAnsi="仿宋" w:eastAsia="仿宋"/>
          <w:color w:val="auto"/>
          <w:sz w:val="24"/>
          <w:highlight w:val="none"/>
        </w:rPr>
      </w:pPr>
      <w:r>
        <w:rPr>
          <w:rFonts w:ascii="仿宋" w:hAnsi="仿宋" w:eastAsia="仿宋"/>
          <w:color w:val="auto"/>
          <w:sz w:val="24"/>
          <w:highlight w:val="none"/>
        </w:rPr>
        <w:t>3.3.2首台套产品</w:t>
      </w:r>
      <w:r>
        <w:rPr>
          <w:rFonts w:hint="eastAsia" w:ascii="仿宋" w:hAnsi="仿宋" w:eastAsia="仿宋"/>
          <w:color w:val="auto"/>
          <w:sz w:val="24"/>
          <w:highlight w:val="none"/>
        </w:rPr>
        <w:t>被纳入《首台套产品推广应用指导目录》之日起</w:t>
      </w:r>
      <w:r>
        <w:rPr>
          <w:rFonts w:ascii="仿宋" w:hAnsi="仿宋" w:eastAsia="仿宋"/>
          <w:color w:val="auto"/>
          <w:sz w:val="24"/>
          <w:highlight w:val="none"/>
        </w:rPr>
        <w:t>2年内，以及产品核心技术高于国内领先水平，并具有明晰自主知识产权的“制造精品”产品，</w:t>
      </w:r>
      <w:r>
        <w:rPr>
          <w:rFonts w:hint="eastAsia" w:ascii="仿宋" w:hAnsi="仿宋" w:eastAsia="仿宋"/>
          <w:color w:val="auto"/>
          <w:sz w:val="24"/>
          <w:highlight w:val="none"/>
        </w:rPr>
        <w:t>自认定之日起</w:t>
      </w:r>
      <w:r>
        <w:rPr>
          <w:rFonts w:ascii="仿宋" w:hAnsi="仿宋" w:eastAsia="仿宋"/>
          <w:color w:val="auto"/>
          <w:sz w:val="24"/>
          <w:highlight w:val="none"/>
        </w:rPr>
        <w:t>2年内视同已具备相应销售业绩，参加政府采购活动</w:t>
      </w:r>
      <w:r>
        <w:rPr>
          <w:rFonts w:hint="eastAsia" w:ascii="仿宋" w:hAnsi="仿宋" w:eastAsia="仿宋"/>
          <w:color w:val="auto"/>
          <w:sz w:val="24"/>
          <w:highlight w:val="none"/>
        </w:rPr>
        <w:t>时业绩分值为满分。</w:t>
      </w:r>
    </w:p>
    <w:p>
      <w:pPr>
        <w:snapToGrid w:val="0"/>
        <w:spacing w:line="360" w:lineRule="auto"/>
        <w:ind w:firstLine="420"/>
        <w:rPr>
          <w:rFonts w:ascii="仿宋" w:hAnsi="仿宋" w:eastAsia="仿宋"/>
          <w:color w:val="auto"/>
          <w:sz w:val="24"/>
          <w:highlight w:val="none"/>
        </w:rPr>
      </w:pPr>
      <w:r>
        <w:rPr>
          <w:rFonts w:ascii="仿宋" w:hAnsi="仿宋" w:eastAsia="仿宋"/>
          <w:color w:val="auto"/>
          <w:sz w:val="24"/>
          <w:highlight w:val="none"/>
        </w:rPr>
        <w:t>3.4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w:t>
      </w:r>
      <w:r>
        <w:rPr>
          <w:rFonts w:hint="eastAsia" w:ascii="仿宋" w:hAnsi="仿宋" w:eastAsia="仿宋"/>
          <w:color w:val="auto"/>
          <w:sz w:val="24"/>
          <w:highlight w:val="none"/>
        </w:rPr>
        <w:t>登录</w:t>
      </w:r>
      <w:r>
        <w:rPr>
          <w:rFonts w:ascii="仿宋" w:hAnsi="仿宋" w:eastAsia="仿宋"/>
          <w:color w:val="auto"/>
          <w:sz w:val="24"/>
          <w:highlight w:val="none"/>
        </w:rPr>
        <w:t>杭州市政府采购网“中小企业信用融资”模块，查看信用融资政策文件及各相关银行服务方案。</w:t>
      </w:r>
      <w:r>
        <w:rPr>
          <w:rFonts w:ascii="仿宋" w:hAnsi="仿宋" w:eastAsia="仿宋"/>
          <w:color w:val="auto"/>
          <w:sz w:val="24"/>
          <w:highlight w:val="none"/>
        </w:rPr>
        <w:cr/>
      </w:r>
    </w:p>
    <w:p>
      <w:pPr>
        <w:pStyle w:val="2"/>
        <w:rPr>
          <w:rFonts w:ascii="仿宋" w:hAnsi="仿宋" w:eastAsia="仿宋"/>
          <w:color w:val="auto"/>
          <w:highlight w:val="none"/>
        </w:rPr>
      </w:pPr>
      <w:bookmarkStart w:id="58" w:name="_Toc95312942"/>
      <w:bookmarkStart w:id="59" w:name="_Toc30272"/>
      <w:bookmarkStart w:id="60" w:name="_Toc4807"/>
      <w:bookmarkStart w:id="61" w:name="_Toc10216"/>
      <w:r>
        <w:rPr>
          <w:rFonts w:ascii="仿宋" w:hAnsi="仿宋" w:eastAsia="仿宋"/>
          <w:color w:val="auto"/>
          <w:highlight w:val="none"/>
        </w:rPr>
        <w:t>4.</w:t>
      </w:r>
      <w:r>
        <w:rPr>
          <w:rFonts w:hint="eastAsia" w:ascii="仿宋" w:hAnsi="仿宋" w:eastAsia="仿宋"/>
          <w:color w:val="auto"/>
          <w:highlight w:val="none"/>
        </w:rPr>
        <w:t>询问、质疑、投诉</w:t>
      </w:r>
      <w:bookmarkEnd w:id="58"/>
      <w:bookmarkEnd w:id="59"/>
      <w:bookmarkEnd w:id="60"/>
      <w:bookmarkEnd w:id="61"/>
    </w:p>
    <w:p>
      <w:pPr>
        <w:autoSpaceDE w:val="0"/>
        <w:autoSpaceDN w:val="0"/>
        <w:snapToGrid w:val="0"/>
        <w:spacing w:line="360" w:lineRule="auto"/>
        <w:ind w:firstLine="420"/>
        <w:rPr>
          <w:rFonts w:ascii="仿宋" w:hAnsi="仿宋" w:eastAsia="仿宋" w:cs="微软雅黑"/>
          <w:color w:val="auto"/>
          <w:kern w:val="0"/>
          <w:sz w:val="24"/>
          <w:highlight w:val="none"/>
          <w:lang w:val="zh-CN"/>
        </w:rPr>
      </w:pPr>
      <w:r>
        <w:rPr>
          <w:rFonts w:ascii="仿宋" w:hAnsi="仿宋" w:eastAsia="仿宋" w:cs="微软雅黑"/>
          <w:color w:val="auto"/>
          <w:kern w:val="0"/>
          <w:sz w:val="24"/>
          <w:highlight w:val="none"/>
          <w:lang w:val="zh-CN"/>
        </w:rPr>
        <w:t>4.1供应商询问</w:t>
      </w:r>
    </w:p>
    <w:p>
      <w:pPr>
        <w:autoSpaceDE w:val="0"/>
        <w:autoSpaceDN w:val="0"/>
        <w:snapToGrid w:val="0"/>
        <w:spacing w:line="360" w:lineRule="auto"/>
        <w:ind w:firstLine="480" w:firstLineChars="200"/>
        <w:rPr>
          <w:rFonts w:ascii="仿宋" w:hAnsi="仿宋" w:eastAsia="仿宋" w:cs="微软雅黑"/>
          <w:color w:val="auto"/>
          <w:kern w:val="0"/>
          <w:sz w:val="24"/>
          <w:highlight w:val="none"/>
          <w:lang w:val="zh-CN"/>
        </w:rPr>
      </w:pPr>
      <w:r>
        <w:rPr>
          <w:rFonts w:hint="eastAsia" w:ascii="仿宋" w:hAnsi="仿宋" w:eastAsia="仿宋" w:cs="微软雅黑"/>
          <w:color w:val="auto"/>
          <w:kern w:val="0"/>
          <w:sz w:val="24"/>
          <w:highlight w:val="none"/>
          <w:lang w:val="zh-CN"/>
        </w:rPr>
        <w:t>供应商对政府采购活动事项有疑问的，可以提出询问，采购人或者采购代理机构应当在</w:t>
      </w:r>
      <w:r>
        <w:rPr>
          <w:rFonts w:ascii="仿宋" w:hAnsi="仿宋" w:eastAsia="仿宋" w:cs="微软雅黑"/>
          <w:color w:val="auto"/>
          <w:kern w:val="0"/>
          <w:sz w:val="24"/>
          <w:highlight w:val="none"/>
          <w:lang w:val="zh-CN"/>
        </w:rPr>
        <w:t>3个工作日内对供应</w:t>
      </w:r>
      <w:r>
        <w:rPr>
          <w:rFonts w:hint="eastAsia" w:ascii="仿宋" w:hAnsi="仿宋" w:eastAsia="仿宋" w:cs="微软雅黑"/>
          <w:color w:val="auto"/>
          <w:kern w:val="0"/>
          <w:sz w:val="24"/>
          <w:highlight w:val="none"/>
          <w:lang w:val="zh-CN"/>
        </w:rPr>
        <w:t>商依法提出的询问作出答复，但答复的内容不得涉及商业秘密。供应商提出的询问超出采购人对采购代理机构委托授权范围的，采购代理机构应当告知供应商向采购人提出。</w:t>
      </w:r>
    </w:p>
    <w:p>
      <w:pPr>
        <w:autoSpaceDE w:val="0"/>
        <w:autoSpaceDN w:val="0"/>
        <w:snapToGrid w:val="0"/>
        <w:spacing w:line="360" w:lineRule="auto"/>
        <w:ind w:firstLine="420"/>
        <w:rPr>
          <w:rFonts w:ascii="仿宋" w:hAnsi="仿宋" w:eastAsia="仿宋" w:cs="微软雅黑"/>
          <w:color w:val="auto"/>
          <w:kern w:val="0"/>
          <w:sz w:val="24"/>
          <w:highlight w:val="none"/>
          <w:lang w:val="zh-CN"/>
        </w:rPr>
      </w:pPr>
      <w:r>
        <w:rPr>
          <w:rFonts w:ascii="仿宋" w:hAnsi="仿宋" w:eastAsia="仿宋" w:cs="微软雅黑"/>
          <w:color w:val="auto"/>
          <w:kern w:val="0"/>
          <w:sz w:val="24"/>
          <w:highlight w:val="none"/>
          <w:lang w:val="zh-CN"/>
        </w:rPr>
        <w:t>4.2供应商质疑</w:t>
      </w:r>
    </w:p>
    <w:p>
      <w:pPr>
        <w:pStyle w:val="46"/>
        <w:snapToGrid w:val="0"/>
        <w:spacing w:line="360" w:lineRule="auto"/>
        <w:ind w:firstLine="480" w:firstLineChars="200"/>
        <w:rPr>
          <w:rFonts w:ascii="仿宋" w:hAnsi="仿宋" w:eastAsia="仿宋"/>
          <w:color w:val="auto"/>
          <w:sz w:val="24"/>
          <w:highlight w:val="none"/>
        </w:rPr>
      </w:pPr>
      <w:r>
        <w:rPr>
          <w:rFonts w:ascii="仿宋" w:hAnsi="仿宋" w:eastAsia="仿宋" w:cs="微软雅黑"/>
          <w:color w:val="auto"/>
          <w:kern w:val="0"/>
          <w:sz w:val="24"/>
          <w:highlight w:val="none"/>
          <w:lang w:val="zh-CN"/>
        </w:rPr>
        <w:t>4.2</w:t>
      </w:r>
      <w:r>
        <w:rPr>
          <w:rFonts w:ascii="仿宋" w:hAnsi="仿宋" w:eastAsia="仿宋"/>
          <w:color w:val="auto"/>
          <w:sz w:val="24"/>
          <w:highlight w:val="none"/>
        </w:rPr>
        <w:t>.1提出质疑的供应商应当是参与所质疑项目采购活动的供应商。潜在供应商已依法获取其可质疑的采购文件的，可以对该文件提出质疑。</w:t>
      </w:r>
    </w:p>
    <w:p>
      <w:pPr>
        <w:pStyle w:val="46"/>
        <w:snapToGrid w:val="0"/>
        <w:spacing w:line="360" w:lineRule="auto"/>
        <w:ind w:firstLine="480" w:firstLineChars="200"/>
        <w:rPr>
          <w:rFonts w:ascii="仿宋" w:hAnsi="仿宋" w:eastAsia="仿宋"/>
          <w:color w:val="auto"/>
          <w:sz w:val="24"/>
          <w:highlight w:val="none"/>
        </w:rPr>
      </w:pPr>
      <w:r>
        <w:rPr>
          <w:rFonts w:ascii="仿宋" w:hAnsi="仿宋" w:eastAsia="仿宋" w:cs="微软雅黑"/>
          <w:color w:val="auto"/>
          <w:kern w:val="0"/>
          <w:sz w:val="24"/>
          <w:highlight w:val="none"/>
          <w:lang w:val="zh-CN"/>
        </w:rPr>
        <w:t>4.2</w:t>
      </w:r>
      <w:r>
        <w:rPr>
          <w:rFonts w:ascii="仿宋" w:hAnsi="仿宋" w:eastAsia="仿宋"/>
          <w:color w:val="auto"/>
          <w:sz w:val="24"/>
          <w:highlight w:val="none"/>
        </w:rPr>
        <w:t>.2供应商认为采购文件、采购过程和中标结果使自己的权益受到损害的，可以在知道或者应知其权益受到损害之日起七个工作日内，以书面形式向采购人或者采购代理机构提出质疑，否则，采购人或者采购代理机构不予受理：</w:t>
      </w:r>
    </w:p>
    <w:p>
      <w:pPr>
        <w:pStyle w:val="21"/>
        <w:spacing w:line="360" w:lineRule="auto"/>
        <w:ind w:firstLine="480" w:firstLineChars="200"/>
        <w:rPr>
          <w:rFonts w:ascii="仿宋" w:hAnsi="仿宋" w:eastAsia="仿宋"/>
          <w:color w:val="auto"/>
          <w:kern w:val="2"/>
          <w:sz w:val="24"/>
          <w:highlight w:val="none"/>
        </w:rPr>
      </w:pPr>
      <w:r>
        <w:rPr>
          <w:rFonts w:ascii="仿宋" w:hAnsi="仿宋" w:eastAsia="仿宋"/>
          <w:color w:val="auto"/>
          <w:kern w:val="2"/>
          <w:sz w:val="24"/>
          <w:highlight w:val="none"/>
        </w:rPr>
        <w:t>4.2.2.1对采购文件提出质疑的，质疑期限为供应商获得采购文件之日或者采购文件公告期限届满之日起计算。</w:t>
      </w:r>
    </w:p>
    <w:p>
      <w:pPr>
        <w:pStyle w:val="46"/>
        <w:snapToGrid w:val="0"/>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4.2.2.2对采购过程提出质疑的，质疑期限为各采购程序环节结束之日起计算。对同一采购程序环节的质疑，供应商须一次性提出。</w:t>
      </w:r>
    </w:p>
    <w:p>
      <w:pPr>
        <w:pStyle w:val="46"/>
        <w:snapToGrid w:val="0"/>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4.2.2.3对采购结果提出质疑的，质疑期限自采购结果公告期限届满之日起计算。</w:t>
      </w:r>
    </w:p>
    <w:p>
      <w:pPr>
        <w:pStyle w:val="46"/>
        <w:snapToGrid w:val="0"/>
        <w:spacing w:line="360" w:lineRule="auto"/>
        <w:ind w:firstLine="480" w:firstLineChars="200"/>
        <w:rPr>
          <w:rFonts w:ascii="仿宋" w:hAnsi="仿宋" w:eastAsia="仿宋" w:cs="微软雅黑"/>
          <w:color w:val="auto"/>
          <w:kern w:val="0"/>
          <w:sz w:val="24"/>
          <w:highlight w:val="none"/>
          <w:lang w:val="zh-CN"/>
        </w:rPr>
      </w:pPr>
      <w:r>
        <w:rPr>
          <w:rFonts w:ascii="仿宋" w:hAnsi="仿宋" w:eastAsia="仿宋" w:cs="微软雅黑"/>
          <w:color w:val="auto"/>
          <w:kern w:val="0"/>
          <w:sz w:val="24"/>
          <w:highlight w:val="none"/>
          <w:lang w:val="zh-CN"/>
        </w:rPr>
        <w:t>4.2.3</w:t>
      </w:r>
      <w:r>
        <w:rPr>
          <w:rFonts w:hint="eastAsia" w:ascii="仿宋" w:hAnsi="仿宋" w:eastAsia="仿宋"/>
          <w:color w:val="auto"/>
          <w:sz w:val="24"/>
          <w:highlight w:val="none"/>
        </w:rPr>
        <w:t>供应商提出质疑应当提交质疑函和必要的证明材料。质疑函应当包括下列内容：</w:t>
      </w:r>
    </w:p>
    <w:p>
      <w:pPr>
        <w:pStyle w:val="46"/>
        <w:snapToGrid w:val="0"/>
        <w:spacing w:line="360" w:lineRule="auto"/>
        <w:ind w:firstLine="480" w:firstLineChars="200"/>
        <w:rPr>
          <w:rFonts w:ascii="仿宋" w:hAnsi="仿宋" w:eastAsia="仿宋" w:cs="微软雅黑"/>
          <w:color w:val="auto"/>
          <w:kern w:val="0"/>
          <w:sz w:val="24"/>
          <w:highlight w:val="none"/>
          <w:lang w:val="zh-CN"/>
        </w:rPr>
      </w:pPr>
      <w:r>
        <w:rPr>
          <w:rFonts w:ascii="仿宋" w:hAnsi="仿宋" w:eastAsia="仿宋" w:cs="微软雅黑"/>
          <w:color w:val="auto"/>
          <w:kern w:val="0"/>
          <w:sz w:val="24"/>
          <w:highlight w:val="none"/>
          <w:lang w:val="zh-CN"/>
        </w:rPr>
        <w:t>4.2.3.1</w:t>
      </w:r>
      <w:r>
        <w:rPr>
          <w:rFonts w:hint="eastAsia" w:ascii="仿宋" w:hAnsi="仿宋" w:eastAsia="仿宋" w:cs="微软雅黑"/>
          <w:color w:val="auto"/>
          <w:kern w:val="0"/>
          <w:sz w:val="24"/>
          <w:highlight w:val="none"/>
          <w:lang w:val="zh-CN"/>
        </w:rPr>
        <w:t>供应商的姓名或者名称、地址、邮编、联系人及联系电话；</w:t>
      </w:r>
    </w:p>
    <w:p>
      <w:pPr>
        <w:pStyle w:val="46"/>
        <w:snapToGrid w:val="0"/>
        <w:spacing w:line="360" w:lineRule="auto"/>
        <w:ind w:firstLine="480" w:firstLineChars="200"/>
        <w:rPr>
          <w:rFonts w:ascii="仿宋" w:hAnsi="仿宋" w:eastAsia="仿宋" w:cs="微软雅黑"/>
          <w:color w:val="auto"/>
          <w:kern w:val="0"/>
          <w:sz w:val="24"/>
          <w:highlight w:val="none"/>
          <w:lang w:val="zh-CN"/>
        </w:rPr>
      </w:pPr>
      <w:r>
        <w:rPr>
          <w:rFonts w:ascii="仿宋" w:hAnsi="仿宋" w:eastAsia="仿宋" w:cs="微软雅黑"/>
          <w:color w:val="auto"/>
          <w:kern w:val="0"/>
          <w:sz w:val="24"/>
          <w:highlight w:val="none"/>
          <w:lang w:val="zh-CN"/>
        </w:rPr>
        <w:t>4.2.3.2</w:t>
      </w:r>
      <w:r>
        <w:rPr>
          <w:rFonts w:hint="eastAsia" w:ascii="仿宋" w:hAnsi="仿宋" w:eastAsia="仿宋" w:cs="微软雅黑"/>
          <w:color w:val="auto"/>
          <w:kern w:val="0"/>
          <w:sz w:val="24"/>
          <w:highlight w:val="none"/>
          <w:lang w:val="zh-CN"/>
        </w:rPr>
        <w:t>质疑项目的名称、编号；</w:t>
      </w:r>
    </w:p>
    <w:p>
      <w:pPr>
        <w:pStyle w:val="46"/>
        <w:snapToGrid w:val="0"/>
        <w:spacing w:line="360" w:lineRule="auto"/>
        <w:ind w:firstLine="480" w:firstLineChars="200"/>
        <w:rPr>
          <w:rFonts w:ascii="仿宋" w:hAnsi="仿宋" w:eastAsia="仿宋" w:cs="微软雅黑"/>
          <w:color w:val="auto"/>
          <w:kern w:val="0"/>
          <w:sz w:val="24"/>
          <w:highlight w:val="none"/>
          <w:lang w:val="zh-CN"/>
        </w:rPr>
      </w:pPr>
      <w:r>
        <w:rPr>
          <w:rFonts w:ascii="仿宋" w:hAnsi="仿宋" w:eastAsia="仿宋" w:cs="微软雅黑"/>
          <w:color w:val="auto"/>
          <w:kern w:val="0"/>
          <w:sz w:val="24"/>
          <w:highlight w:val="none"/>
          <w:lang w:val="zh-CN"/>
        </w:rPr>
        <w:t>4.2.3.3</w:t>
      </w:r>
      <w:r>
        <w:rPr>
          <w:rFonts w:hint="eastAsia" w:ascii="仿宋" w:hAnsi="仿宋" w:eastAsia="仿宋" w:cs="微软雅黑"/>
          <w:color w:val="auto"/>
          <w:kern w:val="0"/>
          <w:sz w:val="24"/>
          <w:highlight w:val="none"/>
          <w:lang w:val="zh-CN"/>
        </w:rPr>
        <w:t>具体、明确的质疑事项和与质疑事项相关的请求；</w:t>
      </w:r>
    </w:p>
    <w:p>
      <w:pPr>
        <w:pStyle w:val="46"/>
        <w:snapToGrid w:val="0"/>
        <w:spacing w:line="360" w:lineRule="auto"/>
        <w:ind w:firstLine="480" w:firstLineChars="200"/>
        <w:rPr>
          <w:rFonts w:ascii="仿宋" w:hAnsi="仿宋" w:eastAsia="仿宋" w:cs="微软雅黑"/>
          <w:color w:val="auto"/>
          <w:kern w:val="0"/>
          <w:sz w:val="24"/>
          <w:highlight w:val="none"/>
          <w:lang w:val="zh-CN"/>
        </w:rPr>
      </w:pPr>
      <w:r>
        <w:rPr>
          <w:rFonts w:ascii="仿宋" w:hAnsi="仿宋" w:eastAsia="仿宋" w:cs="微软雅黑"/>
          <w:color w:val="auto"/>
          <w:kern w:val="0"/>
          <w:sz w:val="24"/>
          <w:highlight w:val="none"/>
          <w:lang w:val="zh-CN"/>
        </w:rPr>
        <w:t>4.2.3.4</w:t>
      </w:r>
      <w:r>
        <w:rPr>
          <w:rFonts w:hint="eastAsia" w:ascii="仿宋" w:hAnsi="仿宋" w:eastAsia="仿宋" w:cs="微软雅黑"/>
          <w:color w:val="auto"/>
          <w:kern w:val="0"/>
          <w:sz w:val="24"/>
          <w:highlight w:val="none"/>
          <w:lang w:val="zh-CN"/>
        </w:rPr>
        <w:t>事实依据；</w:t>
      </w:r>
    </w:p>
    <w:p>
      <w:pPr>
        <w:pStyle w:val="46"/>
        <w:snapToGrid w:val="0"/>
        <w:spacing w:line="360" w:lineRule="auto"/>
        <w:ind w:firstLine="480" w:firstLineChars="200"/>
        <w:rPr>
          <w:rFonts w:ascii="仿宋" w:hAnsi="仿宋" w:eastAsia="仿宋" w:cs="微软雅黑"/>
          <w:color w:val="auto"/>
          <w:kern w:val="0"/>
          <w:sz w:val="24"/>
          <w:highlight w:val="none"/>
          <w:lang w:val="zh-CN"/>
        </w:rPr>
      </w:pPr>
      <w:r>
        <w:rPr>
          <w:rFonts w:ascii="仿宋" w:hAnsi="仿宋" w:eastAsia="仿宋" w:cs="微软雅黑"/>
          <w:color w:val="auto"/>
          <w:kern w:val="0"/>
          <w:sz w:val="24"/>
          <w:highlight w:val="none"/>
          <w:lang w:val="zh-CN"/>
        </w:rPr>
        <w:t>4.2.3.5</w:t>
      </w:r>
      <w:r>
        <w:rPr>
          <w:rFonts w:hint="eastAsia" w:ascii="仿宋" w:hAnsi="仿宋" w:eastAsia="仿宋" w:cs="微软雅黑"/>
          <w:color w:val="auto"/>
          <w:kern w:val="0"/>
          <w:sz w:val="24"/>
          <w:highlight w:val="none"/>
          <w:lang w:val="zh-CN"/>
        </w:rPr>
        <w:t>必要的法律依据；</w:t>
      </w:r>
    </w:p>
    <w:p>
      <w:pPr>
        <w:pStyle w:val="46"/>
        <w:snapToGrid w:val="0"/>
        <w:spacing w:line="360" w:lineRule="auto"/>
        <w:ind w:firstLine="480" w:firstLineChars="200"/>
        <w:rPr>
          <w:rFonts w:ascii="仿宋" w:hAnsi="仿宋" w:eastAsia="仿宋" w:cs="微软雅黑"/>
          <w:color w:val="auto"/>
          <w:kern w:val="0"/>
          <w:sz w:val="24"/>
          <w:highlight w:val="none"/>
          <w:lang w:val="zh-CN"/>
        </w:rPr>
      </w:pPr>
      <w:r>
        <w:rPr>
          <w:rFonts w:ascii="仿宋" w:hAnsi="仿宋" w:eastAsia="仿宋" w:cs="微软雅黑"/>
          <w:color w:val="auto"/>
          <w:kern w:val="0"/>
          <w:sz w:val="24"/>
          <w:highlight w:val="none"/>
          <w:lang w:val="zh-CN"/>
        </w:rPr>
        <w:t>4.2.3.6</w:t>
      </w:r>
      <w:r>
        <w:rPr>
          <w:rFonts w:hint="eastAsia" w:ascii="仿宋" w:hAnsi="仿宋" w:eastAsia="仿宋" w:cs="微软雅黑"/>
          <w:color w:val="auto"/>
          <w:kern w:val="0"/>
          <w:sz w:val="24"/>
          <w:highlight w:val="none"/>
          <w:lang w:val="zh-CN"/>
        </w:rPr>
        <w:t>提出质疑的日期。</w:t>
      </w:r>
    </w:p>
    <w:p>
      <w:pPr>
        <w:pStyle w:val="597"/>
        <w:shd w:val="clear" w:color="auto" w:fill="FFFFFF"/>
        <w:adjustRightInd w:val="0"/>
        <w:snapToGrid w:val="0"/>
        <w:spacing w:before="0" w:beforeAutospacing="0" w:after="0" w:afterAutospacing="0" w:line="360" w:lineRule="auto"/>
        <w:ind w:firstLine="400"/>
        <w:contextualSpacing/>
        <w:jc w:val="both"/>
        <w:rPr>
          <w:rFonts w:ascii="仿宋" w:hAnsi="仿宋" w:eastAsia="仿宋"/>
          <w:color w:val="auto"/>
          <w:highlight w:val="none"/>
        </w:rPr>
      </w:pPr>
      <w:r>
        <w:rPr>
          <w:rFonts w:hint="eastAsia" w:ascii="仿宋" w:hAnsi="仿宋" w:eastAsia="仿宋"/>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597"/>
        <w:shd w:val="clear" w:color="auto" w:fill="FFFFFF"/>
        <w:adjustRightInd w:val="0"/>
        <w:snapToGrid w:val="0"/>
        <w:spacing w:before="0" w:beforeAutospacing="0" w:after="0" w:afterAutospacing="0" w:line="360" w:lineRule="auto"/>
        <w:ind w:firstLine="420"/>
        <w:contextualSpacing/>
        <w:jc w:val="both"/>
        <w:rPr>
          <w:rFonts w:ascii="仿宋" w:hAnsi="仿宋" w:eastAsia="仿宋"/>
          <w:color w:val="auto"/>
          <w:highlight w:val="none"/>
        </w:rPr>
      </w:pPr>
      <w:r>
        <w:rPr>
          <w:rFonts w:hint="eastAsia" w:ascii="仿宋" w:hAnsi="仿宋" w:eastAsia="仿宋"/>
          <w:color w:val="auto"/>
          <w:highlight w:val="none"/>
        </w:rPr>
        <w:t>质疑函范本及制作说明详见附件</w:t>
      </w:r>
      <w:r>
        <w:rPr>
          <w:rFonts w:ascii="仿宋" w:hAnsi="仿宋" w:eastAsia="仿宋"/>
          <w:color w:val="auto"/>
          <w:highlight w:val="none"/>
        </w:rPr>
        <w:t>2。</w:t>
      </w:r>
    </w:p>
    <w:p>
      <w:pPr>
        <w:pStyle w:val="597"/>
        <w:shd w:val="clear" w:color="auto" w:fill="FFFFFF"/>
        <w:adjustRightInd w:val="0"/>
        <w:snapToGrid w:val="0"/>
        <w:spacing w:before="0" w:beforeAutospacing="0" w:after="0" w:afterAutospacing="0" w:line="360" w:lineRule="auto"/>
        <w:ind w:firstLine="420"/>
        <w:contextualSpacing/>
        <w:jc w:val="both"/>
        <w:rPr>
          <w:rFonts w:ascii="仿宋" w:hAnsi="仿宋" w:eastAsia="仿宋"/>
          <w:color w:val="auto"/>
          <w:highlight w:val="none"/>
        </w:rPr>
      </w:pPr>
      <w:r>
        <w:rPr>
          <w:rFonts w:ascii="仿宋" w:hAnsi="仿宋" w:eastAsia="仿宋" w:cs="微软雅黑"/>
          <w:color w:val="auto"/>
          <w:highlight w:val="none"/>
          <w:lang w:val="zh-CN"/>
        </w:rPr>
        <w:t>4.2</w:t>
      </w:r>
      <w:r>
        <w:rPr>
          <w:rFonts w:ascii="仿宋" w:hAnsi="仿宋" w:eastAsia="仿宋"/>
          <w:color w:val="auto"/>
          <w:highlight w:val="none"/>
        </w:rPr>
        <w:t>.4</w:t>
      </w:r>
      <w:r>
        <w:rPr>
          <w:rFonts w:hint="eastAsia" w:ascii="仿宋" w:hAnsi="仿宋" w:eastAsia="仿宋"/>
          <w:color w:val="auto"/>
          <w:highlight w:val="none"/>
        </w:rPr>
        <w:t>采购人或者采购代理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w:t>
      </w:r>
      <w:r>
        <w:rPr>
          <w:rFonts w:ascii="仿宋" w:hAnsi="仿宋" w:eastAsia="仿宋"/>
          <w:color w:val="auto"/>
          <w:highlight w:val="none"/>
        </w:rPr>
        <w:t>2021〕17号）,</w:t>
      </w:r>
      <w:r>
        <w:rPr>
          <w:rFonts w:hint="eastAsia" w:ascii="仿宋" w:hAnsi="仿宋" w:eastAsia="仿宋"/>
          <w:color w:val="auto"/>
          <w:highlight w:val="none"/>
        </w:rPr>
        <w:t>采购人或者采购代理机构在质疑回复后</w:t>
      </w:r>
      <w:r>
        <w:rPr>
          <w:rFonts w:ascii="仿宋" w:hAnsi="仿宋" w:eastAsia="仿宋"/>
          <w:color w:val="auto"/>
          <w:highlight w:val="none"/>
        </w:rPr>
        <w:t>5个工作日内，在浙江政府采购网的“其他公告”栏目公开质疑答复，答复内容应当完整。质疑</w:t>
      </w:r>
      <w:r>
        <w:rPr>
          <w:rFonts w:hint="eastAsia" w:ascii="仿宋" w:hAnsi="仿宋" w:eastAsia="仿宋"/>
          <w:color w:val="auto"/>
          <w:highlight w:val="none"/>
        </w:rPr>
        <w:t>函作为附件上传。</w:t>
      </w:r>
    </w:p>
    <w:p>
      <w:pPr>
        <w:pStyle w:val="597"/>
        <w:shd w:val="clear" w:color="auto" w:fill="FFFFFF"/>
        <w:adjustRightInd w:val="0"/>
        <w:snapToGrid w:val="0"/>
        <w:spacing w:before="0" w:beforeAutospacing="0" w:after="0" w:afterAutospacing="0" w:line="360" w:lineRule="auto"/>
        <w:ind w:firstLine="420"/>
        <w:contextualSpacing/>
        <w:jc w:val="both"/>
        <w:rPr>
          <w:rFonts w:ascii="仿宋" w:hAnsi="仿宋" w:eastAsia="仿宋"/>
          <w:color w:val="auto"/>
          <w:highlight w:val="none"/>
        </w:rPr>
      </w:pPr>
      <w:r>
        <w:rPr>
          <w:rFonts w:ascii="仿宋" w:hAnsi="仿宋" w:eastAsia="仿宋" w:cs="微软雅黑"/>
          <w:color w:val="auto"/>
          <w:highlight w:val="none"/>
          <w:lang w:val="zh-CN"/>
        </w:rPr>
        <w:t>4.2</w:t>
      </w:r>
      <w:r>
        <w:rPr>
          <w:rFonts w:ascii="仿宋" w:hAnsi="仿宋" w:eastAsia="仿宋"/>
          <w:color w:val="auto"/>
          <w:highlight w:val="none"/>
        </w:rPr>
        <w:t>.5询问或者质疑事项可能影响采购结果的，采购人应当暂停签订合同，已经签订合同的，应当中止履行合同。</w:t>
      </w:r>
    </w:p>
    <w:p>
      <w:pPr>
        <w:pStyle w:val="597"/>
        <w:shd w:val="clear" w:color="auto" w:fill="FFFFFF"/>
        <w:adjustRightInd w:val="0"/>
        <w:snapToGrid w:val="0"/>
        <w:spacing w:before="0" w:beforeAutospacing="0" w:after="0" w:afterAutospacing="0" w:line="360" w:lineRule="auto"/>
        <w:ind w:firstLine="420"/>
        <w:contextualSpacing/>
        <w:jc w:val="both"/>
        <w:rPr>
          <w:rFonts w:ascii="仿宋" w:hAnsi="仿宋" w:eastAsia="仿宋" w:cs="微软雅黑"/>
          <w:color w:val="auto"/>
          <w:highlight w:val="none"/>
          <w:lang w:val="zh-CN"/>
        </w:rPr>
      </w:pPr>
      <w:r>
        <w:rPr>
          <w:rFonts w:ascii="仿宋" w:hAnsi="仿宋" w:eastAsia="仿宋" w:cs="微软雅黑"/>
          <w:color w:val="auto"/>
          <w:highlight w:val="none"/>
          <w:lang w:val="zh-CN"/>
        </w:rPr>
        <w:t>4.3供应商投诉</w:t>
      </w:r>
    </w:p>
    <w:p>
      <w:pPr>
        <w:pStyle w:val="597"/>
        <w:shd w:val="clear" w:color="auto" w:fill="FFFFFF"/>
        <w:adjustRightInd w:val="0"/>
        <w:snapToGrid w:val="0"/>
        <w:spacing w:before="0" w:beforeAutospacing="0" w:after="0" w:afterAutospacing="0" w:line="360" w:lineRule="auto"/>
        <w:ind w:firstLine="400"/>
        <w:contextualSpacing/>
        <w:jc w:val="both"/>
        <w:rPr>
          <w:rFonts w:ascii="仿宋" w:hAnsi="仿宋" w:eastAsia="仿宋"/>
          <w:color w:val="auto"/>
          <w:highlight w:val="none"/>
        </w:rPr>
      </w:pPr>
      <w:r>
        <w:rPr>
          <w:rFonts w:ascii="仿宋" w:hAnsi="仿宋" w:eastAsia="仿宋"/>
          <w:color w:val="auto"/>
          <w:highlight w:val="none"/>
        </w:rPr>
        <w:t>4.3.1质疑供应商对采购人、采购代理机构的答复不满意或者采购人、采购代理机构未在规定的时间内</w:t>
      </w:r>
      <w:r>
        <w:rPr>
          <w:rFonts w:hint="eastAsia" w:ascii="仿宋" w:hAnsi="仿宋" w:eastAsia="仿宋"/>
          <w:color w:val="auto"/>
          <w:highlight w:val="none"/>
        </w:rPr>
        <w:t>作出答复的，可以在答复期满后十五个工作日内向同级政府采购监督管理部门提出投诉。</w:t>
      </w:r>
    </w:p>
    <w:p>
      <w:pPr>
        <w:pStyle w:val="597"/>
        <w:shd w:val="clear" w:color="auto" w:fill="FFFFFF"/>
        <w:adjustRightInd w:val="0"/>
        <w:snapToGrid w:val="0"/>
        <w:spacing w:before="0" w:beforeAutospacing="0" w:after="0" w:afterAutospacing="0" w:line="360" w:lineRule="auto"/>
        <w:ind w:firstLine="400"/>
        <w:contextualSpacing/>
        <w:jc w:val="both"/>
        <w:rPr>
          <w:rFonts w:ascii="仿宋" w:hAnsi="仿宋" w:eastAsia="仿宋"/>
          <w:color w:val="auto"/>
          <w:highlight w:val="none"/>
        </w:rPr>
      </w:pPr>
      <w:r>
        <w:rPr>
          <w:rFonts w:ascii="仿宋" w:hAnsi="仿宋" w:eastAsia="仿宋"/>
          <w:color w:val="auto"/>
          <w:highlight w:val="none"/>
        </w:rPr>
        <w:t>4.3.</w:t>
      </w:r>
      <w:r>
        <w:rPr>
          <w:rFonts w:ascii="仿宋" w:hAnsi="仿宋" w:eastAsia="仿宋" w:cs="微软雅黑"/>
          <w:color w:val="auto"/>
          <w:highlight w:val="none"/>
          <w:lang w:val="zh-CN"/>
        </w:rPr>
        <w:t>2</w:t>
      </w:r>
      <w:r>
        <w:rPr>
          <w:rFonts w:hint="eastAsia" w:ascii="仿宋" w:hAnsi="仿宋" w:eastAsia="仿宋"/>
          <w:color w:val="auto"/>
          <w:highlight w:val="none"/>
        </w:rPr>
        <w:t>供应商投诉的事项不得超出已质疑事项的范围，基于质疑答复内容提出的投诉事项除外。</w:t>
      </w:r>
    </w:p>
    <w:p>
      <w:pPr>
        <w:pStyle w:val="597"/>
        <w:shd w:val="clear" w:color="auto" w:fill="FFFFFF"/>
        <w:adjustRightInd w:val="0"/>
        <w:snapToGrid w:val="0"/>
        <w:spacing w:before="0" w:beforeAutospacing="0" w:after="0" w:afterAutospacing="0" w:line="360" w:lineRule="auto"/>
        <w:ind w:firstLine="400"/>
        <w:contextualSpacing/>
        <w:jc w:val="both"/>
        <w:rPr>
          <w:rFonts w:ascii="仿宋" w:hAnsi="仿宋" w:eastAsia="仿宋"/>
          <w:color w:val="auto"/>
          <w:highlight w:val="none"/>
        </w:rPr>
      </w:pPr>
      <w:r>
        <w:rPr>
          <w:rFonts w:ascii="仿宋" w:hAnsi="仿宋" w:eastAsia="仿宋"/>
          <w:color w:val="auto"/>
          <w:highlight w:val="none"/>
        </w:rPr>
        <w:t>4.3.3供应</w:t>
      </w:r>
      <w:r>
        <w:rPr>
          <w:rFonts w:hint="eastAsia" w:ascii="仿宋" w:hAnsi="仿宋" w:eastAsia="仿宋"/>
          <w:color w:val="auto"/>
          <w:highlight w:val="none"/>
        </w:rPr>
        <w:t>商投诉应当有明确的请求和必要的证明材料。</w:t>
      </w:r>
    </w:p>
    <w:p>
      <w:pPr>
        <w:pStyle w:val="597"/>
        <w:shd w:val="clear" w:color="auto" w:fill="FFFFFF"/>
        <w:adjustRightInd w:val="0"/>
        <w:snapToGrid w:val="0"/>
        <w:spacing w:before="0" w:beforeAutospacing="0" w:after="0" w:afterAutospacing="0" w:line="360" w:lineRule="auto"/>
        <w:ind w:firstLine="400"/>
        <w:contextualSpacing/>
        <w:jc w:val="both"/>
        <w:rPr>
          <w:rFonts w:ascii="仿宋" w:hAnsi="仿宋" w:eastAsia="仿宋"/>
          <w:color w:val="auto"/>
          <w:highlight w:val="none"/>
        </w:rPr>
      </w:pPr>
      <w:r>
        <w:rPr>
          <w:rFonts w:ascii="仿宋" w:hAnsi="仿宋" w:eastAsia="仿宋"/>
          <w:color w:val="auto"/>
          <w:highlight w:val="none"/>
        </w:rPr>
        <w:t>4.3.</w:t>
      </w:r>
      <w:r>
        <w:rPr>
          <w:rFonts w:hint="eastAsia" w:ascii="仿宋" w:hAnsi="仿宋" w:eastAsia="仿宋"/>
          <w:color w:val="auto"/>
          <w:highlight w:val="none"/>
        </w:rPr>
        <w:t>4</w:t>
      </w:r>
      <w:r>
        <w:rPr>
          <w:rFonts w:ascii="仿宋" w:hAnsi="仿宋" w:eastAsia="仿宋"/>
          <w:color w:val="auto"/>
          <w:highlight w:val="none"/>
        </w:rPr>
        <w:t xml:space="preserve"> </w:t>
      </w:r>
      <w:r>
        <w:rPr>
          <w:rFonts w:hint="eastAsia" w:ascii="仿宋" w:hAnsi="仿宋" w:eastAsia="仿宋"/>
          <w:color w:val="auto"/>
          <w:highlight w:val="none"/>
        </w:rPr>
        <w:t>以联合体形式参加政府采购活动的，其投诉应当由组成联合体的所有供应商共同提出。</w:t>
      </w:r>
    </w:p>
    <w:p>
      <w:pPr>
        <w:pStyle w:val="597"/>
        <w:shd w:val="clear" w:color="auto" w:fill="FFFFFF"/>
        <w:adjustRightInd w:val="0"/>
        <w:snapToGrid w:val="0"/>
        <w:spacing w:before="0" w:beforeAutospacing="0" w:after="0" w:afterAutospacing="0" w:line="360" w:lineRule="auto"/>
        <w:ind w:firstLine="420"/>
        <w:contextualSpacing/>
        <w:jc w:val="both"/>
        <w:rPr>
          <w:rFonts w:ascii="仿宋" w:hAnsi="仿宋" w:eastAsia="仿宋"/>
          <w:color w:val="auto"/>
          <w:highlight w:val="none"/>
        </w:rPr>
      </w:pPr>
      <w:r>
        <w:rPr>
          <w:rFonts w:hint="eastAsia" w:ascii="仿宋" w:hAnsi="仿宋" w:eastAsia="仿宋"/>
          <w:color w:val="auto"/>
          <w:highlight w:val="none"/>
        </w:rPr>
        <w:t>投诉书范本及制作说明详见附件</w:t>
      </w:r>
      <w:r>
        <w:rPr>
          <w:rFonts w:ascii="仿宋" w:hAnsi="仿宋" w:eastAsia="仿宋"/>
          <w:color w:val="auto"/>
          <w:highlight w:val="none"/>
        </w:rPr>
        <w:t>3。</w:t>
      </w:r>
    </w:p>
    <w:p>
      <w:pPr>
        <w:snapToGrid w:val="0"/>
        <w:spacing w:line="360" w:lineRule="auto"/>
        <w:jc w:val="center"/>
        <w:rPr>
          <w:rFonts w:hint="eastAsia" w:ascii="仿宋" w:hAnsi="仿宋" w:eastAsia="仿宋"/>
          <w:b/>
          <w:bCs/>
          <w:color w:val="auto"/>
          <w:kern w:val="44"/>
          <w:sz w:val="28"/>
          <w:szCs w:val="32"/>
          <w:highlight w:val="none"/>
          <w:lang w:val="zh-CN"/>
        </w:rPr>
      </w:pPr>
      <w:bookmarkStart w:id="62" w:name="_Toc5852"/>
      <w:bookmarkStart w:id="63" w:name="_Toc2062424395"/>
      <w:bookmarkStart w:id="64" w:name="_Toc15814"/>
      <w:bookmarkStart w:id="65" w:name="_Toc32377"/>
      <w:bookmarkStart w:id="66" w:name="_Toc95312943"/>
      <w:bookmarkStart w:id="67" w:name="_Toc22555"/>
      <w:r>
        <w:rPr>
          <w:rFonts w:hint="eastAsia" w:ascii="仿宋" w:hAnsi="仿宋" w:eastAsia="仿宋"/>
          <w:b/>
          <w:bCs/>
          <w:color w:val="auto"/>
          <w:kern w:val="44"/>
          <w:sz w:val="28"/>
          <w:szCs w:val="32"/>
          <w:highlight w:val="none"/>
          <w:lang w:val="zh-CN"/>
        </w:rPr>
        <w:t>二、采购文件的构成、澄清、修改</w:t>
      </w:r>
      <w:bookmarkEnd w:id="62"/>
      <w:bookmarkEnd w:id="63"/>
      <w:bookmarkEnd w:id="64"/>
      <w:bookmarkEnd w:id="65"/>
      <w:bookmarkEnd w:id="66"/>
      <w:bookmarkEnd w:id="67"/>
    </w:p>
    <w:p>
      <w:pPr>
        <w:pStyle w:val="2"/>
        <w:rPr>
          <w:rFonts w:ascii="仿宋" w:hAnsi="仿宋" w:eastAsia="仿宋"/>
          <w:color w:val="auto"/>
          <w:highlight w:val="none"/>
        </w:rPr>
      </w:pPr>
      <w:bookmarkStart w:id="68" w:name="_Toc32513"/>
      <w:bookmarkStart w:id="69" w:name="_Toc30129"/>
      <w:bookmarkStart w:id="70" w:name="_Toc8219"/>
      <w:bookmarkStart w:id="71" w:name="_Toc95312944"/>
      <w:r>
        <w:rPr>
          <w:rFonts w:ascii="仿宋" w:hAnsi="仿宋" w:eastAsia="仿宋"/>
          <w:color w:val="auto"/>
          <w:highlight w:val="none"/>
        </w:rPr>
        <w:t>5．采购文件的构成</w:t>
      </w:r>
      <w:bookmarkEnd w:id="68"/>
      <w:bookmarkEnd w:id="69"/>
      <w:bookmarkEnd w:id="70"/>
      <w:bookmarkEnd w:id="71"/>
    </w:p>
    <w:p>
      <w:pPr>
        <w:pStyle w:val="46"/>
        <w:snapToGrid w:val="0"/>
        <w:spacing w:line="360" w:lineRule="auto"/>
        <w:ind w:firstLine="420"/>
        <w:rPr>
          <w:rFonts w:ascii="仿宋" w:hAnsi="仿宋" w:eastAsia="仿宋" w:cs="仿宋_GB2312"/>
          <w:color w:val="auto"/>
          <w:sz w:val="24"/>
          <w:szCs w:val="24"/>
          <w:highlight w:val="none"/>
        </w:rPr>
      </w:pPr>
      <w:r>
        <w:rPr>
          <w:rFonts w:ascii="仿宋" w:hAnsi="仿宋" w:eastAsia="仿宋" w:cs="仿宋_GB2312"/>
          <w:color w:val="auto"/>
          <w:sz w:val="24"/>
          <w:szCs w:val="24"/>
          <w:highlight w:val="none"/>
        </w:rPr>
        <w:t xml:space="preserve">5.1 </w:t>
      </w:r>
      <w:r>
        <w:rPr>
          <w:rFonts w:hint="eastAsia" w:ascii="仿宋" w:hAnsi="仿宋" w:eastAsia="仿宋" w:cs="仿宋_GB2312"/>
          <w:color w:val="auto"/>
          <w:sz w:val="24"/>
          <w:szCs w:val="24"/>
          <w:highlight w:val="none"/>
        </w:rPr>
        <w:t>采购文件包括下列文件及附件：</w:t>
      </w:r>
    </w:p>
    <w:p>
      <w:pPr>
        <w:pStyle w:val="46"/>
        <w:tabs>
          <w:tab w:val="left" w:pos="840"/>
        </w:tabs>
        <w:snapToGrid w:val="0"/>
        <w:spacing w:line="360" w:lineRule="auto"/>
        <w:ind w:firstLine="960" w:firstLineChars="400"/>
        <w:rPr>
          <w:rFonts w:ascii="仿宋" w:hAnsi="仿宋" w:eastAsia="仿宋" w:cs="仿宋_GB2312"/>
          <w:color w:val="auto"/>
          <w:sz w:val="24"/>
          <w:szCs w:val="24"/>
          <w:highlight w:val="none"/>
        </w:rPr>
      </w:pPr>
      <w:r>
        <w:rPr>
          <w:rFonts w:ascii="仿宋" w:hAnsi="仿宋" w:eastAsia="仿宋" w:cs="仿宋_GB2312"/>
          <w:color w:val="auto"/>
          <w:sz w:val="24"/>
          <w:szCs w:val="24"/>
          <w:highlight w:val="none"/>
        </w:rPr>
        <w:t>5.1.1招标公告；</w:t>
      </w:r>
    </w:p>
    <w:p>
      <w:pPr>
        <w:pStyle w:val="46"/>
        <w:tabs>
          <w:tab w:val="left" w:pos="840"/>
        </w:tabs>
        <w:snapToGrid w:val="0"/>
        <w:spacing w:line="360" w:lineRule="auto"/>
        <w:ind w:firstLine="960" w:firstLineChars="400"/>
        <w:rPr>
          <w:rFonts w:ascii="仿宋" w:hAnsi="仿宋" w:eastAsia="仿宋" w:cs="仿宋_GB2312"/>
          <w:color w:val="auto"/>
          <w:sz w:val="24"/>
          <w:szCs w:val="24"/>
          <w:highlight w:val="none"/>
        </w:rPr>
      </w:pPr>
      <w:r>
        <w:rPr>
          <w:rFonts w:ascii="仿宋" w:hAnsi="仿宋" w:eastAsia="仿宋" w:cs="仿宋_GB2312"/>
          <w:color w:val="auto"/>
          <w:sz w:val="24"/>
          <w:szCs w:val="24"/>
          <w:highlight w:val="none"/>
        </w:rPr>
        <w:t>5.1.2供应商须知；</w:t>
      </w:r>
    </w:p>
    <w:p>
      <w:pPr>
        <w:pStyle w:val="46"/>
        <w:tabs>
          <w:tab w:val="left" w:pos="840"/>
        </w:tabs>
        <w:snapToGrid w:val="0"/>
        <w:spacing w:line="360" w:lineRule="auto"/>
        <w:ind w:firstLine="960" w:firstLineChars="400"/>
        <w:rPr>
          <w:rFonts w:ascii="仿宋" w:hAnsi="仿宋" w:eastAsia="仿宋" w:cs="仿宋_GB2312"/>
          <w:color w:val="auto"/>
          <w:sz w:val="24"/>
          <w:szCs w:val="24"/>
          <w:highlight w:val="none"/>
        </w:rPr>
      </w:pPr>
      <w:r>
        <w:rPr>
          <w:rFonts w:ascii="仿宋" w:hAnsi="仿宋" w:eastAsia="仿宋" w:cs="仿宋_GB2312"/>
          <w:color w:val="auto"/>
          <w:sz w:val="24"/>
          <w:szCs w:val="24"/>
          <w:highlight w:val="none"/>
        </w:rPr>
        <w:t>5.1.3采购需求；</w:t>
      </w:r>
    </w:p>
    <w:p>
      <w:pPr>
        <w:pStyle w:val="46"/>
        <w:tabs>
          <w:tab w:val="left" w:pos="840"/>
        </w:tabs>
        <w:snapToGrid w:val="0"/>
        <w:spacing w:line="360" w:lineRule="auto"/>
        <w:ind w:firstLine="960" w:firstLineChars="400"/>
        <w:rPr>
          <w:rFonts w:ascii="仿宋" w:hAnsi="仿宋" w:eastAsia="仿宋" w:cs="仿宋_GB2312"/>
          <w:color w:val="auto"/>
          <w:sz w:val="24"/>
          <w:szCs w:val="24"/>
          <w:highlight w:val="none"/>
        </w:rPr>
      </w:pPr>
      <w:r>
        <w:rPr>
          <w:rFonts w:ascii="仿宋" w:hAnsi="仿宋" w:eastAsia="仿宋" w:cs="仿宋_GB2312"/>
          <w:color w:val="auto"/>
          <w:sz w:val="24"/>
          <w:szCs w:val="24"/>
          <w:highlight w:val="none"/>
        </w:rPr>
        <w:t>5.1.4评标</w:t>
      </w:r>
      <w:r>
        <w:rPr>
          <w:rFonts w:hint="eastAsia" w:ascii="仿宋" w:hAnsi="仿宋" w:eastAsia="仿宋" w:cs="仿宋_GB2312"/>
          <w:color w:val="auto"/>
          <w:sz w:val="24"/>
          <w:szCs w:val="24"/>
          <w:highlight w:val="none"/>
        </w:rPr>
        <w:t>办</w:t>
      </w:r>
      <w:r>
        <w:rPr>
          <w:rFonts w:ascii="仿宋" w:hAnsi="仿宋" w:eastAsia="仿宋" w:cs="仿宋_GB2312"/>
          <w:color w:val="auto"/>
          <w:sz w:val="24"/>
          <w:szCs w:val="24"/>
          <w:highlight w:val="none"/>
        </w:rPr>
        <w:t>法；</w:t>
      </w:r>
    </w:p>
    <w:p>
      <w:pPr>
        <w:pStyle w:val="46"/>
        <w:tabs>
          <w:tab w:val="left" w:pos="840"/>
        </w:tabs>
        <w:snapToGrid w:val="0"/>
        <w:spacing w:line="360" w:lineRule="auto"/>
        <w:ind w:firstLine="960" w:firstLineChars="400"/>
        <w:rPr>
          <w:rFonts w:ascii="仿宋" w:hAnsi="仿宋" w:eastAsia="仿宋" w:cs="仿宋_GB2312"/>
          <w:color w:val="auto"/>
          <w:sz w:val="24"/>
          <w:szCs w:val="24"/>
          <w:highlight w:val="none"/>
        </w:rPr>
      </w:pPr>
      <w:r>
        <w:rPr>
          <w:rFonts w:ascii="仿宋" w:hAnsi="仿宋" w:eastAsia="仿宋" w:cs="仿宋_GB2312"/>
          <w:color w:val="auto"/>
          <w:sz w:val="24"/>
          <w:szCs w:val="24"/>
          <w:highlight w:val="none"/>
        </w:rPr>
        <w:t>5.1.5</w:t>
      </w:r>
      <w:r>
        <w:rPr>
          <w:rFonts w:hint="eastAsia" w:ascii="仿宋" w:hAnsi="仿宋" w:eastAsia="仿宋" w:cs="仿宋_GB2312"/>
          <w:color w:val="auto"/>
          <w:sz w:val="24"/>
          <w:szCs w:val="24"/>
          <w:highlight w:val="none"/>
        </w:rPr>
        <w:t>拟签订的合同文本；</w:t>
      </w:r>
    </w:p>
    <w:p>
      <w:pPr>
        <w:pStyle w:val="46"/>
        <w:tabs>
          <w:tab w:val="left" w:pos="840"/>
        </w:tabs>
        <w:snapToGrid w:val="0"/>
        <w:spacing w:line="360" w:lineRule="auto"/>
        <w:ind w:firstLine="960" w:firstLineChars="400"/>
        <w:rPr>
          <w:rFonts w:ascii="仿宋" w:hAnsi="仿宋" w:eastAsia="仿宋" w:cs="仿宋_GB2312"/>
          <w:color w:val="auto"/>
          <w:sz w:val="24"/>
          <w:szCs w:val="24"/>
          <w:highlight w:val="none"/>
        </w:rPr>
      </w:pPr>
      <w:r>
        <w:rPr>
          <w:rFonts w:ascii="仿宋" w:hAnsi="仿宋" w:eastAsia="仿宋" w:cs="仿宋_GB2312"/>
          <w:color w:val="auto"/>
          <w:sz w:val="24"/>
          <w:highlight w:val="none"/>
        </w:rPr>
        <w:t>5.1.6</w:t>
      </w:r>
      <w:r>
        <w:rPr>
          <w:rFonts w:hint="eastAsia" w:ascii="仿宋" w:hAnsi="仿宋" w:eastAsia="仿宋" w:cs="仿宋_GB2312"/>
          <w:color w:val="auto"/>
          <w:sz w:val="24"/>
          <w:szCs w:val="24"/>
          <w:highlight w:val="none"/>
        </w:rPr>
        <w:t>应提交的有关格式范例。</w:t>
      </w:r>
    </w:p>
    <w:p>
      <w:pPr>
        <w:snapToGrid w:val="0"/>
        <w:spacing w:line="360" w:lineRule="auto"/>
        <w:ind w:firstLine="420"/>
        <w:rPr>
          <w:rFonts w:ascii="仿宋" w:hAnsi="仿宋" w:eastAsia="仿宋" w:cs="仿宋_GB2312"/>
          <w:color w:val="auto"/>
          <w:sz w:val="24"/>
          <w:highlight w:val="none"/>
        </w:rPr>
      </w:pPr>
      <w:r>
        <w:rPr>
          <w:rFonts w:ascii="仿宋" w:hAnsi="仿宋" w:eastAsia="仿宋"/>
          <w:color w:val="auto"/>
          <w:sz w:val="24"/>
          <w:highlight w:val="none"/>
        </w:rPr>
        <w:t>5.2与本项目有关的</w:t>
      </w:r>
      <w:r>
        <w:rPr>
          <w:rFonts w:hint="eastAsia" w:ascii="仿宋" w:hAnsi="仿宋" w:eastAsia="仿宋"/>
          <w:bCs/>
          <w:color w:val="auto"/>
          <w:sz w:val="24"/>
          <w:highlight w:val="none"/>
        </w:rPr>
        <w:t>澄清或者修改的内容为采购文件的组成部分</w:t>
      </w:r>
      <w:r>
        <w:rPr>
          <w:rFonts w:hint="eastAsia" w:ascii="仿宋" w:hAnsi="仿宋" w:eastAsia="仿宋" w:cs="仿宋_GB2312"/>
          <w:color w:val="auto"/>
          <w:sz w:val="24"/>
          <w:highlight w:val="none"/>
        </w:rPr>
        <w:t>。</w:t>
      </w:r>
    </w:p>
    <w:p>
      <w:pPr>
        <w:pStyle w:val="46"/>
        <w:snapToGrid w:val="0"/>
        <w:spacing w:line="360" w:lineRule="auto"/>
        <w:rPr>
          <w:rFonts w:ascii="仿宋" w:hAnsi="仿宋" w:eastAsia="仿宋" w:cs="仿宋_GB2312"/>
          <w:b/>
          <w:color w:val="auto"/>
          <w:sz w:val="24"/>
          <w:szCs w:val="24"/>
          <w:highlight w:val="none"/>
        </w:rPr>
      </w:pPr>
    </w:p>
    <w:p>
      <w:pPr>
        <w:pStyle w:val="2"/>
        <w:rPr>
          <w:rFonts w:ascii="仿宋" w:hAnsi="仿宋" w:eastAsia="仿宋"/>
          <w:color w:val="auto"/>
          <w:highlight w:val="none"/>
        </w:rPr>
      </w:pPr>
      <w:bookmarkStart w:id="72" w:name="_Toc24512"/>
      <w:bookmarkStart w:id="73" w:name="_Toc95312945"/>
      <w:bookmarkStart w:id="74" w:name="_Toc7908"/>
      <w:bookmarkStart w:id="75" w:name="_Toc3070"/>
      <w:r>
        <w:rPr>
          <w:rFonts w:ascii="仿宋" w:hAnsi="仿宋" w:eastAsia="仿宋"/>
          <w:color w:val="auto"/>
          <w:highlight w:val="none"/>
        </w:rPr>
        <w:t>6.</w:t>
      </w:r>
      <w:r>
        <w:rPr>
          <w:rFonts w:hint="eastAsia" w:ascii="仿宋" w:hAnsi="仿宋" w:eastAsia="仿宋"/>
          <w:color w:val="auto"/>
          <w:highlight w:val="none"/>
        </w:rPr>
        <w:t>采购文件的澄清、修改</w:t>
      </w:r>
      <w:bookmarkEnd w:id="72"/>
      <w:bookmarkEnd w:id="73"/>
      <w:bookmarkEnd w:id="74"/>
      <w:bookmarkEnd w:id="75"/>
    </w:p>
    <w:p>
      <w:pPr>
        <w:pStyle w:val="111"/>
        <w:snapToGrid w:val="0"/>
        <w:spacing w:before="0"/>
        <w:ind w:firstLine="480"/>
        <w:rPr>
          <w:rFonts w:ascii="仿宋" w:hAnsi="仿宋" w:eastAsia="仿宋" w:cs="仿宋_GB2312"/>
          <w:color w:val="auto"/>
          <w:highlight w:val="none"/>
        </w:rPr>
      </w:pPr>
      <w:r>
        <w:rPr>
          <w:rFonts w:ascii="仿宋" w:hAnsi="仿宋" w:eastAsia="仿宋" w:cs="仿宋_GB2312"/>
          <w:color w:val="auto"/>
          <w:highlight w:val="none"/>
        </w:rPr>
        <w:t>6.1已获取采购文件的潜在供应商，若有问题需要澄清，应于投标截止时间前，以书面形式向采购代理机构提出。</w:t>
      </w:r>
    </w:p>
    <w:p>
      <w:pPr>
        <w:pStyle w:val="111"/>
        <w:snapToGrid w:val="0"/>
        <w:spacing w:before="0"/>
        <w:ind w:firstLine="480"/>
        <w:rPr>
          <w:rFonts w:ascii="仿宋" w:hAnsi="仿宋" w:eastAsia="仿宋"/>
          <w:color w:val="auto"/>
          <w:highlight w:val="none"/>
        </w:rPr>
      </w:pPr>
      <w:r>
        <w:rPr>
          <w:rFonts w:ascii="仿宋" w:hAnsi="仿宋" w:eastAsia="仿宋"/>
          <w:color w:val="auto"/>
          <w:highlight w:val="none"/>
        </w:rPr>
        <w:t xml:space="preserve">6.2 </w:t>
      </w:r>
      <w:r>
        <w:rPr>
          <w:rFonts w:hint="eastAsia" w:ascii="仿宋" w:hAnsi="仿宋" w:eastAsia="仿宋"/>
          <w:color w:val="auto"/>
          <w:highlight w:val="none"/>
        </w:rPr>
        <w:t>采购代理机构对采购文件进行澄清或修改的，将同时通过电子交易平台通知已获取采购文件的潜在供应商。依法应当公告的，将按规定公告，同时视情况延长投标截止时间和开标时间。该澄清或者修改的内容为采购文件的组成部分。</w:t>
      </w:r>
    </w:p>
    <w:p>
      <w:pPr>
        <w:spacing w:line="360" w:lineRule="auto"/>
        <w:jc w:val="center"/>
        <w:rPr>
          <w:rFonts w:hint="eastAsia" w:ascii="仿宋" w:hAnsi="仿宋" w:eastAsia="仿宋"/>
          <w:b/>
          <w:bCs/>
          <w:color w:val="auto"/>
          <w:kern w:val="44"/>
          <w:sz w:val="28"/>
          <w:szCs w:val="32"/>
          <w:highlight w:val="none"/>
          <w:lang w:val="zh-CN"/>
        </w:rPr>
      </w:pPr>
      <w:bookmarkStart w:id="76" w:name="_Toc21412"/>
      <w:bookmarkStart w:id="77" w:name="_Toc95312946"/>
      <w:bookmarkStart w:id="78" w:name="_Toc19628"/>
      <w:bookmarkStart w:id="79" w:name="_Toc32104"/>
      <w:bookmarkStart w:id="80" w:name="_Toc633260538"/>
      <w:bookmarkStart w:id="81" w:name="_Toc11740"/>
      <w:r>
        <w:rPr>
          <w:rFonts w:hint="eastAsia" w:ascii="仿宋" w:hAnsi="仿宋" w:eastAsia="仿宋"/>
          <w:b/>
          <w:bCs/>
          <w:color w:val="auto"/>
          <w:kern w:val="44"/>
          <w:sz w:val="28"/>
          <w:szCs w:val="32"/>
          <w:highlight w:val="none"/>
          <w:lang w:val="zh-CN"/>
        </w:rPr>
        <w:t>三、投标</w:t>
      </w:r>
      <w:bookmarkEnd w:id="76"/>
      <w:bookmarkEnd w:id="77"/>
      <w:bookmarkEnd w:id="78"/>
      <w:bookmarkEnd w:id="79"/>
      <w:bookmarkEnd w:id="80"/>
      <w:bookmarkEnd w:id="81"/>
    </w:p>
    <w:p>
      <w:pPr>
        <w:pStyle w:val="2"/>
        <w:rPr>
          <w:rFonts w:ascii="仿宋" w:hAnsi="仿宋" w:eastAsia="仿宋"/>
          <w:color w:val="auto"/>
          <w:highlight w:val="none"/>
        </w:rPr>
      </w:pPr>
      <w:bookmarkStart w:id="82" w:name="_Toc20212"/>
      <w:bookmarkStart w:id="83" w:name="_Toc4596"/>
      <w:bookmarkStart w:id="84" w:name="_Toc30176"/>
      <w:bookmarkStart w:id="85" w:name="_Toc95312947"/>
      <w:r>
        <w:rPr>
          <w:rFonts w:ascii="仿宋" w:hAnsi="仿宋" w:eastAsia="仿宋"/>
          <w:color w:val="auto"/>
          <w:highlight w:val="none"/>
        </w:rPr>
        <w:t>7.</w:t>
      </w:r>
      <w:r>
        <w:rPr>
          <w:rFonts w:hint="eastAsia" w:ascii="仿宋" w:hAnsi="仿宋" w:eastAsia="仿宋"/>
          <w:color w:val="auto"/>
          <w:highlight w:val="none"/>
        </w:rPr>
        <w:t>采购文件的获取</w:t>
      </w:r>
      <w:bookmarkEnd w:id="82"/>
      <w:bookmarkEnd w:id="83"/>
      <w:bookmarkEnd w:id="84"/>
      <w:bookmarkEnd w:id="85"/>
    </w:p>
    <w:p>
      <w:pPr>
        <w:snapToGrid w:val="0"/>
        <w:spacing w:line="360" w:lineRule="auto"/>
        <w:ind w:firstLine="480" w:firstLineChars="200"/>
        <w:rPr>
          <w:rFonts w:ascii="仿宋" w:hAnsi="仿宋" w:eastAsia="仿宋" w:cs="仿宋_GB2312"/>
          <w:snapToGrid w:val="0"/>
          <w:color w:val="auto"/>
          <w:kern w:val="28"/>
          <w:sz w:val="24"/>
          <w:highlight w:val="none"/>
        </w:rPr>
      </w:pPr>
      <w:r>
        <w:rPr>
          <w:rFonts w:hint="eastAsia" w:ascii="仿宋" w:hAnsi="仿宋" w:eastAsia="仿宋" w:cs="仿宋_GB2312"/>
          <w:snapToGrid w:val="0"/>
          <w:color w:val="auto"/>
          <w:kern w:val="28"/>
          <w:sz w:val="24"/>
          <w:highlight w:val="none"/>
        </w:rPr>
        <w:t>详见招标公告中获取采购文件的时间期限、地点、方式。</w:t>
      </w:r>
    </w:p>
    <w:p>
      <w:pPr>
        <w:pStyle w:val="46"/>
        <w:snapToGrid w:val="0"/>
        <w:spacing w:line="360" w:lineRule="auto"/>
        <w:rPr>
          <w:rFonts w:ascii="仿宋" w:hAnsi="仿宋" w:eastAsia="仿宋" w:cs="仿宋_GB2312"/>
          <w:b/>
          <w:color w:val="auto"/>
          <w:sz w:val="24"/>
          <w:szCs w:val="24"/>
          <w:highlight w:val="none"/>
        </w:rPr>
      </w:pPr>
    </w:p>
    <w:p>
      <w:pPr>
        <w:pStyle w:val="2"/>
        <w:rPr>
          <w:rFonts w:ascii="仿宋" w:hAnsi="仿宋" w:eastAsia="仿宋"/>
          <w:color w:val="auto"/>
          <w:highlight w:val="none"/>
        </w:rPr>
      </w:pPr>
      <w:bookmarkStart w:id="86" w:name="_Toc18612"/>
      <w:bookmarkStart w:id="87" w:name="_Toc4625"/>
      <w:bookmarkStart w:id="88" w:name="_Toc18862"/>
      <w:bookmarkStart w:id="89" w:name="_Toc95312948"/>
      <w:r>
        <w:rPr>
          <w:rFonts w:ascii="仿宋" w:hAnsi="仿宋" w:eastAsia="仿宋"/>
          <w:color w:val="auto"/>
          <w:highlight w:val="none"/>
        </w:rPr>
        <w:t>8.开标前答疑会或现场考察</w:t>
      </w:r>
      <w:bookmarkEnd w:id="86"/>
      <w:bookmarkEnd w:id="87"/>
      <w:bookmarkEnd w:id="88"/>
      <w:bookmarkEnd w:id="89"/>
    </w:p>
    <w:p>
      <w:pPr>
        <w:pStyle w:val="46"/>
        <w:snapToGrid w:val="0"/>
        <w:spacing w:line="360" w:lineRule="auto"/>
        <w:ind w:firstLine="420"/>
        <w:rPr>
          <w:rFonts w:ascii="仿宋" w:hAnsi="仿宋" w:eastAsia="仿宋"/>
          <w:color w:val="auto"/>
          <w:sz w:val="24"/>
          <w:szCs w:val="24"/>
          <w:highlight w:val="none"/>
        </w:rPr>
      </w:pPr>
      <w:r>
        <w:rPr>
          <w:rFonts w:hint="eastAsia" w:ascii="仿宋" w:hAnsi="仿宋" w:eastAsia="仿宋"/>
          <w:color w:val="auto"/>
          <w:sz w:val="24"/>
          <w:szCs w:val="24"/>
          <w:highlight w:val="none"/>
        </w:rPr>
        <w:t>本项目不组织现场考察和召开开标前答疑会。</w:t>
      </w:r>
    </w:p>
    <w:p>
      <w:pPr>
        <w:pStyle w:val="46"/>
        <w:snapToGrid w:val="0"/>
        <w:spacing w:line="360" w:lineRule="auto"/>
        <w:rPr>
          <w:rFonts w:ascii="仿宋" w:hAnsi="仿宋" w:eastAsia="仿宋"/>
          <w:b/>
          <w:color w:val="auto"/>
          <w:kern w:val="28"/>
          <w:sz w:val="24"/>
          <w:szCs w:val="24"/>
          <w:highlight w:val="none"/>
        </w:rPr>
      </w:pPr>
    </w:p>
    <w:p>
      <w:pPr>
        <w:pStyle w:val="2"/>
        <w:rPr>
          <w:rFonts w:ascii="仿宋" w:hAnsi="仿宋" w:eastAsia="仿宋"/>
          <w:color w:val="auto"/>
          <w:highlight w:val="none"/>
        </w:rPr>
      </w:pPr>
      <w:bookmarkStart w:id="90" w:name="_Toc10547"/>
      <w:bookmarkStart w:id="91" w:name="_Toc95312949"/>
      <w:bookmarkStart w:id="92" w:name="_Toc32518"/>
      <w:bookmarkStart w:id="93" w:name="_Toc31033"/>
      <w:r>
        <w:rPr>
          <w:rFonts w:ascii="仿宋" w:hAnsi="仿宋" w:eastAsia="仿宋"/>
          <w:color w:val="auto"/>
          <w:highlight w:val="none"/>
        </w:rPr>
        <w:t>9.投标保证金</w:t>
      </w:r>
      <w:bookmarkEnd w:id="90"/>
      <w:bookmarkEnd w:id="91"/>
      <w:bookmarkEnd w:id="92"/>
      <w:bookmarkEnd w:id="93"/>
    </w:p>
    <w:p>
      <w:pPr>
        <w:pStyle w:val="21"/>
        <w:spacing w:line="360" w:lineRule="auto"/>
        <w:ind w:firstLine="470" w:firstLineChars="196"/>
        <w:rPr>
          <w:rFonts w:ascii="仿宋" w:hAnsi="仿宋" w:eastAsia="仿宋" w:cs="仿宋_GB2312"/>
          <w:color w:val="auto"/>
          <w:sz w:val="24"/>
          <w:highlight w:val="none"/>
        </w:rPr>
      </w:pPr>
      <w:r>
        <w:rPr>
          <w:rFonts w:hint="eastAsia" w:ascii="仿宋" w:hAnsi="仿宋" w:eastAsia="仿宋" w:cs="仿宋_GB2312"/>
          <w:color w:val="auto"/>
          <w:sz w:val="24"/>
          <w:highlight w:val="none"/>
        </w:rPr>
        <w:t>本项目不需缴纳投标保证金。</w:t>
      </w:r>
    </w:p>
    <w:p>
      <w:pPr>
        <w:pStyle w:val="46"/>
        <w:snapToGrid w:val="0"/>
        <w:spacing w:line="360" w:lineRule="auto"/>
        <w:rPr>
          <w:rFonts w:ascii="仿宋" w:hAnsi="仿宋" w:eastAsia="仿宋" w:cs="仿宋_GB2312"/>
          <w:b/>
          <w:color w:val="auto"/>
          <w:sz w:val="24"/>
          <w:szCs w:val="24"/>
          <w:highlight w:val="none"/>
        </w:rPr>
      </w:pPr>
    </w:p>
    <w:p>
      <w:pPr>
        <w:pStyle w:val="2"/>
        <w:rPr>
          <w:rFonts w:ascii="仿宋" w:hAnsi="仿宋" w:eastAsia="仿宋"/>
          <w:color w:val="auto"/>
          <w:highlight w:val="none"/>
        </w:rPr>
      </w:pPr>
      <w:bookmarkStart w:id="94" w:name="_Toc95312950"/>
      <w:bookmarkStart w:id="95" w:name="_Toc6335"/>
      <w:bookmarkStart w:id="96" w:name="_Toc5004"/>
      <w:bookmarkStart w:id="97" w:name="_Toc6779"/>
      <w:r>
        <w:rPr>
          <w:rFonts w:ascii="仿宋" w:hAnsi="仿宋" w:eastAsia="仿宋"/>
          <w:color w:val="auto"/>
          <w:highlight w:val="none"/>
        </w:rPr>
        <w:t>10.</w:t>
      </w:r>
      <w:r>
        <w:rPr>
          <w:rFonts w:hint="eastAsia" w:ascii="仿宋" w:hAnsi="仿宋" w:eastAsia="仿宋"/>
          <w:color w:val="auto"/>
          <w:highlight w:val="none"/>
        </w:rPr>
        <w:t>投标文件的语言</w:t>
      </w:r>
      <w:bookmarkEnd w:id="94"/>
      <w:bookmarkEnd w:id="95"/>
      <w:bookmarkEnd w:id="96"/>
      <w:bookmarkEnd w:id="97"/>
    </w:p>
    <w:p>
      <w:pPr>
        <w:autoSpaceDE w:val="0"/>
        <w:autoSpaceDN w:val="0"/>
        <w:snapToGrid w:val="0"/>
        <w:spacing w:line="360" w:lineRule="auto"/>
        <w:ind w:firstLine="480" w:firstLineChars="200"/>
        <w:rPr>
          <w:rFonts w:ascii="仿宋" w:hAnsi="仿宋" w:eastAsia="仿宋" w:cs="仿宋_GB2312"/>
          <w:color w:val="auto"/>
          <w:sz w:val="24"/>
          <w:highlight w:val="none"/>
          <w:lang w:val="zh-CN"/>
        </w:rPr>
      </w:pPr>
      <w:r>
        <w:rPr>
          <w:rFonts w:hint="eastAsia" w:ascii="仿宋" w:hAnsi="仿宋" w:eastAsia="仿宋" w:cs="仿宋_GB2312"/>
          <w:color w:val="auto"/>
          <w:sz w:val="24"/>
          <w:highlight w:val="none"/>
        </w:rPr>
        <w:t>投标文件及供应商与采购有关的来往通知、函件和文件均应使用中文。</w:t>
      </w:r>
    </w:p>
    <w:p>
      <w:pPr>
        <w:pStyle w:val="46"/>
        <w:snapToGrid w:val="0"/>
        <w:spacing w:line="360" w:lineRule="auto"/>
        <w:rPr>
          <w:rFonts w:ascii="仿宋" w:hAnsi="仿宋" w:eastAsia="仿宋" w:cs="仿宋_GB2312"/>
          <w:b/>
          <w:color w:val="auto"/>
          <w:sz w:val="24"/>
          <w:szCs w:val="24"/>
          <w:highlight w:val="none"/>
        </w:rPr>
      </w:pPr>
    </w:p>
    <w:p>
      <w:pPr>
        <w:pStyle w:val="2"/>
        <w:rPr>
          <w:rFonts w:ascii="仿宋" w:hAnsi="仿宋" w:eastAsia="仿宋"/>
          <w:color w:val="auto"/>
          <w:highlight w:val="none"/>
        </w:rPr>
      </w:pPr>
      <w:bookmarkStart w:id="98" w:name="_Toc23118"/>
      <w:bookmarkStart w:id="99" w:name="_Toc95312951"/>
      <w:bookmarkStart w:id="100" w:name="_Toc607"/>
      <w:bookmarkStart w:id="101" w:name="_Toc31286"/>
      <w:r>
        <w:rPr>
          <w:rFonts w:ascii="仿宋" w:hAnsi="仿宋" w:eastAsia="仿宋"/>
          <w:color w:val="auto"/>
          <w:highlight w:val="none"/>
        </w:rPr>
        <w:t>11.</w:t>
      </w:r>
      <w:r>
        <w:rPr>
          <w:rFonts w:hint="eastAsia" w:ascii="仿宋" w:hAnsi="仿宋" w:eastAsia="仿宋"/>
          <w:color w:val="auto"/>
          <w:highlight w:val="none"/>
        </w:rPr>
        <w:t>投标文件的组成</w:t>
      </w:r>
      <w:bookmarkEnd w:id="98"/>
      <w:bookmarkEnd w:id="99"/>
      <w:bookmarkEnd w:id="100"/>
      <w:bookmarkEnd w:id="101"/>
    </w:p>
    <w:p>
      <w:pPr>
        <w:snapToGrid w:val="0"/>
        <w:spacing w:line="360" w:lineRule="auto"/>
        <w:rPr>
          <w:rFonts w:ascii="仿宋" w:hAnsi="仿宋" w:eastAsia="仿宋" w:cs="仿宋_GB2312"/>
          <w:b/>
          <w:bCs/>
          <w:color w:val="auto"/>
          <w:sz w:val="24"/>
          <w:highlight w:val="none"/>
        </w:rPr>
      </w:pPr>
      <w:bookmarkStart w:id="102" w:name="_Hlk95263917"/>
      <w:r>
        <w:rPr>
          <w:rFonts w:ascii="仿宋" w:hAnsi="仿宋" w:eastAsia="仿宋" w:cs="仿宋_GB2312"/>
          <w:b/>
          <w:bCs/>
          <w:color w:val="auto"/>
          <w:sz w:val="24"/>
          <w:highlight w:val="none"/>
        </w:rPr>
        <w:t>11.1</w:t>
      </w:r>
      <w:r>
        <w:rPr>
          <w:rFonts w:hint="eastAsia" w:ascii="仿宋" w:hAnsi="仿宋" w:eastAsia="仿宋" w:cs="仿宋_GB2312"/>
          <w:b/>
          <w:bCs/>
          <w:color w:val="auto"/>
          <w:sz w:val="24"/>
          <w:highlight w:val="none"/>
        </w:rPr>
        <w:t>资格文件：</w:t>
      </w:r>
    </w:p>
    <w:p>
      <w:pPr>
        <w:snapToGrid w:val="0"/>
        <w:spacing w:line="360" w:lineRule="auto"/>
        <w:rPr>
          <w:rFonts w:ascii="仿宋" w:hAnsi="仿宋" w:eastAsia="仿宋" w:cs="仿宋_GB2312"/>
          <w:color w:val="auto"/>
          <w:sz w:val="24"/>
          <w:highlight w:val="none"/>
        </w:rPr>
      </w:pPr>
      <w:r>
        <w:rPr>
          <w:rFonts w:ascii="仿宋" w:hAnsi="仿宋" w:eastAsia="仿宋" w:cs="仿宋_GB2312"/>
          <w:color w:val="auto"/>
          <w:sz w:val="24"/>
          <w:highlight w:val="none"/>
        </w:rPr>
        <w:t>2.1.1符合参加政府采购活动应当具备的一般条件的承诺函；</w:t>
      </w:r>
    </w:p>
    <w:p>
      <w:pPr>
        <w:snapToGrid w:val="0"/>
        <w:spacing w:line="360" w:lineRule="auto"/>
        <w:rPr>
          <w:rFonts w:ascii="仿宋" w:hAnsi="仿宋" w:eastAsia="仿宋" w:cs="仿宋_GB2312"/>
          <w:color w:val="auto"/>
          <w:sz w:val="24"/>
          <w:highlight w:val="none"/>
        </w:rPr>
      </w:pPr>
      <w:r>
        <w:rPr>
          <w:rFonts w:ascii="仿宋" w:hAnsi="仿宋" w:eastAsia="仿宋" w:cs="仿宋_GB2312"/>
          <w:color w:val="auto"/>
          <w:sz w:val="24"/>
          <w:highlight w:val="none"/>
        </w:rPr>
        <w:t>2.1.2落实政府采购政策需满足的资格要求；</w:t>
      </w:r>
    </w:p>
    <w:p>
      <w:pPr>
        <w:snapToGrid w:val="0"/>
        <w:spacing w:line="360" w:lineRule="auto"/>
        <w:rPr>
          <w:rFonts w:ascii="仿宋" w:hAnsi="仿宋" w:eastAsia="仿宋" w:cs="仿宋_GB2312"/>
          <w:color w:val="auto"/>
          <w:sz w:val="24"/>
          <w:highlight w:val="none"/>
        </w:rPr>
      </w:pPr>
      <w:r>
        <w:rPr>
          <w:rFonts w:ascii="仿宋" w:hAnsi="仿宋" w:eastAsia="仿宋" w:cs="仿宋_GB2312"/>
          <w:color w:val="auto"/>
          <w:sz w:val="24"/>
          <w:highlight w:val="none"/>
        </w:rPr>
        <w:t>2.1.3本项目的特定资格要求。</w:t>
      </w:r>
    </w:p>
    <w:p>
      <w:pPr>
        <w:snapToGrid w:val="0"/>
        <w:spacing w:line="360" w:lineRule="auto"/>
        <w:rPr>
          <w:rFonts w:ascii="仿宋" w:hAnsi="仿宋" w:eastAsia="仿宋" w:cs="仿宋_GB2312"/>
          <w:b/>
          <w:bCs/>
          <w:color w:val="auto"/>
          <w:sz w:val="24"/>
          <w:highlight w:val="none"/>
          <w:lang w:val="zh-CN"/>
        </w:rPr>
      </w:pPr>
      <w:r>
        <w:rPr>
          <w:rFonts w:ascii="仿宋" w:hAnsi="仿宋" w:eastAsia="仿宋" w:cs="仿宋_GB2312"/>
          <w:b/>
          <w:bCs/>
          <w:color w:val="auto"/>
          <w:sz w:val="24"/>
          <w:highlight w:val="none"/>
          <w:lang w:val="zh-CN"/>
        </w:rPr>
        <w:t>11.</w:t>
      </w:r>
      <w:r>
        <w:rPr>
          <w:rFonts w:ascii="仿宋" w:hAnsi="仿宋" w:eastAsia="仿宋" w:cs="仿宋_GB2312"/>
          <w:b/>
          <w:bCs/>
          <w:color w:val="auto"/>
          <w:sz w:val="24"/>
          <w:highlight w:val="none"/>
        </w:rPr>
        <w:t>2</w:t>
      </w:r>
      <w:r>
        <w:rPr>
          <w:rFonts w:ascii="仿宋" w:hAnsi="仿宋" w:eastAsia="仿宋" w:cs="仿宋_GB2312"/>
          <w:b/>
          <w:bCs/>
          <w:color w:val="auto"/>
          <w:sz w:val="24"/>
          <w:highlight w:val="none"/>
          <w:lang w:val="zh-CN"/>
        </w:rPr>
        <w:t xml:space="preserve"> </w:t>
      </w:r>
      <w:r>
        <w:rPr>
          <w:rFonts w:hint="eastAsia" w:ascii="仿宋" w:hAnsi="仿宋" w:eastAsia="仿宋" w:cs="仿宋_GB2312"/>
          <w:b/>
          <w:bCs/>
          <w:color w:val="auto"/>
          <w:sz w:val="24"/>
          <w:highlight w:val="none"/>
        </w:rPr>
        <w:t>商务技术</w:t>
      </w:r>
      <w:r>
        <w:rPr>
          <w:rFonts w:hint="eastAsia" w:ascii="仿宋" w:hAnsi="仿宋" w:eastAsia="仿宋" w:cs="仿宋_GB2312"/>
          <w:b/>
          <w:bCs/>
          <w:color w:val="auto"/>
          <w:sz w:val="24"/>
          <w:highlight w:val="none"/>
          <w:lang w:val="zh-CN"/>
        </w:rPr>
        <w:t>文件：</w:t>
      </w:r>
    </w:p>
    <w:bookmarkEnd w:id="102"/>
    <w:p>
      <w:pPr>
        <w:snapToGrid w:val="0"/>
        <w:spacing w:line="360" w:lineRule="auto"/>
        <w:rPr>
          <w:rFonts w:ascii="仿宋" w:hAnsi="仿宋" w:eastAsia="仿宋" w:cs="仿宋_GB2312"/>
          <w:color w:val="auto"/>
          <w:sz w:val="24"/>
          <w:highlight w:val="none"/>
        </w:rPr>
      </w:pPr>
      <w:r>
        <w:rPr>
          <w:rFonts w:ascii="仿宋" w:hAnsi="仿宋" w:eastAsia="仿宋" w:cs="仿宋_GB2312"/>
          <w:color w:val="auto"/>
          <w:sz w:val="24"/>
          <w:highlight w:val="none"/>
        </w:rPr>
        <w:t>11.2.1投标函；</w:t>
      </w:r>
      <w:r>
        <w:rPr>
          <w:rFonts w:ascii="仿宋" w:hAnsi="仿宋" w:eastAsia="仿宋" w:cs="仿宋_GB2312"/>
          <w:color w:val="auto"/>
          <w:sz w:val="24"/>
          <w:highlight w:val="none"/>
          <w:lang w:val="zh-CN"/>
        </w:rPr>
        <w:t xml:space="preserve"> </w:t>
      </w:r>
    </w:p>
    <w:p>
      <w:pPr>
        <w:snapToGrid w:val="0"/>
        <w:spacing w:line="360" w:lineRule="auto"/>
        <w:rPr>
          <w:rFonts w:ascii="仿宋" w:hAnsi="仿宋" w:eastAsia="仿宋" w:cs="宋体"/>
          <w:color w:val="auto"/>
          <w:sz w:val="24"/>
          <w:highlight w:val="none"/>
        </w:rPr>
      </w:pPr>
      <w:bookmarkStart w:id="103" w:name="_Hlk87474952"/>
      <w:r>
        <w:rPr>
          <w:rFonts w:ascii="仿宋" w:hAnsi="仿宋" w:eastAsia="仿宋" w:cs="宋体"/>
          <w:color w:val="auto"/>
          <w:sz w:val="24"/>
          <w:highlight w:val="none"/>
        </w:rPr>
        <w:t>11.2.2</w:t>
      </w:r>
      <w:r>
        <w:rPr>
          <w:rFonts w:hint="eastAsia" w:ascii="仿宋" w:hAnsi="仿宋" w:eastAsia="仿宋" w:cs="宋体"/>
          <w:color w:val="auto"/>
          <w:sz w:val="24"/>
          <w:highlight w:val="none"/>
        </w:rPr>
        <w:t>授权委托书；</w:t>
      </w:r>
    </w:p>
    <w:p>
      <w:pPr>
        <w:snapToGrid w:val="0"/>
        <w:spacing w:line="360" w:lineRule="auto"/>
        <w:rPr>
          <w:rFonts w:ascii="仿宋" w:hAnsi="仿宋" w:eastAsia="仿宋" w:cs="宋体"/>
          <w:color w:val="auto"/>
          <w:sz w:val="24"/>
          <w:highlight w:val="none"/>
        </w:rPr>
      </w:pPr>
      <w:r>
        <w:rPr>
          <w:rFonts w:ascii="仿宋" w:hAnsi="仿宋" w:eastAsia="仿宋" w:cs="宋体"/>
          <w:color w:val="auto"/>
          <w:sz w:val="24"/>
          <w:highlight w:val="none"/>
        </w:rPr>
        <w:t>11.2.3</w:t>
      </w:r>
      <w:r>
        <w:rPr>
          <w:rFonts w:hint="eastAsia" w:ascii="仿宋" w:hAnsi="仿宋" w:eastAsia="仿宋" w:cs="宋体"/>
          <w:color w:val="auto"/>
          <w:sz w:val="24"/>
          <w:highlight w:val="none"/>
        </w:rPr>
        <w:t>法定代表人和授权委托代表的有效身份证复印件（法定代表人直接参加投标并对相应文件签字的，只需提供前者）；</w:t>
      </w:r>
    </w:p>
    <w:p>
      <w:pPr>
        <w:snapToGrid w:val="0"/>
        <w:spacing w:line="360" w:lineRule="auto"/>
        <w:rPr>
          <w:rFonts w:ascii="仿宋" w:hAnsi="仿宋" w:eastAsia="仿宋" w:cs="宋体"/>
          <w:snapToGrid w:val="0"/>
          <w:color w:val="auto"/>
          <w:kern w:val="0"/>
          <w:sz w:val="24"/>
          <w:highlight w:val="none"/>
        </w:rPr>
      </w:pPr>
      <w:r>
        <w:rPr>
          <w:rFonts w:ascii="仿宋" w:hAnsi="仿宋" w:eastAsia="仿宋" w:cs="宋体"/>
          <w:color w:val="auto"/>
          <w:sz w:val="24"/>
          <w:highlight w:val="none"/>
        </w:rPr>
        <w:t>11.2.4</w:t>
      </w:r>
      <w:r>
        <w:rPr>
          <w:rFonts w:hint="eastAsia" w:ascii="仿宋" w:hAnsi="仿宋" w:eastAsia="仿宋" w:cs="宋体"/>
          <w:snapToGrid w:val="0"/>
          <w:color w:val="auto"/>
          <w:kern w:val="0"/>
          <w:sz w:val="24"/>
          <w:highlight w:val="none"/>
        </w:rPr>
        <w:t>公司情况介绍；</w:t>
      </w:r>
    </w:p>
    <w:p>
      <w:pPr>
        <w:snapToGrid w:val="0"/>
        <w:spacing w:line="360" w:lineRule="auto"/>
        <w:rPr>
          <w:rFonts w:ascii="仿宋" w:hAnsi="仿宋" w:eastAsia="仿宋" w:cs="宋体"/>
          <w:snapToGrid w:val="0"/>
          <w:color w:val="auto"/>
          <w:kern w:val="0"/>
          <w:sz w:val="24"/>
          <w:highlight w:val="none"/>
        </w:rPr>
      </w:pPr>
      <w:r>
        <w:rPr>
          <w:rFonts w:ascii="仿宋" w:hAnsi="仿宋" w:eastAsia="仿宋" w:cs="宋体"/>
          <w:color w:val="auto"/>
          <w:sz w:val="24"/>
          <w:highlight w:val="none"/>
        </w:rPr>
        <w:t>11.2.5</w:t>
      </w:r>
      <w:r>
        <w:rPr>
          <w:rFonts w:hint="eastAsia" w:ascii="仿宋" w:hAnsi="仿宋" w:eastAsia="仿宋" w:cs="宋体"/>
          <w:snapToGrid w:val="0"/>
          <w:color w:val="auto"/>
          <w:kern w:val="0"/>
          <w:sz w:val="24"/>
          <w:highlight w:val="none"/>
          <w:lang w:val="zh-CN"/>
        </w:rPr>
        <w:t>供应商成功案例；</w:t>
      </w:r>
    </w:p>
    <w:p>
      <w:pPr>
        <w:snapToGrid w:val="0"/>
        <w:spacing w:line="360" w:lineRule="auto"/>
        <w:rPr>
          <w:rFonts w:ascii="仿宋" w:hAnsi="仿宋" w:eastAsia="仿宋" w:cs="宋体"/>
          <w:snapToGrid w:val="0"/>
          <w:color w:val="auto"/>
          <w:kern w:val="0"/>
          <w:sz w:val="24"/>
          <w:highlight w:val="none"/>
        </w:rPr>
      </w:pPr>
      <w:r>
        <w:rPr>
          <w:rFonts w:ascii="仿宋" w:hAnsi="仿宋" w:eastAsia="仿宋" w:cs="宋体"/>
          <w:color w:val="auto"/>
          <w:sz w:val="24"/>
          <w:highlight w:val="none"/>
        </w:rPr>
        <w:t>11.2.6</w:t>
      </w:r>
      <w:r>
        <w:rPr>
          <w:rFonts w:hint="eastAsia" w:ascii="仿宋" w:hAnsi="仿宋" w:eastAsia="仿宋" w:cs="宋体"/>
          <w:snapToGrid w:val="0"/>
          <w:color w:val="auto"/>
          <w:kern w:val="0"/>
          <w:sz w:val="24"/>
          <w:highlight w:val="none"/>
        </w:rPr>
        <w:t>相关资质文件（如有）；</w:t>
      </w:r>
    </w:p>
    <w:p>
      <w:pPr>
        <w:pStyle w:val="34"/>
        <w:snapToGrid w:val="0"/>
        <w:rPr>
          <w:rFonts w:ascii="仿宋" w:hAnsi="仿宋" w:eastAsia="仿宋" w:cs="宋体"/>
          <w:color w:val="auto"/>
          <w:kern w:val="0"/>
          <w:highlight w:val="none"/>
        </w:rPr>
      </w:pPr>
      <w:r>
        <w:rPr>
          <w:rFonts w:ascii="仿宋" w:hAnsi="仿宋" w:eastAsia="仿宋" w:cs="宋体"/>
          <w:color w:val="auto"/>
          <w:highlight w:val="none"/>
        </w:rPr>
        <w:t>11.2.7</w:t>
      </w:r>
      <w:r>
        <w:rPr>
          <w:rFonts w:hint="eastAsia" w:ascii="仿宋" w:hAnsi="仿宋" w:eastAsia="仿宋" w:cs="宋体"/>
          <w:color w:val="auto"/>
          <w:kern w:val="0"/>
          <w:highlight w:val="none"/>
        </w:rPr>
        <w:t>供应商应提供针对项目的完整服务解决方案：</w:t>
      </w:r>
    </w:p>
    <w:p>
      <w:pPr>
        <w:pStyle w:val="34"/>
        <w:snapToGrid w:val="0"/>
        <w:rPr>
          <w:rFonts w:ascii="仿宋" w:hAnsi="仿宋" w:eastAsia="仿宋"/>
          <w:color w:val="auto"/>
          <w:highlight w:val="none"/>
        </w:rPr>
      </w:pPr>
      <w:r>
        <w:rPr>
          <w:rFonts w:ascii="仿宋" w:hAnsi="仿宋" w:eastAsia="仿宋"/>
          <w:color w:val="auto"/>
          <w:highlight w:val="none"/>
        </w:rPr>
        <w:t>11.2.8</w:t>
      </w:r>
      <w:r>
        <w:rPr>
          <w:rFonts w:hint="eastAsia" w:ascii="仿宋" w:hAnsi="仿宋" w:eastAsia="仿宋"/>
          <w:color w:val="auto"/>
          <w:highlight w:val="none"/>
        </w:rPr>
        <w:t>项目组人员介绍、职责分配；</w:t>
      </w:r>
    </w:p>
    <w:p>
      <w:pPr>
        <w:pStyle w:val="34"/>
        <w:snapToGrid w:val="0"/>
        <w:rPr>
          <w:rFonts w:ascii="仿宋" w:hAnsi="仿宋" w:eastAsia="仿宋"/>
          <w:color w:val="auto"/>
          <w:highlight w:val="none"/>
        </w:rPr>
      </w:pPr>
      <w:r>
        <w:rPr>
          <w:rFonts w:ascii="仿宋" w:hAnsi="仿宋" w:eastAsia="仿宋"/>
          <w:color w:val="auto"/>
          <w:highlight w:val="none"/>
        </w:rPr>
        <w:t>11.2.9</w:t>
      </w:r>
      <w:r>
        <w:rPr>
          <w:rFonts w:hint="eastAsia" w:ascii="仿宋" w:hAnsi="仿宋" w:eastAsia="仿宋"/>
          <w:color w:val="auto"/>
          <w:highlight w:val="none"/>
        </w:rPr>
        <w:t>商务技术偏离表；</w:t>
      </w:r>
    </w:p>
    <w:p>
      <w:pPr>
        <w:pStyle w:val="34"/>
        <w:snapToGrid w:val="0"/>
        <w:rPr>
          <w:rFonts w:ascii="仿宋" w:hAnsi="仿宋" w:eastAsia="仿宋"/>
          <w:color w:val="auto"/>
          <w:highlight w:val="none"/>
        </w:rPr>
      </w:pPr>
      <w:r>
        <w:rPr>
          <w:rFonts w:ascii="仿宋" w:hAnsi="仿宋" w:eastAsia="仿宋"/>
          <w:color w:val="auto"/>
          <w:highlight w:val="none"/>
        </w:rPr>
        <w:t>11.2.10</w:t>
      </w:r>
      <w:r>
        <w:rPr>
          <w:rFonts w:hint="eastAsia" w:ascii="仿宋" w:hAnsi="仿宋" w:eastAsia="仿宋"/>
          <w:color w:val="auto"/>
          <w:highlight w:val="none"/>
        </w:rPr>
        <w:t>其他商务技术文件或说明；</w:t>
      </w:r>
    </w:p>
    <w:p>
      <w:pPr>
        <w:pStyle w:val="34"/>
        <w:snapToGrid w:val="0"/>
        <w:rPr>
          <w:rFonts w:ascii="仿宋" w:hAnsi="仿宋" w:eastAsia="仿宋"/>
          <w:color w:val="auto"/>
          <w:highlight w:val="none"/>
        </w:rPr>
      </w:pPr>
      <w:r>
        <w:rPr>
          <w:rFonts w:hint="eastAsia" w:ascii="仿宋" w:hAnsi="仿宋" w:eastAsia="仿宋"/>
          <w:color w:val="auto"/>
          <w:highlight w:val="none"/>
          <w:lang w:val="en-US" w:eastAsia="zh-CN"/>
        </w:rPr>
        <w:t>11</w:t>
      </w:r>
      <w:r>
        <w:rPr>
          <w:rFonts w:ascii="仿宋" w:hAnsi="仿宋" w:eastAsia="仿宋"/>
          <w:color w:val="auto"/>
          <w:highlight w:val="none"/>
        </w:rPr>
        <w:t>.2.11</w:t>
      </w:r>
      <w:r>
        <w:rPr>
          <w:rFonts w:hint="eastAsia" w:ascii="仿宋" w:hAnsi="仿宋" w:eastAsia="仿宋"/>
          <w:color w:val="auto"/>
          <w:highlight w:val="none"/>
        </w:rPr>
        <w:t>政府采购供应商廉洁自律承诺书。</w:t>
      </w:r>
      <w:bookmarkEnd w:id="103"/>
    </w:p>
    <w:p>
      <w:pPr>
        <w:pStyle w:val="107"/>
        <w:ind w:firstLine="0"/>
        <w:rPr>
          <w:b/>
          <w:color w:val="auto"/>
          <w:highlight w:val="none"/>
        </w:rPr>
      </w:pPr>
      <w:r>
        <w:rPr>
          <w:b/>
          <w:color w:val="auto"/>
          <w:highlight w:val="none"/>
        </w:rPr>
        <w:t>11.3</w:t>
      </w:r>
      <w:r>
        <w:rPr>
          <w:rFonts w:hint="eastAsia"/>
          <w:b/>
          <w:color w:val="auto"/>
          <w:highlight w:val="none"/>
        </w:rPr>
        <w:t>报价文件：</w:t>
      </w:r>
      <w:r>
        <w:rPr>
          <w:b/>
          <w:color w:val="auto"/>
          <w:highlight w:val="none"/>
        </w:rPr>
        <w:t xml:space="preserve"> </w:t>
      </w:r>
    </w:p>
    <w:p>
      <w:pPr>
        <w:snapToGrid w:val="0"/>
        <w:spacing w:line="360" w:lineRule="auto"/>
        <w:rPr>
          <w:rFonts w:ascii="仿宋" w:hAnsi="仿宋" w:eastAsia="仿宋" w:cs="仿宋_GB2312"/>
          <w:color w:val="auto"/>
          <w:sz w:val="24"/>
          <w:highlight w:val="none"/>
        </w:rPr>
      </w:pPr>
      <w:r>
        <w:rPr>
          <w:rFonts w:ascii="仿宋" w:hAnsi="仿宋" w:eastAsia="仿宋" w:cs="仿宋_GB2312"/>
          <w:color w:val="auto"/>
          <w:sz w:val="24"/>
          <w:highlight w:val="none"/>
        </w:rPr>
        <w:t>11.3.1开标一览表（报价表）</w:t>
      </w:r>
      <w:r>
        <w:rPr>
          <w:rFonts w:hint="eastAsia" w:ascii="仿宋" w:hAnsi="仿宋" w:eastAsia="仿宋" w:cs="仿宋_GB2312"/>
          <w:color w:val="auto"/>
          <w:sz w:val="24"/>
          <w:highlight w:val="none"/>
        </w:rPr>
        <w:t>。</w:t>
      </w:r>
    </w:p>
    <w:p>
      <w:pPr>
        <w:snapToGrid w:val="0"/>
        <w:spacing w:line="360" w:lineRule="auto"/>
        <w:ind w:firstLine="480" w:firstLineChars="200"/>
        <w:rPr>
          <w:rFonts w:ascii="仿宋" w:hAnsi="仿宋" w:eastAsia="仿宋"/>
          <w:b/>
          <w:color w:val="auto"/>
          <w:sz w:val="24"/>
          <w:highlight w:val="none"/>
        </w:rPr>
      </w:pPr>
      <w:r>
        <w:rPr>
          <w:rFonts w:ascii="仿宋" w:hAnsi="仿宋" w:eastAsia="仿宋"/>
          <w:color w:val="auto"/>
          <w:sz w:val="24"/>
          <w:highlight w:val="none"/>
        </w:rPr>
        <w:t>▲</w:t>
      </w:r>
      <w:r>
        <w:rPr>
          <w:rFonts w:hint="eastAsia" w:ascii="仿宋" w:hAnsi="仿宋" w:eastAsia="仿宋"/>
          <w:b/>
          <w:color w:val="auto"/>
          <w:sz w:val="24"/>
          <w:highlight w:val="none"/>
        </w:rPr>
        <w:t>投标文件含有采购人不能接受的附加条件的，投标无效；</w:t>
      </w:r>
    </w:p>
    <w:p>
      <w:pPr>
        <w:snapToGrid w:val="0"/>
        <w:spacing w:line="360" w:lineRule="auto"/>
        <w:ind w:firstLine="480" w:firstLineChars="200"/>
        <w:rPr>
          <w:rFonts w:ascii="仿宋" w:hAnsi="仿宋" w:eastAsia="仿宋" w:cs="仿宋_GB2312"/>
          <w:b/>
          <w:color w:val="auto"/>
          <w:highlight w:val="none"/>
        </w:rPr>
      </w:pPr>
      <w:r>
        <w:rPr>
          <w:rFonts w:ascii="仿宋" w:hAnsi="仿宋" w:eastAsia="仿宋"/>
          <w:color w:val="auto"/>
          <w:sz w:val="24"/>
          <w:highlight w:val="none"/>
        </w:rPr>
        <w:t>▲</w:t>
      </w:r>
      <w:r>
        <w:rPr>
          <w:rFonts w:hint="eastAsia" w:ascii="仿宋" w:hAnsi="仿宋" w:eastAsia="仿宋"/>
          <w:b/>
          <w:color w:val="auto"/>
          <w:sz w:val="24"/>
          <w:highlight w:val="none"/>
        </w:rPr>
        <w:t>供应商提供虚假材料投标的，投标无效。</w:t>
      </w:r>
    </w:p>
    <w:p>
      <w:pPr>
        <w:pStyle w:val="107"/>
        <w:snapToGrid w:val="0"/>
        <w:ind w:firstLine="480" w:firstLineChars="200"/>
        <w:rPr>
          <w:color w:val="auto"/>
          <w:highlight w:val="none"/>
        </w:rPr>
      </w:pPr>
      <w:bookmarkStart w:id="104" w:name="_Toc95312952"/>
      <w:bookmarkStart w:id="105" w:name="_Toc6294"/>
      <w:bookmarkStart w:id="106" w:name="_Toc22083"/>
    </w:p>
    <w:p>
      <w:pPr>
        <w:pStyle w:val="2"/>
        <w:rPr>
          <w:rFonts w:ascii="仿宋" w:hAnsi="仿宋" w:eastAsia="仿宋"/>
          <w:color w:val="auto"/>
          <w:highlight w:val="none"/>
        </w:rPr>
      </w:pPr>
      <w:bookmarkStart w:id="107" w:name="_Toc30772"/>
      <w:r>
        <w:rPr>
          <w:rFonts w:ascii="仿宋" w:hAnsi="仿宋" w:eastAsia="仿宋"/>
          <w:color w:val="auto"/>
          <w:highlight w:val="none"/>
        </w:rPr>
        <w:t xml:space="preserve">12. </w:t>
      </w:r>
      <w:r>
        <w:rPr>
          <w:rFonts w:hint="eastAsia" w:ascii="仿宋" w:hAnsi="仿宋" w:eastAsia="仿宋"/>
          <w:color w:val="auto"/>
          <w:highlight w:val="none"/>
        </w:rPr>
        <w:t>投标文件的编制</w:t>
      </w:r>
      <w:bookmarkEnd w:id="104"/>
      <w:bookmarkEnd w:id="105"/>
      <w:bookmarkEnd w:id="106"/>
      <w:bookmarkEnd w:id="107"/>
    </w:p>
    <w:p>
      <w:pPr>
        <w:snapToGrid w:val="0"/>
        <w:spacing w:line="360" w:lineRule="auto"/>
        <w:ind w:firstLine="480" w:firstLineChars="200"/>
        <w:rPr>
          <w:rFonts w:ascii="仿宋" w:hAnsi="仿宋" w:eastAsia="仿宋" w:cs="仿宋_GB2312"/>
          <w:b/>
          <w:color w:val="auto"/>
          <w:sz w:val="24"/>
          <w:highlight w:val="none"/>
        </w:rPr>
      </w:pPr>
      <w:r>
        <w:rPr>
          <w:rFonts w:ascii="仿宋" w:hAnsi="仿宋" w:eastAsia="仿宋" w:cs="仿宋_GB2312"/>
          <w:color w:val="auto"/>
          <w:kern w:val="0"/>
          <w:sz w:val="24"/>
          <w:highlight w:val="none"/>
          <w:lang w:val="zh-CN"/>
        </w:rPr>
        <w:t>12.1投标文件分为资格文件、商务技术文件、报价文件三部分。各供应商在编制投标文件时请按照采购文件第六部</w:t>
      </w:r>
      <w:r>
        <w:rPr>
          <w:rFonts w:hint="eastAsia" w:ascii="仿宋" w:hAnsi="仿宋" w:eastAsia="仿宋" w:cs="仿宋_GB2312"/>
          <w:color w:val="auto"/>
          <w:kern w:val="0"/>
          <w:sz w:val="24"/>
          <w:highlight w:val="none"/>
          <w:lang w:val="zh-CN"/>
        </w:rPr>
        <w:t>分规定的格式进行，混乱的编排导致投标文件被误读或评标委员会查找不到有效文件是供应商的风险。</w:t>
      </w:r>
    </w:p>
    <w:p>
      <w:pPr>
        <w:snapToGrid w:val="0"/>
        <w:spacing w:line="360" w:lineRule="auto"/>
        <w:ind w:firstLine="480" w:firstLineChars="200"/>
        <w:rPr>
          <w:rFonts w:ascii="仿宋" w:hAnsi="仿宋" w:eastAsia="仿宋" w:cs="仿宋_GB2312"/>
          <w:color w:val="auto"/>
          <w:kern w:val="0"/>
          <w:sz w:val="24"/>
          <w:highlight w:val="none"/>
          <w:lang w:val="zh-CN"/>
        </w:rPr>
      </w:pPr>
      <w:r>
        <w:rPr>
          <w:rFonts w:ascii="仿宋" w:hAnsi="仿宋" w:eastAsia="仿宋" w:cs="仿宋_GB2312"/>
          <w:color w:val="auto"/>
          <w:kern w:val="0"/>
          <w:sz w:val="24"/>
          <w:highlight w:val="none"/>
          <w:lang w:val="zh-CN"/>
        </w:rPr>
        <w:t>12.2供应商进行电子投标应安装客户端软件—“政</w:t>
      </w:r>
      <w:r>
        <w:rPr>
          <w:rFonts w:hint="eastAsia" w:ascii="仿宋" w:hAnsi="仿宋" w:eastAsia="仿宋" w:cs="仿宋_GB2312"/>
          <w:color w:val="auto"/>
          <w:kern w:val="0"/>
          <w:sz w:val="24"/>
          <w:highlight w:val="none"/>
          <w:lang w:val="zh-CN"/>
        </w:rPr>
        <w:t>采云电子交易客户端”，并按照采购文件和电子交易平台的要求编制并加密投标文件。供应商未按规定加密的投标文件，电子交易平台将拒收并提示。</w:t>
      </w:r>
    </w:p>
    <w:p>
      <w:pPr>
        <w:snapToGrid w:val="0"/>
        <w:spacing w:line="360" w:lineRule="auto"/>
        <w:ind w:firstLine="480" w:firstLineChars="200"/>
        <w:rPr>
          <w:rFonts w:ascii="仿宋" w:hAnsi="仿宋" w:eastAsia="仿宋" w:cs="仿宋_GB2312"/>
          <w:color w:val="auto"/>
          <w:kern w:val="0"/>
          <w:sz w:val="24"/>
          <w:highlight w:val="none"/>
          <w:lang w:val="zh-CN"/>
        </w:rPr>
      </w:pPr>
      <w:r>
        <w:rPr>
          <w:rFonts w:ascii="仿宋" w:hAnsi="仿宋" w:eastAsia="仿宋" w:cs="仿宋_GB2312"/>
          <w:color w:val="auto"/>
          <w:kern w:val="0"/>
          <w:sz w:val="24"/>
          <w:highlight w:val="none"/>
          <w:lang w:val="zh-CN"/>
        </w:rPr>
        <w:t>12.3使用“政</w:t>
      </w:r>
      <w:r>
        <w:rPr>
          <w:rFonts w:hint="eastAsia" w:ascii="仿宋" w:hAnsi="仿宋" w:eastAsia="仿宋" w:cs="仿宋_GB2312"/>
          <w:color w:val="auto"/>
          <w:kern w:val="0"/>
          <w:sz w:val="24"/>
          <w:highlight w:val="none"/>
          <w:lang w:val="zh-CN"/>
        </w:rPr>
        <w:t>采云电子交易客户端”需要提前申领</w:t>
      </w:r>
      <w:r>
        <w:rPr>
          <w:rFonts w:ascii="仿宋" w:hAnsi="仿宋" w:eastAsia="仿宋" w:cs="仿宋_GB2312"/>
          <w:color w:val="auto"/>
          <w:kern w:val="0"/>
          <w:sz w:val="24"/>
          <w:highlight w:val="none"/>
          <w:lang w:val="zh-CN"/>
        </w:rPr>
        <w:t>CA数字证书，申领流程请自行前往“浙江政府采购网-下载专区-电子交易客户端-CA驱动和申领流程”进行查阅。</w:t>
      </w:r>
    </w:p>
    <w:p>
      <w:pPr>
        <w:snapToGrid w:val="0"/>
        <w:spacing w:line="360" w:lineRule="auto"/>
        <w:rPr>
          <w:rFonts w:ascii="仿宋" w:hAnsi="仿宋" w:eastAsia="仿宋"/>
          <w:b/>
          <w:color w:val="auto"/>
          <w:sz w:val="24"/>
          <w:highlight w:val="none"/>
        </w:rPr>
      </w:pPr>
    </w:p>
    <w:p>
      <w:pPr>
        <w:pStyle w:val="2"/>
        <w:rPr>
          <w:rFonts w:ascii="仿宋" w:hAnsi="仿宋" w:eastAsia="仿宋"/>
          <w:color w:val="auto"/>
          <w:highlight w:val="none"/>
        </w:rPr>
      </w:pPr>
      <w:bookmarkStart w:id="108" w:name="_Toc18716"/>
      <w:bookmarkStart w:id="109" w:name="_Toc7352"/>
      <w:bookmarkStart w:id="110" w:name="_Toc95312953"/>
      <w:bookmarkStart w:id="111" w:name="_Toc3269"/>
      <w:r>
        <w:rPr>
          <w:rFonts w:ascii="仿宋" w:hAnsi="仿宋" w:eastAsia="仿宋"/>
          <w:color w:val="auto"/>
          <w:highlight w:val="none"/>
        </w:rPr>
        <w:t>13.投标文件的签署、盖章</w:t>
      </w:r>
      <w:bookmarkEnd w:id="108"/>
      <w:bookmarkEnd w:id="109"/>
      <w:bookmarkEnd w:id="110"/>
      <w:bookmarkEnd w:id="111"/>
    </w:p>
    <w:p>
      <w:pPr>
        <w:pStyle w:val="111"/>
        <w:snapToGrid w:val="0"/>
        <w:spacing w:before="0"/>
        <w:ind w:firstLine="480"/>
        <w:rPr>
          <w:rFonts w:ascii="仿宋" w:hAnsi="仿宋" w:eastAsia="仿宋" w:cs="仿宋_GB2312"/>
          <w:color w:val="auto"/>
          <w:highlight w:val="none"/>
        </w:rPr>
      </w:pPr>
      <w:r>
        <w:rPr>
          <w:rFonts w:ascii="仿宋" w:hAnsi="仿宋" w:eastAsia="仿宋" w:cs="仿宋_GB2312"/>
          <w:color w:val="auto"/>
          <w:szCs w:val="24"/>
          <w:highlight w:val="none"/>
        </w:rPr>
        <w:t>13.1投标文件按照采购文件第六部分格式要</w:t>
      </w:r>
      <w:r>
        <w:rPr>
          <w:rFonts w:hint="eastAsia" w:ascii="仿宋" w:hAnsi="仿宋" w:eastAsia="仿宋" w:cs="仿宋_GB2312"/>
          <w:color w:val="auto"/>
          <w:highlight w:val="none"/>
        </w:rPr>
        <w:t>求进行签署、盖章。</w:t>
      </w:r>
    </w:p>
    <w:p>
      <w:pPr>
        <w:pStyle w:val="111"/>
        <w:snapToGrid w:val="0"/>
        <w:spacing w:before="0"/>
        <w:ind w:firstLine="482"/>
        <w:rPr>
          <w:rFonts w:ascii="仿宋" w:hAnsi="仿宋" w:eastAsia="仿宋" w:cs="仿宋_GB2312"/>
          <w:b/>
          <w:color w:val="auto"/>
          <w:highlight w:val="none"/>
        </w:rPr>
      </w:pPr>
      <w:r>
        <w:rPr>
          <w:rFonts w:hint="eastAsia" w:ascii="仿宋" w:hAnsi="仿宋" w:eastAsia="仿宋"/>
          <w:b/>
          <w:color w:val="auto"/>
          <w:highlight w:val="none"/>
        </w:rPr>
        <w:t>▲</w:t>
      </w:r>
      <w:r>
        <w:rPr>
          <w:rFonts w:hint="eastAsia" w:ascii="仿宋" w:hAnsi="仿宋" w:eastAsia="仿宋" w:cs="仿宋_GB2312"/>
          <w:b/>
          <w:color w:val="auto"/>
          <w:highlight w:val="none"/>
        </w:rPr>
        <w:t>供应商的投标文件未按照采购文件要求签署、盖章的，其投标无效</w:t>
      </w:r>
      <w:r>
        <w:rPr>
          <w:rFonts w:hint="eastAsia" w:ascii="仿宋" w:hAnsi="仿宋" w:eastAsia="仿宋" w:cs="仿宋_GB2312"/>
          <w:color w:val="auto"/>
          <w:szCs w:val="24"/>
          <w:highlight w:val="none"/>
        </w:rPr>
        <w:t>。</w:t>
      </w:r>
    </w:p>
    <w:p>
      <w:pPr>
        <w:pStyle w:val="111"/>
        <w:snapToGrid w:val="0"/>
        <w:spacing w:before="0"/>
        <w:ind w:firstLine="480"/>
        <w:rPr>
          <w:rFonts w:ascii="仿宋" w:hAnsi="仿宋" w:eastAsia="仿宋" w:cs="仿宋_GB2312"/>
          <w:color w:val="auto"/>
          <w:highlight w:val="none"/>
        </w:rPr>
      </w:pPr>
      <w:r>
        <w:rPr>
          <w:rFonts w:ascii="仿宋" w:hAnsi="仿宋" w:eastAsia="仿宋" w:cs="仿宋_GB2312"/>
          <w:color w:val="auto"/>
          <w:highlight w:val="none"/>
        </w:rPr>
        <w:t>13.2为确保网上操作合法、有效和安全，供应商应当在投标截止时间前完成在“政府采购云平台”的身份认证，确保在电子投标过程中能够对相关数据电文进行加密和使用电子签名。</w:t>
      </w:r>
    </w:p>
    <w:p>
      <w:pPr>
        <w:pStyle w:val="111"/>
        <w:snapToGrid w:val="0"/>
        <w:spacing w:before="0"/>
        <w:ind w:firstLine="480"/>
        <w:rPr>
          <w:rFonts w:ascii="仿宋" w:hAnsi="仿宋" w:eastAsia="仿宋" w:cs="仿宋_GB2312"/>
          <w:b/>
          <w:color w:val="auto"/>
          <w:szCs w:val="24"/>
          <w:highlight w:val="none"/>
        </w:rPr>
      </w:pPr>
      <w:r>
        <w:rPr>
          <w:rFonts w:ascii="仿宋" w:hAnsi="仿宋" w:eastAsia="仿宋" w:cs="仿宋_GB2312"/>
          <w:color w:val="auto"/>
          <w:highlight w:val="none"/>
        </w:rPr>
        <w:t>13.3采购文件对投标文件签署、盖章的要求适用于电子签名。</w:t>
      </w:r>
    </w:p>
    <w:p>
      <w:pPr>
        <w:pStyle w:val="107"/>
        <w:rPr>
          <w:color w:val="auto"/>
          <w:highlight w:val="none"/>
        </w:rPr>
      </w:pPr>
      <w:bookmarkStart w:id="112" w:name="_Toc5131"/>
      <w:bookmarkStart w:id="113" w:name="_Toc95312954"/>
      <w:bookmarkStart w:id="114" w:name="_Toc22736"/>
    </w:p>
    <w:p>
      <w:pPr>
        <w:pStyle w:val="2"/>
        <w:rPr>
          <w:rFonts w:ascii="仿宋" w:hAnsi="仿宋" w:eastAsia="仿宋"/>
          <w:color w:val="auto"/>
          <w:highlight w:val="none"/>
        </w:rPr>
      </w:pPr>
      <w:bookmarkStart w:id="115" w:name="_Toc30288"/>
      <w:r>
        <w:rPr>
          <w:rFonts w:ascii="仿宋" w:hAnsi="仿宋" w:eastAsia="仿宋"/>
          <w:color w:val="auto"/>
          <w:highlight w:val="none"/>
        </w:rPr>
        <w:t xml:space="preserve">14. </w:t>
      </w:r>
      <w:r>
        <w:rPr>
          <w:rFonts w:hint="eastAsia" w:ascii="仿宋" w:hAnsi="仿宋" w:eastAsia="仿宋"/>
          <w:color w:val="auto"/>
          <w:highlight w:val="none"/>
        </w:rPr>
        <w:t>投标文件的提交、补充、修改、撤回</w:t>
      </w:r>
      <w:bookmarkEnd w:id="112"/>
      <w:bookmarkEnd w:id="113"/>
      <w:bookmarkEnd w:id="114"/>
      <w:bookmarkEnd w:id="115"/>
    </w:p>
    <w:p>
      <w:pPr>
        <w:pStyle w:val="111"/>
        <w:snapToGrid w:val="0"/>
        <w:spacing w:before="0"/>
        <w:ind w:firstLine="480"/>
        <w:rPr>
          <w:rFonts w:ascii="仿宋" w:hAnsi="仿宋" w:eastAsia="仿宋" w:cs="仿宋_GB2312"/>
          <w:color w:val="auto"/>
          <w:szCs w:val="24"/>
          <w:highlight w:val="none"/>
        </w:rPr>
      </w:pPr>
      <w:r>
        <w:rPr>
          <w:rFonts w:ascii="仿宋" w:hAnsi="仿宋" w:eastAsia="仿宋" w:cs="仿宋_GB2312"/>
          <w:color w:val="auto"/>
          <w:szCs w:val="24"/>
          <w:highlight w:val="none"/>
        </w:rPr>
        <w:t xml:space="preserve">14.1 </w:t>
      </w:r>
      <w:r>
        <w:rPr>
          <w:rFonts w:hint="eastAsia" w:ascii="仿宋" w:hAnsi="仿宋" w:eastAsia="仿宋" w:cs="仿宋_GB2312"/>
          <w:color w:val="auto"/>
          <w:szCs w:val="24"/>
          <w:highlight w:val="none"/>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11"/>
        <w:snapToGrid w:val="0"/>
        <w:spacing w:before="0"/>
        <w:ind w:firstLine="480"/>
        <w:rPr>
          <w:rFonts w:ascii="仿宋" w:hAnsi="仿宋" w:eastAsia="仿宋" w:cs="仿宋_GB2312"/>
          <w:color w:val="auto"/>
          <w:szCs w:val="24"/>
          <w:highlight w:val="none"/>
        </w:rPr>
      </w:pPr>
      <w:r>
        <w:rPr>
          <w:rFonts w:ascii="仿宋" w:hAnsi="仿宋" w:eastAsia="仿宋" w:cs="仿宋_GB2312"/>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111"/>
        <w:snapToGrid w:val="0"/>
        <w:spacing w:before="0"/>
        <w:ind w:firstLine="480"/>
        <w:rPr>
          <w:rFonts w:ascii="仿宋" w:hAnsi="仿宋" w:eastAsia="仿宋" w:cs="仿宋_GB2312"/>
          <w:b/>
          <w:color w:val="auto"/>
          <w:szCs w:val="24"/>
          <w:highlight w:val="none"/>
        </w:rPr>
      </w:pPr>
      <w:r>
        <w:rPr>
          <w:rFonts w:ascii="仿宋" w:hAnsi="仿宋" w:eastAsia="仿宋" w:cs="仿宋_GB2312"/>
          <w:color w:val="auto"/>
          <w:szCs w:val="24"/>
          <w:highlight w:val="none"/>
        </w:rPr>
        <w:t>14.3采购人、采购代理机构可以视情况延长投标文件提交的截止时间。在上述情况下，采购代理机构与供应商以前在投标截止期方面的全部权利、责任和义务，将适用于延长至新的投标截止期。</w:t>
      </w:r>
    </w:p>
    <w:p>
      <w:pPr>
        <w:pStyle w:val="107"/>
        <w:rPr>
          <w:color w:val="auto"/>
          <w:highlight w:val="none"/>
        </w:rPr>
      </w:pPr>
      <w:bookmarkStart w:id="116" w:name="_Toc14673"/>
      <w:bookmarkStart w:id="117" w:name="_Toc95312955"/>
      <w:bookmarkStart w:id="118" w:name="_Toc16394"/>
    </w:p>
    <w:p>
      <w:pPr>
        <w:pStyle w:val="2"/>
        <w:rPr>
          <w:rFonts w:ascii="仿宋" w:hAnsi="仿宋" w:eastAsia="仿宋"/>
          <w:color w:val="auto"/>
          <w:highlight w:val="none"/>
        </w:rPr>
      </w:pPr>
      <w:bookmarkStart w:id="119" w:name="_Toc18576"/>
      <w:r>
        <w:rPr>
          <w:rFonts w:ascii="仿宋" w:hAnsi="仿宋" w:eastAsia="仿宋"/>
          <w:color w:val="auto"/>
          <w:highlight w:val="none"/>
        </w:rPr>
        <w:t>15.备份投标文件</w:t>
      </w:r>
      <w:bookmarkEnd w:id="116"/>
      <w:bookmarkEnd w:id="117"/>
      <w:bookmarkEnd w:id="118"/>
      <w:bookmarkEnd w:id="119"/>
    </w:p>
    <w:p>
      <w:pPr>
        <w:pStyle w:val="46"/>
        <w:snapToGrid w:val="0"/>
        <w:spacing w:line="360" w:lineRule="auto"/>
        <w:ind w:firstLine="480" w:firstLineChars="200"/>
        <w:rPr>
          <w:rFonts w:ascii="仿宋" w:hAnsi="仿宋" w:eastAsia="仿宋" w:cs="仿宋_GB2312"/>
          <w:b/>
          <w:color w:val="auto"/>
          <w:sz w:val="24"/>
          <w:szCs w:val="24"/>
          <w:highlight w:val="none"/>
        </w:rPr>
      </w:pPr>
      <w:r>
        <w:rPr>
          <w:rFonts w:ascii="仿宋" w:hAnsi="仿宋" w:eastAsia="仿宋" w:cs="仿宋_GB2312"/>
          <w:color w:val="auto"/>
          <w:sz w:val="24"/>
          <w:szCs w:val="24"/>
          <w:highlight w:val="none"/>
        </w:rPr>
        <w:t>15.1供应商在电子交易平台传输递交投标文件后，还可以在投标截止时间前直接提交或者以邮政快递方式递交备份投标文件1份，</w:t>
      </w:r>
      <w:r>
        <w:rPr>
          <w:rFonts w:hint="eastAsia" w:ascii="仿宋" w:hAnsi="仿宋" w:eastAsia="仿宋" w:cs="仿宋_GB2312"/>
          <w:b/>
          <w:color w:val="auto"/>
          <w:sz w:val="24"/>
          <w:szCs w:val="24"/>
          <w:highlight w:val="none"/>
        </w:rPr>
        <w:t>但采购人、采购代理机构不强制或变相强制供应商提交备份投标文件。</w:t>
      </w:r>
    </w:p>
    <w:p>
      <w:pPr>
        <w:pStyle w:val="46"/>
        <w:snapToGrid w:val="0"/>
        <w:spacing w:line="360" w:lineRule="auto"/>
        <w:ind w:firstLine="480" w:firstLineChars="200"/>
        <w:rPr>
          <w:rFonts w:ascii="仿宋" w:hAnsi="仿宋" w:eastAsia="仿宋" w:cs="仿宋_GB2312"/>
          <w:b/>
          <w:color w:val="auto"/>
          <w:sz w:val="24"/>
          <w:szCs w:val="24"/>
          <w:highlight w:val="none"/>
        </w:rPr>
      </w:pPr>
      <w:r>
        <w:rPr>
          <w:rFonts w:ascii="仿宋" w:hAnsi="仿宋" w:eastAsia="仿宋" w:cs="仿宋_GB2312"/>
          <w:color w:val="auto"/>
          <w:sz w:val="24"/>
          <w:szCs w:val="24"/>
          <w:highlight w:val="none"/>
        </w:rPr>
        <w:t>15.2备份投标文件须在“政</w:t>
      </w:r>
      <w:r>
        <w:rPr>
          <w:rFonts w:hint="eastAsia" w:ascii="仿宋" w:hAnsi="仿宋" w:eastAsia="仿宋" w:cs="仿宋_GB2312"/>
          <w:color w:val="auto"/>
          <w:sz w:val="24"/>
          <w:szCs w:val="24"/>
          <w:highlight w:val="none"/>
        </w:rPr>
        <w:t>采云投标客户端”制作生成，并储存在</w:t>
      </w:r>
      <w:r>
        <w:rPr>
          <w:rFonts w:hint="eastAsia" w:ascii="仿宋" w:hAnsi="仿宋" w:eastAsia="仿宋"/>
          <w:color w:val="auto"/>
          <w:sz w:val="24"/>
          <w:highlight w:val="none"/>
        </w:rPr>
        <w:t>U</w:t>
      </w:r>
      <w:r>
        <w:rPr>
          <w:rFonts w:ascii="仿宋" w:hAnsi="仿宋" w:eastAsia="仿宋"/>
          <w:color w:val="auto"/>
          <w:sz w:val="24"/>
          <w:highlight w:val="none"/>
        </w:rPr>
        <w:t>盘</w:t>
      </w:r>
      <w:r>
        <w:rPr>
          <w:rFonts w:hint="eastAsia" w:ascii="仿宋" w:hAnsi="仿宋" w:eastAsia="仿宋" w:cs="仿宋_GB2312"/>
          <w:color w:val="auto"/>
          <w:sz w:val="24"/>
          <w:szCs w:val="24"/>
          <w:highlight w:val="none"/>
        </w:rPr>
        <w:t>中。备份投标文件应当密封包装并在包装上加盖公章并注明项目名称，供应商名称</w:t>
      </w:r>
      <w:r>
        <w:rPr>
          <w:rFonts w:ascii="仿宋" w:hAnsi="仿宋" w:eastAsia="仿宋" w:cs="仿宋_GB2312"/>
          <w:color w:val="auto"/>
          <w:sz w:val="24"/>
          <w:szCs w:val="24"/>
          <w:highlight w:val="none"/>
        </w:rPr>
        <w:t>(联合体投标的，包装物封面需注明联合体投标，并注明联合体成员各方的名称和联合协议中约定的牵头人的名称)。</w:t>
      </w:r>
      <w:r>
        <w:rPr>
          <w:rFonts w:hint="eastAsia" w:ascii="仿宋" w:hAnsi="仿宋" w:eastAsia="仿宋"/>
          <w:b/>
          <w:color w:val="auto"/>
          <w:sz w:val="24"/>
          <w:highlight w:val="none"/>
        </w:rPr>
        <w:t>不符合上述制作、</w:t>
      </w:r>
      <w:r>
        <w:rPr>
          <w:rFonts w:hint="eastAsia" w:ascii="仿宋" w:hAnsi="仿宋" w:eastAsia="仿宋" w:cs="仿宋_GB2312"/>
          <w:b/>
          <w:color w:val="auto"/>
          <w:sz w:val="24"/>
          <w:szCs w:val="24"/>
          <w:highlight w:val="none"/>
        </w:rPr>
        <w:t>存储、密封规定的备份投标文件将被视为无效或者被拒绝接收。</w:t>
      </w:r>
    </w:p>
    <w:p>
      <w:pPr>
        <w:pStyle w:val="46"/>
        <w:snapToGrid w:val="0"/>
        <w:spacing w:line="360" w:lineRule="auto"/>
        <w:ind w:firstLine="480" w:firstLineChars="200"/>
        <w:rPr>
          <w:rFonts w:ascii="仿宋" w:hAnsi="仿宋" w:eastAsia="仿宋" w:cs="仿宋_GB2312"/>
          <w:color w:val="auto"/>
          <w:sz w:val="24"/>
          <w:szCs w:val="24"/>
          <w:highlight w:val="none"/>
        </w:rPr>
      </w:pPr>
      <w:r>
        <w:rPr>
          <w:rFonts w:ascii="仿宋" w:hAnsi="仿宋" w:eastAsia="仿宋" w:cs="仿宋_GB2312"/>
          <w:color w:val="auto"/>
          <w:sz w:val="24"/>
          <w:szCs w:val="24"/>
          <w:highlight w:val="none"/>
        </w:rPr>
        <w:t>15.3直接提交备份投标文件的，供应商应于投标截止时间前在招标公告中载明的开标地点将备份投标文件提交给采购代理机构，采购代理机构将拒绝接受逾期送达的备份投标文件。</w:t>
      </w:r>
    </w:p>
    <w:p>
      <w:pPr>
        <w:pStyle w:val="46"/>
        <w:snapToGrid w:val="0"/>
        <w:spacing w:line="360" w:lineRule="auto"/>
        <w:ind w:firstLine="480" w:firstLineChars="200"/>
        <w:rPr>
          <w:rFonts w:ascii="仿宋" w:hAnsi="仿宋" w:eastAsia="仿宋" w:cs="仿宋_GB2312"/>
          <w:color w:val="auto"/>
          <w:sz w:val="24"/>
          <w:szCs w:val="24"/>
          <w:highlight w:val="none"/>
        </w:rPr>
      </w:pPr>
      <w:r>
        <w:rPr>
          <w:rFonts w:ascii="仿宋" w:hAnsi="仿宋" w:eastAsia="仿宋" w:cs="仿宋_GB2312"/>
          <w:color w:val="auto"/>
          <w:sz w:val="24"/>
          <w:szCs w:val="24"/>
          <w:highlight w:val="none"/>
        </w:rPr>
        <w:t>15.4以邮政快递方式递交备份投标文件的，供应商应先将备份投标文件按要求密封和标记，再进行邮政快递包装后邮寄。备份投标文件须在投标截止时间之前送达</w:t>
      </w:r>
      <w:r>
        <w:rPr>
          <w:rFonts w:hint="eastAsia" w:ascii="仿宋" w:hAnsi="仿宋" w:eastAsia="仿宋" w:cs="仿宋_GB2312"/>
          <w:color w:val="auto"/>
          <w:sz w:val="24"/>
          <w:szCs w:val="24"/>
          <w:highlight w:val="none"/>
        </w:rPr>
        <w:t>采购文件第二部分供应商须知前附表规定的备份投标文件送达地点，送达时间以签收人签收时间为准。采购代理机构将拒绝接受逾期送达的备份投标文件。邮寄过程中，电子备份投标文件发生泄露、遗失、损坏或延期送达等情况的，由供应商自行负责。</w:t>
      </w:r>
    </w:p>
    <w:p>
      <w:pPr>
        <w:pStyle w:val="46"/>
        <w:snapToGrid w:val="0"/>
        <w:spacing w:line="360" w:lineRule="auto"/>
        <w:ind w:firstLine="482" w:firstLineChars="200"/>
        <w:rPr>
          <w:rFonts w:ascii="仿宋" w:hAnsi="仿宋" w:eastAsia="仿宋" w:cs="仿宋_GB2312"/>
          <w:b/>
          <w:color w:val="auto"/>
          <w:szCs w:val="24"/>
          <w:highlight w:val="none"/>
        </w:rPr>
      </w:pPr>
      <w:r>
        <w:rPr>
          <w:rFonts w:ascii="仿宋" w:hAnsi="仿宋" w:eastAsia="仿宋" w:cs="仿宋_GB2312"/>
          <w:b/>
          <w:color w:val="auto"/>
          <w:sz w:val="24"/>
          <w:szCs w:val="24"/>
          <w:highlight w:val="none"/>
        </w:rPr>
        <w:t>15.5供应商仅提交备份投标文件，没有在电子交易平台传输递交投标文件的，投标无效。</w:t>
      </w:r>
    </w:p>
    <w:p>
      <w:pPr>
        <w:pStyle w:val="107"/>
        <w:rPr>
          <w:color w:val="auto"/>
          <w:highlight w:val="none"/>
        </w:rPr>
      </w:pPr>
      <w:bookmarkStart w:id="120" w:name="_Toc95312956"/>
      <w:bookmarkStart w:id="121" w:name="_Toc20132"/>
      <w:bookmarkStart w:id="122" w:name="_Toc28686"/>
    </w:p>
    <w:p>
      <w:pPr>
        <w:pStyle w:val="2"/>
        <w:rPr>
          <w:rFonts w:ascii="仿宋" w:hAnsi="仿宋" w:eastAsia="仿宋"/>
          <w:color w:val="auto"/>
          <w:highlight w:val="none"/>
        </w:rPr>
      </w:pPr>
      <w:bookmarkStart w:id="123" w:name="_Toc22374"/>
      <w:r>
        <w:rPr>
          <w:rFonts w:ascii="仿宋" w:hAnsi="仿宋" w:eastAsia="仿宋"/>
          <w:color w:val="auto"/>
          <w:highlight w:val="none"/>
        </w:rPr>
        <w:t>16.投标文件的无效处理</w:t>
      </w:r>
      <w:bookmarkEnd w:id="120"/>
      <w:bookmarkEnd w:id="121"/>
      <w:bookmarkEnd w:id="122"/>
      <w:bookmarkEnd w:id="123"/>
    </w:p>
    <w:p>
      <w:pPr>
        <w:pStyle w:val="36"/>
        <w:snapToGrid w:val="0"/>
        <w:spacing w:line="360" w:lineRule="auto"/>
        <w:ind w:firstLine="360" w:firstLineChars="150"/>
        <w:rPr>
          <w:rFonts w:ascii="仿宋" w:hAnsi="仿宋" w:eastAsia="仿宋" w:cs="仿宋_GB2312"/>
          <w:b/>
          <w:color w:val="auto"/>
          <w:highlight w:val="none"/>
        </w:rPr>
      </w:pPr>
      <w:r>
        <w:rPr>
          <w:rFonts w:hint="eastAsia" w:ascii="仿宋" w:hAnsi="仿宋" w:eastAsia="仿宋" w:cs="仿宋_GB2312"/>
          <w:color w:val="auto"/>
          <w:szCs w:val="21"/>
          <w:highlight w:val="none"/>
        </w:rPr>
        <w:t>有采购文件第四部分</w:t>
      </w:r>
      <w:r>
        <w:rPr>
          <w:rFonts w:hint="eastAsia" w:ascii="仿宋" w:hAnsi="仿宋" w:eastAsia="仿宋"/>
          <w:color w:val="auto"/>
          <w:highlight w:val="none"/>
        </w:rPr>
        <w:t>第4.2</w:t>
      </w:r>
      <w:r>
        <w:rPr>
          <w:rFonts w:ascii="仿宋" w:hAnsi="仿宋" w:eastAsia="仿宋"/>
          <w:color w:val="auto"/>
          <w:highlight w:val="none"/>
        </w:rPr>
        <w:t>项规定</w:t>
      </w:r>
      <w:r>
        <w:rPr>
          <w:rFonts w:hint="eastAsia" w:ascii="仿宋" w:hAnsi="仿宋" w:eastAsia="仿宋" w:cs="仿宋_GB2312"/>
          <w:color w:val="auto"/>
          <w:szCs w:val="21"/>
          <w:highlight w:val="none"/>
        </w:rPr>
        <w:t>的情形之一的，投标无效：</w:t>
      </w:r>
    </w:p>
    <w:p>
      <w:pPr>
        <w:pStyle w:val="107"/>
        <w:rPr>
          <w:color w:val="auto"/>
          <w:highlight w:val="none"/>
        </w:rPr>
      </w:pPr>
      <w:bookmarkStart w:id="124" w:name="_Toc30999"/>
      <w:bookmarkStart w:id="125" w:name="_Toc95312957"/>
      <w:bookmarkStart w:id="126" w:name="_Toc6061"/>
    </w:p>
    <w:p>
      <w:pPr>
        <w:pStyle w:val="2"/>
        <w:rPr>
          <w:rFonts w:ascii="仿宋" w:hAnsi="仿宋" w:eastAsia="仿宋"/>
          <w:color w:val="auto"/>
          <w:highlight w:val="none"/>
        </w:rPr>
      </w:pPr>
      <w:bookmarkStart w:id="127" w:name="_Toc29203"/>
      <w:r>
        <w:rPr>
          <w:rFonts w:ascii="仿宋" w:hAnsi="仿宋" w:eastAsia="仿宋"/>
          <w:color w:val="auto"/>
          <w:highlight w:val="none"/>
        </w:rPr>
        <w:t>17.投标有效期</w:t>
      </w:r>
      <w:bookmarkEnd w:id="124"/>
      <w:bookmarkEnd w:id="125"/>
      <w:bookmarkEnd w:id="126"/>
      <w:bookmarkEnd w:id="127"/>
    </w:p>
    <w:p>
      <w:pPr>
        <w:snapToGrid w:val="0"/>
        <w:spacing w:line="360" w:lineRule="auto"/>
        <w:ind w:firstLine="480" w:firstLineChars="200"/>
        <w:rPr>
          <w:rFonts w:ascii="仿宋" w:hAnsi="仿宋" w:eastAsia="仿宋" w:cs="仿宋_GB2312"/>
          <w:color w:val="auto"/>
          <w:sz w:val="24"/>
          <w:szCs w:val="20"/>
          <w:highlight w:val="none"/>
        </w:rPr>
      </w:pPr>
      <w:r>
        <w:rPr>
          <w:rFonts w:ascii="仿宋" w:hAnsi="仿宋" w:eastAsia="仿宋" w:cs="仿宋_GB2312"/>
          <w:color w:val="auto"/>
          <w:sz w:val="24"/>
          <w:szCs w:val="20"/>
          <w:highlight w:val="none"/>
        </w:rPr>
        <w:t>17.1投标有效期为从提交投标文件的截止之日起90天。</w:t>
      </w:r>
    </w:p>
    <w:p>
      <w:pPr>
        <w:pStyle w:val="111"/>
        <w:snapToGrid w:val="0"/>
        <w:spacing w:before="0"/>
        <w:ind w:firstLine="480"/>
        <w:rPr>
          <w:rFonts w:ascii="仿宋" w:hAnsi="仿宋" w:eastAsia="仿宋" w:cs="仿宋_GB2312"/>
          <w:color w:val="auto"/>
          <w:highlight w:val="none"/>
        </w:rPr>
      </w:pPr>
      <w:r>
        <w:rPr>
          <w:rFonts w:ascii="仿宋" w:hAnsi="仿宋" w:eastAsia="仿宋" w:cs="仿宋_GB2312"/>
          <w:color w:val="auto"/>
          <w:highlight w:val="none"/>
        </w:rPr>
        <w:t>17.2投标文件合格投递后，自投标截止日期起，在投标有效期内有效。</w:t>
      </w:r>
    </w:p>
    <w:p>
      <w:pPr>
        <w:pStyle w:val="111"/>
        <w:snapToGrid w:val="0"/>
        <w:spacing w:before="0"/>
        <w:ind w:firstLine="480"/>
        <w:rPr>
          <w:rFonts w:ascii="仿宋" w:hAnsi="仿宋" w:eastAsia="仿宋" w:cs="仿宋_GB2312"/>
          <w:color w:val="auto"/>
          <w:highlight w:val="none"/>
        </w:rPr>
      </w:pPr>
      <w:r>
        <w:rPr>
          <w:rFonts w:ascii="仿宋" w:hAnsi="仿宋" w:eastAsia="仿宋" w:cs="仿宋_GB2312"/>
          <w:color w:val="auto"/>
          <w:highlight w:val="none"/>
        </w:rPr>
        <w:t>17.3在原定投标有效期满之前，如果出现特殊情况，采购代理机构可以以书面形式通知供应商延长投标有效期。供应商同意延长的，不得要求或被允许修改其投标文件，供应商拒绝延长的，其投标无效。</w:t>
      </w:r>
    </w:p>
    <w:p>
      <w:pPr>
        <w:spacing w:line="360" w:lineRule="auto"/>
        <w:jc w:val="center"/>
        <w:rPr>
          <w:rFonts w:hint="eastAsia" w:ascii="仿宋" w:hAnsi="仿宋" w:eastAsia="仿宋"/>
          <w:b/>
          <w:bCs/>
          <w:color w:val="auto"/>
          <w:kern w:val="44"/>
          <w:sz w:val="28"/>
          <w:szCs w:val="32"/>
          <w:highlight w:val="none"/>
          <w:lang w:val="zh-CN"/>
        </w:rPr>
      </w:pPr>
      <w:bookmarkStart w:id="128" w:name="_Toc14207"/>
      <w:bookmarkStart w:id="129" w:name="_Toc1196"/>
      <w:bookmarkStart w:id="130" w:name="_Toc280907634"/>
      <w:r>
        <w:rPr>
          <w:rFonts w:hint="eastAsia" w:ascii="仿宋" w:hAnsi="仿宋" w:eastAsia="仿宋"/>
          <w:b/>
          <w:bCs/>
          <w:color w:val="auto"/>
          <w:kern w:val="44"/>
          <w:sz w:val="28"/>
          <w:szCs w:val="32"/>
          <w:highlight w:val="none"/>
          <w:lang w:val="zh-CN"/>
        </w:rPr>
        <w:t>四、开标、资格审查与信用信息查询</w:t>
      </w:r>
      <w:bookmarkEnd w:id="128"/>
      <w:bookmarkEnd w:id="129"/>
      <w:bookmarkEnd w:id="130"/>
    </w:p>
    <w:p>
      <w:pPr>
        <w:pStyle w:val="2"/>
        <w:rPr>
          <w:rFonts w:ascii="仿宋" w:hAnsi="仿宋" w:eastAsia="仿宋"/>
          <w:color w:val="auto"/>
          <w:highlight w:val="none"/>
        </w:rPr>
      </w:pPr>
      <w:bookmarkStart w:id="131" w:name="_Toc95312958"/>
      <w:bookmarkStart w:id="132" w:name="_Toc19884"/>
      <w:bookmarkStart w:id="133" w:name="_Toc16060"/>
      <w:bookmarkStart w:id="134" w:name="_Toc15474"/>
      <w:r>
        <w:rPr>
          <w:rFonts w:ascii="仿宋" w:hAnsi="仿宋" w:eastAsia="仿宋"/>
          <w:color w:val="auto"/>
          <w:highlight w:val="none"/>
        </w:rPr>
        <w:t>18.开标</w:t>
      </w:r>
      <w:bookmarkEnd w:id="131"/>
      <w:bookmarkEnd w:id="132"/>
      <w:bookmarkEnd w:id="133"/>
      <w:bookmarkEnd w:id="134"/>
      <w:r>
        <w:rPr>
          <w:rFonts w:ascii="仿宋" w:hAnsi="仿宋" w:eastAsia="仿宋"/>
          <w:color w:val="auto"/>
          <w:highlight w:val="none"/>
        </w:rPr>
        <w:t xml:space="preserve"> </w:t>
      </w:r>
    </w:p>
    <w:p>
      <w:pPr>
        <w:pStyle w:val="265"/>
        <w:snapToGrid w:val="0"/>
        <w:spacing w:before="0" w:line="360" w:lineRule="auto"/>
        <w:ind w:left="0" w:firstLine="480" w:firstLineChars="200"/>
        <w:contextualSpacing/>
        <w:rPr>
          <w:rFonts w:ascii="仿宋" w:hAnsi="仿宋" w:eastAsia="仿宋" w:cs="仿宋_GB2312"/>
          <w:color w:val="auto"/>
          <w:sz w:val="24"/>
          <w:highlight w:val="none"/>
        </w:rPr>
      </w:pPr>
      <w:r>
        <w:rPr>
          <w:rFonts w:ascii="仿宋" w:hAnsi="仿宋" w:eastAsia="仿宋" w:cs="仿宋_GB2312"/>
          <w:color w:val="auto"/>
          <w:sz w:val="24"/>
          <w:highlight w:val="none"/>
        </w:rPr>
        <w:t>18.1采购代理机构按照采购文件规定的时间通过电子交易平台组织开标，所有供应商均应当准时在线参加。供应商不足3家的，不得开标。</w:t>
      </w:r>
    </w:p>
    <w:p>
      <w:pPr>
        <w:pStyle w:val="265"/>
        <w:snapToGrid w:val="0"/>
        <w:spacing w:before="0" w:line="360" w:lineRule="auto"/>
        <w:ind w:left="0" w:firstLine="480" w:firstLineChars="200"/>
        <w:contextualSpacing/>
        <w:rPr>
          <w:rFonts w:ascii="仿宋" w:hAnsi="仿宋" w:eastAsia="仿宋" w:cs="仿宋_GB2312"/>
          <w:color w:val="auto"/>
          <w:sz w:val="24"/>
          <w:highlight w:val="none"/>
        </w:rPr>
      </w:pPr>
      <w:r>
        <w:rPr>
          <w:rFonts w:ascii="仿宋" w:hAnsi="仿宋" w:eastAsia="仿宋" w:cs="仿宋_GB2312"/>
          <w:color w:val="auto"/>
          <w:sz w:val="24"/>
          <w:highlight w:val="none"/>
        </w:rPr>
        <w:t>18.2开标时，电子交易平台按开标时间自动提取所有投标文件。采购代理机构依托电子交易平台发起开始解密指令，供应商按照平台提示和采购文件的规定在半小时内完成在线解密。</w:t>
      </w:r>
    </w:p>
    <w:p>
      <w:pPr>
        <w:pStyle w:val="265"/>
        <w:snapToGrid w:val="0"/>
        <w:spacing w:before="0" w:line="360" w:lineRule="auto"/>
        <w:ind w:left="0" w:firstLine="480" w:firstLineChars="200"/>
        <w:contextualSpacing/>
        <w:rPr>
          <w:rFonts w:ascii="仿宋" w:hAnsi="仿宋" w:eastAsia="仿宋" w:cs="仿宋_GB2312"/>
          <w:b/>
          <w:color w:val="auto"/>
          <w:sz w:val="24"/>
          <w:highlight w:val="none"/>
        </w:rPr>
      </w:pPr>
      <w:r>
        <w:rPr>
          <w:rFonts w:ascii="仿宋" w:hAnsi="仿宋" w:eastAsia="仿宋" w:cs="仿宋_GB2312"/>
          <w:color w:val="auto"/>
          <w:sz w:val="24"/>
          <w:highlight w:val="none"/>
        </w:rPr>
        <w:t>18.3</w:t>
      </w:r>
      <w:r>
        <w:rPr>
          <w:rFonts w:hint="eastAsia" w:ascii="仿宋" w:hAnsi="仿宋" w:eastAsia="仿宋" w:cs="仿宋_GB2312"/>
          <w:b/>
          <w:color w:val="auto"/>
          <w:sz w:val="24"/>
          <w:highlight w:val="none"/>
        </w:rPr>
        <w:t>投标文件未按时解密，供应商提供了备份投标文件的，以备份投标文件作为依据，否则视为投标文件撤回。投标文件已按时解密的，备份投标文件自动失效。</w:t>
      </w:r>
    </w:p>
    <w:p>
      <w:pPr>
        <w:widowControl/>
        <w:snapToGrid w:val="0"/>
        <w:spacing w:line="360" w:lineRule="auto"/>
        <w:jc w:val="left"/>
        <w:rPr>
          <w:rFonts w:ascii="仿宋" w:hAnsi="仿宋" w:eastAsia="仿宋" w:cs="仿宋_GB2312"/>
          <w:b/>
          <w:color w:val="auto"/>
          <w:sz w:val="24"/>
          <w:szCs w:val="20"/>
          <w:highlight w:val="none"/>
        </w:rPr>
      </w:pPr>
    </w:p>
    <w:p>
      <w:pPr>
        <w:pStyle w:val="2"/>
        <w:rPr>
          <w:rFonts w:ascii="仿宋" w:hAnsi="仿宋" w:eastAsia="仿宋"/>
          <w:color w:val="auto"/>
          <w:highlight w:val="none"/>
        </w:rPr>
      </w:pPr>
      <w:bookmarkStart w:id="135" w:name="_Toc16408"/>
      <w:r>
        <w:rPr>
          <w:rFonts w:ascii="仿宋" w:hAnsi="仿宋" w:eastAsia="仿宋"/>
          <w:color w:val="auto"/>
          <w:highlight w:val="none"/>
        </w:rPr>
        <w:t>19</w:t>
      </w:r>
      <w:r>
        <w:rPr>
          <w:rFonts w:hint="eastAsia" w:ascii="仿宋" w:hAnsi="仿宋" w:eastAsia="仿宋"/>
          <w:color w:val="auto"/>
          <w:highlight w:val="none"/>
        </w:rPr>
        <w:t>.</w:t>
      </w:r>
      <w:r>
        <w:rPr>
          <w:rFonts w:ascii="仿宋" w:hAnsi="仿宋" w:eastAsia="仿宋"/>
          <w:color w:val="auto"/>
          <w:highlight w:val="none"/>
        </w:rPr>
        <w:t>资格审查</w:t>
      </w:r>
      <w:bookmarkEnd w:id="135"/>
    </w:p>
    <w:p>
      <w:pPr>
        <w:pStyle w:val="111"/>
        <w:snapToGrid w:val="0"/>
        <w:spacing w:before="0"/>
        <w:ind w:firstLine="480"/>
        <w:rPr>
          <w:rFonts w:ascii="仿宋" w:hAnsi="仿宋" w:eastAsia="仿宋" w:cs="Arial"/>
          <w:color w:val="auto"/>
          <w:kern w:val="0"/>
          <w:szCs w:val="24"/>
          <w:highlight w:val="none"/>
        </w:rPr>
      </w:pPr>
      <w:r>
        <w:rPr>
          <w:rFonts w:ascii="仿宋" w:hAnsi="仿宋" w:eastAsia="仿宋" w:cs="Arial"/>
          <w:color w:val="auto"/>
          <w:kern w:val="0"/>
          <w:szCs w:val="24"/>
          <w:highlight w:val="none"/>
        </w:rPr>
        <w:t>19.1开标后，采购人或采购代理机构将依法对供应商的资格进行审查。</w:t>
      </w:r>
    </w:p>
    <w:p>
      <w:pPr>
        <w:snapToGrid w:val="0"/>
        <w:spacing w:line="360" w:lineRule="auto"/>
        <w:ind w:firstLine="480" w:firstLineChars="200"/>
        <w:rPr>
          <w:rFonts w:ascii="仿宋" w:hAnsi="仿宋" w:eastAsia="仿宋" w:cs="仿宋_GB2312"/>
          <w:color w:val="auto"/>
          <w:sz w:val="24"/>
          <w:highlight w:val="none"/>
        </w:rPr>
      </w:pPr>
      <w:r>
        <w:rPr>
          <w:rFonts w:ascii="仿宋" w:hAnsi="仿宋" w:eastAsia="仿宋" w:cs="Arial"/>
          <w:color w:val="auto"/>
          <w:kern w:val="0"/>
          <w:sz w:val="24"/>
          <w:highlight w:val="none"/>
        </w:rPr>
        <w:t>19.2</w:t>
      </w:r>
      <w:r>
        <w:rPr>
          <w:rFonts w:hint="eastAsia" w:ascii="仿宋" w:hAnsi="仿宋" w:eastAsia="仿宋" w:cs="仿宋_GB2312"/>
          <w:color w:val="auto"/>
          <w:sz w:val="24"/>
          <w:highlight w:val="none"/>
        </w:rPr>
        <w:t>采购人或采购代理机构依据法律法规和采购文件的规定，对供应商的基本资格条件、特定资格条件进行审查。</w:t>
      </w:r>
    </w:p>
    <w:p>
      <w:pPr>
        <w:pStyle w:val="111"/>
        <w:snapToGrid w:val="0"/>
        <w:spacing w:before="0"/>
        <w:ind w:firstLine="480"/>
        <w:rPr>
          <w:rFonts w:ascii="仿宋" w:hAnsi="仿宋" w:eastAsia="仿宋" w:cs="仿宋_GB2312"/>
          <w:color w:val="auto"/>
          <w:highlight w:val="none"/>
        </w:rPr>
      </w:pPr>
      <w:r>
        <w:rPr>
          <w:rFonts w:ascii="仿宋" w:hAnsi="仿宋" w:eastAsia="仿宋" w:cs="Arial"/>
          <w:color w:val="auto"/>
          <w:kern w:val="0"/>
          <w:szCs w:val="24"/>
          <w:highlight w:val="none"/>
        </w:rPr>
        <w:t>19.3供应商未按照采购文件要求提供与</w:t>
      </w:r>
      <w:r>
        <w:rPr>
          <w:rFonts w:hint="eastAsia" w:ascii="仿宋" w:hAnsi="仿宋" w:eastAsia="仿宋" w:cs="仿宋_GB2312"/>
          <w:color w:val="auto"/>
          <w:highlight w:val="none"/>
        </w:rPr>
        <w:t>基本资格条件、特定资格条件相应的</w:t>
      </w:r>
      <w:r>
        <w:rPr>
          <w:rFonts w:hint="eastAsia" w:ascii="仿宋" w:hAnsi="仿宋" w:eastAsia="仿宋" w:cs="Arial"/>
          <w:color w:val="auto"/>
          <w:kern w:val="0"/>
          <w:szCs w:val="24"/>
          <w:highlight w:val="none"/>
        </w:rPr>
        <w:t>有效资格证明材料的，视为</w:t>
      </w:r>
      <w:r>
        <w:rPr>
          <w:rFonts w:hint="eastAsia" w:ascii="仿宋" w:hAnsi="仿宋" w:eastAsia="仿宋" w:cs="仿宋_GB2312"/>
          <w:color w:val="auto"/>
          <w:highlight w:val="none"/>
        </w:rPr>
        <w:t>供应商不具备采购文件中规定的资格要求，其投标无效。</w:t>
      </w:r>
    </w:p>
    <w:p>
      <w:pPr>
        <w:pStyle w:val="111"/>
        <w:snapToGrid w:val="0"/>
        <w:spacing w:before="0"/>
        <w:ind w:firstLine="480"/>
        <w:rPr>
          <w:rFonts w:ascii="仿宋" w:hAnsi="仿宋" w:eastAsia="仿宋" w:cs="仿宋_GB2312"/>
          <w:color w:val="auto"/>
          <w:highlight w:val="none"/>
        </w:rPr>
      </w:pPr>
      <w:r>
        <w:rPr>
          <w:rFonts w:ascii="仿宋" w:hAnsi="仿宋" w:eastAsia="仿宋" w:cs="Arial"/>
          <w:color w:val="auto"/>
          <w:kern w:val="0"/>
          <w:szCs w:val="24"/>
          <w:highlight w:val="none"/>
        </w:rPr>
        <w:t>19.</w:t>
      </w:r>
      <w:r>
        <w:rPr>
          <w:rFonts w:ascii="仿宋" w:hAnsi="仿宋" w:eastAsia="仿宋" w:cs="仿宋_GB2312"/>
          <w:color w:val="auto"/>
          <w:highlight w:val="none"/>
        </w:rPr>
        <w:t>4对未通过资格审查的供应商，采购人或采购代理机构告知其未通过的原因。</w:t>
      </w:r>
    </w:p>
    <w:p>
      <w:pPr>
        <w:pStyle w:val="111"/>
        <w:snapToGrid w:val="0"/>
        <w:spacing w:before="0"/>
        <w:ind w:firstLine="480"/>
        <w:rPr>
          <w:rFonts w:ascii="仿宋" w:hAnsi="仿宋" w:eastAsia="仿宋" w:cs="仿宋_GB2312"/>
          <w:b/>
          <w:color w:val="auto"/>
          <w:szCs w:val="24"/>
          <w:highlight w:val="none"/>
        </w:rPr>
      </w:pPr>
      <w:r>
        <w:rPr>
          <w:rFonts w:ascii="仿宋" w:hAnsi="仿宋" w:eastAsia="仿宋" w:cs="Arial"/>
          <w:color w:val="auto"/>
          <w:kern w:val="0"/>
          <w:szCs w:val="24"/>
          <w:highlight w:val="none"/>
        </w:rPr>
        <w:t>19.</w:t>
      </w:r>
      <w:r>
        <w:rPr>
          <w:rFonts w:ascii="仿宋" w:hAnsi="仿宋" w:eastAsia="仿宋" w:cs="仿宋_GB2312"/>
          <w:color w:val="auto"/>
          <w:highlight w:val="none"/>
        </w:rPr>
        <w:t>5合格供应商不足3家的，不再评标。</w:t>
      </w:r>
    </w:p>
    <w:p>
      <w:pPr>
        <w:pStyle w:val="111"/>
        <w:snapToGrid w:val="0"/>
        <w:spacing w:before="0"/>
        <w:ind w:firstLine="482"/>
        <w:rPr>
          <w:rFonts w:ascii="仿宋" w:hAnsi="仿宋" w:eastAsia="仿宋" w:cs="仿宋_GB2312"/>
          <w:b/>
          <w:color w:val="auto"/>
          <w:szCs w:val="24"/>
          <w:highlight w:val="none"/>
        </w:rPr>
      </w:pPr>
    </w:p>
    <w:p>
      <w:pPr>
        <w:pStyle w:val="2"/>
        <w:rPr>
          <w:rFonts w:ascii="仿宋" w:hAnsi="仿宋" w:eastAsia="仿宋"/>
          <w:color w:val="auto"/>
          <w:highlight w:val="none"/>
        </w:rPr>
      </w:pPr>
      <w:bookmarkStart w:id="136" w:name="_Toc1839"/>
      <w:r>
        <w:rPr>
          <w:rFonts w:ascii="仿宋" w:hAnsi="仿宋" w:eastAsia="仿宋"/>
          <w:color w:val="auto"/>
          <w:highlight w:val="none"/>
        </w:rPr>
        <w:t>20</w:t>
      </w:r>
      <w:r>
        <w:rPr>
          <w:rFonts w:hint="eastAsia" w:ascii="仿宋" w:hAnsi="仿宋" w:eastAsia="仿宋"/>
          <w:color w:val="auto"/>
          <w:highlight w:val="none"/>
        </w:rPr>
        <w:t>.</w:t>
      </w:r>
      <w:r>
        <w:rPr>
          <w:rFonts w:ascii="仿宋" w:hAnsi="仿宋" w:eastAsia="仿宋"/>
          <w:color w:val="auto"/>
          <w:highlight w:val="none"/>
        </w:rPr>
        <w:t>信用信息查询</w:t>
      </w:r>
      <w:bookmarkEnd w:id="136"/>
    </w:p>
    <w:p>
      <w:pPr>
        <w:pStyle w:val="111"/>
        <w:snapToGrid w:val="0"/>
        <w:spacing w:before="0"/>
        <w:ind w:firstLine="480"/>
        <w:rPr>
          <w:rFonts w:ascii="仿宋" w:hAnsi="仿宋" w:eastAsia="仿宋" w:cs="Arial"/>
          <w:color w:val="auto"/>
          <w:kern w:val="0"/>
          <w:szCs w:val="24"/>
          <w:highlight w:val="none"/>
        </w:rPr>
      </w:pPr>
      <w:r>
        <w:rPr>
          <w:rFonts w:ascii="仿宋" w:hAnsi="仿宋" w:eastAsia="仿宋" w:cs="Arial"/>
          <w:color w:val="auto"/>
          <w:kern w:val="0"/>
          <w:szCs w:val="24"/>
          <w:highlight w:val="none"/>
        </w:rPr>
        <w:t>20.1信用信息查询渠道及截止时间：采购代理机构将通过“信用中国”网站(www.creditchina.gov.cn)、中国政府采购网(www.ccgp.gov.cn)渠道查询供应商投标截止时间当天的信用记录。</w:t>
      </w:r>
    </w:p>
    <w:p>
      <w:pPr>
        <w:pStyle w:val="111"/>
        <w:snapToGrid w:val="0"/>
        <w:spacing w:before="0"/>
        <w:ind w:firstLine="480"/>
        <w:rPr>
          <w:rFonts w:ascii="仿宋" w:hAnsi="仿宋" w:eastAsia="仿宋" w:cs="Arial"/>
          <w:color w:val="auto"/>
          <w:kern w:val="0"/>
          <w:szCs w:val="24"/>
          <w:highlight w:val="none"/>
        </w:rPr>
      </w:pPr>
      <w:r>
        <w:rPr>
          <w:rFonts w:ascii="仿宋" w:hAnsi="仿宋" w:eastAsia="仿宋" w:cs="Arial"/>
          <w:color w:val="auto"/>
          <w:kern w:val="0"/>
          <w:szCs w:val="24"/>
          <w:highlight w:val="none"/>
        </w:rPr>
        <w:t>20.2信用信息查询记录和证据留存的具体方式：现场查询的供应商的信用记录、查询结果经确认后将与采购文件一起存档。</w:t>
      </w:r>
    </w:p>
    <w:p>
      <w:pPr>
        <w:pStyle w:val="111"/>
        <w:snapToGrid w:val="0"/>
        <w:spacing w:before="0"/>
        <w:ind w:firstLine="480"/>
        <w:rPr>
          <w:rFonts w:ascii="仿宋" w:hAnsi="仿宋" w:eastAsia="仿宋" w:cs="Arial"/>
          <w:color w:val="auto"/>
          <w:kern w:val="0"/>
          <w:szCs w:val="24"/>
          <w:highlight w:val="none"/>
        </w:rPr>
      </w:pPr>
      <w:r>
        <w:rPr>
          <w:rFonts w:ascii="仿宋" w:hAnsi="仿宋" w:eastAsia="仿宋" w:cs="Arial"/>
          <w:color w:val="auto"/>
          <w:kern w:val="0"/>
          <w:szCs w:val="24"/>
          <w:highlight w:val="none"/>
        </w:rPr>
        <w:t>20.3信用信息的使用规则：经查询列入失信被执行人名单、重大税收违法案件当事人名单、政府采购严重违法失信行为记录名单的供应商将被拒绝参与政府采购活动。</w:t>
      </w:r>
    </w:p>
    <w:p>
      <w:pPr>
        <w:pStyle w:val="111"/>
        <w:snapToGrid w:val="0"/>
        <w:spacing w:before="0"/>
        <w:ind w:firstLine="480"/>
        <w:rPr>
          <w:rFonts w:hint="eastAsia" w:ascii="仿宋" w:hAnsi="仿宋" w:eastAsia="仿宋" w:cs="Arial"/>
          <w:color w:val="auto"/>
          <w:kern w:val="0"/>
          <w:szCs w:val="24"/>
          <w:highlight w:val="none"/>
        </w:rPr>
      </w:pPr>
      <w:r>
        <w:rPr>
          <w:rFonts w:ascii="仿宋" w:hAnsi="仿宋" w:eastAsia="仿宋" w:cs="Arial"/>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Arial"/>
          <w:color w:val="auto"/>
          <w:kern w:val="0"/>
          <w:szCs w:val="24"/>
          <w:highlight w:val="none"/>
        </w:rPr>
        <w:t>。</w:t>
      </w:r>
      <w:bookmarkStart w:id="137" w:name="_Toc772"/>
      <w:bookmarkStart w:id="138" w:name="_Toc4565"/>
      <w:bookmarkStart w:id="139" w:name="_Toc23183"/>
      <w:bookmarkStart w:id="140" w:name="_Toc1045548532"/>
      <w:bookmarkStart w:id="141" w:name="_Toc95312959"/>
      <w:bookmarkStart w:id="142" w:name="_Toc24831"/>
    </w:p>
    <w:p>
      <w:pPr>
        <w:pStyle w:val="111"/>
        <w:snapToGrid w:val="0"/>
        <w:spacing w:before="0"/>
        <w:ind w:left="0" w:leftChars="0" w:firstLine="0" w:firstLineChars="0"/>
        <w:jc w:val="center"/>
        <w:rPr>
          <w:rFonts w:hint="eastAsia" w:ascii="仿宋" w:hAnsi="仿宋" w:eastAsia="仿宋" w:cs="Times New Roman"/>
          <w:b/>
          <w:bCs/>
          <w:color w:val="auto"/>
          <w:kern w:val="44"/>
          <w:sz w:val="28"/>
          <w:szCs w:val="32"/>
          <w:highlight w:val="none"/>
          <w:lang w:val="zh-CN" w:eastAsia="zh-CN" w:bidi="ar-SA"/>
        </w:rPr>
      </w:pPr>
      <w:r>
        <w:rPr>
          <w:rFonts w:hint="eastAsia" w:ascii="仿宋" w:hAnsi="仿宋" w:eastAsia="仿宋" w:cs="Times New Roman"/>
          <w:b/>
          <w:bCs/>
          <w:color w:val="auto"/>
          <w:kern w:val="44"/>
          <w:sz w:val="28"/>
          <w:szCs w:val="32"/>
          <w:highlight w:val="none"/>
          <w:lang w:val="zh-CN" w:eastAsia="zh-CN" w:bidi="ar-SA"/>
        </w:rPr>
        <w:t>五、评</w:t>
      </w:r>
      <w:r>
        <w:rPr>
          <w:rFonts w:hint="eastAsia" w:ascii="仿宋" w:hAnsi="仿宋" w:eastAsia="仿宋" w:cs="Times New Roman"/>
          <w:b/>
          <w:bCs/>
          <w:color w:val="auto"/>
          <w:kern w:val="44"/>
          <w:sz w:val="28"/>
          <w:szCs w:val="32"/>
          <w:highlight w:val="none"/>
          <w:lang w:val="en-US" w:eastAsia="zh-CN" w:bidi="ar-SA"/>
        </w:rPr>
        <w:t xml:space="preserve"> </w:t>
      </w:r>
      <w:r>
        <w:rPr>
          <w:rFonts w:hint="eastAsia" w:ascii="仿宋" w:hAnsi="仿宋" w:eastAsia="仿宋" w:cs="Times New Roman"/>
          <w:b/>
          <w:bCs/>
          <w:color w:val="auto"/>
          <w:kern w:val="44"/>
          <w:sz w:val="28"/>
          <w:szCs w:val="32"/>
          <w:highlight w:val="none"/>
          <w:lang w:val="zh-CN" w:eastAsia="zh-CN" w:bidi="ar-SA"/>
        </w:rPr>
        <w:t>标</w:t>
      </w:r>
      <w:bookmarkEnd w:id="137"/>
      <w:bookmarkEnd w:id="138"/>
      <w:bookmarkEnd w:id="139"/>
      <w:bookmarkEnd w:id="140"/>
      <w:bookmarkEnd w:id="141"/>
      <w:bookmarkEnd w:id="142"/>
    </w:p>
    <w:p>
      <w:pPr>
        <w:snapToGrid w:val="0"/>
        <w:spacing w:line="360" w:lineRule="auto"/>
        <w:rPr>
          <w:rFonts w:ascii="仿宋" w:hAnsi="仿宋" w:eastAsia="仿宋" w:cs="仿宋_GB2312"/>
          <w:b/>
          <w:color w:val="auto"/>
          <w:sz w:val="24"/>
          <w:highlight w:val="none"/>
        </w:rPr>
      </w:pPr>
      <w:bookmarkStart w:id="143" w:name="_Toc91899903"/>
      <w:r>
        <w:rPr>
          <w:rFonts w:ascii="仿宋" w:hAnsi="仿宋" w:eastAsia="仿宋" w:cs="仿宋_GB2312"/>
          <w:b/>
          <w:color w:val="auto"/>
          <w:sz w:val="24"/>
          <w:highlight w:val="none"/>
        </w:rPr>
        <w:t>21.</w:t>
      </w:r>
      <w:r>
        <w:rPr>
          <w:rFonts w:ascii="仿宋" w:hAnsi="仿宋" w:eastAsia="仿宋"/>
          <w:color w:val="auto"/>
          <w:highlight w:val="none"/>
        </w:rPr>
        <w:t xml:space="preserve"> </w:t>
      </w:r>
      <w:r>
        <w:rPr>
          <w:rFonts w:hint="eastAsia" w:ascii="仿宋" w:hAnsi="仿宋" w:eastAsia="仿宋" w:cs="仿宋_GB2312"/>
          <w:color w:val="auto"/>
          <w:sz w:val="24"/>
          <w:highlight w:val="none"/>
        </w:rPr>
        <w:t>评标委员会将根据采购文件和有关规定，履行评标工作职责，并按照评标方法及评分标准，全面衡量各供应商对采购文件的响应情况。对实质上响应采购文件的供应商，按照评审因素的量化指标排出推荐中标的供应商的先后顺序，并按顺序提出授标建议。</w:t>
      </w:r>
      <w:r>
        <w:rPr>
          <w:rFonts w:hint="eastAsia" w:ascii="仿宋" w:hAnsi="仿宋" w:eastAsia="仿宋" w:cs="仿宋_GB2312"/>
          <w:b/>
          <w:color w:val="auto"/>
          <w:sz w:val="24"/>
          <w:highlight w:val="none"/>
        </w:rPr>
        <w:t>详见采购文件第四部分评标办法。</w:t>
      </w:r>
    </w:p>
    <w:p>
      <w:pPr>
        <w:snapToGrid w:val="0"/>
        <w:spacing w:line="360" w:lineRule="auto"/>
        <w:rPr>
          <w:rFonts w:ascii="仿宋" w:hAnsi="仿宋" w:eastAsia="仿宋" w:cs="仿宋_GB2312"/>
          <w:b/>
          <w:color w:val="auto"/>
          <w:sz w:val="24"/>
          <w:highlight w:val="none"/>
        </w:rPr>
      </w:pPr>
    </w:p>
    <w:p>
      <w:pPr>
        <w:pStyle w:val="5"/>
        <w:jc w:val="center"/>
        <w:rPr>
          <w:rFonts w:hint="eastAsia" w:ascii="仿宋" w:hAnsi="仿宋" w:eastAsia="仿宋" w:cs="Times New Roman"/>
          <w:b/>
          <w:bCs/>
          <w:color w:val="auto"/>
          <w:kern w:val="44"/>
          <w:sz w:val="28"/>
          <w:szCs w:val="32"/>
          <w:highlight w:val="none"/>
          <w:lang w:val="zh-CN" w:eastAsia="zh-CN" w:bidi="ar-SA"/>
        </w:rPr>
      </w:pPr>
      <w:bookmarkStart w:id="144" w:name="_Toc8276"/>
      <w:bookmarkStart w:id="145" w:name="_Toc5442"/>
      <w:bookmarkStart w:id="146" w:name="_Toc16557"/>
      <w:bookmarkStart w:id="147" w:name="_Toc1709"/>
      <w:bookmarkStart w:id="148" w:name="_Toc1822977570"/>
      <w:bookmarkStart w:id="149" w:name="_Toc95312960"/>
      <w:r>
        <w:rPr>
          <w:rFonts w:hint="eastAsia" w:ascii="仿宋" w:hAnsi="仿宋" w:eastAsia="仿宋" w:cs="Times New Roman"/>
          <w:b/>
          <w:bCs/>
          <w:color w:val="auto"/>
          <w:kern w:val="44"/>
          <w:sz w:val="28"/>
          <w:szCs w:val="32"/>
          <w:highlight w:val="none"/>
          <w:lang w:val="zh-CN" w:eastAsia="zh-CN" w:bidi="ar-SA"/>
        </w:rPr>
        <w:t>六、定 标</w:t>
      </w:r>
      <w:bookmarkEnd w:id="144"/>
      <w:bookmarkEnd w:id="145"/>
      <w:bookmarkEnd w:id="146"/>
      <w:bookmarkEnd w:id="147"/>
      <w:bookmarkEnd w:id="148"/>
      <w:bookmarkEnd w:id="149"/>
    </w:p>
    <w:p>
      <w:pPr>
        <w:pStyle w:val="36"/>
        <w:snapToGrid w:val="0"/>
        <w:spacing w:line="360" w:lineRule="auto"/>
        <w:ind w:firstLine="0" w:firstLineChars="0"/>
        <w:rPr>
          <w:rFonts w:ascii="仿宋" w:hAnsi="仿宋" w:eastAsia="仿宋" w:cs="仿宋_GB2312"/>
          <w:b/>
          <w:color w:val="auto"/>
          <w:highlight w:val="none"/>
        </w:rPr>
      </w:pPr>
      <w:r>
        <w:rPr>
          <w:rFonts w:ascii="仿宋" w:hAnsi="仿宋" w:eastAsia="仿宋" w:cs="仿宋_GB2312"/>
          <w:b/>
          <w:color w:val="auto"/>
          <w:highlight w:val="none"/>
        </w:rPr>
        <w:t xml:space="preserve">22. </w:t>
      </w:r>
      <w:r>
        <w:rPr>
          <w:rFonts w:hint="eastAsia" w:ascii="仿宋" w:hAnsi="仿宋" w:eastAsia="仿宋" w:cs="仿宋_GB2312"/>
          <w:b/>
          <w:color w:val="auto"/>
          <w:highlight w:val="none"/>
        </w:rPr>
        <w:t>确定中标供应商</w:t>
      </w:r>
    </w:p>
    <w:p>
      <w:pPr>
        <w:pStyle w:val="111"/>
        <w:snapToGrid w:val="0"/>
        <w:spacing w:before="0"/>
        <w:ind w:firstLine="480"/>
        <w:rPr>
          <w:rFonts w:ascii="仿宋" w:hAnsi="仿宋" w:eastAsia="仿宋" w:cs="仿宋_GB2312"/>
          <w:b/>
          <w:color w:val="auto"/>
          <w:szCs w:val="24"/>
          <w:highlight w:val="none"/>
        </w:rPr>
      </w:pPr>
      <w:r>
        <w:rPr>
          <w:rFonts w:hint="eastAsia" w:ascii="仿宋" w:hAnsi="仿宋" w:eastAsia="仿宋" w:cs="仿宋_GB2312"/>
          <w:color w:val="auto"/>
          <w:szCs w:val="24"/>
          <w:highlight w:val="none"/>
        </w:rPr>
        <w:t>采购人将自收到评审报告之日起</w:t>
      </w:r>
      <w:r>
        <w:rPr>
          <w:rFonts w:ascii="仿宋" w:hAnsi="仿宋" w:eastAsia="仿宋" w:cs="仿宋_GB2312"/>
          <w:color w:val="auto"/>
          <w:szCs w:val="24"/>
          <w:highlight w:val="none"/>
        </w:rPr>
        <w:t>5个工作日内通过电子交易平台在评审报告推荐的中标候选人中按顺序确定中标供应商。</w:t>
      </w:r>
    </w:p>
    <w:p>
      <w:pPr>
        <w:pStyle w:val="111"/>
        <w:snapToGrid w:val="0"/>
        <w:spacing w:before="0"/>
        <w:ind w:firstLine="0" w:firstLineChars="0"/>
        <w:rPr>
          <w:rFonts w:ascii="仿宋" w:hAnsi="仿宋" w:eastAsia="仿宋" w:cs="仿宋_GB2312"/>
          <w:b/>
          <w:color w:val="auto"/>
          <w:szCs w:val="24"/>
          <w:highlight w:val="none"/>
        </w:rPr>
      </w:pPr>
    </w:p>
    <w:p>
      <w:pPr>
        <w:pStyle w:val="111"/>
        <w:snapToGrid w:val="0"/>
        <w:spacing w:before="0"/>
        <w:ind w:firstLine="0" w:firstLineChars="0"/>
        <w:rPr>
          <w:rFonts w:ascii="仿宋" w:hAnsi="仿宋" w:eastAsia="仿宋" w:cs="仿宋_GB2312"/>
          <w:b/>
          <w:color w:val="auto"/>
          <w:szCs w:val="24"/>
          <w:highlight w:val="none"/>
        </w:rPr>
      </w:pPr>
      <w:r>
        <w:rPr>
          <w:rFonts w:ascii="仿宋" w:hAnsi="仿宋" w:eastAsia="仿宋" w:cs="仿宋_GB2312"/>
          <w:b/>
          <w:color w:val="auto"/>
          <w:szCs w:val="24"/>
          <w:highlight w:val="none"/>
        </w:rPr>
        <w:t xml:space="preserve">23. </w:t>
      </w:r>
      <w:r>
        <w:rPr>
          <w:rFonts w:hint="eastAsia" w:ascii="仿宋" w:hAnsi="仿宋" w:eastAsia="仿宋" w:cs="仿宋_GB2312"/>
          <w:b/>
          <w:color w:val="auto"/>
          <w:szCs w:val="24"/>
          <w:highlight w:val="none"/>
        </w:rPr>
        <w:t>中标通知与中标结果公告</w:t>
      </w:r>
    </w:p>
    <w:p>
      <w:pPr>
        <w:widowControl/>
        <w:shd w:val="clear" w:color="auto" w:fill="FFFFFF"/>
        <w:snapToGrid w:val="0"/>
        <w:spacing w:line="360" w:lineRule="auto"/>
        <w:ind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23.1自中标人确定之日起2个工作日内，采购代理机构通过电子交易平台向中标人发出中标通知书，</w:t>
      </w:r>
      <w:r>
        <w:rPr>
          <w:rFonts w:hint="eastAsia" w:ascii="仿宋" w:hAnsi="仿宋" w:eastAsia="仿宋" w:cs="仿宋_GB2312"/>
          <w:color w:val="auto"/>
          <w:sz w:val="24"/>
          <w:highlight w:val="none"/>
        </w:rPr>
        <w:t>同时编制发布采购结果公告。采购代理机构也可以以纸质形式进行中标通知。</w:t>
      </w:r>
    </w:p>
    <w:p>
      <w:pPr>
        <w:widowControl/>
        <w:shd w:val="clear" w:color="auto" w:fill="FFFFFF"/>
        <w:snapToGrid w:val="0"/>
        <w:spacing w:line="360" w:lineRule="auto"/>
        <w:ind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23.2中标结果公告内容包括采购人及其委托的采购代理机构的名称、地址、联系方式，</w:t>
      </w:r>
      <w:r>
        <w:rPr>
          <w:rFonts w:hint="eastAsia" w:ascii="仿宋" w:hAnsi="仿宋" w:eastAsia="仿宋" w:cs="仿宋_GB2312"/>
          <w:color w:val="auto"/>
          <w:sz w:val="24"/>
          <w:highlight w:val="none"/>
        </w:rPr>
        <w:t>”俞樾纪念馆”陈列布展服务</w:t>
      </w:r>
      <w:r>
        <w:rPr>
          <w:rFonts w:ascii="仿宋" w:hAnsi="仿宋" w:eastAsia="仿宋" w:cs="仿宋_GB2312"/>
          <w:color w:val="auto"/>
          <w:sz w:val="24"/>
          <w:highlight w:val="none"/>
        </w:rPr>
        <w:t>项目编号，中标人名称、地址和中标金额，主要中标标的</w:t>
      </w:r>
      <w:r>
        <w:rPr>
          <w:rFonts w:hint="eastAsia" w:ascii="仿宋" w:hAnsi="仿宋" w:eastAsia="仿宋" w:cs="仿宋_GB2312"/>
          <w:color w:val="auto"/>
          <w:sz w:val="24"/>
          <w:highlight w:val="none"/>
        </w:rPr>
        <w:t>的名称、规格型号（如有）、数量、单价、服务要求，开标记录、未中标情况说明、中标公告期限以及评审专家名单、评分汇总及明细。</w:t>
      </w:r>
    </w:p>
    <w:p>
      <w:pPr>
        <w:widowControl/>
        <w:shd w:val="clear" w:color="auto" w:fill="FFFFFF"/>
        <w:snapToGrid w:val="0"/>
        <w:spacing w:line="360" w:lineRule="auto"/>
        <w:ind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23.3公告期限为1个工作日。</w:t>
      </w:r>
    </w:p>
    <w:p>
      <w:pPr>
        <w:spacing w:line="360" w:lineRule="auto"/>
        <w:jc w:val="center"/>
        <w:rPr>
          <w:rFonts w:hint="eastAsia" w:ascii="仿宋" w:hAnsi="仿宋" w:eastAsia="仿宋" w:cs="Times New Roman"/>
          <w:b/>
          <w:bCs/>
          <w:color w:val="auto"/>
          <w:kern w:val="44"/>
          <w:sz w:val="28"/>
          <w:szCs w:val="32"/>
          <w:highlight w:val="none"/>
          <w:lang w:val="zh-CN" w:eastAsia="zh-CN" w:bidi="ar-SA"/>
        </w:rPr>
      </w:pPr>
      <w:bookmarkStart w:id="150" w:name="_Toc8690"/>
      <w:bookmarkStart w:id="151" w:name="_Toc5863"/>
      <w:bookmarkStart w:id="152" w:name="_Toc95312961"/>
      <w:bookmarkStart w:id="153" w:name="_Toc634827241"/>
      <w:bookmarkStart w:id="154" w:name="_Toc11039"/>
      <w:bookmarkStart w:id="155" w:name="_Toc27304"/>
      <w:r>
        <w:rPr>
          <w:rFonts w:hint="eastAsia" w:ascii="仿宋" w:hAnsi="仿宋" w:eastAsia="仿宋" w:cs="Times New Roman"/>
          <w:b/>
          <w:bCs/>
          <w:color w:val="auto"/>
          <w:kern w:val="44"/>
          <w:sz w:val="28"/>
          <w:szCs w:val="32"/>
          <w:highlight w:val="none"/>
          <w:lang w:val="zh-CN" w:eastAsia="zh-CN" w:bidi="ar-SA"/>
        </w:rPr>
        <w:t>七、合同授予</w:t>
      </w:r>
      <w:bookmarkEnd w:id="150"/>
      <w:bookmarkEnd w:id="151"/>
      <w:bookmarkEnd w:id="152"/>
      <w:bookmarkEnd w:id="153"/>
      <w:bookmarkEnd w:id="154"/>
      <w:bookmarkEnd w:id="155"/>
    </w:p>
    <w:p>
      <w:pPr>
        <w:pStyle w:val="36"/>
        <w:snapToGrid w:val="0"/>
        <w:spacing w:line="360" w:lineRule="auto"/>
        <w:ind w:firstLine="0" w:firstLineChars="0"/>
        <w:rPr>
          <w:rFonts w:ascii="仿宋" w:hAnsi="仿宋" w:eastAsia="仿宋" w:cs="仿宋_GB2312"/>
          <w:b/>
          <w:color w:val="auto"/>
          <w:highlight w:val="none"/>
        </w:rPr>
      </w:pPr>
      <w:r>
        <w:rPr>
          <w:rFonts w:ascii="仿宋" w:hAnsi="仿宋" w:eastAsia="仿宋" w:cs="仿宋_GB2312"/>
          <w:b/>
          <w:color w:val="auto"/>
          <w:highlight w:val="none"/>
        </w:rPr>
        <w:t xml:space="preserve">24. </w:t>
      </w:r>
      <w:r>
        <w:rPr>
          <w:rFonts w:hint="eastAsia" w:ascii="仿宋" w:hAnsi="仿宋" w:eastAsia="仿宋" w:cs="仿宋_GB2312"/>
          <w:color w:val="auto"/>
          <w:highlight w:val="none"/>
        </w:rPr>
        <w:t>合同主要条款详见第五部分拟签订的合同文本。</w:t>
      </w:r>
    </w:p>
    <w:p>
      <w:pPr>
        <w:pStyle w:val="36"/>
        <w:snapToGrid w:val="0"/>
        <w:spacing w:line="360" w:lineRule="auto"/>
        <w:ind w:left="479" w:firstLine="482"/>
        <w:rPr>
          <w:rFonts w:ascii="仿宋" w:hAnsi="仿宋" w:eastAsia="仿宋" w:cs="仿宋_GB2312"/>
          <w:b/>
          <w:color w:val="auto"/>
          <w:highlight w:val="none"/>
        </w:rPr>
      </w:pPr>
    </w:p>
    <w:p>
      <w:pPr>
        <w:pStyle w:val="36"/>
        <w:snapToGrid w:val="0"/>
        <w:spacing w:line="360" w:lineRule="auto"/>
        <w:ind w:firstLine="0" w:firstLineChars="0"/>
        <w:rPr>
          <w:rFonts w:ascii="仿宋" w:hAnsi="仿宋" w:eastAsia="仿宋" w:cs="仿宋_GB2312"/>
          <w:b/>
          <w:color w:val="auto"/>
          <w:highlight w:val="none"/>
        </w:rPr>
      </w:pPr>
      <w:r>
        <w:rPr>
          <w:rFonts w:ascii="仿宋" w:hAnsi="仿宋" w:eastAsia="仿宋" w:cs="仿宋_GB2312"/>
          <w:b/>
          <w:color w:val="auto"/>
          <w:highlight w:val="none"/>
        </w:rPr>
        <w:t xml:space="preserve">25. </w:t>
      </w:r>
      <w:r>
        <w:rPr>
          <w:rFonts w:hint="eastAsia" w:ascii="仿宋" w:hAnsi="仿宋" w:eastAsia="仿宋" w:cs="仿宋_GB2312"/>
          <w:b/>
          <w:color w:val="auto"/>
          <w:highlight w:val="none"/>
        </w:rPr>
        <w:t>合同的签订</w:t>
      </w:r>
    </w:p>
    <w:p>
      <w:pPr>
        <w:widowControl/>
        <w:shd w:val="clear" w:color="auto" w:fill="FFFFFF"/>
        <w:snapToGrid w:val="0"/>
        <w:spacing w:line="360" w:lineRule="auto"/>
        <w:ind w:firstLine="480" w:firstLineChars="200"/>
        <w:rPr>
          <w:rFonts w:ascii="仿宋" w:hAnsi="仿宋" w:eastAsia="仿宋" w:cs="Arial"/>
          <w:color w:val="auto"/>
          <w:kern w:val="0"/>
          <w:sz w:val="24"/>
          <w:highlight w:val="none"/>
        </w:rPr>
      </w:pPr>
      <w:r>
        <w:rPr>
          <w:rFonts w:ascii="仿宋" w:hAnsi="仿宋" w:eastAsia="仿宋" w:cs="仿宋_GB2312"/>
          <w:color w:val="auto"/>
          <w:sz w:val="24"/>
          <w:highlight w:val="none"/>
        </w:rPr>
        <w:t>25.1</w:t>
      </w:r>
      <w:r>
        <w:rPr>
          <w:rFonts w:ascii="仿宋" w:hAnsi="仿宋" w:eastAsia="仿宋" w:cs="Arial"/>
          <w:color w:val="auto"/>
          <w:kern w:val="0"/>
          <w:sz w:val="24"/>
          <w:highlight w:val="none"/>
        </w:rPr>
        <w:t xml:space="preserve"> 采购人与中标人应当通过电子交易平台在中标通知书发出之日起</w:t>
      </w:r>
      <w:r>
        <w:rPr>
          <w:rFonts w:hint="eastAsia" w:ascii="仿宋" w:hAnsi="仿宋" w:eastAsia="仿宋" w:cs="Arial"/>
          <w:color w:val="auto"/>
          <w:kern w:val="0"/>
          <w:sz w:val="24"/>
          <w:highlight w:val="none"/>
          <w:lang w:val="en-US" w:eastAsia="zh-CN"/>
        </w:rPr>
        <w:t>十个工作</w:t>
      </w:r>
      <w:r>
        <w:rPr>
          <w:rFonts w:ascii="仿宋" w:hAnsi="仿宋" w:eastAsia="仿宋" w:cs="Arial"/>
          <w:color w:val="auto"/>
          <w:kern w:val="0"/>
          <w:sz w:val="24"/>
          <w:highlight w:val="none"/>
        </w:rPr>
        <w:t>日内，按照采购文件确定的事项签订政府采购合同，并在</w:t>
      </w:r>
      <w:r>
        <w:rPr>
          <w:rFonts w:hint="eastAsia" w:ascii="仿宋" w:hAnsi="仿宋" w:eastAsia="仿宋" w:cs="Arial"/>
          <w:color w:val="auto"/>
          <w:kern w:val="0"/>
          <w:sz w:val="24"/>
          <w:highlight w:val="none"/>
        </w:rPr>
        <w:t>合同签订之日起2个工作日</w:t>
      </w:r>
      <w:r>
        <w:rPr>
          <w:rFonts w:ascii="仿宋" w:hAnsi="仿宋" w:eastAsia="仿宋" w:cs="Arial"/>
          <w:color w:val="auto"/>
          <w:kern w:val="0"/>
          <w:sz w:val="24"/>
          <w:highlight w:val="none"/>
        </w:rPr>
        <w:t>内依法发布合同公告。</w:t>
      </w:r>
    </w:p>
    <w:p>
      <w:pPr>
        <w:pStyle w:val="111"/>
        <w:snapToGrid w:val="0"/>
        <w:spacing w:before="0"/>
        <w:ind w:firstLine="480"/>
        <w:rPr>
          <w:rFonts w:ascii="仿宋" w:hAnsi="仿宋" w:eastAsia="仿宋"/>
          <w:color w:val="auto"/>
          <w:kern w:val="0"/>
          <w:highlight w:val="none"/>
        </w:rPr>
      </w:pPr>
      <w:r>
        <w:rPr>
          <w:rFonts w:ascii="仿宋" w:hAnsi="仿宋" w:eastAsia="仿宋" w:cs="仿宋_GB2312"/>
          <w:color w:val="auto"/>
          <w:kern w:val="0"/>
          <w:highlight w:val="none"/>
          <w:lang w:val="zh-CN"/>
        </w:rPr>
        <w:t>25.2</w:t>
      </w:r>
      <w:r>
        <w:rPr>
          <w:rFonts w:hint="eastAsia" w:ascii="仿宋" w:hAnsi="仿宋" w:eastAsia="仿宋"/>
          <w:color w:val="auto"/>
          <w:kern w:val="0"/>
          <w:highlight w:val="none"/>
          <w:lang w:val="zh-CN"/>
        </w:rPr>
        <w:t>中标人按规定的日期、时间、地点，由法定代表人或其授权代表与采购人代表签订合同。如中标人为联合体的，由联合体成员各方法定代表人或其授权代表与采购人代表签订合同。</w:t>
      </w:r>
    </w:p>
    <w:p>
      <w:pPr>
        <w:pStyle w:val="111"/>
        <w:snapToGrid w:val="0"/>
        <w:spacing w:before="0"/>
        <w:ind w:firstLine="480"/>
        <w:rPr>
          <w:rFonts w:ascii="仿宋" w:hAnsi="仿宋" w:eastAsia="仿宋" w:cs="仿宋_GB2312"/>
          <w:color w:val="auto"/>
          <w:kern w:val="0"/>
          <w:highlight w:val="none"/>
          <w:lang w:val="zh-CN"/>
        </w:rPr>
      </w:pPr>
      <w:r>
        <w:rPr>
          <w:rFonts w:ascii="仿宋" w:hAnsi="仿宋" w:eastAsia="仿宋" w:cs="仿宋_GB2312"/>
          <w:color w:val="auto"/>
          <w:kern w:val="0"/>
          <w:highlight w:val="none"/>
          <w:lang w:val="zh-CN"/>
        </w:rPr>
        <w:t>25.3如签订合同并生效后，供应商无故拒绝或延期，除按照合同条款处理外，列入不良行为记录一次，并给予通报。</w:t>
      </w:r>
    </w:p>
    <w:p>
      <w:pPr>
        <w:pStyle w:val="111"/>
        <w:snapToGrid w:val="0"/>
        <w:spacing w:before="0"/>
        <w:ind w:firstLine="480"/>
        <w:rPr>
          <w:rFonts w:ascii="仿宋" w:hAnsi="仿宋" w:eastAsia="仿宋" w:cs="仿宋_GB2312"/>
          <w:color w:val="auto"/>
          <w:kern w:val="0"/>
          <w:highlight w:val="none"/>
          <w:lang w:val="zh-CN"/>
        </w:rPr>
      </w:pPr>
      <w:r>
        <w:rPr>
          <w:rFonts w:ascii="仿宋" w:hAnsi="仿宋" w:eastAsia="仿宋" w:cs="仿宋_GB2312"/>
          <w:color w:val="auto"/>
          <w:kern w:val="0"/>
          <w:highlight w:val="none"/>
          <w:lang w:val="zh-CN"/>
        </w:rPr>
        <w:t>25.4中标供应</w:t>
      </w:r>
      <w:r>
        <w:rPr>
          <w:rFonts w:hint="eastAsia" w:ascii="仿宋" w:hAnsi="仿宋" w:eastAsia="仿宋" w:cs="仿宋_GB2312"/>
          <w:color w:val="auto"/>
          <w:kern w:val="0"/>
          <w:highlight w:val="none"/>
          <w:lang w:val="zh-CN"/>
        </w:rPr>
        <w:t>商拒绝与采购人签订合同的，采购人可以按照评审报告推荐的中标或者成交候选人名单排序，确定下一候选人为中标供应商，也可以重新开展政府采购活动。</w:t>
      </w:r>
    </w:p>
    <w:p>
      <w:pPr>
        <w:pStyle w:val="111"/>
        <w:snapToGrid w:val="0"/>
        <w:spacing w:before="0"/>
        <w:ind w:firstLine="480"/>
        <w:rPr>
          <w:rFonts w:ascii="仿宋" w:hAnsi="仿宋" w:eastAsia="仿宋" w:cs="仿宋_GB2312"/>
          <w:color w:val="auto"/>
          <w:kern w:val="0"/>
          <w:highlight w:val="none"/>
          <w:lang w:val="zh-CN"/>
        </w:rPr>
      </w:pPr>
      <w:r>
        <w:rPr>
          <w:rFonts w:ascii="仿宋" w:hAnsi="仿宋" w:eastAsia="仿宋" w:cs="仿宋_GB2312"/>
          <w:color w:val="auto"/>
          <w:kern w:val="0"/>
          <w:highlight w:val="none"/>
          <w:lang w:val="zh-CN"/>
        </w:rPr>
        <w:t>25.5采购合同由采购人与中标供应商根据</w:t>
      </w:r>
      <w:r>
        <w:rPr>
          <w:rFonts w:hint="eastAsia" w:ascii="仿宋" w:hAnsi="仿宋" w:eastAsia="仿宋" w:cs="仿宋_GB2312"/>
          <w:color w:val="auto"/>
          <w:kern w:val="0"/>
          <w:highlight w:val="none"/>
          <w:lang w:val="zh-CN"/>
        </w:rPr>
        <w:t>采购文件、投标文件等内容通过政府采购电子交易平台在线签订，自动备案。</w:t>
      </w:r>
    </w:p>
    <w:p>
      <w:pPr>
        <w:pStyle w:val="36"/>
        <w:snapToGrid w:val="0"/>
        <w:spacing w:line="360" w:lineRule="auto"/>
        <w:ind w:left="479" w:firstLine="482"/>
        <w:rPr>
          <w:rFonts w:ascii="仿宋" w:hAnsi="仿宋" w:eastAsia="仿宋" w:cs="仿宋_GB2312"/>
          <w:b/>
          <w:color w:val="auto"/>
          <w:highlight w:val="none"/>
        </w:rPr>
      </w:pPr>
    </w:p>
    <w:p>
      <w:pPr>
        <w:pStyle w:val="36"/>
        <w:snapToGrid w:val="0"/>
        <w:spacing w:line="360" w:lineRule="auto"/>
        <w:ind w:firstLine="0" w:firstLineChars="0"/>
        <w:rPr>
          <w:rFonts w:ascii="仿宋" w:hAnsi="仿宋" w:eastAsia="仿宋" w:cs="仿宋_GB2312"/>
          <w:b/>
          <w:color w:val="auto"/>
          <w:highlight w:val="none"/>
        </w:rPr>
      </w:pPr>
      <w:r>
        <w:rPr>
          <w:rFonts w:ascii="仿宋" w:hAnsi="仿宋" w:eastAsia="仿宋" w:cs="仿宋_GB2312"/>
          <w:b/>
          <w:color w:val="auto"/>
          <w:highlight w:val="none"/>
        </w:rPr>
        <w:t xml:space="preserve">26. </w:t>
      </w:r>
      <w:r>
        <w:rPr>
          <w:rFonts w:hint="eastAsia" w:ascii="仿宋" w:hAnsi="仿宋" w:eastAsia="仿宋" w:cs="仿宋_GB2312"/>
          <w:b/>
          <w:color w:val="auto"/>
          <w:highlight w:val="none"/>
        </w:rPr>
        <w:t>履约保证金</w:t>
      </w:r>
    </w:p>
    <w:p>
      <w:pPr>
        <w:tabs>
          <w:tab w:val="left" w:pos="0"/>
        </w:tabs>
        <w:spacing w:line="360" w:lineRule="auto"/>
        <w:ind w:firstLine="480" w:firstLineChars="200"/>
        <w:rPr>
          <w:rFonts w:ascii="仿宋" w:hAnsi="仿宋" w:eastAsia="仿宋"/>
          <w:b/>
          <w:color w:val="auto"/>
          <w:sz w:val="24"/>
          <w:highlight w:val="none"/>
        </w:rPr>
      </w:pPr>
      <w:r>
        <w:rPr>
          <w:rFonts w:hint="eastAsia" w:ascii="仿宋" w:hAnsi="仿宋" w:eastAsia="仿宋" w:cs="Helvetica"/>
          <w:color w:val="auto"/>
          <w:kern w:val="0"/>
          <w:sz w:val="24"/>
          <w:highlight w:val="none"/>
        </w:rPr>
        <w:t>拟签订的合同文本要求中标供应商提交履约保证金的，供应商应当以支票、汇票、本票或者金融机构、担保机构出具的保函等非现金形式提交</w:t>
      </w:r>
      <w:r>
        <w:rPr>
          <w:rFonts w:hint="eastAsia" w:ascii="仿宋" w:hAnsi="仿宋" w:eastAsia="仿宋"/>
          <w:color w:val="auto"/>
          <w:sz w:val="24"/>
          <w:highlight w:val="none"/>
        </w:rPr>
        <w:t>。履约保证金的数额不得超过政府采购合同金额的1.0</w:t>
      </w:r>
      <w:r>
        <w:rPr>
          <w:rFonts w:ascii="仿宋" w:hAnsi="仿宋" w:eastAsia="仿宋"/>
          <w:color w:val="auto"/>
          <w:sz w:val="24"/>
          <w:highlight w:val="none"/>
        </w:rPr>
        <w:t>%。</w:t>
      </w:r>
      <w:r>
        <w:rPr>
          <w:rFonts w:hint="eastAsia" w:ascii="仿宋" w:hAnsi="仿宋" w:eastAsia="仿宋"/>
          <w:color w:val="auto"/>
          <w:sz w:val="24"/>
          <w:highlight w:val="none"/>
        </w:rPr>
        <w:t>鼓励和支持供应商以银行、保险公司出具的保函形式提供履约保证金。</w:t>
      </w:r>
    </w:p>
    <w:p>
      <w:pPr>
        <w:tabs>
          <w:tab w:val="left" w:pos="0"/>
        </w:tabs>
        <w:spacing w:line="360" w:lineRule="auto"/>
        <w:rPr>
          <w:rFonts w:ascii="仿宋" w:hAnsi="仿宋" w:eastAsia="仿宋" w:cs="仿宋_GB2312"/>
          <w:color w:val="auto"/>
          <w:sz w:val="24"/>
          <w:szCs w:val="20"/>
          <w:highlight w:val="none"/>
        </w:rPr>
      </w:pPr>
      <w:r>
        <w:rPr>
          <w:rFonts w:hint="eastAsia" w:ascii="仿宋" w:hAnsi="仿宋" w:eastAsia="仿宋" w:cs="仿宋_GB2312"/>
          <w:color w:val="auto"/>
          <w:sz w:val="24"/>
          <w:szCs w:val="20"/>
          <w:highlight w:val="none"/>
        </w:rPr>
        <w:tab/>
      </w:r>
      <w:r>
        <w:rPr>
          <w:rFonts w:hint="eastAsia" w:ascii="仿宋" w:hAnsi="仿宋" w:eastAsia="仿宋" w:cs="仿宋_GB2312"/>
          <w:color w:val="auto"/>
          <w:sz w:val="24"/>
          <w:szCs w:val="20"/>
          <w:highlight w:val="none"/>
        </w:rPr>
        <w:t>供应商可登录政采云平台-【金融服务】—【我的项目】—【已备案合同】以保函形式提供：</w:t>
      </w:r>
    </w:p>
    <w:p>
      <w:pPr>
        <w:numPr>
          <w:ilvl w:val="0"/>
          <w:numId w:val="16"/>
        </w:numPr>
        <w:tabs>
          <w:tab w:val="left" w:pos="0"/>
        </w:tabs>
        <w:spacing w:line="360" w:lineRule="auto"/>
        <w:rPr>
          <w:rFonts w:ascii="仿宋" w:hAnsi="仿宋" w:eastAsia="仿宋" w:cs="仿宋_GB2312"/>
          <w:color w:val="auto"/>
          <w:sz w:val="24"/>
          <w:szCs w:val="20"/>
          <w:highlight w:val="none"/>
        </w:rPr>
      </w:pPr>
      <w:r>
        <w:rPr>
          <w:rFonts w:hint="eastAsia" w:ascii="仿宋" w:hAnsi="仿宋" w:eastAsia="仿宋" w:cs="仿宋_GB2312"/>
          <w:color w:val="auto"/>
          <w:sz w:val="24"/>
          <w:szCs w:val="20"/>
          <w:highlight w:val="none"/>
        </w:rPr>
        <w:t>供应商在合同列表选择需要投保的合同，点击[保函推荐]。</w:t>
      </w:r>
    </w:p>
    <w:p>
      <w:pPr>
        <w:numPr>
          <w:ilvl w:val="0"/>
          <w:numId w:val="16"/>
        </w:numPr>
        <w:tabs>
          <w:tab w:val="left" w:pos="0"/>
        </w:tabs>
        <w:spacing w:line="360" w:lineRule="auto"/>
        <w:ind w:left="0" w:firstLine="420" w:firstLineChars="175"/>
        <w:jc w:val="left"/>
        <w:rPr>
          <w:rFonts w:ascii="仿宋" w:hAnsi="仿宋" w:eastAsia="仿宋" w:cs="仿宋_GB2312"/>
          <w:color w:val="auto"/>
          <w:sz w:val="24"/>
          <w:szCs w:val="20"/>
          <w:highlight w:val="none"/>
        </w:rPr>
      </w:pPr>
      <w:r>
        <w:rPr>
          <w:rFonts w:hint="eastAsia" w:ascii="仿宋" w:hAnsi="仿宋" w:eastAsia="仿宋" w:cs="仿宋_GB2312"/>
          <w:color w:val="auto"/>
          <w:sz w:val="24"/>
          <w:szCs w:val="20"/>
          <w:highlight w:val="none"/>
        </w:rPr>
        <w:t>在弹框里查看推荐的保函产品，供应商自行选择保函产品，点击[立即申请]。</w:t>
      </w:r>
    </w:p>
    <w:p>
      <w:pPr>
        <w:numPr>
          <w:ilvl w:val="0"/>
          <w:numId w:val="16"/>
        </w:numPr>
        <w:tabs>
          <w:tab w:val="left" w:pos="0"/>
        </w:tabs>
        <w:spacing w:line="360" w:lineRule="auto"/>
        <w:ind w:left="0" w:firstLine="420" w:firstLineChars="175"/>
        <w:jc w:val="left"/>
        <w:rPr>
          <w:rFonts w:ascii="仿宋" w:hAnsi="仿宋" w:eastAsia="仿宋" w:cs="仿宋_GB2312"/>
          <w:color w:val="auto"/>
          <w:sz w:val="24"/>
          <w:szCs w:val="20"/>
          <w:highlight w:val="none"/>
        </w:rPr>
      </w:pPr>
      <w:r>
        <w:rPr>
          <w:rFonts w:hint="eastAsia" w:ascii="仿宋" w:hAnsi="仿宋" w:eastAsia="仿宋" w:cs="仿宋_GB2312"/>
          <w:color w:val="auto"/>
          <w:sz w:val="24"/>
          <w:szCs w:val="20"/>
          <w:highlight w:val="none"/>
        </w:rPr>
        <w:t>在弹框里填写保函申请信息。具体步骤：选择产品—填写供应商信息—选择中标项目—确认信息—等待保险/保函受理—确认保单—支付保费—成功出单。政采云金融专线400-903-9583。</w:t>
      </w:r>
    </w:p>
    <w:p>
      <w:pPr>
        <w:pStyle w:val="5"/>
        <w:jc w:val="both"/>
        <w:rPr>
          <w:rFonts w:hint="eastAsia" w:ascii="仿宋" w:hAnsi="仿宋" w:eastAsia="仿宋" w:cs="Times New Roman"/>
          <w:b/>
          <w:bCs/>
          <w:color w:val="auto"/>
          <w:kern w:val="44"/>
          <w:sz w:val="28"/>
          <w:szCs w:val="32"/>
          <w:highlight w:val="none"/>
          <w:lang w:val="zh-CN" w:eastAsia="zh-CN" w:bidi="ar-SA"/>
        </w:rPr>
      </w:pPr>
      <w:bookmarkStart w:id="156" w:name="_Toc17103"/>
      <w:bookmarkStart w:id="157" w:name="_Toc95312962"/>
      <w:bookmarkStart w:id="158" w:name="_Toc842681191"/>
      <w:bookmarkStart w:id="159" w:name="_Toc21125"/>
      <w:bookmarkStart w:id="160" w:name="_Toc17059"/>
      <w:bookmarkStart w:id="161" w:name="_Toc21878"/>
    </w:p>
    <w:p>
      <w:pPr>
        <w:pStyle w:val="5"/>
        <w:jc w:val="center"/>
        <w:rPr>
          <w:rFonts w:hint="eastAsia" w:ascii="仿宋" w:hAnsi="仿宋" w:eastAsia="仿宋" w:cs="Times New Roman"/>
          <w:b/>
          <w:bCs/>
          <w:color w:val="auto"/>
          <w:kern w:val="44"/>
          <w:sz w:val="28"/>
          <w:szCs w:val="32"/>
          <w:highlight w:val="none"/>
          <w:lang w:val="zh-CN" w:eastAsia="zh-CN" w:bidi="ar-SA"/>
        </w:rPr>
      </w:pPr>
      <w:r>
        <w:rPr>
          <w:rFonts w:hint="eastAsia" w:ascii="仿宋" w:hAnsi="仿宋" w:eastAsia="仿宋" w:cs="Times New Roman"/>
          <w:b/>
          <w:bCs/>
          <w:color w:val="auto"/>
          <w:kern w:val="44"/>
          <w:sz w:val="28"/>
          <w:szCs w:val="32"/>
          <w:highlight w:val="none"/>
          <w:lang w:val="zh-CN" w:eastAsia="zh-CN" w:bidi="ar-SA"/>
        </w:rPr>
        <w:t>八、电子交易活动的中止</w:t>
      </w:r>
      <w:bookmarkEnd w:id="156"/>
      <w:bookmarkEnd w:id="157"/>
      <w:bookmarkEnd w:id="158"/>
      <w:bookmarkEnd w:id="159"/>
      <w:bookmarkEnd w:id="160"/>
      <w:bookmarkEnd w:id="161"/>
    </w:p>
    <w:p>
      <w:pPr>
        <w:pStyle w:val="111"/>
        <w:snapToGrid w:val="0"/>
        <w:spacing w:before="0"/>
        <w:ind w:firstLine="0" w:firstLineChars="0"/>
        <w:rPr>
          <w:rFonts w:ascii="仿宋" w:hAnsi="仿宋" w:eastAsia="仿宋" w:cs="仿宋_GB2312"/>
          <w:b/>
          <w:color w:val="auto"/>
          <w:szCs w:val="24"/>
          <w:highlight w:val="none"/>
        </w:rPr>
      </w:pPr>
      <w:r>
        <w:rPr>
          <w:rFonts w:ascii="仿宋" w:hAnsi="仿宋" w:eastAsia="仿宋" w:cs="仿宋_GB2312"/>
          <w:color w:val="auto"/>
          <w:highlight w:val="none"/>
        </w:rPr>
        <w:t>2</w:t>
      </w:r>
      <w:r>
        <w:rPr>
          <w:rFonts w:ascii="仿宋" w:hAnsi="仿宋" w:eastAsia="仿宋" w:cs="仿宋_GB2312"/>
          <w:b/>
          <w:color w:val="auto"/>
          <w:szCs w:val="24"/>
          <w:highlight w:val="none"/>
        </w:rPr>
        <w:t xml:space="preserve">7. </w:t>
      </w:r>
      <w:r>
        <w:rPr>
          <w:rFonts w:hint="eastAsia" w:ascii="仿宋" w:hAnsi="仿宋" w:eastAsia="仿宋" w:cs="仿宋_GB2312"/>
          <w:b/>
          <w:color w:val="auto"/>
          <w:szCs w:val="24"/>
          <w:highlight w:val="none"/>
        </w:rPr>
        <w:t>电子交易活动的中止。</w:t>
      </w:r>
    </w:p>
    <w:p>
      <w:pPr>
        <w:pStyle w:val="111"/>
        <w:snapToGrid w:val="0"/>
        <w:spacing w:before="0"/>
        <w:ind w:firstLine="480"/>
        <w:rPr>
          <w:rFonts w:ascii="仿宋" w:hAnsi="仿宋" w:eastAsia="仿宋" w:cs="仿宋_GB2312"/>
          <w:color w:val="auto"/>
          <w:highlight w:val="none"/>
        </w:rPr>
      </w:pPr>
      <w:r>
        <w:rPr>
          <w:rFonts w:hint="eastAsia" w:ascii="仿宋" w:hAnsi="仿宋" w:eastAsia="仿宋" w:cs="仿宋_GB2312"/>
          <w:color w:val="auto"/>
          <w:highlight w:val="none"/>
        </w:rPr>
        <w:t>采购过程中出现以下情形，导致电子交易平台无法正常运行，或者无法保证电子交易的公平、公正和安全时，采购代理机构可中止电子交易活动：</w:t>
      </w:r>
    </w:p>
    <w:p>
      <w:pPr>
        <w:pStyle w:val="111"/>
        <w:snapToGrid w:val="0"/>
        <w:spacing w:before="0"/>
        <w:ind w:firstLine="480"/>
        <w:rPr>
          <w:rFonts w:ascii="仿宋" w:hAnsi="仿宋" w:eastAsia="仿宋" w:cs="仿宋_GB2312"/>
          <w:color w:val="auto"/>
          <w:highlight w:val="none"/>
        </w:rPr>
      </w:pPr>
      <w:r>
        <w:rPr>
          <w:rFonts w:hint="eastAsia" w:ascii="仿宋" w:hAnsi="仿宋" w:eastAsia="仿宋" w:cs="仿宋_GB2312"/>
          <w:color w:val="auto"/>
          <w:highlight w:val="none"/>
        </w:rPr>
        <w:t xml:space="preserve">27.1电子交易平台发生故障而无法登录访问的； </w:t>
      </w:r>
    </w:p>
    <w:p>
      <w:pPr>
        <w:pStyle w:val="111"/>
        <w:snapToGrid w:val="0"/>
        <w:spacing w:before="0"/>
        <w:ind w:firstLine="480"/>
        <w:rPr>
          <w:rFonts w:ascii="仿宋" w:hAnsi="仿宋" w:eastAsia="仿宋" w:cs="仿宋_GB2312"/>
          <w:color w:val="auto"/>
          <w:highlight w:val="none"/>
        </w:rPr>
      </w:pPr>
      <w:r>
        <w:rPr>
          <w:rFonts w:hint="eastAsia" w:ascii="仿宋" w:hAnsi="仿宋" w:eastAsia="仿宋" w:cs="仿宋_GB2312"/>
          <w:color w:val="auto"/>
          <w:highlight w:val="none"/>
        </w:rPr>
        <w:t>27.2电子交易平台应用或数据库出现错误，不能进行正常操作的；</w:t>
      </w:r>
    </w:p>
    <w:p>
      <w:pPr>
        <w:pStyle w:val="111"/>
        <w:snapToGrid w:val="0"/>
        <w:spacing w:before="0"/>
        <w:ind w:firstLine="480"/>
        <w:rPr>
          <w:rFonts w:ascii="仿宋" w:hAnsi="仿宋" w:eastAsia="仿宋" w:cs="仿宋_GB2312"/>
          <w:color w:val="auto"/>
          <w:highlight w:val="none"/>
        </w:rPr>
      </w:pPr>
      <w:r>
        <w:rPr>
          <w:rFonts w:hint="eastAsia" w:ascii="仿宋" w:hAnsi="仿宋" w:eastAsia="仿宋" w:cs="仿宋_GB2312"/>
          <w:color w:val="auto"/>
          <w:highlight w:val="none"/>
        </w:rPr>
        <w:t>27.3电子交易平台发现严重安全漏洞，有潜在泄密危险的；</w:t>
      </w:r>
    </w:p>
    <w:p>
      <w:pPr>
        <w:pStyle w:val="111"/>
        <w:snapToGrid w:val="0"/>
        <w:spacing w:before="0"/>
        <w:ind w:firstLine="480"/>
        <w:rPr>
          <w:rFonts w:ascii="仿宋" w:hAnsi="仿宋" w:eastAsia="仿宋" w:cs="仿宋_GB2312"/>
          <w:color w:val="auto"/>
          <w:highlight w:val="none"/>
        </w:rPr>
      </w:pPr>
      <w:r>
        <w:rPr>
          <w:rFonts w:hint="eastAsia" w:ascii="仿宋" w:hAnsi="仿宋" w:eastAsia="仿宋" w:cs="仿宋_GB2312"/>
          <w:color w:val="auto"/>
          <w:highlight w:val="none"/>
        </w:rPr>
        <w:t xml:space="preserve">27.4病毒发作导致不能进行正常操作的； </w:t>
      </w:r>
    </w:p>
    <w:p>
      <w:pPr>
        <w:pStyle w:val="111"/>
        <w:snapToGrid w:val="0"/>
        <w:spacing w:before="0"/>
        <w:ind w:firstLine="480"/>
        <w:rPr>
          <w:rFonts w:ascii="仿宋" w:hAnsi="仿宋" w:eastAsia="仿宋" w:cs="仿宋_GB2312"/>
          <w:color w:val="auto"/>
          <w:highlight w:val="none"/>
        </w:rPr>
      </w:pPr>
      <w:r>
        <w:rPr>
          <w:rFonts w:hint="eastAsia" w:ascii="仿宋" w:hAnsi="仿宋" w:eastAsia="仿宋" w:cs="仿宋_GB2312"/>
          <w:color w:val="auto"/>
          <w:highlight w:val="none"/>
        </w:rPr>
        <w:t>27.5其他无法保证电子交易的公平、公正和安全的情况。</w:t>
      </w:r>
    </w:p>
    <w:p>
      <w:pPr>
        <w:pStyle w:val="111"/>
        <w:snapToGrid w:val="0"/>
        <w:spacing w:before="0"/>
        <w:ind w:firstLine="482"/>
        <w:rPr>
          <w:rFonts w:ascii="仿宋" w:hAnsi="仿宋" w:eastAsia="仿宋" w:cs="仿宋_GB2312"/>
          <w:b/>
          <w:color w:val="auto"/>
          <w:sz w:val="36"/>
          <w:szCs w:val="36"/>
          <w:highlight w:val="none"/>
        </w:rPr>
      </w:pPr>
      <w:r>
        <w:rPr>
          <w:rFonts w:ascii="仿宋" w:hAnsi="仿宋" w:eastAsia="仿宋" w:cs="仿宋_GB2312"/>
          <w:b/>
          <w:bCs/>
          <w:color w:val="auto"/>
          <w:highlight w:val="none"/>
        </w:rPr>
        <w:t>28.出现以上情形，不影响采购公平、公正性的，采购组织机构可以待上述情形消除后继续组织电子交易活动，也可以决定某些环节以纸质形式进行；影响或可能影响采购公平、公正性的，应当重新采购。</w:t>
      </w:r>
      <w:bookmarkEnd w:id="38"/>
      <w:bookmarkEnd w:id="39"/>
      <w:bookmarkEnd w:id="143"/>
      <w:bookmarkStart w:id="162" w:name="_Toc15967"/>
      <w:bookmarkStart w:id="163" w:name="_Toc95312963"/>
      <w:bookmarkStart w:id="164" w:name="_Toc26111"/>
      <w:bookmarkStart w:id="165" w:name="第四部分"/>
      <w:r>
        <w:rPr>
          <w:rFonts w:hint="eastAsia" w:ascii="仿宋" w:hAnsi="仿宋" w:eastAsia="仿宋" w:cs="仿宋_GB2312"/>
          <w:b/>
          <w:color w:val="auto"/>
          <w:sz w:val="36"/>
          <w:szCs w:val="36"/>
          <w:highlight w:val="none"/>
        </w:rPr>
        <w:br w:type="page"/>
      </w:r>
    </w:p>
    <w:p>
      <w:pPr>
        <w:pStyle w:val="4"/>
        <w:jc w:val="center"/>
        <w:rPr>
          <w:rFonts w:ascii="仿宋" w:hAnsi="仿宋" w:eastAsia="仿宋"/>
          <w:color w:val="auto"/>
          <w:highlight w:val="none"/>
        </w:rPr>
        <w:sectPr>
          <w:pgSz w:w="11906" w:h="16838"/>
          <w:pgMar w:top="1440" w:right="1797" w:bottom="1440" w:left="1797" w:header="851" w:footer="992" w:gutter="0"/>
          <w:cols w:space="720" w:num="1"/>
          <w:docGrid w:linePitch="312" w:charSpace="0"/>
        </w:sectPr>
      </w:pPr>
      <w:bookmarkStart w:id="166" w:name="_Toc727"/>
      <w:bookmarkStart w:id="167" w:name="_Toc288125172"/>
      <w:bookmarkStart w:id="168" w:name="_Toc24825"/>
    </w:p>
    <w:p>
      <w:pPr>
        <w:pStyle w:val="4"/>
        <w:jc w:val="center"/>
        <w:rPr>
          <w:rFonts w:ascii="仿宋" w:hAnsi="仿宋" w:eastAsia="仿宋"/>
          <w:color w:val="auto"/>
          <w:highlight w:val="none"/>
        </w:rPr>
      </w:pPr>
      <w:r>
        <w:rPr>
          <w:rFonts w:hint="eastAsia" w:ascii="仿宋" w:hAnsi="仿宋" w:eastAsia="仿宋"/>
          <w:color w:val="auto"/>
          <w:highlight w:val="none"/>
        </w:rPr>
        <w:t>第三部分</w:t>
      </w:r>
      <w:r>
        <w:rPr>
          <w:rFonts w:ascii="仿宋" w:hAnsi="仿宋" w:eastAsia="仿宋"/>
          <w:color w:val="auto"/>
          <w:highlight w:val="none"/>
        </w:rPr>
        <w:t xml:space="preserve"> </w:t>
      </w:r>
      <w:r>
        <w:rPr>
          <w:rFonts w:hint="eastAsia" w:ascii="仿宋" w:hAnsi="仿宋" w:eastAsia="仿宋"/>
          <w:color w:val="auto"/>
          <w:highlight w:val="none"/>
        </w:rPr>
        <w:t>采购需求</w:t>
      </w:r>
      <w:bookmarkEnd w:id="162"/>
      <w:bookmarkEnd w:id="163"/>
      <w:bookmarkEnd w:id="164"/>
      <w:bookmarkEnd w:id="166"/>
      <w:bookmarkEnd w:id="167"/>
      <w:bookmarkEnd w:id="168"/>
    </w:p>
    <w:p>
      <w:pPr>
        <w:spacing w:before="75" w:line="360" w:lineRule="auto"/>
        <w:ind w:left="123"/>
        <w:rPr>
          <w:rFonts w:ascii="仿宋" w:hAnsi="仿宋" w:eastAsia="仿宋" w:cs="仿宋"/>
          <w:color w:val="auto"/>
          <w:sz w:val="24"/>
          <w:highlight w:val="none"/>
        </w:rPr>
      </w:pPr>
      <w:bookmarkStart w:id="169" w:name="_Toc508818254"/>
      <w:bookmarkStart w:id="170" w:name="_Toc5783"/>
      <w:bookmarkStart w:id="171" w:name="_Toc97219781"/>
      <w:bookmarkStart w:id="172" w:name="_Toc13818"/>
      <w:bookmarkStart w:id="173" w:name="_Toc95312971"/>
      <w:bookmarkStart w:id="174" w:name="_Toc20840"/>
      <w:bookmarkStart w:id="175" w:name="_Toc15073"/>
      <w:bookmarkStart w:id="176" w:name="_Toc670907605"/>
      <w:r>
        <w:rPr>
          <w:rFonts w:ascii="仿宋" w:hAnsi="仿宋" w:eastAsia="仿宋" w:cs="仿宋"/>
          <w:color w:val="auto"/>
          <w:spacing w:val="11"/>
          <w:position w:val="2"/>
          <w:sz w:val="24"/>
          <w:highlight w:val="none"/>
          <w14:textOutline w14:w="4356" w14:cap="sq" w14:cmpd="sng" w14:algn="ctr">
            <w14:solidFill>
              <w14:srgbClr w14:val="000000"/>
            </w14:solidFill>
            <w14:prstDash w14:val="solid"/>
            <w14:bevel/>
          </w14:textOutline>
        </w:rPr>
        <w:t>一</w:t>
      </w:r>
      <w:r>
        <w:rPr>
          <w:rFonts w:ascii="仿宋" w:hAnsi="仿宋" w:eastAsia="仿宋" w:cs="仿宋"/>
          <w:color w:val="auto"/>
          <w:spacing w:val="6"/>
          <w:position w:val="2"/>
          <w:sz w:val="24"/>
          <w:highlight w:val="none"/>
          <w14:textOutline w14:w="4356" w14:cap="sq" w14:cmpd="sng" w14:algn="ctr">
            <w14:solidFill>
              <w14:srgbClr w14:val="000000"/>
            </w14:solidFill>
            <w14:prstDash w14:val="solid"/>
            <w14:bevel/>
          </w14:textOutline>
        </w:rPr>
        <w:t>、项目主要概况</w:t>
      </w:r>
    </w:p>
    <w:p>
      <w:pPr>
        <w:spacing w:before="8" w:line="360" w:lineRule="auto"/>
        <w:ind w:firstLine="459"/>
        <w:rPr>
          <w:rFonts w:ascii="仿宋" w:hAnsi="仿宋" w:eastAsia="仿宋" w:cs="仿宋"/>
          <w:color w:val="auto"/>
          <w:sz w:val="24"/>
          <w:highlight w:val="none"/>
        </w:rPr>
      </w:pPr>
      <w:r>
        <w:rPr>
          <w:rFonts w:hint="eastAsia" w:ascii="仿宋" w:hAnsi="仿宋" w:eastAsia="仿宋" w:cs="仿宋"/>
          <w:color w:val="auto"/>
          <w:spacing w:val="5"/>
          <w:sz w:val="24"/>
          <w:highlight w:val="none"/>
        </w:rPr>
        <w:t>本项目为俞樾纪念馆的布展项目，讲述俞樾的临平故事，借助俞樾的视角再现旧时大临平的历史、人文、民俗、美食、美景等社会面，让游客认识俞樾、了解大临平当时的社会情况。</w:t>
      </w:r>
      <w:r>
        <w:rPr>
          <w:rFonts w:ascii="仿宋" w:hAnsi="仿宋" w:eastAsia="仿宋" w:cs="仿宋"/>
          <w:color w:val="auto"/>
          <w:spacing w:val="2"/>
          <w:sz w:val="24"/>
          <w:highlight w:val="none"/>
        </w:rPr>
        <w:t>供应商需完成</w:t>
      </w:r>
      <w:r>
        <w:rPr>
          <w:rFonts w:hint="eastAsia" w:ascii="仿宋" w:hAnsi="仿宋" w:eastAsia="仿宋" w:cs="仿宋"/>
          <w:color w:val="auto"/>
          <w:spacing w:val="8"/>
          <w:sz w:val="24"/>
          <w:highlight w:val="none"/>
        </w:rPr>
        <w:t>展陈布展大纲内容设计策划、展陈方案设计、</w:t>
      </w:r>
      <w:r>
        <w:rPr>
          <w:rFonts w:ascii="仿宋" w:hAnsi="仿宋" w:eastAsia="仿宋" w:cs="仿宋"/>
          <w:color w:val="auto"/>
          <w:spacing w:val="2"/>
          <w:sz w:val="24"/>
          <w:highlight w:val="none"/>
        </w:rPr>
        <w:t>深化设计、展厅</w:t>
      </w:r>
      <w:r>
        <w:rPr>
          <w:rFonts w:ascii="仿宋" w:hAnsi="仿宋" w:eastAsia="仿宋" w:cs="仿宋"/>
          <w:color w:val="auto"/>
          <w:spacing w:val="8"/>
          <w:sz w:val="24"/>
          <w:highlight w:val="none"/>
        </w:rPr>
        <w:t>布展</w:t>
      </w:r>
      <w:r>
        <w:rPr>
          <w:rFonts w:hint="eastAsia" w:ascii="仿宋" w:hAnsi="仿宋" w:eastAsia="仿宋" w:cs="仿宋"/>
          <w:color w:val="auto"/>
          <w:spacing w:val="8"/>
          <w:sz w:val="24"/>
          <w:highlight w:val="none"/>
        </w:rPr>
        <w:t>、</w:t>
      </w:r>
      <w:r>
        <w:rPr>
          <w:rFonts w:hint="eastAsia" w:ascii="仿宋" w:hAnsi="仿宋" w:eastAsia="仿宋" w:cs="仿宋"/>
          <w:color w:val="auto"/>
          <w:spacing w:val="9"/>
          <w:sz w:val="24"/>
          <w:highlight w:val="none"/>
        </w:rPr>
        <w:t>大门改造、门厅、走廊景观及户外附属用房局部改造设计制作</w:t>
      </w:r>
      <w:r>
        <w:rPr>
          <w:rFonts w:hint="eastAsia" w:ascii="仿宋" w:hAnsi="仿宋" w:eastAsia="仿宋" w:cs="仿宋"/>
          <w:color w:val="auto"/>
          <w:spacing w:val="8"/>
          <w:sz w:val="24"/>
          <w:highlight w:val="none"/>
        </w:rPr>
        <w:t>等</w:t>
      </w:r>
      <w:r>
        <w:rPr>
          <w:rFonts w:ascii="仿宋" w:hAnsi="仿宋" w:eastAsia="仿宋" w:cs="仿宋"/>
          <w:color w:val="auto"/>
          <w:spacing w:val="8"/>
          <w:sz w:val="24"/>
          <w:highlight w:val="none"/>
        </w:rPr>
        <w:t>服务。其中深化设计要求供应商充分解读展陈文案和初步方案设计，就</w:t>
      </w:r>
      <w:r>
        <w:rPr>
          <w:rFonts w:ascii="仿宋" w:hAnsi="仿宋" w:eastAsia="仿宋" w:cs="仿宋"/>
          <w:color w:val="auto"/>
          <w:spacing w:val="16"/>
          <w:sz w:val="24"/>
          <w:highlight w:val="none"/>
        </w:rPr>
        <w:t>展</w:t>
      </w:r>
      <w:r>
        <w:rPr>
          <w:rFonts w:ascii="仿宋" w:hAnsi="仿宋" w:eastAsia="仿宋" w:cs="仿宋"/>
          <w:color w:val="auto"/>
          <w:spacing w:val="12"/>
          <w:sz w:val="24"/>
          <w:highlight w:val="none"/>
        </w:rPr>
        <w:t>柜</w:t>
      </w:r>
      <w:r>
        <w:rPr>
          <w:rFonts w:hint="eastAsia" w:ascii="仿宋" w:hAnsi="仿宋" w:eastAsia="仿宋" w:cs="仿宋"/>
          <w:color w:val="auto"/>
          <w:spacing w:val="12"/>
          <w:sz w:val="24"/>
          <w:highlight w:val="none"/>
        </w:rPr>
        <w:t>展项、多媒体、雕塑</w:t>
      </w:r>
      <w:r>
        <w:rPr>
          <w:rFonts w:ascii="仿宋" w:hAnsi="仿宋" w:eastAsia="仿宋" w:cs="仿宋"/>
          <w:color w:val="auto"/>
          <w:spacing w:val="8"/>
          <w:sz w:val="24"/>
          <w:highlight w:val="none"/>
        </w:rPr>
        <w:t>、展板样式等内容进行设计深化和图纸绘制；布展服务包含但不限于各类展陈材料设备制作安</w:t>
      </w:r>
      <w:r>
        <w:rPr>
          <w:rFonts w:ascii="仿宋" w:hAnsi="仿宋" w:eastAsia="仿宋" w:cs="仿宋"/>
          <w:color w:val="auto"/>
          <w:spacing w:val="2"/>
          <w:sz w:val="24"/>
          <w:highlight w:val="none"/>
        </w:rPr>
        <w:t>装 (如展柜、展墙、展</w:t>
      </w:r>
      <w:r>
        <w:rPr>
          <w:rFonts w:ascii="仿宋" w:hAnsi="仿宋" w:eastAsia="仿宋" w:cs="仿宋"/>
          <w:color w:val="auto"/>
          <w:spacing w:val="1"/>
          <w:sz w:val="24"/>
          <w:highlight w:val="none"/>
        </w:rPr>
        <w:t>台、展架、展示说明牌、可拆装组合式展板、场景模型、沙盘等)、</w:t>
      </w:r>
      <w:r>
        <w:rPr>
          <w:rFonts w:ascii="仿宋" w:hAnsi="仿宋" w:eastAsia="仿宋" w:cs="仿宋"/>
          <w:color w:val="auto"/>
          <w:sz w:val="24"/>
          <w:highlight w:val="none"/>
        </w:rPr>
        <w:t xml:space="preserve"> </w:t>
      </w:r>
      <w:r>
        <w:rPr>
          <w:rFonts w:ascii="仿宋" w:hAnsi="仿宋" w:eastAsia="仿宋" w:cs="仿宋"/>
          <w:color w:val="auto"/>
          <w:spacing w:val="16"/>
          <w:sz w:val="24"/>
          <w:highlight w:val="none"/>
        </w:rPr>
        <w:t>智</w:t>
      </w:r>
      <w:r>
        <w:rPr>
          <w:rFonts w:ascii="仿宋" w:hAnsi="仿宋" w:eastAsia="仿宋" w:cs="仿宋"/>
          <w:color w:val="auto"/>
          <w:spacing w:val="9"/>
          <w:sz w:val="24"/>
          <w:highlight w:val="none"/>
        </w:rPr>
        <w:t>能</w:t>
      </w:r>
      <w:r>
        <w:rPr>
          <w:rFonts w:ascii="仿宋" w:hAnsi="仿宋" w:eastAsia="仿宋" w:cs="仿宋"/>
          <w:color w:val="auto"/>
          <w:spacing w:val="8"/>
          <w:sz w:val="24"/>
          <w:highlight w:val="none"/>
        </w:rPr>
        <w:t>互动体验设备采购及安装</w:t>
      </w:r>
      <w:r>
        <w:rPr>
          <w:rFonts w:ascii="仿宋" w:hAnsi="仿宋" w:eastAsia="仿宋" w:cs="仿宋"/>
          <w:color w:val="auto"/>
          <w:spacing w:val="3"/>
          <w:sz w:val="24"/>
          <w:highlight w:val="none"/>
        </w:rPr>
        <w:t>。</w:t>
      </w:r>
    </w:p>
    <w:p>
      <w:pPr>
        <w:spacing w:before="8" w:line="360" w:lineRule="auto"/>
        <w:ind w:firstLine="459"/>
        <w:rPr>
          <w:rFonts w:ascii="仿宋" w:hAnsi="仿宋" w:eastAsia="仿宋" w:cs="仿宋"/>
          <w:color w:val="auto"/>
          <w:spacing w:val="5"/>
          <w:sz w:val="24"/>
          <w:highlight w:val="none"/>
        </w:rPr>
      </w:pPr>
      <w:r>
        <w:rPr>
          <w:rFonts w:hint="eastAsia" w:ascii="仿宋" w:hAnsi="仿宋" w:eastAsia="仿宋" w:cs="仿宋"/>
          <w:color w:val="auto"/>
          <w:spacing w:val="5"/>
          <w:sz w:val="24"/>
          <w:highlight w:val="none"/>
        </w:rPr>
        <w:t>项目位置：布展场地位于桂芳桥社区缸甏弄2号、3号民居，包括临平北大街104-106号营业房（原奥康</w:t>
      </w:r>
      <w:r>
        <w:rPr>
          <w:rFonts w:hint="eastAsia" w:ascii="仿宋" w:hAnsi="仿宋" w:eastAsia="仿宋" w:cs="仿宋"/>
          <w:color w:val="auto"/>
          <w:spacing w:val="5"/>
          <w:sz w:val="24"/>
          <w:highlight w:val="none"/>
          <w:lang w:eastAsia="zh-CN"/>
        </w:rPr>
        <w:t>门店厅</w:t>
      </w:r>
      <w:r>
        <w:rPr>
          <w:rFonts w:hint="eastAsia" w:ascii="仿宋" w:hAnsi="仿宋" w:eastAsia="仿宋" w:cs="仿宋"/>
          <w:color w:val="auto"/>
          <w:spacing w:val="5"/>
          <w:sz w:val="24"/>
          <w:highlight w:val="none"/>
        </w:rPr>
        <w:t>），属于临平区历史建筑。建筑始建于清代，两层传统木结构建筑，合院式布局，平面呈“凹”字形，由正屋、南北两侧厢房和天井构成。整体占地面积约</w:t>
      </w:r>
      <w:r>
        <w:rPr>
          <w:rFonts w:hint="eastAsia" w:ascii="仿宋" w:hAnsi="仿宋" w:eastAsia="仿宋" w:cs="仿宋"/>
          <w:color w:val="auto"/>
          <w:spacing w:val="5"/>
          <w:sz w:val="24"/>
          <w:highlight w:val="none"/>
          <w:u w:val="single"/>
        </w:rPr>
        <w:t>865</w:t>
      </w:r>
      <w:r>
        <w:rPr>
          <w:rFonts w:hint="eastAsia" w:ascii="仿宋" w:hAnsi="仿宋" w:eastAsia="仿宋" w:cs="仿宋"/>
          <w:color w:val="auto"/>
          <w:spacing w:val="5"/>
          <w:sz w:val="24"/>
          <w:highlight w:val="none"/>
        </w:rPr>
        <w:t>m</w:t>
      </w:r>
      <w:r>
        <w:rPr>
          <w:rFonts w:ascii="Calibri" w:hAnsi="Calibri" w:eastAsia="仿宋" w:cs="Calibri"/>
          <w:color w:val="auto"/>
          <w:spacing w:val="5"/>
          <w:sz w:val="24"/>
          <w:highlight w:val="none"/>
        </w:rPr>
        <w:t>²</w:t>
      </w:r>
      <w:r>
        <w:rPr>
          <w:rFonts w:hint="eastAsia" w:ascii="Calibri" w:hAnsi="Calibri" w:eastAsia="仿宋" w:cs="Calibri"/>
          <w:color w:val="auto"/>
          <w:spacing w:val="5"/>
          <w:sz w:val="24"/>
          <w:highlight w:val="none"/>
        </w:rPr>
        <w:t>（包括走廊、连廊及房前屋后户外空间）</w:t>
      </w:r>
      <w:r>
        <w:rPr>
          <w:rFonts w:hint="eastAsia" w:ascii="仿宋" w:hAnsi="仿宋" w:eastAsia="仿宋" w:cs="仿宋"/>
          <w:color w:val="auto"/>
          <w:spacing w:val="5"/>
          <w:sz w:val="24"/>
          <w:highlight w:val="none"/>
        </w:rPr>
        <w:t>，建筑面积约</w:t>
      </w:r>
      <w:r>
        <w:rPr>
          <w:rFonts w:hint="eastAsia" w:ascii="仿宋" w:hAnsi="仿宋" w:eastAsia="仿宋" w:cs="仿宋"/>
          <w:color w:val="auto"/>
          <w:spacing w:val="5"/>
          <w:sz w:val="24"/>
          <w:highlight w:val="none"/>
          <w:u w:val="single"/>
        </w:rPr>
        <w:t>750</w:t>
      </w:r>
      <w:r>
        <w:rPr>
          <w:rFonts w:hint="eastAsia" w:ascii="仿宋" w:hAnsi="仿宋" w:eastAsia="仿宋" w:cs="仿宋"/>
          <w:color w:val="auto"/>
          <w:spacing w:val="5"/>
          <w:sz w:val="24"/>
          <w:highlight w:val="none"/>
        </w:rPr>
        <w:t>m</w:t>
      </w:r>
      <w:r>
        <w:rPr>
          <w:rFonts w:ascii="Calibri" w:hAnsi="Calibri" w:eastAsia="仿宋" w:cs="Calibri"/>
          <w:color w:val="auto"/>
          <w:spacing w:val="5"/>
          <w:sz w:val="24"/>
          <w:highlight w:val="none"/>
        </w:rPr>
        <w:t>²</w:t>
      </w:r>
      <w:r>
        <w:rPr>
          <w:rFonts w:hint="eastAsia" w:ascii="仿宋" w:hAnsi="仿宋" w:eastAsia="仿宋" w:cs="仿宋"/>
          <w:color w:val="auto"/>
          <w:spacing w:val="5"/>
          <w:sz w:val="24"/>
          <w:highlight w:val="none"/>
        </w:rPr>
        <w:t>，策展面积约</w:t>
      </w:r>
      <w:r>
        <w:rPr>
          <w:rFonts w:hint="eastAsia" w:ascii="仿宋" w:hAnsi="仿宋" w:eastAsia="仿宋" w:cs="仿宋"/>
          <w:color w:val="auto"/>
          <w:spacing w:val="5"/>
          <w:sz w:val="24"/>
          <w:highlight w:val="none"/>
          <w:u w:val="single"/>
        </w:rPr>
        <w:t>1200</w:t>
      </w:r>
      <w:r>
        <w:rPr>
          <w:rFonts w:hint="eastAsia" w:ascii="仿宋" w:hAnsi="仿宋" w:eastAsia="仿宋" w:cs="仿宋"/>
          <w:color w:val="auto"/>
          <w:spacing w:val="5"/>
          <w:sz w:val="24"/>
          <w:highlight w:val="none"/>
        </w:rPr>
        <w:t>m</w:t>
      </w:r>
      <w:r>
        <w:rPr>
          <w:rFonts w:ascii="Calibri" w:hAnsi="Calibri" w:eastAsia="仿宋" w:cs="Calibri"/>
          <w:color w:val="auto"/>
          <w:spacing w:val="5"/>
          <w:sz w:val="24"/>
          <w:highlight w:val="none"/>
        </w:rPr>
        <w:t>²</w:t>
      </w:r>
      <w:r>
        <w:rPr>
          <w:rFonts w:hint="eastAsia" w:ascii="仿宋" w:hAnsi="仿宋" w:eastAsia="仿宋" w:cs="仿宋"/>
          <w:color w:val="auto"/>
          <w:spacing w:val="5"/>
          <w:sz w:val="24"/>
          <w:highlight w:val="none"/>
        </w:rPr>
        <w:t>（包含户外局部景观改造及展览展示部分）。</w:t>
      </w:r>
    </w:p>
    <w:p>
      <w:pPr>
        <w:spacing w:line="360" w:lineRule="auto"/>
        <w:rPr>
          <w:rFonts w:ascii="仿宋" w:hAnsi="仿宋" w:eastAsia="仿宋" w:cs="仿宋"/>
          <w:color w:val="auto"/>
          <w:sz w:val="24"/>
          <w:highlight w:val="none"/>
        </w:rPr>
      </w:pPr>
      <w:r>
        <w:rPr>
          <w:rFonts w:ascii="仿宋" w:hAnsi="仿宋" w:eastAsia="仿宋" w:cs="仿宋"/>
          <w:color w:val="auto"/>
          <w:spacing w:val="8"/>
          <w:position w:val="2"/>
          <w:sz w:val="24"/>
          <w:highlight w:val="none"/>
          <w14:textOutline w14:w="4356" w14:cap="sq" w14:cmpd="sng" w14:algn="ctr">
            <w14:solidFill>
              <w14:srgbClr w14:val="000000"/>
            </w14:solidFill>
            <w14:prstDash w14:val="solid"/>
            <w14:bevel/>
          </w14:textOutline>
        </w:rPr>
        <w:t>二</w:t>
      </w:r>
      <w:r>
        <w:rPr>
          <w:rFonts w:ascii="仿宋" w:hAnsi="仿宋" w:eastAsia="仿宋" w:cs="仿宋"/>
          <w:color w:val="auto"/>
          <w:spacing w:val="6"/>
          <w:position w:val="2"/>
          <w:sz w:val="24"/>
          <w:highlight w:val="none"/>
          <w14:textOutline w14:w="4356" w14:cap="sq" w14:cmpd="sng" w14:algn="ctr">
            <w14:solidFill>
              <w14:srgbClr w14:val="000000"/>
            </w14:solidFill>
            <w14:prstDash w14:val="solid"/>
            <w14:bevel/>
          </w14:textOutline>
        </w:rPr>
        <w:t>、项目定位</w:t>
      </w:r>
    </w:p>
    <w:p>
      <w:pPr>
        <w:spacing w:before="139" w:line="360" w:lineRule="auto"/>
        <w:ind w:left="22" w:right="81" w:firstLine="400"/>
        <w:rPr>
          <w:rFonts w:ascii="仿宋" w:hAnsi="仿宋" w:eastAsia="仿宋" w:cs="仿宋"/>
          <w:color w:val="auto"/>
          <w:sz w:val="24"/>
          <w:highlight w:val="none"/>
        </w:rPr>
      </w:pPr>
      <w:r>
        <w:rPr>
          <w:rFonts w:ascii="仿宋" w:hAnsi="仿宋" w:eastAsia="仿宋" w:cs="仿宋"/>
          <w:color w:val="auto"/>
          <w:spacing w:val="12"/>
          <w:sz w:val="24"/>
          <w:highlight w:val="none"/>
        </w:rPr>
        <w:t>打造</w:t>
      </w:r>
      <w:r>
        <w:rPr>
          <w:rFonts w:ascii="仿宋" w:hAnsi="仿宋" w:eastAsia="仿宋" w:cs="仿宋"/>
          <w:color w:val="auto"/>
          <w:spacing w:val="10"/>
          <w:sz w:val="24"/>
          <w:highlight w:val="none"/>
        </w:rPr>
        <w:t>一</w:t>
      </w:r>
      <w:r>
        <w:rPr>
          <w:rFonts w:ascii="仿宋" w:hAnsi="仿宋" w:eastAsia="仿宋" w:cs="仿宋"/>
          <w:color w:val="auto"/>
          <w:spacing w:val="6"/>
          <w:sz w:val="24"/>
          <w:highlight w:val="none"/>
        </w:rPr>
        <w:t>个</w:t>
      </w:r>
      <w:r>
        <w:rPr>
          <w:rFonts w:hint="eastAsia" w:ascii="仿宋" w:hAnsi="仿宋" w:eastAsia="仿宋" w:cs="仿宋"/>
          <w:color w:val="auto"/>
          <w:spacing w:val="5"/>
          <w:sz w:val="24"/>
          <w:highlight w:val="none"/>
        </w:rPr>
        <w:t>集展览展示、悠闲娱乐、学习体验于一体的文化场所。</w:t>
      </w:r>
    </w:p>
    <w:p>
      <w:pPr>
        <w:spacing w:before="1" w:line="360" w:lineRule="auto"/>
        <w:rPr>
          <w:rFonts w:ascii="仿宋" w:hAnsi="仿宋" w:eastAsia="仿宋" w:cs="仿宋"/>
          <w:color w:val="auto"/>
          <w:sz w:val="24"/>
          <w:highlight w:val="none"/>
        </w:rPr>
      </w:pPr>
      <w:r>
        <w:rPr>
          <w:rFonts w:ascii="仿宋" w:hAnsi="仿宋" w:eastAsia="仿宋" w:cs="仿宋"/>
          <w:color w:val="auto"/>
          <w:spacing w:val="-16"/>
          <w:sz w:val="24"/>
          <w:highlight w:val="none"/>
          <w14:textOutline w14:w="4356" w14:cap="sq" w14:cmpd="sng" w14:algn="ctr">
            <w14:solidFill>
              <w14:srgbClr w14:val="000000"/>
            </w14:solidFill>
            <w14:prstDash w14:val="solid"/>
            <w14:bevel/>
          </w14:textOutline>
        </w:rPr>
        <w:t>三</w:t>
      </w:r>
      <w:r>
        <w:rPr>
          <w:rFonts w:ascii="仿宋" w:hAnsi="仿宋" w:eastAsia="仿宋" w:cs="仿宋"/>
          <w:color w:val="auto"/>
          <w:spacing w:val="-10"/>
          <w:sz w:val="24"/>
          <w:highlight w:val="none"/>
          <w14:textOutline w14:w="4356" w14:cap="sq" w14:cmpd="sng" w14:algn="ctr">
            <w14:solidFill>
              <w14:srgbClr w14:val="000000"/>
            </w14:solidFill>
            <w14:prstDash w14:val="solid"/>
            <w14:bevel/>
          </w14:textOutline>
        </w:rPr>
        <w:t>、</w:t>
      </w:r>
      <w:r>
        <w:rPr>
          <w:rFonts w:ascii="仿宋" w:hAnsi="仿宋" w:eastAsia="仿宋" w:cs="仿宋"/>
          <w:color w:val="auto"/>
          <w:spacing w:val="-10"/>
          <w:sz w:val="24"/>
          <w:highlight w:val="none"/>
        </w:rPr>
        <w:t xml:space="preserve"> </w:t>
      </w:r>
      <w:r>
        <w:rPr>
          <w:rFonts w:ascii="仿宋" w:hAnsi="仿宋" w:eastAsia="仿宋" w:cs="仿宋"/>
          <w:color w:val="auto"/>
          <w:spacing w:val="-10"/>
          <w:sz w:val="24"/>
          <w:highlight w:val="none"/>
          <w14:textOutline w14:w="4356" w14:cap="sq" w14:cmpd="sng" w14:algn="ctr">
            <w14:solidFill>
              <w14:srgbClr w14:val="000000"/>
            </w14:solidFill>
            <w14:prstDash w14:val="solid"/>
            <w14:bevel/>
          </w14:textOutline>
        </w:rPr>
        <w:t>内容定位</w:t>
      </w:r>
    </w:p>
    <w:p>
      <w:pPr>
        <w:spacing w:before="178" w:line="360" w:lineRule="auto"/>
        <w:ind w:left="4" w:right="81" w:firstLine="418"/>
        <w:rPr>
          <w:rFonts w:ascii="仿宋" w:hAnsi="仿宋" w:eastAsia="仿宋" w:cs="仿宋"/>
          <w:color w:val="auto"/>
          <w:sz w:val="24"/>
          <w:highlight w:val="none"/>
        </w:rPr>
      </w:pPr>
      <w:r>
        <w:rPr>
          <w:rFonts w:ascii="仿宋" w:hAnsi="仿宋" w:eastAsia="仿宋" w:cs="仿宋"/>
          <w:color w:val="auto"/>
          <w:spacing w:val="10"/>
          <w:sz w:val="24"/>
          <w:highlight w:val="none"/>
        </w:rPr>
        <w:t>更高层次的知识维度、更高标准的审美品位、更加开阔的国际视角、更加丰富的</w:t>
      </w:r>
      <w:r>
        <w:rPr>
          <w:rFonts w:ascii="仿宋" w:hAnsi="仿宋" w:eastAsia="仿宋" w:cs="仿宋"/>
          <w:color w:val="auto"/>
          <w:spacing w:val="3"/>
          <w:sz w:val="24"/>
          <w:highlight w:val="none"/>
        </w:rPr>
        <w:t>情</w:t>
      </w:r>
      <w:r>
        <w:rPr>
          <w:rFonts w:ascii="仿宋" w:hAnsi="仿宋" w:eastAsia="仿宋" w:cs="仿宋"/>
          <w:color w:val="auto"/>
          <w:sz w:val="24"/>
          <w:highlight w:val="none"/>
        </w:rPr>
        <w:t xml:space="preserve"> </w:t>
      </w:r>
      <w:r>
        <w:rPr>
          <w:rFonts w:ascii="仿宋" w:hAnsi="仿宋" w:eastAsia="仿宋" w:cs="仿宋"/>
          <w:color w:val="auto"/>
          <w:spacing w:val="8"/>
          <w:sz w:val="24"/>
          <w:highlight w:val="none"/>
        </w:rPr>
        <w:t>感表达、更加深度的沉浸式体验</w:t>
      </w:r>
      <w:r>
        <w:rPr>
          <w:rFonts w:ascii="仿宋" w:hAnsi="仿宋" w:eastAsia="仿宋" w:cs="仿宋"/>
          <w:color w:val="auto"/>
          <w:spacing w:val="7"/>
          <w:sz w:val="24"/>
          <w:highlight w:val="none"/>
        </w:rPr>
        <w:t>。</w:t>
      </w:r>
    </w:p>
    <w:p>
      <w:pPr>
        <w:spacing w:before="1" w:line="360" w:lineRule="auto"/>
        <w:rPr>
          <w:rFonts w:ascii="仿宋" w:hAnsi="仿宋" w:eastAsia="仿宋" w:cs="仿宋"/>
          <w:color w:val="auto"/>
          <w:sz w:val="24"/>
          <w:highlight w:val="none"/>
        </w:rPr>
      </w:pPr>
      <w:r>
        <w:rPr>
          <w:rFonts w:ascii="仿宋" w:hAnsi="仿宋" w:eastAsia="仿宋" w:cs="仿宋"/>
          <w:color w:val="auto"/>
          <w:spacing w:val="3"/>
          <w:sz w:val="24"/>
          <w:highlight w:val="none"/>
          <w14:textOutline w14:w="4356" w14:cap="sq" w14:cmpd="sng" w14:algn="ctr">
            <w14:solidFill>
              <w14:srgbClr w14:val="000000"/>
            </w14:solidFill>
            <w14:prstDash w14:val="solid"/>
            <w14:bevel/>
          </w14:textOutline>
        </w:rPr>
        <w:t>四、项目规模</w:t>
      </w:r>
    </w:p>
    <w:p>
      <w:pPr>
        <w:spacing w:before="167" w:line="360" w:lineRule="auto"/>
        <w:ind w:left="3" w:right="83" w:firstLine="417"/>
        <w:rPr>
          <w:rFonts w:ascii="仿宋" w:hAnsi="仿宋" w:eastAsia="仿宋" w:cs="仿宋"/>
          <w:color w:val="auto"/>
          <w:spacing w:val="6"/>
          <w:sz w:val="24"/>
          <w:highlight w:val="none"/>
        </w:rPr>
      </w:pPr>
      <w:r>
        <w:rPr>
          <w:rFonts w:hint="eastAsia" w:ascii="仿宋" w:hAnsi="仿宋" w:eastAsia="仿宋" w:cs="仿宋"/>
          <w:color w:val="auto"/>
          <w:spacing w:val="5"/>
          <w:sz w:val="24"/>
          <w:highlight w:val="none"/>
        </w:rPr>
        <w:t>策</w:t>
      </w:r>
      <w:r>
        <w:rPr>
          <w:rFonts w:ascii="仿宋" w:hAnsi="仿宋" w:eastAsia="仿宋" w:cs="仿宋"/>
          <w:color w:val="auto"/>
          <w:spacing w:val="5"/>
          <w:sz w:val="24"/>
          <w:highlight w:val="none"/>
        </w:rPr>
        <w:t>展</w:t>
      </w:r>
      <w:r>
        <w:rPr>
          <w:rFonts w:ascii="仿宋" w:hAnsi="仿宋" w:eastAsia="仿宋" w:cs="仿宋"/>
          <w:color w:val="auto"/>
          <w:spacing w:val="3"/>
          <w:sz w:val="24"/>
          <w:highlight w:val="none"/>
        </w:rPr>
        <w:t>面积约</w:t>
      </w:r>
      <w:r>
        <w:rPr>
          <w:rFonts w:hint="eastAsia" w:ascii="仿宋" w:hAnsi="仿宋" w:eastAsia="仿宋" w:cs="仿宋"/>
          <w:color w:val="auto"/>
          <w:spacing w:val="3"/>
          <w:sz w:val="24"/>
          <w:highlight w:val="none"/>
          <w:u w:val="single"/>
        </w:rPr>
        <w:t>1200</w:t>
      </w:r>
      <w:r>
        <w:rPr>
          <w:rFonts w:ascii="仿宋" w:hAnsi="仿宋" w:eastAsia="仿宋" w:cs="仿宋"/>
          <w:color w:val="auto"/>
          <w:spacing w:val="3"/>
          <w:sz w:val="24"/>
          <w:highlight w:val="none"/>
        </w:rPr>
        <w:t>平方米，</w:t>
      </w:r>
      <w:r>
        <w:rPr>
          <w:rFonts w:hint="eastAsia" w:ascii="仿宋" w:hAnsi="仿宋" w:eastAsia="仿宋" w:cs="仿宋"/>
          <w:color w:val="auto"/>
          <w:spacing w:val="3"/>
          <w:sz w:val="24"/>
          <w:highlight w:val="none"/>
        </w:rPr>
        <w:t>供应商</w:t>
      </w:r>
      <w:r>
        <w:rPr>
          <w:rFonts w:ascii="仿宋" w:hAnsi="仿宋" w:eastAsia="仿宋" w:cs="仿宋"/>
          <w:color w:val="auto"/>
          <w:spacing w:val="5"/>
          <w:sz w:val="24"/>
          <w:highlight w:val="none"/>
        </w:rPr>
        <w:t>需</w:t>
      </w:r>
      <w:r>
        <w:rPr>
          <w:rFonts w:hint="eastAsia" w:ascii="仿宋" w:hAnsi="仿宋" w:eastAsia="仿宋" w:cs="仿宋"/>
          <w:color w:val="auto"/>
          <w:spacing w:val="5"/>
          <w:sz w:val="24"/>
          <w:highlight w:val="none"/>
        </w:rPr>
        <w:t>依据业主对俞樾纪念馆项目的总体要求，</w:t>
      </w:r>
      <w:r>
        <w:rPr>
          <w:rFonts w:ascii="仿宋" w:hAnsi="仿宋" w:eastAsia="仿宋" w:cs="仿宋"/>
          <w:color w:val="auto"/>
          <w:spacing w:val="5"/>
          <w:sz w:val="24"/>
          <w:highlight w:val="none"/>
        </w:rPr>
        <w:t>完成</w:t>
      </w:r>
      <w:r>
        <w:rPr>
          <w:rFonts w:hint="eastAsia" w:ascii="仿宋" w:hAnsi="仿宋" w:eastAsia="仿宋" w:cs="仿宋"/>
          <w:color w:val="auto"/>
          <w:spacing w:val="5"/>
          <w:sz w:val="24"/>
          <w:highlight w:val="none"/>
        </w:rPr>
        <w:t>桂芳桥社区缸甏弄2号、3号民居楼包括临平北大街104-106号营业房（原奥康门</w:t>
      </w:r>
      <w:r>
        <w:rPr>
          <w:rFonts w:hint="eastAsia" w:ascii="仿宋" w:hAnsi="仿宋" w:eastAsia="仿宋" w:cs="仿宋"/>
          <w:color w:val="auto"/>
          <w:spacing w:val="5"/>
          <w:sz w:val="24"/>
          <w:highlight w:val="none"/>
          <w:lang w:eastAsia="zh-CN"/>
        </w:rPr>
        <w:t>店厅</w:t>
      </w:r>
      <w:r>
        <w:rPr>
          <w:rFonts w:hint="eastAsia" w:ascii="仿宋" w:hAnsi="仿宋" w:eastAsia="仿宋" w:cs="仿宋"/>
          <w:color w:val="auto"/>
          <w:spacing w:val="5"/>
          <w:sz w:val="24"/>
          <w:highlight w:val="none"/>
        </w:rPr>
        <w:t>）的策划设计</w:t>
      </w:r>
      <w:r>
        <w:rPr>
          <w:rFonts w:ascii="仿宋" w:hAnsi="仿宋" w:eastAsia="仿宋" w:cs="仿宋"/>
          <w:color w:val="auto"/>
          <w:spacing w:val="5"/>
          <w:sz w:val="24"/>
          <w:highlight w:val="none"/>
        </w:rPr>
        <w:t>与布展服务</w:t>
      </w:r>
      <w:r>
        <w:rPr>
          <w:rFonts w:hint="eastAsia" w:ascii="仿宋" w:hAnsi="仿宋" w:eastAsia="仿宋" w:cs="仿宋"/>
          <w:color w:val="auto"/>
          <w:spacing w:val="5"/>
          <w:sz w:val="24"/>
          <w:highlight w:val="none"/>
        </w:rPr>
        <w:t>，</w:t>
      </w:r>
      <w:r>
        <w:rPr>
          <w:rFonts w:hint="eastAsia" w:ascii="仿宋" w:hAnsi="仿宋" w:eastAsia="仿宋" w:cs="仿宋"/>
          <w:color w:val="auto"/>
          <w:spacing w:val="9"/>
          <w:sz w:val="24"/>
          <w:highlight w:val="none"/>
        </w:rPr>
        <w:t>大门改造、走廊景观及户外附属用房局部改造设计制作</w:t>
      </w:r>
      <w:r>
        <w:rPr>
          <w:rFonts w:ascii="仿宋" w:hAnsi="仿宋" w:eastAsia="仿宋" w:cs="仿宋"/>
          <w:color w:val="auto"/>
          <w:spacing w:val="6"/>
          <w:sz w:val="24"/>
          <w:highlight w:val="none"/>
        </w:rPr>
        <w:t>。</w:t>
      </w:r>
    </w:p>
    <w:p>
      <w:pPr>
        <w:spacing w:before="1" w:line="360" w:lineRule="auto"/>
        <w:rPr>
          <w:rFonts w:ascii="仿宋" w:hAnsi="仿宋" w:eastAsia="仿宋" w:cs="仿宋"/>
          <w:color w:val="auto"/>
          <w:spacing w:val="-16"/>
          <w:sz w:val="24"/>
          <w:highlight w:val="none"/>
          <w14:textOutline w14:w="4356" w14:cap="sq" w14:cmpd="sng" w14:algn="ctr">
            <w14:solidFill>
              <w14:srgbClr w14:val="000000"/>
            </w14:solidFill>
            <w14:prstDash w14:val="solid"/>
            <w14:bevel/>
          </w14:textOutline>
        </w:rPr>
      </w:pPr>
      <w:r>
        <w:rPr>
          <w:rFonts w:ascii="仿宋" w:hAnsi="仿宋" w:eastAsia="仿宋" w:cs="仿宋"/>
          <w:color w:val="auto"/>
          <w:spacing w:val="-16"/>
          <w:sz w:val="24"/>
          <w:highlight w:val="none"/>
          <w14:textOutline w14:w="4356" w14:cap="sq" w14:cmpd="sng" w14:algn="ctr">
            <w14:solidFill>
              <w14:srgbClr w14:val="000000"/>
            </w14:solidFill>
            <w14:prstDash w14:val="solid"/>
            <w14:bevel/>
          </w14:textOutline>
        </w:rPr>
        <w:t>五、</w:t>
      </w:r>
      <w:r>
        <w:rPr>
          <w:rFonts w:hint="eastAsia" w:ascii="仿宋" w:hAnsi="仿宋" w:eastAsia="仿宋" w:cs="仿宋"/>
          <w:color w:val="auto"/>
          <w:spacing w:val="-16"/>
          <w:sz w:val="24"/>
          <w:highlight w:val="none"/>
          <w14:textOutline w14:w="4356" w14:cap="sq" w14:cmpd="sng" w14:algn="ctr">
            <w14:solidFill>
              <w14:srgbClr w14:val="000000"/>
            </w14:solidFill>
            <w14:prstDash w14:val="solid"/>
            <w14:bevel/>
          </w14:textOutline>
        </w:rPr>
        <w:t>布展内容:(包括但不仅限于）</w:t>
      </w:r>
    </w:p>
    <w:p>
      <w:pPr>
        <w:spacing w:before="8" w:line="360" w:lineRule="auto"/>
        <w:ind w:firstLine="459"/>
        <w:rPr>
          <w:rFonts w:ascii="仿宋" w:hAnsi="仿宋" w:eastAsia="仿宋" w:cs="仿宋"/>
          <w:color w:val="auto"/>
          <w:spacing w:val="8"/>
          <w:sz w:val="24"/>
          <w:highlight w:val="none"/>
        </w:rPr>
      </w:pPr>
      <w:r>
        <w:rPr>
          <w:rFonts w:hint="eastAsia" w:ascii="仿宋" w:hAnsi="仿宋" w:eastAsia="仿宋" w:cs="仿宋"/>
          <w:color w:val="auto"/>
          <w:spacing w:val="8"/>
          <w:sz w:val="24"/>
          <w:highlight w:val="none"/>
        </w:rPr>
        <w:t>1、展陈布展大纲内容设计策划；</w:t>
      </w:r>
    </w:p>
    <w:p>
      <w:pPr>
        <w:spacing w:before="8" w:line="360" w:lineRule="auto"/>
        <w:ind w:firstLine="459"/>
        <w:rPr>
          <w:rFonts w:ascii="仿宋" w:hAnsi="仿宋" w:eastAsia="仿宋" w:cs="仿宋"/>
          <w:color w:val="auto"/>
          <w:spacing w:val="8"/>
          <w:sz w:val="24"/>
          <w:highlight w:val="none"/>
        </w:rPr>
      </w:pPr>
      <w:r>
        <w:rPr>
          <w:rFonts w:hint="eastAsia" w:ascii="仿宋" w:hAnsi="仿宋" w:eastAsia="仿宋" w:cs="仿宋"/>
          <w:color w:val="auto"/>
          <w:spacing w:val="8"/>
          <w:sz w:val="24"/>
          <w:highlight w:val="none"/>
        </w:rPr>
        <w:t>2、展览大纲内容资料的搜集整理；</w:t>
      </w:r>
    </w:p>
    <w:p>
      <w:pPr>
        <w:spacing w:before="8" w:line="360" w:lineRule="auto"/>
        <w:ind w:firstLine="459"/>
        <w:rPr>
          <w:rFonts w:ascii="仿宋" w:hAnsi="仿宋" w:eastAsia="仿宋" w:cs="仿宋"/>
          <w:color w:val="auto"/>
          <w:spacing w:val="8"/>
          <w:sz w:val="24"/>
          <w:highlight w:val="none"/>
        </w:rPr>
      </w:pPr>
      <w:r>
        <w:rPr>
          <w:rFonts w:hint="eastAsia" w:ascii="仿宋" w:hAnsi="仿宋" w:eastAsia="仿宋" w:cs="仿宋"/>
          <w:color w:val="auto"/>
          <w:spacing w:val="8"/>
          <w:sz w:val="24"/>
          <w:highlight w:val="none"/>
        </w:rPr>
        <w:t>3、纪念馆展馆的展陈效果方案设计、施工图等等；</w:t>
      </w:r>
    </w:p>
    <w:p>
      <w:pPr>
        <w:spacing w:before="8" w:line="360" w:lineRule="auto"/>
        <w:ind w:firstLine="459"/>
        <w:rPr>
          <w:rFonts w:ascii="仿宋" w:hAnsi="仿宋" w:eastAsia="仿宋" w:cs="仿宋"/>
          <w:color w:val="auto"/>
          <w:spacing w:val="8"/>
          <w:sz w:val="24"/>
          <w:highlight w:val="none"/>
        </w:rPr>
      </w:pPr>
      <w:r>
        <w:rPr>
          <w:rFonts w:hint="eastAsia" w:ascii="仿宋" w:hAnsi="仿宋" w:eastAsia="仿宋" w:cs="仿宋"/>
          <w:color w:val="auto"/>
          <w:spacing w:val="8"/>
          <w:sz w:val="24"/>
          <w:highlight w:val="none"/>
        </w:rPr>
        <w:t>4、布展内容的创意策划与平面美工设计、制作；</w:t>
      </w:r>
    </w:p>
    <w:p>
      <w:pPr>
        <w:spacing w:before="8" w:line="360" w:lineRule="auto"/>
        <w:ind w:firstLine="459"/>
        <w:rPr>
          <w:rFonts w:ascii="仿宋" w:hAnsi="仿宋" w:eastAsia="仿宋" w:cs="仿宋"/>
          <w:color w:val="auto"/>
          <w:spacing w:val="8"/>
          <w:sz w:val="24"/>
          <w:highlight w:val="none"/>
        </w:rPr>
      </w:pPr>
      <w:r>
        <w:rPr>
          <w:rFonts w:hint="eastAsia" w:ascii="仿宋" w:hAnsi="仿宋" w:eastAsia="仿宋" w:cs="仿宋"/>
          <w:color w:val="auto"/>
          <w:spacing w:val="8"/>
          <w:sz w:val="24"/>
          <w:highlight w:val="none"/>
        </w:rPr>
        <w:t>5、各展区所需的道具、场景、沙盘等装置的策划、设计、制作；</w:t>
      </w:r>
    </w:p>
    <w:p>
      <w:pPr>
        <w:spacing w:before="8" w:line="360" w:lineRule="auto"/>
        <w:ind w:firstLine="459"/>
        <w:rPr>
          <w:rFonts w:ascii="仿宋" w:hAnsi="仿宋" w:eastAsia="仿宋" w:cs="仿宋"/>
          <w:color w:val="auto"/>
          <w:spacing w:val="8"/>
          <w:sz w:val="24"/>
          <w:highlight w:val="none"/>
        </w:rPr>
      </w:pPr>
      <w:r>
        <w:rPr>
          <w:rFonts w:hint="eastAsia" w:ascii="仿宋" w:hAnsi="仿宋" w:eastAsia="仿宋" w:cs="仿宋"/>
          <w:color w:val="auto"/>
          <w:spacing w:val="8"/>
          <w:sz w:val="24"/>
          <w:highlight w:val="none"/>
        </w:rPr>
        <w:t>6、造型展板设计、布置；</w:t>
      </w:r>
    </w:p>
    <w:p>
      <w:pPr>
        <w:spacing w:before="8" w:line="360" w:lineRule="auto"/>
        <w:ind w:firstLine="459"/>
        <w:rPr>
          <w:rFonts w:ascii="仿宋" w:hAnsi="仿宋" w:eastAsia="仿宋" w:cs="仿宋"/>
          <w:color w:val="auto"/>
          <w:spacing w:val="8"/>
          <w:sz w:val="24"/>
          <w:highlight w:val="none"/>
        </w:rPr>
      </w:pPr>
      <w:r>
        <w:rPr>
          <w:rFonts w:hint="eastAsia" w:ascii="仿宋" w:hAnsi="仿宋" w:eastAsia="仿宋" w:cs="仿宋"/>
          <w:color w:val="auto"/>
          <w:spacing w:val="8"/>
          <w:sz w:val="24"/>
          <w:highlight w:val="none"/>
        </w:rPr>
        <w:t>7、多媒体展项的创意设计、互动软件开发和多媒体影片创意制作。</w:t>
      </w:r>
    </w:p>
    <w:p>
      <w:pPr>
        <w:pStyle w:val="34"/>
        <w:ind w:firstLine="512" w:firstLineChars="200"/>
        <w:rPr>
          <w:color w:val="auto"/>
          <w:highlight w:val="none"/>
          <w:lang w:val="en-US"/>
        </w:rPr>
      </w:pPr>
      <w:r>
        <w:rPr>
          <w:rFonts w:hint="eastAsia" w:ascii="仿宋" w:hAnsi="仿宋" w:eastAsia="仿宋" w:cs="仿宋"/>
          <w:color w:val="auto"/>
          <w:spacing w:val="8"/>
          <w:highlight w:val="none"/>
          <w:lang w:val="en-US"/>
        </w:rPr>
        <w:t>8、</w:t>
      </w:r>
      <w:r>
        <w:rPr>
          <w:rFonts w:hint="eastAsia" w:ascii="仿宋" w:hAnsi="仿宋" w:eastAsia="仿宋" w:cs="仿宋"/>
          <w:color w:val="auto"/>
          <w:spacing w:val="9"/>
          <w:highlight w:val="none"/>
        </w:rPr>
        <w:t>大门改造、走廊景观及户外附属用房局部改造设计制作</w:t>
      </w:r>
    </w:p>
    <w:p>
      <w:pPr>
        <w:spacing w:before="1" w:line="360" w:lineRule="auto"/>
        <w:ind w:left="426"/>
        <w:rPr>
          <w:rFonts w:ascii="仿宋" w:hAnsi="仿宋" w:eastAsia="仿宋" w:cs="仿宋"/>
          <w:color w:val="auto"/>
          <w:spacing w:val="-16"/>
          <w:sz w:val="24"/>
          <w:highlight w:val="none"/>
          <w14:textOutline w14:w="4356" w14:cap="sq" w14:cmpd="sng" w14:algn="ctr">
            <w14:solidFill>
              <w14:srgbClr w14:val="000000"/>
            </w14:solidFill>
            <w14:prstDash w14:val="solid"/>
            <w14:bevel/>
          </w14:textOutline>
        </w:rPr>
      </w:pPr>
    </w:p>
    <w:p>
      <w:pPr>
        <w:spacing w:before="1" w:line="360" w:lineRule="auto"/>
        <w:rPr>
          <w:rFonts w:ascii="仿宋" w:hAnsi="仿宋" w:eastAsia="仿宋" w:cs="仿宋"/>
          <w:color w:val="auto"/>
          <w:spacing w:val="-16"/>
          <w:sz w:val="24"/>
          <w:highlight w:val="none"/>
          <w14:textOutline w14:w="4356" w14:cap="sq" w14:cmpd="sng" w14:algn="ctr">
            <w14:solidFill>
              <w14:srgbClr w14:val="000000"/>
            </w14:solidFill>
            <w14:prstDash w14:val="solid"/>
            <w14:bevel/>
          </w14:textOutline>
        </w:rPr>
      </w:pPr>
      <w:r>
        <w:rPr>
          <w:rFonts w:ascii="仿宋" w:hAnsi="仿宋" w:eastAsia="仿宋" w:cs="仿宋"/>
          <w:color w:val="auto"/>
          <w:spacing w:val="-16"/>
          <w:sz w:val="24"/>
          <w:highlight w:val="none"/>
          <w14:textOutline w14:w="4356" w14:cap="sq" w14:cmpd="sng" w14:algn="ctr">
            <w14:solidFill>
              <w14:srgbClr w14:val="000000"/>
            </w14:solidFill>
            <w14:prstDash w14:val="solid"/>
            <w14:bevel/>
          </w14:textOutline>
        </w:rPr>
        <w:t>六、本项目的</w:t>
      </w:r>
      <w:r>
        <w:rPr>
          <w:rFonts w:hint="eastAsia" w:ascii="仿宋" w:hAnsi="仿宋" w:eastAsia="仿宋" w:cs="仿宋"/>
          <w:color w:val="auto"/>
          <w:spacing w:val="-16"/>
          <w:sz w:val="24"/>
          <w:highlight w:val="none"/>
          <w14:textOutline w14:w="4356" w14:cap="sq" w14:cmpd="sng" w14:algn="ctr">
            <w14:solidFill>
              <w14:srgbClr w14:val="000000"/>
            </w14:solidFill>
            <w14:prstDash w14:val="solid"/>
            <w14:bevel/>
          </w14:textOutline>
        </w:rPr>
        <w:t>设计标准和规范</w:t>
      </w:r>
    </w:p>
    <w:p>
      <w:pPr>
        <w:spacing w:before="8" w:line="360" w:lineRule="auto"/>
        <w:ind w:firstLine="459"/>
        <w:rPr>
          <w:rFonts w:ascii="仿宋" w:hAnsi="仿宋" w:eastAsia="仿宋" w:cs="仿宋"/>
          <w:color w:val="auto"/>
          <w:spacing w:val="8"/>
          <w:sz w:val="24"/>
          <w:highlight w:val="none"/>
        </w:rPr>
      </w:pPr>
      <w:r>
        <w:rPr>
          <w:rFonts w:hint="eastAsia" w:ascii="仿宋" w:hAnsi="仿宋" w:eastAsia="仿宋" w:cs="仿宋"/>
          <w:color w:val="auto"/>
          <w:spacing w:val="8"/>
          <w:sz w:val="24"/>
          <w:highlight w:val="none"/>
        </w:rPr>
        <w:t>标准及规范需达到以下现行版的中华人民共和国有关法规的要求，如下列标准及规范要求与标书要求有出入则以较严格者为准。</w:t>
      </w:r>
    </w:p>
    <w:p>
      <w:pPr>
        <w:spacing w:before="8" w:line="360" w:lineRule="auto"/>
        <w:ind w:firstLine="459"/>
        <w:rPr>
          <w:rFonts w:ascii="仿宋" w:hAnsi="仿宋" w:eastAsia="仿宋" w:cs="仿宋"/>
          <w:color w:val="auto"/>
          <w:spacing w:val="8"/>
          <w:sz w:val="24"/>
          <w:highlight w:val="none"/>
        </w:rPr>
      </w:pPr>
      <w:r>
        <w:rPr>
          <w:rFonts w:hint="eastAsia" w:ascii="仿宋" w:hAnsi="仿宋" w:eastAsia="仿宋" w:cs="仿宋"/>
          <w:color w:val="auto"/>
          <w:spacing w:val="8"/>
          <w:sz w:val="24"/>
          <w:highlight w:val="none"/>
        </w:rPr>
        <w:t xml:space="preserve">《展览展示工程服务基本要求》 </w:t>
      </w:r>
    </w:p>
    <w:p>
      <w:pPr>
        <w:spacing w:before="8" w:line="360" w:lineRule="auto"/>
        <w:ind w:firstLine="459"/>
        <w:rPr>
          <w:rFonts w:ascii="仿宋" w:hAnsi="仿宋" w:eastAsia="仿宋" w:cs="仿宋"/>
          <w:color w:val="auto"/>
          <w:spacing w:val="8"/>
          <w:sz w:val="24"/>
          <w:highlight w:val="none"/>
        </w:rPr>
      </w:pPr>
      <w:r>
        <w:rPr>
          <w:rFonts w:hint="eastAsia" w:ascii="仿宋" w:hAnsi="仿宋" w:eastAsia="仿宋" w:cs="仿宋"/>
          <w:color w:val="auto"/>
          <w:spacing w:val="8"/>
          <w:sz w:val="24"/>
          <w:highlight w:val="none"/>
        </w:rPr>
        <w:t>《建筑装修工程质量验收规范》（GB50210）</w:t>
      </w:r>
    </w:p>
    <w:p>
      <w:pPr>
        <w:spacing w:before="8" w:line="360" w:lineRule="auto"/>
        <w:ind w:firstLine="459"/>
        <w:rPr>
          <w:rFonts w:ascii="仿宋" w:hAnsi="仿宋" w:eastAsia="仿宋" w:cs="仿宋"/>
          <w:color w:val="auto"/>
          <w:spacing w:val="8"/>
          <w:sz w:val="24"/>
          <w:highlight w:val="none"/>
        </w:rPr>
      </w:pPr>
      <w:r>
        <w:rPr>
          <w:rFonts w:hint="eastAsia" w:ascii="仿宋" w:hAnsi="仿宋" w:eastAsia="仿宋" w:cs="仿宋"/>
          <w:color w:val="auto"/>
          <w:spacing w:val="8"/>
          <w:sz w:val="24"/>
          <w:highlight w:val="none"/>
        </w:rPr>
        <w:t xml:space="preserve"> 国家、地方其它有关规定</w:t>
      </w:r>
    </w:p>
    <w:p>
      <w:pPr>
        <w:spacing w:before="8" w:line="360" w:lineRule="auto"/>
        <w:ind w:firstLine="459"/>
        <w:jc w:val="left"/>
        <w:rPr>
          <w:rFonts w:ascii="仿宋" w:hAnsi="仿宋" w:eastAsia="仿宋" w:cs="仿宋"/>
          <w:color w:val="auto"/>
          <w:spacing w:val="8"/>
          <w:sz w:val="24"/>
          <w:highlight w:val="none"/>
        </w:rPr>
      </w:pPr>
      <w:r>
        <w:rPr>
          <w:rFonts w:hint="eastAsia" w:ascii="仿宋" w:hAnsi="仿宋" w:eastAsia="仿宋" w:cs="仿宋"/>
          <w:color w:val="auto"/>
          <w:spacing w:val="8"/>
          <w:sz w:val="24"/>
          <w:highlight w:val="none"/>
        </w:rPr>
        <w:t>若设计人使用的标准在本招标文件的规定外，则应明确说明用于替代的标准或使用规范，并提供所使用的标准。</w:t>
      </w:r>
    </w:p>
    <w:p>
      <w:pPr>
        <w:spacing w:before="8" w:line="360" w:lineRule="auto"/>
        <w:jc w:val="left"/>
        <w:rPr>
          <w:rFonts w:ascii="仿宋" w:hAnsi="仿宋" w:eastAsia="仿宋" w:cs="仿宋"/>
          <w:color w:val="auto"/>
          <w:sz w:val="24"/>
          <w:highlight w:val="none"/>
        </w:rPr>
      </w:pPr>
      <w:r>
        <w:rPr>
          <w:rFonts w:ascii="仿宋" w:hAnsi="仿宋" w:eastAsia="仿宋" w:cs="仿宋"/>
          <w:color w:val="auto"/>
          <w:spacing w:val="9"/>
          <w:sz w:val="24"/>
          <w:highlight w:val="none"/>
          <w14:textOutline w14:w="4356" w14:cap="sq" w14:cmpd="sng" w14:algn="ctr">
            <w14:solidFill>
              <w14:srgbClr w14:val="000000"/>
            </w14:solidFill>
            <w14:prstDash w14:val="solid"/>
            <w14:bevel/>
          </w14:textOutline>
        </w:rPr>
        <w:t>七、陈列布展团队要</w:t>
      </w:r>
      <w:r>
        <w:rPr>
          <w:rFonts w:ascii="仿宋" w:hAnsi="仿宋" w:eastAsia="仿宋" w:cs="仿宋"/>
          <w:color w:val="auto"/>
          <w:spacing w:val="7"/>
          <w:sz w:val="24"/>
          <w:highlight w:val="none"/>
          <w14:textOutline w14:w="4356" w14:cap="sq" w14:cmpd="sng" w14:algn="ctr">
            <w14:solidFill>
              <w14:srgbClr w14:val="000000"/>
            </w14:solidFill>
            <w14:prstDash w14:val="solid"/>
            <w14:bevel/>
          </w14:textOutline>
        </w:rPr>
        <w:t>求</w:t>
      </w:r>
      <w:r>
        <w:rPr>
          <w:rFonts w:hint="eastAsia" w:ascii="仿宋" w:hAnsi="仿宋" w:eastAsia="仿宋" w:cs="仿宋"/>
          <w:color w:val="auto"/>
          <w:spacing w:val="7"/>
          <w:sz w:val="24"/>
          <w:highlight w:val="none"/>
          <w14:textOutline w14:w="4356" w14:cap="sq" w14:cmpd="sng" w14:algn="ctr">
            <w14:solidFill>
              <w14:srgbClr w14:val="000000"/>
            </w14:solidFill>
            <w14:prstDash w14:val="solid"/>
            <w14:bevel/>
          </w14:textOutline>
        </w:rPr>
        <w:t>（如有）</w:t>
      </w:r>
    </w:p>
    <w:p>
      <w:pPr>
        <w:spacing w:before="167" w:line="360" w:lineRule="auto"/>
        <w:ind w:left="11" w:right="294" w:firstLine="479"/>
        <w:rPr>
          <w:rFonts w:ascii="仿宋" w:hAnsi="仿宋" w:eastAsia="仿宋" w:cs="仿宋"/>
          <w:color w:val="auto"/>
          <w:sz w:val="24"/>
          <w:highlight w:val="none"/>
        </w:rPr>
      </w:pPr>
      <w:r>
        <w:rPr>
          <w:rFonts w:ascii="仿宋" w:hAnsi="仿宋" w:eastAsia="仿宋" w:cs="宋体"/>
          <w:color w:val="auto"/>
          <w:spacing w:val="13"/>
          <w:sz w:val="24"/>
          <w:highlight w:val="none"/>
        </w:rPr>
        <w:t>1</w:t>
      </w:r>
      <w:r>
        <w:rPr>
          <w:rFonts w:ascii="仿宋" w:hAnsi="仿宋" w:eastAsia="仿宋" w:cs="仿宋"/>
          <w:color w:val="auto"/>
          <w:spacing w:val="9"/>
          <w:sz w:val="24"/>
          <w:highlight w:val="none"/>
        </w:rPr>
        <w:t>、</w:t>
      </w:r>
      <w:r>
        <w:rPr>
          <w:rFonts w:hint="eastAsia" w:ascii="仿宋" w:hAnsi="仿宋" w:eastAsia="仿宋" w:cs="宋体"/>
          <w:color w:val="auto"/>
          <w:sz w:val="24"/>
          <w:highlight w:val="none"/>
        </w:rPr>
        <w:t>项目负责人具有建筑工程专业贰级及以上建造师执业资格，同时具有</w:t>
      </w:r>
      <w:r>
        <w:rPr>
          <w:rFonts w:ascii="仿宋" w:hAnsi="仿宋" w:eastAsia="仿宋"/>
          <w:color w:val="auto"/>
          <w:sz w:val="24"/>
          <w:highlight w:val="none"/>
        </w:rPr>
        <w:t>“</w:t>
      </w:r>
      <w:r>
        <w:rPr>
          <w:rFonts w:hint="eastAsia" w:ascii="仿宋" w:hAnsi="仿宋" w:eastAsia="仿宋" w:cs="宋体"/>
          <w:color w:val="auto"/>
          <w:sz w:val="24"/>
          <w:highlight w:val="none"/>
        </w:rPr>
        <w:t>三类人员</w:t>
      </w:r>
      <w:r>
        <w:rPr>
          <w:rFonts w:ascii="仿宋" w:hAnsi="仿宋" w:eastAsia="仿宋"/>
          <w:color w:val="auto"/>
          <w:sz w:val="24"/>
          <w:highlight w:val="none"/>
        </w:rPr>
        <w:t>”</w:t>
      </w:r>
      <w:r>
        <w:rPr>
          <w:rFonts w:hint="eastAsia" w:ascii="仿宋" w:hAnsi="仿宋" w:eastAsia="仿宋"/>
          <w:color w:val="auto"/>
          <w:sz w:val="24"/>
          <w:highlight w:val="none"/>
        </w:rPr>
        <w:t>B</w:t>
      </w:r>
      <w:r>
        <w:rPr>
          <w:rFonts w:hint="eastAsia" w:ascii="仿宋" w:hAnsi="仿宋" w:eastAsia="仿宋" w:cs="宋体"/>
          <w:color w:val="auto"/>
          <w:sz w:val="24"/>
          <w:highlight w:val="none"/>
        </w:rPr>
        <w:t>类证书</w:t>
      </w:r>
      <w:r>
        <w:rPr>
          <w:rFonts w:ascii="仿宋" w:hAnsi="仿宋" w:eastAsia="仿宋" w:cs="仿宋"/>
          <w:color w:val="auto"/>
          <w:spacing w:val="7"/>
          <w:sz w:val="24"/>
          <w:highlight w:val="none"/>
        </w:rPr>
        <w:t>；</w:t>
      </w:r>
    </w:p>
    <w:p>
      <w:pPr>
        <w:spacing w:before="178" w:line="360" w:lineRule="auto"/>
        <w:ind w:firstLine="430"/>
        <w:rPr>
          <w:rFonts w:ascii="仿宋" w:hAnsi="仿宋" w:eastAsia="仿宋" w:cs="仿宋"/>
          <w:color w:val="auto"/>
          <w:spacing w:val="-2"/>
          <w:sz w:val="24"/>
          <w:highlight w:val="none"/>
        </w:rPr>
      </w:pPr>
      <w:r>
        <w:rPr>
          <w:rFonts w:ascii="仿宋" w:hAnsi="仿宋" w:eastAsia="仿宋" w:cs="宋体"/>
          <w:color w:val="auto"/>
          <w:spacing w:val="6"/>
          <w:sz w:val="24"/>
          <w:highlight w:val="none"/>
        </w:rPr>
        <w:t>2</w:t>
      </w:r>
      <w:r>
        <w:rPr>
          <w:rFonts w:ascii="仿宋" w:hAnsi="仿宋" w:eastAsia="仿宋" w:cs="仿宋"/>
          <w:color w:val="auto"/>
          <w:spacing w:val="6"/>
          <w:sz w:val="24"/>
          <w:highlight w:val="none"/>
        </w:rPr>
        <w:t>、</w:t>
      </w:r>
      <w:r>
        <w:rPr>
          <w:rFonts w:hint="eastAsia" w:ascii="仿宋" w:hAnsi="仿宋" w:eastAsia="仿宋" w:cs="宋体"/>
          <w:color w:val="auto"/>
          <w:sz w:val="24"/>
          <w:highlight w:val="none"/>
        </w:rPr>
        <w:t>展陈负责人具有工艺美术师中级及以上职称</w:t>
      </w:r>
      <w:r>
        <w:rPr>
          <w:rFonts w:hint="eastAsia" w:ascii="仿宋" w:hAnsi="仿宋" w:eastAsia="仿宋" w:cs="仿宋"/>
          <w:color w:val="auto"/>
          <w:spacing w:val="-2"/>
          <w:sz w:val="24"/>
          <w:highlight w:val="none"/>
        </w:rPr>
        <w:t>；</w:t>
      </w:r>
    </w:p>
    <w:p>
      <w:pPr>
        <w:pStyle w:val="34"/>
        <w:ind w:firstLine="480" w:firstLineChars="200"/>
        <w:rPr>
          <w:rFonts w:ascii="仿宋" w:hAnsi="仿宋" w:eastAsia="仿宋" w:cs="宋体"/>
          <w:color w:val="auto"/>
          <w:szCs w:val="24"/>
          <w:highlight w:val="none"/>
        </w:rPr>
      </w:pPr>
      <w:r>
        <w:rPr>
          <w:rFonts w:ascii="仿宋" w:hAnsi="仿宋" w:eastAsia="仿宋"/>
          <w:color w:val="auto"/>
          <w:szCs w:val="24"/>
          <w:highlight w:val="none"/>
        </w:rPr>
        <w:t>3</w:t>
      </w:r>
      <w:r>
        <w:rPr>
          <w:rFonts w:hint="eastAsia" w:ascii="仿宋" w:hAnsi="仿宋" w:eastAsia="仿宋"/>
          <w:color w:val="auto"/>
          <w:szCs w:val="24"/>
          <w:highlight w:val="none"/>
        </w:rPr>
        <w:t>、</w:t>
      </w:r>
      <w:r>
        <w:rPr>
          <w:rFonts w:hint="eastAsia" w:ascii="仿宋" w:hAnsi="仿宋" w:eastAsia="仿宋" w:cs="宋体"/>
          <w:color w:val="auto"/>
          <w:szCs w:val="24"/>
          <w:highlight w:val="none"/>
        </w:rPr>
        <w:t>设计负责人具有建筑设计或环境艺术设计相关专业中级及以上工程师职称；</w:t>
      </w:r>
    </w:p>
    <w:p>
      <w:pPr>
        <w:pStyle w:val="34"/>
        <w:ind w:firstLine="480" w:firstLineChars="200"/>
        <w:rPr>
          <w:rFonts w:ascii="仿宋" w:hAnsi="仿宋" w:eastAsia="仿宋"/>
          <w:color w:val="auto"/>
          <w:szCs w:val="24"/>
          <w:highlight w:val="none"/>
          <w:lang w:val="en-US"/>
        </w:rPr>
      </w:pPr>
      <w:r>
        <w:rPr>
          <w:rFonts w:ascii="仿宋" w:hAnsi="仿宋" w:eastAsia="仿宋" w:cs="宋体"/>
          <w:color w:val="auto"/>
          <w:szCs w:val="24"/>
          <w:highlight w:val="none"/>
        </w:rPr>
        <w:t>4</w:t>
      </w:r>
      <w:r>
        <w:rPr>
          <w:rFonts w:hint="eastAsia" w:ascii="仿宋" w:hAnsi="仿宋" w:eastAsia="仿宋" w:cs="宋体"/>
          <w:color w:val="auto"/>
          <w:szCs w:val="24"/>
          <w:highlight w:val="none"/>
        </w:rPr>
        <w:t>、施工负责人、技术负责人、现场管理人员都具有中级及以上工程师职称；</w:t>
      </w:r>
    </w:p>
    <w:p>
      <w:pPr>
        <w:spacing w:line="360" w:lineRule="auto"/>
        <w:ind w:firstLine="552" w:firstLineChars="200"/>
        <w:rPr>
          <w:rFonts w:ascii="仿宋" w:hAnsi="仿宋" w:eastAsia="仿宋" w:cs="仿宋"/>
          <w:b/>
          <w:bCs/>
          <w:color w:val="auto"/>
          <w:spacing w:val="9"/>
          <w:sz w:val="24"/>
          <w:highlight w:val="none"/>
        </w:rPr>
      </w:pPr>
      <w:r>
        <w:rPr>
          <w:rFonts w:ascii="仿宋" w:hAnsi="仿宋" w:eastAsia="仿宋" w:cs="宋体"/>
          <w:color w:val="auto"/>
          <w:spacing w:val="18"/>
          <w:sz w:val="24"/>
          <w:highlight w:val="none"/>
        </w:rPr>
        <w:t>5</w:t>
      </w:r>
      <w:r>
        <w:rPr>
          <w:rFonts w:ascii="仿宋" w:hAnsi="仿宋" w:eastAsia="仿宋" w:cs="仿宋"/>
          <w:color w:val="auto"/>
          <w:spacing w:val="16"/>
          <w:sz w:val="24"/>
          <w:highlight w:val="none"/>
        </w:rPr>
        <w:t>、</w:t>
      </w:r>
      <w:r>
        <w:rPr>
          <w:rFonts w:ascii="仿宋" w:hAnsi="仿宋" w:eastAsia="仿宋" w:cs="仿宋"/>
          <w:color w:val="auto"/>
          <w:spacing w:val="10"/>
          <w:sz w:val="24"/>
          <w:highlight w:val="none"/>
        </w:rPr>
        <w:t>供</w:t>
      </w:r>
      <w:r>
        <w:rPr>
          <w:rFonts w:ascii="仿宋" w:hAnsi="仿宋" w:eastAsia="仿宋" w:cs="仿宋"/>
          <w:color w:val="auto"/>
          <w:spacing w:val="9"/>
          <w:sz w:val="24"/>
          <w:highlight w:val="none"/>
        </w:rPr>
        <w:t>应商应组建有相关经验人员为核心的管理团队，管理团队人员数量应满足项</w:t>
      </w:r>
      <w:r>
        <w:rPr>
          <w:rFonts w:ascii="仿宋" w:hAnsi="仿宋" w:eastAsia="仿宋" w:cs="仿宋"/>
          <w:color w:val="auto"/>
          <w:spacing w:val="3"/>
          <w:sz w:val="24"/>
          <w:highlight w:val="none"/>
        </w:rPr>
        <w:t xml:space="preserve">目工期要求 (服务实施阶段需派驻人员不少于 </w:t>
      </w:r>
      <w:r>
        <w:rPr>
          <w:rFonts w:hint="eastAsia" w:ascii="仿宋" w:hAnsi="仿宋" w:eastAsia="仿宋" w:cs="宋体"/>
          <w:color w:val="auto"/>
          <w:spacing w:val="3"/>
          <w:sz w:val="24"/>
          <w:highlight w:val="none"/>
        </w:rPr>
        <w:t>7</w:t>
      </w:r>
      <w:r>
        <w:rPr>
          <w:rFonts w:ascii="仿宋" w:hAnsi="仿宋" w:eastAsia="仿宋" w:cs="仿宋"/>
          <w:color w:val="auto"/>
          <w:spacing w:val="3"/>
          <w:sz w:val="24"/>
          <w:highlight w:val="none"/>
        </w:rPr>
        <w:t xml:space="preserve">人，其中：项目负责人 </w:t>
      </w:r>
      <w:r>
        <w:rPr>
          <w:rFonts w:ascii="仿宋" w:hAnsi="仿宋" w:eastAsia="仿宋" w:cs="宋体"/>
          <w:color w:val="auto"/>
          <w:spacing w:val="3"/>
          <w:sz w:val="24"/>
          <w:highlight w:val="none"/>
        </w:rPr>
        <w:t xml:space="preserve">1 </w:t>
      </w:r>
      <w:r>
        <w:rPr>
          <w:rFonts w:ascii="仿宋" w:hAnsi="仿宋" w:eastAsia="仿宋" w:cs="仿宋"/>
          <w:color w:val="auto"/>
          <w:spacing w:val="3"/>
          <w:sz w:val="24"/>
          <w:highlight w:val="none"/>
        </w:rPr>
        <w:t>名，设计</w:t>
      </w:r>
      <w:r>
        <w:rPr>
          <w:rFonts w:ascii="仿宋" w:hAnsi="仿宋" w:eastAsia="仿宋" w:cs="仿宋"/>
          <w:color w:val="auto"/>
          <w:spacing w:val="2"/>
          <w:sz w:val="24"/>
          <w:highlight w:val="none"/>
        </w:rPr>
        <w:t>负</w:t>
      </w:r>
      <w:r>
        <w:rPr>
          <w:rFonts w:ascii="仿宋" w:hAnsi="仿宋" w:eastAsia="仿宋" w:cs="仿宋"/>
          <w:color w:val="auto"/>
          <w:sz w:val="24"/>
          <w:highlight w:val="none"/>
        </w:rPr>
        <w:t xml:space="preserve"> </w:t>
      </w:r>
      <w:r>
        <w:rPr>
          <w:rFonts w:ascii="仿宋" w:hAnsi="仿宋" w:eastAsia="仿宋" w:cs="仿宋"/>
          <w:color w:val="auto"/>
          <w:spacing w:val="-6"/>
          <w:sz w:val="24"/>
          <w:highlight w:val="none"/>
        </w:rPr>
        <w:t xml:space="preserve">责人 </w:t>
      </w:r>
      <w:r>
        <w:rPr>
          <w:rFonts w:ascii="仿宋" w:hAnsi="仿宋" w:eastAsia="仿宋" w:cs="宋体"/>
          <w:color w:val="auto"/>
          <w:spacing w:val="-6"/>
          <w:sz w:val="24"/>
          <w:highlight w:val="none"/>
        </w:rPr>
        <w:t xml:space="preserve">1 </w:t>
      </w:r>
      <w:r>
        <w:rPr>
          <w:rFonts w:ascii="仿宋" w:hAnsi="仿宋" w:eastAsia="仿宋" w:cs="仿宋"/>
          <w:color w:val="auto"/>
          <w:spacing w:val="-4"/>
          <w:sz w:val="24"/>
          <w:highlight w:val="none"/>
        </w:rPr>
        <w:t>人</w:t>
      </w:r>
      <w:r>
        <w:rPr>
          <w:rFonts w:ascii="仿宋" w:hAnsi="仿宋" w:eastAsia="仿宋" w:cs="仿宋"/>
          <w:color w:val="auto"/>
          <w:spacing w:val="-3"/>
          <w:sz w:val="24"/>
          <w:highlight w:val="none"/>
        </w:rPr>
        <w:t>，</w:t>
      </w:r>
      <w:r>
        <w:rPr>
          <w:rFonts w:hint="eastAsia" w:ascii="仿宋" w:hAnsi="仿宋" w:eastAsia="仿宋" w:cs="仿宋"/>
          <w:color w:val="auto"/>
          <w:spacing w:val="-3"/>
          <w:sz w:val="24"/>
          <w:highlight w:val="none"/>
        </w:rPr>
        <w:t>展陈负责人</w:t>
      </w:r>
      <w:r>
        <w:rPr>
          <w:rFonts w:ascii="仿宋" w:hAnsi="仿宋" w:eastAsia="仿宋" w:cs="仿宋"/>
          <w:color w:val="auto"/>
          <w:spacing w:val="-3"/>
          <w:sz w:val="24"/>
          <w:highlight w:val="none"/>
        </w:rPr>
        <w:t xml:space="preserve"> </w:t>
      </w:r>
      <w:r>
        <w:rPr>
          <w:rFonts w:ascii="仿宋" w:hAnsi="仿宋" w:eastAsia="仿宋" w:cs="宋体"/>
          <w:color w:val="auto"/>
          <w:spacing w:val="-3"/>
          <w:sz w:val="24"/>
          <w:highlight w:val="none"/>
        </w:rPr>
        <w:t xml:space="preserve">1 </w:t>
      </w:r>
      <w:r>
        <w:rPr>
          <w:rFonts w:ascii="仿宋" w:hAnsi="仿宋" w:eastAsia="仿宋" w:cs="仿宋"/>
          <w:color w:val="auto"/>
          <w:spacing w:val="-3"/>
          <w:sz w:val="24"/>
          <w:highlight w:val="none"/>
        </w:rPr>
        <w:t xml:space="preserve">人，安全员 </w:t>
      </w:r>
      <w:r>
        <w:rPr>
          <w:rFonts w:hint="eastAsia" w:ascii="仿宋" w:hAnsi="仿宋" w:eastAsia="仿宋" w:cs="宋体"/>
          <w:color w:val="auto"/>
          <w:spacing w:val="-3"/>
          <w:sz w:val="24"/>
          <w:highlight w:val="none"/>
        </w:rPr>
        <w:t>1</w:t>
      </w:r>
      <w:r>
        <w:rPr>
          <w:rFonts w:ascii="仿宋" w:hAnsi="仿宋" w:eastAsia="仿宋" w:cs="仿宋"/>
          <w:color w:val="auto"/>
          <w:spacing w:val="-3"/>
          <w:sz w:val="24"/>
          <w:highlight w:val="none"/>
        </w:rPr>
        <w:t>名，</w:t>
      </w:r>
      <w:r>
        <w:rPr>
          <w:rFonts w:hint="eastAsia" w:ascii="仿宋" w:hAnsi="仿宋" w:eastAsia="仿宋" w:cs="仿宋"/>
          <w:color w:val="auto"/>
          <w:spacing w:val="-3"/>
          <w:sz w:val="24"/>
          <w:highlight w:val="none"/>
        </w:rPr>
        <w:t>技术负责人</w:t>
      </w:r>
      <w:r>
        <w:rPr>
          <w:rFonts w:ascii="仿宋" w:hAnsi="仿宋" w:eastAsia="仿宋" w:cs="仿宋"/>
          <w:color w:val="auto"/>
          <w:spacing w:val="-3"/>
          <w:sz w:val="24"/>
          <w:highlight w:val="none"/>
        </w:rPr>
        <w:t xml:space="preserve"> </w:t>
      </w:r>
      <w:r>
        <w:rPr>
          <w:rFonts w:hint="eastAsia" w:ascii="仿宋" w:hAnsi="仿宋" w:eastAsia="仿宋" w:cs="宋体"/>
          <w:color w:val="auto"/>
          <w:spacing w:val="-3"/>
          <w:sz w:val="24"/>
          <w:highlight w:val="none"/>
        </w:rPr>
        <w:t>1</w:t>
      </w:r>
      <w:r>
        <w:rPr>
          <w:rFonts w:ascii="仿宋" w:hAnsi="仿宋" w:eastAsia="仿宋" w:cs="宋体"/>
          <w:color w:val="auto"/>
          <w:spacing w:val="-3"/>
          <w:sz w:val="24"/>
          <w:highlight w:val="none"/>
        </w:rPr>
        <w:t xml:space="preserve"> </w:t>
      </w:r>
      <w:r>
        <w:rPr>
          <w:rFonts w:ascii="仿宋" w:hAnsi="仿宋" w:eastAsia="仿宋" w:cs="仿宋"/>
          <w:color w:val="auto"/>
          <w:spacing w:val="-3"/>
          <w:sz w:val="24"/>
          <w:highlight w:val="none"/>
        </w:rPr>
        <w:t>名，</w:t>
      </w:r>
      <w:r>
        <w:rPr>
          <w:rFonts w:hint="eastAsia" w:ascii="仿宋" w:hAnsi="仿宋" w:eastAsia="仿宋" w:cs="仿宋"/>
          <w:color w:val="auto"/>
          <w:spacing w:val="-3"/>
          <w:sz w:val="24"/>
          <w:highlight w:val="none"/>
        </w:rPr>
        <w:t>现场</w:t>
      </w:r>
      <w:r>
        <w:rPr>
          <w:rFonts w:ascii="仿宋" w:hAnsi="仿宋" w:eastAsia="仿宋" w:cs="仿宋"/>
          <w:color w:val="auto"/>
          <w:spacing w:val="-3"/>
          <w:sz w:val="24"/>
          <w:highlight w:val="none"/>
        </w:rPr>
        <w:t xml:space="preserve">管理人员 </w:t>
      </w:r>
      <w:r>
        <w:rPr>
          <w:rFonts w:hint="eastAsia" w:ascii="仿宋" w:hAnsi="仿宋" w:eastAsia="仿宋" w:cs="宋体"/>
          <w:color w:val="auto"/>
          <w:spacing w:val="-3"/>
          <w:sz w:val="24"/>
          <w:highlight w:val="none"/>
        </w:rPr>
        <w:t>1</w:t>
      </w:r>
      <w:r>
        <w:rPr>
          <w:rFonts w:ascii="仿宋" w:hAnsi="仿宋" w:eastAsia="仿宋" w:cs="仿宋"/>
          <w:color w:val="auto"/>
          <w:spacing w:val="8"/>
          <w:sz w:val="24"/>
          <w:highlight w:val="none"/>
        </w:rPr>
        <w:t>名，</w:t>
      </w:r>
      <w:r>
        <w:rPr>
          <w:rFonts w:hint="eastAsia" w:ascii="仿宋" w:hAnsi="仿宋" w:eastAsia="仿宋" w:cs="仿宋"/>
          <w:color w:val="auto"/>
          <w:spacing w:val="8"/>
          <w:sz w:val="24"/>
          <w:highlight w:val="none"/>
        </w:rPr>
        <w:t>施工负责人</w:t>
      </w:r>
      <w:r>
        <w:rPr>
          <w:rFonts w:ascii="仿宋" w:hAnsi="仿宋" w:eastAsia="仿宋" w:cs="仿宋"/>
          <w:color w:val="auto"/>
          <w:spacing w:val="4"/>
          <w:sz w:val="24"/>
          <w:highlight w:val="none"/>
        </w:rPr>
        <w:t xml:space="preserve"> </w:t>
      </w:r>
      <w:r>
        <w:rPr>
          <w:rFonts w:hint="eastAsia" w:ascii="仿宋" w:hAnsi="仿宋" w:eastAsia="仿宋" w:cs="宋体"/>
          <w:color w:val="auto"/>
          <w:spacing w:val="4"/>
          <w:sz w:val="24"/>
          <w:highlight w:val="none"/>
        </w:rPr>
        <w:t>1</w:t>
      </w:r>
      <w:r>
        <w:rPr>
          <w:rFonts w:ascii="仿宋" w:hAnsi="仿宋" w:eastAsia="仿宋" w:cs="宋体"/>
          <w:color w:val="auto"/>
          <w:spacing w:val="4"/>
          <w:sz w:val="24"/>
          <w:highlight w:val="none"/>
        </w:rPr>
        <w:t xml:space="preserve"> </w:t>
      </w:r>
      <w:r>
        <w:rPr>
          <w:rFonts w:ascii="仿宋" w:hAnsi="仿宋" w:eastAsia="仿宋" w:cs="仿宋"/>
          <w:color w:val="auto"/>
          <w:spacing w:val="4"/>
          <w:sz w:val="24"/>
          <w:highlight w:val="none"/>
        </w:rPr>
        <w:t>名) ，需在开工前将管理团队相关人员资料报监理及采购人，</w:t>
      </w:r>
      <w:r>
        <w:rPr>
          <w:rFonts w:ascii="仿宋" w:hAnsi="仿宋" w:eastAsia="仿宋" w:cs="仿宋"/>
          <w:b/>
          <w:bCs/>
          <w:color w:val="auto"/>
          <w:spacing w:val="11"/>
          <w:sz w:val="24"/>
          <w:highlight w:val="none"/>
        </w:rPr>
        <w:t>后</w:t>
      </w:r>
      <w:r>
        <w:rPr>
          <w:rFonts w:ascii="仿宋" w:hAnsi="仿宋" w:eastAsia="仿宋" w:cs="仿宋"/>
          <w:b/>
          <w:bCs/>
          <w:color w:val="auto"/>
          <w:spacing w:val="9"/>
          <w:sz w:val="24"/>
          <w:highlight w:val="none"/>
        </w:rPr>
        <w:t>期不得随意变更管理团队内人员</w:t>
      </w:r>
      <w:r>
        <w:rPr>
          <w:rFonts w:hint="eastAsia" w:ascii="仿宋" w:hAnsi="仿宋" w:eastAsia="仿宋" w:cs="仿宋"/>
          <w:b/>
          <w:bCs/>
          <w:color w:val="auto"/>
          <w:spacing w:val="9"/>
          <w:sz w:val="24"/>
          <w:highlight w:val="none"/>
        </w:rPr>
        <w:t>，如未经同意随意变更人员，采购人有权拒绝支付合同款项，并解除合同</w:t>
      </w:r>
      <w:r>
        <w:rPr>
          <w:rFonts w:ascii="仿宋" w:hAnsi="仿宋" w:eastAsia="仿宋" w:cs="仿宋"/>
          <w:b/>
          <w:bCs/>
          <w:color w:val="auto"/>
          <w:spacing w:val="9"/>
          <w:sz w:val="24"/>
          <w:highlight w:val="none"/>
        </w:rPr>
        <w:t>。</w:t>
      </w:r>
    </w:p>
    <w:p>
      <w:pPr>
        <w:spacing w:line="360" w:lineRule="auto"/>
        <w:rPr>
          <w:rFonts w:ascii="仿宋" w:hAnsi="仿宋" w:eastAsia="仿宋" w:cs="仿宋"/>
          <w:color w:val="auto"/>
          <w:sz w:val="24"/>
          <w:highlight w:val="none"/>
        </w:rPr>
      </w:pPr>
      <w:r>
        <w:rPr>
          <w:rFonts w:ascii="仿宋" w:hAnsi="仿宋" w:eastAsia="仿宋" w:cs="仿宋"/>
          <w:color w:val="auto"/>
          <w:spacing w:val="3"/>
          <w:sz w:val="24"/>
          <w:highlight w:val="none"/>
          <w14:textOutline w14:w="4356" w14:cap="sq" w14:cmpd="sng" w14:algn="ctr">
            <w14:solidFill>
              <w14:srgbClr w14:val="000000"/>
            </w14:solidFill>
            <w14:prstDash w14:val="solid"/>
            <w14:bevel/>
          </w14:textOutline>
        </w:rPr>
        <w:t>八、服务时间</w:t>
      </w:r>
    </w:p>
    <w:p>
      <w:pPr>
        <w:spacing w:before="164" w:line="360" w:lineRule="auto"/>
        <w:ind w:left="499"/>
        <w:rPr>
          <w:rFonts w:ascii="仿宋" w:hAnsi="仿宋" w:eastAsia="仿宋" w:cs="仿宋"/>
          <w:color w:val="auto"/>
          <w:spacing w:val="8"/>
          <w:sz w:val="24"/>
          <w:highlight w:val="none"/>
        </w:rPr>
      </w:pPr>
      <w:r>
        <w:rPr>
          <w:rFonts w:hint="eastAsia" w:ascii="仿宋" w:hAnsi="仿宋" w:eastAsia="仿宋" w:cs="仿宋"/>
          <w:color w:val="auto"/>
          <w:spacing w:val="8"/>
          <w:sz w:val="24"/>
          <w:highlight w:val="none"/>
        </w:rPr>
        <w:t>1、服务期限：自合同签订后</w:t>
      </w:r>
      <w:r>
        <w:rPr>
          <w:rFonts w:ascii="仿宋" w:hAnsi="仿宋" w:eastAsia="仿宋" w:cs="仿宋"/>
          <w:color w:val="auto"/>
          <w:spacing w:val="8"/>
          <w:sz w:val="24"/>
          <w:highlight w:val="none"/>
        </w:rPr>
        <w:t>9</w:t>
      </w:r>
      <w:r>
        <w:rPr>
          <w:rFonts w:hint="eastAsia" w:ascii="仿宋" w:hAnsi="仿宋" w:eastAsia="仿宋" w:cs="仿宋"/>
          <w:color w:val="auto"/>
          <w:spacing w:val="8"/>
          <w:sz w:val="24"/>
          <w:highlight w:val="none"/>
        </w:rPr>
        <w:t>0日内(具体以合同签订为准)。</w:t>
      </w:r>
    </w:p>
    <w:p>
      <w:pPr>
        <w:spacing w:before="164" w:line="360" w:lineRule="auto"/>
        <w:ind w:left="499"/>
        <w:rPr>
          <w:rFonts w:ascii="仿宋" w:hAnsi="仿宋" w:eastAsia="仿宋" w:cs="仿宋"/>
          <w:color w:val="auto"/>
          <w:spacing w:val="8"/>
          <w:sz w:val="24"/>
          <w:highlight w:val="none"/>
        </w:rPr>
      </w:pPr>
      <w:r>
        <w:rPr>
          <w:rFonts w:hint="eastAsia" w:ascii="仿宋" w:hAnsi="仿宋" w:eastAsia="仿宋" w:cs="仿宋"/>
          <w:color w:val="auto"/>
          <w:spacing w:val="8"/>
          <w:sz w:val="24"/>
          <w:highlight w:val="none"/>
        </w:rPr>
        <w:t>1.1 总工期要求</w:t>
      </w:r>
    </w:p>
    <w:p>
      <w:pPr>
        <w:spacing w:before="164" w:line="360" w:lineRule="auto"/>
        <w:ind w:left="499"/>
        <w:rPr>
          <w:rFonts w:ascii="仿宋" w:hAnsi="仿宋" w:eastAsia="仿宋" w:cs="仿宋"/>
          <w:color w:val="auto"/>
          <w:spacing w:val="8"/>
          <w:sz w:val="24"/>
          <w:highlight w:val="none"/>
        </w:rPr>
      </w:pPr>
      <w:r>
        <w:rPr>
          <w:rFonts w:hint="eastAsia" w:ascii="仿宋" w:hAnsi="仿宋" w:eastAsia="仿宋" w:cs="仿宋"/>
          <w:color w:val="auto"/>
          <w:spacing w:val="8"/>
          <w:sz w:val="24"/>
          <w:highlight w:val="none"/>
        </w:rPr>
        <w:t>(1) 合同签订后10 日内，完成人员、材料、设备的进场等开工前准</w:t>
      </w:r>
    </w:p>
    <w:p>
      <w:pPr>
        <w:spacing w:before="164" w:line="360" w:lineRule="auto"/>
        <w:rPr>
          <w:rFonts w:ascii="仿宋" w:hAnsi="仿宋" w:eastAsia="仿宋" w:cs="仿宋"/>
          <w:color w:val="auto"/>
          <w:spacing w:val="8"/>
          <w:sz w:val="24"/>
          <w:highlight w:val="none"/>
        </w:rPr>
      </w:pPr>
      <w:r>
        <w:rPr>
          <w:rFonts w:hint="eastAsia" w:ascii="仿宋" w:hAnsi="仿宋" w:eastAsia="仿宋" w:cs="仿宋"/>
          <w:color w:val="auto"/>
          <w:spacing w:val="8"/>
          <w:sz w:val="24"/>
          <w:highlight w:val="none"/>
        </w:rPr>
        <w:t>备工作。</w:t>
      </w:r>
    </w:p>
    <w:p>
      <w:pPr>
        <w:spacing w:before="164" w:line="360" w:lineRule="auto"/>
        <w:ind w:left="499"/>
        <w:rPr>
          <w:rFonts w:ascii="仿宋" w:hAnsi="仿宋" w:eastAsia="仿宋" w:cs="仿宋"/>
          <w:color w:val="auto"/>
          <w:spacing w:val="8"/>
          <w:sz w:val="24"/>
          <w:highlight w:val="none"/>
        </w:rPr>
      </w:pPr>
      <w:r>
        <w:rPr>
          <w:rFonts w:hint="eastAsia" w:ascii="仿宋" w:hAnsi="仿宋" w:eastAsia="仿宋" w:cs="仿宋"/>
          <w:color w:val="auto"/>
          <w:spacing w:val="8"/>
          <w:sz w:val="24"/>
          <w:highlight w:val="none"/>
        </w:rPr>
        <w:t>(2) 合同签订后15 日内，完成展厅布展工作的深化设计工作，并交采</w:t>
      </w:r>
    </w:p>
    <w:p>
      <w:pPr>
        <w:spacing w:before="164" w:line="360" w:lineRule="auto"/>
        <w:rPr>
          <w:rFonts w:ascii="仿宋" w:hAnsi="仿宋" w:eastAsia="仿宋" w:cs="仿宋"/>
          <w:color w:val="auto"/>
          <w:spacing w:val="8"/>
          <w:sz w:val="24"/>
          <w:highlight w:val="none"/>
        </w:rPr>
      </w:pPr>
      <w:r>
        <w:rPr>
          <w:rFonts w:hint="eastAsia" w:ascii="仿宋" w:hAnsi="仿宋" w:eastAsia="仿宋" w:cs="仿宋"/>
          <w:color w:val="auto"/>
          <w:spacing w:val="8"/>
          <w:sz w:val="24"/>
          <w:highlight w:val="none"/>
        </w:rPr>
        <w:t>购人及方案设计单位确认。</w:t>
      </w:r>
    </w:p>
    <w:p>
      <w:pPr>
        <w:spacing w:before="164" w:line="360" w:lineRule="auto"/>
        <w:ind w:left="499"/>
        <w:rPr>
          <w:rFonts w:ascii="仿宋" w:hAnsi="仿宋" w:eastAsia="仿宋" w:cs="仿宋"/>
          <w:color w:val="auto"/>
          <w:spacing w:val="8"/>
          <w:sz w:val="24"/>
          <w:highlight w:val="none"/>
        </w:rPr>
      </w:pPr>
      <w:r>
        <w:rPr>
          <w:rFonts w:hint="eastAsia" w:ascii="仿宋" w:hAnsi="仿宋" w:eastAsia="仿宋" w:cs="仿宋"/>
          <w:color w:val="auto"/>
          <w:spacing w:val="8"/>
          <w:sz w:val="24"/>
          <w:highlight w:val="none"/>
        </w:rPr>
        <w:t>(3) 合同签订后</w:t>
      </w:r>
      <w:r>
        <w:rPr>
          <w:rFonts w:ascii="仿宋" w:hAnsi="仿宋" w:eastAsia="仿宋" w:cs="仿宋"/>
          <w:color w:val="auto"/>
          <w:spacing w:val="8"/>
          <w:sz w:val="24"/>
          <w:highlight w:val="none"/>
        </w:rPr>
        <w:t>9</w:t>
      </w:r>
      <w:r>
        <w:rPr>
          <w:rFonts w:hint="eastAsia" w:ascii="仿宋" w:hAnsi="仿宋" w:eastAsia="仿宋" w:cs="仿宋"/>
          <w:color w:val="auto"/>
          <w:spacing w:val="8"/>
          <w:sz w:val="24"/>
          <w:highlight w:val="none"/>
        </w:rPr>
        <w:t>0日内，完成展厅布展工作，初步达到试运营条件。</w:t>
      </w:r>
    </w:p>
    <w:p>
      <w:pPr>
        <w:spacing w:before="164" w:line="360" w:lineRule="auto"/>
        <w:rPr>
          <w:rFonts w:ascii="仿宋" w:hAnsi="仿宋" w:eastAsia="仿宋" w:cs="仿宋"/>
          <w:color w:val="auto"/>
          <w:spacing w:val="8"/>
          <w:sz w:val="24"/>
          <w:highlight w:val="none"/>
        </w:rPr>
      </w:pPr>
      <w:r>
        <w:rPr>
          <w:rFonts w:ascii="仿宋" w:hAnsi="仿宋" w:eastAsia="仿宋" w:cs="仿宋"/>
          <w:color w:val="auto"/>
          <w:spacing w:val="8"/>
          <w:sz w:val="24"/>
          <w:highlight w:val="none"/>
        </w:rPr>
        <w:t>试运营条件指：(1) 展品基本布设完成；(2) 多媒体播放内容基本调试完成；</w:t>
      </w:r>
      <w:r>
        <w:rPr>
          <w:rFonts w:hint="eastAsia" w:ascii="仿宋" w:hAnsi="仿宋" w:eastAsia="仿宋" w:cs="仿宋"/>
          <w:color w:val="auto"/>
          <w:spacing w:val="8"/>
          <w:sz w:val="24"/>
          <w:highlight w:val="none"/>
        </w:rPr>
        <w:t>（3）</w:t>
      </w:r>
      <w:r>
        <w:rPr>
          <w:rFonts w:ascii="仿宋" w:hAnsi="仿宋" w:eastAsia="仿宋" w:cs="仿宋"/>
          <w:color w:val="auto"/>
          <w:spacing w:val="8"/>
          <w:sz w:val="24"/>
          <w:highlight w:val="none"/>
        </w:rPr>
        <w:t>灯光效果调试基本完成；(4) 运营团队人员基本到岗，可以开展服务工作。</w:t>
      </w:r>
    </w:p>
    <w:p>
      <w:pPr>
        <w:spacing w:before="164" w:line="360" w:lineRule="auto"/>
        <w:ind w:left="499"/>
        <w:rPr>
          <w:rFonts w:ascii="仿宋" w:hAnsi="仿宋" w:eastAsia="仿宋" w:cs="仿宋"/>
          <w:color w:val="auto"/>
          <w:spacing w:val="8"/>
          <w:sz w:val="24"/>
          <w:highlight w:val="none"/>
        </w:rPr>
      </w:pPr>
      <w:r>
        <w:rPr>
          <w:rFonts w:ascii="仿宋" w:hAnsi="仿宋" w:eastAsia="仿宋" w:cs="仿宋"/>
          <w:color w:val="auto"/>
          <w:spacing w:val="8"/>
          <w:sz w:val="24"/>
          <w:highlight w:val="none"/>
        </w:rPr>
        <w:t>2、除陈列布展外，服务供应商还应全程参与展厅联调联试，并在开馆</w:t>
      </w:r>
    </w:p>
    <w:p>
      <w:pPr>
        <w:spacing w:before="164" w:line="360" w:lineRule="auto"/>
        <w:rPr>
          <w:rFonts w:ascii="仿宋" w:hAnsi="仿宋" w:eastAsia="仿宋" w:cs="仿宋"/>
          <w:color w:val="auto"/>
          <w:spacing w:val="8"/>
          <w:sz w:val="24"/>
          <w:highlight w:val="none"/>
        </w:rPr>
      </w:pPr>
      <w:r>
        <w:rPr>
          <w:rFonts w:ascii="仿宋" w:hAnsi="仿宋" w:eastAsia="仿宋" w:cs="仿宋"/>
          <w:color w:val="auto"/>
          <w:spacing w:val="8"/>
          <w:sz w:val="24"/>
          <w:highlight w:val="none"/>
        </w:rPr>
        <w:t>后安排 1-2 名 专职人员提供运维指导。(由于受疫情防控政策导致的可能产生的闭环管理费用，如住宿、就餐等费用，由供应商自行承担)</w:t>
      </w:r>
    </w:p>
    <w:p>
      <w:pPr>
        <w:spacing w:before="164" w:line="360" w:lineRule="auto"/>
        <w:ind w:left="499"/>
        <w:rPr>
          <w:rFonts w:ascii="仿宋" w:hAnsi="仿宋" w:eastAsia="仿宋" w:cs="仿宋"/>
          <w:color w:val="auto"/>
          <w:spacing w:val="8"/>
          <w:sz w:val="24"/>
          <w:highlight w:val="none"/>
        </w:rPr>
      </w:pPr>
      <w:r>
        <w:rPr>
          <w:rFonts w:ascii="仿宋" w:hAnsi="仿宋" w:eastAsia="仿宋" w:cs="仿宋"/>
          <w:color w:val="auto"/>
          <w:spacing w:val="8"/>
          <w:sz w:val="24"/>
          <w:highlight w:val="none"/>
        </w:rPr>
        <w:t>3、进度节点： 由</w:t>
      </w:r>
      <w:r>
        <w:rPr>
          <w:rFonts w:hint="eastAsia" w:ascii="仿宋" w:hAnsi="仿宋" w:eastAsia="仿宋" w:cs="仿宋"/>
          <w:color w:val="auto"/>
          <w:spacing w:val="8"/>
          <w:sz w:val="24"/>
          <w:highlight w:val="none"/>
        </w:rPr>
        <w:t>投标人</w:t>
      </w:r>
      <w:r>
        <w:rPr>
          <w:rFonts w:ascii="仿宋" w:hAnsi="仿宋" w:eastAsia="仿宋" w:cs="仿宋"/>
          <w:color w:val="auto"/>
          <w:spacing w:val="8"/>
          <w:sz w:val="24"/>
          <w:highlight w:val="none"/>
        </w:rPr>
        <w:t>在</w:t>
      </w:r>
      <w:r>
        <w:rPr>
          <w:rFonts w:hint="eastAsia" w:ascii="仿宋" w:hAnsi="仿宋" w:eastAsia="仿宋" w:cs="仿宋"/>
          <w:color w:val="auto"/>
          <w:spacing w:val="8"/>
          <w:sz w:val="24"/>
          <w:highlight w:val="none"/>
        </w:rPr>
        <w:t>投标</w:t>
      </w:r>
      <w:r>
        <w:rPr>
          <w:rFonts w:ascii="仿宋" w:hAnsi="仿宋" w:eastAsia="仿宋" w:cs="仿宋"/>
          <w:color w:val="auto"/>
          <w:spacing w:val="8"/>
          <w:sz w:val="24"/>
          <w:highlight w:val="none"/>
        </w:rPr>
        <w:t>文件中提供详细进度节点。</w:t>
      </w:r>
      <w:r>
        <w:rPr>
          <w:rFonts w:hint="eastAsia" w:ascii="仿宋" w:hAnsi="仿宋" w:eastAsia="仿宋" w:cs="仿宋"/>
          <w:color w:val="auto"/>
          <w:spacing w:val="8"/>
          <w:sz w:val="24"/>
          <w:highlight w:val="none"/>
        </w:rPr>
        <w:t>中标</w:t>
      </w:r>
      <w:r>
        <w:rPr>
          <w:rFonts w:ascii="仿宋" w:hAnsi="仿宋" w:eastAsia="仿宋" w:cs="仿宋"/>
          <w:color w:val="auto"/>
          <w:spacing w:val="8"/>
          <w:sz w:val="24"/>
          <w:highlight w:val="none"/>
        </w:rPr>
        <w:t>后进度</w:t>
      </w:r>
    </w:p>
    <w:p>
      <w:pPr>
        <w:spacing w:before="164" w:line="360" w:lineRule="auto"/>
        <w:rPr>
          <w:rFonts w:ascii="仿宋" w:hAnsi="仿宋" w:eastAsia="仿宋" w:cs="仿宋"/>
          <w:color w:val="auto"/>
          <w:spacing w:val="8"/>
          <w:sz w:val="24"/>
          <w:highlight w:val="none"/>
        </w:rPr>
      </w:pPr>
      <w:r>
        <w:rPr>
          <w:rFonts w:ascii="仿宋" w:hAnsi="仿宋" w:eastAsia="仿宋" w:cs="仿宋"/>
          <w:color w:val="auto"/>
          <w:spacing w:val="8"/>
          <w:sz w:val="24"/>
          <w:highlight w:val="none"/>
        </w:rPr>
        <w:t>节点与采购 人协商调整确认。</w:t>
      </w:r>
    </w:p>
    <w:p>
      <w:pPr>
        <w:keepNext/>
        <w:keepLines/>
        <w:tabs>
          <w:tab w:val="left" w:pos="706"/>
          <w:tab w:val="left" w:pos="1110"/>
        </w:tabs>
        <w:spacing w:line="360" w:lineRule="auto"/>
        <w:outlineLvl w:val="1"/>
        <w:rPr>
          <w:rFonts w:ascii="仿宋" w:hAnsi="仿宋" w:eastAsia="仿宋" w:cs="仿宋"/>
          <w:b/>
          <w:bCs/>
          <w:color w:val="auto"/>
          <w:sz w:val="24"/>
          <w:highlight w:val="none"/>
        </w:rPr>
      </w:pPr>
      <w:r>
        <w:rPr>
          <w:rFonts w:hint="eastAsia" w:ascii="仿宋" w:hAnsi="仿宋" w:eastAsia="仿宋" w:cs="仿宋"/>
          <w:b/>
          <w:bCs/>
          <w:color w:val="auto"/>
          <w:sz w:val="24"/>
          <w:highlight w:val="none"/>
        </w:rPr>
        <w:t>九、售后服务</w:t>
      </w:r>
      <w:bookmarkEnd w:id="169"/>
    </w:p>
    <w:p>
      <w:pPr>
        <w:numPr>
          <w:ilvl w:val="0"/>
          <w:numId w:val="17"/>
        </w:numPr>
        <w:tabs>
          <w:tab w:val="left" w:pos="0"/>
          <w:tab w:val="clear" w:pos="780"/>
        </w:tabs>
        <w:adjustRightInd/>
        <w:spacing w:line="360" w:lineRule="auto"/>
        <w:ind w:left="0" w:firstLine="480" w:firstLineChars="200"/>
        <w:jc w:val="left"/>
        <w:rPr>
          <w:rFonts w:ascii="仿宋" w:hAnsi="仿宋" w:eastAsia="仿宋" w:cs="仿宋"/>
          <w:color w:val="auto"/>
          <w:sz w:val="24"/>
          <w:highlight w:val="none"/>
        </w:rPr>
      </w:pPr>
      <w:bookmarkStart w:id="177" w:name="_Hlk120831121"/>
      <w:r>
        <w:rPr>
          <w:rFonts w:hint="eastAsia" w:ascii="仿宋" w:hAnsi="仿宋" w:eastAsia="仿宋" w:cs="仿宋"/>
          <w:color w:val="auto"/>
          <w:sz w:val="24"/>
          <w:highlight w:val="none"/>
        </w:rPr>
        <w:t>质保期：</w:t>
      </w:r>
      <w:r>
        <w:rPr>
          <w:rFonts w:hint="eastAsia" w:ascii="仿宋" w:hAnsi="仿宋" w:eastAsia="仿宋" w:cs="仿宋"/>
          <w:color w:val="auto"/>
          <w:sz w:val="24"/>
          <w:highlight w:val="none"/>
          <w:u w:val="single"/>
        </w:rPr>
        <w:t xml:space="preserve"> 1</w:t>
      </w:r>
      <w:r>
        <w:rPr>
          <w:rFonts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年，质保期内中标人提供7*24小时内响应的售后服务，提供足够的备品、备件和技术服务，若设备出现故障，接采购人通知后30分钟内响应，2小时到达现场，8小时内排除故障，如不能修复，须提供备品备件替换使用。</w:t>
      </w:r>
    </w:p>
    <w:p>
      <w:pPr>
        <w:numPr>
          <w:ilvl w:val="0"/>
          <w:numId w:val="17"/>
        </w:numPr>
        <w:tabs>
          <w:tab w:val="left" w:pos="0"/>
          <w:tab w:val="clear" w:pos="780"/>
        </w:tabs>
        <w:adjustRightInd/>
        <w:spacing w:line="360" w:lineRule="auto"/>
        <w:ind w:left="0"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当设备出现故障或不能满足需方要求时，中标人应按需方要求排除故障，直到需方满意为止。</w:t>
      </w:r>
    </w:p>
    <w:p>
      <w:pPr>
        <w:numPr>
          <w:ilvl w:val="0"/>
          <w:numId w:val="17"/>
        </w:numPr>
        <w:tabs>
          <w:tab w:val="left" w:pos="0"/>
          <w:tab w:val="clear" w:pos="780"/>
        </w:tabs>
        <w:adjustRightInd/>
        <w:spacing w:line="360" w:lineRule="auto"/>
        <w:ind w:left="0"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 xml:space="preserve">在质保期内，当设备需要维修或更换部件时，中标人应派有经验的工程师到现场进行技术支持。 </w:t>
      </w:r>
    </w:p>
    <w:p>
      <w:pPr>
        <w:numPr>
          <w:ilvl w:val="0"/>
          <w:numId w:val="17"/>
        </w:numPr>
        <w:tabs>
          <w:tab w:val="left" w:pos="0"/>
          <w:tab w:val="clear" w:pos="780"/>
        </w:tabs>
        <w:adjustRightInd/>
        <w:spacing w:line="360" w:lineRule="auto"/>
        <w:ind w:left="0" w:firstLine="480" w:firstLineChars="200"/>
        <w:jc w:val="left"/>
        <w:rPr>
          <w:rFonts w:ascii="仿宋" w:hAnsi="仿宋" w:eastAsia="仿宋" w:cs="仿宋"/>
          <w:snapToGrid w:val="0"/>
          <w:color w:val="auto"/>
          <w:sz w:val="24"/>
          <w:highlight w:val="none"/>
        </w:rPr>
      </w:pPr>
      <w:r>
        <w:rPr>
          <w:rFonts w:hint="eastAsia" w:ascii="仿宋" w:hAnsi="仿宋" w:eastAsia="仿宋" w:cs="仿宋"/>
          <w:color w:val="auto"/>
          <w:sz w:val="24"/>
          <w:highlight w:val="none"/>
        </w:rPr>
        <w:t>在</w:t>
      </w:r>
      <w:r>
        <w:rPr>
          <w:rFonts w:hint="eastAsia" w:ascii="仿宋" w:hAnsi="仿宋" w:eastAsia="仿宋" w:cs="仿宋"/>
          <w:color w:val="auto"/>
          <w:kern w:val="0"/>
          <w:sz w:val="24"/>
          <w:highlight w:val="none"/>
        </w:rPr>
        <w:t>质保期</w:t>
      </w:r>
      <w:r>
        <w:rPr>
          <w:rFonts w:hint="eastAsia" w:ascii="仿宋" w:hAnsi="仿宋" w:eastAsia="仿宋" w:cs="仿宋"/>
          <w:color w:val="auto"/>
          <w:sz w:val="24"/>
          <w:highlight w:val="none"/>
        </w:rPr>
        <w:t>内，中标人负责对需方提出的质量异议做出书面明确答复。确属质量问题时，中标人应及时采取应急措施且负责免费更换。并相应延长其保质期。</w:t>
      </w:r>
      <w:r>
        <w:rPr>
          <w:rFonts w:hint="eastAsia" w:ascii="仿宋" w:hAnsi="仿宋" w:eastAsia="仿宋" w:cs="仿宋"/>
          <w:snapToGrid w:val="0"/>
          <w:color w:val="auto"/>
          <w:sz w:val="24"/>
          <w:highlight w:val="none"/>
        </w:rPr>
        <w:t xml:space="preserve"> </w:t>
      </w:r>
    </w:p>
    <w:p>
      <w:pPr>
        <w:numPr>
          <w:ilvl w:val="0"/>
          <w:numId w:val="17"/>
        </w:numPr>
        <w:tabs>
          <w:tab w:val="left" w:pos="0"/>
          <w:tab w:val="clear" w:pos="780"/>
        </w:tabs>
        <w:adjustRightInd/>
        <w:spacing w:line="360" w:lineRule="auto"/>
        <w:ind w:left="0"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 xml:space="preserve">质保期内，中标人应确保所有零备件的供应。 </w:t>
      </w:r>
    </w:p>
    <w:bookmarkEnd w:id="170"/>
    <w:bookmarkEnd w:id="171"/>
    <w:bookmarkEnd w:id="177"/>
    <w:p>
      <w:pPr>
        <w:pStyle w:val="36"/>
        <w:spacing w:line="360" w:lineRule="auto"/>
        <w:ind w:firstLine="0" w:firstLineChars="0"/>
        <w:rPr>
          <w:rFonts w:ascii="仿宋" w:hAnsi="仿宋" w:eastAsia="仿宋" w:cs="仿宋"/>
          <w:b/>
          <w:bCs/>
          <w:color w:val="auto"/>
          <w:highlight w:val="none"/>
        </w:rPr>
      </w:pPr>
      <w:r>
        <w:rPr>
          <w:rFonts w:hint="eastAsia" w:ascii="仿宋" w:hAnsi="仿宋" w:eastAsia="仿宋" w:cs="仿宋"/>
          <w:b/>
          <w:bCs/>
          <w:color w:val="auto"/>
          <w:highlight w:val="none"/>
        </w:rPr>
        <w:t>十、项目审核、验收要求</w:t>
      </w:r>
    </w:p>
    <w:p>
      <w:pPr>
        <w:tabs>
          <w:tab w:val="left" w:pos="0"/>
        </w:tabs>
        <w:adjustRightInd/>
        <w:spacing w:line="360" w:lineRule="auto"/>
        <w:ind w:left="480"/>
        <w:jc w:val="left"/>
        <w:rPr>
          <w:rFonts w:ascii="仿宋" w:hAnsi="仿宋" w:eastAsia="仿宋" w:cs="仿宋"/>
          <w:color w:val="auto"/>
          <w:sz w:val="24"/>
          <w:highlight w:val="none"/>
        </w:rPr>
      </w:pPr>
      <w:bookmarkStart w:id="178" w:name="_Hlk120793075"/>
      <w:r>
        <w:rPr>
          <w:rFonts w:hint="eastAsia" w:ascii="仿宋" w:hAnsi="仿宋" w:eastAsia="仿宋" w:cs="仿宋"/>
          <w:color w:val="auto"/>
          <w:sz w:val="24"/>
          <w:highlight w:val="none"/>
        </w:rPr>
        <w:t>(1) 供应商提出验收申请后，采购人按照采购合同规定的技术、服务、标准以及 中标时的投标文件、本项目采购文件等要求，委托第三方对供应商履约情况进行验收， 供应商提请验收时需要提交的验收材料 (包括但不限于) ：验收申请表、材料 (设备) 合格证 (质保资料) 、最终版图纸、第三方检测机构出具的环境空气质量合格检测报告、 方案设计单位的效果监督服务报告、展厅试运行报告等。</w:t>
      </w:r>
    </w:p>
    <w:p>
      <w:pPr>
        <w:tabs>
          <w:tab w:val="left" w:pos="0"/>
        </w:tabs>
        <w:adjustRightInd/>
        <w:spacing w:line="360" w:lineRule="auto"/>
        <w:ind w:left="480"/>
        <w:jc w:val="left"/>
        <w:rPr>
          <w:rFonts w:ascii="仿宋" w:hAnsi="仿宋" w:eastAsia="仿宋" w:cs="仿宋"/>
          <w:color w:val="auto"/>
          <w:sz w:val="24"/>
          <w:highlight w:val="none"/>
        </w:rPr>
      </w:pPr>
      <w:r>
        <w:rPr>
          <w:rFonts w:hint="eastAsia" w:ascii="仿宋" w:hAnsi="仿宋" w:eastAsia="仿宋" w:cs="仿宋"/>
          <w:color w:val="auto"/>
          <w:sz w:val="24"/>
          <w:highlight w:val="none"/>
        </w:rPr>
        <w:t>(2) 验收流程：</w:t>
      </w:r>
    </w:p>
    <w:p>
      <w:pPr>
        <w:tabs>
          <w:tab w:val="left" w:pos="0"/>
        </w:tabs>
        <w:adjustRightInd/>
        <w:spacing w:line="360" w:lineRule="auto"/>
        <w:ind w:left="480"/>
        <w:jc w:val="left"/>
        <w:rPr>
          <w:rFonts w:ascii="仿宋" w:hAnsi="仿宋" w:eastAsia="仿宋" w:cs="仿宋"/>
          <w:color w:val="auto"/>
          <w:sz w:val="24"/>
          <w:highlight w:val="none"/>
        </w:rPr>
      </w:pPr>
      <w:r>
        <w:rPr>
          <w:rFonts w:hint="eastAsia" w:ascii="仿宋" w:hAnsi="仿宋" w:eastAsia="仿宋" w:cs="仿宋"/>
          <w:color w:val="auto"/>
          <w:sz w:val="24"/>
          <w:highlight w:val="none"/>
        </w:rPr>
        <w:t>①供应商完成合同要求的内容后，须向采购人发出验收申请。</w:t>
      </w:r>
    </w:p>
    <w:p>
      <w:pPr>
        <w:tabs>
          <w:tab w:val="left" w:pos="0"/>
        </w:tabs>
        <w:adjustRightInd/>
        <w:spacing w:line="360" w:lineRule="auto"/>
        <w:ind w:left="480"/>
        <w:jc w:val="left"/>
        <w:rPr>
          <w:rFonts w:ascii="仿宋" w:hAnsi="仿宋" w:eastAsia="仿宋" w:cs="仿宋"/>
          <w:color w:val="auto"/>
          <w:sz w:val="24"/>
          <w:highlight w:val="none"/>
        </w:rPr>
      </w:pPr>
      <w:r>
        <w:rPr>
          <w:rFonts w:hint="eastAsia" w:ascii="仿宋" w:hAnsi="仿宋" w:eastAsia="仿宋" w:cs="仿宋"/>
          <w:color w:val="auto"/>
          <w:sz w:val="24"/>
          <w:highlight w:val="none"/>
        </w:rPr>
        <w:t>②采购人收到供应商验收申请后，委托第三方验收。验收的结果为本项目付款依据。</w:t>
      </w:r>
    </w:p>
    <w:p>
      <w:pPr>
        <w:pStyle w:val="36"/>
        <w:spacing w:line="360" w:lineRule="auto"/>
        <w:rPr>
          <w:rFonts w:ascii="仿宋" w:hAnsi="仿宋" w:eastAsia="仿宋" w:cs="宋体"/>
          <w:color w:val="auto"/>
          <w:highlight w:val="none"/>
        </w:rPr>
      </w:pPr>
      <w:bookmarkStart w:id="179" w:name="_Toc8526"/>
      <w:r>
        <w:rPr>
          <w:color w:val="auto"/>
          <w:highlight w:val="none"/>
        </w:rPr>
        <w:t>(3)</w:t>
      </w:r>
      <w:r>
        <w:rPr>
          <w:rFonts w:hint="eastAsia" w:ascii="仿宋" w:hAnsi="仿宋" w:eastAsia="仿宋" w:cs="宋体"/>
          <w:color w:val="auto"/>
          <w:highlight w:val="none"/>
        </w:rPr>
        <w:t>履约验收内容</w:t>
      </w:r>
      <w:bookmarkEnd w:id="179"/>
    </w:p>
    <w:p>
      <w:pPr>
        <w:pStyle w:val="645"/>
        <w:ind w:firstLine="480"/>
        <w:rPr>
          <w:rFonts w:ascii="仿宋" w:hAnsi="仿宋" w:eastAsia="仿宋" w:cs="仿宋"/>
          <w:color w:val="auto"/>
          <w:highlight w:val="none"/>
        </w:rPr>
      </w:pPr>
      <w:r>
        <w:rPr>
          <w:rFonts w:hint="eastAsia" w:ascii="仿宋" w:hAnsi="仿宋" w:eastAsia="仿宋" w:cs="仿宋"/>
          <w:color w:val="auto"/>
          <w:highlight w:val="none"/>
        </w:rPr>
        <w:t>1）技术履约内容</w:t>
      </w:r>
    </w:p>
    <w:p>
      <w:pPr>
        <w:pStyle w:val="36"/>
        <w:spacing w:after="120" w:line="360" w:lineRule="auto"/>
        <w:rPr>
          <w:rFonts w:ascii="仿宋" w:hAnsi="仿宋" w:eastAsia="仿宋" w:cs="仿宋"/>
          <w:color w:val="auto"/>
          <w:highlight w:val="none"/>
        </w:rPr>
      </w:pPr>
      <w:r>
        <w:rPr>
          <w:rFonts w:hint="eastAsia" w:ascii="仿宋" w:hAnsi="仿宋" w:eastAsia="仿宋" w:cs="仿宋"/>
          <w:color w:val="auto"/>
          <w:highlight w:val="none"/>
        </w:rPr>
        <w:t>①满足所有采购需求及响应文件承诺；</w:t>
      </w:r>
    </w:p>
    <w:p>
      <w:pPr>
        <w:pStyle w:val="36"/>
        <w:spacing w:after="120" w:line="360" w:lineRule="auto"/>
        <w:rPr>
          <w:rFonts w:ascii="仿宋" w:hAnsi="仿宋" w:eastAsia="仿宋" w:cs="仿宋"/>
          <w:color w:val="auto"/>
          <w:highlight w:val="none"/>
        </w:rPr>
      </w:pPr>
      <w:r>
        <w:rPr>
          <w:rFonts w:hint="eastAsia" w:ascii="仿宋" w:hAnsi="仿宋" w:eastAsia="仿宋" w:cs="仿宋"/>
          <w:color w:val="auto"/>
          <w:highlight w:val="none"/>
        </w:rPr>
        <w:t>②</w:t>
      </w:r>
      <w:r>
        <w:rPr>
          <w:rFonts w:ascii="仿宋" w:hAnsi="仿宋" w:eastAsia="仿宋" w:cs="仿宋"/>
          <w:color w:val="auto"/>
          <w:highlight w:val="none"/>
        </w:rPr>
        <w:t>拟投服务团队人员全部到位，与</w:t>
      </w:r>
      <w:r>
        <w:rPr>
          <w:rFonts w:hint="eastAsia" w:ascii="仿宋" w:hAnsi="仿宋" w:eastAsia="仿宋" w:cs="仿宋"/>
          <w:color w:val="auto"/>
          <w:highlight w:val="none"/>
        </w:rPr>
        <w:t>响应</w:t>
      </w:r>
      <w:r>
        <w:rPr>
          <w:rFonts w:ascii="仿宋" w:hAnsi="仿宋" w:eastAsia="仿宋" w:cs="仿宋"/>
          <w:color w:val="auto"/>
          <w:highlight w:val="none"/>
        </w:rPr>
        <w:t>文件人员信息清单一致；</w:t>
      </w:r>
    </w:p>
    <w:p>
      <w:pPr>
        <w:pStyle w:val="645"/>
        <w:ind w:firstLine="480"/>
        <w:rPr>
          <w:rFonts w:ascii="仿宋" w:hAnsi="仿宋" w:eastAsia="仿宋" w:cs="仿宋"/>
          <w:color w:val="auto"/>
          <w:highlight w:val="none"/>
        </w:rPr>
      </w:pPr>
      <w:r>
        <w:rPr>
          <w:rFonts w:hint="eastAsia" w:ascii="仿宋" w:hAnsi="仿宋" w:eastAsia="仿宋" w:cs="仿宋"/>
          <w:color w:val="auto"/>
          <w:highlight w:val="none"/>
        </w:rPr>
        <w:t>2）商务履约内容</w:t>
      </w:r>
    </w:p>
    <w:p>
      <w:pPr>
        <w:pStyle w:val="661"/>
        <w:spacing w:after="120" w:line="360" w:lineRule="auto"/>
        <w:ind w:firstLine="48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①服务周期满足采购要求。</w:t>
      </w:r>
    </w:p>
    <w:p>
      <w:pPr>
        <w:tabs>
          <w:tab w:val="left" w:pos="0"/>
        </w:tabs>
        <w:adjustRightInd/>
        <w:spacing w:line="360" w:lineRule="auto"/>
        <w:ind w:left="480"/>
        <w:jc w:val="left"/>
        <w:rPr>
          <w:rFonts w:ascii="仿宋" w:hAnsi="仿宋" w:eastAsia="仿宋" w:cs="仿宋"/>
          <w:color w:val="auto"/>
          <w:sz w:val="24"/>
          <w:highlight w:val="none"/>
        </w:rPr>
      </w:pPr>
      <w:r>
        <w:rPr>
          <w:rFonts w:hint="eastAsia" w:ascii="仿宋" w:hAnsi="仿宋" w:eastAsia="仿宋" w:cs="仿宋"/>
          <w:color w:val="auto"/>
          <w:sz w:val="24"/>
          <w:highlight w:val="none"/>
        </w:rPr>
        <w:t>(</w:t>
      </w:r>
      <w:r>
        <w:rPr>
          <w:rFonts w:ascii="仿宋" w:hAnsi="仿宋" w:eastAsia="仿宋" w:cs="仿宋"/>
          <w:color w:val="auto"/>
          <w:sz w:val="24"/>
          <w:highlight w:val="none"/>
        </w:rPr>
        <w:t>4</w:t>
      </w:r>
      <w:r>
        <w:rPr>
          <w:rFonts w:hint="eastAsia" w:ascii="仿宋" w:hAnsi="仿宋" w:eastAsia="仿宋" w:cs="仿宋"/>
          <w:color w:val="auto"/>
          <w:sz w:val="24"/>
          <w:highlight w:val="none"/>
        </w:rPr>
        <w:t>) 验收标准：</w:t>
      </w:r>
    </w:p>
    <w:p>
      <w:pPr>
        <w:tabs>
          <w:tab w:val="left" w:pos="0"/>
        </w:tabs>
        <w:adjustRightInd/>
        <w:spacing w:line="360" w:lineRule="auto"/>
        <w:ind w:left="480"/>
        <w:jc w:val="left"/>
        <w:rPr>
          <w:rFonts w:ascii="仿宋" w:hAnsi="仿宋" w:eastAsia="仿宋" w:cs="仿宋"/>
          <w:color w:val="auto"/>
          <w:sz w:val="24"/>
          <w:highlight w:val="none"/>
        </w:rPr>
      </w:pPr>
      <w:r>
        <w:rPr>
          <w:rFonts w:hint="eastAsia" w:ascii="仿宋" w:hAnsi="仿宋" w:eastAsia="仿宋" w:cs="仿宋"/>
          <w:color w:val="auto"/>
          <w:sz w:val="24"/>
          <w:highlight w:val="none"/>
        </w:rPr>
        <w:t>①满足需求“标准规范”中提到的相应国家相关标准、行业标准、地方标准；</w:t>
      </w:r>
    </w:p>
    <w:p>
      <w:pPr>
        <w:tabs>
          <w:tab w:val="left" w:pos="0"/>
        </w:tabs>
        <w:adjustRightInd/>
        <w:spacing w:line="360" w:lineRule="auto"/>
        <w:ind w:left="480"/>
        <w:jc w:val="left"/>
        <w:rPr>
          <w:rFonts w:ascii="仿宋" w:hAnsi="仿宋" w:eastAsia="仿宋" w:cs="仿宋"/>
          <w:color w:val="auto"/>
          <w:sz w:val="24"/>
          <w:highlight w:val="none"/>
        </w:rPr>
      </w:pPr>
      <w:r>
        <w:rPr>
          <w:rFonts w:hint="eastAsia" w:ascii="仿宋" w:hAnsi="仿宋" w:eastAsia="仿宋" w:cs="仿宋"/>
          <w:color w:val="auto"/>
          <w:sz w:val="24"/>
          <w:highlight w:val="none"/>
        </w:rPr>
        <w:t>②展厅布展服务的深化设计：在规定时间内提供平面深化图、各类节点图、 灯具布置图、弱电管线图、强电管线图、展柜 (台) 的形式，灯具 (专业) 的形式及要求，异形展墙、普通展墙、定制金属展柜、独立金属展柜 、特殊展柜墙体、浮雕墙创作、油画类背景画创作、彩色立面图等，全尺寸建模、渲染效果图等深化设计图纸，设计深度达到施工图程度，能有效指导展厅搭设及布展，深化设计图纸符合原设计方案的设计理念和总体要求，并通过采购人确认；</w:t>
      </w:r>
    </w:p>
    <w:bookmarkEnd w:id="178"/>
    <w:p>
      <w:pPr>
        <w:tabs>
          <w:tab w:val="left" w:pos="0"/>
        </w:tabs>
        <w:adjustRightInd/>
        <w:spacing w:line="360" w:lineRule="auto"/>
        <w:jc w:val="left"/>
        <w:rPr>
          <w:rFonts w:ascii="仿宋" w:hAnsi="仿宋" w:eastAsia="仿宋" w:cs="仿宋"/>
          <w:b/>
          <w:bCs/>
          <w:color w:val="auto"/>
          <w:sz w:val="24"/>
          <w:highlight w:val="none"/>
        </w:rPr>
      </w:pPr>
      <w:r>
        <w:rPr>
          <w:rFonts w:hint="eastAsia" w:ascii="仿宋" w:hAnsi="仿宋" w:eastAsia="仿宋" w:cs="仿宋"/>
          <w:b/>
          <w:bCs/>
          <w:color w:val="auto"/>
          <w:sz w:val="24"/>
          <w:highlight w:val="none"/>
        </w:rPr>
        <w:t>十一、其他要求</w:t>
      </w:r>
    </w:p>
    <w:p>
      <w:pPr>
        <w:tabs>
          <w:tab w:val="left" w:pos="0"/>
        </w:tabs>
        <w:adjustRightInd/>
        <w:spacing w:line="360" w:lineRule="auto"/>
        <w:ind w:left="480"/>
        <w:jc w:val="left"/>
        <w:rPr>
          <w:rFonts w:ascii="仿宋" w:hAnsi="仿宋" w:eastAsia="仿宋" w:cs="仿宋"/>
          <w:color w:val="auto"/>
          <w:sz w:val="24"/>
          <w:highlight w:val="none"/>
        </w:rPr>
      </w:pPr>
      <w:bookmarkStart w:id="180" w:name="_Hlk120830935"/>
      <w:r>
        <w:rPr>
          <w:rFonts w:hint="eastAsia" w:ascii="仿宋" w:hAnsi="仿宋" w:eastAsia="仿宋" w:cs="仿宋"/>
          <w:color w:val="auto"/>
          <w:sz w:val="24"/>
          <w:highlight w:val="none"/>
        </w:rPr>
        <w:t>1、在质量保证期内设备、材料非因人为及不可抗拒因素的原因而引起损坏或质量问题，供应商应免费予以技术服务、维修或设备更换，并承担相应费用和零部件的费用。</w:t>
      </w:r>
    </w:p>
    <w:p>
      <w:pPr>
        <w:tabs>
          <w:tab w:val="left" w:pos="0"/>
        </w:tabs>
        <w:adjustRightInd/>
        <w:spacing w:line="360" w:lineRule="auto"/>
        <w:ind w:left="480"/>
        <w:jc w:val="left"/>
        <w:rPr>
          <w:rFonts w:ascii="仿宋" w:hAnsi="仿宋" w:eastAsia="仿宋" w:cs="仿宋"/>
          <w:color w:val="auto"/>
          <w:sz w:val="24"/>
          <w:highlight w:val="none"/>
        </w:rPr>
      </w:pPr>
      <w:r>
        <w:rPr>
          <w:rFonts w:ascii="仿宋" w:hAnsi="仿宋" w:eastAsia="仿宋" w:cs="仿宋"/>
          <w:color w:val="auto"/>
          <w:sz w:val="24"/>
          <w:highlight w:val="none"/>
        </w:rPr>
        <w:t xml:space="preserve"> </w:t>
      </w:r>
      <w:r>
        <w:rPr>
          <w:rFonts w:hint="eastAsia" w:ascii="仿宋" w:hAnsi="仿宋" w:eastAsia="仿宋" w:cs="仿宋"/>
          <w:color w:val="auto"/>
          <w:sz w:val="24"/>
          <w:highlight w:val="none"/>
        </w:rPr>
        <w:t>2、包装要求：相关设备、材料发运前对其进行满足运输距离、防潮、防震、防锈和 防破损装卸等要求包装， 以保证设备安全运达指定地点。</w:t>
      </w:r>
    </w:p>
    <w:p>
      <w:pPr>
        <w:tabs>
          <w:tab w:val="left" w:pos="0"/>
        </w:tabs>
        <w:adjustRightInd/>
        <w:spacing w:line="360" w:lineRule="auto"/>
        <w:ind w:left="480"/>
        <w:jc w:val="left"/>
        <w:rPr>
          <w:rFonts w:ascii="仿宋" w:hAnsi="仿宋" w:eastAsia="仿宋" w:cs="仿宋"/>
          <w:color w:val="auto"/>
          <w:sz w:val="24"/>
          <w:highlight w:val="none"/>
        </w:rPr>
      </w:pPr>
      <w:r>
        <w:rPr>
          <w:rFonts w:hint="eastAsia" w:ascii="仿宋" w:hAnsi="仿宋" w:eastAsia="仿宋" w:cs="仿宋"/>
          <w:color w:val="auto"/>
          <w:sz w:val="24"/>
          <w:highlight w:val="none"/>
        </w:rPr>
        <w:t>3、运输要求：供应商需负责设备运输的相关事项，并承担运费及其运费险。</w:t>
      </w:r>
    </w:p>
    <w:p>
      <w:pPr>
        <w:tabs>
          <w:tab w:val="left" w:pos="0"/>
        </w:tabs>
        <w:adjustRightInd/>
        <w:spacing w:line="360" w:lineRule="auto"/>
        <w:ind w:left="480"/>
        <w:jc w:val="left"/>
        <w:rPr>
          <w:rFonts w:ascii="仿宋" w:hAnsi="仿宋" w:eastAsia="仿宋" w:cs="仿宋"/>
          <w:color w:val="auto"/>
          <w:sz w:val="24"/>
          <w:highlight w:val="none"/>
        </w:rPr>
      </w:pPr>
      <w:r>
        <w:rPr>
          <w:rFonts w:hint="eastAsia" w:ascii="仿宋" w:hAnsi="仿宋" w:eastAsia="仿宋" w:cs="仿宋"/>
          <w:color w:val="auto"/>
          <w:sz w:val="24"/>
          <w:highlight w:val="none"/>
        </w:rPr>
        <w:t>4、环保要求：要求供应商制定详细的展陈方案，确保在搭设期间有效控制现场的扬 尘、噪音、水、光等污染，按规范要求处置各类废弃物。</w:t>
      </w:r>
    </w:p>
    <w:p>
      <w:pPr>
        <w:tabs>
          <w:tab w:val="left" w:pos="0"/>
        </w:tabs>
        <w:adjustRightInd/>
        <w:spacing w:line="360" w:lineRule="auto"/>
        <w:ind w:left="480"/>
        <w:jc w:val="left"/>
        <w:rPr>
          <w:rFonts w:ascii="仿宋" w:hAnsi="仿宋" w:eastAsia="仿宋" w:cs="仿宋"/>
          <w:color w:val="auto"/>
          <w:sz w:val="24"/>
          <w:highlight w:val="none"/>
        </w:rPr>
      </w:pPr>
      <w:r>
        <w:rPr>
          <w:rFonts w:hint="eastAsia" w:ascii="仿宋" w:hAnsi="仿宋" w:eastAsia="仿宋" w:cs="仿宋"/>
          <w:color w:val="auto"/>
          <w:sz w:val="24"/>
          <w:highlight w:val="none"/>
        </w:rPr>
        <w:t>5、安全文明要求：在合同履行期间必须保证供应商 (含所有参与本项目的人员) 项 目所在地及第三方的安全，做到文明和规范。期间若发生安全责任事故或被相关部门查 处的，一切责任及经济赔偿由供应商承担，由此给采购人造成损失的，由供应商予以赔偿。</w:t>
      </w:r>
    </w:p>
    <w:bookmarkEnd w:id="180"/>
    <w:p>
      <w:pPr>
        <w:rPr>
          <w:color w:val="auto"/>
          <w:highlight w:val="none"/>
        </w:rPr>
      </w:pPr>
    </w:p>
    <w:p>
      <w:pPr>
        <w:pStyle w:val="36"/>
        <w:numPr>
          <w:ilvl w:val="0"/>
          <w:numId w:val="18"/>
        </w:numPr>
        <w:ind w:firstLine="0" w:firstLineChars="0"/>
        <w:jc w:val="left"/>
        <w:rPr>
          <w:rFonts w:ascii="仿宋" w:hAnsi="仿宋" w:eastAsia="仿宋" w:cs="仿宋"/>
          <w:b/>
          <w:bCs/>
          <w:color w:val="auto"/>
          <w:highlight w:val="none"/>
        </w:rPr>
      </w:pPr>
      <w:r>
        <w:rPr>
          <w:rFonts w:hint="eastAsia" w:ascii="仿宋" w:hAnsi="仿宋" w:eastAsia="仿宋" w:cs="仿宋"/>
          <w:b/>
          <w:bCs/>
          <w:color w:val="auto"/>
          <w:highlight w:val="none"/>
        </w:rPr>
        <w:t>清单</w:t>
      </w:r>
    </w:p>
    <w:p>
      <w:pPr>
        <w:rPr>
          <w:color w:val="auto"/>
          <w:highlight w:val="none"/>
        </w:rPr>
      </w:pPr>
    </w:p>
    <w:tbl>
      <w:tblPr>
        <w:tblStyle w:val="88"/>
        <w:tblW w:w="9240" w:type="dxa"/>
        <w:tblInd w:w="93" w:type="dxa"/>
        <w:tblLayout w:type="autofit"/>
        <w:tblCellMar>
          <w:top w:w="0" w:type="dxa"/>
          <w:left w:w="108" w:type="dxa"/>
          <w:bottom w:w="0" w:type="dxa"/>
          <w:right w:w="108" w:type="dxa"/>
        </w:tblCellMar>
      </w:tblPr>
      <w:tblGrid>
        <w:gridCol w:w="531"/>
        <w:gridCol w:w="2173"/>
        <w:gridCol w:w="4422"/>
        <w:gridCol w:w="974"/>
        <w:gridCol w:w="1140"/>
      </w:tblGrid>
      <w:tr>
        <w:tblPrEx>
          <w:tblCellMar>
            <w:top w:w="0" w:type="dxa"/>
            <w:left w:w="108" w:type="dxa"/>
            <w:bottom w:w="0" w:type="dxa"/>
            <w:right w:w="108" w:type="dxa"/>
          </w:tblCellMar>
        </w:tblPrEx>
        <w:trPr>
          <w:trHeight w:val="259" w:hRule="atLeast"/>
        </w:trPr>
        <w:tc>
          <w:tcPr>
            <w:tcW w:w="531" w:type="dxa"/>
            <w:vMerge w:val="restart"/>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b/>
                <w:bCs/>
                <w:color w:val="auto"/>
                <w:sz w:val="20"/>
                <w:szCs w:val="20"/>
                <w:highlight w:val="none"/>
              </w:rPr>
            </w:pPr>
            <w:r>
              <w:rPr>
                <w:rFonts w:hint="eastAsia" w:ascii="仿宋" w:hAnsi="仿宋" w:eastAsia="仿宋" w:cs="仿宋"/>
                <w:b/>
                <w:bCs/>
                <w:color w:val="auto"/>
                <w:kern w:val="0"/>
                <w:sz w:val="20"/>
                <w:szCs w:val="20"/>
                <w:highlight w:val="none"/>
                <w:lang w:bidi="ar"/>
              </w:rPr>
              <w:t>序号</w:t>
            </w:r>
          </w:p>
        </w:tc>
        <w:tc>
          <w:tcPr>
            <w:tcW w:w="2173" w:type="dxa"/>
            <w:vMerge w:val="restart"/>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b/>
                <w:bCs/>
                <w:color w:val="auto"/>
                <w:sz w:val="20"/>
                <w:szCs w:val="20"/>
                <w:highlight w:val="none"/>
              </w:rPr>
            </w:pPr>
            <w:r>
              <w:rPr>
                <w:rFonts w:hint="eastAsia" w:ascii="仿宋" w:hAnsi="仿宋" w:eastAsia="仿宋" w:cs="仿宋"/>
                <w:b/>
                <w:bCs/>
                <w:color w:val="auto"/>
                <w:kern w:val="0"/>
                <w:sz w:val="20"/>
                <w:szCs w:val="20"/>
                <w:highlight w:val="none"/>
                <w:lang w:bidi="ar"/>
              </w:rPr>
              <w:t>项目名称</w:t>
            </w:r>
          </w:p>
        </w:tc>
        <w:tc>
          <w:tcPr>
            <w:tcW w:w="4422" w:type="dxa"/>
            <w:vMerge w:val="restart"/>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b/>
                <w:bCs/>
                <w:color w:val="auto"/>
                <w:sz w:val="20"/>
                <w:szCs w:val="20"/>
                <w:highlight w:val="none"/>
              </w:rPr>
            </w:pPr>
            <w:r>
              <w:rPr>
                <w:rFonts w:hint="eastAsia" w:ascii="仿宋" w:hAnsi="仿宋" w:eastAsia="仿宋" w:cs="仿宋"/>
                <w:b/>
                <w:bCs/>
                <w:color w:val="auto"/>
                <w:kern w:val="0"/>
                <w:sz w:val="20"/>
                <w:szCs w:val="20"/>
                <w:highlight w:val="none"/>
                <w:lang w:bidi="ar"/>
              </w:rPr>
              <w:t>项目特征</w:t>
            </w:r>
          </w:p>
        </w:tc>
        <w:tc>
          <w:tcPr>
            <w:tcW w:w="974" w:type="dxa"/>
            <w:vMerge w:val="restart"/>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b/>
                <w:bCs/>
                <w:color w:val="auto"/>
                <w:sz w:val="20"/>
                <w:szCs w:val="20"/>
                <w:highlight w:val="none"/>
              </w:rPr>
            </w:pPr>
            <w:r>
              <w:rPr>
                <w:rFonts w:hint="eastAsia" w:ascii="仿宋" w:hAnsi="仿宋" w:eastAsia="仿宋" w:cs="仿宋"/>
                <w:b/>
                <w:bCs/>
                <w:color w:val="auto"/>
                <w:kern w:val="0"/>
                <w:sz w:val="20"/>
                <w:szCs w:val="20"/>
                <w:highlight w:val="none"/>
                <w:lang w:bidi="ar"/>
              </w:rPr>
              <w:t>计量单位</w:t>
            </w:r>
          </w:p>
        </w:tc>
        <w:tc>
          <w:tcPr>
            <w:tcW w:w="1140" w:type="dxa"/>
            <w:vMerge w:val="restart"/>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b/>
                <w:bCs/>
                <w:color w:val="auto"/>
                <w:sz w:val="20"/>
                <w:szCs w:val="20"/>
                <w:highlight w:val="none"/>
              </w:rPr>
            </w:pPr>
            <w:r>
              <w:rPr>
                <w:rFonts w:hint="eastAsia" w:ascii="仿宋" w:hAnsi="仿宋" w:eastAsia="仿宋" w:cs="仿宋"/>
                <w:b/>
                <w:bCs/>
                <w:color w:val="auto"/>
                <w:kern w:val="0"/>
                <w:sz w:val="20"/>
                <w:szCs w:val="20"/>
                <w:highlight w:val="none"/>
                <w:lang w:bidi="ar"/>
              </w:rPr>
              <w:t>工程量</w:t>
            </w:r>
          </w:p>
        </w:tc>
      </w:tr>
      <w:tr>
        <w:tblPrEx>
          <w:tblCellMar>
            <w:top w:w="0" w:type="dxa"/>
            <w:left w:w="108" w:type="dxa"/>
            <w:bottom w:w="0" w:type="dxa"/>
            <w:right w:w="108" w:type="dxa"/>
          </w:tblCellMar>
        </w:tblPrEx>
        <w:trPr>
          <w:trHeight w:val="259" w:hRule="atLeast"/>
        </w:trPr>
        <w:tc>
          <w:tcPr>
            <w:tcW w:w="531" w:type="dxa"/>
            <w:vMerge w:val="continue"/>
            <w:tcBorders>
              <w:top w:val="single" w:color="000000" w:sz="8" w:space="0"/>
              <w:left w:val="single" w:color="000000" w:sz="8" w:space="0"/>
              <w:bottom w:val="single" w:color="000000" w:sz="8" w:space="0"/>
              <w:right w:val="single" w:color="000000" w:sz="8" w:space="0"/>
            </w:tcBorders>
            <w:shd w:val="clear" w:color="FFFFFF" w:fill="FFFFFF"/>
            <w:vAlign w:val="center"/>
          </w:tcPr>
          <w:p>
            <w:pPr>
              <w:jc w:val="center"/>
              <w:rPr>
                <w:rFonts w:ascii="仿宋" w:hAnsi="仿宋" w:eastAsia="仿宋" w:cs="仿宋"/>
                <w:b/>
                <w:bCs/>
                <w:color w:val="auto"/>
                <w:sz w:val="20"/>
                <w:szCs w:val="20"/>
                <w:highlight w:val="none"/>
              </w:rPr>
            </w:pPr>
          </w:p>
        </w:tc>
        <w:tc>
          <w:tcPr>
            <w:tcW w:w="2173" w:type="dxa"/>
            <w:vMerge w:val="continue"/>
            <w:tcBorders>
              <w:top w:val="single" w:color="000000" w:sz="8" w:space="0"/>
              <w:left w:val="single" w:color="000000" w:sz="8" w:space="0"/>
              <w:bottom w:val="single" w:color="000000" w:sz="8" w:space="0"/>
              <w:right w:val="single" w:color="000000" w:sz="8" w:space="0"/>
            </w:tcBorders>
            <w:shd w:val="clear" w:color="FFFFFF" w:fill="FFFFFF"/>
            <w:vAlign w:val="center"/>
          </w:tcPr>
          <w:p>
            <w:pPr>
              <w:jc w:val="center"/>
              <w:rPr>
                <w:rFonts w:ascii="仿宋" w:hAnsi="仿宋" w:eastAsia="仿宋" w:cs="仿宋"/>
                <w:b/>
                <w:bCs/>
                <w:color w:val="auto"/>
                <w:sz w:val="20"/>
                <w:szCs w:val="20"/>
                <w:highlight w:val="none"/>
              </w:rPr>
            </w:pPr>
          </w:p>
        </w:tc>
        <w:tc>
          <w:tcPr>
            <w:tcW w:w="4422" w:type="dxa"/>
            <w:vMerge w:val="continue"/>
            <w:tcBorders>
              <w:top w:val="single" w:color="000000" w:sz="8" w:space="0"/>
              <w:left w:val="single" w:color="000000" w:sz="8" w:space="0"/>
              <w:bottom w:val="single" w:color="000000" w:sz="8" w:space="0"/>
              <w:right w:val="single" w:color="000000" w:sz="8" w:space="0"/>
            </w:tcBorders>
            <w:shd w:val="clear" w:color="FFFFFF" w:fill="FFFFFF"/>
            <w:vAlign w:val="center"/>
          </w:tcPr>
          <w:p>
            <w:pPr>
              <w:jc w:val="center"/>
              <w:rPr>
                <w:rFonts w:ascii="仿宋" w:hAnsi="仿宋" w:eastAsia="仿宋" w:cs="仿宋"/>
                <w:b/>
                <w:bCs/>
                <w:color w:val="auto"/>
                <w:sz w:val="20"/>
                <w:szCs w:val="20"/>
                <w:highlight w:val="none"/>
              </w:rPr>
            </w:pPr>
          </w:p>
        </w:tc>
        <w:tc>
          <w:tcPr>
            <w:tcW w:w="974" w:type="dxa"/>
            <w:vMerge w:val="continue"/>
            <w:tcBorders>
              <w:top w:val="single" w:color="000000" w:sz="8" w:space="0"/>
              <w:left w:val="single" w:color="000000" w:sz="8" w:space="0"/>
              <w:bottom w:val="single" w:color="000000" w:sz="8" w:space="0"/>
              <w:right w:val="single" w:color="000000" w:sz="8" w:space="0"/>
            </w:tcBorders>
            <w:shd w:val="clear" w:color="FFFFFF" w:fill="FFFFFF"/>
            <w:vAlign w:val="center"/>
          </w:tcPr>
          <w:p>
            <w:pPr>
              <w:jc w:val="center"/>
              <w:rPr>
                <w:rFonts w:ascii="仿宋" w:hAnsi="仿宋" w:eastAsia="仿宋" w:cs="仿宋"/>
                <w:b/>
                <w:bCs/>
                <w:color w:val="auto"/>
                <w:sz w:val="20"/>
                <w:szCs w:val="20"/>
                <w:highlight w:val="none"/>
              </w:rPr>
            </w:pPr>
          </w:p>
        </w:tc>
        <w:tc>
          <w:tcPr>
            <w:tcW w:w="1140" w:type="dxa"/>
            <w:vMerge w:val="continue"/>
            <w:tcBorders>
              <w:top w:val="single" w:color="000000" w:sz="8" w:space="0"/>
              <w:left w:val="single" w:color="000000" w:sz="8" w:space="0"/>
              <w:bottom w:val="single" w:color="000000" w:sz="8" w:space="0"/>
              <w:right w:val="single" w:color="000000" w:sz="8" w:space="0"/>
            </w:tcBorders>
            <w:shd w:val="clear" w:color="FFFFFF" w:fill="FFFFFF"/>
            <w:vAlign w:val="center"/>
          </w:tcPr>
          <w:p>
            <w:pPr>
              <w:jc w:val="center"/>
              <w:rPr>
                <w:rFonts w:ascii="仿宋" w:hAnsi="仿宋" w:eastAsia="仿宋" w:cs="仿宋"/>
                <w:b/>
                <w:bCs/>
                <w:color w:val="auto"/>
                <w:sz w:val="20"/>
                <w:szCs w:val="20"/>
                <w:highlight w:val="none"/>
              </w:rPr>
            </w:pPr>
          </w:p>
        </w:tc>
      </w:tr>
      <w:tr>
        <w:tblPrEx>
          <w:tblCellMar>
            <w:top w:w="0" w:type="dxa"/>
            <w:left w:w="108" w:type="dxa"/>
            <w:bottom w:w="0" w:type="dxa"/>
            <w:right w:w="108" w:type="dxa"/>
          </w:tblCellMar>
        </w:tblPrEx>
        <w:trPr>
          <w:trHeight w:val="259" w:hRule="atLeast"/>
        </w:trPr>
        <w:tc>
          <w:tcPr>
            <w:tcW w:w="531" w:type="dxa"/>
            <w:vMerge w:val="continue"/>
            <w:tcBorders>
              <w:top w:val="single" w:color="000000" w:sz="8" w:space="0"/>
              <w:left w:val="single" w:color="000000" w:sz="8" w:space="0"/>
              <w:bottom w:val="single" w:color="000000" w:sz="8" w:space="0"/>
              <w:right w:val="single" w:color="000000" w:sz="8" w:space="0"/>
            </w:tcBorders>
            <w:shd w:val="clear" w:color="FFFFFF" w:fill="FFFFFF"/>
            <w:vAlign w:val="center"/>
          </w:tcPr>
          <w:p>
            <w:pPr>
              <w:jc w:val="center"/>
              <w:rPr>
                <w:rFonts w:ascii="仿宋" w:hAnsi="仿宋" w:eastAsia="仿宋" w:cs="仿宋"/>
                <w:b/>
                <w:bCs/>
                <w:color w:val="auto"/>
                <w:sz w:val="20"/>
                <w:szCs w:val="20"/>
                <w:highlight w:val="none"/>
              </w:rPr>
            </w:pPr>
          </w:p>
        </w:tc>
        <w:tc>
          <w:tcPr>
            <w:tcW w:w="2173" w:type="dxa"/>
            <w:vMerge w:val="continue"/>
            <w:tcBorders>
              <w:top w:val="single" w:color="000000" w:sz="8" w:space="0"/>
              <w:left w:val="single" w:color="000000" w:sz="8" w:space="0"/>
              <w:bottom w:val="single" w:color="000000" w:sz="8" w:space="0"/>
              <w:right w:val="single" w:color="000000" w:sz="8" w:space="0"/>
            </w:tcBorders>
            <w:shd w:val="clear" w:color="FFFFFF" w:fill="FFFFFF"/>
            <w:vAlign w:val="center"/>
          </w:tcPr>
          <w:p>
            <w:pPr>
              <w:jc w:val="center"/>
              <w:rPr>
                <w:rFonts w:ascii="仿宋" w:hAnsi="仿宋" w:eastAsia="仿宋" w:cs="仿宋"/>
                <w:b/>
                <w:bCs/>
                <w:color w:val="auto"/>
                <w:sz w:val="20"/>
                <w:szCs w:val="20"/>
                <w:highlight w:val="none"/>
              </w:rPr>
            </w:pPr>
          </w:p>
        </w:tc>
        <w:tc>
          <w:tcPr>
            <w:tcW w:w="4422" w:type="dxa"/>
            <w:vMerge w:val="continue"/>
            <w:tcBorders>
              <w:top w:val="single" w:color="000000" w:sz="8" w:space="0"/>
              <w:left w:val="single" w:color="000000" w:sz="8" w:space="0"/>
              <w:bottom w:val="single" w:color="000000" w:sz="8" w:space="0"/>
              <w:right w:val="single" w:color="000000" w:sz="8" w:space="0"/>
            </w:tcBorders>
            <w:shd w:val="clear" w:color="FFFFFF" w:fill="FFFFFF"/>
            <w:vAlign w:val="center"/>
          </w:tcPr>
          <w:p>
            <w:pPr>
              <w:jc w:val="center"/>
              <w:rPr>
                <w:rFonts w:ascii="仿宋" w:hAnsi="仿宋" w:eastAsia="仿宋" w:cs="仿宋"/>
                <w:b/>
                <w:bCs/>
                <w:color w:val="auto"/>
                <w:sz w:val="20"/>
                <w:szCs w:val="20"/>
                <w:highlight w:val="none"/>
              </w:rPr>
            </w:pPr>
          </w:p>
        </w:tc>
        <w:tc>
          <w:tcPr>
            <w:tcW w:w="974" w:type="dxa"/>
            <w:vMerge w:val="continue"/>
            <w:tcBorders>
              <w:top w:val="single" w:color="000000" w:sz="8" w:space="0"/>
              <w:left w:val="single" w:color="000000" w:sz="8" w:space="0"/>
              <w:bottom w:val="single" w:color="000000" w:sz="8" w:space="0"/>
              <w:right w:val="single" w:color="000000" w:sz="8" w:space="0"/>
            </w:tcBorders>
            <w:shd w:val="clear" w:color="FFFFFF" w:fill="FFFFFF"/>
            <w:vAlign w:val="center"/>
          </w:tcPr>
          <w:p>
            <w:pPr>
              <w:jc w:val="center"/>
              <w:rPr>
                <w:rFonts w:ascii="仿宋" w:hAnsi="仿宋" w:eastAsia="仿宋" w:cs="仿宋"/>
                <w:b/>
                <w:bCs/>
                <w:color w:val="auto"/>
                <w:sz w:val="20"/>
                <w:szCs w:val="20"/>
                <w:highlight w:val="none"/>
              </w:rPr>
            </w:pPr>
          </w:p>
        </w:tc>
        <w:tc>
          <w:tcPr>
            <w:tcW w:w="1140" w:type="dxa"/>
            <w:vMerge w:val="continue"/>
            <w:tcBorders>
              <w:top w:val="single" w:color="000000" w:sz="8" w:space="0"/>
              <w:left w:val="single" w:color="000000" w:sz="8" w:space="0"/>
              <w:bottom w:val="single" w:color="000000" w:sz="8" w:space="0"/>
              <w:right w:val="single" w:color="000000" w:sz="8" w:space="0"/>
            </w:tcBorders>
            <w:shd w:val="clear" w:color="FFFFFF" w:fill="FFFFFF"/>
            <w:vAlign w:val="center"/>
          </w:tcPr>
          <w:p>
            <w:pPr>
              <w:jc w:val="center"/>
              <w:rPr>
                <w:rFonts w:ascii="仿宋" w:hAnsi="仿宋" w:eastAsia="仿宋" w:cs="仿宋"/>
                <w:b/>
                <w:bCs/>
                <w:color w:val="auto"/>
                <w:sz w:val="20"/>
                <w:szCs w:val="20"/>
                <w:highlight w:val="none"/>
              </w:rPr>
            </w:pPr>
          </w:p>
        </w:tc>
      </w:tr>
      <w:tr>
        <w:tblPrEx>
          <w:tblCellMar>
            <w:top w:w="0" w:type="dxa"/>
            <w:left w:w="108" w:type="dxa"/>
            <w:bottom w:w="0" w:type="dxa"/>
            <w:right w:w="108" w:type="dxa"/>
          </w:tblCellMar>
        </w:tblPrEx>
        <w:trPr>
          <w:trHeight w:val="25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jc w:val="right"/>
              <w:rPr>
                <w:rFonts w:ascii="仿宋" w:hAnsi="仿宋" w:eastAsia="仿宋" w:cs="仿宋"/>
                <w:color w:val="auto"/>
                <w:sz w:val="20"/>
                <w:szCs w:val="20"/>
                <w:highlight w:val="none"/>
              </w:rPr>
            </w:pP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b/>
                <w:bCs/>
                <w:color w:val="auto"/>
                <w:sz w:val="20"/>
                <w:szCs w:val="20"/>
                <w:highlight w:val="none"/>
              </w:rPr>
            </w:pPr>
            <w:r>
              <w:rPr>
                <w:rFonts w:hint="eastAsia" w:ascii="仿宋" w:hAnsi="仿宋" w:eastAsia="仿宋" w:cs="仿宋"/>
                <w:b/>
                <w:bCs/>
                <w:color w:val="auto"/>
                <w:kern w:val="0"/>
                <w:sz w:val="20"/>
                <w:szCs w:val="20"/>
                <w:highlight w:val="none"/>
                <w:lang w:bidi="ar"/>
              </w:rPr>
              <w:t>户外采购部分</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jc w:val="left"/>
              <w:rPr>
                <w:rFonts w:ascii="仿宋" w:hAnsi="仿宋" w:eastAsia="仿宋" w:cs="仿宋"/>
                <w:color w:val="auto"/>
                <w:sz w:val="20"/>
                <w:szCs w:val="20"/>
                <w:highlight w:val="none"/>
              </w:rPr>
            </w:pP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jc w:val="left"/>
              <w:rPr>
                <w:rFonts w:ascii="仿宋" w:hAnsi="仿宋" w:eastAsia="仿宋" w:cs="仿宋"/>
                <w:color w:val="auto"/>
                <w:sz w:val="20"/>
                <w:szCs w:val="20"/>
                <w:highlight w:val="none"/>
              </w:rPr>
            </w:pP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jc w:val="left"/>
              <w:rPr>
                <w:rFonts w:ascii="仿宋" w:hAnsi="仿宋" w:eastAsia="仿宋" w:cs="仿宋"/>
                <w:color w:val="auto"/>
                <w:sz w:val="20"/>
                <w:szCs w:val="20"/>
                <w:highlight w:val="none"/>
              </w:rPr>
            </w:pPr>
          </w:p>
        </w:tc>
      </w:tr>
      <w:tr>
        <w:tblPrEx>
          <w:tblCellMar>
            <w:top w:w="0" w:type="dxa"/>
            <w:left w:w="108" w:type="dxa"/>
            <w:bottom w:w="0" w:type="dxa"/>
            <w:right w:w="108" w:type="dxa"/>
          </w:tblCellMar>
        </w:tblPrEx>
        <w:trPr>
          <w:trHeight w:val="25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艺术屋檐</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1.金属板艺术屋檐</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项</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w:t>
            </w:r>
          </w:p>
        </w:tc>
      </w:tr>
      <w:tr>
        <w:tblPrEx>
          <w:tblCellMar>
            <w:top w:w="0" w:type="dxa"/>
            <w:left w:w="108" w:type="dxa"/>
            <w:bottom w:w="0" w:type="dxa"/>
            <w:right w:w="108" w:type="dxa"/>
          </w:tblCellMar>
        </w:tblPrEx>
        <w:trPr>
          <w:trHeight w:val="25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2</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铝板门头</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1.铝板印刷镂空设计加喷塑</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m2</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22</w:t>
            </w:r>
          </w:p>
        </w:tc>
      </w:tr>
      <w:tr>
        <w:tblPrEx>
          <w:tblCellMar>
            <w:top w:w="0" w:type="dxa"/>
            <w:left w:w="108" w:type="dxa"/>
            <w:bottom w:w="0" w:type="dxa"/>
            <w:right w:w="108" w:type="dxa"/>
          </w:tblCellMar>
        </w:tblPrEx>
        <w:trPr>
          <w:trHeight w:val="25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3</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入户过道</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1.入户过道(铝方通）</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m2</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37.2</w:t>
            </w:r>
          </w:p>
        </w:tc>
      </w:tr>
      <w:tr>
        <w:tblPrEx>
          <w:tblCellMar>
            <w:top w:w="0" w:type="dxa"/>
            <w:left w:w="108" w:type="dxa"/>
            <w:bottom w:w="0" w:type="dxa"/>
            <w:right w:w="108" w:type="dxa"/>
          </w:tblCellMar>
        </w:tblPrEx>
        <w:trPr>
          <w:trHeight w:val="73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4</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门头艺术装饰板</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1、金属门头艺术装饰板</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2、字体书法设计、表面喷洒金属保护漆</w:t>
            </w:r>
          </w:p>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3、局部翻板，电动装置和控制软件</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m2</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17.25</w:t>
            </w:r>
          </w:p>
        </w:tc>
      </w:tr>
      <w:tr>
        <w:tblPrEx>
          <w:tblCellMar>
            <w:top w:w="0" w:type="dxa"/>
            <w:left w:w="108" w:type="dxa"/>
            <w:bottom w:w="0" w:type="dxa"/>
            <w:right w:w="108" w:type="dxa"/>
          </w:tblCellMar>
        </w:tblPrEx>
        <w:trPr>
          <w:trHeight w:val="97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5</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户外浮雕墙</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铜制艺术浮雕（含基础）塑形、成稿。图文信息收集整理、小样及参考图稿制作，骨架焊接、钢网表面定型、泥稿塑形、泥塑修正、铜制艺术浮雕着色、打磨、运输、安装、定位</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m2</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13</w:t>
            </w:r>
          </w:p>
        </w:tc>
      </w:tr>
      <w:tr>
        <w:tblPrEx>
          <w:tblCellMar>
            <w:top w:w="0" w:type="dxa"/>
            <w:left w:w="108" w:type="dxa"/>
            <w:bottom w:w="0" w:type="dxa"/>
            <w:right w:w="108" w:type="dxa"/>
          </w:tblCellMar>
        </w:tblPrEx>
        <w:trPr>
          <w:trHeight w:val="49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6</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附属房间户外屋檐</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1.屋檐造型（仿江南民居屋檐造型、艺术做旧处理）</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项</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w:t>
            </w:r>
          </w:p>
        </w:tc>
      </w:tr>
      <w:tr>
        <w:tblPrEx>
          <w:tblCellMar>
            <w:top w:w="0" w:type="dxa"/>
            <w:left w:w="108" w:type="dxa"/>
            <w:bottom w:w="0" w:type="dxa"/>
            <w:right w:w="108" w:type="dxa"/>
          </w:tblCellMar>
        </w:tblPrEx>
        <w:trPr>
          <w:trHeight w:val="25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7</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陶瓷水缸</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1.成品陶瓷水缸直径1.2m</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个</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w:t>
            </w:r>
          </w:p>
        </w:tc>
      </w:tr>
      <w:tr>
        <w:tblPrEx>
          <w:tblCellMar>
            <w:top w:w="0" w:type="dxa"/>
            <w:left w:w="108" w:type="dxa"/>
            <w:bottom w:w="0" w:type="dxa"/>
            <w:right w:w="108" w:type="dxa"/>
          </w:tblCellMar>
        </w:tblPrEx>
        <w:trPr>
          <w:trHeight w:val="25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8</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导视牌</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1.导视牌、指示</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项</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w:t>
            </w:r>
          </w:p>
        </w:tc>
      </w:tr>
      <w:tr>
        <w:tblPrEx>
          <w:tblCellMar>
            <w:top w:w="0" w:type="dxa"/>
            <w:left w:w="108" w:type="dxa"/>
            <w:bottom w:w="0" w:type="dxa"/>
            <w:right w:w="108" w:type="dxa"/>
          </w:tblCellMar>
        </w:tblPrEx>
        <w:trPr>
          <w:trHeight w:val="25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9</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绿植</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1.浮雕墙下方绿植美化</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项</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w:t>
            </w:r>
          </w:p>
        </w:tc>
      </w:tr>
      <w:tr>
        <w:tblPrEx>
          <w:tblCellMar>
            <w:top w:w="0" w:type="dxa"/>
            <w:left w:w="108" w:type="dxa"/>
            <w:bottom w:w="0" w:type="dxa"/>
            <w:right w:w="108" w:type="dxa"/>
          </w:tblCellMar>
        </w:tblPrEx>
        <w:trPr>
          <w:trHeight w:val="25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10</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花窗</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1.仿古艺术花窗</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扇</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4</w:t>
            </w:r>
          </w:p>
        </w:tc>
      </w:tr>
      <w:tr>
        <w:tblPrEx>
          <w:tblCellMar>
            <w:top w:w="0" w:type="dxa"/>
            <w:left w:w="108" w:type="dxa"/>
            <w:bottom w:w="0" w:type="dxa"/>
            <w:right w:w="108" w:type="dxa"/>
          </w:tblCellMar>
        </w:tblPrEx>
        <w:trPr>
          <w:trHeight w:val="49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11</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外墙美化及楼梯拆除新建</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1.浮雕墙外墙粉刷美化及户外楼梯部分拆除新建</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项</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w:t>
            </w:r>
          </w:p>
        </w:tc>
      </w:tr>
      <w:tr>
        <w:tblPrEx>
          <w:tblCellMar>
            <w:top w:w="0" w:type="dxa"/>
            <w:left w:w="108" w:type="dxa"/>
            <w:bottom w:w="0" w:type="dxa"/>
            <w:right w:w="108" w:type="dxa"/>
          </w:tblCellMar>
        </w:tblPrEx>
        <w:trPr>
          <w:trHeight w:val="25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jc w:val="right"/>
              <w:rPr>
                <w:rFonts w:ascii="仿宋" w:hAnsi="仿宋" w:eastAsia="仿宋" w:cs="仿宋"/>
                <w:color w:val="auto"/>
                <w:sz w:val="20"/>
                <w:szCs w:val="20"/>
                <w:highlight w:val="none"/>
              </w:rPr>
            </w:pP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b/>
                <w:bCs/>
                <w:color w:val="auto"/>
                <w:sz w:val="20"/>
                <w:szCs w:val="20"/>
                <w:highlight w:val="none"/>
              </w:rPr>
            </w:pPr>
            <w:r>
              <w:rPr>
                <w:rFonts w:hint="eastAsia" w:ascii="仿宋" w:hAnsi="仿宋" w:eastAsia="仿宋" w:cs="仿宋"/>
                <w:b/>
                <w:bCs/>
                <w:color w:val="auto"/>
                <w:kern w:val="0"/>
                <w:sz w:val="20"/>
                <w:szCs w:val="20"/>
                <w:highlight w:val="none"/>
                <w:lang w:bidi="ar"/>
              </w:rPr>
              <w:t>前厅</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jc w:val="left"/>
              <w:rPr>
                <w:rFonts w:ascii="仿宋" w:hAnsi="仿宋" w:eastAsia="仿宋" w:cs="仿宋"/>
                <w:color w:val="auto"/>
                <w:sz w:val="20"/>
                <w:szCs w:val="20"/>
                <w:highlight w:val="none"/>
              </w:rPr>
            </w:pP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jc w:val="left"/>
              <w:rPr>
                <w:rFonts w:ascii="仿宋" w:hAnsi="仿宋" w:eastAsia="仿宋" w:cs="仿宋"/>
                <w:color w:val="auto"/>
                <w:sz w:val="20"/>
                <w:szCs w:val="20"/>
                <w:highlight w:val="none"/>
              </w:rPr>
            </w:pP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jc w:val="left"/>
              <w:rPr>
                <w:rFonts w:ascii="仿宋" w:hAnsi="仿宋" w:eastAsia="仿宋" w:cs="仿宋"/>
                <w:color w:val="auto"/>
                <w:sz w:val="20"/>
                <w:szCs w:val="20"/>
                <w:highlight w:val="none"/>
              </w:rPr>
            </w:pPr>
          </w:p>
        </w:tc>
      </w:tr>
      <w:tr>
        <w:tblPrEx>
          <w:tblCellMar>
            <w:top w:w="0" w:type="dxa"/>
            <w:left w:w="108" w:type="dxa"/>
            <w:bottom w:w="0" w:type="dxa"/>
            <w:right w:w="108" w:type="dxa"/>
          </w:tblCellMar>
        </w:tblPrEx>
        <w:trPr>
          <w:trHeight w:val="73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12</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片状地胶板楼地面</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1.粘结层厚度、材料种类:30厚细石混凝土找平层；3mm厚自流平地面</w:t>
            </w:r>
          </w:p>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2.面层材料品种、规格、颜色:2.6mm厚地胶板</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m2</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color w:val="auto"/>
                <w:highlight w:val="none"/>
              </w:rPr>
            </w:pPr>
            <w:r>
              <w:rPr>
                <w:rFonts w:hint="eastAsia" w:ascii="仿宋" w:hAnsi="仿宋" w:eastAsia="仿宋" w:cs="仿宋"/>
                <w:color w:val="auto"/>
                <w:sz w:val="20"/>
                <w:szCs w:val="20"/>
                <w:highlight w:val="none"/>
              </w:rPr>
              <w:t>42</w:t>
            </w:r>
          </w:p>
        </w:tc>
      </w:tr>
      <w:tr>
        <w:tblPrEx>
          <w:tblCellMar>
            <w:top w:w="0" w:type="dxa"/>
            <w:left w:w="108" w:type="dxa"/>
            <w:bottom w:w="0" w:type="dxa"/>
            <w:right w:w="108" w:type="dxa"/>
          </w:tblCellMar>
        </w:tblPrEx>
        <w:trPr>
          <w:trHeight w:val="97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13</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金属踢脚线</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1.踢脚线高度:100mm</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2.基层材料种类、规格:9mm厚阻燃胶合板</w:t>
            </w:r>
          </w:p>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3.面层材料品种、规格、 颜色:1.2厚黑色不锈钢</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m</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15</w:t>
            </w:r>
          </w:p>
        </w:tc>
      </w:tr>
      <w:tr>
        <w:tblPrEx>
          <w:tblCellMar>
            <w:top w:w="0" w:type="dxa"/>
            <w:left w:w="108" w:type="dxa"/>
            <w:bottom w:w="0" w:type="dxa"/>
            <w:right w:w="108" w:type="dxa"/>
          </w:tblCellMar>
        </w:tblPrEx>
        <w:trPr>
          <w:trHeight w:val="73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14</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墙面装饰板</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1.龙骨材料种类、规格、中距:75系列轻钢龙骨</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2.基层材料种类、规格:18mm阻燃胶合板</w:t>
            </w:r>
          </w:p>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3.面层：石膏板、腻子三遍、乳胶漆三遍</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m2</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color w:val="auto"/>
                <w:highlight w:val="none"/>
              </w:rPr>
            </w:pPr>
            <w:r>
              <w:rPr>
                <w:rFonts w:hint="eastAsia" w:ascii="仿宋" w:hAnsi="仿宋" w:eastAsia="仿宋" w:cs="仿宋"/>
                <w:color w:val="auto"/>
                <w:highlight w:val="none"/>
              </w:rPr>
              <w:t>65</w:t>
            </w:r>
          </w:p>
        </w:tc>
      </w:tr>
      <w:tr>
        <w:tblPrEx>
          <w:tblCellMar>
            <w:top w:w="0" w:type="dxa"/>
            <w:left w:w="108" w:type="dxa"/>
            <w:bottom w:w="0" w:type="dxa"/>
            <w:right w:w="108" w:type="dxa"/>
          </w:tblCellMar>
        </w:tblPrEx>
        <w:trPr>
          <w:trHeight w:val="97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15</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吊顶天棚</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1.龙骨材料种类、规格、中距:轻钢龙骨 (U50型)平面</w:t>
            </w:r>
          </w:p>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2.面层材料品种、规格:双层9.5mm纸面石膏板，平面</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m2</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45</w:t>
            </w:r>
          </w:p>
        </w:tc>
      </w:tr>
      <w:tr>
        <w:tblPrEx>
          <w:tblCellMar>
            <w:top w:w="0" w:type="dxa"/>
            <w:left w:w="108" w:type="dxa"/>
            <w:bottom w:w="0" w:type="dxa"/>
            <w:right w:w="108" w:type="dxa"/>
          </w:tblCellMar>
        </w:tblPrEx>
        <w:trPr>
          <w:trHeight w:val="25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16</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服务台</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1.3000*1300定制服务台</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个</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w:t>
            </w:r>
          </w:p>
        </w:tc>
      </w:tr>
      <w:tr>
        <w:tblPrEx>
          <w:tblCellMar>
            <w:top w:w="0" w:type="dxa"/>
            <w:left w:w="108" w:type="dxa"/>
            <w:bottom w:w="0" w:type="dxa"/>
            <w:right w:w="108" w:type="dxa"/>
          </w:tblCellMar>
        </w:tblPrEx>
        <w:trPr>
          <w:trHeight w:val="97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17</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成品定制书柜</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1.定制成品柜</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2.尺寸:宽度0.3M</w:t>
            </w:r>
          </w:p>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3.材质:优质E1级中纤板基材，5MM白色橡木贴面，使用环保净味油漆</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m2</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color w:val="auto"/>
                <w:highlight w:val="none"/>
              </w:rPr>
            </w:pPr>
            <w:r>
              <w:rPr>
                <w:rFonts w:hint="eastAsia" w:ascii="仿宋" w:hAnsi="仿宋" w:eastAsia="仿宋" w:cs="仿宋"/>
                <w:color w:val="auto"/>
                <w:sz w:val="20"/>
                <w:szCs w:val="20"/>
                <w:highlight w:val="none"/>
              </w:rPr>
              <w:t>32</w:t>
            </w:r>
          </w:p>
        </w:tc>
      </w:tr>
      <w:tr>
        <w:tblPrEx>
          <w:tblCellMar>
            <w:top w:w="0" w:type="dxa"/>
            <w:left w:w="108" w:type="dxa"/>
            <w:bottom w:w="0" w:type="dxa"/>
            <w:right w:w="108" w:type="dxa"/>
          </w:tblCellMar>
        </w:tblPrEx>
        <w:trPr>
          <w:trHeight w:val="49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18</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临平国学大师场景布置</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1.俞樾铸铜雕塑</w:t>
            </w:r>
          </w:p>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2、艺术场景布置，地面塑型</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项</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w:t>
            </w:r>
          </w:p>
        </w:tc>
      </w:tr>
      <w:tr>
        <w:tblPrEx>
          <w:tblCellMar>
            <w:top w:w="0" w:type="dxa"/>
            <w:left w:w="108" w:type="dxa"/>
            <w:bottom w:w="0" w:type="dxa"/>
            <w:right w:w="108" w:type="dxa"/>
          </w:tblCellMar>
        </w:tblPrEx>
        <w:trPr>
          <w:trHeight w:val="49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19</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前厅基础地面及顶面拆除</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1.基础装饰拆除</w:t>
            </w:r>
          </w:p>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2、门洞开凿</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项</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w:t>
            </w:r>
          </w:p>
        </w:tc>
      </w:tr>
      <w:tr>
        <w:tblPrEx>
          <w:tblCellMar>
            <w:top w:w="0" w:type="dxa"/>
            <w:left w:w="108" w:type="dxa"/>
            <w:bottom w:w="0" w:type="dxa"/>
            <w:right w:w="108" w:type="dxa"/>
          </w:tblCellMar>
        </w:tblPrEx>
        <w:trPr>
          <w:trHeight w:val="49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20</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玻璃门</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1.尺寸规格:1200*2100</w:t>
            </w:r>
          </w:p>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2.玻璃电动门含配件五金门套</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扇</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2</w:t>
            </w:r>
          </w:p>
        </w:tc>
      </w:tr>
      <w:tr>
        <w:tblPrEx>
          <w:tblCellMar>
            <w:top w:w="0" w:type="dxa"/>
            <w:left w:w="108" w:type="dxa"/>
            <w:bottom w:w="0" w:type="dxa"/>
            <w:right w:w="108" w:type="dxa"/>
          </w:tblCellMar>
        </w:tblPrEx>
        <w:trPr>
          <w:trHeight w:val="97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21</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前厅-电视播放器（60寸）</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分辨率：1920*1080，屏幕比例：16:9，面板：IPS技术，屏幕刷新率：60Hz，双核处理器，内存1G，硬盘8G，视频播放系统60英寸播放器，安卓播放器</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台</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w:t>
            </w:r>
          </w:p>
        </w:tc>
      </w:tr>
      <w:tr>
        <w:tblPrEx>
          <w:tblCellMar>
            <w:top w:w="0" w:type="dxa"/>
            <w:left w:w="108" w:type="dxa"/>
            <w:bottom w:w="0" w:type="dxa"/>
            <w:right w:w="108" w:type="dxa"/>
          </w:tblCellMar>
        </w:tblPrEx>
        <w:trPr>
          <w:trHeight w:val="49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22</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液压支架</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1.专业定制维护支架；挂架材质:SPCC冷轧钢板；最大承重：55kg</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套</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w:t>
            </w:r>
          </w:p>
        </w:tc>
      </w:tr>
      <w:tr>
        <w:tblPrEx>
          <w:tblCellMar>
            <w:top w:w="0" w:type="dxa"/>
            <w:left w:w="108" w:type="dxa"/>
            <w:bottom w:w="0" w:type="dxa"/>
            <w:right w:w="108" w:type="dxa"/>
          </w:tblCellMar>
        </w:tblPrEx>
        <w:trPr>
          <w:trHeight w:val="25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jc w:val="right"/>
              <w:rPr>
                <w:rFonts w:ascii="仿宋" w:hAnsi="仿宋" w:eastAsia="仿宋" w:cs="仿宋"/>
                <w:color w:val="auto"/>
                <w:sz w:val="20"/>
                <w:szCs w:val="20"/>
                <w:highlight w:val="none"/>
              </w:rPr>
            </w:pP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b/>
                <w:bCs/>
                <w:color w:val="auto"/>
                <w:sz w:val="20"/>
                <w:szCs w:val="20"/>
                <w:highlight w:val="none"/>
              </w:rPr>
            </w:pPr>
            <w:r>
              <w:rPr>
                <w:rFonts w:hint="eastAsia" w:ascii="仿宋" w:hAnsi="仿宋" w:eastAsia="仿宋" w:cs="仿宋"/>
                <w:b/>
                <w:bCs/>
                <w:color w:val="auto"/>
                <w:kern w:val="0"/>
                <w:sz w:val="20"/>
                <w:szCs w:val="20"/>
                <w:highlight w:val="none"/>
                <w:lang w:bidi="ar"/>
              </w:rPr>
              <w:t>序厅：不与桑梓异</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jc w:val="left"/>
              <w:rPr>
                <w:rFonts w:ascii="仿宋" w:hAnsi="仿宋" w:eastAsia="仿宋" w:cs="仿宋"/>
                <w:color w:val="auto"/>
                <w:sz w:val="20"/>
                <w:szCs w:val="20"/>
                <w:highlight w:val="none"/>
              </w:rPr>
            </w:pP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jc w:val="left"/>
              <w:rPr>
                <w:rFonts w:ascii="仿宋" w:hAnsi="仿宋" w:eastAsia="仿宋" w:cs="仿宋"/>
                <w:color w:val="auto"/>
                <w:sz w:val="20"/>
                <w:szCs w:val="20"/>
                <w:highlight w:val="none"/>
              </w:rPr>
            </w:pP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jc w:val="left"/>
              <w:rPr>
                <w:rFonts w:ascii="仿宋" w:hAnsi="仿宋" w:eastAsia="仿宋" w:cs="仿宋"/>
                <w:color w:val="auto"/>
                <w:sz w:val="20"/>
                <w:szCs w:val="20"/>
                <w:highlight w:val="none"/>
              </w:rPr>
            </w:pPr>
          </w:p>
        </w:tc>
      </w:tr>
      <w:tr>
        <w:tblPrEx>
          <w:tblCellMar>
            <w:top w:w="0" w:type="dxa"/>
            <w:left w:w="108" w:type="dxa"/>
            <w:bottom w:w="0" w:type="dxa"/>
            <w:right w:w="108" w:type="dxa"/>
          </w:tblCellMar>
        </w:tblPrEx>
        <w:trPr>
          <w:trHeight w:val="145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23</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定制前言说明牌</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1.名称:定制前言</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2.尺寸:1200*2200mm</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3.基层材料种类、规格:20*30mm防火阻燃木方龙骨，12mm厚阻燃板基层；3厚黑色烤漆钢板</w:t>
            </w:r>
          </w:p>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4.面层材料品种、规格、颜色:3mm厚白色亚克力板</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个</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w:t>
            </w:r>
          </w:p>
        </w:tc>
      </w:tr>
      <w:tr>
        <w:tblPrEx>
          <w:tblCellMar>
            <w:top w:w="0" w:type="dxa"/>
            <w:left w:w="108" w:type="dxa"/>
            <w:bottom w:w="0" w:type="dxa"/>
            <w:right w:w="108" w:type="dxa"/>
          </w:tblCellMar>
        </w:tblPrEx>
        <w:trPr>
          <w:trHeight w:val="25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24</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展品说明牌</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1.展品说明牌</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项</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w:t>
            </w:r>
          </w:p>
        </w:tc>
      </w:tr>
      <w:tr>
        <w:tblPrEx>
          <w:tblCellMar>
            <w:top w:w="0" w:type="dxa"/>
            <w:left w:w="108" w:type="dxa"/>
            <w:bottom w:w="0" w:type="dxa"/>
            <w:right w:w="108" w:type="dxa"/>
          </w:tblCellMar>
        </w:tblPrEx>
        <w:trPr>
          <w:trHeight w:val="169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25</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进口油画设计UV制作</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定制艺术油画布</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1、定制进口油画布UV，背景合成</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图电分、扫描、修版、合成及艺</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术创作，背景合成喷专用防护油</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处理；</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2、美术师级别：具有中级美术师</w:t>
            </w:r>
          </w:p>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及以上职称。</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m2</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8.5</w:t>
            </w:r>
          </w:p>
        </w:tc>
      </w:tr>
      <w:tr>
        <w:tblPrEx>
          <w:tblCellMar>
            <w:top w:w="0" w:type="dxa"/>
            <w:left w:w="108" w:type="dxa"/>
            <w:bottom w:w="0" w:type="dxa"/>
            <w:right w:w="108" w:type="dxa"/>
          </w:tblCellMar>
        </w:tblPrEx>
        <w:trPr>
          <w:trHeight w:val="73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26</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艺术雕刻字</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1.1.2厚不锈钢金属折边烤漆字</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2.字体规格:15*15*2cm</w:t>
            </w:r>
          </w:p>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3.固定方式:背面敷2cm厚PVC雕刻字</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个</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40</w:t>
            </w:r>
          </w:p>
        </w:tc>
      </w:tr>
      <w:tr>
        <w:tblPrEx>
          <w:tblCellMar>
            <w:top w:w="0" w:type="dxa"/>
            <w:left w:w="108" w:type="dxa"/>
            <w:bottom w:w="0" w:type="dxa"/>
            <w:right w:w="108" w:type="dxa"/>
          </w:tblCellMar>
        </w:tblPrEx>
        <w:trPr>
          <w:trHeight w:val="25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27</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仿清代家具</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1.仿古清代家具（含一案桌两圈椅）</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套</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w:t>
            </w:r>
          </w:p>
        </w:tc>
      </w:tr>
      <w:tr>
        <w:tblPrEx>
          <w:tblCellMar>
            <w:top w:w="0" w:type="dxa"/>
            <w:left w:w="108" w:type="dxa"/>
            <w:bottom w:w="0" w:type="dxa"/>
            <w:right w:w="108" w:type="dxa"/>
          </w:tblCellMar>
        </w:tblPrEx>
        <w:trPr>
          <w:trHeight w:val="25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28</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仿清代家具</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1.仿古清代家具（含三茶几三圈椅）</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套</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2</w:t>
            </w:r>
          </w:p>
        </w:tc>
      </w:tr>
      <w:tr>
        <w:tblPrEx>
          <w:tblCellMar>
            <w:top w:w="0" w:type="dxa"/>
            <w:left w:w="108" w:type="dxa"/>
            <w:bottom w:w="0" w:type="dxa"/>
            <w:right w:w="108" w:type="dxa"/>
          </w:tblCellMar>
        </w:tblPrEx>
        <w:trPr>
          <w:trHeight w:val="25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29</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中堂摆件复原</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1.中堂摆件复原</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项</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w:t>
            </w:r>
          </w:p>
        </w:tc>
      </w:tr>
      <w:tr>
        <w:tblPrEx>
          <w:tblCellMar>
            <w:top w:w="0" w:type="dxa"/>
            <w:left w:w="108" w:type="dxa"/>
            <w:bottom w:w="0" w:type="dxa"/>
            <w:right w:w="108" w:type="dxa"/>
          </w:tblCellMar>
        </w:tblPrEx>
        <w:trPr>
          <w:trHeight w:val="25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30</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对联及制作</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1.书法裱框对联</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项</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w:t>
            </w:r>
          </w:p>
        </w:tc>
      </w:tr>
      <w:tr>
        <w:tblPrEx>
          <w:tblCellMar>
            <w:top w:w="0" w:type="dxa"/>
            <w:left w:w="108" w:type="dxa"/>
            <w:bottom w:w="0" w:type="dxa"/>
            <w:right w:w="108" w:type="dxa"/>
          </w:tblCellMar>
        </w:tblPrEx>
        <w:trPr>
          <w:trHeight w:val="25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31</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仿旧复制品字画</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1.仿旧复制品字画</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项</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w:t>
            </w:r>
          </w:p>
        </w:tc>
      </w:tr>
      <w:tr>
        <w:tblPrEx>
          <w:tblCellMar>
            <w:top w:w="0" w:type="dxa"/>
            <w:left w:w="108" w:type="dxa"/>
            <w:bottom w:w="0" w:type="dxa"/>
            <w:right w:w="108" w:type="dxa"/>
          </w:tblCellMar>
        </w:tblPrEx>
        <w:trPr>
          <w:trHeight w:val="97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32</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定制通柜</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1.定制通柜</w:t>
            </w:r>
          </w:p>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2.材料种类、规格:7750*3000展柜玻璃采用国产超白夹胶玻璃(6mm+1.52mm+6mm)，透光率&gt;95%以上</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m</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7.7</w:t>
            </w:r>
          </w:p>
        </w:tc>
      </w:tr>
      <w:tr>
        <w:tblPrEx>
          <w:tblCellMar>
            <w:top w:w="0" w:type="dxa"/>
            <w:left w:w="108" w:type="dxa"/>
            <w:bottom w:w="0" w:type="dxa"/>
            <w:right w:w="108" w:type="dxa"/>
          </w:tblCellMar>
        </w:tblPrEx>
        <w:trPr>
          <w:trHeight w:val="25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jc w:val="right"/>
              <w:rPr>
                <w:rFonts w:ascii="仿宋" w:hAnsi="仿宋" w:eastAsia="仿宋" w:cs="仿宋"/>
                <w:color w:val="auto"/>
                <w:sz w:val="20"/>
                <w:szCs w:val="20"/>
                <w:highlight w:val="none"/>
              </w:rPr>
            </w:pP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b/>
                <w:bCs/>
                <w:color w:val="auto"/>
                <w:sz w:val="20"/>
                <w:szCs w:val="20"/>
                <w:highlight w:val="none"/>
              </w:rPr>
            </w:pPr>
            <w:r>
              <w:rPr>
                <w:rFonts w:hint="eastAsia" w:ascii="仿宋" w:hAnsi="仿宋" w:eastAsia="仿宋" w:cs="仿宋"/>
                <w:b/>
                <w:bCs/>
                <w:color w:val="auto"/>
                <w:kern w:val="0"/>
                <w:sz w:val="20"/>
                <w:szCs w:val="20"/>
                <w:highlight w:val="none"/>
                <w:lang w:bidi="ar"/>
              </w:rPr>
              <w:t>第一部分临平岁月</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jc w:val="left"/>
              <w:rPr>
                <w:rFonts w:ascii="仿宋" w:hAnsi="仿宋" w:eastAsia="仿宋" w:cs="仿宋"/>
                <w:color w:val="auto"/>
                <w:sz w:val="20"/>
                <w:szCs w:val="20"/>
                <w:highlight w:val="none"/>
              </w:rPr>
            </w:pP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jc w:val="left"/>
              <w:rPr>
                <w:rFonts w:ascii="仿宋" w:hAnsi="仿宋" w:eastAsia="仿宋" w:cs="仿宋"/>
                <w:color w:val="auto"/>
                <w:sz w:val="20"/>
                <w:szCs w:val="20"/>
                <w:highlight w:val="none"/>
              </w:rPr>
            </w:pP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jc w:val="left"/>
              <w:rPr>
                <w:rFonts w:ascii="仿宋" w:hAnsi="仿宋" w:eastAsia="仿宋" w:cs="仿宋"/>
                <w:color w:val="auto"/>
                <w:sz w:val="20"/>
                <w:szCs w:val="20"/>
                <w:highlight w:val="none"/>
              </w:rPr>
            </w:pPr>
          </w:p>
        </w:tc>
      </w:tr>
      <w:tr>
        <w:tblPrEx>
          <w:tblCellMar>
            <w:top w:w="0" w:type="dxa"/>
            <w:left w:w="108" w:type="dxa"/>
            <w:bottom w:w="0" w:type="dxa"/>
            <w:right w:w="108" w:type="dxa"/>
          </w:tblCellMar>
        </w:tblPrEx>
        <w:trPr>
          <w:trHeight w:val="25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jc w:val="right"/>
              <w:rPr>
                <w:rFonts w:ascii="仿宋" w:hAnsi="仿宋" w:eastAsia="仿宋" w:cs="仿宋"/>
                <w:color w:val="auto"/>
                <w:sz w:val="20"/>
                <w:szCs w:val="20"/>
                <w:highlight w:val="none"/>
              </w:rPr>
            </w:pP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b/>
                <w:bCs/>
                <w:color w:val="auto"/>
                <w:sz w:val="20"/>
                <w:szCs w:val="20"/>
                <w:highlight w:val="none"/>
              </w:rPr>
            </w:pPr>
            <w:r>
              <w:rPr>
                <w:rFonts w:hint="eastAsia" w:ascii="仿宋" w:hAnsi="仿宋" w:eastAsia="仿宋" w:cs="仿宋"/>
                <w:b/>
                <w:bCs/>
                <w:color w:val="auto"/>
                <w:kern w:val="0"/>
                <w:sz w:val="20"/>
                <w:szCs w:val="20"/>
                <w:highlight w:val="none"/>
                <w:lang w:bidi="ar"/>
              </w:rPr>
              <w:t>迁居临平</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jc w:val="left"/>
              <w:rPr>
                <w:rFonts w:ascii="仿宋" w:hAnsi="仿宋" w:eastAsia="仿宋" w:cs="仿宋"/>
                <w:color w:val="auto"/>
                <w:sz w:val="20"/>
                <w:szCs w:val="20"/>
                <w:highlight w:val="none"/>
              </w:rPr>
            </w:pP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jc w:val="left"/>
              <w:rPr>
                <w:rFonts w:ascii="仿宋" w:hAnsi="仿宋" w:eastAsia="仿宋" w:cs="仿宋"/>
                <w:color w:val="auto"/>
                <w:sz w:val="20"/>
                <w:szCs w:val="20"/>
                <w:highlight w:val="none"/>
              </w:rPr>
            </w:pP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jc w:val="left"/>
              <w:rPr>
                <w:rFonts w:ascii="仿宋" w:hAnsi="仿宋" w:eastAsia="仿宋" w:cs="仿宋"/>
                <w:color w:val="auto"/>
                <w:sz w:val="20"/>
                <w:szCs w:val="20"/>
                <w:highlight w:val="none"/>
              </w:rPr>
            </w:pPr>
          </w:p>
        </w:tc>
      </w:tr>
      <w:tr>
        <w:tblPrEx>
          <w:tblCellMar>
            <w:top w:w="0" w:type="dxa"/>
            <w:left w:w="108" w:type="dxa"/>
            <w:bottom w:w="0" w:type="dxa"/>
            <w:right w:w="108" w:type="dxa"/>
          </w:tblCellMar>
        </w:tblPrEx>
        <w:trPr>
          <w:trHeight w:val="97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33</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定制部分说明牌</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1、40*40阻燃木方龙骨框架，12厚阻燃板基层，20厚铝型材框包边，展板金属挂件；</w:t>
            </w:r>
          </w:p>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2、3mm铝板uv饰面，文字图案编排、3厚亚克力雕刻字背面着色</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个</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w:t>
            </w:r>
          </w:p>
        </w:tc>
      </w:tr>
      <w:tr>
        <w:tblPrEx>
          <w:tblCellMar>
            <w:top w:w="0" w:type="dxa"/>
            <w:left w:w="108" w:type="dxa"/>
            <w:bottom w:w="0" w:type="dxa"/>
            <w:right w:w="108" w:type="dxa"/>
          </w:tblCellMar>
        </w:tblPrEx>
        <w:trPr>
          <w:trHeight w:val="97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34</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定制单元说明牌</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1、40*40阻燃木方龙骨框架，12厚阻燃板基层，20厚铝型材框包边，展板金属挂件；</w:t>
            </w:r>
          </w:p>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2、3mm铝板uv饰面，文字图案编排、3厚亚克力雕刻字背面着色</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个</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w:t>
            </w:r>
          </w:p>
        </w:tc>
      </w:tr>
      <w:tr>
        <w:tblPrEx>
          <w:tblCellMar>
            <w:top w:w="0" w:type="dxa"/>
            <w:left w:w="108" w:type="dxa"/>
            <w:bottom w:w="0" w:type="dxa"/>
            <w:right w:w="108" w:type="dxa"/>
          </w:tblCellMar>
        </w:tblPrEx>
        <w:trPr>
          <w:trHeight w:val="25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35</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定制小组说明牌</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1.定制小组说明牌</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个</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2</w:t>
            </w:r>
          </w:p>
        </w:tc>
      </w:tr>
      <w:tr>
        <w:tblPrEx>
          <w:tblCellMar>
            <w:top w:w="0" w:type="dxa"/>
            <w:left w:w="108" w:type="dxa"/>
            <w:bottom w:w="0" w:type="dxa"/>
            <w:right w:w="108" w:type="dxa"/>
          </w:tblCellMar>
        </w:tblPrEx>
        <w:trPr>
          <w:trHeight w:val="25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36</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展品说明牌</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1.展品说明牌</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项</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w:t>
            </w:r>
          </w:p>
        </w:tc>
      </w:tr>
      <w:tr>
        <w:tblPrEx>
          <w:tblCellMar>
            <w:top w:w="0" w:type="dxa"/>
            <w:left w:w="108" w:type="dxa"/>
            <w:bottom w:w="0" w:type="dxa"/>
            <w:right w:w="108" w:type="dxa"/>
          </w:tblCellMar>
        </w:tblPrEx>
        <w:trPr>
          <w:trHeight w:val="121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37</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图文展板</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1.40*40阻燃木方龙骨框架，12厚阻燃板基层，20厚铝型材框包边，展板金属挂件；</w:t>
            </w:r>
          </w:p>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2.面层材料品种、规格、颜色:雪绒布喷绘，背景合成图电分、扫描、修版、合成，背景合成喷专用防护油处理</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m2</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7.2</w:t>
            </w:r>
          </w:p>
        </w:tc>
      </w:tr>
      <w:tr>
        <w:tblPrEx>
          <w:tblCellMar>
            <w:top w:w="0" w:type="dxa"/>
            <w:left w:w="108" w:type="dxa"/>
            <w:bottom w:w="0" w:type="dxa"/>
            <w:right w:w="108" w:type="dxa"/>
          </w:tblCellMar>
        </w:tblPrEx>
        <w:trPr>
          <w:trHeight w:val="73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38</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艺术雕刻字</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1.1.2厚不锈钢金属折边烤漆字</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2.字体规格:15*15*2cm</w:t>
            </w:r>
          </w:p>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3.固定方式:背面敷2cm厚PVC雕刻字</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个</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12</w:t>
            </w:r>
          </w:p>
        </w:tc>
      </w:tr>
      <w:tr>
        <w:tblPrEx>
          <w:tblCellMar>
            <w:top w:w="0" w:type="dxa"/>
            <w:left w:w="108" w:type="dxa"/>
            <w:bottom w:w="0" w:type="dxa"/>
            <w:right w:w="108" w:type="dxa"/>
          </w:tblCellMar>
        </w:tblPrEx>
        <w:trPr>
          <w:trHeight w:val="97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39</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定制平柜</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1.定制组合平柜（木纹）</w:t>
            </w:r>
          </w:p>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2.材料种类、规格:1200*950展柜玻璃采用国产超白夹胶玻璃(6mm+1.52mm+6mm)，透光率&gt;95%以上</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个</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w:t>
            </w:r>
          </w:p>
        </w:tc>
      </w:tr>
      <w:tr>
        <w:tblPrEx>
          <w:tblCellMar>
            <w:top w:w="0" w:type="dxa"/>
            <w:left w:w="108" w:type="dxa"/>
            <w:bottom w:w="0" w:type="dxa"/>
            <w:right w:w="108" w:type="dxa"/>
          </w:tblCellMar>
        </w:tblPrEx>
        <w:trPr>
          <w:trHeight w:val="97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40</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定制独立柜</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1.定制独立柜</w:t>
            </w:r>
          </w:p>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2.材料种类、规格:350*350*1200展柜玻璃采用国产超白夹胶玻璃(6mm+1.52mm+6mm)，透光率&gt;95%以上</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个</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w:t>
            </w:r>
          </w:p>
        </w:tc>
      </w:tr>
      <w:tr>
        <w:tblPrEx>
          <w:tblCellMar>
            <w:top w:w="0" w:type="dxa"/>
            <w:left w:w="108" w:type="dxa"/>
            <w:bottom w:w="0" w:type="dxa"/>
            <w:right w:w="108" w:type="dxa"/>
          </w:tblCellMar>
        </w:tblPrEx>
        <w:trPr>
          <w:trHeight w:val="49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41</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斜面看板</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1.定制斜面看板</w:t>
            </w:r>
          </w:p>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2.材料种类、规格:木质看板、3000*1200尺寸</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m</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2.4</w:t>
            </w:r>
          </w:p>
        </w:tc>
      </w:tr>
      <w:tr>
        <w:tblPrEx>
          <w:tblCellMar>
            <w:top w:w="0" w:type="dxa"/>
            <w:left w:w="108" w:type="dxa"/>
            <w:bottom w:w="0" w:type="dxa"/>
            <w:right w:w="108" w:type="dxa"/>
          </w:tblCellMar>
        </w:tblPrEx>
        <w:trPr>
          <w:trHeight w:val="25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42</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书籍复制</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1.书籍纸张制作复制</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项</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w:t>
            </w:r>
          </w:p>
        </w:tc>
      </w:tr>
      <w:tr>
        <w:tblPrEx>
          <w:tblCellMar>
            <w:top w:w="0" w:type="dxa"/>
            <w:left w:w="108" w:type="dxa"/>
            <w:bottom w:w="0" w:type="dxa"/>
            <w:right w:w="108" w:type="dxa"/>
          </w:tblCellMar>
        </w:tblPrEx>
        <w:trPr>
          <w:trHeight w:val="25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43</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实木格栅</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1.实木格栅</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m2</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3.5</w:t>
            </w:r>
          </w:p>
        </w:tc>
      </w:tr>
      <w:tr>
        <w:tblPrEx>
          <w:tblCellMar>
            <w:top w:w="0" w:type="dxa"/>
            <w:left w:w="108" w:type="dxa"/>
            <w:bottom w:w="0" w:type="dxa"/>
            <w:right w:w="108" w:type="dxa"/>
          </w:tblCellMar>
        </w:tblPrEx>
        <w:trPr>
          <w:trHeight w:val="73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44</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艺术创作画</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1.材料种类、规格:根据主题定位寻找素材资料、提炼主要信息点、中国美院国画系老师（副教授级别）进行初稿手绘创作</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幅</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w:t>
            </w:r>
          </w:p>
        </w:tc>
      </w:tr>
      <w:tr>
        <w:tblPrEx>
          <w:tblCellMar>
            <w:top w:w="0" w:type="dxa"/>
            <w:left w:w="108" w:type="dxa"/>
            <w:bottom w:w="0" w:type="dxa"/>
            <w:right w:w="108" w:type="dxa"/>
          </w:tblCellMar>
        </w:tblPrEx>
        <w:trPr>
          <w:trHeight w:val="97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45</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江南名镇视频播放器（52寸）</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分辨率：1920*1080，屏幕比例：16:9，面板：IPS技术，屏幕刷新率：60Hz，双核处理器，内存1G，硬盘8G，视频播放系统52寸播放器：定制金属柜体样式、安卓播放器</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台</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w:t>
            </w:r>
          </w:p>
        </w:tc>
      </w:tr>
      <w:tr>
        <w:tblPrEx>
          <w:tblCellMar>
            <w:top w:w="0" w:type="dxa"/>
            <w:left w:w="108" w:type="dxa"/>
            <w:bottom w:w="0" w:type="dxa"/>
            <w:right w:w="108" w:type="dxa"/>
          </w:tblCellMar>
        </w:tblPrEx>
        <w:trPr>
          <w:trHeight w:val="49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46</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液压支架</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1.专业定制维护支架；挂架材质:SPCC冷轧钢板；最大承重：55kg</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套</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w:t>
            </w:r>
          </w:p>
        </w:tc>
      </w:tr>
      <w:tr>
        <w:tblPrEx>
          <w:tblCellMar>
            <w:top w:w="0" w:type="dxa"/>
            <w:left w:w="108" w:type="dxa"/>
            <w:bottom w:w="0" w:type="dxa"/>
            <w:right w:w="108" w:type="dxa"/>
          </w:tblCellMar>
        </w:tblPrEx>
        <w:trPr>
          <w:trHeight w:val="145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47</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软件（视频剪辑制作）</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1.高清影片制作，视频制作分辨率符合所选配的硬件设备，4K及以上；</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2.影片内容需有方案创意构思，根据客户需求，固定影片风格，拟定方向。</w:t>
            </w:r>
          </w:p>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3.多媒体内容脚本制作:根据策划拟定的方向进行影片内容、画面的文字性创作。</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秒</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60</w:t>
            </w:r>
          </w:p>
        </w:tc>
      </w:tr>
      <w:tr>
        <w:tblPrEx>
          <w:tblCellMar>
            <w:top w:w="0" w:type="dxa"/>
            <w:left w:w="108" w:type="dxa"/>
            <w:bottom w:w="0" w:type="dxa"/>
            <w:right w:w="108" w:type="dxa"/>
          </w:tblCellMar>
        </w:tblPrEx>
        <w:trPr>
          <w:trHeight w:val="25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jc w:val="right"/>
              <w:rPr>
                <w:rFonts w:ascii="仿宋" w:hAnsi="仿宋" w:eastAsia="仿宋" w:cs="仿宋"/>
                <w:color w:val="auto"/>
                <w:sz w:val="20"/>
                <w:szCs w:val="20"/>
                <w:highlight w:val="none"/>
              </w:rPr>
            </w:pP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b/>
                <w:bCs/>
                <w:color w:val="auto"/>
                <w:sz w:val="20"/>
                <w:szCs w:val="20"/>
                <w:highlight w:val="none"/>
              </w:rPr>
            </w:pPr>
            <w:r>
              <w:rPr>
                <w:rFonts w:hint="eastAsia" w:ascii="仿宋" w:hAnsi="仿宋" w:eastAsia="仿宋" w:cs="仿宋"/>
                <w:b/>
                <w:bCs/>
                <w:color w:val="auto"/>
                <w:kern w:val="0"/>
                <w:sz w:val="20"/>
                <w:szCs w:val="20"/>
                <w:highlight w:val="none"/>
                <w:lang w:bidi="ar"/>
              </w:rPr>
              <w:t>学在临平</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jc w:val="left"/>
              <w:rPr>
                <w:rFonts w:ascii="仿宋" w:hAnsi="仿宋" w:eastAsia="仿宋" w:cs="仿宋"/>
                <w:color w:val="auto"/>
                <w:sz w:val="20"/>
                <w:szCs w:val="20"/>
                <w:highlight w:val="none"/>
              </w:rPr>
            </w:pP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jc w:val="left"/>
              <w:rPr>
                <w:rFonts w:ascii="仿宋" w:hAnsi="仿宋" w:eastAsia="仿宋" w:cs="仿宋"/>
                <w:color w:val="auto"/>
                <w:sz w:val="20"/>
                <w:szCs w:val="20"/>
                <w:highlight w:val="none"/>
              </w:rPr>
            </w:pP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jc w:val="left"/>
              <w:rPr>
                <w:rFonts w:ascii="仿宋" w:hAnsi="仿宋" w:eastAsia="仿宋" w:cs="仿宋"/>
                <w:color w:val="auto"/>
                <w:sz w:val="20"/>
                <w:szCs w:val="20"/>
                <w:highlight w:val="none"/>
              </w:rPr>
            </w:pPr>
          </w:p>
        </w:tc>
      </w:tr>
      <w:tr>
        <w:tblPrEx>
          <w:tblCellMar>
            <w:top w:w="0" w:type="dxa"/>
            <w:left w:w="108" w:type="dxa"/>
            <w:bottom w:w="0" w:type="dxa"/>
            <w:right w:w="108" w:type="dxa"/>
          </w:tblCellMar>
        </w:tblPrEx>
        <w:trPr>
          <w:trHeight w:val="97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48</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定制单元说明牌</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1、40*40阻燃木方龙骨框架，12厚阻燃板基层，20厚铝型材框包边，展板金属挂件；</w:t>
            </w:r>
          </w:p>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2、3mm铝板uv饰面，文字图案编排、3厚亚克力雕刻字背面着色</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个</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w:t>
            </w:r>
          </w:p>
        </w:tc>
      </w:tr>
      <w:tr>
        <w:tblPrEx>
          <w:tblCellMar>
            <w:top w:w="0" w:type="dxa"/>
            <w:left w:w="108" w:type="dxa"/>
            <w:bottom w:w="0" w:type="dxa"/>
            <w:right w:w="108" w:type="dxa"/>
          </w:tblCellMar>
        </w:tblPrEx>
        <w:trPr>
          <w:trHeight w:val="25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49</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定制小组说明牌</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1.定制小组说明牌</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个</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4</w:t>
            </w:r>
          </w:p>
        </w:tc>
      </w:tr>
      <w:tr>
        <w:tblPrEx>
          <w:tblCellMar>
            <w:top w:w="0" w:type="dxa"/>
            <w:left w:w="108" w:type="dxa"/>
            <w:bottom w:w="0" w:type="dxa"/>
            <w:right w:w="108" w:type="dxa"/>
          </w:tblCellMar>
        </w:tblPrEx>
        <w:trPr>
          <w:trHeight w:val="25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50</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展品说明牌</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1.展品说明牌</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项</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w:t>
            </w:r>
          </w:p>
        </w:tc>
      </w:tr>
      <w:tr>
        <w:tblPrEx>
          <w:tblCellMar>
            <w:top w:w="0" w:type="dxa"/>
            <w:left w:w="108" w:type="dxa"/>
            <w:bottom w:w="0" w:type="dxa"/>
            <w:right w:w="108" w:type="dxa"/>
          </w:tblCellMar>
        </w:tblPrEx>
        <w:trPr>
          <w:trHeight w:val="121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51</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图文展板</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1.40*40阻燃木方龙骨框架，12厚阻燃板基层，20厚铝型材框包边，展板金属挂件；</w:t>
            </w:r>
          </w:p>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2.面层材料品种、规格、颜色:雪绒布喷绘，背景合成图电分、扫描、修版、合成，背景合成喷专用防护油处理</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m2</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6</w:t>
            </w:r>
          </w:p>
        </w:tc>
      </w:tr>
      <w:tr>
        <w:tblPrEx>
          <w:tblCellMar>
            <w:top w:w="0" w:type="dxa"/>
            <w:left w:w="108" w:type="dxa"/>
            <w:bottom w:w="0" w:type="dxa"/>
            <w:right w:w="108" w:type="dxa"/>
          </w:tblCellMar>
        </w:tblPrEx>
        <w:trPr>
          <w:trHeight w:val="169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52</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进口油画布设计UV制作</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定制艺术油画布</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1、定制进口油画布UV，背景合成</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图电分、扫描、修版、合成及艺</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术创作，背景合成喷专用防护油</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处理；</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2、美术师级别：具有中级美术师</w:t>
            </w:r>
          </w:p>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及以上职称。</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m2</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3.5</w:t>
            </w:r>
          </w:p>
        </w:tc>
      </w:tr>
      <w:tr>
        <w:tblPrEx>
          <w:tblCellMar>
            <w:top w:w="0" w:type="dxa"/>
            <w:left w:w="108" w:type="dxa"/>
            <w:bottom w:w="0" w:type="dxa"/>
            <w:right w:w="108" w:type="dxa"/>
          </w:tblCellMar>
        </w:tblPrEx>
        <w:trPr>
          <w:trHeight w:val="73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53</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艺术创作画</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1.材料种类、规格:根据主题定位寻找素材资料、提炼主要信息点、中国美院国画系老师（副教授级别）进行初稿手绘创作</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幅</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3</w:t>
            </w:r>
          </w:p>
        </w:tc>
      </w:tr>
      <w:tr>
        <w:tblPrEx>
          <w:tblCellMar>
            <w:top w:w="0" w:type="dxa"/>
            <w:left w:w="108" w:type="dxa"/>
            <w:bottom w:w="0" w:type="dxa"/>
            <w:right w:w="108" w:type="dxa"/>
          </w:tblCellMar>
        </w:tblPrEx>
        <w:trPr>
          <w:trHeight w:val="49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54</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斜面看板</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1.定制斜面看板</w:t>
            </w:r>
          </w:p>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2.材料种类、规格:木质看板、3000*1200尺寸</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m</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1.8</w:t>
            </w:r>
          </w:p>
        </w:tc>
      </w:tr>
      <w:tr>
        <w:tblPrEx>
          <w:tblCellMar>
            <w:top w:w="0" w:type="dxa"/>
            <w:left w:w="108" w:type="dxa"/>
            <w:bottom w:w="0" w:type="dxa"/>
            <w:right w:w="108" w:type="dxa"/>
          </w:tblCellMar>
        </w:tblPrEx>
        <w:trPr>
          <w:trHeight w:val="73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55</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艺术雕刻字</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1.1.2厚不锈钢金属折边烤漆字</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2.字体规格:15*15*2cm</w:t>
            </w:r>
          </w:p>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3.固定方式:背面敷2cm厚PVC雕刻字</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个</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20</w:t>
            </w:r>
          </w:p>
        </w:tc>
      </w:tr>
      <w:tr>
        <w:tblPrEx>
          <w:tblCellMar>
            <w:top w:w="0" w:type="dxa"/>
            <w:left w:w="108" w:type="dxa"/>
            <w:bottom w:w="0" w:type="dxa"/>
            <w:right w:w="108" w:type="dxa"/>
          </w:tblCellMar>
        </w:tblPrEx>
        <w:trPr>
          <w:trHeight w:val="145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56</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定制斜面柜</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1.名称:定制组合柜</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2.材料种类、规格:玻璃：8+8超</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白夹胶玻璃；定制金属收边，基</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面用定制钢板</w:t>
            </w:r>
          </w:p>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3.五金种类、规格:开启方式：电动旋出手动平移开启</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m</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1.2</w:t>
            </w:r>
          </w:p>
        </w:tc>
      </w:tr>
      <w:tr>
        <w:tblPrEx>
          <w:tblCellMar>
            <w:top w:w="0" w:type="dxa"/>
            <w:left w:w="108" w:type="dxa"/>
            <w:bottom w:w="0" w:type="dxa"/>
            <w:right w:w="108" w:type="dxa"/>
          </w:tblCellMar>
        </w:tblPrEx>
        <w:trPr>
          <w:trHeight w:val="25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57</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实木格栅</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1.实木格栅</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m2</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2.5</w:t>
            </w:r>
          </w:p>
        </w:tc>
      </w:tr>
      <w:tr>
        <w:tblPrEx>
          <w:tblCellMar>
            <w:top w:w="0" w:type="dxa"/>
            <w:left w:w="108" w:type="dxa"/>
            <w:bottom w:w="0" w:type="dxa"/>
            <w:right w:w="108" w:type="dxa"/>
          </w:tblCellMar>
        </w:tblPrEx>
        <w:trPr>
          <w:trHeight w:val="25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58</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铸铜雕塑</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1.私塾铸铜雕塑等身1：1</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项</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w:t>
            </w:r>
          </w:p>
        </w:tc>
      </w:tr>
      <w:tr>
        <w:tblPrEx>
          <w:tblCellMar>
            <w:top w:w="0" w:type="dxa"/>
            <w:left w:w="108" w:type="dxa"/>
            <w:bottom w:w="0" w:type="dxa"/>
            <w:right w:w="108" w:type="dxa"/>
          </w:tblCellMar>
        </w:tblPrEx>
        <w:trPr>
          <w:trHeight w:val="25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59</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仿清代家具</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1.仿古清代家具（含一砚台桌）</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套</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w:t>
            </w:r>
          </w:p>
        </w:tc>
      </w:tr>
      <w:tr>
        <w:tblPrEx>
          <w:tblCellMar>
            <w:top w:w="0" w:type="dxa"/>
            <w:left w:w="108" w:type="dxa"/>
            <w:bottom w:w="0" w:type="dxa"/>
            <w:right w:w="108" w:type="dxa"/>
          </w:tblCellMar>
        </w:tblPrEx>
        <w:trPr>
          <w:trHeight w:val="2741"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60</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史埭春灯场景复原   沉浸式裸眼3D效果</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1.名称:室内P2.0全彩表贴LED显示屏</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2.规格:</w:t>
            </w:r>
          </w:p>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像素构成：1R1G1B ，像素点间距2.0mm；像素密度：250000Dots/㎡，单元板分辨率：160*80=12800Dots；单元板尺寸：320*160，最大电流： 6.7A±0.1A；亮度均匀性：＞0.95，屏体最大功耗： ≤700W/㎡；最佳视距：≥2m，亮度：600cd/ ㎡；屏幕水平视角：140±10度，屏幕垂直视角：130±10度；</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m2</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26</w:t>
            </w:r>
          </w:p>
        </w:tc>
      </w:tr>
      <w:tr>
        <w:tblPrEx>
          <w:tblCellMar>
            <w:top w:w="0" w:type="dxa"/>
            <w:left w:w="108" w:type="dxa"/>
            <w:bottom w:w="0" w:type="dxa"/>
            <w:right w:w="108" w:type="dxa"/>
          </w:tblCellMar>
        </w:tblPrEx>
        <w:trPr>
          <w:trHeight w:val="1208"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61</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收发器</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1.名称:接收卡</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2.规格:诺瓦DH7516</w:t>
            </w:r>
          </w:p>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3.功能:接收系统，含电源线、排线</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套</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5</w:t>
            </w:r>
          </w:p>
        </w:tc>
      </w:tr>
      <w:tr>
        <w:tblPrEx>
          <w:tblCellMar>
            <w:top w:w="0" w:type="dxa"/>
            <w:left w:w="108" w:type="dxa"/>
            <w:bottom w:w="0" w:type="dxa"/>
            <w:right w:w="108" w:type="dxa"/>
          </w:tblCellMar>
        </w:tblPrEx>
        <w:trPr>
          <w:trHeight w:val="85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62</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开关电源设备</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1.名称:电源</w:t>
            </w:r>
          </w:p>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2.规格:5V 40A，含电源线</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个</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5</w:t>
            </w:r>
          </w:p>
        </w:tc>
      </w:tr>
      <w:tr>
        <w:tblPrEx>
          <w:tblCellMar>
            <w:top w:w="0" w:type="dxa"/>
            <w:left w:w="108" w:type="dxa"/>
            <w:bottom w:w="0" w:type="dxa"/>
            <w:right w:w="108" w:type="dxa"/>
          </w:tblCellMar>
        </w:tblPrEx>
        <w:trPr>
          <w:trHeight w:val="971"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63</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LED专用安装基础</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1.名称:LED专用安装基础</w:t>
            </w:r>
          </w:p>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2.规格:室内显示屏专用铝合金框架结构</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m2</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26</w:t>
            </w:r>
          </w:p>
        </w:tc>
      </w:tr>
      <w:tr>
        <w:tblPrEx>
          <w:tblCellMar>
            <w:top w:w="0" w:type="dxa"/>
            <w:left w:w="108" w:type="dxa"/>
            <w:bottom w:w="0" w:type="dxa"/>
            <w:right w:w="108" w:type="dxa"/>
          </w:tblCellMar>
        </w:tblPrEx>
        <w:trPr>
          <w:trHeight w:val="97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64</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配电柜</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1.名称:LED专用智能配电柜10KW</w:t>
            </w:r>
          </w:p>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2.功能:可成整个显示屏系统的供电分配，具有综保功能，对过压、过流、短路等异常情况具有自动保护功能。</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台</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w:t>
            </w:r>
          </w:p>
        </w:tc>
      </w:tr>
      <w:tr>
        <w:tblPrEx>
          <w:tblCellMar>
            <w:top w:w="0" w:type="dxa"/>
            <w:left w:w="108" w:type="dxa"/>
            <w:bottom w:w="0" w:type="dxa"/>
            <w:right w:w="108" w:type="dxa"/>
          </w:tblCellMar>
        </w:tblPrEx>
        <w:trPr>
          <w:trHeight w:val="3790"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65</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视频传输器</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1.名称:视频处理器</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2.规格:诺瓦V960</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3.功能、用途:1.支持多达 5 路输入接口，包括 1 路 DVI，1 路 HDMI1.3，1 路 VGA，1 路 USB 播 放，1 路 CVBS，1 路选配扩展子卡。</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4.支持窗口位置、大小调整及窗口截取功能。</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5.扩展子卡支持 AP+WiFi 无线模式，可实现手机，电脑的无线投屏。</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6.支持输入源一键切换。</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7.支持外置独立音频。</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8.支持画面一键全屏缩放、点对点显示、自定义缩放三种缩放模式。</w:t>
            </w:r>
          </w:p>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9.支持 4 个网口输出，最大带载 260 万像素。</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对</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w:t>
            </w:r>
          </w:p>
        </w:tc>
      </w:tr>
      <w:tr>
        <w:tblPrEx>
          <w:tblCellMar>
            <w:top w:w="0" w:type="dxa"/>
            <w:left w:w="108" w:type="dxa"/>
            <w:bottom w:w="0" w:type="dxa"/>
            <w:right w:w="108" w:type="dxa"/>
          </w:tblCellMar>
        </w:tblPrEx>
        <w:trPr>
          <w:trHeight w:val="1606"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66</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图形计算机</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1.名称:图形计算机</w:t>
            </w:r>
          </w:p>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2.规格:主机:CPU: Intel 酷睿I7；内存:8GB；硬盘:120G固态硬盘；显卡：高配2G独显；电源:650w；机箱：工控机箱</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台</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w:t>
            </w:r>
          </w:p>
        </w:tc>
      </w:tr>
      <w:tr>
        <w:tblPrEx>
          <w:tblCellMar>
            <w:top w:w="0" w:type="dxa"/>
            <w:left w:w="108" w:type="dxa"/>
            <w:bottom w:w="0" w:type="dxa"/>
            <w:right w:w="108" w:type="dxa"/>
          </w:tblCellMar>
        </w:tblPrEx>
        <w:trPr>
          <w:trHeight w:val="6925" w:hRule="atLeast"/>
        </w:trPr>
        <w:tc>
          <w:tcPr>
            <w:tcW w:w="531" w:type="dxa"/>
            <w:tcBorders>
              <w:top w:val="single" w:color="000000" w:sz="8" w:space="0"/>
              <w:left w:val="single" w:color="000000" w:sz="8" w:space="0"/>
              <w:bottom w:val="single" w:color="auto" w:sz="4"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67</w:t>
            </w:r>
          </w:p>
        </w:tc>
        <w:tc>
          <w:tcPr>
            <w:tcW w:w="2173" w:type="dxa"/>
            <w:tcBorders>
              <w:top w:val="single" w:color="000000" w:sz="8" w:space="0"/>
              <w:left w:val="single" w:color="000000" w:sz="8" w:space="0"/>
              <w:bottom w:val="single" w:color="auto" w:sz="4"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扩声系统设备</w:t>
            </w:r>
          </w:p>
        </w:tc>
        <w:tc>
          <w:tcPr>
            <w:tcW w:w="4422" w:type="dxa"/>
            <w:tcBorders>
              <w:top w:val="single" w:color="000000" w:sz="8" w:space="0"/>
              <w:left w:val="single" w:color="000000" w:sz="8" w:space="0"/>
              <w:bottom w:val="single" w:color="auto" w:sz="4" w:space="0"/>
              <w:right w:val="single" w:color="000000" w:sz="8" w:space="0"/>
            </w:tcBorders>
            <w:shd w:val="clear" w:color="FFFFFF" w:fill="FFFFFF"/>
            <w:vAlign w:val="center"/>
          </w:tcPr>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1.名称:功放</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2立体声输出功率8Ω：2x600W</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立体声输出功率 4Ω：2x900W</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立体声输出功率 2Ω：2x1200W</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桥接单声道输出8Ω：1800W</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桥接单声道输出4Ω：2400W</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频率响应：5-20K+/-0.5dB</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总谐波失真：&lt;0.05%@8Ω 1KHz 1/4Po</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信噪比：&gt;102dB</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瞬态响应：20V/u S</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阻尼系数：&gt;400</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串音：&gt;60dB@8Ω 1KHz</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输入阻抗：20KΩ(Balance)/10KΩ(Unbalance)</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输入灵敏度：1V</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高度：2U</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重量：26KG</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尺寸：575x570x158mm</w:t>
            </w:r>
          </w:p>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包装：纸箱保护</w:t>
            </w:r>
          </w:p>
        </w:tc>
        <w:tc>
          <w:tcPr>
            <w:tcW w:w="974" w:type="dxa"/>
            <w:tcBorders>
              <w:top w:val="single" w:color="000000" w:sz="8" w:space="0"/>
              <w:left w:val="single" w:color="000000" w:sz="8" w:space="0"/>
              <w:bottom w:val="single" w:color="auto" w:sz="4"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台</w:t>
            </w:r>
          </w:p>
        </w:tc>
        <w:tc>
          <w:tcPr>
            <w:tcW w:w="1140" w:type="dxa"/>
            <w:tcBorders>
              <w:top w:val="single" w:color="000000" w:sz="8" w:space="0"/>
              <w:left w:val="single" w:color="000000" w:sz="8" w:space="0"/>
              <w:bottom w:val="single" w:color="auto" w:sz="4"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w:t>
            </w:r>
          </w:p>
        </w:tc>
      </w:tr>
      <w:tr>
        <w:tblPrEx>
          <w:tblCellMar>
            <w:top w:w="0" w:type="dxa"/>
            <w:left w:w="108" w:type="dxa"/>
            <w:bottom w:w="0" w:type="dxa"/>
            <w:right w:w="108" w:type="dxa"/>
          </w:tblCellMar>
        </w:tblPrEx>
        <w:trPr>
          <w:trHeight w:val="5909" w:hRule="atLeast"/>
        </w:trPr>
        <w:tc>
          <w:tcPr>
            <w:tcW w:w="531" w:type="dxa"/>
            <w:tcBorders>
              <w:top w:val="single" w:color="auto" w:sz="4" w:space="0"/>
              <w:left w:val="single" w:color="auto" w:sz="4" w:space="0"/>
              <w:bottom w:val="single" w:color="auto" w:sz="4"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68</w:t>
            </w:r>
          </w:p>
        </w:tc>
        <w:tc>
          <w:tcPr>
            <w:tcW w:w="2173" w:type="dxa"/>
            <w:tcBorders>
              <w:top w:val="single" w:color="auto" w:sz="4" w:space="0"/>
              <w:left w:val="single" w:color="000000" w:sz="8" w:space="0"/>
              <w:bottom w:val="single" w:color="auto" w:sz="4"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扩声系统设备</w:t>
            </w:r>
          </w:p>
        </w:tc>
        <w:tc>
          <w:tcPr>
            <w:tcW w:w="4422" w:type="dxa"/>
            <w:tcBorders>
              <w:top w:val="single" w:color="auto" w:sz="4" w:space="0"/>
              <w:left w:val="single" w:color="000000" w:sz="8" w:space="0"/>
              <w:bottom w:val="single" w:color="auto" w:sz="4" w:space="0"/>
              <w:right w:val="single" w:color="000000" w:sz="8" w:space="0"/>
            </w:tcBorders>
            <w:shd w:val="clear" w:color="FFFFFF" w:fill="FFFFFF"/>
            <w:vAlign w:val="center"/>
          </w:tcPr>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1.名称:8英寸无框天花扬声器</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 xml:space="preserve">2.规格:1、产品类型:8英寸无框天花扬声器 </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2、系统安全:CAPD II高频过载保护</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3、频率响应(-10 dB):69Hz-20kHz</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4、灵敏度(1W/1m):89 dB</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5、声压级(持续/峰值:112/118 dB</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6、额定系统功率:95W(RMS)</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峰值系统功率:380W(Peak)</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7、标称阻抗:8 Ohm</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8、定压选项:50W/25W/12.5W/6.25W/3.1W @70V/100V</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9、磁体类型;低音材质&gt;橡边PP盆，高音材质&gt;钛膜球顶</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低音数组:1 x 8" 代码CT4008KB</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高音数组:1 x 1" 代码DT4001M</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10、外观描述:面罩使用</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磁吸式无边框安装结构</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11、覆盖角度:90°H×90°V</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12、外部尺寸:275mm x 222mm</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开孔口径:245mm</w:t>
            </w:r>
          </w:p>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产品重量:3.05kg</w:t>
            </w:r>
          </w:p>
        </w:tc>
        <w:tc>
          <w:tcPr>
            <w:tcW w:w="974" w:type="dxa"/>
            <w:tcBorders>
              <w:top w:val="single" w:color="auto" w:sz="4" w:space="0"/>
              <w:left w:val="single" w:color="000000" w:sz="8" w:space="0"/>
              <w:bottom w:val="single" w:color="auto" w:sz="4"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台</w:t>
            </w:r>
          </w:p>
        </w:tc>
        <w:tc>
          <w:tcPr>
            <w:tcW w:w="1140" w:type="dxa"/>
            <w:tcBorders>
              <w:top w:val="single" w:color="auto" w:sz="4" w:space="0"/>
              <w:left w:val="single" w:color="000000" w:sz="8" w:space="0"/>
              <w:bottom w:val="single" w:color="auto" w:sz="4" w:space="0"/>
              <w:right w:val="single" w:color="auto" w:sz="4"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2</w:t>
            </w:r>
          </w:p>
        </w:tc>
      </w:tr>
      <w:tr>
        <w:tblPrEx>
          <w:tblCellMar>
            <w:top w:w="0" w:type="dxa"/>
            <w:left w:w="108" w:type="dxa"/>
            <w:bottom w:w="0" w:type="dxa"/>
            <w:right w:w="108" w:type="dxa"/>
          </w:tblCellMar>
        </w:tblPrEx>
        <w:trPr>
          <w:trHeight w:val="2655" w:hRule="atLeast"/>
        </w:trPr>
        <w:tc>
          <w:tcPr>
            <w:tcW w:w="531" w:type="dxa"/>
            <w:tcBorders>
              <w:top w:val="single" w:color="auto" w:sz="4"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69</w:t>
            </w:r>
          </w:p>
        </w:tc>
        <w:tc>
          <w:tcPr>
            <w:tcW w:w="2173" w:type="dxa"/>
            <w:tcBorders>
              <w:top w:val="single" w:color="auto" w:sz="4"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裸眼3D影片</w:t>
            </w:r>
          </w:p>
        </w:tc>
        <w:tc>
          <w:tcPr>
            <w:tcW w:w="4422" w:type="dxa"/>
            <w:tcBorders>
              <w:top w:val="single" w:color="auto" w:sz="4"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1.内容策划：.资料收集整理、剧本（影片或互动媒体）影片或互动媒体的内容创意、内容大纲制作、详细分镜脚本制作、解说词编写</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2.特殊场景及尺寸分辨率的多通道投影融合影像画面制作，需对特殊视角进行逻辑推算演示；</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3.8K高清数字3D镜头制作,三维建模、动画、渲染、特效、后期合成；影视画面视觉设计包装；</w:t>
            </w:r>
          </w:p>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4.音乐编辑音乐编辑合成、声效编辑环境声音氛围，声效合成处理</w:t>
            </w:r>
          </w:p>
        </w:tc>
        <w:tc>
          <w:tcPr>
            <w:tcW w:w="974" w:type="dxa"/>
            <w:tcBorders>
              <w:top w:val="single" w:color="auto" w:sz="4"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秒</w:t>
            </w:r>
          </w:p>
        </w:tc>
        <w:tc>
          <w:tcPr>
            <w:tcW w:w="1140" w:type="dxa"/>
            <w:tcBorders>
              <w:top w:val="single" w:color="auto" w:sz="4"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60</w:t>
            </w:r>
          </w:p>
        </w:tc>
      </w:tr>
      <w:tr>
        <w:tblPrEx>
          <w:tblCellMar>
            <w:top w:w="0" w:type="dxa"/>
            <w:left w:w="108" w:type="dxa"/>
            <w:bottom w:w="0" w:type="dxa"/>
            <w:right w:w="108" w:type="dxa"/>
          </w:tblCellMar>
        </w:tblPrEx>
        <w:trPr>
          <w:trHeight w:val="25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jc w:val="right"/>
              <w:rPr>
                <w:rFonts w:ascii="仿宋" w:hAnsi="仿宋" w:eastAsia="仿宋" w:cs="仿宋"/>
                <w:color w:val="auto"/>
                <w:sz w:val="20"/>
                <w:szCs w:val="20"/>
                <w:highlight w:val="none"/>
              </w:rPr>
            </w:pP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b/>
                <w:bCs/>
                <w:color w:val="auto"/>
                <w:sz w:val="20"/>
                <w:szCs w:val="20"/>
                <w:highlight w:val="none"/>
              </w:rPr>
            </w:pPr>
            <w:r>
              <w:rPr>
                <w:rFonts w:hint="eastAsia" w:ascii="仿宋" w:hAnsi="仿宋" w:eastAsia="仿宋" w:cs="仿宋"/>
                <w:b/>
                <w:bCs/>
                <w:color w:val="auto"/>
                <w:kern w:val="0"/>
                <w:sz w:val="20"/>
                <w:szCs w:val="20"/>
                <w:highlight w:val="none"/>
                <w:lang w:bidi="ar"/>
              </w:rPr>
              <w:t>根系临平</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jc w:val="left"/>
              <w:rPr>
                <w:rFonts w:ascii="仿宋" w:hAnsi="仿宋" w:eastAsia="仿宋" w:cs="仿宋"/>
                <w:color w:val="auto"/>
                <w:sz w:val="20"/>
                <w:szCs w:val="20"/>
                <w:highlight w:val="none"/>
              </w:rPr>
            </w:pP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jc w:val="left"/>
              <w:rPr>
                <w:rFonts w:ascii="仿宋" w:hAnsi="仿宋" w:eastAsia="仿宋" w:cs="仿宋"/>
                <w:color w:val="auto"/>
                <w:sz w:val="20"/>
                <w:szCs w:val="20"/>
                <w:highlight w:val="none"/>
              </w:rPr>
            </w:pP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jc w:val="left"/>
              <w:rPr>
                <w:rFonts w:ascii="仿宋" w:hAnsi="仿宋" w:eastAsia="仿宋" w:cs="仿宋"/>
                <w:color w:val="auto"/>
                <w:sz w:val="20"/>
                <w:szCs w:val="20"/>
                <w:highlight w:val="none"/>
              </w:rPr>
            </w:pPr>
          </w:p>
        </w:tc>
      </w:tr>
      <w:tr>
        <w:tblPrEx>
          <w:tblCellMar>
            <w:top w:w="0" w:type="dxa"/>
            <w:left w:w="108" w:type="dxa"/>
            <w:bottom w:w="0" w:type="dxa"/>
            <w:right w:w="108" w:type="dxa"/>
          </w:tblCellMar>
        </w:tblPrEx>
        <w:trPr>
          <w:trHeight w:val="97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70</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定制单元说明牌</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1、40*40阻燃木方龙骨框架，12厚阻燃板基层，20厚铝型材框包边，展板金属挂件；</w:t>
            </w:r>
          </w:p>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2、3mm铝板uv饰面，文字图案编排、3厚亚克力雕刻字背面着色</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个</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w:t>
            </w:r>
          </w:p>
        </w:tc>
      </w:tr>
      <w:tr>
        <w:tblPrEx>
          <w:tblCellMar>
            <w:top w:w="0" w:type="dxa"/>
            <w:left w:w="108" w:type="dxa"/>
            <w:bottom w:w="0" w:type="dxa"/>
            <w:right w:w="108" w:type="dxa"/>
          </w:tblCellMar>
        </w:tblPrEx>
        <w:trPr>
          <w:trHeight w:val="25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71</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定制小组说明牌</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1.定制小组说明牌</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个</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4</w:t>
            </w:r>
          </w:p>
        </w:tc>
      </w:tr>
      <w:tr>
        <w:tblPrEx>
          <w:tblCellMar>
            <w:top w:w="0" w:type="dxa"/>
            <w:left w:w="108" w:type="dxa"/>
            <w:bottom w:w="0" w:type="dxa"/>
            <w:right w:w="108" w:type="dxa"/>
          </w:tblCellMar>
        </w:tblPrEx>
        <w:trPr>
          <w:trHeight w:val="25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72</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展品说明牌</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1.展品说明牌</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项</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w:t>
            </w:r>
          </w:p>
        </w:tc>
      </w:tr>
      <w:tr>
        <w:tblPrEx>
          <w:tblCellMar>
            <w:top w:w="0" w:type="dxa"/>
            <w:left w:w="108" w:type="dxa"/>
            <w:bottom w:w="0" w:type="dxa"/>
            <w:right w:w="108" w:type="dxa"/>
          </w:tblCellMar>
        </w:tblPrEx>
        <w:trPr>
          <w:trHeight w:val="121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73</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图文展板</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1.40*40阻燃木方龙骨框架，12厚阻燃板基层，20厚铝型材框包边，展板金属挂件；</w:t>
            </w:r>
          </w:p>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2.面层材料品种、规格、颜色:雪绒布喷绘，背景合成图电分、扫描、修版、合成，背景合成喷专用防护油处理</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m2</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17.2</w:t>
            </w:r>
          </w:p>
        </w:tc>
      </w:tr>
      <w:tr>
        <w:tblPrEx>
          <w:tblCellMar>
            <w:top w:w="0" w:type="dxa"/>
            <w:left w:w="108" w:type="dxa"/>
            <w:bottom w:w="0" w:type="dxa"/>
            <w:right w:w="108" w:type="dxa"/>
          </w:tblCellMar>
        </w:tblPrEx>
        <w:trPr>
          <w:trHeight w:val="169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74</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进口油画布设计UV制作</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定制艺术油画布</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1、定制进口油画布UV，背景合成</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图电分、扫描、修版、合成及艺</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术创作，背景合成喷专用防护油</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处理；</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2、美术师级别：具有中级美术师</w:t>
            </w:r>
          </w:p>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及以上职称。</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m2</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29.25</w:t>
            </w:r>
          </w:p>
        </w:tc>
      </w:tr>
      <w:tr>
        <w:tblPrEx>
          <w:tblCellMar>
            <w:top w:w="0" w:type="dxa"/>
            <w:left w:w="108" w:type="dxa"/>
            <w:bottom w:w="0" w:type="dxa"/>
            <w:right w:w="108" w:type="dxa"/>
          </w:tblCellMar>
        </w:tblPrEx>
        <w:trPr>
          <w:trHeight w:val="73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75</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匾额</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1、木材品种 ：仿古杉板枋材</w:t>
            </w:r>
          </w:p>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2、雕刻纹样 ：阴雕刻块；     3、仿俞樾字体             4、尺寸1600*800</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块</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w:t>
            </w:r>
          </w:p>
        </w:tc>
      </w:tr>
      <w:tr>
        <w:tblPrEx>
          <w:tblCellMar>
            <w:top w:w="0" w:type="dxa"/>
            <w:left w:w="108" w:type="dxa"/>
            <w:bottom w:w="0" w:type="dxa"/>
            <w:right w:w="108" w:type="dxa"/>
          </w:tblCellMar>
        </w:tblPrEx>
        <w:trPr>
          <w:trHeight w:val="145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76</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定制组合柜</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1.名称:定制组合柜</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2.材料种类、规格:玻璃：8+8超</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白夹胶玻璃；定制金属收边，基</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面用定制钢板</w:t>
            </w:r>
          </w:p>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3.五金种类、规格:开启方式：电动旋出手动平移开启</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m</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11</w:t>
            </w:r>
          </w:p>
        </w:tc>
      </w:tr>
      <w:tr>
        <w:tblPrEx>
          <w:tblCellMar>
            <w:top w:w="0" w:type="dxa"/>
            <w:left w:w="108" w:type="dxa"/>
            <w:bottom w:w="0" w:type="dxa"/>
            <w:right w:w="108" w:type="dxa"/>
          </w:tblCellMar>
        </w:tblPrEx>
        <w:trPr>
          <w:trHeight w:val="25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77</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仿清代家具</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1.仿古清代家具（含一砚台桌三张圈椅）</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套</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w:t>
            </w:r>
          </w:p>
        </w:tc>
      </w:tr>
      <w:tr>
        <w:tblPrEx>
          <w:tblCellMar>
            <w:top w:w="0" w:type="dxa"/>
            <w:left w:w="108" w:type="dxa"/>
            <w:bottom w:w="0" w:type="dxa"/>
            <w:right w:w="108" w:type="dxa"/>
          </w:tblCellMar>
        </w:tblPrEx>
        <w:trPr>
          <w:trHeight w:val="73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78</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沙画</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1.材料种类、规格:根据主题定位寻找素材资料、提炼主要信息点、中国美院国画系老师（副教授级别）进行初稿手绘创作</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m2</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2</w:t>
            </w:r>
          </w:p>
        </w:tc>
      </w:tr>
      <w:tr>
        <w:tblPrEx>
          <w:tblCellMar>
            <w:top w:w="0" w:type="dxa"/>
            <w:left w:w="108" w:type="dxa"/>
            <w:bottom w:w="0" w:type="dxa"/>
            <w:right w:w="108" w:type="dxa"/>
          </w:tblCellMar>
        </w:tblPrEx>
        <w:trPr>
          <w:trHeight w:val="25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79</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纱幔uv</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上方绳悬挂，纱幔uv，营造氛围</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m2</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9</w:t>
            </w:r>
          </w:p>
        </w:tc>
      </w:tr>
      <w:tr>
        <w:tblPrEx>
          <w:tblCellMar>
            <w:top w:w="0" w:type="dxa"/>
            <w:left w:w="108" w:type="dxa"/>
            <w:bottom w:w="0" w:type="dxa"/>
            <w:right w:w="108" w:type="dxa"/>
          </w:tblCellMar>
        </w:tblPrEx>
        <w:trPr>
          <w:trHeight w:val="73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80</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斜面看板</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定制冷钢板斜面看板（含支架），由专业厂家制作</w:t>
            </w:r>
          </w:p>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放置艺术雕刻字及书本</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项</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2</w:t>
            </w:r>
          </w:p>
        </w:tc>
      </w:tr>
      <w:tr>
        <w:tblPrEx>
          <w:tblCellMar>
            <w:top w:w="0" w:type="dxa"/>
            <w:left w:w="108" w:type="dxa"/>
            <w:bottom w:w="0" w:type="dxa"/>
            <w:right w:w="108" w:type="dxa"/>
          </w:tblCellMar>
        </w:tblPrEx>
        <w:trPr>
          <w:trHeight w:val="97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81</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定制平柜</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1.定制组合平柜（木纹）</w:t>
            </w:r>
          </w:p>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2.材料种类、规格:1200*950展柜玻璃采用国产超白夹胶玻璃(6mm+1.52mm+6mm)，透光率&gt;95%以上</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个</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3</w:t>
            </w:r>
          </w:p>
        </w:tc>
      </w:tr>
      <w:tr>
        <w:tblPrEx>
          <w:tblCellMar>
            <w:top w:w="0" w:type="dxa"/>
            <w:left w:w="108" w:type="dxa"/>
            <w:bottom w:w="0" w:type="dxa"/>
            <w:right w:w="108" w:type="dxa"/>
          </w:tblCellMar>
        </w:tblPrEx>
        <w:trPr>
          <w:trHeight w:val="97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82</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艺术雕刻字</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1.艺术雕刻字                                1.2厚不锈钢金属折边烤漆字</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2.字体规格:15*15*2cm</w:t>
            </w:r>
          </w:p>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3.固定方式:背面敷2cm厚PVC雕刻字</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个</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20</w:t>
            </w:r>
          </w:p>
        </w:tc>
      </w:tr>
      <w:tr>
        <w:tblPrEx>
          <w:tblCellMar>
            <w:top w:w="0" w:type="dxa"/>
            <w:left w:w="108" w:type="dxa"/>
            <w:bottom w:w="0" w:type="dxa"/>
            <w:right w:w="108" w:type="dxa"/>
          </w:tblCellMar>
        </w:tblPrEx>
        <w:trPr>
          <w:trHeight w:val="25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83</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书籍复制</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1.书籍纸张制作复制</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项</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w:t>
            </w:r>
          </w:p>
        </w:tc>
      </w:tr>
      <w:tr>
        <w:tblPrEx>
          <w:tblCellMar>
            <w:top w:w="0" w:type="dxa"/>
            <w:left w:w="108" w:type="dxa"/>
            <w:bottom w:w="0" w:type="dxa"/>
            <w:right w:w="108" w:type="dxa"/>
          </w:tblCellMar>
        </w:tblPrEx>
        <w:trPr>
          <w:trHeight w:val="145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84</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创作画（放榜）</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1.创作画（放榜）                 2.材料种类、规格:根据主题定位寻找素材资料、提炼主要信息点、中国美院国画系老师（副教授级别）进行初稿手绘创作，色彩小样绘制确认、现场大图放样、着色、刻画、表面喷洒油画保护漆。</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幅</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w:t>
            </w:r>
          </w:p>
        </w:tc>
      </w:tr>
      <w:tr>
        <w:tblPrEx>
          <w:tblCellMar>
            <w:top w:w="0" w:type="dxa"/>
            <w:left w:w="108" w:type="dxa"/>
            <w:bottom w:w="0" w:type="dxa"/>
            <w:right w:w="108" w:type="dxa"/>
          </w:tblCellMar>
        </w:tblPrEx>
        <w:trPr>
          <w:trHeight w:val="25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85</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艺术半场景</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1.定制艺术假山半场景</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项</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w:t>
            </w:r>
          </w:p>
        </w:tc>
      </w:tr>
      <w:tr>
        <w:tblPrEx>
          <w:tblCellMar>
            <w:top w:w="0" w:type="dxa"/>
            <w:left w:w="108" w:type="dxa"/>
            <w:bottom w:w="0" w:type="dxa"/>
            <w:right w:w="108" w:type="dxa"/>
          </w:tblCellMar>
        </w:tblPrEx>
        <w:trPr>
          <w:trHeight w:val="145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86</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42寸的触摸机，科举答题互动屏</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触控液晶屏；面板：IPS技术；屏幕分辨率：1920*1080；屏幕比例：16:9 、CPU I5、4G内存、储存128 G；触摸分辨率：4096*4096；扫描率：50scans/s；耐久性：承受超过八千万次以上单点触摸；触摸体&gt;5mm；音响系统：内置喇叭2*805W</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套</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w:t>
            </w:r>
          </w:p>
        </w:tc>
      </w:tr>
      <w:tr>
        <w:tblPrEx>
          <w:tblCellMar>
            <w:top w:w="0" w:type="dxa"/>
            <w:left w:w="108" w:type="dxa"/>
            <w:bottom w:w="0" w:type="dxa"/>
            <w:right w:w="108" w:type="dxa"/>
          </w:tblCellMar>
        </w:tblPrEx>
        <w:trPr>
          <w:trHeight w:val="193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87</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沙画视频播放器（42寸）</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1.分辨率:1920*1080</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2.屏幕比例:16:9</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3.面板:IPS技术</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4.屏幕刷新率:60Hz</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5.双核处理器</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6.内寸1G</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7.硬盘8G</w:t>
            </w:r>
          </w:p>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8.视频播放系统42寸播放器</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台</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w:t>
            </w:r>
          </w:p>
        </w:tc>
      </w:tr>
      <w:tr>
        <w:tblPrEx>
          <w:tblCellMar>
            <w:top w:w="0" w:type="dxa"/>
            <w:left w:w="108" w:type="dxa"/>
            <w:bottom w:w="0" w:type="dxa"/>
            <w:right w:w="108" w:type="dxa"/>
          </w:tblCellMar>
        </w:tblPrEx>
        <w:trPr>
          <w:trHeight w:val="241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88</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交互程序</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1.资料收集整理、互动媒体的内容创意、内容大纲编写、详细资料，设计程序逻辑</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2.UI设计：UI界面设计制作，平面排版、内容整理、程序编排、特效制作</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3.程序开发：交互程序开发，多媒体内容架构，多片源组成的动态互动媒体数字内容结构搭建，图片处理，视频编辑、制作及后期处理制作，动态特效制作、内容收集美化制作</w:t>
            </w:r>
          </w:p>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4.软件内容制作：根据策划内容，设计制作图文</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套</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w:t>
            </w:r>
          </w:p>
        </w:tc>
      </w:tr>
      <w:tr>
        <w:tblPrEx>
          <w:tblCellMar>
            <w:top w:w="0" w:type="dxa"/>
            <w:left w:w="108" w:type="dxa"/>
            <w:bottom w:w="0" w:type="dxa"/>
            <w:right w:w="108" w:type="dxa"/>
          </w:tblCellMar>
        </w:tblPrEx>
        <w:trPr>
          <w:trHeight w:val="49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89</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液压支架</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1.专业定制维护支架；挂架材质:SPCC冷轧钢板；最大承重：55kg</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套</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2</w:t>
            </w:r>
          </w:p>
        </w:tc>
      </w:tr>
      <w:tr>
        <w:tblPrEx>
          <w:tblCellMar>
            <w:top w:w="0" w:type="dxa"/>
            <w:left w:w="108" w:type="dxa"/>
            <w:bottom w:w="0" w:type="dxa"/>
            <w:right w:w="108" w:type="dxa"/>
          </w:tblCellMar>
        </w:tblPrEx>
        <w:trPr>
          <w:trHeight w:val="337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90</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LED屏幕</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1.国产LED发光管2121共阴节能设计，国星铜线，点间距2mm，像素密度200000点/平米，白平衡亮度600nit，水平视角160°，垂直视角160°，2053驱动，颜色处理16bit，PFC高效超静音电源，模组像素点:128点列，64点行   2880*1600</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2.诺瓦 四进二出，HDMI*3,DVI*1,VGA*1,AV*2</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3.定制LED钢架</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4.强力巨彩 室内航插配电柜，定时开关，分步启动，电脑控制，提供:3C证书</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5.智能远程控制开关</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6.JBL RMA150 +JBL Control25 专用音箱系统设备，音箱50W-2台，功放150W-1台</w:t>
            </w:r>
          </w:p>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7.剪辑视频及特效制作 戏曲制作</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m2</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3.8</w:t>
            </w:r>
          </w:p>
        </w:tc>
      </w:tr>
      <w:tr>
        <w:tblPrEx>
          <w:tblCellMar>
            <w:top w:w="0" w:type="dxa"/>
            <w:left w:w="108" w:type="dxa"/>
            <w:bottom w:w="0" w:type="dxa"/>
            <w:right w:w="108" w:type="dxa"/>
          </w:tblCellMar>
        </w:tblPrEx>
        <w:trPr>
          <w:trHeight w:val="49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91</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LED钢架</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1.采用20*40  40*40的热镀锌方管制作，现场定制，尺寸标准。</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m2</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3.8</w:t>
            </w:r>
          </w:p>
        </w:tc>
      </w:tr>
      <w:tr>
        <w:tblPrEx>
          <w:tblCellMar>
            <w:top w:w="0" w:type="dxa"/>
            <w:left w:w="108" w:type="dxa"/>
            <w:bottom w:w="0" w:type="dxa"/>
            <w:right w:w="108" w:type="dxa"/>
          </w:tblCellMar>
        </w:tblPrEx>
        <w:trPr>
          <w:trHeight w:val="25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92</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电源DC5V/200W</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1.电源DC5V/200W</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台</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5</w:t>
            </w:r>
          </w:p>
        </w:tc>
      </w:tr>
      <w:tr>
        <w:tblPrEx>
          <w:tblCellMar>
            <w:top w:w="0" w:type="dxa"/>
            <w:left w:w="108" w:type="dxa"/>
            <w:bottom w:w="0" w:type="dxa"/>
            <w:right w:w="108" w:type="dxa"/>
          </w:tblCellMar>
        </w:tblPrEx>
        <w:trPr>
          <w:trHeight w:val="241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93</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视频处理器</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X6专业主控是针对LED显示屏工程应用领域的专业级控制系统和视频处理设备；具备丰富的视频信号接口，支持DVI、HDMI、SDI等高清数字接口，多路信号间无缝切换；支持广播级缩放及多画面显示。X6具备6个千兆网口输出，单机可支持最宽8192像素，或最高8192像素的LED显示屏。同时，X6还具备一系列丰富实用的功能，可以实现灵活的屏幕控制和高品质的图像显示，在LED显示屏工程应用领域具有显著优势。</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块</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w:t>
            </w:r>
          </w:p>
        </w:tc>
      </w:tr>
      <w:tr>
        <w:tblPrEx>
          <w:tblCellMar>
            <w:top w:w="0" w:type="dxa"/>
            <w:left w:w="108" w:type="dxa"/>
            <w:bottom w:w="0" w:type="dxa"/>
            <w:right w:w="108" w:type="dxa"/>
          </w:tblCellMar>
        </w:tblPrEx>
        <w:trPr>
          <w:trHeight w:val="193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94</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接收卡</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集成HUB75，无需再配转接板，更方便，成本更低；支持常规芯片实现高刷新、高灰度、高亮度；全新灰度引擎，低灰度表现更佳；细节处理更完美，可消除单元板设计引起的某行偏暗、低灰偏红、鬼影等细节问题；支持静态屏、1/2~1/32扫之间的任意扫描类型；支持DC 3.3V~6V超宽工作电压，有效减弱电压波动带来的影响</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块</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2</w:t>
            </w:r>
          </w:p>
        </w:tc>
      </w:tr>
      <w:tr>
        <w:tblPrEx>
          <w:tblCellMar>
            <w:top w:w="0" w:type="dxa"/>
            <w:left w:w="108" w:type="dxa"/>
            <w:bottom w:w="0" w:type="dxa"/>
            <w:right w:w="108" w:type="dxa"/>
          </w:tblCellMar>
        </w:tblPrEx>
        <w:trPr>
          <w:trHeight w:val="25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95</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拼接处理器</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1.卡莱特V8-8进-16出</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台</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w:t>
            </w:r>
          </w:p>
        </w:tc>
      </w:tr>
      <w:tr>
        <w:tblPrEx>
          <w:tblCellMar>
            <w:top w:w="0" w:type="dxa"/>
            <w:left w:w="108" w:type="dxa"/>
            <w:bottom w:w="0" w:type="dxa"/>
            <w:right w:w="108" w:type="dxa"/>
          </w:tblCellMar>
        </w:tblPrEx>
        <w:trPr>
          <w:trHeight w:val="145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96</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音响</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1.低音单元 20cm PP mica cone高音单元 2.5cm 液态冷却 soft dome, swivel频率响应 50 Hz-28 kHz输入功率（额定/大） 140 W灵敏度 90 dB/2.83 V/1 m尺寸（宽 x 高 x 深） Φ283 x 120 mm装配深度 109 mm重量 1.9 kg/unit</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台</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2</w:t>
            </w:r>
          </w:p>
        </w:tc>
      </w:tr>
      <w:tr>
        <w:tblPrEx>
          <w:tblCellMar>
            <w:top w:w="0" w:type="dxa"/>
            <w:left w:w="108" w:type="dxa"/>
            <w:bottom w:w="0" w:type="dxa"/>
            <w:right w:w="108" w:type="dxa"/>
          </w:tblCellMar>
        </w:tblPrEx>
        <w:trPr>
          <w:trHeight w:val="73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97</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内容策划</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1.资料收集整理、剧本（影片或互动媒体）影片或互动媒体的内容创意、内容大纲制作、详细分镜脚本制作、解说词编写</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套</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w:t>
            </w:r>
          </w:p>
        </w:tc>
      </w:tr>
      <w:tr>
        <w:tblPrEx>
          <w:tblCellMar>
            <w:top w:w="0" w:type="dxa"/>
            <w:left w:w="108" w:type="dxa"/>
            <w:bottom w:w="0" w:type="dxa"/>
            <w:right w:w="108" w:type="dxa"/>
          </w:tblCellMar>
        </w:tblPrEx>
        <w:trPr>
          <w:trHeight w:val="49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98</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素材收集、归纳</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素材收集、归纳甲供素材，规格处理，颜色调整等</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s</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60</w:t>
            </w:r>
          </w:p>
        </w:tc>
      </w:tr>
      <w:tr>
        <w:tblPrEx>
          <w:tblCellMar>
            <w:top w:w="0" w:type="dxa"/>
            <w:left w:w="108" w:type="dxa"/>
            <w:bottom w:w="0" w:type="dxa"/>
            <w:right w:w="108" w:type="dxa"/>
          </w:tblCellMar>
        </w:tblPrEx>
        <w:trPr>
          <w:trHeight w:val="121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99</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视频内容制作</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1.切入中控系统，可实现远程控制、循环播放、重要观众进入从头播放等功能</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2.视频剪辑与制作</w:t>
            </w:r>
          </w:p>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3.三维动画渲染12K分辨率VRay专业平台渲染、图形化动画制作及后期处理、建模，特效制作</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s</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60</w:t>
            </w:r>
          </w:p>
        </w:tc>
      </w:tr>
      <w:tr>
        <w:tblPrEx>
          <w:tblCellMar>
            <w:top w:w="0" w:type="dxa"/>
            <w:left w:w="108" w:type="dxa"/>
            <w:bottom w:w="0" w:type="dxa"/>
            <w:right w:w="108" w:type="dxa"/>
          </w:tblCellMar>
        </w:tblPrEx>
        <w:trPr>
          <w:trHeight w:val="49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100</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视频后期剪辑（12K）</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视频后期剪辑12K分辨率，内容编辑，影片节奏剪辑</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s</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60</w:t>
            </w:r>
          </w:p>
        </w:tc>
      </w:tr>
      <w:tr>
        <w:tblPrEx>
          <w:tblCellMar>
            <w:top w:w="0" w:type="dxa"/>
            <w:left w:w="108" w:type="dxa"/>
            <w:bottom w:w="0" w:type="dxa"/>
            <w:right w:w="108" w:type="dxa"/>
          </w:tblCellMar>
        </w:tblPrEx>
        <w:trPr>
          <w:trHeight w:val="49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101</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视频后期包装制作（12K）</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视频后期包装制作12K分辨率，尺寸调整、视频格式压缩、输出</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s</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60</w:t>
            </w:r>
          </w:p>
        </w:tc>
      </w:tr>
      <w:tr>
        <w:tblPrEx>
          <w:tblCellMar>
            <w:top w:w="0" w:type="dxa"/>
            <w:left w:w="108" w:type="dxa"/>
            <w:bottom w:w="0" w:type="dxa"/>
            <w:right w:w="108" w:type="dxa"/>
          </w:tblCellMar>
        </w:tblPrEx>
        <w:trPr>
          <w:trHeight w:val="49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102</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视频媒体格式化，输出</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视频媒体格式化，输出抬头、字幕、转场、合成，影片输出压缩</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s</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60</w:t>
            </w:r>
          </w:p>
        </w:tc>
      </w:tr>
      <w:tr>
        <w:tblPrEx>
          <w:tblCellMar>
            <w:top w:w="0" w:type="dxa"/>
            <w:left w:w="108" w:type="dxa"/>
            <w:bottom w:w="0" w:type="dxa"/>
            <w:right w:w="108" w:type="dxa"/>
          </w:tblCellMar>
        </w:tblPrEx>
        <w:trPr>
          <w:trHeight w:val="289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103</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投影机</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投影机特性高清投影机</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1、亮度≥5200lm（中心亮度），≥5000（ISO21118标准），分辨率≥1920X1200，兼容1920X1080，1024X768，对比度≥1,800:1静态;10,0000:1动态;300,0000:1，显示比例16:10兼容16:9,4:3。</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2、支持电动镜头位移功能</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3、整机功率：标准模式：350W+/-15%,节能模式230W+/-15%；待机功率：正常模式：≤0.2W，网络待机：≤0.5W；</w:t>
            </w:r>
          </w:p>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4、支持7*24小时不间断连续工作，光源使用寿命≥20000小时（正常模式）。</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台</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w:t>
            </w:r>
          </w:p>
        </w:tc>
      </w:tr>
      <w:tr>
        <w:tblPrEx>
          <w:tblCellMar>
            <w:top w:w="0" w:type="dxa"/>
            <w:left w:w="108" w:type="dxa"/>
            <w:bottom w:w="0" w:type="dxa"/>
            <w:right w:w="108" w:type="dxa"/>
          </w:tblCellMar>
        </w:tblPrEx>
        <w:trPr>
          <w:trHeight w:val="73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104</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吊架</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1.名称:投影机吊架</w:t>
            </w:r>
          </w:p>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2.规格:承重50KG，可伸缩0.65-1米，材质：碳素钢</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台</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w:t>
            </w:r>
          </w:p>
        </w:tc>
      </w:tr>
      <w:tr>
        <w:tblPrEx>
          <w:tblCellMar>
            <w:top w:w="0" w:type="dxa"/>
            <w:left w:w="108" w:type="dxa"/>
            <w:bottom w:w="0" w:type="dxa"/>
            <w:right w:w="108" w:type="dxa"/>
          </w:tblCellMar>
        </w:tblPrEx>
        <w:trPr>
          <w:trHeight w:val="25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105</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投影机镜头</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1.定制超短焦</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台</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w:t>
            </w:r>
          </w:p>
        </w:tc>
      </w:tr>
      <w:tr>
        <w:tblPrEx>
          <w:tblCellMar>
            <w:top w:w="0" w:type="dxa"/>
            <w:left w:w="108" w:type="dxa"/>
            <w:bottom w:w="0" w:type="dxa"/>
            <w:right w:w="108" w:type="dxa"/>
          </w:tblCellMar>
        </w:tblPrEx>
        <w:trPr>
          <w:trHeight w:val="97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106</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图形计算机</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1.名称:图形计算机</w:t>
            </w:r>
          </w:p>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2.规格:主机:CPU: Intel 酷睿I7；内存:8GB；硬盘:120G固态硬盘；显卡：2G独显；电源:650w；机箱：工控机箱</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台</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w:t>
            </w:r>
          </w:p>
        </w:tc>
      </w:tr>
      <w:tr>
        <w:tblPrEx>
          <w:tblCellMar>
            <w:top w:w="0" w:type="dxa"/>
            <w:left w:w="108" w:type="dxa"/>
            <w:bottom w:w="0" w:type="dxa"/>
            <w:right w:w="108" w:type="dxa"/>
          </w:tblCellMar>
        </w:tblPrEx>
        <w:trPr>
          <w:trHeight w:val="6463"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107</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扩声系统设备</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1.名称:功放</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2立体声输出功率8Ω：2x600W</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立体声输出功率 4Ω：2x900W</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立体声输出功率 2Ω：2x1200W</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桥接单声道输出8Ω：1800W</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桥接单声道输出4Ω：2400W</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频率响应：5-20K+/-0.5dB</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总谐波失真：&lt;0.05%@8Ω 1KHz 1/4Po</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信噪比：&gt;102dB</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瞬态响应：20V/u S</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阻尼系数：&gt;400</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串音：&gt;60dB@8Ω 1KHz</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输入阻抗：20KΩ(Balance)/10KΩ(Unbalance)</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输入灵敏度：1V</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高度：2U</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重量：26KG</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尺寸：575x570x158mm</w:t>
            </w:r>
          </w:p>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包装：纸箱保护</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台</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w:t>
            </w:r>
          </w:p>
        </w:tc>
      </w:tr>
      <w:tr>
        <w:tblPrEx>
          <w:tblCellMar>
            <w:top w:w="0" w:type="dxa"/>
            <w:left w:w="108" w:type="dxa"/>
            <w:bottom w:w="0" w:type="dxa"/>
            <w:right w:w="108" w:type="dxa"/>
          </w:tblCellMar>
        </w:tblPrEx>
        <w:trPr>
          <w:trHeight w:val="5426" w:hRule="atLeast"/>
        </w:trPr>
        <w:tc>
          <w:tcPr>
            <w:tcW w:w="531" w:type="dxa"/>
            <w:tcBorders>
              <w:top w:val="single" w:color="000000" w:sz="8" w:space="0"/>
              <w:left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108</w:t>
            </w:r>
          </w:p>
        </w:tc>
        <w:tc>
          <w:tcPr>
            <w:tcW w:w="2173" w:type="dxa"/>
            <w:tcBorders>
              <w:top w:val="single" w:color="000000" w:sz="8" w:space="0"/>
              <w:left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扩声系统设备</w:t>
            </w:r>
          </w:p>
        </w:tc>
        <w:tc>
          <w:tcPr>
            <w:tcW w:w="4422" w:type="dxa"/>
            <w:tcBorders>
              <w:top w:val="single" w:color="000000" w:sz="8" w:space="0"/>
              <w:left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1.名称:8英寸无框天花扬声器</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 xml:space="preserve">2.规格:1、产品类型:8英寸无框天花扬声器 </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2、系统安全:CAPD II高频过载保护</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3、频率响应(-10 dB):69Hz-20kHz</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4、灵敏度(1W/1m):89 dB</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5、声压级(持续/峰值:112/118 dB</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6、额定系统功率:95W(RMS)</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峰值系统功率:380W(Peak)</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7、标称阻抗:8 Ohm</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8、定压选项:50W/25W/12.5W/6.25W/3.1W @70V/100V</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9、磁体类型;低音材质&gt;橡边PP盆，高音材质&gt;钛膜球顶</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低音数组:1 x 8" 代码CT4008KB</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高音数组:1 x 1" 代码DT4001M</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10、外观描述:面罩使用</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磁吸式无边框安装结构</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11、覆盖角度:90°H×90°V</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12、外部尺寸:275mm x 222mm</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开孔口径:245mm</w:t>
            </w:r>
          </w:p>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产品重量:3.05kg</w:t>
            </w:r>
          </w:p>
        </w:tc>
        <w:tc>
          <w:tcPr>
            <w:tcW w:w="974" w:type="dxa"/>
            <w:tcBorders>
              <w:top w:val="single" w:color="000000" w:sz="8" w:space="0"/>
              <w:left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台</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2</w:t>
            </w:r>
          </w:p>
        </w:tc>
      </w:tr>
      <w:tr>
        <w:tblPrEx>
          <w:tblCellMar>
            <w:top w:w="0" w:type="dxa"/>
            <w:left w:w="108" w:type="dxa"/>
            <w:bottom w:w="0" w:type="dxa"/>
            <w:right w:w="108" w:type="dxa"/>
          </w:tblCellMar>
        </w:tblPrEx>
        <w:trPr>
          <w:trHeight w:val="25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jc w:val="right"/>
              <w:rPr>
                <w:rFonts w:ascii="仿宋" w:hAnsi="仿宋" w:eastAsia="仿宋" w:cs="仿宋"/>
                <w:color w:val="auto"/>
                <w:sz w:val="20"/>
                <w:szCs w:val="20"/>
                <w:highlight w:val="none"/>
              </w:rPr>
            </w:pP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b/>
                <w:bCs/>
                <w:color w:val="auto"/>
                <w:sz w:val="20"/>
                <w:szCs w:val="20"/>
                <w:highlight w:val="none"/>
              </w:rPr>
            </w:pPr>
            <w:r>
              <w:rPr>
                <w:rFonts w:hint="eastAsia" w:ascii="仿宋" w:hAnsi="仿宋" w:eastAsia="仿宋" w:cs="仿宋"/>
                <w:b/>
                <w:bCs/>
                <w:color w:val="auto"/>
                <w:kern w:val="0"/>
                <w:sz w:val="20"/>
                <w:szCs w:val="20"/>
                <w:highlight w:val="none"/>
                <w:lang w:bidi="ar"/>
              </w:rPr>
              <w:t>情牵临平</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jc w:val="left"/>
              <w:rPr>
                <w:rFonts w:ascii="仿宋" w:hAnsi="仿宋" w:eastAsia="仿宋" w:cs="仿宋"/>
                <w:color w:val="auto"/>
                <w:sz w:val="20"/>
                <w:szCs w:val="20"/>
                <w:highlight w:val="none"/>
              </w:rPr>
            </w:pP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jc w:val="left"/>
              <w:rPr>
                <w:rFonts w:ascii="仿宋" w:hAnsi="仿宋" w:eastAsia="仿宋" w:cs="仿宋"/>
                <w:color w:val="auto"/>
                <w:sz w:val="20"/>
                <w:szCs w:val="20"/>
                <w:highlight w:val="none"/>
              </w:rPr>
            </w:pP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jc w:val="left"/>
              <w:rPr>
                <w:rFonts w:ascii="仿宋" w:hAnsi="仿宋" w:eastAsia="仿宋" w:cs="仿宋"/>
                <w:color w:val="auto"/>
                <w:sz w:val="20"/>
                <w:szCs w:val="20"/>
                <w:highlight w:val="none"/>
              </w:rPr>
            </w:pPr>
          </w:p>
        </w:tc>
      </w:tr>
      <w:tr>
        <w:tblPrEx>
          <w:tblCellMar>
            <w:top w:w="0" w:type="dxa"/>
            <w:left w:w="108" w:type="dxa"/>
            <w:bottom w:w="0" w:type="dxa"/>
            <w:right w:w="108" w:type="dxa"/>
          </w:tblCellMar>
        </w:tblPrEx>
        <w:trPr>
          <w:trHeight w:val="97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109</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定制单元说明牌</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1、40*40阻燃木方龙骨框架，12厚阻燃板基层，20厚铝型材框包边，展板金属挂件；</w:t>
            </w:r>
          </w:p>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2、3mm铝板uv饰面，文字图案编排、3厚亚克力雕刻字背面着色</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个</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w:t>
            </w:r>
          </w:p>
        </w:tc>
      </w:tr>
      <w:tr>
        <w:tblPrEx>
          <w:tblCellMar>
            <w:top w:w="0" w:type="dxa"/>
            <w:left w:w="108" w:type="dxa"/>
            <w:bottom w:w="0" w:type="dxa"/>
            <w:right w:w="108" w:type="dxa"/>
          </w:tblCellMar>
        </w:tblPrEx>
        <w:trPr>
          <w:trHeight w:val="25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110</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定制小组说明牌</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1.定制小组说明牌</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个</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3</w:t>
            </w:r>
          </w:p>
        </w:tc>
      </w:tr>
      <w:tr>
        <w:tblPrEx>
          <w:tblCellMar>
            <w:top w:w="0" w:type="dxa"/>
            <w:left w:w="108" w:type="dxa"/>
            <w:bottom w:w="0" w:type="dxa"/>
            <w:right w:w="108" w:type="dxa"/>
          </w:tblCellMar>
        </w:tblPrEx>
        <w:trPr>
          <w:trHeight w:val="90"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111</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展品说明牌</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1.展品说明牌</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项</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w:t>
            </w:r>
          </w:p>
        </w:tc>
      </w:tr>
      <w:tr>
        <w:tblPrEx>
          <w:tblCellMar>
            <w:top w:w="0" w:type="dxa"/>
            <w:left w:w="108" w:type="dxa"/>
            <w:bottom w:w="0" w:type="dxa"/>
            <w:right w:w="108" w:type="dxa"/>
          </w:tblCellMar>
        </w:tblPrEx>
        <w:trPr>
          <w:trHeight w:val="25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112</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二级看板</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1.二级看板</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个</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2</w:t>
            </w:r>
          </w:p>
        </w:tc>
      </w:tr>
      <w:tr>
        <w:tblPrEx>
          <w:tblCellMar>
            <w:top w:w="0" w:type="dxa"/>
            <w:left w:w="108" w:type="dxa"/>
            <w:bottom w:w="0" w:type="dxa"/>
            <w:right w:w="108" w:type="dxa"/>
          </w:tblCellMar>
        </w:tblPrEx>
        <w:trPr>
          <w:trHeight w:val="121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113</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图文展板</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1.40*40阻燃木方龙骨框架，12厚阻燃板基层，20厚铝型材框包边，展板金属挂件；</w:t>
            </w:r>
          </w:p>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2.面层材料品种、规格、颜色:雪绒布喷绘，背景合成图电分、扫描、修版、合成，背景合成喷专用防护油处理</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m2</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3.7</w:t>
            </w:r>
          </w:p>
        </w:tc>
      </w:tr>
      <w:tr>
        <w:tblPrEx>
          <w:tblCellMar>
            <w:top w:w="0" w:type="dxa"/>
            <w:left w:w="108" w:type="dxa"/>
            <w:bottom w:w="0" w:type="dxa"/>
            <w:right w:w="108" w:type="dxa"/>
          </w:tblCellMar>
        </w:tblPrEx>
        <w:trPr>
          <w:trHeight w:val="25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114</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牌匾</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1.实木牌匾</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项</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w:t>
            </w:r>
          </w:p>
        </w:tc>
      </w:tr>
      <w:tr>
        <w:tblPrEx>
          <w:tblCellMar>
            <w:top w:w="0" w:type="dxa"/>
            <w:left w:w="108" w:type="dxa"/>
            <w:bottom w:w="0" w:type="dxa"/>
            <w:right w:w="108" w:type="dxa"/>
          </w:tblCellMar>
        </w:tblPrEx>
        <w:trPr>
          <w:trHeight w:val="169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115</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进口油画布设计UV制作</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定制艺术油画布</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1、定制进口油画布UV，背景合成</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图电分、扫描、修版、合成及艺</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术创作，背景合成喷专用防护油</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处理；</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2、美术师级别：具有中级美术师</w:t>
            </w:r>
          </w:p>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及以上职称。</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m2</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10</w:t>
            </w:r>
          </w:p>
        </w:tc>
      </w:tr>
      <w:tr>
        <w:tblPrEx>
          <w:tblCellMar>
            <w:top w:w="0" w:type="dxa"/>
            <w:left w:w="108" w:type="dxa"/>
            <w:bottom w:w="0" w:type="dxa"/>
            <w:right w:w="108" w:type="dxa"/>
          </w:tblCellMar>
        </w:tblPrEx>
        <w:trPr>
          <w:trHeight w:val="97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116</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定制软膜灯箱</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1.名称:定制软膜</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2.基层材料种类:金属边框；铝合金龙骨+LED光源</w:t>
            </w:r>
          </w:p>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3.面层材料种类:UV软膜</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m2</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5</w:t>
            </w:r>
          </w:p>
        </w:tc>
      </w:tr>
      <w:tr>
        <w:tblPrEx>
          <w:tblCellMar>
            <w:top w:w="0" w:type="dxa"/>
            <w:left w:w="108" w:type="dxa"/>
            <w:bottom w:w="0" w:type="dxa"/>
            <w:right w:w="108" w:type="dxa"/>
          </w:tblCellMar>
        </w:tblPrEx>
        <w:trPr>
          <w:trHeight w:val="121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117</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风韵临平创作画</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1.材料种类、规格:根据主题定位寻找素材资料、提炼主要信息点、中国美院国画系老师（副教授级别）进行初稿手绘创作</w:t>
            </w:r>
          </w:p>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2.色彩小样绘制确认、现场大图放样、着色、刻画、表面喷洒油画保护漆。</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m2</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3</w:t>
            </w:r>
          </w:p>
        </w:tc>
      </w:tr>
      <w:tr>
        <w:tblPrEx>
          <w:tblCellMar>
            <w:top w:w="0" w:type="dxa"/>
            <w:left w:w="108" w:type="dxa"/>
            <w:bottom w:w="0" w:type="dxa"/>
            <w:right w:w="108" w:type="dxa"/>
          </w:tblCellMar>
        </w:tblPrEx>
        <w:trPr>
          <w:trHeight w:val="121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118</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俞越回临平创作画</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1.材料种类、规格:根据主题定位寻找素材资料、提炼主要信息点、中国美院国画系老师（副教授级别）进行初稿手绘创作</w:t>
            </w:r>
          </w:p>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2.色彩小样绘制确认、现场大图放样、着色、刻画、表面喷洒油画保护漆。</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m2</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3</w:t>
            </w:r>
          </w:p>
        </w:tc>
      </w:tr>
      <w:tr>
        <w:tblPrEx>
          <w:tblCellMar>
            <w:top w:w="0" w:type="dxa"/>
            <w:left w:w="108" w:type="dxa"/>
            <w:bottom w:w="0" w:type="dxa"/>
            <w:right w:w="108" w:type="dxa"/>
          </w:tblCellMar>
        </w:tblPrEx>
        <w:trPr>
          <w:trHeight w:val="25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119</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纱幔uv</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上方绳悬挂，纱幔uv，营造氛围</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m2</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6</w:t>
            </w:r>
          </w:p>
        </w:tc>
      </w:tr>
      <w:tr>
        <w:tblPrEx>
          <w:tblCellMar>
            <w:top w:w="0" w:type="dxa"/>
            <w:left w:w="108" w:type="dxa"/>
            <w:bottom w:w="0" w:type="dxa"/>
            <w:right w:w="108" w:type="dxa"/>
          </w:tblCellMar>
        </w:tblPrEx>
        <w:trPr>
          <w:trHeight w:val="25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120</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实木格栅</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1.实木格栅</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m2</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2.5</w:t>
            </w:r>
          </w:p>
        </w:tc>
      </w:tr>
      <w:tr>
        <w:tblPrEx>
          <w:tblCellMar>
            <w:top w:w="0" w:type="dxa"/>
            <w:left w:w="108" w:type="dxa"/>
            <w:bottom w:w="0" w:type="dxa"/>
            <w:right w:w="108" w:type="dxa"/>
          </w:tblCellMar>
        </w:tblPrEx>
        <w:trPr>
          <w:trHeight w:val="25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121</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定制艺术人物剪板</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钢板人物剪板造型</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项</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w:t>
            </w:r>
          </w:p>
        </w:tc>
      </w:tr>
      <w:tr>
        <w:tblPrEx>
          <w:tblCellMar>
            <w:top w:w="0" w:type="dxa"/>
            <w:left w:w="108" w:type="dxa"/>
            <w:bottom w:w="0" w:type="dxa"/>
            <w:right w:w="108" w:type="dxa"/>
          </w:tblCellMar>
        </w:tblPrEx>
        <w:trPr>
          <w:trHeight w:val="73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122</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艺术雕刻字</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1.1.2厚不锈钢金属折边烤漆字</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2.字体规格:15*15*2cm</w:t>
            </w:r>
          </w:p>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3.固定方式:背面敷2cm厚PVC雕刻字</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个</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20</w:t>
            </w:r>
          </w:p>
        </w:tc>
      </w:tr>
      <w:tr>
        <w:tblPrEx>
          <w:tblCellMar>
            <w:top w:w="0" w:type="dxa"/>
            <w:left w:w="108" w:type="dxa"/>
            <w:bottom w:w="0" w:type="dxa"/>
            <w:right w:w="108" w:type="dxa"/>
          </w:tblCellMar>
        </w:tblPrEx>
        <w:trPr>
          <w:trHeight w:val="145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123</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定制组合柜</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1.名称:定制组合柜</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2.材料种类、规格:玻璃：8+8超</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白夹胶玻璃；定制金属收边，基</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面用定制钢板</w:t>
            </w:r>
          </w:p>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3.五金种类、规格:开启方式：电动旋出手动平移开启</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m</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2</w:t>
            </w:r>
          </w:p>
        </w:tc>
      </w:tr>
      <w:tr>
        <w:tblPrEx>
          <w:tblCellMar>
            <w:top w:w="0" w:type="dxa"/>
            <w:left w:w="108" w:type="dxa"/>
            <w:bottom w:w="0" w:type="dxa"/>
            <w:right w:w="108" w:type="dxa"/>
          </w:tblCellMar>
        </w:tblPrEx>
        <w:trPr>
          <w:trHeight w:val="97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124</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定制平柜</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1.定制组合平柜（木纹）</w:t>
            </w:r>
          </w:p>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2.材料种类、规格:1200*950展柜玻璃采用国产超白夹胶玻璃(6mm+1.52mm+6mm)，透光率&gt;95%以上</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个</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w:t>
            </w:r>
          </w:p>
        </w:tc>
      </w:tr>
      <w:tr>
        <w:tblPrEx>
          <w:tblCellMar>
            <w:top w:w="0" w:type="dxa"/>
            <w:left w:w="108" w:type="dxa"/>
            <w:bottom w:w="0" w:type="dxa"/>
            <w:right w:w="108" w:type="dxa"/>
          </w:tblCellMar>
        </w:tblPrEx>
        <w:trPr>
          <w:trHeight w:val="25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125</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盆景架</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1.盆景架</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个</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2</w:t>
            </w:r>
          </w:p>
        </w:tc>
      </w:tr>
      <w:tr>
        <w:tblPrEx>
          <w:tblCellMar>
            <w:top w:w="0" w:type="dxa"/>
            <w:left w:w="108" w:type="dxa"/>
            <w:bottom w:w="0" w:type="dxa"/>
            <w:right w:w="108" w:type="dxa"/>
          </w:tblCellMar>
        </w:tblPrEx>
        <w:trPr>
          <w:trHeight w:val="49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126</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余樾游览临平，电子沙盘</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材料种类：沙盘钢板烤漆包边，沙盘造型（含金属底座）</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m2</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4</w:t>
            </w:r>
          </w:p>
        </w:tc>
      </w:tr>
      <w:tr>
        <w:tblPrEx>
          <w:tblCellMar>
            <w:top w:w="0" w:type="dxa"/>
            <w:left w:w="108" w:type="dxa"/>
            <w:bottom w:w="0" w:type="dxa"/>
            <w:right w:w="108" w:type="dxa"/>
          </w:tblCellMar>
        </w:tblPrEx>
        <w:trPr>
          <w:trHeight w:val="289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127</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投影机</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投影机特性高清投影机</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1、亮度≥5200lm（中心亮度），≥5000（ISO21118标准），分辨率≥1920X1200，兼容1920X1080，1024X768，对比度≥1,800:1静态;10,0000:1动态;300,0000:1，显示比例16:10兼容16:9,4:3。</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2、支持电动镜头位移功能</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3、整机功率：标准模式：350W+/-15%,节能模式230W+/-15%；待机功率：正常模式：≤0.2W，网络待机：≤0.5W；</w:t>
            </w:r>
          </w:p>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4、支持7*24小时不间断连续工作，光源使用寿命≥20000小时（正常模式）。</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台</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w:t>
            </w:r>
          </w:p>
        </w:tc>
      </w:tr>
      <w:tr>
        <w:tblPrEx>
          <w:tblCellMar>
            <w:top w:w="0" w:type="dxa"/>
            <w:left w:w="108" w:type="dxa"/>
            <w:bottom w:w="0" w:type="dxa"/>
            <w:right w:w="108" w:type="dxa"/>
          </w:tblCellMar>
        </w:tblPrEx>
        <w:trPr>
          <w:trHeight w:val="73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128</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吊架</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1.名称:投影机吊架</w:t>
            </w:r>
          </w:p>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2.规格:承重50KG，可伸缩0.65-1米，材质：碳素钢</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台</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w:t>
            </w:r>
          </w:p>
        </w:tc>
      </w:tr>
      <w:tr>
        <w:tblPrEx>
          <w:tblCellMar>
            <w:top w:w="0" w:type="dxa"/>
            <w:left w:w="108" w:type="dxa"/>
            <w:bottom w:w="0" w:type="dxa"/>
            <w:right w:w="108" w:type="dxa"/>
          </w:tblCellMar>
        </w:tblPrEx>
        <w:trPr>
          <w:trHeight w:val="25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129</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投影机镜头</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1.定制超短焦</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台</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w:t>
            </w:r>
          </w:p>
        </w:tc>
      </w:tr>
      <w:tr>
        <w:tblPrEx>
          <w:tblCellMar>
            <w:top w:w="0" w:type="dxa"/>
            <w:left w:w="108" w:type="dxa"/>
            <w:bottom w:w="0" w:type="dxa"/>
            <w:right w:w="108" w:type="dxa"/>
          </w:tblCellMar>
        </w:tblPrEx>
        <w:trPr>
          <w:trHeight w:val="97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130</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图形计算机</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1.名称:图形计算机</w:t>
            </w:r>
          </w:p>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2.规格:主机:CPU: Intel 酷睿I7；内存:8GB；硬盘:120G固态硬盘；显卡：2G独显；电源:650w；机箱：工控机箱</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台</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w:t>
            </w:r>
          </w:p>
        </w:tc>
      </w:tr>
      <w:tr>
        <w:tblPrEx>
          <w:tblCellMar>
            <w:top w:w="0" w:type="dxa"/>
            <w:left w:w="108" w:type="dxa"/>
            <w:bottom w:w="0" w:type="dxa"/>
            <w:right w:w="108" w:type="dxa"/>
          </w:tblCellMar>
        </w:tblPrEx>
        <w:trPr>
          <w:trHeight w:val="433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131</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扩声系统设备</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1.名称:功放</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2立体声输出功率8Ω：2x600W</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立体声输出功率 4Ω：2x900W</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立体声输出功率 2Ω：2x1200W</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桥接单声道输出8Ω：1800W</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桥接单声道输出4Ω：2400W</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频率响应：5-20K+/-0.5dB</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总谐波失真：&lt;0.05%@8Ω 1KHz 1/4Po</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信噪比：&gt;102dB</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瞬态响应：20V/u S</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阻尼系数：&gt;400</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串音：&gt;60dB@8Ω 1KHz</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输入阻抗：20KΩ(Balance)/10KΩ(Unbalance)</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输入灵敏度：1V</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高度：2U</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重量：26KG</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尺寸：575x570x158mm</w:t>
            </w:r>
          </w:p>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包装：纸箱保护</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台</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w:t>
            </w:r>
          </w:p>
        </w:tc>
      </w:tr>
      <w:tr>
        <w:tblPrEx>
          <w:tblCellMar>
            <w:top w:w="0" w:type="dxa"/>
            <w:left w:w="108" w:type="dxa"/>
            <w:bottom w:w="0" w:type="dxa"/>
            <w:right w:w="108" w:type="dxa"/>
          </w:tblCellMar>
        </w:tblPrEx>
        <w:trPr>
          <w:trHeight w:val="5426" w:hRule="atLeast"/>
        </w:trPr>
        <w:tc>
          <w:tcPr>
            <w:tcW w:w="531" w:type="dxa"/>
            <w:tcBorders>
              <w:top w:val="single" w:color="000000" w:sz="8" w:space="0"/>
              <w:left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132</w:t>
            </w:r>
          </w:p>
        </w:tc>
        <w:tc>
          <w:tcPr>
            <w:tcW w:w="2173" w:type="dxa"/>
            <w:tcBorders>
              <w:top w:val="single" w:color="000000" w:sz="8" w:space="0"/>
              <w:left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扩声系统设备</w:t>
            </w:r>
          </w:p>
        </w:tc>
        <w:tc>
          <w:tcPr>
            <w:tcW w:w="4422" w:type="dxa"/>
            <w:tcBorders>
              <w:top w:val="single" w:color="000000" w:sz="8" w:space="0"/>
              <w:left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1.名称:8英寸无框天花扬声器</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 xml:space="preserve">2.规格:1、产品类型:8英寸无框天花扬声器 </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2、系统安全:CAPD II高频过载保护</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3、频率响应(-10 dB):69Hz-20kHz</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4、灵敏度(1W/1m):89 dB</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5、声压级(持续/峰值:112/118 dB</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6、额定系统功率:95W(RMS)</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峰值系统功率:380W(Peak)</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7、标称阻抗:8 Ohm</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8、定压选项:50W/25W/12.5W/6.25W/3.1W @70V/100V</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9、磁体类型;低音材质&gt;橡边PP盆，高音材质&gt;钛膜球顶</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低音数组:1 x 8" 代码CT4008KB</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高音数组:1 x 1" 代码DT4001M</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10、外观描述:面罩使用</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磁吸式无边框安装结构</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11、覆盖角度:90°H×90°V</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12、外部尺寸:275mm x 222mm</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开孔口径:245mm</w:t>
            </w:r>
          </w:p>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产品重量:3.05kg</w:t>
            </w:r>
          </w:p>
        </w:tc>
        <w:tc>
          <w:tcPr>
            <w:tcW w:w="974" w:type="dxa"/>
            <w:tcBorders>
              <w:top w:val="single" w:color="000000" w:sz="8" w:space="0"/>
              <w:left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台</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2</w:t>
            </w:r>
          </w:p>
        </w:tc>
      </w:tr>
      <w:tr>
        <w:tblPrEx>
          <w:tblCellMar>
            <w:top w:w="0" w:type="dxa"/>
            <w:left w:w="108" w:type="dxa"/>
            <w:bottom w:w="0" w:type="dxa"/>
            <w:right w:w="108" w:type="dxa"/>
          </w:tblCellMar>
        </w:tblPrEx>
        <w:trPr>
          <w:trHeight w:val="145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133</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沙盘交互影片</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1.高清影片制作，与电子沙盘联动，到哪个景点讲哪个景点的故事</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2.影片内容需有方案创意构思，根据客户需求，固定影片风格，拟定方向。</w:t>
            </w:r>
          </w:p>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3.多媒体内容脚本制作:根据策划拟定的方向进行影片内容、画面的文字性创作。</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秒</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60</w:t>
            </w:r>
          </w:p>
        </w:tc>
      </w:tr>
      <w:tr>
        <w:tblPrEx>
          <w:tblCellMar>
            <w:top w:w="0" w:type="dxa"/>
            <w:left w:w="108" w:type="dxa"/>
            <w:bottom w:w="0" w:type="dxa"/>
            <w:right w:w="108" w:type="dxa"/>
          </w:tblCellMar>
        </w:tblPrEx>
        <w:trPr>
          <w:trHeight w:val="145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134</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42寸触摸一体机，美食多点互动，制作流程</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1.触控液晶屏；面板:IPS技术；屏幕分辨率：1920*1080；屏幕比例：16:9 、CPU I5、4G内存、储存128 G；触摸分辨率：4096*4096；扫描率：50scans/s；耐久性：承受超过八千万次以上单点触摸；触摸体&gt;5mm；音响系统：内置喇叭2*805W</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台</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w:t>
            </w:r>
          </w:p>
        </w:tc>
      </w:tr>
      <w:tr>
        <w:tblPrEx>
          <w:tblCellMar>
            <w:top w:w="0" w:type="dxa"/>
            <w:left w:w="108" w:type="dxa"/>
            <w:bottom w:w="0" w:type="dxa"/>
            <w:right w:w="108" w:type="dxa"/>
          </w:tblCellMar>
        </w:tblPrEx>
        <w:trPr>
          <w:trHeight w:val="49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135</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液压支架</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1.专业定制维护支架；挂架材质:SPCC冷轧钢板；最大承重：55kg</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套</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w:t>
            </w:r>
          </w:p>
        </w:tc>
      </w:tr>
      <w:tr>
        <w:tblPrEx>
          <w:tblCellMar>
            <w:top w:w="0" w:type="dxa"/>
            <w:left w:w="108" w:type="dxa"/>
            <w:bottom w:w="0" w:type="dxa"/>
            <w:right w:w="108" w:type="dxa"/>
          </w:tblCellMar>
        </w:tblPrEx>
        <w:trPr>
          <w:trHeight w:val="241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136</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交互程序</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1.资料收集整理、互动媒体的内容创意、内容大纲编写、详细资料，设计程序逻辑</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2.UI设计：UI界面设计制作，平面排版、内容整理、程序编排、特效制作</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3.程序开发：交互程序开发，多媒体内容架构，多片源组成的动态互动媒体数字内容结构搭建，图片处理，视频编辑、制作及后期处理制作，动态特效制作、内容收集美化制作</w:t>
            </w:r>
          </w:p>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4.软件内容制作：根据策划内容，设计制作图文</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项</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w:t>
            </w:r>
          </w:p>
        </w:tc>
      </w:tr>
      <w:tr>
        <w:tblPrEx>
          <w:tblCellMar>
            <w:top w:w="0" w:type="dxa"/>
            <w:left w:w="108" w:type="dxa"/>
            <w:bottom w:w="0" w:type="dxa"/>
            <w:right w:w="108" w:type="dxa"/>
          </w:tblCellMar>
        </w:tblPrEx>
        <w:trPr>
          <w:trHeight w:val="25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jc w:val="right"/>
              <w:rPr>
                <w:rFonts w:ascii="仿宋" w:hAnsi="仿宋" w:eastAsia="仿宋" w:cs="仿宋"/>
                <w:color w:val="auto"/>
                <w:sz w:val="20"/>
                <w:szCs w:val="20"/>
                <w:highlight w:val="none"/>
              </w:rPr>
            </w:pP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b/>
                <w:bCs/>
                <w:color w:val="auto"/>
                <w:sz w:val="20"/>
                <w:szCs w:val="20"/>
                <w:highlight w:val="none"/>
              </w:rPr>
            </w:pPr>
            <w:r>
              <w:rPr>
                <w:rFonts w:hint="eastAsia" w:ascii="仿宋" w:hAnsi="仿宋" w:eastAsia="仿宋" w:cs="仿宋"/>
                <w:b/>
                <w:bCs/>
                <w:color w:val="auto"/>
                <w:kern w:val="0"/>
                <w:sz w:val="20"/>
                <w:szCs w:val="20"/>
                <w:highlight w:val="none"/>
                <w:lang w:bidi="ar"/>
              </w:rPr>
              <w:t>第二部分儒林宗硕</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jc w:val="left"/>
              <w:rPr>
                <w:rFonts w:ascii="仿宋" w:hAnsi="仿宋" w:eastAsia="仿宋" w:cs="仿宋"/>
                <w:color w:val="auto"/>
                <w:sz w:val="20"/>
                <w:szCs w:val="20"/>
                <w:highlight w:val="none"/>
              </w:rPr>
            </w:pP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jc w:val="left"/>
              <w:rPr>
                <w:rFonts w:ascii="仿宋" w:hAnsi="仿宋" w:eastAsia="仿宋" w:cs="仿宋"/>
                <w:color w:val="auto"/>
                <w:sz w:val="20"/>
                <w:szCs w:val="20"/>
                <w:highlight w:val="none"/>
              </w:rPr>
            </w:pP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jc w:val="left"/>
              <w:rPr>
                <w:rFonts w:ascii="仿宋" w:hAnsi="仿宋" w:eastAsia="仿宋" w:cs="仿宋"/>
                <w:color w:val="auto"/>
                <w:sz w:val="20"/>
                <w:szCs w:val="20"/>
                <w:highlight w:val="none"/>
              </w:rPr>
            </w:pPr>
          </w:p>
        </w:tc>
      </w:tr>
      <w:tr>
        <w:tblPrEx>
          <w:tblCellMar>
            <w:top w:w="0" w:type="dxa"/>
            <w:left w:w="108" w:type="dxa"/>
            <w:bottom w:w="0" w:type="dxa"/>
            <w:right w:w="108" w:type="dxa"/>
          </w:tblCellMar>
        </w:tblPrEx>
        <w:trPr>
          <w:trHeight w:val="25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jc w:val="right"/>
              <w:rPr>
                <w:rFonts w:ascii="仿宋" w:hAnsi="仿宋" w:eastAsia="仿宋" w:cs="仿宋"/>
                <w:color w:val="auto"/>
                <w:sz w:val="20"/>
                <w:szCs w:val="20"/>
                <w:highlight w:val="none"/>
              </w:rPr>
            </w:pP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b/>
                <w:bCs/>
                <w:color w:val="auto"/>
                <w:sz w:val="20"/>
                <w:szCs w:val="20"/>
                <w:highlight w:val="none"/>
              </w:rPr>
            </w:pPr>
            <w:r>
              <w:rPr>
                <w:rFonts w:hint="eastAsia" w:ascii="仿宋" w:hAnsi="仿宋" w:eastAsia="仿宋" w:cs="仿宋"/>
                <w:b/>
                <w:bCs/>
                <w:color w:val="auto"/>
                <w:kern w:val="0"/>
                <w:sz w:val="20"/>
                <w:szCs w:val="20"/>
                <w:highlight w:val="none"/>
                <w:lang w:bidi="ar"/>
              </w:rPr>
              <w:t>士林泰斗</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jc w:val="left"/>
              <w:rPr>
                <w:rFonts w:ascii="仿宋" w:hAnsi="仿宋" w:eastAsia="仿宋" w:cs="仿宋"/>
                <w:color w:val="auto"/>
                <w:sz w:val="20"/>
                <w:szCs w:val="20"/>
                <w:highlight w:val="none"/>
              </w:rPr>
            </w:pP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jc w:val="left"/>
              <w:rPr>
                <w:rFonts w:ascii="仿宋" w:hAnsi="仿宋" w:eastAsia="仿宋" w:cs="仿宋"/>
                <w:color w:val="auto"/>
                <w:sz w:val="20"/>
                <w:szCs w:val="20"/>
                <w:highlight w:val="none"/>
              </w:rPr>
            </w:pP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jc w:val="left"/>
              <w:rPr>
                <w:rFonts w:ascii="仿宋" w:hAnsi="仿宋" w:eastAsia="仿宋" w:cs="仿宋"/>
                <w:color w:val="auto"/>
                <w:sz w:val="20"/>
                <w:szCs w:val="20"/>
                <w:highlight w:val="none"/>
              </w:rPr>
            </w:pPr>
          </w:p>
        </w:tc>
      </w:tr>
      <w:tr>
        <w:tblPrEx>
          <w:tblCellMar>
            <w:top w:w="0" w:type="dxa"/>
            <w:left w:w="108" w:type="dxa"/>
            <w:bottom w:w="0" w:type="dxa"/>
            <w:right w:w="108" w:type="dxa"/>
          </w:tblCellMar>
        </w:tblPrEx>
        <w:trPr>
          <w:trHeight w:val="97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137</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定制部分说明牌</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1、40*40阻燃木方龙骨框架，12厚阻燃板基层，20厚铝型材框包边，展板金属挂件；</w:t>
            </w:r>
          </w:p>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2、3mm铝板uv饰面，文字图案编排、3厚亚克力雕刻字背面着色</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个</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w:t>
            </w:r>
          </w:p>
        </w:tc>
      </w:tr>
      <w:tr>
        <w:tblPrEx>
          <w:tblCellMar>
            <w:top w:w="0" w:type="dxa"/>
            <w:left w:w="108" w:type="dxa"/>
            <w:bottom w:w="0" w:type="dxa"/>
            <w:right w:w="108" w:type="dxa"/>
          </w:tblCellMar>
        </w:tblPrEx>
        <w:trPr>
          <w:trHeight w:val="97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138</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定制单元说明牌</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1、40*40阻燃木方龙骨框架，12厚阻燃板基层，20厚铝型材框包边，展板金属挂件；</w:t>
            </w:r>
          </w:p>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2、3mm铝板uv饰面，文字图案编排、3厚亚克力雕刻字背面着色</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个</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5</w:t>
            </w:r>
          </w:p>
        </w:tc>
      </w:tr>
      <w:tr>
        <w:tblPrEx>
          <w:tblCellMar>
            <w:top w:w="0" w:type="dxa"/>
            <w:left w:w="108" w:type="dxa"/>
            <w:bottom w:w="0" w:type="dxa"/>
            <w:right w:w="108" w:type="dxa"/>
          </w:tblCellMar>
        </w:tblPrEx>
        <w:trPr>
          <w:trHeight w:val="25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139</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定制小组说明牌</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1.定制小组说明牌</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个</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w:t>
            </w:r>
          </w:p>
        </w:tc>
      </w:tr>
      <w:tr>
        <w:tblPrEx>
          <w:tblCellMar>
            <w:top w:w="0" w:type="dxa"/>
            <w:left w:w="108" w:type="dxa"/>
            <w:bottom w:w="0" w:type="dxa"/>
            <w:right w:w="108" w:type="dxa"/>
          </w:tblCellMar>
        </w:tblPrEx>
        <w:trPr>
          <w:trHeight w:val="25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140</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展品说明牌</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1.展品说明牌</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项</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5</w:t>
            </w:r>
          </w:p>
        </w:tc>
      </w:tr>
      <w:tr>
        <w:tblPrEx>
          <w:tblCellMar>
            <w:top w:w="0" w:type="dxa"/>
            <w:left w:w="108" w:type="dxa"/>
            <w:bottom w:w="0" w:type="dxa"/>
            <w:right w:w="108" w:type="dxa"/>
          </w:tblCellMar>
        </w:tblPrEx>
        <w:trPr>
          <w:trHeight w:val="25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141</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二级看板</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1.二级看板</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个</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5</w:t>
            </w:r>
          </w:p>
        </w:tc>
      </w:tr>
      <w:tr>
        <w:tblPrEx>
          <w:tblCellMar>
            <w:top w:w="0" w:type="dxa"/>
            <w:left w:w="108" w:type="dxa"/>
            <w:bottom w:w="0" w:type="dxa"/>
            <w:right w:w="108" w:type="dxa"/>
          </w:tblCellMar>
        </w:tblPrEx>
        <w:trPr>
          <w:trHeight w:val="25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142</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著作等身艺术装置</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1.定制艺术书本装置</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项</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w:t>
            </w:r>
          </w:p>
        </w:tc>
      </w:tr>
      <w:tr>
        <w:tblPrEx>
          <w:tblCellMar>
            <w:top w:w="0" w:type="dxa"/>
            <w:left w:w="108" w:type="dxa"/>
            <w:bottom w:w="0" w:type="dxa"/>
            <w:right w:w="108" w:type="dxa"/>
          </w:tblCellMar>
        </w:tblPrEx>
        <w:trPr>
          <w:trHeight w:val="25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143</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艺术半场景</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1.定制艺术半场景</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项</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3</w:t>
            </w:r>
          </w:p>
        </w:tc>
      </w:tr>
      <w:tr>
        <w:tblPrEx>
          <w:tblCellMar>
            <w:top w:w="0" w:type="dxa"/>
            <w:left w:w="108" w:type="dxa"/>
            <w:bottom w:w="0" w:type="dxa"/>
            <w:right w:w="108" w:type="dxa"/>
          </w:tblCellMar>
        </w:tblPrEx>
        <w:trPr>
          <w:trHeight w:val="121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144</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图文展板</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1.40*40阻燃木方龙骨框架，12厚阻燃板基层，20厚铝型材框包边，展板金属挂件；</w:t>
            </w:r>
          </w:p>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2.面层材料品种、规格、颜色:雪绒布喷绘，背景合成图电分、扫描、修版、合成，背景合成喷专用防护油处理</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m2</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15.2</w:t>
            </w:r>
          </w:p>
        </w:tc>
      </w:tr>
      <w:tr>
        <w:tblPrEx>
          <w:tblCellMar>
            <w:top w:w="0" w:type="dxa"/>
            <w:left w:w="108" w:type="dxa"/>
            <w:bottom w:w="0" w:type="dxa"/>
            <w:right w:w="108" w:type="dxa"/>
          </w:tblCellMar>
        </w:tblPrEx>
        <w:trPr>
          <w:trHeight w:val="25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145</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镜面玻璃装饰板</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1.镜面玻璃装饰板</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m2</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5</w:t>
            </w:r>
          </w:p>
        </w:tc>
      </w:tr>
      <w:tr>
        <w:tblPrEx>
          <w:tblCellMar>
            <w:top w:w="0" w:type="dxa"/>
            <w:left w:w="108" w:type="dxa"/>
            <w:bottom w:w="0" w:type="dxa"/>
            <w:right w:w="108" w:type="dxa"/>
          </w:tblCellMar>
        </w:tblPrEx>
        <w:trPr>
          <w:trHeight w:val="97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146</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定制软膜灯箱</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1.名称:定制软膜</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2.基层材料种类:金属边框；铝合金龙骨+LED光源</w:t>
            </w:r>
          </w:p>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3.面层材料种类:UV软膜</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m2</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51.2</w:t>
            </w:r>
          </w:p>
        </w:tc>
      </w:tr>
      <w:tr>
        <w:tblPrEx>
          <w:tblCellMar>
            <w:top w:w="0" w:type="dxa"/>
            <w:left w:w="108" w:type="dxa"/>
            <w:bottom w:w="0" w:type="dxa"/>
            <w:right w:w="108" w:type="dxa"/>
          </w:tblCellMar>
        </w:tblPrEx>
        <w:trPr>
          <w:trHeight w:val="169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147</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进口油画布设计UV制作</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定制艺术油画布</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1、定制进口油画布UV，背景合成</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图电分、扫描、修版、合成及艺</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术创作，背景合成喷专用防护油</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处理；</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2、美术师级别：具有中级美术师</w:t>
            </w:r>
          </w:p>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及以上职称。</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m2</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31</w:t>
            </w:r>
          </w:p>
        </w:tc>
      </w:tr>
      <w:tr>
        <w:tblPrEx>
          <w:tblCellMar>
            <w:top w:w="0" w:type="dxa"/>
            <w:left w:w="108" w:type="dxa"/>
            <w:bottom w:w="0" w:type="dxa"/>
            <w:right w:w="108" w:type="dxa"/>
          </w:tblCellMar>
        </w:tblPrEx>
        <w:trPr>
          <w:trHeight w:val="97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148</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斜面看板</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1.名称:斜面看板</w:t>
            </w:r>
          </w:p>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2.材料种类、规格:雪绒布喷绘，背景合成图电分、扫描、修版、合成及艺术创作，背景合成喷专用防护油处理说明图文版面；</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m</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3.6</w:t>
            </w:r>
          </w:p>
        </w:tc>
      </w:tr>
      <w:tr>
        <w:tblPrEx>
          <w:tblCellMar>
            <w:top w:w="0" w:type="dxa"/>
            <w:left w:w="108" w:type="dxa"/>
            <w:bottom w:w="0" w:type="dxa"/>
            <w:right w:w="108" w:type="dxa"/>
          </w:tblCellMar>
        </w:tblPrEx>
        <w:trPr>
          <w:trHeight w:val="73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149</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艺术雕刻字</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1.1.2厚不锈钢金属折边烤漆字</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2.字体规格:15*15*2cm</w:t>
            </w:r>
          </w:p>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3.固定方式:背面敷2cm厚PVC雕刻字</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个</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30</w:t>
            </w:r>
          </w:p>
        </w:tc>
      </w:tr>
      <w:tr>
        <w:tblPrEx>
          <w:tblCellMar>
            <w:top w:w="0" w:type="dxa"/>
            <w:left w:w="108" w:type="dxa"/>
            <w:bottom w:w="0" w:type="dxa"/>
            <w:right w:w="108" w:type="dxa"/>
          </w:tblCellMar>
        </w:tblPrEx>
        <w:trPr>
          <w:trHeight w:val="25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150</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实木格栅</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1.实木格栅</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m2</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3</w:t>
            </w:r>
          </w:p>
        </w:tc>
      </w:tr>
      <w:tr>
        <w:tblPrEx>
          <w:tblCellMar>
            <w:top w:w="0" w:type="dxa"/>
            <w:left w:w="108" w:type="dxa"/>
            <w:bottom w:w="0" w:type="dxa"/>
            <w:right w:w="108" w:type="dxa"/>
          </w:tblCellMar>
        </w:tblPrEx>
        <w:trPr>
          <w:trHeight w:val="97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151</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定制平柜</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1.定制组合平柜（木纹）</w:t>
            </w:r>
          </w:p>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2.材料种类、规格:1200*950展柜玻璃采用国产超白夹胶玻璃(6mm+1.52mm+6mm)，透光率&gt;95%以上</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个</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4</w:t>
            </w:r>
          </w:p>
        </w:tc>
      </w:tr>
      <w:tr>
        <w:tblPrEx>
          <w:tblCellMar>
            <w:top w:w="0" w:type="dxa"/>
            <w:left w:w="108" w:type="dxa"/>
            <w:bottom w:w="0" w:type="dxa"/>
            <w:right w:w="108" w:type="dxa"/>
          </w:tblCellMar>
        </w:tblPrEx>
        <w:trPr>
          <w:trHeight w:val="145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152</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定制组合柜</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1.名称:定制组合柜</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2.材料种类、规格:玻璃：8+8超</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白夹胶玻璃；定制金属收边，基</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面用定制钢板</w:t>
            </w:r>
          </w:p>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3.五金种类、规格:开启方式：电动旋出手动平移开启</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m</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2</w:t>
            </w:r>
          </w:p>
        </w:tc>
      </w:tr>
      <w:tr>
        <w:tblPrEx>
          <w:tblCellMar>
            <w:top w:w="0" w:type="dxa"/>
            <w:left w:w="108" w:type="dxa"/>
            <w:bottom w:w="0" w:type="dxa"/>
            <w:right w:w="108" w:type="dxa"/>
          </w:tblCellMar>
        </w:tblPrEx>
        <w:trPr>
          <w:trHeight w:val="289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153</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投影机</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投影机特性高清投影机</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1、亮度≥5200lm（中心亮度），≥5000（ISO21118标准），分辨率≥1920X1200，兼容1920X1080，1024X768，对比度≥1,800:1静态;10,0000:1动态;300,0000:1，显示比例16:10兼容16:9,4:3。</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2、支持电动镜头位移功能</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3、整机功率：标准模式：350W+/-15%,节能模式230W+/-15%；待机功率：正常模式：≤0.2W，网络待机：≤0.5W；</w:t>
            </w:r>
          </w:p>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4、支持7*24小时不间断连续工作，光源使用寿命≥20000小时（正常模式）。</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台</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w:t>
            </w:r>
          </w:p>
        </w:tc>
      </w:tr>
      <w:tr>
        <w:tblPrEx>
          <w:tblCellMar>
            <w:top w:w="0" w:type="dxa"/>
            <w:left w:w="108" w:type="dxa"/>
            <w:bottom w:w="0" w:type="dxa"/>
            <w:right w:w="108" w:type="dxa"/>
          </w:tblCellMar>
        </w:tblPrEx>
        <w:trPr>
          <w:trHeight w:val="73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154</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吊架</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1.名称:投影机吊架</w:t>
            </w:r>
          </w:p>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2.规格:承重50KG，可伸缩0.65-1米，材质：碳素钢</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台</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w:t>
            </w:r>
          </w:p>
        </w:tc>
      </w:tr>
      <w:tr>
        <w:tblPrEx>
          <w:tblCellMar>
            <w:top w:w="0" w:type="dxa"/>
            <w:left w:w="108" w:type="dxa"/>
            <w:bottom w:w="0" w:type="dxa"/>
            <w:right w:w="108" w:type="dxa"/>
          </w:tblCellMar>
        </w:tblPrEx>
        <w:trPr>
          <w:trHeight w:val="25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155</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投影机镜头</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1.定制超短焦</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台</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w:t>
            </w:r>
          </w:p>
        </w:tc>
      </w:tr>
      <w:tr>
        <w:tblPrEx>
          <w:tblCellMar>
            <w:top w:w="0" w:type="dxa"/>
            <w:left w:w="108" w:type="dxa"/>
            <w:bottom w:w="0" w:type="dxa"/>
            <w:right w:w="108" w:type="dxa"/>
          </w:tblCellMar>
        </w:tblPrEx>
        <w:trPr>
          <w:trHeight w:val="97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156</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图形计算机</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1.名称:图形计算机</w:t>
            </w:r>
          </w:p>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2.规格:主机:CPU: Intel 酷睿I7；内存:8GB；硬盘:120G固态硬盘；显卡：2G独显；电源:650w；机箱：工控机箱</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台</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w:t>
            </w:r>
          </w:p>
        </w:tc>
      </w:tr>
      <w:tr>
        <w:tblPrEx>
          <w:tblCellMar>
            <w:top w:w="0" w:type="dxa"/>
            <w:left w:w="108" w:type="dxa"/>
            <w:bottom w:w="0" w:type="dxa"/>
            <w:right w:w="108" w:type="dxa"/>
          </w:tblCellMar>
        </w:tblPrEx>
        <w:trPr>
          <w:trHeight w:val="433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157</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扩声系统设备</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1.名称:功放</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2立体声输出功率8Ω：2x600W</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立体声输出功率 4Ω：2x900W</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立体声输出功率 2Ω：2x1200W</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桥接单声道输出8Ω：1800W</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桥接单声道输出4Ω：2400W</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频率响应：5-20K+/-0.5dB</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总谐波失真：&lt;0.05%@8Ω 1KHz 1/4Po</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信噪比：&gt;102dB</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瞬态响应：20V/u S</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阻尼系数：&gt;400</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串音：&gt;60dB@8Ω 1KHz</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输入阻抗：20KΩ(Balance)/10KΩ(Unbalance)</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输入灵敏度：1V</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高度：2U</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重量：26KG</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尺寸：575x570x158mm</w:t>
            </w:r>
          </w:p>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包装：纸箱保护</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台</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w:t>
            </w:r>
          </w:p>
        </w:tc>
      </w:tr>
      <w:tr>
        <w:tblPrEx>
          <w:tblCellMar>
            <w:top w:w="0" w:type="dxa"/>
            <w:left w:w="108" w:type="dxa"/>
            <w:bottom w:w="0" w:type="dxa"/>
            <w:right w:w="108" w:type="dxa"/>
          </w:tblCellMar>
        </w:tblPrEx>
        <w:trPr>
          <w:trHeight w:val="5426" w:hRule="atLeast"/>
        </w:trPr>
        <w:tc>
          <w:tcPr>
            <w:tcW w:w="531" w:type="dxa"/>
            <w:tcBorders>
              <w:top w:val="single" w:color="000000" w:sz="8" w:space="0"/>
              <w:left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158</w:t>
            </w:r>
          </w:p>
        </w:tc>
        <w:tc>
          <w:tcPr>
            <w:tcW w:w="2173" w:type="dxa"/>
            <w:tcBorders>
              <w:top w:val="single" w:color="000000" w:sz="8" w:space="0"/>
              <w:left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扩声系统设备</w:t>
            </w:r>
          </w:p>
        </w:tc>
        <w:tc>
          <w:tcPr>
            <w:tcW w:w="4422" w:type="dxa"/>
            <w:tcBorders>
              <w:top w:val="single" w:color="000000" w:sz="8" w:space="0"/>
              <w:left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1.名称:8英寸无框天花扬声器</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 xml:space="preserve">2.规格:1、产品类型:8英寸无框天花扬声器 </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2、系统安全:CAPD II高频过载保护</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3、频率响应(-10 dB):69Hz-20kHz</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4、灵敏度(1W/1m):89 dB</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5、声压级(持续/峰值:112/118 dB</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6、额定系统功率:95W(RMS)</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峰值系统功率:380W(Peak)</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7、标称阻抗:8 Ohm</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8、定压选项:50W/25W/12.5W/6.25W/3.1W @70V/100V</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9、磁体类型;低音材质&gt;橡边PP盆，高音材质&gt;钛膜球顶</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低音数组:1 x 8" 代码CT4008KB</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高音数组:1 x 1" 代码DT4001M</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10、外观描述:面罩使用</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磁吸式无边框安装结构</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11、覆盖角度:90°H×90°V</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12、外部尺寸:275mm x 222mm</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开孔口径:245mm</w:t>
            </w:r>
          </w:p>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产品重量:3.05kg</w:t>
            </w:r>
          </w:p>
        </w:tc>
        <w:tc>
          <w:tcPr>
            <w:tcW w:w="974" w:type="dxa"/>
            <w:tcBorders>
              <w:top w:val="single" w:color="000000" w:sz="8" w:space="0"/>
              <w:left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台</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2</w:t>
            </w:r>
          </w:p>
        </w:tc>
      </w:tr>
      <w:tr>
        <w:tblPrEx>
          <w:tblCellMar>
            <w:top w:w="0" w:type="dxa"/>
            <w:left w:w="108" w:type="dxa"/>
            <w:bottom w:w="0" w:type="dxa"/>
            <w:right w:w="108" w:type="dxa"/>
          </w:tblCellMar>
        </w:tblPrEx>
        <w:trPr>
          <w:trHeight w:val="25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jc w:val="right"/>
              <w:rPr>
                <w:rFonts w:ascii="仿宋" w:hAnsi="仿宋" w:eastAsia="仿宋" w:cs="仿宋"/>
                <w:color w:val="auto"/>
                <w:sz w:val="20"/>
                <w:szCs w:val="20"/>
                <w:highlight w:val="none"/>
              </w:rPr>
            </w:pP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b/>
                <w:bCs/>
                <w:color w:val="auto"/>
                <w:sz w:val="20"/>
                <w:szCs w:val="20"/>
                <w:highlight w:val="none"/>
              </w:rPr>
            </w:pPr>
            <w:r>
              <w:rPr>
                <w:rFonts w:hint="eastAsia" w:ascii="仿宋" w:hAnsi="仿宋" w:eastAsia="仿宋" w:cs="仿宋"/>
                <w:b/>
                <w:bCs/>
                <w:color w:val="auto"/>
                <w:kern w:val="0"/>
                <w:sz w:val="20"/>
                <w:szCs w:val="20"/>
                <w:highlight w:val="none"/>
                <w:lang w:bidi="ar"/>
              </w:rPr>
              <w:t>东鸣西应</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jc w:val="left"/>
              <w:rPr>
                <w:rFonts w:ascii="仿宋" w:hAnsi="仿宋" w:eastAsia="仿宋" w:cs="仿宋"/>
                <w:color w:val="auto"/>
                <w:sz w:val="20"/>
                <w:szCs w:val="20"/>
                <w:highlight w:val="none"/>
              </w:rPr>
            </w:pP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jc w:val="left"/>
              <w:rPr>
                <w:rFonts w:ascii="仿宋" w:hAnsi="仿宋" w:eastAsia="仿宋" w:cs="仿宋"/>
                <w:color w:val="auto"/>
                <w:sz w:val="20"/>
                <w:szCs w:val="20"/>
                <w:highlight w:val="none"/>
              </w:rPr>
            </w:pP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jc w:val="left"/>
              <w:rPr>
                <w:rFonts w:ascii="仿宋" w:hAnsi="仿宋" w:eastAsia="仿宋" w:cs="仿宋"/>
                <w:color w:val="auto"/>
                <w:sz w:val="20"/>
                <w:szCs w:val="20"/>
                <w:highlight w:val="none"/>
              </w:rPr>
            </w:pPr>
          </w:p>
        </w:tc>
      </w:tr>
      <w:tr>
        <w:tblPrEx>
          <w:tblCellMar>
            <w:top w:w="0" w:type="dxa"/>
            <w:left w:w="108" w:type="dxa"/>
            <w:bottom w:w="0" w:type="dxa"/>
            <w:right w:w="108" w:type="dxa"/>
          </w:tblCellMar>
        </w:tblPrEx>
        <w:trPr>
          <w:trHeight w:val="97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159</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定制部分说明牌</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1、40*40阻燃木方龙骨框架，12厚阻燃板基层，20厚铝型材框包边，展板金属挂件；</w:t>
            </w:r>
          </w:p>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2、3mm铝板uv饰面，文字图案编排、3厚亚克力雕刻字背面着色</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个</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w:t>
            </w:r>
          </w:p>
        </w:tc>
      </w:tr>
      <w:tr>
        <w:tblPrEx>
          <w:tblCellMar>
            <w:top w:w="0" w:type="dxa"/>
            <w:left w:w="108" w:type="dxa"/>
            <w:bottom w:w="0" w:type="dxa"/>
            <w:right w:w="108" w:type="dxa"/>
          </w:tblCellMar>
        </w:tblPrEx>
        <w:trPr>
          <w:trHeight w:val="97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160</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定制单元说明牌</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1、40*40阻燃木方龙骨框架，12厚阻燃板基层，20厚铝型材框包边，展板金属挂件；</w:t>
            </w:r>
          </w:p>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2、3mm铝板uv饰面，文字图案编排、3厚亚克力雕刻字背面着色</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个</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w:t>
            </w:r>
          </w:p>
        </w:tc>
      </w:tr>
      <w:tr>
        <w:tblPrEx>
          <w:tblCellMar>
            <w:top w:w="0" w:type="dxa"/>
            <w:left w:w="108" w:type="dxa"/>
            <w:bottom w:w="0" w:type="dxa"/>
            <w:right w:w="108" w:type="dxa"/>
          </w:tblCellMar>
        </w:tblPrEx>
        <w:trPr>
          <w:trHeight w:val="25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161</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定制小组说明牌</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1.定制小组说明牌</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个</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w:t>
            </w:r>
          </w:p>
        </w:tc>
      </w:tr>
      <w:tr>
        <w:tblPrEx>
          <w:tblCellMar>
            <w:top w:w="0" w:type="dxa"/>
            <w:left w:w="108" w:type="dxa"/>
            <w:bottom w:w="0" w:type="dxa"/>
            <w:right w:w="108" w:type="dxa"/>
          </w:tblCellMar>
        </w:tblPrEx>
        <w:trPr>
          <w:trHeight w:val="25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162</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展品说明牌</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1.展品说明牌</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项</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w:t>
            </w:r>
          </w:p>
        </w:tc>
      </w:tr>
      <w:tr>
        <w:tblPrEx>
          <w:tblCellMar>
            <w:top w:w="0" w:type="dxa"/>
            <w:left w:w="108" w:type="dxa"/>
            <w:bottom w:w="0" w:type="dxa"/>
            <w:right w:w="108" w:type="dxa"/>
          </w:tblCellMar>
        </w:tblPrEx>
        <w:trPr>
          <w:trHeight w:val="97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163</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定制软膜灯箱</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1.名称:定制软膜</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2.基层材料种类:金属边框；铝合金龙骨+LED光源</w:t>
            </w:r>
          </w:p>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3.面层材料种类:UV软膜</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m2</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6</w:t>
            </w:r>
          </w:p>
        </w:tc>
      </w:tr>
      <w:tr>
        <w:tblPrEx>
          <w:tblCellMar>
            <w:top w:w="0" w:type="dxa"/>
            <w:left w:w="108" w:type="dxa"/>
            <w:bottom w:w="0" w:type="dxa"/>
            <w:right w:w="108" w:type="dxa"/>
          </w:tblCellMar>
        </w:tblPrEx>
        <w:trPr>
          <w:trHeight w:val="73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164</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艺术雕刻字</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1.1.2厚不锈钢金属折边烤漆字</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2.字体规格:15*15*2cm</w:t>
            </w:r>
          </w:p>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3.固定方式:背面敷2cm厚PVC雕刻字</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个</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5</w:t>
            </w:r>
          </w:p>
        </w:tc>
      </w:tr>
      <w:tr>
        <w:tblPrEx>
          <w:tblCellMar>
            <w:top w:w="0" w:type="dxa"/>
            <w:left w:w="108" w:type="dxa"/>
            <w:bottom w:w="0" w:type="dxa"/>
            <w:right w:w="108" w:type="dxa"/>
          </w:tblCellMar>
        </w:tblPrEx>
        <w:trPr>
          <w:trHeight w:val="97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165</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定制平柜</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1.定制组合平柜（木纹）</w:t>
            </w:r>
          </w:p>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2.材料种类、规格:1200*950展柜玻璃采用国产超白夹胶玻璃(6mm+1.52mm+6mm)，透光率&gt;95%以上</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个</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w:t>
            </w:r>
          </w:p>
        </w:tc>
      </w:tr>
      <w:tr>
        <w:tblPrEx>
          <w:tblCellMar>
            <w:top w:w="0" w:type="dxa"/>
            <w:left w:w="108" w:type="dxa"/>
            <w:bottom w:w="0" w:type="dxa"/>
            <w:right w:w="108" w:type="dxa"/>
          </w:tblCellMar>
        </w:tblPrEx>
        <w:trPr>
          <w:trHeight w:val="169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166</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进口油画布设计UV制作</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定制艺术油画布</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1、定制进口油画布UV，背景合成</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图电分、扫描、修版、合成及艺</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术创作，背景合成喷专用防护油</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处理；</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2、美术师级别：具有中级美术师</w:t>
            </w:r>
          </w:p>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及以上职称。</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m2</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4</w:t>
            </w:r>
          </w:p>
        </w:tc>
      </w:tr>
      <w:tr>
        <w:tblPrEx>
          <w:tblCellMar>
            <w:top w:w="0" w:type="dxa"/>
            <w:left w:w="108" w:type="dxa"/>
            <w:bottom w:w="0" w:type="dxa"/>
            <w:right w:w="108" w:type="dxa"/>
          </w:tblCellMar>
        </w:tblPrEx>
        <w:trPr>
          <w:trHeight w:val="25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jc w:val="right"/>
              <w:rPr>
                <w:rFonts w:ascii="仿宋" w:hAnsi="仿宋" w:eastAsia="仿宋" w:cs="仿宋"/>
                <w:color w:val="auto"/>
                <w:sz w:val="20"/>
                <w:szCs w:val="20"/>
                <w:highlight w:val="none"/>
              </w:rPr>
            </w:pP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b/>
                <w:bCs/>
                <w:color w:val="auto"/>
                <w:sz w:val="20"/>
                <w:szCs w:val="20"/>
                <w:highlight w:val="none"/>
              </w:rPr>
            </w:pPr>
            <w:r>
              <w:rPr>
                <w:rFonts w:hint="eastAsia" w:ascii="仿宋" w:hAnsi="仿宋" w:eastAsia="仿宋" w:cs="仿宋"/>
                <w:b/>
                <w:bCs/>
                <w:color w:val="auto"/>
                <w:kern w:val="0"/>
                <w:sz w:val="20"/>
                <w:szCs w:val="20"/>
                <w:highlight w:val="none"/>
                <w:lang w:bidi="ar"/>
              </w:rPr>
              <w:t>尾厅长留天地间</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jc w:val="left"/>
              <w:rPr>
                <w:rFonts w:ascii="仿宋" w:hAnsi="仿宋" w:eastAsia="仿宋" w:cs="仿宋"/>
                <w:color w:val="auto"/>
                <w:sz w:val="20"/>
                <w:szCs w:val="20"/>
                <w:highlight w:val="none"/>
              </w:rPr>
            </w:pP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jc w:val="left"/>
              <w:rPr>
                <w:rFonts w:ascii="仿宋" w:hAnsi="仿宋" w:eastAsia="仿宋" w:cs="仿宋"/>
                <w:color w:val="auto"/>
                <w:sz w:val="20"/>
                <w:szCs w:val="20"/>
                <w:highlight w:val="none"/>
              </w:rPr>
            </w:pP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jc w:val="left"/>
              <w:rPr>
                <w:rFonts w:ascii="仿宋" w:hAnsi="仿宋" w:eastAsia="仿宋" w:cs="仿宋"/>
                <w:color w:val="auto"/>
                <w:sz w:val="20"/>
                <w:szCs w:val="20"/>
                <w:highlight w:val="none"/>
              </w:rPr>
            </w:pPr>
          </w:p>
        </w:tc>
      </w:tr>
      <w:tr>
        <w:tblPrEx>
          <w:tblCellMar>
            <w:top w:w="0" w:type="dxa"/>
            <w:left w:w="108" w:type="dxa"/>
            <w:bottom w:w="0" w:type="dxa"/>
            <w:right w:w="108" w:type="dxa"/>
          </w:tblCellMar>
        </w:tblPrEx>
        <w:trPr>
          <w:trHeight w:val="97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167</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定制单元说明牌</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1、40*40阻燃木方龙骨框架，12厚阻燃板基层，20厚铝型材框包边，展板金属挂件；</w:t>
            </w:r>
          </w:p>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2、3mm铝板uv饰面，文字图案编排、3厚亚克力雕刻字背面着色</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个</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w:t>
            </w:r>
          </w:p>
        </w:tc>
      </w:tr>
      <w:tr>
        <w:tblPrEx>
          <w:tblCellMar>
            <w:top w:w="0" w:type="dxa"/>
            <w:left w:w="108" w:type="dxa"/>
            <w:bottom w:w="0" w:type="dxa"/>
            <w:right w:w="108" w:type="dxa"/>
          </w:tblCellMar>
        </w:tblPrEx>
        <w:trPr>
          <w:trHeight w:val="121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168</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图文展板</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1.40*40阻燃木方龙骨框架，12厚阻燃板基层，20厚铝型材框包边，展板金属挂件；</w:t>
            </w:r>
          </w:p>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2.面层材料品种、规格、颜色:雪绒布喷绘，背景合成图电分、扫描、修版、合成，背景合成喷专用防护油处理</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m2</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2.1</w:t>
            </w:r>
          </w:p>
        </w:tc>
      </w:tr>
      <w:tr>
        <w:tblPrEx>
          <w:tblCellMar>
            <w:top w:w="0" w:type="dxa"/>
            <w:left w:w="108" w:type="dxa"/>
            <w:bottom w:w="0" w:type="dxa"/>
            <w:right w:w="108" w:type="dxa"/>
          </w:tblCellMar>
        </w:tblPrEx>
        <w:trPr>
          <w:trHeight w:val="73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169</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艺术雕刻字</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1.1.2厚不锈钢金属折边烤漆字</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2.字体规格:15*15*2cm</w:t>
            </w:r>
          </w:p>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3.固定方式:背面敷2cm厚PVC雕刻字</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个</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8</w:t>
            </w:r>
          </w:p>
        </w:tc>
      </w:tr>
      <w:tr>
        <w:tblPrEx>
          <w:tblCellMar>
            <w:top w:w="0" w:type="dxa"/>
            <w:left w:w="108" w:type="dxa"/>
            <w:bottom w:w="0" w:type="dxa"/>
            <w:right w:w="108" w:type="dxa"/>
          </w:tblCellMar>
        </w:tblPrEx>
        <w:trPr>
          <w:trHeight w:val="169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170</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进口油画布设计UV制作</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定制艺术油画布</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1、定制进口油画布UV，背景合成</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图电分、扫描、修版、合成及艺</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术创作，背景合成喷专用防护油</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处理；</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2、美术师级别：具有中级美术师</w:t>
            </w:r>
          </w:p>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及以上职称。</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m2</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6</w:t>
            </w:r>
          </w:p>
        </w:tc>
      </w:tr>
      <w:tr>
        <w:tblPrEx>
          <w:tblCellMar>
            <w:top w:w="0" w:type="dxa"/>
            <w:left w:w="108" w:type="dxa"/>
            <w:bottom w:w="0" w:type="dxa"/>
            <w:right w:w="108" w:type="dxa"/>
          </w:tblCellMar>
        </w:tblPrEx>
        <w:trPr>
          <w:trHeight w:val="145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171</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42寸组合触摸一体机，留言墙</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触控液晶屏；面板：IPS技术；屏幕分辨率：1920*1080；屏幕比例：16:9 、CPU I5、4G内存、储存128 G；触摸分辨率：4096*4096；扫描率：50scans/s；耐久性：承受超过八千万次以上单点触摸；触摸体&gt;5mm；音响系统：内置喇叭2*805W</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台</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6</w:t>
            </w:r>
          </w:p>
        </w:tc>
      </w:tr>
      <w:tr>
        <w:tblPrEx>
          <w:tblCellMar>
            <w:top w:w="0" w:type="dxa"/>
            <w:left w:w="108" w:type="dxa"/>
            <w:bottom w:w="0" w:type="dxa"/>
            <w:right w:w="108" w:type="dxa"/>
          </w:tblCellMar>
        </w:tblPrEx>
        <w:trPr>
          <w:trHeight w:val="241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172</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交互程序</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1.资料收集整理、互动媒体的内容创意、内容大纲编写、详细资料，设计程序逻辑</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2.UI设计：UI界面设计制作，平面排版、内容整理、程序编排、特效制作</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3.程序开发：交互程序开发，多媒体内容架构，多片源组成的动态互动媒体数字内容结构搭建，图片处理，视频编辑、制作及后期处理制作，动态特效制作、内容收集美化制作</w:t>
            </w:r>
          </w:p>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4.软件内容制作：根据策划内容，设计制作图文</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项</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w:t>
            </w:r>
          </w:p>
        </w:tc>
      </w:tr>
      <w:tr>
        <w:tblPrEx>
          <w:tblCellMar>
            <w:top w:w="0" w:type="dxa"/>
            <w:left w:w="108" w:type="dxa"/>
            <w:bottom w:w="0" w:type="dxa"/>
            <w:right w:w="108" w:type="dxa"/>
          </w:tblCellMar>
        </w:tblPrEx>
        <w:trPr>
          <w:trHeight w:val="49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jc w:val="right"/>
              <w:rPr>
                <w:rFonts w:ascii="仿宋" w:hAnsi="仿宋" w:eastAsia="仿宋" w:cs="仿宋"/>
                <w:color w:val="auto"/>
                <w:sz w:val="20"/>
                <w:szCs w:val="20"/>
                <w:highlight w:val="none"/>
              </w:rPr>
            </w:pP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b/>
                <w:bCs/>
                <w:color w:val="auto"/>
                <w:sz w:val="20"/>
                <w:szCs w:val="20"/>
                <w:highlight w:val="none"/>
              </w:rPr>
            </w:pPr>
            <w:r>
              <w:rPr>
                <w:rFonts w:hint="eastAsia" w:ascii="仿宋" w:hAnsi="仿宋" w:eastAsia="仿宋" w:cs="仿宋"/>
                <w:b/>
                <w:bCs/>
                <w:color w:val="auto"/>
                <w:kern w:val="0"/>
                <w:sz w:val="20"/>
                <w:szCs w:val="20"/>
                <w:highlight w:val="none"/>
                <w:lang w:bidi="ar"/>
              </w:rPr>
              <w:t>咖啡吧 城市书屋 多功能厅</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jc w:val="left"/>
              <w:rPr>
                <w:rFonts w:ascii="仿宋" w:hAnsi="仿宋" w:eastAsia="仿宋" w:cs="仿宋"/>
                <w:color w:val="auto"/>
                <w:sz w:val="20"/>
                <w:szCs w:val="20"/>
                <w:highlight w:val="none"/>
              </w:rPr>
            </w:pP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jc w:val="left"/>
              <w:rPr>
                <w:rFonts w:ascii="仿宋" w:hAnsi="仿宋" w:eastAsia="仿宋" w:cs="仿宋"/>
                <w:color w:val="auto"/>
                <w:sz w:val="20"/>
                <w:szCs w:val="20"/>
                <w:highlight w:val="none"/>
              </w:rPr>
            </w:pP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jc w:val="left"/>
              <w:rPr>
                <w:rFonts w:ascii="仿宋" w:hAnsi="仿宋" w:eastAsia="仿宋" w:cs="仿宋"/>
                <w:color w:val="auto"/>
                <w:sz w:val="20"/>
                <w:szCs w:val="20"/>
                <w:highlight w:val="none"/>
              </w:rPr>
            </w:pPr>
          </w:p>
        </w:tc>
      </w:tr>
      <w:tr>
        <w:tblPrEx>
          <w:tblCellMar>
            <w:top w:w="0" w:type="dxa"/>
            <w:left w:w="108" w:type="dxa"/>
            <w:bottom w:w="0" w:type="dxa"/>
            <w:right w:w="108" w:type="dxa"/>
          </w:tblCellMar>
        </w:tblPrEx>
        <w:trPr>
          <w:trHeight w:val="289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173</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多功能厅（投影机）投影机特性高清投影机</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1.多功能厅（投影机）投影机特性高清投影机</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2.亮度≥5200lm（中心亮度），≥5000（ISO21118标准），分辨率≥1920X1200，兼容1920X1080，1024X768，对比度≥1,800:1静态;10,0000:1动态;300,0000:1，显示比例16:10兼容16:9,4:3。</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3.支持电动镜头位移功能</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4.整机功率:标准模式：350W+/-15%,节能模式230W+/-15%；待机功率：正常模式：≤0.2W，网络待机：≤0.5W；</w:t>
            </w:r>
          </w:p>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5.支持7*24小时不间断连续工作，光源使用寿命≥20000小时（正常模式）。</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台</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w:t>
            </w:r>
          </w:p>
        </w:tc>
      </w:tr>
      <w:tr>
        <w:tblPrEx>
          <w:tblCellMar>
            <w:top w:w="0" w:type="dxa"/>
            <w:left w:w="108" w:type="dxa"/>
            <w:bottom w:w="0" w:type="dxa"/>
            <w:right w:w="108" w:type="dxa"/>
          </w:tblCellMar>
        </w:tblPrEx>
        <w:trPr>
          <w:trHeight w:val="25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174</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投影机镜头</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1.定制超短焦镜头</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台</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w:t>
            </w:r>
          </w:p>
        </w:tc>
      </w:tr>
      <w:tr>
        <w:tblPrEx>
          <w:tblCellMar>
            <w:top w:w="0" w:type="dxa"/>
            <w:left w:w="108" w:type="dxa"/>
            <w:bottom w:w="0" w:type="dxa"/>
            <w:right w:w="108" w:type="dxa"/>
          </w:tblCellMar>
        </w:tblPrEx>
        <w:trPr>
          <w:trHeight w:val="97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175</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图形计算机</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1.名称:图形计算机</w:t>
            </w:r>
          </w:p>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2.规格:主机:CPU: Intel 酷睿I7；内存:8GB；硬盘:120G固态硬盘；显卡：2G独显；电源:650w；机箱：工控机箱</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台</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w:t>
            </w:r>
          </w:p>
        </w:tc>
      </w:tr>
      <w:tr>
        <w:tblPrEx>
          <w:tblCellMar>
            <w:top w:w="0" w:type="dxa"/>
            <w:left w:w="108" w:type="dxa"/>
            <w:bottom w:w="0" w:type="dxa"/>
            <w:right w:w="108" w:type="dxa"/>
          </w:tblCellMar>
        </w:tblPrEx>
        <w:trPr>
          <w:trHeight w:val="433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176</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扩声系统设备</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1.名称:功放</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2立体声输出功率8Ω：2x600W</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立体声输出功率 4Ω：2x900W</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立体声输出功率 2Ω：2x1200W</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桥接单声道输出8Ω：1800W</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桥接单声道输出4Ω：2400W</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频率响应：5-20K+/-0.5dB</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总谐波失真：&lt;0.05%@8Ω 1KHz 1/4Po</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信噪比：&gt;102dB</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瞬态响应：20V/u S</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阻尼系数：&gt;400</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串音：&gt;60dB@8Ω 1KHz</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输入阻抗：20KΩ(Balance)/10KΩ(Unbalance)</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输入灵敏度：1V</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高度：2U</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重量：26KG</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尺寸：575x570x158mm</w:t>
            </w:r>
          </w:p>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包装：纸箱保护</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台</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w:t>
            </w:r>
          </w:p>
        </w:tc>
      </w:tr>
      <w:tr>
        <w:tblPrEx>
          <w:tblCellMar>
            <w:top w:w="0" w:type="dxa"/>
            <w:left w:w="108" w:type="dxa"/>
            <w:bottom w:w="0" w:type="dxa"/>
            <w:right w:w="108" w:type="dxa"/>
          </w:tblCellMar>
        </w:tblPrEx>
        <w:trPr>
          <w:trHeight w:val="5426" w:hRule="atLeast"/>
        </w:trPr>
        <w:tc>
          <w:tcPr>
            <w:tcW w:w="531" w:type="dxa"/>
            <w:tcBorders>
              <w:top w:val="single" w:color="000000" w:sz="8" w:space="0"/>
              <w:left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177</w:t>
            </w:r>
          </w:p>
        </w:tc>
        <w:tc>
          <w:tcPr>
            <w:tcW w:w="2173" w:type="dxa"/>
            <w:tcBorders>
              <w:top w:val="single" w:color="000000" w:sz="8" w:space="0"/>
              <w:left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扩声系统设备</w:t>
            </w:r>
          </w:p>
        </w:tc>
        <w:tc>
          <w:tcPr>
            <w:tcW w:w="4422" w:type="dxa"/>
            <w:tcBorders>
              <w:top w:val="single" w:color="000000" w:sz="8" w:space="0"/>
              <w:left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1.名称:8英寸无框天花扬声器</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 xml:space="preserve">2.规格:1、产品类型:8英寸无框天花扬声器 </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2、系统安全:CAPD II高频过载保护</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3、频率响应(-10 dB):69Hz-20kHz</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4、灵敏度(1W/1m):89 dB</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5、声压级(持续/峰值:112/118 dB</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6、额定系统功率:95W(RMS)</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峰值系统功率:380W(Peak)</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7、标称阻抗:8 Ohm</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8、定压选项:50W/25W/12.5W/6.25W/3.1W @70V/100V</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9、磁体类型;低音材质&gt;橡边PP盆，高音材质&gt;钛膜球顶</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低音数组:1 x 8" 代码CT4008KB</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高音数组:1 x 1" 代码DT4001M</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10、外观描述:面罩使用</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磁吸式无边框安装结构</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11、覆盖角度:90°H×90°V</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12、外部尺寸:275mm x 222mm</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开孔口径:245mm</w:t>
            </w:r>
          </w:p>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产品重量:3.05kg</w:t>
            </w:r>
          </w:p>
        </w:tc>
        <w:tc>
          <w:tcPr>
            <w:tcW w:w="974" w:type="dxa"/>
            <w:tcBorders>
              <w:top w:val="single" w:color="000000" w:sz="8" w:space="0"/>
              <w:left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台</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w:t>
            </w:r>
          </w:p>
        </w:tc>
      </w:tr>
      <w:tr>
        <w:tblPrEx>
          <w:tblCellMar>
            <w:top w:w="0" w:type="dxa"/>
            <w:left w:w="108" w:type="dxa"/>
            <w:bottom w:w="0" w:type="dxa"/>
            <w:right w:w="108" w:type="dxa"/>
          </w:tblCellMar>
        </w:tblPrEx>
        <w:trPr>
          <w:trHeight w:val="73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178</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吊架</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1.名称:投影机吊架</w:t>
            </w:r>
          </w:p>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2.规格:承重50KG，可伸缩0.65-1米，材质：碳素钢</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个</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w:t>
            </w:r>
          </w:p>
        </w:tc>
      </w:tr>
      <w:tr>
        <w:tblPrEx>
          <w:tblCellMar>
            <w:top w:w="0" w:type="dxa"/>
            <w:left w:w="108" w:type="dxa"/>
            <w:bottom w:w="0" w:type="dxa"/>
            <w:right w:w="108" w:type="dxa"/>
          </w:tblCellMar>
        </w:tblPrEx>
        <w:trPr>
          <w:trHeight w:val="121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179</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多功能厅（电脑一台）</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ind w:left="200" w:hanging="200" w:hangingChars="100"/>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1.台式电脑                               品牌: Intel/英特尔       内存容量: 16GB                  硬盘容量: 512GB           内存类型: DDR4                     显存容量: 12GB          显存位宽: 128bit</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台</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w:t>
            </w:r>
          </w:p>
        </w:tc>
      </w:tr>
      <w:tr>
        <w:tblPrEx>
          <w:tblCellMar>
            <w:top w:w="0" w:type="dxa"/>
            <w:left w:w="108" w:type="dxa"/>
            <w:bottom w:w="0" w:type="dxa"/>
            <w:right w:w="108" w:type="dxa"/>
          </w:tblCellMar>
        </w:tblPrEx>
        <w:trPr>
          <w:trHeight w:val="145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180</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音响</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1.低音单元 20cm PP mica cone高音单元 2.5cm 液态冷却 soft dome, swivel频率响应 50 Hz-28 kHz输入功率（额定/大） 140 W灵敏度 90 dB/2.83 V/1 m尺寸（宽 x 高 x 深） Φ283 x 120 mm装配深度 109 mm重量 1.9 kg/unit</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台</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2</w:t>
            </w:r>
          </w:p>
        </w:tc>
      </w:tr>
      <w:tr>
        <w:tblPrEx>
          <w:tblCellMar>
            <w:top w:w="0" w:type="dxa"/>
            <w:left w:w="108" w:type="dxa"/>
            <w:bottom w:w="0" w:type="dxa"/>
            <w:right w:w="108" w:type="dxa"/>
          </w:tblCellMar>
        </w:tblPrEx>
        <w:trPr>
          <w:trHeight w:val="25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181</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大理石服务台1.2m高</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1.大理石服务台1.2m高</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m</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5</w:t>
            </w:r>
          </w:p>
        </w:tc>
      </w:tr>
      <w:tr>
        <w:tblPrEx>
          <w:tblCellMar>
            <w:top w:w="0" w:type="dxa"/>
            <w:left w:w="108" w:type="dxa"/>
            <w:bottom w:w="0" w:type="dxa"/>
            <w:right w:w="108" w:type="dxa"/>
          </w:tblCellMar>
        </w:tblPrEx>
        <w:trPr>
          <w:trHeight w:val="412"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182</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硬包（含基础）</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1.硬包（含基础）</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m2</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18</w:t>
            </w:r>
          </w:p>
        </w:tc>
      </w:tr>
      <w:tr>
        <w:tblPrEx>
          <w:tblCellMar>
            <w:top w:w="0" w:type="dxa"/>
            <w:left w:w="108" w:type="dxa"/>
            <w:bottom w:w="0" w:type="dxa"/>
            <w:right w:w="108" w:type="dxa"/>
          </w:tblCellMar>
        </w:tblPrEx>
        <w:trPr>
          <w:trHeight w:val="516"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183</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博古架</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pStyle w:val="82"/>
              <w:keepNext w:val="0"/>
              <w:keepLines w:val="0"/>
              <w:widowControl/>
              <w:suppressLineNumbers w:val="0"/>
              <w:spacing w:before="0" w:beforeAutospacing="0" w:after="0" w:afterAutospacing="0"/>
              <w:ind w:left="0" w:right="0" w:firstLine="0"/>
              <w:jc w:val="both"/>
              <w:rPr>
                <w:rFonts w:hint="eastAsia" w:ascii="仿宋" w:hAnsi="仿宋" w:eastAsia="仿宋" w:cs="仿宋"/>
                <w:color w:val="auto"/>
                <w:sz w:val="20"/>
                <w:szCs w:val="20"/>
                <w:highlight w:val="none"/>
              </w:rPr>
            </w:pPr>
            <w:r>
              <w:rPr>
                <w:rFonts w:hint="eastAsia" w:ascii="仿宋" w:hAnsi="仿宋" w:eastAsia="仿宋" w:cs="仿宋"/>
                <w:color w:val="auto"/>
                <w:sz w:val="20"/>
                <w:szCs w:val="20"/>
                <w:highlight w:val="none"/>
              </w:rPr>
              <w:t>1.中式博古架1000*380*2000mm</w:t>
            </w:r>
          </w:p>
          <w:p>
            <w:pPr>
              <w:pStyle w:val="82"/>
              <w:keepNext w:val="0"/>
              <w:keepLines w:val="0"/>
              <w:widowControl/>
              <w:suppressLineNumbers w:val="0"/>
              <w:spacing w:before="0" w:beforeAutospacing="0" w:after="0" w:afterAutospacing="0"/>
              <w:ind w:left="0" w:right="0" w:firstLine="0"/>
              <w:jc w:val="both"/>
              <w:rPr>
                <w:rFonts w:ascii="仿宋" w:hAnsi="仿宋" w:eastAsia="仿宋" w:cs="仿宋"/>
                <w:color w:val="auto"/>
                <w:sz w:val="20"/>
                <w:szCs w:val="20"/>
                <w:highlight w:val="none"/>
              </w:rPr>
            </w:pPr>
            <w:r>
              <w:rPr>
                <w:rFonts w:hint="eastAsia" w:ascii="仿宋" w:hAnsi="仿宋" w:eastAsia="仿宋" w:cs="仿宋"/>
                <w:color w:val="auto"/>
                <w:sz w:val="20"/>
                <w:szCs w:val="20"/>
                <w:highlight w:val="none"/>
              </w:rPr>
              <w:t>2.老榆木做黑胡桃色（环保水性漆工艺）</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hint="eastAsia" w:ascii="仿宋" w:hAnsi="仿宋" w:eastAsia="仿宋" w:cs="仿宋"/>
                <w:color w:val="auto"/>
                <w:sz w:val="20"/>
                <w:szCs w:val="20"/>
                <w:highlight w:val="none"/>
                <w:lang w:eastAsia="zh-CN"/>
              </w:rPr>
            </w:pPr>
            <w:r>
              <w:rPr>
                <w:rFonts w:hint="eastAsia" w:ascii="仿宋" w:hAnsi="仿宋" w:eastAsia="仿宋" w:cs="仿宋"/>
                <w:color w:val="auto"/>
                <w:kern w:val="0"/>
                <w:sz w:val="20"/>
                <w:szCs w:val="20"/>
                <w:highlight w:val="none"/>
                <w:lang w:eastAsia="zh-CN" w:bidi="ar"/>
              </w:rPr>
              <w:t>套</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hint="eastAsia"/>
                <w:color w:val="auto"/>
                <w:highlight w:val="none"/>
                <w:lang w:val="en-US" w:eastAsia="zh-CN"/>
              </w:rPr>
            </w:pPr>
            <w:r>
              <w:rPr>
                <w:rFonts w:hint="eastAsia" w:ascii="仿宋" w:hAnsi="仿宋" w:eastAsia="仿宋" w:cs="仿宋"/>
                <w:color w:val="auto"/>
                <w:sz w:val="20"/>
                <w:szCs w:val="20"/>
                <w:highlight w:val="none"/>
                <w:lang w:val="en-US" w:eastAsia="zh-CN"/>
              </w:rPr>
              <w:t>6</w:t>
            </w:r>
          </w:p>
        </w:tc>
      </w:tr>
      <w:tr>
        <w:tblPrEx>
          <w:tblCellMar>
            <w:top w:w="0" w:type="dxa"/>
            <w:left w:w="108" w:type="dxa"/>
            <w:bottom w:w="0" w:type="dxa"/>
            <w:right w:w="108" w:type="dxa"/>
          </w:tblCellMar>
        </w:tblPrEx>
        <w:trPr>
          <w:trHeight w:val="49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184</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电子阅读区</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电子阅读区（两台电脑含耳机两把椅子两把桌子）</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项</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w:t>
            </w:r>
          </w:p>
        </w:tc>
      </w:tr>
      <w:tr>
        <w:tblPrEx>
          <w:tblCellMar>
            <w:top w:w="0" w:type="dxa"/>
            <w:left w:w="108" w:type="dxa"/>
            <w:bottom w:w="0" w:type="dxa"/>
            <w:right w:w="108" w:type="dxa"/>
          </w:tblCellMar>
        </w:tblPrEx>
        <w:trPr>
          <w:trHeight w:val="25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185</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咖啡吧隔墙</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1.75系列轻质隔墙、中间镂空</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个</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2</w:t>
            </w:r>
          </w:p>
        </w:tc>
      </w:tr>
      <w:tr>
        <w:tblPrEx>
          <w:tblCellMar>
            <w:top w:w="0" w:type="dxa"/>
            <w:left w:w="108" w:type="dxa"/>
            <w:bottom w:w="0" w:type="dxa"/>
            <w:right w:w="108" w:type="dxa"/>
          </w:tblCellMar>
        </w:tblPrEx>
        <w:trPr>
          <w:trHeight w:val="25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186</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定制成品实木花格</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1.定制成品实木花格（刷防腐剂）</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m2</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21.2</w:t>
            </w:r>
          </w:p>
        </w:tc>
      </w:tr>
      <w:tr>
        <w:tblPrEx>
          <w:tblCellMar>
            <w:top w:w="0" w:type="dxa"/>
            <w:left w:w="108" w:type="dxa"/>
            <w:bottom w:w="0" w:type="dxa"/>
            <w:right w:w="108" w:type="dxa"/>
          </w:tblCellMar>
        </w:tblPrEx>
        <w:trPr>
          <w:trHeight w:val="717"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jc w:val="right"/>
              <w:rPr>
                <w:rFonts w:hint="default" w:ascii="仿宋" w:hAnsi="仿宋" w:eastAsia="仿宋" w:cs="仿宋"/>
                <w:color w:val="auto"/>
                <w:sz w:val="20"/>
                <w:szCs w:val="20"/>
                <w:highlight w:val="none"/>
                <w:lang w:val="en-US" w:eastAsia="zh-CN"/>
              </w:rPr>
            </w:pPr>
            <w:r>
              <w:rPr>
                <w:rFonts w:hint="eastAsia" w:ascii="仿宋" w:hAnsi="仿宋" w:eastAsia="仿宋" w:cs="仿宋"/>
                <w:color w:val="auto"/>
                <w:sz w:val="20"/>
                <w:szCs w:val="20"/>
                <w:highlight w:val="none"/>
                <w:lang w:val="en-US" w:eastAsia="zh-CN"/>
              </w:rPr>
              <w:t>187</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hint="eastAsia" w:ascii="仿宋" w:hAnsi="仿宋" w:eastAsia="仿宋" w:cs="仿宋"/>
                <w:b/>
                <w:bCs/>
                <w:color w:val="auto"/>
                <w:kern w:val="0"/>
                <w:sz w:val="20"/>
                <w:szCs w:val="20"/>
                <w:highlight w:val="none"/>
                <w:lang w:eastAsia="zh-CN" w:bidi="ar"/>
              </w:rPr>
            </w:pPr>
            <w:r>
              <w:rPr>
                <w:rFonts w:hint="eastAsia" w:ascii="仿宋" w:hAnsi="仿宋" w:eastAsia="仿宋" w:cs="仿宋"/>
                <w:b w:val="0"/>
                <w:bCs w:val="0"/>
                <w:color w:val="auto"/>
                <w:kern w:val="0"/>
                <w:sz w:val="20"/>
                <w:szCs w:val="20"/>
                <w:highlight w:val="none"/>
                <w:lang w:eastAsia="zh-CN" w:bidi="ar"/>
              </w:rPr>
              <w:t>中式书画桌椅</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pStyle w:val="82"/>
              <w:keepNext w:val="0"/>
              <w:keepLines w:val="0"/>
              <w:widowControl/>
              <w:suppressLineNumbers w:val="0"/>
              <w:spacing w:before="0" w:beforeAutospacing="0" w:after="0" w:afterAutospacing="0"/>
              <w:ind w:left="0" w:right="0" w:firstLine="0"/>
              <w:jc w:val="left"/>
              <w:rPr>
                <w:rFonts w:hint="eastAsia" w:ascii="仿宋" w:hAnsi="仿宋" w:eastAsia="仿宋" w:cs="仿宋"/>
                <w:color w:val="auto"/>
                <w:sz w:val="20"/>
                <w:szCs w:val="20"/>
                <w:highlight w:val="none"/>
              </w:rPr>
            </w:pPr>
            <w:r>
              <w:rPr>
                <w:rFonts w:hint="eastAsia" w:ascii="仿宋" w:hAnsi="仿宋" w:eastAsia="仿宋" w:cs="仿宋"/>
                <w:color w:val="auto"/>
                <w:sz w:val="20"/>
                <w:szCs w:val="20"/>
                <w:highlight w:val="none"/>
              </w:rPr>
              <w:t>1.书画桌椅2000*900mm（一桌一椅）</w:t>
            </w:r>
          </w:p>
          <w:p>
            <w:pPr>
              <w:pStyle w:val="82"/>
              <w:keepNext w:val="0"/>
              <w:keepLines w:val="0"/>
              <w:widowControl/>
              <w:suppressLineNumbers w:val="0"/>
              <w:spacing w:before="0" w:beforeAutospacing="0" w:after="0" w:afterAutospacing="0"/>
              <w:ind w:left="0" w:right="0" w:firstLine="0"/>
              <w:jc w:val="both"/>
              <w:rPr>
                <w:rFonts w:hint="eastAsia" w:ascii="仿宋" w:hAnsi="仿宋" w:eastAsia="仿宋" w:cs="仿宋"/>
                <w:color w:val="auto"/>
                <w:sz w:val="20"/>
                <w:szCs w:val="20"/>
                <w:highlight w:val="none"/>
              </w:rPr>
            </w:pPr>
            <w:r>
              <w:rPr>
                <w:rFonts w:hint="eastAsia" w:ascii="仿宋" w:hAnsi="仿宋" w:eastAsia="仿宋" w:cs="仿宋"/>
                <w:color w:val="auto"/>
                <w:sz w:val="20"/>
                <w:szCs w:val="20"/>
                <w:highlight w:val="none"/>
              </w:rPr>
              <w:t>2.老榆木材质，桌面宽板直拼</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jc w:val="center"/>
              <w:rPr>
                <w:rFonts w:hint="eastAsia" w:ascii="仿宋" w:hAnsi="仿宋" w:eastAsia="仿宋" w:cs="仿宋"/>
                <w:color w:val="auto"/>
                <w:sz w:val="20"/>
                <w:szCs w:val="20"/>
                <w:highlight w:val="none"/>
                <w:lang w:eastAsia="zh-CN"/>
              </w:rPr>
            </w:pPr>
            <w:r>
              <w:rPr>
                <w:rFonts w:hint="eastAsia" w:ascii="仿宋" w:hAnsi="仿宋" w:eastAsia="仿宋" w:cs="仿宋"/>
                <w:color w:val="auto"/>
                <w:sz w:val="20"/>
                <w:szCs w:val="20"/>
                <w:highlight w:val="none"/>
                <w:lang w:eastAsia="zh-CN"/>
              </w:rPr>
              <w:t>套</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jc w:val="right"/>
              <w:rPr>
                <w:rFonts w:hint="eastAsia" w:ascii="仿宋" w:hAnsi="仿宋" w:eastAsia="仿宋" w:cs="仿宋"/>
                <w:color w:val="auto"/>
                <w:sz w:val="20"/>
                <w:szCs w:val="20"/>
                <w:highlight w:val="none"/>
                <w:lang w:val="en-US" w:eastAsia="zh-CN"/>
              </w:rPr>
            </w:pPr>
            <w:r>
              <w:rPr>
                <w:rFonts w:hint="eastAsia" w:ascii="仿宋" w:hAnsi="仿宋" w:eastAsia="仿宋" w:cs="仿宋"/>
                <w:color w:val="auto"/>
                <w:sz w:val="20"/>
                <w:szCs w:val="20"/>
                <w:highlight w:val="none"/>
                <w:lang w:val="en-US" w:eastAsia="zh-CN"/>
              </w:rPr>
              <w:t>1</w:t>
            </w:r>
          </w:p>
        </w:tc>
      </w:tr>
      <w:tr>
        <w:tblPrEx>
          <w:tblCellMar>
            <w:top w:w="0" w:type="dxa"/>
            <w:left w:w="108" w:type="dxa"/>
            <w:bottom w:w="0" w:type="dxa"/>
            <w:right w:w="108" w:type="dxa"/>
          </w:tblCellMar>
        </w:tblPrEx>
        <w:trPr>
          <w:trHeight w:val="25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jc w:val="right"/>
              <w:rPr>
                <w:rFonts w:hint="default" w:ascii="仿宋" w:hAnsi="仿宋" w:eastAsia="仿宋" w:cs="仿宋"/>
                <w:color w:val="auto"/>
                <w:sz w:val="20"/>
                <w:szCs w:val="20"/>
                <w:highlight w:val="none"/>
                <w:lang w:val="en-US" w:eastAsia="zh-CN"/>
              </w:rPr>
            </w:pPr>
            <w:r>
              <w:rPr>
                <w:rFonts w:hint="eastAsia" w:ascii="仿宋" w:hAnsi="仿宋" w:eastAsia="仿宋" w:cs="仿宋"/>
                <w:color w:val="auto"/>
                <w:sz w:val="20"/>
                <w:szCs w:val="20"/>
                <w:highlight w:val="none"/>
                <w:lang w:val="en-US" w:eastAsia="zh-CN"/>
              </w:rPr>
              <w:t>188</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hint="eastAsia" w:ascii="仿宋" w:hAnsi="仿宋" w:eastAsia="仿宋" w:cs="仿宋"/>
                <w:b w:val="0"/>
                <w:bCs w:val="0"/>
                <w:color w:val="auto"/>
                <w:kern w:val="0"/>
                <w:sz w:val="20"/>
                <w:szCs w:val="20"/>
                <w:highlight w:val="none"/>
                <w:lang w:eastAsia="zh-CN" w:bidi="ar"/>
              </w:rPr>
            </w:pPr>
            <w:r>
              <w:rPr>
                <w:rFonts w:hint="eastAsia" w:ascii="仿宋" w:hAnsi="仿宋" w:eastAsia="仿宋" w:cs="仿宋"/>
                <w:b w:val="0"/>
                <w:bCs w:val="0"/>
                <w:color w:val="auto"/>
                <w:kern w:val="0"/>
                <w:sz w:val="20"/>
                <w:szCs w:val="20"/>
                <w:highlight w:val="none"/>
                <w:lang w:eastAsia="zh-CN" w:bidi="ar"/>
              </w:rPr>
              <w:t>中式香案桌椅</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pStyle w:val="82"/>
              <w:keepNext w:val="0"/>
              <w:keepLines w:val="0"/>
              <w:widowControl/>
              <w:suppressLineNumbers w:val="0"/>
              <w:spacing w:before="0" w:beforeAutospacing="0" w:after="0" w:afterAutospacing="0"/>
              <w:ind w:left="0" w:right="0" w:firstLine="0"/>
              <w:rPr>
                <w:rFonts w:hint="eastAsia" w:ascii="仿宋" w:hAnsi="仿宋" w:eastAsia="仿宋" w:cs="仿宋"/>
                <w:color w:val="auto"/>
                <w:sz w:val="20"/>
                <w:szCs w:val="20"/>
                <w:highlight w:val="none"/>
              </w:rPr>
            </w:pPr>
            <w:r>
              <w:rPr>
                <w:rFonts w:hint="eastAsia" w:ascii="仿宋" w:hAnsi="仿宋" w:eastAsia="仿宋" w:cs="仿宋"/>
                <w:color w:val="auto"/>
                <w:sz w:val="20"/>
                <w:szCs w:val="20"/>
                <w:highlight w:val="none"/>
              </w:rPr>
              <w:t>1.1800*800mm胡桃色中式香案桌椅</w:t>
            </w:r>
          </w:p>
          <w:p>
            <w:pPr>
              <w:pStyle w:val="82"/>
              <w:keepNext w:val="0"/>
              <w:keepLines w:val="0"/>
              <w:widowControl/>
              <w:suppressLineNumbers w:val="0"/>
              <w:spacing w:before="0" w:beforeAutospacing="0" w:after="0" w:afterAutospacing="0"/>
              <w:ind w:left="0" w:right="0" w:firstLine="0"/>
              <w:rPr>
                <w:rFonts w:ascii="仿宋" w:hAnsi="仿宋" w:eastAsia="仿宋" w:cs="仿宋"/>
                <w:color w:val="auto"/>
                <w:sz w:val="20"/>
                <w:szCs w:val="20"/>
                <w:highlight w:val="none"/>
              </w:rPr>
            </w:pPr>
            <w:r>
              <w:rPr>
                <w:rFonts w:hint="eastAsia" w:ascii="仿宋" w:hAnsi="仿宋" w:eastAsia="仿宋" w:cs="仿宋"/>
                <w:color w:val="auto"/>
                <w:sz w:val="20"/>
                <w:szCs w:val="20"/>
                <w:highlight w:val="none"/>
              </w:rPr>
              <w:t>2.榆木材质、卯榫结构</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jc w:val="center"/>
              <w:rPr>
                <w:rFonts w:hint="eastAsia" w:ascii="仿宋" w:hAnsi="仿宋" w:eastAsia="仿宋" w:cs="仿宋"/>
                <w:color w:val="auto"/>
                <w:sz w:val="20"/>
                <w:szCs w:val="20"/>
                <w:highlight w:val="none"/>
                <w:lang w:eastAsia="zh-CN"/>
              </w:rPr>
            </w:pPr>
            <w:r>
              <w:rPr>
                <w:rFonts w:hint="eastAsia" w:ascii="仿宋" w:hAnsi="仿宋" w:eastAsia="仿宋" w:cs="仿宋"/>
                <w:color w:val="auto"/>
                <w:sz w:val="20"/>
                <w:szCs w:val="20"/>
                <w:highlight w:val="none"/>
                <w:lang w:eastAsia="zh-CN"/>
              </w:rPr>
              <w:t>套</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jc w:val="right"/>
              <w:rPr>
                <w:rFonts w:hint="eastAsia" w:ascii="仿宋" w:hAnsi="仿宋" w:eastAsia="仿宋" w:cs="仿宋"/>
                <w:color w:val="auto"/>
                <w:sz w:val="20"/>
                <w:szCs w:val="20"/>
                <w:highlight w:val="none"/>
                <w:lang w:val="en-US" w:eastAsia="zh-CN"/>
              </w:rPr>
            </w:pPr>
            <w:r>
              <w:rPr>
                <w:rFonts w:hint="eastAsia" w:ascii="仿宋" w:hAnsi="仿宋" w:eastAsia="仿宋" w:cs="仿宋"/>
                <w:color w:val="auto"/>
                <w:sz w:val="20"/>
                <w:szCs w:val="20"/>
                <w:highlight w:val="none"/>
                <w:lang w:val="en-US" w:eastAsia="zh-CN"/>
              </w:rPr>
              <w:t>1</w:t>
            </w:r>
          </w:p>
        </w:tc>
      </w:tr>
      <w:tr>
        <w:tblPrEx>
          <w:tblCellMar>
            <w:top w:w="0" w:type="dxa"/>
            <w:left w:w="108" w:type="dxa"/>
            <w:bottom w:w="0" w:type="dxa"/>
            <w:right w:w="108" w:type="dxa"/>
          </w:tblCellMar>
        </w:tblPrEx>
        <w:trPr>
          <w:trHeight w:val="25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jc w:val="right"/>
              <w:rPr>
                <w:rFonts w:hint="default" w:ascii="仿宋" w:hAnsi="仿宋" w:eastAsia="仿宋" w:cs="仿宋"/>
                <w:color w:val="auto"/>
                <w:sz w:val="20"/>
                <w:szCs w:val="20"/>
                <w:highlight w:val="none"/>
                <w:lang w:val="en-US" w:eastAsia="zh-CN"/>
              </w:rPr>
            </w:pPr>
            <w:r>
              <w:rPr>
                <w:rFonts w:hint="eastAsia" w:ascii="仿宋" w:hAnsi="仿宋" w:eastAsia="仿宋" w:cs="仿宋"/>
                <w:color w:val="auto"/>
                <w:sz w:val="20"/>
                <w:szCs w:val="20"/>
                <w:highlight w:val="none"/>
                <w:lang w:val="en-US" w:eastAsia="zh-CN"/>
              </w:rPr>
              <w:t>189</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hint="eastAsia" w:ascii="仿宋" w:hAnsi="仿宋" w:eastAsia="仿宋" w:cs="仿宋"/>
                <w:b w:val="0"/>
                <w:bCs w:val="0"/>
                <w:color w:val="auto"/>
                <w:kern w:val="0"/>
                <w:sz w:val="20"/>
                <w:szCs w:val="20"/>
                <w:highlight w:val="none"/>
                <w:lang w:eastAsia="zh-CN" w:bidi="ar"/>
              </w:rPr>
            </w:pPr>
            <w:r>
              <w:rPr>
                <w:rFonts w:hint="eastAsia" w:ascii="仿宋" w:hAnsi="仿宋" w:eastAsia="仿宋" w:cs="仿宋"/>
                <w:b w:val="0"/>
                <w:bCs w:val="0"/>
                <w:color w:val="auto"/>
                <w:kern w:val="0"/>
                <w:sz w:val="20"/>
                <w:szCs w:val="20"/>
                <w:highlight w:val="none"/>
                <w:lang w:eastAsia="zh-CN" w:bidi="ar"/>
              </w:rPr>
              <w:t>客用茶桌</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pStyle w:val="82"/>
              <w:keepNext w:val="0"/>
              <w:keepLines w:val="0"/>
              <w:widowControl/>
              <w:suppressLineNumbers w:val="0"/>
              <w:spacing w:before="0" w:beforeAutospacing="0" w:after="0" w:afterAutospacing="0"/>
              <w:ind w:left="0" w:right="0" w:firstLine="0"/>
              <w:rPr>
                <w:rFonts w:hint="eastAsia" w:ascii="仿宋" w:hAnsi="仿宋" w:eastAsia="仿宋" w:cs="仿宋"/>
                <w:color w:val="auto"/>
                <w:sz w:val="20"/>
                <w:szCs w:val="20"/>
                <w:highlight w:val="none"/>
              </w:rPr>
            </w:pPr>
            <w:r>
              <w:rPr>
                <w:rFonts w:hint="eastAsia" w:ascii="仿宋" w:hAnsi="仿宋" w:eastAsia="仿宋" w:cs="仿宋"/>
                <w:color w:val="auto"/>
                <w:sz w:val="20"/>
                <w:szCs w:val="20"/>
                <w:highlight w:val="none"/>
              </w:rPr>
              <w:t>1.中式矮茶桌茶几1800*800mm*550mm（一桌两椅）</w:t>
            </w:r>
          </w:p>
          <w:p>
            <w:pPr>
              <w:pStyle w:val="82"/>
              <w:keepNext w:val="0"/>
              <w:keepLines w:val="0"/>
              <w:widowControl/>
              <w:suppressLineNumbers w:val="0"/>
              <w:spacing w:before="0" w:beforeAutospacing="0" w:after="0" w:afterAutospacing="0"/>
              <w:ind w:left="0" w:right="0" w:firstLine="0"/>
              <w:rPr>
                <w:rFonts w:ascii="仿宋" w:hAnsi="仿宋" w:eastAsia="仿宋" w:cs="仿宋"/>
                <w:color w:val="auto"/>
                <w:sz w:val="20"/>
                <w:szCs w:val="20"/>
                <w:highlight w:val="none"/>
              </w:rPr>
            </w:pPr>
            <w:r>
              <w:rPr>
                <w:rFonts w:hint="eastAsia" w:ascii="仿宋" w:hAnsi="仿宋" w:eastAsia="仿宋" w:cs="仿宋"/>
                <w:color w:val="auto"/>
                <w:sz w:val="20"/>
                <w:szCs w:val="20"/>
                <w:highlight w:val="none"/>
              </w:rPr>
              <w:t>2.榆木材质、卯榫结构</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jc w:val="center"/>
              <w:rPr>
                <w:rFonts w:hint="eastAsia" w:ascii="仿宋" w:hAnsi="仿宋" w:eastAsia="仿宋" w:cs="仿宋"/>
                <w:color w:val="auto"/>
                <w:sz w:val="20"/>
                <w:szCs w:val="20"/>
                <w:highlight w:val="none"/>
                <w:lang w:eastAsia="zh-CN"/>
              </w:rPr>
            </w:pPr>
            <w:r>
              <w:rPr>
                <w:rFonts w:hint="eastAsia" w:ascii="仿宋" w:hAnsi="仿宋" w:eastAsia="仿宋" w:cs="仿宋"/>
                <w:color w:val="auto"/>
                <w:sz w:val="20"/>
                <w:szCs w:val="20"/>
                <w:highlight w:val="none"/>
                <w:lang w:eastAsia="zh-CN"/>
              </w:rPr>
              <w:t>套</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jc w:val="right"/>
              <w:rPr>
                <w:rFonts w:hint="eastAsia" w:ascii="仿宋" w:hAnsi="仿宋" w:eastAsia="仿宋" w:cs="仿宋"/>
                <w:color w:val="auto"/>
                <w:sz w:val="20"/>
                <w:szCs w:val="20"/>
                <w:highlight w:val="none"/>
                <w:lang w:val="en-US" w:eastAsia="zh-CN"/>
              </w:rPr>
            </w:pPr>
            <w:r>
              <w:rPr>
                <w:rFonts w:hint="eastAsia" w:ascii="仿宋" w:hAnsi="仿宋" w:eastAsia="仿宋" w:cs="仿宋"/>
                <w:color w:val="auto"/>
                <w:sz w:val="20"/>
                <w:szCs w:val="20"/>
                <w:highlight w:val="none"/>
                <w:lang w:val="en-US" w:eastAsia="zh-CN"/>
              </w:rPr>
              <w:t>3</w:t>
            </w:r>
          </w:p>
        </w:tc>
      </w:tr>
      <w:tr>
        <w:tblPrEx>
          <w:tblCellMar>
            <w:top w:w="0" w:type="dxa"/>
            <w:left w:w="108" w:type="dxa"/>
            <w:bottom w:w="0" w:type="dxa"/>
            <w:right w:w="108" w:type="dxa"/>
          </w:tblCellMar>
        </w:tblPrEx>
        <w:trPr>
          <w:trHeight w:val="25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jc w:val="center"/>
              <w:rPr>
                <w:rFonts w:hint="default" w:ascii="仿宋" w:hAnsi="仿宋" w:eastAsia="仿宋" w:cs="仿宋"/>
                <w:color w:val="auto"/>
                <w:sz w:val="20"/>
                <w:szCs w:val="20"/>
                <w:highlight w:val="none"/>
                <w:lang w:val="en-US" w:eastAsia="zh-CN"/>
              </w:rPr>
            </w:pPr>
            <w:r>
              <w:rPr>
                <w:rFonts w:hint="eastAsia" w:ascii="仿宋" w:hAnsi="仿宋" w:eastAsia="仿宋" w:cs="仿宋"/>
                <w:color w:val="auto"/>
                <w:sz w:val="20"/>
                <w:szCs w:val="20"/>
                <w:highlight w:val="none"/>
                <w:lang w:val="en-US" w:eastAsia="zh-CN"/>
              </w:rPr>
              <w:t>190</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hint="eastAsia" w:ascii="仿宋" w:hAnsi="仿宋" w:eastAsia="仿宋" w:cs="仿宋"/>
                <w:b w:val="0"/>
                <w:bCs w:val="0"/>
                <w:color w:val="auto"/>
                <w:kern w:val="0"/>
                <w:sz w:val="20"/>
                <w:szCs w:val="20"/>
                <w:highlight w:val="none"/>
                <w:lang w:eastAsia="zh-CN" w:bidi="ar"/>
              </w:rPr>
            </w:pPr>
            <w:r>
              <w:rPr>
                <w:rFonts w:hint="eastAsia" w:ascii="仿宋" w:hAnsi="仿宋" w:eastAsia="仿宋" w:cs="仿宋"/>
                <w:b w:val="0"/>
                <w:bCs w:val="0"/>
                <w:color w:val="auto"/>
                <w:kern w:val="0"/>
                <w:sz w:val="20"/>
                <w:szCs w:val="20"/>
                <w:highlight w:val="none"/>
                <w:lang w:eastAsia="zh-CN" w:bidi="ar"/>
              </w:rPr>
              <w:t>会议桌</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pStyle w:val="82"/>
              <w:keepNext w:val="0"/>
              <w:keepLines w:val="0"/>
              <w:widowControl/>
              <w:suppressLineNumbers w:val="0"/>
              <w:spacing w:before="0" w:beforeAutospacing="0" w:after="0" w:afterAutospacing="0"/>
              <w:ind w:left="0" w:right="0" w:firstLine="0"/>
              <w:rPr>
                <w:rFonts w:hint="eastAsia" w:ascii="仿宋" w:hAnsi="仿宋" w:eastAsia="仿宋" w:cs="仿宋"/>
                <w:color w:val="auto"/>
                <w:sz w:val="20"/>
                <w:szCs w:val="20"/>
                <w:highlight w:val="none"/>
              </w:rPr>
            </w:pPr>
            <w:r>
              <w:rPr>
                <w:rFonts w:hint="eastAsia" w:ascii="仿宋" w:hAnsi="仿宋" w:eastAsia="仿宋" w:cs="仿宋"/>
                <w:color w:val="auto"/>
                <w:sz w:val="20"/>
                <w:szCs w:val="20"/>
                <w:highlight w:val="none"/>
              </w:rPr>
              <w:t>1.会议桌3000*1500*7500，椅子70*68*104（一桌七椅)</w:t>
            </w:r>
          </w:p>
          <w:p>
            <w:pPr>
              <w:pStyle w:val="82"/>
              <w:keepNext w:val="0"/>
              <w:keepLines w:val="0"/>
              <w:widowControl/>
              <w:suppressLineNumbers w:val="0"/>
              <w:spacing w:before="0" w:beforeAutospacing="0" w:after="0" w:afterAutospacing="0"/>
              <w:ind w:left="0" w:right="0" w:firstLine="0"/>
              <w:rPr>
                <w:rFonts w:hint="eastAsia" w:ascii="仿宋" w:hAnsi="仿宋" w:eastAsia="仿宋" w:cs="仿宋"/>
                <w:color w:val="auto"/>
                <w:sz w:val="20"/>
                <w:szCs w:val="20"/>
                <w:highlight w:val="none"/>
              </w:rPr>
            </w:pPr>
            <w:r>
              <w:rPr>
                <w:rFonts w:hint="eastAsia" w:ascii="仿宋" w:hAnsi="仿宋" w:eastAsia="仿宋" w:cs="仿宋"/>
                <w:color w:val="auto"/>
                <w:sz w:val="20"/>
                <w:szCs w:val="20"/>
                <w:highlight w:val="none"/>
              </w:rPr>
              <w:t>2.桌面:面层烤漆处理，椅面西皮饰面</w:t>
            </w:r>
          </w:p>
          <w:p>
            <w:pPr>
              <w:pStyle w:val="82"/>
              <w:keepNext w:val="0"/>
              <w:keepLines w:val="0"/>
              <w:widowControl/>
              <w:suppressLineNumbers w:val="0"/>
              <w:spacing w:before="0" w:beforeAutospacing="0" w:after="0" w:afterAutospacing="0"/>
              <w:ind w:left="0" w:right="0" w:firstLine="0"/>
              <w:rPr>
                <w:rFonts w:ascii="仿宋" w:hAnsi="仿宋" w:eastAsia="仿宋" w:cs="仿宋"/>
                <w:color w:val="auto"/>
                <w:sz w:val="20"/>
                <w:szCs w:val="20"/>
                <w:highlight w:val="none"/>
              </w:rPr>
            </w:pPr>
            <w:r>
              <w:rPr>
                <w:rFonts w:hint="eastAsia" w:ascii="仿宋" w:hAnsi="仿宋" w:eastAsia="仿宋" w:cs="仿宋"/>
                <w:color w:val="auto"/>
                <w:sz w:val="20"/>
                <w:szCs w:val="20"/>
                <w:highlight w:val="none"/>
              </w:rPr>
              <w:t>3.材质尺寸:人工压缩E1级环保板材</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jc w:val="center"/>
              <w:rPr>
                <w:rFonts w:hint="eastAsia" w:ascii="仿宋" w:hAnsi="仿宋" w:eastAsia="仿宋" w:cs="仿宋"/>
                <w:color w:val="auto"/>
                <w:sz w:val="20"/>
                <w:szCs w:val="20"/>
                <w:highlight w:val="none"/>
                <w:lang w:eastAsia="zh-CN"/>
              </w:rPr>
            </w:pPr>
            <w:r>
              <w:rPr>
                <w:rFonts w:hint="eastAsia" w:ascii="仿宋" w:hAnsi="仿宋" w:eastAsia="仿宋" w:cs="仿宋"/>
                <w:color w:val="auto"/>
                <w:sz w:val="20"/>
                <w:szCs w:val="20"/>
                <w:highlight w:val="none"/>
                <w:lang w:eastAsia="zh-CN"/>
              </w:rPr>
              <w:t>套</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jc w:val="right"/>
              <w:rPr>
                <w:rFonts w:hint="eastAsia" w:ascii="仿宋" w:hAnsi="仿宋" w:eastAsia="仿宋" w:cs="仿宋"/>
                <w:color w:val="auto"/>
                <w:sz w:val="20"/>
                <w:szCs w:val="20"/>
                <w:highlight w:val="none"/>
                <w:lang w:val="en-US" w:eastAsia="zh-CN"/>
              </w:rPr>
            </w:pPr>
            <w:r>
              <w:rPr>
                <w:rFonts w:hint="eastAsia" w:ascii="仿宋" w:hAnsi="仿宋" w:eastAsia="仿宋" w:cs="仿宋"/>
                <w:color w:val="auto"/>
                <w:sz w:val="20"/>
                <w:szCs w:val="20"/>
                <w:highlight w:val="none"/>
                <w:lang w:val="en-US" w:eastAsia="zh-CN"/>
              </w:rPr>
              <w:t>1</w:t>
            </w:r>
          </w:p>
        </w:tc>
      </w:tr>
      <w:tr>
        <w:tblPrEx>
          <w:tblCellMar>
            <w:top w:w="0" w:type="dxa"/>
            <w:left w:w="108" w:type="dxa"/>
            <w:bottom w:w="0" w:type="dxa"/>
            <w:right w:w="108" w:type="dxa"/>
          </w:tblCellMar>
        </w:tblPrEx>
        <w:trPr>
          <w:trHeight w:val="25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jc w:val="right"/>
              <w:rPr>
                <w:rFonts w:hint="default" w:ascii="仿宋" w:hAnsi="仿宋" w:eastAsia="仿宋" w:cs="仿宋"/>
                <w:color w:val="auto"/>
                <w:sz w:val="20"/>
                <w:szCs w:val="20"/>
                <w:highlight w:val="none"/>
                <w:lang w:val="en-US" w:eastAsia="zh-CN"/>
              </w:rPr>
            </w:pPr>
            <w:r>
              <w:rPr>
                <w:rFonts w:hint="eastAsia" w:ascii="仿宋" w:hAnsi="仿宋" w:eastAsia="仿宋" w:cs="仿宋"/>
                <w:color w:val="auto"/>
                <w:sz w:val="20"/>
                <w:szCs w:val="20"/>
                <w:highlight w:val="none"/>
                <w:lang w:val="en-US" w:eastAsia="zh-CN"/>
              </w:rPr>
              <w:t>191</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pStyle w:val="82"/>
              <w:keepNext w:val="0"/>
              <w:keepLines w:val="0"/>
              <w:widowControl/>
              <w:suppressLineNumbers w:val="0"/>
              <w:spacing w:before="0" w:beforeAutospacing="0" w:after="0" w:afterAutospacing="0"/>
              <w:ind w:left="0" w:right="0" w:firstLine="0"/>
              <w:rPr>
                <w:rFonts w:hint="eastAsia" w:ascii="仿宋" w:hAnsi="仿宋" w:eastAsia="仿宋" w:cs="仿宋"/>
                <w:b w:val="0"/>
                <w:bCs w:val="0"/>
                <w:color w:val="auto"/>
                <w:kern w:val="0"/>
                <w:sz w:val="20"/>
                <w:szCs w:val="20"/>
                <w:highlight w:val="none"/>
                <w:lang w:eastAsia="zh-CN" w:bidi="ar"/>
              </w:rPr>
            </w:pPr>
            <w:r>
              <w:rPr>
                <w:rFonts w:hint="eastAsia" w:ascii="仿宋" w:hAnsi="仿宋" w:eastAsia="仿宋" w:cs="仿宋"/>
                <w:b w:val="0"/>
                <w:bCs w:val="0"/>
                <w:color w:val="auto"/>
                <w:kern w:val="0"/>
                <w:sz w:val="20"/>
                <w:szCs w:val="20"/>
                <w:highlight w:val="none"/>
                <w:lang w:eastAsia="zh-CN" w:bidi="ar"/>
              </w:rPr>
              <w:t>琴桌</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pStyle w:val="82"/>
              <w:keepNext w:val="0"/>
              <w:keepLines w:val="0"/>
              <w:widowControl/>
              <w:suppressLineNumbers w:val="0"/>
              <w:spacing w:before="0" w:beforeAutospacing="0" w:after="0" w:afterAutospacing="0"/>
              <w:ind w:left="0" w:right="0" w:firstLine="0"/>
              <w:rPr>
                <w:rFonts w:hint="eastAsia" w:ascii="仿宋" w:hAnsi="仿宋" w:eastAsia="仿宋" w:cs="仿宋"/>
                <w:color w:val="auto"/>
                <w:sz w:val="20"/>
                <w:szCs w:val="20"/>
                <w:highlight w:val="none"/>
              </w:rPr>
            </w:pPr>
            <w:r>
              <w:rPr>
                <w:rFonts w:hint="eastAsia" w:ascii="仿宋" w:hAnsi="仿宋" w:eastAsia="仿宋" w:cs="仿宋"/>
                <w:color w:val="auto"/>
                <w:sz w:val="20"/>
                <w:szCs w:val="20"/>
                <w:highlight w:val="none"/>
              </w:rPr>
              <w:t>1.琴桌一套（琴桌+琴凳）</w:t>
            </w:r>
          </w:p>
          <w:p>
            <w:pPr>
              <w:pStyle w:val="82"/>
              <w:keepNext w:val="0"/>
              <w:keepLines w:val="0"/>
              <w:widowControl/>
              <w:suppressLineNumbers w:val="0"/>
              <w:spacing w:before="0" w:beforeAutospacing="0" w:after="0" w:afterAutospacing="0"/>
              <w:ind w:left="0" w:right="0" w:firstLine="0"/>
              <w:rPr>
                <w:rFonts w:ascii="仿宋" w:hAnsi="仿宋" w:eastAsia="仿宋" w:cs="仿宋"/>
                <w:color w:val="auto"/>
                <w:sz w:val="20"/>
                <w:szCs w:val="20"/>
                <w:highlight w:val="none"/>
              </w:rPr>
            </w:pPr>
            <w:r>
              <w:rPr>
                <w:rFonts w:hint="eastAsia" w:ascii="仿宋" w:hAnsi="仿宋" w:eastAsia="仿宋" w:cs="仿宋"/>
                <w:color w:val="auto"/>
                <w:sz w:val="20"/>
                <w:szCs w:val="20"/>
                <w:highlight w:val="none"/>
              </w:rPr>
              <w:t>2.烧桐木仿古1000*370*680mm</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jc w:val="center"/>
              <w:rPr>
                <w:rFonts w:hint="eastAsia" w:ascii="仿宋" w:hAnsi="仿宋" w:eastAsia="仿宋" w:cs="仿宋"/>
                <w:color w:val="auto"/>
                <w:sz w:val="20"/>
                <w:szCs w:val="20"/>
                <w:highlight w:val="none"/>
                <w:lang w:eastAsia="zh-CN"/>
              </w:rPr>
            </w:pPr>
            <w:r>
              <w:rPr>
                <w:rFonts w:hint="eastAsia" w:ascii="仿宋" w:hAnsi="仿宋" w:eastAsia="仿宋" w:cs="仿宋"/>
                <w:color w:val="auto"/>
                <w:sz w:val="20"/>
                <w:szCs w:val="20"/>
                <w:highlight w:val="none"/>
                <w:lang w:eastAsia="zh-CN"/>
              </w:rPr>
              <w:t>套</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jc w:val="right"/>
              <w:rPr>
                <w:rFonts w:hint="default" w:ascii="仿宋" w:hAnsi="仿宋" w:eastAsia="仿宋" w:cs="仿宋"/>
                <w:color w:val="auto"/>
                <w:sz w:val="20"/>
                <w:szCs w:val="20"/>
                <w:highlight w:val="none"/>
                <w:lang w:val="en-US" w:eastAsia="zh-CN"/>
              </w:rPr>
            </w:pPr>
            <w:r>
              <w:rPr>
                <w:rFonts w:hint="eastAsia" w:ascii="仿宋" w:hAnsi="仿宋" w:eastAsia="仿宋" w:cs="仿宋"/>
                <w:color w:val="auto"/>
                <w:sz w:val="20"/>
                <w:szCs w:val="20"/>
                <w:highlight w:val="none"/>
                <w:lang w:val="en-US" w:eastAsia="zh-CN"/>
              </w:rPr>
              <w:t>16</w:t>
            </w:r>
          </w:p>
        </w:tc>
      </w:tr>
      <w:tr>
        <w:tblPrEx>
          <w:tblCellMar>
            <w:top w:w="0" w:type="dxa"/>
            <w:left w:w="108" w:type="dxa"/>
            <w:bottom w:w="0" w:type="dxa"/>
            <w:right w:w="108" w:type="dxa"/>
          </w:tblCellMar>
        </w:tblPrEx>
        <w:trPr>
          <w:trHeight w:val="25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jc w:val="right"/>
              <w:rPr>
                <w:rFonts w:hint="default" w:ascii="仿宋" w:hAnsi="仿宋" w:eastAsia="仿宋" w:cs="仿宋"/>
                <w:color w:val="auto"/>
                <w:sz w:val="20"/>
                <w:szCs w:val="20"/>
                <w:highlight w:val="none"/>
                <w:lang w:val="en-US" w:eastAsia="zh-CN"/>
              </w:rPr>
            </w:pPr>
            <w:r>
              <w:rPr>
                <w:rFonts w:hint="eastAsia" w:ascii="仿宋" w:hAnsi="仿宋" w:eastAsia="仿宋" w:cs="仿宋"/>
                <w:color w:val="auto"/>
                <w:sz w:val="20"/>
                <w:szCs w:val="20"/>
                <w:highlight w:val="none"/>
                <w:lang w:val="en-US" w:eastAsia="zh-CN"/>
              </w:rPr>
              <w:t>192</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hint="eastAsia" w:ascii="仿宋" w:hAnsi="仿宋" w:eastAsia="仿宋" w:cs="仿宋"/>
                <w:b w:val="0"/>
                <w:bCs w:val="0"/>
                <w:color w:val="auto"/>
                <w:kern w:val="0"/>
                <w:sz w:val="20"/>
                <w:szCs w:val="20"/>
                <w:highlight w:val="none"/>
                <w:lang w:eastAsia="zh-CN" w:bidi="ar"/>
              </w:rPr>
            </w:pPr>
            <w:r>
              <w:rPr>
                <w:rFonts w:hint="eastAsia" w:ascii="仿宋" w:hAnsi="仿宋" w:eastAsia="仿宋" w:cs="仿宋"/>
                <w:b w:val="0"/>
                <w:bCs w:val="0"/>
                <w:color w:val="auto"/>
                <w:kern w:val="0"/>
                <w:sz w:val="20"/>
                <w:szCs w:val="20"/>
                <w:highlight w:val="none"/>
                <w:lang w:eastAsia="zh-CN" w:bidi="ar"/>
              </w:rPr>
              <w:t>案几</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jc w:val="left"/>
              <w:rPr>
                <w:rFonts w:hint="default" w:ascii="仿宋" w:hAnsi="仿宋" w:eastAsia="仿宋" w:cs="仿宋"/>
                <w:color w:val="auto"/>
                <w:sz w:val="20"/>
                <w:szCs w:val="20"/>
                <w:highlight w:val="none"/>
                <w:lang w:val="en-US" w:eastAsia="zh-CN"/>
              </w:rPr>
            </w:pPr>
            <w:r>
              <w:rPr>
                <w:rFonts w:hint="eastAsia" w:ascii="仿宋" w:hAnsi="仿宋" w:eastAsia="仿宋" w:cs="仿宋"/>
                <w:color w:val="auto"/>
                <w:sz w:val="20"/>
                <w:szCs w:val="20"/>
                <w:highlight w:val="none"/>
                <w:lang w:val="en-US" w:eastAsia="zh-CN"/>
              </w:rPr>
              <w:t>1.简约家用案几120*50*80原色</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jc w:val="center"/>
              <w:rPr>
                <w:rFonts w:hint="eastAsia" w:ascii="仿宋" w:hAnsi="仿宋" w:eastAsia="仿宋" w:cs="仿宋"/>
                <w:color w:val="auto"/>
                <w:sz w:val="20"/>
                <w:szCs w:val="20"/>
                <w:highlight w:val="none"/>
                <w:lang w:eastAsia="zh-CN"/>
              </w:rPr>
            </w:pPr>
            <w:r>
              <w:rPr>
                <w:rFonts w:hint="eastAsia" w:ascii="仿宋" w:hAnsi="仿宋" w:eastAsia="仿宋" w:cs="仿宋"/>
                <w:color w:val="auto"/>
                <w:sz w:val="20"/>
                <w:szCs w:val="20"/>
                <w:highlight w:val="none"/>
                <w:lang w:eastAsia="zh-CN"/>
              </w:rPr>
              <w:t>套</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jc w:val="right"/>
              <w:rPr>
                <w:rFonts w:hint="eastAsia" w:ascii="仿宋" w:hAnsi="仿宋" w:eastAsia="仿宋" w:cs="仿宋"/>
                <w:color w:val="auto"/>
                <w:sz w:val="20"/>
                <w:szCs w:val="20"/>
                <w:highlight w:val="none"/>
                <w:lang w:val="en-US" w:eastAsia="zh-CN"/>
              </w:rPr>
            </w:pPr>
            <w:r>
              <w:rPr>
                <w:rFonts w:hint="eastAsia" w:ascii="仿宋" w:hAnsi="仿宋" w:eastAsia="仿宋" w:cs="仿宋"/>
                <w:color w:val="auto"/>
                <w:sz w:val="20"/>
                <w:szCs w:val="20"/>
                <w:highlight w:val="none"/>
                <w:lang w:val="en-US" w:eastAsia="zh-CN"/>
              </w:rPr>
              <w:t>5</w:t>
            </w:r>
          </w:p>
        </w:tc>
      </w:tr>
      <w:tr>
        <w:tblPrEx>
          <w:tblCellMar>
            <w:top w:w="0" w:type="dxa"/>
            <w:left w:w="108" w:type="dxa"/>
            <w:bottom w:w="0" w:type="dxa"/>
            <w:right w:w="108" w:type="dxa"/>
          </w:tblCellMar>
        </w:tblPrEx>
        <w:trPr>
          <w:trHeight w:val="85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jc w:val="center"/>
              <w:rPr>
                <w:rFonts w:hint="default" w:ascii="仿宋" w:hAnsi="仿宋" w:eastAsia="仿宋" w:cs="仿宋"/>
                <w:color w:val="auto"/>
                <w:sz w:val="20"/>
                <w:szCs w:val="20"/>
                <w:highlight w:val="none"/>
                <w:lang w:val="en-US" w:eastAsia="zh-CN"/>
              </w:rPr>
            </w:pPr>
            <w:r>
              <w:rPr>
                <w:rFonts w:hint="eastAsia" w:ascii="仿宋" w:hAnsi="仿宋" w:eastAsia="仿宋" w:cs="仿宋"/>
                <w:color w:val="auto"/>
                <w:sz w:val="20"/>
                <w:szCs w:val="20"/>
                <w:highlight w:val="none"/>
                <w:lang w:val="en-US" w:eastAsia="zh-CN"/>
              </w:rPr>
              <w:t>193</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hint="eastAsia" w:ascii="仿宋" w:hAnsi="仿宋" w:eastAsia="仿宋" w:cs="仿宋"/>
                <w:b w:val="0"/>
                <w:bCs w:val="0"/>
                <w:color w:val="auto"/>
                <w:kern w:val="0"/>
                <w:sz w:val="20"/>
                <w:szCs w:val="20"/>
                <w:highlight w:val="none"/>
                <w:lang w:eastAsia="zh-CN" w:bidi="ar"/>
              </w:rPr>
            </w:pPr>
            <w:r>
              <w:rPr>
                <w:rFonts w:hint="eastAsia" w:ascii="仿宋" w:hAnsi="仿宋" w:eastAsia="仿宋" w:cs="仿宋"/>
                <w:b w:val="0"/>
                <w:bCs w:val="0"/>
                <w:color w:val="auto"/>
                <w:kern w:val="0"/>
                <w:sz w:val="20"/>
                <w:szCs w:val="20"/>
                <w:highlight w:val="none"/>
                <w:lang w:eastAsia="zh-CN" w:bidi="ar"/>
              </w:rPr>
              <w:t>普通展示柜</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pStyle w:val="82"/>
              <w:keepNext w:val="0"/>
              <w:keepLines w:val="0"/>
              <w:widowControl/>
              <w:suppressLineNumbers w:val="0"/>
              <w:spacing w:before="0" w:beforeAutospacing="0" w:after="0" w:afterAutospacing="0"/>
              <w:ind w:left="0" w:right="0" w:firstLine="0"/>
              <w:rPr>
                <w:rFonts w:hint="eastAsia" w:ascii="仿宋" w:hAnsi="仿宋" w:eastAsia="仿宋" w:cs="仿宋"/>
                <w:color w:val="auto"/>
                <w:sz w:val="20"/>
                <w:szCs w:val="20"/>
                <w:highlight w:val="none"/>
              </w:rPr>
            </w:pPr>
            <w:r>
              <w:rPr>
                <w:rFonts w:hint="eastAsia" w:ascii="仿宋" w:hAnsi="仿宋" w:eastAsia="仿宋" w:cs="仿宋"/>
                <w:color w:val="auto"/>
                <w:sz w:val="20"/>
                <w:szCs w:val="20"/>
                <w:highlight w:val="none"/>
              </w:rPr>
              <w:t>1.延伸品展示柜带花120*40*90</w:t>
            </w:r>
          </w:p>
          <w:p>
            <w:pPr>
              <w:pStyle w:val="82"/>
              <w:keepNext w:val="0"/>
              <w:keepLines w:val="0"/>
              <w:widowControl/>
              <w:suppressLineNumbers w:val="0"/>
              <w:spacing w:before="0" w:beforeAutospacing="0" w:after="0" w:afterAutospacing="0"/>
              <w:ind w:left="0" w:right="0" w:firstLine="0"/>
              <w:rPr>
                <w:rFonts w:hint="eastAsia" w:ascii="仿宋" w:hAnsi="仿宋" w:eastAsia="仿宋" w:cs="仿宋"/>
                <w:color w:val="auto"/>
                <w:sz w:val="20"/>
                <w:szCs w:val="20"/>
                <w:highlight w:val="none"/>
              </w:rPr>
            </w:pPr>
            <w:r>
              <w:rPr>
                <w:rFonts w:hint="eastAsia" w:ascii="仿宋" w:hAnsi="仿宋" w:eastAsia="仿宋" w:cs="仿宋"/>
                <w:color w:val="auto"/>
                <w:sz w:val="20"/>
                <w:szCs w:val="20"/>
                <w:highlight w:val="none"/>
              </w:rPr>
              <w:t>2.材质特点:复古饰品、杉木材质、8毫米钢化玻璃</w:t>
            </w:r>
          </w:p>
          <w:p>
            <w:pPr>
              <w:pStyle w:val="82"/>
              <w:keepNext w:val="0"/>
              <w:keepLines w:val="0"/>
              <w:widowControl/>
              <w:suppressLineNumbers w:val="0"/>
              <w:spacing w:before="0" w:beforeAutospacing="0" w:after="0" w:afterAutospacing="0"/>
              <w:ind w:left="0" w:right="0" w:firstLine="0"/>
              <w:rPr>
                <w:rFonts w:hint="default" w:ascii="仿宋" w:hAnsi="仿宋" w:eastAsia="仿宋" w:cs="仿宋"/>
                <w:color w:val="auto"/>
                <w:sz w:val="20"/>
                <w:szCs w:val="20"/>
                <w:highlight w:val="none"/>
                <w:lang w:val="en-US" w:eastAsia="zh-CN"/>
              </w:rPr>
            </w:pPr>
            <w:r>
              <w:rPr>
                <w:rFonts w:hint="eastAsia" w:ascii="仿宋" w:hAnsi="仿宋" w:eastAsia="仿宋" w:cs="仿宋"/>
                <w:color w:val="auto"/>
                <w:sz w:val="20"/>
                <w:szCs w:val="20"/>
                <w:highlight w:val="none"/>
              </w:rPr>
              <w:t>3.LED灯带环绕</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jc w:val="center"/>
              <w:rPr>
                <w:rFonts w:hint="eastAsia" w:ascii="仿宋" w:hAnsi="仿宋" w:eastAsia="仿宋" w:cs="仿宋"/>
                <w:color w:val="auto"/>
                <w:sz w:val="20"/>
                <w:szCs w:val="20"/>
                <w:highlight w:val="none"/>
                <w:lang w:eastAsia="zh-CN"/>
              </w:rPr>
            </w:pPr>
            <w:r>
              <w:rPr>
                <w:rFonts w:hint="eastAsia" w:ascii="仿宋" w:hAnsi="仿宋" w:eastAsia="仿宋" w:cs="仿宋"/>
                <w:color w:val="auto"/>
                <w:sz w:val="20"/>
                <w:szCs w:val="20"/>
                <w:highlight w:val="none"/>
                <w:lang w:eastAsia="zh-CN"/>
              </w:rPr>
              <w:t>套</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jc w:val="right"/>
              <w:rPr>
                <w:rFonts w:hint="eastAsia" w:ascii="仿宋" w:hAnsi="仿宋" w:eastAsia="仿宋" w:cs="仿宋"/>
                <w:color w:val="auto"/>
                <w:sz w:val="20"/>
                <w:szCs w:val="20"/>
                <w:highlight w:val="none"/>
                <w:lang w:val="en-US" w:eastAsia="zh-CN"/>
              </w:rPr>
            </w:pPr>
            <w:r>
              <w:rPr>
                <w:rFonts w:hint="eastAsia" w:ascii="仿宋" w:hAnsi="仿宋" w:eastAsia="仿宋" w:cs="仿宋"/>
                <w:color w:val="auto"/>
                <w:sz w:val="20"/>
                <w:szCs w:val="20"/>
                <w:highlight w:val="none"/>
                <w:lang w:val="en-US" w:eastAsia="zh-CN"/>
              </w:rPr>
              <w:t>3</w:t>
            </w:r>
          </w:p>
        </w:tc>
      </w:tr>
      <w:tr>
        <w:tblPrEx>
          <w:tblCellMar>
            <w:top w:w="0" w:type="dxa"/>
            <w:left w:w="108" w:type="dxa"/>
            <w:bottom w:w="0" w:type="dxa"/>
            <w:right w:w="108" w:type="dxa"/>
          </w:tblCellMar>
        </w:tblPrEx>
        <w:trPr>
          <w:trHeight w:val="25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jc w:val="right"/>
              <w:rPr>
                <w:rFonts w:ascii="仿宋" w:hAnsi="仿宋" w:eastAsia="仿宋" w:cs="仿宋"/>
                <w:color w:val="auto"/>
                <w:sz w:val="20"/>
                <w:szCs w:val="20"/>
                <w:highlight w:val="none"/>
              </w:rPr>
            </w:pP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b/>
                <w:bCs/>
                <w:color w:val="auto"/>
                <w:sz w:val="20"/>
                <w:szCs w:val="20"/>
                <w:highlight w:val="none"/>
              </w:rPr>
            </w:pPr>
            <w:r>
              <w:rPr>
                <w:rFonts w:hint="eastAsia" w:ascii="仿宋" w:hAnsi="仿宋" w:eastAsia="仿宋" w:cs="仿宋"/>
                <w:b/>
                <w:bCs/>
                <w:color w:val="auto"/>
                <w:kern w:val="0"/>
                <w:sz w:val="20"/>
                <w:szCs w:val="20"/>
                <w:highlight w:val="none"/>
                <w:lang w:bidi="ar"/>
              </w:rPr>
              <w:t>监控、安保室</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jc w:val="left"/>
              <w:rPr>
                <w:rFonts w:ascii="仿宋" w:hAnsi="仿宋" w:eastAsia="仿宋" w:cs="仿宋"/>
                <w:color w:val="auto"/>
                <w:sz w:val="20"/>
                <w:szCs w:val="20"/>
                <w:highlight w:val="none"/>
              </w:rPr>
            </w:pP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jc w:val="left"/>
              <w:rPr>
                <w:rFonts w:ascii="仿宋" w:hAnsi="仿宋" w:eastAsia="仿宋" w:cs="仿宋"/>
                <w:color w:val="auto"/>
                <w:sz w:val="20"/>
                <w:szCs w:val="20"/>
                <w:highlight w:val="none"/>
              </w:rPr>
            </w:pP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jc w:val="left"/>
              <w:rPr>
                <w:rFonts w:ascii="仿宋" w:hAnsi="仿宋" w:eastAsia="仿宋" w:cs="仿宋"/>
                <w:color w:val="auto"/>
                <w:sz w:val="20"/>
                <w:szCs w:val="20"/>
                <w:highlight w:val="none"/>
              </w:rPr>
            </w:pPr>
          </w:p>
        </w:tc>
      </w:tr>
      <w:tr>
        <w:tblPrEx>
          <w:tblCellMar>
            <w:top w:w="0" w:type="dxa"/>
            <w:left w:w="108" w:type="dxa"/>
            <w:bottom w:w="0" w:type="dxa"/>
            <w:right w:w="108" w:type="dxa"/>
          </w:tblCellMar>
        </w:tblPrEx>
        <w:trPr>
          <w:trHeight w:val="262"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hint="default" w:ascii="仿宋" w:hAnsi="仿宋" w:eastAsia="仿宋" w:cs="仿宋"/>
                <w:color w:val="auto"/>
                <w:sz w:val="20"/>
                <w:szCs w:val="20"/>
                <w:highlight w:val="none"/>
                <w:lang w:val="en-US" w:eastAsia="zh-CN"/>
              </w:rPr>
            </w:pPr>
            <w:r>
              <w:rPr>
                <w:rFonts w:hint="eastAsia" w:ascii="仿宋" w:hAnsi="仿宋" w:eastAsia="仿宋" w:cs="仿宋"/>
                <w:color w:val="auto"/>
                <w:kern w:val="0"/>
                <w:sz w:val="20"/>
                <w:szCs w:val="20"/>
                <w:highlight w:val="none"/>
                <w:lang w:val="en-US" w:eastAsia="zh-CN" w:bidi="ar"/>
              </w:rPr>
              <w:t>194</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定制柜</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1.定制物品存放柜 高2200</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m</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2.4</w:t>
            </w:r>
          </w:p>
        </w:tc>
      </w:tr>
      <w:tr>
        <w:tblPrEx>
          <w:tblCellMar>
            <w:top w:w="0" w:type="dxa"/>
            <w:left w:w="108" w:type="dxa"/>
            <w:bottom w:w="0" w:type="dxa"/>
            <w:right w:w="108" w:type="dxa"/>
          </w:tblCellMar>
        </w:tblPrEx>
        <w:trPr>
          <w:trHeight w:val="856"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hint="default" w:ascii="仿宋" w:hAnsi="仿宋" w:eastAsia="仿宋" w:cs="仿宋"/>
                <w:color w:val="auto"/>
                <w:sz w:val="20"/>
                <w:szCs w:val="20"/>
                <w:highlight w:val="none"/>
                <w:lang w:val="en-US" w:eastAsia="zh-CN"/>
              </w:rPr>
            </w:pPr>
            <w:r>
              <w:rPr>
                <w:rFonts w:hint="eastAsia" w:ascii="仿宋" w:hAnsi="仿宋" w:eastAsia="仿宋" w:cs="仿宋"/>
                <w:color w:val="auto"/>
                <w:kern w:val="0"/>
                <w:sz w:val="20"/>
                <w:szCs w:val="20"/>
                <w:highlight w:val="none"/>
                <w:lang w:val="en-US" w:eastAsia="zh-CN" w:bidi="ar"/>
              </w:rPr>
              <w:t>195</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55寸监控屏</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液晶监视器，工业级高清监视器显示屏，面板：IPS（LGD），类型：直面屏，响应时间：5ms，屏幕刷新率：60Hz，屏幕比例：16:9分辨率：1920*1080</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台</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w:t>
            </w:r>
          </w:p>
        </w:tc>
      </w:tr>
      <w:tr>
        <w:tblPrEx>
          <w:tblCellMar>
            <w:top w:w="0" w:type="dxa"/>
            <w:left w:w="108" w:type="dxa"/>
            <w:bottom w:w="0" w:type="dxa"/>
            <w:right w:w="108" w:type="dxa"/>
          </w:tblCellMar>
        </w:tblPrEx>
        <w:trPr>
          <w:trHeight w:val="289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hint="default" w:ascii="仿宋" w:hAnsi="仿宋" w:eastAsia="仿宋" w:cs="仿宋"/>
                <w:color w:val="auto"/>
                <w:sz w:val="20"/>
                <w:szCs w:val="20"/>
                <w:highlight w:val="none"/>
                <w:lang w:val="en-US" w:eastAsia="zh-CN"/>
              </w:rPr>
            </w:pPr>
            <w:r>
              <w:rPr>
                <w:rFonts w:hint="eastAsia" w:ascii="仿宋" w:hAnsi="仿宋" w:eastAsia="仿宋" w:cs="仿宋"/>
                <w:color w:val="auto"/>
                <w:kern w:val="0"/>
                <w:sz w:val="20"/>
                <w:szCs w:val="20"/>
                <w:highlight w:val="none"/>
                <w:lang w:val="en-US" w:eastAsia="zh-CN" w:bidi="ar"/>
              </w:rPr>
              <w:t>196</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半球网络摄像头</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网络红外半球摄像机</w:t>
            </w:r>
          </w:p>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1.最高分辨率可达1920 × 1080 @25 fps，在该分辨率下可输出实时图像支持用户登录锁定机制，及密码复杂度提示支持背光补偿，3D数字降噪，数字宽动态，适应不同监控环境支持ROI感兴趣区域增强编码，可根据场景情况自适应调整码率分配，有效节省存储成本采用高效阵列红外灯，使用寿命长，红外照射距离最远可达30 m支持ONVIF（PROFILE S），ISAPI，SDGB28181协议，支持萤石平台接入内置1个麦克风，高清拾音符合IP66防尘防水设计，可靠性高</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只</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14</w:t>
            </w:r>
          </w:p>
        </w:tc>
      </w:tr>
      <w:tr>
        <w:tblPrEx>
          <w:tblCellMar>
            <w:top w:w="0" w:type="dxa"/>
            <w:left w:w="108" w:type="dxa"/>
            <w:bottom w:w="0" w:type="dxa"/>
            <w:right w:w="108" w:type="dxa"/>
          </w:tblCellMar>
        </w:tblPrEx>
        <w:trPr>
          <w:trHeight w:val="289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hint="default" w:ascii="仿宋" w:hAnsi="仿宋" w:eastAsia="仿宋" w:cs="仿宋"/>
                <w:color w:val="auto"/>
                <w:sz w:val="20"/>
                <w:szCs w:val="20"/>
                <w:highlight w:val="none"/>
                <w:lang w:val="en-US" w:eastAsia="zh-CN"/>
              </w:rPr>
            </w:pPr>
            <w:r>
              <w:rPr>
                <w:rFonts w:hint="eastAsia" w:ascii="仿宋" w:hAnsi="仿宋" w:eastAsia="仿宋" w:cs="仿宋"/>
                <w:color w:val="auto"/>
                <w:kern w:val="0"/>
                <w:sz w:val="20"/>
                <w:szCs w:val="20"/>
                <w:highlight w:val="none"/>
                <w:lang w:val="en-US" w:eastAsia="zh-CN" w:bidi="ar"/>
              </w:rPr>
              <w:t>197</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监控控制主机</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a)支持64路摄像头；b)专为高分辨率相机接入所打造，最大支持800万相机接入；c)硬盘支持全面升级，支持满配12T硬盘，进一步延长录像时间；d)平台接入协议丰富，支持萤石、Ehome以及GB28181协议，轻松实现平台接入；e)接口一应俱全，满足各类外设接入需求；1.5U 标准机箱，支持机架安装；8盘位，最大支持12TB硬盘支持1个HDMI 4K输出 +1个VGA同源高清1080P输出支持8路1080P解码支持H.265、H.264混合解码，最大支持接入8MP高清IPC2个千兆网口自带16进4出报警口2个USB2.0接口+1个USB3.0接口</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台</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w:t>
            </w:r>
          </w:p>
        </w:tc>
      </w:tr>
      <w:tr>
        <w:tblPrEx>
          <w:tblCellMar>
            <w:top w:w="0" w:type="dxa"/>
            <w:left w:w="108" w:type="dxa"/>
            <w:bottom w:w="0" w:type="dxa"/>
            <w:right w:w="108" w:type="dxa"/>
          </w:tblCellMar>
        </w:tblPrEx>
        <w:trPr>
          <w:trHeight w:val="73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hint="default" w:ascii="仿宋" w:hAnsi="仿宋" w:eastAsia="仿宋" w:cs="仿宋"/>
                <w:color w:val="auto"/>
                <w:sz w:val="20"/>
                <w:szCs w:val="20"/>
                <w:highlight w:val="none"/>
                <w:lang w:val="en-US" w:eastAsia="zh-CN"/>
              </w:rPr>
            </w:pPr>
            <w:r>
              <w:rPr>
                <w:rFonts w:hint="eastAsia" w:ascii="仿宋" w:hAnsi="仿宋" w:eastAsia="仿宋" w:cs="仿宋"/>
                <w:color w:val="auto"/>
                <w:kern w:val="0"/>
                <w:sz w:val="20"/>
                <w:szCs w:val="20"/>
                <w:highlight w:val="none"/>
                <w:lang w:val="en-US" w:eastAsia="zh-CN" w:bidi="ar"/>
              </w:rPr>
              <w:t>198</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专业监控硬盘</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1.ST6000NM0115 6T硬盘容量:6TB成色尺寸: 3.5英寸接口类型: SATA硬盘转速: 7200转缓存容量: 256MB适用机型: 监控</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块</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4</w:t>
            </w:r>
          </w:p>
        </w:tc>
      </w:tr>
      <w:tr>
        <w:tblPrEx>
          <w:tblCellMar>
            <w:top w:w="0" w:type="dxa"/>
            <w:left w:w="108" w:type="dxa"/>
            <w:bottom w:w="0" w:type="dxa"/>
            <w:right w:w="108" w:type="dxa"/>
          </w:tblCellMar>
        </w:tblPrEx>
        <w:trPr>
          <w:trHeight w:val="217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hint="default" w:ascii="仿宋" w:hAnsi="仿宋" w:eastAsia="仿宋" w:cs="仿宋"/>
                <w:color w:val="auto"/>
                <w:sz w:val="20"/>
                <w:szCs w:val="20"/>
                <w:highlight w:val="none"/>
                <w:lang w:val="en-US" w:eastAsia="zh-CN"/>
              </w:rPr>
            </w:pPr>
            <w:r>
              <w:rPr>
                <w:rFonts w:hint="eastAsia" w:ascii="仿宋" w:hAnsi="仿宋" w:eastAsia="仿宋" w:cs="仿宋"/>
                <w:color w:val="auto"/>
                <w:kern w:val="0"/>
                <w:sz w:val="20"/>
                <w:szCs w:val="20"/>
                <w:highlight w:val="none"/>
                <w:lang w:val="en-US" w:eastAsia="zh-CN" w:bidi="ar"/>
              </w:rPr>
              <w:t>199</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核心交换机</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1.24个10/100/1000Base-T RJ45端口（支持标准PoE+供电），4口1000Base-T电口，整机最大PoE供电功率为385W，单端口最大PoE供电功率为30W，符合IEEE 802.3af/at PoE供电标准，端口支持供电优先级 ，支持802.1Q VLAN、Port VLAN、QoS、带宽控制、风暴抑制 ，支持端口汇聚、端口镜像、端口监控、线缆检测、环回保护 ，支持Web管理、VLAN隔离、标准交换三种工作模式</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台</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w:t>
            </w:r>
          </w:p>
        </w:tc>
      </w:tr>
      <w:tr>
        <w:tblPrEx>
          <w:tblCellMar>
            <w:top w:w="0" w:type="dxa"/>
            <w:left w:w="108" w:type="dxa"/>
            <w:bottom w:w="0" w:type="dxa"/>
            <w:right w:w="108" w:type="dxa"/>
          </w:tblCellMar>
        </w:tblPrEx>
        <w:trPr>
          <w:trHeight w:val="217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hint="default" w:ascii="仿宋" w:hAnsi="仿宋" w:eastAsia="仿宋" w:cs="仿宋"/>
                <w:color w:val="auto"/>
                <w:sz w:val="20"/>
                <w:szCs w:val="20"/>
                <w:highlight w:val="none"/>
                <w:lang w:val="en-US" w:eastAsia="zh-CN"/>
              </w:rPr>
            </w:pPr>
            <w:r>
              <w:rPr>
                <w:rFonts w:hint="eastAsia" w:ascii="仿宋" w:hAnsi="仿宋" w:eastAsia="仿宋" w:cs="仿宋"/>
                <w:color w:val="auto"/>
                <w:kern w:val="0"/>
                <w:sz w:val="20"/>
                <w:szCs w:val="20"/>
                <w:highlight w:val="none"/>
                <w:lang w:val="en-US" w:eastAsia="zh-CN" w:bidi="ar"/>
              </w:rPr>
              <w:t>200</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路由器</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1.名称:路由器                                                           5个千兆网口，1WAN+3WAN/LAN+1LAN</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2.内置AC功能，统一管理TP-LINK企业AP</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3.IPSec/PPTP/L2TP VPN，远程通信更安全</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4.Web认证、短信认证、PPPoE服务器</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5.上网行为管理（移动APP管控/桌面应用管控/网站过滤/行为审计）</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6.内外网ARP防护及常见攻击防护</w:t>
            </w:r>
          </w:p>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7.负载均衡、智能IP带宽管理及连接数限制</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台</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w:t>
            </w:r>
          </w:p>
        </w:tc>
      </w:tr>
      <w:tr>
        <w:tblPrEx>
          <w:tblCellMar>
            <w:top w:w="0" w:type="dxa"/>
            <w:left w:w="108" w:type="dxa"/>
            <w:bottom w:w="0" w:type="dxa"/>
            <w:right w:w="108" w:type="dxa"/>
          </w:tblCellMar>
        </w:tblPrEx>
        <w:trPr>
          <w:trHeight w:val="193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hint="default" w:ascii="仿宋" w:hAnsi="仿宋" w:eastAsia="仿宋" w:cs="仿宋"/>
                <w:color w:val="auto"/>
                <w:sz w:val="20"/>
                <w:szCs w:val="20"/>
                <w:highlight w:val="none"/>
                <w:lang w:val="en-US" w:eastAsia="zh-CN"/>
              </w:rPr>
            </w:pPr>
            <w:r>
              <w:rPr>
                <w:rFonts w:hint="eastAsia" w:ascii="仿宋" w:hAnsi="仿宋" w:eastAsia="仿宋" w:cs="仿宋"/>
                <w:color w:val="auto"/>
                <w:kern w:val="0"/>
                <w:sz w:val="20"/>
                <w:szCs w:val="20"/>
                <w:highlight w:val="none"/>
                <w:lang w:val="en-US" w:eastAsia="zh-CN" w:bidi="ar"/>
              </w:rPr>
              <w:t>201</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网络POE交换机</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1.16个10/100/1000Base-T RJ45端口（支持标准PoE+供电），整机最大PoE供电功率为190W，单端口最大PoE供电功率为30W，符合IEEE 802.3af/at PoE供电标准，端口支持供电优先级 ，支持802.1Q VLAN、Port VLAN、QoS、带宽控制、风暴抑制 ，支持端口汇聚、端口镜像、端口监控、线缆检测、环回保护 ，支持Web管理、VLAN隔离、标准交换三种工作模式</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台</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w:t>
            </w:r>
          </w:p>
        </w:tc>
      </w:tr>
      <w:tr>
        <w:tblPrEx>
          <w:tblCellMar>
            <w:top w:w="0" w:type="dxa"/>
            <w:left w:w="108" w:type="dxa"/>
            <w:bottom w:w="0" w:type="dxa"/>
            <w:right w:w="108" w:type="dxa"/>
          </w:tblCellMar>
        </w:tblPrEx>
        <w:trPr>
          <w:trHeight w:val="25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hint="default" w:ascii="仿宋" w:hAnsi="仿宋" w:eastAsia="仿宋" w:cs="仿宋"/>
                <w:color w:val="auto"/>
                <w:sz w:val="20"/>
                <w:szCs w:val="20"/>
                <w:highlight w:val="none"/>
                <w:lang w:val="en-US" w:eastAsia="zh-CN"/>
              </w:rPr>
            </w:pPr>
            <w:r>
              <w:rPr>
                <w:rFonts w:hint="eastAsia" w:ascii="仿宋" w:hAnsi="仿宋" w:eastAsia="仿宋" w:cs="仿宋"/>
                <w:color w:val="auto"/>
                <w:kern w:val="0"/>
                <w:sz w:val="20"/>
                <w:szCs w:val="20"/>
                <w:highlight w:val="none"/>
                <w:lang w:val="en-US" w:eastAsia="zh-CN" w:bidi="ar"/>
              </w:rPr>
              <w:t>202</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高清解码器</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1.拼接屏高清解码器、4进8出。</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台</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w:t>
            </w:r>
          </w:p>
        </w:tc>
      </w:tr>
      <w:tr>
        <w:tblPrEx>
          <w:tblCellMar>
            <w:top w:w="0" w:type="dxa"/>
            <w:left w:w="108" w:type="dxa"/>
            <w:bottom w:w="0" w:type="dxa"/>
            <w:right w:w="108" w:type="dxa"/>
          </w:tblCellMar>
        </w:tblPrEx>
        <w:trPr>
          <w:trHeight w:val="73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hint="default" w:ascii="仿宋" w:hAnsi="仿宋" w:eastAsia="仿宋" w:cs="仿宋"/>
                <w:color w:val="auto"/>
                <w:sz w:val="20"/>
                <w:szCs w:val="20"/>
                <w:highlight w:val="none"/>
                <w:lang w:val="en-US" w:eastAsia="zh-CN"/>
              </w:rPr>
            </w:pPr>
            <w:r>
              <w:rPr>
                <w:rFonts w:hint="eastAsia" w:ascii="仿宋" w:hAnsi="仿宋" w:eastAsia="仿宋" w:cs="仿宋"/>
                <w:color w:val="auto"/>
                <w:sz w:val="20"/>
                <w:szCs w:val="20"/>
                <w:highlight w:val="none"/>
                <w:lang w:val="en-US" w:eastAsia="zh-CN"/>
              </w:rPr>
              <w:t>203</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服务器</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1.名称:I7处理器</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2.8G内存</w:t>
            </w:r>
          </w:p>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3.1T硬盘 22寸显示器</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台</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w:t>
            </w:r>
          </w:p>
        </w:tc>
      </w:tr>
      <w:tr>
        <w:tblPrEx>
          <w:tblCellMar>
            <w:top w:w="0" w:type="dxa"/>
            <w:left w:w="108" w:type="dxa"/>
            <w:bottom w:w="0" w:type="dxa"/>
            <w:right w:w="108" w:type="dxa"/>
          </w:tblCellMar>
        </w:tblPrEx>
        <w:trPr>
          <w:trHeight w:val="49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hint="default" w:ascii="仿宋" w:hAnsi="仿宋" w:eastAsia="仿宋" w:cs="仿宋"/>
                <w:color w:val="auto"/>
                <w:sz w:val="20"/>
                <w:szCs w:val="20"/>
                <w:highlight w:val="none"/>
                <w:lang w:val="en-US" w:eastAsia="zh-CN"/>
              </w:rPr>
            </w:pPr>
            <w:r>
              <w:rPr>
                <w:rFonts w:hint="eastAsia" w:ascii="仿宋" w:hAnsi="仿宋" w:eastAsia="仿宋" w:cs="仿宋"/>
                <w:color w:val="auto"/>
                <w:sz w:val="20"/>
                <w:szCs w:val="20"/>
                <w:highlight w:val="none"/>
                <w:lang w:val="en-US" w:eastAsia="zh-CN"/>
              </w:rPr>
              <w:t>204</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辅材</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音频线、高清线、跳线，水晶头配管线等弱电辅材</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项</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w:t>
            </w:r>
          </w:p>
        </w:tc>
      </w:tr>
      <w:tr>
        <w:tblPrEx>
          <w:tblCellMar>
            <w:top w:w="0" w:type="dxa"/>
            <w:left w:w="108" w:type="dxa"/>
            <w:bottom w:w="0" w:type="dxa"/>
            <w:right w:w="108" w:type="dxa"/>
          </w:tblCellMar>
        </w:tblPrEx>
        <w:trPr>
          <w:trHeight w:val="25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jc w:val="right"/>
              <w:rPr>
                <w:rFonts w:ascii="仿宋" w:hAnsi="仿宋" w:eastAsia="仿宋" w:cs="仿宋"/>
                <w:color w:val="auto"/>
                <w:sz w:val="20"/>
                <w:szCs w:val="20"/>
                <w:highlight w:val="none"/>
              </w:rPr>
            </w:pP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b/>
                <w:bCs/>
                <w:color w:val="auto"/>
                <w:sz w:val="20"/>
                <w:szCs w:val="20"/>
                <w:highlight w:val="none"/>
              </w:rPr>
            </w:pPr>
            <w:r>
              <w:rPr>
                <w:rFonts w:hint="eastAsia" w:ascii="仿宋" w:hAnsi="仿宋" w:eastAsia="仿宋" w:cs="仿宋"/>
                <w:b/>
                <w:bCs/>
                <w:color w:val="auto"/>
                <w:kern w:val="0"/>
                <w:sz w:val="20"/>
                <w:szCs w:val="20"/>
                <w:highlight w:val="none"/>
                <w:lang w:bidi="ar"/>
              </w:rPr>
              <w:t>讲解休憩室</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jc w:val="left"/>
              <w:rPr>
                <w:rFonts w:ascii="仿宋" w:hAnsi="仿宋" w:eastAsia="仿宋" w:cs="仿宋"/>
                <w:color w:val="auto"/>
                <w:sz w:val="20"/>
                <w:szCs w:val="20"/>
                <w:highlight w:val="none"/>
              </w:rPr>
            </w:pP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jc w:val="left"/>
              <w:rPr>
                <w:rFonts w:ascii="仿宋" w:hAnsi="仿宋" w:eastAsia="仿宋" w:cs="仿宋"/>
                <w:color w:val="auto"/>
                <w:sz w:val="20"/>
                <w:szCs w:val="20"/>
                <w:highlight w:val="none"/>
              </w:rPr>
            </w:pP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jc w:val="left"/>
              <w:rPr>
                <w:rFonts w:ascii="仿宋" w:hAnsi="仿宋" w:eastAsia="仿宋" w:cs="仿宋"/>
                <w:color w:val="auto"/>
                <w:sz w:val="20"/>
                <w:szCs w:val="20"/>
                <w:highlight w:val="none"/>
              </w:rPr>
            </w:pPr>
          </w:p>
        </w:tc>
      </w:tr>
      <w:tr>
        <w:tblPrEx>
          <w:tblCellMar>
            <w:top w:w="0" w:type="dxa"/>
            <w:left w:w="108" w:type="dxa"/>
            <w:bottom w:w="0" w:type="dxa"/>
            <w:right w:w="108" w:type="dxa"/>
          </w:tblCellMar>
        </w:tblPrEx>
        <w:trPr>
          <w:trHeight w:val="121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hint="default" w:ascii="仿宋" w:hAnsi="仿宋" w:eastAsia="仿宋" w:cs="仿宋"/>
                <w:color w:val="auto"/>
                <w:sz w:val="20"/>
                <w:szCs w:val="20"/>
                <w:highlight w:val="none"/>
                <w:lang w:val="en-US" w:eastAsia="zh-CN"/>
              </w:rPr>
            </w:pPr>
            <w:r>
              <w:rPr>
                <w:rFonts w:hint="eastAsia" w:ascii="仿宋" w:hAnsi="仿宋" w:eastAsia="仿宋" w:cs="仿宋"/>
                <w:color w:val="auto"/>
                <w:sz w:val="20"/>
                <w:szCs w:val="20"/>
                <w:highlight w:val="none"/>
                <w:lang w:val="en-US" w:eastAsia="zh-CN"/>
              </w:rPr>
              <w:t>205</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图文展板</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1.40*40阻燃木方龙骨框架，12厚阻燃板基层，20厚铝型材框包边，展板金属挂件；</w:t>
            </w:r>
          </w:p>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2.面层材料品种、规格、颜色:雪绒布喷绘，背景合成图电分、扫描、修版、合成，背景合成喷专用防护油处理</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m2</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2.2</w:t>
            </w:r>
          </w:p>
        </w:tc>
      </w:tr>
      <w:tr>
        <w:tblPrEx>
          <w:tblCellMar>
            <w:top w:w="0" w:type="dxa"/>
            <w:left w:w="108" w:type="dxa"/>
            <w:bottom w:w="0" w:type="dxa"/>
            <w:right w:w="108" w:type="dxa"/>
          </w:tblCellMar>
        </w:tblPrEx>
        <w:trPr>
          <w:trHeight w:val="25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hint="eastAsia" w:eastAsia="仿宋"/>
                <w:color w:val="auto"/>
                <w:highlight w:val="none"/>
                <w:lang w:val="en-US" w:eastAsia="zh-CN"/>
              </w:rPr>
            </w:pPr>
            <w:r>
              <w:rPr>
                <w:rFonts w:hint="eastAsia" w:ascii="仿宋" w:hAnsi="仿宋" w:eastAsia="仿宋" w:cs="仿宋"/>
                <w:color w:val="auto"/>
                <w:sz w:val="20"/>
                <w:szCs w:val="20"/>
                <w:highlight w:val="none"/>
              </w:rPr>
              <w:t>20</w:t>
            </w:r>
            <w:r>
              <w:rPr>
                <w:rFonts w:hint="eastAsia" w:ascii="仿宋" w:hAnsi="仿宋" w:eastAsia="仿宋" w:cs="仿宋"/>
                <w:color w:val="auto"/>
                <w:sz w:val="20"/>
                <w:szCs w:val="20"/>
                <w:highlight w:val="none"/>
                <w:lang w:val="en-US" w:eastAsia="zh-CN"/>
              </w:rPr>
              <w:t>6</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成品沙发</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1.成品现代简约沙发500宽*1500长</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套</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w:t>
            </w:r>
          </w:p>
        </w:tc>
      </w:tr>
      <w:tr>
        <w:tblPrEx>
          <w:tblCellMar>
            <w:top w:w="0" w:type="dxa"/>
            <w:left w:w="108" w:type="dxa"/>
            <w:bottom w:w="0" w:type="dxa"/>
            <w:right w:w="108" w:type="dxa"/>
          </w:tblCellMar>
        </w:tblPrEx>
        <w:trPr>
          <w:trHeight w:val="25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hint="eastAsia" w:ascii="仿宋" w:hAnsi="仿宋" w:eastAsia="仿宋" w:cs="仿宋"/>
                <w:color w:val="auto"/>
                <w:sz w:val="20"/>
                <w:szCs w:val="20"/>
                <w:highlight w:val="none"/>
                <w:lang w:val="en-US" w:eastAsia="zh-CN"/>
              </w:rPr>
            </w:pPr>
            <w:r>
              <w:rPr>
                <w:rFonts w:hint="eastAsia" w:ascii="仿宋" w:hAnsi="仿宋" w:eastAsia="仿宋" w:cs="仿宋"/>
                <w:color w:val="auto"/>
                <w:kern w:val="0"/>
                <w:sz w:val="20"/>
                <w:szCs w:val="20"/>
                <w:highlight w:val="none"/>
                <w:lang w:bidi="ar"/>
              </w:rPr>
              <w:t>20</w:t>
            </w:r>
            <w:r>
              <w:rPr>
                <w:rFonts w:hint="eastAsia" w:ascii="仿宋" w:hAnsi="仿宋" w:eastAsia="仿宋" w:cs="仿宋"/>
                <w:color w:val="auto"/>
                <w:kern w:val="0"/>
                <w:sz w:val="20"/>
                <w:szCs w:val="20"/>
                <w:highlight w:val="none"/>
                <w:lang w:val="en-US" w:eastAsia="zh-CN" w:bidi="ar"/>
              </w:rPr>
              <w:t>7</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定制柜</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1.定制物品存放柜 高2200</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m</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1.2</w:t>
            </w:r>
          </w:p>
        </w:tc>
      </w:tr>
      <w:tr>
        <w:tblPrEx>
          <w:tblCellMar>
            <w:top w:w="0" w:type="dxa"/>
            <w:left w:w="108" w:type="dxa"/>
            <w:bottom w:w="0" w:type="dxa"/>
            <w:right w:w="108" w:type="dxa"/>
          </w:tblCellMar>
        </w:tblPrEx>
        <w:trPr>
          <w:trHeight w:val="121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hint="eastAsia" w:ascii="仿宋" w:hAnsi="仿宋" w:eastAsia="仿宋" w:cs="仿宋"/>
                <w:color w:val="auto"/>
                <w:sz w:val="20"/>
                <w:szCs w:val="20"/>
                <w:highlight w:val="none"/>
                <w:lang w:val="en-US" w:eastAsia="zh-CN"/>
              </w:rPr>
            </w:pPr>
            <w:r>
              <w:rPr>
                <w:rFonts w:hint="eastAsia" w:ascii="仿宋" w:hAnsi="仿宋" w:eastAsia="仿宋" w:cs="仿宋"/>
                <w:color w:val="auto"/>
                <w:kern w:val="0"/>
                <w:sz w:val="20"/>
                <w:szCs w:val="20"/>
                <w:highlight w:val="none"/>
                <w:lang w:bidi="ar"/>
              </w:rPr>
              <w:t>20</w:t>
            </w:r>
            <w:r>
              <w:rPr>
                <w:rFonts w:hint="eastAsia" w:ascii="仿宋" w:hAnsi="仿宋" w:eastAsia="仿宋" w:cs="仿宋"/>
                <w:color w:val="auto"/>
                <w:kern w:val="0"/>
                <w:sz w:val="20"/>
                <w:szCs w:val="20"/>
                <w:highlight w:val="none"/>
                <w:lang w:val="en-US" w:eastAsia="zh-CN" w:bidi="ar"/>
              </w:rPr>
              <w:t>8</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电脑</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1.台式电脑                        品牌: Intel/英特尔              内存容量: 16GB                  硬盘容量: 512GB                     内存类型: DDR4                     显存容量: 12GB                  显存位宽: 128bit</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台</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w:t>
            </w:r>
          </w:p>
        </w:tc>
      </w:tr>
      <w:tr>
        <w:tblPrEx>
          <w:tblCellMar>
            <w:top w:w="0" w:type="dxa"/>
            <w:left w:w="108" w:type="dxa"/>
            <w:bottom w:w="0" w:type="dxa"/>
            <w:right w:w="108" w:type="dxa"/>
          </w:tblCellMar>
        </w:tblPrEx>
        <w:trPr>
          <w:trHeight w:val="25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jc w:val="right"/>
              <w:rPr>
                <w:rFonts w:ascii="仿宋" w:hAnsi="仿宋" w:eastAsia="仿宋" w:cs="仿宋"/>
                <w:color w:val="auto"/>
                <w:sz w:val="20"/>
                <w:szCs w:val="20"/>
                <w:highlight w:val="none"/>
              </w:rPr>
            </w:pP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b/>
                <w:bCs/>
                <w:color w:val="auto"/>
                <w:sz w:val="20"/>
                <w:szCs w:val="20"/>
                <w:highlight w:val="none"/>
              </w:rPr>
            </w:pPr>
            <w:r>
              <w:rPr>
                <w:rFonts w:hint="eastAsia" w:ascii="仿宋" w:hAnsi="仿宋" w:eastAsia="仿宋" w:cs="仿宋"/>
                <w:b/>
                <w:bCs/>
                <w:color w:val="auto"/>
                <w:kern w:val="0"/>
                <w:sz w:val="20"/>
                <w:szCs w:val="20"/>
                <w:highlight w:val="none"/>
                <w:lang w:bidi="ar"/>
              </w:rPr>
              <w:t>安装工程</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jc w:val="left"/>
              <w:rPr>
                <w:rFonts w:ascii="仿宋" w:hAnsi="仿宋" w:eastAsia="仿宋" w:cs="仿宋"/>
                <w:color w:val="auto"/>
                <w:sz w:val="20"/>
                <w:szCs w:val="20"/>
                <w:highlight w:val="none"/>
              </w:rPr>
            </w:pP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jc w:val="left"/>
              <w:rPr>
                <w:rFonts w:ascii="仿宋" w:hAnsi="仿宋" w:eastAsia="仿宋" w:cs="仿宋"/>
                <w:color w:val="auto"/>
                <w:sz w:val="20"/>
                <w:szCs w:val="20"/>
                <w:highlight w:val="none"/>
              </w:rPr>
            </w:pP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jc w:val="left"/>
              <w:rPr>
                <w:rFonts w:ascii="仿宋" w:hAnsi="仿宋" w:eastAsia="仿宋" w:cs="仿宋"/>
                <w:color w:val="auto"/>
                <w:sz w:val="20"/>
                <w:szCs w:val="20"/>
                <w:highlight w:val="none"/>
              </w:rPr>
            </w:pPr>
          </w:p>
        </w:tc>
      </w:tr>
      <w:tr>
        <w:tblPrEx>
          <w:tblCellMar>
            <w:top w:w="0" w:type="dxa"/>
            <w:left w:w="108" w:type="dxa"/>
            <w:bottom w:w="0" w:type="dxa"/>
            <w:right w:w="108" w:type="dxa"/>
          </w:tblCellMar>
        </w:tblPrEx>
        <w:trPr>
          <w:trHeight w:val="25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hint="default" w:ascii="仿宋" w:hAnsi="仿宋" w:eastAsia="仿宋" w:cs="仿宋"/>
                <w:color w:val="auto"/>
                <w:sz w:val="20"/>
                <w:szCs w:val="20"/>
                <w:highlight w:val="none"/>
                <w:lang w:val="en-US" w:eastAsia="zh-CN"/>
              </w:rPr>
            </w:pPr>
            <w:r>
              <w:rPr>
                <w:rFonts w:hint="eastAsia" w:ascii="仿宋" w:hAnsi="仿宋" w:eastAsia="仿宋" w:cs="仿宋"/>
                <w:color w:val="auto"/>
                <w:kern w:val="0"/>
                <w:sz w:val="20"/>
                <w:szCs w:val="20"/>
                <w:highlight w:val="none"/>
                <w:lang w:bidi="ar"/>
              </w:rPr>
              <w:t>2</w:t>
            </w:r>
            <w:r>
              <w:rPr>
                <w:rFonts w:hint="eastAsia" w:ascii="仿宋" w:hAnsi="仿宋" w:eastAsia="仿宋" w:cs="仿宋"/>
                <w:color w:val="auto"/>
                <w:kern w:val="0"/>
                <w:sz w:val="20"/>
                <w:szCs w:val="20"/>
                <w:highlight w:val="none"/>
                <w:lang w:val="en-US" w:eastAsia="zh-CN" w:bidi="ar"/>
              </w:rPr>
              <w:t>09</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配电箱</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1.配电柜 含箱内元器件等，成套设备</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台</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w:t>
            </w:r>
          </w:p>
        </w:tc>
      </w:tr>
      <w:tr>
        <w:tblPrEx>
          <w:tblCellMar>
            <w:top w:w="0" w:type="dxa"/>
            <w:left w:w="108" w:type="dxa"/>
            <w:bottom w:w="0" w:type="dxa"/>
            <w:right w:w="108" w:type="dxa"/>
          </w:tblCellMar>
        </w:tblPrEx>
        <w:trPr>
          <w:trHeight w:val="25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hint="default" w:ascii="仿宋" w:hAnsi="仿宋" w:eastAsia="仿宋" w:cs="仿宋"/>
                <w:color w:val="auto"/>
                <w:sz w:val="20"/>
                <w:szCs w:val="20"/>
                <w:highlight w:val="none"/>
                <w:lang w:val="en-US" w:eastAsia="zh-CN"/>
              </w:rPr>
            </w:pPr>
            <w:r>
              <w:rPr>
                <w:rFonts w:hint="eastAsia" w:ascii="仿宋" w:hAnsi="仿宋" w:eastAsia="仿宋" w:cs="仿宋"/>
                <w:color w:val="auto"/>
                <w:kern w:val="0"/>
                <w:sz w:val="20"/>
                <w:szCs w:val="20"/>
                <w:highlight w:val="none"/>
                <w:lang w:bidi="ar"/>
              </w:rPr>
              <w:t>2</w:t>
            </w:r>
            <w:r>
              <w:rPr>
                <w:rFonts w:hint="eastAsia" w:ascii="仿宋" w:hAnsi="仿宋" w:eastAsia="仿宋" w:cs="仿宋"/>
                <w:color w:val="auto"/>
                <w:kern w:val="0"/>
                <w:sz w:val="20"/>
                <w:szCs w:val="20"/>
                <w:highlight w:val="none"/>
                <w:lang w:val="en-US" w:eastAsia="zh-CN" w:bidi="ar"/>
              </w:rPr>
              <w:t>10</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插座</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单相明插座电流(A)≤30</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个</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30</w:t>
            </w:r>
          </w:p>
        </w:tc>
      </w:tr>
      <w:tr>
        <w:tblPrEx>
          <w:tblCellMar>
            <w:top w:w="0" w:type="dxa"/>
            <w:left w:w="108" w:type="dxa"/>
            <w:bottom w:w="0" w:type="dxa"/>
            <w:right w:w="108" w:type="dxa"/>
          </w:tblCellMar>
        </w:tblPrEx>
        <w:trPr>
          <w:trHeight w:val="25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hint="default" w:ascii="仿宋" w:hAnsi="仿宋" w:eastAsia="仿宋" w:cs="仿宋"/>
                <w:color w:val="auto"/>
                <w:sz w:val="20"/>
                <w:szCs w:val="20"/>
                <w:highlight w:val="none"/>
                <w:lang w:val="en-US" w:eastAsia="zh-CN"/>
              </w:rPr>
            </w:pPr>
            <w:r>
              <w:rPr>
                <w:rFonts w:hint="eastAsia" w:ascii="仿宋" w:hAnsi="仿宋" w:eastAsia="仿宋" w:cs="仿宋"/>
                <w:color w:val="auto"/>
                <w:kern w:val="0"/>
                <w:sz w:val="20"/>
                <w:szCs w:val="20"/>
                <w:highlight w:val="none"/>
                <w:lang w:bidi="ar"/>
              </w:rPr>
              <w:t>2</w:t>
            </w:r>
            <w:r>
              <w:rPr>
                <w:rFonts w:hint="eastAsia" w:ascii="仿宋" w:hAnsi="仿宋" w:eastAsia="仿宋" w:cs="仿宋"/>
                <w:color w:val="auto"/>
                <w:kern w:val="0"/>
                <w:sz w:val="20"/>
                <w:szCs w:val="20"/>
                <w:highlight w:val="none"/>
                <w:lang w:val="en-US" w:eastAsia="zh-CN" w:bidi="ar"/>
              </w:rPr>
              <w:t>11</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照明开关</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1位单控开关 10A</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个</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4</w:t>
            </w:r>
          </w:p>
        </w:tc>
      </w:tr>
      <w:tr>
        <w:tblPrEx>
          <w:tblCellMar>
            <w:top w:w="0" w:type="dxa"/>
            <w:left w:w="108" w:type="dxa"/>
            <w:bottom w:w="0" w:type="dxa"/>
            <w:right w:w="108" w:type="dxa"/>
          </w:tblCellMar>
        </w:tblPrEx>
        <w:trPr>
          <w:trHeight w:val="49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hint="default" w:ascii="仿宋" w:hAnsi="仿宋" w:eastAsia="仿宋" w:cs="仿宋"/>
                <w:color w:val="auto"/>
                <w:sz w:val="20"/>
                <w:szCs w:val="20"/>
                <w:highlight w:val="none"/>
                <w:lang w:val="en-US" w:eastAsia="zh-CN"/>
              </w:rPr>
            </w:pPr>
            <w:r>
              <w:rPr>
                <w:rFonts w:hint="eastAsia" w:ascii="仿宋" w:hAnsi="仿宋" w:eastAsia="仿宋" w:cs="仿宋"/>
                <w:color w:val="auto"/>
                <w:kern w:val="0"/>
                <w:sz w:val="20"/>
                <w:szCs w:val="20"/>
                <w:highlight w:val="none"/>
                <w:lang w:bidi="ar"/>
              </w:rPr>
              <w:t>2</w:t>
            </w:r>
            <w:r>
              <w:rPr>
                <w:rFonts w:hint="eastAsia" w:ascii="仿宋" w:hAnsi="仿宋" w:eastAsia="仿宋" w:cs="仿宋"/>
                <w:color w:val="auto"/>
                <w:kern w:val="0"/>
                <w:sz w:val="20"/>
                <w:szCs w:val="20"/>
                <w:highlight w:val="none"/>
                <w:lang w:val="en-US" w:eastAsia="zh-CN" w:bidi="ar"/>
              </w:rPr>
              <w:t>12</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配管</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材质:砖、混凝土结构暗配钢管 JDG20（壁厚符合国标及设计规范要求）</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m</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462</w:t>
            </w:r>
          </w:p>
        </w:tc>
      </w:tr>
      <w:tr>
        <w:tblPrEx>
          <w:tblCellMar>
            <w:top w:w="0" w:type="dxa"/>
            <w:left w:w="108" w:type="dxa"/>
            <w:bottom w:w="0" w:type="dxa"/>
            <w:right w:w="108" w:type="dxa"/>
          </w:tblCellMar>
        </w:tblPrEx>
        <w:trPr>
          <w:trHeight w:val="73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hint="default" w:ascii="仿宋" w:hAnsi="仿宋" w:eastAsia="仿宋" w:cs="仿宋"/>
                <w:color w:val="auto"/>
                <w:sz w:val="20"/>
                <w:szCs w:val="20"/>
                <w:highlight w:val="none"/>
                <w:lang w:val="en-US" w:eastAsia="zh-CN"/>
              </w:rPr>
            </w:pPr>
            <w:r>
              <w:rPr>
                <w:rFonts w:hint="eastAsia" w:ascii="仿宋" w:hAnsi="仿宋" w:eastAsia="仿宋" w:cs="仿宋"/>
                <w:color w:val="auto"/>
                <w:kern w:val="0"/>
                <w:sz w:val="20"/>
                <w:szCs w:val="20"/>
                <w:highlight w:val="none"/>
                <w:lang w:bidi="ar"/>
              </w:rPr>
              <w:t>2</w:t>
            </w:r>
            <w:r>
              <w:rPr>
                <w:rFonts w:hint="eastAsia" w:ascii="仿宋" w:hAnsi="仿宋" w:eastAsia="仿宋" w:cs="仿宋"/>
                <w:color w:val="auto"/>
                <w:kern w:val="0"/>
                <w:sz w:val="20"/>
                <w:szCs w:val="20"/>
                <w:highlight w:val="none"/>
                <w:lang w:val="en-US" w:eastAsia="zh-CN" w:bidi="ar"/>
              </w:rPr>
              <w:t>13</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配线</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1.型号:4mm2</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2.规格:BV</w:t>
            </w:r>
          </w:p>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3.材质:铜</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m</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2460</w:t>
            </w:r>
          </w:p>
        </w:tc>
      </w:tr>
      <w:tr>
        <w:tblPrEx>
          <w:tblCellMar>
            <w:top w:w="0" w:type="dxa"/>
            <w:left w:w="108" w:type="dxa"/>
            <w:bottom w:w="0" w:type="dxa"/>
            <w:right w:w="108" w:type="dxa"/>
          </w:tblCellMar>
        </w:tblPrEx>
        <w:trPr>
          <w:trHeight w:val="73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hint="default" w:ascii="仿宋" w:hAnsi="仿宋" w:eastAsia="仿宋" w:cs="仿宋"/>
                <w:color w:val="auto"/>
                <w:sz w:val="20"/>
                <w:szCs w:val="20"/>
                <w:highlight w:val="none"/>
                <w:lang w:val="en-US" w:eastAsia="zh-CN"/>
              </w:rPr>
            </w:pPr>
            <w:r>
              <w:rPr>
                <w:rFonts w:hint="eastAsia" w:ascii="仿宋" w:hAnsi="仿宋" w:eastAsia="仿宋" w:cs="仿宋"/>
                <w:color w:val="auto"/>
                <w:kern w:val="0"/>
                <w:sz w:val="20"/>
                <w:szCs w:val="20"/>
                <w:highlight w:val="none"/>
                <w:lang w:bidi="ar"/>
              </w:rPr>
              <w:t>2</w:t>
            </w:r>
            <w:r>
              <w:rPr>
                <w:rFonts w:hint="eastAsia" w:ascii="仿宋" w:hAnsi="仿宋" w:eastAsia="仿宋" w:cs="仿宋"/>
                <w:color w:val="auto"/>
                <w:kern w:val="0"/>
                <w:sz w:val="20"/>
                <w:szCs w:val="20"/>
                <w:highlight w:val="none"/>
                <w:lang w:val="en-US" w:eastAsia="zh-CN" w:bidi="ar"/>
              </w:rPr>
              <w:t>14</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配线</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1.型号:2.5mm2</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2.规格:BV</w:t>
            </w:r>
          </w:p>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3.材质:铜</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m</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2240</w:t>
            </w:r>
          </w:p>
        </w:tc>
      </w:tr>
      <w:tr>
        <w:tblPrEx>
          <w:tblCellMar>
            <w:top w:w="0" w:type="dxa"/>
            <w:left w:w="108" w:type="dxa"/>
            <w:bottom w:w="0" w:type="dxa"/>
            <w:right w:w="108" w:type="dxa"/>
          </w:tblCellMar>
        </w:tblPrEx>
        <w:trPr>
          <w:trHeight w:val="25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hint="default" w:ascii="仿宋" w:hAnsi="仿宋" w:eastAsia="仿宋" w:cs="仿宋"/>
                <w:color w:val="auto"/>
                <w:sz w:val="20"/>
                <w:szCs w:val="20"/>
                <w:highlight w:val="none"/>
                <w:lang w:val="en-US" w:eastAsia="zh-CN"/>
              </w:rPr>
            </w:pPr>
            <w:r>
              <w:rPr>
                <w:rFonts w:hint="eastAsia" w:ascii="仿宋" w:hAnsi="仿宋" w:eastAsia="仿宋" w:cs="仿宋"/>
                <w:color w:val="auto"/>
                <w:kern w:val="0"/>
                <w:sz w:val="20"/>
                <w:szCs w:val="20"/>
                <w:highlight w:val="none"/>
                <w:lang w:bidi="ar"/>
              </w:rPr>
              <w:t>2</w:t>
            </w:r>
            <w:r>
              <w:rPr>
                <w:rFonts w:hint="eastAsia" w:ascii="仿宋" w:hAnsi="仿宋" w:eastAsia="仿宋" w:cs="仿宋"/>
                <w:color w:val="auto"/>
                <w:kern w:val="0"/>
                <w:sz w:val="20"/>
                <w:szCs w:val="20"/>
                <w:highlight w:val="none"/>
                <w:lang w:val="en-US" w:eastAsia="zh-CN" w:bidi="ar"/>
              </w:rPr>
              <w:t>15</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接线盒</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成品钢制接线盒</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个</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150</w:t>
            </w:r>
          </w:p>
        </w:tc>
      </w:tr>
      <w:tr>
        <w:tblPrEx>
          <w:tblCellMar>
            <w:top w:w="0" w:type="dxa"/>
            <w:left w:w="108" w:type="dxa"/>
            <w:bottom w:w="0" w:type="dxa"/>
            <w:right w:w="108" w:type="dxa"/>
          </w:tblCellMar>
        </w:tblPrEx>
        <w:trPr>
          <w:trHeight w:val="25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hint="default" w:ascii="仿宋" w:hAnsi="仿宋" w:eastAsia="仿宋" w:cs="仿宋"/>
                <w:color w:val="auto"/>
                <w:sz w:val="20"/>
                <w:szCs w:val="20"/>
                <w:highlight w:val="none"/>
                <w:lang w:val="en-US" w:eastAsia="zh-CN"/>
              </w:rPr>
            </w:pPr>
            <w:r>
              <w:rPr>
                <w:rFonts w:hint="eastAsia" w:ascii="仿宋" w:hAnsi="仿宋" w:eastAsia="仿宋" w:cs="仿宋"/>
                <w:color w:val="auto"/>
                <w:kern w:val="0"/>
                <w:sz w:val="20"/>
                <w:szCs w:val="20"/>
                <w:highlight w:val="none"/>
                <w:lang w:bidi="ar"/>
              </w:rPr>
              <w:t>2</w:t>
            </w:r>
            <w:r>
              <w:rPr>
                <w:rFonts w:hint="eastAsia" w:ascii="仿宋" w:hAnsi="仿宋" w:eastAsia="仿宋" w:cs="仿宋"/>
                <w:color w:val="auto"/>
                <w:kern w:val="0"/>
                <w:sz w:val="20"/>
                <w:szCs w:val="20"/>
                <w:highlight w:val="none"/>
                <w:lang w:val="en-US" w:eastAsia="zh-CN" w:bidi="ar"/>
              </w:rPr>
              <w:t>16</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应急灯具</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应急照明灯 A型灯具，TY-BLJC系列</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项</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w:t>
            </w:r>
          </w:p>
        </w:tc>
      </w:tr>
      <w:tr>
        <w:tblPrEx>
          <w:tblCellMar>
            <w:top w:w="0" w:type="dxa"/>
            <w:left w:w="108" w:type="dxa"/>
            <w:bottom w:w="0" w:type="dxa"/>
            <w:right w:w="108" w:type="dxa"/>
          </w:tblCellMar>
        </w:tblPrEx>
        <w:trPr>
          <w:trHeight w:val="121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hint="default" w:ascii="仿宋" w:hAnsi="仿宋" w:eastAsia="仿宋" w:cs="仿宋"/>
                <w:color w:val="auto"/>
                <w:sz w:val="20"/>
                <w:szCs w:val="20"/>
                <w:highlight w:val="none"/>
                <w:lang w:val="en-US" w:eastAsia="zh-CN"/>
              </w:rPr>
            </w:pPr>
            <w:r>
              <w:rPr>
                <w:rFonts w:hint="eastAsia" w:ascii="仿宋" w:hAnsi="仿宋" w:eastAsia="仿宋" w:cs="仿宋"/>
                <w:color w:val="auto"/>
                <w:kern w:val="0"/>
                <w:sz w:val="20"/>
                <w:szCs w:val="20"/>
                <w:highlight w:val="none"/>
                <w:lang w:bidi="ar"/>
              </w:rPr>
              <w:t>2</w:t>
            </w:r>
            <w:r>
              <w:rPr>
                <w:rFonts w:hint="eastAsia" w:ascii="仿宋" w:hAnsi="仿宋" w:eastAsia="仿宋" w:cs="仿宋"/>
                <w:color w:val="auto"/>
                <w:kern w:val="0"/>
                <w:sz w:val="20"/>
                <w:szCs w:val="20"/>
                <w:highlight w:val="none"/>
                <w:lang w:val="en-US" w:eastAsia="zh-CN" w:bidi="ar"/>
              </w:rPr>
              <w:t>17</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博物馆展览专用射灯滑轨</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1.名称:射灯滑轨</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2.规格:四线单回路轨道；</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3.要求:能直接安装主流国际、国内品牌的专业轨道射灯；</w:t>
            </w:r>
          </w:p>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4.安装方式:明装。</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m</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38</w:t>
            </w:r>
          </w:p>
        </w:tc>
      </w:tr>
      <w:tr>
        <w:tblPrEx>
          <w:tblCellMar>
            <w:top w:w="0" w:type="dxa"/>
            <w:left w:w="108" w:type="dxa"/>
            <w:bottom w:w="0" w:type="dxa"/>
            <w:right w:w="108" w:type="dxa"/>
          </w:tblCellMar>
        </w:tblPrEx>
        <w:trPr>
          <w:trHeight w:val="313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hint="default" w:ascii="仿宋" w:hAnsi="仿宋" w:eastAsia="仿宋" w:cs="仿宋"/>
                <w:color w:val="auto"/>
                <w:sz w:val="20"/>
                <w:szCs w:val="20"/>
                <w:highlight w:val="none"/>
                <w:lang w:val="en-US" w:eastAsia="zh-CN"/>
              </w:rPr>
            </w:pPr>
            <w:r>
              <w:rPr>
                <w:rFonts w:hint="eastAsia" w:ascii="仿宋" w:hAnsi="仿宋" w:eastAsia="仿宋" w:cs="仿宋"/>
                <w:color w:val="auto"/>
                <w:kern w:val="0"/>
                <w:sz w:val="20"/>
                <w:szCs w:val="20"/>
                <w:highlight w:val="none"/>
                <w:lang w:bidi="ar"/>
              </w:rPr>
              <w:t>2</w:t>
            </w:r>
            <w:r>
              <w:rPr>
                <w:rFonts w:hint="eastAsia" w:ascii="仿宋" w:hAnsi="仿宋" w:eastAsia="仿宋" w:cs="仿宋"/>
                <w:color w:val="auto"/>
                <w:kern w:val="0"/>
                <w:sz w:val="20"/>
                <w:szCs w:val="20"/>
                <w:highlight w:val="none"/>
                <w:lang w:val="en-US" w:eastAsia="zh-CN" w:bidi="ar"/>
              </w:rPr>
              <w:t>18</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展览馆专业射灯18W</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光源: LED</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功率: 18W</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光型和角度:6°(极小角度)/10°/20°/30°/WW</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色温: 4000K</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显色指数: CRI＞95，R9＞85</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色容差: ＜3</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颜色: 黑色/白色</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材质: 灯体压铸铝材质</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调节: 水平360°旋转，垂直90°旋转</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控制模式: 单灯调光</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配件：带遮光板，蜂窝网</w:t>
            </w:r>
          </w:p>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防眩角度：＞40°</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套</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5</w:t>
            </w:r>
          </w:p>
        </w:tc>
      </w:tr>
      <w:tr>
        <w:tblPrEx>
          <w:tblCellMar>
            <w:top w:w="0" w:type="dxa"/>
            <w:left w:w="108" w:type="dxa"/>
            <w:bottom w:w="0" w:type="dxa"/>
            <w:right w:w="108" w:type="dxa"/>
          </w:tblCellMar>
        </w:tblPrEx>
        <w:trPr>
          <w:trHeight w:val="313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hint="default" w:ascii="仿宋" w:hAnsi="仿宋" w:eastAsia="仿宋" w:cs="仿宋"/>
                <w:color w:val="auto"/>
                <w:sz w:val="20"/>
                <w:szCs w:val="20"/>
                <w:highlight w:val="none"/>
                <w:lang w:val="en-US" w:eastAsia="zh-CN"/>
              </w:rPr>
            </w:pPr>
            <w:r>
              <w:rPr>
                <w:rFonts w:hint="eastAsia" w:ascii="仿宋" w:hAnsi="仿宋" w:eastAsia="仿宋" w:cs="仿宋"/>
                <w:color w:val="auto"/>
                <w:kern w:val="0"/>
                <w:sz w:val="20"/>
                <w:szCs w:val="20"/>
                <w:highlight w:val="none"/>
                <w:lang w:val="en-US" w:eastAsia="zh-CN" w:bidi="ar"/>
              </w:rPr>
              <w:t>219</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展览馆专业射灯15w</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光源: LED</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功率: 15W</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光型和角度:6°(极小角度)/10°/20°/30°/WW</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色温: 4000K</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显色指数: CRI＞95，R9＞85</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色容差: ＜3</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颜色: 黑色/白色</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材质: 灯体压铸铝材质</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调节: 水平360°旋转，垂直90°旋转</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控制模式: 单灯调光</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配件：带遮光板，蜂窝网</w:t>
            </w:r>
          </w:p>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防眩角度：＞40°</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套</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85</w:t>
            </w:r>
          </w:p>
        </w:tc>
      </w:tr>
      <w:tr>
        <w:tblPrEx>
          <w:tblCellMar>
            <w:top w:w="0" w:type="dxa"/>
            <w:left w:w="108" w:type="dxa"/>
            <w:bottom w:w="0" w:type="dxa"/>
            <w:right w:w="108" w:type="dxa"/>
          </w:tblCellMar>
        </w:tblPrEx>
        <w:trPr>
          <w:trHeight w:val="313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hint="default" w:ascii="仿宋" w:hAnsi="仿宋" w:eastAsia="仿宋" w:cs="仿宋"/>
                <w:color w:val="auto"/>
                <w:sz w:val="20"/>
                <w:szCs w:val="20"/>
                <w:highlight w:val="none"/>
                <w:lang w:val="en-US" w:eastAsia="zh-CN"/>
              </w:rPr>
            </w:pPr>
            <w:r>
              <w:rPr>
                <w:rFonts w:hint="eastAsia" w:ascii="仿宋" w:hAnsi="仿宋" w:eastAsia="仿宋" w:cs="仿宋"/>
                <w:color w:val="auto"/>
                <w:kern w:val="0"/>
                <w:sz w:val="20"/>
                <w:szCs w:val="20"/>
                <w:highlight w:val="none"/>
                <w:lang w:bidi="ar"/>
              </w:rPr>
              <w:t>2</w:t>
            </w:r>
            <w:r>
              <w:rPr>
                <w:rFonts w:hint="eastAsia" w:ascii="仿宋" w:hAnsi="仿宋" w:eastAsia="仿宋" w:cs="仿宋"/>
                <w:color w:val="auto"/>
                <w:kern w:val="0"/>
                <w:sz w:val="20"/>
                <w:szCs w:val="20"/>
                <w:highlight w:val="none"/>
                <w:lang w:val="en-US" w:eastAsia="zh-CN" w:bidi="ar"/>
              </w:rPr>
              <w:t>20</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展览馆专业射灯8w</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光源: LED</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功率: 8W</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光型和角度:6°(极小角度)/10°/20°/30°/WW</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色温: 4000K</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显色指数: CRI＞95，R9＞85</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色容差: ＜3</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颜色: 黑色/白色</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材质: 灯体压铸铝材质</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调节: 水平360°旋转，垂直90°旋转</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控制模式: 单灯调光</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配件：带遮光板，蜂窝网</w:t>
            </w:r>
          </w:p>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防眩角度：＞40°</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套</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45</w:t>
            </w:r>
          </w:p>
        </w:tc>
      </w:tr>
      <w:tr>
        <w:tblPrEx>
          <w:tblCellMar>
            <w:top w:w="0" w:type="dxa"/>
            <w:left w:w="108" w:type="dxa"/>
            <w:bottom w:w="0" w:type="dxa"/>
            <w:right w:w="108" w:type="dxa"/>
          </w:tblCellMar>
        </w:tblPrEx>
        <w:trPr>
          <w:trHeight w:val="145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hint="default" w:ascii="仿宋" w:hAnsi="仿宋" w:eastAsia="仿宋" w:cs="仿宋"/>
                <w:color w:val="auto"/>
                <w:sz w:val="20"/>
                <w:szCs w:val="20"/>
                <w:highlight w:val="none"/>
                <w:lang w:val="en-US" w:eastAsia="zh-CN"/>
              </w:rPr>
            </w:pPr>
            <w:r>
              <w:rPr>
                <w:rFonts w:hint="eastAsia" w:ascii="仿宋" w:hAnsi="仿宋" w:eastAsia="仿宋" w:cs="仿宋"/>
                <w:color w:val="auto"/>
                <w:kern w:val="0"/>
                <w:sz w:val="20"/>
                <w:szCs w:val="20"/>
                <w:highlight w:val="none"/>
                <w:lang w:bidi="ar"/>
              </w:rPr>
              <w:t>2</w:t>
            </w:r>
            <w:r>
              <w:rPr>
                <w:rFonts w:hint="eastAsia" w:ascii="仿宋" w:hAnsi="仿宋" w:eastAsia="仿宋" w:cs="仿宋"/>
                <w:color w:val="auto"/>
                <w:kern w:val="0"/>
                <w:sz w:val="20"/>
                <w:szCs w:val="20"/>
                <w:highlight w:val="none"/>
                <w:lang w:val="en-US" w:eastAsia="zh-CN" w:bidi="ar"/>
              </w:rPr>
              <w:t>21</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装饰灯</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1.名称:筒灯</w:t>
            </w:r>
          </w:p>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2.规格:18W；色温4000K；光束角：50度；材质：电镀白色；供电电压：220-240V、供电频率：50-60HZ；50000小时； CRI&gt;93,光通量：1800 lm；开孔：110MM、直径：130MM、光学配置：柔光反射器</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套</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22</w:t>
            </w:r>
          </w:p>
        </w:tc>
      </w:tr>
      <w:tr>
        <w:tblPrEx>
          <w:tblCellMar>
            <w:top w:w="0" w:type="dxa"/>
            <w:left w:w="108" w:type="dxa"/>
            <w:bottom w:w="0" w:type="dxa"/>
            <w:right w:w="108" w:type="dxa"/>
          </w:tblCellMar>
        </w:tblPrEx>
        <w:trPr>
          <w:trHeight w:val="121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hint="default" w:ascii="仿宋" w:hAnsi="仿宋" w:eastAsia="仿宋" w:cs="仿宋"/>
                <w:color w:val="auto"/>
                <w:sz w:val="20"/>
                <w:szCs w:val="20"/>
                <w:highlight w:val="none"/>
                <w:lang w:val="en-US" w:eastAsia="zh-CN"/>
              </w:rPr>
            </w:pPr>
            <w:r>
              <w:rPr>
                <w:rFonts w:hint="eastAsia" w:ascii="仿宋" w:hAnsi="仿宋" w:eastAsia="仿宋" w:cs="仿宋"/>
                <w:color w:val="auto"/>
                <w:kern w:val="0"/>
                <w:sz w:val="20"/>
                <w:szCs w:val="20"/>
                <w:highlight w:val="none"/>
                <w:lang w:bidi="ar"/>
              </w:rPr>
              <w:t>2</w:t>
            </w:r>
            <w:r>
              <w:rPr>
                <w:rFonts w:hint="eastAsia" w:ascii="仿宋" w:hAnsi="仿宋" w:eastAsia="仿宋" w:cs="仿宋"/>
                <w:color w:val="auto"/>
                <w:kern w:val="0"/>
                <w:sz w:val="20"/>
                <w:szCs w:val="20"/>
                <w:highlight w:val="none"/>
                <w:lang w:val="en-US" w:eastAsia="zh-CN" w:bidi="ar"/>
              </w:rPr>
              <w:t>22</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空调器（格力）</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1.名称:壁挂机</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2.型号:制冷量\制热量1.5p变频</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3.电源:220V</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4.安装形式:墙体安装</w:t>
            </w:r>
          </w:p>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5.包含配件、冷媒管橡塑保温及辅材</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台</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2</w:t>
            </w:r>
          </w:p>
        </w:tc>
      </w:tr>
      <w:tr>
        <w:tblPrEx>
          <w:tblCellMar>
            <w:top w:w="0" w:type="dxa"/>
            <w:left w:w="108" w:type="dxa"/>
            <w:bottom w:w="0" w:type="dxa"/>
            <w:right w:w="108" w:type="dxa"/>
          </w:tblCellMar>
        </w:tblPrEx>
        <w:trPr>
          <w:trHeight w:val="121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hint="default" w:ascii="仿宋" w:hAnsi="仿宋" w:eastAsia="仿宋" w:cs="仿宋"/>
                <w:color w:val="auto"/>
                <w:sz w:val="20"/>
                <w:szCs w:val="20"/>
                <w:highlight w:val="none"/>
                <w:lang w:val="en-US" w:eastAsia="zh-CN"/>
              </w:rPr>
            </w:pPr>
            <w:r>
              <w:rPr>
                <w:rFonts w:hint="eastAsia" w:ascii="仿宋" w:hAnsi="仿宋" w:eastAsia="仿宋" w:cs="仿宋"/>
                <w:color w:val="auto"/>
                <w:kern w:val="0"/>
                <w:sz w:val="20"/>
                <w:szCs w:val="20"/>
                <w:highlight w:val="none"/>
                <w:lang w:bidi="ar"/>
              </w:rPr>
              <w:t>2</w:t>
            </w:r>
            <w:r>
              <w:rPr>
                <w:rFonts w:hint="eastAsia" w:ascii="仿宋" w:hAnsi="仿宋" w:eastAsia="仿宋" w:cs="仿宋"/>
                <w:color w:val="auto"/>
                <w:kern w:val="0"/>
                <w:sz w:val="20"/>
                <w:szCs w:val="20"/>
                <w:highlight w:val="none"/>
                <w:lang w:val="en-US" w:eastAsia="zh-CN" w:bidi="ar"/>
              </w:rPr>
              <w:t>23</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空调器（格力）</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1.名称:立柜式</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2.型号:制冷量\制热量3p变频</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3.电源:220V</w:t>
            </w:r>
          </w:p>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4.安装形式:墙体安装</w:t>
            </w:r>
          </w:p>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5.包含配件、冷媒管橡塑保温及辅材</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台</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3</w:t>
            </w:r>
          </w:p>
        </w:tc>
      </w:tr>
      <w:tr>
        <w:tblPrEx>
          <w:tblCellMar>
            <w:top w:w="0" w:type="dxa"/>
            <w:left w:w="108" w:type="dxa"/>
            <w:bottom w:w="0" w:type="dxa"/>
            <w:right w:w="108" w:type="dxa"/>
          </w:tblCellMar>
        </w:tblPrEx>
        <w:trPr>
          <w:trHeight w:val="25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hint="default" w:ascii="仿宋" w:hAnsi="仿宋" w:eastAsia="仿宋" w:cs="仿宋"/>
                <w:color w:val="auto"/>
                <w:sz w:val="20"/>
                <w:szCs w:val="20"/>
                <w:highlight w:val="none"/>
                <w:lang w:val="en-US" w:eastAsia="zh-CN"/>
              </w:rPr>
            </w:pPr>
            <w:r>
              <w:rPr>
                <w:rFonts w:hint="eastAsia" w:ascii="仿宋" w:hAnsi="仿宋" w:eastAsia="仿宋" w:cs="仿宋"/>
                <w:color w:val="auto"/>
                <w:kern w:val="0"/>
                <w:sz w:val="20"/>
                <w:szCs w:val="20"/>
                <w:highlight w:val="none"/>
                <w:lang w:bidi="ar"/>
              </w:rPr>
              <w:t>2</w:t>
            </w:r>
            <w:r>
              <w:rPr>
                <w:rFonts w:hint="eastAsia" w:ascii="仿宋" w:hAnsi="仿宋" w:eastAsia="仿宋" w:cs="仿宋"/>
                <w:color w:val="auto"/>
                <w:kern w:val="0"/>
                <w:sz w:val="20"/>
                <w:szCs w:val="20"/>
                <w:highlight w:val="none"/>
                <w:lang w:val="en-US" w:eastAsia="zh-CN" w:bidi="ar"/>
              </w:rPr>
              <w:t>24</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电缆线</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1.YKV-3*10</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m</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34</w:t>
            </w:r>
          </w:p>
        </w:tc>
      </w:tr>
      <w:tr>
        <w:tblPrEx>
          <w:tblCellMar>
            <w:top w:w="0" w:type="dxa"/>
            <w:left w:w="108" w:type="dxa"/>
            <w:bottom w:w="0" w:type="dxa"/>
            <w:right w:w="108" w:type="dxa"/>
          </w:tblCellMar>
        </w:tblPrEx>
        <w:trPr>
          <w:trHeight w:val="73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hint="default" w:ascii="仿宋" w:hAnsi="仿宋" w:eastAsia="仿宋" w:cs="仿宋"/>
                <w:color w:val="auto"/>
                <w:sz w:val="20"/>
                <w:szCs w:val="20"/>
                <w:highlight w:val="none"/>
                <w:lang w:val="en-US" w:eastAsia="zh-CN"/>
              </w:rPr>
            </w:pPr>
            <w:r>
              <w:rPr>
                <w:rFonts w:hint="eastAsia" w:ascii="仿宋" w:hAnsi="仿宋" w:eastAsia="仿宋" w:cs="仿宋"/>
                <w:color w:val="auto"/>
                <w:kern w:val="0"/>
                <w:sz w:val="20"/>
                <w:szCs w:val="20"/>
                <w:highlight w:val="none"/>
                <w:lang w:bidi="ar"/>
              </w:rPr>
              <w:t>2</w:t>
            </w:r>
            <w:r>
              <w:rPr>
                <w:rFonts w:hint="eastAsia" w:ascii="仿宋" w:hAnsi="仿宋" w:eastAsia="仿宋" w:cs="仿宋"/>
                <w:color w:val="auto"/>
                <w:kern w:val="0"/>
                <w:sz w:val="20"/>
                <w:szCs w:val="20"/>
                <w:highlight w:val="none"/>
                <w:lang w:val="en-US" w:eastAsia="zh-CN" w:bidi="ar"/>
              </w:rPr>
              <w:t>25</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不锈钢支架</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1.制冷量&gt;5000W的挂机安装支架</w:t>
            </w:r>
          </w:p>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2、安装支架包含有膨胀螺栓（10*100mm6-8个）</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副</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2</w:t>
            </w:r>
          </w:p>
        </w:tc>
      </w:tr>
      <w:tr>
        <w:tblPrEx>
          <w:tblCellMar>
            <w:top w:w="0" w:type="dxa"/>
            <w:left w:w="108" w:type="dxa"/>
            <w:bottom w:w="0" w:type="dxa"/>
            <w:right w:w="108" w:type="dxa"/>
          </w:tblCellMar>
        </w:tblPrEx>
        <w:trPr>
          <w:trHeight w:val="73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hint="eastAsia" w:ascii="仿宋" w:hAnsi="仿宋" w:eastAsia="仿宋" w:cs="仿宋"/>
                <w:color w:val="auto"/>
                <w:sz w:val="20"/>
                <w:szCs w:val="20"/>
                <w:highlight w:val="none"/>
                <w:lang w:val="en-US" w:eastAsia="zh-CN"/>
              </w:rPr>
            </w:pPr>
            <w:r>
              <w:rPr>
                <w:rFonts w:hint="eastAsia" w:ascii="仿宋" w:hAnsi="仿宋" w:eastAsia="仿宋" w:cs="仿宋"/>
                <w:color w:val="auto"/>
                <w:kern w:val="0"/>
                <w:sz w:val="20"/>
                <w:szCs w:val="20"/>
                <w:highlight w:val="none"/>
                <w:lang w:bidi="ar"/>
              </w:rPr>
              <w:t>22</w:t>
            </w:r>
            <w:r>
              <w:rPr>
                <w:rFonts w:hint="eastAsia" w:ascii="仿宋" w:hAnsi="仿宋" w:eastAsia="仿宋" w:cs="仿宋"/>
                <w:color w:val="auto"/>
                <w:kern w:val="0"/>
                <w:sz w:val="20"/>
                <w:szCs w:val="20"/>
                <w:highlight w:val="none"/>
                <w:lang w:val="en-US" w:eastAsia="zh-CN" w:bidi="ar"/>
              </w:rPr>
              <w:t>6</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不锈钢支架</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bidi="ar"/>
              </w:rPr>
              <w:t>1.制冷量&gt;5000W的壁挂安装支架</w:t>
            </w:r>
          </w:p>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2、安装支架包含有膨胀螺栓（10*100mm6-8个）</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副</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3</w:t>
            </w:r>
          </w:p>
        </w:tc>
      </w:tr>
      <w:tr>
        <w:tblPrEx>
          <w:tblCellMar>
            <w:top w:w="0" w:type="dxa"/>
            <w:left w:w="108" w:type="dxa"/>
            <w:bottom w:w="0" w:type="dxa"/>
            <w:right w:w="108" w:type="dxa"/>
          </w:tblCellMar>
        </w:tblPrEx>
        <w:trPr>
          <w:trHeight w:val="25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hint="eastAsia" w:ascii="仿宋" w:hAnsi="仿宋" w:eastAsia="仿宋" w:cs="仿宋"/>
                <w:color w:val="auto"/>
                <w:sz w:val="20"/>
                <w:szCs w:val="20"/>
                <w:highlight w:val="none"/>
                <w:lang w:val="en-US" w:eastAsia="zh-CN"/>
              </w:rPr>
            </w:pPr>
            <w:r>
              <w:rPr>
                <w:rFonts w:hint="eastAsia" w:ascii="仿宋" w:hAnsi="仿宋" w:eastAsia="仿宋" w:cs="仿宋"/>
                <w:color w:val="auto"/>
                <w:kern w:val="0"/>
                <w:sz w:val="20"/>
                <w:szCs w:val="20"/>
                <w:highlight w:val="none"/>
                <w:lang w:bidi="ar"/>
              </w:rPr>
              <w:t>22</w:t>
            </w:r>
            <w:r>
              <w:rPr>
                <w:rFonts w:hint="eastAsia" w:ascii="仿宋" w:hAnsi="仿宋" w:eastAsia="仿宋" w:cs="仿宋"/>
                <w:color w:val="auto"/>
                <w:kern w:val="0"/>
                <w:sz w:val="20"/>
                <w:szCs w:val="20"/>
                <w:highlight w:val="none"/>
                <w:lang w:val="en-US" w:eastAsia="zh-CN" w:bidi="ar"/>
              </w:rPr>
              <w:t>7</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铜管</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1、铜管9.5</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m</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25</w:t>
            </w:r>
          </w:p>
        </w:tc>
      </w:tr>
      <w:tr>
        <w:tblPrEx>
          <w:tblCellMar>
            <w:top w:w="0" w:type="dxa"/>
            <w:left w:w="108" w:type="dxa"/>
            <w:bottom w:w="0" w:type="dxa"/>
            <w:right w:w="108" w:type="dxa"/>
          </w:tblCellMar>
        </w:tblPrEx>
        <w:trPr>
          <w:trHeight w:val="25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hint="eastAsia" w:ascii="仿宋" w:hAnsi="仿宋" w:eastAsia="仿宋" w:cs="仿宋"/>
                <w:color w:val="auto"/>
                <w:sz w:val="20"/>
                <w:szCs w:val="20"/>
                <w:highlight w:val="none"/>
                <w:lang w:val="en-US" w:eastAsia="zh-CN"/>
              </w:rPr>
            </w:pPr>
            <w:r>
              <w:rPr>
                <w:rFonts w:hint="eastAsia" w:ascii="仿宋" w:hAnsi="仿宋" w:eastAsia="仿宋" w:cs="仿宋"/>
                <w:color w:val="auto"/>
                <w:kern w:val="0"/>
                <w:sz w:val="20"/>
                <w:szCs w:val="20"/>
                <w:highlight w:val="none"/>
                <w:lang w:bidi="ar"/>
              </w:rPr>
              <w:t>22</w:t>
            </w:r>
            <w:r>
              <w:rPr>
                <w:rFonts w:hint="eastAsia" w:ascii="仿宋" w:hAnsi="仿宋" w:eastAsia="仿宋" w:cs="仿宋"/>
                <w:color w:val="auto"/>
                <w:kern w:val="0"/>
                <w:sz w:val="20"/>
                <w:szCs w:val="20"/>
                <w:highlight w:val="none"/>
                <w:lang w:val="en-US" w:eastAsia="zh-CN" w:bidi="ar"/>
              </w:rPr>
              <w:t>8</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空调内外机安装人工费</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1.安装空调费用</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台</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5</w:t>
            </w:r>
          </w:p>
        </w:tc>
      </w:tr>
      <w:tr>
        <w:tblPrEx>
          <w:tblCellMar>
            <w:top w:w="0" w:type="dxa"/>
            <w:left w:w="108" w:type="dxa"/>
            <w:bottom w:w="0" w:type="dxa"/>
            <w:right w:w="108" w:type="dxa"/>
          </w:tblCellMar>
        </w:tblPrEx>
        <w:trPr>
          <w:trHeight w:val="25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jc w:val="right"/>
              <w:rPr>
                <w:rFonts w:ascii="仿宋" w:hAnsi="仿宋" w:eastAsia="仿宋" w:cs="仿宋"/>
                <w:color w:val="auto"/>
                <w:sz w:val="20"/>
                <w:szCs w:val="20"/>
                <w:highlight w:val="none"/>
              </w:rPr>
            </w:pP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b/>
                <w:bCs/>
                <w:color w:val="auto"/>
                <w:sz w:val="20"/>
                <w:szCs w:val="20"/>
                <w:highlight w:val="none"/>
              </w:rPr>
            </w:pPr>
            <w:r>
              <w:rPr>
                <w:rFonts w:hint="eastAsia" w:ascii="仿宋" w:hAnsi="仿宋" w:eastAsia="仿宋" w:cs="仿宋"/>
                <w:b/>
                <w:bCs/>
                <w:color w:val="auto"/>
                <w:kern w:val="0"/>
                <w:sz w:val="20"/>
                <w:szCs w:val="20"/>
                <w:highlight w:val="none"/>
                <w:lang w:bidi="ar"/>
              </w:rPr>
              <w:t>方案深化费</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jc w:val="left"/>
              <w:rPr>
                <w:rFonts w:ascii="仿宋" w:hAnsi="仿宋" w:eastAsia="仿宋" w:cs="仿宋"/>
                <w:color w:val="auto"/>
                <w:sz w:val="20"/>
                <w:szCs w:val="20"/>
                <w:highlight w:val="none"/>
              </w:rPr>
            </w:pP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jc w:val="left"/>
              <w:rPr>
                <w:rFonts w:ascii="仿宋" w:hAnsi="仿宋" w:eastAsia="仿宋" w:cs="仿宋"/>
                <w:color w:val="auto"/>
                <w:sz w:val="20"/>
                <w:szCs w:val="20"/>
                <w:highlight w:val="none"/>
              </w:rPr>
            </w:pP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jc w:val="left"/>
              <w:rPr>
                <w:rFonts w:ascii="仿宋" w:hAnsi="仿宋" w:eastAsia="仿宋" w:cs="仿宋"/>
                <w:color w:val="auto"/>
                <w:sz w:val="20"/>
                <w:szCs w:val="20"/>
                <w:highlight w:val="none"/>
              </w:rPr>
            </w:pPr>
          </w:p>
        </w:tc>
      </w:tr>
      <w:tr>
        <w:tblPrEx>
          <w:tblCellMar>
            <w:top w:w="0" w:type="dxa"/>
            <w:left w:w="108" w:type="dxa"/>
            <w:bottom w:w="0" w:type="dxa"/>
            <w:right w:w="108" w:type="dxa"/>
          </w:tblCellMar>
        </w:tblPrEx>
        <w:trPr>
          <w:trHeight w:val="25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hint="default" w:ascii="仿宋" w:hAnsi="仿宋" w:eastAsia="仿宋" w:cs="仿宋"/>
                <w:color w:val="auto"/>
                <w:sz w:val="20"/>
                <w:szCs w:val="20"/>
                <w:highlight w:val="none"/>
                <w:lang w:val="en-US" w:eastAsia="zh-CN"/>
              </w:rPr>
            </w:pPr>
            <w:r>
              <w:rPr>
                <w:rFonts w:hint="eastAsia" w:ascii="仿宋" w:hAnsi="仿宋" w:eastAsia="仿宋" w:cs="仿宋"/>
                <w:color w:val="auto"/>
                <w:kern w:val="0"/>
                <w:sz w:val="20"/>
                <w:szCs w:val="20"/>
                <w:highlight w:val="none"/>
                <w:lang w:bidi="ar"/>
              </w:rPr>
              <w:t>2</w:t>
            </w:r>
            <w:r>
              <w:rPr>
                <w:rFonts w:hint="eastAsia" w:ascii="仿宋" w:hAnsi="仿宋" w:eastAsia="仿宋" w:cs="仿宋"/>
                <w:color w:val="auto"/>
                <w:kern w:val="0"/>
                <w:sz w:val="20"/>
                <w:szCs w:val="20"/>
                <w:highlight w:val="none"/>
                <w:lang w:val="en-US" w:eastAsia="zh-CN" w:bidi="ar"/>
              </w:rPr>
              <w:t>29</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方案深化费</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1.设计费</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项</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w:t>
            </w:r>
          </w:p>
        </w:tc>
      </w:tr>
      <w:tr>
        <w:tblPrEx>
          <w:tblCellMar>
            <w:top w:w="0" w:type="dxa"/>
            <w:left w:w="108" w:type="dxa"/>
            <w:bottom w:w="0" w:type="dxa"/>
            <w:right w:w="108" w:type="dxa"/>
          </w:tblCellMar>
        </w:tblPrEx>
        <w:trPr>
          <w:trHeight w:val="25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jc w:val="right"/>
              <w:rPr>
                <w:rFonts w:ascii="仿宋" w:hAnsi="仿宋" w:eastAsia="仿宋" w:cs="仿宋"/>
                <w:color w:val="auto"/>
                <w:sz w:val="20"/>
                <w:szCs w:val="20"/>
                <w:highlight w:val="none"/>
              </w:rPr>
            </w:pP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b/>
                <w:bCs/>
                <w:color w:val="auto"/>
                <w:sz w:val="20"/>
                <w:szCs w:val="20"/>
                <w:highlight w:val="none"/>
              </w:rPr>
            </w:pPr>
            <w:r>
              <w:rPr>
                <w:rFonts w:hint="eastAsia" w:ascii="仿宋" w:hAnsi="仿宋" w:eastAsia="仿宋" w:cs="仿宋"/>
                <w:b/>
                <w:bCs/>
                <w:color w:val="auto"/>
                <w:kern w:val="0"/>
                <w:sz w:val="20"/>
                <w:szCs w:val="20"/>
                <w:highlight w:val="none"/>
                <w:lang w:bidi="ar"/>
              </w:rPr>
              <w:t>文物收集费</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jc w:val="left"/>
              <w:rPr>
                <w:rFonts w:ascii="仿宋" w:hAnsi="仿宋" w:eastAsia="仿宋" w:cs="仿宋"/>
                <w:color w:val="auto"/>
                <w:sz w:val="20"/>
                <w:szCs w:val="20"/>
                <w:highlight w:val="none"/>
              </w:rPr>
            </w:pP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jc w:val="left"/>
              <w:rPr>
                <w:rFonts w:ascii="仿宋" w:hAnsi="仿宋" w:eastAsia="仿宋" w:cs="仿宋"/>
                <w:color w:val="auto"/>
                <w:sz w:val="20"/>
                <w:szCs w:val="20"/>
                <w:highlight w:val="none"/>
              </w:rPr>
            </w:pP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jc w:val="left"/>
              <w:rPr>
                <w:rFonts w:ascii="仿宋" w:hAnsi="仿宋" w:eastAsia="仿宋" w:cs="仿宋"/>
                <w:color w:val="auto"/>
                <w:sz w:val="20"/>
                <w:szCs w:val="20"/>
                <w:highlight w:val="none"/>
              </w:rPr>
            </w:pPr>
          </w:p>
        </w:tc>
      </w:tr>
      <w:tr>
        <w:tblPrEx>
          <w:tblCellMar>
            <w:top w:w="0" w:type="dxa"/>
            <w:left w:w="108" w:type="dxa"/>
            <w:bottom w:w="0" w:type="dxa"/>
            <w:right w:w="108" w:type="dxa"/>
          </w:tblCellMar>
        </w:tblPrEx>
        <w:trPr>
          <w:trHeight w:val="25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hint="default" w:ascii="仿宋" w:hAnsi="仿宋" w:eastAsia="仿宋" w:cs="仿宋"/>
                <w:color w:val="auto"/>
                <w:sz w:val="20"/>
                <w:szCs w:val="20"/>
                <w:highlight w:val="none"/>
                <w:lang w:val="en-US" w:eastAsia="zh-CN"/>
              </w:rPr>
            </w:pPr>
            <w:r>
              <w:rPr>
                <w:rFonts w:hint="eastAsia" w:ascii="仿宋" w:hAnsi="仿宋" w:eastAsia="仿宋" w:cs="仿宋"/>
                <w:color w:val="auto"/>
                <w:kern w:val="0"/>
                <w:sz w:val="20"/>
                <w:szCs w:val="20"/>
                <w:highlight w:val="none"/>
                <w:lang w:bidi="ar"/>
              </w:rPr>
              <w:t>2</w:t>
            </w:r>
            <w:r>
              <w:rPr>
                <w:rFonts w:hint="eastAsia" w:ascii="仿宋" w:hAnsi="仿宋" w:eastAsia="仿宋" w:cs="仿宋"/>
                <w:color w:val="auto"/>
                <w:kern w:val="0"/>
                <w:sz w:val="20"/>
                <w:szCs w:val="20"/>
                <w:highlight w:val="none"/>
                <w:lang w:val="en-US" w:eastAsia="zh-CN" w:bidi="ar"/>
              </w:rPr>
              <w:t>30</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文物收集费</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1.文物收集费</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项</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w:t>
            </w:r>
          </w:p>
        </w:tc>
      </w:tr>
      <w:tr>
        <w:tblPrEx>
          <w:tblCellMar>
            <w:top w:w="0" w:type="dxa"/>
            <w:left w:w="108" w:type="dxa"/>
            <w:bottom w:w="0" w:type="dxa"/>
            <w:right w:w="108" w:type="dxa"/>
          </w:tblCellMar>
        </w:tblPrEx>
        <w:trPr>
          <w:trHeight w:val="25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jc w:val="right"/>
              <w:rPr>
                <w:rFonts w:ascii="仿宋" w:hAnsi="仿宋" w:eastAsia="仿宋" w:cs="仿宋"/>
                <w:color w:val="auto"/>
                <w:sz w:val="20"/>
                <w:szCs w:val="20"/>
                <w:highlight w:val="none"/>
              </w:rPr>
            </w:pP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b/>
                <w:bCs/>
                <w:color w:val="auto"/>
                <w:sz w:val="20"/>
                <w:szCs w:val="20"/>
                <w:highlight w:val="none"/>
              </w:rPr>
            </w:pPr>
            <w:r>
              <w:rPr>
                <w:rFonts w:hint="eastAsia" w:ascii="仿宋" w:hAnsi="仿宋" w:eastAsia="仿宋" w:cs="仿宋"/>
                <w:b/>
                <w:bCs/>
                <w:color w:val="auto"/>
                <w:kern w:val="0"/>
                <w:sz w:val="20"/>
                <w:szCs w:val="20"/>
                <w:highlight w:val="none"/>
                <w:lang w:bidi="ar"/>
              </w:rPr>
              <w:t>陈列布展费</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jc w:val="left"/>
              <w:rPr>
                <w:rFonts w:ascii="仿宋" w:hAnsi="仿宋" w:eastAsia="仿宋" w:cs="仿宋"/>
                <w:color w:val="auto"/>
                <w:sz w:val="20"/>
                <w:szCs w:val="20"/>
                <w:highlight w:val="none"/>
              </w:rPr>
            </w:pP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jc w:val="left"/>
              <w:rPr>
                <w:rFonts w:ascii="仿宋" w:hAnsi="仿宋" w:eastAsia="仿宋" w:cs="仿宋"/>
                <w:color w:val="auto"/>
                <w:sz w:val="20"/>
                <w:szCs w:val="20"/>
                <w:highlight w:val="none"/>
              </w:rPr>
            </w:pP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jc w:val="left"/>
              <w:rPr>
                <w:rFonts w:ascii="仿宋" w:hAnsi="仿宋" w:eastAsia="仿宋" w:cs="仿宋"/>
                <w:color w:val="auto"/>
                <w:sz w:val="20"/>
                <w:szCs w:val="20"/>
                <w:highlight w:val="none"/>
              </w:rPr>
            </w:pPr>
          </w:p>
        </w:tc>
      </w:tr>
      <w:tr>
        <w:tblPrEx>
          <w:tblCellMar>
            <w:top w:w="0" w:type="dxa"/>
            <w:left w:w="108" w:type="dxa"/>
            <w:bottom w:w="0" w:type="dxa"/>
            <w:right w:w="108" w:type="dxa"/>
          </w:tblCellMar>
        </w:tblPrEx>
        <w:trPr>
          <w:trHeight w:val="25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hint="default" w:ascii="仿宋" w:hAnsi="仿宋" w:eastAsia="仿宋" w:cs="仿宋"/>
                <w:color w:val="auto"/>
                <w:sz w:val="20"/>
                <w:szCs w:val="20"/>
                <w:highlight w:val="none"/>
                <w:lang w:val="en-US" w:eastAsia="zh-CN"/>
              </w:rPr>
            </w:pPr>
            <w:r>
              <w:rPr>
                <w:rFonts w:hint="eastAsia" w:ascii="仿宋" w:hAnsi="仿宋" w:eastAsia="仿宋" w:cs="仿宋"/>
                <w:color w:val="auto"/>
                <w:kern w:val="0"/>
                <w:sz w:val="20"/>
                <w:szCs w:val="20"/>
                <w:highlight w:val="none"/>
                <w:lang w:bidi="ar"/>
              </w:rPr>
              <w:t>2</w:t>
            </w:r>
            <w:r>
              <w:rPr>
                <w:rFonts w:hint="eastAsia" w:ascii="仿宋" w:hAnsi="仿宋" w:eastAsia="仿宋" w:cs="仿宋"/>
                <w:color w:val="auto"/>
                <w:kern w:val="0"/>
                <w:sz w:val="20"/>
                <w:szCs w:val="20"/>
                <w:highlight w:val="none"/>
                <w:lang w:val="en-US" w:eastAsia="zh-CN" w:bidi="ar"/>
              </w:rPr>
              <w:t>31</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陈列布展费</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1.陈列布展费</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项</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w:t>
            </w:r>
          </w:p>
        </w:tc>
      </w:tr>
      <w:tr>
        <w:tblPrEx>
          <w:tblCellMar>
            <w:top w:w="0" w:type="dxa"/>
            <w:left w:w="108" w:type="dxa"/>
            <w:bottom w:w="0" w:type="dxa"/>
            <w:right w:w="108" w:type="dxa"/>
          </w:tblCellMar>
        </w:tblPrEx>
        <w:trPr>
          <w:trHeight w:val="25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jc w:val="right"/>
              <w:rPr>
                <w:rFonts w:ascii="仿宋" w:hAnsi="仿宋" w:eastAsia="仿宋" w:cs="仿宋"/>
                <w:color w:val="auto"/>
                <w:sz w:val="20"/>
                <w:szCs w:val="20"/>
                <w:highlight w:val="none"/>
              </w:rPr>
            </w:pP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b/>
                <w:bCs/>
                <w:color w:val="auto"/>
                <w:sz w:val="20"/>
                <w:szCs w:val="20"/>
                <w:highlight w:val="none"/>
              </w:rPr>
            </w:pPr>
            <w:r>
              <w:rPr>
                <w:rFonts w:hint="eastAsia" w:ascii="仿宋" w:hAnsi="仿宋" w:eastAsia="仿宋" w:cs="仿宋"/>
                <w:b/>
                <w:bCs/>
                <w:color w:val="auto"/>
                <w:kern w:val="0"/>
                <w:sz w:val="20"/>
                <w:szCs w:val="20"/>
                <w:highlight w:val="none"/>
                <w:lang w:bidi="ar"/>
              </w:rPr>
              <w:t>文本大纲策划费</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jc w:val="left"/>
              <w:rPr>
                <w:rFonts w:ascii="仿宋" w:hAnsi="仿宋" w:eastAsia="仿宋" w:cs="仿宋"/>
                <w:color w:val="auto"/>
                <w:sz w:val="20"/>
                <w:szCs w:val="20"/>
                <w:highlight w:val="none"/>
              </w:rPr>
            </w:pP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jc w:val="left"/>
              <w:rPr>
                <w:rFonts w:ascii="仿宋" w:hAnsi="仿宋" w:eastAsia="仿宋" w:cs="仿宋"/>
                <w:color w:val="auto"/>
                <w:sz w:val="20"/>
                <w:szCs w:val="20"/>
                <w:highlight w:val="none"/>
              </w:rPr>
            </w:pP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jc w:val="left"/>
              <w:rPr>
                <w:rFonts w:ascii="仿宋" w:hAnsi="仿宋" w:eastAsia="仿宋" w:cs="仿宋"/>
                <w:color w:val="auto"/>
                <w:sz w:val="20"/>
                <w:szCs w:val="20"/>
                <w:highlight w:val="none"/>
              </w:rPr>
            </w:pPr>
          </w:p>
        </w:tc>
      </w:tr>
      <w:tr>
        <w:tblPrEx>
          <w:tblCellMar>
            <w:top w:w="0" w:type="dxa"/>
            <w:left w:w="108" w:type="dxa"/>
            <w:bottom w:w="0" w:type="dxa"/>
            <w:right w:w="108" w:type="dxa"/>
          </w:tblCellMar>
        </w:tblPrEx>
        <w:trPr>
          <w:trHeight w:val="495" w:hRule="atLeast"/>
        </w:trPr>
        <w:tc>
          <w:tcPr>
            <w:tcW w:w="531"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hint="default" w:ascii="仿宋" w:hAnsi="仿宋" w:eastAsia="仿宋" w:cs="仿宋"/>
                <w:color w:val="auto"/>
                <w:sz w:val="20"/>
                <w:szCs w:val="20"/>
                <w:highlight w:val="none"/>
                <w:lang w:val="en-US" w:eastAsia="zh-CN"/>
              </w:rPr>
            </w:pPr>
            <w:r>
              <w:rPr>
                <w:rFonts w:hint="eastAsia" w:ascii="仿宋" w:hAnsi="仿宋" w:eastAsia="仿宋" w:cs="仿宋"/>
                <w:color w:val="auto"/>
                <w:kern w:val="0"/>
                <w:sz w:val="20"/>
                <w:szCs w:val="20"/>
                <w:highlight w:val="none"/>
                <w:lang w:bidi="ar"/>
              </w:rPr>
              <w:t>2</w:t>
            </w:r>
            <w:r>
              <w:rPr>
                <w:rFonts w:hint="eastAsia" w:ascii="仿宋" w:hAnsi="仿宋" w:eastAsia="仿宋" w:cs="仿宋"/>
                <w:color w:val="auto"/>
                <w:kern w:val="0"/>
                <w:sz w:val="20"/>
                <w:szCs w:val="20"/>
                <w:highlight w:val="none"/>
                <w:lang w:val="en-US" w:eastAsia="zh-CN" w:bidi="ar"/>
              </w:rPr>
              <w:t>32</w:t>
            </w:r>
          </w:p>
        </w:tc>
        <w:tc>
          <w:tcPr>
            <w:tcW w:w="2173"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文本大纲策划费（包括专家咨询费）</w:t>
            </w:r>
          </w:p>
        </w:tc>
        <w:tc>
          <w:tcPr>
            <w:tcW w:w="4422"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lef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1.文本大纲策划费（包括专家咨询费）</w:t>
            </w:r>
          </w:p>
        </w:tc>
        <w:tc>
          <w:tcPr>
            <w:tcW w:w="974"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项</w:t>
            </w:r>
          </w:p>
        </w:tc>
        <w:tc>
          <w:tcPr>
            <w:tcW w:w="1140"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right"/>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1</w:t>
            </w:r>
          </w:p>
        </w:tc>
      </w:tr>
    </w:tbl>
    <w:p>
      <w:pPr>
        <w:pStyle w:val="5"/>
        <w:rPr>
          <w:color w:val="auto"/>
          <w:highlight w:val="none"/>
        </w:rPr>
        <w:sectPr>
          <w:footerReference r:id="rId5" w:type="default"/>
          <w:pgSz w:w="11906" w:h="16838"/>
          <w:pgMar w:top="1440" w:right="1797" w:bottom="1440" w:left="1797" w:header="851" w:footer="992" w:gutter="0"/>
          <w:cols w:space="720" w:num="1"/>
          <w:docGrid w:linePitch="312" w:charSpace="0"/>
        </w:sectPr>
      </w:pPr>
    </w:p>
    <w:p>
      <w:pPr>
        <w:pStyle w:val="36"/>
        <w:spacing w:after="120" w:line="360" w:lineRule="auto"/>
        <w:ind w:left="0" w:leftChars="0" w:firstLine="0" w:firstLineChars="0"/>
        <w:jc w:val="center"/>
        <w:outlineLvl w:val="0"/>
        <w:rPr>
          <w:rFonts w:ascii="仿宋" w:hAnsi="仿宋" w:eastAsia="仿宋" w:cs="仿宋_GB2312"/>
          <w:b/>
          <w:bCs/>
          <w:color w:val="auto"/>
          <w:szCs w:val="36"/>
          <w:highlight w:val="none"/>
        </w:rPr>
      </w:pPr>
      <w:bookmarkStart w:id="181" w:name="_Toc24273"/>
      <w:r>
        <w:rPr>
          <w:rFonts w:hint="eastAsia" w:ascii="仿宋" w:hAnsi="仿宋" w:eastAsia="仿宋" w:cs="宋体"/>
          <w:b/>
          <w:bCs/>
          <w:color w:val="auto"/>
          <w:sz w:val="44"/>
          <w:highlight w:val="none"/>
        </w:rPr>
        <w:t xml:space="preserve">第四部分 </w:t>
      </w:r>
      <w:bookmarkStart w:id="182" w:name="_Toc184310322"/>
      <w:bookmarkEnd w:id="182"/>
      <w:bookmarkStart w:id="183" w:name="_Toc184312128"/>
      <w:bookmarkEnd w:id="183"/>
      <w:bookmarkStart w:id="184" w:name="_Toc184312132"/>
      <w:bookmarkEnd w:id="184"/>
      <w:bookmarkStart w:id="185" w:name="_Toc184312076"/>
      <w:bookmarkEnd w:id="185"/>
      <w:bookmarkStart w:id="186" w:name="_Toc184314423"/>
      <w:bookmarkEnd w:id="186"/>
      <w:bookmarkStart w:id="187" w:name="_Toc184313275"/>
      <w:bookmarkEnd w:id="187"/>
      <w:bookmarkStart w:id="188" w:name="_Toc184314464"/>
      <w:bookmarkEnd w:id="188"/>
      <w:bookmarkStart w:id="189" w:name="_Toc184310282"/>
      <w:bookmarkEnd w:id="189"/>
      <w:bookmarkStart w:id="190" w:name="_Toc184308050"/>
      <w:bookmarkEnd w:id="190"/>
      <w:bookmarkStart w:id="191" w:name="_Toc184308064"/>
      <w:bookmarkEnd w:id="191"/>
      <w:bookmarkStart w:id="192" w:name="_Toc184310315"/>
      <w:bookmarkEnd w:id="192"/>
      <w:bookmarkStart w:id="193" w:name="_Toc184310286"/>
      <w:bookmarkEnd w:id="193"/>
      <w:bookmarkStart w:id="194" w:name="_Toc184308051"/>
      <w:bookmarkEnd w:id="194"/>
      <w:bookmarkStart w:id="195" w:name="_Toc184310331"/>
      <w:bookmarkEnd w:id="195"/>
      <w:bookmarkStart w:id="196" w:name="_Toc184313239"/>
      <w:bookmarkEnd w:id="196"/>
      <w:bookmarkStart w:id="197" w:name="_Toc184314461"/>
      <w:bookmarkEnd w:id="197"/>
      <w:bookmarkStart w:id="198" w:name="_Toc184310279"/>
      <w:bookmarkEnd w:id="198"/>
      <w:bookmarkStart w:id="199" w:name="_Toc184310297"/>
      <w:bookmarkEnd w:id="199"/>
      <w:bookmarkStart w:id="200" w:name="_Toc184314424"/>
      <w:bookmarkEnd w:id="200"/>
      <w:bookmarkStart w:id="201" w:name="_Toc184313274"/>
      <w:bookmarkEnd w:id="201"/>
      <w:bookmarkStart w:id="202" w:name="_Toc184308106"/>
      <w:bookmarkEnd w:id="202"/>
      <w:bookmarkStart w:id="203" w:name="_Toc184314435"/>
      <w:bookmarkEnd w:id="203"/>
      <w:bookmarkStart w:id="204" w:name="_Toc184313286"/>
      <w:bookmarkEnd w:id="204"/>
      <w:bookmarkStart w:id="205" w:name="_Toc184314413"/>
      <w:bookmarkEnd w:id="205"/>
      <w:bookmarkStart w:id="206" w:name="_Toc184313249"/>
      <w:bookmarkEnd w:id="206"/>
      <w:bookmarkStart w:id="207" w:name="_Toc184314428"/>
      <w:bookmarkEnd w:id="207"/>
      <w:bookmarkStart w:id="208" w:name="_Toc184313250"/>
      <w:bookmarkEnd w:id="208"/>
      <w:bookmarkStart w:id="209" w:name="_Toc184313281"/>
      <w:bookmarkEnd w:id="209"/>
      <w:bookmarkStart w:id="210" w:name="_Toc184308100"/>
      <w:bookmarkEnd w:id="210"/>
      <w:bookmarkStart w:id="211" w:name="_Toc184312112"/>
      <w:bookmarkEnd w:id="211"/>
      <w:bookmarkStart w:id="212" w:name="_Toc184312108"/>
      <w:bookmarkEnd w:id="212"/>
      <w:bookmarkStart w:id="213" w:name="_Toc184310312"/>
      <w:bookmarkEnd w:id="213"/>
      <w:bookmarkStart w:id="214" w:name="_Toc184314448"/>
      <w:bookmarkEnd w:id="214"/>
      <w:bookmarkStart w:id="215" w:name="_Toc184313256"/>
      <w:bookmarkEnd w:id="215"/>
      <w:bookmarkStart w:id="216" w:name="_Toc184313243"/>
      <w:bookmarkEnd w:id="216"/>
      <w:bookmarkStart w:id="217" w:name="_Toc184313246"/>
      <w:bookmarkEnd w:id="217"/>
      <w:bookmarkStart w:id="218" w:name="_Toc184313310"/>
      <w:bookmarkEnd w:id="218"/>
      <w:bookmarkStart w:id="219" w:name="_Toc184313261"/>
      <w:bookmarkEnd w:id="219"/>
      <w:bookmarkStart w:id="220" w:name="_Toc184312104"/>
      <w:bookmarkEnd w:id="220"/>
      <w:bookmarkStart w:id="221" w:name="_Toc184308102"/>
      <w:bookmarkEnd w:id="221"/>
      <w:bookmarkStart w:id="222" w:name="_Toc184314455"/>
      <w:bookmarkEnd w:id="222"/>
      <w:bookmarkStart w:id="223" w:name="_Toc184308079"/>
      <w:bookmarkEnd w:id="223"/>
      <w:bookmarkStart w:id="224" w:name="_Toc184308081"/>
      <w:bookmarkEnd w:id="224"/>
      <w:bookmarkStart w:id="225" w:name="_Toc184308086"/>
      <w:bookmarkEnd w:id="225"/>
      <w:bookmarkStart w:id="226" w:name="_Toc184310284"/>
      <w:bookmarkEnd w:id="226"/>
      <w:bookmarkStart w:id="227" w:name="_Toc184312111"/>
      <w:bookmarkEnd w:id="227"/>
      <w:bookmarkStart w:id="228" w:name="_Toc184314436"/>
      <w:bookmarkEnd w:id="228"/>
      <w:bookmarkStart w:id="229" w:name="_Toc184314439"/>
      <w:bookmarkEnd w:id="229"/>
      <w:bookmarkStart w:id="230" w:name="_Toc184313276"/>
      <w:bookmarkEnd w:id="230"/>
      <w:bookmarkStart w:id="231" w:name="_Toc184312073"/>
      <w:bookmarkEnd w:id="231"/>
      <w:bookmarkStart w:id="232" w:name="_Toc184310281"/>
      <w:bookmarkEnd w:id="232"/>
      <w:bookmarkStart w:id="233" w:name="_Toc184312096"/>
      <w:bookmarkEnd w:id="233"/>
      <w:bookmarkStart w:id="234" w:name="_Toc184310324"/>
      <w:bookmarkEnd w:id="234"/>
      <w:bookmarkStart w:id="235" w:name="_Toc184314441"/>
      <w:bookmarkEnd w:id="235"/>
      <w:bookmarkStart w:id="236" w:name="_Toc184313301"/>
      <w:bookmarkEnd w:id="236"/>
      <w:bookmarkStart w:id="237" w:name="_Toc184308097"/>
      <w:bookmarkEnd w:id="237"/>
      <w:bookmarkStart w:id="238" w:name="_Toc184313244"/>
      <w:bookmarkEnd w:id="238"/>
      <w:bookmarkStart w:id="239" w:name="_Toc184314467"/>
      <w:bookmarkEnd w:id="239"/>
      <w:bookmarkStart w:id="240" w:name="_Toc184312071"/>
      <w:bookmarkEnd w:id="240"/>
      <w:bookmarkStart w:id="241" w:name="_Toc184308108"/>
      <w:bookmarkEnd w:id="241"/>
      <w:bookmarkStart w:id="242" w:name="_Toc184313300"/>
      <w:bookmarkEnd w:id="242"/>
      <w:bookmarkStart w:id="243" w:name="_Toc184312070"/>
      <w:bookmarkEnd w:id="243"/>
      <w:bookmarkStart w:id="244" w:name="_Toc184308056"/>
      <w:bookmarkEnd w:id="244"/>
      <w:bookmarkStart w:id="245" w:name="_Toc184314446"/>
      <w:bookmarkEnd w:id="245"/>
      <w:bookmarkStart w:id="246" w:name="_Toc184310290"/>
      <w:bookmarkEnd w:id="246"/>
      <w:bookmarkStart w:id="247" w:name="_Toc184308077"/>
      <w:bookmarkEnd w:id="247"/>
      <w:bookmarkStart w:id="248" w:name="_Toc184312123"/>
      <w:bookmarkEnd w:id="248"/>
      <w:bookmarkStart w:id="249" w:name="_Toc184308063"/>
      <w:bookmarkEnd w:id="249"/>
      <w:bookmarkStart w:id="250" w:name="_Toc184313265"/>
      <w:bookmarkEnd w:id="250"/>
      <w:bookmarkStart w:id="251" w:name="_Toc184308075"/>
      <w:bookmarkEnd w:id="251"/>
      <w:bookmarkStart w:id="252" w:name="_Toc184313257"/>
      <w:bookmarkEnd w:id="252"/>
      <w:bookmarkStart w:id="253" w:name="_Toc184310336"/>
      <w:bookmarkEnd w:id="253"/>
      <w:bookmarkStart w:id="254" w:name="_Toc184312121"/>
      <w:bookmarkEnd w:id="254"/>
      <w:bookmarkStart w:id="255" w:name="_Toc184308066"/>
      <w:bookmarkEnd w:id="255"/>
      <w:bookmarkStart w:id="256" w:name="_Toc184308061"/>
      <w:bookmarkEnd w:id="256"/>
      <w:bookmarkStart w:id="257" w:name="_Toc184312126"/>
      <w:bookmarkEnd w:id="257"/>
      <w:bookmarkStart w:id="258" w:name="_Toc184312117"/>
      <w:bookmarkEnd w:id="258"/>
      <w:bookmarkStart w:id="259" w:name="_Toc184313279"/>
      <w:bookmarkEnd w:id="259"/>
      <w:bookmarkStart w:id="260" w:name="_Toc184314420"/>
      <w:bookmarkEnd w:id="260"/>
      <w:bookmarkStart w:id="261" w:name="_Toc184310288"/>
      <w:bookmarkEnd w:id="261"/>
      <w:bookmarkStart w:id="262" w:name="_Toc184308059"/>
      <w:bookmarkEnd w:id="262"/>
      <w:bookmarkStart w:id="263" w:name="_Toc184312093"/>
      <w:bookmarkEnd w:id="263"/>
      <w:bookmarkStart w:id="264" w:name="_Toc184314426"/>
      <w:bookmarkEnd w:id="264"/>
      <w:bookmarkStart w:id="265" w:name="_Toc184308098"/>
      <w:bookmarkEnd w:id="265"/>
      <w:bookmarkStart w:id="266" w:name="_Toc184308107"/>
      <w:bookmarkEnd w:id="266"/>
      <w:bookmarkStart w:id="267" w:name="_Toc184308042"/>
      <w:bookmarkEnd w:id="267"/>
      <w:bookmarkStart w:id="268" w:name="_Toc184308060"/>
      <w:bookmarkEnd w:id="268"/>
      <w:bookmarkStart w:id="269" w:name="_Toc184314473"/>
      <w:bookmarkEnd w:id="269"/>
      <w:bookmarkStart w:id="270" w:name="_Toc184312127"/>
      <w:bookmarkEnd w:id="270"/>
      <w:bookmarkStart w:id="271" w:name="_Toc184310295"/>
      <w:bookmarkEnd w:id="271"/>
      <w:bookmarkStart w:id="272" w:name="_Toc184313305"/>
      <w:bookmarkEnd w:id="272"/>
      <w:bookmarkStart w:id="273" w:name="_Toc184314414"/>
      <w:bookmarkEnd w:id="273"/>
      <w:bookmarkStart w:id="274" w:name="_Toc184314474"/>
      <w:bookmarkEnd w:id="274"/>
      <w:bookmarkStart w:id="275" w:name="_Toc184312094"/>
      <w:bookmarkEnd w:id="275"/>
      <w:bookmarkStart w:id="276" w:name="_Toc184312139"/>
      <w:bookmarkEnd w:id="276"/>
      <w:bookmarkStart w:id="277" w:name="_Toc184313271"/>
      <w:bookmarkEnd w:id="277"/>
      <w:bookmarkStart w:id="278" w:name="_Toc184314417"/>
      <w:bookmarkEnd w:id="278"/>
      <w:bookmarkStart w:id="279" w:name="_Toc184310304"/>
      <w:bookmarkEnd w:id="279"/>
      <w:bookmarkStart w:id="280" w:name="_Toc184314412"/>
      <w:bookmarkEnd w:id="280"/>
      <w:bookmarkStart w:id="281" w:name="_Toc184308073"/>
      <w:bookmarkEnd w:id="281"/>
      <w:bookmarkStart w:id="282" w:name="_Toc184314434"/>
      <w:bookmarkEnd w:id="282"/>
      <w:bookmarkStart w:id="283" w:name="_Toc184312134"/>
      <w:bookmarkEnd w:id="283"/>
      <w:bookmarkStart w:id="284" w:name="_Toc184313291"/>
      <w:bookmarkEnd w:id="284"/>
      <w:bookmarkStart w:id="285" w:name="_Toc184310332"/>
      <w:bookmarkEnd w:id="285"/>
      <w:bookmarkStart w:id="286" w:name="_Toc184312078"/>
      <w:bookmarkEnd w:id="286"/>
      <w:bookmarkStart w:id="287" w:name="_Toc184308039"/>
      <w:bookmarkEnd w:id="287"/>
      <w:bookmarkStart w:id="288" w:name="_Toc184310333"/>
      <w:bookmarkEnd w:id="288"/>
      <w:bookmarkStart w:id="289" w:name="_Toc184310340"/>
      <w:bookmarkEnd w:id="289"/>
      <w:bookmarkStart w:id="290" w:name="_Toc184313242"/>
      <w:bookmarkEnd w:id="290"/>
      <w:bookmarkStart w:id="291" w:name="_Toc184308044"/>
      <w:bookmarkEnd w:id="291"/>
      <w:bookmarkStart w:id="292" w:name="_Toc184308049"/>
      <w:bookmarkEnd w:id="292"/>
      <w:bookmarkStart w:id="293" w:name="_Toc184313267"/>
      <w:bookmarkEnd w:id="293"/>
      <w:bookmarkStart w:id="294" w:name="_Toc184310318"/>
      <w:bookmarkEnd w:id="294"/>
      <w:bookmarkStart w:id="295" w:name="_Toc184312075"/>
      <w:bookmarkEnd w:id="295"/>
      <w:bookmarkStart w:id="296" w:name="_Toc184313299"/>
      <w:bookmarkEnd w:id="296"/>
      <w:bookmarkStart w:id="297" w:name="_Toc184310325"/>
      <w:bookmarkEnd w:id="297"/>
      <w:bookmarkStart w:id="298" w:name="_Toc184314415"/>
      <w:bookmarkEnd w:id="298"/>
      <w:bookmarkStart w:id="299" w:name="_Toc184314449"/>
      <w:bookmarkEnd w:id="299"/>
      <w:bookmarkStart w:id="300" w:name="_Toc184314452"/>
      <w:bookmarkEnd w:id="300"/>
      <w:bookmarkStart w:id="301" w:name="_Toc184313308"/>
      <w:bookmarkEnd w:id="301"/>
      <w:bookmarkStart w:id="302" w:name="_Toc184312080"/>
      <w:bookmarkEnd w:id="302"/>
      <w:bookmarkStart w:id="303" w:name="_Toc184310303"/>
      <w:bookmarkEnd w:id="303"/>
      <w:bookmarkStart w:id="304" w:name="_Toc184308053"/>
      <w:bookmarkEnd w:id="304"/>
      <w:bookmarkStart w:id="305" w:name="_Toc184310330"/>
      <w:bookmarkEnd w:id="305"/>
      <w:bookmarkStart w:id="306" w:name="_Toc184308052"/>
      <w:bookmarkEnd w:id="306"/>
      <w:bookmarkStart w:id="307" w:name="_Toc184314460"/>
      <w:bookmarkEnd w:id="307"/>
      <w:bookmarkStart w:id="308" w:name="_Toc184310280"/>
      <w:bookmarkEnd w:id="308"/>
      <w:bookmarkStart w:id="309" w:name="_Toc184313252"/>
      <w:bookmarkEnd w:id="309"/>
      <w:bookmarkStart w:id="310" w:name="_Toc184314453"/>
      <w:bookmarkEnd w:id="310"/>
      <w:bookmarkStart w:id="311" w:name="_Toc184313268"/>
      <w:bookmarkEnd w:id="311"/>
      <w:bookmarkStart w:id="312" w:name="_Toc184313253"/>
      <w:bookmarkEnd w:id="312"/>
      <w:bookmarkStart w:id="313" w:name="_Toc184313298"/>
      <w:bookmarkEnd w:id="313"/>
      <w:bookmarkStart w:id="314" w:name="_Toc184313262"/>
      <w:bookmarkEnd w:id="314"/>
      <w:bookmarkStart w:id="315" w:name="_Toc184308070"/>
      <w:bookmarkEnd w:id="315"/>
      <w:bookmarkStart w:id="316" w:name="_Toc184312116"/>
      <w:bookmarkEnd w:id="316"/>
      <w:bookmarkStart w:id="317" w:name="_Toc184314429"/>
      <w:bookmarkEnd w:id="317"/>
      <w:bookmarkStart w:id="318" w:name="_Toc184312109"/>
      <w:bookmarkEnd w:id="318"/>
      <w:bookmarkStart w:id="319" w:name="_Toc184310287"/>
      <w:bookmarkEnd w:id="319"/>
      <w:bookmarkStart w:id="320" w:name="_Toc184312101"/>
      <w:bookmarkEnd w:id="320"/>
      <w:bookmarkStart w:id="321" w:name="_Toc184314472"/>
      <w:bookmarkEnd w:id="321"/>
      <w:bookmarkStart w:id="322" w:name="_Toc184314422"/>
      <w:bookmarkEnd w:id="322"/>
      <w:bookmarkStart w:id="323" w:name="_Toc184310339"/>
      <w:bookmarkEnd w:id="323"/>
      <w:bookmarkStart w:id="324" w:name="_Toc184312124"/>
      <w:bookmarkEnd w:id="324"/>
      <w:bookmarkStart w:id="325" w:name="_Toc184308101"/>
      <w:bookmarkEnd w:id="325"/>
      <w:bookmarkStart w:id="326" w:name="_Toc184314480"/>
      <w:bookmarkEnd w:id="326"/>
      <w:bookmarkStart w:id="327" w:name="_Toc184312099"/>
      <w:bookmarkEnd w:id="327"/>
      <w:bookmarkStart w:id="328" w:name="_Toc184312131"/>
      <w:bookmarkEnd w:id="328"/>
      <w:bookmarkStart w:id="329" w:name="_Toc184313284"/>
      <w:bookmarkEnd w:id="329"/>
      <w:bookmarkStart w:id="330" w:name="_Toc184312120"/>
      <w:bookmarkEnd w:id="330"/>
      <w:bookmarkStart w:id="331" w:name="_Toc184308087"/>
      <w:bookmarkEnd w:id="331"/>
      <w:bookmarkStart w:id="332" w:name="_Toc184314444"/>
      <w:bookmarkEnd w:id="332"/>
      <w:bookmarkStart w:id="333" w:name="_Toc184310308"/>
      <w:bookmarkEnd w:id="333"/>
      <w:bookmarkStart w:id="334" w:name="_Toc184312105"/>
      <w:bookmarkEnd w:id="334"/>
      <w:bookmarkStart w:id="335" w:name="_Toc184310273"/>
      <w:bookmarkEnd w:id="335"/>
      <w:bookmarkStart w:id="336" w:name="_Toc184314479"/>
      <w:bookmarkEnd w:id="336"/>
      <w:bookmarkStart w:id="337" w:name="_Toc184308093"/>
      <w:bookmarkEnd w:id="337"/>
      <w:bookmarkStart w:id="338" w:name="_Toc184313260"/>
      <w:bookmarkEnd w:id="338"/>
      <w:bookmarkStart w:id="339" w:name="_Toc184308105"/>
      <w:bookmarkEnd w:id="339"/>
      <w:bookmarkStart w:id="340" w:name="_Toc184314477"/>
      <w:bookmarkEnd w:id="340"/>
      <w:bookmarkStart w:id="341" w:name="_Toc184313263"/>
      <w:bookmarkEnd w:id="341"/>
      <w:bookmarkStart w:id="342" w:name="_Toc184312089"/>
      <w:bookmarkEnd w:id="342"/>
      <w:bookmarkStart w:id="343" w:name="_Toc184313293"/>
      <w:bookmarkEnd w:id="343"/>
      <w:bookmarkStart w:id="344" w:name="_Toc184312067"/>
      <w:bookmarkEnd w:id="344"/>
      <w:bookmarkStart w:id="345" w:name="_Toc184313272"/>
      <w:bookmarkEnd w:id="345"/>
      <w:bookmarkStart w:id="346" w:name="_Toc184310343"/>
      <w:bookmarkEnd w:id="346"/>
      <w:bookmarkStart w:id="347" w:name="_Toc184310328"/>
      <w:bookmarkEnd w:id="347"/>
      <w:bookmarkStart w:id="348" w:name="_Toc184310278"/>
      <w:bookmarkEnd w:id="348"/>
      <w:bookmarkStart w:id="349" w:name="_Toc184314481"/>
      <w:bookmarkEnd w:id="349"/>
      <w:bookmarkStart w:id="350" w:name="_Toc184313303"/>
      <w:bookmarkEnd w:id="350"/>
      <w:bookmarkStart w:id="351" w:name="_Toc184314437"/>
      <w:bookmarkEnd w:id="351"/>
      <w:bookmarkStart w:id="352" w:name="_Toc184310323"/>
      <w:bookmarkEnd w:id="352"/>
      <w:bookmarkStart w:id="353" w:name="_Toc184313278"/>
      <w:bookmarkEnd w:id="353"/>
      <w:bookmarkStart w:id="354" w:name="_Toc184312077"/>
      <w:bookmarkEnd w:id="354"/>
      <w:bookmarkStart w:id="355" w:name="_Toc184310301"/>
      <w:bookmarkEnd w:id="355"/>
      <w:bookmarkStart w:id="356" w:name="_Toc184312125"/>
      <w:bookmarkEnd w:id="356"/>
      <w:bookmarkStart w:id="357" w:name="_Toc184308069"/>
      <w:bookmarkEnd w:id="357"/>
      <w:bookmarkStart w:id="358" w:name="_Toc184312138"/>
      <w:bookmarkEnd w:id="358"/>
      <w:bookmarkStart w:id="359" w:name="_Toc184314431"/>
      <w:bookmarkEnd w:id="359"/>
      <w:bookmarkStart w:id="360" w:name="_Toc184310317"/>
      <w:bookmarkEnd w:id="360"/>
      <w:bookmarkStart w:id="361" w:name="_Toc184314430"/>
      <w:bookmarkEnd w:id="361"/>
      <w:bookmarkStart w:id="362" w:name="_Toc184312098"/>
      <w:bookmarkEnd w:id="362"/>
      <w:bookmarkStart w:id="363" w:name="_Toc184314442"/>
      <w:bookmarkEnd w:id="363"/>
      <w:bookmarkStart w:id="364" w:name="_Toc184313307"/>
      <w:bookmarkEnd w:id="364"/>
      <w:bookmarkStart w:id="365" w:name="_Toc184310300"/>
      <w:bookmarkEnd w:id="365"/>
      <w:bookmarkStart w:id="366" w:name="_Toc184312130"/>
      <w:bookmarkEnd w:id="366"/>
      <w:bookmarkStart w:id="367" w:name="_Toc184308096"/>
      <w:bookmarkEnd w:id="367"/>
      <w:bookmarkStart w:id="368" w:name="_Toc184313294"/>
      <w:bookmarkEnd w:id="368"/>
      <w:bookmarkStart w:id="369" w:name="_Toc184314471"/>
      <w:bookmarkEnd w:id="369"/>
      <w:bookmarkStart w:id="370" w:name="_Toc184313283"/>
      <w:bookmarkEnd w:id="370"/>
      <w:bookmarkStart w:id="371" w:name="_Toc184310275"/>
      <w:bookmarkEnd w:id="371"/>
      <w:bookmarkStart w:id="372" w:name="_Toc184314482"/>
      <w:bookmarkEnd w:id="372"/>
      <w:bookmarkStart w:id="373" w:name="_Toc184314450"/>
      <w:bookmarkEnd w:id="373"/>
      <w:bookmarkStart w:id="374" w:name="_Toc184314425"/>
      <w:bookmarkEnd w:id="374"/>
      <w:bookmarkStart w:id="375" w:name="_Toc184310276"/>
      <w:bookmarkEnd w:id="375"/>
      <w:bookmarkStart w:id="376" w:name="_Toc184313289"/>
      <w:bookmarkEnd w:id="376"/>
      <w:bookmarkStart w:id="377" w:name="_Toc184313245"/>
      <w:bookmarkEnd w:id="377"/>
      <w:bookmarkStart w:id="378" w:name="_Toc184313306"/>
      <w:bookmarkEnd w:id="378"/>
      <w:bookmarkStart w:id="379" w:name="_Toc184312106"/>
      <w:bookmarkEnd w:id="379"/>
      <w:bookmarkStart w:id="380" w:name="_Toc184313296"/>
      <w:bookmarkEnd w:id="380"/>
      <w:bookmarkStart w:id="381" w:name="_Toc184313285"/>
      <w:bookmarkEnd w:id="381"/>
      <w:bookmarkStart w:id="382" w:name="_Toc184308080"/>
      <w:bookmarkEnd w:id="382"/>
      <w:bookmarkStart w:id="383" w:name="_Toc184313273"/>
      <w:bookmarkEnd w:id="383"/>
      <w:bookmarkStart w:id="384" w:name="_Toc184308089"/>
      <w:bookmarkEnd w:id="384"/>
      <w:bookmarkStart w:id="385" w:name="_Toc184314410"/>
      <w:bookmarkEnd w:id="385"/>
      <w:bookmarkStart w:id="386" w:name="_Toc184308037"/>
      <w:bookmarkEnd w:id="386"/>
      <w:bookmarkStart w:id="387" w:name="_Toc184312129"/>
      <w:bookmarkEnd w:id="387"/>
      <w:bookmarkStart w:id="388" w:name="_Toc184313295"/>
      <w:bookmarkEnd w:id="388"/>
      <w:bookmarkStart w:id="389" w:name="_Toc184314459"/>
      <w:bookmarkEnd w:id="389"/>
      <w:bookmarkStart w:id="390" w:name="_Toc184312136"/>
      <w:bookmarkEnd w:id="390"/>
      <w:bookmarkStart w:id="391" w:name="_Toc184313240"/>
      <w:bookmarkEnd w:id="391"/>
      <w:bookmarkStart w:id="392" w:name="_Toc184308045"/>
      <w:bookmarkEnd w:id="392"/>
      <w:bookmarkStart w:id="393" w:name="_Toc184313304"/>
      <w:bookmarkEnd w:id="393"/>
      <w:bookmarkStart w:id="394" w:name="_Toc184308103"/>
      <w:bookmarkEnd w:id="394"/>
      <w:bookmarkStart w:id="395" w:name="_Toc184310272"/>
      <w:bookmarkEnd w:id="395"/>
      <w:bookmarkStart w:id="396" w:name="_Toc184308076"/>
      <w:bookmarkEnd w:id="396"/>
      <w:bookmarkStart w:id="397" w:name="_Toc184310329"/>
      <w:bookmarkEnd w:id="397"/>
      <w:bookmarkStart w:id="398" w:name="_Toc184310335"/>
      <w:bookmarkEnd w:id="398"/>
      <w:bookmarkStart w:id="399" w:name="_Toc184310341"/>
      <w:bookmarkEnd w:id="399"/>
      <w:bookmarkStart w:id="400" w:name="_Toc184310321"/>
      <w:bookmarkEnd w:id="400"/>
      <w:bookmarkStart w:id="401" w:name="_Toc184313238"/>
      <w:bookmarkEnd w:id="401"/>
      <w:bookmarkStart w:id="402" w:name="_Toc184313247"/>
      <w:bookmarkEnd w:id="402"/>
      <w:bookmarkStart w:id="403" w:name="_Toc184312114"/>
      <w:bookmarkEnd w:id="403"/>
      <w:bookmarkStart w:id="404" w:name="_Toc184314469"/>
      <w:bookmarkEnd w:id="404"/>
      <w:bookmarkStart w:id="405" w:name="_Toc184312135"/>
      <w:bookmarkEnd w:id="405"/>
      <w:bookmarkStart w:id="406" w:name="_Toc184314419"/>
      <w:bookmarkEnd w:id="406"/>
      <w:bookmarkStart w:id="407" w:name="_Toc184310314"/>
      <w:bookmarkEnd w:id="407"/>
      <w:bookmarkStart w:id="408" w:name="_Toc184310293"/>
      <w:bookmarkEnd w:id="408"/>
      <w:bookmarkStart w:id="409" w:name="_Toc184314451"/>
      <w:bookmarkEnd w:id="409"/>
      <w:bookmarkStart w:id="410" w:name="_Toc184308062"/>
      <w:bookmarkEnd w:id="410"/>
      <w:bookmarkStart w:id="411" w:name="_Toc184312118"/>
      <w:bookmarkEnd w:id="411"/>
      <w:bookmarkStart w:id="412" w:name="_Toc184310338"/>
      <w:bookmarkEnd w:id="412"/>
      <w:bookmarkStart w:id="413" w:name="_Toc184312081"/>
      <w:bookmarkEnd w:id="413"/>
      <w:bookmarkStart w:id="414" w:name="_Toc184314433"/>
      <w:bookmarkEnd w:id="414"/>
      <w:bookmarkStart w:id="415" w:name="_Toc184314466"/>
      <w:bookmarkEnd w:id="415"/>
      <w:bookmarkStart w:id="416" w:name="_Toc184314470"/>
      <w:bookmarkEnd w:id="416"/>
      <w:bookmarkStart w:id="417" w:name="_Toc184312092"/>
      <w:bookmarkEnd w:id="417"/>
      <w:bookmarkStart w:id="418" w:name="_Toc184308058"/>
      <w:bookmarkEnd w:id="418"/>
      <w:bookmarkStart w:id="419" w:name="_Toc184313269"/>
      <w:bookmarkEnd w:id="419"/>
      <w:bookmarkStart w:id="420" w:name="_Toc184312137"/>
      <w:bookmarkEnd w:id="420"/>
      <w:bookmarkStart w:id="421" w:name="_Toc184314456"/>
      <w:bookmarkEnd w:id="421"/>
      <w:bookmarkStart w:id="422" w:name="_Toc184308065"/>
      <w:bookmarkEnd w:id="422"/>
      <w:bookmarkStart w:id="423" w:name="_Toc184313259"/>
      <w:bookmarkEnd w:id="423"/>
      <w:bookmarkStart w:id="424" w:name="_Toc184308088"/>
      <w:bookmarkEnd w:id="424"/>
      <w:bookmarkStart w:id="425" w:name="_Toc184314454"/>
      <w:bookmarkEnd w:id="425"/>
      <w:bookmarkStart w:id="426" w:name="_Toc184310313"/>
      <w:bookmarkEnd w:id="426"/>
      <w:bookmarkStart w:id="427" w:name="_Toc184308082"/>
      <w:bookmarkEnd w:id="427"/>
      <w:bookmarkStart w:id="428" w:name="_Toc184310337"/>
      <w:bookmarkEnd w:id="428"/>
      <w:bookmarkStart w:id="429" w:name="_Toc184308074"/>
      <w:bookmarkEnd w:id="429"/>
      <w:bookmarkStart w:id="430" w:name="_Toc184308071"/>
      <w:bookmarkEnd w:id="430"/>
      <w:bookmarkStart w:id="431" w:name="_Toc184314421"/>
      <w:bookmarkEnd w:id="431"/>
      <w:bookmarkStart w:id="432" w:name="_Toc184308040"/>
      <w:bookmarkEnd w:id="432"/>
      <w:bookmarkStart w:id="433" w:name="_Toc184314458"/>
      <w:bookmarkEnd w:id="433"/>
      <w:bookmarkStart w:id="434" w:name="_Toc184310302"/>
      <w:bookmarkEnd w:id="434"/>
      <w:bookmarkStart w:id="435" w:name="_Toc184313280"/>
      <w:bookmarkEnd w:id="435"/>
      <w:bookmarkStart w:id="436" w:name="_Toc184312090"/>
      <w:bookmarkEnd w:id="436"/>
      <w:bookmarkStart w:id="437" w:name="_Toc184314468"/>
      <w:bookmarkEnd w:id="437"/>
      <w:bookmarkStart w:id="438" w:name="_Toc184308043"/>
      <w:bookmarkEnd w:id="438"/>
      <w:bookmarkStart w:id="439" w:name="_Toc184312133"/>
      <w:bookmarkEnd w:id="439"/>
      <w:bookmarkStart w:id="440" w:name="_Toc184308057"/>
      <w:bookmarkEnd w:id="440"/>
      <w:bookmarkStart w:id="441" w:name="_Toc184308094"/>
      <w:bookmarkEnd w:id="441"/>
      <w:bookmarkStart w:id="442" w:name="_Toc184314463"/>
      <w:bookmarkEnd w:id="442"/>
      <w:bookmarkStart w:id="443" w:name="_Toc184310326"/>
      <w:bookmarkEnd w:id="443"/>
      <w:bookmarkStart w:id="444" w:name="_Toc184313241"/>
      <w:bookmarkEnd w:id="444"/>
      <w:bookmarkStart w:id="445" w:name="_Toc184310305"/>
      <w:bookmarkEnd w:id="445"/>
      <w:bookmarkStart w:id="446" w:name="_Toc184314462"/>
      <w:bookmarkEnd w:id="446"/>
      <w:bookmarkStart w:id="447" w:name="_Toc184312083"/>
      <w:bookmarkEnd w:id="447"/>
      <w:bookmarkStart w:id="448" w:name="_Toc184313309"/>
      <w:bookmarkEnd w:id="448"/>
      <w:bookmarkStart w:id="449" w:name="_Toc184308090"/>
      <w:bookmarkEnd w:id="449"/>
      <w:bookmarkStart w:id="450" w:name="_Toc184312102"/>
      <w:bookmarkEnd w:id="450"/>
      <w:bookmarkStart w:id="451" w:name="_Toc184314418"/>
      <w:bookmarkEnd w:id="451"/>
      <w:bookmarkStart w:id="452" w:name="_Toc184312086"/>
      <w:bookmarkEnd w:id="452"/>
      <w:bookmarkStart w:id="453" w:name="_Toc184313292"/>
      <w:bookmarkEnd w:id="453"/>
      <w:bookmarkStart w:id="454" w:name="_Toc184312103"/>
      <w:bookmarkEnd w:id="454"/>
      <w:bookmarkStart w:id="455" w:name="_Toc184308095"/>
      <w:bookmarkEnd w:id="455"/>
      <w:bookmarkStart w:id="456" w:name="_Toc184310320"/>
      <w:bookmarkEnd w:id="456"/>
      <w:bookmarkStart w:id="457" w:name="_Toc184308067"/>
      <w:bookmarkEnd w:id="457"/>
      <w:bookmarkStart w:id="458" w:name="_Toc184308091"/>
      <w:bookmarkEnd w:id="458"/>
      <w:bookmarkStart w:id="459" w:name="_Toc184314476"/>
      <w:bookmarkEnd w:id="459"/>
      <w:bookmarkStart w:id="460" w:name="_Toc184314465"/>
      <w:bookmarkEnd w:id="460"/>
      <w:bookmarkStart w:id="461" w:name="_Toc184308046"/>
      <w:bookmarkEnd w:id="461"/>
      <w:bookmarkStart w:id="462" w:name="_Toc184313248"/>
      <w:bookmarkEnd w:id="462"/>
      <w:bookmarkStart w:id="463" w:name="_Toc184308036"/>
      <w:bookmarkEnd w:id="463"/>
      <w:bookmarkStart w:id="464" w:name="_Toc184310342"/>
      <w:bookmarkEnd w:id="464"/>
      <w:bookmarkStart w:id="465" w:name="_Toc184314440"/>
      <w:bookmarkEnd w:id="465"/>
      <w:bookmarkStart w:id="466" w:name="_Toc184312069"/>
      <w:bookmarkEnd w:id="466"/>
      <w:bookmarkStart w:id="467" w:name="_Toc184314447"/>
      <w:bookmarkEnd w:id="467"/>
      <w:bookmarkStart w:id="468" w:name="_Toc184314457"/>
      <w:bookmarkEnd w:id="468"/>
      <w:bookmarkStart w:id="469" w:name="_Toc184310334"/>
      <w:bookmarkEnd w:id="469"/>
      <w:bookmarkStart w:id="470" w:name="_Toc184310307"/>
      <w:bookmarkEnd w:id="470"/>
      <w:bookmarkStart w:id="471" w:name="_Toc184310274"/>
      <w:bookmarkEnd w:id="471"/>
      <w:bookmarkStart w:id="472" w:name="_Toc184314416"/>
      <w:bookmarkEnd w:id="472"/>
      <w:bookmarkStart w:id="473" w:name="_Toc184312091"/>
      <w:bookmarkEnd w:id="473"/>
      <w:bookmarkStart w:id="474" w:name="_Toc184313282"/>
      <w:bookmarkEnd w:id="474"/>
      <w:bookmarkStart w:id="475" w:name="_Toc184310289"/>
      <w:bookmarkEnd w:id="475"/>
      <w:bookmarkStart w:id="476" w:name="_Toc184313287"/>
      <w:bookmarkEnd w:id="476"/>
      <w:bookmarkStart w:id="477" w:name="_Toc184314427"/>
      <w:bookmarkEnd w:id="477"/>
      <w:bookmarkStart w:id="478" w:name="_Toc184313258"/>
      <w:bookmarkEnd w:id="478"/>
      <w:bookmarkStart w:id="479" w:name="_Toc184312115"/>
      <w:bookmarkEnd w:id="479"/>
      <w:bookmarkStart w:id="480" w:name="_Toc184310309"/>
      <w:bookmarkEnd w:id="480"/>
      <w:bookmarkStart w:id="481" w:name="_Toc184313264"/>
      <w:bookmarkEnd w:id="481"/>
      <w:bookmarkStart w:id="482" w:name="_Toc184314445"/>
      <w:bookmarkEnd w:id="482"/>
      <w:bookmarkStart w:id="483" w:name="_Toc184313251"/>
      <w:bookmarkEnd w:id="483"/>
      <w:bookmarkStart w:id="484" w:name="_Toc184314443"/>
      <w:bookmarkEnd w:id="484"/>
      <w:bookmarkStart w:id="485" w:name="_Toc184313290"/>
      <w:bookmarkEnd w:id="485"/>
      <w:bookmarkStart w:id="486" w:name="_Toc184312074"/>
      <w:bookmarkEnd w:id="486"/>
      <w:bookmarkStart w:id="487" w:name="_Toc184314432"/>
      <w:bookmarkEnd w:id="487"/>
      <w:bookmarkStart w:id="488" w:name="_Toc184310296"/>
      <w:bookmarkEnd w:id="488"/>
      <w:bookmarkStart w:id="489" w:name="_Toc184312122"/>
      <w:bookmarkEnd w:id="489"/>
      <w:bookmarkStart w:id="490" w:name="_Toc184310292"/>
      <w:bookmarkEnd w:id="490"/>
      <w:bookmarkStart w:id="491" w:name="_Toc184308085"/>
      <w:bookmarkEnd w:id="491"/>
      <w:bookmarkStart w:id="492" w:name="_Toc184308084"/>
      <w:bookmarkEnd w:id="492"/>
      <w:bookmarkStart w:id="493" w:name="_Toc184314475"/>
      <w:bookmarkEnd w:id="493"/>
      <w:bookmarkStart w:id="494" w:name="_Toc184313302"/>
      <w:bookmarkEnd w:id="494"/>
      <w:bookmarkStart w:id="495" w:name="_Toc184310344"/>
      <w:bookmarkEnd w:id="495"/>
      <w:bookmarkStart w:id="496" w:name="_Toc184310311"/>
      <w:bookmarkEnd w:id="496"/>
      <w:bookmarkStart w:id="497" w:name="_Toc184313266"/>
      <w:bookmarkEnd w:id="497"/>
      <w:bookmarkStart w:id="498" w:name="_Toc184308068"/>
      <w:bookmarkEnd w:id="498"/>
      <w:bookmarkStart w:id="499" w:name="_Toc184310316"/>
      <w:bookmarkEnd w:id="499"/>
      <w:bookmarkStart w:id="500" w:name="_Toc184312079"/>
      <w:bookmarkEnd w:id="500"/>
      <w:bookmarkStart w:id="501" w:name="_Toc184308072"/>
      <w:bookmarkEnd w:id="501"/>
      <w:bookmarkStart w:id="502" w:name="_Toc184310299"/>
      <w:bookmarkEnd w:id="502"/>
      <w:bookmarkStart w:id="503" w:name="_Toc184312095"/>
      <w:bookmarkEnd w:id="503"/>
      <w:bookmarkStart w:id="504" w:name="_Toc184308078"/>
      <w:bookmarkEnd w:id="504"/>
      <w:bookmarkStart w:id="505" w:name="_Toc184312084"/>
      <w:bookmarkEnd w:id="505"/>
      <w:bookmarkStart w:id="506" w:name="_Toc184308047"/>
      <w:bookmarkEnd w:id="506"/>
      <w:bookmarkStart w:id="507" w:name="_Toc184308104"/>
      <w:bookmarkEnd w:id="507"/>
      <w:bookmarkStart w:id="508" w:name="_Toc184308041"/>
      <w:bookmarkEnd w:id="508"/>
      <w:bookmarkStart w:id="509" w:name="_Toc184310310"/>
      <w:bookmarkEnd w:id="509"/>
      <w:bookmarkStart w:id="510" w:name="_Toc184310291"/>
      <w:bookmarkEnd w:id="510"/>
      <w:bookmarkStart w:id="511" w:name="_Toc184313288"/>
      <w:bookmarkEnd w:id="511"/>
      <w:bookmarkStart w:id="512" w:name="_Toc184310298"/>
      <w:bookmarkEnd w:id="512"/>
      <w:bookmarkStart w:id="513" w:name="_Toc184312107"/>
      <w:bookmarkEnd w:id="513"/>
      <w:bookmarkStart w:id="514" w:name="_Toc184308048"/>
      <w:bookmarkEnd w:id="514"/>
      <w:bookmarkStart w:id="515" w:name="_Toc184310277"/>
      <w:bookmarkEnd w:id="515"/>
      <w:bookmarkStart w:id="516" w:name="_Toc184313254"/>
      <w:bookmarkEnd w:id="516"/>
      <w:bookmarkStart w:id="517" w:name="_Toc184312113"/>
      <w:bookmarkEnd w:id="517"/>
      <w:bookmarkStart w:id="518" w:name="_Toc184308038"/>
      <w:bookmarkEnd w:id="518"/>
      <w:bookmarkStart w:id="519" w:name="_Toc184312119"/>
      <w:bookmarkEnd w:id="519"/>
      <w:bookmarkStart w:id="520" w:name="_Toc184312088"/>
      <w:bookmarkEnd w:id="520"/>
      <w:bookmarkStart w:id="521" w:name="_Toc184310283"/>
      <w:bookmarkEnd w:id="521"/>
      <w:bookmarkStart w:id="522" w:name="_Toc184310294"/>
      <w:bookmarkEnd w:id="522"/>
      <w:bookmarkStart w:id="523" w:name="_Toc184312085"/>
      <w:bookmarkEnd w:id="523"/>
      <w:bookmarkStart w:id="524" w:name="_Toc184310319"/>
      <w:bookmarkEnd w:id="524"/>
      <w:bookmarkStart w:id="525" w:name="_Toc184310306"/>
      <w:bookmarkEnd w:id="525"/>
      <w:bookmarkStart w:id="526" w:name="_Toc184313255"/>
      <w:bookmarkEnd w:id="526"/>
      <w:bookmarkStart w:id="527" w:name="_Toc184313270"/>
      <w:bookmarkEnd w:id="527"/>
      <w:bookmarkStart w:id="528" w:name="_Toc184312110"/>
      <w:bookmarkEnd w:id="528"/>
      <w:bookmarkStart w:id="529" w:name="_Toc184312082"/>
      <w:bookmarkEnd w:id="529"/>
      <w:bookmarkStart w:id="530" w:name="_Toc184312087"/>
      <w:bookmarkEnd w:id="530"/>
      <w:bookmarkStart w:id="531" w:name="_Toc184313277"/>
      <w:bookmarkEnd w:id="531"/>
      <w:bookmarkStart w:id="532" w:name="_Toc184312097"/>
      <w:bookmarkEnd w:id="532"/>
      <w:bookmarkStart w:id="533" w:name="_Toc184308099"/>
      <w:bookmarkEnd w:id="533"/>
      <w:bookmarkStart w:id="534" w:name="_Toc184314438"/>
      <w:bookmarkEnd w:id="534"/>
      <w:bookmarkStart w:id="535" w:name="_Toc184308083"/>
      <w:bookmarkEnd w:id="535"/>
      <w:bookmarkStart w:id="536" w:name="_Toc184308092"/>
      <w:bookmarkEnd w:id="536"/>
      <w:bookmarkStart w:id="537" w:name="_Toc184308055"/>
      <w:bookmarkEnd w:id="537"/>
      <w:bookmarkStart w:id="538" w:name="_Toc184308054"/>
      <w:bookmarkEnd w:id="538"/>
      <w:bookmarkStart w:id="539" w:name="_Toc184312072"/>
      <w:bookmarkEnd w:id="539"/>
      <w:bookmarkStart w:id="540" w:name="_Toc184313297"/>
      <w:bookmarkEnd w:id="540"/>
      <w:bookmarkStart w:id="541" w:name="_Toc184310285"/>
      <w:bookmarkEnd w:id="541"/>
      <w:bookmarkStart w:id="542" w:name="_Toc184314411"/>
      <w:bookmarkEnd w:id="542"/>
      <w:bookmarkStart w:id="543" w:name="_Toc184310327"/>
      <w:bookmarkEnd w:id="543"/>
      <w:bookmarkStart w:id="544" w:name="_Toc184314478"/>
      <w:bookmarkEnd w:id="544"/>
      <w:bookmarkStart w:id="545" w:name="_Toc184312100"/>
      <w:bookmarkEnd w:id="545"/>
      <w:bookmarkStart w:id="546" w:name="_Toc184312068"/>
      <w:bookmarkEnd w:id="546"/>
      <w:r>
        <w:rPr>
          <w:rFonts w:hint="eastAsia" w:ascii="仿宋" w:hAnsi="仿宋" w:eastAsia="仿宋" w:cs="宋体"/>
          <w:b/>
          <w:bCs/>
          <w:color w:val="auto"/>
          <w:sz w:val="44"/>
          <w:highlight w:val="none"/>
        </w:rPr>
        <w:t>评标办法</w:t>
      </w:r>
      <w:bookmarkEnd w:id="172"/>
      <w:bookmarkEnd w:id="173"/>
      <w:bookmarkEnd w:id="174"/>
      <w:bookmarkEnd w:id="175"/>
      <w:bookmarkEnd w:id="176"/>
      <w:bookmarkEnd w:id="181"/>
    </w:p>
    <w:p>
      <w:pPr>
        <w:pStyle w:val="5"/>
        <w:jc w:val="center"/>
        <w:rPr>
          <w:rFonts w:ascii="仿宋" w:hAnsi="仿宋" w:eastAsia="仿宋"/>
          <w:color w:val="auto"/>
          <w:highlight w:val="none"/>
        </w:rPr>
      </w:pPr>
      <w:bookmarkStart w:id="547" w:name="_Toc14917"/>
      <w:bookmarkStart w:id="548" w:name="_Toc10534"/>
      <w:bookmarkStart w:id="549" w:name="_Toc1779877393"/>
      <w:bookmarkStart w:id="550" w:name="_Hlk95733559"/>
      <w:bookmarkStart w:id="551" w:name="_Toc880745451"/>
      <w:bookmarkStart w:id="552" w:name="_Toc95312984"/>
      <w:bookmarkStart w:id="553" w:name="_Toc2378"/>
      <w:bookmarkStart w:id="554" w:name="_Toc30992"/>
      <w:r>
        <w:rPr>
          <w:rFonts w:hint="eastAsia" w:ascii="仿宋" w:hAnsi="仿宋" w:eastAsia="仿宋"/>
          <w:color w:val="auto"/>
          <w:highlight w:val="none"/>
        </w:rPr>
        <w:t>评标办法前附表</w:t>
      </w:r>
      <w:bookmarkEnd w:id="547"/>
      <w:bookmarkEnd w:id="548"/>
      <w:bookmarkEnd w:id="549"/>
    </w:p>
    <w:tbl>
      <w:tblPr>
        <w:tblStyle w:val="88"/>
        <w:tblW w:w="8767" w:type="dxa"/>
        <w:tblInd w:w="-8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2047"/>
        <w:gridCol w:w="1235"/>
        <w:gridCol w:w="46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3" w:hRule="atLeast"/>
        </w:trPr>
        <w:tc>
          <w:tcPr>
            <w:tcW w:w="817" w:type="dxa"/>
            <w:tcBorders>
              <w:right w:val="single" w:color="auto" w:sz="4" w:space="0"/>
            </w:tcBorders>
          </w:tcPr>
          <w:p>
            <w:pPr>
              <w:spacing w:line="360" w:lineRule="auto"/>
              <w:jc w:val="center"/>
              <w:rPr>
                <w:rFonts w:ascii="仿宋" w:hAnsi="仿宋" w:eastAsia="仿宋"/>
                <w:bCs/>
                <w:color w:val="auto"/>
                <w:sz w:val="24"/>
                <w:highlight w:val="none"/>
              </w:rPr>
            </w:pPr>
            <w:r>
              <w:rPr>
                <w:rFonts w:hint="eastAsia" w:ascii="仿宋" w:hAnsi="仿宋" w:eastAsia="仿宋"/>
                <w:bCs/>
                <w:color w:val="auto"/>
                <w:sz w:val="24"/>
                <w:highlight w:val="none"/>
              </w:rPr>
              <w:t>序号</w:t>
            </w:r>
          </w:p>
        </w:tc>
        <w:tc>
          <w:tcPr>
            <w:tcW w:w="2047" w:type="dxa"/>
            <w:tcBorders>
              <w:left w:val="single" w:color="auto" w:sz="4" w:space="0"/>
            </w:tcBorders>
          </w:tcPr>
          <w:p>
            <w:pPr>
              <w:spacing w:line="360" w:lineRule="auto"/>
              <w:jc w:val="center"/>
              <w:rPr>
                <w:rFonts w:ascii="仿宋" w:hAnsi="仿宋" w:eastAsia="仿宋"/>
                <w:bCs/>
                <w:color w:val="auto"/>
                <w:sz w:val="24"/>
                <w:highlight w:val="none"/>
              </w:rPr>
            </w:pPr>
            <w:r>
              <w:rPr>
                <w:rFonts w:hint="eastAsia" w:ascii="仿宋" w:hAnsi="仿宋" w:eastAsia="仿宋"/>
                <w:bCs/>
                <w:color w:val="auto"/>
                <w:sz w:val="24"/>
                <w:highlight w:val="none"/>
              </w:rPr>
              <w:t>分项内容</w:t>
            </w:r>
          </w:p>
        </w:tc>
        <w:tc>
          <w:tcPr>
            <w:tcW w:w="1235" w:type="dxa"/>
          </w:tcPr>
          <w:p>
            <w:pPr>
              <w:spacing w:line="360" w:lineRule="auto"/>
              <w:jc w:val="center"/>
              <w:rPr>
                <w:rFonts w:ascii="仿宋" w:hAnsi="仿宋" w:eastAsia="仿宋"/>
                <w:bCs/>
                <w:color w:val="auto"/>
                <w:sz w:val="24"/>
                <w:highlight w:val="none"/>
              </w:rPr>
            </w:pPr>
            <w:r>
              <w:rPr>
                <w:rFonts w:hint="eastAsia" w:ascii="仿宋" w:hAnsi="仿宋" w:eastAsia="仿宋"/>
                <w:bCs/>
                <w:color w:val="auto"/>
                <w:sz w:val="24"/>
                <w:highlight w:val="none"/>
              </w:rPr>
              <w:t>分值范围</w:t>
            </w:r>
          </w:p>
        </w:tc>
        <w:tc>
          <w:tcPr>
            <w:tcW w:w="4668" w:type="dxa"/>
          </w:tcPr>
          <w:p>
            <w:pPr>
              <w:spacing w:line="360" w:lineRule="auto"/>
              <w:jc w:val="center"/>
              <w:rPr>
                <w:rFonts w:ascii="仿宋" w:hAnsi="仿宋" w:eastAsia="仿宋"/>
                <w:bCs/>
                <w:color w:val="auto"/>
                <w:sz w:val="24"/>
                <w:highlight w:val="none"/>
              </w:rPr>
            </w:pPr>
            <w:r>
              <w:rPr>
                <w:rFonts w:hint="eastAsia" w:ascii="仿宋" w:hAnsi="仿宋" w:eastAsia="仿宋"/>
                <w:bCs/>
                <w:color w:val="auto"/>
                <w:sz w:val="24"/>
                <w:highlight w:val="none"/>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3" w:hRule="atLeast"/>
        </w:trPr>
        <w:tc>
          <w:tcPr>
            <w:tcW w:w="817" w:type="dxa"/>
            <w:tcBorders>
              <w:right w:val="single" w:color="auto" w:sz="4" w:space="0"/>
            </w:tcBorders>
            <w:vAlign w:val="center"/>
          </w:tcPr>
          <w:p>
            <w:pPr>
              <w:spacing w:line="360" w:lineRule="auto"/>
              <w:jc w:val="center"/>
              <w:rPr>
                <w:rFonts w:ascii="仿宋" w:hAnsi="仿宋" w:eastAsia="仿宋"/>
                <w:bCs/>
                <w:color w:val="auto"/>
                <w:sz w:val="24"/>
                <w:highlight w:val="none"/>
              </w:rPr>
            </w:pPr>
            <w:r>
              <w:rPr>
                <w:rFonts w:hint="eastAsia" w:ascii="仿宋" w:hAnsi="仿宋" w:eastAsia="仿宋"/>
                <w:bCs/>
                <w:color w:val="auto"/>
                <w:sz w:val="24"/>
                <w:highlight w:val="none"/>
              </w:rPr>
              <w:t>1、报价</w:t>
            </w:r>
          </w:p>
        </w:tc>
        <w:tc>
          <w:tcPr>
            <w:tcW w:w="2047" w:type="dxa"/>
            <w:tcBorders>
              <w:left w:val="single" w:color="auto" w:sz="4" w:space="0"/>
            </w:tcBorders>
            <w:vAlign w:val="center"/>
          </w:tcPr>
          <w:p>
            <w:pPr>
              <w:spacing w:line="360" w:lineRule="auto"/>
              <w:jc w:val="center"/>
              <w:rPr>
                <w:rFonts w:ascii="仿宋" w:hAnsi="仿宋" w:eastAsia="仿宋"/>
                <w:bCs/>
                <w:color w:val="auto"/>
                <w:sz w:val="24"/>
                <w:highlight w:val="none"/>
              </w:rPr>
            </w:pPr>
            <w:r>
              <w:rPr>
                <w:rFonts w:hint="eastAsia" w:ascii="仿宋" w:hAnsi="仿宋" w:eastAsia="仿宋"/>
                <w:bCs/>
                <w:color w:val="auto"/>
                <w:sz w:val="24"/>
                <w:highlight w:val="none"/>
              </w:rPr>
              <w:t>报价得分</w:t>
            </w:r>
          </w:p>
        </w:tc>
        <w:tc>
          <w:tcPr>
            <w:tcW w:w="1235" w:type="dxa"/>
            <w:vAlign w:val="center"/>
          </w:tcPr>
          <w:p>
            <w:pPr>
              <w:spacing w:line="360" w:lineRule="auto"/>
              <w:jc w:val="center"/>
              <w:rPr>
                <w:rFonts w:ascii="仿宋" w:hAnsi="仿宋" w:eastAsia="仿宋"/>
                <w:bCs/>
                <w:color w:val="auto"/>
                <w:sz w:val="24"/>
                <w:highlight w:val="none"/>
              </w:rPr>
            </w:pPr>
            <w:r>
              <w:rPr>
                <w:rFonts w:ascii="仿宋" w:hAnsi="仿宋" w:eastAsia="仿宋"/>
                <w:bCs/>
                <w:color w:val="auto"/>
                <w:sz w:val="24"/>
                <w:highlight w:val="none"/>
              </w:rPr>
              <w:t>0</w:t>
            </w:r>
            <w:r>
              <w:rPr>
                <w:rFonts w:hint="eastAsia" w:ascii="仿宋" w:hAnsi="仿宋" w:eastAsia="仿宋"/>
                <w:bCs/>
                <w:color w:val="auto"/>
                <w:sz w:val="24"/>
                <w:highlight w:val="none"/>
              </w:rPr>
              <w:t>-1</w:t>
            </w:r>
            <w:r>
              <w:rPr>
                <w:rFonts w:ascii="仿宋" w:hAnsi="仿宋" w:eastAsia="仿宋"/>
                <w:bCs/>
                <w:color w:val="auto"/>
                <w:sz w:val="24"/>
                <w:highlight w:val="none"/>
              </w:rPr>
              <w:t>0</w:t>
            </w:r>
            <w:r>
              <w:rPr>
                <w:rFonts w:hint="eastAsia" w:ascii="仿宋" w:hAnsi="仿宋" w:eastAsia="仿宋"/>
                <w:bCs/>
                <w:color w:val="auto"/>
                <w:sz w:val="24"/>
                <w:highlight w:val="none"/>
              </w:rPr>
              <w:t>分</w:t>
            </w:r>
          </w:p>
        </w:tc>
        <w:tc>
          <w:tcPr>
            <w:tcW w:w="4668" w:type="dxa"/>
          </w:tcPr>
          <w:p>
            <w:pPr>
              <w:spacing w:line="360" w:lineRule="auto"/>
              <w:outlineLvl w:val="0"/>
              <w:rPr>
                <w:rFonts w:ascii="仿宋" w:hAnsi="仿宋" w:eastAsia="仿宋" w:cs="仿宋_GB2312"/>
                <w:color w:val="auto"/>
                <w:sz w:val="24"/>
                <w:highlight w:val="none"/>
              </w:rPr>
            </w:pPr>
            <w:r>
              <w:rPr>
                <w:rFonts w:hint="eastAsia" w:ascii="仿宋" w:hAnsi="仿宋" w:eastAsia="仿宋" w:cs="仿宋_GB2312"/>
                <w:color w:val="auto"/>
                <w:sz w:val="24"/>
                <w:highlight w:val="none"/>
              </w:rPr>
              <w:t>有效投标报价的最低价作为评标基准价，其最低报价为满分；按［投标报价得分=（评标基准价/投标报价）*10］的计算公式计算。</w:t>
            </w:r>
          </w:p>
          <w:p>
            <w:pPr>
              <w:widowControl/>
              <w:shd w:val="clear" w:color="auto" w:fill="FFFFFF"/>
              <w:adjustRightInd/>
              <w:spacing w:after="225" w:line="360" w:lineRule="auto"/>
              <w:ind w:firstLine="420"/>
              <w:rPr>
                <w:rFonts w:ascii="仿宋" w:hAnsi="仿宋" w:eastAsia="仿宋" w:cs="仿宋_GB2312"/>
                <w:color w:val="auto"/>
                <w:sz w:val="24"/>
                <w:highlight w:val="none"/>
              </w:rPr>
            </w:pPr>
            <w:r>
              <w:rPr>
                <w:rFonts w:hint="eastAsia" w:ascii="仿宋" w:hAnsi="仿宋" w:eastAsia="仿宋" w:cs="仿宋_GB2312"/>
                <w:color w:val="auto"/>
                <w:sz w:val="24"/>
                <w:highlight w:val="none"/>
              </w:rPr>
              <w:t>评标过程中，不得去掉报价中的最高报价和最低报价。</w:t>
            </w:r>
          </w:p>
          <w:p>
            <w:pPr>
              <w:spacing w:line="360" w:lineRule="auto"/>
              <w:jc w:val="center"/>
              <w:rPr>
                <w:rFonts w:ascii="仿宋" w:hAnsi="仿宋" w:eastAsia="仿宋"/>
                <w:bCs/>
                <w:color w:val="auto"/>
                <w:sz w:val="24"/>
                <w:highlight w:val="none"/>
              </w:rPr>
            </w:pPr>
            <w:r>
              <w:rPr>
                <w:rFonts w:hint="eastAsia" w:ascii="仿宋" w:hAnsi="仿宋" w:eastAsia="仿宋" w:cs="仿宋_GB2312"/>
                <w:color w:val="auto"/>
                <w:sz w:val="24"/>
                <w:highlight w:val="none"/>
              </w:rPr>
              <w:t>因落实政府采购政策需要进行价格调整的，以调整后的价格计算评标基准价和投标报价。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3" w:hRule="atLeast"/>
        </w:trPr>
        <w:tc>
          <w:tcPr>
            <w:tcW w:w="817" w:type="dxa"/>
            <w:tcBorders>
              <w:right w:val="single" w:color="auto" w:sz="4" w:space="0"/>
            </w:tcBorders>
            <w:vAlign w:val="center"/>
          </w:tcPr>
          <w:p>
            <w:pPr>
              <w:spacing w:line="360" w:lineRule="auto"/>
              <w:jc w:val="center"/>
              <w:rPr>
                <w:rFonts w:ascii="仿宋" w:hAnsi="仿宋" w:eastAsia="仿宋"/>
                <w:bCs/>
                <w:color w:val="auto"/>
                <w:sz w:val="24"/>
                <w:highlight w:val="none"/>
              </w:rPr>
            </w:pPr>
            <w:r>
              <w:rPr>
                <w:rFonts w:ascii="仿宋" w:hAnsi="仿宋" w:eastAsia="仿宋"/>
                <w:bCs/>
                <w:color w:val="auto"/>
                <w:sz w:val="24"/>
                <w:highlight w:val="none"/>
              </w:rPr>
              <w:t>2</w:t>
            </w:r>
            <w:r>
              <w:rPr>
                <w:rFonts w:hint="eastAsia" w:ascii="仿宋" w:hAnsi="仿宋" w:eastAsia="仿宋"/>
                <w:bCs/>
                <w:color w:val="auto"/>
                <w:sz w:val="24"/>
                <w:highlight w:val="none"/>
              </w:rPr>
              <w:t>、技术参数（5分）</w:t>
            </w:r>
          </w:p>
        </w:tc>
        <w:tc>
          <w:tcPr>
            <w:tcW w:w="2047" w:type="dxa"/>
            <w:tcBorders>
              <w:left w:val="single" w:color="auto" w:sz="4" w:space="0"/>
            </w:tcBorders>
            <w:vAlign w:val="center"/>
          </w:tcPr>
          <w:p>
            <w:pPr>
              <w:spacing w:line="360" w:lineRule="auto"/>
              <w:jc w:val="center"/>
              <w:rPr>
                <w:rFonts w:ascii="仿宋" w:hAnsi="仿宋" w:eastAsia="仿宋"/>
                <w:bCs/>
                <w:color w:val="auto"/>
                <w:sz w:val="24"/>
                <w:highlight w:val="none"/>
              </w:rPr>
            </w:pPr>
            <w:r>
              <w:rPr>
                <w:rFonts w:hint="eastAsia" w:ascii="仿宋" w:hAnsi="仿宋" w:eastAsia="仿宋"/>
                <w:bCs/>
                <w:color w:val="auto"/>
                <w:sz w:val="24"/>
                <w:highlight w:val="none"/>
              </w:rPr>
              <w:t>技术参数</w:t>
            </w:r>
          </w:p>
        </w:tc>
        <w:tc>
          <w:tcPr>
            <w:tcW w:w="1235" w:type="dxa"/>
            <w:vAlign w:val="center"/>
          </w:tcPr>
          <w:p>
            <w:pPr>
              <w:spacing w:line="360" w:lineRule="auto"/>
              <w:jc w:val="center"/>
              <w:rPr>
                <w:rFonts w:ascii="仿宋" w:hAnsi="仿宋" w:eastAsia="仿宋"/>
                <w:bCs/>
                <w:color w:val="auto"/>
                <w:sz w:val="24"/>
                <w:highlight w:val="none"/>
              </w:rPr>
            </w:pPr>
            <w:r>
              <w:rPr>
                <w:rFonts w:hint="eastAsia" w:ascii="仿宋" w:hAnsi="仿宋" w:eastAsia="仿宋" w:cs="宋体"/>
                <w:color w:val="auto"/>
                <w:sz w:val="24"/>
                <w:highlight w:val="none"/>
              </w:rPr>
              <w:t>0-</w:t>
            </w:r>
            <w:r>
              <w:rPr>
                <w:rFonts w:ascii="仿宋" w:hAnsi="仿宋" w:eastAsia="仿宋" w:cs="宋体"/>
                <w:color w:val="auto"/>
                <w:sz w:val="24"/>
                <w:highlight w:val="none"/>
              </w:rPr>
              <w:t>5</w:t>
            </w:r>
            <w:r>
              <w:rPr>
                <w:rFonts w:hint="eastAsia" w:ascii="仿宋" w:hAnsi="仿宋" w:eastAsia="仿宋" w:cs="宋体"/>
                <w:color w:val="auto"/>
                <w:sz w:val="24"/>
                <w:highlight w:val="none"/>
              </w:rPr>
              <w:t>分</w:t>
            </w:r>
          </w:p>
        </w:tc>
        <w:tc>
          <w:tcPr>
            <w:tcW w:w="4668" w:type="dxa"/>
          </w:tcPr>
          <w:p>
            <w:pPr>
              <w:widowControl/>
              <w:spacing w:line="360" w:lineRule="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提供设备满足采购文件的性能及技术指标要求，所有指标均满足采购文件技术参数等要求的，得基本分</w:t>
            </w:r>
            <w:r>
              <w:rPr>
                <w:rFonts w:ascii="仿宋" w:hAnsi="仿宋" w:eastAsia="仿宋" w:cs="仿宋"/>
                <w:color w:val="auto"/>
                <w:kern w:val="0"/>
                <w:sz w:val="24"/>
                <w:highlight w:val="none"/>
              </w:rPr>
              <w:t>5</w:t>
            </w:r>
            <w:r>
              <w:rPr>
                <w:rFonts w:hint="eastAsia" w:ascii="仿宋" w:hAnsi="仿宋" w:eastAsia="仿宋" w:cs="仿宋"/>
                <w:color w:val="auto"/>
                <w:kern w:val="0"/>
                <w:sz w:val="24"/>
                <w:highlight w:val="none"/>
              </w:rPr>
              <w:t>分；</w:t>
            </w:r>
          </w:p>
          <w:p>
            <w:pPr>
              <w:widowControl/>
              <w:spacing w:line="360" w:lineRule="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技术参数如有一项不满足的，扣</w:t>
            </w:r>
            <w:r>
              <w:rPr>
                <w:rFonts w:ascii="仿宋" w:hAnsi="仿宋" w:eastAsia="仿宋" w:cs="仿宋"/>
                <w:color w:val="auto"/>
                <w:kern w:val="0"/>
                <w:sz w:val="24"/>
                <w:highlight w:val="none"/>
              </w:rPr>
              <w:t>1</w:t>
            </w:r>
            <w:r>
              <w:rPr>
                <w:rFonts w:hint="eastAsia" w:ascii="仿宋" w:hAnsi="仿宋" w:eastAsia="仿宋" w:cs="仿宋"/>
                <w:color w:val="auto"/>
                <w:kern w:val="0"/>
                <w:sz w:val="24"/>
                <w:highlight w:val="none"/>
              </w:rPr>
              <w:t>分，扣完为止。</w:t>
            </w:r>
          </w:p>
          <w:p>
            <w:pPr>
              <w:spacing w:line="360" w:lineRule="auto"/>
              <w:outlineLvl w:val="0"/>
              <w:rPr>
                <w:rFonts w:ascii="仿宋" w:hAnsi="仿宋" w:eastAsia="仿宋" w:cs="仿宋_GB2312"/>
                <w:color w:val="auto"/>
                <w:sz w:val="24"/>
                <w:highlight w:val="none"/>
              </w:rPr>
            </w:pPr>
            <w:r>
              <w:rPr>
                <w:rFonts w:hint="eastAsia" w:ascii="仿宋" w:hAnsi="仿宋" w:eastAsia="仿宋" w:cs="仿宋"/>
                <w:b/>
                <w:bCs/>
                <w:color w:val="auto"/>
                <w:kern w:val="0"/>
                <w:highlight w:val="none"/>
              </w:rPr>
              <w:t>注：投标文件中提供采购清单中要求的相关证明材料，否则不得分。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0" w:hRule="atLeast"/>
        </w:trPr>
        <w:tc>
          <w:tcPr>
            <w:tcW w:w="817" w:type="dxa"/>
            <w:vMerge w:val="restart"/>
            <w:tcBorders>
              <w:right w:val="single" w:color="auto" w:sz="4" w:space="0"/>
            </w:tcBorders>
            <w:vAlign w:val="center"/>
          </w:tcPr>
          <w:p>
            <w:pPr>
              <w:spacing w:line="360" w:lineRule="auto"/>
              <w:jc w:val="center"/>
              <w:rPr>
                <w:rFonts w:ascii="仿宋" w:hAnsi="仿宋" w:eastAsia="仿宋"/>
                <w:caps/>
                <w:color w:val="auto"/>
                <w:sz w:val="24"/>
                <w:highlight w:val="none"/>
              </w:rPr>
            </w:pPr>
            <w:r>
              <w:rPr>
                <w:rFonts w:ascii="仿宋" w:hAnsi="仿宋" w:eastAsia="仿宋" w:cs="宋体"/>
                <w:b/>
                <w:bCs/>
                <w:color w:val="auto"/>
                <w:sz w:val="24"/>
                <w:highlight w:val="none"/>
              </w:rPr>
              <w:t>3</w:t>
            </w:r>
            <w:r>
              <w:rPr>
                <w:rFonts w:hint="eastAsia" w:ascii="仿宋" w:hAnsi="仿宋" w:eastAsia="仿宋" w:cs="宋体"/>
                <w:b/>
                <w:bCs/>
                <w:color w:val="auto"/>
                <w:sz w:val="24"/>
                <w:highlight w:val="none"/>
              </w:rPr>
              <w:t>、布展大纲撰写（10分）</w:t>
            </w:r>
          </w:p>
        </w:tc>
        <w:tc>
          <w:tcPr>
            <w:tcW w:w="2047" w:type="dxa"/>
            <w:tcBorders>
              <w:left w:val="single" w:color="auto" w:sz="4" w:space="0"/>
            </w:tcBorders>
            <w:vAlign w:val="center"/>
          </w:tcPr>
          <w:p>
            <w:pPr>
              <w:widowControl/>
              <w:spacing w:line="360" w:lineRule="auto"/>
              <w:jc w:val="left"/>
              <w:rPr>
                <w:rFonts w:ascii="仿宋" w:hAnsi="仿宋" w:eastAsia="仿宋" w:cs="宋体"/>
                <w:color w:val="auto"/>
                <w:sz w:val="24"/>
                <w:highlight w:val="none"/>
              </w:rPr>
            </w:pPr>
            <w:r>
              <w:rPr>
                <w:rFonts w:hint="eastAsia" w:ascii="仿宋" w:hAnsi="仿宋" w:eastAsia="仿宋" w:cs="宋体"/>
                <w:color w:val="auto"/>
                <w:sz w:val="24"/>
                <w:highlight w:val="none"/>
              </w:rPr>
              <w:t>（1）布展与陈列大纲内容理解和体现程度</w:t>
            </w:r>
          </w:p>
        </w:tc>
        <w:tc>
          <w:tcPr>
            <w:tcW w:w="1235" w:type="dxa"/>
            <w:vAlign w:val="center"/>
          </w:tcPr>
          <w:p>
            <w:pPr>
              <w:spacing w:line="360" w:lineRule="auto"/>
              <w:jc w:val="center"/>
              <w:rPr>
                <w:rFonts w:ascii="仿宋" w:hAnsi="仿宋" w:eastAsia="仿宋"/>
                <w:bCs/>
                <w:color w:val="auto"/>
                <w:sz w:val="24"/>
                <w:highlight w:val="none"/>
              </w:rPr>
            </w:pPr>
            <w:r>
              <w:rPr>
                <w:rFonts w:hint="eastAsia" w:ascii="仿宋" w:hAnsi="仿宋" w:eastAsia="仿宋" w:cs="宋体"/>
                <w:color w:val="auto"/>
                <w:sz w:val="24"/>
                <w:highlight w:val="none"/>
              </w:rPr>
              <w:t>0-5分</w:t>
            </w:r>
          </w:p>
        </w:tc>
        <w:tc>
          <w:tcPr>
            <w:tcW w:w="4668" w:type="dxa"/>
            <w:vAlign w:val="center"/>
          </w:tcPr>
          <w:p>
            <w:pPr>
              <w:spacing w:line="360" w:lineRule="auto"/>
              <w:jc w:val="left"/>
              <w:rPr>
                <w:rFonts w:ascii="仿宋" w:hAnsi="仿宋" w:eastAsia="仿宋" w:cs="宋体"/>
                <w:color w:val="auto"/>
                <w:kern w:val="0"/>
                <w:sz w:val="24"/>
                <w:highlight w:val="none"/>
                <w:lang w:bidi="ar"/>
              </w:rPr>
            </w:pPr>
            <w:r>
              <w:rPr>
                <w:rFonts w:hint="eastAsia" w:ascii="仿宋" w:hAnsi="仿宋" w:eastAsia="仿宋" w:cs="宋体"/>
                <w:color w:val="auto"/>
                <w:sz w:val="24"/>
                <w:highlight w:val="none"/>
              </w:rPr>
              <w:t>布展陈列大纲主题内容立意鲜明，能够体现俞樾纪念馆的特色，整体方案具有创意，策划理念符合展馆的总体定位，具有针对性、创新性、前瞻性</w:t>
            </w:r>
            <w:r>
              <w:rPr>
                <w:rFonts w:hint="eastAsia" w:ascii="仿宋" w:hAnsi="仿宋" w:eastAsia="仿宋" w:cs="宋体"/>
                <w:color w:val="auto"/>
                <w:kern w:val="0"/>
                <w:sz w:val="24"/>
                <w:highlight w:val="none"/>
                <w:lang w:bidi="ar"/>
              </w:rPr>
              <w:t>得</w:t>
            </w:r>
            <w:r>
              <w:rPr>
                <w:rFonts w:ascii="仿宋" w:hAnsi="仿宋" w:eastAsia="仿宋" w:cs="宋体"/>
                <w:color w:val="auto"/>
                <w:kern w:val="0"/>
                <w:sz w:val="24"/>
                <w:highlight w:val="none"/>
                <w:lang w:bidi="ar"/>
              </w:rPr>
              <w:t>5</w:t>
            </w:r>
            <w:r>
              <w:rPr>
                <w:rFonts w:hint="eastAsia" w:ascii="仿宋" w:hAnsi="仿宋" w:eastAsia="仿宋" w:cs="宋体"/>
                <w:color w:val="auto"/>
                <w:kern w:val="0"/>
                <w:sz w:val="24"/>
                <w:highlight w:val="none"/>
                <w:lang w:bidi="ar"/>
              </w:rPr>
              <w:t>分；</w:t>
            </w:r>
            <w:r>
              <w:rPr>
                <w:rFonts w:hint="eastAsia" w:ascii="仿宋" w:hAnsi="仿宋" w:eastAsia="仿宋" w:cs="宋体"/>
                <w:color w:val="auto"/>
                <w:sz w:val="24"/>
                <w:highlight w:val="none"/>
              </w:rPr>
              <w:t>整体方案较具有创意，策划理念较符合展馆的总体定位，较具有针对性、创新性、前瞻性</w:t>
            </w:r>
            <w:r>
              <w:rPr>
                <w:rFonts w:hint="eastAsia" w:ascii="仿宋" w:hAnsi="仿宋" w:eastAsia="仿宋" w:cs="宋体"/>
                <w:color w:val="auto"/>
                <w:kern w:val="0"/>
                <w:sz w:val="24"/>
                <w:highlight w:val="none"/>
                <w:lang w:bidi="ar"/>
              </w:rPr>
              <w:t>得</w:t>
            </w:r>
            <w:r>
              <w:rPr>
                <w:rFonts w:ascii="仿宋" w:hAnsi="仿宋" w:eastAsia="仿宋" w:cs="宋体"/>
                <w:color w:val="auto"/>
                <w:kern w:val="0"/>
                <w:sz w:val="24"/>
                <w:highlight w:val="none"/>
                <w:lang w:bidi="ar"/>
              </w:rPr>
              <w:t>3</w:t>
            </w:r>
            <w:r>
              <w:rPr>
                <w:rFonts w:hint="eastAsia" w:ascii="仿宋" w:hAnsi="仿宋" w:eastAsia="仿宋" w:cs="宋体"/>
                <w:color w:val="auto"/>
                <w:kern w:val="0"/>
                <w:sz w:val="24"/>
                <w:highlight w:val="none"/>
                <w:lang w:bidi="ar"/>
              </w:rPr>
              <w:t>分；</w:t>
            </w:r>
            <w:r>
              <w:rPr>
                <w:rFonts w:hint="eastAsia" w:ascii="仿宋" w:hAnsi="仿宋" w:eastAsia="仿宋" w:cs="宋体"/>
                <w:color w:val="auto"/>
                <w:sz w:val="24"/>
                <w:highlight w:val="none"/>
              </w:rPr>
              <w:t>整体方案具有一定创意，策划理念与展馆的总体定位有一定偏离，针对性、创新性、前瞻性有一定不足，需进一步完善</w:t>
            </w:r>
            <w:r>
              <w:rPr>
                <w:rFonts w:hint="eastAsia" w:ascii="仿宋" w:hAnsi="仿宋" w:eastAsia="仿宋" w:cs="宋体"/>
                <w:color w:val="auto"/>
                <w:kern w:val="0"/>
                <w:sz w:val="24"/>
                <w:highlight w:val="none"/>
                <w:lang w:bidi="ar"/>
              </w:rPr>
              <w:t>得</w:t>
            </w:r>
            <w:r>
              <w:rPr>
                <w:rFonts w:ascii="仿宋" w:hAnsi="仿宋" w:eastAsia="仿宋" w:cs="宋体"/>
                <w:color w:val="auto"/>
                <w:kern w:val="0"/>
                <w:sz w:val="24"/>
                <w:highlight w:val="none"/>
                <w:lang w:bidi="ar"/>
              </w:rPr>
              <w:t>1</w:t>
            </w:r>
            <w:r>
              <w:rPr>
                <w:rFonts w:hint="eastAsia" w:ascii="仿宋" w:hAnsi="仿宋" w:eastAsia="仿宋" w:cs="宋体"/>
                <w:color w:val="auto"/>
                <w:kern w:val="0"/>
                <w:sz w:val="24"/>
                <w:highlight w:val="none"/>
                <w:lang w:bidi="ar"/>
              </w:rPr>
              <w:t>分；方案不合理或未提供方案不得分。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0" w:hRule="atLeast"/>
        </w:trPr>
        <w:tc>
          <w:tcPr>
            <w:tcW w:w="817" w:type="dxa"/>
            <w:vMerge w:val="continue"/>
            <w:tcBorders>
              <w:bottom w:val="single" w:color="auto" w:sz="4" w:space="0"/>
              <w:right w:val="single" w:color="auto" w:sz="4" w:space="0"/>
            </w:tcBorders>
            <w:vAlign w:val="center"/>
          </w:tcPr>
          <w:p>
            <w:pPr>
              <w:spacing w:line="360" w:lineRule="auto"/>
              <w:jc w:val="center"/>
              <w:rPr>
                <w:rFonts w:ascii="仿宋" w:hAnsi="仿宋" w:eastAsia="仿宋" w:cs="宋体"/>
                <w:color w:val="auto"/>
                <w:sz w:val="24"/>
                <w:highlight w:val="none"/>
              </w:rPr>
            </w:pPr>
          </w:p>
        </w:tc>
        <w:tc>
          <w:tcPr>
            <w:tcW w:w="2047" w:type="dxa"/>
            <w:tcBorders>
              <w:left w:val="single" w:color="auto" w:sz="4" w:space="0"/>
            </w:tcBorders>
            <w:vAlign w:val="center"/>
          </w:tcPr>
          <w:p>
            <w:pPr>
              <w:widowControl/>
              <w:spacing w:line="360" w:lineRule="auto"/>
              <w:jc w:val="left"/>
              <w:rPr>
                <w:rFonts w:ascii="仿宋" w:hAnsi="仿宋" w:eastAsia="仿宋" w:cs="宋体"/>
                <w:color w:val="auto"/>
                <w:sz w:val="24"/>
                <w:highlight w:val="none"/>
              </w:rPr>
            </w:pPr>
            <w:r>
              <w:rPr>
                <w:rFonts w:hint="eastAsia" w:ascii="仿宋" w:hAnsi="仿宋" w:eastAsia="仿宋" w:cs="宋体"/>
                <w:color w:val="auto"/>
                <w:sz w:val="24"/>
                <w:highlight w:val="none"/>
              </w:rPr>
              <w:t>（2）布展大纲的整体解读、叙述逻辑的创新、大纲内容的设计深度</w:t>
            </w:r>
          </w:p>
        </w:tc>
        <w:tc>
          <w:tcPr>
            <w:tcW w:w="1235" w:type="dxa"/>
            <w:vAlign w:val="center"/>
          </w:tcPr>
          <w:p>
            <w:pPr>
              <w:spacing w:line="360" w:lineRule="auto"/>
              <w:jc w:val="center"/>
              <w:rPr>
                <w:rFonts w:ascii="仿宋" w:hAnsi="仿宋" w:eastAsia="仿宋" w:cs="宋体"/>
                <w:color w:val="auto"/>
                <w:sz w:val="24"/>
                <w:highlight w:val="none"/>
              </w:rPr>
            </w:pPr>
            <w:r>
              <w:rPr>
                <w:rFonts w:hint="eastAsia" w:ascii="仿宋" w:hAnsi="仿宋" w:eastAsia="仿宋" w:cs="宋体"/>
                <w:color w:val="auto"/>
                <w:sz w:val="24"/>
                <w:highlight w:val="none"/>
              </w:rPr>
              <w:t>0-5分</w:t>
            </w:r>
          </w:p>
        </w:tc>
        <w:tc>
          <w:tcPr>
            <w:tcW w:w="4668" w:type="dxa"/>
          </w:tcPr>
          <w:p>
            <w:pPr>
              <w:spacing w:line="360" w:lineRule="auto"/>
              <w:jc w:val="left"/>
              <w:rPr>
                <w:rFonts w:ascii="仿宋" w:hAnsi="仿宋" w:eastAsia="仿宋" w:cs="宋体"/>
                <w:color w:val="auto"/>
                <w:sz w:val="24"/>
                <w:highlight w:val="none"/>
              </w:rPr>
            </w:pPr>
            <w:r>
              <w:rPr>
                <w:rFonts w:hint="eastAsia" w:ascii="仿宋" w:hAnsi="仿宋" w:eastAsia="仿宋" w:cs="宋体"/>
                <w:color w:val="auto"/>
                <w:sz w:val="24"/>
                <w:highlight w:val="none"/>
              </w:rPr>
              <w:t>对展陈大纲的解读和分析，全案展陈逻辑的梳理，设计理念、立意及构思的阐述，图片资料详实全面，内容具有系统性</w:t>
            </w:r>
            <w:r>
              <w:rPr>
                <w:rFonts w:hint="eastAsia" w:ascii="仿宋" w:hAnsi="仿宋" w:eastAsia="仿宋" w:cs="宋体"/>
                <w:color w:val="auto"/>
                <w:kern w:val="0"/>
                <w:sz w:val="24"/>
                <w:highlight w:val="none"/>
                <w:lang w:bidi="ar"/>
              </w:rPr>
              <w:t>得5分；</w:t>
            </w:r>
            <w:r>
              <w:rPr>
                <w:rFonts w:hint="eastAsia" w:ascii="仿宋" w:hAnsi="仿宋" w:eastAsia="仿宋" w:cs="宋体"/>
                <w:color w:val="auto"/>
                <w:sz w:val="24"/>
                <w:highlight w:val="none"/>
              </w:rPr>
              <w:t>对展陈大纲的解读和分析，全案展陈逻辑的梳理，设计理念、立意及构思的阐述，图片资料较为详实全面，内容较具有系统性</w:t>
            </w:r>
            <w:r>
              <w:rPr>
                <w:rFonts w:hint="eastAsia" w:ascii="仿宋" w:hAnsi="仿宋" w:eastAsia="仿宋" w:cs="宋体"/>
                <w:color w:val="auto"/>
                <w:kern w:val="0"/>
                <w:sz w:val="24"/>
                <w:highlight w:val="none"/>
                <w:lang w:bidi="ar"/>
              </w:rPr>
              <w:t>得</w:t>
            </w:r>
            <w:r>
              <w:rPr>
                <w:rFonts w:ascii="仿宋" w:hAnsi="仿宋" w:eastAsia="仿宋" w:cs="宋体"/>
                <w:color w:val="auto"/>
                <w:kern w:val="0"/>
                <w:sz w:val="24"/>
                <w:highlight w:val="none"/>
                <w:lang w:bidi="ar"/>
              </w:rPr>
              <w:t>3</w:t>
            </w:r>
            <w:r>
              <w:rPr>
                <w:rFonts w:hint="eastAsia" w:ascii="仿宋" w:hAnsi="仿宋" w:eastAsia="仿宋" w:cs="宋体"/>
                <w:color w:val="auto"/>
                <w:kern w:val="0"/>
                <w:sz w:val="24"/>
                <w:highlight w:val="none"/>
                <w:lang w:bidi="ar"/>
              </w:rPr>
              <w:t>分；</w:t>
            </w:r>
            <w:r>
              <w:rPr>
                <w:rFonts w:hint="eastAsia" w:ascii="仿宋" w:hAnsi="仿宋" w:eastAsia="仿宋" w:cs="宋体"/>
                <w:color w:val="auto"/>
                <w:sz w:val="24"/>
                <w:highlight w:val="none"/>
              </w:rPr>
              <w:t>对展陈大纲的解读和分析，全案展陈逻辑的梳理，设计理念、立意及构思的阐述，图片资料不够详实全面，内容系统性有一定不足</w:t>
            </w:r>
            <w:r>
              <w:rPr>
                <w:rFonts w:hint="eastAsia" w:ascii="仿宋" w:hAnsi="仿宋" w:eastAsia="仿宋" w:cs="宋体"/>
                <w:color w:val="auto"/>
                <w:kern w:val="0"/>
                <w:sz w:val="24"/>
                <w:highlight w:val="none"/>
                <w:lang w:bidi="ar"/>
              </w:rPr>
              <w:t>得</w:t>
            </w:r>
            <w:r>
              <w:rPr>
                <w:rFonts w:ascii="仿宋" w:hAnsi="仿宋" w:eastAsia="仿宋" w:cs="宋体"/>
                <w:color w:val="auto"/>
                <w:kern w:val="0"/>
                <w:sz w:val="24"/>
                <w:highlight w:val="none"/>
                <w:lang w:bidi="ar"/>
              </w:rPr>
              <w:t>1</w:t>
            </w:r>
            <w:r>
              <w:rPr>
                <w:rFonts w:hint="eastAsia" w:ascii="仿宋" w:hAnsi="仿宋" w:eastAsia="仿宋" w:cs="宋体"/>
                <w:color w:val="auto"/>
                <w:kern w:val="0"/>
                <w:sz w:val="24"/>
                <w:highlight w:val="none"/>
                <w:lang w:bidi="ar"/>
              </w:rPr>
              <w:t>分；方案不合理或未提供方案不得分。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5" w:hRule="atLeast"/>
        </w:trPr>
        <w:tc>
          <w:tcPr>
            <w:tcW w:w="817" w:type="dxa"/>
            <w:vMerge w:val="restart"/>
            <w:tcBorders>
              <w:top w:val="single" w:color="auto" w:sz="4" w:space="0"/>
              <w:right w:val="single" w:color="auto" w:sz="4" w:space="0"/>
            </w:tcBorders>
            <w:vAlign w:val="center"/>
          </w:tcPr>
          <w:p>
            <w:pPr>
              <w:widowControl/>
              <w:spacing w:line="360" w:lineRule="auto"/>
              <w:jc w:val="left"/>
              <w:rPr>
                <w:rFonts w:ascii="仿宋" w:hAnsi="仿宋" w:eastAsia="仿宋" w:cs="宋体"/>
                <w:color w:val="auto"/>
                <w:sz w:val="24"/>
                <w:highlight w:val="none"/>
              </w:rPr>
            </w:pPr>
            <w:r>
              <w:rPr>
                <w:rFonts w:ascii="仿宋" w:hAnsi="仿宋" w:eastAsia="仿宋" w:cs="宋体"/>
                <w:b/>
                <w:bCs/>
                <w:color w:val="auto"/>
                <w:sz w:val="24"/>
                <w:highlight w:val="none"/>
              </w:rPr>
              <w:t>4</w:t>
            </w:r>
            <w:r>
              <w:rPr>
                <w:rFonts w:hint="eastAsia" w:ascii="仿宋" w:hAnsi="仿宋" w:eastAsia="仿宋" w:cs="宋体"/>
                <w:b/>
                <w:bCs/>
                <w:color w:val="auto"/>
                <w:sz w:val="24"/>
                <w:highlight w:val="none"/>
              </w:rPr>
              <w:t>、技术分（60）</w:t>
            </w:r>
          </w:p>
        </w:tc>
        <w:tc>
          <w:tcPr>
            <w:tcW w:w="2047" w:type="dxa"/>
            <w:tcBorders>
              <w:left w:val="single" w:color="auto" w:sz="4" w:space="0"/>
            </w:tcBorders>
            <w:vAlign w:val="center"/>
          </w:tcPr>
          <w:p>
            <w:pPr>
              <w:widowControl/>
              <w:spacing w:line="360" w:lineRule="auto"/>
              <w:jc w:val="left"/>
              <w:rPr>
                <w:rFonts w:ascii="仿宋" w:hAnsi="仿宋" w:eastAsia="仿宋" w:cs="宋体"/>
                <w:color w:val="auto"/>
                <w:sz w:val="24"/>
                <w:highlight w:val="none"/>
              </w:rPr>
            </w:pPr>
            <w:r>
              <w:rPr>
                <w:rFonts w:hint="eastAsia" w:ascii="仿宋" w:hAnsi="仿宋" w:eastAsia="仿宋" w:cs="宋体"/>
                <w:color w:val="auto"/>
                <w:sz w:val="24"/>
                <w:highlight w:val="none"/>
              </w:rPr>
              <w:t>（1）总平面布局</w:t>
            </w:r>
          </w:p>
          <w:p>
            <w:pPr>
              <w:widowControl/>
              <w:spacing w:line="360" w:lineRule="auto"/>
              <w:jc w:val="left"/>
              <w:rPr>
                <w:rFonts w:ascii="仿宋" w:hAnsi="仿宋" w:eastAsia="仿宋" w:cs="宋体"/>
                <w:color w:val="auto"/>
                <w:sz w:val="24"/>
                <w:highlight w:val="none"/>
              </w:rPr>
            </w:pPr>
          </w:p>
        </w:tc>
        <w:tc>
          <w:tcPr>
            <w:tcW w:w="1235" w:type="dxa"/>
            <w:vAlign w:val="center"/>
          </w:tcPr>
          <w:p>
            <w:pPr>
              <w:spacing w:line="360" w:lineRule="auto"/>
              <w:jc w:val="center"/>
              <w:rPr>
                <w:rFonts w:ascii="仿宋" w:hAnsi="仿宋" w:eastAsia="仿宋"/>
                <w:bCs/>
                <w:color w:val="auto"/>
                <w:sz w:val="24"/>
                <w:highlight w:val="none"/>
              </w:rPr>
            </w:pPr>
            <w:r>
              <w:rPr>
                <w:rFonts w:hint="eastAsia" w:ascii="仿宋" w:hAnsi="仿宋" w:eastAsia="仿宋" w:cs="宋体"/>
                <w:color w:val="auto"/>
                <w:sz w:val="24"/>
                <w:highlight w:val="none"/>
              </w:rPr>
              <w:t>0-5分</w:t>
            </w:r>
          </w:p>
        </w:tc>
        <w:tc>
          <w:tcPr>
            <w:tcW w:w="4668" w:type="dxa"/>
          </w:tcPr>
          <w:p>
            <w:pPr>
              <w:spacing w:line="360" w:lineRule="auto"/>
              <w:jc w:val="left"/>
              <w:rPr>
                <w:rFonts w:ascii="仿宋" w:hAnsi="仿宋" w:eastAsia="仿宋" w:cs="宋体"/>
                <w:color w:val="auto"/>
                <w:sz w:val="24"/>
                <w:highlight w:val="none"/>
              </w:rPr>
            </w:pPr>
            <w:r>
              <w:rPr>
                <w:rFonts w:hint="eastAsia" w:ascii="仿宋" w:hAnsi="仿宋" w:eastAsia="仿宋" w:cs="宋体"/>
                <w:color w:val="auto"/>
                <w:sz w:val="24"/>
                <w:highlight w:val="none"/>
              </w:rPr>
              <w:t>展陈平面布局优化合理，很好的体现人性化的功能分区与展陈面积协调运用，参观路线的流畅性与节奏感强</w:t>
            </w:r>
            <w:r>
              <w:rPr>
                <w:rFonts w:hint="eastAsia" w:ascii="仿宋" w:hAnsi="仿宋" w:eastAsia="仿宋" w:cs="宋体"/>
                <w:color w:val="auto"/>
                <w:kern w:val="0"/>
                <w:sz w:val="24"/>
                <w:highlight w:val="none"/>
                <w:lang w:bidi="ar"/>
              </w:rPr>
              <w:t>得5分；</w:t>
            </w:r>
            <w:r>
              <w:rPr>
                <w:rFonts w:hint="eastAsia" w:ascii="仿宋" w:hAnsi="仿宋" w:eastAsia="仿宋" w:cs="宋体"/>
                <w:color w:val="auto"/>
                <w:sz w:val="24"/>
                <w:highlight w:val="none"/>
              </w:rPr>
              <w:t>展陈平面布局优化较为合理，较好的体现人性化的功能分区与展陈面积协调运用，参观路线的流畅性与节奏感较强</w:t>
            </w:r>
            <w:r>
              <w:rPr>
                <w:rFonts w:hint="eastAsia" w:ascii="仿宋" w:hAnsi="仿宋" w:eastAsia="仿宋" w:cs="宋体"/>
                <w:color w:val="auto"/>
                <w:kern w:val="0"/>
                <w:sz w:val="24"/>
                <w:highlight w:val="none"/>
                <w:lang w:bidi="ar"/>
              </w:rPr>
              <w:t>得</w:t>
            </w:r>
            <w:r>
              <w:rPr>
                <w:rFonts w:ascii="仿宋" w:hAnsi="仿宋" w:eastAsia="仿宋" w:cs="宋体"/>
                <w:color w:val="auto"/>
                <w:kern w:val="0"/>
                <w:sz w:val="24"/>
                <w:highlight w:val="none"/>
                <w:lang w:bidi="ar"/>
              </w:rPr>
              <w:t>3</w:t>
            </w:r>
            <w:r>
              <w:rPr>
                <w:rFonts w:hint="eastAsia" w:ascii="仿宋" w:hAnsi="仿宋" w:eastAsia="仿宋" w:cs="宋体"/>
                <w:color w:val="auto"/>
                <w:kern w:val="0"/>
                <w:sz w:val="24"/>
                <w:highlight w:val="none"/>
                <w:lang w:bidi="ar"/>
              </w:rPr>
              <w:t>分；</w:t>
            </w:r>
            <w:r>
              <w:rPr>
                <w:rFonts w:hint="eastAsia" w:ascii="仿宋" w:hAnsi="仿宋" w:eastAsia="仿宋" w:cs="宋体"/>
                <w:color w:val="auto"/>
                <w:sz w:val="24"/>
                <w:highlight w:val="none"/>
              </w:rPr>
              <w:t>展陈平面布局优化不够合理，不能完全体现人性化的功能分区与展陈面积协调运用，参观路线的流畅性与节奏感有一定缺陷</w:t>
            </w:r>
            <w:r>
              <w:rPr>
                <w:rFonts w:hint="eastAsia" w:ascii="仿宋" w:hAnsi="仿宋" w:eastAsia="仿宋" w:cs="宋体"/>
                <w:color w:val="auto"/>
                <w:kern w:val="0"/>
                <w:sz w:val="24"/>
                <w:highlight w:val="none"/>
                <w:lang w:bidi="ar"/>
              </w:rPr>
              <w:t>得</w:t>
            </w:r>
            <w:r>
              <w:rPr>
                <w:rFonts w:ascii="仿宋" w:hAnsi="仿宋" w:eastAsia="仿宋" w:cs="宋体"/>
                <w:color w:val="auto"/>
                <w:kern w:val="0"/>
                <w:sz w:val="24"/>
                <w:highlight w:val="none"/>
                <w:lang w:bidi="ar"/>
              </w:rPr>
              <w:t>1</w:t>
            </w:r>
            <w:r>
              <w:rPr>
                <w:rFonts w:hint="eastAsia" w:ascii="仿宋" w:hAnsi="仿宋" w:eastAsia="仿宋" w:cs="宋体"/>
                <w:color w:val="auto"/>
                <w:kern w:val="0"/>
                <w:sz w:val="24"/>
                <w:highlight w:val="none"/>
                <w:lang w:bidi="ar"/>
              </w:rPr>
              <w:t>分；方案不合理或未提供方案不得分。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5" w:hRule="atLeast"/>
        </w:trPr>
        <w:tc>
          <w:tcPr>
            <w:tcW w:w="817" w:type="dxa"/>
            <w:vMerge w:val="continue"/>
            <w:tcBorders>
              <w:right w:val="single" w:color="auto" w:sz="4" w:space="0"/>
            </w:tcBorders>
            <w:vAlign w:val="center"/>
          </w:tcPr>
          <w:p>
            <w:pPr>
              <w:widowControl/>
              <w:spacing w:line="360" w:lineRule="auto"/>
              <w:jc w:val="left"/>
              <w:rPr>
                <w:rFonts w:ascii="仿宋" w:hAnsi="仿宋" w:eastAsia="仿宋" w:cs="宋体"/>
                <w:b/>
                <w:bCs/>
                <w:color w:val="auto"/>
                <w:sz w:val="24"/>
                <w:highlight w:val="none"/>
              </w:rPr>
            </w:pPr>
          </w:p>
        </w:tc>
        <w:tc>
          <w:tcPr>
            <w:tcW w:w="2047" w:type="dxa"/>
            <w:tcBorders>
              <w:left w:val="single" w:color="auto" w:sz="4" w:space="0"/>
            </w:tcBorders>
            <w:vAlign w:val="center"/>
          </w:tcPr>
          <w:p>
            <w:pPr>
              <w:widowControl/>
              <w:spacing w:line="360" w:lineRule="auto"/>
              <w:jc w:val="left"/>
              <w:rPr>
                <w:rFonts w:ascii="仿宋" w:hAnsi="仿宋" w:eastAsia="仿宋" w:cs="宋体"/>
                <w:color w:val="auto"/>
                <w:sz w:val="24"/>
                <w:highlight w:val="none"/>
              </w:rPr>
            </w:pPr>
            <w:r>
              <w:rPr>
                <w:rFonts w:hint="eastAsia" w:ascii="仿宋" w:hAnsi="仿宋" w:eastAsia="仿宋" w:cs="宋体"/>
                <w:color w:val="auto"/>
                <w:sz w:val="24"/>
                <w:highlight w:val="none"/>
              </w:rPr>
              <w:t>（2）设计方案的创意、 立意及感染力</w:t>
            </w:r>
          </w:p>
        </w:tc>
        <w:tc>
          <w:tcPr>
            <w:tcW w:w="1235" w:type="dxa"/>
            <w:vAlign w:val="center"/>
          </w:tcPr>
          <w:p>
            <w:pPr>
              <w:spacing w:line="360" w:lineRule="auto"/>
              <w:jc w:val="center"/>
              <w:rPr>
                <w:rFonts w:ascii="仿宋" w:hAnsi="仿宋" w:eastAsia="仿宋" w:cs="宋体"/>
                <w:color w:val="auto"/>
                <w:sz w:val="24"/>
                <w:highlight w:val="none"/>
              </w:rPr>
            </w:pPr>
            <w:r>
              <w:rPr>
                <w:rFonts w:hint="eastAsia" w:ascii="仿宋" w:hAnsi="仿宋" w:eastAsia="仿宋" w:cs="宋体"/>
                <w:color w:val="auto"/>
                <w:sz w:val="24"/>
                <w:highlight w:val="none"/>
              </w:rPr>
              <w:t>0-5分</w:t>
            </w:r>
          </w:p>
        </w:tc>
        <w:tc>
          <w:tcPr>
            <w:tcW w:w="4668" w:type="dxa"/>
          </w:tcPr>
          <w:p>
            <w:pPr>
              <w:spacing w:line="360" w:lineRule="auto"/>
              <w:jc w:val="left"/>
              <w:rPr>
                <w:rFonts w:ascii="仿宋" w:hAnsi="仿宋" w:eastAsia="仿宋" w:cs="宋体"/>
                <w:color w:val="auto"/>
                <w:sz w:val="24"/>
                <w:highlight w:val="none"/>
              </w:rPr>
            </w:pPr>
            <w:r>
              <w:rPr>
                <w:rFonts w:hint="eastAsia" w:ascii="仿宋" w:hAnsi="仿宋" w:eastAsia="仿宋" w:cs="宋体"/>
                <w:color w:val="auto"/>
                <w:sz w:val="24"/>
                <w:highlight w:val="none"/>
              </w:rPr>
              <w:t>整体方案效果图大气、</w:t>
            </w:r>
            <w:r>
              <w:rPr>
                <w:rFonts w:hint="eastAsia" w:ascii="仿宋" w:hAnsi="仿宋" w:eastAsia="仿宋" w:cs="宋体"/>
                <w:color w:val="auto"/>
                <w:kern w:val="0"/>
                <w:sz w:val="24"/>
                <w:highlight w:val="none"/>
                <w:lang w:bidi="ar"/>
              </w:rPr>
              <w:t>设计方案的创意好、 立意及感染力强得5分；</w:t>
            </w:r>
            <w:r>
              <w:rPr>
                <w:rFonts w:hint="eastAsia" w:ascii="仿宋" w:hAnsi="仿宋" w:eastAsia="仿宋" w:cs="宋体"/>
                <w:color w:val="auto"/>
                <w:sz w:val="24"/>
                <w:highlight w:val="none"/>
              </w:rPr>
              <w:t>整体方案效果图较为大气、</w:t>
            </w:r>
            <w:r>
              <w:rPr>
                <w:rFonts w:hint="eastAsia" w:ascii="仿宋" w:hAnsi="仿宋" w:eastAsia="仿宋" w:cs="宋体"/>
                <w:color w:val="auto"/>
                <w:kern w:val="0"/>
                <w:sz w:val="24"/>
                <w:highlight w:val="none"/>
                <w:lang w:bidi="ar"/>
              </w:rPr>
              <w:t>设计方案的创意较好、 立意及感染力较强得</w:t>
            </w:r>
            <w:r>
              <w:rPr>
                <w:rFonts w:ascii="仿宋" w:hAnsi="仿宋" w:eastAsia="仿宋" w:cs="宋体"/>
                <w:color w:val="auto"/>
                <w:kern w:val="0"/>
                <w:sz w:val="24"/>
                <w:highlight w:val="none"/>
                <w:lang w:bidi="ar"/>
              </w:rPr>
              <w:t>3</w:t>
            </w:r>
            <w:r>
              <w:rPr>
                <w:rFonts w:hint="eastAsia" w:ascii="仿宋" w:hAnsi="仿宋" w:eastAsia="仿宋" w:cs="宋体"/>
                <w:color w:val="auto"/>
                <w:kern w:val="0"/>
                <w:sz w:val="24"/>
                <w:highlight w:val="none"/>
                <w:lang w:bidi="ar"/>
              </w:rPr>
              <w:t>分；</w:t>
            </w:r>
            <w:r>
              <w:rPr>
                <w:rFonts w:hint="eastAsia" w:ascii="仿宋" w:hAnsi="仿宋" w:eastAsia="仿宋" w:cs="宋体"/>
                <w:color w:val="auto"/>
                <w:sz w:val="24"/>
                <w:highlight w:val="none"/>
              </w:rPr>
              <w:t>整体方案效果图有一定不足、</w:t>
            </w:r>
            <w:r>
              <w:rPr>
                <w:rFonts w:hint="eastAsia" w:ascii="仿宋" w:hAnsi="仿宋" w:eastAsia="仿宋" w:cs="宋体"/>
                <w:color w:val="auto"/>
                <w:kern w:val="0"/>
                <w:sz w:val="24"/>
                <w:highlight w:val="none"/>
                <w:lang w:bidi="ar"/>
              </w:rPr>
              <w:t>设计方案的创意、 立意及感染力不足得</w:t>
            </w:r>
            <w:r>
              <w:rPr>
                <w:rFonts w:ascii="仿宋" w:hAnsi="仿宋" w:eastAsia="仿宋" w:cs="宋体"/>
                <w:color w:val="auto"/>
                <w:kern w:val="0"/>
                <w:sz w:val="24"/>
                <w:highlight w:val="none"/>
                <w:lang w:bidi="ar"/>
              </w:rPr>
              <w:t>1</w:t>
            </w:r>
            <w:r>
              <w:rPr>
                <w:rFonts w:hint="eastAsia" w:ascii="仿宋" w:hAnsi="仿宋" w:eastAsia="仿宋" w:cs="宋体"/>
                <w:color w:val="auto"/>
                <w:kern w:val="0"/>
                <w:sz w:val="24"/>
                <w:highlight w:val="none"/>
                <w:lang w:bidi="ar"/>
              </w:rPr>
              <w:t>分；方案不合理或未提供方案不得分。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5" w:hRule="atLeast"/>
        </w:trPr>
        <w:tc>
          <w:tcPr>
            <w:tcW w:w="817" w:type="dxa"/>
            <w:vMerge w:val="continue"/>
            <w:tcBorders>
              <w:right w:val="single" w:color="auto" w:sz="4" w:space="0"/>
            </w:tcBorders>
            <w:vAlign w:val="center"/>
          </w:tcPr>
          <w:p>
            <w:pPr>
              <w:widowControl/>
              <w:spacing w:line="360" w:lineRule="auto"/>
              <w:jc w:val="left"/>
              <w:rPr>
                <w:rFonts w:ascii="仿宋" w:hAnsi="仿宋" w:eastAsia="仿宋" w:cs="宋体"/>
                <w:b/>
                <w:bCs/>
                <w:color w:val="auto"/>
                <w:sz w:val="24"/>
                <w:highlight w:val="none"/>
              </w:rPr>
            </w:pPr>
          </w:p>
        </w:tc>
        <w:tc>
          <w:tcPr>
            <w:tcW w:w="2047" w:type="dxa"/>
            <w:tcBorders>
              <w:left w:val="single" w:color="auto" w:sz="4" w:space="0"/>
            </w:tcBorders>
            <w:vAlign w:val="center"/>
          </w:tcPr>
          <w:p>
            <w:pPr>
              <w:widowControl/>
              <w:spacing w:line="360" w:lineRule="auto"/>
              <w:jc w:val="left"/>
              <w:rPr>
                <w:rFonts w:ascii="仿宋" w:hAnsi="仿宋" w:eastAsia="仿宋" w:cs="宋体"/>
                <w:color w:val="auto"/>
                <w:sz w:val="24"/>
                <w:highlight w:val="none"/>
              </w:rPr>
            </w:pPr>
            <w:r>
              <w:rPr>
                <w:rFonts w:hint="eastAsia" w:ascii="仿宋" w:hAnsi="仿宋" w:eastAsia="仿宋" w:cs="宋体"/>
                <w:color w:val="auto"/>
                <w:sz w:val="24"/>
                <w:highlight w:val="none"/>
              </w:rPr>
              <w:t>（3）设计深度</w:t>
            </w:r>
          </w:p>
        </w:tc>
        <w:tc>
          <w:tcPr>
            <w:tcW w:w="1235" w:type="dxa"/>
            <w:vAlign w:val="center"/>
          </w:tcPr>
          <w:p>
            <w:pPr>
              <w:spacing w:line="360" w:lineRule="auto"/>
              <w:jc w:val="center"/>
              <w:rPr>
                <w:rFonts w:ascii="仿宋" w:hAnsi="仿宋" w:eastAsia="仿宋" w:cs="宋体"/>
                <w:color w:val="auto"/>
                <w:sz w:val="24"/>
                <w:highlight w:val="none"/>
              </w:rPr>
            </w:pPr>
            <w:r>
              <w:rPr>
                <w:rFonts w:hint="eastAsia" w:ascii="仿宋" w:hAnsi="仿宋" w:eastAsia="仿宋" w:cs="宋体"/>
                <w:color w:val="auto"/>
                <w:sz w:val="24"/>
                <w:highlight w:val="none"/>
              </w:rPr>
              <w:t>0-5分</w:t>
            </w:r>
          </w:p>
        </w:tc>
        <w:tc>
          <w:tcPr>
            <w:tcW w:w="4668" w:type="dxa"/>
          </w:tcPr>
          <w:p>
            <w:pPr>
              <w:spacing w:line="360" w:lineRule="auto"/>
              <w:jc w:val="left"/>
              <w:rPr>
                <w:rFonts w:ascii="仿宋" w:hAnsi="仿宋" w:eastAsia="仿宋" w:cs="宋体"/>
                <w:color w:val="auto"/>
                <w:sz w:val="24"/>
                <w:highlight w:val="none"/>
              </w:rPr>
            </w:pPr>
            <w:r>
              <w:rPr>
                <w:rFonts w:hint="eastAsia" w:ascii="仿宋" w:hAnsi="仿宋" w:eastAsia="仿宋" w:cs="宋体"/>
                <w:color w:val="auto"/>
                <w:sz w:val="24"/>
                <w:highlight w:val="none"/>
              </w:rPr>
              <w:t>整体设计方案深度、主题切合度高，符合项目性质，布局合理、展示手法创新，设计图纸表达完整</w:t>
            </w:r>
            <w:r>
              <w:rPr>
                <w:rFonts w:hint="eastAsia" w:ascii="仿宋" w:hAnsi="仿宋" w:eastAsia="仿宋" w:cs="宋体"/>
                <w:color w:val="auto"/>
                <w:kern w:val="0"/>
                <w:sz w:val="24"/>
                <w:highlight w:val="none"/>
                <w:lang w:bidi="ar"/>
              </w:rPr>
              <w:t>得5分；</w:t>
            </w:r>
            <w:r>
              <w:rPr>
                <w:rFonts w:hint="eastAsia" w:ascii="仿宋" w:hAnsi="仿宋" w:eastAsia="仿宋" w:cs="宋体"/>
                <w:color w:val="auto"/>
                <w:sz w:val="24"/>
                <w:highlight w:val="none"/>
              </w:rPr>
              <w:t>整体设计方案深度、主题切合度较高，较为符合项目性质，布局较为合理、展示手法较为创新，设计图纸表达较为完整</w:t>
            </w:r>
            <w:r>
              <w:rPr>
                <w:rFonts w:hint="eastAsia" w:ascii="仿宋" w:hAnsi="仿宋" w:eastAsia="仿宋" w:cs="宋体"/>
                <w:color w:val="auto"/>
                <w:kern w:val="0"/>
                <w:sz w:val="24"/>
                <w:highlight w:val="none"/>
                <w:lang w:bidi="ar"/>
              </w:rPr>
              <w:t>得</w:t>
            </w:r>
            <w:r>
              <w:rPr>
                <w:rFonts w:ascii="仿宋" w:hAnsi="仿宋" w:eastAsia="仿宋" w:cs="宋体"/>
                <w:color w:val="auto"/>
                <w:kern w:val="0"/>
                <w:sz w:val="24"/>
                <w:highlight w:val="none"/>
                <w:lang w:bidi="ar"/>
              </w:rPr>
              <w:t>3</w:t>
            </w:r>
            <w:r>
              <w:rPr>
                <w:rFonts w:hint="eastAsia" w:ascii="仿宋" w:hAnsi="仿宋" w:eastAsia="仿宋" w:cs="宋体"/>
                <w:color w:val="auto"/>
                <w:kern w:val="0"/>
                <w:sz w:val="24"/>
                <w:highlight w:val="none"/>
                <w:lang w:bidi="ar"/>
              </w:rPr>
              <w:t>分；</w:t>
            </w:r>
            <w:r>
              <w:rPr>
                <w:rFonts w:hint="eastAsia" w:ascii="仿宋" w:hAnsi="仿宋" w:eastAsia="仿宋" w:cs="宋体"/>
                <w:color w:val="auto"/>
                <w:sz w:val="24"/>
                <w:highlight w:val="none"/>
              </w:rPr>
              <w:t>整体设计方案深度、主题切合度有一定偏离，布局不够合理、展示手法创新不够，设计图纸表达不够完整</w:t>
            </w:r>
            <w:r>
              <w:rPr>
                <w:rFonts w:hint="eastAsia" w:ascii="仿宋" w:hAnsi="仿宋" w:eastAsia="仿宋" w:cs="宋体"/>
                <w:color w:val="auto"/>
                <w:kern w:val="0"/>
                <w:sz w:val="24"/>
                <w:highlight w:val="none"/>
                <w:lang w:bidi="ar"/>
              </w:rPr>
              <w:t>得</w:t>
            </w:r>
            <w:r>
              <w:rPr>
                <w:rFonts w:ascii="仿宋" w:hAnsi="仿宋" w:eastAsia="仿宋" w:cs="宋体"/>
                <w:color w:val="auto"/>
                <w:kern w:val="0"/>
                <w:sz w:val="24"/>
                <w:highlight w:val="none"/>
                <w:lang w:bidi="ar"/>
              </w:rPr>
              <w:t>1</w:t>
            </w:r>
            <w:r>
              <w:rPr>
                <w:rFonts w:hint="eastAsia" w:ascii="仿宋" w:hAnsi="仿宋" w:eastAsia="仿宋" w:cs="宋体"/>
                <w:color w:val="auto"/>
                <w:kern w:val="0"/>
                <w:sz w:val="24"/>
                <w:highlight w:val="none"/>
                <w:lang w:bidi="ar"/>
              </w:rPr>
              <w:t>分；方案不合理或未提供方案不得分。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5" w:hRule="atLeast"/>
        </w:trPr>
        <w:tc>
          <w:tcPr>
            <w:tcW w:w="817" w:type="dxa"/>
            <w:vMerge w:val="continue"/>
            <w:tcBorders>
              <w:right w:val="single" w:color="auto" w:sz="4" w:space="0"/>
            </w:tcBorders>
            <w:vAlign w:val="center"/>
          </w:tcPr>
          <w:p>
            <w:pPr>
              <w:spacing w:line="360" w:lineRule="auto"/>
              <w:jc w:val="center"/>
              <w:rPr>
                <w:rFonts w:ascii="仿宋" w:hAnsi="仿宋" w:eastAsia="仿宋" w:cs="宋体"/>
                <w:color w:val="auto"/>
                <w:sz w:val="24"/>
                <w:highlight w:val="none"/>
              </w:rPr>
            </w:pPr>
          </w:p>
        </w:tc>
        <w:tc>
          <w:tcPr>
            <w:tcW w:w="2047" w:type="dxa"/>
            <w:tcBorders>
              <w:left w:val="single" w:color="auto" w:sz="4" w:space="0"/>
            </w:tcBorders>
            <w:vAlign w:val="center"/>
          </w:tcPr>
          <w:p>
            <w:pPr>
              <w:widowControl/>
              <w:spacing w:line="360" w:lineRule="auto"/>
              <w:jc w:val="left"/>
              <w:rPr>
                <w:rFonts w:ascii="仿宋" w:hAnsi="仿宋" w:eastAsia="仿宋" w:cs="宋体"/>
                <w:color w:val="auto"/>
                <w:sz w:val="24"/>
                <w:highlight w:val="none"/>
              </w:rPr>
            </w:pPr>
            <w:r>
              <w:rPr>
                <w:rFonts w:hint="eastAsia" w:ascii="仿宋" w:hAnsi="仿宋" w:eastAsia="仿宋" w:cs="宋体"/>
                <w:color w:val="auto"/>
                <w:sz w:val="24"/>
                <w:highlight w:val="none"/>
              </w:rPr>
              <w:t>（4）施工图绘制</w:t>
            </w:r>
          </w:p>
        </w:tc>
        <w:tc>
          <w:tcPr>
            <w:tcW w:w="1235" w:type="dxa"/>
            <w:vAlign w:val="center"/>
          </w:tcPr>
          <w:p>
            <w:pPr>
              <w:spacing w:line="360" w:lineRule="auto"/>
              <w:jc w:val="center"/>
              <w:rPr>
                <w:rFonts w:ascii="仿宋" w:hAnsi="仿宋" w:eastAsia="仿宋"/>
                <w:bCs/>
                <w:color w:val="auto"/>
                <w:sz w:val="24"/>
                <w:highlight w:val="none"/>
              </w:rPr>
            </w:pPr>
            <w:r>
              <w:rPr>
                <w:rFonts w:hint="eastAsia" w:ascii="仿宋" w:hAnsi="仿宋" w:eastAsia="仿宋" w:cs="宋体"/>
                <w:color w:val="auto"/>
                <w:sz w:val="24"/>
                <w:highlight w:val="none"/>
              </w:rPr>
              <w:t>0-5分</w:t>
            </w:r>
          </w:p>
        </w:tc>
        <w:tc>
          <w:tcPr>
            <w:tcW w:w="4668" w:type="dxa"/>
            <w:vAlign w:val="center"/>
          </w:tcPr>
          <w:p>
            <w:pPr>
              <w:spacing w:line="360" w:lineRule="auto"/>
              <w:jc w:val="left"/>
              <w:rPr>
                <w:rFonts w:ascii="仿宋" w:hAnsi="仿宋" w:eastAsia="仿宋" w:cs="宋体"/>
                <w:color w:val="auto"/>
                <w:sz w:val="24"/>
                <w:highlight w:val="none"/>
              </w:rPr>
            </w:pPr>
            <w:r>
              <w:rPr>
                <w:rFonts w:hint="eastAsia" w:ascii="仿宋" w:hAnsi="仿宋" w:eastAsia="仿宋" w:cs="宋体"/>
                <w:color w:val="auto"/>
                <w:sz w:val="24"/>
                <w:highlight w:val="none"/>
              </w:rPr>
              <w:t>施工图设计方案合理，深度符合要求、工艺描述合理、材料运用符合项目要求，设计图纸表达完整</w:t>
            </w:r>
            <w:r>
              <w:rPr>
                <w:rFonts w:hint="eastAsia" w:ascii="仿宋" w:hAnsi="仿宋" w:eastAsia="仿宋" w:cs="宋体"/>
                <w:color w:val="auto"/>
                <w:kern w:val="0"/>
                <w:sz w:val="24"/>
                <w:highlight w:val="none"/>
                <w:lang w:bidi="ar"/>
              </w:rPr>
              <w:t>得</w:t>
            </w:r>
            <w:r>
              <w:rPr>
                <w:rFonts w:ascii="仿宋" w:hAnsi="仿宋" w:eastAsia="仿宋" w:cs="宋体"/>
                <w:color w:val="auto"/>
                <w:kern w:val="0"/>
                <w:sz w:val="24"/>
                <w:highlight w:val="none"/>
                <w:lang w:bidi="ar"/>
              </w:rPr>
              <w:t>5</w:t>
            </w:r>
            <w:r>
              <w:rPr>
                <w:rFonts w:hint="eastAsia" w:ascii="仿宋" w:hAnsi="仿宋" w:eastAsia="仿宋" w:cs="宋体"/>
                <w:color w:val="auto"/>
                <w:kern w:val="0"/>
                <w:sz w:val="24"/>
                <w:highlight w:val="none"/>
                <w:lang w:bidi="ar"/>
              </w:rPr>
              <w:t>分；</w:t>
            </w:r>
            <w:r>
              <w:rPr>
                <w:rFonts w:hint="eastAsia" w:ascii="仿宋" w:hAnsi="仿宋" w:eastAsia="仿宋" w:cs="宋体"/>
                <w:color w:val="auto"/>
                <w:sz w:val="24"/>
                <w:highlight w:val="none"/>
              </w:rPr>
              <w:t>施工图设计方案较为合理，深度较符合要求、工艺描述较为合理、材料运用基本符合项目要求，设计图纸表达较为完整</w:t>
            </w:r>
            <w:r>
              <w:rPr>
                <w:rFonts w:hint="eastAsia" w:ascii="仿宋" w:hAnsi="仿宋" w:eastAsia="仿宋" w:cs="宋体"/>
                <w:color w:val="auto"/>
                <w:kern w:val="0"/>
                <w:sz w:val="24"/>
                <w:highlight w:val="none"/>
                <w:lang w:bidi="ar"/>
              </w:rPr>
              <w:t>得</w:t>
            </w:r>
            <w:r>
              <w:rPr>
                <w:rFonts w:ascii="仿宋" w:hAnsi="仿宋" w:eastAsia="仿宋" w:cs="宋体"/>
                <w:color w:val="auto"/>
                <w:kern w:val="0"/>
                <w:sz w:val="24"/>
                <w:highlight w:val="none"/>
                <w:lang w:bidi="ar"/>
              </w:rPr>
              <w:t>3</w:t>
            </w:r>
            <w:r>
              <w:rPr>
                <w:rFonts w:hint="eastAsia" w:ascii="仿宋" w:hAnsi="仿宋" w:eastAsia="仿宋" w:cs="宋体"/>
                <w:color w:val="auto"/>
                <w:kern w:val="0"/>
                <w:sz w:val="24"/>
                <w:highlight w:val="none"/>
                <w:lang w:bidi="ar"/>
              </w:rPr>
              <w:t>分；</w:t>
            </w:r>
            <w:r>
              <w:rPr>
                <w:rFonts w:hint="eastAsia" w:ascii="仿宋" w:hAnsi="仿宋" w:eastAsia="仿宋" w:cs="宋体"/>
                <w:color w:val="auto"/>
                <w:sz w:val="24"/>
                <w:highlight w:val="none"/>
              </w:rPr>
              <w:t>施工图设计方案有一定不足，深度不足、工艺描述、材料运用与项目要求有一定偏离，设计图纸表达不够完整</w:t>
            </w:r>
            <w:r>
              <w:rPr>
                <w:rFonts w:hint="eastAsia" w:ascii="仿宋" w:hAnsi="仿宋" w:eastAsia="仿宋" w:cs="宋体"/>
                <w:color w:val="auto"/>
                <w:kern w:val="0"/>
                <w:sz w:val="24"/>
                <w:highlight w:val="none"/>
                <w:lang w:bidi="ar"/>
              </w:rPr>
              <w:t>得</w:t>
            </w:r>
            <w:r>
              <w:rPr>
                <w:rFonts w:ascii="仿宋" w:hAnsi="仿宋" w:eastAsia="仿宋" w:cs="宋体"/>
                <w:color w:val="auto"/>
                <w:kern w:val="0"/>
                <w:sz w:val="24"/>
                <w:highlight w:val="none"/>
                <w:lang w:bidi="ar"/>
              </w:rPr>
              <w:t>1</w:t>
            </w:r>
            <w:r>
              <w:rPr>
                <w:rFonts w:hint="eastAsia" w:ascii="仿宋" w:hAnsi="仿宋" w:eastAsia="仿宋" w:cs="宋体"/>
                <w:color w:val="auto"/>
                <w:kern w:val="0"/>
                <w:sz w:val="24"/>
                <w:highlight w:val="none"/>
                <w:lang w:bidi="ar"/>
              </w:rPr>
              <w:t>分；方案不合理或未提供方案不得分。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0" w:hRule="atLeast"/>
        </w:trPr>
        <w:tc>
          <w:tcPr>
            <w:tcW w:w="817" w:type="dxa"/>
            <w:vMerge w:val="continue"/>
            <w:tcBorders>
              <w:right w:val="single" w:color="auto" w:sz="4" w:space="0"/>
            </w:tcBorders>
            <w:vAlign w:val="center"/>
          </w:tcPr>
          <w:p>
            <w:pPr>
              <w:spacing w:line="360" w:lineRule="auto"/>
              <w:jc w:val="center"/>
              <w:rPr>
                <w:rFonts w:ascii="仿宋" w:hAnsi="仿宋" w:eastAsia="仿宋" w:cs="宋体"/>
                <w:color w:val="auto"/>
                <w:sz w:val="24"/>
                <w:highlight w:val="none"/>
              </w:rPr>
            </w:pPr>
          </w:p>
        </w:tc>
        <w:tc>
          <w:tcPr>
            <w:tcW w:w="2047" w:type="dxa"/>
            <w:tcBorders>
              <w:left w:val="single" w:color="auto" w:sz="4" w:space="0"/>
            </w:tcBorders>
            <w:vAlign w:val="center"/>
          </w:tcPr>
          <w:p>
            <w:pPr>
              <w:widowControl/>
              <w:spacing w:line="360" w:lineRule="auto"/>
              <w:jc w:val="left"/>
              <w:rPr>
                <w:rFonts w:ascii="仿宋" w:hAnsi="仿宋" w:eastAsia="仿宋" w:cs="宋体"/>
                <w:color w:val="auto"/>
                <w:sz w:val="24"/>
                <w:highlight w:val="none"/>
              </w:rPr>
            </w:pPr>
            <w:r>
              <w:rPr>
                <w:rFonts w:hint="eastAsia" w:ascii="仿宋" w:hAnsi="仿宋" w:eastAsia="仿宋" w:cs="宋体"/>
                <w:color w:val="auto"/>
                <w:sz w:val="24"/>
                <w:highlight w:val="none"/>
              </w:rPr>
              <w:t>（5）全立面深化设计</w:t>
            </w:r>
          </w:p>
          <w:p>
            <w:pPr>
              <w:widowControl/>
              <w:spacing w:line="360" w:lineRule="auto"/>
              <w:jc w:val="left"/>
              <w:rPr>
                <w:rFonts w:ascii="仿宋" w:hAnsi="仿宋" w:eastAsia="仿宋" w:cs="宋体"/>
                <w:color w:val="auto"/>
                <w:sz w:val="24"/>
                <w:highlight w:val="none"/>
              </w:rPr>
            </w:pPr>
          </w:p>
        </w:tc>
        <w:tc>
          <w:tcPr>
            <w:tcW w:w="1235" w:type="dxa"/>
            <w:vAlign w:val="center"/>
          </w:tcPr>
          <w:p>
            <w:pPr>
              <w:spacing w:line="360" w:lineRule="auto"/>
              <w:jc w:val="center"/>
              <w:rPr>
                <w:rFonts w:ascii="仿宋" w:hAnsi="仿宋" w:eastAsia="仿宋"/>
                <w:bCs/>
                <w:color w:val="auto"/>
                <w:sz w:val="24"/>
                <w:highlight w:val="none"/>
              </w:rPr>
            </w:pPr>
            <w:r>
              <w:rPr>
                <w:rFonts w:hint="eastAsia" w:ascii="仿宋" w:hAnsi="仿宋" w:eastAsia="仿宋"/>
                <w:bCs/>
                <w:color w:val="auto"/>
                <w:sz w:val="24"/>
                <w:highlight w:val="none"/>
              </w:rPr>
              <w:t>0</w:t>
            </w:r>
            <w:r>
              <w:rPr>
                <w:rFonts w:ascii="仿宋" w:hAnsi="仿宋" w:eastAsia="仿宋"/>
                <w:bCs/>
                <w:color w:val="auto"/>
                <w:sz w:val="24"/>
                <w:highlight w:val="none"/>
              </w:rPr>
              <w:t>-</w:t>
            </w:r>
            <w:r>
              <w:rPr>
                <w:rFonts w:hint="eastAsia" w:ascii="仿宋" w:hAnsi="仿宋" w:eastAsia="仿宋"/>
                <w:bCs/>
                <w:color w:val="auto"/>
                <w:sz w:val="24"/>
                <w:highlight w:val="none"/>
              </w:rPr>
              <w:t>5分</w:t>
            </w:r>
          </w:p>
        </w:tc>
        <w:tc>
          <w:tcPr>
            <w:tcW w:w="4668" w:type="dxa"/>
          </w:tcPr>
          <w:p>
            <w:pPr>
              <w:spacing w:line="360" w:lineRule="auto"/>
              <w:jc w:val="left"/>
              <w:rPr>
                <w:rFonts w:ascii="仿宋" w:hAnsi="仿宋" w:eastAsia="仿宋" w:cs="宋体"/>
                <w:color w:val="auto"/>
                <w:kern w:val="0"/>
                <w:sz w:val="24"/>
                <w:highlight w:val="none"/>
                <w:lang w:bidi="ar"/>
              </w:rPr>
            </w:pPr>
            <w:r>
              <w:rPr>
                <w:rFonts w:hint="eastAsia" w:ascii="仿宋" w:hAnsi="仿宋" w:eastAsia="仿宋" w:cs="宋体"/>
                <w:color w:val="auto"/>
                <w:sz w:val="24"/>
                <w:highlight w:val="none"/>
              </w:rPr>
              <w:t>全立面设计方案合理，深度符合要求、色彩关系、版面布局合理、展示手法创新，设计图纸表达完整</w:t>
            </w:r>
            <w:r>
              <w:rPr>
                <w:rFonts w:hint="eastAsia" w:ascii="仿宋" w:hAnsi="仿宋" w:eastAsia="仿宋" w:cs="宋体"/>
                <w:color w:val="auto"/>
                <w:kern w:val="0"/>
                <w:sz w:val="24"/>
                <w:highlight w:val="none"/>
                <w:lang w:bidi="ar"/>
              </w:rPr>
              <w:t>得5分;</w:t>
            </w:r>
            <w:r>
              <w:rPr>
                <w:rFonts w:hint="eastAsia" w:ascii="仿宋" w:hAnsi="仿宋" w:eastAsia="仿宋" w:cs="宋体"/>
                <w:color w:val="auto"/>
                <w:sz w:val="24"/>
                <w:highlight w:val="none"/>
              </w:rPr>
              <w:t xml:space="preserve"> 全立面设计方案较为合理，深度较符合要求、色彩关系、版面布局较为合理、展示手法较为创新，设计图纸表达较为完整</w:t>
            </w:r>
            <w:r>
              <w:rPr>
                <w:rFonts w:hint="eastAsia" w:ascii="仿宋" w:hAnsi="仿宋" w:eastAsia="仿宋" w:cs="宋体"/>
                <w:color w:val="auto"/>
                <w:kern w:val="0"/>
                <w:sz w:val="24"/>
                <w:highlight w:val="none"/>
                <w:lang w:bidi="ar"/>
              </w:rPr>
              <w:t>得</w:t>
            </w:r>
            <w:r>
              <w:rPr>
                <w:rFonts w:ascii="仿宋" w:hAnsi="仿宋" w:eastAsia="仿宋" w:cs="宋体"/>
                <w:color w:val="auto"/>
                <w:kern w:val="0"/>
                <w:sz w:val="24"/>
                <w:highlight w:val="none"/>
                <w:lang w:bidi="ar"/>
              </w:rPr>
              <w:t>3</w:t>
            </w:r>
            <w:r>
              <w:rPr>
                <w:rFonts w:hint="eastAsia" w:ascii="仿宋" w:hAnsi="仿宋" w:eastAsia="仿宋" w:cs="宋体"/>
                <w:color w:val="auto"/>
                <w:kern w:val="0"/>
                <w:sz w:val="24"/>
                <w:highlight w:val="none"/>
                <w:lang w:bidi="ar"/>
              </w:rPr>
              <w:t>分;</w:t>
            </w:r>
            <w:r>
              <w:rPr>
                <w:rFonts w:hint="eastAsia" w:ascii="仿宋" w:hAnsi="仿宋" w:eastAsia="仿宋" w:cs="宋体"/>
                <w:color w:val="auto"/>
                <w:sz w:val="24"/>
                <w:highlight w:val="none"/>
              </w:rPr>
              <w:t xml:space="preserve"> 全立面设计方案有一定不足，深度不足、色彩关系、版面布局不够合理、展示手法创新性有不足，设计图纸表达不够完整</w:t>
            </w:r>
            <w:r>
              <w:rPr>
                <w:rFonts w:hint="eastAsia" w:ascii="仿宋" w:hAnsi="仿宋" w:eastAsia="仿宋" w:cs="宋体"/>
                <w:color w:val="auto"/>
                <w:kern w:val="0"/>
                <w:sz w:val="24"/>
                <w:highlight w:val="none"/>
                <w:lang w:bidi="ar"/>
              </w:rPr>
              <w:t>得</w:t>
            </w:r>
            <w:r>
              <w:rPr>
                <w:rFonts w:ascii="仿宋" w:hAnsi="仿宋" w:eastAsia="仿宋" w:cs="宋体"/>
                <w:color w:val="auto"/>
                <w:kern w:val="0"/>
                <w:sz w:val="24"/>
                <w:highlight w:val="none"/>
                <w:lang w:bidi="ar"/>
              </w:rPr>
              <w:t>1</w:t>
            </w:r>
            <w:r>
              <w:rPr>
                <w:rFonts w:hint="eastAsia" w:ascii="仿宋" w:hAnsi="仿宋" w:eastAsia="仿宋" w:cs="宋体"/>
                <w:color w:val="auto"/>
                <w:kern w:val="0"/>
                <w:sz w:val="24"/>
                <w:highlight w:val="none"/>
                <w:lang w:bidi="ar"/>
              </w:rPr>
              <w:t>分; 方案不合理或未提供方案不得分。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5" w:hRule="atLeast"/>
        </w:trPr>
        <w:tc>
          <w:tcPr>
            <w:tcW w:w="817" w:type="dxa"/>
            <w:vMerge w:val="continue"/>
            <w:tcBorders>
              <w:right w:val="single" w:color="auto" w:sz="4" w:space="0"/>
            </w:tcBorders>
            <w:vAlign w:val="center"/>
          </w:tcPr>
          <w:p>
            <w:pPr>
              <w:spacing w:line="360" w:lineRule="auto"/>
              <w:jc w:val="center"/>
              <w:rPr>
                <w:rFonts w:ascii="仿宋" w:hAnsi="仿宋" w:eastAsia="仿宋" w:cs="宋体"/>
                <w:color w:val="auto"/>
                <w:sz w:val="24"/>
                <w:highlight w:val="none"/>
              </w:rPr>
            </w:pPr>
          </w:p>
        </w:tc>
        <w:tc>
          <w:tcPr>
            <w:tcW w:w="2047" w:type="dxa"/>
            <w:tcBorders>
              <w:left w:val="single" w:color="auto" w:sz="4" w:space="0"/>
            </w:tcBorders>
            <w:vAlign w:val="center"/>
          </w:tcPr>
          <w:p>
            <w:pPr>
              <w:widowControl/>
              <w:spacing w:line="360" w:lineRule="auto"/>
              <w:jc w:val="left"/>
              <w:rPr>
                <w:rFonts w:ascii="仿宋" w:hAnsi="仿宋" w:eastAsia="仿宋" w:cs="宋体"/>
                <w:color w:val="auto"/>
                <w:sz w:val="24"/>
                <w:highlight w:val="none"/>
              </w:rPr>
            </w:pPr>
            <w:r>
              <w:rPr>
                <w:rFonts w:hint="eastAsia" w:ascii="仿宋" w:hAnsi="仿宋" w:eastAsia="仿宋" w:cs="宋体"/>
                <w:color w:val="auto"/>
                <w:sz w:val="24"/>
                <w:highlight w:val="none"/>
              </w:rPr>
              <w:t>（6）沉浸式影院</w:t>
            </w:r>
          </w:p>
        </w:tc>
        <w:tc>
          <w:tcPr>
            <w:tcW w:w="1235" w:type="dxa"/>
            <w:vAlign w:val="center"/>
          </w:tcPr>
          <w:p>
            <w:pPr>
              <w:spacing w:line="360" w:lineRule="auto"/>
              <w:jc w:val="center"/>
              <w:rPr>
                <w:rFonts w:ascii="仿宋" w:hAnsi="仿宋" w:eastAsia="仿宋"/>
                <w:bCs/>
                <w:color w:val="auto"/>
                <w:sz w:val="24"/>
                <w:highlight w:val="none"/>
              </w:rPr>
            </w:pPr>
            <w:r>
              <w:rPr>
                <w:rFonts w:hint="eastAsia" w:ascii="仿宋" w:hAnsi="仿宋" w:eastAsia="仿宋"/>
                <w:bCs/>
                <w:color w:val="auto"/>
                <w:sz w:val="24"/>
                <w:highlight w:val="none"/>
              </w:rPr>
              <w:t>0</w:t>
            </w:r>
            <w:r>
              <w:rPr>
                <w:rFonts w:ascii="仿宋" w:hAnsi="仿宋" w:eastAsia="仿宋"/>
                <w:bCs/>
                <w:color w:val="auto"/>
                <w:sz w:val="24"/>
                <w:highlight w:val="none"/>
              </w:rPr>
              <w:t>-</w:t>
            </w:r>
            <w:r>
              <w:rPr>
                <w:rFonts w:hint="eastAsia" w:ascii="仿宋" w:hAnsi="仿宋" w:eastAsia="仿宋"/>
                <w:bCs/>
                <w:color w:val="auto"/>
                <w:sz w:val="24"/>
                <w:highlight w:val="none"/>
              </w:rPr>
              <w:t>5分</w:t>
            </w:r>
          </w:p>
        </w:tc>
        <w:tc>
          <w:tcPr>
            <w:tcW w:w="4668" w:type="dxa"/>
            <w:vAlign w:val="center"/>
          </w:tcPr>
          <w:p>
            <w:pPr>
              <w:spacing w:line="360" w:lineRule="auto"/>
              <w:jc w:val="left"/>
              <w:rPr>
                <w:rFonts w:ascii="仿宋" w:hAnsi="仿宋" w:eastAsia="仿宋"/>
                <w:bCs/>
                <w:color w:val="auto"/>
                <w:sz w:val="24"/>
                <w:highlight w:val="none"/>
              </w:rPr>
            </w:pPr>
            <w:r>
              <w:rPr>
                <w:rFonts w:hint="eastAsia" w:ascii="仿宋" w:hAnsi="仿宋" w:eastAsia="仿宋" w:cs="宋体"/>
                <w:color w:val="auto"/>
                <w:kern w:val="0"/>
                <w:sz w:val="24"/>
                <w:highlight w:val="none"/>
                <w:lang w:bidi="ar"/>
              </w:rPr>
              <w:t>充分利用声光电技术（如LED、投影等）对沉浸式影院进行方案设计。设计方案合理、可行，具有创新性，符合项目性质得5分；设计方案较为合理、可行，具有一定创新性，基本符合项目性质得</w:t>
            </w:r>
            <w:r>
              <w:rPr>
                <w:rFonts w:ascii="仿宋" w:hAnsi="仿宋" w:eastAsia="仿宋" w:cs="宋体"/>
                <w:color w:val="auto"/>
                <w:kern w:val="0"/>
                <w:sz w:val="24"/>
                <w:highlight w:val="none"/>
                <w:lang w:bidi="ar"/>
              </w:rPr>
              <w:t>3</w:t>
            </w:r>
            <w:r>
              <w:rPr>
                <w:rFonts w:hint="eastAsia" w:ascii="仿宋" w:hAnsi="仿宋" w:eastAsia="仿宋" w:cs="宋体"/>
                <w:color w:val="auto"/>
                <w:kern w:val="0"/>
                <w:sz w:val="24"/>
                <w:highlight w:val="none"/>
                <w:lang w:bidi="ar"/>
              </w:rPr>
              <w:t>分；设计方案有一定缺陷，创新性有一定不足，与项目性质有一定偏离得</w:t>
            </w:r>
            <w:r>
              <w:rPr>
                <w:rFonts w:ascii="仿宋" w:hAnsi="仿宋" w:eastAsia="仿宋" w:cs="宋体"/>
                <w:color w:val="auto"/>
                <w:kern w:val="0"/>
                <w:sz w:val="24"/>
                <w:highlight w:val="none"/>
                <w:lang w:bidi="ar"/>
              </w:rPr>
              <w:t>1</w:t>
            </w:r>
            <w:r>
              <w:rPr>
                <w:rFonts w:hint="eastAsia" w:ascii="仿宋" w:hAnsi="仿宋" w:eastAsia="仿宋" w:cs="宋体"/>
                <w:color w:val="auto"/>
                <w:kern w:val="0"/>
                <w:sz w:val="24"/>
                <w:highlight w:val="none"/>
                <w:lang w:bidi="ar"/>
              </w:rPr>
              <w:t>分；方案不合理或未提供方案不得分。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5" w:hRule="atLeast"/>
        </w:trPr>
        <w:tc>
          <w:tcPr>
            <w:tcW w:w="817" w:type="dxa"/>
            <w:vMerge w:val="continue"/>
            <w:tcBorders>
              <w:right w:val="single" w:color="auto" w:sz="4" w:space="0"/>
            </w:tcBorders>
            <w:vAlign w:val="center"/>
          </w:tcPr>
          <w:p>
            <w:pPr>
              <w:spacing w:line="360" w:lineRule="auto"/>
              <w:jc w:val="center"/>
              <w:rPr>
                <w:rFonts w:ascii="仿宋" w:hAnsi="仿宋" w:eastAsia="仿宋" w:cs="宋体"/>
                <w:color w:val="auto"/>
                <w:sz w:val="24"/>
                <w:highlight w:val="none"/>
              </w:rPr>
            </w:pPr>
          </w:p>
        </w:tc>
        <w:tc>
          <w:tcPr>
            <w:tcW w:w="2047" w:type="dxa"/>
            <w:tcBorders>
              <w:left w:val="single" w:color="auto" w:sz="4" w:space="0"/>
            </w:tcBorders>
            <w:vAlign w:val="center"/>
          </w:tcPr>
          <w:p>
            <w:pPr>
              <w:widowControl/>
              <w:spacing w:line="360" w:lineRule="auto"/>
              <w:jc w:val="left"/>
              <w:rPr>
                <w:rFonts w:ascii="仿宋" w:hAnsi="仿宋" w:eastAsia="仿宋" w:cs="宋体"/>
                <w:color w:val="auto"/>
                <w:sz w:val="24"/>
                <w:highlight w:val="none"/>
              </w:rPr>
            </w:pPr>
            <w:r>
              <w:rPr>
                <w:rFonts w:hint="eastAsia" w:ascii="仿宋" w:hAnsi="仿宋" w:eastAsia="仿宋" w:cs="宋体"/>
                <w:color w:val="auto"/>
                <w:sz w:val="24"/>
                <w:highlight w:val="none"/>
              </w:rPr>
              <w:t>（7）“史埭春灯”影视脚本编写</w:t>
            </w:r>
          </w:p>
        </w:tc>
        <w:tc>
          <w:tcPr>
            <w:tcW w:w="1235" w:type="dxa"/>
            <w:vAlign w:val="center"/>
          </w:tcPr>
          <w:p>
            <w:pPr>
              <w:spacing w:line="360" w:lineRule="auto"/>
              <w:jc w:val="center"/>
              <w:rPr>
                <w:rFonts w:ascii="仿宋" w:hAnsi="仿宋" w:eastAsia="仿宋"/>
                <w:bCs/>
                <w:color w:val="auto"/>
                <w:sz w:val="24"/>
                <w:highlight w:val="none"/>
              </w:rPr>
            </w:pPr>
            <w:r>
              <w:rPr>
                <w:rFonts w:hint="eastAsia" w:ascii="仿宋" w:hAnsi="仿宋" w:eastAsia="仿宋"/>
                <w:bCs/>
                <w:color w:val="auto"/>
                <w:sz w:val="24"/>
                <w:highlight w:val="none"/>
              </w:rPr>
              <w:t>0</w:t>
            </w:r>
            <w:r>
              <w:rPr>
                <w:rFonts w:ascii="仿宋" w:hAnsi="仿宋" w:eastAsia="仿宋"/>
                <w:bCs/>
                <w:color w:val="auto"/>
                <w:sz w:val="24"/>
                <w:highlight w:val="none"/>
              </w:rPr>
              <w:t>-</w:t>
            </w:r>
            <w:r>
              <w:rPr>
                <w:rFonts w:hint="eastAsia" w:ascii="仿宋" w:hAnsi="仿宋" w:eastAsia="仿宋"/>
                <w:bCs/>
                <w:color w:val="auto"/>
                <w:sz w:val="24"/>
                <w:highlight w:val="none"/>
              </w:rPr>
              <w:t>5分</w:t>
            </w:r>
          </w:p>
        </w:tc>
        <w:tc>
          <w:tcPr>
            <w:tcW w:w="4668" w:type="dxa"/>
            <w:vAlign w:val="center"/>
          </w:tcPr>
          <w:p>
            <w:pPr>
              <w:spacing w:line="360" w:lineRule="auto"/>
              <w:jc w:val="left"/>
              <w:rPr>
                <w:rFonts w:ascii="仿宋" w:hAnsi="仿宋" w:eastAsia="仿宋" w:cs="宋体"/>
                <w:color w:val="auto"/>
                <w:kern w:val="0"/>
                <w:sz w:val="24"/>
                <w:highlight w:val="none"/>
                <w:lang w:bidi="ar"/>
              </w:rPr>
            </w:pPr>
            <w:r>
              <w:rPr>
                <w:rFonts w:hint="eastAsia" w:ascii="仿宋" w:hAnsi="仿宋" w:eastAsia="仿宋" w:cs="宋体"/>
                <w:color w:val="auto"/>
                <w:kern w:val="0"/>
                <w:sz w:val="24"/>
                <w:highlight w:val="none"/>
                <w:lang w:bidi="ar"/>
              </w:rPr>
              <w:t>对沉浸式影院播放内容以“史埭春灯”为主题进行方案策划（以文字、图片等形式说明）。策划方案合理、可行，具有创新性，符合项目性质得5分；策划方案较为合理、可行，具有一定创新性，基本符合项目性质得</w:t>
            </w:r>
            <w:r>
              <w:rPr>
                <w:rFonts w:ascii="仿宋" w:hAnsi="仿宋" w:eastAsia="仿宋" w:cs="宋体"/>
                <w:color w:val="auto"/>
                <w:kern w:val="0"/>
                <w:sz w:val="24"/>
                <w:highlight w:val="none"/>
                <w:lang w:bidi="ar"/>
              </w:rPr>
              <w:t>3</w:t>
            </w:r>
            <w:r>
              <w:rPr>
                <w:rFonts w:hint="eastAsia" w:ascii="仿宋" w:hAnsi="仿宋" w:eastAsia="仿宋" w:cs="宋体"/>
                <w:color w:val="auto"/>
                <w:kern w:val="0"/>
                <w:sz w:val="24"/>
                <w:highlight w:val="none"/>
                <w:lang w:bidi="ar"/>
              </w:rPr>
              <w:t>分；策划方案有一定缺陷，创新性有一定不足，与项目性质有一定偏离得</w:t>
            </w:r>
            <w:r>
              <w:rPr>
                <w:rFonts w:ascii="仿宋" w:hAnsi="仿宋" w:eastAsia="仿宋" w:cs="宋体"/>
                <w:color w:val="auto"/>
                <w:kern w:val="0"/>
                <w:sz w:val="24"/>
                <w:highlight w:val="none"/>
                <w:lang w:bidi="ar"/>
              </w:rPr>
              <w:t>1</w:t>
            </w:r>
            <w:r>
              <w:rPr>
                <w:rFonts w:hint="eastAsia" w:ascii="仿宋" w:hAnsi="仿宋" w:eastAsia="仿宋" w:cs="宋体"/>
                <w:color w:val="auto"/>
                <w:kern w:val="0"/>
                <w:sz w:val="24"/>
                <w:highlight w:val="none"/>
                <w:lang w:bidi="ar"/>
              </w:rPr>
              <w:t>分；方案不合理或未提供方案不得分。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8" w:hRule="atLeast"/>
        </w:trPr>
        <w:tc>
          <w:tcPr>
            <w:tcW w:w="817" w:type="dxa"/>
            <w:vMerge w:val="continue"/>
            <w:tcBorders>
              <w:right w:val="single" w:color="auto" w:sz="4" w:space="0"/>
            </w:tcBorders>
            <w:vAlign w:val="center"/>
          </w:tcPr>
          <w:p>
            <w:pPr>
              <w:spacing w:line="360" w:lineRule="auto"/>
              <w:jc w:val="center"/>
              <w:rPr>
                <w:rFonts w:ascii="仿宋" w:hAnsi="仿宋" w:eastAsia="仿宋" w:cs="宋体"/>
                <w:color w:val="auto"/>
                <w:sz w:val="24"/>
                <w:highlight w:val="none"/>
              </w:rPr>
            </w:pPr>
          </w:p>
        </w:tc>
        <w:tc>
          <w:tcPr>
            <w:tcW w:w="2047" w:type="dxa"/>
            <w:tcBorders>
              <w:left w:val="single" w:color="auto" w:sz="4" w:space="0"/>
              <w:bottom w:val="single" w:color="auto" w:sz="4" w:space="0"/>
            </w:tcBorders>
            <w:vAlign w:val="center"/>
          </w:tcPr>
          <w:p>
            <w:pPr>
              <w:widowControl/>
              <w:spacing w:line="360" w:lineRule="auto"/>
              <w:jc w:val="left"/>
              <w:rPr>
                <w:rFonts w:ascii="仿宋" w:hAnsi="仿宋" w:eastAsia="仿宋" w:cs="宋体"/>
                <w:color w:val="auto"/>
                <w:sz w:val="24"/>
                <w:highlight w:val="none"/>
              </w:rPr>
            </w:pPr>
            <w:r>
              <w:rPr>
                <w:rFonts w:hint="eastAsia" w:ascii="仿宋" w:hAnsi="仿宋" w:eastAsia="仿宋" w:cs="宋体"/>
                <w:color w:val="auto"/>
                <w:sz w:val="24"/>
                <w:highlight w:val="none"/>
              </w:rPr>
              <w:t>（8）智慧纪念馆展陈方法和手段</w:t>
            </w:r>
          </w:p>
        </w:tc>
        <w:tc>
          <w:tcPr>
            <w:tcW w:w="1235" w:type="dxa"/>
            <w:tcBorders>
              <w:bottom w:val="single" w:color="auto" w:sz="4" w:space="0"/>
            </w:tcBorders>
            <w:vAlign w:val="center"/>
          </w:tcPr>
          <w:p>
            <w:pPr>
              <w:spacing w:line="360" w:lineRule="auto"/>
              <w:jc w:val="center"/>
              <w:rPr>
                <w:rFonts w:ascii="仿宋" w:hAnsi="仿宋" w:eastAsia="仿宋"/>
                <w:bCs/>
                <w:color w:val="auto"/>
                <w:sz w:val="24"/>
                <w:highlight w:val="none"/>
              </w:rPr>
            </w:pPr>
            <w:r>
              <w:rPr>
                <w:rFonts w:hint="eastAsia" w:ascii="仿宋" w:hAnsi="仿宋" w:eastAsia="仿宋" w:cs="宋体"/>
                <w:color w:val="auto"/>
                <w:sz w:val="24"/>
                <w:highlight w:val="none"/>
              </w:rPr>
              <w:t>0-5分</w:t>
            </w:r>
          </w:p>
        </w:tc>
        <w:tc>
          <w:tcPr>
            <w:tcW w:w="4668" w:type="dxa"/>
            <w:tcBorders>
              <w:bottom w:val="single" w:color="auto" w:sz="4" w:space="0"/>
            </w:tcBorders>
          </w:tcPr>
          <w:p>
            <w:pPr>
              <w:spacing w:line="360" w:lineRule="auto"/>
              <w:jc w:val="left"/>
              <w:rPr>
                <w:rFonts w:ascii="仿宋" w:hAnsi="仿宋" w:eastAsia="仿宋"/>
                <w:bCs/>
                <w:color w:val="auto"/>
                <w:sz w:val="24"/>
                <w:highlight w:val="none"/>
              </w:rPr>
            </w:pPr>
            <w:r>
              <w:rPr>
                <w:rFonts w:hint="eastAsia" w:ascii="仿宋" w:hAnsi="仿宋" w:eastAsia="仿宋" w:cs="宋体"/>
                <w:color w:val="auto"/>
                <w:kern w:val="0"/>
                <w:sz w:val="24"/>
                <w:highlight w:val="none"/>
                <w:lang w:bidi="ar"/>
              </w:rPr>
              <w:t>设计中纪念馆智慧讲解系统、中控管理系统设计合理、完善得5分；设计中纪念馆智慧讲解系统、中控管理系统设计较合理、完善得3分；设计中纪念馆智慧讲解系统、中控管理系统设计有一定合理、不够完善得1分；方案不合理或未提供方案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 w:hRule="atLeast"/>
        </w:trPr>
        <w:tc>
          <w:tcPr>
            <w:tcW w:w="817" w:type="dxa"/>
            <w:vMerge w:val="continue"/>
            <w:tcBorders>
              <w:right w:val="single" w:color="auto" w:sz="4" w:space="0"/>
            </w:tcBorders>
            <w:vAlign w:val="center"/>
          </w:tcPr>
          <w:p>
            <w:pPr>
              <w:spacing w:line="360" w:lineRule="auto"/>
              <w:jc w:val="center"/>
              <w:rPr>
                <w:rFonts w:ascii="仿宋" w:hAnsi="仿宋" w:eastAsia="仿宋" w:cs="宋体"/>
                <w:color w:val="auto"/>
                <w:sz w:val="24"/>
                <w:highlight w:val="none"/>
              </w:rPr>
            </w:pPr>
          </w:p>
        </w:tc>
        <w:tc>
          <w:tcPr>
            <w:tcW w:w="2047" w:type="dxa"/>
            <w:tcBorders>
              <w:top w:val="single" w:color="auto" w:sz="4" w:space="0"/>
              <w:left w:val="single" w:color="auto" w:sz="4" w:space="0"/>
              <w:bottom w:val="single" w:color="auto" w:sz="4" w:space="0"/>
            </w:tcBorders>
            <w:vAlign w:val="center"/>
          </w:tcPr>
          <w:p>
            <w:pPr>
              <w:widowControl/>
              <w:spacing w:line="360" w:lineRule="auto"/>
              <w:jc w:val="left"/>
              <w:rPr>
                <w:rFonts w:ascii="仿宋" w:hAnsi="仿宋" w:eastAsia="仿宋" w:cs="宋体"/>
                <w:color w:val="auto"/>
                <w:sz w:val="24"/>
                <w:highlight w:val="none"/>
              </w:rPr>
            </w:pPr>
            <w:r>
              <w:rPr>
                <w:rFonts w:hint="eastAsia" w:ascii="仿宋" w:hAnsi="仿宋" w:eastAsia="仿宋" w:cs="宋体"/>
                <w:color w:val="auto"/>
                <w:sz w:val="24"/>
                <w:highlight w:val="none"/>
              </w:rPr>
              <w:t>（9）建筑整体布局与运营设计</w:t>
            </w:r>
          </w:p>
        </w:tc>
        <w:tc>
          <w:tcPr>
            <w:tcW w:w="1235" w:type="dxa"/>
            <w:tcBorders>
              <w:top w:val="single" w:color="auto" w:sz="4" w:space="0"/>
              <w:bottom w:val="single" w:color="auto" w:sz="4" w:space="0"/>
            </w:tcBorders>
            <w:vAlign w:val="center"/>
          </w:tcPr>
          <w:p>
            <w:pPr>
              <w:spacing w:line="360" w:lineRule="auto"/>
              <w:jc w:val="center"/>
              <w:rPr>
                <w:rFonts w:ascii="仿宋" w:hAnsi="仿宋" w:eastAsia="仿宋" w:cs="宋体"/>
                <w:color w:val="auto"/>
                <w:sz w:val="24"/>
                <w:highlight w:val="none"/>
              </w:rPr>
            </w:pPr>
            <w:r>
              <w:rPr>
                <w:rFonts w:hint="eastAsia" w:ascii="仿宋" w:hAnsi="仿宋" w:eastAsia="仿宋" w:cs="宋体"/>
                <w:color w:val="auto"/>
                <w:sz w:val="24"/>
                <w:highlight w:val="none"/>
              </w:rPr>
              <w:t>0-5分</w:t>
            </w:r>
          </w:p>
        </w:tc>
        <w:tc>
          <w:tcPr>
            <w:tcW w:w="4668" w:type="dxa"/>
            <w:tcBorders>
              <w:top w:val="single" w:color="auto" w:sz="4" w:space="0"/>
              <w:bottom w:val="single" w:color="auto" w:sz="4" w:space="0"/>
            </w:tcBorders>
          </w:tcPr>
          <w:p>
            <w:pPr>
              <w:spacing w:line="360" w:lineRule="auto"/>
              <w:jc w:val="left"/>
              <w:rPr>
                <w:rFonts w:ascii="仿宋" w:hAnsi="仿宋" w:eastAsia="仿宋" w:cs="宋体"/>
                <w:color w:val="auto"/>
                <w:kern w:val="0"/>
                <w:sz w:val="24"/>
                <w:highlight w:val="none"/>
                <w:lang w:bidi="ar"/>
              </w:rPr>
            </w:pPr>
            <w:r>
              <w:rPr>
                <w:rFonts w:hint="eastAsia" w:ascii="仿宋" w:hAnsi="仿宋" w:eastAsia="仿宋" w:cs="宋体"/>
                <w:color w:val="auto"/>
                <w:kern w:val="0"/>
                <w:sz w:val="24"/>
                <w:highlight w:val="none"/>
                <w:lang w:bidi="ar"/>
              </w:rPr>
              <w:t>室外景观走廊设计方案理念创新、新颖，与室内布展设计内容具有连续性；纪念馆运营空间设计合理，运营性强得5分；室外景观走廊设计方案理念较好，与室内布展设计内容具有较好连续性；纪念馆运营空间设计较合理，运营性较强得3分；设计方案有一定的设计想法，运营空间设计有一定的合理性得1分；方案不合理或未提供方案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6" w:hRule="atLeast"/>
        </w:trPr>
        <w:tc>
          <w:tcPr>
            <w:tcW w:w="817" w:type="dxa"/>
            <w:vMerge w:val="continue"/>
            <w:tcBorders>
              <w:right w:val="single" w:color="auto" w:sz="4" w:space="0"/>
            </w:tcBorders>
            <w:vAlign w:val="center"/>
          </w:tcPr>
          <w:p>
            <w:pPr>
              <w:spacing w:line="360" w:lineRule="auto"/>
              <w:jc w:val="center"/>
              <w:rPr>
                <w:rFonts w:ascii="仿宋" w:hAnsi="仿宋" w:eastAsia="仿宋" w:cs="宋体"/>
                <w:color w:val="auto"/>
                <w:sz w:val="24"/>
                <w:highlight w:val="none"/>
              </w:rPr>
            </w:pPr>
          </w:p>
        </w:tc>
        <w:tc>
          <w:tcPr>
            <w:tcW w:w="2047" w:type="dxa"/>
            <w:tcBorders>
              <w:top w:val="single" w:color="auto" w:sz="4" w:space="0"/>
              <w:left w:val="single" w:color="auto" w:sz="4" w:space="0"/>
              <w:bottom w:val="single" w:color="auto" w:sz="4" w:space="0"/>
            </w:tcBorders>
            <w:vAlign w:val="center"/>
          </w:tcPr>
          <w:p>
            <w:pPr>
              <w:widowControl/>
              <w:spacing w:line="360" w:lineRule="auto"/>
              <w:jc w:val="left"/>
              <w:rPr>
                <w:rFonts w:ascii="仿宋" w:hAnsi="仿宋" w:eastAsia="仿宋" w:cs="宋体"/>
                <w:color w:val="auto"/>
                <w:sz w:val="24"/>
                <w:highlight w:val="none"/>
              </w:rPr>
            </w:pPr>
            <w:r>
              <w:rPr>
                <w:rFonts w:hint="eastAsia" w:ascii="仿宋" w:hAnsi="仿宋" w:eastAsia="仿宋" w:cs="宋体"/>
                <w:color w:val="auto"/>
                <w:sz w:val="24"/>
                <w:highlight w:val="none"/>
              </w:rPr>
              <w:t>（10）纪念馆场景方案展示设计</w:t>
            </w:r>
          </w:p>
        </w:tc>
        <w:tc>
          <w:tcPr>
            <w:tcW w:w="1235" w:type="dxa"/>
            <w:tcBorders>
              <w:top w:val="single" w:color="auto" w:sz="4" w:space="0"/>
              <w:bottom w:val="single" w:color="auto" w:sz="4" w:space="0"/>
            </w:tcBorders>
            <w:vAlign w:val="center"/>
          </w:tcPr>
          <w:p>
            <w:pPr>
              <w:spacing w:line="360" w:lineRule="auto"/>
              <w:jc w:val="center"/>
              <w:rPr>
                <w:rFonts w:ascii="仿宋" w:hAnsi="仿宋" w:eastAsia="仿宋"/>
                <w:bCs/>
                <w:color w:val="auto"/>
                <w:sz w:val="24"/>
                <w:highlight w:val="none"/>
              </w:rPr>
            </w:pPr>
            <w:r>
              <w:rPr>
                <w:rFonts w:hint="eastAsia" w:ascii="仿宋" w:hAnsi="仿宋" w:eastAsia="仿宋" w:cs="宋体"/>
                <w:color w:val="auto"/>
                <w:sz w:val="24"/>
                <w:highlight w:val="none"/>
              </w:rPr>
              <w:t>0-5分</w:t>
            </w:r>
          </w:p>
        </w:tc>
        <w:tc>
          <w:tcPr>
            <w:tcW w:w="4668" w:type="dxa"/>
            <w:tcBorders>
              <w:top w:val="single" w:color="auto" w:sz="4" w:space="0"/>
              <w:bottom w:val="single" w:color="auto" w:sz="4" w:space="0"/>
            </w:tcBorders>
          </w:tcPr>
          <w:p>
            <w:pPr>
              <w:spacing w:line="360" w:lineRule="auto"/>
              <w:jc w:val="left"/>
              <w:rPr>
                <w:rFonts w:ascii="仿宋" w:hAnsi="仿宋" w:eastAsia="仿宋" w:cs="宋体"/>
                <w:color w:val="auto"/>
                <w:kern w:val="0"/>
                <w:sz w:val="24"/>
                <w:highlight w:val="none"/>
                <w:lang w:bidi="ar"/>
              </w:rPr>
            </w:pPr>
            <w:r>
              <w:rPr>
                <w:rFonts w:hint="eastAsia" w:ascii="仿宋" w:hAnsi="仿宋" w:eastAsia="仿宋" w:cs="宋体"/>
                <w:color w:val="auto"/>
                <w:kern w:val="0"/>
                <w:sz w:val="24"/>
                <w:highlight w:val="none"/>
                <w:lang w:bidi="ar"/>
              </w:rPr>
              <w:t>构思立意准确，布局合理，实时特征明显，专业性强，工艺先进，艺术感染力强，设计深度符合要求得5分；构思立意较为准确，布局较为合理，实时特征明显，专业性较强，工艺较为先进，艺术感染力较强，设计深度基本符合要求得3分；构思立意基本准确，布局有一定不足，实时特征、专业性、工艺、艺术感染力有一定缺陷，设计深度不够得</w:t>
            </w:r>
            <w:r>
              <w:rPr>
                <w:rFonts w:ascii="仿宋" w:hAnsi="仿宋" w:eastAsia="仿宋" w:cs="宋体"/>
                <w:color w:val="auto"/>
                <w:kern w:val="0"/>
                <w:sz w:val="24"/>
                <w:highlight w:val="none"/>
                <w:lang w:bidi="ar"/>
              </w:rPr>
              <w:t>1</w:t>
            </w:r>
            <w:r>
              <w:rPr>
                <w:rFonts w:hint="eastAsia" w:ascii="仿宋" w:hAnsi="仿宋" w:eastAsia="仿宋" w:cs="宋体"/>
                <w:color w:val="auto"/>
                <w:kern w:val="0"/>
                <w:sz w:val="24"/>
                <w:highlight w:val="none"/>
                <w:lang w:bidi="ar"/>
              </w:rPr>
              <w:t>分；方案不合理或未提供方案不得分。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1" w:hRule="atLeast"/>
        </w:trPr>
        <w:tc>
          <w:tcPr>
            <w:tcW w:w="817" w:type="dxa"/>
            <w:vMerge w:val="continue"/>
            <w:tcBorders>
              <w:right w:val="single" w:color="auto" w:sz="4" w:space="0"/>
            </w:tcBorders>
            <w:vAlign w:val="center"/>
          </w:tcPr>
          <w:p>
            <w:pPr>
              <w:spacing w:line="360" w:lineRule="auto"/>
              <w:jc w:val="center"/>
              <w:rPr>
                <w:rFonts w:ascii="仿宋" w:hAnsi="仿宋" w:eastAsia="仿宋" w:cs="宋体"/>
                <w:color w:val="auto"/>
                <w:sz w:val="24"/>
                <w:highlight w:val="none"/>
              </w:rPr>
            </w:pPr>
          </w:p>
        </w:tc>
        <w:tc>
          <w:tcPr>
            <w:tcW w:w="2047" w:type="dxa"/>
            <w:tcBorders>
              <w:top w:val="single" w:color="auto" w:sz="4" w:space="0"/>
              <w:left w:val="single" w:color="auto" w:sz="4" w:space="0"/>
              <w:bottom w:val="single" w:color="auto" w:sz="4" w:space="0"/>
            </w:tcBorders>
            <w:vAlign w:val="center"/>
          </w:tcPr>
          <w:p>
            <w:pPr>
              <w:widowControl/>
              <w:spacing w:line="360" w:lineRule="auto"/>
              <w:jc w:val="left"/>
              <w:rPr>
                <w:rFonts w:ascii="仿宋" w:hAnsi="仿宋" w:eastAsia="仿宋" w:cs="宋体"/>
                <w:color w:val="auto"/>
                <w:sz w:val="24"/>
                <w:highlight w:val="none"/>
              </w:rPr>
            </w:pPr>
            <w:r>
              <w:rPr>
                <w:rFonts w:hint="eastAsia" w:ascii="仿宋" w:hAnsi="仿宋" w:eastAsia="仿宋" w:cs="宋体"/>
                <w:color w:val="auto"/>
                <w:sz w:val="24"/>
                <w:highlight w:val="none"/>
              </w:rPr>
              <w:t>（11）纪念馆声光电的运用</w:t>
            </w:r>
          </w:p>
        </w:tc>
        <w:tc>
          <w:tcPr>
            <w:tcW w:w="1235" w:type="dxa"/>
            <w:tcBorders>
              <w:top w:val="single" w:color="auto" w:sz="4" w:space="0"/>
              <w:bottom w:val="single" w:color="auto" w:sz="4" w:space="0"/>
            </w:tcBorders>
            <w:vAlign w:val="center"/>
          </w:tcPr>
          <w:p>
            <w:pPr>
              <w:spacing w:line="360" w:lineRule="auto"/>
              <w:jc w:val="center"/>
              <w:rPr>
                <w:rFonts w:ascii="仿宋" w:hAnsi="仿宋" w:eastAsia="仿宋"/>
                <w:bCs/>
                <w:color w:val="auto"/>
                <w:sz w:val="24"/>
                <w:highlight w:val="none"/>
              </w:rPr>
            </w:pPr>
            <w:r>
              <w:rPr>
                <w:rFonts w:hint="eastAsia" w:ascii="仿宋" w:hAnsi="仿宋" w:eastAsia="仿宋" w:cs="宋体"/>
                <w:color w:val="auto"/>
                <w:sz w:val="24"/>
                <w:highlight w:val="none"/>
              </w:rPr>
              <w:t>0-5分</w:t>
            </w:r>
          </w:p>
        </w:tc>
        <w:tc>
          <w:tcPr>
            <w:tcW w:w="4668" w:type="dxa"/>
            <w:tcBorders>
              <w:top w:val="single" w:color="auto" w:sz="4" w:space="0"/>
              <w:bottom w:val="single" w:color="auto" w:sz="4" w:space="0"/>
            </w:tcBorders>
          </w:tcPr>
          <w:p>
            <w:pPr>
              <w:spacing w:line="360" w:lineRule="auto"/>
              <w:jc w:val="left"/>
              <w:rPr>
                <w:rFonts w:ascii="仿宋" w:hAnsi="仿宋" w:eastAsia="仿宋" w:cs="宋体"/>
                <w:color w:val="auto"/>
                <w:sz w:val="24"/>
                <w:highlight w:val="none"/>
              </w:rPr>
            </w:pPr>
            <w:r>
              <w:rPr>
                <w:rFonts w:hint="eastAsia" w:ascii="仿宋" w:hAnsi="仿宋" w:eastAsia="仿宋" w:cs="宋体"/>
                <w:color w:val="auto"/>
                <w:kern w:val="0"/>
                <w:sz w:val="24"/>
                <w:highlight w:val="none"/>
                <w:lang w:bidi="ar"/>
              </w:rPr>
              <w:t>充分运用科技手段，构思立意准确，布局合理，实时特征明显，工艺先进，感染力强，互动性强，性能优，操作简便，易维护得5分；充分运用科技手段，构思立意较为准确，布局较为合理，实时特征较为明显，工艺较为先进，感染力较强，互动性较强，性能较优，操作较为简便，易维护得3分；运用一定科技手段，构思立意有一定偏离，布局不够合理，实时特征不够明显，工艺、感染力强，互动性、性能有一定不足，操作不够简便，维护不够简便得</w:t>
            </w:r>
            <w:r>
              <w:rPr>
                <w:rFonts w:ascii="仿宋" w:hAnsi="仿宋" w:eastAsia="仿宋" w:cs="宋体"/>
                <w:color w:val="auto"/>
                <w:kern w:val="0"/>
                <w:sz w:val="24"/>
                <w:highlight w:val="none"/>
                <w:lang w:bidi="ar"/>
              </w:rPr>
              <w:t>1</w:t>
            </w:r>
            <w:r>
              <w:rPr>
                <w:rFonts w:hint="eastAsia" w:ascii="仿宋" w:hAnsi="仿宋" w:eastAsia="仿宋" w:cs="宋体"/>
                <w:color w:val="auto"/>
                <w:kern w:val="0"/>
                <w:sz w:val="24"/>
                <w:highlight w:val="none"/>
                <w:lang w:bidi="ar"/>
              </w:rPr>
              <w:t>分；方案不合理或未提供方案不得分。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6" w:hRule="atLeast"/>
        </w:trPr>
        <w:tc>
          <w:tcPr>
            <w:tcW w:w="817" w:type="dxa"/>
            <w:vMerge w:val="continue"/>
            <w:tcBorders>
              <w:bottom w:val="single" w:color="auto" w:sz="4" w:space="0"/>
              <w:right w:val="single" w:color="auto" w:sz="4" w:space="0"/>
            </w:tcBorders>
            <w:vAlign w:val="center"/>
          </w:tcPr>
          <w:p>
            <w:pPr>
              <w:spacing w:line="360" w:lineRule="auto"/>
              <w:jc w:val="center"/>
              <w:rPr>
                <w:rFonts w:ascii="仿宋" w:hAnsi="仿宋" w:eastAsia="仿宋" w:cs="宋体"/>
                <w:color w:val="auto"/>
                <w:sz w:val="24"/>
                <w:highlight w:val="none"/>
              </w:rPr>
            </w:pPr>
          </w:p>
        </w:tc>
        <w:tc>
          <w:tcPr>
            <w:tcW w:w="2047" w:type="dxa"/>
            <w:tcBorders>
              <w:top w:val="single" w:color="auto" w:sz="4" w:space="0"/>
              <w:left w:val="single" w:color="auto" w:sz="4" w:space="0"/>
            </w:tcBorders>
            <w:vAlign w:val="center"/>
          </w:tcPr>
          <w:p>
            <w:pPr>
              <w:widowControl/>
              <w:spacing w:line="360" w:lineRule="auto"/>
              <w:jc w:val="left"/>
              <w:rPr>
                <w:rFonts w:ascii="仿宋" w:hAnsi="仿宋" w:eastAsia="仿宋" w:cs="宋体"/>
                <w:color w:val="auto"/>
                <w:sz w:val="24"/>
                <w:highlight w:val="none"/>
              </w:rPr>
            </w:pPr>
            <w:r>
              <w:rPr>
                <w:rFonts w:hint="eastAsia" w:ascii="仿宋" w:hAnsi="仿宋" w:eastAsia="仿宋" w:cs="宋体"/>
                <w:color w:val="auto"/>
                <w:sz w:val="24"/>
                <w:highlight w:val="none"/>
              </w:rPr>
              <w:t>（12）媒体演示文件</w:t>
            </w:r>
          </w:p>
        </w:tc>
        <w:tc>
          <w:tcPr>
            <w:tcW w:w="1235" w:type="dxa"/>
            <w:tcBorders>
              <w:top w:val="single" w:color="auto" w:sz="4" w:space="0"/>
              <w:bottom w:val="single" w:color="auto" w:sz="4" w:space="0"/>
            </w:tcBorders>
            <w:vAlign w:val="center"/>
          </w:tcPr>
          <w:p>
            <w:pPr>
              <w:spacing w:line="360" w:lineRule="auto"/>
              <w:jc w:val="center"/>
              <w:rPr>
                <w:rFonts w:ascii="仿宋" w:hAnsi="仿宋" w:eastAsia="仿宋"/>
                <w:bCs/>
                <w:color w:val="auto"/>
                <w:sz w:val="24"/>
                <w:highlight w:val="none"/>
              </w:rPr>
            </w:pPr>
            <w:r>
              <w:rPr>
                <w:rFonts w:hint="eastAsia" w:ascii="仿宋" w:hAnsi="仿宋" w:eastAsia="仿宋" w:cs="宋体"/>
                <w:color w:val="auto"/>
                <w:sz w:val="24"/>
                <w:highlight w:val="none"/>
              </w:rPr>
              <w:t>0-5分</w:t>
            </w:r>
          </w:p>
        </w:tc>
        <w:tc>
          <w:tcPr>
            <w:tcW w:w="4668" w:type="dxa"/>
            <w:tcBorders>
              <w:top w:val="single" w:color="auto" w:sz="4" w:space="0"/>
              <w:bottom w:val="single" w:color="auto" w:sz="4" w:space="0"/>
            </w:tcBorders>
          </w:tcPr>
          <w:p>
            <w:pPr>
              <w:spacing w:line="360" w:lineRule="auto"/>
              <w:jc w:val="left"/>
              <w:rPr>
                <w:rFonts w:ascii="仿宋" w:hAnsi="仿宋" w:eastAsia="仿宋" w:cs="宋体"/>
                <w:color w:val="auto"/>
                <w:sz w:val="24"/>
                <w:highlight w:val="none"/>
              </w:rPr>
            </w:pPr>
            <w:r>
              <w:rPr>
                <w:rFonts w:hint="eastAsia" w:ascii="仿宋" w:hAnsi="仿宋" w:eastAsia="仿宋" w:cs="宋体"/>
                <w:color w:val="auto"/>
                <w:sz w:val="24"/>
                <w:highlight w:val="none"/>
              </w:rPr>
              <w:t>多媒体演示文件的演示时间不超过10分钟（普通话口语），演示文件表达完整，体现投标人的展陈理念，创新能力好，专业水平高</w:t>
            </w:r>
            <w:r>
              <w:rPr>
                <w:rFonts w:hint="eastAsia" w:ascii="仿宋" w:hAnsi="仿宋" w:eastAsia="仿宋" w:cs="宋体"/>
                <w:color w:val="auto"/>
                <w:kern w:val="0"/>
                <w:sz w:val="24"/>
                <w:highlight w:val="none"/>
                <w:lang w:bidi="ar"/>
              </w:rPr>
              <w:t>得5分；</w:t>
            </w:r>
            <w:r>
              <w:rPr>
                <w:rFonts w:hint="eastAsia" w:ascii="仿宋" w:hAnsi="仿宋" w:eastAsia="仿宋" w:cs="宋体"/>
                <w:color w:val="auto"/>
                <w:sz w:val="24"/>
                <w:highlight w:val="none"/>
              </w:rPr>
              <w:t>演示文件表较为完整，基本体现投标人的展陈理念，创新能力较好，专业水平较高</w:t>
            </w:r>
            <w:r>
              <w:rPr>
                <w:rFonts w:hint="eastAsia" w:ascii="仿宋" w:hAnsi="仿宋" w:eastAsia="仿宋" w:cs="宋体"/>
                <w:color w:val="auto"/>
                <w:kern w:val="0"/>
                <w:sz w:val="24"/>
                <w:highlight w:val="none"/>
                <w:lang w:bidi="ar"/>
              </w:rPr>
              <w:t>得</w:t>
            </w:r>
            <w:r>
              <w:rPr>
                <w:rFonts w:ascii="仿宋" w:hAnsi="仿宋" w:eastAsia="仿宋" w:cs="宋体"/>
                <w:color w:val="auto"/>
                <w:kern w:val="0"/>
                <w:sz w:val="24"/>
                <w:highlight w:val="none"/>
                <w:lang w:bidi="ar"/>
              </w:rPr>
              <w:t>3</w:t>
            </w:r>
            <w:r>
              <w:rPr>
                <w:rFonts w:hint="eastAsia" w:ascii="仿宋" w:hAnsi="仿宋" w:eastAsia="仿宋" w:cs="宋体"/>
                <w:color w:val="auto"/>
                <w:kern w:val="0"/>
                <w:sz w:val="24"/>
                <w:highlight w:val="none"/>
                <w:lang w:bidi="ar"/>
              </w:rPr>
              <w:t>分；</w:t>
            </w:r>
            <w:r>
              <w:rPr>
                <w:rFonts w:hint="eastAsia" w:ascii="仿宋" w:hAnsi="仿宋" w:eastAsia="仿宋" w:cs="宋体"/>
                <w:color w:val="auto"/>
                <w:sz w:val="24"/>
                <w:highlight w:val="none"/>
              </w:rPr>
              <w:t>演示文件表达完整性不够，不能完全体现投标人的展陈理念，创新能力不足，专业水平不足</w:t>
            </w:r>
            <w:r>
              <w:rPr>
                <w:rFonts w:hint="eastAsia" w:ascii="仿宋" w:hAnsi="仿宋" w:eastAsia="仿宋" w:cs="宋体"/>
                <w:color w:val="auto"/>
                <w:kern w:val="0"/>
                <w:sz w:val="24"/>
                <w:highlight w:val="none"/>
                <w:lang w:bidi="ar"/>
              </w:rPr>
              <w:t>得</w:t>
            </w:r>
            <w:r>
              <w:rPr>
                <w:rFonts w:ascii="仿宋" w:hAnsi="仿宋" w:eastAsia="仿宋" w:cs="宋体"/>
                <w:color w:val="auto"/>
                <w:kern w:val="0"/>
                <w:sz w:val="24"/>
                <w:highlight w:val="none"/>
                <w:lang w:bidi="ar"/>
              </w:rPr>
              <w:t>1</w:t>
            </w:r>
            <w:r>
              <w:rPr>
                <w:rFonts w:hint="eastAsia" w:ascii="仿宋" w:hAnsi="仿宋" w:eastAsia="仿宋" w:cs="宋体"/>
                <w:color w:val="auto"/>
                <w:kern w:val="0"/>
                <w:sz w:val="24"/>
                <w:highlight w:val="none"/>
                <w:lang w:bidi="ar"/>
              </w:rPr>
              <w:t>分；方案不合理或未提供方案不得分。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72" w:hRule="atLeast"/>
        </w:trPr>
        <w:tc>
          <w:tcPr>
            <w:tcW w:w="817" w:type="dxa"/>
            <w:vMerge w:val="restart"/>
            <w:tcBorders>
              <w:right w:val="single" w:color="auto" w:sz="4" w:space="0"/>
            </w:tcBorders>
            <w:vAlign w:val="center"/>
          </w:tcPr>
          <w:p>
            <w:pPr>
              <w:spacing w:line="360" w:lineRule="auto"/>
              <w:jc w:val="center"/>
              <w:rPr>
                <w:rFonts w:ascii="仿宋" w:hAnsi="仿宋" w:eastAsia="仿宋" w:cs="宋体"/>
                <w:color w:val="auto"/>
                <w:sz w:val="24"/>
                <w:highlight w:val="none"/>
              </w:rPr>
            </w:pPr>
            <w:r>
              <w:rPr>
                <w:rFonts w:ascii="仿宋" w:hAnsi="仿宋" w:eastAsia="仿宋" w:cs="宋体"/>
                <w:b/>
                <w:bCs/>
                <w:color w:val="auto"/>
                <w:sz w:val="24"/>
                <w:highlight w:val="none"/>
              </w:rPr>
              <w:t>5</w:t>
            </w:r>
            <w:r>
              <w:rPr>
                <w:rFonts w:hint="eastAsia" w:ascii="仿宋" w:hAnsi="仿宋" w:eastAsia="仿宋" w:cs="宋体"/>
                <w:b/>
                <w:bCs/>
                <w:color w:val="auto"/>
                <w:sz w:val="24"/>
                <w:highlight w:val="none"/>
              </w:rPr>
              <w:t>、施工组织及措施（</w:t>
            </w:r>
            <w:r>
              <w:rPr>
                <w:rFonts w:ascii="仿宋" w:hAnsi="仿宋" w:eastAsia="仿宋" w:cs="宋体"/>
                <w:b/>
                <w:bCs/>
                <w:color w:val="auto"/>
                <w:sz w:val="24"/>
                <w:highlight w:val="none"/>
              </w:rPr>
              <w:t>4</w:t>
            </w:r>
            <w:r>
              <w:rPr>
                <w:rFonts w:hint="eastAsia" w:ascii="仿宋" w:hAnsi="仿宋" w:eastAsia="仿宋" w:cs="宋体"/>
                <w:b/>
                <w:bCs/>
                <w:color w:val="auto"/>
                <w:sz w:val="24"/>
                <w:highlight w:val="none"/>
              </w:rPr>
              <w:t>分）</w:t>
            </w:r>
          </w:p>
        </w:tc>
        <w:tc>
          <w:tcPr>
            <w:tcW w:w="2047" w:type="dxa"/>
            <w:tcBorders>
              <w:left w:val="single" w:color="auto" w:sz="4" w:space="0"/>
            </w:tcBorders>
            <w:vAlign w:val="center"/>
          </w:tcPr>
          <w:p>
            <w:pPr>
              <w:widowControl/>
              <w:spacing w:line="360" w:lineRule="auto"/>
              <w:jc w:val="left"/>
              <w:rPr>
                <w:rFonts w:ascii="仿宋" w:hAnsi="仿宋" w:eastAsia="仿宋" w:cs="宋体"/>
                <w:color w:val="auto"/>
                <w:sz w:val="24"/>
                <w:highlight w:val="none"/>
              </w:rPr>
            </w:pPr>
            <w:r>
              <w:rPr>
                <w:rFonts w:hint="eastAsia" w:ascii="仿宋" w:hAnsi="仿宋" w:eastAsia="仿宋" w:cs="宋体"/>
                <w:color w:val="auto"/>
                <w:sz w:val="24"/>
                <w:highlight w:val="none"/>
              </w:rPr>
              <w:t>（1）规范、安全保护措施</w:t>
            </w:r>
          </w:p>
        </w:tc>
        <w:tc>
          <w:tcPr>
            <w:tcW w:w="1235" w:type="dxa"/>
            <w:vAlign w:val="center"/>
          </w:tcPr>
          <w:p>
            <w:pPr>
              <w:spacing w:line="360" w:lineRule="auto"/>
              <w:jc w:val="center"/>
              <w:rPr>
                <w:rFonts w:ascii="仿宋" w:hAnsi="仿宋" w:eastAsia="仿宋"/>
                <w:bCs/>
                <w:color w:val="auto"/>
                <w:sz w:val="24"/>
                <w:highlight w:val="none"/>
              </w:rPr>
            </w:pPr>
            <w:r>
              <w:rPr>
                <w:rFonts w:hint="eastAsia" w:ascii="仿宋" w:hAnsi="仿宋" w:eastAsia="仿宋" w:cs="宋体"/>
                <w:color w:val="auto"/>
                <w:sz w:val="24"/>
                <w:highlight w:val="none"/>
              </w:rPr>
              <w:t>0-</w:t>
            </w:r>
            <w:r>
              <w:rPr>
                <w:rFonts w:ascii="仿宋" w:hAnsi="仿宋" w:eastAsia="仿宋" w:cs="宋体"/>
                <w:color w:val="auto"/>
                <w:sz w:val="24"/>
                <w:highlight w:val="none"/>
              </w:rPr>
              <w:t>1</w:t>
            </w:r>
            <w:r>
              <w:rPr>
                <w:rFonts w:hint="eastAsia" w:ascii="仿宋" w:hAnsi="仿宋" w:eastAsia="仿宋" w:cs="宋体"/>
                <w:color w:val="auto"/>
                <w:sz w:val="24"/>
                <w:highlight w:val="none"/>
              </w:rPr>
              <w:t>分</w:t>
            </w:r>
          </w:p>
        </w:tc>
        <w:tc>
          <w:tcPr>
            <w:tcW w:w="4668" w:type="dxa"/>
          </w:tcPr>
          <w:p>
            <w:pPr>
              <w:spacing w:line="360" w:lineRule="auto"/>
              <w:jc w:val="left"/>
              <w:rPr>
                <w:rFonts w:ascii="仿宋" w:hAnsi="仿宋" w:eastAsia="仿宋" w:cs="宋体"/>
                <w:color w:val="auto"/>
                <w:sz w:val="24"/>
                <w:highlight w:val="none"/>
              </w:rPr>
            </w:pPr>
            <w:r>
              <w:rPr>
                <w:rFonts w:hint="eastAsia" w:ascii="仿宋" w:hAnsi="仿宋" w:eastAsia="仿宋" w:cs="宋体"/>
                <w:color w:val="auto"/>
                <w:sz w:val="24"/>
                <w:highlight w:val="none"/>
              </w:rPr>
              <w:t>深刻理解、正确掌握各项规范要求，布局均衡，重点突出，选用材料均能符合安全、防火、环保、节能等要求得1分；不符合要求不得分。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Merge w:val="continue"/>
            <w:tcBorders>
              <w:right w:val="single" w:color="auto" w:sz="4" w:space="0"/>
            </w:tcBorders>
            <w:vAlign w:val="center"/>
          </w:tcPr>
          <w:p>
            <w:pPr>
              <w:spacing w:line="360" w:lineRule="auto"/>
              <w:jc w:val="center"/>
              <w:rPr>
                <w:rFonts w:ascii="仿宋" w:hAnsi="仿宋" w:eastAsia="仿宋" w:cs="宋体"/>
                <w:color w:val="auto"/>
                <w:sz w:val="24"/>
                <w:highlight w:val="none"/>
              </w:rPr>
            </w:pPr>
          </w:p>
        </w:tc>
        <w:tc>
          <w:tcPr>
            <w:tcW w:w="2047" w:type="dxa"/>
            <w:tcBorders>
              <w:left w:val="single" w:color="auto" w:sz="4" w:space="0"/>
            </w:tcBorders>
            <w:vAlign w:val="center"/>
          </w:tcPr>
          <w:p>
            <w:pPr>
              <w:spacing w:line="360" w:lineRule="auto"/>
              <w:jc w:val="left"/>
              <w:rPr>
                <w:rFonts w:ascii="仿宋" w:hAnsi="仿宋" w:eastAsia="仿宋" w:cs="宋体"/>
                <w:color w:val="auto"/>
                <w:sz w:val="24"/>
                <w:highlight w:val="none"/>
              </w:rPr>
            </w:pPr>
            <w:r>
              <w:rPr>
                <w:rFonts w:hint="eastAsia" w:ascii="仿宋" w:hAnsi="仿宋" w:eastAsia="仿宋" w:cs="宋体"/>
                <w:color w:val="auto"/>
                <w:sz w:val="24"/>
                <w:highlight w:val="none"/>
              </w:rPr>
              <w:t>（2）施工方案、工序及关键部位的技术措施</w:t>
            </w:r>
          </w:p>
        </w:tc>
        <w:tc>
          <w:tcPr>
            <w:tcW w:w="1235" w:type="dxa"/>
            <w:vAlign w:val="center"/>
          </w:tcPr>
          <w:p>
            <w:pPr>
              <w:spacing w:line="360" w:lineRule="auto"/>
              <w:jc w:val="center"/>
              <w:rPr>
                <w:rFonts w:ascii="仿宋" w:hAnsi="仿宋" w:eastAsia="仿宋" w:cs="宋体"/>
                <w:color w:val="auto"/>
                <w:sz w:val="24"/>
                <w:highlight w:val="none"/>
              </w:rPr>
            </w:pPr>
            <w:r>
              <w:rPr>
                <w:rFonts w:hint="eastAsia" w:ascii="仿宋" w:hAnsi="仿宋" w:eastAsia="仿宋" w:cs="宋体"/>
                <w:color w:val="auto"/>
                <w:sz w:val="24"/>
                <w:highlight w:val="none"/>
              </w:rPr>
              <w:t>0-</w:t>
            </w:r>
            <w:r>
              <w:rPr>
                <w:rFonts w:ascii="仿宋" w:hAnsi="仿宋" w:eastAsia="仿宋" w:cs="宋体"/>
                <w:color w:val="auto"/>
                <w:sz w:val="24"/>
                <w:highlight w:val="none"/>
              </w:rPr>
              <w:t>1</w:t>
            </w:r>
            <w:r>
              <w:rPr>
                <w:rFonts w:hint="eastAsia" w:ascii="仿宋" w:hAnsi="仿宋" w:eastAsia="仿宋" w:cs="宋体"/>
                <w:color w:val="auto"/>
                <w:sz w:val="24"/>
                <w:highlight w:val="none"/>
              </w:rPr>
              <w:t>分</w:t>
            </w:r>
          </w:p>
        </w:tc>
        <w:tc>
          <w:tcPr>
            <w:tcW w:w="4668" w:type="dxa"/>
            <w:vAlign w:val="center"/>
          </w:tcPr>
          <w:p>
            <w:pPr>
              <w:spacing w:line="360" w:lineRule="auto"/>
              <w:jc w:val="left"/>
              <w:rPr>
                <w:rFonts w:ascii="仿宋" w:hAnsi="仿宋" w:eastAsia="仿宋" w:cs="宋体"/>
                <w:color w:val="auto"/>
                <w:sz w:val="24"/>
                <w:highlight w:val="none"/>
              </w:rPr>
            </w:pPr>
            <w:r>
              <w:rPr>
                <w:rFonts w:hint="eastAsia" w:ascii="仿宋" w:hAnsi="仿宋" w:eastAsia="仿宋" w:cs="宋体"/>
                <w:color w:val="auto"/>
                <w:sz w:val="24"/>
                <w:highlight w:val="none"/>
              </w:rPr>
              <w:t>根据展陈施工方案、对关键工序、关键部位、难点部位等内容采取合理的技术措施得</w:t>
            </w:r>
            <w:r>
              <w:rPr>
                <w:rFonts w:ascii="仿宋" w:hAnsi="仿宋" w:eastAsia="仿宋" w:cs="宋体"/>
                <w:color w:val="auto"/>
                <w:sz w:val="24"/>
                <w:highlight w:val="none"/>
              </w:rPr>
              <w:t>1</w:t>
            </w:r>
            <w:r>
              <w:rPr>
                <w:rFonts w:hint="eastAsia" w:ascii="仿宋" w:hAnsi="仿宋" w:eastAsia="仿宋" w:cs="宋体"/>
                <w:color w:val="auto"/>
                <w:sz w:val="24"/>
                <w:highlight w:val="none"/>
              </w:rPr>
              <w:t>分；技术措施有一定不足得0</w:t>
            </w:r>
            <w:r>
              <w:rPr>
                <w:rFonts w:ascii="仿宋" w:hAnsi="仿宋" w:eastAsia="仿宋" w:cs="宋体"/>
                <w:color w:val="auto"/>
                <w:sz w:val="24"/>
                <w:highlight w:val="none"/>
              </w:rPr>
              <w:t>.5</w:t>
            </w:r>
            <w:r>
              <w:rPr>
                <w:rFonts w:hint="eastAsia" w:ascii="仿宋" w:hAnsi="仿宋" w:eastAsia="仿宋" w:cs="宋体"/>
                <w:color w:val="auto"/>
                <w:sz w:val="24"/>
                <w:highlight w:val="none"/>
              </w:rPr>
              <w:t>分；未提供不得分。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Merge w:val="continue"/>
            <w:tcBorders>
              <w:right w:val="single" w:color="auto" w:sz="4" w:space="0"/>
            </w:tcBorders>
            <w:vAlign w:val="center"/>
          </w:tcPr>
          <w:p>
            <w:pPr>
              <w:spacing w:line="360" w:lineRule="auto"/>
              <w:jc w:val="center"/>
              <w:rPr>
                <w:rFonts w:ascii="仿宋" w:hAnsi="仿宋" w:eastAsia="仿宋" w:cs="宋体"/>
                <w:color w:val="auto"/>
                <w:sz w:val="24"/>
                <w:highlight w:val="none"/>
              </w:rPr>
            </w:pPr>
          </w:p>
        </w:tc>
        <w:tc>
          <w:tcPr>
            <w:tcW w:w="2047" w:type="dxa"/>
            <w:tcBorders>
              <w:left w:val="single" w:color="auto" w:sz="4" w:space="0"/>
            </w:tcBorders>
            <w:vAlign w:val="center"/>
          </w:tcPr>
          <w:p>
            <w:pPr>
              <w:spacing w:line="360" w:lineRule="auto"/>
              <w:jc w:val="left"/>
              <w:rPr>
                <w:rFonts w:ascii="仿宋" w:hAnsi="仿宋" w:eastAsia="仿宋" w:cs="宋体"/>
                <w:color w:val="auto"/>
                <w:sz w:val="24"/>
                <w:highlight w:val="none"/>
              </w:rPr>
            </w:pPr>
            <w:r>
              <w:rPr>
                <w:rFonts w:hint="eastAsia" w:ascii="仿宋" w:hAnsi="仿宋" w:eastAsia="仿宋" w:cs="宋体"/>
                <w:color w:val="auto"/>
                <w:sz w:val="24"/>
                <w:highlight w:val="none"/>
              </w:rPr>
              <w:t>（3）施工进度计划及保证措施</w:t>
            </w:r>
          </w:p>
        </w:tc>
        <w:tc>
          <w:tcPr>
            <w:tcW w:w="1235" w:type="dxa"/>
            <w:vAlign w:val="center"/>
          </w:tcPr>
          <w:p>
            <w:pPr>
              <w:spacing w:line="360" w:lineRule="auto"/>
              <w:jc w:val="center"/>
              <w:rPr>
                <w:rFonts w:ascii="仿宋" w:hAnsi="仿宋" w:eastAsia="仿宋" w:cs="宋体"/>
                <w:color w:val="auto"/>
                <w:sz w:val="24"/>
                <w:highlight w:val="none"/>
              </w:rPr>
            </w:pPr>
            <w:r>
              <w:rPr>
                <w:rFonts w:hint="eastAsia" w:ascii="仿宋" w:hAnsi="仿宋" w:eastAsia="仿宋" w:cs="宋体"/>
                <w:color w:val="auto"/>
                <w:sz w:val="24"/>
                <w:highlight w:val="none"/>
              </w:rPr>
              <w:t>0-</w:t>
            </w:r>
            <w:r>
              <w:rPr>
                <w:rFonts w:ascii="仿宋" w:hAnsi="仿宋" w:eastAsia="仿宋" w:cs="宋体"/>
                <w:color w:val="auto"/>
                <w:sz w:val="24"/>
                <w:highlight w:val="none"/>
              </w:rPr>
              <w:t>1</w:t>
            </w:r>
            <w:r>
              <w:rPr>
                <w:rFonts w:hint="eastAsia" w:ascii="仿宋" w:hAnsi="仿宋" w:eastAsia="仿宋" w:cs="宋体"/>
                <w:color w:val="auto"/>
                <w:sz w:val="24"/>
                <w:highlight w:val="none"/>
              </w:rPr>
              <w:t>分</w:t>
            </w:r>
          </w:p>
        </w:tc>
        <w:tc>
          <w:tcPr>
            <w:tcW w:w="4668" w:type="dxa"/>
            <w:vAlign w:val="center"/>
          </w:tcPr>
          <w:p>
            <w:pPr>
              <w:spacing w:line="360" w:lineRule="auto"/>
              <w:jc w:val="left"/>
              <w:rPr>
                <w:rFonts w:ascii="仿宋" w:hAnsi="仿宋" w:eastAsia="仿宋" w:cs="宋体"/>
                <w:color w:val="auto"/>
                <w:sz w:val="24"/>
                <w:highlight w:val="none"/>
              </w:rPr>
            </w:pPr>
            <w:r>
              <w:rPr>
                <w:rFonts w:hint="eastAsia" w:ascii="仿宋" w:hAnsi="仿宋" w:eastAsia="仿宋" w:cs="宋体"/>
                <w:color w:val="auto"/>
                <w:sz w:val="24"/>
                <w:highlight w:val="none"/>
              </w:rPr>
              <w:t>展陈设计、施工进度计划，编制合理的保证措施到位、合理得</w:t>
            </w:r>
            <w:r>
              <w:rPr>
                <w:rFonts w:ascii="仿宋" w:hAnsi="仿宋" w:eastAsia="仿宋" w:cs="宋体"/>
                <w:color w:val="auto"/>
                <w:sz w:val="24"/>
                <w:highlight w:val="none"/>
              </w:rPr>
              <w:t>1</w:t>
            </w:r>
            <w:r>
              <w:rPr>
                <w:rFonts w:hint="eastAsia" w:ascii="仿宋" w:hAnsi="仿宋" w:eastAsia="仿宋" w:cs="宋体"/>
                <w:color w:val="auto"/>
                <w:sz w:val="24"/>
                <w:highlight w:val="none"/>
              </w:rPr>
              <w:t>分；保证措施有一定不足得</w:t>
            </w:r>
            <w:r>
              <w:rPr>
                <w:rFonts w:ascii="仿宋" w:hAnsi="仿宋" w:eastAsia="仿宋" w:cs="宋体"/>
                <w:color w:val="auto"/>
                <w:sz w:val="24"/>
                <w:highlight w:val="none"/>
              </w:rPr>
              <w:t>0.5</w:t>
            </w:r>
            <w:r>
              <w:rPr>
                <w:rFonts w:hint="eastAsia" w:ascii="仿宋" w:hAnsi="仿宋" w:eastAsia="仿宋" w:cs="宋体"/>
                <w:color w:val="auto"/>
                <w:sz w:val="24"/>
                <w:highlight w:val="none"/>
              </w:rPr>
              <w:t>分；未提供不得分。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0" w:hRule="atLeast"/>
        </w:trPr>
        <w:tc>
          <w:tcPr>
            <w:tcW w:w="817" w:type="dxa"/>
            <w:vMerge w:val="continue"/>
            <w:tcBorders>
              <w:right w:val="single" w:color="auto" w:sz="4" w:space="0"/>
            </w:tcBorders>
            <w:vAlign w:val="center"/>
          </w:tcPr>
          <w:p>
            <w:pPr>
              <w:spacing w:line="360" w:lineRule="auto"/>
              <w:jc w:val="center"/>
              <w:rPr>
                <w:rFonts w:ascii="仿宋" w:hAnsi="仿宋" w:eastAsia="仿宋" w:cs="宋体"/>
                <w:color w:val="auto"/>
                <w:sz w:val="24"/>
                <w:highlight w:val="none"/>
              </w:rPr>
            </w:pPr>
          </w:p>
        </w:tc>
        <w:tc>
          <w:tcPr>
            <w:tcW w:w="2047" w:type="dxa"/>
            <w:tcBorders>
              <w:left w:val="single" w:color="auto" w:sz="4" w:space="0"/>
            </w:tcBorders>
            <w:vAlign w:val="center"/>
          </w:tcPr>
          <w:p>
            <w:pPr>
              <w:spacing w:line="360" w:lineRule="auto"/>
              <w:jc w:val="left"/>
              <w:rPr>
                <w:rFonts w:ascii="仿宋" w:hAnsi="仿宋" w:eastAsia="仿宋" w:cs="宋体"/>
                <w:color w:val="auto"/>
                <w:sz w:val="24"/>
                <w:highlight w:val="none"/>
              </w:rPr>
            </w:pPr>
            <w:r>
              <w:rPr>
                <w:rFonts w:hint="eastAsia" w:ascii="仿宋" w:hAnsi="仿宋" w:eastAsia="仿宋" w:cs="宋体"/>
                <w:color w:val="auto"/>
                <w:sz w:val="24"/>
                <w:highlight w:val="none"/>
              </w:rPr>
              <w:t>（4）质量保证措施，安全、文明施工措施</w:t>
            </w:r>
          </w:p>
        </w:tc>
        <w:tc>
          <w:tcPr>
            <w:tcW w:w="1235" w:type="dxa"/>
            <w:vAlign w:val="center"/>
          </w:tcPr>
          <w:p>
            <w:pPr>
              <w:spacing w:line="360" w:lineRule="auto"/>
              <w:jc w:val="center"/>
              <w:rPr>
                <w:rFonts w:ascii="仿宋" w:hAnsi="仿宋" w:eastAsia="仿宋" w:cs="宋体"/>
                <w:color w:val="auto"/>
                <w:sz w:val="24"/>
                <w:highlight w:val="none"/>
              </w:rPr>
            </w:pPr>
            <w:r>
              <w:rPr>
                <w:rFonts w:hint="eastAsia" w:ascii="仿宋" w:hAnsi="仿宋" w:eastAsia="仿宋" w:cs="宋体"/>
                <w:color w:val="auto"/>
                <w:sz w:val="24"/>
                <w:highlight w:val="none"/>
              </w:rPr>
              <w:t>0-</w:t>
            </w:r>
            <w:r>
              <w:rPr>
                <w:rFonts w:ascii="仿宋" w:hAnsi="仿宋" w:eastAsia="仿宋" w:cs="宋体"/>
                <w:color w:val="auto"/>
                <w:sz w:val="24"/>
                <w:highlight w:val="none"/>
              </w:rPr>
              <w:t>1</w:t>
            </w:r>
            <w:r>
              <w:rPr>
                <w:rFonts w:hint="eastAsia" w:ascii="仿宋" w:hAnsi="仿宋" w:eastAsia="仿宋" w:cs="宋体"/>
                <w:color w:val="auto"/>
                <w:sz w:val="24"/>
                <w:highlight w:val="none"/>
              </w:rPr>
              <w:t>分</w:t>
            </w:r>
          </w:p>
        </w:tc>
        <w:tc>
          <w:tcPr>
            <w:tcW w:w="4668" w:type="dxa"/>
            <w:vAlign w:val="center"/>
          </w:tcPr>
          <w:p>
            <w:pPr>
              <w:spacing w:line="360" w:lineRule="auto"/>
              <w:jc w:val="left"/>
              <w:rPr>
                <w:rFonts w:ascii="仿宋" w:hAnsi="仿宋" w:eastAsia="仿宋" w:cs="宋体"/>
                <w:color w:val="auto"/>
                <w:sz w:val="24"/>
                <w:highlight w:val="none"/>
              </w:rPr>
            </w:pPr>
            <w:r>
              <w:rPr>
                <w:rFonts w:hint="eastAsia" w:ascii="仿宋" w:hAnsi="仿宋" w:eastAsia="仿宋" w:cs="宋体"/>
                <w:color w:val="auto"/>
                <w:sz w:val="24"/>
                <w:highlight w:val="none"/>
              </w:rPr>
              <w:t>质量保证措施、安全、文明施工措施合理完善得</w:t>
            </w:r>
            <w:r>
              <w:rPr>
                <w:rFonts w:ascii="仿宋" w:hAnsi="仿宋" w:eastAsia="仿宋" w:cs="宋体"/>
                <w:color w:val="auto"/>
                <w:sz w:val="24"/>
                <w:highlight w:val="none"/>
              </w:rPr>
              <w:t>1</w:t>
            </w:r>
            <w:r>
              <w:rPr>
                <w:rFonts w:hint="eastAsia" w:ascii="仿宋" w:hAnsi="仿宋" w:eastAsia="仿宋" w:cs="宋体"/>
                <w:color w:val="auto"/>
                <w:sz w:val="24"/>
                <w:highlight w:val="none"/>
              </w:rPr>
              <w:t>分；质量保证措施、安全、文明施工措施不够合理完善得</w:t>
            </w:r>
            <w:r>
              <w:rPr>
                <w:rFonts w:ascii="仿宋" w:hAnsi="仿宋" w:eastAsia="仿宋" w:cs="宋体"/>
                <w:color w:val="auto"/>
                <w:sz w:val="24"/>
                <w:highlight w:val="none"/>
              </w:rPr>
              <w:t>0.5</w:t>
            </w:r>
            <w:r>
              <w:rPr>
                <w:rFonts w:hint="eastAsia" w:ascii="仿宋" w:hAnsi="仿宋" w:eastAsia="仿宋" w:cs="宋体"/>
                <w:color w:val="auto"/>
                <w:sz w:val="24"/>
                <w:highlight w:val="none"/>
              </w:rPr>
              <w:t>分；未提供不得分。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0" w:hRule="atLeast"/>
        </w:trPr>
        <w:tc>
          <w:tcPr>
            <w:tcW w:w="817" w:type="dxa"/>
            <w:tcBorders>
              <w:right w:val="single" w:color="auto" w:sz="4" w:space="0"/>
            </w:tcBorders>
            <w:vAlign w:val="center"/>
          </w:tcPr>
          <w:p>
            <w:pPr>
              <w:spacing w:line="360" w:lineRule="auto"/>
              <w:jc w:val="center"/>
              <w:rPr>
                <w:rFonts w:ascii="仿宋" w:hAnsi="仿宋" w:eastAsia="仿宋" w:cs="宋体"/>
                <w:b/>
                <w:bCs/>
                <w:color w:val="auto"/>
                <w:sz w:val="24"/>
                <w:highlight w:val="none"/>
              </w:rPr>
            </w:pPr>
            <w:r>
              <w:rPr>
                <w:rFonts w:ascii="仿宋" w:hAnsi="仿宋" w:eastAsia="仿宋" w:cs="宋体"/>
                <w:b/>
                <w:bCs/>
                <w:color w:val="auto"/>
                <w:sz w:val="24"/>
                <w:highlight w:val="none"/>
              </w:rPr>
              <w:t>6</w:t>
            </w:r>
            <w:r>
              <w:rPr>
                <w:rFonts w:hint="eastAsia" w:ascii="仿宋" w:hAnsi="仿宋" w:eastAsia="仿宋" w:cs="宋体"/>
                <w:b/>
                <w:bCs/>
                <w:color w:val="auto"/>
                <w:sz w:val="24"/>
                <w:highlight w:val="none"/>
              </w:rPr>
              <w:t>、项目人员配备（9分）</w:t>
            </w:r>
          </w:p>
        </w:tc>
        <w:tc>
          <w:tcPr>
            <w:tcW w:w="2047" w:type="dxa"/>
            <w:tcBorders>
              <w:left w:val="single" w:color="auto" w:sz="4" w:space="0"/>
            </w:tcBorders>
            <w:vAlign w:val="center"/>
          </w:tcPr>
          <w:p>
            <w:pPr>
              <w:spacing w:line="360" w:lineRule="auto"/>
              <w:jc w:val="left"/>
              <w:rPr>
                <w:rFonts w:ascii="仿宋" w:hAnsi="仿宋" w:eastAsia="仿宋" w:cs="宋体"/>
                <w:color w:val="auto"/>
                <w:sz w:val="24"/>
                <w:highlight w:val="none"/>
              </w:rPr>
            </w:pPr>
            <w:r>
              <w:rPr>
                <w:rFonts w:hint="eastAsia" w:ascii="仿宋" w:hAnsi="仿宋" w:eastAsia="仿宋" w:cs="宋体"/>
                <w:color w:val="auto"/>
                <w:sz w:val="24"/>
                <w:highlight w:val="none"/>
              </w:rPr>
              <w:t>（</w:t>
            </w:r>
            <w:r>
              <w:rPr>
                <w:rFonts w:ascii="仿宋" w:hAnsi="仿宋" w:eastAsia="仿宋" w:cs="宋体"/>
                <w:color w:val="auto"/>
                <w:sz w:val="24"/>
                <w:highlight w:val="none"/>
              </w:rPr>
              <w:t>1</w:t>
            </w:r>
            <w:r>
              <w:rPr>
                <w:rFonts w:hint="eastAsia" w:ascii="仿宋" w:hAnsi="仿宋" w:eastAsia="仿宋" w:cs="宋体"/>
                <w:color w:val="auto"/>
                <w:sz w:val="24"/>
                <w:highlight w:val="none"/>
              </w:rPr>
              <w:t>）拟派项目组人员配备</w:t>
            </w:r>
          </w:p>
        </w:tc>
        <w:tc>
          <w:tcPr>
            <w:tcW w:w="1235" w:type="dxa"/>
            <w:vAlign w:val="center"/>
          </w:tcPr>
          <w:p>
            <w:pPr>
              <w:spacing w:line="360" w:lineRule="auto"/>
              <w:jc w:val="center"/>
              <w:rPr>
                <w:rFonts w:ascii="仿宋" w:hAnsi="仿宋" w:eastAsia="仿宋" w:cs="宋体"/>
                <w:color w:val="auto"/>
                <w:sz w:val="24"/>
                <w:highlight w:val="none"/>
              </w:rPr>
            </w:pPr>
            <w:r>
              <w:rPr>
                <w:rFonts w:hint="eastAsia" w:ascii="仿宋" w:hAnsi="仿宋" w:eastAsia="仿宋" w:cs="宋体"/>
                <w:color w:val="auto"/>
                <w:sz w:val="24"/>
                <w:highlight w:val="none"/>
              </w:rPr>
              <w:t>0-9分</w:t>
            </w:r>
          </w:p>
        </w:tc>
        <w:tc>
          <w:tcPr>
            <w:tcW w:w="4668" w:type="dxa"/>
            <w:vAlign w:val="center"/>
          </w:tcPr>
          <w:p>
            <w:pPr>
              <w:pStyle w:val="5"/>
              <w:tabs>
                <w:tab w:val="left" w:pos="706"/>
              </w:tabs>
              <w:ind w:left="106"/>
              <w:rPr>
                <w:rFonts w:ascii="仿宋" w:hAnsi="仿宋" w:eastAsia="仿宋"/>
                <w:color w:val="auto"/>
                <w:sz w:val="24"/>
                <w:szCs w:val="24"/>
                <w:highlight w:val="none"/>
              </w:rPr>
            </w:pPr>
            <w:r>
              <w:rPr>
                <w:rFonts w:hint="eastAsia" w:ascii="仿宋" w:hAnsi="仿宋" w:eastAsia="仿宋"/>
                <w:color w:val="auto"/>
                <w:sz w:val="24"/>
                <w:szCs w:val="24"/>
                <w:highlight w:val="none"/>
              </w:rPr>
              <w:t>1)</w:t>
            </w:r>
            <w:r>
              <w:rPr>
                <w:rFonts w:hint="eastAsia" w:ascii="仿宋" w:hAnsi="仿宋" w:eastAsia="仿宋" w:cs="宋体"/>
                <w:color w:val="auto"/>
                <w:sz w:val="24"/>
                <w:szCs w:val="24"/>
                <w:highlight w:val="none"/>
              </w:rPr>
              <w:t>拟投入本项目的</w:t>
            </w:r>
            <w:bookmarkStart w:id="555" w:name="_Hlk120827933"/>
            <w:r>
              <w:rPr>
                <w:rFonts w:hint="eastAsia" w:ascii="仿宋" w:hAnsi="仿宋" w:eastAsia="仿宋" w:cs="宋体"/>
                <w:color w:val="auto"/>
                <w:sz w:val="24"/>
                <w:szCs w:val="24"/>
                <w:highlight w:val="none"/>
              </w:rPr>
              <w:t>项目负责人具有建筑工程专业贰级及以上建造师执业资格，同时具有</w:t>
            </w:r>
            <w:r>
              <w:rPr>
                <w:rFonts w:ascii="仿宋" w:hAnsi="仿宋" w:eastAsia="仿宋"/>
                <w:color w:val="auto"/>
                <w:sz w:val="24"/>
                <w:szCs w:val="24"/>
                <w:highlight w:val="none"/>
              </w:rPr>
              <w:t>“</w:t>
            </w:r>
            <w:r>
              <w:rPr>
                <w:rFonts w:hint="eastAsia" w:ascii="仿宋" w:hAnsi="仿宋" w:eastAsia="仿宋" w:cs="宋体"/>
                <w:color w:val="auto"/>
                <w:sz w:val="24"/>
                <w:szCs w:val="24"/>
                <w:highlight w:val="none"/>
              </w:rPr>
              <w:t>三类人员</w:t>
            </w:r>
            <w:r>
              <w:rPr>
                <w:rFonts w:ascii="仿宋" w:hAnsi="仿宋" w:eastAsia="仿宋"/>
                <w:color w:val="auto"/>
                <w:sz w:val="24"/>
                <w:szCs w:val="24"/>
                <w:highlight w:val="none"/>
              </w:rPr>
              <w:t>”</w:t>
            </w:r>
            <w:r>
              <w:rPr>
                <w:rFonts w:hint="eastAsia" w:ascii="仿宋" w:hAnsi="仿宋" w:eastAsia="仿宋"/>
                <w:color w:val="auto"/>
                <w:sz w:val="24"/>
                <w:szCs w:val="24"/>
                <w:highlight w:val="none"/>
              </w:rPr>
              <w:t>B</w:t>
            </w:r>
            <w:r>
              <w:rPr>
                <w:rFonts w:hint="eastAsia" w:ascii="仿宋" w:hAnsi="仿宋" w:eastAsia="仿宋" w:cs="宋体"/>
                <w:color w:val="auto"/>
                <w:sz w:val="24"/>
                <w:szCs w:val="24"/>
                <w:highlight w:val="none"/>
              </w:rPr>
              <w:t>类证书</w:t>
            </w:r>
            <w:bookmarkEnd w:id="555"/>
            <w:r>
              <w:rPr>
                <w:rFonts w:hint="eastAsia" w:ascii="仿宋" w:hAnsi="仿宋" w:eastAsia="仿宋" w:cs="宋体"/>
                <w:color w:val="auto"/>
                <w:sz w:val="24"/>
                <w:szCs w:val="24"/>
                <w:highlight w:val="none"/>
              </w:rPr>
              <w:t>的得</w:t>
            </w:r>
            <w:r>
              <w:rPr>
                <w:rFonts w:hint="eastAsia" w:ascii="仿宋" w:hAnsi="仿宋" w:eastAsia="仿宋" w:cs="宋体"/>
                <w:color w:val="auto"/>
                <w:sz w:val="24"/>
                <w:szCs w:val="24"/>
                <w:highlight w:val="none"/>
                <w:lang w:val="en-US"/>
              </w:rPr>
              <w:t>2</w:t>
            </w:r>
            <w:r>
              <w:rPr>
                <w:rFonts w:hint="eastAsia" w:ascii="仿宋" w:hAnsi="仿宋" w:eastAsia="仿宋" w:cs="宋体"/>
                <w:color w:val="auto"/>
                <w:sz w:val="24"/>
                <w:szCs w:val="24"/>
                <w:highlight w:val="none"/>
              </w:rPr>
              <w:t>分，本项最高得</w:t>
            </w:r>
            <w:r>
              <w:rPr>
                <w:rFonts w:hint="eastAsia" w:ascii="仿宋" w:hAnsi="仿宋" w:eastAsia="仿宋" w:cs="宋体"/>
                <w:color w:val="auto"/>
                <w:sz w:val="24"/>
                <w:szCs w:val="24"/>
                <w:highlight w:val="none"/>
                <w:lang w:val="en-US"/>
              </w:rPr>
              <w:t>2</w:t>
            </w:r>
            <w:r>
              <w:rPr>
                <w:rFonts w:hint="eastAsia" w:ascii="仿宋" w:hAnsi="仿宋" w:eastAsia="仿宋" w:cs="宋体"/>
                <w:color w:val="auto"/>
                <w:sz w:val="24"/>
                <w:szCs w:val="24"/>
                <w:highlight w:val="none"/>
              </w:rPr>
              <w:t>分；（在投标文件中提供建造师证书和</w:t>
            </w:r>
            <w:r>
              <w:rPr>
                <w:rFonts w:hint="eastAsia" w:ascii="仿宋" w:hAnsi="仿宋" w:eastAsia="仿宋"/>
                <w:color w:val="auto"/>
                <w:sz w:val="24"/>
                <w:szCs w:val="24"/>
                <w:highlight w:val="none"/>
              </w:rPr>
              <w:t>B</w:t>
            </w:r>
            <w:r>
              <w:rPr>
                <w:rFonts w:hint="eastAsia" w:ascii="仿宋" w:hAnsi="仿宋" w:eastAsia="仿宋" w:cs="宋体"/>
                <w:color w:val="auto"/>
                <w:sz w:val="24"/>
                <w:szCs w:val="24"/>
                <w:highlight w:val="none"/>
              </w:rPr>
              <w:t>证</w:t>
            </w:r>
            <w:r>
              <w:rPr>
                <w:rFonts w:hint="eastAsia" w:ascii="仿宋" w:hAnsi="仿宋" w:eastAsia="仿宋"/>
                <w:color w:val="auto"/>
                <w:sz w:val="24"/>
                <w:highlight w:val="none"/>
              </w:rPr>
              <w:t>、近三个月内任意一个月的社保缴纳证明，近一个月新成立的单位提供说明，</w:t>
            </w:r>
            <w:r>
              <w:rPr>
                <w:rFonts w:hint="eastAsia" w:ascii="仿宋" w:hAnsi="仿宋" w:eastAsia="仿宋" w:cs="宋体"/>
                <w:color w:val="auto"/>
                <w:sz w:val="24"/>
                <w:szCs w:val="24"/>
                <w:highlight w:val="none"/>
              </w:rPr>
              <w:t>复印件或扫描件，否则不得分）；</w:t>
            </w:r>
          </w:p>
          <w:p>
            <w:pPr>
              <w:pStyle w:val="5"/>
              <w:tabs>
                <w:tab w:val="left" w:pos="706"/>
              </w:tabs>
              <w:ind w:left="106"/>
              <w:rPr>
                <w:rFonts w:ascii="仿宋" w:hAnsi="仿宋" w:eastAsia="仿宋"/>
                <w:color w:val="auto"/>
                <w:sz w:val="24"/>
                <w:szCs w:val="24"/>
                <w:highlight w:val="none"/>
              </w:rPr>
            </w:pPr>
            <w:r>
              <w:rPr>
                <w:rFonts w:hint="eastAsia" w:ascii="仿宋" w:hAnsi="仿宋" w:eastAsia="仿宋"/>
                <w:color w:val="auto"/>
                <w:sz w:val="24"/>
                <w:szCs w:val="24"/>
                <w:highlight w:val="none"/>
              </w:rPr>
              <w:t>2)</w:t>
            </w:r>
            <w:r>
              <w:rPr>
                <w:rFonts w:hint="eastAsia" w:ascii="仿宋" w:hAnsi="仿宋" w:eastAsia="仿宋" w:cs="宋体"/>
                <w:color w:val="auto"/>
                <w:sz w:val="24"/>
                <w:szCs w:val="24"/>
                <w:highlight w:val="none"/>
              </w:rPr>
              <w:t>拟投入本项目的</w:t>
            </w:r>
            <w:bookmarkStart w:id="556" w:name="_Hlk120827975"/>
            <w:r>
              <w:rPr>
                <w:rFonts w:hint="eastAsia" w:ascii="仿宋" w:hAnsi="仿宋" w:eastAsia="仿宋" w:cs="宋体"/>
                <w:color w:val="auto"/>
                <w:sz w:val="24"/>
                <w:szCs w:val="24"/>
                <w:highlight w:val="none"/>
              </w:rPr>
              <w:t>展陈负责人具有工艺美术师中级及以上职称</w:t>
            </w:r>
            <w:bookmarkEnd w:id="556"/>
            <w:r>
              <w:rPr>
                <w:rFonts w:hint="eastAsia" w:ascii="仿宋" w:hAnsi="仿宋" w:eastAsia="仿宋" w:cs="宋体"/>
                <w:color w:val="auto"/>
                <w:sz w:val="24"/>
                <w:szCs w:val="24"/>
                <w:highlight w:val="none"/>
              </w:rPr>
              <w:t>的得</w:t>
            </w:r>
            <w:r>
              <w:rPr>
                <w:rFonts w:hint="eastAsia" w:ascii="仿宋" w:hAnsi="仿宋" w:eastAsia="仿宋"/>
                <w:color w:val="auto"/>
                <w:sz w:val="24"/>
                <w:szCs w:val="24"/>
                <w:highlight w:val="none"/>
                <w:lang w:val="en-US"/>
              </w:rPr>
              <w:t>3</w:t>
            </w:r>
            <w:r>
              <w:rPr>
                <w:rFonts w:hint="eastAsia" w:ascii="仿宋" w:hAnsi="仿宋" w:eastAsia="仿宋" w:cs="宋体"/>
                <w:color w:val="auto"/>
                <w:sz w:val="24"/>
                <w:szCs w:val="24"/>
                <w:highlight w:val="none"/>
              </w:rPr>
              <w:t>分，助理工艺美术师的得</w:t>
            </w:r>
            <w:r>
              <w:rPr>
                <w:rFonts w:hint="eastAsia" w:ascii="仿宋" w:hAnsi="仿宋" w:eastAsia="仿宋" w:cs="宋体"/>
                <w:color w:val="auto"/>
                <w:sz w:val="24"/>
                <w:szCs w:val="24"/>
                <w:highlight w:val="none"/>
                <w:lang w:val="en-US"/>
              </w:rPr>
              <w:t>1分，没有不得分，</w:t>
            </w:r>
            <w:r>
              <w:rPr>
                <w:rFonts w:hint="eastAsia" w:ascii="仿宋" w:hAnsi="仿宋" w:eastAsia="仿宋" w:cs="宋体"/>
                <w:color w:val="auto"/>
                <w:sz w:val="24"/>
                <w:szCs w:val="24"/>
                <w:highlight w:val="none"/>
              </w:rPr>
              <w:t>本项最高得</w:t>
            </w:r>
            <w:r>
              <w:rPr>
                <w:rFonts w:hint="eastAsia" w:ascii="仿宋" w:hAnsi="仿宋" w:eastAsia="仿宋" w:cs="宋体"/>
                <w:color w:val="auto"/>
                <w:sz w:val="24"/>
                <w:szCs w:val="24"/>
                <w:highlight w:val="none"/>
                <w:lang w:val="en-US"/>
              </w:rPr>
              <w:t>3</w:t>
            </w:r>
            <w:r>
              <w:rPr>
                <w:rFonts w:hint="eastAsia" w:ascii="仿宋" w:hAnsi="仿宋" w:eastAsia="仿宋" w:cs="宋体"/>
                <w:color w:val="auto"/>
                <w:sz w:val="24"/>
                <w:szCs w:val="24"/>
                <w:highlight w:val="none"/>
              </w:rPr>
              <w:t>分；（在投标文件提供称职证书</w:t>
            </w:r>
            <w:r>
              <w:rPr>
                <w:rFonts w:hint="eastAsia" w:ascii="仿宋" w:hAnsi="仿宋" w:eastAsia="仿宋"/>
                <w:color w:val="auto"/>
                <w:sz w:val="24"/>
                <w:highlight w:val="none"/>
              </w:rPr>
              <w:t>、近三个月内任意一个月的社保缴纳证明，近一个月新成立的单位提供说明，</w:t>
            </w:r>
            <w:r>
              <w:rPr>
                <w:rFonts w:hint="eastAsia" w:ascii="仿宋" w:hAnsi="仿宋" w:eastAsia="仿宋" w:cs="宋体"/>
                <w:color w:val="auto"/>
                <w:sz w:val="24"/>
                <w:szCs w:val="24"/>
                <w:highlight w:val="none"/>
              </w:rPr>
              <w:t>复印件或扫描件，否则不得分）；</w:t>
            </w:r>
          </w:p>
          <w:p>
            <w:pPr>
              <w:pStyle w:val="5"/>
              <w:tabs>
                <w:tab w:val="left" w:pos="706"/>
              </w:tabs>
              <w:ind w:left="106"/>
              <w:rPr>
                <w:rFonts w:ascii="仿宋" w:hAnsi="仿宋" w:eastAsia="仿宋" w:cs="宋体"/>
                <w:color w:val="auto"/>
                <w:sz w:val="24"/>
                <w:szCs w:val="24"/>
                <w:highlight w:val="none"/>
              </w:rPr>
            </w:pPr>
            <w:r>
              <w:rPr>
                <w:rFonts w:hint="eastAsia" w:ascii="仿宋" w:hAnsi="仿宋" w:eastAsia="仿宋"/>
                <w:color w:val="auto"/>
                <w:sz w:val="24"/>
                <w:szCs w:val="24"/>
                <w:highlight w:val="none"/>
              </w:rPr>
              <w:t>3)</w:t>
            </w:r>
            <w:r>
              <w:rPr>
                <w:rFonts w:hint="eastAsia" w:ascii="仿宋" w:hAnsi="仿宋" w:eastAsia="仿宋" w:cs="宋体"/>
                <w:color w:val="auto"/>
                <w:sz w:val="24"/>
                <w:szCs w:val="24"/>
                <w:highlight w:val="none"/>
              </w:rPr>
              <w:t>拟投入本项目的</w:t>
            </w:r>
            <w:bookmarkStart w:id="557" w:name="_Hlk120828014"/>
            <w:r>
              <w:rPr>
                <w:rFonts w:hint="eastAsia" w:ascii="仿宋" w:hAnsi="仿宋" w:eastAsia="仿宋" w:cs="宋体"/>
                <w:color w:val="auto"/>
                <w:sz w:val="24"/>
                <w:szCs w:val="24"/>
                <w:highlight w:val="none"/>
              </w:rPr>
              <w:t>设计负责人具有建筑设计或环境艺术设计相关专业中级及以上工程师职称</w:t>
            </w:r>
            <w:bookmarkEnd w:id="557"/>
            <w:r>
              <w:rPr>
                <w:rFonts w:hint="eastAsia" w:ascii="仿宋" w:hAnsi="仿宋" w:eastAsia="仿宋" w:cs="宋体"/>
                <w:color w:val="auto"/>
                <w:sz w:val="24"/>
                <w:szCs w:val="24"/>
                <w:highlight w:val="none"/>
              </w:rPr>
              <w:t>的得</w:t>
            </w:r>
            <w:r>
              <w:rPr>
                <w:rFonts w:hint="eastAsia" w:ascii="仿宋" w:hAnsi="仿宋" w:eastAsia="仿宋"/>
                <w:color w:val="auto"/>
                <w:sz w:val="24"/>
                <w:szCs w:val="24"/>
                <w:highlight w:val="none"/>
                <w:lang w:val="en-US"/>
              </w:rPr>
              <w:t>2</w:t>
            </w:r>
            <w:r>
              <w:rPr>
                <w:rFonts w:hint="eastAsia" w:ascii="仿宋" w:hAnsi="仿宋" w:eastAsia="仿宋" w:cs="宋体"/>
                <w:color w:val="auto"/>
                <w:sz w:val="24"/>
                <w:szCs w:val="24"/>
                <w:highlight w:val="none"/>
              </w:rPr>
              <w:t>分；助理工程师职称得</w:t>
            </w:r>
            <w:r>
              <w:rPr>
                <w:rFonts w:hint="eastAsia" w:ascii="仿宋" w:hAnsi="仿宋" w:eastAsia="仿宋" w:cs="宋体"/>
                <w:color w:val="auto"/>
                <w:sz w:val="24"/>
                <w:szCs w:val="24"/>
                <w:highlight w:val="none"/>
                <w:lang w:val="en-US"/>
              </w:rPr>
              <w:t>1分，没有不得分，</w:t>
            </w:r>
            <w:r>
              <w:rPr>
                <w:rFonts w:hint="eastAsia" w:ascii="仿宋" w:hAnsi="仿宋" w:eastAsia="仿宋" w:cs="宋体"/>
                <w:color w:val="auto"/>
                <w:sz w:val="24"/>
                <w:szCs w:val="24"/>
                <w:highlight w:val="none"/>
              </w:rPr>
              <w:t>本项最高得</w:t>
            </w:r>
            <w:r>
              <w:rPr>
                <w:rFonts w:hint="eastAsia" w:ascii="仿宋" w:hAnsi="仿宋" w:eastAsia="仿宋"/>
                <w:color w:val="auto"/>
                <w:sz w:val="24"/>
                <w:szCs w:val="24"/>
                <w:highlight w:val="none"/>
                <w:lang w:val="en-US"/>
              </w:rPr>
              <w:t>2</w:t>
            </w:r>
            <w:r>
              <w:rPr>
                <w:rFonts w:hint="eastAsia" w:ascii="仿宋" w:hAnsi="仿宋" w:eastAsia="仿宋" w:cs="宋体"/>
                <w:color w:val="auto"/>
                <w:sz w:val="24"/>
                <w:szCs w:val="24"/>
                <w:highlight w:val="none"/>
              </w:rPr>
              <w:t>分；（在投标文件提供称职证书</w:t>
            </w:r>
            <w:r>
              <w:rPr>
                <w:rFonts w:hint="eastAsia" w:ascii="仿宋" w:hAnsi="仿宋" w:eastAsia="仿宋"/>
                <w:color w:val="auto"/>
                <w:sz w:val="24"/>
                <w:highlight w:val="none"/>
              </w:rPr>
              <w:t>、近三个月内任意一个月的社保缴纳证明，近一个月新成立的单位提供说明，</w:t>
            </w:r>
            <w:r>
              <w:rPr>
                <w:rFonts w:hint="eastAsia" w:ascii="仿宋" w:hAnsi="仿宋" w:eastAsia="仿宋" w:cs="宋体"/>
                <w:color w:val="auto"/>
                <w:sz w:val="24"/>
                <w:szCs w:val="24"/>
                <w:highlight w:val="none"/>
              </w:rPr>
              <w:t>复印件或扫描件，否则不得分）；</w:t>
            </w:r>
          </w:p>
          <w:p>
            <w:pPr>
              <w:spacing w:line="360" w:lineRule="auto"/>
              <w:jc w:val="left"/>
              <w:rPr>
                <w:rFonts w:ascii="仿宋" w:hAnsi="仿宋" w:eastAsia="仿宋" w:cs="宋体"/>
                <w:color w:val="auto"/>
                <w:sz w:val="24"/>
                <w:highlight w:val="none"/>
              </w:rPr>
            </w:pPr>
            <w:r>
              <w:rPr>
                <w:rFonts w:hint="eastAsia" w:ascii="仿宋" w:hAnsi="仿宋" w:eastAsia="仿宋"/>
                <w:color w:val="auto"/>
                <w:sz w:val="24"/>
                <w:highlight w:val="none"/>
              </w:rPr>
              <w:t>4</w:t>
            </w:r>
            <w:r>
              <w:rPr>
                <w:rFonts w:hint="eastAsia" w:ascii="仿宋" w:hAnsi="仿宋" w:eastAsia="仿宋" w:cs="宋体"/>
                <w:color w:val="auto"/>
                <w:sz w:val="24"/>
                <w:highlight w:val="none"/>
              </w:rPr>
              <w:t>）拟投入本项目的</w:t>
            </w:r>
            <w:bookmarkStart w:id="558" w:name="_Hlk120828044"/>
            <w:r>
              <w:rPr>
                <w:rFonts w:hint="eastAsia" w:ascii="仿宋" w:hAnsi="仿宋" w:eastAsia="仿宋" w:cs="宋体"/>
                <w:color w:val="auto"/>
                <w:sz w:val="24"/>
                <w:highlight w:val="none"/>
              </w:rPr>
              <w:t>施工负责人、技术负责人、现场管理人员都具有中级及以上工程师职称</w:t>
            </w:r>
            <w:bookmarkEnd w:id="558"/>
            <w:r>
              <w:rPr>
                <w:rFonts w:hint="eastAsia" w:ascii="仿宋" w:hAnsi="仿宋" w:eastAsia="仿宋" w:cs="宋体"/>
                <w:color w:val="auto"/>
                <w:sz w:val="24"/>
                <w:highlight w:val="none"/>
              </w:rPr>
              <w:t>的得2分；本项最高得2分；</w:t>
            </w:r>
            <w:r>
              <w:rPr>
                <w:rFonts w:hint="eastAsia" w:ascii="仿宋" w:hAnsi="仿宋" w:eastAsia="仿宋" w:cs="宋体"/>
                <w:b/>
                <w:bCs/>
                <w:color w:val="auto"/>
                <w:sz w:val="24"/>
                <w:highlight w:val="none"/>
              </w:rPr>
              <w:t>（在投标文件提供称职证书</w:t>
            </w:r>
            <w:r>
              <w:rPr>
                <w:rFonts w:hint="eastAsia" w:ascii="仿宋" w:hAnsi="仿宋" w:eastAsia="仿宋"/>
                <w:b/>
                <w:bCs/>
                <w:color w:val="auto"/>
                <w:sz w:val="24"/>
                <w:highlight w:val="none"/>
              </w:rPr>
              <w:t>、近三个月内任意一个月的社保缴纳证明，近一个月新成立的单位提供说明，</w:t>
            </w:r>
            <w:r>
              <w:rPr>
                <w:rFonts w:hint="eastAsia" w:ascii="仿宋" w:hAnsi="仿宋" w:eastAsia="仿宋" w:cs="宋体"/>
                <w:color w:val="auto"/>
                <w:sz w:val="24"/>
                <w:highlight w:val="none"/>
              </w:rPr>
              <w:t>复印件或扫描件，否则不得分）。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0" w:hRule="atLeast"/>
        </w:trPr>
        <w:tc>
          <w:tcPr>
            <w:tcW w:w="817" w:type="dxa"/>
            <w:vMerge w:val="restart"/>
            <w:tcBorders>
              <w:right w:val="single" w:color="auto" w:sz="4" w:space="0"/>
            </w:tcBorders>
            <w:vAlign w:val="center"/>
          </w:tcPr>
          <w:p>
            <w:pPr>
              <w:spacing w:line="360" w:lineRule="auto"/>
              <w:jc w:val="center"/>
              <w:rPr>
                <w:rFonts w:ascii="仿宋" w:hAnsi="仿宋" w:eastAsia="仿宋" w:cs="宋体"/>
                <w:b/>
                <w:bCs/>
                <w:color w:val="auto"/>
                <w:sz w:val="24"/>
                <w:highlight w:val="none"/>
              </w:rPr>
            </w:pPr>
            <w:r>
              <w:rPr>
                <w:rFonts w:ascii="仿宋" w:hAnsi="仿宋" w:eastAsia="仿宋" w:cs="宋体"/>
                <w:b/>
                <w:bCs/>
                <w:color w:val="auto"/>
                <w:sz w:val="24"/>
                <w:highlight w:val="none"/>
              </w:rPr>
              <w:t>7</w:t>
            </w:r>
            <w:r>
              <w:rPr>
                <w:rFonts w:hint="eastAsia" w:ascii="仿宋" w:hAnsi="仿宋" w:eastAsia="仿宋" w:cs="宋体"/>
                <w:b/>
                <w:bCs/>
                <w:color w:val="auto"/>
                <w:sz w:val="24"/>
                <w:highlight w:val="none"/>
              </w:rPr>
              <w:t>、商务分</w:t>
            </w:r>
          </w:p>
          <w:p>
            <w:pPr>
              <w:spacing w:line="360" w:lineRule="auto"/>
              <w:jc w:val="center"/>
              <w:rPr>
                <w:rFonts w:ascii="仿宋" w:hAnsi="仿宋" w:eastAsia="仿宋" w:cs="宋体"/>
                <w:color w:val="auto"/>
                <w:sz w:val="24"/>
                <w:highlight w:val="none"/>
              </w:rPr>
            </w:pPr>
            <w:r>
              <w:rPr>
                <w:rFonts w:hint="eastAsia" w:ascii="仿宋" w:hAnsi="仿宋" w:eastAsia="仿宋" w:cs="宋体"/>
                <w:b/>
                <w:bCs/>
                <w:color w:val="auto"/>
                <w:sz w:val="24"/>
                <w:highlight w:val="none"/>
              </w:rPr>
              <w:t>（</w:t>
            </w:r>
            <w:r>
              <w:rPr>
                <w:rFonts w:ascii="仿宋" w:hAnsi="仿宋" w:eastAsia="仿宋" w:cs="宋体"/>
                <w:b/>
                <w:bCs/>
                <w:color w:val="auto"/>
                <w:sz w:val="24"/>
                <w:highlight w:val="none"/>
              </w:rPr>
              <w:t>2</w:t>
            </w:r>
            <w:r>
              <w:rPr>
                <w:rFonts w:hint="eastAsia" w:ascii="仿宋" w:hAnsi="仿宋" w:eastAsia="仿宋" w:cs="宋体"/>
                <w:b/>
                <w:bCs/>
                <w:color w:val="auto"/>
                <w:sz w:val="24"/>
                <w:highlight w:val="none"/>
              </w:rPr>
              <w:t>分）</w:t>
            </w:r>
          </w:p>
        </w:tc>
        <w:tc>
          <w:tcPr>
            <w:tcW w:w="2047" w:type="dxa"/>
            <w:tcBorders>
              <w:left w:val="single" w:color="auto" w:sz="4" w:space="0"/>
            </w:tcBorders>
            <w:vAlign w:val="center"/>
          </w:tcPr>
          <w:p>
            <w:pPr>
              <w:spacing w:line="360" w:lineRule="auto"/>
              <w:jc w:val="left"/>
              <w:rPr>
                <w:rFonts w:ascii="仿宋" w:hAnsi="仿宋" w:eastAsia="仿宋" w:cs="宋体"/>
                <w:color w:val="auto"/>
                <w:sz w:val="24"/>
                <w:highlight w:val="none"/>
              </w:rPr>
            </w:pPr>
            <w:r>
              <w:rPr>
                <w:rFonts w:hint="eastAsia" w:ascii="仿宋" w:hAnsi="仿宋" w:eastAsia="仿宋" w:cs="宋体"/>
                <w:color w:val="auto"/>
                <w:sz w:val="24"/>
                <w:highlight w:val="none"/>
              </w:rPr>
              <w:t>（1）案例业绩</w:t>
            </w:r>
          </w:p>
        </w:tc>
        <w:tc>
          <w:tcPr>
            <w:tcW w:w="1235" w:type="dxa"/>
            <w:vAlign w:val="center"/>
          </w:tcPr>
          <w:p>
            <w:pPr>
              <w:spacing w:line="360" w:lineRule="auto"/>
              <w:jc w:val="center"/>
              <w:rPr>
                <w:rFonts w:ascii="仿宋" w:hAnsi="仿宋" w:eastAsia="仿宋" w:cs="宋体"/>
                <w:color w:val="auto"/>
                <w:sz w:val="24"/>
                <w:highlight w:val="none"/>
              </w:rPr>
            </w:pPr>
            <w:r>
              <w:rPr>
                <w:rFonts w:hint="eastAsia" w:ascii="仿宋" w:hAnsi="仿宋" w:eastAsia="仿宋" w:cs="宋体"/>
                <w:color w:val="auto"/>
                <w:sz w:val="24"/>
                <w:highlight w:val="none"/>
              </w:rPr>
              <w:t>0-</w:t>
            </w:r>
            <w:r>
              <w:rPr>
                <w:rFonts w:ascii="仿宋" w:hAnsi="仿宋" w:eastAsia="仿宋" w:cs="宋体"/>
                <w:color w:val="auto"/>
                <w:sz w:val="24"/>
                <w:highlight w:val="none"/>
              </w:rPr>
              <w:t>1</w:t>
            </w:r>
            <w:r>
              <w:rPr>
                <w:rFonts w:hint="eastAsia" w:ascii="仿宋" w:hAnsi="仿宋" w:eastAsia="仿宋" w:cs="宋体"/>
                <w:color w:val="auto"/>
                <w:sz w:val="24"/>
                <w:highlight w:val="none"/>
              </w:rPr>
              <w:t>分</w:t>
            </w:r>
          </w:p>
        </w:tc>
        <w:tc>
          <w:tcPr>
            <w:tcW w:w="4668" w:type="dxa"/>
            <w:vAlign w:val="center"/>
          </w:tcPr>
          <w:p>
            <w:pPr>
              <w:pStyle w:val="35"/>
              <w:ind w:firstLine="0"/>
              <w:rPr>
                <w:rFonts w:ascii="仿宋" w:hAnsi="仿宋" w:eastAsia="仿宋" w:cs="宋体"/>
                <w:color w:val="auto"/>
                <w:highlight w:val="none"/>
              </w:rPr>
            </w:pPr>
            <w:r>
              <w:rPr>
                <w:rFonts w:hint="eastAsia" w:ascii="仿宋" w:hAnsi="仿宋" w:eastAsia="仿宋" w:cs="宋体"/>
                <w:color w:val="auto"/>
                <w:highlight w:val="none"/>
              </w:rPr>
              <w:t>自2017年1月1日（含）以来（以合同签订时间为准）承担过同类项目（文化布展设计施工一体化）成功案例的，</w:t>
            </w:r>
            <w:r>
              <w:rPr>
                <w:rFonts w:ascii="仿宋" w:hAnsi="仿宋" w:eastAsia="仿宋" w:cs="仿宋"/>
                <w:b/>
                <w:bCs/>
                <w:color w:val="auto"/>
                <w:kern w:val="3"/>
                <w:szCs w:val="21"/>
                <w:highlight w:val="none"/>
                <w:lang w:val="en-US"/>
              </w:rPr>
              <w:t>上述同类展陈项目（不含临时布展）：指档案馆、科技馆、博物馆、文物馆、展览馆、博览馆、主题馆</w:t>
            </w:r>
            <w:r>
              <w:rPr>
                <w:rFonts w:hint="eastAsia" w:ascii="仿宋" w:hAnsi="仿宋" w:cs="仿宋"/>
                <w:b/>
                <w:bCs/>
                <w:color w:val="auto"/>
                <w:kern w:val="3"/>
                <w:szCs w:val="21"/>
                <w:highlight w:val="none"/>
                <w:lang w:val="en-US"/>
              </w:rPr>
              <w:t>布展</w:t>
            </w:r>
            <w:r>
              <w:rPr>
                <w:rFonts w:ascii="仿宋" w:hAnsi="仿宋" w:eastAsia="仿宋" w:cs="仿宋"/>
                <w:b/>
                <w:bCs/>
                <w:color w:val="auto"/>
                <w:kern w:val="3"/>
                <w:szCs w:val="21"/>
                <w:highlight w:val="none"/>
                <w:lang w:val="en-US"/>
              </w:rPr>
              <w:t>（或设计</w:t>
            </w:r>
            <w:r>
              <w:rPr>
                <w:rFonts w:hint="eastAsia" w:ascii="仿宋" w:hAnsi="仿宋" w:cs="仿宋"/>
                <w:b/>
                <w:bCs/>
                <w:color w:val="auto"/>
                <w:kern w:val="3"/>
                <w:szCs w:val="21"/>
                <w:highlight w:val="none"/>
                <w:lang w:val="en-US"/>
              </w:rPr>
              <w:t>布展</w:t>
            </w:r>
            <w:r>
              <w:rPr>
                <w:rFonts w:ascii="仿宋" w:hAnsi="仿宋" w:eastAsia="仿宋" w:cs="仿宋"/>
                <w:b/>
                <w:bCs/>
                <w:color w:val="auto"/>
                <w:kern w:val="3"/>
                <w:szCs w:val="21"/>
                <w:highlight w:val="none"/>
                <w:lang w:val="en-US"/>
              </w:rPr>
              <w:t>一体化）的项目。</w:t>
            </w:r>
            <w:r>
              <w:rPr>
                <w:rFonts w:hint="eastAsia" w:ascii="仿宋" w:hAnsi="仿宋" w:eastAsia="仿宋" w:cs="宋体"/>
                <w:color w:val="auto"/>
                <w:highlight w:val="none"/>
              </w:rPr>
              <w:t>每个得</w:t>
            </w:r>
            <w:r>
              <w:rPr>
                <w:rFonts w:ascii="仿宋" w:hAnsi="仿宋" w:eastAsia="仿宋" w:cs="宋体"/>
                <w:color w:val="auto"/>
                <w:highlight w:val="none"/>
                <w:lang w:val="en-US"/>
              </w:rPr>
              <w:t>0.5</w:t>
            </w:r>
            <w:r>
              <w:rPr>
                <w:rFonts w:hint="eastAsia" w:ascii="仿宋" w:hAnsi="仿宋" w:eastAsia="仿宋" w:cs="宋体"/>
                <w:color w:val="auto"/>
                <w:highlight w:val="none"/>
              </w:rPr>
              <w:t>分，最高得</w:t>
            </w:r>
            <w:r>
              <w:rPr>
                <w:rFonts w:ascii="仿宋" w:hAnsi="仿宋" w:eastAsia="仿宋" w:cs="宋体"/>
                <w:color w:val="auto"/>
                <w:highlight w:val="none"/>
                <w:lang w:val="en-US"/>
              </w:rPr>
              <w:t>1</w:t>
            </w:r>
            <w:r>
              <w:rPr>
                <w:rFonts w:hint="eastAsia" w:ascii="仿宋" w:hAnsi="仿宋" w:eastAsia="仿宋" w:cs="宋体"/>
                <w:color w:val="auto"/>
                <w:highlight w:val="none"/>
              </w:rPr>
              <w:t>分。</w:t>
            </w:r>
            <w:r>
              <w:rPr>
                <w:rFonts w:hint="eastAsia" w:ascii="仿宋" w:hAnsi="仿宋" w:eastAsia="仿宋" w:cs="宋体"/>
                <w:b/>
                <w:bCs/>
                <w:color w:val="auto"/>
                <w:highlight w:val="none"/>
              </w:rPr>
              <w:t>（</w:t>
            </w:r>
            <w:r>
              <w:rPr>
                <w:rFonts w:hint="eastAsia" w:ascii="仿宋" w:hAnsi="仿宋" w:eastAsia="仿宋" w:cs="仿宋"/>
                <w:b/>
                <w:bCs/>
                <w:color w:val="auto"/>
                <w:szCs w:val="21"/>
                <w:highlight w:val="none"/>
              </w:rPr>
              <w:t>同时提供中标通知书、</w:t>
            </w:r>
            <w:r>
              <w:rPr>
                <w:rFonts w:hint="eastAsia" w:ascii="仿宋" w:hAnsi="仿宋" w:eastAsia="仿宋" w:cs="宋体"/>
                <w:b/>
                <w:bCs/>
                <w:color w:val="auto"/>
                <w:highlight w:val="none"/>
              </w:rPr>
              <w:t>合同扫描件</w:t>
            </w:r>
            <w:r>
              <w:rPr>
                <w:rFonts w:hint="eastAsia" w:ascii="仿宋" w:hAnsi="仿宋" w:eastAsia="仿宋" w:cs="仿宋"/>
                <w:b/>
                <w:bCs/>
                <w:color w:val="auto"/>
                <w:szCs w:val="21"/>
                <w:highlight w:val="none"/>
              </w:rPr>
              <w:t>，</w:t>
            </w:r>
            <w:r>
              <w:rPr>
                <w:rFonts w:hint="eastAsia" w:ascii="仿宋" w:hAnsi="仿宋" w:eastAsia="仿宋" w:cs="宋体"/>
                <w:b/>
                <w:bCs/>
                <w:color w:val="auto"/>
                <w:highlight w:val="none"/>
              </w:rPr>
              <w:t>加盖公章，未提供不得分）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0" w:hRule="atLeast"/>
        </w:trPr>
        <w:tc>
          <w:tcPr>
            <w:tcW w:w="817" w:type="dxa"/>
            <w:vMerge w:val="continue"/>
            <w:tcBorders>
              <w:right w:val="single" w:color="auto" w:sz="4" w:space="0"/>
            </w:tcBorders>
            <w:vAlign w:val="center"/>
          </w:tcPr>
          <w:p>
            <w:pPr>
              <w:spacing w:line="360" w:lineRule="auto"/>
              <w:jc w:val="center"/>
              <w:rPr>
                <w:rFonts w:ascii="仿宋" w:hAnsi="仿宋" w:eastAsia="仿宋" w:cs="宋体"/>
                <w:color w:val="auto"/>
                <w:sz w:val="24"/>
                <w:highlight w:val="none"/>
              </w:rPr>
            </w:pPr>
          </w:p>
        </w:tc>
        <w:tc>
          <w:tcPr>
            <w:tcW w:w="2047" w:type="dxa"/>
            <w:tcBorders>
              <w:left w:val="single" w:color="auto" w:sz="4" w:space="0"/>
            </w:tcBorders>
            <w:vAlign w:val="center"/>
          </w:tcPr>
          <w:p>
            <w:pPr>
              <w:spacing w:line="360" w:lineRule="auto"/>
              <w:jc w:val="left"/>
              <w:rPr>
                <w:rFonts w:ascii="仿宋" w:hAnsi="仿宋" w:eastAsia="仿宋" w:cs="宋体"/>
                <w:color w:val="auto"/>
                <w:sz w:val="24"/>
                <w:highlight w:val="none"/>
              </w:rPr>
            </w:pPr>
            <w:r>
              <w:rPr>
                <w:rFonts w:hint="eastAsia" w:ascii="仿宋" w:hAnsi="仿宋" w:eastAsia="仿宋" w:cs="宋体"/>
                <w:color w:val="auto"/>
                <w:sz w:val="24"/>
                <w:highlight w:val="none"/>
              </w:rPr>
              <w:t>（</w:t>
            </w:r>
            <w:r>
              <w:rPr>
                <w:rFonts w:ascii="仿宋" w:hAnsi="仿宋" w:eastAsia="仿宋" w:cs="宋体"/>
                <w:color w:val="auto"/>
                <w:sz w:val="24"/>
                <w:highlight w:val="none"/>
              </w:rPr>
              <w:t>2</w:t>
            </w:r>
            <w:r>
              <w:rPr>
                <w:rFonts w:hint="eastAsia" w:ascii="仿宋" w:hAnsi="仿宋" w:eastAsia="仿宋" w:cs="宋体"/>
                <w:color w:val="auto"/>
                <w:sz w:val="24"/>
                <w:highlight w:val="none"/>
              </w:rPr>
              <w:t>）售后服务情况</w:t>
            </w:r>
          </w:p>
        </w:tc>
        <w:tc>
          <w:tcPr>
            <w:tcW w:w="1235" w:type="dxa"/>
            <w:vAlign w:val="center"/>
          </w:tcPr>
          <w:p>
            <w:pPr>
              <w:spacing w:line="360" w:lineRule="auto"/>
              <w:jc w:val="center"/>
              <w:rPr>
                <w:rFonts w:ascii="仿宋" w:hAnsi="仿宋" w:eastAsia="仿宋" w:cs="宋体"/>
                <w:color w:val="auto"/>
                <w:sz w:val="24"/>
                <w:highlight w:val="none"/>
              </w:rPr>
            </w:pPr>
            <w:r>
              <w:rPr>
                <w:rFonts w:ascii="仿宋" w:hAnsi="仿宋" w:eastAsia="仿宋" w:cs="宋体"/>
                <w:color w:val="auto"/>
                <w:sz w:val="24"/>
                <w:highlight w:val="none"/>
              </w:rPr>
              <w:t>0</w:t>
            </w:r>
            <w:r>
              <w:rPr>
                <w:rFonts w:hint="eastAsia" w:ascii="仿宋" w:hAnsi="仿宋" w:eastAsia="仿宋" w:cs="宋体"/>
                <w:color w:val="auto"/>
                <w:sz w:val="24"/>
                <w:highlight w:val="none"/>
              </w:rPr>
              <w:t>-1分</w:t>
            </w:r>
          </w:p>
        </w:tc>
        <w:tc>
          <w:tcPr>
            <w:tcW w:w="4668" w:type="dxa"/>
            <w:vAlign w:val="center"/>
          </w:tcPr>
          <w:p>
            <w:pPr>
              <w:spacing w:line="360" w:lineRule="auto"/>
              <w:jc w:val="left"/>
              <w:rPr>
                <w:rFonts w:ascii="仿宋" w:hAnsi="仿宋" w:eastAsia="仿宋" w:cs="宋体"/>
                <w:color w:val="auto"/>
                <w:sz w:val="24"/>
                <w:highlight w:val="none"/>
              </w:rPr>
            </w:pPr>
            <w:r>
              <w:rPr>
                <w:rFonts w:hint="eastAsia" w:ascii="仿宋" w:hAnsi="仿宋" w:eastAsia="仿宋"/>
                <w:color w:val="auto"/>
                <w:sz w:val="24"/>
                <w:highlight w:val="none"/>
              </w:rPr>
              <w:t>投标人对项目售后服务方案：针对本项目及采购人实际需求提供明确、详细、具体、可行的服务方案得1分；针对本项目及采购人实际需求提供较为明确、详细、具体、可行的服务方案得0.5分；针对本项目及采购人实际需求提供的服务方案不够明确、详细、具体、可行得0.2分；方案不合理或未提供方案不得分。</w:t>
            </w:r>
          </w:p>
        </w:tc>
      </w:tr>
    </w:tbl>
    <w:p>
      <w:pPr>
        <w:rPr>
          <w:color w:val="auto"/>
          <w:highlight w:val="none"/>
        </w:rPr>
      </w:pPr>
    </w:p>
    <w:bookmarkEnd w:id="550"/>
    <w:p>
      <w:pPr>
        <w:pStyle w:val="5"/>
        <w:rPr>
          <w:rFonts w:ascii="仿宋" w:hAnsi="仿宋" w:eastAsia="仿宋"/>
          <w:color w:val="auto"/>
          <w:sz w:val="24"/>
          <w:szCs w:val="24"/>
          <w:highlight w:val="none"/>
        </w:rPr>
      </w:pPr>
      <w:bookmarkStart w:id="559" w:name="_Toc1093136946"/>
      <w:bookmarkStart w:id="560" w:name="_Toc31395"/>
      <w:bookmarkStart w:id="561" w:name="_Toc14521"/>
      <w:r>
        <w:rPr>
          <w:rFonts w:hint="eastAsia" w:ascii="仿宋" w:hAnsi="仿宋" w:eastAsia="仿宋"/>
          <w:color w:val="auto"/>
          <w:sz w:val="24"/>
          <w:szCs w:val="24"/>
          <w:highlight w:val="none"/>
        </w:rPr>
        <w:t>一、评标方法</w:t>
      </w:r>
      <w:bookmarkEnd w:id="551"/>
      <w:bookmarkEnd w:id="552"/>
      <w:bookmarkEnd w:id="553"/>
      <w:bookmarkEnd w:id="554"/>
      <w:bookmarkEnd w:id="559"/>
      <w:bookmarkEnd w:id="560"/>
      <w:bookmarkEnd w:id="561"/>
    </w:p>
    <w:p>
      <w:pPr>
        <w:snapToGrid w:val="0"/>
        <w:spacing w:line="360" w:lineRule="auto"/>
        <w:ind w:firstLine="472" w:firstLineChars="196"/>
        <w:rPr>
          <w:rFonts w:ascii="仿宋" w:hAnsi="仿宋" w:eastAsia="仿宋" w:cs="Arial"/>
          <w:color w:val="auto"/>
          <w:kern w:val="0"/>
          <w:sz w:val="24"/>
          <w:highlight w:val="none"/>
        </w:rPr>
      </w:pPr>
      <w:r>
        <w:rPr>
          <w:rFonts w:ascii="仿宋" w:hAnsi="仿宋" w:eastAsia="仿宋" w:cs="Arial"/>
          <w:b/>
          <w:color w:val="auto"/>
          <w:kern w:val="0"/>
          <w:sz w:val="24"/>
          <w:highlight w:val="none"/>
        </w:rPr>
        <w:t>1.</w:t>
      </w:r>
      <w:r>
        <w:rPr>
          <w:rFonts w:hint="eastAsia" w:ascii="仿宋" w:hAnsi="仿宋" w:eastAsia="仿宋" w:cs="Arial"/>
          <w:b/>
          <w:color w:val="auto"/>
          <w:kern w:val="0"/>
          <w:sz w:val="24"/>
          <w:highlight w:val="none"/>
        </w:rPr>
        <w:t>本项目采用综合评分法。</w:t>
      </w:r>
      <w:r>
        <w:rPr>
          <w:rFonts w:hint="eastAsia" w:ascii="仿宋" w:hAnsi="仿宋" w:eastAsia="仿宋" w:cs="Arial"/>
          <w:color w:val="auto"/>
          <w:kern w:val="0"/>
          <w:sz w:val="24"/>
          <w:highlight w:val="none"/>
        </w:rPr>
        <w:t>综合评分法，是指投标文件满足采购文件全部实质性要求，且按照评审因素的量化指标评审得分最高的供应商为中标候选人的评标方法。</w:t>
      </w:r>
    </w:p>
    <w:p>
      <w:pPr>
        <w:pStyle w:val="5"/>
        <w:rPr>
          <w:rFonts w:ascii="仿宋" w:hAnsi="仿宋" w:eastAsia="仿宋"/>
          <w:color w:val="auto"/>
          <w:highlight w:val="none"/>
        </w:rPr>
      </w:pPr>
      <w:bookmarkStart w:id="562" w:name="_Toc31436"/>
      <w:bookmarkStart w:id="563" w:name="_Toc95312985"/>
      <w:bookmarkStart w:id="564" w:name="_Toc84016186"/>
      <w:bookmarkStart w:id="565" w:name="_Toc4348"/>
      <w:bookmarkStart w:id="566" w:name="_Toc1143"/>
      <w:bookmarkStart w:id="567" w:name="_Toc12617"/>
      <w:bookmarkStart w:id="568" w:name="_Toc832442476"/>
      <w:r>
        <w:rPr>
          <w:rFonts w:hint="eastAsia" w:ascii="仿宋" w:hAnsi="仿宋" w:eastAsia="仿宋"/>
          <w:color w:val="auto"/>
          <w:highlight w:val="none"/>
        </w:rPr>
        <w:t>二、评标标准</w:t>
      </w:r>
      <w:bookmarkEnd w:id="562"/>
      <w:bookmarkEnd w:id="563"/>
      <w:bookmarkEnd w:id="564"/>
      <w:bookmarkEnd w:id="565"/>
      <w:bookmarkEnd w:id="566"/>
      <w:bookmarkEnd w:id="567"/>
      <w:bookmarkEnd w:id="568"/>
    </w:p>
    <w:p>
      <w:pPr>
        <w:snapToGrid w:val="0"/>
        <w:spacing w:line="360" w:lineRule="auto"/>
        <w:ind w:firstLine="472" w:firstLineChars="196"/>
        <w:rPr>
          <w:rFonts w:ascii="仿宋" w:hAnsi="仿宋" w:eastAsia="仿宋" w:cs="仿宋_GB2312"/>
          <w:b/>
          <w:color w:val="auto"/>
          <w:sz w:val="24"/>
          <w:highlight w:val="none"/>
        </w:rPr>
      </w:pPr>
      <w:r>
        <w:rPr>
          <w:rFonts w:ascii="仿宋" w:hAnsi="仿宋" w:eastAsia="仿宋" w:cs="仿宋_GB2312"/>
          <w:b/>
          <w:color w:val="auto"/>
          <w:sz w:val="24"/>
          <w:highlight w:val="none"/>
        </w:rPr>
        <w:t>2.</w:t>
      </w:r>
      <w:r>
        <w:rPr>
          <w:rFonts w:ascii="仿宋" w:hAnsi="仿宋" w:eastAsia="仿宋"/>
          <w:color w:val="auto"/>
          <w:highlight w:val="none"/>
        </w:rPr>
        <w:t xml:space="preserve"> </w:t>
      </w:r>
      <w:r>
        <w:rPr>
          <w:rFonts w:hint="eastAsia" w:ascii="仿宋" w:hAnsi="仿宋" w:eastAsia="仿宋" w:cs="仿宋_GB2312"/>
          <w:b/>
          <w:color w:val="auto"/>
          <w:sz w:val="24"/>
          <w:highlight w:val="none"/>
        </w:rPr>
        <w:t>评标标准：</w:t>
      </w:r>
      <w:r>
        <w:rPr>
          <w:rFonts w:hint="eastAsia" w:ascii="仿宋" w:hAnsi="仿宋" w:eastAsia="仿宋" w:cs="Arial"/>
          <w:color w:val="auto"/>
          <w:kern w:val="0"/>
          <w:sz w:val="24"/>
          <w:highlight w:val="none"/>
        </w:rPr>
        <w:t>见评标办法前附表。</w:t>
      </w:r>
    </w:p>
    <w:p>
      <w:pPr>
        <w:pStyle w:val="5"/>
        <w:rPr>
          <w:rFonts w:ascii="仿宋" w:hAnsi="仿宋" w:eastAsia="仿宋"/>
          <w:color w:val="auto"/>
          <w:highlight w:val="none"/>
        </w:rPr>
      </w:pPr>
      <w:bookmarkStart w:id="569" w:name="_Toc9072"/>
      <w:bookmarkStart w:id="570" w:name="_Toc19750"/>
      <w:bookmarkStart w:id="571" w:name="_Toc5707"/>
      <w:bookmarkStart w:id="572" w:name="_Toc95312986"/>
      <w:bookmarkStart w:id="573" w:name="_Toc669"/>
      <w:bookmarkStart w:id="574" w:name="_Toc1163282023"/>
      <w:bookmarkStart w:id="575" w:name="_Toc2047553522"/>
      <w:r>
        <w:rPr>
          <w:rFonts w:hint="eastAsia" w:ascii="仿宋" w:hAnsi="仿宋" w:eastAsia="仿宋"/>
          <w:color w:val="auto"/>
          <w:highlight w:val="none"/>
        </w:rPr>
        <w:t>三、评标程序</w:t>
      </w:r>
      <w:bookmarkEnd w:id="569"/>
      <w:bookmarkEnd w:id="570"/>
      <w:bookmarkEnd w:id="571"/>
      <w:bookmarkEnd w:id="572"/>
      <w:bookmarkEnd w:id="573"/>
      <w:bookmarkEnd w:id="574"/>
      <w:bookmarkEnd w:id="575"/>
    </w:p>
    <w:p>
      <w:pPr>
        <w:snapToGrid w:val="0"/>
        <w:spacing w:line="360" w:lineRule="auto"/>
        <w:ind w:firstLine="472" w:firstLineChars="196"/>
        <w:rPr>
          <w:rFonts w:ascii="仿宋" w:hAnsi="仿宋" w:eastAsia="仿宋" w:cs="Arial"/>
          <w:color w:val="auto"/>
          <w:kern w:val="0"/>
          <w:sz w:val="24"/>
          <w:highlight w:val="none"/>
        </w:rPr>
      </w:pPr>
      <w:r>
        <w:rPr>
          <w:rFonts w:ascii="仿宋" w:hAnsi="仿宋" w:eastAsia="仿宋" w:cs="Arial"/>
          <w:b/>
          <w:color w:val="auto"/>
          <w:kern w:val="0"/>
          <w:sz w:val="24"/>
          <w:highlight w:val="none"/>
        </w:rPr>
        <w:t>3.1符合性审查。</w:t>
      </w:r>
      <w:r>
        <w:rPr>
          <w:rFonts w:ascii="仿宋" w:hAnsi="仿宋" w:eastAsia="仿宋" w:cs="Arial"/>
          <w:color w:val="auto"/>
          <w:kern w:val="0"/>
          <w:sz w:val="24"/>
          <w:highlight w:val="none"/>
        </w:rPr>
        <w:t>评标委员会应当对符合资格的</w:t>
      </w:r>
      <w:r>
        <w:rPr>
          <w:rFonts w:hint="eastAsia" w:ascii="仿宋" w:hAnsi="仿宋" w:eastAsia="仿宋" w:cs="Arial"/>
          <w:color w:val="auto"/>
          <w:kern w:val="0"/>
          <w:sz w:val="24"/>
          <w:highlight w:val="none"/>
        </w:rPr>
        <w:t>投标人</w:t>
      </w:r>
      <w:r>
        <w:rPr>
          <w:rFonts w:ascii="仿宋" w:hAnsi="仿宋" w:eastAsia="仿宋" w:cs="Arial"/>
          <w:color w:val="auto"/>
          <w:kern w:val="0"/>
          <w:sz w:val="24"/>
          <w:highlight w:val="none"/>
        </w:rPr>
        <w:t>的投标文件进行符合性审查，以确定其是否满足采购文件的实质性要求。</w:t>
      </w:r>
      <w:r>
        <w:rPr>
          <w:rFonts w:hint="eastAsia" w:ascii="仿宋" w:hAnsi="仿宋" w:eastAsia="仿宋" w:cs="Arial"/>
          <w:color w:val="auto"/>
          <w:kern w:val="0"/>
          <w:sz w:val="24"/>
          <w:highlight w:val="none"/>
        </w:rPr>
        <w:t>不</w:t>
      </w:r>
      <w:r>
        <w:rPr>
          <w:rFonts w:ascii="仿宋" w:hAnsi="仿宋" w:eastAsia="仿宋" w:cs="Arial"/>
          <w:color w:val="auto"/>
          <w:kern w:val="0"/>
          <w:sz w:val="24"/>
          <w:highlight w:val="none"/>
        </w:rPr>
        <w:t>满足采购文件的实质性要求</w:t>
      </w:r>
      <w:r>
        <w:rPr>
          <w:rFonts w:hint="eastAsia" w:ascii="仿宋" w:hAnsi="仿宋" w:eastAsia="仿宋" w:cs="Arial"/>
          <w:color w:val="auto"/>
          <w:kern w:val="0"/>
          <w:sz w:val="24"/>
          <w:highlight w:val="none"/>
        </w:rPr>
        <w:t>的，投标无效。</w:t>
      </w:r>
    </w:p>
    <w:p>
      <w:pPr>
        <w:snapToGrid w:val="0"/>
        <w:spacing w:line="360" w:lineRule="auto"/>
        <w:ind w:firstLine="472" w:firstLineChars="196"/>
        <w:rPr>
          <w:rFonts w:ascii="仿宋" w:hAnsi="仿宋" w:eastAsia="仿宋" w:cs="Arial"/>
          <w:color w:val="auto"/>
          <w:kern w:val="0"/>
          <w:sz w:val="24"/>
          <w:highlight w:val="none"/>
        </w:rPr>
      </w:pPr>
      <w:r>
        <w:rPr>
          <w:rFonts w:ascii="仿宋" w:hAnsi="仿宋" w:eastAsia="仿宋" w:cs="Arial"/>
          <w:b/>
          <w:color w:val="auto"/>
          <w:kern w:val="0"/>
          <w:sz w:val="24"/>
          <w:highlight w:val="none"/>
        </w:rPr>
        <w:t xml:space="preserve">3.2 </w:t>
      </w:r>
      <w:r>
        <w:rPr>
          <w:rFonts w:hint="eastAsia" w:ascii="仿宋" w:hAnsi="仿宋" w:eastAsia="仿宋" w:cs="Arial"/>
          <w:b/>
          <w:color w:val="auto"/>
          <w:kern w:val="0"/>
          <w:sz w:val="24"/>
          <w:highlight w:val="none"/>
        </w:rPr>
        <w:t>比较与评价。</w:t>
      </w:r>
      <w:r>
        <w:rPr>
          <w:rFonts w:ascii="仿宋" w:hAnsi="仿宋" w:eastAsia="仿宋" w:cs="Arial"/>
          <w:color w:val="auto"/>
          <w:kern w:val="0"/>
          <w:sz w:val="24"/>
          <w:highlight w:val="none"/>
        </w:rPr>
        <w:t>评标委员会应当按照采购文件中规定的评标方法和标准，对符合性审查合格的投标文件进行商务和技术评估，综合比较与评价。</w:t>
      </w:r>
    </w:p>
    <w:p>
      <w:pPr>
        <w:snapToGrid w:val="0"/>
        <w:spacing w:line="360" w:lineRule="auto"/>
        <w:ind w:firstLine="472" w:firstLineChars="196"/>
        <w:rPr>
          <w:rFonts w:ascii="仿宋" w:hAnsi="仿宋" w:eastAsia="仿宋" w:cs="Arial"/>
          <w:color w:val="auto"/>
          <w:kern w:val="0"/>
          <w:sz w:val="24"/>
          <w:highlight w:val="none"/>
        </w:rPr>
      </w:pPr>
      <w:r>
        <w:rPr>
          <w:rFonts w:ascii="仿宋" w:hAnsi="仿宋" w:eastAsia="仿宋" w:cs="Arial"/>
          <w:b/>
          <w:color w:val="auto"/>
          <w:kern w:val="0"/>
          <w:sz w:val="24"/>
          <w:highlight w:val="none"/>
        </w:rPr>
        <w:t>3.3汇总商务技术得分。</w:t>
      </w:r>
      <w:r>
        <w:rPr>
          <w:rFonts w:hint="eastAsia" w:ascii="仿宋" w:hAnsi="仿宋" w:eastAsia="仿宋" w:cs="Arial"/>
          <w:color w:val="auto"/>
          <w:kern w:val="0"/>
          <w:sz w:val="24"/>
          <w:highlight w:val="none"/>
        </w:rPr>
        <w:t>评标委员会各成员应当独立对每个投标人的商务和技术文件进行评价，并汇总商务技术得分情况。</w:t>
      </w:r>
    </w:p>
    <w:p>
      <w:pPr>
        <w:snapToGrid w:val="0"/>
        <w:spacing w:line="360" w:lineRule="auto"/>
        <w:ind w:firstLine="472" w:firstLineChars="196"/>
        <w:rPr>
          <w:rFonts w:ascii="仿宋" w:hAnsi="仿宋" w:eastAsia="仿宋" w:cs="Arial"/>
          <w:b/>
          <w:color w:val="auto"/>
          <w:kern w:val="0"/>
          <w:sz w:val="24"/>
          <w:highlight w:val="none"/>
        </w:rPr>
      </w:pPr>
      <w:r>
        <w:rPr>
          <w:rFonts w:ascii="仿宋" w:hAnsi="仿宋" w:eastAsia="仿宋" w:cs="Arial"/>
          <w:b/>
          <w:color w:val="auto"/>
          <w:kern w:val="0"/>
          <w:sz w:val="24"/>
          <w:highlight w:val="none"/>
        </w:rPr>
        <w:t>3.4报价评审。</w:t>
      </w:r>
    </w:p>
    <w:p>
      <w:pPr>
        <w:pStyle w:val="111"/>
        <w:snapToGrid w:val="0"/>
        <w:spacing w:before="0"/>
        <w:ind w:firstLine="508" w:firstLineChars="212"/>
        <w:rPr>
          <w:rFonts w:ascii="仿宋" w:hAnsi="仿宋" w:eastAsia="仿宋" w:cs="Arial"/>
          <w:color w:val="auto"/>
          <w:kern w:val="0"/>
          <w:highlight w:val="none"/>
        </w:rPr>
      </w:pPr>
      <w:r>
        <w:rPr>
          <w:rFonts w:ascii="仿宋" w:hAnsi="仿宋" w:eastAsia="仿宋" w:cs="Arial"/>
          <w:color w:val="auto"/>
          <w:kern w:val="0"/>
          <w:highlight w:val="none"/>
        </w:rPr>
        <w:t>3.4.1投标文件报价出现前后不一致的，按照下列规定修正：</w:t>
      </w:r>
    </w:p>
    <w:p>
      <w:pPr>
        <w:pStyle w:val="111"/>
        <w:snapToGrid w:val="0"/>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3.4.1.1</w:t>
      </w:r>
      <w:r>
        <w:rPr>
          <w:rFonts w:hint="eastAsia" w:ascii="仿宋" w:hAnsi="仿宋" w:eastAsia="仿宋" w:cs="仿宋"/>
          <w:color w:val="auto"/>
          <w:kern w:val="0"/>
          <w:szCs w:val="24"/>
          <w:highlight w:val="none"/>
        </w:rPr>
        <w:t>投标文件中开标一览表（报价表）内容与投标文件中相应内容不一致的，以开标一览表（报价表）为准；</w:t>
      </w:r>
    </w:p>
    <w:p>
      <w:pPr>
        <w:pStyle w:val="111"/>
        <w:snapToGrid w:val="0"/>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3.4.1.2大写金额和小写金额不一致的，以大写金额为准;</w:t>
      </w:r>
    </w:p>
    <w:p>
      <w:pPr>
        <w:pStyle w:val="111"/>
        <w:snapToGrid w:val="0"/>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3.4.1.3单价金额小数点或者百分比有明显错位的，以开标一览表的总价为准，并修改单价;</w:t>
      </w:r>
    </w:p>
    <w:p>
      <w:pPr>
        <w:pStyle w:val="111"/>
        <w:snapToGrid w:val="0"/>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3.4.1.4总价金额与按单价汇总金额不一致的，以单价金额计算结果为准</w:t>
      </w:r>
      <w:r>
        <w:rPr>
          <w:rFonts w:hint="eastAsia" w:ascii="仿宋" w:hAnsi="仿宋" w:eastAsia="仿宋" w:cs="仿宋"/>
          <w:color w:val="auto"/>
          <w:kern w:val="0"/>
          <w:szCs w:val="24"/>
          <w:highlight w:val="none"/>
        </w:rPr>
        <w:t>：</w:t>
      </w:r>
    </w:p>
    <w:p>
      <w:pPr>
        <w:pStyle w:val="111"/>
        <w:snapToGrid w:val="0"/>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3.4.1.5同时出现两种以上不一致的，按照3.4.1</w:t>
      </w:r>
      <w:r>
        <w:rPr>
          <w:rFonts w:hint="eastAsia" w:ascii="仿宋" w:hAnsi="仿宋" w:eastAsia="仿宋" w:cs="仿宋"/>
          <w:color w:val="auto"/>
          <w:kern w:val="0"/>
          <w:szCs w:val="24"/>
          <w:highlight w:val="none"/>
        </w:rPr>
        <w:t>规定的顺序修正。修正后的报价按照财政部第</w:t>
      </w:r>
      <w:r>
        <w:rPr>
          <w:rFonts w:ascii="仿宋" w:hAnsi="仿宋" w:eastAsia="仿宋" w:cs="仿宋"/>
          <w:color w:val="auto"/>
          <w:kern w:val="0"/>
          <w:szCs w:val="24"/>
          <w:highlight w:val="none"/>
        </w:rPr>
        <w:t xml:space="preserve">87号令 </w:t>
      </w:r>
      <w:r>
        <w:rPr>
          <w:rFonts w:hint="eastAsia" w:ascii="仿宋" w:hAnsi="仿宋" w:eastAsia="仿宋" w:cs="仿宋"/>
          <w:color w:val="auto"/>
          <w:kern w:val="0"/>
          <w:szCs w:val="24"/>
          <w:highlight w:val="none"/>
        </w:rPr>
        <w:t>《政府采购货物和服务招标投标管理办法》第五十一条第二款的规定经投标人确认后产生约束力：</w:t>
      </w:r>
    </w:p>
    <w:p>
      <w:pPr>
        <w:snapToGrid w:val="0"/>
        <w:spacing w:line="360" w:lineRule="auto"/>
        <w:ind w:firstLine="480" w:firstLineChars="200"/>
        <w:jc w:val="left"/>
        <w:rPr>
          <w:rFonts w:ascii="仿宋" w:hAnsi="仿宋" w:eastAsia="仿宋" w:cs="仿宋"/>
          <w:color w:val="auto"/>
          <w:kern w:val="0"/>
          <w:sz w:val="24"/>
          <w:highlight w:val="none"/>
        </w:rPr>
      </w:pPr>
      <w:r>
        <w:rPr>
          <w:rFonts w:ascii="仿宋" w:hAnsi="仿宋" w:eastAsia="仿宋" w:cs="仿宋"/>
          <w:color w:val="auto"/>
          <w:kern w:val="0"/>
          <w:sz w:val="24"/>
          <w:highlight w:val="none"/>
        </w:rPr>
        <w:t>3.4.2</w:t>
      </w:r>
      <w:r>
        <w:rPr>
          <w:rFonts w:hint="eastAsia" w:ascii="仿宋" w:hAnsi="仿宋" w:eastAsia="仿宋" w:cs="仿宋"/>
          <w:color w:val="auto"/>
          <w:kern w:val="0"/>
          <w:sz w:val="24"/>
          <w:highlight w:val="none"/>
        </w:rPr>
        <w:t>投标文件出现不是唯一的、有选择性投标报价的，投标无效。</w:t>
      </w:r>
    </w:p>
    <w:p>
      <w:pPr>
        <w:snapToGrid w:val="0"/>
        <w:spacing w:line="360" w:lineRule="auto"/>
        <w:ind w:firstLine="480" w:firstLineChars="200"/>
        <w:jc w:val="left"/>
        <w:rPr>
          <w:rFonts w:ascii="仿宋" w:hAnsi="仿宋" w:eastAsia="仿宋" w:cs="仿宋"/>
          <w:color w:val="auto"/>
          <w:kern w:val="0"/>
          <w:sz w:val="24"/>
          <w:highlight w:val="none"/>
        </w:rPr>
      </w:pPr>
      <w:r>
        <w:rPr>
          <w:rFonts w:ascii="仿宋" w:hAnsi="仿宋" w:eastAsia="仿宋" w:cs="仿宋"/>
          <w:color w:val="auto"/>
          <w:kern w:val="0"/>
          <w:sz w:val="24"/>
          <w:highlight w:val="none"/>
        </w:rPr>
        <w:t>3.4.3</w:t>
      </w:r>
      <w:r>
        <w:rPr>
          <w:rFonts w:hint="eastAsia" w:ascii="仿宋" w:hAnsi="仿宋" w:eastAsia="仿宋" w:cs="仿宋"/>
          <w:color w:val="auto"/>
          <w:kern w:val="0"/>
          <w:sz w:val="24"/>
          <w:highlight w:val="none"/>
        </w:rPr>
        <w:t>投标报价超过采购文件中规定的预算金额或者最高限价的，投标无效。</w:t>
      </w:r>
    </w:p>
    <w:p>
      <w:pPr>
        <w:pStyle w:val="111"/>
        <w:snapToGrid w:val="0"/>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3.4.4</w:t>
      </w:r>
      <w:r>
        <w:rPr>
          <w:rFonts w:hint="eastAsia" w:ascii="仿宋" w:hAnsi="仿宋" w:eastAsia="仿宋" w:cs="仿宋"/>
          <w:color w:val="auto"/>
          <w:kern w:val="0"/>
          <w:szCs w:val="24"/>
          <w:highlight w:val="none"/>
        </w:rPr>
        <w:t>评标委员会认为投标人的报价明显低于其他通过符合性审查投标人的报价，有可能影响产品质量或者不能诚信履约的，应当要求其在合理的时间内提供书面说明，必要时提交相关证明材料</w:t>
      </w:r>
      <w:r>
        <w:rPr>
          <w:rFonts w:ascii="仿宋" w:hAnsi="仿宋" w:eastAsia="仿宋" w:cs="仿宋"/>
          <w:color w:val="auto"/>
          <w:kern w:val="0"/>
          <w:szCs w:val="24"/>
          <w:highlight w:val="none"/>
        </w:rPr>
        <w:t>;</w:t>
      </w:r>
      <w:r>
        <w:rPr>
          <w:rFonts w:hint="eastAsia" w:ascii="仿宋" w:hAnsi="仿宋" w:eastAsia="仿宋" w:cs="仿宋"/>
          <w:color w:val="auto"/>
          <w:kern w:val="0"/>
          <w:szCs w:val="24"/>
          <w:highlight w:val="none"/>
        </w:rPr>
        <w:t xml:space="preserve"> 投标人</w:t>
      </w:r>
      <w:r>
        <w:rPr>
          <w:rFonts w:ascii="仿宋" w:hAnsi="仿宋" w:eastAsia="仿宋" w:cs="仿宋"/>
          <w:color w:val="auto"/>
          <w:kern w:val="0"/>
          <w:szCs w:val="24"/>
          <w:highlight w:val="none"/>
        </w:rPr>
        <w:t>不能证明其报价合理性的，评标委员会应当将其作为无效投标处理。</w:t>
      </w:r>
    </w:p>
    <w:p>
      <w:pPr>
        <w:pStyle w:val="111"/>
        <w:snapToGrid w:val="0"/>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3.4.5</w:t>
      </w:r>
      <w:r>
        <w:rPr>
          <w:rFonts w:hint="eastAsia" w:ascii="仿宋" w:hAnsi="仿宋" w:eastAsia="仿宋" w:cs="仿宋"/>
          <w:color w:val="auto"/>
          <w:kern w:val="0"/>
          <w:szCs w:val="24"/>
          <w:highlight w:val="none"/>
        </w:rPr>
        <w:t>对于未预留份额专门面向中小企业的政府采购货物或服务项目，以及预留份额政府采购货物或服务项目中的非预留部分标项，对小型和微型企业的投标报价给予</w:t>
      </w:r>
      <w:r>
        <w:rPr>
          <w:rFonts w:ascii="仿宋" w:hAnsi="仿宋" w:eastAsia="仿宋" w:cs="仿宋"/>
          <w:color w:val="auto"/>
          <w:kern w:val="0"/>
          <w:szCs w:val="24"/>
          <w:highlight w:val="none"/>
        </w:rPr>
        <w:t>20%的扣除，用扣除后的价格参与评审。接受大中型企业与小</w:t>
      </w:r>
      <w:r>
        <w:rPr>
          <w:rFonts w:hint="eastAsia" w:ascii="仿宋" w:hAnsi="仿宋" w:eastAsia="仿宋" w:cs="仿宋"/>
          <w:color w:val="auto"/>
          <w:kern w:val="0"/>
          <w:szCs w:val="24"/>
          <w:highlight w:val="none"/>
        </w:rPr>
        <w:t>微企业组成联合体或者允许大中型企业向一家或者多家小微企业分包的政府采购货物或服务项目，对于联合协议或者分包意向协议约定小微企业的合同份额占到合同总金额</w:t>
      </w:r>
      <w:r>
        <w:rPr>
          <w:rFonts w:ascii="仿宋" w:hAnsi="仿宋" w:eastAsia="仿宋" w:cs="仿宋"/>
          <w:color w:val="auto"/>
          <w:kern w:val="0"/>
          <w:szCs w:val="24"/>
          <w:highlight w:val="none"/>
        </w:rPr>
        <w:t>30%以上的，对联合体或者大中型企业的报价给予6%的扣除，用扣除后的价格参加评审。组成联合体或者接受分包的小</w:t>
      </w:r>
      <w:r>
        <w:rPr>
          <w:rFonts w:hint="eastAsia" w:ascii="仿宋" w:hAnsi="仿宋" w:eastAsia="仿宋" w:cs="仿宋"/>
          <w:color w:val="auto"/>
          <w:kern w:val="0"/>
          <w:szCs w:val="24"/>
          <w:highlight w:val="none"/>
        </w:rPr>
        <w:t>微企业与联合体内其他企业、分包企业之间存在直接控股、管理关系的，不享受价格扣除优惠政策。</w:t>
      </w:r>
    </w:p>
    <w:p>
      <w:pPr>
        <w:snapToGrid w:val="0"/>
        <w:spacing w:line="360" w:lineRule="auto"/>
        <w:ind w:firstLine="482" w:firstLineChars="200"/>
        <w:rPr>
          <w:rFonts w:ascii="仿宋" w:hAnsi="仿宋" w:eastAsia="仿宋" w:cs="Arial"/>
          <w:b/>
          <w:color w:val="auto"/>
          <w:kern w:val="0"/>
          <w:sz w:val="24"/>
          <w:highlight w:val="none"/>
        </w:rPr>
      </w:pPr>
      <w:r>
        <w:rPr>
          <w:rFonts w:ascii="仿宋" w:hAnsi="仿宋" w:eastAsia="仿宋" w:cs="Arial"/>
          <w:b/>
          <w:color w:val="auto"/>
          <w:kern w:val="0"/>
          <w:sz w:val="24"/>
          <w:highlight w:val="none"/>
        </w:rPr>
        <w:t>3.5</w:t>
      </w:r>
      <w:r>
        <w:rPr>
          <w:rFonts w:hint="eastAsia" w:ascii="仿宋" w:hAnsi="仿宋" w:eastAsia="仿宋" w:cs="Arial"/>
          <w:b/>
          <w:color w:val="auto"/>
          <w:kern w:val="0"/>
          <w:sz w:val="24"/>
          <w:highlight w:val="none"/>
        </w:rPr>
        <w:t>排序与推荐。</w:t>
      </w:r>
    </w:p>
    <w:p>
      <w:pPr>
        <w:snapToGrid w:val="0"/>
        <w:spacing w:line="360" w:lineRule="auto"/>
        <w:ind w:firstLine="480" w:firstLineChars="200"/>
        <w:rPr>
          <w:rFonts w:ascii="仿宋" w:hAnsi="仿宋" w:eastAsia="仿宋" w:cs="Arial"/>
          <w:color w:val="auto"/>
          <w:kern w:val="0"/>
          <w:sz w:val="24"/>
          <w:highlight w:val="none"/>
        </w:rPr>
      </w:pPr>
      <w:r>
        <w:rPr>
          <w:rFonts w:ascii="仿宋" w:hAnsi="仿宋" w:eastAsia="仿宋" w:cs="Arial"/>
          <w:color w:val="auto"/>
          <w:kern w:val="0"/>
          <w:sz w:val="24"/>
          <w:highlight w:val="none"/>
        </w:rPr>
        <w:t>采用综合评分法的，评标结果按评审后得分由高到低顺序排列。得分相同的，按投标报价由低到高顺序排列。得分且投标报价相同的并列。投标文件满足采购文件全部实质性要求，且按照评审因素的量化指标评审得分最高的</w:t>
      </w:r>
      <w:r>
        <w:rPr>
          <w:rFonts w:hint="eastAsia" w:ascii="仿宋" w:hAnsi="仿宋" w:eastAsia="仿宋" w:cs="仿宋"/>
          <w:color w:val="auto"/>
          <w:kern w:val="0"/>
          <w:highlight w:val="none"/>
        </w:rPr>
        <w:t>投标人</w:t>
      </w:r>
      <w:r>
        <w:rPr>
          <w:rFonts w:ascii="仿宋" w:hAnsi="仿宋" w:eastAsia="仿宋" w:cs="Arial"/>
          <w:color w:val="auto"/>
          <w:kern w:val="0"/>
          <w:sz w:val="24"/>
          <w:highlight w:val="none"/>
        </w:rPr>
        <w:t>为排名第一的中标候选人</w:t>
      </w:r>
      <w:r>
        <w:rPr>
          <w:rFonts w:hint="eastAsia" w:ascii="仿宋" w:hAnsi="仿宋" w:eastAsia="仿宋" w:cs="Arial"/>
          <w:color w:val="auto"/>
          <w:kern w:val="0"/>
          <w:sz w:val="24"/>
          <w:highlight w:val="none"/>
        </w:rPr>
        <w:t>。</w:t>
      </w:r>
    </w:p>
    <w:p>
      <w:pPr>
        <w:snapToGrid w:val="0"/>
        <w:spacing w:line="360" w:lineRule="auto"/>
        <w:ind w:firstLine="420"/>
        <w:rPr>
          <w:rFonts w:ascii="仿宋" w:hAnsi="仿宋" w:eastAsia="仿宋" w:cs="Arial"/>
          <w:b/>
          <w:color w:val="auto"/>
          <w:kern w:val="0"/>
          <w:sz w:val="24"/>
          <w:highlight w:val="none"/>
        </w:rPr>
      </w:pPr>
      <w:r>
        <w:rPr>
          <w:rFonts w:hint="eastAsia" w:ascii="仿宋" w:hAnsi="仿宋" w:eastAsia="仿宋" w:cs="Arial"/>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napToGrid w:val="0"/>
        <w:spacing w:line="360" w:lineRule="auto"/>
        <w:ind w:firstLine="472" w:firstLineChars="196"/>
        <w:rPr>
          <w:rFonts w:ascii="仿宋" w:hAnsi="仿宋" w:eastAsia="仿宋" w:cs="Arial"/>
          <w:b/>
          <w:color w:val="auto"/>
          <w:kern w:val="0"/>
          <w:sz w:val="24"/>
          <w:highlight w:val="none"/>
        </w:rPr>
      </w:pPr>
      <w:r>
        <w:rPr>
          <w:rFonts w:ascii="仿宋" w:hAnsi="仿宋" w:eastAsia="仿宋" w:cs="Arial"/>
          <w:b/>
          <w:color w:val="auto"/>
          <w:kern w:val="0"/>
          <w:sz w:val="24"/>
          <w:highlight w:val="none"/>
        </w:rPr>
        <w:t>3.6编写评标报告。</w:t>
      </w:r>
    </w:p>
    <w:p>
      <w:pPr>
        <w:snapToGrid w:val="0"/>
        <w:spacing w:line="360" w:lineRule="auto"/>
        <w:ind w:firstLine="470" w:firstLineChars="196"/>
        <w:rPr>
          <w:rFonts w:ascii="仿宋" w:hAnsi="仿宋" w:eastAsia="仿宋" w:cs="Arial"/>
          <w:color w:val="auto"/>
          <w:kern w:val="0"/>
          <w:sz w:val="24"/>
          <w:highlight w:val="none"/>
        </w:rPr>
      </w:pPr>
      <w:r>
        <w:rPr>
          <w:rFonts w:ascii="仿宋" w:hAnsi="仿宋" w:eastAsia="仿宋" w:cs="Arial"/>
          <w:color w:val="auto"/>
          <w:kern w:val="0"/>
          <w:sz w:val="24"/>
          <w:highlight w:val="none"/>
        </w:rPr>
        <w:t>评标委员会根据全体评标成员签字的原始评标记录和评标结果编写评标报告。</w:t>
      </w:r>
      <w:r>
        <w:rPr>
          <w:rFonts w:hint="eastAsia" w:ascii="仿宋" w:hAnsi="仿宋" w:eastAsia="仿宋" w:cs="Arial"/>
          <w:color w:val="auto"/>
          <w:kern w:val="0"/>
          <w:sz w:val="24"/>
          <w:highlight w:val="none"/>
        </w:rPr>
        <w:t>评标委员会成员对需要共同认定的事项存在争议的，应当按照少数服从多数的原则作出结论。持不同意见的评标委员会成员应当在评标报告上签署不同意见及理由，否则视为同意评标报告。</w:t>
      </w:r>
    </w:p>
    <w:p>
      <w:pPr>
        <w:pStyle w:val="5"/>
        <w:rPr>
          <w:rFonts w:ascii="仿宋" w:hAnsi="仿宋" w:eastAsia="仿宋"/>
          <w:color w:val="auto"/>
          <w:highlight w:val="none"/>
        </w:rPr>
      </w:pPr>
      <w:bookmarkStart w:id="576" w:name="_Toc589838273"/>
      <w:bookmarkStart w:id="577" w:name="_Toc27289"/>
      <w:bookmarkStart w:id="578" w:name="_Toc1208988281"/>
      <w:bookmarkStart w:id="579" w:name="_Toc3708"/>
      <w:bookmarkStart w:id="580" w:name="_Toc15316"/>
      <w:bookmarkStart w:id="581" w:name="_Toc27172"/>
      <w:bookmarkStart w:id="582" w:name="_Toc95312987"/>
      <w:r>
        <w:rPr>
          <w:rFonts w:hint="eastAsia" w:ascii="仿宋" w:hAnsi="仿宋" w:eastAsia="仿宋"/>
          <w:color w:val="auto"/>
          <w:highlight w:val="none"/>
        </w:rPr>
        <w:t>四、评标中的其他事项</w:t>
      </w:r>
      <w:bookmarkEnd w:id="576"/>
      <w:bookmarkEnd w:id="577"/>
      <w:bookmarkEnd w:id="578"/>
      <w:bookmarkEnd w:id="579"/>
      <w:bookmarkEnd w:id="580"/>
      <w:bookmarkEnd w:id="581"/>
      <w:bookmarkEnd w:id="582"/>
    </w:p>
    <w:p>
      <w:pPr>
        <w:pStyle w:val="111"/>
        <w:snapToGrid w:val="0"/>
        <w:spacing w:before="0"/>
        <w:ind w:firstLine="472" w:firstLineChars="196"/>
        <w:rPr>
          <w:rFonts w:ascii="仿宋" w:hAnsi="仿宋" w:eastAsia="仿宋" w:cs="Arial"/>
          <w:b/>
          <w:color w:val="auto"/>
          <w:kern w:val="0"/>
          <w:szCs w:val="24"/>
          <w:highlight w:val="none"/>
        </w:rPr>
      </w:pPr>
      <w:r>
        <w:rPr>
          <w:rFonts w:ascii="仿宋" w:hAnsi="仿宋" w:eastAsia="仿宋" w:cs="Arial"/>
          <w:b/>
          <w:color w:val="auto"/>
          <w:kern w:val="0"/>
          <w:szCs w:val="24"/>
          <w:highlight w:val="none"/>
        </w:rPr>
        <w:t>4.1</w:t>
      </w:r>
      <w:r>
        <w:rPr>
          <w:rFonts w:hint="eastAsia" w:ascii="仿宋" w:hAnsi="仿宋" w:eastAsia="仿宋" w:cs="Arial"/>
          <w:b/>
          <w:color w:val="auto"/>
          <w:kern w:val="0"/>
          <w:szCs w:val="24"/>
          <w:highlight w:val="none"/>
        </w:rPr>
        <w:t>投标人澄清、说明或者补正。</w:t>
      </w:r>
    </w:p>
    <w:p>
      <w:pPr>
        <w:pStyle w:val="111"/>
        <w:snapToGrid w:val="0"/>
        <w:spacing w:before="0"/>
        <w:ind w:firstLine="470" w:firstLineChars="196"/>
        <w:rPr>
          <w:rFonts w:ascii="仿宋" w:hAnsi="仿宋" w:eastAsia="仿宋" w:cs="Arial"/>
          <w:color w:val="auto"/>
          <w:kern w:val="0"/>
          <w:szCs w:val="24"/>
          <w:highlight w:val="none"/>
        </w:rPr>
      </w:pPr>
      <w:r>
        <w:rPr>
          <w:rFonts w:hint="eastAsia" w:ascii="仿宋" w:hAnsi="仿宋" w:eastAsia="仿宋" w:cs="Arial"/>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111"/>
        <w:snapToGrid w:val="0"/>
        <w:spacing w:before="0"/>
        <w:ind w:firstLine="472" w:firstLineChars="196"/>
        <w:rPr>
          <w:rFonts w:ascii="仿宋" w:hAnsi="仿宋" w:eastAsia="仿宋" w:cs="仿宋_GB2312"/>
          <w:color w:val="auto"/>
          <w:szCs w:val="21"/>
          <w:highlight w:val="none"/>
        </w:rPr>
      </w:pPr>
      <w:r>
        <w:rPr>
          <w:rFonts w:ascii="仿宋" w:hAnsi="仿宋" w:eastAsia="仿宋" w:cs="Arial"/>
          <w:b/>
          <w:color w:val="auto"/>
          <w:kern w:val="0"/>
          <w:highlight w:val="none"/>
        </w:rPr>
        <w:t>4.2投标无效。</w:t>
      </w:r>
      <w:r>
        <w:rPr>
          <w:rFonts w:hint="eastAsia" w:ascii="仿宋" w:hAnsi="仿宋" w:eastAsia="仿宋" w:cs="仿宋_GB2312"/>
          <w:color w:val="auto"/>
          <w:szCs w:val="21"/>
          <w:highlight w:val="none"/>
        </w:rPr>
        <w:t>有下列情况之一的，投标无效：</w:t>
      </w:r>
    </w:p>
    <w:p>
      <w:pPr>
        <w:snapToGrid w:val="0"/>
        <w:spacing w:line="360" w:lineRule="auto"/>
        <w:ind w:firstLine="482" w:firstLineChars="200"/>
        <w:rPr>
          <w:rFonts w:ascii="仿宋" w:hAnsi="仿宋" w:eastAsia="仿宋" w:cs="Arial"/>
          <w:b/>
          <w:bCs/>
          <w:color w:val="auto"/>
          <w:kern w:val="0"/>
          <w:sz w:val="24"/>
          <w:highlight w:val="none"/>
        </w:rPr>
      </w:pPr>
      <w:r>
        <w:rPr>
          <w:rFonts w:ascii="仿宋" w:hAnsi="仿宋" w:eastAsia="仿宋" w:cs="Arial"/>
          <w:b/>
          <w:bCs/>
          <w:color w:val="auto"/>
          <w:kern w:val="0"/>
          <w:sz w:val="24"/>
          <w:highlight w:val="none"/>
        </w:rPr>
        <w:t>4.2.1</w:t>
      </w:r>
      <w:r>
        <w:rPr>
          <w:rFonts w:hint="eastAsia" w:ascii="仿宋" w:hAnsi="仿宋" w:eastAsia="仿宋" w:cs="Arial"/>
          <w:b/>
          <w:bCs/>
          <w:color w:val="auto"/>
          <w:kern w:val="0"/>
          <w:sz w:val="24"/>
          <w:highlight w:val="none"/>
        </w:rPr>
        <w:t>投标人</w:t>
      </w:r>
      <w:r>
        <w:rPr>
          <w:rFonts w:ascii="仿宋" w:hAnsi="仿宋" w:eastAsia="仿宋" w:cs="Arial"/>
          <w:b/>
          <w:bCs/>
          <w:color w:val="auto"/>
          <w:kern w:val="0"/>
          <w:sz w:val="24"/>
          <w:highlight w:val="none"/>
        </w:rPr>
        <w:t>不具备采购文件中规定的资格要求的（</w:t>
      </w:r>
      <w:r>
        <w:rPr>
          <w:rFonts w:hint="eastAsia" w:ascii="仿宋" w:hAnsi="仿宋" w:eastAsia="仿宋" w:cs="Arial"/>
          <w:b/>
          <w:bCs/>
          <w:color w:val="auto"/>
          <w:kern w:val="0"/>
          <w:sz w:val="24"/>
          <w:highlight w:val="none"/>
        </w:rPr>
        <w:t>投标人</w:t>
      </w:r>
      <w:r>
        <w:rPr>
          <w:rFonts w:ascii="仿宋" w:hAnsi="仿宋" w:eastAsia="仿宋" w:cs="Arial"/>
          <w:b/>
          <w:bCs/>
          <w:color w:val="auto"/>
          <w:kern w:val="0"/>
          <w:sz w:val="24"/>
          <w:highlight w:val="none"/>
        </w:rPr>
        <w:t>未提供有效的资格文件的，视为</w:t>
      </w:r>
      <w:r>
        <w:rPr>
          <w:rFonts w:hint="eastAsia" w:ascii="仿宋" w:hAnsi="仿宋" w:eastAsia="仿宋" w:cs="Arial"/>
          <w:b/>
          <w:bCs/>
          <w:color w:val="auto"/>
          <w:kern w:val="0"/>
          <w:sz w:val="24"/>
          <w:highlight w:val="none"/>
        </w:rPr>
        <w:t>投标人</w:t>
      </w:r>
      <w:r>
        <w:rPr>
          <w:rFonts w:ascii="仿宋" w:hAnsi="仿宋" w:eastAsia="仿宋" w:cs="Arial"/>
          <w:b/>
          <w:bCs/>
          <w:color w:val="auto"/>
          <w:kern w:val="0"/>
          <w:sz w:val="24"/>
          <w:highlight w:val="none"/>
        </w:rPr>
        <w:t>不具备采购文件中规定的资格要求）；</w:t>
      </w:r>
    </w:p>
    <w:p>
      <w:pPr>
        <w:snapToGrid w:val="0"/>
        <w:spacing w:line="360" w:lineRule="auto"/>
        <w:ind w:firstLine="482" w:firstLineChars="200"/>
        <w:rPr>
          <w:rFonts w:ascii="仿宋" w:hAnsi="仿宋" w:eastAsia="仿宋" w:cs="Arial"/>
          <w:b/>
          <w:bCs/>
          <w:color w:val="auto"/>
          <w:kern w:val="0"/>
          <w:sz w:val="24"/>
          <w:highlight w:val="none"/>
        </w:rPr>
      </w:pPr>
      <w:r>
        <w:rPr>
          <w:rFonts w:ascii="仿宋" w:hAnsi="仿宋" w:eastAsia="仿宋" w:cs="Arial"/>
          <w:b/>
          <w:bCs/>
          <w:color w:val="auto"/>
          <w:kern w:val="0"/>
          <w:sz w:val="24"/>
          <w:highlight w:val="none"/>
        </w:rPr>
        <w:t>4.2.2投标文件未按照采购文件要求签署、盖章的；</w:t>
      </w:r>
    </w:p>
    <w:p>
      <w:pPr>
        <w:snapToGrid w:val="0"/>
        <w:spacing w:line="360" w:lineRule="auto"/>
        <w:ind w:firstLine="482" w:firstLineChars="200"/>
        <w:rPr>
          <w:rFonts w:ascii="仿宋" w:hAnsi="仿宋" w:eastAsia="仿宋" w:cs="Arial"/>
          <w:b/>
          <w:bCs/>
          <w:color w:val="auto"/>
          <w:kern w:val="0"/>
          <w:sz w:val="24"/>
          <w:highlight w:val="none"/>
        </w:rPr>
      </w:pPr>
      <w:r>
        <w:rPr>
          <w:rFonts w:ascii="仿宋" w:hAnsi="仿宋" w:eastAsia="仿宋" w:cs="Arial"/>
          <w:b/>
          <w:bCs/>
          <w:color w:val="auto"/>
          <w:kern w:val="0"/>
          <w:sz w:val="24"/>
          <w:highlight w:val="none"/>
        </w:rPr>
        <w:t>4.2.3采购人拟采购的产品属于政府强制采购的节能产品品目清单范围的，</w:t>
      </w:r>
      <w:r>
        <w:rPr>
          <w:rFonts w:hint="eastAsia" w:ascii="仿宋" w:hAnsi="仿宋" w:eastAsia="仿宋" w:cs="Arial"/>
          <w:b/>
          <w:bCs/>
          <w:color w:val="auto"/>
          <w:kern w:val="0"/>
          <w:sz w:val="24"/>
          <w:highlight w:val="none"/>
        </w:rPr>
        <w:t>投标人</w:t>
      </w:r>
      <w:r>
        <w:rPr>
          <w:rFonts w:ascii="仿宋" w:hAnsi="仿宋" w:eastAsia="仿宋" w:cs="Arial"/>
          <w:b/>
          <w:bCs/>
          <w:color w:val="auto"/>
          <w:kern w:val="0"/>
          <w:sz w:val="24"/>
          <w:highlight w:val="none"/>
        </w:rPr>
        <w:t>未按采购文件要求提供国家确定的认证机构出具的、处于有效期之内的节能产品认证证书</w:t>
      </w:r>
      <w:r>
        <w:rPr>
          <w:rFonts w:hint="eastAsia" w:ascii="仿宋" w:hAnsi="仿宋" w:eastAsia="仿宋" w:cs="Arial"/>
          <w:b/>
          <w:bCs/>
          <w:color w:val="auto"/>
          <w:kern w:val="0"/>
          <w:sz w:val="24"/>
          <w:highlight w:val="none"/>
        </w:rPr>
        <w:t>的；</w:t>
      </w:r>
    </w:p>
    <w:p>
      <w:pPr>
        <w:snapToGrid w:val="0"/>
        <w:spacing w:line="360" w:lineRule="auto"/>
        <w:ind w:firstLine="482" w:firstLineChars="200"/>
        <w:rPr>
          <w:rFonts w:ascii="仿宋" w:hAnsi="仿宋" w:eastAsia="仿宋" w:cs="Arial"/>
          <w:b/>
          <w:bCs/>
          <w:color w:val="auto"/>
          <w:kern w:val="0"/>
          <w:sz w:val="24"/>
          <w:highlight w:val="none"/>
        </w:rPr>
      </w:pPr>
      <w:r>
        <w:rPr>
          <w:rFonts w:ascii="仿宋" w:hAnsi="仿宋" w:eastAsia="仿宋" w:cs="Arial"/>
          <w:b/>
          <w:bCs/>
          <w:color w:val="auto"/>
          <w:kern w:val="0"/>
          <w:sz w:val="24"/>
          <w:highlight w:val="none"/>
        </w:rPr>
        <w:t>4.2.4投标文件含有采购人不能接受的附加条件的；</w:t>
      </w:r>
    </w:p>
    <w:p>
      <w:pPr>
        <w:snapToGrid w:val="0"/>
        <w:spacing w:line="360" w:lineRule="auto"/>
        <w:ind w:firstLine="120" w:firstLineChars="50"/>
        <w:jc w:val="left"/>
        <w:rPr>
          <w:rFonts w:ascii="仿宋" w:hAnsi="仿宋" w:eastAsia="仿宋" w:cs="Arial"/>
          <w:b/>
          <w:bCs/>
          <w:color w:val="auto"/>
          <w:kern w:val="0"/>
          <w:sz w:val="24"/>
          <w:highlight w:val="none"/>
        </w:rPr>
      </w:pPr>
      <w:r>
        <w:rPr>
          <w:rFonts w:ascii="仿宋" w:hAnsi="仿宋" w:eastAsia="仿宋" w:cs="Arial"/>
          <w:b/>
          <w:bCs/>
          <w:color w:val="auto"/>
          <w:kern w:val="0"/>
          <w:sz w:val="24"/>
          <w:highlight w:val="none"/>
        </w:rPr>
        <w:t xml:space="preserve">  </w:t>
      </w:r>
      <w:r>
        <w:rPr>
          <w:rFonts w:hint="eastAsia" w:ascii="仿宋" w:hAnsi="仿宋" w:eastAsia="仿宋" w:cs="Arial"/>
          <w:b/>
          <w:bCs/>
          <w:color w:val="auto"/>
          <w:kern w:val="0"/>
          <w:sz w:val="24"/>
          <w:highlight w:val="none"/>
        </w:rPr>
        <w:t xml:space="preserve"> </w:t>
      </w:r>
      <w:r>
        <w:rPr>
          <w:rFonts w:ascii="仿宋" w:hAnsi="仿宋" w:eastAsia="仿宋" w:cs="Arial"/>
          <w:b/>
          <w:bCs/>
          <w:color w:val="auto"/>
          <w:kern w:val="0"/>
          <w:sz w:val="24"/>
          <w:highlight w:val="none"/>
        </w:rPr>
        <w:t>4.2.5投标文件出现不是唯一的、有选择性投标报价的;</w:t>
      </w:r>
    </w:p>
    <w:p>
      <w:pPr>
        <w:snapToGrid w:val="0"/>
        <w:spacing w:line="360" w:lineRule="auto"/>
        <w:ind w:firstLine="482" w:firstLineChars="200"/>
        <w:rPr>
          <w:rFonts w:ascii="仿宋" w:hAnsi="仿宋" w:eastAsia="仿宋" w:cs="Arial"/>
          <w:b/>
          <w:bCs/>
          <w:color w:val="auto"/>
          <w:kern w:val="0"/>
          <w:sz w:val="24"/>
          <w:highlight w:val="none"/>
        </w:rPr>
      </w:pPr>
      <w:r>
        <w:rPr>
          <w:rFonts w:ascii="仿宋" w:hAnsi="仿宋" w:eastAsia="仿宋" w:cs="Arial"/>
          <w:b/>
          <w:bCs/>
          <w:color w:val="auto"/>
          <w:kern w:val="0"/>
          <w:sz w:val="24"/>
          <w:highlight w:val="none"/>
        </w:rPr>
        <w:t>4.2.6投标报价超过采购文件中规定的预算金额或者最高限价的;</w:t>
      </w:r>
    </w:p>
    <w:p>
      <w:pPr>
        <w:snapToGrid w:val="0"/>
        <w:spacing w:line="360" w:lineRule="auto"/>
        <w:ind w:firstLine="482" w:firstLineChars="200"/>
        <w:rPr>
          <w:rFonts w:ascii="仿宋" w:hAnsi="仿宋" w:eastAsia="仿宋" w:cs="Arial"/>
          <w:b/>
          <w:bCs/>
          <w:color w:val="auto"/>
          <w:kern w:val="0"/>
          <w:sz w:val="24"/>
          <w:highlight w:val="none"/>
        </w:rPr>
      </w:pPr>
      <w:r>
        <w:rPr>
          <w:rFonts w:ascii="仿宋" w:hAnsi="仿宋" w:eastAsia="仿宋" w:cs="Arial"/>
          <w:b/>
          <w:bCs/>
          <w:color w:val="auto"/>
          <w:kern w:val="0"/>
          <w:sz w:val="24"/>
          <w:highlight w:val="none"/>
        </w:rPr>
        <w:t>4.2.7报价明显低于其他通过符合性审查</w:t>
      </w:r>
      <w:r>
        <w:rPr>
          <w:rFonts w:hint="eastAsia" w:ascii="仿宋" w:hAnsi="仿宋" w:eastAsia="仿宋" w:cs="Arial"/>
          <w:b/>
          <w:bCs/>
          <w:color w:val="auto"/>
          <w:kern w:val="0"/>
          <w:sz w:val="24"/>
          <w:highlight w:val="none"/>
        </w:rPr>
        <w:t>投标人</w:t>
      </w:r>
      <w:r>
        <w:rPr>
          <w:rFonts w:ascii="仿宋" w:hAnsi="仿宋" w:eastAsia="仿宋" w:cs="Arial"/>
          <w:b/>
          <w:bCs/>
          <w:color w:val="auto"/>
          <w:kern w:val="0"/>
          <w:sz w:val="24"/>
          <w:highlight w:val="none"/>
        </w:rPr>
        <w:t>的报价，有可能影响产品质量或者不能诚信履约的，未能按要求提供书面说明或者提交相关证明材料，不能证明其报价合理性的;</w:t>
      </w:r>
    </w:p>
    <w:p>
      <w:pPr>
        <w:snapToGrid w:val="0"/>
        <w:spacing w:line="360" w:lineRule="auto"/>
        <w:ind w:firstLine="482" w:firstLineChars="200"/>
        <w:rPr>
          <w:rFonts w:ascii="仿宋" w:hAnsi="仿宋" w:eastAsia="仿宋" w:cs="Arial"/>
          <w:b/>
          <w:bCs/>
          <w:color w:val="auto"/>
          <w:kern w:val="0"/>
          <w:sz w:val="24"/>
          <w:highlight w:val="none"/>
        </w:rPr>
      </w:pPr>
      <w:r>
        <w:rPr>
          <w:rFonts w:ascii="仿宋" w:hAnsi="仿宋" w:eastAsia="仿宋" w:cs="Arial"/>
          <w:b/>
          <w:bCs/>
          <w:color w:val="auto"/>
          <w:kern w:val="0"/>
          <w:sz w:val="24"/>
          <w:highlight w:val="none"/>
        </w:rPr>
        <w:t>4.2.8</w:t>
      </w:r>
      <w:r>
        <w:rPr>
          <w:rFonts w:hint="eastAsia" w:ascii="仿宋" w:hAnsi="仿宋" w:eastAsia="仿宋" w:cs="Arial"/>
          <w:b/>
          <w:bCs/>
          <w:color w:val="auto"/>
          <w:kern w:val="0"/>
          <w:sz w:val="24"/>
          <w:highlight w:val="none"/>
        </w:rPr>
        <w:t>投标人</w:t>
      </w:r>
      <w:r>
        <w:rPr>
          <w:rFonts w:ascii="仿宋" w:hAnsi="仿宋" w:eastAsia="仿宋" w:cs="Arial"/>
          <w:b/>
          <w:bCs/>
          <w:color w:val="auto"/>
          <w:kern w:val="0"/>
          <w:sz w:val="24"/>
          <w:highlight w:val="none"/>
        </w:rPr>
        <w:t>对根据修正原则修正后的报价不确认的；</w:t>
      </w:r>
    </w:p>
    <w:p>
      <w:pPr>
        <w:snapToGrid w:val="0"/>
        <w:spacing w:line="360" w:lineRule="auto"/>
        <w:ind w:firstLine="482" w:firstLineChars="200"/>
        <w:rPr>
          <w:rFonts w:ascii="仿宋" w:hAnsi="仿宋" w:eastAsia="仿宋" w:cs="Arial"/>
          <w:b/>
          <w:bCs/>
          <w:color w:val="auto"/>
          <w:kern w:val="0"/>
          <w:sz w:val="24"/>
          <w:highlight w:val="none"/>
        </w:rPr>
      </w:pPr>
      <w:r>
        <w:rPr>
          <w:rFonts w:ascii="仿宋" w:hAnsi="仿宋" w:eastAsia="仿宋" w:cs="Arial"/>
          <w:b/>
          <w:bCs/>
          <w:color w:val="auto"/>
          <w:kern w:val="0"/>
          <w:sz w:val="24"/>
          <w:highlight w:val="none"/>
        </w:rPr>
        <w:t>4.2.9</w:t>
      </w:r>
      <w:r>
        <w:rPr>
          <w:rFonts w:hint="eastAsia" w:ascii="仿宋" w:hAnsi="仿宋" w:eastAsia="仿宋" w:cs="Arial"/>
          <w:b/>
          <w:bCs/>
          <w:color w:val="auto"/>
          <w:kern w:val="0"/>
          <w:sz w:val="24"/>
          <w:highlight w:val="none"/>
        </w:rPr>
        <w:t>投标人</w:t>
      </w:r>
      <w:r>
        <w:rPr>
          <w:rFonts w:ascii="仿宋" w:hAnsi="仿宋" w:eastAsia="仿宋" w:cs="Arial"/>
          <w:b/>
          <w:bCs/>
          <w:color w:val="auto"/>
          <w:kern w:val="0"/>
          <w:sz w:val="24"/>
          <w:highlight w:val="none"/>
        </w:rPr>
        <w:t>提供虚假材料投标的；</w:t>
      </w:r>
    </w:p>
    <w:p>
      <w:pPr>
        <w:snapToGrid w:val="0"/>
        <w:spacing w:line="360" w:lineRule="auto"/>
        <w:ind w:firstLine="241" w:firstLineChars="100"/>
        <w:rPr>
          <w:rFonts w:ascii="仿宋" w:hAnsi="仿宋" w:eastAsia="仿宋" w:cs="Arial"/>
          <w:b/>
          <w:bCs/>
          <w:color w:val="auto"/>
          <w:kern w:val="0"/>
          <w:sz w:val="24"/>
          <w:highlight w:val="none"/>
        </w:rPr>
      </w:pPr>
      <w:r>
        <w:rPr>
          <w:rFonts w:ascii="仿宋" w:hAnsi="仿宋" w:eastAsia="仿宋" w:cs="Arial"/>
          <w:b/>
          <w:bCs/>
          <w:color w:val="auto"/>
          <w:kern w:val="0"/>
          <w:sz w:val="24"/>
          <w:highlight w:val="none"/>
        </w:rPr>
        <w:t xml:space="preserve">  4.2.10</w:t>
      </w:r>
      <w:r>
        <w:rPr>
          <w:rFonts w:hint="eastAsia" w:ascii="仿宋" w:hAnsi="仿宋" w:eastAsia="仿宋" w:cs="Arial"/>
          <w:b/>
          <w:bCs/>
          <w:color w:val="auto"/>
          <w:kern w:val="0"/>
          <w:sz w:val="24"/>
          <w:highlight w:val="none"/>
        </w:rPr>
        <w:t>投标人</w:t>
      </w:r>
      <w:r>
        <w:rPr>
          <w:rFonts w:ascii="仿宋" w:hAnsi="仿宋" w:eastAsia="仿宋" w:cs="Arial"/>
          <w:b/>
          <w:bCs/>
          <w:color w:val="auto"/>
          <w:kern w:val="0"/>
          <w:sz w:val="24"/>
          <w:highlight w:val="none"/>
        </w:rPr>
        <w:t>有恶意串通、妨碍其他</w:t>
      </w:r>
      <w:r>
        <w:rPr>
          <w:rFonts w:hint="eastAsia" w:ascii="仿宋" w:hAnsi="仿宋" w:eastAsia="仿宋" w:cs="Arial"/>
          <w:b/>
          <w:bCs/>
          <w:color w:val="auto"/>
          <w:kern w:val="0"/>
          <w:sz w:val="24"/>
          <w:highlight w:val="none"/>
        </w:rPr>
        <w:t>投标人</w:t>
      </w:r>
      <w:r>
        <w:rPr>
          <w:rFonts w:ascii="仿宋" w:hAnsi="仿宋" w:eastAsia="仿宋" w:cs="Arial"/>
          <w:b/>
          <w:bCs/>
          <w:color w:val="auto"/>
          <w:kern w:val="0"/>
          <w:sz w:val="24"/>
          <w:highlight w:val="none"/>
        </w:rPr>
        <w:t>的竞争行为、损害采购人或者其他</w:t>
      </w:r>
      <w:r>
        <w:rPr>
          <w:rFonts w:hint="eastAsia" w:ascii="仿宋" w:hAnsi="仿宋" w:eastAsia="仿宋" w:cs="Arial"/>
          <w:b/>
          <w:bCs/>
          <w:color w:val="auto"/>
          <w:kern w:val="0"/>
          <w:sz w:val="24"/>
          <w:highlight w:val="none"/>
        </w:rPr>
        <w:t>投标人</w:t>
      </w:r>
      <w:r>
        <w:rPr>
          <w:rFonts w:ascii="仿宋" w:hAnsi="仿宋" w:eastAsia="仿宋" w:cs="Arial"/>
          <w:b/>
          <w:bCs/>
          <w:color w:val="auto"/>
          <w:kern w:val="0"/>
          <w:sz w:val="24"/>
          <w:highlight w:val="none"/>
        </w:rPr>
        <w:t>的合法权益情形的；</w:t>
      </w:r>
    </w:p>
    <w:p>
      <w:pPr>
        <w:snapToGrid w:val="0"/>
        <w:spacing w:line="360" w:lineRule="auto"/>
        <w:ind w:firstLine="482" w:firstLineChars="200"/>
        <w:rPr>
          <w:rFonts w:ascii="仿宋" w:hAnsi="仿宋" w:eastAsia="仿宋" w:cs="Arial"/>
          <w:b/>
          <w:bCs/>
          <w:color w:val="auto"/>
          <w:kern w:val="0"/>
          <w:sz w:val="24"/>
          <w:highlight w:val="none"/>
        </w:rPr>
      </w:pPr>
      <w:r>
        <w:rPr>
          <w:rFonts w:ascii="仿宋" w:hAnsi="仿宋" w:eastAsia="仿宋" w:cs="Arial"/>
          <w:b/>
          <w:bCs/>
          <w:color w:val="auto"/>
          <w:kern w:val="0"/>
          <w:sz w:val="24"/>
          <w:highlight w:val="none"/>
        </w:rPr>
        <w:t>4.2.11</w:t>
      </w:r>
      <w:r>
        <w:rPr>
          <w:rFonts w:hint="eastAsia" w:ascii="仿宋" w:hAnsi="仿宋" w:eastAsia="仿宋" w:cs="Arial"/>
          <w:b/>
          <w:bCs/>
          <w:color w:val="auto"/>
          <w:kern w:val="0"/>
          <w:sz w:val="24"/>
          <w:highlight w:val="none"/>
        </w:rPr>
        <w:t>投标人</w:t>
      </w:r>
      <w:r>
        <w:rPr>
          <w:rFonts w:ascii="仿宋" w:hAnsi="仿宋" w:eastAsia="仿宋" w:cs="Arial"/>
          <w:b/>
          <w:bCs/>
          <w:color w:val="auto"/>
          <w:kern w:val="0"/>
          <w:sz w:val="24"/>
          <w:highlight w:val="none"/>
        </w:rPr>
        <w:t>仅提交备份投标文件，没有在电子交易平台传输递交投标文件的，投标无效；</w:t>
      </w:r>
    </w:p>
    <w:p>
      <w:pPr>
        <w:snapToGrid w:val="0"/>
        <w:spacing w:line="360" w:lineRule="auto"/>
        <w:ind w:firstLine="482" w:firstLineChars="200"/>
        <w:rPr>
          <w:rFonts w:ascii="仿宋" w:hAnsi="仿宋" w:eastAsia="仿宋" w:cs="Arial"/>
          <w:b/>
          <w:bCs/>
          <w:color w:val="auto"/>
          <w:kern w:val="0"/>
          <w:sz w:val="24"/>
          <w:highlight w:val="none"/>
        </w:rPr>
      </w:pPr>
      <w:r>
        <w:rPr>
          <w:rFonts w:ascii="仿宋" w:hAnsi="仿宋" w:eastAsia="仿宋" w:cs="Arial"/>
          <w:b/>
          <w:bCs/>
          <w:color w:val="auto"/>
          <w:kern w:val="0"/>
          <w:sz w:val="24"/>
          <w:highlight w:val="none"/>
        </w:rPr>
        <w:t xml:space="preserve">4.2.12 </w:t>
      </w:r>
      <w:r>
        <w:rPr>
          <w:rFonts w:hint="eastAsia" w:ascii="仿宋" w:hAnsi="仿宋" w:eastAsia="仿宋" w:cs="Arial"/>
          <w:b/>
          <w:bCs/>
          <w:color w:val="auto"/>
          <w:kern w:val="0"/>
          <w:sz w:val="24"/>
          <w:highlight w:val="none"/>
        </w:rPr>
        <w:t>投标文件不满足采购文件的其它实质性要求的；</w:t>
      </w:r>
    </w:p>
    <w:p>
      <w:pPr>
        <w:snapToGrid w:val="0"/>
        <w:spacing w:line="360" w:lineRule="auto"/>
        <w:ind w:firstLine="482" w:firstLineChars="200"/>
        <w:rPr>
          <w:rFonts w:ascii="仿宋" w:hAnsi="仿宋" w:eastAsia="仿宋" w:cs="Arial"/>
          <w:b/>
          <w:bCs/>
          <w:color w:val="auto"/>
          <w:kern w:val="0"/>
          <w:sz w:val="24"/>
          <w:highlight w:val="none"/>
        </w:rPr>
      </w:pPr>
      <w:r>
        <w:rPr>
          <w:rFonts w:ascii="仿宋" w:hAnsi="仿宋" w:eastAsia="仿宋" w:cs="Arial"/>
          <w:b/>
          <w:bCs/>
          <w:color w:val="auto"/>
          <w:kern w:val="0"/>
          <w:sz w:val="24"/>
          <w:highlight w:val="none"/>
        </w:rPr>
        <w:t>4.2.13法律、法规、规章（适用本市的）及省级以上规范性文件（适用本市的）规定的其他无效情形。</w:t>
      </w:r>
    </w:p>
    <w:p>
      <w:pPr>
        <w:pStyle w:val="36"/>
        <w:numPr>
          <w:ilvl w:val="0"/>
          <w:numId w:val="19"/>
        </w:numPr>
        <w:snapToGrid w:val="0"/>
        <w:spacing w:line="360" w:lineRule="auto"/>
        <w:ind w:firstLine="472" w:firstLineChars="196"/>
        <w:rPr>
          <w:rFonts w:ascii="仿宋" w:hAnsi="仿宋" w:eastAsia="仿宋" w:cs="仿宋_GB2312"/>
          <w:b/>
          <w:color w:val="auto"/>
          <w:highlight w:val="none"/>
        </w:rPr>
      </w:pPr>
      <w:r>
        <w:rPr>
          <w:rFonts w:ascii="仿宋" w:hAnsi="仿宋" w:eastAsia="仿宋" w:cs="仿宋_GB2312"/>
          <w:b/>
          <w:color w:val="auto"/>
          <w:highlight w:val="none"/>
        </w:rPr>
        <w:t>废标。</w:t>
      </w:r>
    </w:p>
    <w:p>
      <w:pPr>
        <w:pStyle w:val="36"/>
        <w:snapToGrid w:val="0"/>
        <w:spacing w:line="360" w:lineRule="auto"/>
        <w:rPr>
          <w:rFonts w:ascii="仿宋" w:hAnsi="仿宋" w:eastAsia="仿宋" w:cs="仿宋_GB2312"/>
          <w:color w:val="auto"/>
          <w:highlight w:val="none"/>
        </w:rPr>
      </w:pPr>
      <w:r>
        <w:rPr>
          <w:rFonts w:hint="eastAsia" w:ascii="仿宋" w:hAnsi="仿宋" w:eastAsia="仿宋" w:cs="Arial"/>
          <w:color w:val="auto"/>
          <w:kern w:val="0"/>
          <w:highlight w:val="none"/>
        </w:rPr>
        <w:t>根据《中华人民共和国政府采购法》第三十六条之规定，在采购中，出现下列</w:t>
      </w:r>
      <w:r>
        <w:rPr>
          <w:rFonts w:hint="eastAsia" w:ascii="仿宋" w:hAnsi="仿宋" w:eastAsia="仿宋" w:cs="仿宋_GB2312"/>
          <w:color w:val="auto"/>
          <w:highlight w:val="none"/>
        </w:rPr>
        <w:t>情形之一的，应予废标：</w:t>
      </w:r>
    </w:p>
    <w:p>
      <w:pPr>
        <w:pStyle w:val="36"/>
        <w:snapToGrid w:val="0"/>
        <w:spacing w:line="360" w:lineRule="auto"/>
        <w:rPr>
          <w:rFonts w:ascii="仿宋" w:hAnsi="仿宋" w:eastAsia="仿宋" w:cs="仿宋_GB2312"/>
          <w:color w:val="auto"/>
          <w:highlight w:val="none"/>
        </w:rPr>
      </w:pPr>
      <w:r>
        <w:rPr>
          <w:rFonts w:ascii="仿宋" w:hAnsi="仿宋" w:eastAsia="仿宋" w:cs="仿宋_GB2312"/>
          <w:color w:val="auto"/>
          <w:highlight w:val="none"/>
        </w:rPr>
        <w:t>5.1符合专业条件的供应商或者对采购文件作实质响应的供应商不足3家的；</w:t>
      </w:r>
    </w:p>
    <w:p>
      <w:pPr>
        <w:pStyle w:val="36"/>
        <w:snapToGrid w:val="0"/>
        <w:spacing w:line="360" w:lineRule="auto"/>
        <w:rPr>
          <w:rFonts w:ascii="仿宋" w:hAnsi="仿宋" w:eastAsia="仿宋" w:cs="仿宋_GB2312"/>
          <w:color w:val="auto"/>
          <w:highlight w:val="none"/>
        </w:rPr>
      </w:pPr>
      <w:r>
        <w:rPr>
          <w:rFonts w:ascii="仿宋" w:hAnsi="仿宋" w:eastAsia="仿宋" w:cs="仿宋_GB2312"/>
          <w:color w:val="auto"/>
          <w:highlight w:val="none"/>
        </w:rPr>
        <w:t>5.2出现影响采购公正的违法、违规行为的；</w:t>
      </w:r>
    </w:p>
    <w:p>
      <w:pPr>
        <w:pStyle w:val="36"/>
        <w:snapToGrid w:val="0"/>
        <w:spacing w:line="360" w:lineRule="auto"/>
        <w:rPr>
          <w:rFonts w:ascii="仿宋" w:hAnsi="仿宋" w:eastAsia="仿宋" w:cs="仿宋_GB2312"/>
          <w:color w:val="auto"/>
          <w:highlight w:val="none"/>
        </w:rPr>
      </w:pPr>
      <w:r>
        <w:rPr>
          <w:rFonts w:ascii="仿宋" w:hAnsi="仿宋" w:eastAsia="仿宋" w:cs="仿宋_GB2312"/>
          <w:color w:val="auto"/>
          <w:highlight w:val="none"/>
        </w:rPr>
        <w:t>5.3供应商的报价均超过了采购预算，采购人不能支付的；</w:t>
      </w:r>
    </w:p>
    <w:p>
      <w:pPr>
        <w:pStyle w:val="36"/>
        <w:snapToGrid w:val="0"/>
        <w:spacing w:line="360" w:lineRule="auto"/>
        <w:rPr>
          <w:rFonts w:ascii="仿宋" w:hAnsi="仿宋" w:eastAsia="仿宋" w:cs="仿宋_GB2312"/>
          <w:color w:val="auto"/>
          <w:highlight w:val="none"/>
        </w:rPr>
      </w:pPr>
      <w:r>
        <w:rPr>
          <w:rFonts w:ascii="仿宋" w:hAnsi="仿宋" w:eastAsia="仿宋" w:cs="仿宋_GB2312"/>
          <w:color w:val="auto"/>
          <w:highlight w:val="none"/>
        </w:rPr>
        <w:t>5.4因重大变故，采购任务取消的。</w:t>
      </w:r>
    </w:p>
    <w:p>
      <w:pPr>
        <w:pStyle w:val="36"/>
        <w:snapToGrid w:val="0"/>
        <w:spacing w:line="360" w:lineRule="auto"/>
        <w:rPr>
          <w:rFonts w:ascii="仿宋" w:hAnsi="仿宋" w:eastAsia="仿宋" w:cs="仿宋_GB2312"/>
          <w:color w:val="auto"/>
          <w:highlight w:val="none"/>
        </w:rPr>
      </w:pPr>
      <w:r>
        <w:rPr>
          <w:rFonts w:hint="eastAsia" w:ascii="仿宋" w:hAnsi="仿宋" w:eastAsia="仿宋" w:cs="仿宋_GB2312"/>
          <w:color w:val="auto"/>
          <w:highlight w:val="none"/>
        </w:rPr>
        <w:t>废标后，采购代理机构应当将废标理由通知所有供应商。</w:t>
      </w:r>
    </w:p>
    <w:p>
      <w:pPr>
        <w:pStyle w:val="36"/>
        <w:numPr>
          <w:ilvl w:val="0"/>
          <w:numId w:val="19"/>
        </w:numPr>
        <w:snapToGrid w:val="0"/>
        <w:spacing w:line="360" w:lineRule="auto"/>
        <w:ind w:firstLine="472" w:firstLineChars="196"/>
        <w:rPr>
          <w:rFonts w:ascii="仿宋" w:hAnsi="仿宋" w:eastAsia="仿宋" w:cs="仿宋_GB2312"/>
          <w:b/>
          <w:color w:val="auto"/>
          <w:highlight w:val="none"/>
        </w:rPr>
      </w:pPr>
      <w:r>
        <w:rPr>
          <w:rFonts w:ascii="仿宋" w:hAnsi="仿宋" w:eastAsia="仿宋" w:cs="仿宋_GB2312"/>
          <w:b/>
          <w:color w:val="auto"/>
          <w:highlight w:val="none"/>
        </w:rPr>
        <w:t>修改采购文件，重新组织采购活动。</w:t>
      </w:r>
    </w:p>
    <w:p>
      <w:pPr>
        <w:pStyle w:val="36"/>
        <w:snapToGrid w:val="0"/>
        <w:spacing w:line="360" w:lineRule="auto"/>
        <w:ind w:left="652" w:leftChars="196" w:hanging="240" w:hangingChars="100"/>
        <w:rPr>
          <w:rFonts w:ascii="仿宋" w:hAnsi="仿宋" w:eastAsia="仿宋" w:cs="Arial"/>
          <w:color w:val="auto"/>
          <w:kern w:val="0"/>
          <w:highlight w:val="none"/>
        </w:rPr>
      </w:pPr>
      <w:r>
        <w:rPr>
          <w:rFonts w:hint="eastAsia" w:ascii="仿宋" w:hAnsi="仿宋" w:eastAsia="仿宋" w:cs="Arial"/>
          <w:color w:val="auto"/>
          <w:kern w:val="0"/>
          <w:highlight w:val="none"/>
        </w:rPr>
        <w:t>评标委员会发现采购文件存在歧义、重大缺陷导致评标工作无法进行，或</w:t>
      </w:r>
    </w:p>
    <w:p>
      <w:pPr>
        <w:pStyle w:val="36"/>
        <w:snapToGrid w:val="0"/>
        <w:spacing w:line="360" w:lineRule="auto"/>
        <w:ind w:firstLine="0" w:firstLineChars="0"/>
        <w:rPr>
          <w:rFonts w:ascii="仿宋" w:hAnsi="仿宋" w:eastAsia="仿宋" w:cs="Arial"/>
          <w:color w:val="auto"/>
          <w:kern w:val="0"/>
          <w:highlight w:val="none"/>
        </w:rPr>
      </w:pPr>
      <w:r>
        <w:rPr>
          <w:rFonts w:hint="eastAsia" w:ascii="仿宋" w:hAnsi="仿宋" w:eastAsia="仿宋" w:cs="Arial"/>
          <w:color w:val="auto"/>
          <w:kern w:val="0"/>
          <w:highlight w:val="none"/>
        </w:rPr>
        <w:t>者采购文件内容违反国家有关强制性规定的，将停止评标工作，并与采购人、采购代理机构沟通并作书面记录。采购人、采购代理机构确认后，将修改采购文件，重新组织采购活动。</w:t>
      </w:r>
    </w:p>
    <w:p>
      <w:pPr>
        <w:pStyle w:val="36"/>
        <w:numPr>
          <w:ilvl w:val="0"/>
          <w:numId w:val="19"/>
        </w:numPr>
        <w:snapToGrid w:val="0"/>
        <w:spacing w:line="360" w:lineRule="auto"/>
        <w:ind w:firstLine="472" w:firstLineChars="196"/>
        <w:rPr>
          <w:rFonts w:ascii="仿宋" w:hAnsi="仿宋" w:eastAsia="仿宋" w:cs="仿宋_GB2312"/>
          <w:b/>
          <w:color w:val="auto"/>
          <w:highlight w:val="none"/>
        </w:rPr>
      </w:pPr>
      <w:r>
        <w:rPr>
          <w:rFonts w:hint="eastAsia" w:ascii="仿宋" w:hAnsi="仿宋" w:eastAsia="仿宋" w:cs="仿宋_GB2312"/>
          <w:b/>
          <w:color w:val="auto"/>
          <w:highlight w:val="none"/>
        </w:rPr>
        <w:t>重新开展采购。</w:t>
      </w:r>
    </w:p>
    <w:p>
      <w:pPr>
        <w:pStyle w:val="36"/>
        <w:snapToGrid w:val="0"/>
        <w:spacing w:line="360" w:lineRule="auto"/>
        <w:ind w:left="412" w:leftChars="196" w:firstLine="0" w:firstLineChars="0"/>
        <w:rPr>
          <w:rFonts w:ascii="仿宋" w:hAnsi="仿宋" w:eastAsia="仿宋" w:cs="仿宋_GB2312"/>
          <w:color w:val="auto"/>
          <w:highlight w:val="none"/>
        </w:rPr>
      </w:pPr>
      <w:r>
        <w:rPr>
          <w:rFonts w:hint="eastAsia" w:ascii="仿宋" w:hAnsi="仿宋" w:eastAsia="仿宋" w:cs="仿宋_GB2312"/>
          <w:color w:val="auto"/>
          <w:highlight w:val="none"/>
        </w:rPr>
        <w:t>有政府采购法第七十一条、第七十二条规定的违法行为之一，影响或者可</w:t>
      </w:r>
    </w:p>
    <w:p>
      <w:pPr>
        <w:pStyle w:val="36"/>
        <w:snapToGrid w:val="0"/>
        <w:spacing w:line="360" w:lineRule="auto"/>
        <w:ind w:firstLine="0" w:firstLineChars="0"/>
        <w:rPr>
          <w:rFonts w:ascii="仿宋" w:hAnsi="仿宋" w:eastAsia="仿宋" w:cs="仿宋_GB2312"/>
          <w:color w:val="auto"/>
          <w:highlight w:val="none"/>
        </w:rPr>
      </w:pPr>
      <w:r>
        <w:rPr>
          <w:rFonts w:hint="eastAsia" w:ascii="仿宋" w:hAnsi="仿宋" w:eastAsia="仿宋" w:cs="仿宋_GB2312"/>
          <w:color w:val="auto"/>
          <w:highlight w:val="none"/>
        </w:rPr>
        <w:t>能影响中标、成交结果的，依照下列规定处理：</w:t>
      </w:r>
    </w:p>
    <w:p>
      <w:pPr>
        <w:pStyle w:val="36"/>
        <w:snapToGrid w:val="0"/>
        <w:spacing w:line="360" w:lineRule="auto"/>
        <w:ind w:firstLine="600" w:firstLineChars="250"/>
        <w:rPr>
          <w:rFonts w:ascii="仿宋" w:hAnsi="仿宋" w:eastAsia="仿宋" w:cs="仿宋_GB2312"/>
          <w:color w:val="auto"/>
          <w:highlight w:val="none"/>
        </w:rPr>
      </w:pPr>
      <w:r>
        <w:rPr>
          <w:rFonts w:ascii="仿宋" w:hAnsi="仿宋" w:eastAsia="仿宋" w:cs="仿宋_GB2312"/>
          <w:color w:val="auto"/>
          <w:highlight w:val="none"/>
        </w:rPr>
        <w:t>7.1未确定中标或者中标人的，终止本次政府采购活动，重新开展政府采购</w:t>
      </w:r>
      <w:r>
        <w:rPr>
          <w:rFonts w:hint="eastAsia" w:ascii="仿宋" w:hAnsi="仿宋" w:eastAsia="仿宋" w:cs="仿宋_GB2312"/>
          <w:color w:val="auto"/>
          <w:highlight w:val="none"/>
        </w:rPr>
        <w:t>活动。</w:t>
      </w:r>
    </w:p>
    <w:p>
      <w:pPr>
        <w:pStyle w:val="36"/>
        <w:snapToGrid w:val="0"/>
        <w:spacing w:line="360" w:lineRule="auto"/>
        <w:ind w:firstLine="600" w:firstLineChars="250"/>
        <w:rPr>
          <w:rFonts w:ascii="仿宋" w:hAnsi="仿宋" w:eastAsia="仿宋" w:cs="仿宋_GB2312"/>
          <w:color w:val="auto"/>
          <w:highlight w:val="none"/>
        </w:rPr>
      </w:pPr>
      <w:r>
        <w:rPr>
          <w:rFonts w:ascii="仿宋" w:hAnsi="仿宋" w:eastAsia="仿宋" w:cs="仿宋_GB2312"/>
          <w:color w:val="auto"/>
          <w:highlight w:val="none"/>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36"/>
        <w:snapToGrid w:val="0"/>
        <w:spacing w:line="360" w:lineRule="auto"/>
        <w:ind w:firstLine="600" w:firstLineChars="250"/>
        <w:rPr>
          <w:rFonts w:ascii="仿宋" w:hAnsi="仿宋" w:eastAsia="仿宋" w:cs="仿宋_GB2312"/>
          <w:color w:val="auto"/>
          <w:highlight w:val="none"/>
        </w:rPr>
      </w:pPr>
      <w:r>
        <w:rPr>
          <w:rFonts w:ascii="仿宋" w:hAnsi="仿宋" w:eastAsia="仿宋" w:cs="仿宋_GB2312"/>
          <w:color w:val="auto"/>
          <w:highlight w:val="none"/>
        </w:rPr>
        <w:t>7.3政府采购合同已签订但尚未履行的，撤销合同，从合格的中标或者成交候选人中另行确定中标或者中标人；没有合格的中标或者成交候选人的，重新开展政府采购活动。</w:t>
      </w:r>
    </w:p>
    <w:p>
      <w:pPr>
        <w:pStyle w:val="36"/>
        <w:snapToGrid w:val="0"/>
        <w:spacing w:line="360" w:lineRule="auto"/>
        <w:rPr>
          <w:rFonts w:ascii="仿宋" w:hAnsi="仿宋" w:eastAsia="仿宋" w:cs="仿宋_GB2312"/>
          <w:color w:val="auto"/>
          <w:highlight w:val="none"/>
        </w:rPr>
      </w:pPr>
      <w:r>
        <w:rPr>
          <w:rFonts w:ascii="仿宋" w:hAnsi="仿宋" w:eastAsia="仿宋" w:cs="仿宋_GB2312"/>
          <w:color w:val="auto"/>
          <w:highlight w:val="none"/>
        </w:rPr>
        <w:t>7.4政府采购合同已经履行，给采购人、供应</w:t>
      </w:r>
      <w:r>
        <w:rPr>
          <w:rFonts w:hint="eastAsia" w:ascii="仿宋" w:hAnsi="仿宋" w:eastAsia="仿宋" w:cs="仿宋_GB2312"/>
          <w:color w:val="auto"/>
          <w:highlight w:val="none"/>
        </w:rPr>
        <w:t>商造成损失的，由责任人承担赔偿责任。</w:t>
      </w:r>
    </w:p>
    <w:p>
      <w:pPr>
        <w:pStyle w:val="36"/>
        <w:snapToGrid w:val="0"/>
        <w:spacing w:line="360" w:lineRule="auto"/>
        <w:rPr>
          <w:rFonts w:ascii="仿宋" w:hAnsi="仿宋" w:eastAsia="仿宋" w:cs="仿宋_GB2312"/>
          <w:color w:val="auto"/>
          <w:highlight w:val="none"/>
        </w:rPr>
      </w:pPr>
      <w:r>
        <w:rPr>
          <w:rFonts w:ascii="仿宋" w:hAnsi="仿宋" w:eastAsia="仿宋" w:cs="仿宋_GB2312"/>
          <w:color w:val="auto"/>
          <w:highlight w:val="none"/>
        </w:rPr>
        <w:t>7.5政府采购当事人有其他违反政府采购</w:t>
      </w:r>
      <w:r>
        <w:rPr>
          <w:rFonts w:hint="eastAsia" w:ascii="仿宋" w:hAnsi="仿宋" w:eastAsia="仿宋" w:cs="仿宋_GB2312"/>
          <w:color w:val="auto"/>
          <w:highlight w:val="none"/>
        </w:rPr>
        <w:t>法</w:t>
      </w:r>
      <w:r>
        <w:rPr>
          <w:rFonts w:hint="eastAsia" w:ascii="仿宋" w:hAnsi="仿宋" w:eastAsia="仿宋" w:cs="Arial"/>
          <w:color w:val="auto"/>
          <w:kern w:val="0"/>
          <w:highlight w:val="none"/>
        </w:rPr>
        <w:t>或者政府采购法实施条例等法律法规规定</w:t>
      </w:r>
      <w:r>
        <w:rPr>
          <w:rFonts w:hint="eastAsia" w:ascii="仿宋" w:hAnsi="仿宋" w:eastAsia="仿宋" w:cs="仿宋_GB2312"/>
          <w:color w:val="auto"/>
          <w:highlight w:val="none"/>
        </w:rPr>
        <w:t>的行为，经改正后仍然影响或者可能影响中标、成交结果或者依法被认定为中标、成交无效的，依照</w:t>
      </w:r>
      <w:r>
        <w:rPr>
          <w:rFonts w:ascii="仿宋" w:hAnsi="仿宋" w:eastAsia="仿宋" w:cs="仿宋_GB2312"/>
          <w:color w:val="auto"/>
          <w:highlight w:val="none"/>
        </w:rPr>
        <w:t>7.1-7.4规定处理。</w:t>
      </w:r>
      <w:bookmarkEnd w:id="165"/>
    </w:p>
    <w:p>
      <w:pPr>
        <w:spacing w:line="360" w:lineRule="auto"/>
        <w:rPr>
          <w:rFonts w:ascii="仿宋" w:hAnsi="仿宋" w:eastAsia="仿宋"/>
          <w:color w:val="auto"/>
          <w:highlight w:val="none"/>
        </w:rPr>
      </w:pPr>
    </w:p>
    <w:p>
      <w:pPr>
        <w:pStyle w:val="4"/>
        <w:rPr>
          <w:rFonts w:ascii="仿宋" w:hAnsi="仿宋" w:eastAsia="仿宋"/>
          <w:color w:val="auto"/>
          <w:highlight w:val="none"/>
        </w:rPr>
      </w:pPr>
      <w:bookmarkStart w:id="583" w:name="_Toc16184"/>
      <w:bookmarkStart w:id="584" w:name="_Toc13721"/>
      <w:bookmarkStart w:id="585" w:name="_Toc1028"/>
      <w:bookmarkStart w:id="586" w:name="_Toc95312988"/>
      <w:bookmarkStart w:id="587" w:name="_Toc31065"/>
      <w:bookmarkStart w:id="588" w:name="_Toc627339759"/>
      <w:bookmarkStart w:id="589" w:name="第五部分"/>
      <w:bookmarkStart w:id="590" w:name="_Toc86217003"/>
    </w:p>
    <w:p>
      <w:pPr>
        <w:rPr>
          <w:rFonts w:ascii="仿宋" w:hAnsi="仿宋" w:eastAsia="仿宋"/>
          <w:color w:val="auto"/>
          <w:highlight w:val="none"/>
        </w:rPr>
      </w:pPr>
    </w:p>
    <w:p>
      <w:pPr>
        <w:pStyle w:val="2"/>
        <w:rPr>
          <w:rFonts w:ascii="仿宋" w:hAnsi="仿宋" w:eastAsia="仿宋"/>
          <w:color w:val="auto"/>
          <w:highlight w:val="none"/>
        </w:rPr>
      </w:pPr>
    </w:p>
    <w:p>
      <w:pPr>
        <w:rPr>
          <w:rFonts w:ascii="仿宋" w:hAnsi="仿宋" w:eastAsia="仿宋"/>
          <w:color w:val="auto"/>
          <w:highlight w:val="none"/>
        </w:rPr>
      </w:pPr>
    </w:p>
    <w:p>
      <w:pPr>
        <w:pStyle w:val="2"/>
        <w:rPr>
          <w:rFonts w:ascii="仿宋" w:hAnsi="仿宋" w:eastAsia="仿宋"/>
          <w:color w:val="auto"/>
          <w:highlight w:val="none"/>
        </w:rPr>
      </w:pPr>
    </w:p>
    <w:p>
      <w:pPr>
        <w:rPr>
          <w:rFonts w:ascii="仿宋" w:hAnsi="仿宋" w:eastAsia="仿宋"/>
          <w:color w:val="auto"/>
          <w:highlight w:val="none"/>
        </w:rPr>
      </w:pPr>
    </w:p>
    <w:p>
      <w:pPr>
        <w:pStyle w:val="2"/>
        <w:rPr>
          <w:rFonts w:ascii="仿宋" w:hAnsi="仿宋" w:eastAsia="仿宋"/>
          <w:color w:val="auto"/>
          <w:highlight w:val="none"/>
        </w:rPr>
      </w:pPr>
    </w:p>
    <w:p>
      <w:pPr>
        <w:rPr>
          <w:rFonts w:ascii="仿宋" w:hAnsi="仿宋" w:eastAsia="仿宋"/>
          <w:color w:val="auto"/>
          <w:highlight w:val="none"/>
        </w:rPr>
      </w:pPr>
    </w:p>
    <w:p>
      <w:pPr>
        <w:pStyle w:val="2"/>
        <w:rPr>
          <w:rFonts w:ascii="仿宋" w:hAnsi="仿宋" w:eastAsia="仿宋"/>
          <w:color w:val="auto"/>
          <w:highlight w:val="none"/>
        </w:rPr>
      </w:pPr>
    </w:p>
    <w:p>
      <w:pPr>
        <w:rPr>
          <w:rFonts w:ascii="仿宋" w:hAnsi="仿宋" w:eastAsia="仿宋"/>
          <w:color w:val="auto"/>
          <w:highlight w:val="none"/>
        </w:rPr>
      </w:pPr>
    </w:p>
    <w:p>
      <w:pPr>
        <w:pStyle w:val="2"/>
        <w:rPr>
          <w:rFonts w:ascii="仿宋" w:hAnsi="仿宋" w:eastAsia="仿宋"/>
          <w:color w:val="auto"/>
          <w:highlight w:val="none"/>
        </w:rPr>
      </w:pPr>
    </w:p>
    <w:p>
      <w:pPr>
        <w:rPr>
          <w:rFonts w:ascii="仿宋" w:hAnsi="仿宋" w:eastAsia="仿宋"/>
          <w:color w:val="auto"/>
          <w:highlight w:val="none"/>
        </w:rPr>
      </w:pPr>
    </w:p>
    <w:p>
      <w:pPr>
        <w:pStyle w:val="2"/>
        <w:rPr>
          <w:rFonts w:ascii="仿宋" w:hAnsi="仿宋" w:eastAsia="仿宋"/>
          <w:color w:val="auto"/>
          <w:highlight w:val="none"/>
        </w:rPr>
      </w:pPr>
    </w:p>
    <w:p>
      <w:pPr>
        <w:rPr>
          <w:rFonts w:ascii="仿宋" w:hAnsi="仿宋" w:eastAsia="仿宋"/>
          <w:color w:val="auto"/>
          <w:highlight w:val="none"/>
        </w:rPr>
      </w:pPr>
    </w:p>
    <w:p>
      <w:pPr>
        <w:pStyle w:val="2"/>
        <w:rPr>
          <w:rFonts w:ascii="仿宋" w:hAnsi="仿宋" w:eastAsia="仿宋"/>
          <w:color w:val="auto"/>
          <w:highlight w:val="none"/>
        </w:rPr>
      </w:pPr>
    </w:p>
    <w:p>
      <w:pPr>
        <w:rPr>
          <w:rFonts w:ascii="仿宋" w:hAnsi="仿宋" w:eastAsia="仿宋"/>
          <w:color w:val="auto"/>
          <w:highlight w:val="none"/>
        </w:rPr>
      </w:pPr>
    </w:p>
    <w:p>
      <w:pPr>
        <w:pStyle w:val="2"/>
        <w:rPr>
          <w:rFonts w:ascii="仿宋" w:hAnsi="仿宋" w:eastAsia="仿宋"/>
          <w:color w:val="auto"/>
          <w:highlight w:val="none"/>
        </w:rPr>
      </w:pPr>
    </w:p>
    <w:p>
      <w:pPr>
        <w:rPr>
          <w:rFonts w:ascii="仿宋" w:hAnsi="仿宋" w:eastAsia="仿宋"/>
          <w:color w:val="auto"/>
          <w:highlight w:val="none"/>
        </w:rPr>
      </w:pPr>
    </w:p>
    <w:p>
      <w:pPr>
        <w:pStyle w:val="2"/>
        <w:rPr>
          <w:rFonts w:ascii="仿宋" w:hAnsi="仿宋" w:eastAsia="仿宋"/>
          <w:color w:val="auto"/>
          <w:highlight w:val="none"/>
        </w:rPr>
      </w:pPr>
    </w:p>
    <w:p>
      <w:pPr>
        <w:rPr>
          <w:rFonts w:ascii="仿宋" w:hAnsi="仿宋" w:eastAsia="仿宋"/>
          <w:color w:val="auto"/>
          <w:highlight w:val="none"/>
        </w:rPr>
      </w:pPr>
    </w:p>
    <w:p>
      <w:pPr>
        <w:pStyle w:val="2"/>
        <w:rPr>
          <w:rFonts w:ascii="仿宋" w:hAnsi="仿宋" w:eastAsia="仿宋"/>
          <w:color w:val="auto"/>
          <w:highlight w:val="none"/>
        </w:rPr>
      </w:pPr>
    </w:p>
    <w:p>
      <w:pPr>
        <w:rPr>
          <w:rFonts w:ascii="仿宋" w:hAnsi="仿宋" w:eastAsia="仿宋"/>
          <w:color w:val="auto"/>
          <w:highlight w:val="none"/>
        </w:rPr>
      </w:pPr>
    </w:p>
    <w:p>
      <w:pPr>
        <w:pStyle w:val="2"/>
        <w:rPr>
          <w:rFonts w:ascii="仿宋" w:hAnsi="仿宋" w:eastAsia="仿宋"/>
          <w:color w:val="auto"/>
          <w:highlight w:val="none"/>
        </w:rPr>
      </w:pPr>
    </w:p>
    <w:p>
      <w:pPr>
        <w:rPr>
          <w:rFonts w:ascii="仿宋" w:hAnsi="仿宋" w:eastAsia="仿宋"/>
          <w:color w:val="auto"/>
          <w:highlight w:val="none"/>
        </w:rPr>
      </w:pPr>
    </w:p>
    <w:p>
      <w:pPr>
        <w:pStyle w:val="2"/>
        <w:rPr>
          <w:rFonts w:ascii="仿宋" w:hAnsi="仿宋" w:eastAsia="仿宋"/>
          <w:color w:val="auto"/>
          <w:highlight w:val="none"/>
        </w:rPr>
      </w:pPr>
    </w:p>
    <w:p>
      <w:pPr>
        <w:rPr>
          <w:rFonts w:ascii="仿宋" w:hAnsi="仿宋" w:eastAsia="仿宋"/>
          <w:color w:val="auto"/>
          <w:highlight w:val="none"/>
        </w:rPr>
      </w:pPr>
    </w:p>
    <w:p>
      <w:pPr>
        <w:pStyle w:val="2"/>
        <w:rPr>
          <w:rFonts w:ascii="仿宋" w:hAnsi="仿宋" w:eastAsia="仿宋"/>
          <w:color w:val="auto"/>
          <w:highlight w:val="none"/>
        </w:rPr>
      </w:pPr>
    </w:p>
    <w:p>
      <w:pPr>
        <w:rPr>
          <w:rFonts w:ascii="仿宋" w:hAnsi="仿宋" w:eastAsia="仿宋"/>
          <w:color w:val="auto"/>
          <w:highlight w:val="none"/>
        </w:rPr>
      </w:pPr>
    </w:p>
    <w:p>
      <w:pPr>
        <w:pStyle w:val="2"/>
        <w:rPr>
          <w:rFonts w:ascii="仿宋" w:hAnsi="仿宋" w:eastAsia="仿宋"/>
          <w:color w:val="auto"/>
          <w:highlight w:val="none"/>
        </w:rPr>
      </w:pPr>
    </w:p>
    <w:p>
      <w:pPr>
        <w:rPr>
          <w:rFonts w:ascii="仿宋" w:hAnsi="仿宋" w:eastAsia="仿宋"/>
          <w:color w:val="auto"/>
          <w:highlight w:val="none"/>
        </w:rPr>
      </w:pPr>
    </w:p>
    <w:p>
      <w:pPr>
        <w:pStyle w:val="2"/>
        <w:rPr>
          <w:rFonts w:ascii="仿宋" w:hAnsi="仿宋" w:eastAsia="仿宋"/>
          <w:color w:val="auto"/>
          <w:highlight w:val="none"/>
        </w:rPr>
      </w:pPr>
    </w:p>
    <w:p/>
    <w:p>
      <w:pPr>
        <w:pStyle w:val="4"/>
        <w:jc w:val="center"/>
        <w:rPr>
          <w:rFonts w:ascii="仿宋" w:hAnsi="仿宋" w:eastAsia="仿宋"/>
          <w:color w:val="auto"/>
          <w:highlight w:val="none"/>
        </w:rPr>
      </w:pPr>
      <w:r>
        <w:rPr>
          <w:rFonts w:hint="eastAsia" w:ascii="仿宋" w:hAnsi="仿宋" w:eastAsia="仿宋"/>
          <w:color w:val="auto"/>
          <w:highlight w:val="none"/>
        </w:rPr>
        <w:t>第五部分</w:t>
      </w:r>
      <w:r>
        <w:rPr>
          <w:rFonts w:ascii="仿宋" w:hAnsi="仿宋" w:eastAsia="仿宋"/>
          <w:color w:val="auto"/>
          <w:highlight w:val="none"/>
        </w:rPr>
        <w:t xml:space="preserve"> </w:t>
      </w:r>
      <w:r>
        <w:rPr>
          <w:rFonts w:hint="eastAsia" w:ascii="仿宋" w:hAnsi="仿宋" w:eastAsia="仿宋"/>
          <w:color w:val="auto"/>
          <w:highlight w:val="none"/>
        </w:rPr>
        <w:t>拟签订的合同文本</w:t>
      </w:r>
      <w:bookmarkEnd w:id="583"/>
      <w:bookmarkEnd w:id="584"/>
      <w:bookmarkEnd w:id="585"/>
      <w:bookmarkEnd w:id="586"/>
      <w:bookmarkEnd w:id="587"/>
      <w:bookmarkEnd w:id="588"/>
    </w:p>
    <w:p>
      <w:pPr>
        <w:spacing w:line="360" w:lineRule="auto"/>
        <w:rPr>
          <w:rFonts w:ascii="仿宋" w:hAnsi="仿宋" w:eastAsia="仿宋" w:cs="仿宋"/>
          <w:color w:val="auto"/>
          <w:sz w:val="24"/>
          <w:highlight w:val="none"/>
          <w:u w:val="single"/>
        </w:rPr>
      </w:pPr>
      <w:bookmarkStart w:id="591" w:name="_Toc1750"/>
      <w:bookmarkStart w:id="592" w:name="_Toc27118"/>
      <w:bookmarkStart w:id="593" w:name="_Toc95313008"/>
      <w:bookmarkStart w:id="594" w:name="_Toc25786"/>
      <w:bookmarkStart w:id="595" w:name="_Toc377774437"/>
      <w:r>
        <w:rPr>
          <w:rFonts w:hint="eastAsia" w:ascii="仿宋" w:hAnsi="仿宋" w:eastAsia="仿宋" w:cs="仿宋"/>
          <w:color w:val="auto"/>
          <w:sz w:val="24"/>
          <w:highlight w:val="none"/>
        </w:rPr>
        <w:t>合同编号：</w:t>
      </w:r>
    </w:p>
    <w:p>
      <w:pPr>
        <w:spacing w:line="360" w:lineRule="auto"/>
        <w:rPr>
          <w:rFonts w:ascii="仿宋" w:hAnsi="仿宋" w:eastAsia="仿宋" w:cs="仿宋"/>
          <w:b/>
          <w:color w:val="auto"/>
          <w:sz w:val="24"/>
          <w:highlight w:val="none"/>
        </w:rPr>
      </w:pPr>
    </w:p>
    <w:p>
      <w:pPr>
        <w:spacing w:line="360" w:lineRule="auto"/>
        <w:jc w:val="center"/>
        <w:rPr>
          <w:rFonts w:ascii="仿宋" w:hAnsi="仿宋" w:eastAsia="仿宋" w:cs="仿宋"/>
          <w:b/>
          <w:color w:val="auto"/>
          <w:sz w:val="24"/>
          <w:highlight w:val="none"/>
        </w:rPr>
      </w:pPr>
    </w:p>
    <w:p>
      <w:pPr>
        <w:spacing w:line="480" w:lineRule="auto"/>
        <w:jc w:val="center"/>
        <w:rPr>
          <w:rFonts w:ascii="仿宋" w:hAnsi="仿宋" w:eastAsia="仿宋" w:cs="宋体"/>
          <w:b/>
          <w:color w:val="auto"/>
          <w:sz w:val="36"/>
          <w:szCs w:val="36"/>
          <w:highlight w:val="none"/>
        </w:rPr>
      </w:pPr>
      <w:r>
        <w:rPr>
          <w:rFonts w:hint="eastAsia" w:ascii="仿宋" w:hAnsi="仿宋" w:eastAsia="仿宋" w:cs="宋体"/>
          <w:b/>
          <w:color w:val="auto"/>
          <w:sz w:val="36"/>
          <w:szCs w:val="36"/>
          <w:highlight w:val="none"/>
        </w:rPr>
        <w:t>政府采购合同参考范本</w:t>
      </w:r>
    </w:p>
    <w:p>
      <w:pPr>
        <w:spacing w:line="480" w:lineRule="auto"/>
        <w:jc w:val="center"/>
        <w:rPr>
          <w:rFonts w:ascii="仿宋" w:hAnsi="仿宋" w:eastAsia="仿宋" w:cs="宋体"/>
          <w:b/>
          <w:color w:val="auto"/>
          <w:sz w:val="36"/>
          <w:szCs w:val="36"/>
          <w:highlight w:val="none"/>
        </w:rPr>
      </w:pPr>
      <w:r>
        <w:rPr>
          <w:rFonts w:hint="eastAsia" w:ascii="仿宋" w:hAnsi="仿宋" w:eastAsia="仿宋" w:cs="宋体"/>
          <w:b/>
          <w:color w:val="auto"/>
          <w:sz w:val="36"/>
          <w:szCs w:val="36"/>
          <w:highlight w:val="none"/>
        </w:rPr>
        <w:t>（服务类）</w:t>
      </w:r>
    </w:p>
    <w:p>
      <w:pPr>
        <w:pStyle w:val="410"/>
        <w:spacing w:before="120"/>
        <w:ind w:firstLine="2843" w:firstLineChars="1180"/>
        <w:rPr>
          <w:rFonts w:ascii="仿宋" w:hAnsi="仿宋" w:eastAsia="仿宋" w:cs="宋体"/>
          <w:b/>
          <w:color w:val="auto"/>
          <w:szCs w:val="24"/>
          <w:highlight w:val="none"/>
        </w:rPr>
      </w:pPr>
      <w:r>
        <w:rPr>
          <w:rFonts w:hint="eastAsia" w:ascii="仿宋" w:hAnsi="仿宋" w:eastAsia="仿宋" w:cs="宋体"/>
          <w:b/>
          <w:color w:val="auto"/>
          <w:szCs w:val="24"/>
          <w:highlight w:val="none"/>
        </w:rPr>
        <w:t>第一部分 合同书</w:t>
      </w:r>
    </w:p>
    <w:p>
      <w:pPr>
        <w:spacing w:before="120" w:line="22" w:lineRule="atLeast"/>
        <w:rPr>
          <w:rFonts w:ascii="仿宋" w:hAnsi="仿宋" w:eastAsia="仿宋" w:cs="宋体"/>
          <w:color w:val="auto"/>
          <w:sz w:val="24"/>
          <w:highlight w:val="none"/>
        </w:rPr>
      </w:pPr>
    </w:p>
    <w:p>
      <w:pPr>
        <w:pStyle w:val="5"/>
        <w:rPr>
          <w:rFonts w:ascii="仿宋" w:hAnsi="仿宋" w:eastAsia="仿宋"/>
          <w:color w:val="auto"/>
          <w:highlight w:val="none"/>
        </w:rPr>
      </w:pPr>
    </w:p>
    <w:p>
      <w:pPr>
        <w:spacing w:before="120" w:line="22" w:lineRule="atLeast"/>
        <w:ind w:left="960"/>
        <w:rPr>
          <w:rFonts w:ascii="仿宋" w:hAnsi="仿宋" w:eastAsia="仿宋" w:cs="宋体"/>
          <w:color w:val="auto"/>
          <w:sz w:val="24"/>
          <w:highlight w:val="none"/>
        </w:rPr>
      </w:pPr>
      <w:r>
        <w:rPr>
          <w:rFonts w:hint="eastAsia" w:ascii="仿宋" w:hAnsi="仿宋" w:eastAsia="仿宋" w:cs="宋体"/>
          <w:color w:val="auto"/>
          <w:sz w:val="24"/>
          <w:highlight w:val="none"/>
        </w:rPr>
        <w:t>项目名称：</w:t>
      </w:r>
      <w:r>
        <w:rPr>
          <w:rFonts w:hint="eastAsia" w:ascii="仿宋" w:hAnsi="仿宋" w:eastAsia="仿宋" w:cs="宋体"/>
          <w:color w:val="auto"/>
          <w:sz w:val="24"/>
          <w:highlight w:val="none"/>
          <w:u w:val="single"/>
        </w:rPr>
        <w:t xml:space="preserve">                                   </w:t>
      </w:r>
    </w:p>
    <w:p>
      <w:pPr>
        <w:pStyle w:val="307"/>
        <w:spacing w:before="120" w:line="22" w:lineRule="atLeast"/>
        <w:rPr>
          <w:rFonts w:ascii="仿宋" w:hAnsi="仿宋" w:eastAsia="仿宋" w:cs="宋体"/>
          <w:color w:val="auto"/>
          <w:szCs w:val="24"/>
          <w:highlight w:val="none"/>
        </w:rPr>
      </w:pPr>
    </w:p>
    <w:p>
      <w:pPr>
        <w:pStyle w:val="307"/>
        <w:spacing w:before="120" w:line="22" w:lineRule="atLeast"/>
        <w:rPr>
          <w:rFonts w:ascii="仿宋" w:hAnsi="仿宋" w:eastAsia="仿宋" w:cs="宋体"/>
          <w:color w:val="auto"/>
          <w:szCs w:val="24"/>
          <w:highlight w:val="none"/>
        </w:rPr>
      </w:pPr>
    </w:p>
    <w:p>
      <w:pPr>
        <w:rPr>
          <w:rFonts w:ascii="仿宋" w:hAnsi="仿宋" w:eastAsia="仿宋" w:cs="宋体"/>
          <w:color w:val="auto"/>
          <w:sz w:val="24"/>
          <w:highlight w:val="none"/>
        </w:rPr>
      </w:pPr>
    </w:p>
    <w:p>
      <w:pPr>
        <w:spacing w:before="120" w:line="22" w:lineRule="atLeast"/>
        <w:ind w:left="960"/>
        <w:rPr>
          <w:rFonts w:ascii="仿宋" w:hAnsi="仿宋" w:eastAsia="仿宋" w:cs="宋体"/>
          <w:color w:val="auto"/>
          <w:sz w:val="24"/>
          <w:highlight w:val="none"/>
          <w:u w:val="single"/>
        </w:rPr>
      </w:pPr>
      <w:r>
        <w:rPr>
          <w:rFonts w:hint="eastAsia" w:ascii="仿宋" w:hAnsi="仿宋" w:eastAsia="仿宋" w:cs="宋体"/>
          <w:color w:val="auto"/>
          <w:sz w:val="24"/>
          <w:highlight w:val="none"/>
        </w:rPr>
        <w:t>甲方：</w:t>
      </w:r>
      <w:r>
        <w:rPr>
          <w:rFonts w:hint="eastAsia" w:ascii="仿宋" w:hAnsi="仿宋" w:eastAsia="仿宋" w:cs="宋体"/>
          <w:color w:val="auto"/>
          <w:sz w:val="24"/>
          <w:highlight w:val="none"/>
          <w:u w:val="single"/>
        </w:rPr>
        <w:t xml:space="preserve">                                       </w:t>
      </w:r>
    </w:p>
    <w:p>
      <w:pPr>
        <w:spacing w:before="120" w:line="22" w:lineRule="atLeast"/>
        <w:rPr>
          <w:rFonts w:ascii="仿宋" w:hAnsi="仿宋" w:eastAsia="仿宋" w:cs="宋体"/>
          <w:color w:val="auto"/>
          <w:sz w:val="24"/>
          <w:highlight w:val="none"/>
        </w:rPr>
      </w:pPr>
    </w:p>
    <w:p>
      <w:pPr>
        <w:spacing w:before="120" w:line="22" w:lineRule="atLeast"/>
        <w:ind w:left="960"/>
        <w:rPr>
          <w:rFonts w:ascii="仿宋" w:hAnsi="仿宋" w:eastAsia="仿宋" w:cs="宋体"/>
          <w:color w:val="auto"/>
          <w:sz w:val="24"/>
          <w:highlight w:val="none"/>
          <w:u w:val="single"/>
        </w:rPr>
      </w:pPr>
      <w:r>
        <w:rPr>
          <w:rFonts w:hint="eastAsia" w:ascii="仿宋" w:hAnsi="仿宋" w:eastAsia="仿宋" w:cs="宋体"/>
          <w:color w:val="auto"/>
          <w:sz w:val="24"/>
          <w:highlight w:val="none"/>
        </w:rPr>
        <w:t>乙方：</w:t>
      </w:r>
      <w:r>
        <w:rPr>
          <w:rFonts w:hint="eastAsia" w:ascii="仿宋" w:hAnsi="仿宋" w:eastAsia="仿宋" w:cs="宋体"/>
          <w:color w:val="auto"/>
          <w:sz w:val="24"/>
          <w:highlight w:val="none"/>
          <w:u w:val="single"/>
        </w:rPr>
        <w:t xml:space="preserve">                                       </w:t>
      </w:r>
    </w:p>
    <w:p>
      <w:pPr>
        <w:spacing w:before="120" w:line="22" w:lineRule="atLeast"/>
        <w:rPr>
          <w:rFonts w:ascii="仿宋" w:hAnsi="仿宋" w:eastAsia="仿宋" w:cs="宋体"/>
          <w:color w:val="auto"/>
          <w:sz w:val="24"/>
          <w:highlight w:val="none"/>
        </w:rPr>
      </w:pPr>
    </w:p>
    <w:p>
      <w:pPr>
        <w:spacing w:before="120" w:line="22" w:lineRule="atLeast"/>
        <w:ind w:firstLine="960" w:firstLineChars="400"/>
        <w:rPr>
          <w:rFonts w:ascii="仿宋" w:hAnsi="仿宋" w:eastAsia="仿宋" w:cs="宋体"/>
          <w:color w:val="auto"/>
          <w:sz w:val="24"/>
          <w:highlight w:val="none"/>
          <w:u w:val="single"/>
        </w:rPr>
      </w:pPr>
      <w:r>
        <w:rPr>
          <w:rFonts w:hint="eastAsia" w:ascii="仿宋" w:hAnsi="仿宋" w:eastAsia="仿宋" w:cs="宋体"/>
          <w:color w:val="auto"/>
          <w:sz w:val="24"/>
          <w:highlight w:val="none"/>
        </w:rPr>
        <w:t>签订地：</w:t>
      </w:r>
      <w:r>
        <w:rPr>
          <w:rFonts w:hint="eastAsia" w:ascii="仿宋" w:hAnsi="仿宋" w:eastAsia="仿宋" w:cs="宋体"/>
          <w:color w:val="auto"/>
          <w:sz w:val="24"/>
          <w:highlight w:val="none"/>
          <w:u w:val="single"/>
        </w:rPr>
        <w:t xml:space="preserve">                                     </w:t>
      </w:r>
    </w:p>
    <w:p>
      <w:pPr>
        <w:spacing w:before="120" w:line="22" w:lineRule="atLeast"/>
        <w:rPr>
          <w:rFonts w:ascii="仿宋" w:hAnsi="仿宋" w:eastAsia="仿宋" w:cs="宋体"/>
          <w:color w:val="auto"/>
          <w:sz w:val="24"/>
          <w:highlight w:val="none"/>
        </w:rPr>
      </w:pPr>
    </w:p>
    <w:p>
      <w:pPr>
        <w:spacing w:before="120" w:line="22" w:lineRule="atLeast"/>
        <w:ind w:firstLine="960" w:firstLineChars="400"/>
        <w:rPr>
          <w:rFonts w:ascii="仿宋" w:hAnsi="仿宋" w:eastAsia="仿宋" w:cs="宋体"/>
          <w:color w:val="auto"/>
          <w:sz w:val="24"/>
          <w:highlight w:val="none"/>
          <w:u w:val="single"/>
        </w:rPr>
      </w:pPr>
      <w:r>
        <w:rPr>
          <w:rFonts w:hint="eastAsia" w:ascii="仿宋" w:hAnsi="仿宋" w:eastAsia="仿宋" w:cs="宋体"/>
          <w:color w:val="auto"/>
          <w:sz w:val="24"/>
          <w:highlight w:val="none"/>
        </w:rPr>
        <w:t>签订日期：</w:t>
      </w:r>
      <w:r>
        <w:rPr>
          <w:rFonts w:hint="eastAsia" w:ascii="仿宋" w:hAnsi="仿宋" w:eastAsia="仿宋" w:cs="宋体"/>
          <w:color w:val="auto"/>
          <w:sz w:val="24"/>
          <w:highlight w:val="none"/>
          <w:u w:val="single"/>
        </w:rPr>
        <w:t xml:space="preserve">               </w:t>
      </w:r>
      <w:r>
        <w:rPr>
          <w:rFonts w:hint="eastAsia" w:ascii="仿宋" w:hAnsi="仿宋" w:eastAsia="仿宋" w:cs="宋体"/>
          <w:color w:val="auto"/>
          <w:sz w:val="24"/>
          <w:highlight w:val="none"/>
        </w:rPr>
        <w:t>年</w:t>
      </w:r>
      <w:r>
        <w:rPr>
          <w:rFonts w:hint="eastAsia" w:ascii="仿宋" w:hAnsi="仿宋" w:eastAsia="仿宋" w:cs="宋体"/>
          <w:color w:val="auto"/>
          <w:sz w:val="24"/>
          <w:highlight w:val="none"/>
          <w:u w:val="single"/>
        </w:rPr>
        <w:t xml:space="preserve">       </w:t>
      </w:r>
      <w:r>
        <w:rPr>
          <w:rFonts w:hint="eastAsia" w:ascii="仿宋" w:hAnsi="仿宋" w:eastAsia="仿宋" w:cs="宋体"/>
          <w:color w:val="auto"/>
          <w:sz w:val="24"/>
          <w:highlight w:val="none"/>
        </w:rPr>
        <w:t>月</w:t>
      </w:r>
      <w:r>
        <w:rPr>
          <w:rFonts w:hint="eastAsia" w:ascii="仿宋" w:hAnsi="仿宋" w:eastAsia="仿宋" w:cs="宋体"/>
          <w:color w:val="auto"/>
          <w:sz w:val="24"/>
          <w:highlight w:val="none"/>
          <w:u w:val="single"/>
        </w:rPr>
        <w:t xml:space="preserve">       </w:t>
      </w:r>
      <w:r>
        <w:rPr>
          <w:rFonts w:hint="eastAsia" w:ascii="仿宋" w:hAnsi="仿宋" w:eastAsia="仿宋" w:cs="宋体"/>
          <w:color w:val="auto"/>
          <w:sz w:val="24"/>
          <w:highlight w:val="none"/>
        </w:rPr>
        <w:t>日</w:t>
      </w:r>
    </w:p>
    <w:p>
      <w:pPr>
        <w:widowControl/>
        <w:jc w:val="left"/>
        <w:rPr>
          <w:rFonts w:ascii="仿宋" w:hAnsi="仿宋" w:eastAsia="仿宋" w:cs="宋体"/>
          <w:color w:val="auto"/>
          <w:kern w:val="0"/>
          <w:sz w:val="24"/>
          <w:highlight w:val="none"/>
        </w:rPr>
        <w:sectPr>
          <w:pgSz w:w="11907" w:h="16840"/>
          <w:pgMar w:top="1474" w:right="1814" w:bottom="1474" w:left="1814" w:header="851" w:footer="851" w:gutter="0"/>
          <w:cols w:space="720" w:num="1"/>
        </w:sectPr>
      </w:pP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u w:val="single"/>
          <w:lang w:val="zh-CN"/>
        </w:rPr>
        <w:t xml:space="preserve">        </w:t>
      </w:r>
      <w:r>
        <w:rPr>
          <w:rFonts w:hint="eastAsia" w:ascii="仿宋" w:hAnsi="仿宋" w:eastAsia="仿宋"/>
          <w:color w:val="auto"/>
          <w:sz w:val="24"/>
          <w:highlight w:val="none"/>
          <w:lang w:val="zh-CN"/>
        </w:rPr>
        <w:t>年</w:t>
      </w:r>
      <w:r>
        <w:rPr>
          <w:rFonts w:ascii="仿宋" w:hAnsi="仿宋" w:eastAsia="仿宋"/>
          <w:color w:val="auto"/>
          <w:sz w:val="24"/>
          <w:highlight w:val="none"/>
          <w:u w:val="single"/>
          <w:lang w:val="zh-CN"/>
        </w:rPr>
        <w:t xml:space="preserve">    </w:t>
      </w:r>
      <w:r>
        <w:rPr>
          <w:rFonts w:hint="eastAsia" w:ascii="仿宋" w:hAnsi="仿宋" w:eastAsia="仿宋"/>
          <w:color w:val="auto"/>
          <w:sz w:val="24"/>
          <w:highlight w:val="none"/>
          <w:lang w:val="zh-CN"/>
        </w:rPr>
        <w:t>月</w:t>
      </w:r>
      <w:r>
        <w:rPr>
          <w:rFonts w:ascii="仿宋" w:hAnsi="仿宋" w:eastAsia="仿宋"/>
          <w:color w:val="auto"/>
          <w:sz w:val="24"/>
          <w:highlight w:val="none"/>
          <w:u w:val="single"/>
          <w:lang w:val="zh-CN"/>
        </w:rPr>
        <w:t xml:space="preserve">    </w:t>
      </w:r>
      <w:r>
        <w:rPr>
          <w:rFonts w:hint="eastAsia" w:ascii="仿宋" w:hAnsi="仿宋" w:eastAsia="仿宋"/>
          <w:color w:val="auto"/>
          <w:sz w:val="24"/>
          <w:highlight w:val="none"/>
          <w:lang w:val="zh-CN"/>
        </w:rPr>
        <w:t>日</w:t>
      </w:r>
      <w:r>
        <w:rPr>
          <w:rFonts w:hint="eastAsia" w:ascii="仿宋" w:hAnsi="仿宋" w:eastAsia="仿宋"/>
          <w:color w:val="auto"/>
          <w:sz w:val="24"/>
          <w:highlight w:val="none"/>
        </w:rPr>
        <w:t>，</w:t>
      </w:r>
      <w:r>
        <w:rPr>
          <w:rFonts w:ascii="仿宋" w:hAnsi="仿宋" w:eastAsia="仿宋"/>
          <w:color w:val="auto"/>
          <w:sz w:val="24"/>
          <w:highlight w:val="none"/>
          <w:u w:val="single"/>
        </w:rPr>
        <w:t xml:space="preserve">   （采购人名称）   </w:t>
      </w:r>
      <w:r>
        <w:rPr>
          <w:rFonts w:hint="eastAsia" w:ascii="仿宋" w:hAnsi="仿宋" w:eastAsia="仿宋"/>
          <w:color w:val="auto"/>
          <w:sz w:val="24"/>
          <w:highlight w:val="none"/>
        </w:rPr>
        <w:t>以</w:t>
      </w:r>
      <w:r>
        <w:rPr>
          <w:rFonts w:ascii="仿宋" w:hAnsi="仿宋" w:eastAsia="仿宋"/>
          <w:color w:val="auto"/>
          <w:sz w:val="24"/>
          <w:highlight w:val="none"/>
          <w:u w:val="single"/>
        </w:rPr>
        <w:t xml:space="preserve">   （政府采购方式）  </w:t>
      </w:r>
      <w:r>
        <w:rPr>
          <w:rFonts w:hint="eastAsia" w:ascii="仿宋" w:hAnsi="仿宋" w:eastAsia="仿宋"/>
          <w:color w:val="auto"/>
          <w:sz w:val="24"/>
          <w:highlight w:val="none"/>
        </w:rPr>
        <w:t>对</w:t>
      </w:r>
      <w:r>
        <w:rPr>
          <w:rFonts w:ascii="仿宋" w:hAnsi="仿宋" w:eastAsia="仿宋"/>
          <w:color w:val="auto"/>
          <w:sz w:val="24"/>
          <w:highlight w:val="none"/>
          <w:u w:val="single"/>
        </w:rPr>
        <w:t xml:space="preserve">   （同前</w:t>
      </w:r>
      <w:r>
        <w:rPr>
          <w:rFonts w:hint="eastAsia" w:ascii="仿宋" w:hAnsi="仿宋" w:eastAsia="仿宋"/>
          <w:color w:val="auto"/>
          <w:sz w:val="24"/>
          <w:highlight w:val="none"/>
          <w:u w:val="single"/>
        </w:rPr>
        <w:t>页项目名称）</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项目进行了采购。经</w:t>
      </w:r>
      <w:r>
        <w:rPr>
          <w:rFonts w:ascii="仿宋" w:hAnsi="仿宋" w:eastAsia="仿宋"/>
          <w:color w:val="auto"/>
          <w:sz w:val="24"/>
          <w:highlight w:val="none"/>
          <w:u w:val="single"/>
        </w:rPr>
        <w:t xml:space="preserve">   （相关评定主体名称）   </w:t>
      </w:r>
      <w:r>
        <w:rPr>
          <w:rFonts w:hint="eastAsia" w:ascii="仿宋" w:hAnsi="仿宋" w:eastAsia="仿宋"/>
          <w:color w:val="auto"/>
          <w:sz w:val="24"/>
          <w:highlight w:val="none"/>
        </w:rPr>
        <w:t>评定，</w:t>
      </w:r>
      <w:r>
        <w:rPr>
          <w:rFonts w:ascii="仿宋" w:hAnsi="仿宋" w:eastAsia="仿宋"/>
          <w:color w:val="auto"/>
          <w:sz w:val="24"/>
          <w:highlight w:val="none"/>
          <w:u w:val="single"/>
        </w:rPr>
        <w:t xml:space="preserve">   （中标供应商名称） </w:t>
      </w:r>
      <w:r>
        <w:rPr>
          <w:rFonts w:hint="eastAsia" w:ascii="仿宋" w:hAnsi="仿宋" w:eastAsia="仿宋"/>
          <w:color w:val="auto"/>
          <w:sz w:val="24"/>
          <w:highlight w:val="none"/>
        </w:rPr>
        <w:t>为该项目中标供应商。现于中标通知书发出之日起10个工作日内，按照采购文件确定的事项签订本合同。</w:t>
      </w:r>
    </w:p>
    <w:p>
      <w:pPr>
        <w:spacing w:line="56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lang w:val="zh-CN"/>
        </w:rPr>
        <w:t>根据《中华人民共和国民法典》《中华人民共和国政府采购法》等相关法律法规之规定，按照平等、自愿、公平和诚实信用的原则，经</w:t>
      </w:r>
      <w:r>
        <w:rPr>
          <w:rFonts w:ascii="仿宋" w:hAnsi="仿宋" w:eastAsia="仿宋"/>
          <w:color w:val="auto"/>
          <w:sz w:val="24"/>
          <w:highlight w:val="none"/>
          <w:u w:val="single"/>
        </w:rPr>
        <w:t xml:space="preserve">   （采购人名称）   </w:t>
      </w:r>
      <w:r>
        <w:rPr>
          <w:rFonts w:ascii="仿宋" w:hAnsi="仿宋" w:eastAsia="仿宋"/>
          <w:color w:val="auto"/>
          <w:sz w:val="24"/>
          <w:highlight w:val="none"/>
          <w:lang w:val="zh-CN"/>
        </w:rPr>
        <w:t>(以下简称：甲方)和</w:t>
      </w:r>
      <w:r>
        <w:rPr>
          <w:rFonts w:ascii="仿宋" w:hAnsi="仿宋" w:eastAsia="仿宋"/>
          <w:color w:val="auto"/>
          <w:sz w:val="24"/>
          <w:highlight w:val="none"/>
          <w:u w:val="single"/>
        </w:rPr>
        <w:t xml:space="preserve">   （中标供应商名称）   </w:t>
      </w:r>
      <w:r>
        <w:rPr>
          <w:rFonts w:ascii="仿宋" w:hAnsi="仿宋" w:eastAsia="仿宋"/>
          <w:color w:val="auto"/>
          <w:sz w:val="24"/>
          <w:highlight w:val="none"/>
          <w:lang w:val="zh-CN"/>
        </w:rPr>
        <w:t>(以下简称：乙方)协商一致，约定以下合同</w:t>
      </w:r>
      <w:r>
        <w:rPr>
          <w:rFonts w:hint="eastAsia" w:ascii="仿宋" w:hAnsi="仿宋" w:eastAsia="仿宋"/>
          <w:color w:val="auto"/>
          <w:sz w:val="24"/>
          <w:highlight w:val="none"/>
        </w:rPr>
        <w:t>条款，以兹共同遵守、全面履行。</w:t>
      </w:r>
    </w:p>
    <w:p>
      <w:pPr>
        <w:spacing w:line="560" w:lineRule="exact"/>
        <w:ind w:firstLine="482" w:firstLineChars="200"/>
        <w:outlineLvl w:val="0"/>
        <w:rPr>
          <w:rFonts w:ascii="仿宋" w:hAnsi="仿宋" w:eastAsia="仿宋"/>
          <w:color w:val="auto"/>
          <w:sz w:val="24"/>
          <w:highlight w:val="none"/>
        </w:rPr>
      </w:pPr>
      <w:bookmarkStart w:id="596" w:name="_Toc15367"/>
      <w:bookmarkStart w:id="597" w:name="_Toc28855"/>
      <w:bookmarkStart w:id="598" w:name="_Toc19273"/>
      <w:bookmarkStart w:id="599" w:name="_Toc20421"/>
      <w:bookmarkStart w:id="600" w:name="_Toc22967"/>
      <w:r>
        <w:rPr>
          <w:rFonts w:ascii="仿宋" w:hAnsi="仿宋" w:eastAsia="仿宋"/>
          <w:b/>
          <w:color w:val="auto"/>
          <w:sz w:val="24"/>
          <w:highlight w:val="none"/>
        </w:rPr>
        <w:t xml:space="preserve">1.1 </w:t>
      </w:r>
      <w:r>
        <w:rPr>
          <w:rFonts w:hint="eastAsia" w:ascii="仿宋" w:hAnsi="仿宋" w:eastAsia="仿宋"/>
          <w:b/>
          <w:color w:val="auto"/>
          <w:sz w:val="24"/>
          <w:highlight w:val="none"/>
        </w:rPr>
        <w:t>合同组成部分</w:t>
      </w:r>
      <w:bookmarkEnd w:id="596"/>
      <w:bookmarkEnd w:id="597"/>
      <w:bookmarkEnd w:id="598"/>
      <w:bookmarkEnd w:id="599"/>
      <w:bookmarkEnd w:id="600"/>
    </w:p>
    <w:p>
      <w:pPr>
        <w:spacing w:line="56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1.1.1 </w:t>
      </w:r>
      <w:r>
        <w:rPr>
          <w:rFonts w:hint="eastAsia" w:ascii="仿宋" w:hAnsi="仿宋" w:eastAsia="仿宋"/>
          <w:color w:val="auto"/>
          <w:sz w:val="24"/>
          <w:highlight w:val="none"/>
        </w:rPr>
        <w:t>本合同及其补充合同、变更协议；</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1.1.2 </w:t>
      </w:r>
      <w:r>
        <w:rPr>
          <w:rFonts w:hint="eastAsia" w:ascii="仿宋" w:hAnsi="仿宋" w:eastAsia="仿宋"/>
          <w:color w:val="auto"/>
          <w:sz w:val="24"/>
          <w:highlight w:val="none"/>
        </w:rPr>
        <w:t>中标通知书；</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1.1.3 </w:t>
      </w:r>
      <w:r>
        <w:rPr>
          <w:rFonts w:hint="eastAsia" w:ascii="仿宋" w:hAnsi="仿宋" w:eastAsia="仿宋"/>
          <w:color w:val="auto"/>
          <w:sz w:val="24"/>
          <w:highlight w:val="none"/>
        </w:rPr>
        <w:t>投标文件（含澄清或者说明文件）；</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1.1.4 </w:t>
      </w:r>
      <w:r>
        <w:rPr>
          <w:rFonts w:hint="eastAsia" w:ascii="仿宋" w:hAnsi="仿宋" w:eastAsia="仿宋"/>
          <w:color w:val="auto"/>
          <w:sz w:val="24"/>
          <w:highlight w:val="none"/>
        </w:rPr>
        <w:t>招标文件（含澄清或者修改文件）；</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1.1.5 </w:t>
      </w:r>
      <w:r>
        <w:rPr>
          <w:rFonts w:hint="eastAsia" w:ascii="仿宋" w:hAnsi="仿宋" w:eastAsia="仿宋"/>
          <w:color w:val="auto"/>
          <w:sz w:val="24"/>
          <w:highlight w:val="none"/>
        </w:rPr>
        <w:t>其他相关采购文件。</w:t>
      </w:r>
    </w:p>
    <w:p>
      <w:pPr>
        <w:spacing w:line="560" w:lineRule="exact"/>
        <w:ind w:firstLine="482" w:firstLineChars="200"/>
        <w:outlineLvl w:val="0"/>
        <w:rPr>
          <w:rFonts w:ascii="仿宋" w:hAnsi="仿宋" w:eastAsia="仿宋"/>
          <w:b/>
          <w:color w:val="auto"/>
          <w:sz w:val="24"/>
          <w:highlight w:val="none"/>
        </w:rPr>
      </w:pPr>
      <w:bookmarkStart w:id="601" w:name="_Toc22185"/>
      <w:bookmarkStart w:id="602" w:name="_Toc6311"/>
      <w:bookmarkStart w:id="603" w:name="_Toc18585"/>
      <w:bookmarkStart w:id="604" w:name="_Toc2918"/>
      <w:bookmarkStart w:id="605" w:name="_Toc6773"/>
      <w:r>
        <w:rPr>
          <w:rFonts w:ascii="仿宋" w:hAnsi="仿宋" w:eastAsia="仿宋"/>
          <w:b/>
          <w:color w:val="auto"/>
          <w:sz w:val="24"/>
          <w:highlight w:val="none"/>
        </w:rPr>
        <w:t xml:space="preserve">1.2 </w:t>
      </w:r>
      <w:r>
        <w:rPr>
          <w:rFonts w:hint="eastAsia" w:ascii="仿宋" w:hAnsi="仿宋" w:eastAsia="仿宋"/>
          <w:b/>
          <w:color w:val="auto"/>
          <w:sz w:val="24"/>
          <w:highlight w:val="none"/>
        </w:rPr>
        <w:t>标的</w:t>
      </w:r>
      <w:bookmarkEnd w:id="601"/>
      <w:bookmarkEnd w:id="602"/>
      <w:bookmarkEnd w:id="603"/>
      <w:bookmarkEnd w:id="604"/>
      <w:bookmarkEnd w:id="605"/>
    </w:p>
    <w:p>
      <w:pPr>
        <w:spacing w:line="560" w:lineRule="exact"/>
        <w:ind w:firstLine="480" w:firstLineChars="200"/>
        <w:rPr>
          <w:rFonts w:ascii="仿宋" w:hAnsi="仿宋" w:eastAsia="仿宋"/>
          <w:color w:val="auto"/>
          <w:sz w:val="24"/>
          <w:highlight w:val="none"/>
          <w:u w:val="single"/>
        </w:rPr>
      </w:pPr>
      <w:r>
        <w:rPr>
          <w:rFonts w:ascii="仿宋" w:hAnsi="仿宋" w:eastAsia="仿宋"/>
          <w:color w:val="auto"/>
          <w:sz w:val="24"/>
          <w:highlight w:val="none"/>
        </w:rPr>
        <w:t xml:space="preserve">1.2.1 </w:t>
      </w:r>
      <w:r>
        <w:rPr>
          <w:rFonts w:hint="eastAsia" w:ascii="仿宋" w:hAnsi="仿宋" w:eastAsia="仿宋"/>
          <w:color w:val="auto"/>
          <w:sz w:val="24"/>
          <w:highlight w:val="none"/>
        </w:rPr>
        <w:t>标的</w:t>
      </w:r>
      <w:r>
        <w:rPr>
          <w:rFonts w:ascii="仿宋" w:hAnsi="仿宋" w:eastAsia="仿宋"/>
          <w:color w:val="auto"/>
          <w:sz w:val="24"/>
          <w:highlight w:val="none"/>
        </w:rPr>
        <w:t>名称：</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w:t>
      </w:r>
    </w:p>
    <w:p>
      <w:pPr>
        <w:spacing w:line="560" w:lineRule="exact"/>
        <w:ind w:firstLine="480" w:firstLineChars="200"/>
        <w:rPr>
          <w:rFonts w:ascii="仿宋" w:hAnsi="仿宋" w:eastAsia="仿宋"/>
          <w:color w:val="auto"/>
          <w:sz w:val="24"/>
          <w:highlight w:val="none"/>
          <w:u w:val="single"/>
        </w:rPr>
      </w:pPr>
      <w:r>
        <w:rPr>
          <w:rFonts w:ascii="仿宋" w:hAnsi="仿宋" w:eastAsia="仿宋"/>
          <w:color w:val="auto"/>
          <w:sz w:val="24"/>
          <w:highlight w:val="none"/>
        </w:rPr>
        <w:t xml:space="preserve">1.2.2 </w:t>
      </w:r>
      <w:r>
        <w:rPr>
          <w:rFonts w:hint="eastAsia" w:ascii="仿宋" w:hAnsi="仿宋" w:eastAsia="仿宋"/>
          <w:color w:val="auto"/>
          <w:sz w:val="24"/>
          <w:highlight w:val="none"/>
        </w:rPr>
        <w:t>标的</w:t>
      </w:r>
      <w:r>
        <w:rPr>
          <w:rFonts w:ascii="仿宋" w:hAnsi="仿宋" w:eastAsia="仿宋"/>
          <w:color w:val="auto"/>
          <w:sz w:val="24"/>
          <w:highlight w:val="none"/>
        </w:rPr>
        <w:t>数量：</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1.2.3 </w:t>
      </w:r>
      <w:r>
        <w:rPr>
          <w:rFonts w:hint="eastAsia" w:ascii="仿宋" w:hAnsi="仿宋" w:eastAsia="仿宋"/>
          <w:color w:val="auto"/>
          <w:sz w:val="24"/>
          <w:highlight w:val="none"/>
        </w:rPr>
        <w:t>标的质量：</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w:t>
      </w:r>
    </w:p>
    <w:p>
      <w:pPr>
        <w:spacing w:line="560" w:lineRule="exact"/>
        <w:ind w:firstLine="482" w:firstLineChars="200"/>
        <w:outlineLvl w:val="0"/>
        <w:rPr>
          <w:rFonts w:ascii="仿宋" w:hAnsi="仿宋" w:eastAsia="仿宋"/>
          <w:b/>
          <w:color w:val="auto"/>
          <w:sz w:val="24"/>
          <w:highlight w:val="none"/>
        </w:rPr>
      </w:pPr>
      <w:bookmarkStart w:id="606" w:name="_Toc13918"/>
      <w:bookmarkStart w:id="607" w:name="_Toc1386"/>
      <w:bookmarkStart w:id="608" w:name="_Toc4929"/>
      <w:bookmarkStart w:id="609" w:name="_Toc21124"/>
      <w:bookmarkStart w:id="610" w:name="_Toc5635"/>
      <w:r>
        <w:rPr>
          <w:rFonts w:ascii="仿宋" w:hAnsi="仿宋" w:eastAsia="仿宋"/>
          <w:b/>
          <w:color w:val="auto"/>
          <w:sz w:val="24"/>
          <w:highlight w:val="none"/>
        </w:rPr>
        <w:t>1.3 价款</w:t>
      </w:r>
      <w:bookmarkEnd w:id="606"/>
      <w:bookmarkEnd w:id="607"/>
      <w:bookmarkEnd w:id="608"/>
      <w:bookmarkEnd w:id="609"/>
      <w:bookmarkEnd w:id="610"/>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本合同总价为</w:t>
      </w:r>
      <w:r>
        <w:rPr>
          <w:rFonts w:hint="eastAsia" w:ascii="仿宋" w:hAnsi="仿宋" w:eastAsia="仿宋"/>
          <w:color w:val="auto"/>
          <w:sz w:val="24"/>
          <w:highlight w:val="none"/>
        </w:rPr>
        <w:t>：￥</w:t>
      </w:r>
      <w:r>
        <w:rPr>
          <w:rFonts w:ascii="仿宋" w:hAnsi="仿宋" w:eastAsia="仿宋"/>
          <w:color w:val="auto"/>
          <w:sz w:val="24"/>
          <w:highlight w:val="none"/>
          <w:u w:val="single"/>
        </w:rPr>
        <w:t xml:space="preserve">           </w:t>
      </w:r>
      <w:r>
        <w:rPr>
          <w:rFonts w:ascii="仿宋" w:hAnsi="仿宋" w:eastAsia="仿宋"/>
          <w:color w:val="auto"/>
          <w:sz w:val="24"/>
          <w:highlight w:val="none"/>
        </w:rPr>
        <w:t>元</w:t>
      </w:r>
      <w:r>
        <w:rPr>
          <w:rFonts w:hint="eastAsia" w:ascii="仿宋" w:hAnsi="仿宋" w:eastAsia="仿宋"/>
          <w:color w:val="auto"/>
          <w:sz w:val="24"/>
          <w:highlight w:val="none"/>
        </w:rPr>
        <w:t>（大写：</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元人民币）</w:t>
      </w:r>
      <w:r>
        <w:rPr>
          <w:rFonts w:ascii="仿宋" w:hAnsi="仿宋" w:eastAsia="仿宋"/>
          <w:color w:val="auto"/>
          <w:sz w:val="24"/>
          <w:highlight w:val="none"/>
        </w:rPr>
        <w:t>。</w:t>
      </w:r>
    </w:p>
    <w:p>
      <w:pPr>
        <w:spacing w:line="560" w:lineRule="exact"/>
        <w:ind w:firstLine="480" w:firstLineChars="200"/>
        <w:rPr>
          <w:rFonts w:ascii="仿宋" w:hAnsi="仿宋" w:eastAsia="仿宋"/>
          <w:color w:val="auto"/>
          <w:sz w:val="24"/>
          <w:highlight w:val="none"/>
          <w:u w:val="single"/>
        </w:rPr>
      </w:pPr>
      <w:r>
        <w:rPr>
          <w:rFonts w:ascii="仿宋" w:hAnsi="仿宋" w:eastAsia="仿宋"/>
          <w:color w:val="auto"/>
          <w:sz w:val="24"/>
          <w:highlight w:val="none"/>
        </w:rPr>
        <w:t>分项价格：</w:t>
      </w:r>
    </w:p>
    <w:tbl>
      <w:tblPr>
        <w:tblStyle w:val="8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30"/>
              <w:spacing w:line="560" w:lineRule="exact"/>
              <w:ind w:firstLine="480"/>
              <w:jc w:val="center"/>
              <w:rPr>
                <w:rFonts w:ascii="仿宋" w:hAnsi="仿宋" w:eastAsia="仿宋"/>
                <w:color w:val="auto"/>
                <w:sz w:val="24"/>
                <w:szCs w:val="24"/>
                <w:highlight w:val="none"/>
              </w:rPr>
            </w:pPr>
            <w:r>
              <w:rPr>
                <w:rFonts w:ascii="仿宋" w:hAnsi="仿宋" w:eastAsia="仿宋"/>
                <w:color w:val="auto"/>
                <w:sz w:val="24"/>
                <w:szCs w:val="24"/>
                <w:highlight w:val="none"/>
              </w:rPr>
              <w:t>序号</w:t>
            </w:r>
          </w:p>
        </w:tc>
        <w:tc>
          <w:tcPr>
            <w:tcW w:w="3402" w:type="dxa"/>
            <w:vAlign w:val="center"/>
          </w:tcPr>
          <w:p>
            <w:pPr>
              <w:pStyle w:val="130"/>
              <w:spacing w:line="560" w:lineRule="exact"/>
              <w:ind w:firstLine="480"/>
              <w:jc w:val="center"/>
              <w:rPr>
                <w:rFonts w:ascii="仿宋" w:hAnsi="仿宋" w:eastAsia="仿宋"/>
                <w:color w:val="auto"/>
                <w:sz w:val="24"/>
                <w:szCs w:val="24"/>
                <w:highlight w:val="none"/>
              </w:rPr>
            </w:pPr>
            <w:r>
              <w:rPr>
                <w:rFonts w:hint="eastAsia" w:ascii="仿宋" w:hAnsi="仿宋" w:eastAsia="仿宋"/>
                <w:color w:val="auto"/>
                <w:sz w:val="24"/>
                <w:szCs w:val="24"/>
                <w:highlight w:val="none"/>
              </w:rPr>
              <w:t>分项名称</w:t>
            </w:r>
          </w:p>
        </w:tc>
        <w:tc>
          <w:tcPr>
            <w:tcW w:w="2552" w:type="dxa"/>
            <w:vAlign w:val="center"/>
          </w:tcPr>
          <w:p>
            <w:pPr>
              <w:pStyle w:val="130"/>
              <w:spacing w:line="560" w:lineRule="exact"/>
              <w:ind w:firstLine="480"/>
              <w:jc w:val="center"/>
              <w:rPr>
                <w:rFonts w:ascii="仿宋" w:hAnsi="仿宋" w:eastAsia="仿宋"/>
                <w:color w:val="auto"/>
                <w:sz w:val="24"/>
                <w:szCs w:val="24"/>
                <w:highlight w:val="none"/>
              </w:rPr>
            </w:pPr>
            <w:r>
              <w:rPr>
                <w:rFonts w:ascii="仿宋" w:hAnsi="仿宋" w:eastAsia="仿宋"/>
                <w:color w:val="auto"/>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30"/>
              <w:spacing w:line="560" w:lineRule="exact"/>
              <w:ind w:firstLine="480"/>
              <w:jc w:val="center"/>
              <w:rPr>
                <w:rFonts w:ascii="仿宋" w:hAnsi="仿宋" w:eastAsia="仿宋"/>
                <w:color w:val="auto"/>
                <w:sz w:val="24"/>
                <w:szCs w:val="24"/>
                <w:highlight w:val="none"/>
              </w:rPr>
            </w:pPr>
          </w:p>
        </w:tc>
        <w:tc>
          <w:tcPr>
            <w:tcW w:w="3402" w:type="dxa"/>
            <w:vAlign w:val="center"/>
          </w:tcPr>
          <w:p>
            <w:pPr>
              <w:pStyle w:val="130"/>
              <w:spacing w:line="560" w:lineRule="exact"/>
              <w:ind w:firstLine="480"/>
              <w:jc w:val="center"/>
              <w:rPr>
                <w:rFonts w:ascii="仿宋" w:hAnsi="仿宋" w:eastAsia="仿宋"/>
                <w:color w:val="auto"/>
                <w:sz w:val="24"/>
                <w:szCs w:val="24"/>
                <w:highlight w:val="none"/>
              </w:rPr>
            </w:pPr>
          </w:p>
        </w:tc>
        <w:tc>
          <w:tcPr>
            <w:tcW w:w="2552" w:type="dxa"/>
            <w:vAlign w:val="center"/>
          </w:tcPr>
          <w:p>
            <w:pPr>
              <w:pStyle w:val="130"/>
              <w:spacing w:line="560" w:lineRule="exact"/>
              <w:ind w:firstLine="480"/>
              <w:jc w:val="center"/>
              <w:rPr>
                <w:rFonts w:ascii="仿宋" w:hAnsi="仿宋" w:eastAsia="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30"/>
              <w:spacing w:line="560" w:lineRule="exact"/>
              <w:ind w:firstLine="480"/>
              <w:jc w:val="center"/>
              <w:rPr>
                <w:rFonts w:ascii="仿宋" w:hAnsi="仿宋" w:eastAsia="仿宋"/>
                <w:color w:val="auto"/>
                <w:sz w:val="24"/>
                <w:szCs w:val="24"/>
                <w:highlight w:val="none"/>
              </w:rPr>
            </w:pPr>
          </w:p>
        </w:tc>
        <w:tc>
          <w:tcPr>
            <w:tcW w:w="3402" w:type="dxa"/>
            <w:vAlign w:val="center"/>
          </w:tcPr>
          <w:p>
            <w:pPr>
              <w:pStyle w:val="130"/>
              <w:spacing w:line="560" w:lineRule="exact"/>
              <w:ind w:firstLine="480"/>
              <w:jc w:val="center"/>
              <w:rPr>
                <w:rFonts w:ascii="仿宋" w:hAnsi="仿宋" w:eastAsia="仿宋"/>
                <w:color w:val="auto"/>
                <w:sz w:val="24"/>
                <w:szCs w:val="24"/>
                <w:highlight w:val="none"/>
              </w:rPr>
            </w:pPr>
          </w:p>
        </w:tc>
        <w:tc>
          <w:tcPr>
            <w:tcW w:w="2552" w:type="dxa"/>
            <w:vAlign w:val="center"/>
          </w:tcPr>
          <w:p>
            <w:pPr>
              <w:pStyle w:val="130"/>
              <w:spacing w:line="560" w:lineRule="exact"/>
              <w:ind w:firstLine="480"/>
              <w:jc w:val="center"/>
              <w:rPr>
                <w:rFonts w:ascii="仿宋" w:hAnsi="仿宋" w:eastAsia="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30"/>
              <w:spacing w:line="560" w:lineRule="exact"/>
              <w:ind w:firstLine="480"/>
              <w:jc w:val="center"/>
              <w:rPr>
                <w:rFonts w:ascii="仿宋" w:hAnsi="仿宋" w:eastAsia="仿宋"/>
                <w:color w:val="auto"/>
                <w:sz w:val="24"/>
                <w:szCs w:val="24"/>
                <w:highlight w:val="none"/>
              </w:rPr>
            </w:pPr>
          </w:p>
        </w:tc>
        <w:tc>
          <w:tcPr>
            <w:tcW w:w="3402" w:type="dxa"/>
            <w:vAlign w:val="center"/>
          </w:tcPr>
          <w:p>
            <w:pPr>
              <w:pStyle w:val="130"/>
              <w:spacing w:line="560" w:lineRule="exact"/>
              <w:ind w:firstLine="480"/>
              <w:jc w:val="center"/>
              <w:rPr>
                <w:rFonts w:ascii="仿宋" w:hAnsi="仿宋" w:eastAsia="仿宋"/>
                <w:color w:val="auto"/>
                <w:sz w:val="24"/>
                <w:szCs w:val="24"/>
                <w:highlight w:val="none"/>
              </w:rPr>
            </w:pPr>
          </w:p>
        </w:tc>
        <w:tc>
          <w:tcPr>
            <w:tcW w:w="2552" w:type="dxa"/>
            <w:vAlign w:val="center"/>
          </w:tcPr>
          <w:p>
            <w:pPr>
              <w:pStyle w:val="130"/>
              <w:spacing w:line="560" w:lineRule="exact"/>
              <w:ind w:firstLine="480"/>
              <w:jc w:val="center"/>
              <w:rPr>
                <w:rFonts w:ascii="仿宋" w:hAnsi="仿宋" w:eastAsia="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30"/>
              <w:spacing w:line="560" w:lineRule="exact"/>
              <w:ind w:firstLine="480"/>
              <w:jc w:val="center"/>
              <w:rPr>
                <w:rFonts w:ascii="仿宋" w:hAnsi="仿宋" w:eastAsia="仿宋"/>
                <w:color w:val="auto"/>
                <w:sz w:val="24"/>
                <w:szCs w:val="24"/>
                <w:highlight w:val="none"/>
              </w:rPr>
            </w:pPr>
          </w:p>
        </w:tc>
        <w:tc>
          <w:tcPr>
            <w:tcW w:w="3402" w:type="dxa"/>
            <w:vAlign w:val="center"/>
          </w:tcPr>
          <w:p>
            <w:pPr>
              <w:pStyle w:val="130"/>
              <w:spacing w:line="560" w:lineRule="exact"/>
              <w:ind w:firstLine="480"/>
              <w:jc w:val="center"/>
              <w:rPr>
                <w:rFonts w:ascii="仿宋" w:hAnsi="仿宋" w:eastAsia="仿宋"/>
                <w:color w:val="auto"/>
                <w:sz w:val="24"/>
                <w:szCs w:val="24"/>
                <w:highlight w:val="none"/>
              </w:rPr>
            </w:pPr>
          </w:p>
        </w:tc>
        <w:tc>
          <w:tcPr>
            <w:tcW w:w="2552" w:type="dxa"/>
            <w:vAlign w:val="center"/>
          </w:tcPr>
          <w:p>
            <w:pPr>
              <w:pStyle w:val="130"/>
              <w:spacing w:line="560" w:lineRule="exact"/>
              <w:ind w:firstLine="480"/>
              <w:jc w:val="center"/>
              <w:rPr>
                <w:rFonts w:ascii="仿宋" w:hAnsi="仿宋" w:eastAsia="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130"/>
              <w:spacing w:line="560" w:lineRule="exact"/>
              <w:ind w:firstLine="480"/>
              <w:jc w:val="center"/>
              <w:rPr>
                <w:rFonts w:ascii="仿宋" w:hAnsi="仿宋" w:eastAsia="仿宋"/>
                <w:color w:val="auto"/>
                <w:sz w:val="24"/>
                <w:szCs w:val="24"/>
                <w:highlight w:val="none"/>
              </w:rPr>
            </w:pPr>
            <w:r>
              <w:rPr>
                <w:rFonts w:hint="eastAsia" w:ascii="仿宋" w:hAnsi="仿宋" w:eastAsia="仿宋"/>
                <w:color w:val="auto"/>
                <w:sz w:val="24"/>
                <w:szCs w:val="24"/>
                <w:highlight w:val="none"/>
              </w:rPr>
              <w:t>总价</w:t>
            </w:r>
          </w:p>
        </w:tc>
        <w:tc>
          <w:tcPr>
            <w:tcW w:w="2552" w:type="dxa"/>
            <w:vAlign w:val="center"/>
          </w:tcPr>
          <w:p>
            <w:pPr>
              <w:pStyle w:val="130"/>
              <w:spacing w:line="560" w:lineRule="exact"/>
              <w:ind w:firstLine="480"/>
              <w:jc w:val="center"/>
              <w:rPr>
                <w:rFonts w:ascii="仿宋" w:hAnsi="仿宋" w:eastAsia="仿宋"/>
                <w:color w:val="auto"/>
                <w:sz w:val="24"/>
                <w:szCs w:val="24"/>
                <w:highlight w:val="none"/>
              </w:rPr>
            </w:pPr>
          </w:p>
        </w:tc>
      </w:tr>
    </w:tbl>
    <w:p>
      <w:pPr>
        <w:spacing w:line="560" w:lineRule="exact"/>
        <w:ind w:firstLine="482" w:firstLineChars="200"/>
        <w:outlineLvl w:val="0"/>
        <w:rPr>
          <w:rFonts w:ascii="仿宋" w:hAnsi="仿宋" w:eastAsia="仿宋"/>
          <w:b/>
          <w:color w:val="auto"/>
          <w:sz w:val="24"/>
          <w:highlight w:val="none"/>
        </w:rPr>
      </w:pPr>
      <w:bookmarkStart w:id="611" w:name="_Toc26916"/>
      <w:bookmarkStart w:id="612" w:name="_Toc3654"/>
      <w:bookmarkStart w:id="613" w:name="_Toc30506"/>
      <w:bookmarkStart w:id="614" w:name="_Toc30158"/>
      <w:bookmarkStart w:id="615" w:name="_Toc14993"/>
      <w:r>
        <w:rPr>
          <w:rFonts w:ascii="仿宋" w:hAnsi="仿宋" w:eastAsia="仿宋"/>
          <w:b/>
          <w:color w:val="auto"/>
          <w:sz w:val="24"/>
          <w:highlight w:val="none"/>
        </w:rPr>
        <w:t>1.4 付款方式和发票开具方式</w:t>
      </w:r>
      <w:bookmarkEnd w:id="611"/>
      <w:bookmarkEnd w:id="612"/>
      <w:bookmarkEnd w:id="613"/>
      <w:bookmarkEnd w:id="614"/>
      <w:bookmarkEnd w:id="615"/>
    </w:p>
    <w:p>
      <w:pPr>
        <w:pStyle w:val="642"/>
        <w:spacing w:before="0" w:beforeAutospacing="0" w:after="0" w:afterAutospacing="0" w:line="360" w:lineRule="auto"/>
        <w:ind w:firstLine="480"/>
        <w:rPr>
          <w:rFonts w:ascii="仿宋" w:hAnsi="仿宋" w:eastAsia="仿宋" w:cs="Times New Roman"/>
          <w:color w:val="auto"/>
          <w:highlight w:val="none"/>
        </w:rPr>
      </w:pPr>
      <w:r>
        <w:rPr>
          <w:rFonts w:ascii="仿宋" w:hAnsi="仿宋" w:eastAsia="仿宋" w:cs="Times New Roman"/>
          <w:color w:val="auto"/>
          <w:highlight w:val="none"/>
        </w:rPr>
        <w:t>1.4.1</w:t>
      </w:r>
      <w:r>
        <w:rPr>
          <w:rFonts w:hint="eastAsia" w:ascii="仿宋" w:hAnsi="仿宋" w:eastAsia="仿宋" w:cs="Times New Roman"/>
          <w:color w:val="auto"/>
          <w:highlight w:val="none"/>
        </w:rPr>
        <w:t>甲方应严格履行合同，及时组织验收，验收合格后及时将合同款支付完毕。对于满足合同约定支付条件的，甲方自收到发票后</w:t>
      </w:r>
      <w:r>
        <w:rPr>
          <w:rFonts w:ascii="仿宋" w:hAnsi="仿宋" w:eastAsia="仿宋" w:cs="Times New Roman"/>
          <w:color w:val="auto"/>
          <w:highlight w:val="none"/>
        </w:rPr>
        <w:t>5个工作日内将资金支付到合同约定的乙方账户，有条件的甲方可以即时支付。甲方不得以机构变动、人员更替、政策调整、单位放假等为由延迟付款。</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1.4.2 </w:t>
      </w:r>
      <w:r>
        <w:rPr>
          <w:rFonts w:hint="eastAsia" w:ascii="仿宋" w:hAnsi="仿宋" w:eastAsia="仿宋"/>
          <w:color w:val="auto"/>
          <w:sz w:val="24"/>
          <w:highlight w:val="none"/>
        </w:rPr>
        <w:t>合同预付款比例为合同金额的</w:t>
      </w:r>
      <w:r>
        <w:rPr>
          <w:rFonts w:ascii="仿宋" w:hAnsi="仿宋" w:eastAsia="仿宋"/>
          <w:color w:val="auto"/>
          <w:sz w:val="24"/>
          <w:highlight w:val="none"/>
        </w:rPr>
        <w:t>40％；项目分年安排预算的，每年预付款比例为项目年度计划支付资金额的40％；采购项目实施以人工投入为主的，预付款比例为合同金额的20%。对供应商为大型企业的项目或者以人工投入为主且实行按月定期结算支付款项的项目，预付款可低于上述比例或者不约定预付款。在签订合同时，乙方明确表示无需预付款或者主动要求降低预付款比例的，甲方可不适用前述规定。甲方根据项目特点、供应商诚信等因素，可以要求乙方提交银行、保险公司等金融机构出具的预付款保函或其他担保措施。政府采购预付款应在合同生效以及具备实施条件后7个工作日内支付。</w:t>
      </w:r>
      <w:r>
        <w:rPr>
          <w:rFonts w:hint="eastAsia" w:ascii="仿宋" w:hAnsi="仿宋" w:eastAsia="仿宋"/>
          <w:color w:val="auto"/>
          <w:sz w:val="24"/>
          <w:highlight w:val="none"/>
        </w:rPr>
        <w:t>政府采购工程以及与工程建设有关的货物、服务，采用招标方式采购的，预付款从其相关规定。乙方可登录政采云前台大厅选择金融服务</w:t>
      </w:r>
      <w:r>
        <w:rPr>
          <w:rFonts w:ascii="仿宋" w:hAnsi="仿宋" w:eastAsia="仿宋"/>
          <w:color w:val="auto"/>
          <w:sz w:val="24"/>
          <w:highlight w:val="none"/>
        </w:rPr>
        <w:t xml:space="preserve"> - </w:t>
      </w:r>
      <w:r>
        <w:rPr>
          <w:rFonts w:hint="eastAsia" w:ascii="仿宋" w:hAnsi="仿宋" w:eastAsia="仿宋"/>
          <w:color w:val="auto"/>
          <w:sz w:val="24"/>
          <w:highlight w:val="none"/>
        </w:rPr>
        <w:t>【保函保险服务】出具预付款保函，具体步骤：选择产品—填写供应商信息—选择中标项目—确认信息—等待保险</w:t>
      </w:r>
      <w:r>
        <w:rPr>
          <w:rFonts w:ascii="仿宋" w:hAnsi="仿宋" w:eastAsia="仿宋"/>
          <w:color w:val="auto"/>
          <w:sz w:val="24"/>
          <w:highlight w:val="none"/>
        </w:rPr>
        <w:t>/保函受理—确认保单—支付保费—成功出单。政</w:t>
      </w:r>
      <w:r>
        <w:rPr>
          <w:rFonts w:hint="eastAsia" w:ascii="仿宋" w:hAnsi="仿宋" w:eastAsia="仿宋"/>
          <w:color w:val="auto"/>
          <w:sz w:val="24"/>
          <w:highlight w:val="none"/>
        </w:rPr>
        <w:t>采云金融专线</w:t>
      </w:r>
      <w:r>
        <w:rPr>
          <w:rFonts w:ascii="仿宋" w:hAnsi="仿宋" w:eastAsia="仿宋"/>
          <w:color w:val="auto"/>
          <w:sz w:val="24"/>
          <w:highlight w:val="none"/>
        </w:rPr>
        <w:t>400-903-9583。</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1.4.3</w:t>
      </w:r>
      <w:r>
        <w:rPr>
          <w:rFonts w:hint="eastAsia" w:ascii="仿宋" w:hAnsi="仿宋" w:eastAsia="仿宋"/>
          <w:color w:val="auto"/>
          <w:sz w:val="24"/>
          <w:highlight w:val="none"/>
        </w:rPr>
        <w:t>甲方迟延支付乙方款项的，向乙方支付逾期利息。双方可以在合同专用条款中约定逾期利率，约定利率不得低于合同订立时</w:t>
      </w:r>
      <w:r>
        <w:rPr>
          <w:rFonts w:ascii="仿宋" w:hAnsi="仿宋" w:eastAsia="仿宋"/>
          <w:color w:val="auto"/>
          <w:sz w:val="24"/>
          <w:highlight w:val="none"/>
        </w:rPr>
        <w:t>1年</w:t>
      </w:r>
      <w:r>
        <w:rPr>
          <w:rFonts w:hint="eastAsia" w:ascii="仿宋" w:hAnsi="仿宋" w:eastAsia="仿宋"/>
          <w:color w:val="auto"/>
          <w:sz w:val="24"/>
          <w:highlight w:val="none"/>
        </w:rPr>
        <w:t>期贷款市场报价利率；未作约定的，按照每日利率万分之五支付逾期利息。</w:t>
      </w:r>
    </w:p>
    <w:p>
      <w:pPr>
        <w:spacing w:line="560" w:lineRule="exact"/>
        <w:ind w:firstLine="480" w:firstLineChars="200"/>
        <w:outlineLvl w:val="0"/>
        <w:rPr>
          <w:rFonts w:ascii="仿宋" w:hAnsi="仿宋" w:eastAsia="仿宋"/>
          <w:color w:val="auto"/>
          <w:sz w:val="24"/>
          <w:highlight w:val="none"/>
        </w:rPr>
      </w:pPr>
      <w:r>
        <w:rPr>
          <w:rFonts w:ascii="仿宋" w:hAnsi="仿宋" w:eastAsia="仿宋"/>
          <w:color w:val="auto"/>
          <w:sz w:val="24"/>
          <w:highlight w:val="none"/>
        </w:rPr>
        <w:t>1.4.4资金支付的方式、时间和条件详见</w:t>
      </w:r>
      <w:r>
        <w:rPr>
          <w:rFonts w:hint="eastAsia" w:ascii="仿宋" w:hAnsi="仿宋" w:eastAsia="仿宋"/>
          <w:b/>
          <w:i/>
          <w:color w:val="auto"/>
          <w:sz w:val="24"/>
          <w:highlight w:val="none"/>
          <w:u w:val="single"/>
        </w:rPr>
        <w:t>合同专用条款</w:t>
      </w:r>
      <w:r>
        <w:rPr>
          <w:rFonts w:hint="eastAsia" w:ascii="仿宋" w:hAnsi="仿宋" w:eastAsia="仿宋"/>
          <w:color w:val="auto"/>
          <w:sz w:val="24"/>
          <w:highlight w:val="none"/>
        </w:rPr>
        <w:t>。</w:t>
      </w:r>
    </w:p>
    <w:p>
      <w:pPr>
        <w:spacing w:line="560" w:lineRule="exact"/>
        <w:ind w:firstLine="480" w:firstLineChars="200"/>
        <w:outlineLvl w:val="0"/>
        <w:rPr>
          <w:rFonts w:ascii="仿宋" w:hAnsi="仿宋" w:eastAsia="仿宋"/>
          <w:color w:val="auto"/>
          <w:sz w:val="24"/>
          <w:highlight w:val="none"/>
        </w:rPr>
      </w:pPr>
      <w:r>
        <w:rPr>
          <w:rFonts w:ascii="仿宋" w:hAnsi="仿宋" w:eastAsia="仿宋"/>
          <w:color w:val="auto"/>
          <w:sz w:val="24"/>
          <w:highlight w:val="none"/>
        </w:rPr>
        <w:t>1.4.5</w:t>
      </w:r>
      <w:r>
        <w:rPr>
          <w:rFonts w:hint="eastAsia" w:ascii="仿宋" w:hAnsi="仿宋" w:eastAsia="仿宋"/>
          <w:color w:val="auto"/>
          <w:sz w:val="24"/>
          <w:highlight w:val="none"/>
        </w:rPr>
        <w:t>乙方</w:t>
      </w:r>
      <w:r>
        <w:rPr>
          <w:rFonts w:ascii="仿宋" w:hAnsi="仿宋" w:eastAsia="仿宋"/>
          <w:color w:val="auto"/>
          <w:sz w:val="24"/>
          <w:highlight w:val="none"/>
        </w:rPr>
        <w:t>可以登录：http://czj.hangzhou.gov.cn/zfcg（杭州市政府采购网），在线发起付款申请和提交发票，并可以在线查询支付信息。具体操作指南可以查询该网站文件《杭州市财政局关于进一步加强政府采购信息公开优化营商环境的通知》（</w:t>
      </w:r>
      <w:r>
        <w:rPr>
          <w:rFonts w:hint="eastAsia" w:ascii="仿宋" w:hAnsi="仿宋" w:eastAsia="仿宋"/>
          <w:color w:val="auto"/>
          <w:sz w:val="24"/>
          <w:highlight w:val="none"/>
        </w:rPr>
        <w:t>杭财采监〔</w:t>
      </w:r>
      <w:r>
        <w:rPr>
          <w:rFonts w:ascii="仿宋" w:hAnsi="仿宋" w:eastAsia="仿宋"/>
          <w:color w:val="auto"/>
          <w:sz w:val="24"/>
          <w:highlight w:val="none"/>
        </w:rPr>
        <w:t>2021〕17号）。</w:t>
      </w:r>
    </w:p>
    <w:p>
      <w:pPr>
        <w:spacing w:line="560" w:lineRule="exact"/>
        <w:ind w:firstLine="482" w:firstLineChars="200"/>
        <w:outlineLvl w:val="0"/>
        <w:rPr>
          <w:rFonts w:ascii="仿宋" w:hAnsi="仿宋" w:eastAsia="仿宋"/>
          <w:b/>
          <w:color w:val="auto"/>
          <w:sz w:val="24"/>
          <w:highlight w:val="none"/>
        </w:rPr>
      </w:pPr>
      <w:bookmarkStart w:id="616" w:name="_Toc31421"/>
      <w:bookmarkStart w:id="617" w:name="_Toc3625"/>
      <w:bookmarkStart w:id="618" w:name="_Toc4760"/>
      <w:bookmarkStart w:id="619" w:name="_Toc8772"/>
      <w:bookmarkStart w:id="620" w:name="_Toc11108"/>
      <w:r>
        <w:rPr>
          <w:rFonts w:ascii="仿宋" w:hAnsi="仿宋" w:eastAsia="仿宋"/>
          <w:b/>
          <w:color w:val="auto"/>
          <w:sz w:val="24"/>
          <w:highlight w:val="none"/>
        </w:rPr>
        <w:t>1.5 履行期限</w:t>
      </w:r>
      <w:r>
        <w:rPr>
          <w:rFonts w:hint="eastAsia" w:ascii="仿宋" w:hAnsi="仿宋" w:eastAsia="仿宋"/>
          <w:b/>
          <w:color w:val="auto"/>
          <w:sz w:val="24"/>
          <w:highlight w:val="none"/>
        </w:rPr>
        <w:t>、地点和方式</w:t>
      </w:r>
      <w:bookmarkEnd w:id="616"/>
      <w:bookmarkEnd w:id="617"/>
      <w:bookmarkEnd w:id="618"/>
      <w:bookmarkEnd w:id="619"/>
      <w:bookmarkEnd w:id="620"/>
    </w:p>
    <w:p>
      <w:pPr>
        <w:spacing w:line="560" w:lineRule="exact"/>
        <w:ind w:firstLine="480" w:firstLineChars="200"/>
        <w:rPr>
          <w:rFonts w:ascii="仿宋" w:hAnsi="仿宋" w:eastAsia="仿宋"/>
          <w:color w:val="auto"/>
          <w:sz w:val="24"/>
          <w:highlight w:val="none"/>
          <w:u w:val="single"/>
        </w:rPr>
      </w:pPr>
      <w:r>
        <w:rPr>
          <w:rFonts w:ascii="仿宋" w:hAnsi="仿宋" w:eastAsia="仿宋"/>
          <w:color w:val="auto"/>
          <w:sz w:val="24"/>
          <w:highlight w:val="none"/>
        </w:rPr>
        <w:t xml:space="preserve">1.5.1 </w:t>
      </w:r>
      <w:r>
        <w:rPr>
          <w:rFonts w:hint="eastAsia" w:ascii="仿宋" w:hAnsi="仿宋" w:eastAsia="仿宋"/>
          <w:color w:val="auto"/>
          <w:sz w:val="24"/>
          <w:highlight w:val="none"/>
        </w:rPr>
        <w:t>履行期限</w:t>
      </w:r>
      <w:r>
        <w:rPr>
          <w:rFonts w:ascii="仿宋" w:hAnsi="仿宋" w:eastAsia="仿宋"/>
          <w:color w:val="auto"/>
          <w:sz w:val="24"/>
          <w:highlight w:val="none"/>
        </w:rPr>
        <w:t>：</w:t>
      </w:r>
      <w:r>
        <w:rPr>
          <w:rFonts w:hint="eastAsia" w:ascii="仿宋" w:hAnsi="仿宋" w:eastAsia="仿宋"/>
          <w:b/>
          <w:i/>
          <w:color w:val="auto"/>
          <w:sz w:val="24"/>
          <w:highlight w:val="none"/>
          <w:u w:val="single"/>
        </w:rPr>
        <w:t>合同专用条款</w:t>
      </w:r>
      <w:r>
        <w:rPr>
          <w:rFonts w:hint="eastAsia" w:ascii="仿宋" w:hAnsi="仿宋" w:eastAsia="仿宋"/>
          <w:color w:val="auto"/>
          <w:sz w:val="24"/>
          <w:highlight w:val="none"/>
        </w:rPr>
        <w:t>；</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1.5.2 </w:t>
      </w:r>
      <w:r>
        <w:rPr>
          <w:rFonts w:hint="eastAsia" w:ascii="仿宋" w:hAnsi="仿宋" w:eastAsia="仿宋"/>
          <w:color w:val="auto"/>
          <w:sz w:val="24"/>
          <w:highlight w:val="none"/>
        </w:rPr>
        <w:t>履行地点</w:t>
      </w:r>
      <w:r>
        <w:rPr>
          <w:rFonts w:ascii="仿宋" w:hAnsi="仿宋" w:eastAsia="仿宋"/>
          <w:color w:val="auto"/>
          <w:sz w:val="24"/>
          <w:highlight w:val="none"/>
        </w:rPr>
        <w:t>：</w:t>
      </w:r>
      <w:r>
        <w:rPr>
          <w:rFonts w:hint="eastAsia" w:ascii="仿宋" w:hAnsi="仿宋" w:eastAsia="仿宋"/>
          <w:b/>
          <w:i/>
          <w:color w:val="auto"/>
          <w:sz w:val="24"/>
          <w:highlight w:val="none"/>
          <w:u w:val="single"/>
        </w:rPr>
        <w:t>合同专用条款</w:t>
      </w:r>
      <w:r>
        <w:rPr>
          <w:rFonts w:hint="eastAsia" w:ascii="仿宋" w:hAnsi="仿宋" w:eastAsia="仿宋"/>
          <w:color w:val="auto"/>
          <w:sz w:val="24"/>
          <w:highlight w:val="none"/>
        </w:rPr>
        <w:t>；</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1.5.3 </w:t>
      </w:r>
      <w:r>
        <w:rPr>
          <w:rFonts w:hint="eastAsia" w:ascii="仿宋" w:hAnsi="仿宋" w:eastAsia="仿宋"/>
          <w:color w:val="auto"/>
          <w:sz w:val="24"/>
          <w:highlight w:val="none"/>
        </w:rPr>
        <w:t>履行方式：</w:t>
      </w:r>
      <w:r>
        <w:rPr>
          <w:rFonts w:hint="eastAsia" w:ascii="仿宋" w:hAnsi="仿宋" w:eastAsia="仿宋"/>
          <w:b/>
          <w:i/>
          <w:color w:val="auto"/>
          <w:sz w:val="24"/>
          <w:highlight w:val="none"/>
          <w:u w:val="single"/>
        </w:rPr>
        <w:t>合同专用条款</w:t>
      </w:r>
      <w:r>
        <w:rPr>
          <w:rFonts w:hint="eastAsia" w:ascii="仿宋" w:hAnsi="仿宋" w:eastAsia="仿宋"/>
          <w:color w:val="auto"/>
          <w:sz w:val="24"/>
          <w:highlight w:val="none"/>
        </w:rPr>
        <w:t>。</w:t>
      </w:r>
    </w:p>
    <w:p>
      <w:pPr>
        <w:spacing w:line="560" w:lineRule="exact"/>
        <w:ind w:firstLine="482" w:firstLineChars="200"/>
        <w:outlineLvl w:val="0"/>
        <w:rPr>
          <w:rFonts w:ascii="仿宋" w:hAnsi="仿宋" w:eastAsia="仿宋"/>
          <w:color w:val="auto"/>
          <w:sz w:val="24"/>
          <w:highlight w:val="none"/>
          <w:u w:val="single"/>
        </w:rPr>
      </w:pPr>
      <w:bookmarkStart w:id="621" w:name="_Toc24662"/>
      <w:bookmarkStart w:id="622" w:name="_Toc3079"/>
      <w:bookmarkStart w:id="623" w:name="_Toc2375"/>
      <w:bookmarkStart w:id="624" w:name="_Toc8586"/>
      <w:bookmarkStart w:id="625" w:name="_Toc5698"/>
      <w:r>
        <w:rPr>
          <w:rFonts w:ascii="仿宋" w:hAnsi="仿宋" w:eastAsia="仿宋"/>
          <w:b/>
          <w:color w:val="auto"/>
          <w:sz w:val="24"/>
          <w:highlight w:val="none"/>
        </w:rPr>
        <w:t xml:space="preserve">1.6 </w:t>
      </w:r>
      <w:r>
        <w:rPr>
          <w:rFonts w:hint="eastAsia" w:ascii="仿宋" w:hAnsi="仿宋" w:eastAsia="仿宋"/>
          <w:b/>
          <w:color w:val="auto"/>
          <w:sz w:val="24"/>
          <w:highlight w:val="none"/>
        </w:rPr>
        <w:t>违约责任</w:t>
      </w:r>
      <w:bookmarkEnd w:id="621"/>
      <w:bookmarkEnd w:id="622"/>
      <w:bookmarkEnd w:id="623"/>
      <w:bookmarkEnd w:id="624"/>
      <w:bookmarkEnd w:id="625"/>
    </w:p>
    <w:p>
      <w:pPr>
        <w:spacing w:line="560" w:lineRule="exact"/>
        <w:ind w:firstLine="480" w:firstLineChars="200"/>
        <w:rPr>
          <w:rFonts w:ascii="仿宋" w:hAnsi="仿宋" w:eastAsia="仿宋"/>
          <w:color w:val="auto"/>
          <w:sz w:val="24"/>
          <w:highlight w:val="none"/>
        </w:rPr>
      </w:pPr>
      <w:bookmarkStart w:id="626" w:name="_Hlk120831355"/>
      <w:r>
        <w:rPr>
          <w:rFonts w:ascii="仿宋" w:hAnsi="仿宋" w:eastAsia="仿宋"/>
          <w:color w:val="auto"/>
          <w:sz w:val="24"/>
          <w:highlight w:val="none"/>
        </w:rPr>
        <w:t>1.6.1 除不可抗力外，如果乙方没有按照本合同约定的期限</w:t>
      </w:r>
      <w:r>
        <w:rPr>
          <w:rFonts w:hint="eastAsia" w:ascii="仿宋" w:hAnsi="仿宋" w:eastAsia="仿宋"/>
          <w:color w:val="auto"/>
          <w:sz w:val="24"/>
          <w:highlight w:val="none"/>
        </w:rPr>
        <w:t>、</w:t>
      </w:r>
      <w:r>
        <w:rPr>
          <w:rFonts w:ascii="仿宋" w:hAnsi="仿宋" w:eastAsia="仿宋"/>
          <w:color w:val="auto"/>
          <w:sz w:val="24"/>
          <w:highlight w:val="none"/>
        </w:rPr>
        <w:t>地点和方式</w:t>
      </w:r>
      <w:r>
        <w:rPr>
          <w:rFonts w:hint="eastAsia" w:ascii="仿宋" w:hAnsi="仿宋" w:eastAsia="仿宋"/>
          <w:color w:val="auto"/>
          <w:sz w:val="24"/>
          <w:highlight w:val="none"/>
        </w:rPr>
        <w:t>履行</w:t>
      </w:r>
      <w:r>
        <w:rPr>
          <w:rFonts w:ascii="仿宋" w:hAnsi="仿宋" w:eastAsia="仿宋"/>
          <w:color w:val="auto"/>
          <w:sz w:val="24"/>
          <w:highlight w:val="none"/>
        </w:rPr>
        <w:t>，那么甲方可要求乙方支付违约金</w:t>
      </w:r>
      <w:r>
        <w:rPr>
          <w:rFonts w:hint="eastAsia" w:ascii="仿宋" w:hAnsi="仿宋" w:eastAsia="仿宋"/>
          <w:color w:val="auto"/>
          <w:sz w:val="24"/>
          <w:highlight w:val="none"/>
        </w:rPr>
        <w:t>，</w:t>
      </w:r>
      <w:r>
        <w:rPr>
          <w:rFonts w:ascii="仿宋" w:hAnsi="仿宋" w:eastAsia="仿宋"/>
          <w:color w:val="auto"/>
          <w:sz w:val="24"/>
          <w:highlight w:val="none"/>
        </w:rPr>
        <w:t>违约金按每迟延</w:t>
      </w:r>
      <w:r>
        <w:rPr>
          <w:rFonts w:hint="eastAsia" w:ascii="仿宋" w:hAnsi="仿宋" w:eastAsia="仿宋"/>
          <w:color w:val="auto"/>
          <w:sz w:val="24"/>
          <w:highlight w:val="none"/>
        </w:rPr>
        <w:t>履行</w:t>
      </w:r>
      <w:r>
        <w:rPr>
          <w:rFonts w:ascii="仿宋" w:hAnsi="仿宋" w:eastAsia="仿宋"/>
          <w:color w:val="auto"/>
          <w:sz w:val="24"/>
          <w:highlight w:val="none"/>
        </w:rPr>
        <w:t>一日的应提供而未</w:t>
      </w:r>
      <w:r>
        <w:rPr>
          <w:rFonts w:hint="eastAsia" w:ascii="仿宋" w:hAnsi="仿宋" w:eastAsia="仿宋"/>
          <w:color w:val="auto"/>
          <w:sz w:val="24"/>
          <w:highlight w:val="none"/>
        </w:rPr>
        <w:t>提供</w:t>
      </w:r>
      <w:r>
        <w:rPr>
          <w:rFonts w:ascii="仿宋" w:hAnsi="仿宋" w:eastAsia="仿宋"/>
          <w:color w:val="auto"/>
          <w:sz w:val="24"/>
          <w:highlight w:val="none"/>
        </w:rPr>
        <w:t>服务价格的</w:t>
      </w:r>
      <w:r>
        <w:rPr>
          <w:rFonts w:ascii="仿宋" w:hAnsi="仿宋" w:eastAsia="仿宋"/>
          <w:color w:val="auto"/>
          <w:sz w:val="24"/>
          <w:highlight w:val="none"/>
          <w:u w:val="single"/>
        </w:rPr>
        <w:t xml:space="preserve"> 0.05   </w:t>
      </w:r>
      <w:r>
        <w:rPr>
          <w:rFonts w:ascii="仿宋" w:hAnsi="仿宋" w:eastAsia="仿宋"/>
          <w:color w:val="auto"/>
          <w:sz w:val="24"/>
          <w:highlight w:val="none"/>
        </w:rPr>
        <w:t>%计算</w:t>
      </w:r>
      <w:r>
        <w:rPr>
          <w:rFonts w:hint="eastAsia" w:ascii="仿宋" w:hAnsi="仿宋" w:eastAsia="仿宋"/>
          <w:color w:val="auto"/>
          <w:sz w:val="24"/>
          <w:highlight w:val="none"/>
        </w:rPr>
        <w:t>，</w:t>
      </w:r>
      <w:r>
        <w:rPr>
          <w:rFonts w:ascii="仿宋" w:hAnsi="仿宋" w:eastAsia="仿宋"/>
          <w:color w:val="auto"/>
          <w:sz w:val="24"/>
          <w:highlight w:val="none"/>
        </w:rPr>
        <w:t>最高限额为</w:t>
      </w:r>
      <w:r>
        <w:rPr>
          <w:rFonts w:hint="eastAsia" w:ascii="仿宋" w:hAnsi="仿宋" w:eastAsia="仿宋"/>
          <w:color w:val="auto"/>
          <w:sz w:val="24"/>
          <w:highlight w:val="none"/>
        </w:rPr>
        <w:t>本</w:t>
      </w:r>
      <w:r>
        <w:rPr>
          <w:rFonts w:ascii="仿宋" w:hAnsi="仿宋" w:eastAsia="仿宋"/>
          <w:color w:val="auto"/>
          <w:sz w:val="24"/>
          <w:highlight w:val="none"/>
        </w:rPr>
        <w:t>合同总价的</w:t>
      </w:r>
      <w:r>
        <w:rPr>
          <w:rFonts w:ascii="仿宋" w:hAnsi="仿宋" w:eastAsia="仿宋"/>
          <w:color w:val="auto"/>
          <w:sz w:val="24"/>
          <w:highlight w:val="none"/>
          <w:u w:val="single"/>
        </w:rPr>
        <w:t xml:space="preserve">  20   </w:t>
      </w:r>
      <w:r>
        <w:rPr>
          <w:rFonts w:ascii="仿宋" w:hAnsi="仿宋" w:eastAsia="仿宋"/>
          <w:color w:val="auto"/>
          <w:sz w:val="24"/>
          <w:highlight w:val="none"/>
        </w:rPr>
        <w:t>%</w:t>
      </w:r>
      <w:r>
        <w:rPr>
          <w:rFonts w:hint="eastAsia" w:ascii="仿宋" w:hAnsi="仿宋" w:eastAsia="仿宋"/>
          <w:color w:val="auto"/>
          <w:sz w:val="24"/>
          <w:highlight w:val="none"/>
        </w:rPr>
        <w:t>；</w:t>
      </w:r>
      <w:r>
        <w:rPr>
          <w:rFonts w:ascii="仿宋" w:hAnsi="仿宋" w:eastAsia="仿宋"/>
          <w:color w:val="auto"/>
          <w:sz w:val="24"/>
          <w:highlight w:val="none"/>
        </w:rPr>
        <w:t>迟延</w:t>
      </w:r>
      <w:r>
        <w:rPr>
          <w:rFonts w:hint="eastAsia" w:ascii="仿宋" w:hAnsi="仿宋" w:eastAsia="仿宋"/>
          <w:color w:val="auto"/>
          <w:sz w:val="24"/>
          <w:highlight w:val="none"/>
        </w:rPr>
        <w:t>履行</w:t>
      </w:r>
      <w:r>
        <w:rPr>
          <w:rFonts w:ascii="仿宋" w:hAnsi="仿宋" w:eastAsia="仿宋"/>
          <w:color w:val="auto"/>
          <w:sz w:val="24"/>
          <w:highlight w:val="none"/>
        </w:rPr>
        <w:t>的违约金计算数额达到前述最高限额之日起</w:t>
      </w:r>
      <w:r>
        <w:rPr>
          <w:rFonts w:hint="eastAsia" w:ascii="仿宋" w:hAnsi="仿宋" w:eastAsia="仿宋"/>
          <w:color w:val="auto"/>
          <w:sz w:val="24"/>
          <w:highlight w:val="none"/>
        </w:rPr>
        <w:t>，</w:t>
      </w:r>
      <w:r>
        <w:rPr>
          <w:rFonts w:ascii="仿宋" w:hAnsi="仿宋" w:eastAsia="仿宋"/>
          <w:color w:val="auto"/>
          <w:sz w:val="24"/>
          <w:highlight w:val="none"/>
        </w:rPr>
        <w:t>甲方有权在要求乙方支付违约金的同时</w:t>
      </w:r>
      <w:r>
        <w:rPr>
          <w:rFonts w:hint="eastAsia" w:ascii="仿宋" w:hAnsi="仿宋" w:eastAsia="仿宋"/>
          <w:color w:val="auto"/>
          <w:sz w:val="24"/>
          <w:highlight w:val="none"/>
        </w:rPr>
        <w:t>，书面通知乙方</w:t>
      </w:r>
      <w:r>
        <w:rPr>
          <w:rFonts w:ascii="仿宋" w:hAnsi="仿宋" w:eastAsia="仿宋"/>
          <w:color w:val="auto"/>
          <w:sz w:val="24"/>
          <w:highlight w:val="none"/>
        </w:rPr>
        <w:t>解除本合同</w:t>
      </w:r>
      <w:r>
        <w:rPr>
          <w:rFonts w:hint="eastAsia" w:ascii="仿宋" w:hAnsi="仿宋" w:eastAsia="仿宋"/>
          <w:color w:val="auto"/>
          <w:sz w:val="24"/>
          <w:highlight w:val="none"/>
        </w:rPr>
        <w:t>；</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1.6.2 除不可抗力外，如果甲方没有按照本合同约定的付款方式付款，那么乙方可要求甲方支付违约金</w:t>
      </w:r>
      <w:r>
        <w:rPr>
          <w:rFonts w:hint="eastAsia" w:ascii="仿宋" w:hAnsi="仿宋" w:eastAsia="仿宋"/>
          <w:color w:val="auto"/>
          <w:sz w:val="24"/>
          <w:highlight w:val="none"/>
        </w:rPr>
        <w:t>，</w:t>
      </w:r>
      <w:r>
        <w:rPr>
          <w:rFonts w:ascii="仿宋" w:hAnsi="仿宋" w:eastAsia="仿宋"/>
          <w:color w:val="auto"/>
          <w:sz w:val="24"/>
          <w:highlight w:val="none"/>
        </w:rPr>
        <w:t>违约金按每迟延</w:t>
      </w:r>
      <w:r>
        <w:rPr>
          <w:rFonts w:hint="eastAsia" w:ascii="仿宋" w:hAnsi="仿宋" w:eastAsia="仿宋"/>
          <w:color w:val="auto"/>
          <w:sz w:val="24"/>
          <w:highlight w:val="none"/>
        </w:rPr>
        <w:t>付款</w:t>
      </w:r>
      <w:r>
        <w:rPr>
          <w:rFonts w:ascii="仿宋" w:hAnsi="仿宋" w:eastAsia="仿宋"/>
          <w:color w:val="auto"/>
          <w:sz w:val="24"/>
          <w:highlight w:val="none"/>
        </w:rPr>
        <w:t>一日的应付而未付款的</w:t>
      </w:r>
      <w:r>
        <w:rPr>
          <w:rFonts w:ascii="仿宋" w:hAnsi="仿宋" w:eastAsia="仿宋"/>
          <w:color w:val="auto"/>
          <w:sz w:val="24"/>
          <w:highlight w:val="none"/>
          <w:u w:val="single"/>
        </w:rPr>
        <w:t xml:space="preserve"> 0.05   </w:t>
      </w:r>
      <w:r>
        <w:rPr>
          <w:rFonts w:ascii="仿宋" w:hAnsi="仿宋" w:eastAsia="仿宋"/>
          <w:color w:val="auto"/>
          <w:sz w:val="24"/>
          <w:highlight w:val="none"/>
        </w:rPr>
        <w:t>%计算</w:t>
      </w:r>
      <w:r>
        <w:rPr>
          <w:rFonts w:hint="eastAsia" w:ascii="仿宋" w:hAnsi="仿宋" w:eastAsia="仿宋"/>
          <w:color w:val="auto"/>
          <w:sz w:val="24"/>
          <w:highlight w:val="none"/>
        </w:rPr>
        <w:t>，</w:t>
      </w:r>
      <w:r>
        <w:rPr>
          <w:rFonts w:ascii="仿宋" w:hAnsi="仿宋" w:eastAsia="仿宋"/>
          <w:color w:val="auto"/>
          <w:sz w:val="24"/>
          <w:highlight w:val="none"/>
        </w:rPr>
        <w:t>最高限额为</w:t>
      </w:r>
      <w:r>
        <w:rPr>
          <w:rFonts w:hint="eastAsia" w:ascii="仿宋" w:hAnsi="仿宋" w:eastAsia="仿宋"/>
          <w:color w:val="auto"/>
          <w:sz w:val="24"/>
          <w:highlight w:val="none"/>
        </w:rPr>
        <w:t>本</w:t>
      </w:r>
      <w:r>
        <w:rPr>
          <w:rFonts w:ascii="仿宋" w:hAnsi="仿宋" w:eastAsia="仿宋"/>
          <w:color w:val="auto"/>
          <w:sz w:val="24"/>
          <w:highlight w:val="none"/>
        </w:rPr>
        <w:t>合同总价的</w:t>
      </w:r>
      <w:r>
        <w:rPr>
          <w:rFonts w:ascii="仿宋" w:hAnsi="仿宋" w:eastAsia="仿宋"/>
          <w:color w:val="auto"/>
          <w:sz w:val="24"/>
          <w:highlight w:val="none"/>
          <w:u w:val="single"/>
        </w:rPr>
        <w:t xml:space="preserve">  20   </w:t>
      </w:r>
      <w:r>
        <w:rPr>
          <w:rFonts w:ascii="仿宋" w:hAnsi="仿宋" w:eastAsia="仿宋"/>
          <w:color w:val="auto"/>
          <w:sz w:val="24"/>
          <w:highlight w:val="none"/>
        </w:rPr>
        <w:t>%</w:t>
      </w:r>
      <w:r>
        <w:rPr>
          <w:rFonts w:hint="eastAsia" w:ascii="仿宋" w:hAnsi="仿宋" w:eastAsia="仿宋"/>
          <w:color w:val="auto"/>
          <w:sz w:val="24"/>
          <w:highlight w:val="none"/>
        </w:rPr>
        <w:t>；</w:t>
      </w:r>
      <w:r>
        <w:rPr>
          <w:rFonts w:ascii="仿宋" w:hAnsi="仿宋" w:eastAsia="仿宋"/>
          <w:color w:val="auto"/>
          <w:sz w:val="24"/>
          <w:highlight w:val="none"/>
        </w:rPr>
        <w:t>迟延</w:t>
      </w:r>
      <w:r>
        <w:rPr>
          <w:rFonts w:hint="eastAsia" w:ascii="仿宋" w:hAnsi="仿宋" w:eastAsia="仿宋"/>
          <w:color w:val="auto"/>
          <w:sz w:val="24"/>
          <w:highlight w:val="none"/>
        </w:rPr>
        <w:t>付款</w:t>
      </w:r>
      <w:r>
        <w:rPr>
          <w:rFonts w:ascii="仿宋" w:hAnsi="仿宋" w:eastAsia="仿宋"/>
          <w:color w:val="auto"/>
          <w:sz w:val="24"/>
          <w:highlight w:val="none"/>
        </w:rPr>
        <w:t>的违约金计算数额达到前述最高限额之日起</w:t>
      </w:r>
      <w:r>
        <w:rPr>
          <w:rFonts w:hint="eastAsia" w:ascii="仿宋" w:hAnsi="仿宋" w:eastAsia="仿宋"/>
          <w:color w:val="auto"/>
          <w:sz w:val="24"/>
          <w:highlight w:val="none"/>
        </w:rPr>
        <w:t>，乙</w:t>
      </w:r>
      <w:r>
        <w:rPr>
          <w:rFonts w:ascii="仿宋" w:hAnsi="仿宋" w:eastAsia="仿宋"/>
          <w:color w:val="auto"/>
          <w:sz w:val="24"/>
          <w:highlight w:val="none"/>
        </w:rPr>
        <w:t>方有权在要求甲方支付违约金的同时</w:t>
      </w:r>
      <w:r>
        <w:rPr>
          <w:rFonts w:hint="eastAsia" w:ascii="仿宋" w:hAnsi="仿宋" w:eastAsia="仿宋"/>
          <w:color w:val="auto"/>
          <w:sz w:val="24"/>
          <w:highlight w:val="none"/>
        </w:rPr>
        <w:t>，书面通知甲方</w:t>
      </w:r>
      <w:r>
        <w:rPr>
          <w:rFonts w:ascii="仿宋" w:hAnsi="仿宋" w:eastAsia="仿宋"/>
          <w:color w:val="auto"/>
          <w:sz w:val="24"/>
          <w:highlight w:val="none"/>
        </w:rPr>
        <w:t>解除本合同</w:t>
      </w:r>
      <w:r>
        <w:rPr>
          <w:rFonts w:hint="eastAsia" w:ascii="仿宋" w:hAnsi="仿宋" w:eastAsia="仿宋"/>
          <w:color w:val="auto"/>
          <w:sz w:val="24"/>
          <w:highlight w:val="none"/>
        </w:rPr>
        <w:t>；</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1.6.3 </w:t>
      </w:r>
      <w:r>
        <w:rPr>
          <w:rFonts w:hint="eastAsia" w:ascii="仿宋" w:hAnsi="仿宋" w:eastAsia="仿宋"/>
          <w:color w:val="auto"/>
          <w:sz w:val="24"/>
          <w:highlight w:val="none"/>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来影响对方当事人在合同签订、履行过程中的行为）或者欺诈行为（即：以谎报事实或隐瞒真相的方法来影响对方当事人在合同签订、履行过程中的行为）的，对方当事人可以书面通知违约方解除本合同；</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1.6.4 </w:t>
      </w:r>
      <w:r>
        <w:rPr>
          <w:rFonts w:hint="eastAsia" w:ascii="仿宋" w:hAnsi="仿宋" w:eastAsia="仿宋"/>
          <w:color w:val="auto"/>
          <w:sz w:val="24"/>
          <w:highlight w:val="none"/>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1.6.5 </w:t>
      </w:r>
      <w:r>
        <w:rPr>
          <w:rFonts w:hint="eastAsia" w:ascii="仿宋" w:hAnsi="仿宋" w:eastAsia="仿宋"/>
          <w:color w:val="auto"/>
          <w:sz w:val="24"/>
          <w:highlight w:val="none"/>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1.6.6 </w:t>
      </w:r>
      <w:r>
        <w:rPr>
          <w:rFonts w:hint="eastAsia" w:ascii="仿宋" w:hAnsi="仿宋" w:eastAsia="仿宋"/>
          <w:color w:val="auto"/>
          <w:sz w:val="24"/>
          <w:highlight w:val="none"/>
        </w:rPr>
        <w:t>如果出现政府采购监督管理部门在处理投诉事项期间，书面通知甲方暂停采购活动的情形，或者询问或质疑事项可能影响中标结果的，导致甲方中止履行合同的情形，均不视为甲方违约；</w:t>
      </w:r>
    </w:p>
    <w:bookmarkEnd w:id="626"/>
    <w:p>
      <w:pPr>
        <w:spacing w:line="560" w:lineRule="exact"/>
        <w:ind w:left="-420" w:leftChars="-200" w:right="-420" w:rightChars="-200" w:firstLine="720" w:firstLineChars="300"/>
        <w:rPr>
          <w:rFonts w:ascii="仿宋" w:hAnsi="仿宋" w:eastAsia="仿宋"/>
          <w:color w:val="auto"/>
          <w:highlight w:val="none"/>
        </w:rPr>
      </w:pPr>
      <w:r>
        <w:rPr>
          <w:rFonts w:ascii="仿宋" w:hAnsi="仿宋" w:eastAsia="仿宋"/>
          <w:color w:val="auto"/>
          <w:sz w:val="24"/>
          <w:highlight w:val="none"/>
        </w:rPr>
        <w:t>1.6.7违约责任</w:t>
      </w:r>
      <w:r>
        <w:rPr>
          <w:rFonts w:hint="eastAsia" w:ascii="仿宋" w:hAnsi="仿宋" w:eastAsia="仿宋"/>
          <w:b/>
          <w:i/>
          <w:color w:val="auto"/>
          <w:sz w:val="24"/>
          <w:highlight w:val="none"/>
          <w:u w:val="single"/>
        </w:rPr>
        <w:t>合同专用条款</w:t>
      </w:r>
      <w:r>
        <w:rPr>
          <w:rFonts w:hint="eastAsia" w:ascii="仿宋" w:hAnsi="仿宋" w:eastAsia="仿宋"/>
          <w:color w:val="auto"/>
          <w:sz w:val="24"/>
          <w:highlight w:val="none"/>
        </w:rPr>
        <w:t>另有约定的，从其约定。</w:t>
      </w:r>
    </w:p>
    <w:p>
      <w:pPr>
        <w:spacing w:line="560" w:lineRule="exact"/>
        <w:ind w:firstLine="482" w:firstLineChars="200"/>
        <w:outlineLvl w:val="0"/>
        <w:rPr>
          <w:rFonts w:ascii="仿宋" w:hAnsi="仿宋" w:eastAsia="仿宋"/>
          <w:b/>
          <w:color w:val="auto"/>
          <w:sz w:val="24"/>
          <w:highlight w:val="none"/>
        </w:rPr>
      </w:pPr>
      <w:bookmarkStart w:id="627" w:name="_Toc26807"/>
      <w:bookmarkStart w:id="628" w:name="_Toc32454"/>
      <w:bookmarkStart w:id="629" w:name="_Toc30329"/>
      <w:bookmarkStart w:id="630" w:name="_Toc18683"/>
      <w:bookmarkStart w:id="631" w:name="_Toc9497"/>
      <w:r>
        <w:rPr>
          <w:rFonts w:ascii="仿宋" w:hAnsi="仿宋" w:eastAsia="仿宋"/>
          <w:b/>
          <w:color w:val="auto"/>
          <w:sz w:val="24"/>
          <w:highlight w:val="none"/>
        </w:rPr>
        <w:t xml:space="preserve">1.7 </w:t>
      </w:r>
      <w:r>
        <w:rPr>
          <w:rFonts w:hint="eastAsia" w:ascii="仿宋" w:hAnsi="仿宋" w:eastAsia="仿宋"/>
          <w:b/>
          <w:color w:val="auto"/>
          <w:sz w:val="24"/>
          <w:highlight w:val="none"/>
        </w:rPr>
        <w:t>合同</w:t>
      </w:r>
      <w:r>
        <w:rPr>
          <w:rFonts w:ascii="仿宋" w:hAnsi="仿宋" w:eastAsia="仿宋"/>
          <w:b/>
          <w:color w:val="auto"/>
          <w:sz w:val="24"/>
          <w:highlight w:val="none"/>
        </w:rPr>
        <w:t>争议的解决</w:t>
      </w:r>
      <w:bookmarkEnd w:id="627"/>
      <w:bookmarkEnd w:id="628"/>
      <w:bookmarkEnd w:id="629"/>
      <w:bookmarkEnd w:id="630"/>
      <w:bookmarkEnd w:id="631"/>
    </w:p>
    <w:p>
      <w:pPr>
        <w:spacing w:line="560" w:lineRule="exact"/>
        <w:ind w:left="-61" w:leftChars="-29" w:right="-420" w:rightChars="-200" w:firstLine="240" w:firstLineChars="100"/>
        <w:rPr>
          <w:rFonts w:ascii="仿宋" w:hAnsi="仿宋" w:eastAsia="仿宋"/>
          <w:color w:val="auto"/>
          <w:sz w:val="24"/>
          <w:highlight w:val="none"/>
        </w:rPr>
      </w:pPr>
      <w:r>
        <w:rPr>
          <w:rFonts w:hint="eastAsia" w:ascii="仿宋" w:hAnsi="仿宋" w:eastAsia="仿宋"/>
          <w:color w:val="auto"/>
          <w:sz w:val="24"/>
          <w:highlight w:val="none"/>
        </w:rPr>
        <w:t>本合同履行过程中发生的任何争议，双方当事人均可通过和解或者调解解决；不愿和解、调解或者和解、调解不成的，可以选择以下第</w:t>
      </w:r>
      <w:r>
        <w:rPr>
          <w:rFonts w:ascii="仿宋" w:hAnsi="仿宋" w:eastAsia="仿宋"/>
          <w:b/>
          <w:i/>
          <w:color w:val="auto"/>
          <w:sz w:val="24"/>
          <w:highlight w:val="none"/>
          <w:u w:val="single"/>
        </w:rPr>
        <w:t xml:space="preserve"> 合同专用条款  </w:t>
      </w:r>
      <w:r>
        <w:rPr>
          <w:rFonts w:hint="eastAsia" w:ascii="仿宋" w:hAnsi="仿宋" w:eastAsia="仿宋"/>
          <w:color w:val="auto"/>
          <w:sz w:val="24"/>
          <w:highlight w:val="none"/>
        </w:rPr>
        <w:t>条款规定的方式解决：</w:t>
      </w:r>
    </w:p>
    <w:p>
      <w:pPr>
        <w:spacing w:line="560" w:lineRule="exact"/>
        <w:ind w:left="-420" w:leftChars="-200" w:right="-420" w:rightChars="-200" w:firstLine="600" w:firstLineChars="250"/>
        <w:rPr>
          <w:rFonts w:ascii="仿宋" w:hAnsi="仿宋" w:eastAsia="仿宋"/>
          <w:color w:val="auto"/>
          <w:sz w:val="24"/>
          <w:highlight w:val="none"/>
        </w:rPr>
      </w:pPr>
      <w:r>
        <w:rPr>
          <w:rFonts w:ascii="仿宋" w:hAnsi="仿宋" w:eastAsia="仿宋"/>
          <w:color w:val="auto"/>
          <w:sz w:val="24"/>
          <w:highlight w:val="none"/>
        </w:rPr>
        <w:t xml:space="preserve">1.7.1 </w:t>
      </w:r>
      <w:r>
        <w:rPr>
          <w:rFonts w:hint="eastAsia" w:ascii="仿宋" w:hAnsi="仿宋" w:eastAsia="仿宋"/>
          <w:color w:val="auto"/>
          <w:sz w:val="24"/>
          <w:highlight w:val="none"/>
        </w:rPr>
        <w:t>将争议提交</w:t>
      </w:r>
      <w:r>
        <w:rPr>
          <w:rFonts w:hint="eastAsia" w:ascii="仿宋" w:hAnsi="仿宋" w:eastAsia="仿宋"/>
          <w:b/>
          <w:i/>
          <w:color w:val="auto"/>
          <w:sz w:val="24"/>
          <w:highlight w:val="none"/>
          <w:u w:val="single"/>
        </w:rPr>
        <w:t>合同专用条款</w:t>
      </w:r>
      <w:r>
        <w:rPr>
          <w:rFonts w:hint="eastAsia" w:ascii="仿宋" w:hAnsi="仿宋" w:eastAsia="仿宋"/>
          <w:color w:val="auto"/>
          <w:sz w:val="24"/>
          <w:highlight w:val="none"/>
        </w:rPr>
        <w:t>仲裁委员会依申请仲裁时其现行有效的仲裁规则裁决；</w:t>
      </w:r>
    </w:p>
    <w:p>
      <w:pPr>
        <w:spacing w:line="560" w:lineRule="exact"/>
        <w:ind w:left="-420" w:leftChars="-200" w:right="-420" w:rightChars="-200" w:firstLine="600" w:firstLineChars="250"/>
        <w:rPr>
          <w:rFonts w:ascii="仿宋" w:hAnsi="仿宋" w:eastAsia="仿宋"/>
          <w:color w:val="auto"/>
          <w:sz w:val="24"/>
          <w:highlight w:val="none"/>
        </w:rPr>
      </w:pPr>
      <w:r>
        <w:rPr>
          <w:rFonts w:ascii="仿宋" w:hAnsi="仿宋" w:eastAsia="仿宋"/>
          <w:color w:val="auto"/>
          <w:sz w:val="24"/>
          <w:highlight w:val="none"/>
        </w:rPr>
        <w:t xml:space="preserve">1.7.2 </w:t>
      </w:r>
      <w:r>
        <w:rPr>
          <w:rFonts w:hint="eastAsia" w:ascii="仿宋" w:hAnsi="仿宋" w:eastAsia="仿宋"/>
          <w:color w:val="auto"/>
          <w:sz w:val="24"/>
          <w:highlight w:val="none"/>
        </w:rPr>
        <w:t>向</w:t>
      </w:r>
      <w:r>
        <w:rPr>
          <w:rFonts w:hint="eastAsia" w:ascii="仿宋" w:hAnsi="仿宋" w:eastAsia="仿宋"/>
          <w:b/>
          <w:i/>
          <w:color w:val="auto"/>
          <w:sz w:val="24"/>
          <w:highlight w:val="none"/>
          <w:u w:val="single"/>
        </w:rPr>
        <w:t>合同专用条款</w:t>
      </w:r>
      <w:r>
        <w:rPr>
          <w:rFonts w:hint="eastAsia" w:ascii="仿宋" w:hAnsi="仿宋" w:eastAsia="仿宋"/>
          <w:color w:val="auto"/>
          <w:sz w:val="24"/>
          <w:highlight w:val="none"/>
        </w:rPr>
        <w:t>人民法院起诉。</w:t>
      </w:r>
    </w:p>
    <w:p>
      <w:pPr>
        <w:spacing w:line="560" w:lineRule="exact"/>
        <w:ind w:firstLine="241" w:firstLineChars="100"/>
        <w:outlineLvl w:val="0"/>
        <w:rPr>
          <w:rFonts w:ascii="仿宋" w:hAnsi="仿宋" w:eastAsia="仿宋"/>
          <w:b/>
          <w:color w:val="auto"/>
          <w:sz w:val="24"/>
          <w:highlight w:val="none"/>
        </w:rPr>
      </w:pPr>
      <w:bookmarkStart w:id="632" w:name="_Toc12273"/>
      <w:bookmarkStart w:id="633" w:name="_Toc23784"/>
      <w:bookmarkStart w:id="634" w:name="_Toc26227"/>
      <w:bookmarkStart w:id="635" w:name="_Toc16417"/>
      <w:bookmarkStart w:id="636" w:name="_Toc15827"/>
      <w:r>
        <w:rPr>
          <w:rFonts w:ascii="仿宋" w:hAnsi="仿宋" w:eastAsia="仿宋"/>
          <w:b/>
          <w:color w:val="auto"/>
          <w:sz w:val="24"/>
          <w:highlight w:val="none"/>
        </w:rPr>
        <w:t>1.8 合同生效</w:t>
      </w:r>
      <w:bookmarkEnd w:id="632"/>
      <w:bookmarkEnd w:id="633"/>
      <w:bookmarkEnd w:id="634"/>
      <w:bookmarkEnd w:id="635"/>
      <w:bookmarkEnd w:id="636"/>
    </w:p>
    <w:p>
      <w:pPr>
        <w:spacing w:line="560" w:lineRule="exact"/>
        <w:ind w:firstLine="480" w:firstLineChars="200"/>
        <w:rPr>
          <w:rFonts w:ascii="仿宋" w:hAnsi="仿宋" w:eastAsia="仿宋"/>
          <w:b/>
          <w:color w:val="auto"/>
          <w:sz w:val="24"/>
          <w:highlight w:val="none"/>
        </w:rPr>
      </w:pPr>
      <w:r>
        <w:rPr>
          <w:rFonts w:ascii="仿宋" w:hAnsi="仿宋" w:eastAsia="仿宋"/>
          <w:color w:val="auto"/>
          <w:sz w:val="24"/>
          <w:highlight w:val="none"/>
        </w:rPr>
        <w:t>本合同自</w:t>
      </w:r>
      <w:r>
        <w:rPr>
          <w:rFonts w:hint="eastAsia" w:ascii="仿宋" w:hAnsi="仿宋" w:eastAsia="仿宋"/>
          <w:color w:val="auto"/>
          <w:sz w:val="24"/>
          <w:highlight w:val="none"/>
        </w:rPr>
        <w:t>双方当事人盖章或者签字时</w:t>
      </w:r>
      <w:r>
        <w:rPr>
          <w:rFonts w:ascii="仿宋" w:hAnsi="仿宋" w:eastAsia="仿宋"/>
          <w:color w:val="auto"/>
          <w:sz w:val="24"/>
          <w:highlight w:val="none"/>
        </w:rPr>
        <w:t>生效。</w:t>
      </w:r>
    </w:p>
    <w:p>
      <w:pPr>
        <w:autoSpaceDE w:val="0"/>
        <w:autoSpaceDN w:val="0"/>
        <w:spacing w:line="560" w:lineRule="exact"/>
        <w:rPr>
          <w:rFonts w:ascii="仿宋" w:hAnsi="仿宋" w:eastAsia="仿宋"/>
          <w:color w:val="auto"/>
          <w:sz w:val="24"/>
          <w:highlight w:val="none"/>
          <w:lang w:val="zh-CN"/>
        </w:rPr>
      </w:pPr>
    </w:p>
    <w:p>
      <w:pPr>
        <w:autoSpaceDE w:val="0"/>
        <w:autoSpaceDN w:val="0"/>
        <w:spacing w:line="560" w:lineRule="exact"/>
        <w:rPr>
          <w:rFonts w:ascii="仿宋" w:hAnsi="仿宋" w:eastAsia="仿宋"/>
          <w:color w:val="auto"/>
          <w:sz w:val="24"/>
          <w:highlight w:val="none"/>
          <w:lang w:val="zh-CN"/>
        </w:rPr>
      </w:pPr>
      <w:r>
        <w:rPr>
          <w:rFonts w:hint="eastAsia" w:ascii="仿宋" w:hAnsi="仿宋" w:eastAsia="仿宋"/>
          <w:b/>
          <w:color w:val="auto"/>
          <w:sz w:val="24"/>
          <w:highlight w:val="none"/>
          <w:lang w:val="zh-CN"/>
        </w:rPr>
        <w:t>甲方</w:t>
      </w:r>
      <w:r>
        <w:rPr>
          <w:rFonts w:hint="eastAsia" w:ascii="仿宋" w:hAnsi="仿宋" w:eastAsia="仿宋"/>
          <w:color w:val="auto"/>
          <w:sz w:val="24"/>
          <w:highlight w:val="none"/>
          <w:lang w:val="zh-CN"/>
        </w:rPr>
        <w:t>：</w:t>
      </w:r>
      <w:r>
        <w:rPr>
          <w:rFonts w:ascii="仿宋" w:hAnsi="仿宋" w:eastAsia="仿宋"/>
          <w:color w:val="auto"/>
          <w:sz w:val="24"/>
          <w:highlight w:val="none"/>
          <w:lang w:val="zh-CN"/>
        </w:rPr>
        <w:t xml:space="preserve">                             </w:t>
      </w:r>
      <w:r>
        <w:rPr>
          <w:rFonts w:ascii="仿宋" w:hAnsi="仿宋" w:eastAsia="仿宋"/>
          <w:b/>
          <w:color w:val="auto"/>
          <w:sz w:val="24"/>
          <w:highlight w:val="none"/>
          <w:lang w:val="zh-CN"/>
        </w:rPr>
        <w:t xml:space="preserve">      乙方</w:t>
      </w:r>
      <w:r>
        <w:rPr>
          <w:rFonts w:hint="eastAsia" w:ascii="仿宋" w:hAnsi="仿宋" w:eastAsia="仿宋"/>
          <w:color w:val="auto"/>
          <w:sz w:val="24"/>
          <w:highlight w:val="none"/>
          <w:lang w:val="zh-CN"/>
        </w:rPr>
        <w:t>：</w:t>
      </w:r>
    </w:p>
    <w:p>
      <w:pPr>
        <w:autoSpaceDE w:val="0"/>
        <w:autoSpaceDN w:val="0"/>
        <w:spacing w:line="560" w:lineRule="exact"/>
        <w:rPr>
          <w:rFonts w:ascii="仿宋" w:hAnsi="仿宋" w:eastAsia="仿宋"/>
          <w:color w:val="auto"/>
          <w:sz w:val="24"/>
          <w:highlight w:val="none"/>
          <w:lang w:val="zh-CN"/>
        </w:rPr>
      </w:pPr>
      <w:r>
        <w:rPr>
          <w:rFonts w:hint="eastAsia" w:ascii="仿宋" w:hAnsi="仿宋" w:eastAsia="仿宋"/>
          <w:color w:val="auto"/>
          <w:sz w:val="24"/>
          <w:highlight w:val="none"/>
          <w:lang w:val="zh-CN"/>
        </w:rPr>
        <w:t>统一社会信用代码：</w:t>
      </w:r>
      <w:r>
        <w:rPr>
          <w:rFonts w:ascii="仿宋" w:hAnsi="仿宋" w:eastAsia="仿宋"/>
          <w:color w:val="auto"/>
          <w:sz w:val="24"/>
          <w:highlight w:val="none"/>
          <w:lang w:val="zh-CN"/>
        </w:rPr>
        <w:t xml:space="preserve">                        </w:t>
      </w:r>
      <w:r>
        <w:rPr>
          <w:rFonts w:hint="eastAsia" w:ascii="仿宋" w:hAnsi="仿宋" w:eastAsia="仿宋"/>
          <w:color w:val="auto"/>
          <w:sz w:val="24"/>
          <w:highlight w:val="none"/>
          <w:lang w:val="zh-CN"/>
        </w:rPr>
        <w:t>统一社会信用代码或身份证号码：</w:t>
      </w:r>
    </w:p>
    <w:p>
      <w:pPr>
        <w:autoSpaceDE w:val="0"/>
        <w:autoSpaceDN w:val="0"/>
        <w:spacing w:line="560" w:lineRule="exact"/>
        <w:rPr>
          <w:rFonts w:ascii="仿宋" w:hAnsi="仿宋" w:eastAsia="仿宋"/>
          <w:color w:val="auto"/>
          <w:sz w:val="24"/>
          <w:highlight w:val="none"/>
          <w:lang w:val="zh-CN"/>
        </w:rPr>
      </w:pPr>
    </w:p>
    <w:p>
      <w:pPr>
        <w:autoSpaceDE w:val="0"/>
        <w:autoSpaceDN w:val="0"/>
        <w:spacing w:line="560" w:lineRule="exact"/>
        <w:rPr>
          <w:rFonts w:ascii="仿宋" w:hAnsi="仿宋" w:eastAsia="仿宋"/>
          <w:color w:val="auto"/>
          <w:sz w:val="24"/>
          <w:highlight w:val="none"/>
          <w:lang w:val="zh-CN"/>
        </w:rPr>
      </w:pPr>
      <w:r>
        <w:rPr>
          <w:rFonts w:hint="eastAsia" w:ascii="仿宋" w:hAnsi="仿宋" w:eastAsia="仿宋"/>
          <w:color w:val="auto"/>
          <w:sz w:val="24"/>
          <w:highlight w:val="none"/>
          <w:lang w:val="zh-CN"/>
        </w:rPr>
        <w:t>住所：</w:t>
      </w:r>
      <w:r>
        <w:rPr>
          <w:rFonts w:ascii="仿宋" w:hAnsi="仿宋" w:eastAsia="仿宋"/>
          <w:color w:val="auto"/>
          <w:sz w:val="24"/>
          <w:highlight w:val="none"/>
          <w:lang w:val="zh-CN"/>
        </w:rPr>
        <w:t xml:space="preserve">                                   </w:t>
      </w:r>
      <w:r>
        <w:rPr>
          <w:rFonts w:hint="eastAsia" w:ascii="仿宋" w:hAnsi="仿宋" w:eastAsia="仿宋"/>
          <w:color w:val="auto"/>
          <w:sz w:val="24"/>
          <w:highlight w:val="none"/>
          <w:lang w:val="zh-CN"/>
        </w:rPr>
        <w:t>住所：</w:t>
      </w:r>
    </w:p>
    <w:p>
      <w:pPr>
        <w:autoSpaceDE w:val="0"/>
        <w:autoSpaceDN w:val="0"/>
        <w:spacing w:line="560" w:lineRule="exact"/>
        <w:rPr>
          <w:rFonts w:ascii="仿宋" w:hAnsi="仿宋" w:eastAsia="仿宋"/>
          <w:color w:val="auto"/>
          <w:sz w:val="24"/>
          <w:highlight w:val="none"/>
          <w:lang w:val="zh-CN"/>
        </w:rPr>
      </w:pPr>
      <w:r>
        <w:rPr>
          <w:rFonts w:hint="eastAsia" w:ascii="仿宋" w:hAnsi="仿宋" w:eastAsia="仿宋"/>
          <w:color w:val="auto"/>
          <w:sz w:val="24"/>
          <w:highlight w:val="none"/>
          <w:lang w:val="zh-CN"/>
        </w:rPr>
        <w:t>法定代表人或</w:t>
      </w:r>
      <w:r>
        <w:rPr>
          <w:rFonts w:ascii="仿宋" w:hAnsi="仿宋" w:eastAsia="仿宋"/>
          <w:color w:val="auto"/>
          <w:sz w:val="24"/>
          <w:highlight w:val="none"/>
          <w:lang w:val="zh-CN"/>
        </w:rPr>
        <w:t xml:space="preserve">                             </w:t>
      </w:r>
      <w:r>
        <w:rPr>
          <w:rFonts w:hint="eastAsia" w:ascii="仿宋" w:hAnsi="仿宋" w:eastAsia="仿宋"/>
          <w:color w:val="auto"/>
          <w:sz w:val="24"/>
          <w:highlight w:val="none"/>
          <w:lang w:val="zh-CN"/>
        </w:rPr>
        <w:t>法定代表人或</w:t>
      </w:r>
    </w:p>
    <w:p>
      <w:pPr>
        <w:autoSpaceDE w:val="0"/>
        <w:autoSpaceDN w:val="0"/>
        <w:spacing w:line="560" w:lineRule="exact"/>
        <w:rPr>
          <w:rFonts w:ascii="仿宋" w:hAnsi="仿宋" w:eastAsia="仿宋"/>
          <w:color w:val="auto"/>
          <w:sz w:val="24"/>
          <w:highlight w:val="none"/>
          <w:lang w:val="zh-CN"/>
        </w:rPr>
      </w:pPr>
      <w:r>
        <w:rPr>
          <w:rFonts w:hint="eastAsia" w:ascii="仿宋" w:hAnsi="仿宋" w:eastAsia="仿宋"/>
          <w:color w:val="auto"/>
          <w:sz w:val="24"/>
          <w:highlight w:val="none"/>
          <w:lang w:val="zh-CN"/>
        </w:rPr>
        <w:t>授权代表（签字）：</w:t>
      </w:r>
      <w:r>
        <w:rPr>
          <w:rFonts w:ascii="仿宋" w:hAnsi="仿宋" w:eastAsia="仿宋"/>
          <w:color w:val="auto"/>
          <w:sz w:val="24"/>
          <w:highlight w:val="none"/>
          <w:lang w:val="zh-CN"/>
        </w:rPr>
        <w:t xml:space="preserve">                       授权代表（签字）: </w:t>
      </w:r>
    </w:p>
    <w:p>
      <w:pPr>
        <w:autoSpaceDE w:val="0"/>
        <w:autoSpaceDN w:val="0"/>
        <w:spacing w:line="560" w:lineRule="exact"/>
        <w:rPr>
          <w:rFonts w:ascii="仿宋" w:hAnsi="仿宋" w:eastAsia="仿宋"/>
          <w:color w:val="auto"/>
          <w:sz w:val="24"/>
          <w:highlight w:val="none"/>
          <w:lang w:val="zh-CN"/>
        </w:rPr>
      </w:pPr>
      <w:r>
        <w:rPr>
          <w:rFonts w:hint="eastAsia" w:ascii="仿宋" w:hAnsi="仿宋" w:eastAsia="仿宋"/>
          <w:color w:val="auto"/>
          <w:sz w:val="24"/>
          <w:highlight w:val="none"/>
          <w:lang w:val="zh-CN"/>
        </w:rPr>
        <w:t>联系人：</w:t>
      </w:r>
      <w:r>
        <w:rPr>
          <w:rFonts w:ascii="仿宋" w:hAnsi="仿宋" w:eastAsia="仿宋"/>
          <w:color w:val="auto"/>
          <w:sz w:val="24"/>
          <w:highlight w:val="none"/>
          <w:lang w:val="zh-CN"/>
        </w:rPr>
        <w:t xml:space="preserve">                                 </w:t>
      </w:r>
      <w:r>
        <w:rPr>
          <w:rFonts w:hint="eastAsia" w:ascii="仿宋" w:hAnsi="仿宋" w:eastAsia="仿宋"/>
          <w:color w:val="auto"/>
          <w:sz w:val="24"/>
          <w:highlight w:val="none"/>
          <w:lang w:val="zh-CN"/>
        </w:rPr>
        <w:t>联系人：</w:t>
      </w:r>
    </w:p>
    <w:p>
      <w:pPr>
        <w:autoSpaceDE w:val="0"/>
        <w:autoSpaceDN w:val="0"/>
        <w:spacing w:line="560" w:lineRule="exact"/>
        <w:rPr>
          <w:rFonts w:ascii="仿宋" w:hAnsi="仿宋" w:eastAsia="仿宋"/>
          <w:color w:val="auto"/>
          <w:sz w:val="24"/>
          <w:highlight w:val="none"/>
          <w:lang w:val="zh-CN"/>
        </w:rPr>
      </w:pPr>
      <w:r>
        <w:rPr>
          <w:rFonts w:hint="eastAsia" w:ascii="仿宋" w:hAnsi="仿宋" w:eastAsia="仿宋"/>
          <w:color w:val="auto"/>
          <w:sz w:val="24"/>
          <w:highlight w:val="none"/>
          <w:lang w:val="zh-CN"/>
        </w:rPr>
        <w:t>约定送达地址：</w:t>
      </w:r>
      <w:r>
        <w:rPr>
          <w:rFonts w:ascii="仿宋" w:hAnsi="仿宋" w:eastAsia="仿宋"/>
          <w:color w:val="auto"/>
          <w:sz w:val="24"/>
          <w:highlight w:val="none"/>
          <w:lang w:val="zh-CN"/>
        </w:rPr>
        <w:t xml:space="preserve">                           </w:t>
      </w:r>
      <w:r>
        <w:rPr>
          <w:rFonts w:hint="eastAsia" w:ascii="仿宋" w:hAnsi="仿宋" w:eastAsia="仿宋"/>
          <w:color w:val="auto"/>
          <w:sz w:val="24"/>
          <w:highlight w:val="none"/>
          <w:lang w:val="zh-CN"/>
        </w:rPr>
        <w:t>约定送达地址：</w:t>
      </w:r>
    </w:p>
    <w:p>
      <w:pPr>
        <w:autoSpaceDE w:val="0"/>
        <w:autoSpaceDN w:val="0"/>
        <w:spacing w:line="560" w:lineRule="exact"/>
        <w:rPr>
          <w:rFonts w:ascii="仿宋" w:hAnsi="仿宋" w:eastAsia="仿宋"/>
          <w:color w:val="auto"/>
          <w:sz w:val="24"/>
          <w:highlight w:val="none"/>
          <w:lang w:val="zh-CN"/>
        </w:rPr>
      </w:pPr>
      <w:r>
        <w:rPr>
          <w:rFonts w:hint="eastAsia" w:ascii="仿宋" w:hAnsi="仿宋" w:eastAsia="仿宋"/>
          <w:color w:val="auto"/>
          <w:sz w:val="24"/>
          <w:highlight w:val="none"/>
          <w:lang w:val="zh-CN"/>
        </w:rPr>
        <w:t>邮政编码：</w:t>
      </w:r>
      <w:r>
        <w:rPr>
          <w:rFonts w:ascii="仿宋" w:hAnsi="仿宋" w:eastAsia="仿宋"/>
          <w:color w:val="auto"/>
          <w:sz w:val="24"/>
          <w:highlight w:val="none"/>
          <w:lang w:val="zh-CN"/>
        </w:rPr>
        <w:t xml:space="preserve">                               </w:t>
      </w:r>
      <w:r>
        <w:rPr>
          <w:rFonts w:hint="eastAsia" w:ascii="仿宋" w:hAnsi="仿宋" w:eastAsia="仿宋"/>
          <w:color w:val="auto"/>
          <w:sz w:val="24"/>
          <w:highlight w:val="none"/>
          <w:lang w:val="zh-CN"/>
        </w:rPr>
        <w:t>邮政编码：</w:t>
      </w:r>
    </w:p>
    <w:p>
      <w:pPr>
        <w:autoSpaceDE w:val="0"/>
        <w:autoSpaceDN w:val="0"/>
        <w:spacing w:line="560" w:lineRule="exact"/>
        <w:rPr>
          <w:rFonts w:ascii="仿宋" w:hAnsi="仿宋" w:eastAsia="仿宋"/>
          <w:color w:val="auto"/>
          <w:sz w:val="24"/>
          <w:highlight w:val="none"/>
          <w:lang w:val="zh-CN"/>
        </w:rPr>
      </w:pPr>
      <w:r>
        <w:rPr>
          <w:rFonts w:hint="eastAsia" w:ascii="仿宋" w:hAnsi="仿宋" w:eastAsia="仿宋"/>
          <w:color w:val="auto"/>
          <w:sz w:val="24"/>
          <w:highlight w:val="none"/>
          <w:lang w:val="zh-CN"/>
        </w:rPr>
        <w:t>电话</w:t>
      </w:r>
      <w:r>
        <w:rPr>
          <w:rFonts w:ascii="仿宋" w:hAnsi="仿宋" w:eastAsia="仿宋"/>
          <w:color w:val="auto"/>
          <w:sz w:val="24"/>
          <w:highlight w:val="none"/>
          <w:lang w:val="zh-CN"/>
        </w:rPr>
        <w:t xml:space="preserve">:                                    电话: </w:t>
      </w:r>
    </w:p>
    <w:p>
      <w:pPr>
        <w:autoSpaceDE w:val="0"/>
        <w:autoSpaceDN w:val="0"/>
        <w:spacing w:line="560" w:lineRule="exact"/>
        <w:rPr>
          <w:rFonts w:ascii="仿宋" w:hAnsi="仿宋" w:eastAsia="仿宋"/>
          <w:color w:val="auto"/>
          <w:sz w:val="24"/>
          <w:highlight w:val="none"/>
          <w:lang w:val="zh-CN"/>
        </w:rPr>
      </w:pPr>
      <w:r>
        <w:rPr>
          <w:rFonts w:hint="eastAsia" w:ascii="仿宋" w:hAnsi="仿宋" w:eastAsia="仿宋"/>
          <w:color w:val="auto"/>
          <w:sz w:val="24"/>
          <w:highlight w:val="none"/>
          <w:lang w:val="zh-CN"/>
        </w:rPr>
        <w:t>传真</w:t>
      </w:r>
      <w:r>
        <w:rPr>
          <w:rFonts w:ascii="仿宋" w:hAnsi="仿宋" w:eastAsia="仿宋"/>
          <w:color w:val="auto"/>
          <w:sz w:val="24"/>
          <w:highlight w:val="none"/>
          <w:lang w:val="zh-CN"/>
        </w:rPr>
        <w:t xml:space="preserve">:                                    </w:t>
      </w:r>
      <w:r>
        <w:rPr>
          <w:rFonts w:hint="eastAsia" w:ascii="仿宋" w:hAnsi="仿宋" w:eastAsia="仿宋"/>
          <w:color w:val="auto"/>
          <w:sz w:val="24"/>
          <w:highlight w:val="none"/>
          <w:lang w:val="zh-CN"/>
        </w:rPr>
        <w:t>传真</w:t>
      </w:r>
      <w:r>
        <w:rPr>
          <w:rFonts w:ascii="仿宋" w:hAnsi="仿宋" w:eastAsia="仿宋"/>
          <w:color w:val="auto"/>
          <w:sz w:val="24"/>
          <w:highlight w:val="none"/>
          <w:lang w:val="zh-CN"/>
        </w:rPr>
        <w:t>:</w:t>
      </w:r>
    </w:p>
    <w:p>
      <w:pPr>
        <w:autoSpaceDE w:val="0"/>
        <w:autoSpaceDN w:val="0"/>
        <w:spacing w:line="560" w:lineRule="exact"/>
        <w:rPr>
          <w:rFonts w:ascii="仿宋" w:hAnsi="仿宋" w:eastAsia="仿宋"/>
          <w:color w:val="auto"/>
          <w:sz w:val="24"/>
          <w:highlight w:val="none"/>
        </w:rPr>
      </w:pPr>
      <w:r>
        <w:rPr>
          <w:rFonts w:hint="eastAsia" w:ascii="仿宋" w:hAnsi="仿宋" w:eastAsia="仿宋"/>
          <w:color w:val="auto"/>
          <w:sz w:val="24"/>
          <w:highlight w:val="none"/>
          <w:lang w:val="zh-CN"/>
        </w:rPr>
        <w:t>电子邮箱：</w:t>
      </w:r>
      <w:r>
        <w:rPr>
          <w:rFonts w:ascii="仿宋" w:hAnsi="仿宋" w:eastAsia="仿宋"/>
          <w:color w:val="auto"/>
          <w:sz w:val="24"/>
          <w:highlight w:val="none"/>
          <w:lang w:val="zh-CN"/>
        </w:rPr>
        <w:t xml:space="preserve">                               </w:t>
      </w:r>
      <w:r>
        <w:rPr>
          <w:rFonts w:hint="eastAsia" w:ascii="仿宋" w:hAnsi="仿宋" w:eastAsia="仿宋"/>
          <w:color w:val="auto"/>
          <w:sz w:val="24"/>
          <w:highlight w:val="none"/>
          <w:lang w:val="zh-CN"/>
        </w:rPr>
        <w:t>电子邮箱：</w:t>
      </w:r>
    </w:p>
    <w:p>
      <w:pPr>
        <w:autoSpaceDE w:val="0"/>
        <w:autoSpaceDN w:val="0"/>
        <w:spacing w:line="560" w:lineRule="exact"/>
        <w:rPr>
          <w:rFonts w:ascii="仿宋" w:hAnsi="仿宋" w:eastAsia="仿宋"/>
          <w:color w:val="auto"/>
          <w:sz w:val="24"/>
          <w:highlight w:val="none"/>
        </w:rPr>
      </w:pPr>
      <w:r>
        <w:rPr>
          <w:rFonts w:hint="eastAsia" w:ascii="仿宋" w:hAnsi="仿宋" w:eastAsia="仿宋"/>
          <w:color w:val="auto"/>
          <w:sz w:val="24"/>
          <w:highlight w:val="none"/>
        </w:rPr>
        <w:t>开户银行：</w:t>
      </w:r>
      <w:r>
        <w:rPr>
          <w:rFonts w:ascii="仿宋" w:hAnsi="仿宋" w:eastAsia="仿宋"/>
          <w:color w:val="auto"/>
          <w:sz w:val="24"/>
          <w:highlight w:val="none"/>
        </w:rPr>
        <w:t xml:space="preserve">                               开户银行： </w:t>
      </w:r>
    </w:p>
    <w:p>
      <w:pPr>
        <w:autoSpaceDE w:val="0"/>
        <w:autoSpaceDN w:val="0"/>
        <w:spacing w:line="560" w:lineRule="exact"/>
        <w:rPr>
          <w:rFonts w:ascii="仿宋" w:hAnsi="仿宋" w:eastAsia="仿宋"/>
          <w:color w:val="auto"/>
          <w:sz w:val="24"/>
          <w:highlight w:val="none"/>
        </w:rPr>
      </w:pPr>
      <w:r>
        <w:rPr>
          <w:rFonts w:hint="eastAsia" w:ascii="仿宋" w:hAnsi="仿宋" w:eastAsia="仿宋"/>
          <w:color w:val="auto"/>
          <w:sz w:val="24"/>
          <w:highlight w:val="none"/>
        </w:rPr>
        <w:t>开户名称：</w:t>
      </w:r>
      <w:r>
        <w:rPr>
          <w:rFonts w:ascii="仿宋" w:hAnsi="仿宋" w:eastAsia="仿宋"/>
          <w:color w:val="auto"/>
          <w:sz w:val="24"/>
          <w:highlight w:val="none"/>
        </w:rPr>
        <w:t xml:space="preserve">                               开户名称： </w:t>
      </w:r>
    </w:p>
    <w:p>
      <w:pPr>
        <w:autoSpaceDE w:val="0"/>
        <w:autoSpaceDN w:val="0"/>
        <w:spacing w:line="560" w:lineRule="exact"/>
        <w:rPr>
          <w:rFonts w:ascii="仿宋" w:hAnsi="仿宋" w:eastAsia="仿宋"/>
          <w:color w:val="auto"/>
          <w:sz w:val="24"/>
          <w:highlight w:val="none"/>
        </w:rPr>
      </w:pPr>
      <w:r>
        <w:rPr>
          <w:rFonts w:hint="eastAsia" w:ascii="仿宋" w:hAnsi="仿宋" w:eastAsia="仿宋"/>
          <w:color w:val="auto"/>
          <w:sz w:val="24"/>
          <w:highlight w:val="none"/>
        </w:rPr>
        <w:t>开户账号：</w:t>
      </w:r>
      <w:r>
        <w:rPr>
          <w:rFonts w:ascii="仿宋" w:hAnsi="仿宋" w:eastAsia="仿宋"/>
          <w:color w:val="auto"/>
          <w:sz w:val="24"/>
          <w:highlight w:val="none"/>
          <w:lang w:val="zh-CN"/>
        </w:rPr>
        <w:t xml:space="preserve">                               </w:t>
      </w:r>
      <w:r>
        <w:rPr>
          <w:rFonts w:hint="eastAsia" w:ascii="仿宋" w:hAnsi="仿宋" w:eastAsia="仿宋"/>
          <w:color w:val="auto"/>
          <w:sz w:val="24"/>
          <w:highlight w:val="none"/>
        </w:rPr>
        <w:t>开户账号：</w:t>
      </w:r>
    </w:p>
    <w:p>
      <w:pPr>
        <w:widowControl/>
        <w:spacing w:line="560" w:lineRule="exact"/>
        <w:jc w:val="left"/>
        <w:rPr>
          <w:rFonts w:ascii="仿宋" w:hAnsi="仿宋" w:eastAsia="仿宋"/>
          <w:b/>
          <w:color w:val="auto"/>
          <w:sz w:val="24"/>
          <w:highlight w:val="none"/>
        </w:rPr>
      </w:pPr>
    </w:p>
    <w:p>
      <w:pPr>
        <w:pStyle w:val="410"/>
        <w:spacing w:before="120" w:line="560" w:lineRule="exact"/>
        <w:ind w:firstLine="482"/>
        <w:jc w:val="center"/>
        <w:rPr>
          <w:rFonts w:ascii="仿宋" w:hAnsi="仿宋" w:eastAsia="仿宋"/>
          <w:b/>
          <w:color w:val="auto"/>
          <w:szCs w:val="24"/>
          <w:highlight w:val="none"/>
        </w:rPr>
      </w:pPr>
    </w:p>
    <w:p>
      <w:pPr>
        <w:pStyle w:val="410"/>
        <w:spacing w:before="120" w:line="560" w:lineRule="exact"/>
        <w:ind w:firstLine="482"/>
        <w:jc w:val="center"/>
        <w:rPr>
          <w:rFonts w:ascii="仿宋" w:hAnsi="仿宋" w:eastAsia="仿宋"/>
          <w:b/>
          <w:color w:val="auto"/>
          <w:szCs w:val="24"/>
          <w:highlight w:val="none"/>
        </w:rPr>
      </w:pPr>
    </w:p>
    <w:p>
      <w:pPr>
        <w:pStyle w:val="410"/>
        <w:spacing w:before="120" w:line="560" w:lineRule="exact"/>
        <w:ind w:firstLine="482"/>
        <w:jc w:val="center"/>
        <w:rPr>
          <w:rFonts w:ascii="仿宋" w:hAnsi="仿宋" w:eastAsia="仿宋"/>
          <w:b/>
          <w:color w:val="auto"/>
          <w:szCs w:val="24"/>
          <w:highlight w:val="none"/>
        </w:rPr>
      </w:pPr>
    </w:p>
    <w:p>
      <w:pPr>
        <w:pStyle w:val="410"/>
        <w:spacing w:before="120" w:line="560" w:lineRule="exact"/>
        <w:ind w:firstLine="482"/>
        <w:jc w:val="center"/>
        <w:rPr>
          <w:rFonts w:ascii="仿宋" w:hAnsi="仿宋" w:eastAsia="仿宋"/>
          <w:b/>
          <w:color w:val="auto"/>
          <w:szCs w:val="24"/>
          <w:highlight w:val="none"/>
        </w:rPr>
      </w:pPr>
      <w:r>
        <w:rPr>
          <w:rFonts w:hint="eastAsia" w:ascii="仿宋" w:hAnsi="仿宋" w:eastAsia="仿宋"/>
          <w:b/>
          <w:color w:val="auto"/>
          <w:szCs w:val="24"/>
          <w:highlight w:val="none"/>
        </w:rPr>
        <w:t>第二部分</w:t>
      </w:r>
      <w:r>
        <w:rPr>
          <w:rFonts w:ascii="仿宋" w:hAnsi="仿宋" w:eastAsia="仿宋"/>
          <w:b/>
          <w:color w:val="auto"/>
          <w:szCs w:val="24"/>
          <w:highlight w:val="none"/>
        </w:rPr>
        <w:t xml:space="preserve"> </w:t>
      </w:r>
      <w:r>
        <w:rPr>
          <w:rFonts w:hint="eastAsia" w:ascii="仿宋" w:hAnsi="仿宋" w:eastAsia="仿宋"/>
          <w:b/>
          <w:color w:val="auto"/>
          <w:szCs w:val="24"/>
          <w:highlight w:val="none"/>
        </w:rPr>
        <w:t>合同一般条款</w:t>
      </w:r>
    </w:p>
    <w:p>
      <w:pPr>
        <w:spacing w:line="560" w:lineRule="exact"/>
        <w:ind w:firstLine="482" w:firstLineChars="200"/>
        <w:outlineLvl w:val="0"/>
        <w:rPr>
          <w:rFonts w:ascii="仿宋" w:hAnsi="仿宋" w:eastAsia="仿宋"/>
          <w:b/>
          <w:color w:val="auto"/>
          <w:sz w:val="24"/>
          <w:highlight w:val="none"/>
        </w:rPr>
      </w:pPr>
      <w:bookmarkStart w:id="637" w:name="_Toc31297"/>
      <w:bookmarkStart w:id="638" w:name="_Toc19680"/>
      <w:bookmarkStart w:id="639" w:name="_Toc5228"/>
      <w:bookmarkStart w:id="640" w:name="_Toc25079"/>
      <w:bookmarkStart w:id="641" w:name="_Toc14021"/>
      <w:r>
        <w:rPr>
          <w:rFonts w:ascii="仿宋" w:hAnsi="仿宋" w:eastAsia="仿宋"/>
          <w:b/>
          <w:color w:val="auto"/>
          <w:sz w:val="24"/>
          <w:highlight w:val="none"/>
        </w:rPr>
        <w:t>2.1 定义</w:t>
      </w:r>
      <w:bookmarkEnd w:id="637"/>
      <w:bookmarkEnd w:id="638"/>
      <w:bookmarkEnd w:id="639"/>
      <w:bookmarkEnd w:id="640"/>
      <w:bookmarkEnd w:id="641"/>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本合同中的下列</w:t>
      </w:r>
      <w:r>
        <w:rPr>
          <w:rFonts w:hint="eastAsia" w:ascii="仿宋" w:hAnsi="仿宋" w:eastAsia="仿宋"/>
          <w:color w:val="auto"/>
          <w:sz w:val="24"/>
          <w:highlight w:val="none"/>
        </w:rPr>
        <w:t>词</w:t>
      </w:r>
      <w:r>
        <w:rPr>
          <w:rFonts w:ascii="仿宋" w:hAnsi="仿宋" w:eastAsia="仿宋"/>
          <w:color w:val="auto"/>
          <w:sz w:val="24"/>
          <w:highlight w:val="none"/>
        </w:rPr>
        <w:t>语应</w:t>
      </w:r>
      <w:r>
        <w:rPr>
          <w:rFonts w:hint="eastAsia" w:ascii="仿宋" w:hAnsi="仿宋" w:eastAsia="仿宋"/>
          <w:color w:val="auto"/>
          <w:sz w:val="24"/>
          <w:highlight w:val="none"/>
        </w:rPr>
        <w:t>按以下内容进行</w:t>
      </w:r>
      <w:r>
        <w:rPr>
          <w:rFonts w:ascii="仿宋" w:hAnsi="仿宋" w:eastAsia="仿宋"/>
          <w:color w:val="auto"/>
          <w:sz w:val="24"/>
          <w:highlight w:val="none"/>
        </w:rPr>
        <w:t>解释：</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2.1.1 “合同”系指采购人和中标供应商签订的载明双方当事人所达成的协议，并包括所有的附件、附录和构成合同的其他文件。</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2.1.2 “合同价”系指根据合同约定，中标供应商在完全履行合同义务后</w:t>
      </w:r>
      <w:r>
        <w:rPr>
          <w:rFonts w:hint="eastAsia" w:ascii="仿宋" w:hAnsi="仿宋" w:eastAsia="仿宋"/>
          <w:color w:val="auto"/>
          <w:sz w:val="24"/>
          <w:highlight w:val="none"/>
        </w:rPr>
        <w:t>，</w:t>
      </w:r>
      <w:r>
        <w:rPr>
          <w:rFonts w:ascii="仿宋" w:hAnsi="仿宋" w:eastAsia="仿宋"/>
          <w:color w:val="auto"/>
          <w:sz w:val="24"/>
          <w:highlight w:val="none"/>
        </w:rPr>
        <w:t>采购人应支付给中标供应商的价格。</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2.1.3 “</w:t>
      </w:r>
      <w:r>
        <w:rPr>
          <w:rFonts w:hint="eastAsia" w:ascii="仿宋" w:hAnsi="仿宋" w:eastAsia="仿宋"/>
          <w:color w:val="auto"/>
          <w:sz w:val="24"/>
          <w:highlight w:val="none"/>
        </w:rPr>
        <w:t>服务</w:t>
      </w:r>
      <w:r>
        <w:rPr>
          <w:rFonts w:ascii="仿宋" w:hAnsi="仿宋" w:eastAsia="仿宋"/>
          <w:color w:val="auto"/>
          <w:sz w:val="24"/>
          <w:highlight w:val="none"/>
        </w:rPr>
        <w:t>”系指</w:t>
      </w:r>
      <w:r>
        <w:rPr>
          <w:rFonts w:hint="eastAsia" w:ascii="仿宋" w:hAnsi="仿宋" w:eastAsia="仿宋"/>
          <w:color w:val="auto"/>
          <w:sz w:val="24"/>
          <w:highlight w:val="none"/>
        </w:rPr>
        <w:t>中标供应商</w:t>
      </w:r>
      <w:r>
        <w:rPr>
          <w:rFonts w:ascii="仿宋" w:hAnsi="仿宋" w:eastAsia="仿宋"/>
          <w:color w:val="auto"/>
          <w:sz w:val="24"/>
          <w:highlight w:val="none"/>
        </w:rPr>
        <w:t>根据合同约定应向采购人</w:t>
      </w:r>
      <w:r>
        <w:rPr>
          <w:rFonts w:hint="eastAsia" w:ascii="仿宋" w:hAnsi="仿宋" w:eastAsia="仿宋"/>
          <w:color w:val="auto"/>
          <w:sz w:val="24"/>
          <w:highlight w:val="none"/>
        </w:rPr>
        <w:t>履行</w:t>
      </w:r>
      <w:r>
        <w:rPr>
          <w:rFonts w:ascii="仿宋" w:hAnsi="仿宋" w:eastAsia="仿宋"/>
          <w:color w:val="auto"/>
          <w:sz w:val="24"/>
          <w:highlight w:val="none"/>
        </w:rPr>
        <w:t>的</w:t>
      </w:r>
      <w:r>
        <w:rPr>
          <w:rFonts w:hint="eastAsia" w:ascii="仿宋" w:hAnsi="仿宋" w:eastAsia="仿宋"/>
          <w:color w:val="auto"/>
          <w:sz w:val="24"/>
          <w:highlight w:val="none"/>
        </w:rPr>
        <w:t>除货物和工程以外的其他政府采购对象，包括采购人自身需要的服务和向社会公众提供的公共服务。</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2.1.4 “</w:t>
      </w:r>
      <w:r>
        <w:rPr>
          <w:rFonts w:hint="eastAsia" w:ascii="仿宋" w:hAnsi="仿宋" w:eastAsia="仿宋"/>
          <w:color w:val="auto"/>
          <w:sz w:val="24"/>
          <w:highlight w:val="none"/>
        </w:rPr>
        <w:t>甲方</w:t>
      </w:r>
      <w:r>
        <w:rPr>
          <w:rFonts w:ascii="仿宋" w:hAnsi="仿宋" w:eastAsia="仿宋"/>
          <w:color w:val="auto"/>
          <w:sz w:val="24"/>
          <w:highlight w:val="none"/>
        </w:rPr>
        <w:t>”系指与</w:t>
      </w:r>
      <w:r>
        <w:rPr>
          <w:rFonts w:hint="eastAsia" w:ascii="仿宋" w:hAnsi="仿宋" w:eastAsia="仿宋"/>
          <w:color w:val="auto"/>
          <w:sz w:val="24"/>
          <w:highlight w:val="none"/>
        </w:rPr>
        <w:t>中标供应商</w:t>
      </w:r>
      <w:r>
        <w:rPr>
          <w:rFonts w:ascii="仿宋" w:hAnsi="仿宋" w:eastAsia="仿宋"/>
          <w:color w:val="auto"/>
          <w:sz w:val="24"/>
          <w:highlight w:val="none"/>
        </w:rPr>
        <w:t>签署合同的采购人</w:t>
      </w:r>
      <w:r>
        <w:rPr>
          <w:rFonts w:hint="eastAsia" w:ascii="仿宋" w:hAnsi="仿宋" w:eastAsia="仿宋"/>
          <w:color w:val="auto"/>
          <w:sz w:val="24"/>
          <w:highlight w:val="none"/>
        </w:rPr>
        <w:t>；采购人委托采购代理机构代表其与乙方签订合同的，采购人的授权委托书作为合同附件。</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2.1.5 “乙方”系指根据合同约定提供服务的中标供应商</w:t>
      </w:r>
      <w:r>
        <w:rPr>
          <w:rFonts w:hint="eastAsia" w:ascii="仿宋" w:hAnsi="仿宋" w:eastAsia="仿宋"/>
          <w:color w:val="auto"/>
          <w:sz w:val="24"/>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2.1.6 “现场”系指合同约定提供服务的地点。</w:t>
      </w:r>
    </w:p>
    <w:p>
      <w:pPr>
        <w:spacing w:line="560" w:lineRule="exact"/>
        <w:ind w:firstLine="482" w:firstLineChars="200"/>
        <w:outlineLvl w:val="0"/>
        <w:rPr>
          <w:rFonts w:ascii="仿宋" w:hAnsi="仿宋" w:eastAsia="仿宋"/>
          <w:b/>
          <w:color w:val="auto"/>
          <w:sz w:val="24"/>
          <w:highlight w:val="none"/>
        </w:rPr>
      </w:pPr>
      <w:bookmarkStart w:id="642" w:name="_Toc31402"/>
      <w:bookmarkStart w:id="643" w:name="_Toc16752"/>
      <w:bookmarkStart w:id="644" w:name="_Toc3769"/>
      <w:bookmarkStart w:id="645" w:name="_Toc19539"/>
      <w:bookmarkStart w:id="646" w:name="_Toc23289"/>
      <w:r>
        <w:rPr>
          <w:rFonts w:ascii="仿宋" w:hAnsi="仿宋" w:eastAsia="仿宋"/>
          <w:b/>
          <w:color w:val="auto"/>
          <w:sz w:val="24"/>
          <w:highlight w:val="none"/>
        </w:rPr>
        <w:t>2.2 技术规范</w:t>
      </w:r>
      <w:bookmarkEnd w:id="642"/>
      <w:bookmarkEnd w:id="643"/>
      <w:bookmarkEnd w:id="644"/>
      <w:bookmarkEnd w:id="645"/>
      <w:bookmarkEnd w:id="646"/>
    </w:p>
    <w:p>
      <w:pPr>
        <w:spacing w:line="56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服务</w:t>
      </w:r>
      <w:r>
        <w:rPr>
          <w:rFonts w:ascii="仿宋" w:hAnsi="仿宋" w:eastAsia="仿宋"/>
          <w:color w:val="auto"/>
          <w:sz w:val="24"/>
          <w:highlight w:val="none"/>
        </w:rPr>
        <w:t>所应遵守的技术规范应与采购文件规定的技术规范和技术规范附件(如果有的话)及其技术规范偏差表(如果被甲方接受的话)相一致</w:t>
      </w:r>
      <w:r>
        <w:rPr>
          <w:rFonts w:hint="eastAsia" w:ascii="仿宋" w:hAnsi="仿宋" w:eastAsia="仿宋"/>
          <w:color w:val="auto"/>
          <w:sz w:val="24"/>
          <w:highlight w:val="none"/>
        </w:rPr>
        <w:t>；</w:t>
      </w:r>
      <w:r>
        <w:rPr>
          <w:rFonts w:ascii="仿宋" w:hAnsi="仿宋" w:eastAsia="仿宋"/>
          <w:color w:val="auto"/>
          <w:sz w:val="24"/>
          <w:highlight w:val="none"/>
        </w:rPr>
        <w:t>如果采购文件中没有技术规范的相应说明，那么应以国家有关部门最新颁布的相应标准</w:t>
      </w:r>
      <w:r>
        <w:rPr>
          <w:rFonts w:hint="eastAsia" w:ascii="仿宋" w:hAnsi="仿宋" w:eastAsia="仿宋"/>
          <w:color w:val="auto"/>
          <w:sz w:val="24"/>
          <w:highlight w:val="none"/>
        </w:rPr>
        <w:t>和</w:t>
      </w:r>
      <w:r>
        <w:rPr>
          <w:rFonts w:ascii="仿宋" w:hAnsi="仿宋" w:eastAsia="仿宋"/>
          <w:color w:val="auto"/>
          <w:sz w:val="24"/>
          <w:highlight w:val="none"/>
        </w:rPr>
        <w:t>规范为准。</w:t>
      </w:r>
    </w:p>
    <w:p>
      <w:pPr>
        <w:spacing w:line="560" w:lineRule="exact"/>
        <w:ind w:firstLine="482" w:firstLineChars="200"/>
        <w:outlineLvl w:val="0"/>
        <w:rPr>
          <w:rFonts w:ascii="仿宋" w:hAnsi="仿宋" w:eastAsia="仿宋"/>
          <w:b/>
          <w:color w:val="auto"/>
          <w:sz w:val="24"/>
          <w:highlight w:val="none"/>
        </w:rPr>
      </w:pPr>
      <w:bookmarkStart w:id="647" w:name="_Toc27945"/>
      <w:bookmarkStart w:id="648" w:name="_Toc4133"/>
      <w:bookmarkStart w:id="649" w:name="_Toc13673"/>
      <w:bookmarkStart w:id="650" w:name="_Toc9161"/>
      <w:bookmarkStart w:id="651" w:name="_Toc12412"/>
      <w:r>
        <w:rPr>
          <w:rFonts w:ascii="仿宋" w:hAnsi="仿宋" w:eastAsia="仿宋"/>
          <w:b/>
          <w:color w:val="auto"/>
          <w:sz w:val="24"/>
          <w:highlight w:val="none"/>
        </w:rPr>
        <w:t>2.3 知识产权</w:t>
      </w:r>
      <w:bookmarkEnd w:id="647"/>
      <w:bookmarkEnd w:id="648"/>
      <w:bookmarkEnd w:id="649"/>
      <w:bookmarkEnd w:id="650"/>
      <w:bookmarkEnd w:id="651"/>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2.3.1 </w:t>
      </w:r>
      <w:r>
        <w:rPr>
          <w:rFonts w:hint="eastAsia" w:ascii="仿宋" w:hAnsi="仿宋" w:eastAsia="仿宋"/>
          <w:color w:val="auto"/>
          <w:sz w:val="24"/>
          <w:highlight w:val="none"/>
        </w:rPr>
        <w:t>乙</w:t>
      </w:r>
      <w:r>
        <w:rPr>
          <w:rFonts w:ascii="仿宋" w:hAnsi="仿宋" w:eastAsia="仿宋"/>
          <w:color w:val="auto"/>
          <w:sz w:val="24"/>
          <w:highlight w:val="none"/>
        </w:rPr>
        <w:t>方应保证</w:t>
      </w:r>
      <w:r>
        <w:rPr>
          <w:rFonts w:hint="eastAsia" w:ascii="仿宋" w:hAnsi="仿宋" w:eastAsia="仿宋"/>
          <w:color w:val="auto"/>
          <w:sz w:val="24"/>
          <w:highlight w:val="none"/>
        </w:rPr>
        <w:t>其提供的服务</w:t>
      </w:r>
      <w:r>
        <w:rPr>
          <w:rFonts w:ascii="仿宋" w:hAnsi="仿宋" w:eastAsia="仿宋"/>
          <w:color w:val="auto"/>
          <w:sz w:val="24"/>
          <w:highlight w:val="none"/>
        </w:rPr>
        <w:t>不受任何第三方提出的侵犯其著作权、商标权、专利权等知识产权方面的起诉</w:t>
      </w:r>
      <w:r>
        <w:rPr>
          <w:rFonts w:hint="eastAsia" w:ascii="仿宋" w:hAnsi="仿宋" w:eastAsia="仿宋"/>
          <w:color w:val="auto"/>
          <w:sz w:val="24"/>
          <w:highlight w:val="none"/>
        </w:rPr>
        <w:t>；</w:t>
      </w:r>
      <w:r>
        <w:rPr>
          <w:rFonts w:ascii="仿宋" w:hAnsi="仿宋" w:eastAsia="仿宋"/>
          <w:color w:val="auto"/>
          <w:sz w:val="24"/>
          <w:highlight w:val="none"/>
        </w:rPr>
        <w:t>如果任何第三方提出侵权</w:t>
      </w:r>
      <w:r>
        <w:rPr>
          <w:rFonts w:hint="eastAsia" w:ascii="仿宋" w:hAnsi="仿宋" w:eastAsia="仿宋"/>
          <w:color w:val="auto"/>
          <w:sz w:val="24"/>
          <w:highlight w:val="none"/>
        </w:rPr>
        <w:t>指控</w:t>
      </w:r>
      <w:r>
        <w:rPr>
          <w:rFonts w:ascii="仿宋" w:hAnsi="仿宋" w:eastAsia="仿宋"/>
          <w:color w:val="auto"/>
          <w:sz w:val="24"/>
          <w:highlight w:val="none"/>
        </w:rPr>
        <w:t>，那么乙方须与该第三方交涉并承担由此发生的一切责任、费用和赔偿</w:t>
      </w:r>
      <w:r>
        <w:rPr>
          <w:rFonts w:hint="eastAsia" w:ascii="仿宋" w:hAnsi="仿宋" w:eastAsia="仿宋"/>
          <w:color w:val="auto"/>
          <w:sz w:val="24"/>
          <w:highlight w:val="none"/>
        </w:rPr>
        <w:t>；</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2.3.2 </w:t>
      </w:r>
      <w:r>
        <w:rPr>
          <w:rFonts w:hint="eastAsia" w:ascii="仿宋" w:hAnsi="仿宋" w:eastAsia="仿宋"/>
          <w:color w:val="auto"/>
          <w:sz w:val="24"/>
          <w:highlight w:val="none"/>
        </w:rPr>
        <w:t>合同涉及技术成果的归属和收益的分成办法的，</w:t>
      </w:r>
      <w:r>
        <w:rPr>
          <w:rFonts w:ascii="仿宋" w:hAnsi="仿宋" w:eastAsia="仿宋"/>
          <w:color w:val="auto"/>
          <w:sz w:val="24"/>
          <w:highlight w:val="none"/>
        </w:rPr>
        <w:t>详见</w:t>
      </w:r>
      <w:r>
        <w:rPr>
          <w:rFonts w:ascii="仿宋" w:hAnsi="仿宋" w:eastAsia="仿宋"/>
          <w:b/>
          <w:i/>
          <w:color w:val="auto"/>
          <w:sz w:val="24"/>
          <w:highlight w:val="none"/>
          <w:u w:val="single"/>
        </w:rPr>
        <w:t>合同专用条款</w:t>
      </w:r>
      <w:r>
        <w:rPr>
          <w:rFonts w:ascii="仿宋" w:hAnsi="仿宋" w:eastAsia="仿宋"/>
          <w:color w:val="auto"/>
          <w:sz w:val="24"/>
          <w:highlight w:val="none"/>
        </w:rPr>
        <w:t>。</w:t>
      </w:r>
    </w:p>
    <w:p>
      <w:pPr>
        <w:spacing w:line="560" w:lineRule="exact"/>
        <w:ind w:firstLine="482" w:firstLineChars="200"/>
        <w:rPr>
          <w:rFonts w:ascii="仿宋" w:hAnsi="仿宋" w:eastAsia="仿宋"/>
          <w:b/>
          <w:color w:val="auto"/>
          <w:sz w:val="24"/>
          <w:highlight w:val="none"/>
        </w:rPr>
      </w:pPr>
      <w:r>
        <w:rPr>
          <w:rFonts w:ascii="仿宋" w:hAnsi="仿宋" w:eastAsia="仿宋"/>
          <w:b/>
          <w:color w:val="auto"/>
          <w:sz w:val="24"/>
          <w:highlight w:val="none"/>
        </w:rPr>
        <w:t xml:space="preserve">2.4 </w:t>
      </w:r>
      <w:r>
        <w:rPr>
          <w:rFonts w:hint="eastAsia" w:ascii="仿宋" w:hAnsi="仿宋" w:eastAsia="仿宋"/>
          <w:b/>
          <w:color w:val="auto"/>
          <w:sz w:val="24"/>
          <w:highlight w:val="none"/>
        </w:rPr>
        <w:t>履约检查和问题反馈</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2.4.1甲方</w:t>
      </w:r>
      <w:r>
        <w:rPr>
          <w:rFonts w:hint="eastAsia" w:ascii="仿宋" w:hAnsi="仿宋" w:eastAsia="仿宋"/>
          <w:color w:val="auto"/>
          <w:sz w:val="24"/>
          <w:highlight w:val="none"/>
        </w:rPr>
        <w:t>有权</w:t>
      </w:r>
      <w:r>
        <w:rPr>
          <w:rFonts w:ascii="仿宋" w:hAnsi="仿宋" w:eastAsia="仿宋"/>
          <w:color w:val="auto"/>
          <w:sz w:val="24"/>
          <w:highlight w:val="none"/>
        </w:rPr>
        <w:t>在其认为必要时</w:t>
      </w:r>
      <w:r>
        <w:rPr>
          <w:rFonts w:hint="eastAsia" w:ascii="仿宋" w:hAnsi="仿宋" w:eastAsia="仿宋"/>
          <w:color w:val="auto"/>
          <w:sz w:val="24"/>
          <w:highlight w:val="none"/>
        </w:rPr>
        <w:t>，对乙方是否能够按照合同约定提供服务进行履约检查，以确保乙方所提供的服务能够依约满足甲方之项目需求，但不得因履约检查妨碍乙方的正常工作，乙方应予积极配合；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2.4.2 </w:t>
      </w:r>
      <w:r>
        <w:rPr>
          <w:rFonts w:hint="eastAsia" w:ascii="仿宋" w:hAnsi="仿宋" w:eastAsia="仿宋"/>
          <w:color w:val="auto"/>
          <w:sz w:val="24"/>
          <w:highlight w:val="none"/>
        </w:rPr>
        <w:t>合同履行期间，甲方有权将履行过程中出现的问题反馈给乙方，双方当事人应以书面形式约定需要完善和改进的内容。</w:t>
      </w:r>
    </w:p>
    <w:p>
      <w:pPr>
        <w:spacing w:line="560" w:lineRule="exact"/>
        <w:ind w:firstLine="482" w:firstLineChars="200"/>
        <w:outlineLvl w:val="0"/>
        <w:rPr>
          <w:rFonts w:ascii="仿宋" w:hAnsi="仿宋" w:eastAsia="仿宋"/>
          <w:b/>
          <w:color w:val="auto"/>
          <w:sz w:val="24"/>
          <w:highlight w:val="none"/>
        </w:rPr>
      </w:pPr>
      <w:bookmarkStart w:id="652" w:name="_Toc15447"/>
      <w:bookmarkStart w:id="653" w:name="_Toc22011"/>
      <w:bookmarkStart w:id="654" w:name="_Toc32670"/>
      <w:bookmarkStart w:id="655" w:name="_Toc26555"/>
      <w:bookmarkStart w:id="656" w:name="_Toc31233"/>
      <w:r>
        <w:rPr>
          <w:rFonts w:ascii="仿宋" w:hAnsi="仿宋" w:eastAsia="仿宋"/>
          <w:b/>
          <w:color w:val="auto"/>
          <w:sz w:val="24"/>
          <w:highlight w:val="none"/>
        </w:rPr>
        <w:t>2.5 结算方式和付款条件</w:t>
      </w:r>
      <w:bookmarkEnd w:id="652"/>
      <w:bookmarkEnd w:id="653"/>
      <w:bookmarkEnd w:id="654"/>
      <w:bookmarkEnd w:id="655"/>
      <w:bookmarkEnd w:id="656"/>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详见</w:t>
      </w:r>
      <w:r>
        <w:rPr>
          <w:rFonts w:ascii="仿宋" w:hAnsi="仿宋" w:eastAsia="仿宋"/>
          <w:b/>
          <w:i/>
          <w:color w:val="auto"/>
          <w:sz w:val="24"/>
          <w:highlight w:val="none"/>
          <w:u w:val="single"/>
        </w:rPr>
        <w:t>合同专用条款</w:t>
      </w:r>
      <w:r>
        <w:rPr>
          <w:rFonts w:ascii="仿宋" w:hAnsi="仿宋" w:eastAsia="仿宋"/>
          <w:color w:val="auto"/>
          <w:sz w:val="24"/>
          <w:highlight w:val="none"/>
        </w:rPr>
        <w:t>。</w:t>
      </w:r>
    </w:p>
    <w:p>
      <w:pPr>
        <w:spacing w:line="560" w:lineRule="exact"/>
        <w:ind w:firstLine="482" w:firstLineChars="200"/>
        <w:outlineLvl w:val="0"/>
        <w:rPr>
          <w:rFonts w:ascii="仿宋" w:hAnsi="仿宋" w:eastAsia="仿宋"/>
          <w:b/>
          <w:color w:val="auto"/>
          <w:sz w:val="24"/>
          <w:highlight w:val="none"/>
        </w:rPr>
      </w:pPr>
      <w:bookmarkStart w:id="657" w:name="_Toc13467"/>
      <w:bookmarkStart w:id="658" w:name="_Toc30507"/>
      <w:bookmarkStart w:id="659" w:name="_Toc18990"/>
      <w:bookmarkStart w:id="660" w:name="_Toc13154"/>
      <w:bookmarkStart w:id="661" w:name="_Toc16163"/>
      <w:r>
        <w:rPr>
          <w:rFonts w:ascii="仿宋" w:hAnsi="仿宋" w:eastAsia="仿宋"/>
          <w:b/>
          <w:color w:val="auto"/>
          <w:sz w:val="24"/>
          <w:highlight w:val="none"/>
        </w:rPr>
        <w:t>2.6 技术资料和保密义务</w:t>
      </w:r>
      <w:bookmarkEnd w:id="657"/>
      <w:bookmarkEnd w:id="658"/>
      <w:bookmarkEnd w:id="659"/>
      <w:bookmarkEnd w:id="660"/>
      <w:bookmarkEnd w:id="661"/>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2.6.1 乙方有权依据合同约定和项目需要，向甲方了解有关情况，调阅有关资料等，甲方应予积极配合；</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2.6.2 </w:t>
      </w:r>
      <w:r>
        <w:rPr>
          <w:rFonts w:hint="eastAsia" w:ascii="仿宋" w:hAnsi="仿宋" w:eastAsia="仿宋"/>
          <w:color w:val="auto"/>
          <w:sz w:val="24"/>
          <w:highlight w:val="none"/>
        </w:rPr>
        <w:t>乙方有义务妥善保管和保护由甲方提供的前款信息和资料等；</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2.6.3 </w:t>
      </w:r>
      <w:r>
        <w:rPr>
          <w:rFonts w:hint="eastAsia" w:ascii="仿宋" w:hAnsi="仿宋" w:eastAsia="仿宋"/>
          <w:color w:val="auto"/>
          <w:sz w:val="24"/>
          <w:highlight w:val="none"/>
        </w:rPr>
        <w:t>除非依照法律规定或者对方当事人的书面同意，任何一方均应保证不向任何第三方提供或披露有关合同的或者履行合同过程中知悉的对方当事人任何未公开的信息和资料，包括但不限于</w:t>
      </w:r>
      <w:r>
        <w:rPr>
          <w:rFonts w:ascii="仿宋" w:hAnsi="仿宋" w:eastAsia="仿宋"/>
          <w:color w:val="auto"/>
          <w:sz w:val="24"/>
          <w:highlight w:val="none"/>
        </w:rPr>
        <w:t>技术情报</w:t>
      </w:r>
      <w:r>
        <w:rPr>
          <w:rFonts w:hint="eastAsia" w:ascii="仿宋" w:hAnsi="仿宋" w:eastAsia="仿宋"/>
          <w:color w:val="auto"/>
          <w:sz w:val="24"/>
          <w:highlight w:val="none"/>
        </w:rPr>
        <w:t>、</w:t>
      </w:r>
      <w:r>
        <w:rPr>
          <w:rFonts w:ascii="仿宋" w:hAnsi="仿宋" w:eastAsia="仿宋"/>
          <w:color w:val="auto"/>
          <w:sz w:val="24"/>
          <w:highlight w:val="none"/>
        </w:rPr>
        <w:t>技术资料</w:t>
      </w:r>
      <w:r>
        <w:rPr>
          <w:rFonts w:hint="eastAsia" w:ascii="仿宋" w:hAnsi="仿宋" w:eastAsia="仿宋"/>
          <w:color w:val="auto"/>
          <w:sz w:val="24"/>
          <w:highlight w:val="none"/>
        </w:rPr>
        <w:t>、商业秘密和商业信息等，并采取一切合理和必要措施和方式防止任何第三方接触到对方当事人的上述保密信息和资料。</w:t>
      </w:r>
    </w:p>
    <w:p>
      <w:pPr>
        <w:spacing w:line="560" w:lineRule="exact"/>
        <w:ind w:firstLine="482" w:firstLineChars="200"/>
        <w:outlineLvl w:val="0"/>
        <w:rPr>
          <w:rFonts w:ascii="仿宋" w:hAnsi="仿宋" w:eastAsia="仿宋"/>
          <w:b/>
          <w:color w:val="auto"/>
          <w:sz w:val="24"/>
          <w:highlight w:val="none"/>
        </w:rPr>
      </w:pPr>
      <w:bookmarkStart w:id="662" w:name="_Toc19069"/>
      <w:r>
        <w:rPr>
          <w:rFonts w:ascii="仿宋" w:hAnsi="仿宋" w:eastAsia="仿宋"/>
          <w:b/>
          <w:color w:val="auto"/>
          <w:sz w:val="24"/>
          <w:highlight w:val="none"/>
        </w:rPr>
        <w:t xml:space="preserve">2.7 </w:t>
      </w:r>
      <w:r>
        <w:rPr>
          <w:rFonts w:hint="eastAsia" w:ascii="仿宋" w:hAnsi="仿宋" w:eastAsia="仿宋"/>
          <w:b/>
          <w:color w:val="auto"/>
          <w:sz w:val="24"/>
          <w:highlight w:val="none"/>
        </w:rPr>
        <w:t>质量保证</w:t>
      </w:r>
      <w:bookmarkEnd w:id="662"/>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2.7.1 </w:t>
      </w:r>
      <w:r>
        <w:rPr>
          <w:rFonts w:hint="eastAsia" w:ascii="仿宋" w:hAnsi="仿宋" w:eastAsia="仿宋"/>
          <w:color w:val="auto"/>
          <w:sz w:val="24"/>
          <w:highlight w:val="none"/>
        </w:rPr>
        <w:t>乙方应建立和完善履行合同的内部质量保证体系，并提供相关内部规章制度给甲方，以便甲方进行监督检查；</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2.7.2 </w:t>
      </w:r>
      <w:r>
        <w:rPr>
          <w:rFonts w:hint="eastAsia" w:ascii="仿宋" w:hAnsi="仿宋" w:eastAsia="仿宋"/>
          <w:color w:val="auto"/>
          <w:sz w:val="24"/>
          <w:highlight w:val="none"/>
        </w:rPr>
        <w:t>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仿宋" w:hAnsi="仿宋" w:eastAsia="仿宋"/>
          <w:b/>
          <w:color w:val="auto"/>
          <w:sz w:val="24"/>
          <w:highlight w:val="none"/>
        </w:rPr>
      </w:pPr>
      <w:bookmarkStart w:id="663" w:name="_Toc22267"/>
      <w:r>
        <w:rPr>
          <w:rFonts w:ascii="仿宋" w:hAnsi="仿宋" w:eastAsia="仿宋"/>
          <w:b/>
          <w:color w:val="auto"/>
          <w:sz w:val="24"/>
          <w:highlight w:val="none"/>
        </w:rPr>
        <w:t xml:space="preserve">2.8 </w:t>
      </w:r>
      <w:r>
        <w:rPr>
          <w:rFonts w:hint="eastAsia" w:ascii="仿宋" w:hAnsi="仿宋" w:eastAsia="仿宋"/>
          <w:b/>
          <w:color w:val="auto"/>
          <w:sz w:val="24"/>
          <w:highlight w:val="none"/>
        </w:rPr>
        <w:t>延迟履行</w:t>
      </w:r>
      <w:bookmarkEnd w:id="663"/>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在合同履行过程中，如果乙方遇到不能按时</w:t>
      </w:r>
      <w:r>
        <w:rPr>
          <w:rFonts w:hint="eastAsia" w:ascii="仿宋" w:hAnsi="仿宋" w:eastAsia="仿宋"/>
          <w:color w:val="auto"/>
          <w:sz w:val="24"/>
          <w:highlight w:val="none"/>
        </w:rPr>
        <w:t>提供服务</w:t>
      </w:r>
      <w:r>
        <w:rPr>
          <w:rFonts w:ascii="仿宋" w:hAnsi="仿宋" w:eastAsia="仿宋"/>
          <w:color w:val="auto"/>
          <w:sz w:val="24"/>
          <w:highlight w:val="none"/>
        </w:rPr>
        <w:t>的情况，应及时以书面形式将不能按时</w:t>
      </w:r>
      <w:r>
        <w:rPr>
          <w:rFonts w:hint="eastAsia" w:ascii="仿宋" w:hAnsi="仿宋" w:eastAsia="仿宋"/>
          <w:color w:val="auto"/>
          <w:sz w:val="24"/>
          <w:highlight w:val="none"/>
        </w:rPr>
        <w:t>提供服务</w:t>
      </w:r>
      <w:r>
        <w:rPr>
          <w:rFonts w:ascii="仿宋" w:hAnsi="仿宋" w:eastAsia="仿宋"/>
          <w:color w:val="auto"/>
          <w:sz w:val="24"/>
          <w:highlight w:val="none"/>
        </w:rPr>
        <w:t>的理由、预期延误时间通知甲方</w:t>
      </w:r>
      <w:r>
        <w:rPr>
          <w:rFonts w:hint="eastAsia" w:ascii="仿宋" w:hAnsi="仿宋" w:eastAsia="仿宋"/>
          <w:color w:val="auto"/>
          <w:sz w:val="24"/>
          <w:highlight w:val="none"/>
        </w:rPr>
        <w:t>；甲</w:t>
      </w:r>
      <w:r>
        <w:rPr>
          <w:rFonts w:ascii="仿宋" w:hAnsi="仿宋" w:eastAsia="仿宋"/>
          <w:color w:val="auto"/>
          <w:sz w:val="24"/>
          <w:highlight w:val="none"/>
        </w:rPr>
        <w:t>方收到乙方通知后，认为其理由正当的，可以书面形式酌情同意乙方可以延长</w:t>
      </w:r>
      <w:r>
        <w:rPr>
          <w:rFonts w:hint="eastAsia" w:ascii="仿宋" w:hAnsi="仿宋" w:eastAsia="仿宋"/>
          <w:color w:val="auto"/>
          <w:sz w:val="24"/>
          <w:highlight w:val="none"/>
        </w:rPr>
        <w:t>履行</w:t>
      </w:r>
      <w:r>
        <w:rPr>
          <w:rFonts w:ascii="仿宋" w:hAnsi="仿宋" w:eastAsia="仿宋"/>
          <w:color w:val="auto"/>
          <w:sz w:val="24"/>
          <w:highlight w:val="none"/>
        </w:rPr>
        <w:t>的具体时间。</w:t>
      </w:r>
    </w:p>
    <w:p>
      <w:pPr>
        <w:spacing w:line="560" w:lineRule="exact"/>
        <w:ind w:firstLine="482" w:firstLineChars="200"/>
        <w:outlineLvl w:val="0"/>
        <w:rPr>
          <w:rFonts w:ascii="仿宋" w:hAnsi="仿宋" w:eastAsia="仿宋"/>
          <w:b/>
          <w:color w:val="auto"/>
          <w:sz w:val="24"/>
          <w:highlight w:val="none"/>
        </w:rPr>
      </w:pPr>
      <w:bookmarkStart w:id="664" w:name="_Toc10611"/>
      <w:r>
        <w:rPr>
          <w:rFonts w:ascii="仿宋" w:hAnsi="仿宋" w:eastAsia="仿宋"/>
          <w:b/>
          <w:color w:val="auto"/>
          <w:sz w:val="24"/>
          <w:highlight w:val="none"/>
        </w:rPr>
        <w:t xml:space="preserve">2.9 </w:t>
      </w:r>
      <w:r>
        <w:rPr>
          <w:rFonts w:hint="eastAsia" w:ascii="仿宋" w:hAnsi="仿宋" w:eastAsia="仿宋"/>
          <w:b/>
          <w:color w:val="auto"/>
          <w:sz w:val="24"/>
          <w:highlight w:val="none"/>
        </w:rPr>
        <w:t>合同变更</w:t>
      </w:r>
      <w:bookmarkEnd w:id="664"/>
    </w:p>
    <w:p>
      <w:pPr>
        <w:spacing w:line="56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ascii="仿宋" w:hAnsi="仿宋" w:eastAsia="仿宋"/>
          <w:b/>
          <w:color w:val="auto"/>
          <w:sz w:val="24"/>
          <w:highlight w:val="none"/>
        </w:rPr>
      </w:pPr>
      <w:bookmarkStart w:id="665" w:name="_Toc23368"/>
      <w:bookmarkStart w:id="666" w:name="_Toc42"/>
      <w:bookmarkStart w:id="667" w:name="_Toc26689"/>
      <w:bookmarkStart w:id="668" w:name="_Toc10663"/>
      <w:bookmarkStart w:id="669" w:name="_Toc21830"/>
      <w:r>
        <w:rPr>
          <w:rFonts w:ascii="仿宋" w:hAnsi="仿宋" w:eastAsia="仿宋"/>
          <w:b/>
          <w:color w:val="auto"/>
          <w:sz w:val="24"/>
          <w:highlight w:val="none"/>
        </w:rPr>
        <w:t>2.10 合同转让和分包</w:t>
      </w:r>
      <w:bookmarkEnd w:id="665"/>
      <w:bookmarkEnd w:id="666"/>
      <w:bookmarkEnd w:id="667"/>
      <w:bookmarkEnd w:id="668"/>
      <w:bookmarkEnd w:id="669"/>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合同的权利义务依法不</w:t>
      </w:r>
      <w:r>
        <w:rPr>
          <w:rFonts w:hint="eastAsia" w:ascii="仿宋" w:hAnsi="仿宋" w:eastAsia="仿宋"/>
          <w:color w:val="auto"/>
          <w:sz w:val="24"/>
          <w:highlight w:val="none"/>
        </w:rPr>
        <w:t>得</w:t>
      </w:r>
      <w:r>
        <w:rPr>
          <w:rFonts w:ascii="仿宋" w:hAnsi="仿宋" w:eastAsia="仿宋"/>
          <w:color w:val="auto"/>
          <w:sz w:val="24"/>
          <w:highlight w:val="none"/>
        </w:rPr>
        <w:t>转让</w:t>
      </w:r>
      <w:r>
        <w:rPr>
          <w:rFonts w:hint="eastAsia" w:ascii="仿宋" w:hAnsi="仿宋" w:eastAsia="仿宋"/>
          <w:color w:val="auto"/>
          <w:sz w:val="24"/>
          <w:highlight w:val="none"/>
        </w:rPr>
        <w:t>，</w:t>
      </w:r>
      <w:r>
        <w:rPr>
          <w:rFonts w:ascii="仿宋" w:hAnsi="仿宋" w:eastAsia="仿宋"/>
          <w:color w:val="auto"/>
          <w:sz w:val="24"/>
          <w:highlight w:val="none"/>
        </w:rPr>
        <w:t>但经甲方</w:t>
      </w:r>
      <w:r>
        <w:rPr>
          <w:rFonts w:hint="eastAsia" w:ascii="仿宋" w:hAnsi="仿宋" w:eastAsia="仿宋"/>
          <w:color w:val="auto"/>
          <w:sz w:val="24"/>
          <w:highlight w:val="none"/>
        </w:rPr>
        <w:t>同意，乙方可以依法采取分包方式履行合同，即：依法可以</w:t>
      </w:r>
      <w:r>
        <w:rPr>
          <w:rFonts w:ascii="仿宋" w:hAnsi="仿宋" w:eastAsia="仿宋"/>
          <w:color w:val="auto"/>
          <w:sz w:val="24"/>
          <w:highlight w:val="none"/>
        </w:rPr>
        <w:t>将合同项下的部分非主体、非关键性工作分包给他人完成</w:t>
      </w:r>
      <w:r>
        <w:rPr>
          <w:rFonts w:hint="eastAsia" w:ascii="仿宋" w:hAnsi="仿宋" w:eastAsia="仿宋"/>
          <w:color w:val="auto"/>
          <w:sz w:val="24"/>
          <w:highlight w:val="none"/>
        </w:rPr>
        <w:t>，</w:t>
      </w:r>
      <w:r>
        <w:rPr>
          <w:rFonts w:ascii="仿宋" w:hAnsi="仿宋" w:eastAsia="仿宋"/>
          <w:color w:val="auto"/>
          <w:sz w:val="24"/>
          <w:highlight w:val="none"/>
        </w:rPr>
        <w:t>接受分包的人应当具备相应的资格条件，并不得再次分包</w:t>
      </w:r>
      <w:r>
        <w:rPr>
          <w:rFonts w:hint="eastAsia" w:ascii="仿宋" w:hAnsi="仿宋" w:eastAsia="仿宋"/>
          <w:color w:val="auto"/>
          <w:sz w:val="24"/>
          <w:highlight w:val="none"/>
        </w:rPr>
        <w:t>，</w:t>
      </w:r>
      <w:r>
        <w:rPr>
          <w:rFonts w:ascii="仿宋" w:hAnsi="仿宋" w:eastAsia="仿宋"/>
          <w:color w:val="auto"/>
          <w:sz w:val="24"/>
          <w:highlight w:val="none"/>
        </w:rPr>
        <w:t>且乙方应就分包项目向甲方负责</w:t>
      </w:r>
      <w:r>
        <w:rPr>
          <w:rFonts w:hint="eastAsia" w:ascii="仿宋" w:hAnsi="仿宋" w:eastAsia="仿宋"/>
          <w:color w:val="auto"/>
          <w:sz w:val="24"/>
          <w:highlight w:val="none"/>
        </w:rPr>
        <w:t>，</w:t>
      </w:r>
      <w:r>
        <w:rPr>
          <w:rFonts w:ascii="仿宋" w:hAnsi="仿宋" w:eastAsia="仿宋"/>
          <w:color w:val="auto"/>
          <w:sz w:val="24"/>
          <w:highlight w:val="none"/>
        </w:rPr>
        <w:t>并</w:t>
      </w:r>
      <w:r>
        <w:rPr>
          <w:rFonts w:hint="eastAsia" w:ascii="仿宋" w:hAnsi="仿宋" w:eastAsia="仿宋"/>
          <w:color w:val="auto"/>
          <w:sz w:val="24"/>
          <w:highlight w:val="none"/>
        </w:rPr>
        <w:t>与分包供应商就分包项目向甲方承担连带责任。</w:t>
      </w:r>
    </w:p>
    <w:p>
      <w:pPr>
        <w:spacing w:line="560" w:lineRule="exact"/>
        <w:ind w:firstLine="482" w:firstLineChars="200"/>
        <w:outlineLvl w:val="0"/>
        <w:rPr>
          <w:rFonts w:ascii="仿宋" w:hAnsi="仿宋" w:eastAsia="仿宋"/>
          <w:b/>
          <w:color w:val="auto"/>
          <w:sz w:val="24"/>
          <w:highlight w:val="none"/>
        </w:rPr>
      </w:pPr>
      <w:bookmarkStart w:id="670" w:name="_Toc26633"/>
      <w:bookmarkStart w:id="671" w:name="_Toc25571"/>
      <w:bookmarkStart w:id="672" w:name="_Toc32494"/>
      <w:bookmarkStart w:id="673" w:name="_Toc4720"/>
      <w:bookmarkStart w:id="674" w:name="_Toc14371"/>
      <w:r>
        <w:rPr>
          <w:rFonts w:ascii="仿宋" w:hAnsi="仿宋" w:eastAsia="仿宋"/>
          <w:b/>
          <w:color w:val="auto"/>
          <w:sz w:val="24"/>
          <w:highlight w:val="none"/>
        </w:rPr>
        <w:t>2.11 不可抗力</w:t>
      </w:r>
      <w:bookmarkEnd w:id="670"/>
      <w:bookmarkEnd w:id="671"/>
      <w:bookmarkEnd w:id="672"/>
      <w:bookmarkEnd w:id="673"/>
      <w:bookmarkEnd w:id="674"/>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2.11.1如果任何一方遭遇法律规定的不可抗力，致使合同履行受阻时，履行合同的期限应予延长，延长的期限应相当于不可抗力所影响的时间</w:t>
      </w:r>
      <w:r>
        <w:rPr>
          <w:rFonts w:hint="eastAsia" w:ascii="仿宋" w:hAnsi="仿宋" w:eastAsia="仿宋"/>
          <w:color w:val="auto"/>
          <w:sz w:val="24"/>
          <w:highlight w:val="none"/>
        </w:rPr>
        <w:t>；</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2.11.2 </w:t>
      </w:r>
      <w:r>
        <w:rPr>
          <w:rFonts w:hint="eastAsia" w:ascii="仿宋" w:hAnsi="仿宋" w:eastAsia="仿宋"/>
          <w:color w:val="auto"/>
          <w:sz w:val="24"/>
          <w:highlight w:val="none"/>
        </w:rPr>
        <w:t>因不可抗力致使不能实现合同目的的，当事人可以解除合同；</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2.11.3 </w:t>
      </w:r>
      <w:r>
        <w:rPr>
          <w:rFonts w:hint="eastAsia" w:ascii="仿宋" w:hAnsi="仿宋" w:eastAsia="仿宋"/>
          <w:color w:val="auto"/>
          <w:sz w:val="24"/>
          <w:highlight w:val="none"/>
        </w:rPr>
        <w:t>因</w:t>
      </w:r>
      <w:r>
        <w:rPr>
          <w:rFonts w:ascii="仿宋" w:hAnsi="仿宋" w:eastAsia="仿宋"/>
          <w:color w:val="auto"/>
          <w:sz w:val="24"/>
          <w:highlight w:val="none"/>
        </w:rPr>
        <w:t>不可抗力致使合同有变更必要的，双方当事人应在</w:t>
      </w:r>
      <w:r>
        <w:rPr>
          <w:rFonts w:ascii="仿宋" w:hAnsi="仿宋" w:eastAsia="仿宋"/>
          <w:b/>
          <w:i/>
          <w:color w:val="auto"/>
          <w:sz w:val="24"/>
          <w:highlight w:val="none"/>
          <w:u w:val="single"/>
        </w:rPr>
        <w:t>合同专用条款</w:t>
      </w:r>
      <w:r>
        <w:rPr>
          <w:rFonts w:ascii="仿宋" w:hAnsi="仿宋" w:eastAsia="仿宋"/>
          <w:color w:val="auto"/>
          <w:sz w:val="24"/>
          <w:highlight w:val="none"/>
        </w:rPr>
        <w:t>约定时间内以书面形式变更合同</w:t>
      </w:r>
      <w:r>
        <w:rPr>
          <w:rFonts w:hint="eastAsia" w:ascii="仿宋" w:hAnsi="仿宋" w:eastAsia="仿宋"/>
          <w:color w:val="auto"/>
          <w:sz w:val="24"/>
          <w:highlight w:val="none"/>
        </w:rPr>
        <w:t>；</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2.11.4受</w:t>
      </w:r>
      <w:r>
        <w:rPr>
          <w:rFonts w:hint="eastAsia" w:ascii="仿宋" w:hAnsi="仿宋" w:eastAsia="仿宋"/>
          <w:color w:val="auto"/>
          <w:sz w:val="24"/>
          <w:highlight w:val="none"/>
        </w:rPr>
        <w:t>不可抗力</w:t>
      </w:r>
      <w:r>
        <w:rPr>
          <w:rFonts w:ascii="仿宋" w:hAnsi="仿宋" w:eastAsia="仿宋"/>
          <w:color w:val="auto"/>
          <w:sz w:val="24"/>
          <w:highlight w:val="none"/>
        </w:rPr>
        <w:t>影响的一方在不可抗力发生后</w:t>
      </w:r>
      <w:r>
        <w:rPr>
          <w:rFonts w:hint="eastAsia" w:ascii="仿宋" w:hAnsi="仿宋" w:eastAsia="仿宋"/>
          <w:color w:val="auto"/>
          <w:sz w:val="24"/>
          <w:highlight w:val="none"/>
        </w:rPr>
        <w:t>，</w:t>
      </w:r>
      <w:r>
        <w:rPr>
          <w:rFonts w:ascii="仿宋" w:hAnsi="仿宋" w:eastAsia="仿宋"/>
          <w:color w:val="auto"/>
          <w:sz w:val="24"/>
          <w:highlight w:val="none"/>
        </w:rPr>
        <w:t>应在</w:t>
      </w:r>
      <w:r>
        <w:rPr>
          <w:rFonts w:ascii="仿宋" w:hAnsi="仿宋" w:eastAsia="仿宋"/>
          <w:b/>
          <w:i/>
          <w:color w:val="auto"/>
          <w:sz w:val="24"/>
          <w:highlight w:val="none"/>
          <w:u w:val="single"/>
        </w:rPr>
        <w:t>合同专用条款</w:t>
      </w:r>
      <w:r>
        <w:rPr>
          <w:rFonts w:ascii="仿宋" w:hAnsi="仿宋" w:eastAsia="仿宋"/>
          <w:color w:val="auto"/>
          <w:sz w:val="24"/>
          <w:highlight w:val="none"/>
        </w:rPr>
        <w:t>约定时间内以书面形式通知</w:t>
      </w:r>
      <w:r>
        <w:rPr>
          <w:rFonts w:hint="eastAsia" w:ascii="仿宋" w:hAnsi="仿宋" w:eastAsia="仿宋"/>
          <w:color w:val="auto"/>
          <w:sz w:val="24"/>
          <w:highlight w:val="none"/>
        </w:rPr>
        <w:t>对</w:t>
      </w:r>
      <w:r>
        <w:rPr>
          <w:rFonts w:ascii="仿宋" w:hAnsi="仿宋" w:eastAsia="仿宋"/>
          <w:color w:val="auto"/>
          <w:sz w:val="24"/>
          <w:highlight w:val="none"/>
        </w:rPr>
        <w:t>方当事人，并在</w:t>
      </w:r>
      <w:r>
        <w:rPr>
          <w:rFonts w:ascii="仿宋" w:hAnsi="仿宋" w:eastAsia="仿宋"/>
          <w:b/>
          <w:i/>
          <w:color w:val="auto"/>
          <w:sz w:val="24"/>
          <w:highlight w:val="none"/>
          <w:u w:val="single"/>
        </w:rPr>
        <w:t>合同专用条款</w:t>
      </w:r>
      <w:r>
        <w:rPr>
          <w:rFonts w:ascii="仿宋" w:hAnsi="仿宋" w:eastAsia="仿宋"/>
          <w:color w:val="auto"/>
          <w:sz w:val="24"/>
          <w:highlight w:val="none"/>
        </w:rPr>
        <w:t>约定时间内，将有关部门出具的证明文件送达</w:t>
      </w:r>
      <w:r>
        <w:rPr>
          <w:rFonts w:hint="eastAsia" w:ascii="仿宋" w:hAnsi="仿宋" w:eastAsia="仿宋"/>
          <w:color w:val="auto"/>
          <w:sz w:val="24"/>
          <w:highlight w:val="none"/>
        </w:rPr>
        <w:t>对方当事人</w:t>
      </w:r>
      <w:r>
        <w:rPr>
          <w:rFonts w:ascii="仿宋" w:hAnsi="仿宋" w:eastAsia="仿宋"/>
          <w:color w:val="auto"/>
          <w:sz w:val="24"/>
          <w:highlight w:val="none"/>
        </w:rPr>
        <w:t>。</w:t>
      </w:r>
    </w:p>
    <w:p>
      <w:pPr>
        <w:spacing w:line="560" w:lineRule="exact"/>
        <w:ind w:firstLine="482" w:firstLineChars="200"/>
        <w:outlineLvl w:val="0"/>
        <w:rPr>
          <w:rFonts w:ascii="仿宋" w:hAnsi="仿宋" w:eastAsia="仿宋"/>
          <w:b/>
          <w:color w:val="auto"/>
          <w:sz w:val="24"/>
          <w:highlight w:val="none"/>
        </w:rPr>
      </w:pPr>
      <w:bookmarkStart w:id="675" w:name="_Toc23854"/>
      <w:bookmarkStart w:id="676" w:name="_Toc14115"/>
      <w:bookmarkStart w:id="677" w:name="_Toc24465"/>
      <w:bookmarkStart w:id="678" w:name="_Toc3638"/>
      <w:bookmarkStart w:id="679" w:name="_Toc25783"/>
      <w:r>
        <w:rPr>
          <w:rFonts w:ascii="仿宋" w:hAnsi="仿宋" w:eastAsia="仿宋"/>
          <w:b/>
          <w:color w:val="auto"/>
          <w:sz w:val="24"/>
          <w:highlight w:val="none"/>
        </w:rPr>
        <w:t>2.12 税费</w:t>
      </w:r>
      <w:bookmarkEnd w:id="675"/>
      <w:bookmarkEnd w:id="676"/>
      <w:bookmarkEnd w:id="677"/>
      <w:bookmarkEnd w:id="678"/>
      <w:bookmarkEnd w:id="679"/>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与合同有关的一切税费</w:t>
      </w:r>
      <w:r>
        <w:rPr>
          <w:rFonts w:hint="eastAsia" w:ascii="仿宋" w:hAnsi="仿宋" w:eastAsia="仿宋"/>
          <w:color w:val="auto"/>
          <w:sz w:val="24"/>
          <w:highlight w:val="none"/>
        </w:rPr>
        <w:t>，</w:t>
      </w:r>
      <w:r>
        <w:rPr>
          <w:rFonts w:ascii="仿宋" w:hAnsi="仿宋" w:eastAsia="仿宋"/>
          <w:color w:val="auto"/>
          <w:sz w:val="24"/>
          <w:highlight w:val="none"/>
        </w:rPr>
        <w:t>均按照中华人民共和国法律的相关规定缴纳。</w:t>
      </w:r>
    </w:p>
    <w:p>
      <w:pPr>
        <w:spacing w:line="560" w:lineRule="exact"/>
        <w:ind w:firstLine="482" w:firstLineChars="200"/>
        <w:outlineLvl w:val="0"/>
        <w:rPr>
          <w:rFonts w:ascii="仿宋" w:hAnsi="仿宋" w:eastAsia="仿宋"/>
          <w:b/>
          <w:color w:val="auto"/>
          <w:sz w:val="24"/>
          <w:highlight w:val="none"/>
        </w:rPr>
      </w:pPr>
      <w:bookmarkStart w:id="680" w:name="_Toc7315"/>
      <w:bookmarkStart w:id="681" w:name="_Toc25525"/>
      <w:bookmarkStart w:id="682" w:name="_Toc30105"/>
      <w:bookmarkStart w:id="683" w:name="_Toc14814"/>
      <w:bookmarkStart w:id="684" w:name="_Toc26883"/>
      <w:r>
        <w:rPr>
          <w:rFonts w:ascii="仿宋" w:hAnsi="仿宋" w:eastAsia="仿宋"/>
          <w:b/>
          <w:color w:val="auto"/>
          <w:sz w:val="24"/>
          <w:highlight w:val="none"/>
        </w:rPr>
        <w:t>2.13 乙方破产</w:t>
      </w:r>
      <w:bookmarkEnd w:id="680"/>
      <w:bookmarkEnd w:id="681"/>
      <w:bookmarkEnd w:id="682"/>
      <w:bookmarkEnd w:id="683"/>
      <w:bookmarkEnd w:id="684"/>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如果乙方破产导致合同无法履行时，甲方可以书面形式通知乙方终止合同且不给予乙方任何补偿和赔偿</w:t>
      </w:r>
      <w:r>
        <w:rPr>
          <w:rFonts w:hint="eastAsia" w:ascii="仿宋" w:hAnsi="仿宋" w:eastAsia="仿宋"/>
          <w:color w:val="auto"/>
          <w:sz w:val="24"/>
          <w:highlight w:val="none"/>
        </w:rPr>
        <w:t>，但合同的</w:t>
      </w:r>
      <w:r>
        <w:rPr>
          <w:rFonts w:ascii="仿宋" w:hAnsi="仿宋" w:eastAsia="仿宋"/>
          <w:color w:val="auto"/>
          <w:sz w:val="24"/>
          <w:highlight w:val="none"/>
        </w:rPr>
        <w:t>终止不损害或不影响甲方已经采取或将要采取的任何要求乙方支付违约金</w:t>
      </w:r>
      <w:r>
        <w:rPr>
          <w:rFonts w:hint="eastAsia" w:ascii="仿宋" w:hAnsi="仿宋" w:eastAsia="仿宋"/>
          <w:color w:val="auto"/>
          <w:sz w:val="24"/>
          <w:highlight w:val="none"/>
        </w:rPr>
        <w:t>、</w:t>
      </w:r>
      <w:r>
        <w:rPr>
          <w:rFonts w:ascii="仿宋" w:hAnsi="仿宋" w:eastAsia="仿宋"/>
          <w:color w:val="auto"/>
          <w:sz w:val="24"/>
          <w:highlight w:val="none"/>
        </w:rPr>
        <w:t>赔偿损失等的行动或补救措施的权利</w:t>
      </w:r>
      <w:r>
        <w:rPr>
          <w:rFonts w:hint="eastAsia" w:ascii="仿宋" w:hAnsi="仿宋" w:eastAsia="仿宋"/>
          <w:color w:val="auto"/>
          <w:sz w:val="24"/>
          <w:highlight w:val="none"/>
        </w:rPr>
        <w:t>。</w:t>
      </w:r>
    </w:p>
    <w:p>
      <w:pPr>
        <w:spacing w:line="560" w:lineRule="exact"/>
        <w:ind w:firstLine="482" w:firstLineChars="200"/>
        <w:outlineLvl w:val="0"/>
        <w:rPr>
          <w:rFonts w:ascii="仿宋" w:hAnsi="仿宋" w:eastAsia="仿宋"/>
          <w:b/>
          <w:color w:val="auto"/>
          <w:sz w:val="24"/>
          <w:highlight w:val="none"/>
        </w:rPr>
      </w:pPr>
      <w:bookmarkStart w:id="685" w:name="_Toc2016"/>
      <w:bookmarkStart w:id="686" w:name="_Toc23323"/>
      <w:bookmarkStart w:id="687" w:name="_Toc1123"/>
      <w:r>
        <w:rPr>
          <w:rFonts w:ascii="仿宋" w:hAnsi="仿宋" w:eastAsia="仿宋"/>
          <w:b/>
          <w:color w:val="auto"/>
          <w:sz w:val="24"/>
          <w:highlight w:val="none"/>
        </w:rPr>
        <w:t>2.14 合同中止、终止</w:t>
      </w:r>
      <w:bookmarkEnd w:id="685"/>
      <w:bookmarkEnd w:id="686"/>
      <w:bookmarkEnd w:id="687"/>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2.14.1 </w:t>
      </w:r>
      <w:r>
        <w:rPr>
          <w:rFonts w:hint="eastAsia" w:ascii="仿宋" w:hAnsi="仿宋" w:eastAsia="仿宋"/>
          <w:color w:val="auto"/>
          <w:sz w:val="24"/>
          <w:highlight w:val="none"/>
        </w:rPr>
        <w:t>双方当事人不得擅自中止或者终止合同；</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仿宋" w:hAnsi="仿宋" w:eastAsia="仿宋"/>
          <w:b/>
          <w:color w:val="auto"/>
          <w:sz w:val="24"/>
          <w:highlight w:val="none"/>
        </w:rPr>
      </w:pPr>
      <w:bookmarkStart w:id="688" w:name="_Toc14525"/>
      <w:bookmarkStart w:id="689" w:name="_Toc17363"/>
      <w:bookmarkStart w:id="690" w:name="_Toc1969"/>
      <w:r>
        <w:rPr>
          <w:rFonts w:ascii="仿宋" w:hAnsi="仿宋" w:eastAsia="仿宋"/>
          <w:b/>
          <w:color w:val="auto"/>
          <w:sz w:val="24"/>
          <w:highlight w:val="none"/>
        </w:rPr>
        <w:t>2.15 检验和验收</w:t>
      </w:r>
      <w:bookmarkEnd w:id="688"/>
      <w:bookmarkEnd w:id="689"/>
      <w:bookmarkEnd w:id="690"/>
    </w:p>
    <w:p>
      <w:pPr>
        <w:tabs>
          <w:tab w:val="left" w:pos="360"/>
          <w:tab w:val="left" w:pos="540"/>
          <w:tab w:val="left" w:pos="1080"/>
        </w:tabs>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2.15.1 </w:t>
      </w:r>
      <w:r>
        <w:rPr>
          <w:rFonts w:hint="eastAsia" w:ascii="仿宋" w:hAnsi="仿宋" w:eastAsia="仿宋"/>
          <w:color w:val="auto"/>
          <w:sz w:val="24"/>
          <w:highlight w:val="none"/>
        </w:rPr>
        <w:t>乙方按照</w:t>
      </w:r>
      <w:r>
        <w:rPr>
          <w:rFonts w:ascii="仿宋" w:hAnsi="仿宋" w:eastAsia="仿宋"/>
          <w:b/>
          <w:i/>
          <w:color w:val="auto"/>
          <w:sz w:val="24"/>
          <w:highlight w:val="none"/>
          <w:u w:val="single"/>
        </w:rPr>
        <w:t>合同专用条款</w:t>
      </w:r>
      <w:r>
        <w:rPr>
          <w:rFonts w:ascii="仿宋" w:hAnsi="仿宋" w:eastAsia="仿宋"/>
          <w:color w:val="auto"/>
          <w:sz w:val="24"/>
          <w:highlight w:val="none"/>
        </w:rPr>
        <w:t>的约定</w:t>
      </w:r>
      <w:r>
        <w:rPr>
          <w:rFonts w:hint="eastAsia" w:ascii="仿宋" w:hAnsi="仿宋" w:eastAsia="仿宋"/>
          <w:color w:val="auto"/>
          <w:sz w:val="24"/>
          <w:highlight w:val="none"/>
        </w:rPr>
        <w:t>，</w:t>
      </w:r>
      <w:r>
        <w:rPr>
          <w:rFonts w:ascii="仿宋" w:hAnsi="仿宋" w:eastAsia="仿宋"/>
          <w:color w:val="auto"/>
          <w:sz w:val="24"/>
          <w:highlight w:val="none"/>
        </w:rPr>
        <w:t>定期提交服务报告</w:t>
      </w:r>
      <w:r>
        <w:rPr>
          <w:rFonts w:hint="eastAsia" w:ascii="仿宋" w:hAnsi="仿宋" w:eastAsia="仿宋"/>
          <w:color w:val="auto"/>
          <w:sz w:val="24"/>
          <w:highlight w:val="none"/>
        </w:rPr>
        <w:t>，甲方按照</w:t>
      </w:r>
      <w:r>
        <w:rPr>
          <w:rFonts w:ascii="仿宋" w:hAnsi="仿宋" w:eastAsia="仿宋"/>
          <w:b/>
          <w:i/>
          <w:color w:val="auto"/>
          <w:sz w:val="24"/>
          <w:highlight w:val="none"/>
          <w:u w:val="single"/>
        </w:rPr>
        <w:t>合同专用条款</w:t>
      </w:r>
      <w:r>
        <w:rPr>
          <w:rFonts w:ascii="仿宋" w:hAnsi="仿宋" w:eastAsia="仿宋"/>
          <w:color w:val="auto"/>
          <w:sz w:val="24"/>
          <w:highlight w:val="none"/>
        </w:rPr>
        <w:t>的约定进行定期验收</w:t>
      </w:r>
      <w:r>
        <w:rPr>
          <w:rFonts w:hint="eastAsia" w:ascii="仿宋" w:hAnsi="仿宋" w:eastAsia="仿宋"/>
          <w:color w:val="auto"/>
          <w:sz w:val="24"/>
          <w:highlight w:val="none"/>
        </w:rPr>
        <w:t>；</w:t>
      </w:r>
    </w:p>
    <w:p>
      <w:pPr>
        <w:tabs>
          <w:tab w:val="left" w:pos="360"/>
          <w:tab w:val="left" w:pos="540"/>
          <w:tab w:val="left" w:pos="1080"/>
        </w:tabs>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2.15.2 </w:t>
      </w:r>
      <w:r>
        <w:rPr>
          <w:rFonts w:hint="eastAsia" w:ascii="仿宋" w:hAnsi="仿宋" w:eastAsia="仿宋"/>
          <w:color w:val="auto"/>
          <w:sz w:val="24"/>
          <w:highlight w:val="none"/>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2.15.3 </w:t>
      </w:r>
      <w:r>
        <w:rPr>
          <w:rFonts w:hint="eastAsia" w:ascii="仿宋" w:hAnsi="仿宋" w:eastAsia="仿宋"/>
          <w:color w:val="auto"/>
          <w:sz w:val="24"/>
          <w:highlight w:val="none"/>
        </w:rPr>
        <w:t>检验和验收标准、程序等具体内容以及前述验收书的效力详见</w:t>
      </w:r>
      <w:r>
        <w:rPr>
          <w:rFonts w:ascii="仿宋" w:hAnsi="仿宋" w:eastAsia="仿宋"/>
          <w:b/>
          <w:i/>
          <w:color w:val="auto"/>
          <w:sz w:val="24"/>
          <w:highlight w:val="none"/>
          <w:u w:val="single"/>
        </w:rPr>
        <w:t>合同专用条款</w:t>
      </w:r>
      <w:r>
        <w:rPr>
          <w:rFonts w:hint="eastAsia" w:ascii="仿宋" w:hAnsi="仿宋" w:eastAsia="仿宋"/>
          <w:i/>
          <w:color w:val="auto"/>
          <w:sz w:val="24"/>
          <w:highlight w:val="none"/>
        </w:rPr>
        <w:t>。</w:t>
      </w:r>
    </w:p>
    <w:p>
      <w:pPr>
        <w:spacing w:line="560" w:lineRule="exact"/>
        <w:ind w:firstLine="482" w:firstLineChars="200"/>
        <w:outlineLvl w:val="0"/>
        <w:rPr>
          <w:rFonts w:ascii="仿宋" w:hAnsi="仿宋" w:eastAsia="仿宋"/>
          <w:b/>
          <w:color w:val="auto"/>
          <w:sz w:val="24"/>
          <w:highlight w:val="none"/>
        </w:rPr>
      </w:pPr>
      <w:bookmarkStart w:id="691" w:name="_Toc12666"/>
      <w:bookmarkStart w:id="692" w:name="_Toc25198"/>
      <w:bookmarkStart w:id="693" w:name="_Toc31892"/>
      <w:bookmarkStart w:id="694" w:name="_Toc9808"/>
      <w:bookmarkStart w:id="695" w:name="_Toc2308"/>
      <w:r>
        <w:rPr>
          <w:rFonts w:ascii="仿宋" w:hAnsi="仿宋" w:eastAsia="仿宋"/>
          <w:b/>
          <w:color w:val="auto"/>
          <w:sz w:val="24"/>
          <w:highlight w:val="none"/>
        </w:rPr>
        <w:t>2.16 通知和送达</w:t>
      </w:r>
      <w:bookmarkEnd w:id="691"/>
      <w:bookmarkEnd w:id="692"/>
      <w:bookmarkEnd w:id="693"/>
      <w:bookmarkEnd w:id="694"/>
      <w:bookmarkEnd w:id="695"/>
    </w:p>
    <w:p>
      <w:pPr>
        <w:spacing w:line="560" w:lineRule="exact"/>
        <w:ind w:firstLine="480" w:firstLineChars="200"/>
        <w:rPr>
          <w:rFonts w:ascii="仿宋" w:hAnsi="仿宋" w:eastAsia="仿宋"/>
          <w:color w:val="auto"/>
          <w:sz w:val="24"/>
          <w:highlight w:val="none"/>
        </w:rPr>
      </w:pPr>
      <w:bookmarkStart w:id="696" w:name="_Toc27674"/>
      <w:bookmarkStart w:id="697" w:name="_Toc18401"/>
      <w:r>
        <w:rPr>
          <w:rFonts w:ascii="仿宋" w:hAnsi="仿宋" w:eastAsia="仿宋"/>
          <w:color w:val="auto"/>
          <w:sz w:val="24"/>
          <w:highlight w:val="none"/>
        </w:rPr>
        <w:t>2.17.1</w:t>
      </w:r>
      <w:r>
        <w:rPr>
          <w:rFonts w:hint="eastAsia" w:ascii="仿宋" w:hAnsi="仿宋" w:eastAsia="仿宋"/>
          <w:color w:val="auto"/>
          <w:sz w:val="24"/>
          <w:highlight w:val="none"/>
        </w:rPr>
        <w:t>任何一方因履行合同而以合同第一部分尾部所列明的传真或电子邮件</w:t>
      </w:r>
      <w:r>
        <w:rPr>
          <w:rFonts w:ascii="仿宋" w:hAnsi="仿宋" w:eastAsia="仿宋"/>
          <w:color w:val="auto"/>
          <w:sz w:val="24"/>
          <w:highlight w:val="none"/>
        </w:rPr>
        <w:t xml:space="preserve"> </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发出的所有通知、文件、材料，均视为已向对方当事人送达；任何一方变更上述送达方式或者地址的，应于</w:t>
      </w:r>
      <w:r>
        <w:rPr>
          <w:rFonts w:ascii="仿宋" w:hAnsi="仿宋" w:eastAsia="仿宋"/>
          <w:color w:val="auto"/>
          <w:sz w:val="24"/>
          <w:highlight w:val="none"/>
          <w:u w:val="single"/>
        </w:rPr>
        <w:t>3</w:t>
      </w:r>
      <w:r>
        <w:rPr>
          <w:rFonts w:hint="eastAsia" w:ascii="仿宋" w:hAnsi="仿宋" w:eastAsia="仿宋"/>
          <w:color w:val="auto"/>
          <w:sz w:val="24"/>
          <w:highlight w:val="none"/>
        </w:rPr>
        <w:t>个工作日内书面通知对方当事人，在对方当事人收到有关变更通知之前，变更前的约定送达方式或者地址仍视为有效。</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2.17.2以当面交付方式送达的，交付之时视为送达；以电子邮件方式送达的，发出电子邮件之时视为送达；以传真方式送达的，发出传真之时视为送达；以邮寄方式送达</w:t>
      </w:r>
      <w:r>
        <w:rPr>
          <w:rFonts w:hint="eastAsia" w:ascii="仿宋" w:hAnsi="仿宋" w:eastAsia="仿宋"/>
          <w:color w:val="auto"/>
          <w:sz w:val="24"/>
          <w:highlight w:val="none"/>
        </w:rPr>
        <w:t>的，邮件挂号寄出或者交邮之日之次日视为送达。</w:t>
      </w:r>
      <w:bookmarkEnd w:id="696"/>
      <w:bookmarkEnd w:id="697"/>
    </w:p>
    <w:p>
      <w:pPr>
        <w:spacing w:line="560" w:lineRule="exact"/>
        <w:ind w:firstLine="482" w:firstLineChars="200"/>
        <w:outlineLvl w:val="0"/>
        <w:rPr>
          <w:rFonts w:ascii="仿宋" w:hAnsi="仿宋" w:eastAsia="仿宋"/>
          <w:b/>
          <w:color w:val="auto"/>
          <w:sz w:val="24"/>
          <w:highlight w:val="none"/>
        </w:rPr>
      </w:pPr>
      <w:bookmarkStart w:id="698" w:name="_Toc20808"/>
      <w:bookmarkStart w:id="699" w:name="_Toc5063"/>
      <w:bookmarkStart w:id="700" w:name="_Toc28906"/>
      <w:bookmarkStart w:id="701" w:name="_Toc12254"/>
      <w:bookmarkStart w:id="702" w:name="_Toc27644"/>
      <w:r>
        <w:rPr>
          <w:rFonts w:ascii="仿宋" w:hAnsi="仿宋" w:eastAsia="仿宋"/>
          <w:b/>
          <w:color w:val="auto"/>
          <w:sz w:val="24"/>
          <w:highlight w:val="none"/>
        </w:rPr>
        <w:t xml:space="preserve">2.17 </w:t>
      </w:r>
      <w:r>
        <w:rPr>
          <w:rFonts w:hint="eastAsia" w:ascii="仿宋" w:hAnsi="仿宋" w:eastAsia="仿宋"/>
          <w:b/>
          <w:color w:val="auto"/>
          <w:sz w:val="24"/>
          <w:highlight w:val="none"/>
        </w:rPr>
        <w:t>合同使用的文字和</w:t>
      </w:r>
      <w:r>
        <w:rPr>
          <w:rFonts w:ascii="仿宋" w:hAnsi="仿宋" w:eastAsia="仿宋"/>
          <w:b/>
          <w:color w:val="auto"/>
          <w:sz w:val="24"/>
          <w:highlight w:val="none"/>
        </w:rPr>
        <w:t>适用的法律</w:t>
      </w:r>
      <w:bookmarkEnd w:id="698"/>
      <w:bookmarkEnd w:id="699"/>
      <w:bookmarkEnd w:id="700"/>
      <w:bookmarkEnd w:id="701"/>
      <w:bookmarkEnd w:id="702"/>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2.17.1 合同使用汉语书就</w:t>
      </w:r>
      <w:r>
        <w:rPr>
          <w:rFonts w:hint="eastAsia" w:ascii="仿宋" w:hAnsi="仿宋" w:eastAsia="仿宋"/>
          <w:color w:val="auto"/>
          <w:sz w:val="24"/>
          <w:highlight w:val="none"/>
        </w:rPr>
        <w:t>、</w:t>
      </w:r>
      <w:r>
        <w:rPr>
          <w:rFonts w:ascii="仿宋" w:hAnsi="仿宋" w:eastAsia="仿宋"/>
          <w:color w:val="auto"/>
          <w:sz w:val="24"/>
          <w:highlight w:val="none"/>
        </w:rPr>
        <w:t>变更和解释</w:t>
      </w:r>
      <w:r>
        <w:rPr>
          <w:rFonts w:hint="eastAsia" w:ascii="仿宋" w:hAnsi="仿宋" w:eastAsia="仿宋"/>
          <w:color w:val="auto"/>
          <w:sz w:val="24"/>
          <w:highlight w:val="none"/>
        </w:rPr>
        <w:t>；</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2.17.2 </w:t>
      </w:r>
      <w:r>
        <w:rPr>
          <w:rFonts w:hint="eastAsia" w:ascii="仿宋" w:hAnsi="仿宋" w:eastAsia="仿宋"/>
          <w:color w:val="auto"/>
          <w:sz w:val="24"/>
          <w:highlight w:val="none"/>
        </w:rPr>
        <w:t>合同适用</w:t>
      </w:r>
      <w:r>
        <w:rPr>
          <w:rFonts w:ascii="仿宋" w:hAnsi="仿宋" w:eastAsia="仿宋"/>
          <w:color w:val="auto"/>
          <w:sz w:val="24"/>
          <w:highlight w:val="none"/>
        </w:rPr>
        <w:t>中华人民共和国法律。</w:t>
      </w:r>
    </w:p>
    <w:p>
      <w:pPr>
        <w:spacing w:line="560" w:lineRule="exact"/>
        <w:ind w:firstLine="482" w:firstLineChars="200"/>
        <w:outlineLvl w:val="0"/>
        <w:rPr>
          <w:rFonts w:ascii="仿宋" w:hAnsi="仿宋" w:eastAsia="仿宋"/>
          <w:b/>
          <w:color w:val="auto"/>
          <w:sz w:val="24"/>
          <w:highlight w:val="none"/>
        </w:rPr>
      </w:pPr>
      <w:bookmarkStart w:id="703" w:name="_Toc30096"/>
      <w:bookmarkStart w:id="704" w:name="_Toc22266"/>
      <w:bookmarkStart w:id="705" w:name="_Toc27127"/>
      <w:bookmarkStart w:id="706" w:name="_Toc27403"/>
      <w:bookmarkStart w:id="707" w:name="_Toc1492"/>
      <w:r>
        <w:rPr>
          <w:rFonts w:ascii="仿宋" w:hAnsi="仿宋" w:eastAsia="仿宋"/>
          <w:b/>
          <w:color w:val="auto"/>
          <w:sz w:val="24"/>
          <w:highlight w:val="none"/>
        </w:rPr>
        <w:t>2.18 履约保证金</w:t>
      </w:r>
      <w:bookmarkEnd w:id="703"/>
      <w:bookmarkEnd w:id="704"/>
      <w:bookmarkEnd w:id="705"/>
      <w:bookmarkEnd w:id="706"/>
      <w:bookmarkEnd w:id="707"/>
    </w:p>
    <w:p>
      <w:pPr>
        <w:pStyle w:val="642"/>
        <w:spacing w:before="0" w:beforeAutospacing="0" w:after="0" w:afterAutospacing="0" w:line="360" w:lineRule="auto"/>
        <w:ind w:firstLine="420"/>
        <w:rPr>
          <w:rFonts w:ascii="仿宋" w:hAnsi="仿宋" w:eastAsia="仿宋"/>
          <w:color w:val="auto"/>
          <w:highlight w:val="none"/>
        </w:rPr>
      </w:pPr>
      <w:r>
        <w:rPr>
          <w:rFonts w:ascii="仿宋" w:hAnsi="仿宋" w:eastAsia="仿宋"/>
          <w:color w:val="auto"/>
          <w:highlight w:val="none"/>
        </w:rPr>
        <w:t xml:space="preserve">2.18.1 </w:t>
      </w:r>
      <w:r>
        <w:rPr>
          <w:rFonts w:hint="eastAsia" w:ascii="仿宋" w:hAnsi="仿宋" w:eastAsia="仿宋"/>
          <w:color w:val="auto"/>
          <w:highlight w:val="none"/>
        </w:rPr>
        <w:t>采购文件要求乙方提交履约保证金的，乙方应按</w:t>
      </w:r>
      <w:r>
        <w:rPr>
          <w:rFonts w:hint="eastAsia" w:ascii="仿宋" w:hAnsi="仿宋" w:eastAsia="仿宋"/>
          <w:b/>
          <w:i/>
          <w:color w:val="auto"/>
          <w:highlight w:val="none"/>
          <w:u w:val="single"/>
        </w:rPr>
        <w:t>合同专用条款</w:t>
      </w:r>
      <w:r>
        <w:rPr>
          <w:rFonts w:hint="eastAsia" w:ascii="仿宋" w:hAnsi="仿宋" w:eastAsia="仿宋"/>
          <w:color w:val="auto"/>
          <w:highlight w:val="none"/>
        </w:rPr>
        <w:t>约定的方式，以支票、汇票、本票或者金融机构、担保机构出具的保函等非现金形式，提交不超过合同金额</w:t>
      </w:r>
      <w:r>
        <w:rPr>
          <w:rFonts w:ascii="仿宋" w:hAnsi="仿宋" w:eastAsia="仿宋"/>
          <w:color w:val="auto"/>
          <w:highlight w:val="none"/>
        </w:rPr>
        <w:t>1%的履约保证金；鼓励和支持乙方以银行、保险公司出具的保函形式提供履约保证</w:t>
      </w:r>
      <w:r>
        <w:rPr>
          <w:rFonts w:hint="eastAsia" w:ascii="仿宋" w:hAnsi="仿宋" w:eastAsia="仿宋"/>
          <w:color w:val="auto"/>
          <w:highlight w:val="none"/>
        </w:rPr>
        <w:t>，乙方以银行、保险公司出具保函形式提交履约保证金的，甲方不得拒收。</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2.18.2  </w:t>
      </w:r>
      <w:r>
        <w:rPr>
          <w:rFonts w:hint="eastAsia" w:ascii="仿宋" w:hAnsi="仿宋" w:eastAsia="仿宋"/>
          <w:color w:val="auto"/>
          <w:sz w:val="24"/>
          <w:highlight w:val="none"/>
        </w:rPr>
        <w:t>甲方在项目验收结束后及时退还履约保证金。甲方在项目通过验收之日起</w:t>
      </w:r>
      <w:r>
        <w:rPr>
          <w:rFonts w:ascii="仿宋" w:hAnsi="仿宋" w:eastAsia="仿宋"/>
          <w:color w:val="auto"/>
          <w:sz w:val="24"/>
          <w:highlight w:val="none"/>
          <w:u w:val="single"/>
        </w:rPr>
        <w:t xml:space="preserve"> 5 </w:t>
      </w:r>
      <w:r>
        <w:rPr>
          <w:rFonts w:hint="eastAsia" w:ascii="仿宋" w:hAnsi="仿宋" w:eastAsia="仿宋"/>
          <w:color w:val="auto"/>
          <w:sz w:val="24"/>
          <w:highlight w:val="none"/>
        </w:rPr>
        <w:t>个工作日内，按</w:t>
      </w:r>
      <w:r>
        <w:rPr>
          <w:rFonts w:hint="eastAsia" w:ascii="仿宋" w:hAnsi="仿宋" w:eastAsia="仿宋"/>
          <w:b/>
          <w:i/>
          <w:color w:val="auto"/>
          <w:sz w:val="24"/>
          <w:highlight w:val="none"/>
          <w:u w:val="single"/>
        </w:rPr>
        <w:t>合同专用条款</w:t>
      </w:r>
      <w:r>
        <w:rPr>
          <w:rFonts w:hint="eastAsia" w:ascii="仿宋" w:hAnsi="仿宋" w:eastAsia="仿宋"/>
          <w:color w:val="auto"/>
          <w:sz w:val="24"/>
          <w:highlight w:val="none"/>
        </w:rPr>
        <w:t>约定的方式将履约保证金退还乙方，逾期退还的，乙方可要求甲方支付违约金，违约金按每迟延退还一日的应退还而未退还金额的</w:t>
      </w:r>
      <w:r>
        <w:rPr>
          <w:rFonts w:ascii="仿宋" w:hAnsi="仿宋" w:eastAsia="仿宋"/>
          <w:color w:val="auto"/>
          <w:sz w:val="24"/>
          <w:highlight w:val="none"/>
          <w:u w:val="single"/>
        </w:rPr>
        <w:t xml:space="preserve">  0.05  </w:t>
      </w:r>
      <w:r>
        <w:rPr>
          <w:rFonts w:ascii="仿宋" w:hAnsi="仿宋" w:eastAsia="仿宋"/>
          <w:color w:val="auto"/>
          <w:sz w:val="24"/>
          <w:highlight w:val="none"/>
        </w:rPr>
        <w:t>%计算，最高限额为本合同履约保证金的</w:t>
      </w:r>
      <w:r>
        <w:rPr>
          <w:rFonts w:ascii="仿宋" w:hAnsi="仿宋" w:eastAsia="仿宋"/>
          <w:color w:val="auto"/>
          <w:sz w:val="24"/>
          <w:highlight w:val="none"/>
          <w:u w:val="single"/>
        </w:rPr>
        <w:t xml:space="preserve">  20   </w:t>
      </w:r>
      <w:r>
        <w:rPr>
          <w:rFonts w:ascii="仿宋" w:hAnsi="仿宋" w:eastAsia="仿宋"/>
          <w:color w:val="auto"/>
          <w:sz w:val="24"/>
          <w:highlight w:val="none"/>
        </w:rPr>
        <w:t xml:space="preserve">%； </w:t>
      </w:r>
    </w:p>
    <w:p>
      <w:pPr>
        <w:spacing w:line="560" w:lineRule="exact"/>
        <w:ind w:firstLine="482" w:firstLineChars="200"/>
        <w:rPr>
          <w:rFonts w:ascii="仿宋" w:hAnsi="仿宋" w:eastAsia="仿宋"/>
          <w:color w:val="auto"/>
          <w:sz w:val="24"/>
          <w:highlight w:val="none"/>
        </w:rPr>
      </w:pPr>
      <w:r>
        <w:rPr>
          <w:rFonts w:ascii="仿宋" w:hAnsi="仿宋" w:eastAsia="仿宋"/>
          <w:b/>
          <w:bCs/>
          <w:color w:val="auto"/>
          <w:sz w:val="24"/>
          <w:highlight w:val="none"/>
        </w:rPr>
        <w:t>2.19</w:t>
      </w:r>
      <w:r>
        <w:rPr>
          <w:rFonts w:ascii="仿宋" w:hAnsi="仿宋" w:eastAsia="仿宋"/>
          <w:color w:val="auto"/>
          <w:sz w:val="24"/>
          <w:highlight w:val="none"/>
        </w:rPr>
        <w:t>对于因甲方原因导致变更、中止或者终止政府采购合同的，甲方应当依照合同约定对供应商受到的损失予以赔偿或者补偿</w:t>
      </w:r>
      <w:r>
        <w:rPr>
          <w:rFonts w:hint="eastAsia" w:ascii="仿宋" w:hAnsi="仿宋" w:eastAsia="仿宋"/>
          <w:color w:val="auto"/>
          <w:sz w:val="24"/>
          <w:highlight w:val="none"/>
        </w:rPr>
        <w:t>。</w:t>
      </w:r>
    </w:p>
    <w:p>
      <w:pPr>
        <w:spacing w:line="560" w:lineRule="exact"/>
        <w:ind w:firstLine="482" w:firstLineChars="200"/>
        <w:rPr>
          <w:rFonts w:ascii="仿宋" w:hAnsi="仿宋" w:eastAsia="仿宋"/>
          <w:b/>
          <w:color w:val="auto"/>
          <w:sz w:val="24"/>
          <w:highlight w:val="none"/>
        </w:rPr>
      </w:pPr>
      <w:r>
        <w:rPr>
          <w:rFonts w:ascii="仿宋" w:hAnsi="仿宋" w:eastAsia="仿宋"/>
          <w:b/>
          <w:color w:val="auto"/>
          <w:sz w:val="24"/>
          <w:highlight w:val="none"/>
        </w:rPr>
        <w:t>2.20合同份数</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合同份数按</w:t>
      </w:r>
      <w:r>
        <w:rPr>
          <w:rFonts w:ascii="仿宋" w:hAnsi="仿宋" w:eastAsia="仿宋"/>
          <w:b/>
          <w:i/>
          <w:color w:val="auto"/>
          <w:sz w:val="24"/>
          <w:highlight w:val="none"/>
          <w:u w:val="single"/>
        </w:rPr>
        <w:t>合同专用条款</w:t>
      </w:r>
      <w:r>
        <w:rPr>
          <w:rFonts w:ascii="仿宋" w:hAnsi="仿宋" w:eastAsia="仿宋"/>
          <w:color w:val="auto"/>
          <w:sz w:val="24"/>
          <w:highlight w:val="none"/>
        </w:rPr>
        <w:t>规定</w:t>
      </w:r>
      <w:r>
        <w:rPr>
          <w:rFonts w:hint="eastAsia" w:ascii="仿宋" w:hAnsi="仿宋" w:eastAsia="仿宋"/>
          <w:color w:val="auto"/>
          <w:sz w:val="24"/>
          <w:highlight w:val="none"/>
        </w:rPr>
        <w:t>，</w:t>
      </w:r>
      <w:r>
        <w:rPr>
          <w:rFonts w:ascii="仿宋" w:hAnsi="仿宋" w:eastAsia="仿宋"/>
          <w:color w:val="auto"/>
          <w:sz w:val="24"/>
          <w:highlight w:val="none"/>
        </w:rPr>
        <w:t>每份均具有同等法律效力</w:t>
      </w:r>
      <w:r>
        <w:rPr>
          <w:rFonts w:hint="eastAsia" w:ascii="仿宋" w:hAnsi="仿宋" w:eastAsia="仿宋"/>
          <w:color w:val="auto"/>
          <w:sz w:val="24"/>
          <w:highlight w:val="none"/>
        </w:rPr>
        <w:t>。</w:t>
      </w:r>
    </w:p>
    <w:p>
      <w:pPr>
        <w:spacing w:line="560" w:lineRule="exact"/>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w:t>
      </w:r>
    </w:p>
    <w:p>
      <w:pPr>
        <w:pStyle w:val="410"/>
        <w:spacing w:before="120" w:line="560" w:lineRule="exact"/>
        <w:jc w:val="center"/>
        <w:rPr>
          <w:rFonts w:ascii="仿宋" w:hAnsi="仿宋" w:eastAsia="仿宋" w:cs="宋体"/>
          <w:b/>
          <w:color w:val="auto"/>
          <w:szCs w:val="24"/>
          <w:highlight w:val="none"/>
        </w:rPr>
      </w:pPr>
      <w:r>
        <w:rPr>
          <w:rFonts w:hint="eastAsia" w:ascii="仿宋" w:hAnsi="仿宋" w:eastAsia="仿宋" w:cs="宋体"/>
          <w:color w:val="auto"/>
          <w:kern w:val="0"/>
          <w:szCs w:val="24"/>
          <w:highlight w:val="none"/>
        </w:rPr>
        <w:br w:type="page"/>
      </w:r>
      <w:bookmarkStart w:id="708" w:name="_Toc331685784"/>
      <w:r>
        <w:rPr>
          <w:rFonts w:hint="eastAsia" w:ascii="仿宋" w:hAnsi="仿宋" w:eastAsia="仿宋" w:cs="宋体"/>
          <w:b/>
          <w:color w:val="auto"/>
          <w:szCs w:val="24"/>
          <w:highlight w:val="none"/>
        </w:rPr>
        <w:t xml:space="preserve"> </w:t>
      </w:r>
      <w:bookmarkEnd w:id="708"/>
      <w:r>
        <w:rPr>
          <w:rFonts w:hint="eastAsia" w:ascii="仿宋" w:hAnsi="仿宋" w:eastAsia="仿宋" w:cs="宋体"/>
          <w:b/>
          <w:color w:val="auto"/>
          <w:szCs w:val="24"/>
          <w:highlight w:val="none"/>
        </w:rPr>
        <w:t>第三部分  合同专用条款</w:t>
      </w:r>
    </w:p>
    <w:p>
      <w:pPr>
        <w:pStyle w:val="36"/>
        <w:ind w:left="1680"/>
        <w:rPr>
          <w:rFonts w:ascii="仿宋" w:hAnsi="仿宋" w:eastAsia="仿宋"/>
          <w:color w:val="auto"/>
          <w:highlight w:val="none"/>
        </w:rPr>
      </w:pPr>
    </w:p>
    <w:tbl>
      <w:tblPr>
        <w:tblStyle w:val="88"/>
        <w:tblW w:w="5000" w:type="pct"/>
        <w:tblInd w:w="17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780"/>
        <w:gridCol w:w="758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466" w:type="pct"/>
            <w:tcBorders>
              <w:left w:val="single" w:color="auto" w:sz="4" w:space="0"/>
            </w:tcBorders>
            <w:vAlign w:val="center"/>
          </w:tcPr>
          <w:p>
            <w:pPr>
              <w:spacing w:line="360" w:lineRule="auto"/>
              <w:jc w:val="center"/>
              <w:rPr>
                <w:rFonts w:ascii="仿宋" w:hAnsi="仿宋" w:eastAsia="仿宋" w:cs="宋体"/>
                <w:b/>
                <w:color w:val="auto"/>
                <w:sz w:val="24"/>
                <w:highlight w:val="none"/>
              </w:rPr>
            </w:pPr>
            <w:r>
              <w:rPr>
                <w:rFonts w:hint="eastAsia" w:ascii="仿宋" w:hAnsi="仿宋" w:eastAsia="仿宋" w:cs="宋体"/>
                <w:b/>
                <w:color w:val="auto"/>
                <w:sz w:val="24"/>
                <w:highlight w:val="none"/>
              </w:rPr>
              <w:t>条款号</w:t>
            </w:r>
          </w:p>
        </w:tc>
        <w:tc>
          <w:tcPr>
            <w:tcW w:w="4533" w:type="pct"/>
            <w:vAlign w:val="center"/>
          </w:tcPr>
          <w:p>
            <w:pPr>
              <w:spacing w:line="360" w:lineRule="auto"/>
              <w:jc w:val="center"/>
              <w:rPr>
                <w:rFonts w:ascii="仿宋" w:hAnsi="仿宋" w:eastAsia="仿宋" w:cs="宋体"/>
                <w:b/>
                <w:color w:val="auto"/>
                <w:sz w:val="24"/>
                <w:highlight w:val="none"/>
              </w:rPr>
            </w:pPr>
            <w:r>
              <w:rPr>
                <w:rFonts w:hint="eastAsia" w:ascii="仿宋" w:hAnsi="仿宋" w:eastAsia="仿宋" w:cs="宋体"/>
                <w:b/>
                <w:color w:val="auto"/>
                <w:sz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cs="宋体"/>
                <w:color w:val="auto"/>
                <w:sz w:val="24"/>
                <w:highlight w:val="none"/>
              </w:rPr>
            </w:pPr>
            <w:r>
              <w:rPr>
                <w:rFonts w:hint="eastAsia" w:ascii="仿宋" w:hAnsi="仿宋" w:eastAsia="仿宋" w:cs="宋体"/>
                <w:color w:val="auto"/>
                <w:sz w:val="24"/>
                <w:highlight w:val="none"/>
              </w:rPr>
              <w:t>1.4.4</w:t>
            </w:r>
          </w:p>
        </w:tc>
        <w:tc>
          <w:tcPr>
            <w:tcW w:w="4533" w:type="pct"/>
            <w:vAlign w:val="center"/>
          </w:tcPr>
          <w:p>
            <w:pPr>
              <w:spacing w:line="360" w:lineRule="auto"/>
              <w:rPr>
                <w:rFonts w:ascii="仿宋" w:hAnsi="仿宋" w:eastAsia="仿宋"/>
                <w:color w:val="auto"/>
                <w:sz w:val="24"/>
                <w:highlight w:val="none"/>
              </w:rPr>
            </w:pPr>
            <w:r>
              <w:rPr>
                <w:rFonts w:hint="eastAsia" w:ascii="仿宋" w:hAnsi="仿宋" w:eastAsia="仿宋"/>
                <w:color w:val="auto"/>
                <w:sz w:val="24"/>
                <w:highlight w:val="none"/>
              </w:rPr>
              <w:t>中标价 ：人民币</w:t>
            </w:r>
            <w:r>
              <w:rPr>
                <w:rFonts w:hint="eastAsia" w:ascii="仿宋" w:hAnsi="仿宋" w:eastAsia="仿宋"/>
                <w:color w:val="auto"/>
                <w:sz w:val="24"/>
                <w:highlight w:val="none"/>
                <w:u w:val="single"/>
              </w:rPr>
              <w:t xml:space="preserve">            </w:t>
            </w:r>
            <w:r>
              <w:rPr>
                <w:rFonts w:hint="eastAsia" w:ascii="仿宋" w:hAnsi="仿宋" w:eastAsia="仿宋"/>
                <w:color w:val="auto"/>
                <w:sz w:val="24"/>
                <w:highlight w:val="none"/>
              </w:rPr>
              <w:t>元整(￥</w:t>
            </w:r>
            <w:r>
              <w:rPr>
                <w:rFonts w:hint="eastAsia" w:ascii="仿宋" w:hAnsi="仿宋" w:eastAsia="仿宋"/>
                <w:color w:val="auto"/>
                <w:sz w:val="24"/>
                <w:highlight w:val="none"/>
                <w:u w:val="single"/>
              </w:rPr>
              <w:t xml:space="preserve">            </w:t>
            </w:r>
            <w:r>
              <w:rPr>
                <w:rFonts w:hint="eastAsia" w:ascii="仿宋" w:hAnsi="仿宋" w:eastAsia="仿宋"/>
                <w:color w:val="auto"/>
                <w:sz w:val="24"/>
                <w:highlight w:val="none"/>
              </w:rPr>
              <w:t>元)。</w:t>
            </w:r>
          </w:p>
          <w:p>
            <w:pPr>
              <w:spacing w:before="179" w:line="360" w:lineRule="auto"/>
              <w:ind w:right="324" w:firstLine="520" w:firstLineChars="200"/>
              <w:rPr>
                <w:rFonts w:ascii="仿宋" w:hAnsi="仿宋" w:eastAsia="仿宋" w:cs="仿宋"/>
                <w:color w:val="auto"/>
                <w:spacing w:val="3"/>
                <w:sz w:val="24"/>
                <w:highlight w:val="none"/>
              </w:rPr>
            </w:pPr>
            <w:r>
              <w:rPr>
                <w:rFonts w:ascii="仿宋" w:hAnsi="仿宋" w:eastAsia="仿宋" w:cs="仿宋"/>
                <w:color w:val="auto"/>
                <w:spacing w:val="10"/>
                <w:sz w:val="24"/>
                <w:highlight w:val="none"/>
              </w:rPr>
              <w:t>合同生效</w:t>
            </w:r>
            <w:r>
              <w:rPr>
                <w:rFonts w:hint="eastAsia" w:ascii="仿宋" w:hAnsi="仿宋" w:eastAsia="仿宋" w:cs="仿宋"/>
                <w:color w:val="auto"/>
                <w:spacing w:val="10"/>
                <w:sz w:val="24"/>
                <w:highlight w:val="none"/>
              </w:rPr>
              <w:t>且项目安排进场施工</w:t>
            </w:r>
            <w:r>
              <w:rPr>
                <w:rFonts w:ascii="仿宋" w:hAnsi="仿宋" w:eastAsia="仿宋" w:cs="仿宋"/>
                <w:color w:val="auto"/>
                <w:spacing w:val="10"/>
                <w:sz w:val="24"/>
                <w:highlight w:val="none"/>
              </w:rPr>
              <w:t>后【</w:t>
            </w:r>
            <w:r>
              <w:rPr>
                <w:rFonts w:ascii="仿宋" w:hAnsi="仿宋" w:eastAsia="仿宋" w:cs="宋体"/>
                <w:color w:val="auto"/>
                <w:spacing w:val="10"/>
                <w:sz w:val="24"/>
                <w:highlight w:val="none"/>
              </w:rPr>
              <w:t>5</w:t>
            </w:r>
            <w:r>
              <w:rPr>
                <w:rFonts w:ascii="仿宋" w:hAnsi="仿宋" w:eastAsia="仿宋" w:cs="仿宋"/>
                <w:color w:val="auto"/>
                <w:spacing w:val="10"/>
                <w:sz w:val="24"/>
                <w:highlight w:val="none"/>
              </w:rPr>
              <w:t>】个工作日内，支付合同总价</w:t>
            </w:r>
            <w:r>
              <w:rPr>
                <w:rFonts w:ascii="仿宋" w:hAnsi="仿宋" w:eastAsia="仿宋" w:cs="仿宋"/>
                <w:color w:val="auto"/>
                <w:spacing w:val="6"/>
                <w:sz w:val="24"/>
                <w:highlight w:val="none"/>
              </w:rPr>
              <w:t>款</w:t>
            </w:r>
            <w:r>
              <w:rPr>
                <w:rFonts w:ascii="仿宋" w:hAnsi="仿宋" w:eastAsia="仿宋" w:cs="仿宋"/>
                <w:color w:val="auto"/>
                <w:spacing w:val="5"/>
                <w:sz w:val="24"/>
                <w:highlight w:val="none"/>
              </w:rPr>
              <w:t>的</w:t>
            </w:r>
            <w:r>
              <w:rPr>
                <w:rFonts w:ascii="仿宋" w:hAnsi="仿宋" w:eastAsia="仿宋" w:cs="仿宋"/>
                <w:color w:val="auto"/>
                <w:spacing w:val="3"/>
                <w:sz w:val="24"/>
                <w:highlight w:val="none"/>
              </w:rPr>
              <w:t>【</w:t>
            </w:r>
            <w:r>
              <w:rPr>
                <w:rFonts w:ascii="仿宋" w:hAnsi="仿宋" w:eastAsia="仿宋" w:cs="宋体"/>
                <w:color w:val="auto"/>
                <w:spacing w:val="3"/>
                <w:sz w:val="24"/>
                <w:highlight w:val="none"/>
              </w:rPr>
              <w:t>40%</w:t>
            </w:r>
            <w:r>
              <w:rPr>
                <w:rFonts w:ascii="仿宋" w:hAnsi="仿宋" w:eastAsia="仿宋" w:cs="仿宋"/>
                <w:color w:val="auto"/>
                <w:spacing w:val="3"/>
                <w:sz w:val="24"/>
                <w:highlight w:val="none"/>
              </w:rPr>
              <w:t>】；</w:t>
            </w:r>
          </w:p>
          <w:p>
            <w:pPr>
              <w:pStyle w:val="34"/>
              <w:rPr>
                <w:rFonts w:eastAsia="仿宋"/>
                <w:color w:val="auto"/>
                <w:highlight w:val="none"/>
                <w:lang w:val="en-US"/>
              </w:rPr>
            </w:pPr>
            <w:r>
              <w:rPr>
                <w:rFonts w:hint="eastAsia" w:ascii="仿宋" w:hAnsi="仿宋" w:eastAsia="仿宋" w:cs="仿宋"/>
                <w:color w:val="auto"/>
                <w:spacing w:val="3"/>
                <w:highlight w:val="none"/>
                <w:lang w:val="en-US"/>
              </w:rPr>
              <w:t xml:space="preserve">    项目完成工程量达到项目总工程量的80%时，经甲方确认后</w:t>
            </w:r>
            <w:r>
              <w:rPr>
                <w:rFonts w:ascii="仿宋" w:hAnsi="仿宋" w:eastAsia="仿宋" w:cs="仿宋"/>
                <w:color w:val="auto"/>
                <w:spacing w:val="7"/>
                <w:highlight w:val="none"/>
              </w:rPr>
              <w:t>【</w:t>
            </w:r>
            <w:r>
              <w:rPr>
                <w:rFonts w:ascii="仿宋" w:hAnsi="仿宋" w:eastAsia="仿宋" w:cs="宋体"/>
                <w:color w:val="auto"/>
                <w:spacing w:val="7"/>
                <w:highlight w:val="none"/>
              </w:rPr>
              <w:t>5</w:t>
            </w:r>
            <w:r>
              <w:rPr>
                <w:rFonts w:ascii="仿宋" w:hAnsi="仿宋" w:eastAsia="仿宋" w:cs="仿宋"/>
                <w:color w:val="auto"/>
                <w:spacing w:val="7"/>
                <w:highlight w:val="none"/>
              </w:rPr>
              <w:t>】个工作日内</w:t>
            </w:r>
            <w:r>
              <w:rPr>
                <w:rFonts w:hint="eastAsia" w:ascii="仿宋" w:hAnsi="仿宋" w:eastAsia="仿宋" w:cs="仿宋"/>
                <w:color w:val="auto"/>
                <w:spacing w:val="3"/>
                <w:highlight w:val="none"/>
                <w:lang w:val="en-US"/>
              </w:rPr>
              <w:t>支付至合同总金额的</w:t>
            </w:r>
            <w:r>
              <w:rPr>
                <w:rFonts w:ascii="仿宋" w:hAnsi="仿宋" w:eastAsia="仿宋" w:cs="仿宋"/>
                <w:color w:val="auto"/>
                <w:spacing w:val="7"/>
                <w:highlight w:val="none"/>
              </w:rPr>
              <w:t>【</w:t>
            </w:r>
            <w:r>
              <w:rPr>
                <w:rFonts w:hint="eastAsia" w:ascii="仿宋" w:hAnsi="仿宋" w:eastAsia="仿宋" w:cs="宋体"/>
                <w:color w:val="auto"/>
                <w:spacing w:val="7"/>
                <w:highlight w:val="none"/>
                <w:lang w:val="en-US"/>
              </w:rPr>
              <w:t>7</w:t>
            </w:r>
            <w:r>
              <w:rPr>
                <w:rFonts w:ascii="仿宋" w:hAnsi="仿宋" w:eastAsia="仿宋" w:cs="宋体"/>
                <w:color w:val="auto"/>
                <w:spacing w:val="7"/>
                <w:highlight w:val="none"/>
              </w:rPr>
              <w:t>0%</w:t>
            </w:r>
            <w:r>
              <w:rPr>
                <w:rFonts w:ascii="仿宋" w:hAnsi="仿宋" w:eastAsia="仿宋" w:cs="仿宋"/>
                <w:color w:val="auto"/>
                <w:spacing w:val="7"/>
                <w:highlight w:val="none"/>
              </w:rPr>
              <w:t>】</w:t>
            </w:r>
            <w:r>
              <w:rPr>
                <w:rFonts w:hint="eastAsia" w:ascii="仿宋" w:hAnsi="仿宋" w:eastAsia="仿宋" w:cs="仿宋"/>
                <w:color w:val="auto"/>
                <w:spacing w:val="7"/>
                <w:highlight w:val="none"/>
              </w:rPr>
              <w:t>；</w:t>
            </w:r>
          </w:p>
          <w:p>
            <w:pPr>
              <w:adjustRightInd/>
              <w:spacing w:line="360" w:lineRule="auto"/>
              <w:ind w:firstLine="520" w:firstLineChars="200"/>
              <w:rPr>
                <w:rFonts w:ascii="仿宋" w:hAnsi="仿宋" w:eastAsia="仿宋" w:cs="仿宋"/>
                <w:color w:val="auto"/>
                <w:sz w:val="24"/>
                <w:highlight w:val="none"/>
              </w:rPr>
            </w:pPr>
            <w:r>
              <w:rPr>
                <w:rFonts w:hint="eastAsia" w:ascii="仿宋" w:hAnsi="仿宋" w:eastAsia="仿宋" w:cs="仿宋"/>
                <w:color w:val="auto"/>
                <w:spacing w:val="10"/>
                <w:sz w:val="24"/>
                <w:highlight w:val="none"/>
              </w:rPr>
              <w:t>项目完成</w:t>
            </w:r>
            <w:r>
              <w:rPr>
                <w:rFonts w:ascii="仿宋" w:hAnsi="仿宋" w:eastAsia="仿宋" w:cs="仿宋"/>
                <w:color w:val="auto"/>
                <w:spacing w:val="7"/>
                <w:sz w:val="24"/>
                <w:highlight w:val="none"/>
              </w:rPr>
              <w:t>经甲方验收</w:t>
            </w:r>
            <w:r>
              <w:rPr>
                <w:rFonts w:ascii="仿宋" w:hAnsi="仿宋" w:eastAsia="仿宋" w:cs="仿宋"/>
                <w:color w:val="auto"/>
                <w:spacing w:val="14"/>
                <w:sz w:val="24"/>
                <w:highlight w:val="none"/>
              </w:rPr>
              <w:t>合格</w:t>
            </w:r>
            <w:r>
              <w:rPr>
                <w:rFonts w:ascii="仿宋" w:hAnsi="仿宋" w:eastAsia="仿宋" w:cs="仿宋"/>
                <w:color w:val="auto"/>
                <w:spacing w:val="7"/>
                <w:sz w:val="24"/>
                <w:highlight w:val="none"/>
              </w:rPr>
              <w:t>后【</w:t>
            </w:r>
            <w:r>
              <w:rPr>
                <w:rFonts w:ascii="仿宋" w:hAnsi="仿宋" w:eastAsia="仿宋" w:cs="宋体"/>
                <w:color w:val="auto"/>
                <w:spacing w:val="7"/>
                <w:sz w:val="24"/>
                <w:highlight w:val="none"/>
              </w:rPr>
              <w:t>5</w:t>
            </w:r>
            <w:r>
              <w:rPr>
                <w:rFonts w:ascii="仿宋" w:hAnsi="仿宋" w:eastAsia="仿宋" w:cs="仿宋"/>
                <w:color w:val="auto"/>
                <w:spacing w:val="7"/>
                <w:sz w:val="24"/>
                <w:highlight w:val="none"/>
              </w:rPr>
              <w:t>】个工作日内，支付</w:t>
            </w:r>
            <w:r>
              <w:rPr>
                <w:rFonts w:hint="eastAsia" w:ascii="仿宋" w:hAnsi="仿宋" w:eastAsia="仿宋" w:cs="仿宋"/>
                <w:color w:val="auto"/>
                <w:spacing w:val="7"/>
                <w:sz w:val="24"/>
                <w:highlight w:val="none"/>
              </w:rPr>
              <w:t>至</w:t>
            </w:r>
            <w:r>
              <w:rPr>
                <w:rFonts w:ascii="仿宋" w:hAnsi="仿宋" w:eastAsia="仿宋" w:cs="仿宋"/>
                <w:color w:val="auto"/>
                <w:spacing w:val="7"/>
                <w:sz w:val="24"/>
                <w:highlight w:val="none"/>
              </w:rPr>
              <w:t>合同总金额的【</w:t>
            </w:r>
            <w:r>
              <w:rPr>
                <w:rFonts w:hint="eastAsia" w:ascii="仿宋" w:hAnsi="仿宋" w:eastAsia="仿宋" w:cs="宋体"/>
                <w:color w:val="auto"/>
                <w:spacing w:val="7"/>
                <w:sz w:val="24"/>
                <w:highlight w:val="none"/>
              </w:rPr>
              <w:t>10</w:t>
            </w:r>
            <w:r>
              <w:rPr>
                <w:rFonts w:ascii="仿宋" w:hAnsi="仿宋" w:eastAsia="仿宋" w:cs="宋体"/>
                <w:color w:val="auto"/>
                <w:spacing w:val="7"/>
                <w:sz w:val="24"/>
                <w:highlight w:val="none"/>
              </w:rPr>
              <w:t>0%</w:t>
            </w:r>
            <w:r>
              <w:rPr>
                <w:rFonts w:ascii="仿宋" w:hAnsi="仿宋" w:eastAsia="仿宋" w:cs="仿宋"/>
                <w:color w:val="auto"/>
                <w:spacing w:val="7"/>
                <w:sz w:val="24"/>
                <w:highlight w:val="none"/>
              </w:rPr>
              <w:t>】；</w:t>
            </w:r>
            <w:r>
              <w:rPr>
                <w:rFonts w:hint="eastAsia" w:ascii="仿宋" w:hAnsi="仿宋" w:eastAsia="仿宋" w:cs="仿宋"/>
                <w:color w:val="auto"/>
                <w:sz w:val="24"/>
                <w:highlight w:val="none"/>
              </w:rPr>
              <w:t>最终费用按实际进行结算，但不得超过合同总价，如实际计算价格超过合同总价，按合同总价结算，乙方须无条件服从。</w:t>
            </w:r>
          </w:p>
          <w:p>
            <w:pPr>
              <w:spacing w:before="1" w:line="360" w:lineRule="auto"/>
              <w:ind w:right="70" w:firstLine="511"/>
              <w:rPr>
                <w:rFonts w:ascii="仿宋" w:hAnsi="仿宋" w:eastAsia="仿宋" w:cs="仿宋"/>
                <w:color w:val="auto"/>
                <w:sz w:val="24"/>
                <w:highlight w:val="none"/>
              </w:rPr>
            </w:pPr>
            <w:r>
              <w:rPr>
                <w:rFonts w:ascii="仿宋" w:hAnsi="仿宋" w:eastAsia="仿宋" w:cs="仿宋"/>
                <w:color w:val="auto"/>
                <w:spacing w:val="14"/>
                <w:sz w:val="24"/>
                <w:highlight w:val="none"/>
              </w:rPr>
              <w:t>甲</w:t>
            </w:r>
            <w:r>
              <w:rPr>
                <w:rFonts w:ascii="仿宋" w:hAnsi="仿宋" w:eastAsia="仿宋" w:cs="仿宋"/>
                <w:color w:val="auto"/>
                <w:spacing w:val="9"/>
                <w:sz w:val="24"/>
                <w:highlight w:val="none"/>
              </w:rPr>
              <w:t>方</w:t>
            </w:r>
            <w:r>
              <w:rPr>
                <w:rFonts w:ascii="仿宋" w:hAnsi="仿宋" w:eastAsia="仿宋" w:cs="仿宋"/>
                <w:color w:val="auto"/>
                <w:spacing w:val="7"/>
                <w:sz w:val="24"/>
                <w:highlight w:val="none"/>
              </w:rPr>
              <w:t>付款前，乙方须提供正规合法的等额发票，否则甲方有权拒绝付款，且不因此</w:t>
            </w:r>
            <w:r>
              <w:rPr>
                <w:rFonts w:ascii="仿宋" w:hAnsi="仿宋" w:eastAsia="仿宋" w:cs="仿宋"/>
                <w:color w:val="auto"/>
                <w:sz w:val="24"/>
                <w:highlight w:val="none"/>
              </w:rPr>
              <w:t xml:space="preserve"> </w:t>
            </w:r>
            <w:r>
              <w:rPr>
                <w:rFonts w:ascii="仿宋" w:hAnsi="仿宋" w:eastAsia="仿宋" w:cs="仿宋"/>
                <w:color w:val="auto"/>
                <w:spacing w:val="8"/>
                <w:sz w:val="24"/>
                <w:highlight w:val="none"/>
              </w:rPr>
              <w:t>承</w:t>
            </w:r>
            <w:r>
              <w:rPr>
                <w:rFonts w:ascii="仿宋" w:hAnsi="仿宋" w:eastAsia="仿宋" w:cs="仿宋"/>
                <w:color w:val="auto"/>
                <w:spacing w:val="7"/>
                <w:sz w:val="24"/>
                <w:highlight w:val="none"/>
              </w:rPr>
              <w:t>担任何违约责任。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cs="宋体"/>
                <w:color w:val="auto"/>
                <w:sz w:val="24"/>
                <w:highlight w:val="none"/>
              </w:rPr>
            </w:pPr>
            <w:r>
              <w:rPr>
                <w:rFonts w:hint="eastAsia" w:ascii="仿宋" w:hAnsi="仿宋" w:eastAsia="仿宋" w:cs="宋体"/>
                <w:color w:val="auto"/>
                <w:sz w:val="24"/>
                <w:highlight w:val="none"/>
              </w:rPr>
              <w:t xml:space="preserve">1.5.1 </w:t>
            </w:r>
          </w:p>
        </w:tc>
        <w:tc>
          <w:tcPr>
            <w:tcW w:w="4533" w:type="pct"/>
            <w:vAlign w:val="center"/>
          </w:tcPr>
          <w:p>
            <w:pPr>
              <w:spacing w:line="360" w:lineRule="auto"/>
              <w:rPr>
                <w:rFonts w:ascii="仿宋" w:hAnsi="仿宋" w:eastAsia="仿宋" w:cs="宋体"/>
                <w:color w:val="auto"/>
                <w:sz w:val="24"/>
                <w:highlight w:val="none"/>
              </w:rPr>
            </w:pPr>
            <w:r>
              <w:rPr>
                <w:rFonts w:hint="eastAsia" w:ascii="仿宋" w:hAnsi="仿宋" w:eastAsia="仿宋" w:cs="Helvetica"/>
                <w:color w:val="auto"/>
                <w:kern w:val="0"/>
                <w:sz w:val="24"/>
                <w:highlight w:val="none"/>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cs="宋体"/>
                <w:color w:val="auto"/>
                <w:sz w:val="24"/>
                <w:highlight w:val="none"/>
              </w:rPr>
            </w:pPr>
            <w:r>
              <w:rPr>
                <w:rFonts w:hint="eastAsia" w:ascii="仿宋" w:hAnsi="仿宋" w:eastAsia="仿宋" w:cs="宋体"/>
                <w:color w:val="auto"/>
                <w:sz w:val="24"/>
                <w:highlight w:val="none"/>
              </w:rPr>
              <w:t>1.5.2</w:t>
            </w:r>
          </w:p>
        </w:tc>
        <w:tc>
          <w:tcPr>
            <w:tcW w:w="4533" w:type="pct"/>
            <w:vAlign w:val="center"/>
          </w:tcPr>
          <w:p>
            <w:pPr>
              <w:spacing w:line="360" w:lineRule="auto"/>
              <w:rPr>
                <w:rFonts w:ascii="仿宋" w:hAnsi="仿宋" w:eastAsia="仿宋" w:cs="宋体"/>
                <w:color w:val="auto"/>
                <w:sz w:val="24"/>
                <w:highlight w:val="none"/>
                <w:lang w:eastAsia="zh-Hans"/>
              </w:rPr>
            </w:pPr>
            <w:r>
              <w:rPr>
                <w:rFonts w:hint="eastAsia" w:ascii="仿宋" w:hAnsi="仿宋" w:eastAsia="仿宋" w:cs="仿宋"/>
                <w:color w:val="auto"/>
                <w:spacing w:val="5"/>
                <w:sz w:val="24"/>
                <w:highlight w:val="none"/>
              </w:rPr>
              <w:t>布展场地位于桂芳桥社区缸甏弄2号、3号民居包括临平北大街104-106号营业房（原奥康门厅店）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cs="宋体"/>
                <w:color w:val="auto"/>
                <w:sz w:val="24"/>
                <w:highlight w:val="none"/>
              </w:rPr>
            </w:pPr>
            <w:r>
              <w:rPr>
                <w:rFonts w:hint="eastAsia" w:ascii="仿宋" w:hAnsi="仿宋" w:eastAsia="仿宋" w:cs="宋体"/>
                <w:color w:val="auto"/>
                <w:sz w:val="24"/>
                <w:highlight w:val="none"/>
              </w:rPr>
              <w:t xml:space="preserve">1.5.3 </w:t>
            </w:r>
          </w:p>
        </w:tc>
        <w:tc>
          <w:tcPr>
            <w:tcW w:w="4533" w:type="pct"/>
            <w:vAlign w:val="center"/>
          </w:tcPr>
          <w:p>
            <w:pPr>
              <w:spacing w:line="360" w:lineRule="auto"/>
              <w:rPr>
                <w:rFonts w:ascii="仿宋" w:hAnsi="仿宋" w:eastAsia="仿宋" w:cs="宋体"/>
                <w:color w:val="auto"/>
                <w:sz w:val="24"/>
                <w:highlight w:val="none"/>
              </w:rPr>
            </w:pPr>
            <w:r>
              <w:rPr>
                <w:rFonts w:hint="eastAsia" w:ascii="仿宋" w:hAnsi="仿宋" w:eastAsia="仿宋" w:cs="宋体"/>
                <w:color w:val="auto"/>
                <w:sz w:val="24"/>
                <w:highlight w:val="none"/>
              </w:rPr>
              <w:t>设计施工一体化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cs="宋体"/>
                <w:color w:val="auto"/>
                <w:sz w:val="24"/>
                <w:highlight w:val="none"/>
              </w:rPr>
            </w:pPr>
            <w:r>
              <w:rPr>
                <w:rFonts w:hint="eastAsia" w:ascii="仿宋" w:hAnsi="仿宋" w:eastAsia="仿宋" w:cs="宋体"/>
                <w:color w:val="auto"/>
                <w:sz w:val="24"/>
                <w:highlight w:val="none"/>
              </w:rPr>
              <w:t>1.6.7</w:t>
            </w:r>
          </w:p>
        </w:tc>
        <w:tc>
          <w:tcPr>
            <w:tcW w:w="4533" w:type="pct"/>
            <w:vAlign w:val="center"/>
          </w:tcPr>
          <w:p>
            <w:pPr>
              <w:spacing w:line="360" w:lineRule="auto"/>
              <w:ind w:firstLine="512" w:firstLineChars="200"/>
              <w:rPr>
                <w:rFonts w:ascii="仿宋" w:hAnsi="仿宋" w:eastAsia="仿宋" w:cs="宋体"/>
                <w:color w:val="auto"/>
                <w:sz w:val="24"/>
                <w:highlight w:val="none"/>
              </w:rPr>
            </w:pPr>
            <w:r>
              <w:rPr>
                <w:rFonts w:hint="eastAsia" w:ascii="仿宋" w:hAnsi="仿宋" w:eastAsia="仿宋" w:cs="仿宋"/>
                <w:color w:val="auto"/>
                <w:spacing w:val="8"/>
                <w:sz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cs="宋体"/>
                <w:color w:val="auto"/>
                <w:sz w:val="24"/>
                <w:highlight w:val="none"/>
              </w:rPr>
            </w:pPr>
            <w:r>
              <w:rPr>
                <w:rFonts w:hint="eastAsia" w:ascii="仿宋" w:hAnsi="仿宋" w:eastAsia="仿宋" w:cs="宋体"/>
                <w:color w:val="auto"/>
                <w:sz w:val="24"/>
                <w:highlight w:val="none"/>
              </w:rPr>
              <w:t>1.7</w:t>
            </w:r>
          </w:p>
        </w:tc>
        <w:tc>
          <w:tcPr>
            <w:tcW w:w="4533" w:type="pct"/>
            <w:vAlign w:val="center"/>
          </w:tcPr>
          <w:p>
            <w:pPr>
              <w:spacing w:line="360" w:lineRule="auto"/>
              <w:rPr>
                <w:rFonts w:ascii="仿宋" w:hAnsi="仿宋" w:eastAsia="仿宋"/>
                <w:color w:val="auto"/>
                <w:sz w:val="24"/>
                <w:highlight w:val="none"/>
              </w:rPr>
            </w:pPr>
            <w:bookmarkStart w:id="709" w:name="_Hlk120831429"/>
            <w:r>
              <w:rPr>
                <w:rFonts w:hint="eastAsia" w:ascii="仿宋" w:hAnsi="仿宋" w:eastAsia="仿宋"/>
                <w:color w:val="auto"/>
                <w:sz w:val="24"/>
                <w:highlight w:val="none"/>
              </w:rPr>
              <w:t>1．合同在履行过程中发生争议时，甲方与乙方及时协商解决。协商不成时，在甲方所在地的人民法院进行诉讼。</w:t>
            </w:r>
          </w:p>
          <w:p>
            <w:pPr>
              <w:spacing w:line="360" w:lineRule="auto"/>
              <w:rPr>
                <w:rFonts w:ascii="仿宋" w:hAnsi="仿宋" w:eastAsia="仿宋" w:cs="宋体"/>
                <w:color w:val="auto"/>
                <w:sz w:val="24"/>
                <w:highlight w:val="none"/>
              </w:rPr>
            </w:pPr>
            <w:r>
              <w:rPr>
                <w:rFonts w:hint="eastAsia" w:ascii="仿宋" w:hAnsi="仿宋" w:eastAsia="仿宋"/>
                <w:color w:val="auto"/>
                <w:sz w:val="24"/>
                <w:highlight w:val="none"/>
              </w:rPr>
              <w:t>2．对于因违反或终止合同而引起的损失、损害的赔偿，由甲方与乙方友好协商解决，经协商仍未能达成一致的，在甲方所地的人民法院进行诉讼。</w:t>
            </w:r>
            <w:bookmarkEnd w:id="709"/>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cs="宋体"/>
                <w:color w:val="auto"/>
                <w:sz w:val="24"/>
                <w:highlight w:val="none"/>
              </w:rPr>
            </w:pPr>
            <w:r>
              <w:rPr>
                <w:rFonts w:hint="eastAsia" w:ascii="仿宋" w:hAnsi="仿宋" w:eastAsia="仿宋" w:cs="宋体"/>
                <w:color w:val="auto"/>
                <w:sz w:val="24"/>
                <w:highlight w:val="none"/>
              </w:rPr>
              <w:t>1.7.1</w:t>
            </w:r>
          </w:p>
        </w:tc>
        <w:tc>
          <w:tcPr>
            <w:tcW w:w="4533" w:type="pct"/>
            <w:vAlign w:val="center"/>
          </w:tcPr>
          <w:p>
            <w:pPr>
              <w:spacing w:line="360" w:lineRule="auto"/>
              <w:rPr>
                <w:rFonts w:ascii="仿宋" w:hAnsi="仿宋" w:eastAsia="仿宋"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cs="宋体"/>
                <w:color w:val="auto"/>
                <w:sz w:val="24"/>
                <w:highlight w:val="none"/>
              </w:rPr>
            </w:pPr>
            <w:r>
              <w:rPr>
                <w:rFonts w:hint="eastAsia" w:ascii="仿宋" w:hAnsi="仿宋" w:eastAsia="仿宋" w:cs="宋体"/>
                <w:color w:val="auto"/>
                <w:sz w:val="24"/>
                <w:highlight w:val="none"/>
              </w:rPr>
              <w:t>1.7.2</w:t>
            </w:r>
          </w:p>
        </w:tc>
        <w:tc>
          <w:tcPr>
            <w:tcW w:w="4533" w:type="pct"/>
            <w:vAlign w:val="center"/>
          </w:tcPr>
          <w:p>
            <w:pPr>
              <w:spacing w:line="360" w:lineRule="auto"/>
              <w:rPr>
                <w:rFonts w:ascii="仿宋" w:hAnsi="仿宋" w:eastAsia="仿宋"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cs="宋体"/>
                <w:color w:val="auto"/>
                <w:sz w:val="24"/>
                <w:highlight w:val="none"/>
              </w:rPr>
            </w:pPr>
            <w:r>
              <w:rPr>
                <w:rFonts w:hint="eastAsia" w:ascii="仿宋" w:hAnsi="仿宋" w:eastAsia="仿宋" w:cs="宋体"/>
                <w:color w:val="auto"/>
                <w:sz w:val="24"/>
                <w:highlight w:val="none"/>
              </w:rPr>
              <w:t>2.3.2</w:t>
            </w:r>
          </w:p>
        </w:tc>
        <w:tc>
          <w:tcPr>
            <w:tcW w:w="4533" w:type="pct"/>
            <w:vAlign w:val="center"/>
          </w:tcPr>
          <w:p>
            <w:pPr>
              <w:spacing w:line="360" w:lineRule="auto"/>
              <w:ind w:left="-420" w:leftChars="-200" w:right="-420" w:rightChars="-200" w:firstLine="480" w:firstLineChars="200"/>
              <w:rPr>
                <w:rFonts w:ascii="仿宋" w:hAnsi="仿宋" w:eastAsia="仿宋"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cs="宋体"/>
                <w:color w:val="auto"/>
                <w:sz w:val="24"/>
                <w:highlight w:val="none"/>
              </w:rPr>
            </w:pPr>
            <w:r>
              <w:rPr>
                <w:rFonts w:hint="eastAsia" w:ascii="仿宋" w:hAnsi="仿宋" w:eastAsia="仿宋" w:cs="宋体"/>
                <w:color w:val="auto"/>
                <w:sz w:val="24"/>
                <w:highlight w:val="none"/>
              </w:rPr>
              <w:t>2.</w:t>
            </w:r>
            <w:r>
              <w:rPr>
                <w:rFonts w:ascii="仿宋" w:hAnsi="仿宋" w:eastAsia="仿宋" w:cs="宋体"/>
                <w:color w:val="auto"/>
                <w:sz w:val="24"/>
                <w:highlight w:val="none"/>
              </w:rPr>
              <w:t>5</w:t>
            </w:r>
          </w:p>
        </w:tc>
        <w:tc>
          <w:tcPr>
            <w:tcW w:w="4533" w:type="pct"/>
            <w:vAlign w:val="center"/>
          </w:tcPr>
          <w:p>
            <w:pPr>
              <w:spacing w:line="360" w:lineRule="auto"/>
              <w:ind w:left="185" w:leftChars="88" w:right="-420" w:rightChars="-200" w:firstLine="480" w:firstLineChars="200"/>
              <w:rPr>
                <w:rFonts w:ascii="仿宋" w:hAnsi="仿宋" w:eastAsia="仿宋"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cs="宋体"/>
                <w:color w:val="auto"/>
                <w:sz w:val="24"/>
                <w:highlight w:val="none"/>
              </w:rPr>
            </w:pPr>
            <w:r>
              <w:rPr>
                <w:rFonts w:hint="eastAsia" w:ascii="仿宋" w:hAnsi="仿宋" w:eastAsia="仿宋" w:cs="宋体"/>
                <w:color w:val="auto"/>
                <w:sz w:val="24"/>
                <w:highlight w:val="none"/>
              </w:rPr>
              <w:t>2.</w:t>
            </w:r>
            <w:r>
              <w:rPr>
                <w:rFonts w:ascii="仿宋" w:hAnsi="仿宋" w:eastAsia="仿宋" w:cs="宋体"/>
                <w:color w:val="auto"/>
                <w:sz w:val="24"/>
                <w:highlight w:val="none"/>
              </w:rPr>
              <w:t>11</w:t>
            </w:r>
            <w:r>
              <w:rPr>
                <w:rFonts w:hint="eastAsia" w:ascii="仿宋" w:hAnsi="仿宋" w:eastAsia="仿宋" w:cs="宋体"/>
                <w:color w:val="auto"/>
                <w:sz w:val="24"/>
                <w:highlight w:val="none"/>
              </w:rPr>
              <w:t>.</w:t>
            </w:r>
            <w:r>
              <w:rPr>
                <w:rFonts w:ascii="仿宋" w:hAnsi="仿宋" w:eastAsia="仿宋" w:cs="宋体"/>
                <w:color w:val="auto"/>
                <w:sz w:val="24"/>
                <w:highlight w:val="none"/>
              </w:rPr>
              <w:t>3</w:t>
            </w:r>
          </w:p>
        </w:tc>
        <w:tc>
          <w:tcPr>
            <w:tcW w:w="4533" w:type="pct"/>
            <w:vAlign w:val="center"/>
          </w:tcPr>
          <w:p>
            <w:pPr>
              <w:spacing w:before="178" w:line="360" w:lineRule="auto"/>
              <w:ind w:left="1" w:firstLine="488"/>
              <w:rPr>
                <w:rFonts w:ascii="仿宋" w:hAnsi="仿宋" w:eastAsia="仿宋" w:cs="仿宋"/>
                <w:color w:val="auto"/>
                <w:sz w:val="24"/>
                <w:highlight w:val="none"/>
              </w:rPr>
            </w:pPr>
            <w:r>
              <w:rPr>
                <w:rFonts w:ascii="仿宋" w:hAnsi="仿宋" w:eastAsia="仿宋" w:cs="仿宋"/>
                <w:color w:val="auto"/>
                <w:spacing w:val="8"/>
                <w:sz w:val="24"/>
                <w:highlight w:val="none"/>
              </w:rPr>
              <w:t>1.不可抗力是指不能预见、不能避免且不能克服的客观情况，包括但不限于地震</w:t>
            </w:r>
            <w:r>
              <w:rPr>
                <w:rFonts w:ascii="仿宋" w:hAnsi="仿宋" w:eastAsia="仿宋" w:cs="仿宋"/>
                <w:color w:val="auto"/>
                <w:spacing w:val="2"/>
                <w:sz w:val="24"/>
                <w:highlight w:val="none"/>
              </w:rPr>
              <w:t>、</w:t>
            </w:r>
            <w:r>
              <w:rPr>
                <w:rFonts w:ascii="仿宋" w:hAnsi="仿宋" w:eastAsia="仿宋" w:cs="仿宋"/>
                <w:color w:val="auto"/>
                <w:sz w:val="24"/>
                <w:highlight w:val="none"/>
              </w:rPr>
              <w:t xml:space="preserve"> </w:t>
            </w:r>
            <w:r>
              <w:rPr>
                <w:rFonts w:ascii="仿宋" w:hAnsi="仿宋" w:eastAsia="仿宋" w:cs="仿宋"/>
                <w:color w:val="auto"/>
                <w:spacing w:val="16"/>
                <w:sz w:val="24"/>
                <w:highlight w:val="none"/>
              </w:rPr>
              <w:t>台</w:t>
            </w:r>
            <w:r>
              <w:rPr>
                <w:rFonts w:ascii="仿宋" w:hAnsi="仿宋" w:eastAsia="仿宋" w:cs="仿宋"/>
                <w:color w:val="auto"/>
                <w:spacing w:val="12"/>
                <w:sz w:val="24"/>
                <w:highlight w:val="none"/>
              </w:rPr>
              <w:t>风</w:t>
            </w:r>
            <w:r>
              <w:rPr>
                <w:rFonts w:ascii="仿宋" w:hAnsi="仿宋" w:eastAsia="仿宋" w:cs="仿宋"/>
                <w:color w:val="auto"/>
                <w:spacing w:val="8"/>
                <w:sz w:val="24"/>
                <w:highlight w:val="none"/>
              </w:rPr>
              <w:t>、海啸、瘟疫、火灾、洪水、重大疫情、政府行为、战争、恐怖袭击、蓄意破坏等</w:t>
            </w:r>
            <w:r>
              <w:rPr>
                <w:rFonts w:ascii="仿宋" w:hAnsi="仿宋" w:eastAsia="仿宋" w:cs="仿宋"/>
                <w:color w:val="auto"/>
                <w:sz w:val="24"/>
                <w:highlight w:val="none"/>
              </w:rPr>
              <w:t xml:space="preserve"> </w:t>
            </w:r>
            <w:r>
              <w:rPr>
                <w:rFonts w:ascii="仿宋" w:hAnsi="仿宋" w:eastAsia="仿宋" w:cs="仿宋"/>
                <w:color w:val="auto"/>
                <w:spacing w:val="16"/>
                <w:sz w:val="24"/>
                <w:highlight w:val="none"/>
              </w:rPr>
              <w:t>客</w:t>
            </w:r>
            <w:r>
              <w:rPr>
                <w:rFonts w:ascii="仿宋" w:hAnsi="仿宋" w:eastAsia="仿宋" w:cs="仿宋"/>
                <w:color w:val="auto"/>
                <w:spacing w:val="10"/>
                <w:sz w:val="24"/>
                <w:highlight w:val="none"/>
              </w:rPr>
              <w:t>观</w:t>
            </w:r>
            <w:r>
              <w:rPr>
                <w:rFonts w:ascii="仿宋" w:hAnsi="仿宋" w:eastAsia="仿宋" w:cs="仿宋"/>
                <w:color w:val="auto"/>
                <w:spacing w:val="8"/>
                <w:sz w:val="24"/>
                <w:highlight w:val="none"/>
              </w:rPr>
              <w:t>情况。鉴于新型冠状病毒疫情在本合同签署时已经存在，并非不能预见事项。除非</w:t>
            </w:r>
            <w:r>
              <w:rPr>
                <w:rFonts w:ascii="仿宋" w:hAnsi="仿宋" w:eastAsia="仿宋" w:cs="仿宋"/>
                <w:color w:val="auto"/>
                <w:sz w:val="24"/>
                <w:highlight w:val="none"/>
              </w:rPr>
              <w:t xml:space="preserve"> </w:t>
            </w:r>
            <w:r>
              <w:rPr>
                <w:rFonts w:ascii="仿宋" w:hAnsi="仿宋" w:eastAsia="仿宋" w:cs="仿宋"/>
                <w:color w:val="auto"/>
                <w:spacing w:val="16"/>
                <w:sz w:val="24"/>
                <w:highlight w:val="none"/>
              </w:rPr>
              <w:t>在</w:t>
            </w:r>
            <w:r>
              <w:rPr>
                <w:rFonts w:ascii="仿宋" w:hAnsi="仿宋" w:eastAsia="仿宋" w:cs="仿宋"/>
                <w:color w:val="auto"/>
                <w:spacing w:val="10"/>
                <w:sz w:val="24"/>
                <w:highlight w:val="none"/>
              </w:rPr>
              <w:t>本</w:t>
            </w:r>
            <w:r>
              <w:rPr>
                <w:rFonts w:ascii="仿宋" w:hAnsi="仿宋" w:eastAsia="仿宋" w:cs="仿宋"/>
                <w:color w:val="auto"/>
                <w:spacing w:val="8"/>
                <w:sz w:val="24"/>
                <w:highlight w:val="none"/>
              </w:rPr>
              <w:t>合同履行过程中该疫情影响范围或严重程度进一步扩大，致使本合同无法履行，否</w:t>
            </w:r>
            <w:r>
              <w:rPr>
                <w:rFonts w:ascii="仿宋" w:hAnsi="仿宋" w:eastAsia="仿宋" w:cs="仿宋"/>
                <w:color w:val="auto"/>
                <w:sz w:val="24"/>
                <w:highlight w:val="none"/>
              </w:rPr>
              <w:t xml:space="preserve"> </w:t>
            </w:r>
            <w:r>
              <w:rPr>
                <w:rFonts w:ascii="仿宋" w:hAnsi="仿宋" w:eastAsia="仿宋" w:cs="仿宋"/>
                <w:color w:val="auto"/>
                <w:spacing w:val="16"/>
                <w:sz w:val="24"/>
                <w:highlight w:val="none"/>
              </w:rPr>
              <w:t>则</w:t>
            </w:r>
            <w:r>
              <w:rPr>
                <w:rFonts w:ascii="仿宋" w:hAnsi="仿宋" w:eastAsia="仿宋" w:cs="仿宋"/>
                <w:color w:val="auto"/>
                <w:spacing w:val="10"/>
                <w:sz w:val="24"/>
                <w:highlight w:val="none"/>
              </w:rPr>
              <w:t>乙</w:t>
            </w:r>
            <w:r>
              <w:rPr>
                <w:rFonts w:ascii="仿宋" w:hAnsi="仿宋" w:eastAsia="仿宋" w:cs="仿宋"/>
                <w:color w:val="auto"/>
                <w:spacing w:val="8"/>
                <w:sz w:val="24"/>
                <w:highlight w:val="none"/>
              </w:rPr>
              <w:t>方不得援引该疫情作为不可抗力因素。</w:t>
            </w:r>
          </w:p>
          <w:p>
            <w:pPr>
              <w:spacing w:before="2" w:line="360" w:lineRule="auto"/>
              <w:ind w:left="1" w:right="7" w:firstLine="473"/>
              <w:rPr>
                <w:rFonts w:ascii="仿宋" w:hAnsi="仿宋" w:eastAsia="仿宋" w:cs="仿宋"/>
                <w:color w:val="auto"/>
                <w:sz w:val="24"/>
                <w:highlight w:val="none"/>
              </w:rPr>
            </w:pPr>
            <w:r>
              <w:rPr>
                <w:rFonts w:ascii="仿宋" w:hAnsi="仿宋" w:eastAsia="仿宋" w:cs="仿宋"/>
                <w:color w:val="auto"/>
                <w:spacing w:val="28"/>
                <w:sz w:val="24"/>
                <w:highlight w:val="none"/>
              </w:rPr>
              <w:t>2</w:t>
            </w:r>
            <w:r>
              <w:rPr>
                <w:rFonts w:ascii="仿宋" w:hAnsi="仿宋" w:eastAsia="仿宋" w:cs="仿宋"/>
                <w:color w:val="auto"/>
                <w:spacing w:val="24"/>
                <w:sz w:val="24"/>
                <w:highlight w:val="none"/>
              </w:rPr>
              <w:t>.</w:t>
            </w:r>
            <w:r>
              <w:rPr>
                <w:rFonts w:ascii="仿宋" w:hAnsi="仿宋" w:eastAsia="仿宋" w:cs="仿宋"/>
                <w:color w:val="auto"/>
                <w:spacing w:val="14"/>
                <w:sz w:val="24"/>
                <w:highlight w:val="none"/>
              </w:rPr>
              <w:t>本合同项下任何一方对于因不可抗力致使本合同不能履行或不能全部履行而给</w:t>
            </w:r>
            <w:r>
              <w:rPr>
                <w:rFonts w:ascii="仿宋" w:hAnsi="仿宋" w:eastAsia="仿宋" w:cs="仿宋"/>
                <w:color w:val="auto"/>
                <w:sz w:val="24"/>
                <w:highlight w:val="none"/>
              </w:rPr>
              <w:t xml:space="preserve"> </w:t>
            </w:r>
            <w:r>
              <w:rPr>
                <w:rFonts w:ascii="仿宋" w:hAnsi="仿宋" w:eastAsia="仿宋" w:cs="仿宋"/>
                <w:color w:val="auto"/>
                <w:spacing w:val="14"/>
                <w:sz w:val="24"/>
                <w:highlight w:val="none"/>
              </w:rPr>
              <w:t>对</w:t>
            </w:r>
            <w:r>
              <w:rPr>
                <w:rFonts w:ascii="仿宋" w:hAnsi="仿宋" w:eastAsia="仿宋" w:cs="仿宋"/>
                <w:color w:val="auto"/>
                <w:spacing w:val="8"/>
                <w:sz w:val="24"/>
                <w:highlight w:val="none"/>
              </w:rPr>
              <w:t>方造成的任何损失不承担违约责任。</w:t>
            </w:r>
          </w:p>
          <w:p>
            <w:pPr>
              <w:spacing w:line="360" w:lineRule="auto"/>
              <w:ind w:left="5" w:right="7" w:firstLine="471"/>
              <w:rPr>
                <w:rFonts w:ascii="仿宋" w:hAnsi="仿宋" w:eastAsia="仿宋" w:cs="仿宋"/>
                <w:color w:val="auto"/>
                <w:sz w:val="24"/>
                <w:highlight w:val="none"/>
              </w:rPr>
            </w:pPr>
            <w:r>
              <w:rPr>
                <w:rFonts w:ascii="仿宋" w:hAnsi="仿宋" w:eastAsia="仿宋" w:cs="仿宋"/>
                <w:color w:val="auto"/>
                <w:spacing w:val="8"/>
                <w:sz w:val="24"/>
                <w:highlight w:val="none"/>
              </w:rPr>
              <w:t>3.如果发生不可抗力事件，则受影响的一方应采取积极有效的措施以减少因本合同</w:t>
            </w:r>
            <w:r>
              <w:rPr>
                <w:rFonts w:ascii="仿宋" w:hAnsi="仿宋" w:eastAsia="仿宋" w:cs="仿宋"/>
                <w:color w:val="auto"/>
                <w:sz w:val="24"/>
                <w:highlight w:val="none"/>
              </w:rPr>
              <w:t xml:space="preserve"> </w:t>
            </w:r>
            <w:r>
              <w:rPr>
                <w:rFonts w:ascii="仿宋" w:hAnsi="仿宋" w:eastAsia="仿宋" w:cs="仿宋"/>
                <w:color w:val="auto"/>
                <w:spacing w:val="11"/>
                <w:sz w:val="24"/>
                <w:highlight w:val="none"/>
              </w:rPr>
              <w:t>不</w:t>
            </w:r>
            <w:r>
              <w:rPr>
                <w:rFonts w:ascii="仿宋" w:hAnsi="仿宋" w:eastAsia="仿宋" w:cs="仿宋"/>
                <w:color w:val="auto"/>
                <w:spacing w:val="8"/>
                <w:sz w:val="24"/>
                <w:highlight w:val="none"/>
              </w:rPr>
              <w:t>能履行或不能全部履行而给对方造成的损失，并应在不可抗力事件发生后三个工作日</w:t>
            </w:r>
            <w:r>
              <w:rPr>
                <w:rFonts w:ascii="仿宋" w:hAnsi="仿宋" w:eastAsia="仿宋" w:cs="仿宋"/>
                <w:color w:val="auto"/>
                <w:sz w:val="24"/>
                <w:highlight w:val="none"/>
              </w:rPr>
              <w:t xml:space="preserve"> </w:t>
            </w:r>
            <w:r>
              <w:rPr>
                <w:rFonts w:ascii="仿宋" w:hAnsi="仿宋" w:eastAsia="仿宋" w:cs="仿宋"/>
                <w:color w:val="auto"/>
                <w:spacing w:val="16"/>
                <w:sz w:val="24"/>
                <w:highlight w:val="none"/>
              </w:rPr>
              <w:t>内</w:t>
            </w:r>
            <w:r>
              <w:rPr>
                <w:rFonts w:ascii="仿宋" w:hAnsi="仿宋" w:eastAsia="仿宋" w:cs="仿宋"/>
                <w:color w:val="auto"/>
                <w:spacing w:val="10"/>
                <w:sz w:val="24"/>
                <w:highlight w:val="none"/>
              </w:rPr>
              <w:t>通</w:t>
            </w:r>
            <w:r>
              <w:rPr>
                <w:rFonts w:ascii="仿宋" w:hAnsi="仿宋" w:eastAsia="仿宋" w:cs="仿宋"/>
                <w:color w:val="auto"/>
                <w:spacing w:val="8"/>
                <w:sz w:val="24"/>
                <w:highlight w:val="none"/>
              </w:rPr>
              <w:t>知对方，并在十五日内出具官方证明文件。</w:t>
            </w:r>
          </w:p>
          <w:p>
            <w:pPr>
              <w:spacing w:before="1" w:line="360" w:lineRule="auto"/>
              <w:ind w:left="1" w:right="4" w:firstLine="469"/>
              <w:rPr>
                <w:rFonts w:ascii="仿宋" w:hAnsi="仿宋" w:eastAsia="仿宋" w:cs="仿宋"/>
                <w:color w:val="auto"/>
                <w:sz w:val="24"/>
                <w:highlight w:val="none"/>
              </w:rPr>
            </w:pPr>
            <w:r>
              <w:rPr>
                <w:rFonts w:ascii="仿宋" w:hAnsi="仿宋" w:eastAsia="仿宋" w:cs="仿宋"/>
                <w:color w:val="auto"/>
                <w:spacing w:val="14"/>
                <w:sz w:val="24"/>
                <w:highlight w:val="none"/>
              </w:rPr>
              <w:t>4</w:t>
            </w:r>
            <w:r>
              <w:rPr>
                <w:rFonts w:ascii="仿宋" w:hAnsi="仿宋" w:eastAsia="仿宋" w:cs="仿宋"/>
                <w:color w:val="auto"/>
                <w:spacing w:val="8"/>
                <w:sz w:val="24"/>
                <w:highlight w:val="none"/>
              </w:rPr>
              <w:t>.不可抗力影响因素消失以后，双方应协商是否继续履行合同。如果不可抗力因素</w:t>
            </w:r>
            <w:r>
              <w:rPr>
                <w:rFonts w:ascii="仿宋" w:hAnsi="仿宋" w:eastAsia="仿宋" w:cs="仿宋"/>
                <w:color w:val="auto"/>
                <w:sz w:val="24"/>
                <w:highlight w:val="none"/>
              </w:rPr>
              <w:t xml:space="preserve"> </w:t>
            </w:r>
            <w:r>
              <w:rPr>
                <w:rFonts w:ascii="仿宋" w:hAnsi="仿宋" w:eastAsia="仿宋" w:cs="仿宋"/>
                <w:color w:val="auto"/>
                <w:spacing w:val="16"/>
                <w:sz w:val="24"/>
                <w:highlight w:val="none"/>
              </w:rPr>
              <w:t>对</w:t>
            </w:r>
            <w:r>
              <w:rPr>
                <w:rFonts w:ascii="仿宋" w:hAnsi="仿宋" w:eastAsia="仿宋" w:cs="仿宋"/>
                <w:color w:val="auto"/>
                <w:spacing w:val="10"/>
                <w:sz w:val="24"/>
                <w:highlight w:val="none"/>
              </w:rPr>
              <w:t>合</w:t>
            </w:r>
            <w:r>
              <w:rPr>
                <w:rFonts w:ascii="仿宋" w:hAnsi="仿宋" w:eastAsia="仿宋" w:cs="仿宋"/>
                <w:color w:val="auto"/>
                <w:spacing w:val="8"/>
                <w:sz w:val="24"/>
                <w:highlight w:val="none"/>
              </w:rPr>
              <w:t>同一方的义务产生实质性、无法补救的影响，导致合同已无法履行，双方应通过书</w:t>
            </w:r>
            <w:r>
              <w:rPr>
                <w:rFonts w:ascii="仿宋" w:hAnsi="仿宋" w:eastAsia="仿宋" w:cs="仿宋"/>
                <w:color w:val="auto"/>
                <w:sz w:val="24"/>
                <w:highlight w:val="none"/>
              </w:rPr>
              <w:t xml:space="preserve"> </w:t>
            </w:r>
            <w:r>
              <w:rPr>
                <w:rFonts w:ascii="仿宋" w:hAnsi="仿宋" w:eastAsia="仿宋" w:cs="仿宋"/>
                <w:color w:val="auto"/>
                <w:spacing w:val="7"/>
                <w:sz w:val="24"/>
                <w:highlight w:val="none"/>
              </w:rPr>
              <w:t>面形式终止本合同</w:t>
            </w:r>
            <w:r>
              <w:rPr>
                <w:rFonts w:ascii="仿宋" w:hAnsi="仿宋" w:eastAsia="仿宋" w:cs="仿宋"/>
                <w:color w:val="auto"/>
                <w:spacing w:val="6"/>
                <w:sz w:val="24"/>
                <w:highlight w:val="none"/>
              </w:rPr>
              <w:t>。</w:t>
            </w:r>
          </w:p>
          <w:p>
            <w:pPr>
              <w:spacing w:line="360" w:lineRule="auto"/>
              <w:ind w:left="1" w:right="4" w:firstLine="475"/>
              <w:rPr>
                <w:rFonts w:ascii="仿宋" w:hAnsi="仿宋" w:eastAsia="仿宋" w:cs="仿宋"/>
                <w:color w:val="auto"/>
                <w:sz w:val="24"/>
                <w:highlight w:val="none"/>
              </w:rPr>
            </w:pPr>
            <w:r>
              <w:rPr>
                <w:rFonts w:ascii="仿宋" w:hAnsi="仿宋" w:eastAsia="仿宋" w:cs="仿宋"/>
                <w:color w:val="auto"/>
                <w:spacing w:val="8"/>
                <w:sz w:val="24"/>
                <w:highlight w:val="none"/>
              </w:rPr>
              <w:t>5.如果因本条所述原因导致本合同被提前终止，则任何一方均无需继续履行其在本</w:t>
            </w:r>
            <w:r>
              <w:rPr>
                <w:rFonts w:ascii="仿宋" w:hAnsi="仿宋" w:eastAsia="仿宋" w:cs="仿宋"/>
                <w:color w:val="auto"/>
                <w:sz w:val="24"/>
                <w:highlight w:val="none"/>
              </w:rPr>
              <w:t xml:space="preserve"> </w:t>
            </w:r>
            <w:r>
              <w:rPr>
                <w:rFonts w:ascii="仿宋" w:hAnsi="仿宋" w:eastAsia="仿宋" w:cs="仿宋"/>
                <w:color w:val="auto"/>
                <w:spacing w:val="16"/>
                <w:sz w:val="24"/>
                <w:highlight w:val="none"/>
              </w:rPr>
              <w:t>合</w:t>
            </w:r>
            <w:r>
              <w:rPr>
                <w:rFonts w:ascii="仿宋" w:hAnsi="仿宋" w:eastAsia="仿宋" w:cs="仿宋"/>
                <w:color w:val="auto"/>
                <w:spacing w:val="10"/>
                <w:sz w:val="24"/>
                <w:highlight w:val="none"/>
              </w:rPr>
              <w:t>同</w:t>
            </w:r>
            <w:r>
              <w:rPr>
                <w:rFonts w:ascii="仿宋" w:hAnsi="仿宋" w:eastAsia="仿宋" w:cs="仿宋"/>
                <w:color w:val="auto"/>
                <w:spacing w:val="8"/>
                <w:sz w:val="24"/>
                <w:highlight w:val="none"/>
              </w:rPr>
              <w:t>项下的义务，也无需为此向另一方承担任何责任；但双方应根据诚实信用原则，合</w:t>
            </w:r>
            <w:r>
              <w:rPr>
                <w:rFonts w:ascii="仿宋" w:hAnsi="仿宋" w:eastAsia="仿宋" w:cs="仿宋"/>
                <w:color w:val="auto"/>
                <w:sz w:val="24"/>
                <w:highlight w:val="none"/>
              </w:rPr>
              <w:t xml:space="preserve"> </w:t>
            </w:r>
            <w:r>
              <w:rPr>
                <w:rFonts w:ascii="仿宋" w:hAnsi="仿宋" w:eastAsia="仿宋" w:cs="仿宋"/>
                <w:color w:val="auto"/>
                <w:spacing w:val="15"/>
                <w:sz w:val="24"/>
                <w:highlight w:val="none"/>
              </w:rPr>
              <w:t>理</w:t>
            </w:r>
            <w:r>
              <w:rPr>
                <w:rFonts w:ascii="仿宋" w:hAnsi="仿宋" w:eastAsia="仿宋" w:cs="仿宋"/>
                <w:color w:val="auto"/>
                <w:spacing w:val="8"/>
                <w:sz w:val="24"/>
                <w:highlight w:val="none"/>
              </w:rPr>
              <w:t>确定本合同终止前甲方基于本合同应当向乙方支付的费用，并进行相应的结算。但一</w:t>
            </w:r>
          </w:p>
          <w:p>
            <w:pPr>
              <w:spacing w:line="360" w:lineRule="auto"/>
              <w:ind w:left="5"/>
              <w:rPr>
                <w:rFonts w:ascii="仿宋" w:hAnsi="仿宋" w:eastAsia="仿宋" w:cs="仿宋"/>
                <w:color w:val="auto"/>
                <w:sz w:val="24"/>
                <w:highlight w:val="none"/>
              </w:rPr>
            </w:pPr>
            <w:r>
              <w:rPr>
                <w:rFonts w:ascii="仿宋" w:hAnsi="仿宋" w:eastAsia="仿宋" w:cs="仿宋"/>
                <w:color w:val="auto"/>
                <w:spacing w:val="16"/>
                <w:sz w:val="24"/>
                <w:highlight w:val="none"/>
              </w:rPr>
              <w:t>方延</w:t>
            </w:r>
            <w:r>
              <w:rPr>
                <w:rFonts w:ascii="仿宋" w:hAnsi="仿宋" w:eastAsia="仿宋" w:cs="仿宋"/>
                <w:color w:val="auto"/>
                <w:spacing w:val="8"/>
                <w:sz w:val="24"/>
                <w:highlight w:val="none"/>
              </w:rPr>
              <w:t>迟履行后发生不可抗力的，不能免除该方的责任。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tcPr>
          <w:p>
            <w:pPr>
              <w:spacing w:line="360" w:lineRule="auto"/>
              <w:rPr>
                <w:rFonts w:ascii="仿宋" w:hAnsi="仿宋" w:eastAsia="仿宋" w:cs="宋体"/>
                <w:color w:val="auto"/>
                <w:sz w:val="24"/>
                <w:highlight w:val="none"/>
              </w:rPr>
            </w:pPr>
            <w:r>
              <w:rPr>
                <w:rFonts w:hint="eastAsia" w:ascii="仿宋" w:hAnsi="仿宋" w:eastAsia="仿宋" w:cs="宋体"/>
                <w:color w:val="auto"/>
                <w:sz w:val="24"/>
                <w:highlight w:val="none"/>
              </w:rPr>
              <w:t>2.</w:t>
            </w:r>
            <w:r>
              <w:rPr>
                <w:rFonts w:ascii="仿宋" w:hAnsi="仿宋" w:eastAsia="仿宋" w:cs="宋体"/>
                <w:color w:val="auto"/>
                <w:sz w:val="24"/>
                <w:highlight w:val="none"/>
              </w:rPr>
              <w:t>11.4</w:t>
            </w:r>
            <w:r>
              <w:rPr>
                <w:rFonts w:hint="eastAsia" w:ascii="仿宋" w:hAnsi="仿宋" w:eastAsia="仿宋" w:cs="宋体"/>
                <w:color w:val="auto"/>
                <w:sz w:val="24"/>
                <w:highlight w:val="none"/>
              </w:rPr>
              <w:t xml:space="preserve"> </w:t>
            </w:r>
          </w:p>
        </w:tc>
        <w:tc>
          <w:tcPr>
            <w:tcW w:w="4533" w:type="pct"/>
          </w:tcPr>
          <w:p>
            <w:pPr>
              <w:spacing w:line="360" w:lineRule="auto"/>
              <w:rPr>
                <w:rFonts w:ascii="仿宋" w:hAnsi="仿宋" w:eastAsia="仿宋"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cs="宋体"/>
                <w:color w:val="auto"/>
                <w:sz w:val="24"/>
                <w:highlight w:val="none"/>
              </w:rPr>
            </w:pPr>
            <w:r>
              <w:rPr>
                <w:rFonts w:hint="eastAsia" w:ascii="仿宋" w:hAnsi="仿宋" w:eastAsia="仿宋" w:cs="宋体"/>
                <w:color w:val="auto"/>
                <w:sz w:val="24"/>
                <w:highlight w:val="none"/>
              </w:rPr>
              <w:t>2.</w:t>
            </w:r>
            <w:r>
              <w:rPr>
                <w:rFonts w:ascii="仿宋" w:hAnsi="仿宋" w:eastAsia="仿宋" w:cs="宋体"/>
                <w:color w:val="auto"/>
                <w:sz w:val="24"/>
                <w:highlight w:val="none"/>
              </w:rPr>
              <w:t>15</w:t>
            </w:r>
            <w:r>
              <w:rPr>
                <w:rFonts w:hint="eastAsia" w:ascii="仿宋" w:hAnsi="仿宋" w:eastAsia="仿宋" w:cs="宋体"/>
                <w:color w:val="auto"/>
                <w:sz w:val="24"/>
                <w:highlight w:val="none"/>
              </w:rPr>
              <w:t>.</w:t>
            </w:r>
            <w:r>
              <w:rPr>
                <w:rFonts w:ascii="仿宋" w:hAnsi="仿宋" w:eastAsia="仿宋" w:cs="宋体"/>
                <w:color w:val="auto"/>
                <w:sz w:val="24"/>
                <w:highlight w:val="none"/>
              </w:rPr>
              <w:t>1</w:t>
            </w:r>
          </w:p>
        </w:tc>
        <w:tc>
          <w:tcPr>
            <w:tcW w:w="4533" w:type="pct"/>
            <w:vAlign w:val="center"/>
          </w:tcPr>
          <w:p>
            <w:pPr>
              <w:tabs>
                <w:tab w:val="left" w:pos="0"/>
              </w:tabs>
              <w:adjustRightInd/>
              <w:spacing w:line="360" w:lineRule="auto"/>
              <w:jc w:val="left"/>
              <w:rPr>
                <w:rFonts w:ascii="仿宋" w:hAnsi="仿宋" w:eastAsia="仿宋" w:cs="仿宋"/>
                <w:color w:val="auto"/>
                <w:sz w:val="24"/>
                <w:highlight w:val="none"/>
              </w:rPr>
            </w:pPr>
            <w:r>
              <w:rPr>
                <w:rFonts w:hint="eastAsia" w:ascii="仿宋" w:hAnsi="仿宋" w:eastAsia="仿宋" w:cs="仿宋"/>
                <w:color w:val="auto"/>
                <w:sz w:val="24"/>
                <w:highlight w:val="none"/>
              </w:rPr>
              <w:t>(1) 乙方提出验收申请后，甲方按照采购合同规定的技术、服务、标准以及 中标时的投标文件、本项目采购文件等要求，委托第三方对乙方履约情况进行验收， 乙方提请验收时需要提交的验收材料 (包括但不限于) ：验收申请表、材料 (设备) 合格证 (质保资料) 、最终版图纸、第三方检测机构出具的环境空气质量合格检测报告、 方案设计单位的效果监督服务报告、展厅试运行报告等。</w:t>
            </w:r>
          </w:p>
          <w:p>
            <w:pPr>
              <w:tabs>
                <w:tab w:val="left" w:pos="0"/>
              </w:tabs>
              <w:adjustRightInd/>
              <w:spacing w:line="360" w:lineRule="auto"/>
              <w:jc w:val="left"/>
              <w:rPr>
                <w:rFonts w:ascii="仿宋" w:hAnsi="仿宋" w:eastAsia="仿宋" w:cs="仿宋"/>
                <w:color w:val="auto"/>
                <w:sz w:val="24"/>
                <w:highlight w:val="none"/>
              </w:rPr>
            </w:pPr>
            <w:r>
              <w:rPr>
                <w:rFonts w:hint="eastAsia" w:ascii="仿宋" w:hAnsi="仿宋" w:eastAsia="仿宋" w:cs="仿宋"/>
                <w:color w:val="auto"/>
                <w:sz w:val="24"/>
                <w:highlight w:val="none"/>
              </w:rPr>
              <w:t>(2) 验收流程：</w:t>
            </w:r>
          </w:p>
          <w:p>
            <w:pPr>
              <w:tabs>
                <w:tab w:val="left" w:pos="0"/>
              </w:tabs>
              <w:adjustRightInd/>
              <w:spacing w:line="360" w:lineRule="auto"/>
              <w:jc w:val="left"/>
              <w:rPr>
                <w:rFonts w:ascii="仿宋" w:hAnsi="仿宋" w:eastAsia="仿宋" w:cs="仿宋"/>
                <w:color w:val="auto"/>
                <w:sz w:val="24"/>
                <w:highlight w:val="none"/>
              </w:rPr>
            </w:pPr>
            <w:r>
              <w:rPr>
                <w:rFonts w:hint="eastAsia" w:ascii="仿宋" w:hAnsi="仿宋" w:eastAsia="仿宋" w:cs="仿宋"/>
                <w:color w:val="auto"/>
                <w:sz w:val="24"/>
                <w:highlight w:val="none"/>
              </w:rPr>
              <w:t>①乙方完成合同要求的内容后，须向甲方发出验收申请。</w:t>
            </w:r>
          </w:p>
          <w:p>
            <w:pPr>
              <w:tabs>
                <w:tab w:val="left" w:pos="0"/>
              </w:tabs>
              <w:adjustRightInd/>
              <w:spacing w:line="360" w:lineRule="auto"/>
              <w:jc w:val="left"/>
              <w:rPr>
                <w:rFonts w:ascii="仿宋" w:hAnsi="仿宋" w:eastAsia="仿宋" w:cs="仿宋"/>
                <w:color w:val="auto"/>
                <w:sz w:val="24"/>
                <w:highlight w:val="none"/>
              </w:rPr>
            </w:pPr>
            <w:r>
              <w:rPr>
                <w:rFonts w:hint="eastAsia" w:ascii="仿宋" w:hAnsi="仿宋" w:eastAsia="仿宋" w:cs="仿宋"/>
                <w:color w:val="auto"/>
                <w:sz w:val="24"/>
                <w:highlight w:val="none"/>
              </w:rPr>
              <w:t>②甲方收到乙方验收申请后，委托第三方验收。验收的结果为本项目付款依据。</w:t>
            </w:r>
          </w:p>
          <w:p>
            <w:pPr>
              <w:pStyle w:val="36"/>
              <w:spacing w:line="360" w:lineRule="auto"/>
              <w:ind w:firstLine="0" w:firstLineChars="0"/>
              <w:rPr>
                <w:rFonts w:ascii="仿宋" w:hAnsi="仿宋" w:eastAsia="仿宋" w:cs="宋体"/>
                <w:color w:val="auto"/>
                <w:highlight w:val="none"/>
              </w:rPr>
            </w:pPr>
            <w:r>
              <w:rPr>
                <w:color w:val="auto"/>
                <w:highlight w:val="none"/>
              </w:rPr>
              <w:t>(3)</w:t>
            </w:r>
            <w:r>
              <w:rPr>
                <w:rFonts w:hint="eastAsia" w:ascii="仿宋" w:hAnsi="仿宋" w:eastAsia="仿宋" w:cs="宋体"/>
                <w:color w:val="auto"/>
                <w:highlight w:val="none"/>
              </w:rPr>
              <w:t>履约验收内容</w:t>
            </w:r>
          </w:p>
          <w:p>
            <w:pPr>
              <w:pStyle w:val="645"/>
              <w:ind w:firstLine="199" w:firstLineChars="83"/>
              <w:rPr>
                <w:rFonts w:ascii="仿宋" w:hAnsi="仿宋" w:eastAsia="仿宋" w:cs="仿宋"/>
                <w:color w:val="auto"/>
                <w:highlight w:val="none"/>
              </w:rPr>
            </w:pPr>
            <w:r>
              <w:rPr>
                <w:rFonts w:hint="eastAsia" w:ascii="仿宋" w:hAnsi="仿宋" w:eastAsia="仿宋" w:cs="仿宋"/>
                <w:color w:val="auto"/>
                <w:highlight w:val="none"/>
              </w:rPr>
              <w:t>1）技术履约内容</w:t>
            </w:r>
          </w:p>
          <w:p>
            <w:pPr>
              <w:pStyle w:val="36"/>
              <w:spacing w:after="120" w:line="360" w:lineRule="auto"/>
              <w:ind w:firstLine="0" w:firstLineChars="0"/>
              <w:rPr>
                <w:rFonts w:ascii="仿宋" w:hAnsi="仿宋" w:eastAsia="仿宋" w:cs="仿宋"/>
                <w:color w:val="auto"/>
                <w:highlight w:val="none"/>
              </w:rPr>
            </w:pPr>
            <w:r>
              <w:rPr>
                <w:rFonts w:hint="eastAsia" w:ascii="仿宋" w:hAnsi="仿宋" w:eastAsia="仿宋" w:cs="仿宋"/>
                <w:color w:val="auto"/>
                <w:highlight w:val="none"/>
              </w:rPr>
              <w:t>①满足所有采购需求及响应文件承诺；</w:t>
            </w:r>
          </w:p>
          <w:p>
            <w:pPr>
              <w:pStyle w:val="36"/>
              <w:spacing w:after="120" w:line="360" w:lineRule="auto"/>
              <w:ind w:firstLine="0" w:firstLineChars="0"/>
              <w:rPr>
                <w:rFonts w:ascii="仿宋" w:hAnsi="仿宋" w:eastAsia="仿宋" w:cs="仿宋"/>
                <w:color w:val="auto"/>
                <w:highlight w:val="none"/>
              </w:rPr>
            </w:pPr>
            <w:r>
              <w:rPr>
                <w:rFonts w:hint="eastAsia" w:ascii="仿宋" w:hAnsi="仿宋" w:eastAsia="仿宋" w:cs="仿宋"/>
                <w:color w:val="auto"/>
                <w:highlight w:val="none"/>
              </w:rPr>
              <w:t>②</w:t>
            </w:r>
            <w:r>
              <w:rPr>
                <w:rFonts w:ascii="仿宋" w:hAnsi="仿宋" w:eastAsia="仿宋" w:cs="仿宋"/>
                <w:color w:val="auto"/>
                <w:highlight w:val="none"/>
              </w:rPr>
              <w:t>拟投服务团队人员全部到位，与</w:t>
            </w:r>
            <w:r>
              <w:rPr>
                <w:rFonts w:hint="eastAsia" w:ascii="仿宋" w:hAnsi="仿宋" w:eastAsia="仿宋" w:cs="仿宋"/>
                <w:color w:val="auto"/>
                <w:highlight w:val="none"/>
              </w:rPr>
              <w:t>响应</w:t>
            </w:r>
            <w:r>
              <w:rPr>
                <w:rFonts w:ascii="仿宋" w:hAnsi="仿宋" w:eastAsia="仿宋" w:cs="仿宋"/>
                <w:color w:val="auto"/>
                <w:highlight w:val="none"/>
              </w:rPr>
              <w:t>文件人员信息清单一致；</w:t>
            </w:r>
          </w:p>
          <w:p>
            <w:pPr>
              <w:pStyle w:val="645"/>
              <w:ind w:firstLine="0" w:firstLineChars="0"/>
              <w:rPr>
                <w:rFonts w:ascii="仿宋" w:hAnsi="仿宋" w:eastAsia="仿宋" w:cs="仿宋"/>
                <w:color w:val="auto"/>
                <w:highlight w:val="none"/>
              </w:rPr>
            </w:pPr>
            <w:r>
              <w:rPr>
                <w:rFonts w:hint="eastAsia" w:ascii="仿宋" w:hAnsi="仿宋" w:eastAsia="仿宋" w:cs="仿宋"/>
                <w:color w:val="auto"/>
                <w:highlight w:val="none"/>
              </w:rPr>
              <w:t>2）商务履约内容</w:t>
            </w:r>
          </w:p>
          <w:p>
            <w:pPr>
              <w:pStyle w:val="661"/>
              <w:spacing w:after="120" w:line="360" w:lineRule="auto"/>
              <w:ind w:firstLine="0" w:firstLineChars="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①服务周期满足采购要求。</w:t>
            </w:r>
          </w:p>
          <w:p>
            <w:pPr>
              <w:tabs>
                <w:tab w:val="left" w:pos="0"/>
              </w:tabs>
              <w:adjustRightInd/>
              <w:spacing w:line="360" w:lineRule="auto"/>
              <w:jc w:val="left"/>
              <w:rPr>
                <w:rFonts w:ascii="仿宋" w:hAnsi="仿宋" w:eastAsia="仿宋" w:cs="仿宋"/>
                <w:color w:val="auto"/>
                <w:sz w:val="24"/>
                <w:highlight w:val="none"/>
              </w:rPr>
            </w:pPr>
            <w:r>
              <w:rPr>
                <w:rFonts w:hint="eastAsia" w:ascii="仿宋" w:hAnsi="仿宋" w:eastAsia="仿宋" w:cs="仿宋"/>
                <w:color w:val="auto"/>
                <w:sz w:val="24"/>
                <w:highlight w:val="none"/>
              </w:rPr>
              <w:t>(</w:t>
            </w:r>
            <w:r>
              <w:rPr>
                <w:rFonts w:ascii="仿宋" w:hAnsi="仿宋" w:eastAsia="仿宋" w:cs="仿宋"/>
                <w:color w:val="auto"/>
                <w:sz w:val="24"/>
                <w:highlight w:val="none"/>
              </w:rPr>
              <w:t>4</w:t>
            </w:r>
            <w:r>
              <w:rPr>
                <w:rFonts w:hint="eastAsia" w:ascii="仿宋" w:hAnsi="仿宋" w:eastAsia="仿宋" w:cs="仿宋"/>
                <w:color w:val="auto"/>
                <w:sz w:val="24"/>
                <w:highlight w:val="none"/>
              </w:rPr>
              <w:t>) 验收标准：</w:t>
            </w:r>
          </w:p>
          <w:p>
            <w:pPr>
              <w:tabs>
                <w:tab w:val="left" w:pos="0"/>
              </w:tabs>
              <w:adjustRightInd/>
              <w:spacing w:line="360" w:lineRule="auto"/>
              <w:jc w:val="left"/>
              <w:rPr>
                <w:rFonts w:ascii="仿宋" w:hAnsi="仿宋" w:eastAsia="仿宋" w:cs="仿宋"/>
                <w:color w:val="auto"/>
                <w:sz w:val="24"/>
                <w:highlight w:val="none"/>
              </w:rPr>
            </w:pPr>
            <w:r>
              <w:rPr>
                <w:rFonts w:hint="eastAsia" w:ascii="仿宋" w:hAnsi="仿宋" w:eastAsia="仿宋" w:cs="仿宋"/>
                <w:color w:val="auto"/>
                <w:sz w:val="24"/>
                <w:highlight w:val="none"/>
              </w:rPr>
              <w:t>①满足需求“标准规范”中提到的相应国家相关标准、行业标准、地方标准；</w:t>
            </w:r>
          </w:p>
          <w:p>
            <w:pPr>
              <w:tabs>
                <w:tab w:val="left" w:pos="0"/>
              </w:tabs>
              <w:adjustRightInd/>
              <w:spacing w:line="360" w:lineRule="auto"/>
              <w:jc w:val="left"/>
              <w:rPr>
                <w:rFonts w:ascii="仿宋" w:hAnsi="仿宋" w:eastAsia="仿宋" w:cs="仿宋"/>
                <w:color w:val="auto"/>
                <w:sz w:val="24"/>
                <w:highlight w:val="none"/>
              </w:rPr>
            </w:pPr>
            <w:r>
              <w:rPr>
                <w:rFonts w:hint="eastAsia" w:ascii="仿宋" w:hAnsi="仿宋" w:eastAsia="仿宋" w:cs="仿宋"/>
                <w:color w:val="auto"/>
                <w:sz w:val="24"/>
                <w:highlight w:val="none"/>
              </w:rPr>
              <w:t>②展厅布展服务的深化设计：在规定时间内提供平面深化图、各类节点图、 灯具布置图、弱电管线图、强电管线图、展柜 (台) 的形式，灯具 (专业) 的形式及要求，异形展墙、普通展墙、定制金属展柜、独立金属展柜 、特殊展柜墙体、浮雕墙创作、油画类背景画创作、彩色立面图等，全尺寸建模、渲染效果图等深化设计图纸，设计深度达到施工图程度，能有效指导展厅搭设及布展，深化设计图纸符合原设计方案的设计理念和总体要求，并通过采购人确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cs="宋体"/>
                <w:color w:val="auto"/>
                <w:sz w:val="24"/>
                <w:highlight w:val="none"/>
              </w:rPr>
            </w:pPr>
            <w:r>
              <w:rPr>
                <w:rFonts w:hint="eastAsia" w:ascii="仿宋" w:hAnsi="仿宋" w:eastAsia="仿宋" w:cs="宋体"/>
                <w:color w:val="auto"/>
                <w:sz w:val="24"/>
                <w:highlight w:val="none"/>
              </w:rPr>
              <w:t>2.</w:t>
            </w:r>
            <w:r>
              <w:rPr>
                <w:rFonts w:ascii="仿宋" w:hAnsi="仿宋" w:eastAsia="仿宋" w:cs="宋体"/>
                <w:color w:val="auto"/>
                <w:sz w:val="24"/>
                <w:highlight w:val="none"/>
              </w:rPr>
              <w:t>15</w:t>
            </w:r>
            <w:r>
              <w:rPr>
                <w:rFonts w:hint="eastAsia" w:ascii="仿宋" w:hAnsi="仿宋" w:eastAsia="仿宋" w:cs="宋体"/>
                <w:color w:val="auto"/>
                <w:sz w:val="24"/>
                <w:highlight w:val="none"/>
              </w:rPr>
              <w:t>.</w:t>
            </w:r>
            <w:r>
              <w:rPr>
                <w:rFonts w:ascii="仿宋" w:hAnsi="仿宋" w:eastAsia="仿宋" w:cs="宋体"/>
                <w:color w:val="auto"/>
                <w:sz w:val="24"/>
                <w:highlight w:val="none"/>
              </w:rPr>
              <w:t>3</w:t>
            </w:r>
          </w:p>
        </w:tc>
        <w:tc>
          <w:tcPr>
            <w:tcW w:w="4533" w:type="pct"/>
            <w:vAlign w:val="center"/>
          </w:tcPr>
          <w:p>
            <w:pPr>
              <w:spacing w:line="360" w:lineRule="auto"/>
              <w:ind w:firstLine="480"/>
              <w:rPr>
                <w:rFonts w:ascii="仿宋" w:hAnsi="仿宋" w:eastAsia="仿宋" w:cs="Helvetica"/>
                <w:color w:val="auto"/>
                <w:kern w:val="0"/>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cs="宋体"/>
                <w:color w:val="auto"/>
                <w:sz w:val="24"/>
                <w:highlight w:val="none"/>
              </w:rPr>
            </w:pPr>
            <w:r>
              <w:rPr>
                <w:rFonts w:hint="eastAsia" w:ascii="仿宋" w:hAnsi="仿宋" w:eastAsia="仿宋" w:cs="宋体"/>
                <w:color w:val="auto"/>
                <w:sz w:val="24"/>
                <w:highlight w:val="none"/>
              </w:rPr>
              <w:t>2.1</w:t>
            </w:r>
            <w:r>
              <w:rPr>
                <w:rFonts w:ascii="仿宋" w:hAnsi="仿宋" w:eastAsia="仿宋" w:cs="宋体"/>
                <w:color w:val="auto"/>
                <w:sz w:val="24"/>
                <w:highlight w:val="none"/>
              </w:rPr>
              <w:t>8</w:t>
            </w:r>
            <w:r>
              <w:rPr>
                <w:rFonts w:hint="eastAsia" w:ascii="仿宋" w:hAnsi="仿宋" w:eastAsia="仿宋" w:cs="宋体"/>
                <w:color w:val="auto"/>
                <w:sz w:val="24"/>
                <w:highlight w:val="none"/>
              </w:rPr>
              <w:t>.1</w:t>
            </w:r>
          </w:p>
        </w:tc>
        <w:tc>
          <w:tcPr>
            <w:tcW w:w="4533" w:type="pct"/>
            <w:vAlign w:val="center"/>
          </w:tcPr>
          <w:p>
            <w:pPr>
              <w:spacing w:line="360" w:lineRule="auto"/>
              <w:rPr>
                <w:rFonts w:ascii="仿宋" w:hAnsi="仿宋" w:eastAsia="仿宋" w:cs="宋体"/>
                <w:color w:val="auto"/>
                <w:sz w:val="24"/>
                <w:highlight w:val="none"/>
              </w:rPr>
            </w:pPr>
            <w:r>
              <w:rPr>
                <w:rFonts w:hint="eastAsia" w:ascii="仿宋" w:hAnsi="仿宋" w:eastAsia="仿宋"/>
                <w:color w:val="auto"/>
                <w:sz w:val="24"/>
                <w:highlight w:val="none"/>
              </w:rPr>
              <w:t>无需缴纳履约保证金。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466" w:type="pct"/>
            <w:tcBorders>
              <w:left w:val="single" w:color="auto" w:sz="4" w:space="0"/>
            </w:tcBorders>
            <w:vAlign w:val="center"/>
          </w:tcPr>
          <w:p>
            <w:pPr>
              <w:spacing w:line="360" w:lineRule="auto"/>
              <w:rPr>
                <w:rFonts w:ascii="仿宋" w:hAnsi="仿宋" w:eastAsia="仿宋" w:cs="宋体"/>
                <w:color w:val="auto"/>
                <w:sz w:val="24"/>
                <w:highlight w:val="none"/>
              </w:rPr>
            </w:pPr>
            <w:r>
              <w:rPr>
                <w:rFonts w:hint="eastAsia" w:ascii="仿宋" w:hAnsi="仿宋" w:eastAsia="仿宋" w:cs="宋体"/>
                <w:color w:val="auto"/>
                <w:sz w:val="24"/>
                <w:highlight w:val="none"/>
              </w:rPr>
              <w:t>2.1</w:t>
            </w:r>
            <w:r>
              <w:rPr>
                <w:rFonts w:ascii="仿宋" w:hAnsi="仿宋" w:eastAsia="仿宋" w:cs="宋体"/>
                <w:color w:val="auto"/>
                <w:sz w:val="24"/>
                <w:highlight w:val="none"/>
              </w:rPr>
              <w:t>8</w:t>
            </w:r>
            <w:r>
              <w:rPr>
                <w:rFonts w:hint="eastAsia" w:ascii="仿宋" w:hAnsi="仿宋" w:eastAsia="仿宋" w:cs="宋体"/>
                <w:color w:val="auto"/>
                <w:sz w:val="24"/>
                <w:highlight w:val="none"/>
              </w:rPr>
              <w:t>.</w:t>
            </w:r>
            <w:r>
              <w:rPr>
                <w:rFonts w:ascii="仿宋" w:hAnsi="仿宋" w:eastAsia="仿宋" w:cs="宋体"/>
                <w:color w:val="auto"/>
                <w:sz w:val="24"/>
                <w:highlight w:val="none"/>
              </w:rPr>
              <w:t>2</w:t>
            </w:r>
          </w:p>
        </w:tc>
        <w:tc>
          <w:tcPr>
            <w:tcW w:w="4533" w:type="pct"/>
            <w:vAlign w:val="center"/>
          </w:tcPr>
          <w:p>
            <w:pPr>
              <w:spacing w:line="360" w:lineRule="auto"/>
              <w:rPr>
                <w:rFonts w:ascii="仿宋" w:hAnsi="仿宋" w:eastAsia="仿宋" w:cs="宋体"/>
                <w:color w:val="auto"/>
                <w:sz w:val="24"/>
                <w:highlight w:val="none"/>
              </w:rPr>
            </w:pPr>
            <w:r>
              <w:rPr>
                <w:rFonts w:ascii="仿宋" w:hAnsi="仿宋" w:eastAsia="仿宋"/>
                <w:color w:val="auto"/>
                <w:sz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466" w:type="pct"/>
            <w:tcBorders>
              <w:left w:val="single" w:color="auto" w:sz="4" w:space="0"/>
            </w:tcBorders>
          </w:tcPr>
          <w:p>
            <w:pPr>
              <w:spacing w:line="360" w:lineRule="auto"/>
              <w:rPr>
                <w:rFonts w:ascii="仿宋" w:hAnsi="仿宋" w:eastAsia="仿宋" w:cs="宋体"/>
                <w:color w:val="auto"/>
                <w:sz w:val="24"/>
                <w:highlight w:val="none"/>
              </w:rPr>
            </w:pPr>
            <w:r>
              <w:rPr>
                <w:rFonts w:hint="eastAsia" w:ascii="仿宋" w:hAnsi="仿宋" w:eastAsia="仿宋" w:cs="宋体"/>
                <w:color w:val="auto"/>
                <w:sz w:val="24"/>
                <w:highlight w:val="none"/>
              </w:rPr>
              <w:t>2.20</w:t>
            </w:r>
          </w:p>
        </w:tc>
        <w:tc>
          <w:tcPr>
            <w:tcW w:w="4533" w:type="pct"/>
          </w:tcPr>
          <w:p>
            <w:pPr>
              <w:spacing w:line="360" w:lineRule="auto"/>
              <w:rPr>
                <w:rFonts w:ascii="仿宋" w:hAnsi="仿宋" w:eastAsia="仿宋" w:cs="宋体"/>
                <w:color w:val="auto"/>
                <w:sz w:val="24"/>
                <w:highlight w:val="none"/>
              </w:rPr>
            </w:pPr>
            <w:bookmarkStart w:id="710" w:name="_Hlk120831498"/>
            <w:r>
              <w:rPr>
                <w:rFonts w:hint="eastAsia" w:ascii="仿宋" w:hAnsi="仿宋" w:eastAsia="仿宋"/>
                <w:color w:val="auto"/>
                <w:sz w:val="24"/>
                <w:highlight w:val="none"/>
              </w:rPr>
              <w:t>本合同一式陆份，甲方执肆份、乙方执贰份。</w:t>
            </w:r>
            <w:bookmarkEnd w:id="710"/>
          </w:p>
        </w:tc>
      </w:tr>
    </w:tbl>
    <w:p>
      <w:pPr>
        <w:spacing w:line="360" w:lineRule="auto"/>
        <w:ind w:left="-420" w:leftChars="-200" w:right="-420" w:rightChars="-200"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p>
      <w:pPr>
        <w:spacing w:line="360" w:lineRule="auto"/>
        <w:rPr>
          <w:rFonts w:ascii="仿宋" w:hAnsi="仿宋" w:eastAsia="仿宋"/>
          <w:color w:val="auto"/>
          <w:highlight w:val="none"/>
        </w:rPr>
      </w:pPr>
    </w:p>
    <w:p>
      <w:pPr>
        <w:tabs>
          <w:tab w:val="left" w:pos="432"/>
        </w:tabs>
        <w:spacing w:line="360" w:lineRule="auto"/>
        <w:jc w:val="center"/>
        <w:rPr>
          <w:rFonts w:ascii="仿宋" w:hAnsi="仿宋" w:eastAsia="仿宋"/>
          <w:color w:val="auto"/>
          <w:highlight w:val="none"/>
        </w:rPr>
      </w:pPr>
    </w:p>
    <w:p>
      <w:pPr>
        <w:tabs>
          <w:tab w:val="left" w:pos="432"/>
        </w:tabs>
        <w:spacing w:line="360" w:lineRule="auto"/>
        <w:jc w:val="center"/>
        <w:rPr>
          <w:rFonts w:ascii="仿宋" w:hAnsi="仿宋" w:eastAsia="仿宋"/>
          <w:color w:val="auto"/>
          <w:highlight w:val="none"/>
        </w:rPr>
      </w:pPr>
    </w:p>
    <w:p>
      <w:pPr>
        <w:pStyle w:val="36"/>
        <w:spacing w:line="360" w:lineRule="auto"/>
        <w:rPr>
          <w:rFonts w:ascii="仿宋" w:hAnsi="仿宋" w:eastAsia="仿宋"/>
          <w:color w:val="auto"/>
          <w:highlight w:val="none"/>
        </w:rPr>
      </w:pPr>
    </w:p>
    <w:p>
      <w:pPr>
        <w:spacing w:line="360" w:lineRule="auto"/>
        <w:rPr>
          <w:rFonts w:ascii="仿宋" w:hAnsi="仿宋" w:eastAsia="仿宋"/>
          <w:color w:val="auto"/>
          <w:highlight w:val="none"/>
        </w:rPr>
      </w:pPr>
    </w:p>
    <w:p>
      <w:pPr>
        <w:pStyle w:val="36"/>
        <w:spacing w:line="360" w:lineRule="auto"/>
        <w:rPr>
          <w:rFonts w:ascii="仿宋" w:hAnsi="仿宋" w:eastAsia="仿宋"/>
          <w:color w:val="auto"/>
          <w:highlight w:val="none"/>
        </w:rPr>
      </w:pPr>
    </w:p>
    <w:p>
      <w:pPr>
        <w:spacing w:line="360" w:lineRule="auto"/>
        <w:rPr>
          <w:rFonts w:ascii="仿宋" w:hAnsi="仿宋" w:eastAsia="仿宋"/>
          <w:color w:val="auto"/>
          <w:highlight w:val="none"/>
        </w:rPr>
      </w:pPr>
    </w:p>
    <w:p>
      <w:pPr>
        <w:pStyle w:val="36"/>
        <w:spacing w:line="360" w:lineRule="auto"/>
        <w:rPr>
          <w:rFonts w:ascii="仿宋" w:hAnsi="仿宋" w:eastAsia="仿宋"/>
          <w:color w:val="auto"/>
          <w:highlight w:val="none"/>
        </w:rPr>
      </w:pPr>
    </w:p>
    <w:p>
      <w:pPr>
        <w:pStyle w:val="4"/>
        <w:jc w:val="center"/>
        <w:rPr>
          <w:rFonts w:ascii="仿宋" w:hAnsi="仿宋" w:eastAsia="仿宋"/>
          <w:color w:val="auto"/>
          <w:highlight w:val="none"/>
        </w:rPr>
      </w:pPr>
      <w:bookmarkStart w:id="711" w:name="_Toc17409"/>
      <w:r>
        <w:rPr>
          <w:rFonts w:hint="eastAsia" w:ascii="仿宋" w:hAnsi="仿宋" w:eastAsia="仿宋"/>
          <w:color w:val="auto"/>
          <w:highlight w:val="none"/>
        </w:rPr>
        <w:t>第六部分</w:t>
      </w:r>
      <w:bookmarkEnd w:id="589"/>
      <w:r>
        <w:rPr>
          <w:rFonts w:ascii="仿宋" w:hAnsi="仿宋" w:eastAsia="仿宋"/>
          <w:color w:val="auto"/>
          <w:highlight w:val="none"/>
        </w:rPr>
        <w:t xml:space="preserve"> </w:t>
      </w:r>
      <w:bookmarkEnd w:id="590"/>
      <w:r>
        <w:rPr>
          <w:rFonts w:hint="eastAsia" w:ascii="仿宋" w:hAnsi="仿宋" w:eastAsia="仿宋"/>
          <w:color w:val="auto"/>
          <w:highlight w:val="none"/>
        </w:rPr>
        <w:t>应提交的有关格式范例</w:t>
      </w:r>
      <w:bookmarkEnd w:id="591"/>
      <w:bookmarkEnd w:id="592"/>
      <w:bookmarkEnd w:id="593"/>
      <w:bookmarkEnd w:id="594"/>
      <w:bookmarkEnd w:id="595"/>
      <w:bookmarkEnd w:id="711"/>
    </w:p>
    <w:p>
      <w:pPr>
        <w:snapToGrid w:val="0"/>
        <w:spacing w:line="360" w:lineRule="auto"/>
        <w:jc w:val="center"/>
        <w:rPr>
          <w:rFonts w:ascii="仿宋" w:hAnsi="仿宋" w:eastAsia="仿宋" w:cs="仿宋_GB2312"/>
          <w:b/>
          <w:color w:val="auto"/>
          <w:kern w:val="0"/>
          <w:sz w:val="36"/>
          <w:szCs w:val="36"/>
          <w:highlight w:val="none"/>
        </w:rPr>
      </w:pPr>
    </w:p>
    <w:p>
      <w:pPr>
        <w:pStyle w:val="5"/>
        <w:jc w:val="center"/>
        <w:rPr>
          <w:rFonts w:ascii="仿宋" w:hAnsi="仿宋" w:eastAsia="仿宋"/>
          <w:color w:val="auto"/>
          <w:szCs w:val="28"/>
          <w:highlight w:val="none"/>
        </w:rPr>
      </w:pPr>
      <w:bookmarkStart w:id="712" w:name="_Toc1293302127"/>
      <w:bookmarkStart w:id="713" w:name="_Toc2036"/>
      <w:bookmarkStart w:id="714" w:name="_Toc95313009"/>
      <w:bookmarkStart w:id="715" w:name="_Toc8673"/>
      <w:bookmarkStart w:id="716" w:name="_Toc7821"/>
      <w:bookmarkStart w:id="717" w:name="_Toc21599"/>
      <w:r>
        <w:rPr>
          <w:rFonts w:hint="eastAsia" w:ascii="仿宋" w:hAnsi="仿宋" w:eastAsia="仿宋"/>
          <w:color w:val="auto"/>
          <w:szCs w:val="28"/>
          <w:highlight w:val="none"/>
        </w:rPr>
        <w:t>资格文件部分</w:t>
      </w:r>
      <w:bookmarkEnd w:id="712"/>
      <w:bookmarkEnd w:id="713"/>
      <w:bookmarkEnd w:id="714"/>
      <w:bookmarkEnd w:id="715"/>
      <w:bookmarkEnd w:id="716"/>
      <w:bookmarkEnd w:id="717"/>
    </w:p>
    <w:p>
      <w:pPr>
        <w:snapToGrid w:val="0"/>
        <w:spacing w:line="360" w:lineRule="auto"/>
        <w:jc w:val="center"/>
        <w:rPr>
          <w:rFonts w:ascii="仿宋" w:hAnsi="仿宋" w:eastAsia="仿宋" w:cs="仿宋_GB2312"/>
          <w:b/>
          <w:color w:val="auto"/>
          <w:kern w:val="0"/>
          <w:sz w:val="36"/>
          <w:szCs w:val="36"/>
          <w:highlight w:val="none"/>
        </w:rPr>
      </w:pPr>
      <w:r>
        <w:rPr>
          <w:rFonts w:hint="eastAsia" w:ascii="仿宋" w:hAnsi="仿宋" w:eastAsia="仿宋" w:cs="仿宋_GB2312"/>
          <w:b/>
          <w:color w:val="auto"/>
          <w:kern w:val="0"/>
          <w:sz w:val="36"/>
          <w:szCs w:val="36"/>
          <w:highlight w:val="none"/>
        </w:rPr>
        <w:t>目录</w:t>
      </w:r>
    </w:p>
    <w:p>
      <w:pPr>
        <w:snapToGrid w:val="0"/>
        <w:spacing w:line="360" w:lineRule="auto"/>
        <w:jc w:val="center"/>
        <w:rPr>
          <w:rFonts w:ascii="仿宋" w:hAnsi="仿宋" w:eastAsia="仿宋" w:cs="仿宋_GB2312"/>
          <w:b/>
          <w:color w:val="auto"/>
          <w:kern w:val="0"/>
          <w:sz w:val="36"/>
          <w:szCs w:val="36"/>
          <w:highlight w:val="none"/>
        </w:rPr>
      </w:pPr>
    </w:p>
    <w:p>
      <w:pPr>
        <w:snapToGrid w:val="0"/>
        <w:spacing w:line="360" w:lineRule="auto"/>
        <w:rPr>
          <w:rFonts w:ascii="仿宋" w:hAnsi="仿宋" w:eastAsia="仿宋" w:cs="仿宋_GB2312"/>
          <w:color w:val="auto"/>
          <w:sz w:val="24"/>
          <w:highlight w:val="none"/>
        </w:rPr>
      </w:pPr>
      <w:r>
        <w:rPr>
          <w:rFonts w:hint="eastAsia" w:ascii="仿宋" w:hAnsi="仿宋" w:eastAsia="仿宋" w:cs="仿宋_GB2312"/>
          <w:color w:val="auto"/>
          <w:sz w:val="24"/>
          <w:highlight w:val="none"/>
        </w:rPr>
        <w:t>（</w:t>
      </w:r>
      <w:r>
        <w:rPr>
          <w:rFonts w:ascii="仿宋" w:hAnsi="仿宋" w:eastAsia="仿宋" w:cs="仿宋_GB2312"/>
          <w:color w:val="auto"/>
          <w:sz w:val="24"/>
          <w:highlight w:val="none"/>
        </w:rPr>
        <w:t>1）符合参加政府采购活动应当具备的一般条件的承诺函……</w:t>
      </w:r>
      <w:r>
        <w:rPr>
          <w:rFonts w:hint="eastAsia" w:ascii="仿宋" w:hAnsi="仿宋" w:eastAsia="仿宋" w:cs="仿宋_GB2312"/>
          <w:color w:val="auto"/>
          <w:sz w:val="24"/>
          <w:highlight w:val="none"/>
        </w:rPr>
        <w:t>………（页码）</w:t>
      </w:r>
    </w:p>
    <w:p>
      <w:pPr>
        <w:snapToGrid w:val="0"/>
        <w:spacing w:line="360" w:lineRule="auto"/>
        <w:rPr>
          <w:rFonts w:ascii="仿宋" w:hAnsi="仿宋" w:eastAsia="仿宋" w:cs="仿宋_GB2312"/>
          <w:color w:val="auto"/>
          <w:sz w:val="24"/>
          <w:highlight w:val="none"/>
        </w:rPr>
      </w:pPr>
      <w:r>
        <w:rPr>
          <w:rFonts w:hint="eastAsia" w:ascii="仿宋" w:hAnsi="仿宋" w:eastAsia="仿宋" w:cs="仿宋_GB2312"/>
          <w:color w:val="auto"/>
          <w:sz w:val="24"/>
          <w:highlight w:val="none"/>
        </w:rPr>
        <w:t>（</w:t>
      </w:r>
      <w:r>
        <w:rPr>
          <w:rFonts w:ascii="仿宋" w:hAnsi="仿宋" w:eastAsia="仿宋" w:cs="仿宋_GB2312"/>
          <w:color w:val="auto"/>
          <w:sz w:val="24"/>
          <w:highlight w:val="none"/>
        </w:rPr>
        <w:t>2）落实政府采购政策需满足的资格要求……</w:t>
      </w:r>
      <w:r>
        <w:rPr>
          <w:rFonts w:hint="eastAsia" w:ascii="仿宋" w:hAnsi="仿宋" w:eastAsia="仿宋" w:cs="仿宋_GB2312"/>
          <w:color w:val="auto"/>
          <w:sz w:val="24"/>
          <w:highlight w:val="none"/>
        </w:rPr>
        <w:t>…………………………（页码）</w:t>
      </w:r>
    </w:p>
    <w:p>
      <w:pPr>
        <w:snapToGrid w:val="0"/>
        <w:spacing w:line="360" w:lineRule="auto"/>
        <w:rPr>
          <w:rFonts w:ascii="仿宋" w:hAnsi="仿宋" w:eastAsia="仿宋" w:cs="仿宋_GB2312"/>
          <w:color w:val="auto"/>
          <w:sz w:val="24"/>
          <w:highlight w:val="none"/>
        </w:rPr>
      </w:pPr>
      <w:r>
        <w:rPr>
          <w:rFonts w:hint="eastAsia" w:ascii="仿宋" w:hAnsi="仿宋" w:eastAsia="仿宋" w:cs="仿宋_GB2312"/>
          <w:color w:val="auto"/>
          <w:sz w:val="24"/>
          <w:highlight w:val="none"/>
        </w:rPr>
        <w:t>（</w:t>
      </w:r>
      <w:r>
        <w:rPr>
          <w:rFonts w:ascii="仿宋" w:hAnsi="仿宋" w:eastAsia="仿宋" w:cs="仿宋_GB2312"/>
          <w:color w:val="auto"/>
          <w:sz w:val="24"/>
          <w:highlight w:val="none"/>
        </w:rPr>
        <w:t>3）本项目的特定资格要求……</w:t>
      </w:r>
      <w:r>
        <w:rPr>
          <w:rFonts w:hint="eastAsia" w:ascii="仿宋" w:hAnsi="仿宋" w:eastAsia="仿宋" w:cs="仿宋_GB2312"/>
          <w:color w:val="auto"/>
          <w:sz w:val="24"/>
          <w:highlight w:val="none"/>
        </w:rPr>
        <w:t>…………………………………………（页码）</w:t>
      </w:r>
    </w:p>
    <w:p>
      <w:pPr>
        <w:snapToGrid w:val="0"/>
        <w:spacing w:line="360" w:lineRule="auto"/>
        <w:ind w:firstLine="480" w:firstLineChars="200"/>
        <w:rPr>
          <w:rFonts w:ascii="仿宋" w:hAnsi="仿宋" w:eastAsia="仿宋" w:cs="仿宋_GB2312"/>
          <w:color w:val="auto"/>
          <w:sz w:val="24"/>
          <w:highlight w:val="none"/>
        </w:rPr>
      </w:pPr>
    </w:p>
    <w:p>
      <w:pPr>
        <w:snapToGrid w:val="0"/>
        <w:spacing w:line="360" w:lineRule="auto"/>
        <w:ind w:firstLine="480" w:firstLineChars="200"/>
        <w:rPr>
          <w:rFonts w:ascii="仿宋" w:hAnsi="仿宋" w:eastAsia="仿宋" w:cs="仿宋_GB2312"/>
          <w:color w:val="auto"/>
          <w:sz w:val="24"/>
          <w:highlight w:val="none"/>
        </w:rPr>
      </w:pPr>
    </w:p>
    <w:p>
      <w:pPr>
        <w:pStyle w:val="2"/>
        <w:tabs>
          <w:tab w:val="left" w:pos="432"/>
          <w:tab w:val="clear" w:pos="900"/>
        </w:tabs>
        <w:jc w:val="center"/>
        <w:rPr>
          <w:rStyle w:val="1100"/>
          <w:rFonts w:ascii="仿宋" w:hAnsi="仿宋" w:eastAsia="仿宋"/>
          <w:color w:val="auto"/>
          <w:highlight w:val="none"/>
        </w:rPr>
      </w:pPr>
      <w:r>
        <w:rPr>
          <w:rFonts w:ascii="仿宋" w:hAnsi="仿宋" w:eastAsia="仿宋" w:cs="仿宋_GB2312"/>
          <w:color w:val="auto"/>
          <w:kern w:val="0"/>
          <w:highlight w:val="none"/>
        </w:rPr>
        <w:br w:type="page"/>
      </w:r>
      <w:bookmarkStart w:id="718" w:name="_Toc2927"/>
      <w:bookmarkStart w:id="719" w:name="_Toc1955"/>
      <w:bookmarkStart w:id="720" w:name="_Toc16246"/>
      <w:bookmarkStart w:id="721" w:name="_Toc8296"/>
      <w:bookmarkStart w:id="722" w:name="_Toc1846857202"/>
      <w:bookmarkStart w:id="723" w:name="_Toc95313010"/>
      <w:r>
        <w:rPr>
          <w:rStyle w:val="1100"/>
          <w:rFonts w:ascii="仿宋" w:hAnsi="仿宋" w:eastAsia="仿宋"/>
          <w:color w:val="auto"/>
          <w:highlight w:val="none"/>
        </w:rPr>
        <w:t>一、符合参加政府采购活动应当具备的一般条件的承诺函</w:t>
      </w:r>
      <w:bookmarkEnd w:id="718"/>
      <w:bookmarkEnd w:id="719"/>
      <w:bookmarkEnd w:id="720"/>
      <w:bookmarkEnd w:id="721"/>
      <w:bookmarkEnd w:id="722"/>
      <w:bookmarkEnd w:id="723"/>
    </w:p>
    <w:p>
      <w:pPr>
        <w:snapToGrid w:val="0"/>
        <w:spacing w:line="360" w:lineRule="auto"/>
        <w:rPr>
          <w:rFonts w:ascii="仿宋" w:hAnsi="仿宋" w:eastAsia="仿宋" w:cs="仿宋_GB2312"/>
          <w:color w:val="auto"/>
          <w:sz w:val="24"/>
          <w:highlight w:val="none"/>
        </w:rPr>
      </w:pPr>
      <w:r>
        <w:rPr>
          <w:rFonts w:hint="eastAsia" w:ascii="仿宋" w:hAnsi="仿宋" w:eastAsia="仿宋" w:cs="仿宋_GB2312"/>
          <w:color w:val="auto"/>
          <w:sz w:val="24"/>
          <w:highlight w:val="none"/>
          <w:u w:val="single"/>
        </w:rPr>
        <w:t>杭州市临平区人民政府临平街道办事处 、杭州中瑞招标代理有限公司</w:t>
      </w:r>
      <w:r>
        <w:rPr>
          <w:rFonts w:hint="eastAsia" w:ascii="仿宋" w:hAnsi="仿宋" w:eastAsia="仿宋" w:cs="仿宋_GB2312"/>
          <w:color w:val="auto"/>
          <w:sz w:val="24"/>
          <w:highlight w:val="none"/>
        </w:rPr>
        <w:t>：</w:t>
      </w:r>
    </w:p>
    <w:p>
      <w:pPr>
        <w:snapToGrid w:val="0"/>
        <w:spacing w:line="360" w:lineRule="auto"/>
        <w:ind w:firstLine="420"/>
        <w:rPr>
          <w:rFonts w:ascii="仿宋" w:hAnsi="仿宋" w:eastAsia="仿宋" w:cs="仿宋_GB2312"/>
          <w:color w:val="auto"/>
          <w:sz w:val="24"/>
          <w:highlight w:val="none"/>
        </w:rPr>
      </w:pPr>
      <w:r>
        <w:rPr>
          <w:rFonts w:hint="eastAsia" w:ascii="仿宋" w:hAnsi="仿宋" w:eastAsia="仿宋" w:cs="仿宋_GB2312"/>
          <w:color w:val="auto"/>
          <w:sz w:val="24"/>
          <w:highlight w:val="none"/>
        </w:rPr>
        <w:t>我方参与“俞樾纪念馆”陈列布展服务</w:t>
      </w:r>
      <w:r>
        <w:rPr>
          <w:rFonts w:hint="eastAsia" w:ascii="仿宋" w:hAnsi="仿宋" w:eastAsia="仿宋"/>
          <w:color w:val="auto"/>
          <w:sz w:val="24"/>
          <w:highlight w:val="none"/>
        </w:rPr>
        <w:t>项目</w:t>
      </w:r>
      <w:r>
        <w:rPr>
          <w:rFonts w:hint="eastAsia" w:ascii="仿宋" w:hAnsi="仿宋" w:eastAsia="仿宋" w:cs="仿宋_GB2312"/>
          <w:color w:val="auto"/>
          <w:sz w:val="24"/>
          <w:highlight w:val="none"/>
        </w:rPr>
        <w:t>【招标编号：</w:t>
      </w:r>
      <w:r>
        <w:rPr>
          <w:rFonts w:hint="eastAsia" w:ascii="仿宋" w:hAnsi="仿宋" w:eastAsia="仿宋"/>
          <w:color w:val="auto"/>
          <w:sz w:val="24"/>
          <w:highlight w:val="none"/>
        </w:rPr>
        <w:t>HZZR-F221201N</w:t>
      </w:r>
      <w:r>
        <w:rPr>
          <w:rFonts w:hint="eastAsia" w:ascii="仿宋" w:hAnsi="仿宋" w:eastAsia="仿宋" w:cs="仿宋_GB2312"/>
          <w:color w:val="auto"/>
          <w:sz w:val="24"/>
          <w:highlight w:val="none"/>
        </w:rPr>
        <w:t>】政府采购活动，郑重承诺：</w:t>
      </w:r>
    </w:p>
    <w:p>
      <w:pPr>
        <w:snapToGrid w:val="0"/>
        <w:spacing w:line="360" w:lineRule="auto"/>
        <w:ind w:firstLine="360" w:firstLineChars="150"/>
        <w:rPr>
          <w:rFonts w:ascii="仿宋" w:hAnsi="仿宋" w:eastAsia="仿宋" w:cs="仿宋_GB2312"/>
          <w:color w:val="auto"/>
          <w:sz w:val="24"/>
          <w:highlight w:val="none"/>
        </w:rPr>
      </w:pPr>
      <w:r>
        <w:rPr>
          <w:rFonts w:hint="eastAsia" w:ascii="仿宋" w:hAnsi="仿宋" w:eastAsia="仿宋" w:cs="仿宋_GB2312"/>
          <w:color w:val="auto"/>
          <w:sz w:val="24"/>
          <w:highlight w:val="none"/>
        </w:rPr>
        <w:t>（一）具备《中华人民共和国政府采购法》第二十二条第一款规定的条件：</w:t>
      </w:r>
    </w:p>
    <w:p>
      <w:pPr>
        <w:snapToGrid w:val="0"/>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1、</w:t>
      </w:r>
      <w:r>
        <w:rPr>
          <w:rFonts w:ascii="仿宋" w:hAnsi="仿宋" w:eastAsia="仿宋" w:cs="仿宋_GB2312"/>
          <w:color w:val="auto"/>
          <w:sz w:val="24"/>
          <w:highlight w:val="none"/>
        </w:rPr>
        <w:t>具有独立承担民事责任的能力；</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2、</w:t>
      </w:r>
      <w:r>
        <w:rPr>
          <w:rFonts w:ascii="仿宋" w:hAnsi="仿宋" w:eastAsia="仿宋"/>
          <w:color w:val="auto"/>
          <w:sz w:val="24"/>
          <w:highlight w:val="none"/>
        </w:rPr>
        <w:t xml:space="preserve">具有良好的商业信誉和健全的财务会计制度； </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3、</w:t>
      </w:r>
      <w:r>
        <w:rPr>
          <w:rFonts w:ascii="仿宋" w:hAnsi="仿宋" w:eastAsia="仿宋"/>
          <w:color w:val="auto"/>
          <w:sz w:val="24"/>
          <w:highlight w:val="none"/>
        </w:rPr>
        <w:t>具有履行合同所必需的设备和专业技术能力；</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4、</w:t>
      </w:r>
      <w:r>
        <w:rPr>
          <w:rFonts w:ascii="仿宋" w:hAnsi="仿宋" w:eastAsia="仿宋"/>
          <w:color w:val="auto"/>
          <w:sz w:val="24"/>
          <w:highlight w:val="none"/>
        </w:rPr>
        <w:t>有依法缴纳税收和社会保障资金的良好记录；</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5、</w:t>
      </w:r>
      <w:r>
        <w:rPr>
          <w:rFonts w:ascii="仿宋" w:hAnsi="仿宋" w:eastAsia="仿宋"/>
          <w:color w:val="auto"/>
          <w:sz w:val="24"/>
          <w:highlight w:val="none"/>
        </w:rPr>
        <w:t>参加政府采购活动前三年内，在经营活动中没有重大违法记录；</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6、</w:t>
      </w:r>
      <w:r>
        <w:rPr>
          <w:rFonts w:ascii="仿宋" w:hAnsi="仿宋" w:eastAsia="仿宋"/>
          <w:color w:val="auto"/>
          <w:sz w:val="24"/>
          <w:highlight w:val="none"/>
        </w:rPr>
        <w:t>具有法律、行政法规规定的其他条件。</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（二）未被信用中国（</w:t>
      </w:r>
      <w:r>
        <w:rPr>
          <w:rFonts w:ascii="仿宋" w:hAnsi="仿宋" w:eastAsia="仿宋"/>
          <w:color w:val="auto"/>
          <w:sz w:val="24"/>
          <w:highlight w:val="none"/>
        </w:rPr>
        <w:t>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（三）不存在以下情况：</w:t>
      </w:r>
    </w:p>
    <w:p>
      <w:pPr>
        <w:snapToGrid w:val="0"/>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1、</w:t>
      </w:r>
      <w:r>
        <w:rPr>
          <w:rFonts w:ascii="仿宋" w:hAnsi="仿宋" w:eastAsia="仿宋" w:cs="仿宋_GB2312"/>
          <w:color w:val="auto"/>
          <w:sz w:val="24"/>
          <w:highlight w:val="none"/>
        </w:rPr>
        <w:t>单位负责人为同一人或者存在直接控股、管理关系的不同供应商参加同一合同项下的政府采购活动的；</w:t>
      </w:r>
    </w:p>
    <w:p>
      <w:pPr>
        <w:snapToGrid w:val="0"/>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2、</w:t>
      </w:r>
      <w:r>
        <w:rPr>
          <w:rFonts w:ascii="仿宋" w:hAnsi="仿宋" w:eastAsia="仿宋" w:cs="仿宋_GB2312"/>
          <w:color w:val="auto"/>
          <w:sz w:val="24"/>
          <w:highlight w:val="none"/>
        </w:rPr>
        <w:t>为采购项目提供整体设计、规范编制或者项目管理、监理、检测等服务后再参加该采购项目的其他采购活动的。</w:t>
      </w:r>
    </w:p>
    <w:p>
      <w:pPr>
        <w:pStyle w:val="36"/>
        <w:snapToGrid w:val="0"/>
        <w:spacing w:line="360" w:lineRule="auto"/>
        <w:rPr>
          <w:rFonts w:ascii="仿宋" w:hAnsi="仿宋" w:eastAsia="仿宋" w:cs="仿宋_GB2312"/>
          <w:color w:val="auto"/>
          <w:highlight w:val="none"/>
        </w:rPr>
      </w:pPr>
    </w:p>
    <w:p>
      <w:pPr>
        <w:snapToGrid w:val="0"/>
        <w:spacing w:line="360" w:lineRule="auto"/>
        <w:rPr>
          <w:rFonts w:ascii="仿宋" w:hAnsi="仿宋" w:eastAsia="仿宋"/>
          <w:color w:val="auto"/>
          <w:highlight w:val="none"/>
        </w:rPr>
      </w:pPr>
    </w:p>
    <w:p>
      <w:pPr>
        <w:snapToGrid w:val="0"/>
        <w:spacing w:line="360" w:lineRule="auto"/>
        <w:ind w:firstLine="5520" w:firstLineChars="2300"/>
        <w:rPr>
          <w:rFonts w:ascii="仿宋" w:hAnsi="仿宋" w:eastAsia="仿宋" w:cs="仿宋_GB2312"/>
          <w:color w:val="auto"/>
          <w:kern w:val="0"/>
          <w:sz w:val="24"/>
          <w:highlight w:val="none"/>
        </w:rPr>
      </w:pPr>
      <w:r>
        <w:rPr>
          <w:rFonts w:hint="eastAsia" w:ascii="仿宋" w:hAnsi="仿宋" w:eastAsia="仿宋" w:cs="仿宋_GB2312"/>
          <w:color w:val="auto"/>
          <w:kern w:val="0"/>
          <w:sz w:val="24"/>
          <w:highlight w:val="none"/>
          <w:lang w:val="zh-CN"/>
        </w:rPr>
        <w:t>供应商名称</w:t>
      </w:r>
      <w:r>
        <w:rPr>
          <w:rFonts w:ascii="仿宋" w:hAnsi="仿宋" w:eastAsia="仿宋" w:cs="仿宋_GB2312"/>
          <w:color w:val="auto"/>
          <w:kern w:val="0"/>
          <w:sz w:val="24"/>
          <w:highlight w:val="none"/>
          <w:lang w:val="zh-CN"/>
        </w:rPr>
        <w:t>(电子签名)：</w:t>
      </w:r>
    </w:p>
    <w:p>
      <w:pPr>
        <w:snapToGrid w:val="0"/>
        <w:spacing w:line="360" w:lineRule="auto"/>
        <w:rPr>
          <w:rFonts w:ascii="仿宋" w:hAnsi="仿宋" w:eastAsia="仿宋" w:cs="仿宋_GB2312"/>
          <w:color w:val="auto"/>
          <w:kern w:val="0"/>
          <w:sz w:val="24"/>
          <w:highlight w:val="none"/>
        </w:rPr>
      </w:pPr>
      <w:r>
        <w:rPr>
          <w:rFonts w:ascii="仿宋" w:hAnsi="仿宋" w:eastAsia="仿宋" w:cs="仿宋_GB2312"/>
          <w:color w:val="auto"/>
          <w:kern w:val="0"/>
          <w:sz w:val="24"/>
          <w:highlight w:val="none"/>
          <w:lang w:val="zh-CN"/>
        </w:rPr>
        <w:t xml:space="preserve">                        </w:t>
      </w:r>
      <w:r>
        <w:rPr>
          <w:rFonts w:ascii="仿宋" w:hAnsi="仿宋" w:eastAsia="仿宋" w:cs="仿宋_GB2312"/>
          <w:color w:val="auto"/>
          <w:kern w:val="0"/>
          <w:sz w:val="24"/>
          <w:highlight w:val="none"/>
        </w:rPr>
        <w:t xml:space="preserve">                      </w:t>
      </w:r>
      <w:r>
        <w:rPr>
          <w:rFonts w:hint="eastAsia" w:ascii="仿宋" w:hAnsi="仿宋" w:eastAsia="仿宋" w:cs="仿宋_GB2312"/>
          <w:color w:val="auto"/>
          <w:kern w:val="0"/>
          <w:sz w:val="24"/>
          <w:highlight w:val="none"/>
          <w:lang w:val="zh-CN"/>
        </w:rPr>
        <w:t>日期</w:t>
      </w:r>
      <w:r>
        <w:rPr>
          <w:rFonts w:hint="eastAsia" w:ascii="仿宋" w:hAnsi="仿宋" w:eastAsia="仿宋" w:cs="仿宋_GB2312"/>
          <w:color w:val="auto"/>
          <w:kern w:val="0"/>
          <w:sz w:val="24"/>
          <w:highlight w:val="none"/>
        </w:rPr>
        <w:t>：</w:t>
      </w:r>
      <w:r>
        <w:rPr>
          <w:rFonts w:ascii="仿宋" w:hAnsi="仿宋" w:eastAsia="仿宋" w:cs="仿宋_GB2312"/>
          <w:color w:val="auto"/>
          <w:kern w:val="0"/>
          <w:sz w:val="24"/>
          <w:highlight w:val="none"/>
        </w:rPr>
        <w:t xml:space="preserve">  年  </w:t>
      </w:r>
      <w:r>
        <w:rPr>
          <w:rFonts w:hint="eastAsia" w:ascii="仿宋" w:hAnsi="仿宋" w:eastAsia="仿宋" w:cs="仿宋_GB2312"/>
          <w:color w:val="auto"/>
          <w:kern w:val="0"/>
          <w:sz w:val="24"/>
          <w:highlight w:val="none"/>
          <w:lang w:val="zh-CN"/>
        </w:rPr>
        <w:t>月</w:t>
      </w:r>
      <w:r>
        <w:rPr>
          <w:rFonts w:ascii="仿宋" w:hAnsi="仿宋" w:eastAsia="仿宋" w:cs="仿宋_GB2312"/>
          <w:color w:val="auto"/>
          <w:kern w:val="0"/>
          <w:sz w:val="24"/>
          <w:highlight w:val="none"/>
        </w:rPr>
        <w:t xml:space="preserve">   </w:t>
      </w:r>
      <w:r>
        <w:rPr>
          <w:rFonts w:hint="eastAsia" w:ascii="仿宋" w:hAnsi="仿宋" w:eastAsia="仿宋" w:cs="仿宋_GB2312"/>
          <w:color w:val="auto"/>
          <w:kern w:val="0"/>
          <w:sz w:val="24"/>
          <w:highlight w:val="none"/>
          <w:lang w:val="zh-CN"/>
        </w:rPr>
        <w:t>日</w:t>
      </w:r>
    </w:p>
    <w:p>
      <w:pPr>
        <w:spacing w:line="360" w:lineRule="auto"/>
        <w:rPr>
          <w:rFonts w:ascii="仿宋" w:hAnsi="仿宋" w:eastAsia="仿宋" w:cs="仿宋_GB2312"/>
          <w:b/>
          <w:color w:val="auto"/>
          <w:kern w:val="0"/>
          <w:sz w:val="32"/>
          <w:szCs w:val="32"/>
          <w:highlight w:val="none"/>
        </w:rPr>
      </w:pPr>
      <w:r>
        <w:rPr>
          <w:rFonts w:hint="eastAsia" w:ascii="仿宋" w:hAnsi="仿宋" w:eastAsia="仿宋" w:cs="仿宋_GB2312"/>
          <w:b/>
          <w:color w:val="auto"/>
          <w:kern w:val="0"/>
          <w:sz w:val="32"/>
          <w:szCs w:val="32"/>
          <w:highlight w:val="none"/>
        </w:rPr>
        <w:br w:type="page"/>
      </w:r>
    </w:p>
    <w:p>
      <w:pPr>
        <w:pStyle w:val="2"/>
        <w:tabs>
          <w:tab w:val="left" w:pos="432"/>
          <w:tab w:val="clear" w:pos="900"/>
        </w:tabs>
        <w:jc w:val="center"/>
        <w:rPr>
          <w:rStyle w:val="1100"/>
          <w:rFonts w:ascii="仿宋" w:hAnsi="仿宋" w:eastAsia="仿宋"/>
          <w:color w:val="auto"/>
          <w:highlight w:val="none"/>
        </w:rPr>
      </w:pPr>
      <w:bookmarkStart w:id="724" w:name="_Toc95313011"/>
      <w:bookmarkStart w:id="725" w:name="_Toc7859"/>
      <w:bookmarkStart w:id="726" w:name="_Toc9229"/>
      <w:bookmarkStart w:id="727" w:name="_Toc11361"/>
      <w:bookmarkStart w:id="728" w:name="_Toc9961"/>
      <w:bookmarkStart w:id="729" w:name="_Toc400360276"/>
      <w:r>
        <w:rPr>
          <w:rStyle w:val="1100"/>
          <w:rFonts w:hint="eastAsia" w:ascii="仿宋" w:hAnsi="仿宋" w:eastAsia="仿宋"/>
          <w:color w:val="auto"/>
          <w:highlight w:val="none"/>
        </w:rPr>
        <w:t>二、落实政府采购政策需满足的资格要求</w:t>
      </w:r>
      <w:bookmarkEnd w:id="724"/>
      <w:bookmarkEnd w:id="725"/>
      <w:bookmarkEnd w:id="726"/>
      <w:bookmarkEnd w:id="727"/>
      <w:bookmarkEnd w:id="728"/>
      <w:bookmarkEnd w:id="729"/>
    </w:p>
    <w:p>
      <w:pPr>
        <w:spacing w:line="360" w:lineRule="auto"/>
        <w:rPr>
          <w:rFonts w:ascii="仿宋" w:hAnsi="仿宋" w:eastAsia="仿宋"/>
          <w:color w:val="auto"/>
          <w:sz w:val="24"/>
          <w:highlight w:val="none"/>
        </w:rPr>
      </w:pPr>
      <w:r>
        <w:rPr>
          <w:rFonts w:hint="eastAsia" w:ascii="仿宋" w:hAnsi="仿宋" w:eastAsia="仿宋" w:cs="仿宋_GB2312"/>
          <w:color w:val="auto"/>
          <w:sz w:val="24"/>
          <w:highlight w:val="none"/>
        </w:rPr>
        <w:t>（根据招标公告</w:t>
      </w:r>
      <w:r>
        <w:rPr>
          <w:rFonts w:hint="eastAsia" w:ascii="仿宋" w:hAnsi="仿宋" w:eastAsia="仿宋"/>
          <w:color w:val="auto"/>
          <w:sz w:val="24"/>
          <w:highlight w:val="none"/>
        </w:rPr>
        <w:t>落实政府采购政策需满足的资格要求选择提供相应的材料；未要求的，无需提供</w:t>
      </w:r>
      <w:r>
        <w:rPr>
          <w:rFonts w:hint="eastAsia" w:ascii="仿宋" w:hAnsi="仿宋" w:eastAsia="仿宋" w:cs="仿宋_GB2312"/>
          <w:color w:val="auto"/>
          <w:sz w:val="24"/>
          <w:highlight w:val="none"/>
        </w:rPr>
        <w:t>）</w:t>
      </w:r>
    </w:p>
    <w:p>
      <w:pPr>
        <w:snapToGrid w:val="0"/>
        <w:spacing w:line="360" w:lineRule="auto"/>
        <w:rPr>
          <w:rFonts w:ascii="仿宋" w:hAnsi="仿宋" w:eastAsia="仿宋" w:cs="宋体"/>
          <w:color w:val="auto"/>
          <w:sz w:val="24"/>
          <w:highlight w:val="none"/>
        </w:rPr>
      </w:pPr>
      <w:bookmarkStart w:id="730" w:name="_Hlk95268614"/>
      <w:r>
        <w:rPr>
          <w:rFonts w:hint="eastAsia" w:ascii="仿宋" w:hAnsi="仿宋" w:eastAsia="仿宋" w:cs="仿宋_GB2312"/>
          <w:snapToGrid w:val="0"/>
          <w:color w:val="auto"/>
          <w:kern w:val="28"/>
          <w:sz w:val="24"/>
          <w:szCs w:val="20"/>
          <w:highlight w:val="none"/>
        </w:rPr>
        <w:t>本项目专门面向小微企业，</w:t>
      </w:r>
      <w:r>
        <w:rPr>
          <w:rFonts w:ascii="仿宋" w:hAnsi="仿宋" w:eastAsia="仿宋" w:cs="宋体"/>
          <w:color w:val="auto"/>
          <w:sz w:val="24"/>
          <w:highlight w:val="none"/>
        </w:rPr>
        <w:t>本项目为服务项目，本项目服务属于【</w:t>
      </w:r>
      <w:r>
        <w:rPr>
          <w:rFonts w:hint="eastAsia" w:ascii="仿宋" w:hAnsi="仿宋" w:eastAsia="仿宋"/>
          <w:b/>
          <w:bCs/>
          <w:color w:val="auto"/>
          <w:sz w:val="24"/>
          <w:highlight w:val="none"/>
        </w:rPr>
        <w:t>其他未列明行业</w:t>
      </w:r>
      <w:r>
        <w:rPr>
          <w:rFonts w:ascii="仿宋" w:hAnsi="仿宋" w:eastAsia="仿宋" w:cs="宋体"/>
          <w:color w:val="auto"/>
          <w:sz w:val="24"/>
          <w:highlight w:val="none"/>
        </w:rPr>
        <w:t>】，要求服务全部由</w:t>
      </w:r>
      <w:r>
        <w:rPr>
          <w:rFonts w:hint="eastAsia" w:ascii="仿宋" w:hAnsi="仿宋" w:eastAsia="仿宋" w:cs="宋体"/>
          <w:color w:val="auto"/>
          <w:sz w:val="24"/>
          <w:highlight w:val="none"/>
        </w:rPr>
        <w:t>小微</w:t>
      </w:r>
      <w:r>
        <w:rPr>
          <w:rFonts w:ascii="仿宋" w:hAnsi="仿宋" w:eastAsia="仿宋" w:cs="宋体"/>
          <w:color w:val="auto"/>
          <w:sz w:val="24"/>
          <w:highlight w:val="none"/>
        </w:rPr>
        <w:t>企业承接，即提供服务的人员为</w:t>
      </w:r>
      <w:r>
        <w:rPr>
          <w:rFonts w:hint="eastAsia" w:ascii="仿宋" w:hAnsi="仿宋" w:eastAsia="仿宋" w:cs="宋体"/>
          <w:color w:val="auto"/>
          <w:sz w:val="24"/>
          <w:highlight w:val="none"/>
        </w:rPr>
        <w:t>小微</w:t>
      </w:r>
      <w:r>
        <w:rPr>
          <w:rFonts w:ascii="仿宋" w:hAnsi="仿宋" w:eastAsia="仿宋" w:cs="宋体"/>
          <w:color w:val="auto"/>
          <w:sz w:val="24"/>
          <w:highlight w:val="none"/>
        </w:rPr>
        <w:t>企业依照《中华人民共和国劳动合同法》订立劳动合同的从业人员。</w:t>
      </w:r>
      <w:r>
        <w:rPr>
          <w:rFonts w:hint="eastAsia" w:ascii="仿宋" w:hAnsi="仿宋" w:eastAsia="仿宋" w:cs="宋体"/>
          <w:color w:val="auto"/>
          <w:sz w:val="24"/>
          <w:highlight w:val="none"/>
        </w:rPr>
        <w:t>小微企业</w:t>
      </w:r>
      <w:r>
        <w:rPr>
          <w:rFonts w:ascii="仿宋" w:hAnsi="仿宋" w:eastAsia="仿宋" w:cs="宋体"/>
          <w:color w:val="auto"/>
          <w:sz w:val="24"/>
          <w:highlight w:val="none"/>
        </w:rPr>
        <w:t>是指满足《政府采购促进中小企业发展管理办法》（财库〔2020〕 46 号）第二条规定的企业，监狱企业、残疾人福利性单位视为</w:t>
      </w:r>
      <w:r>
        <w:rPr>
          <w:rFonts w:hint="eastAsia" w:ascii="仿宋" w:hAnsi="仿宋" w:eastAsia="仿宋" w:cs="宋体"/>
          <w:color w:val="auto"/>
          <w:sz w:val="24"/>
          <w:highlight w:val="none"/>
        </w:rPr>
        <w:t>小微</w:t>
      </w:r>
      <w:r>
        <w:rPr>
          <w:rFonts w:ascii="仿宋" w:hAnsi="仿宋" w:eastAsia="仿宋" w:cs="宋体"/>
          <w:color w:val="auto"/>
          <w:sz w:val="24"/>
          <w:highlight w:val="none"/>
        </w:rPr>
        <w:t>企业</w:t>
      </w:r>
      <w:r>
        <w:rPr>
          <w:rFonts w:hint="eastAsia" w:ascii="仿宋" w:hAnsi="仿宋" w:eastAsia="仿宋" w:cs="宋体"/>
          <w:color w:val="auto"/>
          <w:sz w:val="24"/>
          <w:highlight w:val="none"/>
        </w:rPr>
        <w:t>。</w:t>
      </w:r>
    </w:p>
    <w:bookmarkEnd w:id="730"/>
    <w:p>
      <w:pPr>
        <w:snapToGrid w:val="0"/>
        <w:spacing w:line="360" w:lineRule="auto"/>
        <w:ind w:firstLine="301" w:firstLineChars="100"/>
        <w:rPr>
          <w:rFonts w:ascii="仿宋" w:hAnsi="仿宋" w:eastAsia="仿宋" w:cs="仿宋_GB2312"/>
          <w:b/>
          <w:bCs/>
          <w:color w:val="auto"/>
          <w:sz w:val="30"/>
          <w:szCs w:val="30"/>
          <w:highlight w:val="none"/>
        </w:rPr>
      </w:pPr>
      <w:r>
        <w:rPr>
          <w:rFonts w:hint="eastAsia" w:ascii="仿宋" w:hAnsi="仿宋" w:eastAsia="仿宋" w:cs="仿宋_GB2312"/>
          <w:b/>
          <w:bCs/>
          <w:color w:val="auto"/>
          <w:sz w:val="30"/>
          <w:szCs w:val="30"/>
          <w:highlight w:val="none"/>
        </w:rPr>
        <w:t>注：投标人须提供相应的中小企业声明函（附件</w:t>
      </w:r>
      <w:r>
        <w:rPr>
          <w:rFonts w:ascii="仿宋" w:hAnsi="仿宋" w:eastAsia="仿宋" w:cs="仿宋_GB2312"/>
          <w:b/>
          <w:bCs/>
          <w:color w:val="auto"/>
          <w:sz w:val="30"/>
          <w:szCs w:val="30"/>
          <w:highlight w:val="none"/>
        </w:rPr>
        <w:t>5</w:t>
      </w:r>
      <w:r>
        <w:rPr>
          <w:rFonts w:hint="eastAsia" w:ascii="仿宋" w:hAnsi="仿宋" w:eastAsia="仿宋" w:cs="仿宋_GB2312"/>
          <w:b/>
          <w:bCs/>
          <w:color w:val="auto"/>
          <w:sz w:val="30"/>
          <w:szCs w:val="30"/>
          <w:highlight w:val="none"/>
        </w:rPr>
        <w:t>），未提供中小企业申明函或投标人不属于小微企业，资格审查不通过。如投标人提供的中小企业申明函与事实不符，</w:t>
      </w:r>
      <w:r>
        <w:rPr>
          <w:rFonts w:ascii="仿宋" w:hAnsi="仿宋" w:eastAsia="仿宋" w:cs="仿宋_GB2312"/>
          <w:b/>
          <w:bCs/>
          <w:color w:val="auto"/>
          <w:sz w:val="30"/>
          <w:szCs w:val="30"/>
          <w:highlight w:val="none"/>
        </w:rPr>
        <w:t>属于提供虚假材料谋取中标、成交，</w:t>
      </w:r>
      <w:r>
        <w:rPr>
          <w:rFonts w:hint="eastAsia" w:ascii="仿宋" w:hAnsi="仿宋" w:eastAsia="仿宋" w:cs="仿宋_GB2312"/>
          <w:b/>
          <w:bCs/>
          <w:color w:val="auto"/>
          <w:sz w:val="30"/>
          <w:szCs w:val="30"/>
          <w:highlight w:val="none"/>
        </w:rPr>
        <w:t>资格审查不通过，</w:t>
      </w:r>
      <w:r>
        <w:rPr>
          <w:rFonts w:ascii="仿宋" w:hAnsi="仿宋" w:eastAsia="仿宋" w:cs="仿宋_GB2312"/>
          <w:b/>
          <w:bCs/>
          <w:color w:val="auto"/>
          <w:sz w:val="30"/>
          <w:szCs w:val="30"/>
          <w:highlight w:val="none"/>
        </w:rPr>
        <w:t>依照《中华人民共和国政府采购法》等国家有关规定追究相应责任。</w:t>
      </w:r>
    </w:p>
    <w:p>
      <w:pPr>
        <w:snapToGrid w:val="0"/>
        <w:spacing w:line="360" w:lineRule="auto"/>
        <w:jc w:val="center"/>
        <w:rPr>
          <w:rFonts w:ascii="仿宋" w:hAnsi="仿宋" w:eastAsia="仿宋"/>
          <w:color w:val="auto"/>
          <w:sz w:val="24"/>
          <w:highlight w:val="none"/>
        </w:rPr>
      </w:pPr>
    </w:p>
    <w:p>
      <w:pPr>
        <w:pStyle w:val="125"/>
        <w:numPr>
          <w:ilvl w:val="0"/>
          <w:numId w:val="20"/>
        </w:numPr>
        <w:snapToGrid w:val="0"/>
        <w:spacing w:before="120" w:after="120"/>
        <w:ind w:firstLineChars="0"/>
        <w:rPr>
          <w:rFonts w:ascii="仿宋" w:hAnsi="仿宋" w:eastAsia="仿宋"/>
          <w:color w:val="auto"/>
          <w:highlight w:val="none"/>
        </w:rPr>
      </w:pPr>
      <w:r>
        <w:rPr>
          <w:rFonts w:ascii="仿宋" w:hAnsi="仿宋" w:eastAsia="仿宋" w:cs="仿宋_GB2312"/>
          <w:b/>
          <w:color w:val="auto"/>
          <w:kern w:val="0"/>
          <w:sz w:val="32"/>
          <w:szCs w:val="32"/>
          <w:highlight w:val="none"/>
        </w:rPr>
        <w:br w:type="page"/>
      </w:r>
      <w:r>
        <w:rPr>
          <w:rFonts w:hint="eastAsia" w:ascii="仿宋" w:hAnsi="仿宋" w:eastAsia="仿宋"/>
          <w:color w:val="auto"/>
          <w:highlight w:val="none"/>
        </w:rPr>
        <w:t>供应商以联合体形式投标的：提供联合协议。</w:t>
      </w:r>
    </w:p>
    <w:p>
      <w:pPr>
        <w:snapToGrid w:val="0"/>
        <w:spacing w:line="360" w:lineRule="auto"/>
        <w:jc w:val="center"/>
        <w:rPr>
          <w:rFonts w:ascii="仿宋" w:hAnsi="仿宋" w:eastAsia="仿宋"/>
          <w:color w:val="auto"/>
          <w:sz w:val="24"/>
          <w:highlight w:val="none"/>
        </w:rPr>
      </w:pPr>
    </w:p>
    <w:p>
      <w:pPr>
        <w:snapToGrid w:val="0"/>
        <w:spacing w:line="360" w:lineRule="auto"/>
        <w:jc w:val="center"/>
        <w:rPr>
          <w:rFonts w:ascii="仿宋" w:hAnsi="仿宋" w:eastAsia="仿宋" w:cs="仿宋_GB2312"/>
          <w:b/>
          <w:color w:val="auto"/>
          <w:kern w:val="0"/>
          <w:sz w:val="32"/>
          <w:szCs w:val="32"/>
          <w:highlight w:val="none"/>
          <w:lang w:val="zh-CN"/>
        </w:rPr>
      </w:pPr>
      <w:r>
        <w:rPr>
          <w:rFonts w:hint="eastAsia" w:ascii="仿宋" w:hAnsi="仿宋" w:eastAsia="仿宋" w:cs="仿宋_GB2312"/>
          <w:b/>
          <w:color w:val="auto"/>
          <w:kern w:val="0"/>
          <w:sz w:val="32"/>
          <w:szCs w:val="32"/>
          <w:highlight w:val="none"/>
          <w:lang w:val="zh-CN"/>
        </w:rPr>
        <w:t>联合协议</w:t>
      </w:r>
    </w:p>
    <w:p>
      <w:pPr>
        <w:snapToGrid w:val="0"/>
        <w:spacing w:line="360" w:lineRule="auto"/>
        <w:ind w:left="1740" w:hanging="1740" w:hangingChars="725"/>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u w:val="single"/>
        </w:rPr>
        <w:t>（联合体所有成员名称）</w:t>
      </w:r>
      <w:r>
        <w:rPr>
          <w:rFonts w:hint="eastAsia" w:ascii="仿宋" w:hAnsi="仿宋" w:eastAsia="仿宋" w:cs="仿宋_GB2312"/>
          <w:color w:val="auto"/>
          <w:kern w:val="0"/>
          <w:sz w:val="24"/>
          <w:highlight w:val="none"/>
        </w:rPr>
        <w:t>自愿</w:t>
      </w:r>
      <w:r>
        <w:rPr>
          <w:rFonts w:hint="eastAsia" w:ascii="仿宋" w:hAnsi="仿宋" w:eastAsia="仿宋" w:cs="仿宋_GB2312"/>
          <w:color w:val="auto"/>
          <w:kern w:val="0"/>
          <w:sz w:val="24"/>
          <w:highlight w:val="none"/>
          <w:lang w:val="zh-CN"/>
        </w:rPr>
        <w:t>组成一个联合体，以一个供应商的身份</w:t>
      </w:r>
      <w:r>
        <w:rPr>
          <w:rFonts w:hint="eastAsia" w:ascii="仿宋" w:hAnsi="仿宋" w:eastAsia="仿宋" w:cs="仿宋_GB2312"/>
          <w:color w:val="auto"/>
          <w:kern w:val="0"/>
          <w:sz w:val="24"/>
          <w:highlight w:val="none"/>
        </w:rPr>
        <w:t>参加</w:t>
      </w:r>
      <w:r>
        <w:rPr>
          <w:rFonts w:hint="eastAsia" w:ascii="仿宋" w:hAnsi="仿宋" w:eastAsia="仿宋" w:cs="仿宋_GB2312"/>
          <w:color w:val="auto"/>
          <w:kern w:val="0"/>
          <w:sz w:val="24"/>
          <w:highlight w:val="none"/>
          <w:u w:val="single"/>
        </w:rPr>
        <w:t xml:space="preserve">     </w:t>
      </w:r>
      <w:r>
        <w:rPr>
          <w:rFonts w:hint="eastAsia" w:ascii="仿宋" w:hAnsi="仿宋" w:eastAsia="仿宋" w:cs="仿宋_GB2312"/>
          <w:color w:val="auto"/>
          <w:sz w:val="24"/>
          <w:highlight w:val="none"/>
        </w:rPr>
        <w:t>【招标编号：】</w:t>
      </w:r>
      <w:r>
        <w:rPr>
          <w:rFonts w:hint="eastAsia" w:ascii="仿宋" w:hAnsi="仿宋" w:eastAsia="仿宋" w:cs="仿宋_GB2312"/>
          <w:color w:val="auto"/>
          <w:kern w:val="0"/>
          <w:sz w:val="24"/>
          <w:highlight w:val="none"/>
          <w:lang w:val="zh-CN"/>
        </w:rPr>
        <w:t>投标。</w:t>
      </w:r>
      <w:r>
        <w:rPr>
          <w:rFonts w:ascii="仿宋" w:hAnsi="仿宋" w:eastAsia="仿宋" w:cs="仿宋_GB2312"/>
          <w:color w:val="auto"/>
          <w:kern w:val="0"/>
          <w:sz w:val="24"/>
          <w:highlight w:val="none"/>
          <w:lang w:val="zh-CN"/>
        </w:rPr>
        <w:t xml:space="preserve"> </w:t>
      </w:r>
    </w:p>
    <w:p>
      <w:pPr>
        <w:snapToGrid w:val="0"/>
        <w:spacing w:line="360" w:lineRule="auto"/>
        <w:ind w:firstLine="576"/>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一、各方一致决定，</w:t>
      </w:r>
      <w:r>
        <w:rPr>
          <w:rFonts w:hint="eastAsia" w:ascii="仿宋" w:hAnsi="仿宋" w:eastAsia="仿宋" w:cs="仿宋_GB2312"/>
          <w:color w:val="auto"/>
          <w:kern w:val="0"/>
          <w:sz w:val="24"/>
          <w:highlight w:val="none"/>
          <w:u w:val="single"/>
        </w:rPr>
        <w:t>（某联合体成员名称）</w:t>
      </w:r>
      <w:r>
        <w:rPr>
          <w:rFonts w:hint="eastAsia" w:ascii="仿宋" w:hAnsi="仿宋" w:eastAsia="仿宋" w:cs="仿宋_GB2312"/>
          <w:color w:val="auto"/>
          <w:kern w:val="0"/>
          <w:sz w:val="24"/>
          <w:highlight w:val="none"/>
        </w:rPr>
        <w:t>为联合体</w:t>
      </w:r>
      <w:r>
        <w:rPr>
          <w:rFonts w:hint="eastAsia" w:ascii="仿宋" w:hAnsi="仿宋" w:eastAsia="仿宋" w:cs="仿宋_GB2312"/>
          <w:color w:val="auto"/>
          <w:kern w:val="0"/>
          <w:sz w:val="24"/>
          <w:highlight w:val="none"/>
          <w:lang w:val="zh-CN"/>
        </w:rPr>
        <w:t>牵头人，</w:t>
      </w:r>
      <w:r>
        <w:rPr>
          <w:rFonts w:hint="eastAsia" w:ascii="仿宋" w:hAnsi="仿宋" w:eastAsia="仿宋" w:cs="Arial"/>
          <w:color w:val="auto"/>
          <w:sz w:val="24"/>
          <w:highlight w:val="none"/>
        </w:rPr>
        <w:t>代表所有联合体成员负责投标和合同实施阶段的主办、协调工作</w:t>
      </w:r>
      <w:r>
        <w:rPr>
          <w:rFonts w:hint="eastAsia" w:ascii="仿宋" w:hAnsi="仿宋" w:eastAsia="仿宋" w:cs="仿宋_GB2312"/>
          <w:color w:val="auto"/>
          <w:kern w:val="0"/>
          <w:sz w:val="24"/>
          <w:highlight w:val="none"/>
          <w:lang w:val="zh-CN"/>
        </w:rPr>
        <w:t>。</w:t>
      </w:r>
    </w:p>
    <w:p>
      <w:pPr>
        <w:snapToGrid w:val="0"/>
        <w:spacing w:line="360" w:lineRule="auto"/>
        <w:ind w:firstLine="576"/>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二、</w:t>
      </w:r>
      <w:r>
        <w:rPr>
          <w:rFonts w:hint="eastAsia" w:ascii="仿宋" w:hAnsi="仿宋" w:eastAsia="仿宋" w:cs="Arial"/>
          <w:color w:val="auto"/>
          <w:sz w:val="24"/>
          <w:highlight w:val="none"/>
        </w:rPr>
        <w:t>所有联合体成员各方签署授权书，授权书载明的</w:t>
      </w:r>
      <w:r>
        <w:rPr>
          <w:rFonts w:hint="eastAsia" w:ascii="仿宋" w:hAnsi="仿宋" w:eastAsia="仿宋" w:cs="仿宋_GB2312"/>
          <w:color w:val="auto"/>
          <w:kern w:val="0"/>
          <w:sz w:val="24"/>
          <w:highlight w:val="none"/>
          <w:lang w:val="zh-CN"/>
        </w:rPr>
        <w:t>授权代表根据采购文件规定及投标内容而对采购人、采购代理机构所作的任何合法承诺，包括书面澄清及相应等均对联合投标各方产生约束力。</w:t>
      </w:r>
    </w:p>
    <w:p>
      <w:pPr>
        <w:snapToGrid w:val="0"/>
        <w:spacing w:line="360" w:lineRule="auto"/>
        <w:ind w:firstLine="576"/>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三、本次联合投标中，分工如下：</w:t>
      </w:r>
      <w:r>
        <w:rPr>
          <w:rFonts w:hint="eastAsia" w:ascii="仿宋" w:hAnsi="仿宋" w:eastAsia="仿宋" w:cs="仿宋_GB2312"/>
          <w:color w:val="auto"/>
          <w:kern w:val="0"/>
          <w:sz w:val="24"/>
          <w:highlight w:val="none"/>
          <w:u w:val="single"/>
        </w:rPr>
        <w:t>（联合体其中一方成员名称）</w:t>
      </w:r>
      <w:r>
        <w:rPr>
          <w:rFonts w:hint="eastAsia" w:ascii="仿宋" w:hAnsi="仿宋" w:eastAsia="仿宋" w:cs="仿宋_GB2312"/>
          <w:color w:val="auto"/>
          <w:kern w:val="0"/>
          <w:sz w:val="24"/>
          <w:highlight w:val="none"/>
          <w:lang w:val="zh-CN"/>
        </w:rPr>
        <w:t>承担的工作和义务为：</w:t>
      </w:r>
      <w:r>
        <w:rPr>
          <w:rFonts w:ascii="仿宋" w:hAnsi="仿宋" w:eastAsia="仿宋"/>
          <w:color w:val="auto"/>
          <w:highlight w:val="none"/>
          <w:u w:val="single"/>
        </w:rPr>
        <w:t xml:space="preserve">             </w:t>
      </w:r>
      <w:r>
        <w:rPr>
          <w:rFonts w:hint="eastAsia" w:ascii="仿宋" w:hAnsi="仿宋" w:eastAsia="仿宋" w:cs="仿宋_GB2312"/>
          <w:color w:val="auto"/>
          <w:kern w:val="0"/>
          <w:sz w:val="24"/>
          <w:highlight w:val="none"/>
          <w:lang w:val="zh-CN"/>
        </w:rPr>
        <w:t>；</w:t>
      </w:r>
      <w:r>
        <w:rPr>
          <w:rFonts w:hint="eastAsia" w:ascii="仿宋" w:hAnsi="仿宋" w:eastAsia="仿宋" w:cs="仿宋_GB2312"/>
          <w:color w:val="auto"/>
          <w:kern w:val="0"/>
          <w:sz w:val="24"/>
          <w:highlight w:val="none"/>
          <w:u w:val="single"/>
        </w:rPr>
        <w:t>（联合体其中一方成员名称）</w:t>
      </w:r>
      <w:r>
        <w:rPr>
          <w:rFonts w:hint="eastAsia" w:ascii="仿宋" w:hAnsi="仿宋" w:eastAsia="仿宋" w:cs="仿宋_GB2312"/>
          <w:color w:val="auto"/>
          <w:kern w:val="0"/>
          <w:sz w:val="24"/>
          <w:highlight w:val="none"/>
          <w:lang w:val="zh-CN"/>
        </w:rPr>
        <w:t>承担的工作和义务为：</w:t>
      </w:r>
      <w:r>
        <w:rPr>
          <w:rFonts w:ascii="仿宋" w:hAnsi="仿宋" w:eastAsia="仿宋"/>
          <w:color w:val="auto"/>
          <w:highlight w:val="none"/>
          <w:u w:val="single"/>
        </w:rPr>
        <w:t xml:space="preserve">            </w:t>
      </w:r>
      <w:r>
        <w:rPr>
          <w:rFonts w:ascii="仿宋" w:hAnsi="仿宋" w:eastAsia="仿宋" w:cs="仿宋_GB2312"/>
          <w:color w:val="auto"/>
          <w:kern w:val="0"/>
          <w:sz w:val="24"/>
          <w:highlight w:val="none"/>
          <w:lang w:val="zh-CN"/>
        </w:rPr>
        <w:t xml:space="preserve"> ；……。</w:t>
      </w:r>
    </w:p>
    <w:p>
      <w:pPr>
        <w:snapToGrid w:val="0"/>
        <w:spacing w:line="360" w:lineRule="auto"/>
        <w:ind w:firstLine="576"/>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四、</w:t>
      </w:r>
      <w:r>
        <w:rPr>
          <w:rFonts w:hint="eastAsia" w:ascii="仿宋" w:hAnsi="仿宋" w:eastAsia="仿宋"/>
          <w:color w:val="auto"/>
          <w:sz w:val="24"/>
          <w:highlight w:val="none"/>
        </w:rPr>
        <w:t>中小企业合同金额达到</w:t>
      </w:r>
      <w:r>
        <w:rPr>
          <w:rFonts w:ascii="仿宋" w:hAnsi="仿宋" w:eastAsia="仿宋"/>
          <w:color w:val="auto"/>
          <w:sz w:val="24"/>
          <w:highlight w:val="none"/>
          <w:u w:val="single"/>
        </w:rPr>
        <w:t xml:space="preserve">  </w:t>
      </w:r>
      <w:r>
        <w:rPr>
          <w:rFonts w:ascii="仿宋" w:hAnsi="仿宋" w:eastAsia="仿宋"/>
          <w:color w:val="auto"/>
          <w:sz w:val="24"/>
          <w:highlight w:val="none"/>
        </w:rPr>
        <w:t>%，小</w:t>
      </w:r>
      <w:r>
        <w:rPr>
          <w:rFonts w:hint="eastAsia" w:ascii="仿宋" w:hAnsi="仿宋" w:eastAsia="仿宋"/>
          <w:color w:val="auto"/>
          <w:sz w:val="24"/>
          <w:highlight w:val="none"/>
        </w:rPr>
        <w:t>微企业合同金额达到</w:t>
      </w:r>
      <w:r>
        <w:rPr>
          <w:rFonts w:ascii="仿宋" w:hAnsi="仿宋" w:eastAsia="仿宋"/>
          <w:color w:val="auto"/>
          <w:sz w:val="24"/>
          <w:highlight w:val="none"/>
          <w:u w:val="single"/>
        </w:rPr>
        <w:t xml:space="preserve"> </w:t>
      </w:r>
      <w:r>
        <w:rPr>
          <w:rFonts w:ascii="仿宋" w:hAnsi="仿宋" w:eastAsia="仿宋"/>
          <w:color w:val="auto"/>
          <w:sz w:val="24"/>
          <w:highlight w:val="none"/>
        </w:rPr>
        <w:t>%</w:t>
      </w:r>
      <w:r>
        <w:rPr>
          <w:rFonts w:hint="eastAsia" w:ascii="仿宋" w:hAnsi="仿宋" w:eastAsia="仿宋" w:cs="仿宋_GB2312"/>
          <w:color w:val="auto"/>
          <w:kern w:val="0"/>
          <w:sz w:val="24"/>
          <w:highlight w:val="none"/>
          <w:lang w:val="zh-CN"/>
        </w:rPr>
        <w:t>。</w:t>
      </w:r>
    </w:p>
    <w:p>
      <w:pPr>
        <w:snapToGrid w:val="0"/>
        <w:spacing w:line="360" w:lineRule="auto"/>
        <w:ind w:firstLine="576"/>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五、如果中标，</w:t>
      </w:r>
      <w:r>
        <w:rPr>
          <w:rFonts w:hint="eastAsia" w:ascii="仿宋" w:hAnsi="仿宋" w:eastAsia="仿宋"/>
          <w:color w:val="auto"/>
          <w:sz w:val="24"/>
          <w:highlight w:val="none"/>
        </w:rPr>
        <w:t>联合体各成员方共同与采购人签订合同，并就采购合同约定的事项对采购人承担连带责任。</w:t>
      </w:r>
    </w:p>
    <w:p>
      <w:pPr>
        <w:snapToGrid w:val="0"/>
        <w:spacing w:line="360" w:lineRule="auto"/>
        <w:ind w:firstLine="576"/>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六、有关本次联合投标的其他事宜：</w:t>
      </w:r>
    </w:p>
    <w:p>
      <w:pPr>
        <w:snapToGrid w:val="0"/>
        <w:spacing w:line="360" w:lineRule="auto"/>
        <w:ind w:firstLine="576"/>
        <w:rPr>
          <w:rFonts w:ascii="仿宋" w:hAnsi="仿宋" w:eastAsia="仿宋" w:cs="仿宋_GB2312"/>
          <w:color w:val="auto"/>
          <w:kern w:val="0"/>
          <w:sz w:val="24"/>
          <w:highlight w:val="none"/>
          <w:lang w:val="zh-CN"/>
        </w:rPr>
      </w:pPr>
      <w:r>
        <w:rPr>
          <w:rFonts w:ascii="仿宋" w:hAnsi="仿宋" w:eastAsia="仿宋" w:cs="仿宋_GB2312"/>
          <w:color w:val="auto"/>
          <w:kern w:val="0"/>
          <w:sz w:val="24"/>
          <w:highlight w:val="none"/>
          <w:lang w:val="zh-CN"/>
        </w:rPr>
        <w:t>1、联合体各方不再单独参加或者与其</w:t>
      </w:r>
      <w:r>
        <w:rPr>
          <w:rFonts w:hint="eastAsia" w:ascii="仿宋" w:hAnsi="仿宋" w:eastAsia="仿宋" w:cs="仿宋_GB2312"/>
          <w:color w:val="auto"/>
          <w:kern w:val="0"/>
          <w:sz w:val="24"/>
          <w:highlight w:val="none"/>
          <w:lang w:val="zh-CN"/>
        </w:rPr>
        <w:t>他供应商另外组成联合体参加同一合同项下的政府采购活动。</w:t>
      </w:r>
    </w:p>
    <w:p>
      <w:pPr>
        <w:snapToGrid w:val="0"/>
        <w:spacing w:line="360" w:lineRule="auto"/>
        <w:ind w:firstLine="576"/>
        <w:rPr>
          <w:rFonts w:ascii="仿宋" w:hAnsi="仿宋" w:eastAsia="仿宋" w:cs="仿宋_GB2312"/>
          <w:color w:val="auto"/>
          <w:kern w:val="0"/>
          <w:sz w:val="24"/>
          <w:highlight w:val="none"/>
          <w:lang w:val="zh-CN"/>
        </w:rPr>
      </w:pPr>
      <w:r>
        <w:rPr>
          <w:rFonts w:ascii="仿宋" w:hAnsi="仿宋" w:eastAsia="仿宋" w:cs="仿宋_GB2312"/>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仿宋" w:hAnsi="仿宋" w:eastAsia="仿宋" w:cs="仿宋_GB2312"/>
          <w:color w:val="auto"/>
          <w:kern w:val="0"/>
          <w:sz w:val="24"/>
          <w:highlight w:val="none"/>
          <w:lang w:val="zh-CN"/>
        </w:rPr>
      </w:pPr>
      <w:r>
        <w:rPr>
          <w:rFonts w:ascii="仿宋" w:hAnsi="仿宋" w:eastAsia="仿宋" w:cs="仿宋_GB2312"/>
          <w:color w:val="auto"/>
          <w:kern w:val="0"/>
          <w:sz w:val="24"/>
          <w:highlight w:val="none"/>
          <w:lang w:val="zh-CN"/>
        </w:rPr>
        <w:t>3、本协议提交采购人、采购代理机构后，联合体各方不得以任何形式对上述内容进行修改或撤销。</w:t>
      </w:r>
    </w:p>
    <w:p>
      <w:pPr>
        <w:snapToGrid w:val="0"/>
        <w:spacing w:line="360" w:lineRule="auto"/>
        <w:jc w:val="right"/>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联合体成员名称</w:t>
      </w:r>
      <w:r>
        <w:rPr>
          <w:rFonts w:ascii="仿宋" w:hAnsi="仿宋" w:eastAsia="仿宋" w:cs="仿宋_GB2312"/>
          <w:color w:val="auto"/>
          <w:kern w:val="0"/>
          <w:sz w:val="24"/>
          <w:highlight w:val="none"/>
          <w:lang w:val="zh-CN"/>
        </w:rPr>
        <w:t>(电子签名/公章)：</w:t>
      </w:r>
    </w:p>
    <w:p>
      <w:pPr>
        <w:snapToGrid w:val="0"/>
        <w:spacing w:line="360" w:lineRule="auto"/>
        <w:jc w:val="right"/>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联合体成员名称</w:t>
      </w:r>
      <w:r>
        <w:rPr>
          <w:rFonts w:ascii="仿宋" w:hAnsi="仿宋" w:eastAsia="仿宋" w:cs="仿宋_GB2312"/>
          <w:color w:val="auto"/>
          <w:kern w:val="0"/>
          <w:sz w:val="24"/>
          <w:highlight w:val="none"/>
          <w:lang w:val="zh-CN"/>
        </w:rPr>
        <w:t>(电子签名/公章)：</w:t>
      </w:r>
    </w:p>
    <w:p>
      <w:pPr>
        <w:snapToGrid w:val="0"/>
        <w:spacing w:line="360" w:lineRule="auto"/>
        <w:ind w:firstLine="5760" w:firstLineChars="2400"/>
        <w:rPr>
          <w:rFonts w:ascii="仿宋" w:hAnsi="仿宋" w:eastAsia="仿宋"/>
          <w:color w:val="auto"/>
          <w:highlight w:val="none"/>
        </w:rPr>
      </w:pPr>
      <w:r>
        <w:rPr>
          <w:rFonts w:hint="eastAsia" w:ascii="仿宋" w:hAnsi="仿宋" w:eastAsia="仿宋" w:cs="仿宋_GB2312"/>
          <w:color w:val="auto"/>
          <w:kern w:val="0"/>
          <w:sz w:val="24"/>
          <w:highlight w:val="none"/>
          <w:lang w:val="zh-CN"/>
        </w:rPr>
        <w:t>……</w:t>
      </w:r>
    </w:p>
    <w:p>
      <w:pPr>
        <w:snapToGrid w:val="0"/>
        <w:spacing w:line="360" w:lineRule="auto"/>
        <w:rPr>
          <w:rFonts w:ascii="仿宋" w:hAnsi="仿宋" w:eastAsia="仿宋" w:cs="仿宋_GB2312"/>
          <w:color w:val="auto"/>
          <w:kern w:val="0"/>
          <w:sz w:val="24"/>
          <w:highlight w:val="none"/>
          <w:lang w:val="zh-CN"/>
        </w:rPr>
      </w:pPr>
      <w:r>
        <w:rPr>
          <w:rFonts w:ascii="仿宋" w:hAnsi="仿宋" w:eastAsia="仿宋" w:cs="仿宋_GB2312"/>
          <w:color w:val="auto"/>
          <w:kern w:val="0"/>
          <w:sz w:val="24"/>
          <w:highlight w:val="none"/>
          <w:lang w:val="zh-CN"/>
        </w:rPr>
        <w:t xml:space="preserve">                                               日期：  年  月   日</w:t>
      </w:r>
    </w:p>
    <w:p>
      <w:pPr>
        <w:snapToGrid w:val="0"/>
        <w:spacing w:line="360" w:lineRule="auto"/>
        <w:rPr>
          <w:rFonts w:ascii="仿宋" w:hAnsi="仿宋" w:eastAsia="仿宋"/>
          <w:b/>
          <w:bCs/>
          <w:color w:val="auto"/>
          <w:sz w:val="24"/>
          <w:highlight w:val="none"/>
        </w:rPr>
      </w:pPr>
    </w:p>
    <w:p>
      <w:pPr>
        <w:snapToGrid w:val="0"/>
        <w:spacing w:line="360" w:lineRule="auto"/>
        <w:jc w:val="center"/>
        <w:rPr>
          <w:rFonts w:ascii="仿宋" w:hAnsi="仿宋" w:eastAsia="仿宋" w:cs="仿宋_GB2312"/>
          <w:b/>
          <w:color w:val="auto"/>
          <w:kern w:val="0"/>
          <w:sz w:val="32"/>
          <w:szCs w:val="32"/>
          <w:highlight w:val="none"/>
        </w:rPr>
      </w:pPr>
      <w:r>
        <w:rPr>
          <w:rFonts w:ascii="仿宋" w:hAnsi="仿宋" w:eastAsia="仿宋" w:cs="仿宋_GB2312"/>
          <w:b/>
          <w:color w:val="auto"/>
          <w:kern w:val="0"/>
          <w:sz w:val="32"/>
          <w:szCs w:val="32"/>
          <w:highlight w:val="none"/>
          <w:lang w:val="zh-CN"/>
        </w:rPr>
        <w:t xml:space="preserve"> </w:t>
      </w:r>
      <w:r>
        <w:rPr>
          <w:rFonts w:ascii="仿宋" w:hAnsi="仿宋" w:eastAsia="仿宋" w:cs="仿宋_GB2312"/>
          <w:b/>
          <w:color w:val="auto"/>
          <w:kern w:val="0"/>
          <w:sz w:val="32"/>
          <w:szCs w:val="32"/>
          <w:highlight w:val="none"/>
        </w:rPr>
        <w:t xml:space="preserve"> </w:t>
      </w:r>
    </w:p>
    <w:p>
      <w:pPr>
        <w:snapToGrid w:val="0"/>
        <w:spacing w:line="360" w:lineRule="auto"/>
        <w:jc w:val="center"/>
        <w:rPr>
          <w:rFonts w:ascii="仿宋" w:hAnsi="仿宋" w:eastAsia="仿宋" w:cs="仿宋_GB2312"/>
          <w:b/>
          <w:color w:val="auto"/>
          <w:kern w:val="0"/>
          <w:sz w:val="28"/>
          <w:szCs w:val="28"/>
          <w:highlight w:val="none"/>
        </w:rPr>
      </w:pPr>
      <w:r>
        <w:rPr>
          <w:rFonts w:hint="eastAsia" w:ascii="仿宋" w:hAnsi="仿宋" w:eastAsia="仿宋" w:cs="仿宋_GB2312"/>
          <w:b/>
          <w:color w:val="auto"/>
          <w:kern w:val="0"/>
          <w:sz w:val="28"/>
          <w:szCs w:val="28"/>
          <w:highlight w:val="none"/>
          <w:lang w:val="zh-CN"/>
        </w:rPr>
        <w:t>授权委托书（适用于联合体投标）</w:t>
      </w:r>
    </w:p>
    <w:p>
      <w:pPr>
        <w:snapToGrid w:val="0"/>
        <w:spacing w:line="360" w:lineRule="auto"/>
        <w:rPr>
          <w:rFonts w:ascii="仿宋" w:hAnsi="仿宋" w:eastAsia="仿宋" w:cs="仿宋_GB2312"/>
          <w:color w:val="auto"/>
          <w:kern w:val="0"/>
          <w:sz w:val="24"/>
          <w:highlight w:val="none"/>
        </w:rPr>
      </w:pPr>
      <w:r>
        <w:rPr>
          <w:rFonts w:hint="eastAsia" w:ascii="仿宋" w:hAnsi="仿宋" w:eastAsia="仿宋" w:cs="仿宋_GB2312"/>
          <w:color w:val="auto"/>
          <w:sz w:val="24"/>
          <w:highlight w:val="none"/>
          <w:u w:val="single"/>
        </w:rPr>
        <w:t>杭州市临平区人民政府临平街道办事处 、杭州中瑞招标代理有限公司</w:t>
      </w:r>
      <w:r>
        <w:rPr>
          <w:rFonts w:hint="eastAsia" w:ascii="仿宋" w:hAnsi="仿宋" w:eastAsia="仿宋" w:cs="仿宋_GB2312"/>
          <w:color w:val="auto"/>
          <w:kern w:val="0"/>
          <w:sz w:val="24"/>
          <w:highlight w:val="none"/>
          <w:lang w:val="zh-CN"/>
        </w:rPr>
        <w:t>：</w:t>
      </w:r>
    </w:p>
    <w:p>
      <w:pPr>
        <w:snapToGrid w:val="0"/>
        <w:spacing w:line="360" w:lineRule="auto"/>
        <w:ind w:firstLine="576"/>
        <w:rPr>
          <w:rFonts w:ascii="仿宋" w:hAnsi="仿宋" w:eastAsia="仿宋" w:cs="仿宋_GB2312"/>
          <w:color w:val="auto"/>
          <w:kern w:val="0"/>
          <w:sz w:val="24"/>
          <w:highlight w:val="none"/>
        </w:rPr>
      </w:pPr>
      <w:r>
        <w:rPr>
          <w:rFonts w:hint="eastAsia" w:ascii="仿宋" w:hAnsi="仿宋" w:eastAsia="仿宋" w:cs="仿宋_GB2312"/>
          <w:color w:val="auto"/>
          <w:kern w:val="0"/>
          <w:sz w:val="24"/>
          <w:highlight w:val="none"/>
        </w:rPr>
        <w:t>现</w:t>
      </w:r>
      <w:r>
        <w:rPr>
          <w:rFonts w:hint="eastAsia" w:ascii="仿宋" w:hAnsi="仿宋" w:eastAsia="仿宋" w:cs="仿宋_GB2312"/>
          <w:color w:val="auto"/>
          <w:kern w:val="0"/>
          <w:sz w:val="24"/>
          <w:highlight w:val="none"/>
          <w:lang w:val="zh-CN"/>
        </w:rPr>
        <w:t>委托</w:t>
      </w:r>
      <w:r>
        <w:rPr>
          <w:rFonts w:ascii="仿宋" w:hAnsi="仿宋" w:eastAsia="仿宋" w:cs="仿宋_GB2312"/>
          <w:color w:val="auto"/>
          <w:kern w:val="0"/>
          <w:sz w:val="24"/>
          <w:highlight w:val="none"/>
          <w:u w:val="single"/>
          <w:lang w:val="zh-CN"/>
        </w:rPr>
        <w:t xml:space="preserve">          </w:t>
      </w:r>
      <w:r>
        <w:rPr>
          <w:rFonts w:hint="eastAsia" w:ascii="仿宋" w:hAnsi="仿宋" w:eastAsia="仿宋" w:cs="仿宋_GB2312"/>
          <w:color w:val="auto"/>
          <w:kern w:val="0"/>
          <w:sz w:val="24"/>
          <w:highlight w:val="none"/>
          <w:lang w:val="zh-CN"/>
        </w:rPr>
        <w:t>（姓名）为我方代理人（身份证号码：</w:t>
      </w:r>
      <w:r>
        <w:rPr>
          <w:rFonts w:ascii="仿宋" w:hAnsi="仿宋" w:eastAsia="仿宋" w:cs="仿宋_GB2312"/>
          <w:color w:val="auto"/>
          <w:kern w:val="0"/>
          <w:sz w:val="24"/>
          <w:highlight w:val="none"/>
          <w:u w:val="single"/>
          <w:lang w:val="zh-CN"/>
        </w:rPr>
        <w:t xml:space="preserve">          </w:t>
      </w:r>
      <w:r>
        <w:rPr>
          <w:rFonts w:hint="eastAsia" w:ascii="仿宋" w:hAnsi="仿宋" w:eastAsia="仿宋" w:cs="仿宋_GB2312"/>
          <w:color w:val="auto"/>
          <w:kern w:val="0"/>
          <w:sz w:val="24"/>
          <w:highlight w:val="none"/>
          <w:lang w:val="zh-CN"/>
        </w:rPr>
        <w:t>，手机：</w:t>
      </w:r>
      <w:r>
        <w:rPr>
          <w:rFonts w:ascii="仿宋" w:hAnsi="仿宋" w:eastAsia="仿宋" w:cs="仿宋_GB2312"/>
          <w:color w:val="auto"/>
          <w:kern w:val="0"/>
          <w:sz w:val="24"/>
          <w:highlight w:val="none"/>
          <w:u w:val="single"/>
          <w:lang w:val="zh-CN"/>
        </w:rPr>
        <w:t xml:space="preserve">          </w:t>
      </w:r>
      <w:r>
        <w:rPr>
          <w:rFonts w:hint="eastAsia" w:ascii="仿宋" w:hAnsi="仿宋" w:eastAsia="仿宋" w:cs="仿宋_GB2312"/>
          <w:color w:val="auto"/>
          <w:kern w:val="0"/>
          <w:sz w:val="24"/>
          <w:highlight w:val="none"/>
          <w:lang w:val="zh-CN"/>
        </w:rPr>
        <w:t>），以我方名义处理</w:t>
      </w:r>
      <w:r>
        <w:rPr>
          <w:rFonts w:hint="eastAsia" w:ascii="仿宋" w:hAnsi="仿宋" w:eastAsia="仿宋" w:cs="仿宋_GB2312"/>
          <w:color w:val="auto"/>
          <w:sz w:val="24"/>
          <w:highlight w:val="none"/>
        </w:rPr>
        <w:t>“俞樾纪念馆”陈列布展服务</w:t>
      </w:r>
      <w:r>
        <w:rPr>
          <w:rFonts w:hint="eastAsia" w:ascii="仿宋" w:hAnsi="仿宋" w:eastAsia="仿宋"/>
          <w:color w:val="auto"/>
          <w:sz w:val="24"/>
          <w:highlight w:val="none"/>
        </w:rPr>
        <w:t>项目</w:t>
      </w:r>
      <w:r>
        <w:rPr>
          <w:rFonts w:hint="eastAsia" w:ascii="仿宋" w:hAnsi="仿宋" w:eastAsia="仿宋" w:cs="仿宋_GB2312"/>
          <w:color w:val="auto"/>
          <w:sz w:val="24"/>
          <w:highlight w:val="none"/>
        </w:rPr>
        <w:t>【招标编号：</w:t>
      </w:r>
      <w:r>
        <w:rPr>
          <w:rFonts w:hint="eastAsia" w:ascii="仿宋" w:hAnsi="仿宋" w:eastAsia="仿宋"/>
          <w:color w:val="auto"/>
          <w:sz w:val="24"/>
          <w:highlight w:val="none"/>
        </w:rPr>
        <w:t>HZZR-F221201N</w:t>
      </w:r>
      <w:r>
        <w:rPr>
          <w:rFonts w:hint="eastAsia" w:ascii="仿宋" w:hAnsi="仿宋" w:eastAsia="仿宋" w:cs="仿宋_GB2312"/>
          <w:color w:val="auto"/>
          <w:sz w:val="24"/>
          <w:highlight w:val="none"/>
        </w:rPr>
        <w:t>】</w:t>
      </w:r>
      <w:r>
        <w:rPr>
          <w:rFonts w:hint="eastAsia" w:ascii="仿宋" w:hAnsi="仿宋" w:eastAsia="仿宋" w:cs="仿宋_GB2312"/>
          <w:color w:val="auto"/>
          <w:kern w:val="0"/>
          <w:sz w:val="24"/>
          <w:highlight w:val="none"/>
          <w:lang w:val="zh-CN"/>
        </w:rPr>
        <w:t>政府采购投标的一切事项，其法律后果由我方承担。</w:t>
      </w:r>
    </w:p>
    <w:p>
      <w:pPr>
        <w:snapToGrid w:val="0"/>
        <w:spacing w:line="360" w:lineRule="auto"/>
        <w:rPr>
          <w:rFonts w:ascii="仿宋" w:hAnsi="仿宋" w:eastAsia="仿宋" w:cs="仿宋_GB2312"/>
          <w:color w:val="auto"/>
          <w:kern w:val="0"/>
          <w:sz w:val="24"/>
          <w:highlight w:val="none"/>
        </w:rPr>
      </w:pPr>
      <w:r>
        <w:rPr>
          <w:rFonts w:ascii="仿宋" w:hAnsi="仿宋" w:eastAsia="仿宋" w:cs="仿宋_GB2312"/>
          <w:color w:val="auto"/>
          <w:kern w:val="0"/>
          <w:sz w:val="24"/>
          <w:highlight w:val="none"/>
        </w:rPr>
        <w:t xml:space="preserve">    </w:t>
      </w:r>
      <w:r>
        <w:rPr>
          <w:rFonts w:hint="eastAsia" w:ascii="仿宋" w:hAnsi="仿宋" w:eastAsia="仿宋" w:cs="仿宋_GB2312"/>
          <w:color w:val="auto"/>
          <w:kern w:val="0"/>
          <w:sz w:val="24"/>
          <w:highlight w:val="none"/>
          <w:lang w:val="zh-CN"/>
        </w:rPr>
        <w:t>委托期限</w:t>
      </w:r>
      <w:r>
        <w:rPr>
          <w:rFonts w:hint="eastAsia" w:ascii="仿宋" w:hAnsi="仿宋" w:eastAsia="仿宋" w:cs="仿宋_GB2312"/>
          <w:color w:val="auto"/>
          <w:kern w:val="0"/>
          <w:sz w:val="24"/>
          <w:highlight w:val="none"/>
        </w:rPr>
        <w:t>：</w:t>
      </w:r>
      <w:r>
        <w:rPr>
          <w:rFonts w:hint="eastAsia" w:ascii="仿宋" w:hAnsi="仿宋" w:eastAsia="仿宋" w:cs="仿宋_GB2312"/>
          <w:color w:val="auto"/>
          <w:kern w:val="0"/>
          <w:sz w:val="24"/>
          <w:highlight w:val="none"/>
          <w:lang w:val="zh-CN"/>
        </w:rPr>
        <w:t>自</w:t>
      </w:r>
      <w:r>
        <w:rPr>
          <w:rFonts w:ascii="仿宋" w:hAnsi="仿宋" w:eastAsia="仿宋" w:cs="仿宋_GB2312"/>
          <w:color w:val="auto"/>
          <w:kern w:val="0"/>
          <w:sz w:val="24"/>
          <w:highlight w:val="none"/>
        </w:rPr>
        <w:t xml:space="preserve">   </w:t>
      </w:r>
      <w:r>
        <w:rPr>
          <w:rFonts w:hint="eastAsia" w:ascii="仿宋" w:hAnsi="仿宋" w:eastAsia="仿宋" w:cs="仿宋_GB2312"/>
          <w:color w:val="auto"/>
          <w:kern w:val="0"/>
          <w:sz w:val="24"/>
          <w:highlight w:val="none"/>
          <w:lang w:val="zh-CN"/>
        </w:rPr>
        <w:t>年</w:t>
      </w:r>
      <w:r>
        <w:rPr>
          <w:rFonts w:ascii="仿宋" w:hAnsi="仿宋" w:eastAsia="仿宋" w:cs="仿宋_GB2312"/>
          <w:color w:val="auto"/>
          <w:kern w:val="0"/>
          <w:sz w:val="24"/>
          <w:highlight w:val="none"/>
        </w:rPr>
        <w:t xml:space="preserve"> </w:t>
      </w:r>
      <w:r>
        <w:rPr>
          <w:rFonts w:hint="eastAsia" w:ascii="仿宋" w:hAnsi="仿宋" w:eastAsia="仿宋" w:cs="仿宋_GB2312"/>
          <w:color w:val="auto"/>
          <w:kern w:val="0"/>
          <w:sz w:val="24"/>
          <w:highlight w:val="none"/>
          <w:lang w:val="zh-CN"/>
        </w:rPr>
        <w:t>月</w:t>
      </w:r>
      <w:r>
        <w:rPr>
          <w:rFonts w:ascii="仿宋" w:hAnsi="仿宋" w:eastAsia="仿宋" w:cs="仿宋_GB2312"/>
          <w:color w:val="auto"/>
          <w:kern w:val="0"/>
          <w:sz w:val="24"/>
          <w:highlight w:val="none"/>
        </w:rPr>
        <w:t xml:space="preserve">  </w:t>
      </w:r>
      <w:r>
        <w:rPr>
          <w:rFonts w:hint="eastAsia" w:ascii="仿宋" w:hAnsi="仿宋" w:eastAsia="仿宋" w:cs="仿宋_GB2312"/>
          <w:color w:val="auto"/>
          <w:kern w:val="0"/>
          <w:sz w:val="24"/>
          <w:highlight w:val="none"/>
          <w:lang w:val="zh-CN"/>
        </w:rPr>
        <w:t>日起至</w:t>
      </w:r>
      <w:r>
        <w:rPr>
          <w:rFonts w:ascii="仿宋" w:hAnsi="仿宋" w:eastAsia="仿宋" w:cs="仿宋_GB2312"/>
          <w:color w:val="auto"/>
          <w:kern w:val="0"/>
          <w:sz w:val="24"/>
          <w:highlight w:val="none"/>
        </w:rPr>
        <w:t xml:space="preserve">  </w:t>
      </w:r>
      <w:r>
        <w:rPr>
          <w:rFonts w:hint="eastAsia" w:ascii="仿宋" w:hAnsi="仿宋" w:eastAsia="仿宋" w:cs="仿宋_GB2312"/>
          <w:color w:val="auto"/>
          <w:kern w:val="0"/>
          <w:sz w:val="24"/>
          <w:highlight w:val="none"/>
          <w:lang w:val="zh-CN"/>
        </w:rPr>
        <w:t>年</w:t>
      </w:r>
      <w:r>
        <w:rPr>
          <w:rFonts w:ascii="仿宋" w:hAnsi="仿宋" w:eastAsia="仿宋" w:cs="仿宋_GB2312"/>
          <w:color w:val="auto"/>
          <w:kern w:val="0"/>
          <w:sz w:val="24"/>
          <w:highlight w:val="none"/>
        </w:rPr>
        <w:t xml:space="preserve">  </w:t>
      </w:r>
      <w:r>
        <w:rPr>
          <w:rFonts w:hint="eastAsia" w:ascii="仿宋" w:hAnsi="仿宋" w:eastAsia="仿宋" w:cs="仿宋_GB2312"/>
          <w:color w:val="auto"/>
          <w:kern w:val="0"/>
          <w:sz w:val="24"/>
          <w:highlight w:val="none"/>
          <w:lang w:val="zh-CN"/>
        </w:rPr>
        <w:t>月</w:t>
      </w:r>
      <w:r>
        <w:rPr>
          <w:rFonts w:ascii="仿宋" w:hAnsi="仿宋" w:eastAsia="仿宋" w:cs="仿宋_GB2312"/>
          <w:color w:val="auto"/>
          <w:kern w:val="0"/>
          <w:sz w:val="24"/>
          <w:highlight w:val="none"/>
        </w:rPr>
        <w:t xml:space="preserve">  </w:t>
      </w:r>
      <w:r>
        <w:rPr>
          <w:rFonts w:hint="eastAsia" w:ascii="仿宋" w:hAnsi="仿宋" w:eastAsia="仿宋" w:cs="仿宋_GB2312"/>
          <w:color w:val="auto"/>
          <w:kern w:val="0"/>
          <w:sz w:val="24"/>
          <w:highlight w:val="none"/>
          <w:lang w:val="zh-CN"/>
        </w:rPr>
        <w:t>日止。</w:t>
      </w:r>
    </w:p>
    <w:p>
      <w:pPr>
        <w:snapToGrid w:val="0"/>
        <w:spacing w:line="360" w:lineRule="auto"/>
        <w:rPr>
          <w:rFonts w:ascii="仿宋" w:hAnsi="仿宋" w:eastAsia="仿宋" w:cs="仿宋_GB2312"/>
          <w:color w:val="auto"/>
          <w:kern w:val="0"/>
          <w:sz w:val="24"/>
          <w:highlight w:val="none"/>
        </w:rPr>
      </w:pPr>
      <w:r>
        <w:rPr>
          <w:rFonts w:ascii="仿宋" w:hAnsi="仿宋" w:eastAsia="仿宋" w:cs="仿宋_GB2312"/>
          <w:color w:val="auto"/>
          <w:kern w:val="0"/>
          <w:sz w:val="24"/>
          <w:highlight w:val="none"/>
        </w:rPr>
        <w:t xml:space="preserve">    </w:t>
      </w:r>
      <w:r>
        <w:rPr>
          <w:rFonts w:hint="eastAsia" w:ascii="仿宋" w:hAnsi="仿宋" w:eastAsia="仿宋" w:cs="仿宋_GB2312"/>
          <w:color w:val="auto"/>
          <w:kern w:val="0"/>
          <w:sz w:val="24"/>
          <w:highlight w:val="none"/>
          <w:lang w:val="zh-CN"/>
        </w:rPr>
        <w:t>特此告知。</w:t>
      </w:r>
    </w:p>
    <w:p>
      <w:pPr>
        <w:snapToGrid w:val="0"/>
        <w:spacing w:line="360" w:lineRule="auto"/>
        <w:rPr>
          <w:rFonts w:ascii="仿宋" w:hAnsi="仿宋" w:eastAsia="仿宋"/>
          <w:color w:val="auto"/>
          <w:highlight w:val="none"/>
        </w:rPr>
      </w:pPr>
    </w:p>
    <w:p>
      <w:pPr>
        <w:snapToGrid w:val="0"/>
        <w:spacing w:line="360" w:lineRule="auto"/>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联合体成员名称</w:t>
      </w:r>
      <w:r>
        <w:rPr>
          <w:rFonts w:ascii="仿宋" w:hAnsi="仿宋" w:eastAsia="仿宋" w:cs="仿宋_GB2312"/>
          <w:color w:val="auto"/>
          <w:kern w:val="0"/>
          <w:sz w:val="24"/>
          <w:highlight w:val="none"/>
          <w:lang w:val="zh-CN"/>
        </w:rPr>
        <w:t>(电子签名/公章)：</w:t>
      </w:r>
    </w:p>
    <w:p>
      <w:pPr>
        <w:snapToGrid w:val="0"/>
        <w:spacing w:line="360" w:lineRule="auto"/>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联合体成员名称</w:t>
      </w:r>
      <w:r>
        <w:rPr>
          <w:rFonts w:ascii="仿宋" w:hAnsi="仿宋" w:eastAsia="仿宋" w:cs="仿宋_GB2312"/>
          <w:color w:val="auto"/>
          <w:kern w:val="0"/>
          <w:sz w:val="24"/>
          <w:highlight w:val="none"/>
          <w:lang w:val="zh-CN"/>
        </w:rPr>
        <w:t>(电子签名/公章)：</w:t>
      </w:r>
    </w:p>
    <w:p>
      <w:pPr>
        <w:snapToGrid w:val="0"/>
        <w:spacing w:line="360" w:lineRule="auto"/>
        <w:rPr>
          <w:rFonts w:ascii="仿宋" w:hAnsi="仿宋" w:eastAsia="仿宋" w:cs="仿宋_GB2312"/>
          <w:color w:val="auto"/>
          <w:kern w:val="0"/>
          <w:sz w:val="24"/>
          <w:highlight w:val="none"/>
          <w:lang w:val="zh-CN"/>
        </w:rPr>
      </w:pPr>
      <w:r>
        <w:rPr>
          <w:rFonts w:ascii="仿宋" w:hAnsi="仿宋" w:eastAsia="仿宋" w:cs="仿宋_GB2312"/>
          <w:color w:val="auto"/>
          <w:kern w:val="0"/>
          <w:sz w:val="24"/>
          <w:highlight w:val="none"/>
          <w:lang w:val="zh-CN"/>
        </w:rPr>
        <w:t>日期：  年  月   日</w:t>
      </w:r>
    </w:p>
    <w:p>
      <w:pPr>
        <w:snapToGrid w:val="0"/>
        <w:spacing w:line="360" w:lineRule="auto"/>
        <w:rPr>
          <w:rFonts w:ascii="仿宋" w:hAnsi="仿宋" w:eastAsia="仿宋"/>
          <w:b/>
          <w:bCs/>
          <w:color w:val="auto"/>
          <w:sz w:val="24"/>
          <w:highlight w:val="none"/>
        </w:rPr>
      </w:pPr>
    </w:p>
    <w:p>
      <w:pPr>
        <w:snapToGrid w:val="0"/>
        <w:spacing w:line="360" w:lineRule="auto"/>
        <w:rPr>
          <w:rFonts w:ascii="仿宋" w:hAnsi="仿宋" w:eastAsia="仿宋"/>
          <w:b/>
          <w:bCs/>
          <w:color w:val="auto"/>
          <w:sz w:val="24"/>
          <w:highlight w:val="none"/>
        </w:rPr>
      </w:pPr>
    </w:p>
    <w:p>
      <w:pPr>
        <w:snapToGrid w:val="0"/>
        <w:spacing w:line="360" w:lineRule="auto"/>
        <w:rPr>
          <w:rFonts w:ascii="仿宋" w:hAnsi="仿宋" w:eastAsia="仿宋"/>
          <w:b/>
          <w:bCs/>
          <w:color w:val="auto"/>
          <w:sz w:val="24"/>
          <w:highlight w:val="none"/>
        </w:rPr>
      </w:pPr>
    </w:p>
    <w:p>
      <w:pPr>
        <w:snapToGrid w:val="0"/>
        <w:spacing w:line="360" w:lineRule="auto"/>
        <w:rPr>
          <w:rFonts w:ascii="仿宋" w:hAnsi="仿宋" w:eastAsia="仿宋"/>
          <w:b/>
          <w:bCs/>
          <w:color w:val="auto"/>
          <w:sz w:val="24"/>
          <w:highlight w:val="none"/>
        </w:rPr>
      </w:pPr>
    </w:p>
    <w:p>
      <w:pPr>
        <w:snapToGrid w:val="0"/>
        <w:spacing w:line="360" w:lineRule="auto"/>
        <w:rPr>
          <w:rFonts w:ascii="仿宋" w:hAnsi="仿宋" w:eastAsia="仿宋"/>
          <w:b/>
          <w:bCs/>
          <w:color w:val="auto"/>
          <w:sz w:val="24"/>
          <w:highlight w:val="none"/>
        </w:rPr>
      </w:pPr>
    </w:p>
    <w:p>
      <w:pPr>
        <w:snapToGrid w:val="0"/>
        <w:spacing w:line="360" w:lineRule="auto"/>
        <w:rPr>
          <w:rFonts w:ascii="仿宋" w:hAnsi="仿宋" w:eastAsia="仿宋"/>
          <w:b/>
          <w:bCs/>
          <w:color w:val="auto"/>
          <w:sz w:val="24"/>
          <w:highlight w:val="none"/>
        </w:rPr>
      </w:pPr>
    </w:p>
    <w:p>
      <w:pPr>
        <w:snapToGrid w:val="0"/>
        <w:spacing w:line="360" w:lineRule="auto"/>
        <w:rPr>
          <w:rFonts w:ascii="仿宋" w:hAnsi="仿宋" w:eastAsia="仿宋"/>
          <w:b/>
          <w:bCs/>
          <w:color w:val="auto"/>
          <w:sz w:val="24"/>
          <w:highlight w:val="none"/>
        </w:rPr>
      </w:pPr>
    </w:p>
    <w:p>
      <w:pPr>
        <w:snapToGrid w:val="0"/>
        <w:spacing w:line="360" w:lineRule="auto"/>
        <w:rPr>
          <w:rFonts w:ascii="仿宋" w:hAnsi="仿宋" w:eastAsia="仿宋"/>
          <w:b/>
          <w:bCs/>
          <w:color w:val="auto"/>
          <w:sz w:val="24"/>
          <w:highlight w:val="none"/>
        </w:rPr>
      </w:pPr>
    </w:p>
    <w:p>
      <w:pPr>
        <w:snapToGrid w:val="0"/>
        <w:spacing w:line="360" w:lineRule="auto"/>
        <w:rPr>
          <w:rFonts w:ascii="仿宋" w:hAnsi="仿宋" w:eastAsia="仿宋"/>
          <w:b/>
          <w:bCs/>
          <w:color w:val="auto"/>
          <w:sz w:val="24"/>
          <w:highlight w:val="none"/>
        </w:rPr>
      </w:pPr>
    </w:p>
    <w:p>
      <w:pPr>
        <w:snapToGrid w:val="0"/>
        <w:spacing w:line="360" w:lineRule="auto"/>
        <w:rPr>
          <w:rFonts w:ascii="仿宋" w:hAnsi="仿宋" w:eastAsia="仿宋"/>
          <w:b/>
          <w:bCs/>
          <w:color w:val="auto"/>
          <w:sz w:val="24"/>
          <w:highlight w:val="none"/>
        </w:rPr>
      </w:pPr>
    </w:p>
    <w:p>
      <w:pPr>
        <w:snapToGrid w:val="0"/>
        <w:spacing w:line="360" w:lineRule="auto"/>
        <w:rPr>
          <w:rFonts w:ascii="仿宋" w:hAnsi="仿宋" w:eastAsia="仿宋"/>
          <w:b/>
          <w:bCs/>
          <w:color w:val="auto"/>
          <w:sz w:val="24"/>
          <w:highlight w:val="none"/>
        </w:rPr>
      </w:pPr>
    </w:p>
    <w:p>
      <w:pPr>
        <w:snapToGrid w:val="0"/>
        <w:spacing w:line="360" w:lineRule="auto"/>
        <w:rPr>
          <w:rFonts w:ascii="仿宋" w:hAnsi="仿宋" w:eastAsia="仿宋"/>
          <w:b/>
          <w:bCs/>
          <w:color w:val="auto"/>
          <w:sz w:val="24"/>
          <w:highlight w:val="none"/>
        </w:rPr>
      </w:pPr>
    </w:p>
    <w:p>
      <w:pPr>
        <w:snapToGrid w:val="0"/>
        <w:spacing w:line="360" w:lineRule="auto"/>
        <w:rPr>
          <w:rFonts w:ascii="仿宋" w:hAnsi="仿宋" w:eastAsia="仿宋"/>
          <w:b/>
          <w:bCs/>
          <w:color w:val="auto"/>
          <w:sz w:val="24"/>
          <w:highlight w:val="none"/>
        </w:rPr>
      </w:pPr>
    </w:p>
    <w:p>
      <w:pPr>
        <w:snapToGrid w:val="0"/>
        <w:spacing w:line="360" w:lineRule="auto"/>
        <w:rPr>
          <w:rFonts w:ascii="仿宋" w:hAnsi="仿宋" w:eastAsia="仿宋"/>
          <w:b/>
          <w:bCs/>
          <w:color w:val="auto"/>
          <w:sz w:val="24"/>
          <w:highlight w:val="none"/>
        </w:rPr>
      </w:pPr>
    </w:p>
    <w:p>
      <w:pPr>
        <w:snapToGrid w:val="0"/>
        <w:spacing w:line="360" w:lineRule="auto"/>
        <w:rPr>
          <w:rFonts w:ascii="仿宋" w:hAnsi="仿宋" w:eastAsia="仿宋"/>
          <w:b/>
          <w:bCs/>
          <w:color w:val="auto"/>
          <w:sz w:val="24"/>
          <w:highlight w:val="none"/>
        </w:rPr>
      </w:pPr>
    </w:p>
    <w:p>
      <w:pPr>
        <w:snapToGrid w:val="0"/>
        <w:spacing w:line="360" w:lineRule="auto"/>
        <w:rPr>
          <w:rFonts w:ascii="仿宋" w:hAnsi="仿宋" w:eastAsia="仿宋"/>
          <w:b/>
          <w:bCs/>
          <w:color w:val="auto"/>
          <w:sz w:val="24"/>
          <w:highlight w:val="none"/>
        </w:rPr>
      </w:pPr>
    </w:p>
    <w:p>
      <w:pPr>
        <w:snapToGrid w:val="0"/>
        <w:spacing w:line="360" w:lineRule="auto"/>
        <w:rPr>
          <w:rFonts w:ascii="仿宋" w:hAnsi="仿宋" w:eastAsia="仿宋"/>
          <w:b/>
          <w:bCs/>
          <w:color w:val="auto"/>
          <w:sz w:val="24"/>
          <w:highlight w:val="none"/>
        </w:rPr>
      </w:pPr>
    </w:p>
    <w:p>
      <w:pPr>
        <w:pStyle w:val="36"/>
        <w:rPr>
          <w:color w:val="auto"/>
          <w:highlight w:val="none"/>
        </w:rPr>
      </w:pPr>
    </w:p>
    <w:p>
      <w:pPr>
        <w:snapToGrid w:val="0"/>
        <w:spacing w:line="360" w:lineRule="auto"/>
        <w:rPr>
          <w:rFonts w:ascii="仿宋" w:hAnsi="仿宋" w:eastAsia="仿宋"/>
          <w:b/>
          <w:bCs/>
          <w:color w:val="auto"/>
          <w:sz w:val="24"/>
          <w:highlight w:val="none"/>
        </w:rPr>
      </w:pPr>
    </w:p>
    <w:p>
      <w:pPr>
        <w:snapToGrid w:val="0"/>
        <w:spacing w:line="360" w:lineRule="auto"/>
        <w:rPr>
          <w:rFonts w:ascii="仿宋" w:hAnsi="仿宋" w:eastAsia="仿宋" w:cs="仿宋_GB2312"/>
          <w:b/>
          <w:color w:val="auto"/>
          <w:kern w:val="0"/>
          <w:sz w:val="32"/>
          <w:szCs w:val="32"/>
          <w:highlight w:val="none"/>
          <w:lang w:val="zh-CN"/>
        </w:rPr>
      </w:pPr>
      <w:r>
        <w:rPr>
          <w:rFonts w:ascii="仿宋" w:hAnsi="仿宋" w:eastAsia="仿宋"/>
          <w:b/>
          <w:bCs/>
          <w:color w:val="auto"/>
          <w:sz w:val="24"/>
          <w:highlight w:val="none"/>
        </w:rPr>
        <w:t>B.</w:t>
      </w:r>
      <w:r>
        <w:rPr>
          <w:rFonts w:hint="eastAsia" w:ascii="仿宋" w:hAnsi="仿宋" w:eastAsia="仿宋"/>
          <w:color w:val="auto"/>
          <w:sz w:val="24"/>
          <w:highlight w:val="none"/>
        </w:rPr>
        <w:t>供应商以分包方式投标的：提供分包意向协议。</w:t>
      </w:r>
    </w:p>
    <w:p>
      <w:pPr>
        <w:snapToGrid w:val="0"/>
        <w:spacing w:line="360" w:lineRule="auto"/>
        <w:ind w:firstLine="3213" w:firstLineChars="1000"/>
        <w:rPr>
          <w:rFonts w:ascii="仿宋" w:hAnsi="仿宋" w:eastAsia="仿宋" w:cs="仿宋_GB2312"/>
          <w:b/>
          <w:color w:val="auto"/>
          <w:kern w:val="0"/>
          <w:sz w:val="32"/>
          <w:szCs w:val="32"/>
          <w:highlight w:val="none"/>
        </w:rPr>
      </w:pPr>
      <w:r>
        <w:rPr>
          <w:rFonts w:hint="eastAsia" w:ascii="仿宋" w:hAnsi="仿宋" w:eastAsia="仿宋" w:cs="仿宋_GB2312"/>
          <w:b/>
          <w:color w:val="auto"/>
          <w:kern w:val="0"/>
          <w:sz w:val="32"/>
          <w:szCs w:val="32"/>
          <w:highlight w:val="none"/>
        </w:rPr>
        <w:t>分包意向协议</w:t>
      </w:r>
    </w:p>
    <w:p>
      <w:pPr>
        <w:widowControl/>
        <w:snapToGrid w:val="0"/>
        <w:spacing w:line="360" w:lineRule="auto"/>
        <w:ind w:firstLine="420"/>
        <w:jc w:val="left"/>
        <w:rPr>
          <w:rFonts w:ascii="仿宋" w:hAnsi="仿宋" w:eastAsia="仿宋" w:cs="仿宋_GB2312"/>
          <w:color w:val="auto"/>
          <w:sz w:val="24"/>
          <w:highlight w:val="none"/>
        </w:rPr>
      </w:pPr>
      <w:r>
        <w:rPr>
          <w:rFonts w:hint="eastAsia" w:ascii="仿宋" w:hAnsi="仿宋" w:eastAsia="仿宋" w:cs="仿宋_GB2312"/>
          <w:color w:val="auto"/>
          <w:sz w:val="24"/>
          <w:highlight w:val="none"/>
        </w:rPr>
        <w:t>（</w:t>
      </w:r>
      <w:r>
        <w:rPr>
          <w:rFonts w:hint="eastAsia" w:ascii="仿宋" w:hAnsi="仿宋" w:eastAsia="仿宋" w:cs="仿宋_GB2312"/>
          <w:b/>
          <w:color w:val="auto"/>
          <w:sz w:val="24"/>
          <w:highlight w:val="none"/>
        </w:rPr>
        <w:t>中标后以分包方式履行合同的，提供分包意向协议；采购人不同意分包或者供应商中标后不以分包方式履行合同的，则不需要提供。</w:t>
      </w:r>
      <w:r>
        <w:rPr>
          <w:rFonts w:hint="eastAsia" w:ascii="仿宋" w:hAnsi="仿宋" w:eastAsia="仿宋" w:cs="仿宋_GB2312"/>
          <w:color w:val="auto"/>
          <w:sz w:val="24"/>
          <w:highlight w:val="none"/>
        </w:rPr>
        <w:t>）</w:t>
      </w:r>
    </w:p>
    <w:p>
      <w:pPr>
        <w:snapToGrid w:val="0"/>
        <w:spacing w:line="360" w:lineRule="auto"/>
        <w:ind w:firstLine="576"/>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u w:val="single"/>
        </w:rPr>
        <w:t>（供应商名称）</w:t>
      </w:r>
      <w:r>
        <w:rPr>
          <w:rFonts w:hint="eastAsia" w:ascii="仿宋" w:hAnsi="仿宋" w:eastAsia="仿宋" w:cs="仿宋_GB2312"/>
          <w:color w:val="auto"/>
          <w:kern w:val="0"/>
          <w:sz w:val="24"/>
          <w:highlight w:val="none"/>
          <w:lang w:val="zh-CN"/>
        </w:rPr>
        <w:t>若成为</w:t>
      </w:r>
      <w:r>
        <w:rPr>
          <w:rFonts w:hint="eastAsia" w:ascii="仿宋" w:hAnsi="仿宋" w:eastAsia="仿宋" w:cs="仿宋_GB2312"/>
          <w:color w:val="auto"/>
          <w:kern w:val="0"/>
          <w:sz w:val="24"/>
          <w:highlight w:val="none"/>
        </w:rPr>
        <w:t xml:space="preserve"> </w:t>
      </w:r>
      <w:r>
        <w:rPr>
          <w:rFonts w:hint="eastAsia" w:ascii="仿宋" w:hAnsi="仿宋" w:eastAsia="仿宋" w:cs="仿宋_GB2312"/>
          <w:color w:val="auto"/>
          <w:kern w:val="0"/>
          <w:sz w:val="24"/>
          <w:highlight w:val="none"/>
          <w:u w:val="single"/>
        </w:rPr>
        <w:t xml:space="preserve">        </w:t>
      </w:r>
      <w:r>
        <w:rPr>
          <w:rFonts w:hint="eastAsia" w:ascii="仿宋" w:hAnsi="仿宋" w:eastAsia="仿宋" w:cs="仿宋_GB2312"/>
          <w:color w:val="auto"/>
          <w:sz w:val="24"/>
          <w:highlight w:val="none"/>
        </w:rPr>
        <w:t>【</w:t>
      </w:r>
      <w:r>
        <w:rPr>
          <w:rFonts w:hint="eastAsia" w:ascii="仿宋" w:hAnsi="仿宋" w:eastAsia="仿宋" w:cs="仿宋_GB2312"/>
          <w:color w:val="auto"/>
          <w:sz w:val="24"/>
          <w:highlight w:val="none"/>
          <w:u w:val="single"/>
        </w:rPr>
        <w:t>招标编号：</w:t>
      </w:r>
      <w:r>
        <w:rPr>
          <w:rFonts w:hint="eastAsia" w:ascii="仿宋" w:hAnsi="仿宋" w:eastAsia="仿宋" w:cs="仿宋_GB2312"/>
          <w:color w:val="auto"/>
          <w:sz w:val="24"/>
          <w:highlight w:val="none"/>
        </w:rPr>
        <w:t>】</w:t>
      </w:r>
      <w:r>
        <w:rPr>
          <w:rFonts w:hint="eastAsia" w:ascii="仿宋" w:hAnsi="仿宋" w:eastAsia="仿宋" w:cs="仿宋_GB2312"/>
          <w:color w:val="auto"/>
          <w:kern w:val="0"/>
          <w:sz w:val="24"/>
          <w:highlight w:val="none"/>
          <w:lang w:val="zh-CN"/>
        </w:rPr>
        <w:t>的中标供应商，将依法采取分包方式履行合同。</w:t>
      </w:r>
      <w:r>
        <w:rPr>
          <w:rFonts w:hint="eastAsia" w:ascii="仿宋" w:hAnsi="仿宋" w:eastAsia="仿宋" w:cs="仿宋_GB2312"/>
          <w:color w:val="auto"/>
          <w:kern w:val="0"/>
          <w:sz w:val="24"/>
          <w:highlight w:val="none"/>
          <w:u w:val="single"/>
        </w:rPr>
        <w:t>（供应商名称）</w:t>
      </w:r>
      <w:r>
        <w:rPr>
          <w:rFonts w:hint="eastAsia" w:ascii="仿宋" w:hAnsi="仿宋" w:eastAsia="仿宋" w:cs="仿宋_GB2312"/>
          <w:color w:val="auto"/>
          <w:kern w:val="0"/>
          <w:sz w:val="24"/>
          <w:highlight w:val="none"/>
        </w:rPr>
        <w:t>与</w:t>
      </w:r>
      <w:r>
        <w:rPr>
          <w:rFonts w:hint="eastAsia" w:ascii="仿宋" w:hAnsi="仿宋" w:eastAsia="仿宋" w:cs="仿宋_GB2312"/>
          <w:color w:val="auto"/>
          <w:kern w:val="0"/>
          <w:sz w:val="24"/>
          <w:highlight w:val="none"/>
          <w:u w:val="single"/>
        </w:rPr>
        <w:t>（所有分包供应商名称）</w:t>
      </w:r>
      <w:r>
        <w:rPr>
          <w:rFonts w:hint="eastAsia" w:ascii="仿宋" w:hAnsi="仿宋" w:eastAsia="仿宋" w:cs="仿宋_GB2312"/>
          <w:color w:val="auto"/>
          <w:kern w:val="0"/>
          <w:sz w:val="24"/>
          <w:highlight w:val="none"/>
        </w:rPr>
        <w:t>达成分包意向协议</w:t>
      </w:r>
      <w:r>
        <w:rPr>
          <w:rFonts w:hint="eastAsia" w:ascii="仿宋" w:hAnsi="仿宋" w:eastAsia="仿宋" w:cs="仿宋_GB2312"/>
          <w:color w:val="auto"/>
          <w:kern w:val="0"/>
          <w:sz w:val="24"/>
          <w:highlight w:val="none"/>
          <w:lang w:val="zh-CN"/>
        </w:rPr>
        <w:t>。</w:t>
      </w:r>
      <w:r>
        <w:rPr>
          <w:rFonts w:ascii="仿宋" w:hAnsi="仿宋" w:eastAsia="仿宋" w:cs="仿宋_GB2312"/>
          <w:color w:val="auto"/>
          <w:kern w:val="0"/>
          <w:sz w:val="24"/>
          <w:highlight w:val="none"/>
          <w:lang w:val="zh-CN"/>
        </w:rPr>
        <w:t xml:space="preserve"> </w:t>
      </w:r>
    </w:p>
    <w:p>
      <w:pPr>
        <w:snapToGrid w:val="0"/>
        <w:spacing w:line="360" w:lineRule="auto"/>
        <w:ind w:firstLine="576"/>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一、分包标的及数量</w:t>
      </w:r>
    </w:p>
    <w:p>
      <w:pPr>
        <w:snapToGrid w:val="0"/>
        <w:spacing w:line="360" w:lineRule="auto"/>
        <w:ind w:firstLine="576"/>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u w:val="single"/>
        </w:rPr>
        <w:t>（供应商名称）</w:t>
      </w:r>
      <w:r>
        <w:rPr>
          <w:rFonts w:hint="eastAsia" w:ascii="仿宋" w:hAnsi="仿宋" w:eastAsia="仿宋" w:cs="仿宋_GB2312"/>
          <w:color w:val="auto"/>
          <w:kern w:val="0"/>
          <w:sz w:val="24"/>
          <w:highlight w:val="none"/>
          <w:lang w:val="zh-CN"/>
        </w:rPr>
        <w:t>企业</w:t>
      </w:r>
      <w:r>
        <w:rPr>
          <w:rFonts w:hint="eastAsia" w:ascii="仿宋" w:hAnsi="仿宋" w:eastAsia="仿宋" w:cs="仿宋_GB2312"/>
          <w:color w:val="auto"/>
          <w:kern w:val="0"/>
          <w:sz w:val="24"/>
          <w:highlight w:val="none"/>
        </w:rPr>
        <w:t>，</w:t>
      </w:r>
      <w:r>
        <w:rPr>
          <w:rFonts w:hint="eastAsia" w:ascii="仿宋" w:hAnsi="仿宋" w:eastAsia="仿宋" w:cs="仿宋_GB2312"/>
          <w:color w:val="auto"/>
          <w:kern w:val="0"/>
          <w:sz w:val="24"/>
          <w:highlight w:val="none"/>
          <w:lang w:val="zh-CN"/>
        </w:rPr>
        <w:t>将</w:t>
      </w:r>
      <w:r>
        <w:rPr>
          <w:rFonts w:ascii="仿宋" w:hAnsi="仿宋" w:eastAsia="仿宋"/>
          <w:color w:val="auto"/>
          <w:highlight w:val="none"/>
          <w:u w:val="single"/>
        </w:rPr>
        <w:t xml:space="preserve">   XX工作内容   </w:t>
      </w:r>
      <w:r>
        <w:rPr>
          <w:rFonts w:hint="eastAsia" w:ascii="仿宋" w:hAnsi="仿宋" w:eastAsia="仿宋" w:cs="Arial"/>
          <w:color w:val="auto"/>
          <w:sz w:val="24"/>
          <w:highlight w:val="none"/>
        </w:rPr>
        <w:t>分包给</w:t>
      </w:r>
      <w:r>
        <w:rPr>
          <w:rFonts w:hint="eastAsia" w:ascii="仿宋" w:hAnsi="仿宋" w:eastAsia="仿宋" w:cs="仿宋_GB2312"/>
          <w:color w:val="auto"/>
          <w:kern w:val="0"/>
          <w:sz w:val="24"/>
          <w:highlight w:val="none"/>
          <w:u w:val="single"/>
        </w:rPr>
        <w:t>（某分包供应商名称）</w:t>
      </w:r>
      <w:r>
        <w:rPr>
          <w:rFonts w:hint="eastAsia" w:ascii="仿宋" w:hAnsi="仿宋" w:eastAsia="仿宋" w:cs="仿宋_GB2312"/>
          <w:color w:val="auto"/>
          <w:kern w:val="0"/>
          <w:sz w:val="24"/>
          <w:highlight w:val="none"/>
          <w:lang w:val="zh-CN"/>
        </w:rPr>
        <w:t>，</w:t>
      </w:r>
      <w:r>
        <w:rPr>
          <w:rFonts w:hint="eastAsia" w:ascii="仿宋" w:hAnsi="仿宋" w:eastAsia="仿宋" w:cs="仿宋_GB2312"/>
          <w:color w:val="auto"/>
          <w:kern w:val="0"/>
          <w:sz w:val="24"/>
          <w:highlight w:val="none"/>
          <w:u w:val="single"/>
        </w:rPr>
        <w:t>（某分包供应商名称），</w:t>
      </w:r>
      <w:r>
        <w:rPr>
          <w:rFonts w:hint="eastAsia" w:ascii="仿宋" w:hAnsi="仿宋" w:eastAsia="仿宋" w:cs="仿宋_GB2312"/>
          <w:color w:val="auto"/>
          <w:kern w:val="0"/>
          <w:sz w:val="24"/>
          <w:highlight w:val="none"/>
          <w:lang w:val="zh-CN"/>
        </w:rPr>
        <w:t>具备承</w:t>
      </w:r>
      <w:r>
        <w:rPr>
          <w:rFonts w:hint="eastAsia" w:ascii="仿宋" w:hAnsi="仿宋" w:eastAsia="仿宋" w:cs="仿宋_GB2312"/>
          <w:color w:val="auto"/>
          <w:kern w:val="0"/>
          <w:sz w:val="24"/>
          <w:highlight w:val="none"/>
        </w:rPr>
        <w:t>担</w:t>
      </w:r>
      <w:r>
        <w:rPr>
          <w:rFonts w:ascii="仿宋" w:hAnsi="仿宋" w:eastAsia="仿宋" w:cs="仿宋_GB2312"/>
          <w:color w:val="auto"/>
          <w:kern w:val="0"/>
          <w:sz w:val="24"/>
          <w:highlight w:val="none"/>
          <w:u w:val="single"/>
          <w:lang w:val="zh-CN"/>
        </w:rPr>
        <w:t>XX工作内容</w:t>
      </w:r>
      <w:r>
        <w:rPr>
          <w:rFonts w:hint="eastAsia" w:ascii="仿宋" w:hAnsi="仿宋" w:eastAsia="仿宋" w:cs="仿宋_GB2312"/>
          <w:color w:val="auto"/>
          <w:kern w:val="0"/>
          <w:sz w:val="24"/>
          <w:highlight w:val="none"/>
          <w:lang w:val="zh-CN"/>
        </w:rPr>
        <w:t>相应资质条件且不得再次分包；</w:t>
      </w:r>
    </w:p>
    <w:p>
      <w:pPr>
        <w:tabs>
          <w:tab w:val="left" w:pos="432"/>
        </w:tabs>
        <w:snapToGrid w:val="0"/>
        <w:spacing w:line="360" w:lineRule="auto"/>
        <w:ind w:firstLine="228" w:firstLineChars="95"/>
        <w:rPr>
          <w:rFonts w:ascii="仿宋" w:hAnsi="仿宋" w:eastAsia="仿宋"/>
          <w:color w:val="auto"/>
          <w:highlight w:val="none"/>
        </w:rPr>
      </w:pPr>
      <w:r>
        <w:rPr>
          <w:rFonts w:hint="eastAsia" w:ascii="仿宋" w:hAnsi="仿宋" w:eastAsia="仿宋" w:cs="仿宋_GB2312"/>
          <w:color w:val="auto"/>
          <w:kern w:val="0"/>
          <w:sz w:val="24"/>
          <w:highlight w:val="none"/>
        </w:rPr>
        <w:t>……</w:t>
      </w:r>
    </w:p>
    <w:p>
      <w:pPr>
        <w:snapToGrid w:val="0"/>
        <w:spacing w:line="360" w:lineRule="auto"/>
        <w:ind w:firstLine="576"/>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二、分包工作履行期限、地点、方式</w:t>
      </w:r>
    </w:p>
    <w:p>
      <w:pPr>
        <w:snapToGrid w:val="0"/>
        <w:spacing w:line="360" w:lineRule="auto"/>
        <w:ind w:firstLine="576"/>
        <w:rPr>
          <w:rFonts w:ascii="仿宋" w:hAnsi="仿宋" w:eastAsia="仿宋"/>
          <w:color w:val="auto"/>
          <w:highlight w:val="none"/>
          <w:u w:val="single"/>
        </w:rPr>
      </w:pPr>
      <w:r>
        <w:rPr>
          <w:rFonts w:ascii="仿宋" w:hAnsi="仿宋" w:eastAsia="仿宋"/>
          <w:color w:val="auto"/>
          <w:highlight w:val="none"/>
          <w:u w:val="single"/>
        </w:rPr>
        <w:t xml:space="preserve">                                                                                  </w:t>
      </w:r>
    </w:p>
    <w:p>
      <w:pPr>
        <w:snapToGrid w:val="0"/>
        <w:spacing w:line="360" w:lineRule="auto"/>
        <w:ind w:firstLine="576"/>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三、质量</w:t>
      </w:r>
    </w:p>
    <w:p>
      <w:pPr>
        <w:snapToGrid w:val="0"/>
        <w:spacing w:line="360" w:lineRule="auto"/>
        <w:ind w:firstLine="576"/>
        <w:rPr>
          <w:rFonts w:ascii="仿宋" w:hAnsi="仿宋" w:eastAsia="仿宋" w:cs="仿宋_GB2312"/>
          <w:color w:val="auto"/>
          <w:kern w:val="0"/>
          <w:sz w:val="24"/>
          <w:highlight w:val="none"/>
          <w:lang w:val="zh-CN"/>
        </w:rPr>
      </w:pPr>
      <w:r>
        <w:rPr>
          <w:rFonts w:ascii="仿宋" w:hAnsi="仿宋" w:eastAsia="仿宋"/>
          <w:color w:val="auto"/>
          <w:highlight w:val="none"/>
          <w:u w:val="single"/>
        </w:rPr>
        <w:t xml:space="preserve">                                                                                       </w:t>
      </w:r>
    </w:p>
    <w:p>
      <w:pPr>
        <w:snapToGrid w:val="0"/>
        <w:spacing w:line="360" w:lineRule="auto"/>
        <w:ind w:firstLine="576"/>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四、价款或者报酬</w:t>
      </w:r>
    </w:p>
    <w:p>
      <w:pPr>
        <w:snapToGrid w:val="0"/>
        <w:spacing w:line="360" w:lineRule="auto"/>
        <w:rPr>
          <w:rFonts w:ascii="仿宋" w:hAnsi="仿宋" w:eastAsia="仿宋" w:cs="仿宋_GB2312"/>
          <w:color w:val="auto"/>
          <w:kern w:val="0"/>
          <w:sz w:val="24"/>
          <w:highlight w:val="none"/>
          <w:lang w:val="zh-CN"/>
        </w:rPr>
      </w:pPr>
      <w:r>
        <w:rPr>
          <w:rFonts w:ascii="仿宋" w:hAnsi="仿宋" w:eastAsia="仿宋"/>
          <w:color w:val="auto"/>
          <w:highlight w:val="none"/>
          <w:u w:val="single"/>
        </w:rPr>
        <w:t xml:space="preserve">                                                                                     </w:t>
      </w:r>
    </w:p>
    <w:p>
      <w:pPr>
        <w:snapToGrid w:val="0"/>
        <w:spacing w:line="360" w:lineRule="auto"/>
        <w:ind w:firstLine="566" w:firstLineChars="236"/>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五、违约责任</w:t>
      </w:r>
    </w:p>
    <w:p>
      <w:pPr>
        <w:snapToGrid w:val="0"/>
        <w:spacing w:line="360" w:lineRule="auto"/>
        <w:ind w:firstLine="576"/>
        <w:rPr>
          <w:rFonts w:ascii="仿宋" w:hAnsi="仿宋" w:eastAsia="仿宋" w:cs="仿宋_GB2312"/>
          <w:color w:val="auto"/>
          <w:kern w:val="0"/>
          <w:sz w:val="24"/>
          <w:highlight w:val="none"/>
          <w:lang w:val="zh-CN"/>
        </w:rPr>
      </w:pPr>
      <w:r>
        <w:rPr>
          <w:rFonts w:ascii="仿宋" w:hAnsi="仿宋" w:eastAsia="仿宋"/>
          <w:color w:val="auto"/>
          <w:highlight w:val="none"/>
          <w:u w:val="single"/>
        </w:rPr>
        <w:t xml:space="preserve">                                                                                     </w:t>
      </w:r>
    </w:p>
    <w:p>
      <w:pPr>
        <w:snapToGrid w:val="0"/>
        <w:spacing w:line="360" w:lineRule="auto"/>
        <w:ind w:firstLine="576"/>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六、争议解决的办法</w:t>
      </w:r>
    </w:p>
    <w:p>
      <w:pPr>
        <w:snapToGrid w:val="0"/>
        <w:spacing w:line="360" w:lineRule="auto"/>
        <w:ind w:firstLine="576"/>
        <w:rPr>
          <w:rFonts w:ascii="仿宋" w:hAnsi="仿宋" w:eastAsia="仿宋" w:cs="仿宋_GB2312"/>
          <w:color w:val="auto"/>
          <w:kern w:val="0"/>
          <w:sz w:val="24"/>
          <w:highlight w:val="none"/>
          <w:lang w:val="zh-CN"/>
        </w:rPr>
      </w:pPr>
      <w:r>
        <w:rPr>
          <w:rFonts w:ascii="仿宋" w:hAnsi="仿宋" w:eastAsia="仿宋"/>
          <w:color w:val="auto"/>
          <w:highlight w:val="none"/>
          <w:u w:val="single"/>
        </w:rPr>
        <w:t xml:space="preserve">                                                                                  </w:t>
      </w:r>
    </w:p>
    <w:p>
      <w:pPr>
        <w:snapToGrid w:val="0"/>
        <w:spacing w:line="360" w:lineRule="auto"/>
        <w:ind w:firstLine="576"/>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七、其他</w:t>
      </w:r>
    </w:p>
    <w:p>
      <w:pPr>
        <w:snapToGrid w:val="0"/>
        <w:spacing w:line="360" w:lineRule="auto"/>
        <w:ind w:left="5040" w:hanging="5040" w:hangingChars="2100"/>
        <w:jc w:val="left"/>
        <w:rPr>
          <w:rFonts w:ascii="仿宋" w:hAnsi="仿宋" w:eastAsia="仿宋" w:cs="仿宋_GB2312"/>
          <w:color w:val="auto"/>
          <w:kern w:val="0"/>
          <w:sz w:val="24"/>
          <w:highlight w:val="none"/>
          <w:lang w:val="zh-CN"/>
        </w:rPr>
      </w:pPr>
      <w:r>
        <w:rPr>
          <w:rFonts w:ascii="仿宋" w:hAnsi="仿宋" w:eastAsia="仿宋"/>
          <w:color w:val="auto"/>
          <w:sz w:val="24"/>
          <w:highlight w:val="none"/>
        </w:rPr>
        <w:t>小</w:t>
      </w:r>
      <w:r>
        <w:rPr>
          <w:rFonts w:hint="eastAsia" w:ascii="仿宋" w:hAnsi="仿宋" w:eastAsia="仿宋"/>
          <w:color w:val="auto"/>
          <w:sz w:val="24"/>
          <w:highlight w:val="none"/>
        </w:rPr>
        <w:t xml:space="preserve">微企业合同金额达到 </w:t>
      </w:r>
      <w:r>
        <w:rPr>
          <w:rFonts w:ascii="仿宋" w:hAnsi="仿宋" w:eastAsia="仿宋"/>
          <w:color w:val="auto"/>
          <w:sz w:val="24"/>
          <w:highlight w:val="none"/>
        </w:rPr>
        <w:t xml:space="preserve">      </w:t>
      </w:r>
      <w:r>
        <w:rPr>
          <w:rFonts w:ascii="仿宋" w:hAnsi="仿宋" w:eastAsia="仿宋"/>
          <w:color w:val="auto"/>
          <w:sz w:val="24"/>
          <w:highlight w:val="none"/>
          <w:u w:val="single"/>
        </w:rPr>
        <w:t xml:space="preserve"> </w:t>
      </w:r>
      <w:r>
        <w:rPr>
          <w:rFonts w:ascii="仿宋" w:hAnsi="仿宋" w:eastAsia="仿宋"/>
          <w:color w:val="auto"/>
          <w:sz w:val="24"/>
          <w:highlight w:val="none"/>
        </w:rPr>
        <w:t>%</w:t>
      </w:r>
      <w:r>
        <w:rPr>
          <w:rFonts w:ascii="仿宋" w:hAnsi="仿宋" w:eastAsia="仿宋" w:cs="仿宋_GB2312"/>
          <w:color w:val="auto"/>
          <w:kern w:val="0"/>
          <w:sz w:val="24"/>
          <w:highlight w:val="none"/>
          <w:lang w:val="zh-CN"/>
        </w:rPr>
        <w:t xml:space="preserve">  。                                           投标人名称(电子签名)：</w:t>
      </w:r>
    </w:p>
    <w:p>
      <w:pPr>
        <w:snapToGrid w:val="0"/>
        <w:spacing w:line="360" w:lineRule="auto"/>
        <w:ind w:firstLine="3840" w:firstLineChars="1600"/>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分包供应商名称</w:t>
      </w:r>
      <w:r>
        <w:rPr>
          <w:rFonts w:ascii="仿宋" w:hAnsi="仿宋" w:eastAsia="仿宋" w:cs="仿宋_GB2312"/>
          <w:color w:val="auto"/>
          <w:kern w:val="0"/>
          <w:sz w:val="24"/>
          <w:highlight w:val="none"/>
          <w:lang w:val="zh-CN"/>
        </w:rPr>
        <w:t>(电子签名/公章)</w:t>
      </w:r>
      <w:r>
        <w:rPr>
          <w:rFonts w:hint="eastAsia" w:ascii="仿宋" w:hAnsi="仿宋" w:eastAsia="仿宋" w:cs="仿宋_GB2312"/>
          <w:color w:val="auto"/>
          <w:kern w:val="0"/>
          <w:sz w:val="24"/>
          <w:highlight w:val="none"/>
          <w:lang w:val="zh-CN"/>
        </w:rPr>
        <w:t>：</w:t>
      </w:r>
    </w:p>
    <w:p>
      <w:pPr>
        <w:snapToGrid w:val="0"/>
        <w:spacing w:line="360" w:lineRule="auto"/>
        <w:ind w:firstLine="5760" w:firstLineChars="2400"/>
        <w:rPr>
          <w:rFonts w:ascii="仿宋" w:hAnsi="仿宋" w:eastAsia="仿宋"/>
          <w:color w:val="auto"/>
          <w:highlight w:val="none"/>
        </w:rPr>
      </w:pPr>
      <w:r>
        <w:rPr>
          <w:rFonts w:hint="eastAsia" w:ascii="仿宋" w:hAnsi="仿宋" w:eastAsia="仿宋" w:cs="仿宋_GB2312"/>
          <w:color w:val="auto"/>
          <w:kern w:val="0"/>
          <w:sz w:val="24"/>
          <w:highlight w:val="none"/>
          <w:lang w:val="zh-CN"/>
        </w:rPr>
        <w:t>……</w:t>
      </w:r>
    </w:p>
    <w:p>
      <w:pPr>
        <w:widowControl/>
        <w:adjustRightInd/>
        <w:snapToGrid w:val="0"/>
        <w:spacing w:line="360" w:lineRule="auto"/>
        <w:jc w:val="center"/>
        <w:rPr>
          <w:rFonts w:ascii="仿宋" w:hAnsi="仿宋" w:eastAsia="仿宋" w:cs="仿宋_GB2312"/>
          <w:color w:val="auto"/>
          <w:kern w:val="0"/>
          <w:sz w:val="24"/>
          <w:highlight w:val="none"/>
          <w:lang w:val="zh-CN"/>
        </w:rPr>
      </w:pPr>
      <w:r>
        <w:rPr>
          <w:rFonts w:ascii="仿宋" w:hAnsi="仿宋" w:eastAsia="仿宋" w:cs="仿宋_GB2312"/>
          <w:color w:val="auto"/>
          <w:kern w:val="0"/>
          <w:sz w:val="24"/>
          <w:highlight w:val="none"/>
          <w:lang w:val="zh-CN"/>
        </w:rPr>
        <w:t xml:space="preserve">                                        日期：  年  月   日</w:t>
      </w:r>
    </w:p>
    <w:p>
      <w:pPr>
        <w:pStyle w:val="5"/>
        <w:rPr>
          <w:rFonts w:ascii="仿宋" w:hAnsi="仿宋" w:eastAsia="仿宋" w:cs="仿宋_GB2312"/>
          <w:color w:val="auto"/>
          <w:kern w:val="0"/>
          <w:sz w:val="24"/>
          <w:highlight w:val="none"/>
        </w:rPr>
      </w:pPr>
    </w:p>
    <w:p>
      <w:pPr>
        <w:rPr>
          <w:rFonts w:ascii="仿宋" w:hAnsi="仿宋" w:eastAsia="仿宋" w:cs="仿宋_GB2312"/>
          <w:color w:val="auto"/>
          <w:kern w:val="0"/>
          <w:sz w:val="24"/>
          <w:highlight w:val="none"/>
          <w:lang w:val="zh-CN"/>
        </w:rPr>
      </w:pPr>
    </w:p>
    <w:p>
      <w:pPr>
        <w:pStyle w:val="5"/>
        <w:rPr>
          <w:color w:val="auto"/>
          <w:highlight w:val="none"/>
        </w:rPr>
      </w:pPr>
    </w:p>
    <w:p>
      <w:pPr>
        <w:widowControl/>
        <w:numPr>
          <w:ilvl w:val="0"/>
          <w:numId w:val="21"/>
        </w:numPr>
        <w:snapToGrid w:val="0"/>
        <w:spacing w:line="360" w:lineRule="auto"/>
        <w:jc w:val="center"/>
        <w:outlineLvl w:val="1"/>
        <w:rPr>
          <w:rFonts w:ascii="仿宋" w:hAnsi="仿宋" w:eastAsia="仿宋" w:cs="仿宋_GB2312"/>
          <w:b/>
          <w:color w:val="auto"/>
          <w:kern w:val="0"/>
          <w:sz w:val="32"/>
          <w:szCs w:val="32"/>
          <w:highlight w:val="none"/>
        </w:rPr>
      </w:pPr>
      <w:r>
        <w:rPr>
          <w:rFonts w:hint="eastAsia" w:ascii="仿宋" w:hAnsi="仿宋" w:eastAsia="仿宋" w:cs="仿宋_GB2312"/>
          <w:b/>
          <w:color w:val="auto"/>
          <w:kern w:val="0"/>
          <w:sz w:val="32"/>
          <w:szCs w:val="32"/>
          <w:highlight w:val="none"/>
        </w:rPr>
        <w:t>本项目的特定资格要求</w:t>
      </w:r>
    </w:p>
    <w:p>
      <w:pPr>
        <w:pStyle w:val="5"/>
        <w:jc w:val="center"/>
        <w:rPr>
          <w:rFonts w:ascii="仿宋" w:hAnsi="仿宋" w:eastAsia="仿宋"/>
          <w:color w:val="auto"/>
          <w:sz w:val="24"/>
          <w:highlight w:val="none"/>
        </w:rPr>
      </w:pPr>
      <w:bookmarkStart w:id="731" w:name="_Toc355252989"/>
      <w:bookmarkStart w:id="732" w:name="_Toc95313013"/>
      <w:bookmarkStart w:id="733" w:name="_Toc7510"/>
      <w:bookmarkStart w:id="734" w:name="_Toc1343"/>
      <w:bookmarkStart w:id="735" w:name="_Toc26670"/>
      <w:bookmarkStart w:id="736" w:name="_Toc5790"/>
      <w:r>
        <w:rPr>
          <w:rFonts w:hint="eastAsia" w:ascii="仿宋" w:hAnsi="仿宋" w:eastAsia="仿宋"/>
          <w:color w:val="auto"/>
          <w:sz w:val="24"/>
          <w:highlight w:val="none"/>
        </w:rPr>
        <w:t>建筑装饰工程设计专项乙级及以上资质、建筑装修装饰工程专业承包贰级及以上资质、企业安全生产许可证（扫描件）</w:t>
      </w:r>
    </w:p>
    <w:p>
      <w:pPr>
        <w:pStyle w:val="5"/>
        <w:jc w:val="center"/>
        <w:rPr>
          <w:rFonts w:ascii="仿宋" w:hAnsi="仿宋" w:eastAsia="仿宋"/>
          <w:color w:val="auto"/>
          <w:sz w:val="24"/>
          <w:highlight w:val="none"/>
        </w:rPr>
      </w:pPr>
    </w:p>
    <w:p>
      <w:pPr>
        <w:pStyle w:val="5"/>
        <w:jc w:val="center"/>
        <w:rPr>
          <w:rFonts w:ascii="仿宋" w:hAnsi="仿宋" w:eastAsia="仿宋"/>
          <w:color w:val="auto"/>
          <w:sz w:val="24"/>
          <w:highlight w:val="none"/>
        </w:rPr>
      </w:pPr>
    </w:p>
    <w:p>
      <w:pPr>
        <w:pStyle w:val="5"/>
        <w:jc w:val="center"/>
        <w:rPr>
          <w:rFonts w:ascii="仿宋" w:hAnsi="仿宋" w:eastAsia="仿宋"/>
          <w:color w:val="auto"/>
          <w:sz w:val="24"/>
          <w:highlight w:val="none"/>
        </w:rPr>
      </w:pPr>
    </w:p>
    <w:p>
      <w:pPr>
        <w:rPr>
          <w:rFonts w:ascii="仿宋" w:hAnsi="仿宋" w:eastAsia="仿宋"/>
          <w:color w:val="auto"/>
          <w:sz w:val="24"/>
          <w:highlight w:val="none"/>
        </w:rPr>
      </w:pPr>
    </w:p>
    <w:p>
      <w:pPr>
        <w:pStyle w:val="5"/>
        <w:rPr>
          <w:rFonts w:ascii="仿宋" w:hAnsi="仿宋" w:eastAsia="仿宋"/>
          <w:color w:val="auto"/>
          <w:sz w:val="24"/>
          <w:highlight w:val="none"/>
        </w:rPr>
      </w:pPr>
    </w:p>
    <w:p>
      <w:pPr>
        <w:rPr>
          <w:rFonts w:ascii="仿宋" w:hAnsi="仿宋" w:eastAsia="仿宋"/>
          <w:color w:val="auto"/>
          <w:sz w:val="24"/>
          <w:highlight w:val="none"/>
        </w:rPr>
      </w:pPr>
    </w:p>
    <w:p>
      <w:pPr>
        <w:pStyle w:val="5"/>
        <w:rPr>
          <w:rFonts w:ascii="仿宋" w:hAnsi="仿宋" w:eastAsia="仿宋"/>
          <w:color w:val="auto"/>
          <w:sz w:val="24"/>
          <w:highlight w:val="none"/>
        </w:rPr>
      </w:pPr>
    </w:p>
    <w:p>
      <w:pPr>
        <w:rPr>
          <w:rFonts w:ascii="仿宋" w:hAnsi="仿宋" w:eastAsia="仿宋"/>
          <w:color w:val="auto"/>
          <w:sz w:val="24"/>
          <w:highlight w:val="none"/>
        </w:rPr>
      </w:pPr>
    </w:p>
    <w:p>
      <w:pPr>
        <w:pStyle w:val="5"/>
        <w:rPr>
          <w:rFonts w:ascii="仿宋" w:hAnsi="仿宋" w:eastAsia="仿宋"/>
          <w:color w:val="auto"/>
          <w:sz w:val="24"/>
          <w:highlight w:val="none"/>
        </w:rPr>
      </w:pPr>
    </w:p>
    <w:p>
      <w:pPr>
        <w:rPr>
          <w:rFonts w:ascii="仿宋" w:hAnsi="仿宋" w:eastAsia="仿宋"/>
          <w:color w:val="auto"/>
          <w:sz w:val="24"/>
          <w:highlight w:val="none"/>
        </w:rPr>
      </w:pPr>
    </w:p>
    <w:p>
      <w:pPr>
        <w:pStyle w:val="5"/>
        <w:rPr>
          <w:rFonts w:ascii="仿宋" w:hAnsi="仿宋" w:eastAsia="仿宋"/>
          <w:color w:val="auto"/>
          <w:sz w:val="24"/>
          <w:highlight w:val="none"/>
        </w:rPr>
      </w:pPr>
    </w:p>
    <w:p>
      <w:pPr>
        <w:rPr>
          <w:rFonts w:ascii="仿宋" w:hAnsi="仿宋" w:eastAsia="仿宋"/>
          <w:color w:val="auto"/>
          <w:sz w:val="24"/>
          <w:highlight w:val="none"/>
        </w:rPr>
      </w:pPr>
    </w:p>
    <w:p>
      <w:pPr>
        <w:pStyle w:val="5"/>
        <w:rPr>
          <w:rFonts w:ascii="仿宋" w:hAnsi="仿宋" w:eastAsia="仿宋"/>
          <w:color w:val="auto"/>
          <w:sz w:val="24"/>
          <w:highlight w:val="none"/>
        </w:rPr>
      </w:pPr>
    </w:p>
    <w:p>
      <w:pPr>
        <w:rPr>
          <w:rFonts w:ascii="仿宋" w:hAnsi="仿宋" w:eastAsia="仿宋"/>
          <w:color w:val="auto"/>
          <w:sz w:val="24"/>
          <w:highlight w:val="none"/>
        </w:rPr>
      </w:pPr>
    </w:p>
    <w:p>
      <w:pPr>
        <w:pStyle w:val="5"/>
        <w:rPr>
          <w:rFonts w:ascii="仿宋" w:hAnsi="仿宋" w:eastAsia="仿宋"/>
          <w:color w:val="auto"/>
          <w:sz w:val="24"/>
          <w:highlight w:val="none"/>
        </w:rPr>
      </w:pPr>
    </w:p>
    <w:p>
      <w:pPr>
        <w:rPr>
          <w:rFonts w:ascii="仿宋" w:hAnsi="仿宋" w:eastAsia="仿宋"/>
          <w:color w:val="auto"/>
          <w:sz w:val="24"/>
          <w:highlight w:val="none"/>
        </w:rPr>
      </w:pPr>
    </w:p>
    <w:p>
      <w:pPr>
        <w:pStyle w:val="5"/>
        <w:rPr>
          <w:rFonts w:ascii="仿宋" w:hAnsi="仿宋" w:eastAsia="仿宋"/>
          <w:color w:val="auto"/>
          <w:sz w:val="24"/>
          <w:highlight w:val="none"/>
        </w:rPr>
      </w:pPr>
    </w:p>
    <w:p>
      <w:pPr>
        <w:rPr>
          <w:rFonts w:ascii="仿宋" w:hAnsi="仿宋" w:eastAsia="仿宋"/>
          <w:color w:val="auto"/>
          <w:sz w:val="24"/>
          <w:highlight w:val="none"/>
        </w:rPr>
      </w:pPr>
    </w:p>
    <w:p>
      <w:pPr>
        <w:pStyle w:val="5"/>
        <w:rPr>
          <w:rFonts w:ascii="仿宋" w:hAnsi="仿宋" w:eastAsia="仿宋"/>
          <w:color w:val="auto"/>
          <w:sz w:val="24"/>
          <w:highlight w:val="none"/>
        </w:rPr>
      </w:pPr>
    </w:p>
    <w:p>
      <w:pPr>
        <w:rPr>
          <w:rFonts w:ascii="仿宋" w:hAnsi="仿宋" w:eastAsia="仿宋"/>
          <w:color w:val="auto"/>
          <w:sz w:val="24"/>
          <w:highlight w:val="none"/>
        </w:rPr>
      </w:pPr>
    </w:p>
    <w:p>
      <w:pPr>
        <w:pStyle w:val="5"/>
        <w:rPr>
          <w:rFonts w:ascii="仿宋" w:hAnsi="仿宋" w:eastAsia="仿宋"/>
          <w:color w:val="auto"/>
          <w:sz w:val="24"/>
          <w:highlight w:val="none"/>
        </w:rPr>
      </w:pPr>
    </w:p>
    <w:p>
      <w:pPr>
        <w:rPr>
          <w:rFonts w:ascii="仿宋" w:hAnsi="仿宋" w:eastAsia="仿宋"/>
          <w:color w:val="auto"/>
          <w:sz w:val="24"/>
          <w:highlight w:val="none"/>
        </w:rPr>
      </w:pPr>
    </w:p>
    <w:p>
      <w:pPr>
        <w:pStyle w:val="5"/>
        <w:rPr>
          <w:rFonts w:ascii="仿宋" w:hAnsi="仿宋" w:eastAsia="仿宋"/>
          <w:color w:val="auto"/>
          <w:sz w:val="24"/>
          <w:highlight w:val="none"/>
        </w:rPr>
      </w:pPr>
    </w:p>
    <w:p>
      <w:pPr>
        <w:rPr>
          <w:rFonts w:ascii="仿宋" w:hAnsi="仿宋" w:eastAsia="仿宋"/>
          <w:color w:val="auto"/>
          <w:sz w:val="24"/>
          <w:highlight w:val="none"/>
        </w:rPr>
      </w:pPr>
    </w:p>
    <w:p>
      <w:pPr>
        <w:pStyle w:val="5"/>
        <w:rPr>
          <w:rFonts w:ascii="仿宋" w:hAnsi="仿宋" w:eastAsia="仿宋"/>
          <w:color w:val="auto"/>
          <w:sz w:val="24"/>
          <w:highlight w:val="none"/>
        </w:rPr>
      </w:pPr>
    </w:p>
    <w:p>
      <w:pPr>
        <w:rPr>
          <w:rFonts w:ascii="仿宋" w:hAnsi="仿宋" w:eastAsia="仿宋"/>
          <w:color w:val="auto"/>
          <w:sz w:val="24"/>
          <w:highlight w:val="none"/>
        </w:rPr>
      </w:pPr>
    </w:p>
    <w:p>
      <w:pPr>
        <w:pStyle w:val="5"/>
        <w:rPr>
          <w:rFonts w:ascii="仿宋" w:hAnsi="仿宋" w:eastAsia="仿宋"/>
          <w:color w:val="auto"/>
          <w:sz w:val="24"/>
          <w:highlight w:val="none"/>
        </w:rPr>
      </w:pPr>
    </w:p>
    <w:p>
      <w:pPr>
        <w:rPr>
          <w:rFonts w:ascii="仿宋" w:hAnsi="仿宋" w:eastAsia="仿宋"/>
          <w:color w:val="auto"/>
          <w:sz w:val="24"/>
          <w:highlight w:val="none"/>
        </w:rPr>
      </w:pPr>
    </w:p>
    <w:p>
      <w:pPr>
        <w:pStyle w:val="5"/>
        <w:rPr>
          <w:rFonts w:ascii="仿宋" w:hAnsi="仿宋" w:eastAsia="仿宋"/>
          <w:color w:val="auto"/>
          <w:sz w:val="24"/>
          <w:highlight w:val="none"/>
        </w:rPr>
      </w:pPr>
    </w:p>
    <w:p>
      <w:pPr>
        <w:rPr>
          <w:rFonts w:ascii="仿宋" w:hAnsi="仿宋" w:eastAsia="仿宋"/>
          <w:color w:val="auto"/>
          <w:sz w:val="24"/>
          <w:highlight w:val="none"/>
        </w:rPr>
      </w:pPr>
    </w:p>
    <w:p>
      <w:pPr>
        <w:pStyle w:val="5"/>
        <w:rPr>
          <w:rFonts w:ascii="仿宋" w:hAnsi="仿宋" w:eastAsia="仿宋"/>
          <w:color w:val="auto"/>
          <w:sz w:val="24"/>
          <w:highlight w:val="none"/>
        </w:rPr>
      </w:pPr>
    </w:p>
    <w:p>
      <w:pPr>
        <w:rPr>
          <w:rFonts w:ascii="仿宋" w:hAnsi="仿宋" w:eastAsia="仿宋"/>
          <w:color w:val="auto"/>
          <w:sz w:val="24"/>
          <w:highlight w:val="none"/>
        </w:rPr>
      </w:pPr>
    </w:p>
    <w:p>
      <w:pPr>
        <w:pStyle w:val="5"/>
        <w:rPr>
          <w:rFonts w:ascii="仿宋" w:hAnsi="仿宋" w:eastAsia="仿宋"/>
          <w:color w:val="auto"/>
          <w:sz w:val="24"/>
          <w:highlight w:val="none"/>
        </w:rPr>
      </w:pPr>
    </w:p>
    <w:p>
      <w:pPr>
        <w:rPr>
          <w:rFonts w:ascii="仿宋" w:hAnsi="仿宋" w:eastAsia="仿宋"/>
          <w:color w:val="auto"/>
          <w:sz w:val="24"/>
          <w:highlight w:val="none"/>
        </w:rPr>
      </w:pPr>
    </w:p>
    <w:p>
      <w:pPr>
        <w:pStyle w:val="5"/>
        <w:rPr>
          <w:rFonts w:ascii="仿宋" w:hAnsi="仿宋" w:eastAsia="仿宋"/>
          <w:color w:val="auto"/>
          <w:sz w:val="24"/>
          <w:highlight w:val="none"/>
        </w:rPr>
      </w:pPr>
    </w:p>
    <w:p>
      <w:pPr>
        <w:rPr>
          <w:rFonts w:ascii="仿宋" w:hAnsi="仿宋" w:eastAsia="仿宋"/>
          <w:color w:val="auto"/>
          <w:sz w:val="24"/>
          <w:highlight w:val="none"/>
        </w:rPr>
      </w:pPr>
    </w:p>
    <w:p>
      <w:pPr>
        <w:pStyle w:val="5"/>
        <w:rPr>
          <w:rFonts w:ascii="仿宋" w:hAnsi="仿宋" w:eastAsia="仿宋"/>
          <w:color w:val="auto"/>
          <w:sz w:val="24"/>
          <w:highlight w:val="none"/>
        </w:rPr>
      </w:pPr>
    </w:p>
    <w:p>
      <w:pPr>
        <w:rPr>
          <w:rFonts w:ascii="仿宋" w:hAnsi="仿宋" w:eastAsia="仿宋"/>
          <w:color w:val="auto"/>
          <w:sz w:val="24"/>
          <w:highlight w:val="none"/>
        </w:rPr>
      </w:pPr>
    </w:p>
    <w:p>
      <w:pPr>
        <w:pStyle w:val="5"/>
        <w:rPr>
          <w:color w:val="auto"/>
          <w:highlight w:val="none"/>
        </w:rPr>
      </w:pPr>
    </w:p>
    <w:p>
      <w:pPr>
        <w:pStyle w:val="5"/>
        <w:jc w:val="center"/>
        <w:rPr>
          <w:rFonts w:ascii="仿宋" w:hAnsi="仿宋" w:eastAsia="仿宋"/>
          <w:color w:val="auto"/>
          <w:sz w:val="24"/>
          <w:highlight w:val="none"/>
        </w:rPr>
      </w:pPr>
    </w:p>
    <w:p>
      <w:pPr>
        <w:pStyle w:val="5"/>
        <w:jc w:val="center"/>
        <w:rPr>
          <w:rFonts w:ascii="仿宋" w:hAnsi="仿宋" w:eastAsia="仿宋"/>
          <w:color w:val="auto"/>
          <w:szCs w:val="28"/>
          <w:highlight w:val="none"/>
        </w:rPr>
      </w:pPr>
      <w:r>
        <w:rPr>
          <w:rFonts w:hint="eastAsia" w:ascii="仿宋" w:hAnsi="仿宋" w:eastAsia="仿宋"/>
          <w:color w:val="auto"/>
          <w:szCs w:val="28"/>
          <w:highlight w:val="none"/>
        </w:rPr>
        <w:t>商务技术文件部分</w:t>
      </w:r>
      <w:bookmarkEnd w:id="731"/>
      <w:bookmarkEnd w:id="732"/>
      <w:bookmarkEnd w:id="733"/>
      <w:bookmarkEnd w:id="734"/>
      <w:bookmarkEnd w:id="735"/>
      <w:bookmarkEnd w:id="736"/>
    </w:p>
    <w:p>
      <w:pPr>
        <w:snapToGrid w:val="0"/>
        <w:spacing w:line="360" w:lineRule="auto"/>
        <w:jc w:val="center"/>
        <w:rPr>
          <w:rFonts w:ascii="仿宋" w:hAnsi="仿宋" w:eastAsia="仿宋" w:cs="仿宋_GB2312"/>
          <w:b/>
          <w:color w:val="auto"/>
          <w:kern w:val="0"/>
          <w:sz w:val="24"/>
          <w:highlight w:val="none"/>
        </w:rPr>
      </w:pPr>
    </w:p>
    <w:p>
      <w:pPr>
        <w:snapToGrid w:val="0"/>
        <w:spacing w:line="360" w:lineRule="auto"/>
        <w:jc w:val="center"/>
        <w:rPr>
          <w:rFonts w:ascii="仿宋" w:hAnsi="仿宋" w:eastAsia="仿宋" w:cs="仿宋_GB2312"/>
          <w:b/>
          <w:color w:val="auto"/>
          <w:kern w:val="0"/>
          <w:sz w:val="28"/>
          <w:szCs w:val="28"/>
          <w:highlight w:val="none"/>
        </w:rPr>
      </w:pPr>
      <w:r>
        <w:rPr>
          <w:rFonts w:hint="eastAsia" w:ascii="仿宋" w:hAnsi="仿宋" w:eastAsia="仿宋" w:cs="仿宋_GB2312"/>
          <w:b/>
          <w:color w:val="auto"/>
          <w:kern w:val="0"/>
          <w:sz w:val="28"/>
          <w:szCs w:val="28"/>
          <w:highlight w:val="none"/>
        </w:rPr>
        <w:t>目录</w:t>
      </w:r>
    </w:p>
    <w:p>
      <w:pPr>
        <w:spacing w:line="360" w:lineRule="auto"/>
        <w:rPr>
          <w:rFonts w:ascii="仿宋" w:hAnsi="仿宋" w:eastAsia="仿宋" w:cs="仿宋"/>
          <w:color w:val="auto"/>
          <w:sz w:val="24"/>
          <w:highlight w:val="none"/>
        </w:rPr>
      </w:pPr>
      <w:bookmarkStart w:id="737" w:name="_Toc19810"/>
      <w:r>
        <w:rPr>
          <w:rFonts w:hint="eastAsia" w:ascii="仿宋" w:hAnsi="仿宋" w:eastAsia="仿宋" w:cs="仿宋"/>
          <w:color w:val="auto"/>
          <w:sz w:val="24"/>
          <w:highlight w:val="none"/>
        </w:rPr>
        <w:t>（1）投标函………………………………………………………………（页码）</w:t>
      </w:r>
      <w:bookmarkEnd w:id="737"/>
    </w:p>
    <w:p>
      <w:pPr>
        <w:spacing w:line="360" w:lineRule="auto"/>
        <w:rPr>
          <w:rFonts w:ascii="仿宋" w:hAnsi="仿宋" w:eastAsia="仿宋" w:cs="仿宋"/>
          <w:color w:val="auto"/>
          <w:sz w:val="24"/>
          <w:highlight w:val="none"/>
        </w:rPr>
      </w:pPr>
      <w:bookmarkStart w:id="738" w:name="_Toc16208"/>
      <w:r>
        <w:rPr>
          <w:rFonts w:hint="eastAsia" w:ascii="仿宋" w:hAnsi="仿宋" w:eastAsia="仿宋" w:cs="仿宋"/>
          <w:color w:val="auto"/>
          <w:sz w:val="24"/>
          <w:highlight w:val="none"/>
        </w:rPr>
        <w:t>（2）授权委托书…………………………………………………………（页码）</w:t>
      </w:r>
      <w:bookmarkEnd w:id="738"/>
    </w:p>
    <w:p>
      <w:pPr>
        <w:spacing w:line="360" w:lineRule="auto"/>
        <w:rPr>
          <w:rFonts w:ascii="仿宋" w:hAnsi="仿宋" w:eastAsia="仿宋" w:cs="仿宋"/>
          <w:color w:val="auto"/>
          <w:sz w:val="24"/>
          <w:highlight w:val="none"/>
        </w:rPr>
      </w:pPr>
      <w:bookmarkStart w:id="739" w:name="_Toc4278"/>
      <w:r>
        <w:rPr>
          <w:rFonts w:hint="eastAsia" w:ascii="仿宋" w:hAnsi="仿宋" w:eastAsia="仿宋" w:cs="仿宋"/>
          <w:color w:val="auto"/>
          <w:sz w:val="24"/>
          <w:highlight w:val="none"/>
        </w:rPr>
        <w:t>（3）法定代表人和授权委托代表的有效身份证复印件………………（页码）</w:t>
      </w:r>
      <w:bookmarkEnd w:id="739"/>
    </w:p>
    <w:p>
      <w:pPr>
        <w:spacing w:line="360" w:lineRule="auto"/>
        <w:rPr>
          <w:rFonts w:ascii="仿宋" w:hAnsi="仿宋" w:eastAsia="仿宋" w:cs="仿宋"/>
          <w:color w:val="auto"/>
          <w:sz w:val="24"/>
          <w:highlight w:val="none"/>
        </w:rPr>
      </w:pPr>
      <w:bookmarkStart w:id="740" w:name="_Toc31015"/>
      <w:r>
        <w:rPr>
          <w:rFonts w:hint="eastAsia" w:ascii="仿宋" w:hAnsi="仿宋" w:eastAsia="仿宋" w:cs="仿宋"/>
          <w:color w:val="auto"/>
          <w:sz w:val="24"/>
          <w:highlight w:val="none"/>
        </w:rPr>
        <w:t>（4）公司情况介绍………………………………………………………（页码）</w:t>
      </w:r>
      <w:bookmarkEnd w:id="740"/>
    </w:p>
    <w:p>
      <w:pPr>
        <w:spacing w:line="360" w:lineRule="auto"/>
        <w:rPr>
          <w:rFonts w:ascii="仿宋" w:hAnsi="仿宋" w:eastAsia="仿宋" w:cs="仿宋"/>
          <w:color w:val="auto"/>
          <w:sz w:val="24"/>
          <w:highlight w:val="none"/>
        </w:rPr>
      </w:pPr>
      <w:bookmarkStart w:id="741" w:name="_Toc29529"/>
      <w:r>
        <w:rPr>
          <w:rFonts w:hint="eastAsia" w:ascii="仿宋" w:hAnsi="仿宋" w:eastAsia="仿宋" w:cs="仿宋"/>
          <w:color w:val="auto"/>
          <w:sz w:val="24"/>
          <w:highlight w:val="none"/>
        </w:rPr>
        <w:t>（5）</w:t>
      </w:r>
      <w:r>
        <w:rPr>
          <w:rFonts w:hint="eastAsia" w:ascii="仿宋" w:hAnsi="仿宋" w:eastAsia="仿宋" w:cs="仿宋"/>
          <w:color w:val="auto"/>
          <w:sz w:val="24"/>
          <w:highlight w:val="none"/>
          <w:lang w:val="zh-CN"/>
        </w:rPr>
        <w:t>供应商成功案例</w:t>
      </w:r>
      <w:r>
        <w:rPr>
          <w:rFonts w:hint="eastAsia" w:ascii="仿宋" w:hAnsi="仿宋" w:eastAsia="仿宋" w:cs="仿宋"/>
          <w:color w:val="auto"/>
          <w:sz w:val="24"/>
          <w:highlight w:val="none"/>
        </w:rPr>
        <w:t>……………………………………………………（页码）</w:t>
      </w:r>
      <w:bookmarkEnd w:id="741"/>
    </w:p>
    <w:p>
      <w:pPr>
        <w:spacing w:line="360" w:lineRule="auto"/>
        <w:rPr>
          <w:rFonts w:ascii="仿宋" w:hAnsi="仿宋" w:eastAsia="仿宋" w:cs="仿宋"/>
          <w:color w:val="auto"/>
          <w:sz w:val="24"/>
          <w:highlight w:val="none"/>
        </w:rPr>
      </w:pPr>
      <w:bookmarkStart w:id="742" w:name="_Toc19938"/>
      <w:r>
        <w:rPr>
          <w:rFonts w:hint="eastAsia" w:ascii="仿宋" w:hAnsi="仿宋" w:eastAsia="仿宋" w:cs="仿宋"/>
          <w:color w:val="auto"/>
          <w:sz w:val="24"/>
          <w:highlight w:val="none"/>
        </w:rPr>
        <w:t>（6）相关资质文件（如有）……………………………………………（页码）</w:t>
      </w:r>
      <w:bookmarkEnd w:id="742"/>
    </w:p>
    <w:p>
      <w:pPr>
        <w:spacing w:line="360" w:lineRule="auto"/>
        <w:rPr>
          <w:rFonts w:ascii="仿宋" w:hAnsi="仿宋" w:eastAsia="仿宋" w:cs="仿宋"/>
          <w:color w:val="auto"/>
          <w:sz w:val="24"/>
          <w:highlight w:val="none"/>
        </w:rPr>
      </w:pPr>
      <w:bookmarkStart w:id="743" w:name="_Toc30678"/>
      <w:r>
        <w:rPr>
          <w:rFonts w:hint="eastAsia" w:ascii="仿宋" w:hAnsi="仿宋" w:eastAsia="仿宋" w:cs="仿宋"/>
          <w:color w:val="auto"/>
          <w:sz w:val="24"/>
          <w:highlight w:val="none"/>
        </w:rPr>
        <w:t>（7）供应商应提供针对项目的完整服务解决方案……………………（页码）</w:t>
      </w:r>
      <w:bookmarkEnd w:id="743"/>
    </w:p>
    <w:p>
      <w:pPr>
        <w:spacing w:line="360" w:lineRule="auto"/>
        <w:rPr>
          <w:rFonts w:ascii="仿宋" w:hAnsi="仿宋" w:eastAsia="仿宋" w:cs="仿宋"/>
          <w:color w:val="auto"/>
          <w:sz w:val="24"/>
          <w:highlight w:val="none"/>
        </w:rPr>
      </w:pPr>
      <w:bookmarkStart w:id="744" w:name="_Toc20096"/>
      <w:r>
        <w:rPr>
          <w:rFonts w:hint="eastAsia" w:ascii="仿宋" w:hAnsi="仿宋" w:eastAsia="仿宋" w:cs="仿宋"/>
          <w:color w:val="auto"/>
          <w:sz w:val="24"/>
          <w:highlight w:val="none"/>
        </w:rPr>
        <w:t>（8）项目组人员介绍、职责分配………………………………………（页码）</w:t>
      </w:r>
      <w:bookmarkEnd w:id="744"/>
    </w:p>
    <w:p>
      <w:pPr>
        <w:spacing w:line="360" w:lineRule="auto"/>
        <w:rPr>
          <w:rFonts w:ascii="仿宋" w:hAnsi="仿宋" w:eastAsia="仿宋" w:cs="仿宋"/>
          <w:color w:val="auto"/>
          <w:sz w:val="24"/>
          <w:highlight w:val="none"/>
        </w:rPr>
      </w:pPr>
      <w:bookmarkStart w:id="745" w:name="_Toc2403"/>
      <w:r>
        <w:rPr>
          <w:rFonts w:hint="eastAsia" w:ascii="仿宋" w:hAnsi="仿宋" w:eastAsia="仿宋" w:cs="仿宋"/>
          <w:color w:val="auto"/>
          <w:sz w:val="24"/>
          <w:highlight w:val="none"/>
        </w:rPr>
        <w:t>（9）商务技术偏离表……………………………………………………（页码）</w:t>
      </w:r>
      <w:bookmarkEnd w:id="745"/>
    </w:p>
    <w:p>
      <w:pPr>
        <w:spacing w:line="360" w:lineRule="auto"/>
        <w:rPr>
          <w:rFonts w:ascii="仿宋" w:hAnsi="仿宋" w:eastAsia="仿宋" w:cs="仿宋"/>
          <w:color w:val="auto"/>
          <w:sz w:val="24"/>
          <w:highlight w:val="none"/>
        </w:rPr>
      </w:pPr>
      <w:bookmarkStart w:id="746" w:name="_Toc1153"/>
      <w:r>
        <w:rPr>
          <w:rFonts w:hint="eastAsia" w:ascii="仿宋" w:hAnsi="仿宋" w:eastAsia="仿宋" w:cs="仿宋"/>
          <w:color w:val="auto"/>
          <w:sz w:val="24"/>
          <w:highlight w:val="none"/>
        </w:rPr>
        <w:t>（10）其他商务技术文件或说明………………………………………（页码）</w:t>
      </w:r>
      <w:bookmarkEnd w:id="746"/>
    </w:p>
    <w:p>
      <w:pPr>
        <w:spacing w:line="360" w:lineRule="auto"/>
        <w:rPr>
          <w:rFonts w:ascii="仿宋" w:hAnsi="仿宋" w:eastAsia="仿宋" w:cs="仿宋"/>
          <w:color w:val="auto"/>
          <w:sz w:val="24"/>
          <w:highlight w:val="none"/>
        </w:rPr>
      </w:pPr>
      <w:bookmarkStart w:id="747" w:name="_Toc10723"/>
      <w:r>
        <w:rPr>
          <w:rFonts w:hint="eastAsia" w:ascii="仿宋" w:hAnsi="仿宋" w:eastAsia="仿宋" w:cs="仿宋"/>
          <w:color w:val="auto"/>
          <w:sz w:val="24"/>
          <w:highlight w:val="none"/>
        </w:rPr>
        <w:t>（11）政府采购供应商廉洁自律承诺书………………………………（页码）</w:t>
      </w:r>
      <w:bookmarkEnd w:id="747"/>
    </w:p>
    <w:p>
      <w:pPr>
        <w:spacing w:line="360" w:lineRule="auto"/>
        <w:rPr>
          <w:rFonts w:ascii="仿宋" w:hAnsi="仿宋" w:eastAsia="仿宋" w:cs="仿宋"/>
          <w:color w:val="auto"/>
          <w:sz w:val="24"/>
          <w:highlight w:val="none"/>
        </w:rPr>
      </w:pPr>
    </w:p>
    <w:p>
      <w:pPr>
        <w:pStyle w:val="46"/>
        <w:snapToGrid w:val="0"/>
        <w:spacing w:line="360" w:lineRule="auto"/>
        <w:rPr>
          <w:rFonts w:ascii="仿宋" w:hAnsi="仿宋" w:eastAsia="仿宋" w:cs="宋体"/>
          <w:bCs/>
          <w:color w:val="auto"/>
          <w:kern w:val="0"/>
          <w:sz w:val="24"/>
          <w:szCs w:val="24"/>
          <w:highlight w:val="none"/>
        </w:rPr>
      </w:pPr>
    </w:p>
    <w:p>
      <w:pPr>
        <w:snapToGrid w:val="0"/>
        <w:spacing w:line="360" w:lineRule="auto"/>
        <w:rPr>
          <w:rFonts w:ascii="仿宋" w:hAnsi="仿宋" w:eastAsia="仿宋" w:cs="仿宋_GB2312"/>
          <w:b/>
          <w:color w:val="auto"/>
          <w:kern w:val="0"/>
          <w:sz w:val="32"/>
          <w:szCs w:val="32"/>
          <w:highlight w:val="none"/>
          <w:lang w:val="zh-CN"/>
        </w:rPr>
      </w:pPr>
    </w:p>
    <w:p>
      <w:pPr>
        <w:snapToGrid w:val="0"/>
        <w:spacing w:line="360" w:lineRule="auto"/>
        <w:jc w:val="center"/>
        <w:rPr>
          <w:rFonts w:ascii="仿宋" w:hAnsi="仿宋" w:eastAsia="仿宋" w:cs="仿宋_GB2312"/>
          <w:b/>
          <w:color w:val="auto"/>
          <w:kern w:val="0"/>
          <w:sz w:val="32"/>
          <w:szCs w:val="32"/>
          <w:highlight w:val="none"/>
          <w:lang w:val="zh-CN"/>
        </w:rPr>
      </w:pPr>
    </w:p>
    <w:p>
      <w:pPr>
        <w:snapToGrid w:val="0"/>
        <w:spacing w:line="360" w:lineRule="auto"/>
        <w:jc w:val="center"/>
        <w:rPr>
          <w:rFonts w:ascii="仿宋" w:hAnsi="仿宋" w:eastAsia="仿宋" w:cs="仿宋_GB2312"/>
          <w:b/>
          <w:color w:val="auto"/>
          <w:kern w:val="0"/>
          <w:sz w:val="32"/>
          <w:szCs w:val="32"/>
          <w:highlight w:val="none"/>
          <w:lang w:val="zh-CN"/>
        </w:rPr>
      </w:pPr>
    </w:p>
    <w:p>
      <w:pPr>
        <w:snapToGrid w:val="0"/>
        <w:spacing w:line="360" w:lineRule="auto"/>
        <w:jc w:val="center"/>
        <w:rPr>
          <w:rFonts w:ascii="仿宋" w:hAnsi="仿宋" w:eastAsia="仿宋" w:cs="仿宋_GB2312"/>
          <w:b/>
          <w:color w:val="auto"/>
          <w:kern w:val="0"/>
          <w:sz w:val="32"/>
          <w:szCs w:val="32"/>
          <w:highlight w:val="none"/>
          <w:lang w:val="zh-CN"/>
        </w:rPr>
      </w:pPr>
    </w:p>
    <w:p>
      <w:pPr>
        <w:pStyle w:val="5"/>
        <w:rPr>
          <w:rFonts w:ascii="仿宋" w:hAnsi="仿宋" w:eastAsia="仿宋" w:cs="仿宋_GB2312"/>
          <w:b/>
          <w:color w:val="auto"/>
          <w:kern w:val="0"/>
          <w:sz w:val="32"/>
          <w:highlight w:val="none"/>
        </w:rPr>
      </w:pPr>
    </w:p>
    <w:p>
      <w:pPr>
        <w:rPr>
          <w:rFonts w:ascii="仿宋" w:hAnsi="仿宋" w:eastAsia="仿宋" w:cs="仿宋_GB2312"/>
          <w:b/>
          <w:color w:val="auto"/>
          <w:kern w:val="0"/>
          <w:sz w:val="32"/>
          <w:szCs w:val="32"/>
          <w:highlight w:val="none"/>
          <w:lang w:val="zh-CN"/>
        </w:rPr>
      </w:pPr>
    </w:p>
    <w:p>
      <w:pPr>
        <w:pStyle w:val="5"/>
        <w:rPr>
          <w:rFonts w:ascii="仿宋" w:hAnsi="仿宋" w:eastAsia="仿宋" w:cs="仿宋_GB2312"/>
          <w:b/>
          <w:color w:val="auto"/>
          <w:kern w:val="0"/>
          <w:sz w:val="32"/>
          <w:highlight w:val="none"/>
        </w:rPr>
      </w:pPr>
    </w:p>
    <w:p>
      <w:pPr>
        <w:rPr>
          <w:rFonts w:ascii="仿宋" w:hAnsi="仿宋" w:eastAsia="仿宋" w:cs="仿宋_GB2312"/>
          <w:b/>
          <w:color w:val="auto"/>
          <w:kern w:val="0"/>
          <w:sz w:val="32"/>
          <w:szCs w:val="32"/>
          <w:highlight w:val="none"/>
          <w:lang w:val="zh-CN"/>
        </w:rPr>
      </w:pPr>
    </w:p>
    <w:p>
      <w:pPr>
        <w:pStyle w:val="5"/>
        <w:rPr>
          <w:rFonts w:ascii="仿宋" w:hAnsi="仿宋" w:eastAsia="仿宋" w:cs="仿宋_GB2312"/>
          <w:b/>
          <w:color w:val="auto"/>
          <w:kern w:val="0"/>
          <w:sz w:val="32"/>
          <w:highlight w:val="none"/>
        </w:rPr>
      </w:pPr>
    </w:p>
    <w:p>
      <w:pPr>
        <w:rPr>
          <w:rFonts w:ascii="仿宋" w:hAnsi="仿宋" w:eastAsia="仿宋" w:cs="仿宋_GB2312"/>
          <w:b/>
          <w:color w:val="auto"/>
          <w:kern w:val="0"/>
          <w:sz w:val="32"/>
          <w:szCs w:val="32"/>
          <w:highlight w:val="none"/>
          <w:lang w:val="zh-CN"/>
        </w:rPr>
      </w:pPr>
    </w:p>
    <w:p>
      <w:pPr>
        <w:pStyle w:val="5"/>
        <w:rPr>
          <w:color w:val="auto"/>
          <w:highlight w:val="none"/>
        </w:rPr>
      </w:pPr>
    </w:p>
    <w:p>
      <w:pPr>
        <w:snapToGrid w:val="0"/>
        <w:spacing w:line="360" w:lineRule="auto"/>
        <w:jc w:val="center"/>
        <w:rPr>
          <w:rFonts w:ascii="仿宋" w:hAnsi="仿宋" w:eastAsia="仿宋" w:cs="仿宋_GB2312"/>
          <w:b/>
          <w:color w:val="auto"/>
          <w:kern w:val="0"/>
          <w:sz w:val="32"/>
          <w:szCs w:val="32"/>
          <w:highlight w:val="none"/>
        </w:rPr>
      </w:pPr>
    </w:p>
    <w:p>
      <w:pPr>
        <w:snapToGrid w:val="0"/>
        <w:spacing w:line="360" w:lineRule="auto"/>
        <w:rPr>
          <w:rFonts w:ascii="仿宋" w:hAnsi="仿宋" w:eastAsia="仿宋"/>
          <w:color w:val="auto"/>
          <w:highlight w:val="none"/>
        </w:rPr>
      </w:pPr>
    </w:p>
    <w:p>
      <w:pPr>
        <w:spacing w:line="360" w:lineRule="auto"/>
        <w:jc w:val="center"/>
        <w:rPr>
          <w:rStyle w:val="1100"/>
          <w:rFonts w:ascii="仿宋" w:hAnsi="仿宋" w:eastAsia="仿宋"/>
          <w:b/>
          <w:bCs/>
          <w:color w:val="auto"/>
          <w:highlight w:val="none"/>
          <w:lang w:val="en-US"/>
        </w:rPr>
      </w:pPr>
      <w:bookmarkStart w:id="748" w:name="_Toc21925"/>
      <w:bookmarkStart w:id="749" w:name="_Toc14370"/>
      <w:bookmarkStart w:id="750" w:name="_Toc13297"/>
      <w:bookmarkStart w:id="751" w:name="_Toc18272"/>
      <w:bookmarkStart w:id="752" w:name="_Toc732447463"/>
      <w:bookmarkStart w:id="753" w:name="_Toc95313014"/>
      <w:r>
        <w:rPr>
          <w:rStyle w:val="1100"/>
          <w:rFonts w:hint="eastAsia" w:ascii="仿宋" w:hAnsi="仿宋" w:eastAsia="仿宋"/>
          <w:b/>
          <w:bCs/>
          <w:color w:val="auto"/>
          <w:highlight w:val="none"/>
          <w:lang w:val="en-US"/>
        </w:rPr>
        <w:t>一、投标函</w:t>
      </w:r>
      <w:bookmarkEnd w:id="748"/>
      <w:bookmarkEnd w:id="749"/>
      <w:bookmarkEnd w:id="750"/>
      <w:bookmarkEnd w:id="751"/>
      <w:bookmarkEnd w:id="752"/>
      <w:bookmarkEnd w:id="753"/>
    </w:p>
    <w:p>
      <w:pPr>
        <w:snapToGrid w:val="0"/>
        <w:spacing w:line="360" w:lineRule="auto"/>
        <w:rPr>
          <w:rFonts w:ascii="仿宋" w:hAnsi="仿宋" w:eastAsia="仿宋" w:cs="仿宋_GB2312"/>
          <w:color w:val="auto"/>
          <w:sz w:val="24"/>
          <w:highlight w:val="none"/>
        </w:rPr>
      </w:pPr>
      <w:r>
        <w:rPr>
          <w:rFonts w:hint="eastAsia" w:ascii="仿宋" w:hAnsi="仿宋" w:eastAsia="仿宋" w:cs="仿宋_GB2312"/>
          <w:color w:val="auto"/>
          <w:sz w:val="24"/>
          <w:highlight w:val="none"/>
          <w:u w:val="single"/>
        </w:rPr>
        <w:t>杭州市临平区人民政府临平街道办事处 、杭州中瑞招标代理有限公司</w:t>
      </w:r>
      <w:r>
        <w:rPr>
          <w:rFonts w:hint="eastAsia" w:ascii="仿宋" w:hAnsi="仿宋" w:eastAsia="仿宋" w:cs="仿宋_GB2312"/>
          <w:color w:val="auto"/>
          <w:sz w:val="24"/>
          <w:highlight w:val="none"/>
        </w:rPr>
        <w:t>：</w:t>
      </w:r>
    </w:p>
    <w:p>
      <w:pPr>
        <w:snapToGrid w:val="0"/>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我方参加你方组织的”俞樾纪念馆”陈列布展服务</w:t>
      </w:r>
      <w:r>
        <w:rPr>
          <w:rFonts w:hint="eastAsia" w:ascii="仿宋" w:hAnsi="仿宋" w:eastAsia="仿宋"/>
          <w:color w:val="auto"/>
          <w:sz w:val="24"/>
          <w:highlight w:val="none"/>
        </w:rPr>
        <w:t>项目</w:t>
      </w:r>
      <w:r>
        <w:rPr>
          <w:rFonts w:hint="eastAsia" w:ascii="仿宋" w:hAnsi="仿宋" w:eastAsia="仿宋" w:cs="仿宋_GB2312"/>
          <w:color w:val="auto"/>
          <w:sz w:val="24"/>
          <w:highlight w:val="none"/>
        </w:rPr>
        <w:t>【招标编号：</w:t>
      </w:r>
      <w:r>
        <w:rPr>
          <w:rFonts w:hint="eastAsia" w:ascii="仿宋" w:hAnsi="仿宋" w:eastAsia="仿宋"/>
          <w:color w:val="auto"/>
          <w:sz w:val="24"/>
          <w:highlight w:val="none"/>
        </w:rPr>
        <w:t>HZZR-F221201N</w:t>
      </w:r>
      <w:r>
        <w:rPr>
          <w:rFonts w:hint="eastAsia" w:ascii="仿宋" w:hAnsi="仿宋" w:eastAsia="仿宋" w:cs="仿宋_GB2312"/>
          <w:color w:val="auto"/>
          <w:sz w:val="24"/>
          <w:highlight w:val="none"/>
        </w:rPr>
        <w:t>】招标的有关活动，并对此项目进行投标。为此：</w:t>
      </w:r>
    </w:p>
    <w:p>
      <w:pPr>
        <w:snapToGrid w:val="0"/>
        <w:spacing w:line="360" w:lineRule="auto"/>
        <w:ind w:firstLine="420"/>
        <w:rPr>
          <w:rFonts w:ascii="仿宋" w:hAnsi="仿宋" w:eastAsia="仿宋" w:cs="仿宋_GB2312"/>
          <w:color w:val="auto"/>
          <w:sz w:val="24"/>
          <w:highlight w:val="none"/>
        </w:rPr>
      </w:pPr>
      <w:r>
        <w:rPr>
          <w:rFonts w:ascii="仿宋" w:hAnsi="仿宋" w:eastAsia="仿宋" w:cs="仿宋_GB2312"/>
          <w:color w:val="auto"/>
          <w:sz w:val="24"/>
          <w:highlight w:val="none"/>
        </w:rPr>
        <w:t>1、我方承诺投标有效期从提交投标文件的截止之日起</w:t>
      </w:r>
      <w:r>
        <w:rPr>
          <w:rFonts w:ascii="仿宋" w:hAnsi="仿宋" w:eastAsia="仿宋" w:cs="仿宋_GB2312"/>
          <w:color w:val="auto"/>
          <w:sz w:val="24"/>
          <w:highlight w:val="none"/>
          <w:u w:val="single"/>
        </w:rPr>
        <w:t xml:space="preserve">     </w:t>
      </w:r>
      <w:r>
        <w:rPr>
          <w:rFonts w:hint="eastAsia" w:ascii="仿宋" w:hAnsi="仿宋" w:eastAsia="仿宋" w:cs="仿宋_GB2312"/>
          <w:color w:val="auto"/>
          <w:sz w:val="24"/>
          <w:highlight w:val="none"/>
        </w:rPr>
        <w:t>天（不少于</w:t>
      </w:r>
      <w:r>
        <w:rPr>
          <w:rFonts w:ascii="仿宋" w:hAnsi="仿宋" w:eastAsia="仿宋" w:cs="仿宋_GB2312"/>
          <w:color w:val="auto"/>
          <w:sz w:val="24"/>
          <w:highlight w:val="none"/>
        </w:rPr>
        <w:t>90天）</w:t>
      </w:r>
      <w:r>
        <w:rPr>
          <w:rFonts w:hint="eastAsia" w:ascii="仿宋" w:hAnsi="仿宋" w:eastAsia="仿宋"/>
          <w:color w:val="auto"/>
          <w:highlight w:val="none"/>
        </w:rPr>
        <w:t>，</w:t>
      </w:r>
      <w:r>
        <w:rPr>
          <w:rFonts w:hint="eastAsia" w:ascii="仿宋" w:hAnsi="仿宋" w:eastAsia="仿宋" w:cs="仿宋_GB2312"/>
          <w:color w:val="auto"/>
          <w:sz w:val="24"/>
          <w:highlight w:val="none"/>
        </w:rPr>
        <w:t>本投标文件在投标有效期满之前均具有约束力。</w:t>
      </w:r>
    </w:p>
    <w:p>
      <w:pPr>
        <w:snapToGrid w:val="0"/>
        <w:spacing w:line="360" w:lineRule="auto"/>
        <w:ind w:firstLine="480" w:firstLineChars="200"/>
        <w:outlineLvl w:val="2"/>
        <w:rPr>
          <w:rFonts w:ascii="仿宋" w:hAnsi="仿宋" w:eastAsia="仿宋" w:cs="仿宋_GB2312"/>
          <w:color w:val="auto"/>
          <w:sz w:val="24"/>
          <w:highlight w:val="none"/>
        </w:rPr>
      </w:pPr>
      <w:r>
        <w:rPr>
          <w:rFonts w:ascii="仿宋" w:hAnsi="仿宋" w:eastAsia="仿宋" w:cs="仿宋_GB2312"/>
          <w:color w:val="auto"/>
          <w:sz w:val="24"/>
          <w:highlight w:val="none"/>
        </w:rPr>
        <w:t>2、我方的响应文件包括以下内容：</w:t>
      </w:r>
    </w:p>
    <w:p>
      <w:pPr>
        <w:snapToGrid w:val="0"/>
        <w:spacing w:line="360" w:lineRule="auto"/>
        <w:ind w:firstLine="480" w:firstLineChars="200"/>
        <w:outlineLvl w:val="3"/>
        <w:rPr>
          <w:rFonts w:ascii="仿宋" w:hAnsi="仿宋" w:eastAsia="仿宋" w:cs="仿宋_GB2312"/>
          <w:color w:val="auto"/>
          <w:sz w:val="24"/>
          <w:highlight w:val="none"/>
        </w:rPr>
      </w:pPr>
      <w:r>
        <w:rPr>
          <w:rFonts w:ascii="仿宋" w:hAnsi="仿宋" w:eastAsia="仿宋" w:cs="仿宋_GB2312"/>
          <w:color w:val="auto"/>
          <w:sz w:val="24"/>
          <w:highlight w:val="none"/>
        </w:rPr>
        <w:t>2.1资格文件：</w:t>
      </w:r>
    </w:p>
    <w:p>
      <w:pPr>
        <w:snapToGrid w:val="0"/>
        <w:spacing w:line="360" w:lineRule="auto"/>
        <w:ind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2.1.1</w:t>
      </w:r>
      <w:r>
        <w:rPr>
          <w:rFonts w:hint="eastAsia" w:ascii="仿宋" w:hAnsi="仿宋" w:eastAsia="仿宋" w:cs="仿宋_GB2312"/>
          <w:color w:val="auto"/>
          <w:sz w:val="24"/>
          <w:highlight w:val="none"/>
        </w:rPr>
        <w:t>承诺函；</w:t>
      </w:r>
    </w:p>
    <w:p>
      <w:pPr>
        <w:snapToGrid w:val="0"/>
        <w:spacing w:line="360" w:lineRule="auto"/>
        <w:ind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2.1.2落实政府采购政策需满足的资格要求</w:t>
      </w:r>
      <w:r>
        <w:rPr>
          <w:rFonts w:hint="eastAsia" w:ascii="仿宋" w:hAnsi="仿宋" w:eastAsia="仿宋" w:cs="仿宋_GB2312"/>
          <w:color w:val="auto"/>
          <w:sz w:val="24"/>
          <w:highlight w:val="none"/>
        </w:rPr>
        <w:t>（如果有）；</w:t>
      </w:r>
    </w:p>
    <w:p>
      <w:pPr>
        <w:snapToGrid w:val="0"/>
        <w:spacing w:line="360" w:lineRule="auto"/>
        <w:ind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2.1.3本项目的特定资格要求</w:t>
      </w:r>
      <w:r>
        <w:rPr>
          <w:rFonts w:hint="eastAsia" w:ascii="仿宋" w:hAnsi="仿宋" w:eastAsia="仿宋" w:cs="仿宋_GB2312"/>
          <w:color w:val="auto"/>
          <w:sz w:val="24"/>
          <w:highlight w:val="none"/>
        </w:rPr>
        <w:t>（如果有）。</w:t>
      </w:r>
    </w:p>
    <w:p>
      <w:pPr>
        <w:snapToGrid w:val="0"/>
        <w:spacing w:line="360" w:lineRule="auto"/>
        <w:ind w:firstLine="420"/>
        <w:rPr>
          <w:rFonts w:ascii="仿宋" w:hAnsi="仿宋" w:eastAsia="仿宋" w:cs="仿宋_GB2312"/>
          <w:color w:val="auto"/>
          <w:sz w:val="24"/>
          <w:highlight w:val="none"/>
          <w:lang w:val="zh-CN"/>
        </w:rPr>
      </w:pPr>
      <w:r>
        <w:rPr>
          <w:rFonts w:ascii="仿宋" w:hAnsi="仿宋" w:eastAsia="仿宋" w:cs="仿宋_GB2312"/>
          <w:color w:val="auto"/>
          <w:sz w:val="24"/>
          <w:highlight w:val="none"/>
        </w:rPr>
        <w:t>2</w:t>
      </w:r>
      <w:r>
        <w:rPr>
          <w:rFonts w:ascii="仿宋" w:hAnsi="仿宋" w:eastAsia="仿宋" w:cs="仿宋_GB2312"/>
          <w:color w:val="auto"/>
          <w:sz w:val="24"/>
          <w:highlight w:val="none"/>
          <w:lang w:val="zh-CN"/>
        </w:rPr>
        <w:t>.</w:t>
      </w:r>
      <w:r>
        <w:rPr>
          <w:rFonts w:ascii="仿宋" w:hAnsi="仿宋" w:eastAsia="仿宋" w:cs="仿宋_GB2312"/>
          <w:color w:val="auto"/>
          <w:sz w:val="24"/>
          <w:highlight w:val="none"/>
        </w:rPr>
        <w:t>2</w:t>
      </w:r>
      <w:r>
        <w:rPr>
          <w:rFonts w:ascii="仿宋" w:hAnsi="仿宋" w:eastAsia="仿宋" w:cs="仿宋_GB2312"/>
          <w:color w:val="auto"/>
          <w:sz w:val="24"/>
          <w:highlight w:val="none"/>
          <w:lang w:val="zh-CN"/>
        </w:rPr>
        <w:t xml:space="preserve"> </w:t>
      </w:r>
      <w:r>
        <w:rPr>
          <w:rFonts w:hint="eastAsia" w:ascii="仿宋" w:hAnsi="仿宋" w:eastAsia="仿宋" w:cs="仿宋_GB2312"/>
          <w:color w:val="auto"/>
          <w:sz w:val="24"/>
          <w:highlight w:val="none"/>
        </w:rPr>
        <w:t>商务技术</w:t>
      </w:r>
      <w:r>
        <w:rPr>
          <w:rFonts w:hint="eastAsia" w:ascii="仿宋" w:hAnsi="仿宋" w:eastAsia="仿宋" w:cs="仿宋_GB2312"/>
          <w:color w:val="auto"/>
          <w:sz w:val="24"/>
          <w:highlight w:val="none"/>
          <w:lang w:val="zh-CN"/>
        </w:rPr>
        <w:t>文件：</w:t>
      </w:r>
    </w:p>
    <w:p>
      <w:pPr>
        <w:snapToGrid w:val="0"/>
        <w:spacing w:line="360" w:lineRule="auto"/>
        <w:ind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2.2.1投标函；</w:t>
      </w:r>
      <w:r>
        <w:rPr>
          <w:rFonts w:ascii="仿宋" w:hAnsi="仿宋" w:eastAsia="仿宋" w:cs="仿宋_GB2312"/>
          <w:color w:val="auto"/>
          <w:sz w:val="24"/>
          <w:highlight w:val="none"/>
          <w:lang w:val="zh-CN"/>
        </w:rPr>
        <w:t xml:space="preserve"> </w:t>
      </w:r>
    </w:p>
    <w:p>
      <w:pPr>
        <w:snapToGrid w:val="0"/>
        <w:spacing w:line="360" w:lineRule="auto"/>
        <w:ind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2.2.2</w:t>
      </w:r>
      <w:r>
        <w:rPr>
          <w:rFonts w:hint="eastAsia" w:ascii="仿宋" w:hAnsi="仿宋" w:eastAsia="仿宋" w:cs="仿宋_GB2312"/>
          <w:color w:val="auto"/>
          <w:sz w:val="24"/>
          <w:highlight w:val="none"/>
        </w:rPr>
        <w:t>授权委托书；</w:t>
      </w:r>
    </w:p>
    <w:p>
      <w:pPr>
        <w:snapToGrid w:val="0"/>
        <w:spacing w:line="360" w:lineRule="auto"/>
        <w:ind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2.2.3</w:t>
      </w:r>
      <w:r>
        <w:rPr>
          <w:rFonts w:hint="eastAsia" w:ascii="仿宋" w:hAnsi="仿宋" w:eastAsia="仿宋" w:cs="仿宋_GB2312"/>
          <w:color w:val="auto"/>
          <w:sz w:val="24"/>
          <w:highlight w:val="none"/>
        </w:rPr>
        <w:t>法定代表人和授权委托代表的有效身份证复印件（法定代表人直接参加投标并对相应文件签字的，只需提供前者）；</w:t>
      </w:r>
    </w:p>
    <w:p>
      <w:pPr>
        <w:snapToGrid w:val="0"/>
        <w:spacing w:line="360" w:lineRule="auto"/>
        <w:ind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2.2.4</w:t>
      </w:r>
      <w:r>
        <w:rPr>
          <w:rFonts w:hint="eastAsia" w:ascii="仿宋" w:hAnsi="仿宋" w:eastAsia="仿宋" w:cs="仿宋_GB2312"/>
          <w:color w:val="auto"/>
          <w:sz w:val="24"/>
          <w:highlight w:val="none"/>
        </w:rPr>
        <w:t>公司情况介绍；</w:t>
      </w:r>
    </w:p>
    <w:p>
      <w:pPr>
        <w:snapToGrid w:val="0"/>
        <w:spacing w:line="360" w:lineRule="auto"/>
        <w:ind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2.2.5</w:t>
      </w:r>
      <w:r>
        <w:rPr>
          <w:rFonts w:hint="eastAsia" w:ascii="仿宋" w:hAnsi="仿宋" w:eastAsia="仿宋" w:cs="仿宋_GB2312"/>
          <w:color w:val="auto"/>
          <w:sz w:val="24"/>
          <w:highlight w:val="none"/>
          <w:lang w:val="zh-CN"/>
        </w:rPr>
        <w:t>供应商成功案例；</w:t>
      </w:r>
    </w:p>
    <w:p>
      <w:pPr>
        <w:snapToGrid w:val="0"/>
        <w:spacing w:line="360" w:lineRule="auto"/>
        <w:ind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2.2.6</w:t>
      </w:r>
      <w:r>
        <w:rPr>
          <w:rFonts w:hint="eastAsia" w:ascii="仿宋" w:hAnsi="仿宋" w:eastAsia="仿宋" w:cs="仿宋_GB2312"/>
          <w:color w:val="auto"/>
          <w:sz w:val="24"/>
          <w:highlight w:val="none"/>
        </w:rPr>
        <w:t>相关资质文件（如有）；</w:t>
      </w:r>
    </w:p>
    <w:p>
      <w:pPr>
        <w:snapToGrid w:val="0"/>
        <w:spacing w:line="360" w:lineRule="auto"/>
        <w:ind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2.2.7</w:t>
      </w:r>
      <w:r>
        <w:rPr>
          <w:rFonts w:hint="eastAsia" w:ascii="仿宋" w:hAnsi="仿宋" w:eastAsia="仿宋" w:cs="仿宋_GB2312"/>
          <w:color w:val="auto"/>
          <w:sz w:val="24"/>
          <w:highlight w:val="none"/>
        </w:rPr>
        <w:t>供应商应提供针对项目的完整服务解决方案；</w:t>
      </w:r>
    </w:p>
    <w:p>
      <w:pPr>
        <w:snapToGrid w:val="0"/>
        <w:spacing w:line="360" w:lineRule="auto"/>
        <w:ind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2.2.8</w:t>
      </w:r>
      <w:r>
        <w:rPr>
          <w:rFonts w:hint="eastAsia" w:ascii="仿宋" w:hAnsi="仿宋" w:eastAsia="仿宋" w:cs="仿宋_GB2312"/>
          <w:color w:val="auto"/>
          <w:sz w:val="24"/>
          <w:highlight w:val="none"/>
        </w:rPr>
        <w:t>项目组人员介绍、职责分配；</w:t>
      </w:r>
    </w:p>
    <w:p>
      <w:pPr>
        <w:snapToGrid w:val="0"/>
        <w:spacing w:line="360" w:lineRule="auto"/>
        <w:ind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2.2.9</w:t>
      </w:r>
      <w:r>
        <w:rPr>
          <w:rFonts w:hint="eastAsia" w:ascii="仿宋" w:hAnsi="仿宋" w:eastAsia="仿宋" w:cs="仿宋_GB2312"/>
          <w:color w:val="auto"/>
          <w:sz w:val="24"/>
          <w:highlight w:val="none"/>
        </w:rPr>
        <w:t>商务技术偏离表；</w:t>
      </w:r>
    </w:p>
    <w:p>
      <w:pPr>
        <w:snapToGrid w:val="0"/>
        <w:spacing w:line="360" w:lineRule="auto"/>
        <w:ind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2.2.</w:t>
      </w:r>
      <w:r>
        <w:rPr>
          <w:rFonts w:hint="eastAsia" w:ascii="仿宋" w:hAnsi="仿宋" w:eastAsia="仿宋" w:cs="仿宋_GB2312"/>
          <w:color w:val="auto"/>
          <w:sz w:val="24"/>
          <w:highlight w:val="none"/>
        </w:rPr>
        <w:t>10其他商务技术文件或说明；</w:t>
      </w:r>
    </w:p>
    <w:p>
      <w:pPr>
        <w:snapToGrid w:val="0"/>
        <w:spacing w:line="360" w:lineRule="auto"/>
        <w:ind w:firstLine="480" w:firstLineChars="200"/>
        <w:rPr>
          <w:rFonts w:ascii="仿宋" w:hAnsi="仿宋" w:eastAsia="仿宋" w:cs="仿宋_GB2312"/>
          <w:color w:val="auto"/>
          <w:sz w:val="24"/>
          <w:highlight w:val="none"/>
          <w:lang w:val="zh-CN"/>
        </w:rPr>
      </w:pPr>
      <w:r>
        <w:rPr>
          <w:rFonts w:ascii="仿宋" w:hAnsi="仿宋" w:eastAsia="仿宋" w:cs="仿宋_GB2312"/>
          <w:color w:val="auto"/>
          <w:sz w:val="24"/>
          <w:highlight w:val="none"/>
        </w:rPr>
        <w:t>2.2.1</w:t>
      </w:r>
      <w:r>
        <w:rPr>
          <w:rFonts w:hint="eastAsia" w:ascii="仿宋" w:hAnsi="仿宋" w:eastAsia="仿宋" w:cs="仿宋_GB2312"/>
          <w:color w:val="auto"/>
          <w:sz w:val="24"/>
          <w:highlight w:val="none"/>
        </w:rPr>
        <w:t>1政府采购供应商廉洁自律承诺书。</w:t>
      </w:r>
    </w:p>
    <w:p>
      <w:pPr>
        <w:snapToGrid w:val="0"/>
        <w:spacing w:line="360" w:lineRule="auto"/>
        <w:ind w:firstLine="420"/>
        <w:rPr>
          <w:rFonts w:ascii="仿宋" w:hAnsi="仿宋" w:eastAsia="仿宋" w:cs="仿宋_GB2312"/>
          <w:color w:val="auto"/>
          <w:sz w:val="24"/>
          <w:highlight w:val="none"/>
        </w:rPr>
      </w:pPr>
      <w:r>
        <w:rPr>
          <w:rFonts w:ascii="仿宋" w:hAnsi="仿宋" w:eastAsia="仿宋" w:cs="仿宋_GB2312"/>
          <w:color w:val="auto"/>
          <w:sz w:val="24"/>
          <w:highlight w:val="none"/>
        </w:rPr>
        <w:t>2.3报价文件</w:t>
      </w:r>
    </w:p>
    <w:p>
      <w:pPr>
        <w:snapToGrid w:val="0"/>
        <w:spacing w:line="360" w:lineRule="auto"/>
        <w:ind w:firstLine="480" w:firstLineChars="200"/>
        <w:rPr>
          <w:rFonts w:ascii="仿宋" w:hAnsi="仿宋" w:eastAsia="仿宋" w:cs="宋体"/>
          <w:bCs/>
          <w:snapToGrid w:val="0"/>
          <w:color w:val="auto"/>
          <w:kern w:val="0"/>
          <w:sz w:val="24"/>
          <w:szCs w:val="21"/>
          <w:highlight w:val="none"/>
        </w:rPr>
      </w:pPr>
      <w:r>
        <w:rPr>
          <w:rFonts w:ascii="仿宋" w:hAnsi="仿宋" w:eastAsia="仿宋" w:cs="宋体"/>
          <w:bCs/>
          <w:snapToGrid w:val="0"/>
          <w:color w:val="auto"/>
          <w:kern w:val="0"/>
          <w:sz w:val="24"/>
          <w:szCs w:val="21"/>
          <w:highlight w:val="none"/>
        </w:rPr>
        <w:t>2.3.1开标一览表（报价表）</w:t>
      </w:r>
      <w:r>
        <w:rPr>
          <w:rFonts w:hint="eastAsia" w:ascii="仿宋" w:hAnsi="仿宋" w:eastAsia="仿宋" w:cs="宋体"/>
          <w:bCs/>
          <w:snapToGrid w:val="0"/>
          <w:color w:val="auto"/>
          <w:kern w:val="0"/>
          <w:sz w:val="24"/>
          <w:szCs w:val="21"/>
          <w:highlight w:val="none"/>
        </w:rPr>
        <w:t>。</w:t>
      </w:r>
    </w:p>
    <w:p>
      <w:pPr>
        <w:snapToGrid w:val="0"/>
        <w:spacing w:line="360" w:lineRule="auto"/>
        <w:ind w:firstLine="420"/>
        <w:rPr>
          <w:rFonts w:ascii="仿宋" w:hAnsi="仿宋" w:eastAsia="仿宋" w:cs="仿宋_GB2312"/>
          <w:color w:val="auto"/>
          <w:sz w:val="24"/>
          <w:highlight w:val="none"/>
        </w:rPr>
      </w:pPr>
      <w:r>
        <w:rPr>
          <w:rFonts w:ascii="仿宋" w:hAnsi="仿宋" w:eastAsia="仿宋" w:cs="仿宋_GB2312"/>
          <w:color w:val="auto"/>
          <w:sz w:val="24"/>
          <w:highlight w:val="none"/>
        </w:rPr>
        <w:t>3、我方承诺除商务技术偏离表列出的偏离外，我方响应采购文件的全部要求。</w:t>
      </w:r>
    </w:p>
    <w:p>
      <w:pPr>
        <w:snapToGrid w:val="0"/>
        <w:spacing w:line="360" w:lineRule="auto"/>
        <w:ind w:firstLine="420"/>
        <w:rPr>
          <w:rFonts w:ascii="仿宋" w:hAnsi="仿宋" w:eastAsia="仿宋" w:cs="仿宋_GB2312"/>
          <w:color w:val="auto"/>
          <w:sz w:val="24"/>
          <w:highlight w:val="none"/>
        </w:rPr>
      </w:pPr>
      <w:r>
        <w:rPr>
          <w:rFonts w:ascii="仿宋" w:hAnsi="仿宋" w:eastAsia="仿宋" w:cs="仿宋_GB2312"/>
          <w:color w:val="auto"/>
          <w:sz w:val="24"/>
          <w:highlight w:val="none"/>
        </w:rPr>
        <w:t>4、如我方中标，我方承诺：</w:t>
      </w:r>
    </w:p>
    <w:p>
      <w:pPr>
        <w:snapToGrid w:val="0"/>
        <w:spacing w:line="360" w:lineRule="auto"/>
        <w:ind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 xml:space="preserve">4.1在收到中标通知书后，在中标通知书规定的期限内与你方签订合同； </w:t>
      </w:r>
    </w:p>
    <w:p>
      <w:pPr>
        <w:snapToGrid w:val="0"/>
        <w:spacing w:line="360" w:lineRule="auto"/>
        <w:ind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 xml:space="preserve">4.2在签订合同时不向你方提出附加条件； </w:t>
      </w:r>
    </w:p>
    <w:p>
      <w:pPr>
        <w:snapToGrid w:val="0"/>
        <w:spacing w:line="360" w:lineRule="auto"/>
        <w:ind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 xml:space="preserve">4.3在合同约定的期限内完成合同规定的全部义务。 </w:t>
      </w:r>
    </w:p>
    <w:p>
      <w:pPr>
        <w:snapToGrid w:val="0"/>
        <w:spacing w:line="360" w:lineRule="auto"/>
        <w:ind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5、其他补充说明:</w:t>
      </w:r>
      <w:r>
        <w:rPr>
          <w:rFonts w:ascii="仿宋" w:hAnsi="仿宋" w:eastAsia="仿宋" w:cs="仿宋_GB2312"/>
          <w:color w:val="auto"/>
          <w:sz w:val="24"/>
          <w:highlight w:val="none"/>
          <w:u w:val="single"/>
        </w:rPr>
        <w:t xml:space="preserve">                                        </w:t>
      </w:r>
      <w:r>
        <w:rPr>
          <w:rFonts w:hint="eastAsia" w:ascii="仿宋" w:hAnsi="仿宋" w:eastAsia="仿宋" w:cs="仿宋_GB2312"/>
          <w:color w:val="auto"/>
          <w:sz w:val="24"/>
          <w:highlight w:val="none"/>
        </w:rPr>
        <w:t>。</w:t>
      </w:r>
    </w:p>
    <w:p>
      <w:pPr>
        <w:snapToGrid w:val="0"/>
        <w:spacing w:line="360" w:lineRule="auto"/>
        <w:ind w:firstLine="3600" w:firstLineChars="1500"/>
        <w:rPr>
          <w:rFonts w:ascii="仿宋" w:hAnsi="仿宋" w:eastAsia="仿宋" w:cs="仿宋_GB2312"/>
          <w:color w:val="auto"/>
          <w:sz w:val="24"/>
          <w:highlight w:val="none"/>
        </w:rPr>
      </w:pPr>
    </w:p>
    <w:p>
      <w:pPr>
        <w:snapToGrid w:val="0"/>
        <w:spacing w:line="360" w:lineRule="auto"/>
        <w:ind w:firstLine="3600" w:firstLineChars="1500"/>
        <w:rPr>
          <w:rFonts w:ascii="仿宋" w:hAnsi="仿宋" w:eastAsia="仿宋" w:cs="仿宋_GB2312"/>
          <w:color w:val="auto"/>
          <w:sz w:val="24"/>
          <w:highlight w:val="none"/>
        </w:rPr>
      </w:pPr>
      <w:r>
        <w:rPr>
          <w:rFonts w:ascii="仿宋" w:hAnsi="仿宋" w:eastAsia="仿宋" w:cs="仿宋_GB2312"/>
          <w:color w:val="auto"/>
          <w:sz w:val="24"/>
          <w:highlight w:val="none"/>
        </w:rPr>
        <w:t xml:space="preserve"> 投标人名称(电子签名)：                          </w:t>
      </w:r>
    </w:p>
    <w:p>
      <w:pPr>
        <w:snapToGrid w:val="0"/>
        <w:spacing w:line="360" w:lineRule="auto"/>
        <w:ind w:firstLine="420"/>
        <w:jc w:val="right"/>
        <w:rPr>
          <w:rFonts w:ascii="仿宋" w:hAnsi="仿宋" w:eastAsia="仿宋" w:cs="仿宋_GB2312"/>
          <w:color w:val="auto"/>
          <w:sz w:val="24"/>
          <w:highlight w:val="none"/>
          <w:lang w:val="zh-CN"/>
        </w:rPr>
      </w:pPr>
      <w:r>
        <w:rPr>
          <w:rFonts w:ascii="仿宋" w:hAnsi="仿宋" w:eastAsia="仿宋" w:cs="仿宋_GB2312"/>
          <w:color w:val="auto"/>
          <w:sz w:val="24"/>
          <w:highlight w:val="none"/>
        </w:rPr>
        <w:t xml:space="preserve">     日期：  年   月   日</w:t>
      </w:r>
    </w:p>
    <w:p>
      <w:pPr>
        <w:snapToGrid w:val="0"/>
        <w:spacing w:line="360" w:lineRule="auto"/>
        <w:rPr>
          <w:rFonts w:ascii="仿宋" w:hAnsi="仿宋" w:eastAsia="仿宋" w:cs="仿宋_GB2312"/>
          <w:b/>
          <w:color w:val="auto"/>
          <w:kern w:val="0"/>
          <w:sz w:val="32"/>
          <w:szCs w:val="32"/>
          <w:highlight w:val="none"/>
          <w:lang w:val="zh-CN"/>
        </w:rPr>
      </w:pPr>
      <w:r>
        <w:rPr>
          <w:rFonts w:hint="eastAsia" w:ascii="仿宋" w:hAnsi="仿宋" w:eastAsia="仿宋" w:cs="仿宋_GB2312"/>
          <w:b/>
          <w:color w:val="auto"/>
          <w:kern w:val="0"/>
          <w:sz w:val="32"/>
          <w:szCs w:val="32"/>
          <w:highlight w:val="none"/>
          <w:lang w:val="zh-CN"/>
        </w:rPr>
        <w:br w:type="page"/>
      </w:r>
    </w:p>
    <w:p>
      <w:pPr>
        <w:pStyle w:val="2"/>
        <w:tabs>
          <w:tab w:val="left" w:pos="432"/>
          <w:tab w:val="clear" w:pos="900"/>
        </w:tabs>
        <w:jc w:val="center"/>
        <w:rPr>
          <w:rStyle w:val="1100"/>
          <w:rFonts w:ascii="仿宋" w:hAnsi="仿宋" w:eastAsia="仿宋"/>
          <w:color w:val="auto"/>
          <w:highlight w:val="none"/>
          <w:lang w:val="en-US"/>
        </w:rPr>
      </w:pPr>
      <w:bookmarkStart w:id="754" w:name="_Toc95313015"/>
      <w:bookmarkStart w:id="755" w:name="_Toc23890"/>
      <w:bookmarkStart w:id="756" w:name="_Toc15176"/>
      <w:bookmarkStart w:id="757" w:name="_Toc868246037"/>
      <w:bookmarkStart w:id="758" w:name="_Toc16025"/>
      <w:bookmarkStart w:id="759" w:name="_Toc23100"/>
      <w:r>
        <w:rPr>
          <w:rStyle w:val="1100"/>
          <w:rFonts w:hint="eastAsia" w:ascii="仿宋" w:hAnsi="仿宋" w:eastAsia="仿宋"/>
          <w:color w:val="auto"/>
          <w:highlight w:val="none"/>
          <w:lang w:val="en-US"/>
        </w:rPr>
        <w:t>二、授权委托书</w:t>
      </w:r>
      <w:bookmarkEnd w:id="754"/>
      <w:bookmarkEnd w:id="755"/>
      <w:bookmarkEnd w:id="756"/>
      <w:bookmarkEnd w:id="757"/>
      <w:bookmarkEnd w:id="758"/>
      <w:bookmarkEnd w:id="759"/>
    </w:p>
    <w:p>
      <w:pPr>
        <w:snapToGrid w:val="0"/>
        <w:spacing w:line="360" w:lineRule="auto"/>
        <w:rPr>
          <w:rFonts w:ascii="仿宋" w:hAnsi="仿宋" w:eastAsia="仿宋" w:cs="仿宋_GB2312"/>
          <w:color w:val="auto"/>
          <w:sz w:val="24"/>
          <w:highlight w:val="none"/>
        </w:rPr>
      </w:pPr>
      <w:r>
        <w:rPr>
          <w:rFonts w:ascii="仿宋" w:hAnsi="仿宋" w:eastAsia="仿宋" w:cs="仿宋_GB2312"/>
          <w:color w:val="auto"/>
          <w:sz w:val="24"/>
          <w:highlight w:val="none"/>
        </w:rPr>
        <w:t xml:space="preserve">                                </w:t>
      </w:r>
    </w:p>
    <w:p>
      <w:pPr>
        <w:snapToGrid w:val="0"/>
        <w:spacing w:line="360" w:lineRule="auto"/>
        <w:jc w:val="center"/>
        <w:rPr>
          <w:rFonts w:ascii="仿宋" w:hAnsi="仿宋" w:eastAsia="仿宋"/>
          <w:color w:val="auto"/>
          <w:sz w:val="28"/>
          <w:szCs w:val="28"/>
          <w:highlight w:val="none"/>
        </w:rPr>
      </w:pPr>
      <w:r>
        <w:rPr>
          <w:rFonts w:hint="eastAsia" w:ascii="仿宋" w:hAnsi="仿宋" w:eastAsia="仿宋" w:cs="仿宋_GB2312"/>
          <w:b/>
          <w:color w:val="auto"/>
          <w:kern w:val="0"/>
          <w:sz w:val="28"/>
          <w:szCs w:val="28"/>
          <w:highlight w:val="none"/>
          <w:lang w:val="zh-CN"/>
        </w:rPr>
        <w:t>授权委托书（适用于非联合体投标）</w:t>
      </w:r>
    </w:p>
    <w:p>
      <w:pPr>
        <w:snapToGrid w:val="0"/>
        <w:spacing w:line="360" w:lineRule="auto"/>
        <w:rPr>
          <w:rFonts w:ascii="仿宋" w:hAnsi="仿宋" w:eastAsia="仿宋" w:cs="仿宋_GB2312"/>
          <w:color w:val="auto"/>
          <w:kern w:val="0"/>
          <w:sz w:val="24"/>
          <w:highlight w:val="none"/>
        </w:rPr>
      </w:pPr>
      <w:r>
        <w:rPr>
          <w:rFonts w:hint="eastAsia" w:ascii="仿宋" w:hAnsi="仿宋" w:eastAsia="仿宋" w:cs="仿宋_GB2312"/>
          <w:color w:val="auto"/>
          <w:sz w:val="24"/>
          <w:highlight w:val="none"/>
        </w:rPr>
        <w:t>杭州市临平区人民政府临平街道办事处 、杭州中瑞招标代理有限公司</w:t>
      </w:r>
      <w:r>
        <w:rPr>
          <w:rFonts w:hint="eastAsia" w:ascii="仿宋" w:hAnsi="仿宋" w:eastAsia="仿宋" w:cs="仿宋_GB2312"/>
          <w:color w:val="auto"/>
          <w:kern w:val="0"/>
          <w:sz w:val="24"/>
          <w:highlight w:val="none"/>
          <w:lang w:val="zh-CN"/>
        </w:rPr>
        <w:t>：</w:t>
      </w:r>
    </w:p>
    <w:p>
      <w:pPr>
        <w:snapToGrid w:val="0"/>
        <w:spacing w:line="360" w:lineRule="auto"/>
        <w:ind w:firstLine="576"/>
        <w:rPr>
          <w:rFonts w:ascii="仿宋" w:hAnsi="仿宋" w:eastAsia="仿宋" w:cs="仿宋_GB2312"/>
          <w:color w:val="auto"/>
          <w:kern w:val="0"/>
          <w:sz w:val="24"/>
          <w:highlight w:val="none"/>
        </w:rPr>
      </w:pPr>
      <w:r>
        <w:rPr>
          <w:rFonts w:hint="eastAsia" w:ascii="仿宋" w:hAnsi="仿宋" w:eastAsia="仿宋" w:cs="仿宋_GB2312"/>
          <w:color w:val="auto"/>
          <w:kern w:val="0"/>
          <w:sz w:val="24"/>
          <w:highlight w:val="none"/>
        </w:rPr>
        <w:t>现</w:t>
      </w:r>
      <w:r>
        <w:rPr>
          <w:rFonts w:hint="eastAsia" w:ascii="仿宋" w:hAnsi="仿宋" w:eastAsia="仿宋" w:cs="仿宋_GB2312"/>
          <w:color w:val="auto"/>
          <w:kern w:val="0"/>
          <w:sz w:val="24"/>
          <w:highlight w:val="none"/>
          <w:lang w:val="zh-CN"/>
        </w:rPr>
        <w:t>委托</w:t>
      </w:r>
      <w:r>
        <w:rPr>
          <w:rFonts w:ascii="仿宋" w:hAnsi="仿宋" w:eastAsia="仿宋" w:cs="仿宋_GB2312"/>
          <w:color w:val="auto"/>
          <w:kern w:val="0"/>
          <w:sz w:val="24"/>
          <w:highlight w:val="none"/>
          <w:u w:val="single"/>
          <w:lang w:val="zh-CN"/>
        </w:rPr>
        <w:t xml:space="preserve">          </w:t>
      </w:r>
      <w:r>
        <w:rPr>
          <w:rFonts w:hint="eastAsia" w:ascii="仿宋" w:hAnsi="仿宋" w:eastAsia="仿宋" w:cs="仿宋_GB2312"/>
          <w:color w:val="auto"/>
          <w:kern w:val="0"/>
          <w:sz w:val="24"/>
          <w:highlight w:val="none"/>
          <w:lang w:val="zh-CN"/>
        </w:rPr>
        <w:t>（姓名）为我方代理人（身份证号码：</w:t>
      </w:r>
      <w:r>
        <w:rPr>
          <w:rFonts w:ascii="仿宋" w:hAnsi="仿宋" w:eastAsia="仿宋" w:cs="仿宋_GB2312"/>
          <w:color w:val="auto"/>
          <w:kern w:val="0"/>
          <w:sz w:val="24"/>
          <w:highlight w:val="none"/>
          <w:u w:val="single"/>
          <w:lang w:val="zh-CN"/>
        </w:rPr>
        <w:t xml:space="preserve">          </w:t>
      </w:r>
      <w:r>
        <w:rPr>
          <w:rFonts w:hint="eastAsia" w:ascii="仿宋" w:hAnsi="仿宋" w:eastAsia="仿宋" w:cs="仿宋_GB2312"/>
          <w:color w:val="auto"/>
          <w:kern w:val="0"/>
          <w:sz w:val="24"/>
          <w:highlight w:val="none"/>
          <w:lang w:val="zh-CN"/>
        </w:rPr>
        <w:t>，手机：</w:t>
      </w:r>
      <w:r>
        <w:rPr>
          <w:rFonts w:ascii="仿宋" w:hAnsi="仿宋" w:eastAsia="仿宋" w:cs="仿宋_GB2312"/>
          <w:color w:val="auto"/>
          <w:kern w:val="0"/>
          <w:sz w:val="24"/>
          <w:highlight w:val="none"/>
          <w:u w:val="single"/>
          <w:lang w:val="zh-CN"/>
        </w:rPr>
        <w:t xml:space="preserve">          </w:t>
      </w:r>
      <w:r>
        <w:rPr>
          <w:rFonts w:hint="eastAsia" w:ascii="仿宋" w:hAnsi="仿宋" w:eastAsia="仿宋" w:cs="仿宋_GB2312"/>
          <w:color w:val="auto"/>
          <w:kern w:val="0"/>
          <w:sz w:val="24"/>
          <w:highlight w:val="none"/>
          <w:lang w:val="zh-CN"/>
        </w:rPr>
        <w:t>），以我方名义处理</w:t>
      </w:r>
      <w:r>
        <w:rPr>
          <w:rFonts w:hint="eastAsia" w:ascii="仿宋" w:hAnsi="仿宋" w:eastAsia="仿宋" w:cs="仿宋_GB2312"/>
          <w:color w:val="auto"/>
          <w:sz w:val="24"/>
          <w:highlight w:val="none"/>
        </w:rPr>
        <w:t>”俞樾纪念馆”陈列布展服务</w:t>
      </w:r>
      <w:r>
        <w:rPr>
          <w:rFonts w:hint="eastAsia" w:ascii="仿宋" w:hAnsi="仿宋" w:eastAsia="仿宋"/>
          <w:color w:val="auto"/>
          <w:sz w:val="24"/>
          <w:highlight w:val="none"/>
        </w:rPr>
        <w:t>项目</w:t>
      </w:r>
      <w:r>
        <w:rPr>
          <w:rFonts w:hint="eastAsia" w:ascii="仿宋" w:hAnsi="仿宋" w:eastAsia="仿宋" w:cs="仿宋_GB2312"/>
          <w:color w:val="auto"/>
          <w:sz w:val="24"/>
          <w:highlight w:val="none"/>
        </w:rPr>
        <w:t>【招标编号：</w:t>
      </w:r>
      <w:r>
        <w:rPr>
          <w:rFonts w:hint="eastAsia" w:ascii="仿宋" w:hAnsi="仿宋" w:eastAsia="仿宋"/>
          <w:color w:val="auto"/>
          <w:sz w:val="24"/>
          <w:highlight w:val="none"/>
        </w:rPr>
        <w:t>HZZR-F221201N</w:t>
      </w:r>
      <w:r>
        <w:rPr>
          <w:rFonts w:hint="eastAsia" w:ascii="仿宋" w:hAnsi="仿宋" w:eastAsia="仿宋" w:cs="仿宋_GB2312"/>
          <w:color w:val="auto"/>
          <w:sz w:val="24"/>
          <w:highlight w:val="none"/>
        </w:rPr>
        <w:t>】</w:t>
      </w:r>
      <w:r>
        <w:rPr>
          <w:rFonts w:hint="eastAsia" w:ascii="仿宋" w:hAnsi="仿宋" w:eastAsia="仿宋" w:cs="仿宋_GB2312"/>
          <w:color w:val="auto"/>
          <w:kern w:val="0"/>
          <w:sz w:val="24"/>
          <w:highlight w:val="none"/>
          <w:lang w:val="zh-CN"/>
        </w:rPr>
        <w:t>政府采购投标的一切事项，其法律后果由我方承担。</w:t>
      </w:r>
    </w:p>
    <w:p>
      <w:pPr>
        <w:snapToGrid w:val="0"/>
        <w:spacing w:line="360" w:lineRule="auto"/>
        <w:rPr>
          <w:rFonts w:ascii="仿宋" w:hAnsi="仿宋" w:eastAsia="仿宋" w:cs="仿宋_GB2312"/>
          <w:color w:val="auto"/>
          <w:kern w:val="0"/>
          <w:sz w:val="24"/>
          <w:highlight w:val="none"/>
        </w:rPr>
      </w:pPr>
      <w:r>
        <w:rPr>
          <w:rFonts w:ascii="仿宋" w:hAnsi="仿宋" w:eastAsia="仿宋" w:cs="仿宋_GB2312"/>
          <w:color w:val="auto"/>
          <w:kern w:val="0"/>
          <w:sz w:val="24"/>
          <w:highlight w:val="none"/>
        </w:rPr>
        <w:t xml:space="preserve">    </w:t>
      </w:r>
      <w:r>
        <w:rPr>
          <w:rFonts w:hint="eastAsia" w:ascii="仿宋" w:hAnsi="仿宋" w:eastAsia="仿宋" w:cs="仿宋_GB2312"/>
          <w:color w:val="auto"/>
          <w:kern w:val="0"/>
          <w:sz w:val="24"/>
          <w:highlight w:val="none"/>
          <w:lang w:val="zh-CN"/>
        </w:rPr>
        <w:t>委托期限</w:t>
      </w:r>
      <w:r>
        <w:rPr>
          <w:rFonts w:hint="eastAsia" w:ascii="仿宋" w:hAnsi="仿宋" w:eastAsia="仿宋" w:cs="仿宋_GB2312"/>
          <w:color w:val="auto"/>
          <w:kern w:val="0"/>
          <w:sz w:val="24"/>
          <w:highlight w:val="none"/>
        </w:rPr>
        <w:t>：</w:t>
      </w:r>
      <w:r>
        <w:rPr>
          <w:rFonts w:hint="eastAsia" w:ascii="仿宋" w:hAnsi="仿宋" w:eastAsia="仿宋" w:cs="仿宋_GB2312"/>
          <w:color w:val="auto"/>
          <w:kern w:val="0"/>
          <w:sz w:val="24"/>
          <w:highlight w:val="none"/>
          <w:lang w:val="zh-CN"/>
        </w:rPr>
        <w:t>自</w:t>
      </w:r>
      <w:r>
        <w:rPr>
          <w:rFonts w:ascii="仿宋" w:hAnsi="仿宋" w:eastAsia="仿宋" w:cs="仿宋_GB2312"/>
          <w:color w:val="auto"/>
          <w:kern w:val="0"/>
          <w:sz w:val="24"/>
          <w:highlight w:val="none"/>
        </w:rPr>
        <w:t xml:space="preserve">   </w:t>
      </w:r>
      <w:r>
        <w:rPr>
          <w:rFonts w:hint="eastAsia" w:ascii="仿宋" w:hAnsi="仿宋" w:eastAsia="仿宋" w:cs="仿宋_GB2312"/>
          <w:color w:val="auto"/>
          <w:kern w:val="0"/>
          <w:sz w:val="24"/>
          <w:highlight w:val="none"/>
          <w:lang w:val="zh-CN"/>
        </w:rPr>
        <w:t>年</w:t>
      </w:r>
      <w:r>
        <w:rPr>
          <w:rFonts w:ascii="仿宋" w:hAnsi="仿宋" w:eastAsia="仿宋" w:cs="仿宋_GB2312"/>
          <w:color w:val="auto"/>
          <w:kern w:val="0"/>
          <w:sz w:val="24"/>
          <w:highlight w:val="none"/>
        </w:rPr>
        <w:t xml:space="preserve"> </w:t>
      </w:r>
      <w:r>
        <w:rPr>
          <w:rFonts w:hint="eastAsia" w:ascii="仿宋" w:hAnsi="仿宋" w:eastAsia="仿宋" w:cs="仿宋_GB2312"/>
          <w:color w:val="auto"/>
          <w:kern w:val="0"/>
          <w:sz w:val="24"/>
          <w:highlight w:val="none"/>
          <w:lang w:val="zh-CN"/>
        </w:rPr>
        <w:t>月</w:t>
      </w:r>
      <w:r>
        <w:rPr>
          <w:rFonts w:ascii="仿宋" w:hAnsi="仿宋" w:eastAsia="仿宋" w:cs="仿宋_GB2312"/>
          <w:color w:val="auto"/>
          <w:kern w:val="0"/>
          <w:sz w:val="24"/>
          <w:highlight w:val="none"/>
        </w:rPr>
        <w:t xml:space="preserve">  </w:t>
      </w:r>
      <w:r>
        <w:rPr>
          <w:rFonts w:hint="eastAsia" w:ascii="仿宋" w:hAnsi="仿宋" w:eastAsia="仿宋" w:cs="仿宋_GB2312"/>
          <w:color w:val="auto"/>
          <w:kern w:val="0"/>
          <w:sz w:val="24"/>
          <w:highlight w:val="none"/>
          <w:lang w:val="zh-CN"/>
        </w:rPr>
        <w:t>日起至</w:t>
      </w:r>
      <w:r>
        <w:rPr>
          <w:rFonts w:ascii="仿宋" w:hAnsi="仿宋" w:eastAsia="仿宋" w:cs="仿宋_GB2312"/>
          <w:color w:val="auto"/>
          <w:kern w:val="0"/>
          <w:sz w:val="24"/>
          <w:highlight w:val="none"/>
        </w:rPr>
        <w:t xml:space="preserve">  </w:t>
      </w:r>
      <w:r>
        <w:rPr>
          <w:rFonts w:hint="eastAsia" w:ascii="仿宋" w:hAnsi="仿宋" w:eastAsia="仿宋" w:cs="仿宋_GB2312"/>
          <w:color w:val="auto"/>
          <w:kern w:val="0"/>
          <w:sz w:val="24"/>
          <w:highlight w:val="none"/>
          <w:lang w:val="zh-CN"/>
        </w:rPr>
        <w:t>年</w:t>
      </w:r>
      <w:r>
        <w:rPr>
          <w:rFonts w:ascii="仿宋" w:hAnsi="仿宋" w:eastAsia="仿宋" w:cs="仿宋_GB2312"/>
          <w:color w:val="auto"/>
          <w:kern w:val="0"/>
          <w:sz w:val="24"/>
          <w:highlight w:val="none"/>
        </w:rPr>
        <w:t xml:space="preserve">  </w:t>
      </w:r>
      <w:r>
        <w:rPr>
          <w:rFonts w:hint="eastAsia" w:ascii="仿宋" w:hAnsi="仿宋" w:eastAsia="仿宋" w:cs="仿宋_GB2312"/>
          <w:color w:val="auto"/>
          <w:kern w:val="0"/>
          <w:sz w:val="24"/>
          <w:highlight w:val="none"/>
          <w:lang w:val="zh-CN"/>
        </w:rPr>
        <w:t>月</w:t>
      </w:r>
      <w:r>
        <w:rPr>
          <w:rFonts w:ascii="仿宋" w:hAnsi="仿宋" w:eastAsia="仿宋" w:cs="仿宋_GB2312"/>
          <w:color w:val="auto"/>
          <w:kern w:val="0"/>
          <w:sz w:val="24"/>
          <w:highlight w:val="none"/>
        </w:rPr>
        <w:t xml:space="preserve">  </w:t>
      </w:r>
      <w:r>
        <w:rPr>
          <w:rFonts w:hint="eastAsia" w:ascii="仿宋" w:hAnsi="仿宋" w:eastAsia="仿宋" w:cs="仿宋_GB2312"/>
          <w:color w:val="auto"/>
          <w:kern w:val="0"/>
          <w:sz w:val="24"/>
          <w:highlight w:val="none"/>
          <w:lang w:val="zh-CN"/>
        </w:rPr>
        <w:t>日止。</w:t>
      </w:r>
    </w:p>
    <w:p>
      <w:pPr>
        <w:snapToGrid w:val="0"/>
        <w:spacing w:line="360" w:lineRule="auto"/>
        <w:rPr>
          <w:rFonts w:ascii="仿宋" w:hAnsi="仿宋" w:eastAsia="仿宋" w:cs="仿宋_GB2312"/>
          <w:color w:val="auto"/>
          <w:kern w:val="0"/>
          <w:sz w:val="24"/>
          <w:highlight w:val="none"/>
        </w:rPr>
      </w:pPr>
      <w:r>
        <w:rPr>
          <w:rFonts w:ascii="仿宋" w:hAnsi="仿宋" w:eastAsia="仿宋" w:cs="仿宋_GB2312"/>
          <w:color w:val="auto"/>
          <w:kern w:val="0"/>
          <w:sz w:val="24"/>
          <w:highlight w:val="none"/>
        </w:rPr>
        <w:t xml:space="preserve">    </w:t>
      </w:r>
      <w:r>
        <w:rPr>
          <w:rFonts w:hint="eastAsia" w:ascii="仿宋" w:hAnsi="仿宋" w:eastAsia="仿宋" w:cs="仿宋_GB2312"/>
          <w:color w:val="auto"/>
          <w:kern w:val="0"/>
          <w:sz w:val="24"/>
          <w:highlight w:val="none"/>
          <w:lang w:val="zh-CN"/>
        </w:rPr>
        <w:t>特此告知。</w:t>
      </w:r>
    </w:p>
    <w:p>
      <w:pPr>
        <w:snapToGrid w:val="0"/>
        <w:spacing w:line="360" w:lineRule="auto"/>
        <w:rPr>
          <w:rFonts w:ascii="仿宋" w:hAnsi="仿宋" w:eastAsia="仿宋" w:cs="仿宋_GB2312"/>
          <w:color w:val="auto"/>
          <w:kern w:val="0"/>
          <w:sz w:val="24"/>
          <w:highlight w:val="none"/>
        </w:rPr>
      </w:pPr>
      <w:r>
        <w:rPr>
          <w:rFonts w:ascii="仿宋" w:hAnsi="仿宋" w:eastAsia="仿宋" w:cs="仿宋_GB2312"/>
          <w:color w:val="auto"/>
          <w:kern w:val="0"/>
          <w:sz w:val="24"/>
          <w:highlight w:val="none"/>
          <w:lang w:val="zh-CN"/>
        </w:rPr>
        <w:t xml:space="preserve">                                              投标人名称(电子签名)：</w:t>
      </w:r>
    </w:p>
    <w:p>
      <w:pPr>
        <w:snapToGrid w:val="0"/>
        <w:spacing w:line="360" w:lineRule="auto"/>
        <w:rPr>
          <w:rFonts w:ascii="仿宋" w:hAnsi="仿宋" w:eastAsia="仿宋" w:cs="仿宋_GB2312"/>
          <w:color w:val="auto"/>
          <w:kern w:val="0"/>
          <w:sz w:val="24"/>
          <w:highlight w:val="none"/>
          <w:lang w:val="zh-CN"/>
        </w:rPr>
      </w:pPr>
      <w:r>
        <w:rPr>
          <w:rFonts w:ascii="仿宋" w:hAnsi="仿宋" w:eastAsia="仿宋" w:cs="仿宋_GB2312"/>
          <w:color w:val="auto"/>
          <w:kern w:val="0"/>
          <w:sz w:val="24"/>
          <w:highlight w:val="none"/>
          <w:lang w:val="zh-CN"/>
        </w:rPr>
        <w:t xml:space="preserve">                                              签发日期：  年  月   日</w:t>
      </w:r>
    </w:p>
    <w:p>
      <w:pPr>
        <w:snapToGrid w:val="0"/>
        <w:spacing w:line="360" w:lineRule="auto"/>
        <w:rPr>
          <w:rFonts w:ascii="仿宋" w:hAnsi="仿宋" w:eastAsia="仿宋" w:cs="仿宋_GB2312"/>
          <w:color w:val="auto"/>
          <w:sz w:val="24"/>
          <w:highlight w:val="none"/>
        </w:rPr>
      </w:pPr>
    </w:p>
    <w:p>
      <w:pPr>
        <w:snapToGrid w:val="0"/>
        <w:spacing w:line="360" w:lineRule="auto"/>
        <w:jc w:val="center"/>
        <w:rPr>
          <w:rFonts w:ascii="仿宋" w:hAnsi="仿宋" w:eastAsia="仿宋" w:cs="仿宋_GB2312"/>
          <w:b/>
          <w:color w:val="auto"/>
          <w:kern w:val="0"/>
          <w:sz w:val="28"/>
          <w:szCs w:val="28"/>
          <w:highlight w:val="none"/>
        </w:rPr>
      </w:pPr>
      <w:r>
        <w:rPr>
          <w:rFonts w:ascii="仿宋" w:hAnsi="仿宋" w:eastAsia="仿宋" w:cs="仿宋_GB2312"/>
          <w:b/>
          <w:color w:val="auto"/>
          <w:kern w:val="0"/>
          <w:sz w:val="32"/>
          <w:szCs w:val="32"/>
          <w:highlight w:val="none"/>
          <w:lang w:val="zh-CN"/>
        </w:rPr>
        <w:t xml:space="preserve">      </w:t>
      </w:r>
      <w:r>
        <w:rPr>
          <w:rFonts w:ascii="仿宋" w:hAnsi="仿宋" w:eastAsia="仿宋" w:cs="仿宋_GB2312"/>
          <w:b/>
          <w:color w:val="auto"/>
          <w:kern w:val="0"/>
          <w:sz w:val="32"/>
          <w:szCs w:val="32"/>
          <w:highlight w:val="none"/>
        </w:rPr>
        <w:t xml:space="preserve"> </w:t>
      </w:r>
      <w:r>
        <w:rPr>
          <w:rFonts w:hint="eastAsia" w:ascii="仿宋" w:hAnsi="仿宋" w:eastAsia="仿宋" w:cs="仿宋_GB2312"/>
          <w:b/>
          <w:color w:val="auto"/>
          <w:kern w:val="0"/>
          <w:sz w:val="28"/>
          <w:szCs w:val="28"/>
          <w:highlight w:val="none"/>
          <w:lang w:val="zh-CN"/>
        </w:rPr>
        <w:t>授权委托书（适用于联合体投标）</w:t>
      </w:r>
    </w:p>
    <w:p>
      <w:pPr>
        <w:snapToGrid w:val="0"/>
        <w:spacing w:line="360" w:lineRule="auto"/>
        <w:rPr>
          <w:rFonts w:ascii="仿宋" w:hAnsi="仿宋" w:eastAsia="仿宋" w:cs="仿宋_GB2312"/>
          <w:color w:val="auto"/>
          <w:kern w:val="0"/>
          <w:sz w:val="24"/>
          <w:highlight w:val="none"/>
        </w:rPr>
      </w:pPr>
      <w:r>
        <w:rPr>
          <w:rFonts w:hint="eastAsia" w:ascii="仿宋" w:hAnsi="仿宋" w:eastAsia="仿宋" w:cs="仿宋_GB2312"/>
          <w:color w:val="auto"/>
          <w:sz w:val="24"/>
          <w:highlight w:val="none"/>
        </w:rPr>
        <w:t>杭州市临平区人民政府临平街道办事处 、杭州中瑞招标代理有限公司</w:t>
      </w:r>
      <w:r>
        <w:rPr>
          <w:rFonts w:hint="eastAsia" w:ascii="仿宋" w:hAnsi="仿宋" w:eastAsia="仿宋" w:cs="仿宋_GB2312"/>
          <w:color w:val="auto"/>
          <w:kern w:val="0"/>
          <w:sz w:val="24"/>
          <w:highlight w:val="none"/>
          <w:lang w:val="zh-CN"/>
        </w:rPr>
        <w:t>：</w:t>
      </w:r>
    </w:p>
    <w:p>
      <w:pPr>
        <w:snapToGrid w:val="0"/>
        <w:spacing w:line="360" w:lineRule="auto"/>
        <w:ind w:firstLine="576"/>
        <w:rPr>
          <w:rFonts w:ascii="仿宋" w:hAnsi="仿宋" w:eastAsia="仿宋" w:cs="仿宋_GB2312"/>
          <w:color w:val="auto"/>
          <w:kern w:val="0"/>
          <w:sz w:val="24"/>
          <w:highlight w:val="none"/>
        </w:rPr>
      </w:pPr>
      <w:r>
        <w:rPr>
          <w:rFonts w:hint="eastAsia" w:ascii="仿宋" w:hAnsi="仿宋" w:eastAsia="仿宋" w:cs="仿宋_GB2312"/>
          <w:color w:val="auto"/>
          <w:kern w:val="0"/>
          <w:sz w:val="24"/>
          <w:highlight w:val="none"/>
        </w:rPr>
        <w:t>现</w:t>
      </w:r>
      <w:r>
        <w:rPr>
          <w:rFonts w:hint="eastAsia" w:ascii="仿宋" w:hAnsi="仿宋" w:eastAsia="仿宋" w:cs="仿宋_GB2312"/>
          <w:color w:val="auto"/>
          <w:kern w:val="0"/>
          <w:sz w:val="24"/>
          <w:highlight w:val="none"/>
          <w:lang w:val="zh-CN"/>
        </w:rPr>
        <w:t>委托</w:t>
      </w:r>
      <w:r>
        <w:rPr>
          <w:rFonts w:ascii="仿宋" w:hAnsi="仿宋" w:eastAsia="仿宋" w:cs="仿宋_GB2312"/>
          <w:color w:val="auto"/>
          <w:kern w:val="0"/>
          <w:sz w:val="24"/>
          <w:highlight w:val="none"/>
          <w:u w:val="single"/>
          <w:lang w:val="zh-CN"/>
        </w:rPr>
        <w:t xml:space="preserve">          </w:t>
      </w:r>
      <w:r>
        <w:rPr>
          <w:rFonts w:hint="eastAsia" w:ascii="仿宋" w:hAnsi="仿宋" w:eastAsia="仿宋" w:cs="仿宋_GB2312"/>
          <w:color w:val="auto"/>
          <w:kern w:val="0"/>
          <w:sz w:val="24"/>
          <w:highlight w:val="none"/>
          <w:lang w:val="zh-CN"/>
        </w:rPr>
        <w:t>（姓名）为我方代理人（身份证号码：</w:t>
      </w:r>
      <w:r>
        <w:rPr>
          <w:rFonts w:ascii="仿宋" w:hAnsi="仿宋" w:eastAsia="仿宋" w:cs="仿宋_GB2312"/>
          <w:color w:val="auto"/>
          <w:kern w:val="0"/>
          <w:sz w:val="24"/>
          <w:highlight w:val="none"/>
          <w:u w:val="single"/>
          <w:lang w:val="zh-CN"/>
        </w:rPr>
        <w:t xml:space="preserve">          </w:t>
      </w:r>
      <w:r>
        <w:rPr>
          <w:rFonts w:hint="eastAsia" w:ascii="仿宋" w:hAnsi="仿宋" w:eastAsia="仿宋" w:cs="仿宋_GB2312"/>
          <w:color w:val="auto"/>
          <w:kern w:val="0"/>
          <w:sz w:val="24"/>
          <w:highlight w:val="none"/>
          <w:lang w:val="zh-CN"/>
        </w:rPr>
        <w:t>，手机：</w:t>
      </w:r>
      <w:r>
        <w:rPr>
          <w:rFonts w:ascii="仿宋" w:hAnsi="仿宋" w:eastAsia="仿宋" w:cs="仿宋_GB2312"/>
          <w:color w:val="auto"/>
          <w:kern w:val="0"/>
          <w:sz w:val="24"/>
          <w:highlight w:val="none"/>
          <w:u w:val="single"/>
          <w:lang w:val="zh-CN"/>
        </w:rPr>
        <w:t xml:space="preserve">          </w:t>
      </w:r>
      <w:r>
        <w:rPr>
          <w:rFonts w:hint="eastAsia" w:ascii="仿宋" w:hAnsi="仿宋" w:eastAsia="仿宋" w:cs="仿宋_GB2312"/>
          <w:color w:val="auto"/>
          <w:kern w:val="0"/>
          <w:sz w:val="24"/>
          <w:highlight w:val="none"/>
          <w:lang w:val="zh-CN"/>
        </w:rPr>
        <w:t>），以我方名义处理</w:t>
      </w:r>
      <w:r>
        <w:rPr>
          <w:rFonts w:hint="eastAsia" w:ascii="仿宋" w:hAnsi="仿宋" w:eastAsia="仿宋" w:cs="仿宋_GB2312"/>
          <w:color w:val="auto"/>
          <w:sz w:val="24"/>
          <w:highlight w:val="none"/>
        </w:rPr>
        <w:t>”俞樾纪念馆”陈列布展服务</w:t>
      </w:r>
      <w:r>
        <w:rPr>
          <w:rFonts w:hint="eastAsia" w:ascii="仿宋" w:hAnsi="仿宋" w:eastAsia="仿宋"/>
          <w:color w:val="auto"/>
          <w:sz w:val="24"/>
          <w:highlight w:val="none"/>
        </w:rPr>
        <w:t>项目</w:t>
      </w:r>
      <w:r>
        <w:rPr>
          <w:rFonts w:hint="eastAsia" w:ascii="仿宋" w:hAnsi="仿宋" w:eastAsia="仿宋" w:cs="仿宋_GB2312"/>
          <w:color w:val="auto"/>
          <w:sz w:val="24"/>
          <w:highlight w:val="none"/>
        </w:rPr>
        <w:t>【招标编号：</w:t>
      </w:r>
      <w:r>
        <w:rPr>
          <w:rFonts w:hint="eastAsia" w:ascii="仿宋" w:hAnsi="仿宋" w:eastAsia="仿宋"/>
          <w:color w:val="auto"/>
          <w:sz w:val="24"/>
          <w:highlight w:val="none"/>
        </w:rPr>
        <w:t>HZZR-F221201N</w:t>
      </w:r>
      <w:r>
        <w:rPr>
          <w:rFonts w:hint="eastAsia" w:ascii="仿宋" w:hAnsi="仿宋" w:eastAsia="仿宋" w:cs="仿宋_GB2312"/>
          <w:color w:val="auto"/>
          <w:sz w:val="24"/>
          <w:highlight w:val="none"/>
        </w:rPr>
        <w:t>】</w:t>
      </w:r>
      <w:r>
        <w:rPr>
          <w:rFonts w:hint="eastAsia" w:ascii="仿宋" w:hAnsi="仿宋" w:eastAsia="仿宋" w:cs="仿宋_GB2312"/>
          <w:color w:val="auto"/>
          <w:kern w:val="0"/>
          <w:sz w:val="24"/>
          <w:highlight w:val="none"/>
          <w:lang w:val="zh-CN"/>
        </w:rPr>
        <w:t>政府采购投标的一切事项，其法律后果由我方承担。</w:t>
      </w:r>
    </w:p>
    <w:p>
      <w:pPr>
        <w:snapToGrid w:val="0"/>
        <w:spacing w:line="360" w:lineRule="auto"/>
        <w:rPr>
          <w:rFonts w:ascii="仿宋" w:hAnsi="仿宋" w:eastAsia="仿宋" w:cs="仿宋_GB2312"/>
          <w:color w:val="auto"/>
          <w:kern w:val="0"/>
          <w:sz w:val="24"/>
          <w:highlight w:val="none"/>
        </w:rPr>
      </w:pPr>
      <w:r>
        <w:rPr>
          <w:rFonts w:ascii="仿宋" w:hAnsi="仿宋" w:eastAsia="仿宋" w:cs="仿宋_GB2312"/>
          <w:color w:val="auto"/>
          <w:kern w:val="0"/>
          <w:sz w:val="24"/>
          <w:highlight w:val="none"/>
        </w:rPr>
        <w:t xml:space="preserve">    </w:t>
      </w:r>
      <w:r>
        <w:rPr>
          <w:rFonts w:hint="eastAsia" w:ascii="仿宋" w:hAnsi="仿宋" w:eastAsia="仿宋" w:cs="仿宋_GB2312"/>
          <w:color w:val="auto"/>
          <w:kern w:val="0"/>
          <w:sz w:val="24"/>
          <w:highlight w:val="none"/>
          <w:lang w:val="zh-CN"/>
        </w:rPr>
        <w:t>委托期限</w:t>
      </w:r>
      <w:r>
        <w:rPr>
          <w:rFonts w:hint="eastAsia" w:ascii="仿宋" w:hAnsi="仿宋" w:eastAsia="仿宋" w:cs="仿宋_GB2312"/>
          <w:color w:val="auto"/>
          <w:kern w:val="0"/>
          <w:sz w:val="24"/>
          <w:highlight w:val="none"/>
        </w:rPr>
        <w:t>：</w:t>
      </w:r>
      <w:r>
        <w:rPr>
          <w:rFonts w:hint="eastAsia" w:ascii="仿宋" w:hAnsi="仿宋" w:eastAsia="仿宋" w:cs="仿宋_GB2312"/>
          <w:color w:val="auto"/>
          <w:kern w:val="0"/>
          <w:sz w:val="24"/>
          <w:highlight w:val="none"/>
          <w:lang w:val="zh-CN"/>
        </w:rPr>
        <w:t>自</w:t>
      </w:r>
      <w:r>
        <w:rPr>
          <w:rFonts w:ascii="仿宋" w:hAnsi="仿宋" w:eastAsia="仿宋" w:cs="仿宋_GB2312"/>
          <w:color w:val="auto"/>
          <w:kern w:val="0"/>
          <w:sz w:val="24"/>
          <w:highlight w:val="none"/>
        </w:rPr>
        <w:t xml:space="preserve">   </w:t>
      </w:r>
      <w:r>
        <w:rPr>
          <w:rFonts w:hint="eastAsia" w:ascii="仿宋" w:hAnsi="仿宋" w:eastAsia="仿宋" w:cs="仿宋_GB2312"/>
          <w:color w:val="auto"/>
          <w:kern w:val="0"/>
          <w:sz w:val="24"/>
          <w:highlight w:val="none"/>
          <w:lang w:val="zh-CN"/>
        </w:rPr>
        <w:t>年</w:t>
      </w:r>
      <w:r>
        <w:rPr>
          <w:rFonts w:ascii="仿宋" w:hAnsi="仿宋" w:eastAsia="仿宋" w:cs="仿宋_GB2312"/>
          <w:color w:val="auto"/>
          <w:kern w:val="0"/>
          <w:sz w:val="24"/>
          <w:highlight w:val="none"/>
        </w:rPr>
        <w:t xml:space="preserve"> </w:t>
      </w:r>
      <w:r>
        <w:rPr>
          <w:rFonts w:hint="eastAsia" w:ascii="仿宋" w:hAnsi="仿宋" w:eastAsia="仿宋" w:cs="仿宋_GB2312"/>
          <w:color w:val="auto"/>
          <w:kern w:val="0"/>
          <w:sz w:val="24"/>
          <w:highlight w:val="none"/>
          <w:lang w:val="zh-CN"/>
        </w:rPr>
        <w:t>月</w:t>
      </w:r>
      <w:r>
        <w:rPr>
          <w:rFonts w:ascii="仿宋" w:hAnsi="仿宋" w:eastAsia="仿宋" w:cs="仿宋_GB2312"/>
          <w:color w:val="auto"/>
          <w:kern w:val="0"/>
          <w:sz w:val="24"/>
          <w:highlight w:val="none"/>
        </w:rPr>
        <w:t xml:space="preserve">  </w:t>
      </w:r>
      <w:r>
        <w:rPr>
          <w:rFonts w:hint="eastAsia" w:ascii="仿宋" w:hAnsi="仿宋" w:eastAsia="仿宋" w:cs="仿宋_GB2312"/>
          <w:color w:val="auto"/>
          <w:kern w:val="0"/>
          <w:sz w:val="24"/>
          <w:highlight w:val="none"/>
          <w:lang w:val="zh-CN"/>
        </w:rPr>
        <w:t>日起至</w:t>
      </w:r>
      <w:r>
        <w:rPr>
          <w:rFonts w:ascii="仿宋" w:hAnsi="仿宋" w:eastAsia="仿宋" w:cs="仿宋_GB2312"/>
          <w:color w:val="auto"/>
          <w:kern w:val="0"/>
          <w:sz w:val="24"/>
          <w:highlight w:val="none"/>
        </w:rPr>
        <w:t xml:space="preserve">  </w:t>
      </w:r>
      <w:r>
        <w:rPr>
          <w:rFonts w:hint="eastAsia" w:ascii="仿宋" w:hAnsi="仿宋" w:eastAsia="仿宋" w:cs="仿宋_GB2312"/>
          <w:color w:val="auto"/>
          <w:kern w:val="0"/>
          <w:sz w:val="24"/>
          <w:highlight w:val="none"/>
          <w:lang w:val="zh-CN"/>
        </w:rPr>
        <w:t>年</w:t>
      </w:r>
      <w:r>
        <w:rPr>
          <w:rFonts w:ascii="仿宋" w:hAnsi="仿宋" w:eastAsia="仿宋" w:cs="仿宋_GB2312"/>
          <w:color w:val="auto"/>
          <w:kern w:val="0"/>
          <w:sz w:val="24"/>
          <w:highlight w:val="none"/>
        </w:rPr>
        <w:t xml:space="preserve">  </w:t>
      </w:r>
      <w:r>
        <w:rPr>
          <w:rFonts w:hint="eastAsia" w:ascii="仿宋" w:hAnsi="仿宋" w:eastAsia="仿宋" w:cs="仿宋_GB2312"/>
          <w:color w:val="auto"/>
          <w:kern w:val="0"/>
          <w:sz w:val="24"/>
          <w:highlight w:val="none"/>
          <w:lang w:val="zh-CN"/>
        </w:rPr>
        <w:t>月</w:t>
      </w:r>
      <w:r>
        <w:rPr>
          <w:rFonts w:ascii="仿宋" w:hAnsi="仿宋" w:eastAsia="仿宋" w:cs="仿宋_GB2312"/>
          <w:color w:val="auto"/>
          <w:kern w:val="0"/>
          <w:sz w:val="24"/>
          <w:highlight w:val="none"/>
        </w:rPr>
        <w:t xml:space="preserve">  </w:t>
      </w:r>
      <w:r>
        <w:rPr>
          <w:rFonts w:hint="eastAsia" w:ascii="仿宋" w:hAnsi="仿宋" w:eastAsia="仿宋" w:cs="仿宋_GB2312"/>
          <w:color w:val="auto"/>
          <w:kern w:val="0"/>
          <w:sz w:val="24"/>
          <w:highlight w:val="none"/>
          <w:lang w:val="zh-CN"/>
        </w:rPr>
        <w:t>日止。</w:t>
      </w:r>
    </w:p>
    <w:p>
      <w:pPr>
        <w:snapToGrid w:val="0"/>
        <w:spacing w:line="360" w:lineRule="auto"/>
        <w:rPr>
          <w:rFonts w:ascii="仿宋" w:hAnsi="仿宋" w:eastAsia="仿宋" w:cs="仿宋_GB2312"/>
          <w:color w:val="auto"/>
          <w:kern w:val="0"/>
          <w:sz w:val="24"/>
          <w:highlight w:val="none"/>
        </w:rPr>
      </w:pPr>
      <w:r>
        <w:rPr>
          <w:rFonts w:ascii="仿宋" w:hAnsi="仿宋" w:eastAsia="仿宋" w:cs="仿宋_GB2312"/>
          <w:color w:val="auto"/>
          <w:kern w:val="0"/>
          <w:sz w:val="24"/>
          <w:highlight w:val="none"/>
        </w:rPr>
        <w:t xml:space="preserve">    </w:t>
      </w:r>
      <w:r>
        <w:rPr>
          <w:rFonts w:hint="eastAsia" w:ascii="仿宋" w:hAnsi="仿宋" w:eastAsia="仿宋" w:cs="仿宋_GB2312"/>
          <w:color w:val="auto"/>
          <w:kern w:val="0"/>
          <w:sz w:val="24"/>
          <w:highlight w:val="none"/>
          <w:lang w:val="zh-CN"/>
        </w:rPr>
        <w:t>特此告知。</w:t>
      </w:r>
    </w:p>
    <w:p>
      <w:pPr>
        <w:snapToGrid w:val="0"/>
        <w:spacing w:line="360" w:lineRule="auto"/>
        <w:rPr>
          <w:rFonts w:ascii="仿宋" w:hAnsi="仿宋" w:eastAsia="仿宋"/>
          <w:color w:val="auto"/>
          <w:highlight w:val="none"/>
        </w:rPr>
      </w:pPr>
    </w:p>
    <w:p>
      <w:pPr>
        <w:snapToGrid w:val="0"/>
        <w:spacing w:line="360" w:lineRule="auto"/>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联合体成员名称</w:t>
      </w:r>
      <w:r>
        <w:rPr>
          <w:rFonts w:ascii="仿宋" w:hAnsi="仿宋" w:eastAsia="仿宋" w:cs="仿宋_GB2312"/>
          <w:color w:val="auto"/>
          <w:kern w:val="0"/>
          <w:sz w:val="24"/>
          <w:highlight w:val="none"/>
          <w:lang w:val="zh-CN"/>
        </w:rPr>
        <w:t>(电子签名/公章)：</w:t>
      </w:r>
    </w:p>
    <w:p>
      <w:pPr>
        <w:snapToGrid w:val="0"/>
        <w:spacing w:line="360" w:lineRule="auto"/>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联合体成员名称</w:t>
      </w:r>
      <w:r>
        <w:rPr>
          <w:rFonts w:ascii="仿宋" w:hAnsi="仿宋" w:eastAsia="仿宋" w:cs="仿宋_GB2312"/>
          <w:color w:val="auto"/>
          <w:kern w:val="0"/>
          <w:sz w:val="24"/>
          <w:highlight w:val="none"/>
          <w:lang w:val="zh-CN"/>
        </w:rPr>
        <w:t>(电子签名/公章)：</w:t>
      </w:r>
    </w:p>
    <w:p>
      <w:pPr>
        <w:snapToGrid w:val="0"/>
        <w:spacing w:line="360" w:lineRule="auto"/>
        <w:rPr>
          <w:rFonts w:ascii="仿宋" w:hAnsi="仿宋" w:eastAsia="仿宋" w:cs="仿宋_GB2312"/>
          <w:color w:val="auto"/>
          <w:kern w:val="0"/>
          <w:sz w:val="24"/>
          <w:highlight w:val="none"/>
          <w:lang w:val="zh-CN"/>
        </w:rPr>
      </w:pPr>
      <w:r>
        <w:rPr>
          <w:rFonts w:ascii="仿宋" w:hAnsi="仿宋" w:eastAsia="仿宋" w:cs="仿宋_GB2312"/>
          <w:color w:val="auto"/>
          <w:kern w:val="0"/>
          <w:sz w:val="24"/>
          <w:highlight w:val="none"/>
          <w:lang w:val="zh-CN"/>
        </w:rPr>
        <w:t>日期：  年  月   日</w:t>
      </w:r>
    </w:p>
    <w:p>
      <w:pPr>
        <w:snapToGrid w:val="0"/>
        <w:spacing w:line="360" w:lineRule="auto"/>
        <w:rPr>
          <w:rFonts w:ascii="仿宋" w:hAnsi="仿宋" w:eastAsia="仿宋" w:cs="仿宋_GB2312"/>
          <w:b/>
          <w:color w:val="auto"/>
          <w:kern w:val="0"/>
          <w:sz w:val="32"/>
          <w:szCs w:val="32"/>
          <w:highlight w:val="none"/>
          <w:lang w:val="zh-CN"/>
        </w:rPr>
      </w:pPr>
      <w:r>
        <w:rPr>
          <w:rFonts w:hint="eastAsia" w:ascii="仿宋" w:hAnsi="仿宋" w:eastAsia="仿宋" w:cs="仿宋_GB2312"/>
          <w:b/>
          <w:color w:val="auto"/>
          <w:kern w:val="0"/>
          <w:sz w:val="32"/>
          <w:szCs w:val="32"/>
          <w:highlight w:val="none"/>
          <w:lang w:val="zh-CN"/>
        </w:rPr>
        <w:br w:type="page"/>
      </w:r>
    </w:p>
    <w:p>
      <w:pPr>
        <w:pStyle w:val="2"/>
        <w:tabs>
          <w:tab w:val="left" w:pos="432"/>
          <w:tab w:val="clear" w:pos="900"/>
        </w:tabs>
        <w:jc w:val="center"/>
        <w:rPr>
          <w:rStyle w:val="1100"/>
          <w:rFonts w:ascii="仿宋" w:hAnsi="仿宋" w:eastAsia="仿宋"/>
          <w:color w:val="auto"/>
          <w:highlight w:val="none"/>
          <w:lang w:val="en-US"/>
        </w:rPr>
      </w:pPr>
      <w:bookmarkStart w:id="760" w:name="_Toc459762494"/>
      <w:bookmarkStart w:id="761" w:name="_Toc25898"/>
      <w:bookmarkStart w:id="762" w:name="_Toc8294"/>
      <w:r>
        <w:rPr>
          <w:rStyle w:val="1100"/>
          <w:rFonts w:hint="eastAsia" w:ascii="仿宋" w:hAnsi="仿宋" w:eastAsia="仿宋"/>
          <w:color w:val="auto"/>
          <w:highlight w:val="none"/>
          <w:lang w:val="en-US"/>
        </w:rPr>
        <w:t>三、法定代表人和授权委托代表的有效身份证复印件</w:t>
      </w:r>
      <w:bookmarkEnd w:id="760"/>
      <w:bookmarkEnd w:id="761"/>
      <w:bookmarkEnd w:id="762"/>
    </w:p>
    <w:p>
      <w:pPr>
        <w:pStyle w:val="113"/>
        <w:adjustRightInd w:val="0"/>
        <w:snapToGrid w:val="0"/>
        <w:spacing w:line="360" w:lineRule="auto"/>
        <w:rPr>
          <w:rFonts w:ascii="仿宋" w:hAnsi="仿宋" w:eastAsia="仿宋"/>
          <w:bCs/>
          <w:color w:val="auto"/>
          <w:sz w:val="24"/>
          <w:szCs w:val="24"/>
          <w:highlight w:val="none"/>
        </w:rPr>
      </w:pPr>
      <w:r>
        <w:rPr>
          <w:rFonts w:hint="eastAsia" w:ascii="仿宋" w:hAnsi="仿宋" w:eastAsia="仿宋" w:cs="宋体"/>
          <w:color w:val="auto"/>
          <w:sz w:val="24"/>
          <w:highlight w:val="none"/>
          <w:lang w:val="zh-CN"/>
        </w:rPr>
        <w:t>法定代表人和授权委托代表的有效身份证扫描件</w:t>
      </w:r>
      <w:r>
        <w:rPr>
          <w:rFonts w:ascii="仿宋" w:hAnsi="仿宋" w:eastAsia="仿宋" w:cs="宋体"/>
          <w:color w:val="auto"/>
          <w:sz w:val="24"/>
          <w:highlight w:val="none"/>
          <w:lang w:val="zh-CN"/>
        </w:rPr>
        <w:t xml:space="preserve"> (法定代表人直接参加投标并对相应文件签字的，只需提供前者)</w:t>
      </w:r>
    </w:p>
    <w:tbl>
      <w:tblPr>
        <w:tblStyle w:val="88"/>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13"/>
              <w:adjustRightInd w:val="0"/>
              <w:snapToGrid w:val="0"/>
              <w:spacing w:line="360" w:lineRule="auto"/>
              <w:rPr>
                <w:rFonts w:ascii="仿宋" w:hAnsi="仿宋" w:eastAsia="仿宋"/>
                <w:bCs/>
                <w:color w:val="auto"/>
                <w:sz w:val="24"/>
                <w:highlight w:val="none"/>
              </w:rPr>
            </w:pPr>
            <w:r>
              <w:rPr>
                <w:rFonts w:hint="eastAsia" w:ascii="仿宋" w:hAnsi="仿宋" w:eastAsia="仿宋"/>
                <w:bCs/>
                <w:color w:val="auto"/>
                <w:sz w:val="24"/>
                <w:highlight w:val="none"/>
              </w:rPr>
              <w:t>正面：</w:t>
            </w:r>
            <w:r>
              <w:rPr>
                <w:rFonts w:ascii="仿宋" w:hAnsi="仿宋" w:eastAsia="仿宋"/>
                <w:bCs/>
                <w:color w:val="auto"/>
                <w:sz w:val="24"/>
                <w:highlight w:val="none"/>
              </w:rPr>
              <w:t xml:space="preserve">                                 </w:t>
            </w:r>
            <w:r>
              <w:rPr>
                <w:rFonts w:hint="eastAsia" w:ascii="仿宋" w:hAnsi="仿宋" w:eastAsia="仿宋"/>
                <w:bCs/>
                <w:color w:val="auto"/>
                <w:sz w:val="24"/>
                <w:highlight w:val="none"/>
              </w:rPr>
              <w:t>反面：</w:t>
            </w:r>
          </w:p>
          <w:p>
            <w:pPr>
              <w:pStyle w:val="113"/>
              <w:adjustRightInd w:val="0"/>
              <w:snapToGrid w:val="0"/>
              <w:spacing w:line="360" w:lineRule="auto"/>
              <w:rPr>
                <w:rFonts w:ascii="仿宋" w:hAnsi="仿宋" w:eastAsia="仿宋"/>
                <w:bCs/>
                <w:color w:val="auto"/>
                <w:sz w:val="24"/>
                <w:highlight w:val="none"/>
              </w:rPr>
            </w:pPr>
          </w:p>
        </w:tc>
      </w:tr>
    </w:tbl>
    <w:p>
      <w:pPr>
        <w:snapToGrid w:val="0"/>
        <w:spacing w:line="360" w:lineRule="auto"/>
        <w:ind w:firstLine="576"/>
        <w:jc w:val="center"/>
        <w:rPr>
          <w:rFonts w:ascii="仿宋" w:hAnsi="仿宋" w:eastAsia="仿宋" w:cs="仿宋_GB2312"/>
          <w:color w:val="auto"/>
          <w:kern w:val="0"/>
          <w:sz w:val="24"/>
          <w:highlight w:val="none"/>
          <w:lang w:val="zh-CN"/>
        </w:rPr>
      </w:pPr>
      <w:r>
        <w:rPr>
          <w:rFonts w:ascii="仿宋" w:hAnsi="仿宋" w:eastAsia="仿宋" w:cs="仿宋_GB2312"/>
          <w:color w:val="auto"/>
          <w:kern w:val="0"/>
          <w:sz w:val="24"/>
          <w:highlight w:val="none"/>
          <w:lang w:val="zh-CN"/>
        </w:rPr>
        <w:t xml:space="preserve">                 </w:t>
      </w:r>
    </w:p>
    <w:p>
      <w:pPr>
        <w:snapToGrid w:val="0"/>
        <w:spacing w:line="360" w:lineRule="auto"/>
        <w:ind w:firstLine="576"/>
        <w:jc w:val="center"/>
        <w:rPr>
          <w:rFonts w:ascii="仿宋" w:hAnsi="仿宋" w:eastAsia="仿宋" w:cs="仿宋_GB2312"/>
          <w:color w:val="auto"/>
          <w:kern w:val="0"/>
          <w:sz w:val="24"/>
          <w:highlight w:val="none"/>
          <w:lang w:val="zh-CN"/>
        </w:rPr>
      </w:pPr>
      <w:r>
        <w:rPr>
          <w:rFonts w:ascii="仿宋" w:hAnsi="仿宋" w:eastAsia="仿宋" w:cs="仿宋_GB2312"/>
          <w:color w:val="auto"/>
          <w:kern w:val="0"/>
          <w:sz w:val="24"/>
          <w:highlight w:val="none"/>
          <w:lang w:val="zh-CN"/>
        </w:rPr>
        <w:t xml:space="preserve">                  投标人名称(电子签名)：                              </w:t>
      </w:r>
    </w:p>
    <w:p>
      <w:pPr>
        <w:snapToGrid w:val="0"/>
        <w:spacing w:line="360" w:lineRule="auto"/>
        <w:jc w:val="center"/>
        <w:rPr>
          <w:rFonts w:ascii="仿宋" w:hAnsi="仿宋" w:eastAsia="仿宋" w:cs="仿宋_GB2312"/>
          <w:color w:val="auto"/>
          <w:kern w:val="0"/>
          <w:sz w:val="24"/>
          <w:highlight w:val="none"/>
          <w:lang w:val="zh-CN"/>
        </w:rPr>
      </w:pPr>
      <w:r>
        <w:rPr>
          <w:rFonts w:ascii="仿宋" w:hAnsi="仿宋" w:eastAsia="仿宋" w:cs="仿宋_GB2312"/>
          <w:color w:val="auto"/>
          <w:kern w:val="0"/>
          <w:sz w:val="24"/>
          <w:highlight w:val="none"/>
          <w:lang w:val="zh-CN"/>
        </w:rPr>
        <w:t xml:space="preserve">                   日期：  年  月  日</w:t>
      </w:r>
    </w:p>
    <w:p>
      <w:pPr>
        <w:snapToGrid w:val="0"/>
        <w:spacing w:line="360" w:lineRule="auto"/>
        <w:rPr>
          <w:rFonts w:ascii="仿宋" w:hAnsi="仿宋" w:eastAsia="仿宋" w:cs="仿宋_GB2312"/>
          <w:b/>
          <w:color w:val="auto"/>
          <w:kern w:val="0"/>
          <w:sz w:val="32"/>
          <w:szCs w:val="32"/>
          <w:highlight w:val="none"/>
        </w:rPr>
      </w:pPr>
      <w:r>
        <w:rPr>
          <w:rFonts w:hint="eastAsia" w:ascii="仿宋" w:hAnsi="仿宋" w:eastAsia="仿宋" w:cs="仿宋_GB2312"/>
          <w:b/>
          <w:color w:val="auto"/>
          <w:kern w:val="0"/>
          <w:sz w:val="32"/>
          <w:szCs w:val="32"/>
          <w:highlight w:val="none"/>
        </w:rPr>
        <w:br w:type="page"/>
      </w:r>
    </w:p>
    <w:p>
      <w:pPr>
        <w:snapToGrid w:val="0"/>
        <w:spacing w:line="360" w:lineRule="auto"/>
        <w:jc w:val="center"/>
        <w:outlineLvl w:val="1"/>
        <w:rPr>
          <w:rFonts w:ascii="仿宋" w:hAnsi="仿宋" w:eastAsia="仿宋" w:cs="宋体"/>
          <w:b/>
          <w:bCs/>
          <w:snapToGrid w:val="0"/>
          <w:color w:val="auto"/>
          <w:kern w:val="0"/>
          <w:sz w:val="32"/>
          <w:szCs w:val="32"/>
          <w:highlight w:val="none"/>
        </w:rPr>
      </w:pPr>
      <w:bookmarkStart w:id="763" w:name="_Toc29937"/>
      <w:bookmarkStart w:id="764" w:name="_Toc9974"/>
      <w:bookmarkStart w:id="765" w:name="_Toc582074752"/>
      <w:bookmarkStart w:id="766" w:name="_Toc95313016"/>
      <w:bookmarkStart w:id="767" w:name="_Toc97219797"/>
      <w:bookmarkStart w:id="768" w:name="_Toc95313021"/>
      <w:bookmarkStart w:id="769" w:name="_Toc18936"/>
      <w:bookmarkStart w:id="770" w:name="_Toc19138"/>
      <w:bookmarkStart w:id="771" w:name="_Toc1267903381"/>
      <w:bookmarkStart w:id="772" w:name="_Toc678566587"/>
      <w:bookmarkStart w:id="773" w:name="_Toc685"/>
      <w:bookmarkStart w:id="774" w:name="_Toc95313022"/>
      <w:bookmarkStart w:id="775" w:name="_Toc14486"/>
      <w:r>
        <w:rPr>
          <w:rFonts w:hint="eastAsia" w:ascii="仿宋" w:hAnsi="仿宋" w:eastAsia="仿宋" w:cs="宋体"/>
          <w:b/>
          <w:bCs/>
          <w:color w:val="auto"/>
          <w:sz w:val="32"/>
          <w:szCs w:val="32"/>
          <w:highlight w:val="none"/>
        </w:rPr>
        <w:t>四、</w:t>
      </w:r>
      <w:r>
        <w:rPr>
          <w:rFonts w:hint="eastAsia" w:ascii="仿宋" w:hAnsi="仿宋" w:eastAsia="仿宋" w:cs="宋体"/>
          <w:b/>
          <w:bCs/>
          <w:snapToGrid w:val="0"/>
          <w:color w:val="auto"/>
          <w:kern w:val="0"/>
          <w:sz w:val="32"/>
          <w:szCs w:val="32"/>
          <w:highlight w:val="none"/>
        </w:rPr>
        <w:t>公司情况介绍</w:t>
      </w:r>
      <w:bookmarkEnd w:id="763"/>
      <w:bookmarkEnd w:id="764"/>
      <w:bookmarkEnd w:id="765"/>
      <w:bookmarkEnd w:id="766"/>
      <w:bookmarkEnd w:id="767"/>
    </w:p>
    <w:p>
      <w:pPr>
        <w:snapToGrid w:val="0"/>
        <w:spacing w:line="360" w:lineRule="auto"/>
        <w:jc w:val="center"/>
        <w:outlineLvl w:val="1"/>
        <w:rPr>
          <w:rFonts w:ascii="仿宋" w:hAnsi="仿宋" w:eastAsia="仿宋" w:cs="宋体"/>
          <w:b/>
          <w:bCs/>
          <w:snapToGrid w:val="0"/>
          <w:color w:val="auto"/>
          <w:kern w:val="0"/>
          <w:sz w:val="32"/>
          <w:szCs w:val="32"/>
          <w:highlight w:val="none"/>
        </w:rPr>
      </w:pPr>
      <w:bookmarkStart w:id="776" w:name="_Toc16359"/>
      <w:bookmarkStart w:id="777" w:name="_Toc97219798"/>
      <w:bookmarkStart w:id="778" w:name="_Toc1142344779"/>
      <w:bookmarkStart w:id="779" w:name="_Toc95313017"/>
      <w:bookmarkStart w:id="780" w:name="_Toc15640"/>
      <w:r>
        <w:rPr>
          <w:rFonts w:hint="eastAsia" w:ascii="仿宋" w:hAnsi="仿宋" w:eastAsia="仿宋" w:cs="宋体"/>
          <w:b/>
          <w:bCs/>
          <w:color w:val="auto"/>
          <w:sz w:val="32"/>
          <w:szCs w:val="32"/>
          <w:highlight w:val="none"/>
        </w:rPr>
        <w:t>五、</w:t>
      </w:r>
      <w:r>
        <w:rPr>
          <w:rFonts w:hint="eastAsia" w:ascii="仿宋" w:hAnsi="仿宋" w:eastAsia="仿宋" w:cs="宋体"/>
          <w:b/>
          <w:bCs/>
          <w:snapToGrid w:val="0"/>
          <w:color w:val="auto"/>
          <w:kern w:val="0"/>
          <w:sz w:val="32"/>
          <w:szCs w:val="32"/>
          <w:highlight w:val="none"/>
          <w:lang w:val="zh-CN"/>
        </w:rPr>
        <w:t>投标人成功案例</w:t>
      </w:r>
      <w:bookmarkEnd w:id="776"/>
      <w:bookmarkEnd w:id="777"/>
      <w:bookmarkEnd w:id="778"/>
      <w:bookmarkEnd w:id="779"/>
      <w:bookmarkEnd w:id="780"/>
    </w:p>
    <w:p>
      <w:pPr>
        <w:snapToGrid w:val="0"/>
        <w:spacing w:line="360" w:lineRule="auto"/>
        <w:jc w:val="center"/>
        <w:outlineLvl w:val="1"/>
        <w:rPr>
          <w:rFonts w:ascii="仿宋" w:hAnsi="仿宋" w:eastAsia="仿宋" w:cs="宋体"/>
          <w:b/>
          <w:bCs/>
          <w:snapToGrid w:val="0"/>
          <w:color w:val="auto"/>
          <w:kern w:val="0"/>
          <w:sz w:val="32"/>
          <w:szCs w:val="32"/>
          <w:highlight w:val="none"/>
        </w:rPr>
      </w:pPr>
      <w:bookmarkStart w:id="781" w:name="_Toc9921"/>
      <w:bookmarkStart w:id="782" w:name="_Toc884896473"/>
      <w:bookmarkStart w:id="783" w:name="_Toc95313018"/>
      <w:bookmarkStart w:id="784" w:name="_Toc97219799"/>
      <w:bookmarkStart w:id="785" w:name="_Toc2706"/>
      <w:r>
        <w:rPr>
          <w:rFonts w:hint="eastAsia" w:ascii="仿宋" w:hAnsi="仿宋" w:eastAsia="仿宋" w:cs="宋体"/>
          <w:b/>
          <w:bCs/>
          <w:color w:val="auto"/>
          <w:sz w:val="32"/>
          <w:szCs w:val="32"/>
          <w:highlight w:val="none"/>
        </w:rPr>
        <w:t>六、</w:t>
      </w:r>
      <w:r>
        <w:rPr>
          <w:rFonts w:hint="eastAsia" w:ascii="仿宋" w:hAnsi="仿宋" w:eastAsia="仿宋" w:cs="宋体"/>
          <w:b/>
          <w:bCs/>
          <w:snapToGrid w:val="0"/>
          <w:color w:val="auto"/>
          <w:kern w:val="0"/>
          <w:sz w:val="32"/>
          <w:szCs w:val="32"/>
          <w:highlight w:val="none"/>
        </w:rPr>
        <w:t>相关资质文件（如有）</w:t>
      </w:r>
      <w:bookmarkEnd w:id="781"/>
      <w:bookmarkEnd w:id="782"/>
      <w:bookmarkEnd w:id="783"/>
      <w:bookmarkEnd w:id="784"/>
      <w:bookmarkEnd w:id="785"/>
    </w:p>
    <w:p>
      <w:pPr>
        <w:pStyle w:val="34"/>
        <w:snapToGrid w:val="0"/>
        <w:jc w:val="center"/>
        <w:outlineLvl w:val="1"/>
        <w:rPr>
          <w:rFonts w:ascii="仿宋" w:hAnsi="仿宋" w:eastAsia="仿宋"/>
          <w:color w:val="auto"/>
          <w:highlight w:val="none"/>
        </w:rPr>
      </w:pPr>
      <w:bookmarkStart w:id="786" w:name="_Toc95313019"/>
      <w:bookmarkStart w:id="787" w:name="_Toc1130766236"/>
      <w:bookmarkStart w:id="788" w:name="_Toc97219800"/>
      <w:bookmarkStart w:id="789" w:name="_Toc17051"/>
      <w:bookmarkStart w:id="790" w:name="_Toc11724"/>
      <w:r>
        <w:rPr>
          <w:rFonts w:hint="eastAsia" w:ascii="仿宋" w:hAnsi="仿宋" w:eastAsia="仿宋" w:cs="宋体"/>
          <w:b/>
          <w:bCs/>
          <w:color w:val="auto"/>
          <w:sz w:val="32"/>
          <w:szCs w:val="32"/>
          <w:highlight w:val="none"/>
        </w:rPr>
        <w:t>七、</w:t>
      </w:r>
      <w:r>
        <w:rPr>
          <w:rFonts w:hint="eastAsia" w:ascii="仿宋" w:hAnsi="仿宋" w:eastAsia="仿宋" w:cs="宋体"/>
          <w:b/>
          <w:bCs/>
          <w:color w:val="auto"/>
          <w:kern w:val="0"/>
          <w:sz w:val="32"/>
          <w:szCs w:val="32"/>
          <w:highlight w:val="none"/>
        </w:rPr>
        <w:t>投标人应提供针对项目的完整服务解决方案</w:t>
      </w:r>
      <w:bookmarkEnd w:id="786"/>
      <w:bookmarkEnd w:id="787"/>
      <w:bookmarkEnd w:id="788"/>
      <w:bookmarkEnd w:id="789"/>
      <w:bookmarkEnd w:id="790"/>
      <w:bookmarkStart w:id="791" w:name="_Toc95313020"/>
      <w:bookmarkStart w:id="792" w:name="_Toc12132"/>
      <w:bookmarkStart w:id="793" w:name="_Toc18170"/>
    </w:p>
    <w:p>
      <w:pPr>
        <w:pStyle w:val="46"/>
        <w:snapToGrid w:val="0"/>
        <w:spacing w:line="360" w:lineRule="auto"/>
        <w:jc w:val="center"/>
        <w:outlineLvl w:val="1"/>
        <w:rPr>
          <w:rFonts w:ascii="仿宋" w:hAnsi="仿宋" w:eastAsia="仿宋" w:cs="宋体"/>
          <w:b/>
          <w:bCs/>
          <w:color w:val="auto"/>
          <w:kern w:val="0"/>
          <w:sz w:val="32"/>
          <w:szCs w:val="32"/>
          <w:highlight w:val="none"/>
        </w:rPr>
      </w:pPr>
      <w:bookmarkStart w:id="794" w:name="_Toc97219801"/>
      <w:bookmarkStart w:id="795" w:name="_Toc1705336149"/>
      <w:r>
        <w:rPr>
          <w:rFonts w:hint="eastAsia" w:ascii="仿宋" w:hAnsi="仿宋" w:eastAsia="仿宋" w:cs="宋体"/>
          <w:b/>
          <w:bCs/>
          <w:color w:val="auto"/>
          <w:sz w:val="32"/>
          <w:szCs w:val="32"/>
          <w:highlight w:val="none"/>
        </w:rPr>
        <w:t>八、</w:t>
      </w:r>
      <w:r>
        <w:rPr>
          <w:rFonts w:hint="eastAsia" w:ascii="仿宋" w:hAnsi="仿宋" w:eastAsia="仿宋" w:cs="宋体"/>
          <w:b/>
          <w:bCs/>
          <w:color w:val="auto"/>
          <w:kern w:val="0"/>
          <w:sz w:val="32"/>
          <w:szCs w:val="32"/>
          <w:highlight w:val="none"/>
        </w:rPr>
        <w:t>项目组人员介绍、职责分配</w:t>
      </w:r>
      <w:bookmarkEnd w:id="791"/>
      <w:bookmarkEnd w:id="792"/>
      <w:bookmarkEnd w:id="793"/>
      <w:bookmarkEnd w:id="794"/>
      <w:bookmarkEnd w:id="795"/>
    </w:p>
    <w:p>
      <w:pPr>
        <w:pStyle w:val="34"/>
        <w:snapToGrid w:val="0"/>
        <w:ind w:left="1680" w:firstLine="643"/>
        <w:jc w:val="center"/>
        <w:rPr>
          <w:rFonts w:ascii="仿宋" w:hAnsi="仿宋" w:eastAsia="仿宋" w:cs="宋体"/>
          <w:b/>
          <w:bCs/>
          <w:color w:val="auto"/>
          <w:sz w:val="32"/>
          <w:szCs w:val="32"/>
          <w:highlight w:val="none"/>
          <w:lang w:val="en-US"/>
        </w:rPr>
      </w:pPr>
    </w:p>
    <w:p>
      <w:pPr>
        <w:pStyle w:val="34"/>
        <w:snapToGrid w:val="0"/>
        <w:jc w:val="center"/>
        <w:outlineLvl w:val="1"/>
        <w:rPr>
          <w:rFonts w:ascii="仿宋" w:hAnsi="仿宋" w:eastAsia="仿宋"/>
          <w:b/>
          <w:bCs/>
          <w:color w:val="auto"/>
          <w:highlight w:val="none"/>
        </w:rPr>
      </w:pPr>
      <w:r>
        <w:rPr>
          <w:rFonts w:hint="eastAsia" w:ascii="仿宋" w:hAnsi="仿宋" w:eastAsia="仿宋" w:cs="宋体"/>
          <w:b/>
          <w:bCs/>
          <w:color w:val="auto"/>
          <w:sz w:val="32"/>
          <w:szCs w:val="32"/>
          <w:highlight w:val="none"/>
          <w:lang w:val="en-US"/>
        </w:rPr>
        <w:t>九、商务技术偏离表</w:t>
      </w:r>
      <w:bookmarkEnd w:id="768"/>
      <w:bookmarkEnd w:id="769"/>
      <w:bookmarkEnd w:id="770"/>
      <w:bookmarkEnd w:id="771"/>
    </w:p>
    <w:tbl>
      <w:tblPr>
        <w:tblStyle w:val="8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3"/>
        <w:gridCol w:w="3285"/>
        <w:gridCol w:w="3162"/>
        <w:gridCol w:w="1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00" w:type="pct"/>
            <w:vAlign w:val="center"/>
          </w:tcPr>
          <w:p>
            <w:pPr>
              <w:snapToGrid w:val="0"/>
              <w:spacing w:line="360" w:lineRule="auto"/>
              <w:jc w:val="center"/>
              <w:rPr>
                <w:rFonts w:ascii="仿宋" w:hAnsi="仿宋" w:eastAsia="仿宋"/>
                <w:b/>
                <w:bCs/>
                <w:color w:val="auto"/>
                <w:sz w:val="24"/>
                <w:highlight w:val="none"/>
              </w:rPr>
            </w:pPr>
            <w:r>
              <w:rPr>
                <w:rFonts w:hint="eastAsia" w:ascii="仿宋" w:hAnsi="仿宋" w:eastAsia="仿宋"/>
                <w:b/>
                <w:bCs/>
                <w:color w:val="auto"/>
                <w:sz w:val="24"/>
                <w:highlight w:val="none"/>
              </w:rPr>
              <w:t>序号</w:t>
            </w:r>
          </w:p>
        </w:tc>
        <w:tc>
          <w:tcPr>
            <w:tcW w:w="1926" w:type="pct"/>
            <w:vAlign w:val="center"/>
          </w:tcPr>
          <w:p>
            <w:pPr>
              <w:snapToGrid w:val="0"/>
              <w:spacing w:line="360" w:lineRule="auto"/>
              <w:jc w:val="center"/>
              <w:rPr>
                <w:rFonts w:ascii="仿宋" w:hAnsi="仿宋" w:eastAsia="仿宋"/>
                <w:b/>
                <w:bCs/>
                <w:color w:val="auto"/>
                <w:sz w:val="24"/>
                <w:highlight w:val="none"/>
              </w:rPr>
            </w:pPr>
            <w:r>
              <w:rPr>
                <w:rFonts w:hint="eastAsia" w:ascii="仿宋" w:hAnsi="仿宋" w:eastAsia="仿宋"/>
                <w:b/>
                <w:bCs/>
                <w:color w:val="auto"/>
                <w:sz w:val="24"/>
                <w:highlight w:val="none"/>
              </w:rPr>
              <w:t>采购文件章节及具体内容</w:t>
            </w:r>
          </w:p>
        </w:tc>
        <w:tc>
          <w:tcPr>
            <w:tcW w:w="1854" w:type="pct"/>
            <w:vAlign w:val="center"/>
          </w:tcPr>
          <w:p>
            <w:pPr>
              <w:snapToGrid w:val="0"/>
              <w:spacing w:line="360" w:lineRule="auto"/>
              <w:jc w:val="center"/>
              <w:rPr>
                <w:rFonts w:ascii="仿宋" w:hAnsi="仿宋" w:eastAsia="仿宋"/>
                <w:b/>
                <w:bCs/>
                <w:color w:val="auto"/>
                <w:sz w:val="24"/>
                <w:highlight w:val="none"/>
              </w:rPr>
            </w:pPr>
            <w:r>
              <w:rPr>
                <w:rFonts w:hint="eastAsia" w:ascii="仿宋" w:hAnsi="仿宋" w:eastAsia="仿宋"/>
                <w:b/>
                <w:bCs/>
                <w:color w:val="auto"/>
                <w:sz w:val="24"/>
                <w:highlight w:val="none"/>
              </w:rPr>
              <w:t>投标文件章节及具体内容</w:t>
            </w:r>
          </w:p>
        </w:tc>
        <w:tc>
          <w:tcPr>
            <w:tcW w:w="720" w:type="pct"/>
            <w:vAlign w:val="center"/>
          </w:tcPr>
          <w:p>
            <w:pPr>
              <w:snapToGrid w:val="0"/>
              <w:spacing w:line="360" w:lineRule="auto"/>
              <w:jc w:val="center"/>
              <w:rPr>
                <w:rFonts w:ascii="仿宋" w:hAnsi="仿宋" w:eastAsia="仿宋"/>
                <w:b/>
                <w:bCs/>
                <w:color w:val="auto"/>
                <w:sz w:val="24"/>
                <w:highlight w:val="none"/>
              </w:rPr>
            </w:pPr>
            <w:r>
              <w:rPr>
                <w:rFonts w:hint="eastAsia" w:ascii="仿宋" w:hAnsi="仿宋" w:eastAsia="仿宋"/>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00" w:type="pct"/>
            <w:vAlign w:val="center"/>
          </w:tcPr>
          <w:p>
            <w:pPr>
              <w:snapToGrid w:val="0"/>
              <w:spacing w:line="360" w:lineRule="auto"/>
              <w:jc w:val="center"/>
              <w:rPr>
                <w:rFonts w:ascii="仿宋" w:hAnsi="仿宋" w:eastAsia="仿宋" w:cs="仿宋_GB2312"/>
                <w:color w:val="auto"/>
                <w:kern w:val="0"/>
                <w:sz w:val="24"/>
                <w:highlight w:val="none"/>
              </w:rPr>
            </w:pPr>
            <w:r>
              <w:rPr>
                <w:rFonts w:ascii="仿宋" w:hAnsi="仿宋" w:eastAsia="仿宋" w:cs="仿宋_GB2312"/>
                <w:color w:val="auto"/>
                <w:kern w:val="0"/>
                <w:sz w:val="24"/>
                <w:highlight w:val="none"/>
              </w:rPr>
              <w:t>1</w:t>
            </w:r>
          </w:p>
        </w:tc>
        <w:tc>
          <w:tcPr>
            <w:tcW w:w="1926" w:type="pct"/>
            <w:vAlign w:val="center"/>
          </w:tcPr>
          <w:p>
            <w:pPr>
              <w:snapToGrid w:val="0"/>
              <w:spacing w:line="360" w:lineRule="auto"/>
              <w:jc w:val="center"/>
              <w:rPr>
                <w:rFonts w:ascii="仿宋" w:hAnsi="仿宋" w:eastAsia="仿宋" w:cs="仿宋_GB2312"/>
                <w:b/>
                <w:color w:val="auto"/>
                <w:kern w:val="0"/>
                <w:sz w:val="32"/>
                <w:szCs w:val="32"/>
                <w:highlight w:val="none"/>
              </w:rPr>
            </w:pPr>
          </w:p>
        </w:tc>
        <w:tc>
          <w:tcPr>
            <w:tcW w:w="1854" w:type="pct"/>
            <w:vAlign w:val="center"/>
          </w:tcPr>
          <w:p>
            <w:pPr>
              <w:snapToGrid w:val="0"/>
              <w:spacing w:line="360" w:lineRule="auto"/>
              <w:jc w:val="center"/>
              <w:rPr>
                <w:rFonts w:ascii="仿宋" w:hAnsi="仿宋" w:eastAsia="仿宋" w:cs="仿宋_GB2312"/>
                <w:b/>
                <w:color w:val="auto"/>
                <w:kern w:val="0"/>
                <w:sz w:val="32"/>
                <w:szCs w:val="32"/>
                <w:highlight w:val="none"/>
              </w:rPr>
            </w:pPr>
          </w:p>
        </w:tc>
        <w:tc>
          <w:tcPr>
            <w:tcW w:w="720" w:type="pct"/>
            <w:vAlign w:val="center"/>
          </w:tcPr>
          <w:p>
            <w:pPr>
              <w:snapToGrid w:val="0"/>
              <w:spacing w:line="360" w:lineRule="auto"/>
              <w:jc w:val="center"/>
              <w:rPr>
                <w:rFonts w:ascii="仿宋" w:hAnsi="仿宋" w:eastAsia="仿宋" w:cs="仿宋_GB2312"/>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00" w:type="pct"/>
            <w:vAlign w:val="center"/>
          </w:tcPr>
          <w:p>
            <w:pPr>
              <w:snapToGrid w:val="0"/>
              <w:spacing w:line="360" w:lineRule="auto"/>
              <w:jc w:val="center"/>
              <w:rPr>
                <w:rFonts w:ascii="仿宋" w:hAnsi="仿宋" w:eastAsia="仿宋" w:cs="仿宋_GB2312"/>
                <w:color w:val="auto"/>
                <w:kern w:val="0"/>
                <w:sz w:val="24"/>
                <w:highlight w:val="none"/>
              </w:rPr>
            </w:pPr>
            <w:r>
              <w:rPr>
                <w:rFonts w:ascii="仿宋" w:hAnsi="仿宋" w:eastAsia="仿宋" w:cs="仿宋_GB2312"/>
                <w:color w:val="auto"/>
                <w:kern w:val="0"/>
                <w:sz w:val="24"/>
                <w:highlight w:val="none"/>
              </w:rPr>
              <w:t>2</w:t>
            </w:r>
          </w:p>
        </w:tc>
        <w:tc>
          <w:tcPr>
            <w:tcW w:w="1926" w:type="pct"/>
            <w:vAlign w:val="center"/>
          </w:tcPr>
          <w:p>
            <w:pPr>
              <w:snapToGrid w:val="0"/>
              <w:spacing w:line="360" w:lineRule="auto"/>
              <w:jc w:val="center"/>
              <w:rPr>
                <w:rFonts w:ascii="仿宋" w:hAnsi="仿宋" w:eastAsia="仿宋" w:cs="仿宋_GB2312"/>
                <w:b/>
                <w:color w:val="auto"/>
                <w:kern w:val="0"/>
                <w:sz w:val="32"/>
                <w:szCs w:val="32"/>
                <w:highlight w:val="none"/>
              </w:rPr>
            </w:pPr>
          </w:p>
        </w:tc>
        <w:tc>
          <w:tcPr>
            <w:tcW w:w="1854" w:type="pct"/>
            <w:vAlign w:val="center"/>
          </w:tcPr>
          <w:p>
            <w:pPr>
              <w:snapToGrid w:val="0"/>
              <w:spacing w:line="360" w:lineRule="auto"/>
              <w:jc w:val="center"/>
              <w:rPr>
                <w:rFonts w:ascii="仿宋" w:hAnsi="仿宋" w:eastAsia="仿宋" w:cs="仿宋_GB2312"/>
                <w:b/>
                <w:color w:val="auto"/>
                <w:kern w:val="0"/>
                <w:sz w:val="32"/>
                <w:szCs w:val="32"/>
                <w:highlight w:val="none"/>
              </w:rPr>
            </w:pPr>
          </w:p>
        </w:tc>
        <w:tc>
          <w:tcPr>
            <w:tcW w:w="720" w:type="pct"/>
            <w:vAlign w:val="center"/>
          </w:tcPr>
          <w:p>
            <w:pPr>
              <w:snapToGrid w:val="0"/>
              <w:spacing w:line="360" w:lineRule="auto"/>
              <w:jc w:val="center"/>
              <w:rPr>
                <w:rFonts w:ascii="仿宋" w:hAnsi="仿宋" w:eastAsia="仿宋" w:cs="仿宋_GB2312"/>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00" w:type="pct"/>
            <w:vAlign w:val="center"/>
          </w:tcPr>
          <w:p>
            <w:pPr>
              <w:snapToGrid w:val="0"/>
              <w:spacing w:line="360" w:lineRule="auto"/>
              <w:jc w:val="center"/>
              <w:rPr>
                <w:rFonts w:ascii="仿宋" w:hAnsi="仿宋" w:eastAsia="仿宋" w:cs="仿宋_GB2312"/>
                <w:color w:val="auto"/>
                <w:kern w:val="0"/>
                <w:sz w:val="24"/>
                <w:highlight w:val="none"/>
              </w:rPr>
            </w:pPr>
            <w:r>
              <w:rPr>
                <w:rFonts w:hint="eastAsia" w:ascii="仿宋" w:hAnsi="仿宋" w:eastAsia="仿宋" w:cs="仿宋_GB2312"/>
                <w:color w:val="auto"/>
                <w:kern w:val="0"/>
                <w:sz w:val="24"/>
                <w:highlight w:val="none"/>
              </w:rPr>
              <w:t>……</w:t>
            </w:r>
          </w:p>
        </w:tc>
        <w:tc>
          <w:tcPr>
            <w:tcW w:w="1926" w:type="pct"/>
            <w:vAlign w:val="center"/>
          </w:tcPr>
          <w:p>
            <w:pPr>
              <w:snapToGrid w:val="0"/>
              <w:spacing w:line="360" w:lineRule="auto"/>
              <w:jc w:val="center"/>
              <w:rPr>
                <w:rFonts w:ascii="仿宋" w:hAnsi="仿宋" w:eastAsia="仿宋" w:cs="仿宋_GB2312"/>
                <w:b/>
                <w:color w:val="auto"/>
                <w:kern w:val="0"/>
                <w:sz w:val="32"/>
                <w:szCs w:val="32"/>
                <w:highlight w:val="none"/>
              </w:rPr>
            </w:pPr>
          </w:p>
        </w:tc>
        <w:tc>
          <w:tcPr>
            <w:tcW w:w="1854" w:type="pct"/>
            <w:vAlign w:val="center"/>
          </w:tcPr>
          <w:p>
            <w:pPr>
              <w:snapToGrid w:val="0"/>
              <w:spacing w:line="360" w:lineRule="auto"/>
              <w:jc w:val="center"/>
              <w:rPr>
                <w:rFonts w:ascii="仿宋" w:hAnsi="仿宋" w:eastAsia="仿宋" w:cs="仿宋_GB2312"/>
                <w:b/>
                <w:color w:val="auto"/>
                <w:kern w:val="0"/>
                <w:sz w:val="32"/>
                <w:szCs w:val="32"/>
                <w:highlight w:val="none"/>
              </w:rPr>
            </w:pPr>
          </w:p>
        </w:tc>
        <w:tc>
          <w:tcPr>
            <w:tcW w:w="720" w:type="pct"/>
            <w:vAlign w:val="center"/>
          </w:tcPr>
          <w:p>
            <w:pPr>
              <w:snapToGrid w:val="0"/>
              <w:spacing w:line="360" w:lineRule="auto"/>
              <w:jc w:val="center"/>
              <w:rPr>
                <w:rFonts w:ascii="仿宋" w:hAnsi="仿宋" w:eastAsia="仿宋" w:cs="仿宋_GB2312"/>
                <w:b/>
                <w:color w:val="auto"/>
                <w:kern w:val="0"/>
                <w:sz w:val="32"/>
                <w:szCs w:val="32"/>
                <w:highlight w:val="none"/>
              </w:rPr>
            </w:pPr>
          </w:p>
        </w:tc>
      </w:tr>
    </w:tbl>
    <w:p>
      <w:pPr>
        <w:snapToGrid w:val="0"/>
        <w:spacing w:line="360" w:lineRule="auto"/>
        <w:jc w:val="left"/>
        <w:outlineLvl w:val="2"/>
        <w:rPr>
          <w:rFonts w:ascii="仿宋" w:hAnsi="仿宋" w:eastAsia="仿宋" w:cs="仿宋_GB2312"/>
          <w:color w:val="auto"/>
          <w:kern w:val="0"/>
          <w:sz w:val="24"/>
          <w:highlight w:val="none"/>
        </w:rPr>
      </w:pPr>
      <w:r>
        <w:rPr>
          <w:rFonts w:hint="eastAsia" w:ascii="仿宋" w:hAnsi="仿宋" w:eastAsia="仿宋" w:cs="仿宋_GB2312"/>
          <w:color w:val="auto"/>
          <w:kern w:val="0"/>
          <w:sz w:val="24"/>
          <w:highlight w:val="none"/>
        </w:rPr>
        <w:t>投标人保证：除商务技术偏离表列出的偏离外，投标人响应采购文件的全部要求</w:t>
      </w:r>
    </w:p>
    <w:p>
      <w:pPr>
        <w:pStyle w:val="46"/>
        <w:snapToGrid w:val="0"/>
        <w:spacing w:line="360" w:lineRule="auto"/>
        <w:rPr>
          <w:rFonts w:ascii="仿宋" w:hAnsi="仿宋" w:eastAsia="仿宋" w:cs="宋体"/>
          <w:b/>
          <w:bCs/>
          <w:color w:val="auto"/>
          <w:sz w:val="32"/>
          <w:szCs w:val="32"/>
          <w:highlight w:val="none"/>
        </w:rPr>
      </w:pPr>
    </w:p>
    <w:p>
      <w:pPr>
        <w:pStyle w:val="34"/>
        <w:snapToGrid w:val="0"/>
        <w:jc w:val="center"/>
        <w:outlineLvl w:val="1"/>
        <w:rPr>
          <w:rFonts w:ascii="仿宋" w:hAnsi="仿宋" w:eastAsia="仿宋" w:cs="宋体"/>
          <w:b/>
          <w:bCs/>
          <w:color w:val="auto"/>
          <w:sz w:val="32"/>
          <w:szCs w:val="32"/>
          <w:highlight w:val="none"/>
          <w:lang w:val="en-US"/>
        </w:rPr>
      </w:pPr>
      <w:bookmarkStart w:id="796" w:name="_Toc16369"/>
      <w:bookmarkStart w:id="797" w:name="_Toc171895286"/>
      <w:r>
        <w:rPr>
          <w:rFonts w:hint="eastAsia" w:ascii="仿宋" w:hAnsi="仿宋" w:eastAsia="仿宋" w:cs="宋体"/>
          <w:b/>
          <w:bCs/>
          <w:color w:val="auto"/>
          <w:sz w:val="32"/>
          <w:szCs w:val="32"/>
          <w:highlight w:val="none"/>
          <w:lang w:val="en-US"/>
        </w:rPr>
        <w:t>十、</w:t>
      </w:r>
      <w:bookmarkEnd w:id="796"/>
      <w:bookmarkEnd w:id="797"/>
      <w:r>
        <w:rPr>
          <w:rFonts w:hint="eastAsia" w:ascii="仿宋" w:hAnsi="仿宋" w:eastAsia="仿宋" w:cs="宋体"/>
          <w:b/>
          <w:bCs/>
          <w:color w:val="auto"/>
          <w:sz w:val="32"/>
          <w:szCs w:val="32"/>
          <w:highlight w:val="none"/>
          <w:lang w:val="en-US"/>
        </w:rPr>
        <w:t>其他商务技术文件或说明</w:t>
      </w:r>
    </w:p>
    <w:p>
      <w:pPr>
        <w:snapToGrid w:val="0"/>
        <w:spacing w:line="360" w:lineRule="auto"/>
        <w:rPr>
          <w:rFonts w:ascii="仿宋" w:hAnsi="仿宋" w:eastAsia="仿宋" w:cs="仿宋_GB2312"/>
          <w:b/>
          <w:color w:val="auto"/>
          <w:kern w:val="0"/>
          <w:sz w:val="32"/>
          <w:szCs w:val="32"/>
          <w:highlight w:val="none"/>
        </w:rPr>
      </w:pPr>
    </w:p>
    <w:p>
      <w:pPr>
        <w:snapToGrid w:val="0"/>
        <w:spacing w:line="360" w:lineRule="auto"/>
        <w:ind w:firstLine="1911" w:firstLineChars="595"/>
        <w:rPr>
          <w:rFonts w:ascii="仿宋" w:hAnsi="仿宋" w:eastAsia="仿宋" w:cs="仿宋_GB2312"/>
          <w:b/>
          <w:color w:val="auto"/>
          <w:kern w:val="0"/>
          <w:sz w:val="32"/>
          <w:szCs w:val="32"/>
          <w:highlight w:val="none"/>
        </w:rPr>
      </w:pPr>
    </w:p>
    <w:p>
      <w:pPr>
        <w:pStyle w:val="36"/>
        <w:rPr>
          <w:color w:val="auto"/>
          <w:highlight w:val="none"/>
        </w:rPr>
      </w:pPr>
    </w:p>
    <w:p>
      <w:pPr>
        <w:rPr>
          <w:color w:val="auto"/>
          <w:highlight w:val="none"/>
        </w:rPr>
      </w:pPr>
    </w:p>
    <w:p>
      <w:pPr>
        <w:pStyle w:val="36"/>
        <w:rPr>
          <w:color w:val="auto"/>
          <w:highlight w:val="none"/>
        </w:rPr>
      </w:pPr>
    </w:p>
    <w:p>
      <w:pPr>
        <w:rPr>
          <w:color w:val="auto"/>
          <w:highlight w:val="none"/>
        </w:rPr>
      </w:pPr>
    </w:p>
    <w:p>
      <w:pPr>
        <w:pStyle w:val="36"/>
        <w:spacing w:line="360" w:lineRule="auto"/>
        <w:rPr>
          <w:rFonts w:ascii="仿宋" w:hAnsi="仿宋" w:eastAsia="仿宋"/>
          <w:color w:val="auto"/>
          <w:highlight w:val="none"/>
        </w:rPr>
      </w:pPr>
    </w:p>
    <w:p>
      <w:pPr>
        <w:spacing w:line="360" w:lineRule="auto"/>
        <w:rPr>
          <w:rFonts w:ascii="仿宋" w:hAnsi="仿宋" w:eastAsia="仿宋"/>
          <w:color w:val="auto"/>
          <w:highlight w:val="none"/>
        </w:rPr>
      </w:pPr>
    </w:p>
    <w:p>
      <w:pPr>
        <w:pStyle w:val="36"/>
        <w:spacing w:line="360" w:lineRule="auto"/>
        <w:rPr>
          <w:rFonts w:ascii="仿宋" w:hAnsi="仿宋" w:eastAsia="仿宋"/>
          <w:color w:val="auto"/>
          <w:highlight w:val="none"/>
        </w:rPr>
      </w:pPr>
    </w:p>
    <w:p>
      <w:pPr>
        <w:pStyle w:val="2"/>
        <w:tabs>
          <w:tab w:val="left" w:pos="432"/>
          <w:tab w:val="clear" w:pos="900"/>
        </w:tabs>
        <w:jc w:val="center"/>
        <w:rPr>
          <w:rStyle w:val="1100"/>
          <w:rFonts w:ascii="仿宋" w:hAnsi="仿宋" w:eastAsia="仿宋"/>
          <w:color w:val="auto"/>
          <w:highlight w:val="none"/>
          <w:lang w:val="en-US"/>
        </w:rPr>
      </w:pPr>
      <w:bookmarkStart w:id="798" w:name="_Toc7937"/>
      <w:bookmarkStart w:id="799" w:name="_Toc9627"/>
      <w:r>
        <w:rPr>
          <w:rStyle w:val="1100"/>
          <w:rFonts w:hint="eastAsia" w:ascii="仿宋" w:hAnsi="仿宋" w:eastAsia="仿宋"/>
          <w:color w:val="auto"/>
          <w:highlight w:val="none"/>
          <w:lang w:val="en-US"/>
        </w:rPr>
        <w:t>十一、政府采购供应商廉洁自律承诺书</w:t>
      </w:r>
      <w:bookmarkEnd w:id="772"/>
      <w:bookmarkEnd w:id="773"/>
      <w:bookmarkEnd w:id="774"/>
      <w:bookmarkEnd w:id="775"/>
      <w:bookmarkEnd w:id="798"/>
      <w:bookmarkEnd w:id="799"/>
    </w:p>
    <w:p>
      <w:pPr>
        <w:snapToGrid w:val="0"/>
        <w:spacing w:line="360" w:lineRule="auto"/>
        <w:rPr>
          <w:rFonts w:ascii="仿宋" w:hAnsi="仿宋" w:eastAsia="仿宋" w:cs="仿宋_GB2312"/>
          <w:color w:val="auto"/>
          <w:sz w:val="24"/>
          <w:highlight w:val="none"/>
        </w:rPr>
      </w:pPr>
    </w:p>
    <w:p>
      <w:pPr>
        <w:snapToGrid w:val="0"/>
        <w:spacing w:line="360" w:lineRule="auto"/>
        <w:rPr>
          <w:rFonts w:ascii="仿宋" w:hAnsi="仿宋" w:eastAsia="仿宋" w:cs="仿宋_GB2312"/>
          <w:color w:val="auto"/>
          <w:kern w:val="0"/>
          <w:sz w:val="24"/>
          <w:highlight w:val="none"/>
        </w:rPr>
      </w:pPr>
      <w:r>
        <w:rPr>
          <w:rFonts w:hint="eastAsia" w:ascii="仿宋" w:hAnsi="仿宋" w:eastAsia="仿宋" w:cs="仿宋_GB2312"/>
          <w:color w:val="auto"/>
          <w:sz w:val="24"/>
          <w:highlight w:val="none"/>
          <w:u w:val="single"/>
        </w:rPr>
        <w:t>杭州市临平区人民政府临平街道办事处 、杭州中瑞招标代理有限公司</w:t>
      </w:r>
      <w:r>
        <w:rPr>
          <w:rFonts w:hint="eastAsia" w:ascii="仿宋" w:hAnsi="仿宋" w:eastAsia="仿宋" w:cs="仿宋_GB2312"/>
          <w:color w:val="auto"/>
          <w:kern w:val="0"/>
          <w:sz w:val="24"/>
          <w:highlight w:val="none"/>
          <w:lang w:val="zh-CN"/>
        </w:rPr>
        <w:t>：</w:t>
      </w:r>
    </w:p>
    <w:p>
      <w:pPr>
        <w:autoSpaceDE w:val="0"/>
        <w:autoSpaceDN w:val="0"/>
        <w:snapToGrid w:val="0"/>
        <w:spacing w:line="360" w:lineRule="auto"/>
        <w:ind w:firstLine="480" w:firstLineChars="200"/>
        <w:jc w:val="left"/>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我单位响应你</w:t>
      </w:r>
      <w:r>
        <w:rPr>
          <w:rFonts w:hint="eastAsia" w:ascii="仿宋" w:hAnsi="仿宋" w:eastAsia="仿宋" w:cs="仿宋_GB2312"/>
          <w:color w:val="auto"/>
          <w:sz w:val="24"/>
          <w:highlight w:val="none"/>
        </w:rPr>
        <w:t>单位</w:t>
      </w:r>
      <w:r>
        <w:rPr>
          <w:rFonts w:hint="eastAsia" w:ascii="仿宋" w:hAnsi="仿宋" w:eastAsia="仿宋" w:cs="仿宋_GB2312"/>
          <w:color w:val="auto"/>
          <w:kern w:val="0"/>
          <w:sz w:val="24"/>
          <w:highlight w:val="none"/>
          <w:lang w:val="zh-CN"/>
        </w:rPr>
        <w:t>项目招标要求参加投标。在这次投标过程中和中标后，我们将严格遵守国家法律法规要求，并郑重承诺：</w:t>
      </w:r>
    </w:p>
    <w:p>
      <w:pPr>
        <w:autoSpaceDE w:val="0"/>
        <w:autoSpaceDN w:val="0"/>
        <w:snapToGrid w:val="0"/>
        <w:spacing w:line="360" w:lineRule="auto"/>
        <w:ind w:firstLine="480" w:firstLineChars="200"/>
        <w:jc w:val="left"/>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一、不向项目有关人员及部门赠送礼金礼物、有价证券、回扣以及中介费、介绍费、咨询费等好处费；</w:t>
      </w:r>
      <w:r>
        <w:rPr>
          <w:rFonts w:ascii="仿宋" w:hAnsi="仿宋" w:eastAsia="仿宋" w:cs="仿宋_GB2312"/>
          <w:color w:val="auto"/>
          <w:kern w:val="0"/>
          <w:sz w:val="24"/>
          <w:highlight w:val="none"/>
          <w:lang w:val="zh-CN"/>
        </w:rPr>
        <w:t xml:space="preserve"> </w:t>
      </w:r>
    </w:p>
    <w:p>
      <w:pPr>
        <w:autoSpaceDE w:val="0"/>
        <w:autoSpaceDN w:val="0"/>
        <w:snapToGrid w:val="0"/>
        <w:spacing w:line="360" w:lineRule="auto"/>
        <w:ind w:firstLine="480" w:firstLineChars="200"/>
        <w:jc w:val="left"/>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二、不为项目有关人员及部门报销应由你方单位或个人支付的费用；</w:t>
      </w:r>
      <w:r>
        <w:rPr>
          <w:rFonts w:ascii="仿宋" w:hAnsi="仿宋" w:eastAsia="仿宋" w:cs="仿宋_GB2312"/>
          <w:color w:val="auto"/>
          <w:kern w:val="0"/>
          <w:sz w:val="24"/>
          <w:highlight w:val="none"/>
          <w:lang w:val="zh-CN"/>
        </w:rPr>
        <w:t xml:space="preserve"> </w:t>
      </w:r>
    </w:p>
    <w:p>
      <w:pPr>
        <w:autoSpaceDE w:val="0"/>
        <w:autoSpaceDN w:val="0"/>
        <w:snapToGrid w:val="0"/>
        <w:spacing w:line="360" w:lineRule="auto"/>
        <w:ind w:firstLine="480" w:firstLineChars="200"/>
        <w:jc w:val="left"/>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三、不向项目有关人员及部门提供有可能影响公正的宴请和健身娱乐等活动；</w:t>
      </w:r>
      <w:r>
        <w:rPr>
          <w:rFonts w:ascii="仿宋" w:hAnsi="仿宋" w:eastAsia="仿宋" w:cs="仿宋_GB2312"/>
          <w:color w:val="auto"/>
          <w:kern w:val="0"/>
          <w:sz w:val="24"/>
          <w:highlight w:val="none"/>
          <w:lang w:val="zh-CN"/>
        </w:rPr>
        <w:t xml:space="preserve"> </w:t>
      </w:r>
    </w:p>
    <w:p>
      <w:pPr>
        <w:autoSpaceDE w:val="0"/>
        <w:autoSpaceDN w:val="0"/>
        <w:snapToGrid w:val="0"/>
        <w:spacing w:line="360" w:lineRule="auto"/>
        <w:ind w:firstLine="480" w:firstLineChars="200"/>
        <w:jc w:val="left"/>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四、不为项目有关人员及部门出国（境）、旅游等提供方便；</w:t>
      </w:r>
    </w:p>
    <w:p>
      <w:pPr>
        <w:autoSpaceDE w:val="0"/>
        <w:autoSpaceDN w:val="0"/>
        <w:snapToGrid w:val="0"/>
        <w:spacing w:line="360" w:lineRule="auto"/>
        <w:ind w:firstLine="480" w:firstLineChars="200"/>
        <w:jc w:val="left"/>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五、不为项目有关人员个人装修住房、婚丧嫁娶、配偶子女工作安排等提供好处；</w:t>
      </w:r>
    </w:p>
    <w:p>
      <w:pPr>
        <w:autoSpaceDE w:val="0"/>
        <w:autoSpaceDN w:val="0"/>
        <w:snapToGrid w:val="0"/>
        <w:spacing w:line="360" w:lineRule="auto"/>
        <w:ind w:firstLine="480" w:firstLineChars="200"/>
        <w:jc w:val="left"/>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六、严格遵守《中华人民共和国政府采购法》《中华人民共和国招标投标</w:t>
      </w:r>
    </w:p>
    <w:p>
      <w:pPr>
        <w:autoSpaceDE w:val="0"/>
        <w:autoSpaceDN w:val="0"/>
        <w:snapToGrid w:val="0"/>
        <w:spacing w:line="360" w:lineRule="auto"/>
        <w:ind w:firstLine="480" w:firstLineChars="200"/>
        <w:jc w:val="left"/>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法》《中华人民共和国民法典》等法律法规，诚实守信，合法经营，坚决抵制各种违法违纪行为。</w:t>
      </w:r>
      <w:r>
        <w:rPr>
          <w:rFonts w:ascii="仿宋" w:hAnsi="仿宋" w:eastAsia="仿宋" w:cs="仿宋_GB2312"/>
          <w:color w:val="auto"/>
          <w:kern w:val="0"/>
          <w:sz w:val="24"/>
          <w:highlight w:val="none"/>
          <w:lang w:val="zh-CN"/>
        </w:rPr>
        <w:t xml:space="preserve"> </w:t>
      </w:r>
    </w:p>
    <w:p>
      <w:pPr>
        <w:autoSpaceDE w:val="0"/>
        <w:autoSpaceDN w:val="0"/>
        <w:snapToGrid w:val="0"/>
        <w:spacing w:line="360" w:lineRule="auto"/>
        <w:ind w:firstLine="480" w:firstLineChars="200"/>
        <w:jc w:val="left"/>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如违反上述承诺，你</w:t>
      </w:r>
      <w:r>
        <w:rPr>
          <w:rFonts w:hint="eastAsia" w:ascii="仿宋" w:hAnsi="仿宋" w:eastAsia="仿宋" w:cs="仿宋_GB2312"/>
          <w:color w:val="auto"/>
          <w:sz w:val="24"/>
          <w:highlight w:val="none"/>
        </w:rPr>
        <w:t>单位</w:t>
      </w:r>
      <w:r>
        <w:rPr>
          <w:rFonts w:hint="eastAsia" w:ascii="仿宋" w:hAnsi="仿宋" w:eastAsia="仿宋" w:cs="仿宋_GB2312"/>
          <w:color w:val="auto"/>
          <w:kern w:val="0"/>
          <w:sz w:val="24"/>
          <w:highlight w:val="none"/>
          <w:lang w:val="zh-CN"/>
        </w:rPr>
        <w:t>有权立即取消我单位投标、中标或在建项目的建设资格，有权拒绝我单位在一定时期内进入你</w:t>
      </w:r>
      <w:r>
        <w:rPr>
          <w:rFonts w:hint="eastAsia" w:ascii="仿宋" w:hAnsi="仿宋" w:eastAsia="仿宋" w:cs="仿宋_GB2312"/>
          <w:color w:val="auto"/>
          <w:sz w:val="24"/>
          <w:highlight w:val="none"/>
        </w:rPr>
        <w:t>单位</w:t>
      </w:r>
      <w:r>
        <w:rPr>
          <w:rFonts w:hint="eastAsia" w:ascii="仿宋" w:hAnsi="仿宋" w:eastAsia="仿宋" w:cs="仿宋_GB2312"/>
          <w:color w:val="auto"/>
          <w:kern w:val="0"/>
          <w:sz w:val="24"/>
          <w:highlight w:val="none"/>
          <w:lang w:val="zh-CN"/>
        </w:rPr>
        <w:t>进行项目建设或其他经营活动，并通报市财政局。由此引起的相应损失均由我单位承担。</w:t>
      </w:r>
    </w:p>
    <w:p>
      <w:pPr>
        <w:autoSpaceDE w:val="0"/>
        <w:autoSpaceDN w:val="0"/>
        <w:snapToGrid w:val="0"/>
        <w:spacing w:line="360" w:lineRule="auto"/>
        <w:jc w:val="left"/>
        <w:rPr>
          <w:rFonts w:ascii="仿宋" w:hAnsi="仿宋" w:eastAsia="仿宋" w:cs="仿宋_GB2312"/>
          <w:color w:val="auto"/>
          <w:kern w:val="0"/>
          <w:sz w:val="24"/>
          <w:highlight w:val="none"/>
          <w:lang w:val="zh-CN"/>
        </w:rPr>
      </w:pPr>
    </w:p>
    <w:p>
      <w:pPr>
        <w:autoSpaceDE w:val="0"/>
        <w:autoSpaceDN w:val="0"/>
        <w:snapToGrid w:val="0"/>
        <w:spacing w:line="360" w:lineRule="auto"/>
        <w:jc w:val="left"/>
        <w:rPr>
          <w:rFonts w:ascii="仿宋" w:hAnsi="仿宋" w:eastAsia="仿宋" w:cs="仿宋_GB2312"/>
          <w:color w:val="auto"/>
          <w:kern w:val="0"/>
          <w:sz w:val="24"/>
          <w:highlight w:val="none"/>
          <w:lang w:val="zh-CN"/>
        </w:rPr>
      </w:pPr>
    </w:p>
    <w:p>
      <w:pPr>
        <w:autoSpaceDE w:val="0"/>
        <w:autoSpaceDN w:val="0"/>
        <w:snapToGrid w:val="0"/>
        <w:spacing w:line="360" w:lineRule="auto"/>
        <w:jc w:val="left"/>
        <w:rPr>
          <w:rFonts w:ascii="仿宋" w:hAnsi="仿宋" w:eastAsia="仿宋" w:cs="仿宋_GB2312"/>
          <w:color w:val="auto"/>
          <w:kern w:val="0"/>
          <w:sz w:val="24"/>
          <w:highlight w:val="none"/>
          <w:lang w:val="zh-CN"/>
        </w:rPr>
      </w:pPr>
    </w:p>
    <w:p>
      <w:pPr>
        <w:autoSpaceDE w:val="0"/>
        <w:autoSpaceDN w:val="0"/>
        <w:snapToGrid w:val="0"/>
        <w:spacing w:line="360" w:lineRule="auto"/>
        <w:ind w:firstLine="5760" w:firstLineChars="2400"/>
        <w:jc w:val="left"/>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投标人名称(电子签名)：</w:t>
      </w:r>
      <w:r>
        <w:rPr>
          <w:rFonts w:ascii="仿宋" w:hAnsi="仿宋" w:eastAsia="仿宋" w:cs="仿宋_GB2312"/>
          <w:color w:val="auto"/>
          <w:kern w:val="0"/>
          <w:sz w:val="24"/>
          <w:highlight w:val="none"/>
          <w:lang w:val="zh-CN"/>
        </w:rPr>
        <w:t xml:space="preserve">                                                                                                                                                                                                               </w:t>
      </w:r>
    </w:p>
    <w:p>
      <w:pPr>
        <w:snapToGrid w:val="0"/>
        <w:spacing w:line="360" w:lineRule="auto"/>
        <w:jc w:val="right"/>
        <w:rPr>
          <w:rFonts w:ascii="仿宋" w:hAnsi="仿宋" w:eastAsia="仿宋"/>
          <w:color w:val="auto"/>
          <w:sz w:val="24"/>
          <w:highlight w:val="none"/>
        </w:rPr>
      </w:pPr>
      <w:r>
        <w:rPr>
          <w:rFonts w:hint="eastAsia" w:ascii="仿宋" w:hAnsi="仿宋" w:eastAsia="仿宋" w:cs="仿宋_GB2312"/>
          <w:color w:val="auto"/>
          <w:kern w:val="0"/>
          <w:sz w:val="24"/>
          <w:highlight w:val="none"/>
          <w:lang w:val="zh-CN"/>
        </w:rPr>
        <w:t>日期</w:t>
      </w:r>
      <w:r>
        <w:rPr>
          <w:rFonts w:hint="eastAsia" w:ascii="仿宋" w:hAnsi="仿宋" w:eastAsia="仿宋" w:cs="仿宋_GB2312"/>
          <w:color w:val="auto"/>
          <w:kern w:val="0"/>
          <w:sz w:val="24"/>
          <w:highlight w:val="none"/>
        </w:rPr>
        <w:t>：</w:t>
      </w:r>
      <w:r>
        <w:rPr>
          <w:rFonts w:ascii="仿宋" w:hAnsi="仿宋" w:eastAsia="仿宋" w:cs="仿宋_GB2312"/>
          <w:color w:val="auto"/>
          <w:kern w:val="0"/>
          <w:sz w:val="24"/>
          <w:highlight w:val="none"/>
          <w:lang w:val="zh-CN"/>
        </w:rPr>
        <w:t xml:space="preserve">   年   月   日</w:t>
      </w:r>
    </w:p>
    <w:p>
      <w:pPr>
        <w:snapToGrid w:val="0"/>
        <w:spacing w:line="360" w:lineRule="auto"/>
        <w:rPr>
          <w:rFonts w:ascii="仿宋" w:hAnsi="仿宋" w:eastAsia="仿宋" w:cs="仿宋_GB2312"/>
          <w:b/>
          <w:color w:val="auto"/>
          <w:kern w:val="0"/>
          <w:sz w:val="36"/>
          <w:szCs w:val="36"/>
          <w:highlight w:val="none"/>
        </w:rPr>
      </w:pPr>
      <w:r>
        <w:rPr>
          <w:rFonts w:hint="eastAsia" w:ascii="仿宋" w:hAnsi="仿宋" w:eastAsia="仿宋" w:cs="仿宋_GB2312"/>
          <w:b/>
          <w:color w:val="auto"/>
          <w:kern w:val="0"/>
          <w:sz w:val="36"/>
          <w:szCs w:val="36"/>
          <w:highlight w:val="none"/>
        </w:rPr>
        <w:br w:type="page"/>
      </w:r>
    </w:p>
    <w:p>
      <w:pPr>
        <w:pStyle w:val="5"/>
        <w:jc w:val="center"/>
        <w:rPr>
          <w:rFonts w:ascii="仿宋" w:hAnsi="仿宋" w:eastAsia="仿宋"/>
          <w:color w:val="auto"/>
          <w:szCs w:val="28"/>
          <w:highlight w:val="none"/>
        </w:rPr>
      </w:pPr>
      <w:bookmarkStart w:id="800" w:name="_Toc95313023"/>
      <w:bookmarkStart w:id="801" w:name="_Toc13284"/>
      <w:bookmarkStart w:id="802" w:name="_Toc28502"/>
      <w:bookmarkStart w:id="803" w:name="_Toc1530462139"/>
      <w:bookmarkStart w:id="804" w:name="_Toc7258"/>
      <w:bookmarkStart w:id="805" w:name="_Toc10259"/>
      <w:r>
        <w:rPr>
          <w:rFonts w:hint="eastAsia" w:ascii="仿宋" w:hAnsi="仿宋" w:eastAsia="仿宋"/>
          <w:color w:val="auto"/>
          <w:szCs w:val="28"/>
          <w:highlight w:val="none"/>
        </w:rPr>
        <w:t>报价文件部分</w:t>
      </w:r>
      <w:bookmarkEnd w:id="800"/>
      <w:bookmarkEnd w:id="801"/>
      <w:bookmarkEnd w:id="802"/>
      <w:bookmarkEnd w:id="803"/>
      <w:bookmarkEnd w:id="804"/>
      <w:bookmarkEnd w:id="805"/>
    </w:p>
    <w:p>
      <w:pPr>
        <w:snapToGrid w:val="0"/>
        <w:spacing w:line="360" w:lineRule="auto"/>
        <w:jc w:val="center"/>
        <w:rPr>
          <w:rFonts w:ascii="仿宋" w:hAnsi="仿宋" w:eastAsia="仿宋" w:cs="仿宋_GB2312"/>
          <w:b/>
          <w:color w:val="auto"/>
          <w:kern w:val="0"/>
          <w:sz w:val="36"/>
          <w:szCs w:val="36"/>
          <w:highlight w:val="none"/>
        </w:rPr>
      </w:pPr>
      <w:r>
        <w:rPr>
          <w:rFonts w:hint="eastAsia" w:ascii="仿宋" w:hAnsi="仿宋" w:eastAsia="仿宋" w:cs="仿宋_GB2312"/>
          <w:b/>
          <w:color w:val="auto"/>
          <w:kern w:val="0"/>
          <w:sz w:val="36"/>
          <w:szCs w:val="36"/>
          <w:highlight w:val="none"/>
        </w:rPr>
        <w:t>目录</w:t>
      </w:r>
    </w:p>
    <w:p>
      <w:pPr>
        <w:snapToGrid w:val="0"/>
        <w:spacing w:line="360" w:lineRule="auto"/>
        <w:jc w:val="center"/>
        <w:rPr>
          <w:rFonts w:ascii="仿宋" w:hAnsi="仿宋" w:eastAsia="仿宋" w:cs="仿宋_GB2312"/>
          <w:b/>
          <w:color w:val="auto"/>
          <w:kern w:val="0"/>
          <w:sz w:val="36"/>
          <w:szCs w:val="36"/>
          <w:highlight w:val="none"/>
        </w:rPr>
      </w:pPr>
    </w:p>
    <w:p>
      <w:pPr>
        <w:pStyle w:val="125"/>
        <w:snapToGrid w:val="0"/>
        <w:ind w:firstLine="0" w:firstLineChars="0"/>
        <w:rPr>
          <w:rFonts w:ascii="仿宋" w:hAnsi="仿宋" w:eastAsia="仿宋" w:cs="仿宋_GB2312"/>
          <w:color w:val="auto"/>
          <w:highlight w:val="none"/>
        </w:rPr>
      </w:pPr>
      <w:r>
        <w:rPr>
          <w:rFonts w:hint="eastAsia" w:ascii="仿宋" w:hAnsi="仿宋" w:eastAsia="仿宋" w:cs="仿宋_GB2312"/>
          <w:color w:val="auto"/>
          <w:highlight w:val="none"/>
        </w:rPr>
        <w:t>（</w:t>
      </w:r>
      <w:r>
        <w:rPr>
          <w:rFonts w:ascii="仿宋" w:hAnsi="仿宋" w:eastAsia="仿宋" w:cs="仿宋_GB2312"/>
          <w:color w:val="auto"/>
          <w:highlight w:val="none"/>
        </w:rPr>
        <w:t>1）开标一览表（报价表）……</w:t>
      </w:r>
      <w:r>
        <w:rPr>
          <w:rFonts w:hint="eastAsia" w:ascii="仿宋" w:hAnsi="仿宋" w:eastAsia="仿宋" w:cs="仿宋_GB2312"/>
          <w:color w:val="auto"/>
          <w:highlight w:val="none"/>
        </w:rPr>
        <w:t>……………………………………………（页码）</w:t>
      </w:r>
    </w:p>
    <w:p>
      <w:pPr>
        <w:pStyle w:val="125"/>
        <w:snapToGrid w:val="0"/>
        <w:ind w:firstLine="0" w:firstLineChars="0"/>
        <w:rPr>
          <w:rFonts w:ascii="仿宋" w:hAnsi="仿宋" w:eastAsia="仿宋" w:cs="仿宋_GB2312"/>
          <w:color w:val="auto"/>
          <w:highlight w:val="none"/>
        </w:rPr>
      </w:pPr>
    </w:p>
    <w:p>
      <w:pPr>
        <w:snapToGrid w:val="0"/>
        <w:spacing w:line="360" w:lineRule="auto"/>
        <w:jc w:val="center"/>
        <w:rPr>
          <w:rFonts w:ascii="仿宋" w:hAnsi="仿宋" w:eastAsia="仿宋" w:cs="仿宋_GB2312"/>
          <w:b/>
          <w:color w:val="auto"/>
          <w:kern w:val="0"/>
          <w:sz w:val="32"/>
          <w:szCs w:val="32"/>
          <w:highlight w:val="none"/>
        </w:rPr>
      </w:pPr>
    </w:p>
    <w:p>
      <w:pPr>
        <w:snapToGrid w:val="0"/>
        <w:spacing w:line="360" w:lineRule="auto"/>
        <w:jc w:val="center"/>
        <w:rPr>
          <w:rFonts w:ascii="仿宋" w:hAnsi="仿宋" w:eastAsia="仿宋" w:cs="仿宋_GB2312"/>
          <w:b/>
          <w:color w:val="auto"/>
          <w:kern w:val="0"/>
          <w:sz w:val="32"/>
          <w:szCs w:val="32"/>
          <w:highlight w:val="none"/>
        </w:rPr>
      </w:pPr>
    </w:p>
    <w:p>
      <w:pPr>
        <w:snapToGrid w:val="0"/>
        <w:spacing w:line="360" w:lineRule="auto"/>
        <w:jc w:val="center"/>
        <w:rPr>
          <w:rFonts w:ascii="仿宋" w:hAnsi="仿宋" w:eastAsia="仿宋" w:cs="仿宋_GB2312"/>
          <w:b/>
          <w:color w:val="auto"/>
          <w:kern w:val="0"/>
          <w:sz w:val="32"/>
          <w:szCs w:val="32"/>
          <w:highlight w:val="none"/>
        </w:rPr>
      </w:pPr>
    </w:p>
    <w:p>
      <w:pPr>
        <w:snapToGrid w:val="0"/>
        <w:spacing w:line="360" w:lineRule="auto"/>
        <w:jc w:val="center"/>
        <w:rPr>
          <w:rFonts w:ascii="仿宋" w:hAnsi="仿宋" w:eastAsia="仿宋" w:cs="仿宋_GB2312"/>
          <w:b/>
          <w:color w:val="auto"/>
          <w:kern w:val="0"/>
          <w:sz w:val="32"/>
          <w:szCs w:val="32"/>
          <w:highlight w:val="none"/>
        </w:rPr>
      </w:pPr>
    </w:p>
    <w:p>
      <w:pPr>
        <w:snapToGrid w:val="0"/>
        <w:spacing w:line="360" w:lineRule="auto"/>
        <w:jc w:val="center"/>
        <w:rPr>
          <w:rFonts w:ascii="仿宋" w:hAnsi="仿宋" w:eastAsia="仿宋" w:cs="仿宋_GB2312"/>
          <w:b/>
          <w:color w:val="auto"/>
          <w:kern w:val="0"/>
          <w:sz w:val="32"/>
          <w:szCs w:val="32"/>
          <w:highlight w:val="none"/>
        </w:rPr>
      </w:pPr>
    </w:p>
    <w:p>
      <w:pPr>
        <w:snapToGrid w:val="0"/>
        <w:spacing w:line="360" w:lineRule="auto"/>
        <w:jc w:val="center"/>
        <w:rPr>
          <w:rFonts w:ascii="仿宋" w:hAnsi="仿宋" w:eastAsia="仿宋" w:cs="仿宋_GB2312"/>
          <w:b/>
          <w:color w:val="auto"/>
          <w:kern w:val="0"/>
          <w:sz w:val="32"/>
          <w:szCs w:val="32"/>
          <w:highlight w:val="none"/>
        </w:rPr>
      </w:pPr>
    </w:p>
    <w:p>
      <w:pPr>
        <w:snapToGrid w:val="0"/>
        <w:spacing w:line="360" w:lineRule="auto"/>
        <w:jc w:val="center"/>
        <w:rPr>
          <w:rFonts w:ascii="仿宋" w:hAnsi="仿宋" w:eastAsia="仿宋" w:cs="仿宋_GB2312"/>
          <w:b/>
          <w:color w:val="auto"/>
          <w:kern w:val="0"/>
          <w:sz w:val="32"/>
          <w:szCs w:val="32"/>
          <w:highlight w:val="none"/>
        </w:rPr>
      </w:pPr>
    </w:p>
    <w:p>
      <w:pPr>
        <w:snapToGrid w:val="0"/>
        <w:spacing w:line="360" w:lineRule="auto"/>
        <w:jc w:val="center"/>
        <w:rPr>
          <w:rFonts w:ascii="仿宋" w:hAnsi="仿宋" w:eastAsia="仿宋" w:cs="仿宋_GB2312"/>
          <w:b/>
          <w:color w:val="auto"/>
          <w:kern w:val="0"/>
          <w:sz w:val="32"/>
          <w:szCs w:val="32"/>
          <w:highlight w:val="none"/>
        </w:rPr>
      </w:pPr>
    </w:p>
    <w:p>
      <w:pPr>
        <w:snapToGrid w:val="0"/>
        <w:spacing w:line="360" w:lineRule="auto"/>
        <w:jc w:val="center"/>
        <w:rPr>
          <w:rFonts w:ascii="仿宋" w:hAnsi="仿宋" w:eastAsia="仿宋" w:cs="仿宋_GB2312"/>
          <w:b/>
          <w:color w:val="auto"/>
          <w:kern w:val="0"/>
          <w:sz w:val="32"/>
          <w:szCs w:val="32"/>
          <w:highlight w:val="none"/>
        </w:rPr>
      </w:pPr>
    </w:p>
    <w:p>
      <w:pPr>
        <w:snapToGrid w:val="0"/>
        <w:spacing w:line="360" w:lineRule="auto"/>
        <w:jc w:val="center"/>
        <w:rPr>
          <w:rFonts w:ascii="仿宋" w:hAnsi="仿宋" w:eastAsia="仿宋" w:cs="仿宋_GB2312"/>
          <w:b/>
          <w:color w:val="auto"/>
          <w:kern w:val="0"/>
          <w:sz w:val="32"/>
          <w:szCs w:val="32"/>
          <w:highlight w:val="none"/>
        </w:rPr>
      </w:pPr>
    </w:p>
    <w:p>
      <w:pPr>
        <w:snapToGrid w:val="0"/>
        <w:spacing w:line="360" w:lineRule="auto"/>
        <w:jc w:val="center"/>
        <w:rPr>
          <w:rFonts w:ascii="仿宋" w:hAnsi="仿宋" w:eastAsia="仿宋" w:cs="仿宋_GB2312"/>
          <w:b/>
          <w:color w:val="auto"/>
          <w:kern w:val="0"/>
          <w:sz w:val="32"/>
          <w:szCs w:val="32"/>
          <w:highlight w:val="none"/>
        </w:rPr>
      </w:pPr>
    </w:p>
    <w:p>
      <w:pPr>
        <w:snapToGrid w:val="0"/>
        <w:spacing w:line="360" w:lineRule="auto"/>
        <w:jc w:val="center"/>
        <w:rPr>
          <w:rFonts w:ascii="仿宋" w:hAnsi="仿宋" w:eastAsia="仿宋" w:cs="仿宋_GB2312"/>
          <w:b/>
          <w:color w:val="auto"/>
          <w:kern w:val="0"/>
          <w:sz w:val="32"/>
          <w:szCs w:val="32"/>
          <w:highlight w:val="none"/>
        </w:rPr>
      </w:pPr>
    </w:p>
    <w:p>
      <w:pPr>
        <w:snapToGrid w:val="0"/>
        <w:spacing w:line="360" w:lineRule="auto"/>
        <w:jc w:val="center"/>
        <w:rPr>
          <w:rFonts w:ascii="仿宋" w:hAnsi="仿宋" w:eastAsia="仿宋" w:cs="仿宋_GB2312"/>
          <w:b/>
          <w:color w:val="auto"/>
          <w:kern w:val="0"/>
          <w:sz w:val="32"/>
          <w:szCs w:val="32"/>
          <w:highlight w:val="none"/>
        </w:rPr>
      </w:pPr>
    </w:p>
    <w:p>
      <w:pPr>
        <w:snapToGrid w:val="0"/>
        <w:spacing w:line="360" w:lineRule="auto"/>
        <w:jc w:val="center"/>
        <w:rPr>
          <w:rFonts w:ascii="仿宋" w:hAnsi="仿宋" w:eastAsia="仿宋" w:cs="仿宋_GB2312"/>
          <w:b/>
          <w:color w:val="auto"/>
          <w:kern w:val="0"/>
          <w:sz w:val="32"/>
          <w:szCs w:val="32"/>
          <w:highlight w:val="none"/>
        </w:rPr>
      </w:pPr>
    </w:p>
    <w:p>
      <w:pPr>
        <w:pStyle w:val="401"/>
        <w:tabs>
          <w:tab w:val="clear" w:pos="720"/>
        </w:tabs>
        <w:snapToGrid w:val="0"/>
        <w:ind w:firstLine="643"/>
        <w:outlineLvl w:val="9"/>
        <w:rPr>
          <w:rFonts w:ascii="仿宋" w:hAnsi="仿宋" w:eastAsia="仿宋" w:cs="仿宋_GB2312"/>
          <w:color w:val="auto"/>
          <w:kern w:val="2"/>
          <w:sz w:val="32"/>
          <w:szCs w:val="32"/>
          <w:highlight w:val="none"/>
        </w:rPr>
        <w:sectPr>
          <w:footerReference r:id="rId6" w:type="default"/>
          <w:pgSz w:w="11906" w:h="16838"/>
          <w:pgMar w:top="1440" w:right="1797" w:bottom="1440" w:left="1797" w:header="851" w:footer="992" w:gutter="0"/>
          <w:cols w:space="720" w:num="1"/>
          <w:docGrid w:linePitch="312" w:charSpace="0"/>
        </w:sectPr>
      </w:pPr>
    </w:p>
    <w:p>
      <w:pPr>
        <w:pStyle w:val="2"/>
        <w:tabs>
          <w:tab w:val="left" w:pos="432"/>
          <w:tab w:val="clear" w:pos="900"/>
        </w:tabs>
        <w:jc w:val="center"/>
        <w:rPr>
          <w:rStyle w:val="1100"/>
          <w:rFonts w:ascii="仿宋" w:hAnsi="仿宋" w:eastAsia="仿宋"/>
          <w:color w:val="auto"/>
          <w:highlight w:val="none"/>
          <w:lang w:val="en-US"/>
        </w:rPr>
      </w:pPr>
      <w:bookmarkStart w:id="806" w:name="_Toc2065530054"/>
      <w:bookmarkStart w:id="807" w:name="_Toc25121"/>
      <w:bookmarkStart w:id="808" w:name="_Toc95313024"/>
      <w:bookmarkStart w:id="809" w:name="_Toc29369"/>
      <w:bookmarkStart w:id="810" w:name="_Toc22914"/>
      <w:bookmarkStart w:id="811" w:name="_Toc4493"/>
      <w:r>
        <w:rPr>
          <w:rStyle w:val="1100"/>
          <w:rFonts w:hint="eastAsia" w:ascii="仿宋" w:hAnsi="仿宋" w:eastAsia="仿宋"/>
          <w:color w:val="auto"/>
          <w:highlight w:val="none"/>
          <w:lang w:val="en-US"/>
        </w:rPr>
        <w:t>一、开标一览表（报价表）</w:t>
      </w:r>
      <w:bookmarkEnd w:id="806"/>
      <w:bookmarkEnd w:id="807"/>
      <w:bookmarkEnd w:id="808"/>
      <w:bookmarkEnd w:id="809"/>
      <w:bookmarkEnd w:id="810"/>
      <w:bookmarkEnd w:id="811"/>
    </w:p>
    <w:p>
      <w:pPr>
        <w:snapToGrid w:val="0"/>
        <w:spacing w:line="360" w:lineRule="auto"/>
        <w:rPr>
          <w:rFonts w:ascii="仿宋" w:hAnsi="仿宋" w:eastAsia="仿宋" w:cs="仿宋_GB2312"/>
          <w:color w:val="auto"/>
          <w:kern w:val="0"/>
          <w:sz w:val="24"/>
          <w:highlight w:val="none"/>
        </w:rPr>
      </w:pPr>
      <w:r>
        <w:rPr>
          <w:rFonts w:hint="eastAsia" w:ascii="仿宋" w:hAnsi="仿宋" w:eastAsia="仿宋" w:cs="仿宋_GB2312"/>
          <w:color w:val="auto"/>
          <w:sz w:val="24"/>
          <w:highlight w:val="none"/>
          <w:u w:val="single"/>
        </w:rPr>
        <w:t>杭州市临平区人民政府临平街道办事处 、杭州中瑞招标代理有限公司</w:t>
      </w:r>
      <w:r>
        <w:rPr>
          <w:rFonts w:hint="eastAsia" w:ascii="仿宋" w:hAnsi="仿宋" w:eastAsia="仿宋" w:cs="仿宋_GB2312"/>
          <w:color w:val="auto"/>
          <w:kern w:val="0"/>
          <w:sz w:val="24"/>
          <w:highlight w:val="none"/>
          <w:lang w:val="zh-CN"/>
        </w:rPr>
        <w:t>：</w:t>
      </w:r>
    </w:p>
    <w:p>
      <w:pPr>
        <w:snapToGrid w:val="0"/>
        <w:spacing w:line="360" w:lineRule="auto"/>
        <w:ind w:firstLine="482"/>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按你方采购文件要求，我们，本投标文件签字方，谨此向你方发出要约如下：如你方接受本投标，我方承诺按照如下开标一览表（报价表）的价格完成</w:t>
      </w:r>
      <w:r>
        <w:rPr>
          <w:rFonts w:hint="eastAsia" w:ascii="仿宋" w:hAnsi="仿宋" w:eastAsia="仿宋" w:cs="仿宋_GB2312"/>
          <w:color w:val="auto"/>
          <w:sz w:val="24"/>
          <w:highlight w:val="none"/>
        </w:rPr>
        <w:t>“俞樾纪念馆”陈列布展服务项目</w:t>
      </w:r>
      <w:r>
        <w:rPr>
          <w:rFonts w:hint="eastAsia" w:ascii="仿宋" w:hAnsi="仿宋" w:eastAsia="仿宋" w:cs="仿宋_GB2312"/>
          <w:color w:val="auto"/>
          <w:kern w:val="0"/>
          <w:sz w:val="24"/>
          <w:highlight w:val="none"/>
          <w:lang w:val="zh-CN"/>
        </w:rPr>
        <w:t>【招标编号：</w:t>
      </w:r>
      <w:r>
        <w:rPr>
          <w:rFonts w:hint="eastAsia" w:ascii="仿宋" w:hAnsi="仿宋" w:eastAsia="仿宋"/>
          <w:color w:val="auto"/>
          <w:sz w:val="24"/>
          <w:highlight w:val="none"/>
        </w:rPr>
        <w:t>HZZR-F221201N</w:t>
      </w:r>
      <w:r>
        <w:rPr>
          <w:rFonts w:hint="eastAsia" w:ascii="仿宋" w:hAnsi="仿宋" w:eastAsia="仿宋" w:cs="仿宋_GB2312"/>
          <w:color w:val="auto"/>
          <w:sz w:val="24"/>
          <w:highlight w:val="none"/>
        </w:rPr>
        <w:t>】的实施</w:t>
      </w:r>
      <w:r>
        <w:rPr>
          <w:rFonts w:hint="eastAsia" w:ascii="仿宋" w:hAnsi="仿宋" w:eastAsia="仿宋" w:cs="仿宋_GB2312"/>
          <w:color w:val="auto"/>
          <w:kern w:val="0"/>
          <w:sz w:val="24"/>
          <w:highlight w:val="none"/>
          <w:lang w:val="zh-CN"/>
        </w:rPr>
        <w:t>。</w:t>
      </w:r>
    </w:p>
    <w:p>
      <w:pPr>
        <w:spacing w:line="360" w:lineRule="auto"/>
        <w:jc w:val="center"/>
        <w:rPr>
          <w:rFonts w:ascii="仿宋" w:hAnsi="仿宋" w:eastAsia="仿宋" w:cs="仿宋_GB2312"/>
          <w:b/>
          <w:color w:val="auto"/>
          <w:kern w:val="0"/>
          <w:sz w:val="24"/>
          <w:highlight w:val="none"/>
          <w:lang w:val="zh-CN"/>
        </w:rPr>
      </w:pPr>
      <w:r>
        <w:rPr>
          <w:rFonts w:hint="eastAsia" w:ascii="仿宋" w:hAnsi="仿宋" w:eastAsia="仿宋" w:cs="仿宋_GB2312"/>
          <w:b/>
          <w:color w:val="auto"/>
          <w:kern w:val="0"/>
          <w:sz w:val="24"/>
          <w:highlight w:val="none"/>
          <w:lang w:val="zh-CN"/>
        </w:rPr>
        <w:t>开标一览表（报价表）</w:t>
      </w:r>
      <w:r>
        <w:rPr>
          <w:rFonts w:ascii="仿宋" w:hAnsi="仿宋" w:eastAsia="仿宋" w:cs="仿宋_GB2312"/>
          <w:b/>
          <w:color w:val="auto"/>
          <w:kern w:val="0"/>
          <w:sz w:val="24"/>
          <w:highlight w:val="none"/>
          <w:lang w:val="zh-CN"/>
        </w:rPr>
        <w:t>(单位均为人民币元)</w:t>
      </w:r>
    </w:p>
    <w:tbl>
      <w:tblPr>
        <w:tblStyle w:val="88"/>
        <w:tblW w:w="141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46"/>
        <w:gridCol w:w="6208"/>
        <w:gridCol w:w="993"/>
        <w:gridCol w:w="1559"/>
        <w:gridCol w:w="1984"/>
        <w:gridCol w:w="1380"/>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ascii="仿宋" w:hAnsi="仿宋" w:eastAsia="仿宋" w:cs="仿宋_GB2312"/>
                <w:b/>
                <w:color w:val="auto"/>
                <w:sz w:val="24"/>
                <w:highlight w:val="none"/>
              </w:rPr>
            </w:pPr>
            <w:r>
              <w:rPr>
                <w:rFonts w:hint="eastAsia" w:ascii="仿宋" w:hAnsi="仿宋" w:eastAsia="仿宋"/>
                <w:b/>
                <w:color w:val="auto"/>
                <w:sz w:val="24"/>
                <w:highlight w:val="none"/>
              </w:rPr>
              <w:t>序号</w:t>
            </w:r>
          </w:p>
        </w:tc>
        <w:tc>
          <w:tcPr>
            <w:tcW w:w="1446" w:type="dxa"/>
            <w:vAlign w:val="center"/>
          </w:tcPr>
          <w:p>
            <w:pPr>
              <w:spacing w:line="360" w:lineRule="auto"/>
              <w:jc w:val="center"/>
              <w:rPr>
                <w:rFonts w:ascii="仿宋" w:hAnsi="仿宋" w:eastAsia="仿宋" w:cs="仿宋_GB2312"/>
                <w:b/>
                <w:color w:val="auto"/>
                <w:sz w:val="24"/>
                <w:highlight w:val="none"/>
              </w:rPr>
            </w:pPr>
            <w:r>
              <w:rPr>
                <w:rFonts w:hint="eastAsia" w:ascii="仿宋" w:hAnsi="仿宋" w:eastAsia="仿宋"/>
                <w:b/>
                <w:color w:val="auto"/>
                <w:sz w:val="24"/>
                <w:highlight w:val="none"/>
              </w:rPr>
              <w:t>名称</w:t>
            </w:r>
          </w:p>
        </w:tc>
        <w:tc>
          <w:tcPr>
            <w:tcW w:w="6208" w:type="dxa"/>
            <w:vAlign w:val="center"/>
          </w:tcPr>
          <w:p>
            <w:pPr>
              <w:spacing w:line="360" w:lineRule="auto"/>
              <w:jc w:val="center"/>
              <w:rPr>
                <w:rFonts w:ascii="仿宋" w:hAnsi="仿宋" w:eastAsia="仿宋" w:cs="仿宋_GB2312"/>
                <w:b/>
                <w:color w:val="auto"/>
                <w:sz w:val="24"/>
                <w:highlight w:val="none"/>
              </w:rPr>
            </w:pPr>
            <w:r>
              <w:rPr>
                <w:rFonts w:hint="eastAsia" w:ascii="仿宋" w:hAnsi="仿宋" w:eastAsia="仿宋"/>
                <w:b/>
                <w:color w:val="auto"/>
                <w:sz w:val="24"/>
                <w:highlight w:val="none"/>
              </w:rPr>
              <w:t>具体服务</w:t>
            </w:r>
          </w:p>
        </w:tc>
        <w:tc>
          <w:tcPr>
            <w:tcW w:w="993" w:type="dxa"/>
            <w:vAlign w:val="center"/>
          </w:tcPr>
          <w:p>
            <w:pPr>
              <w:spacing w:line="360" w:lineRule="auto"/>
              <w:jc w:val="center"/>
              <w:rPr>
                <w:rFonts w:ascii="仿宋" w:hAnsi="仿宋" w:eastAsia="仿宋" w:cs="仿宋_GB2312"/>
                <w:b/>
                <w:color w:val="auto"/>
                <w:sz w:val="24"/>
                <w:highlight w:val="none"/>
              </w:rPr>
            </w:pPr>
            <w:r>
              <w:rPr>
                <w:rFonts w:hint="eastAsia" w:ascii="仿宋" w:hAnsi="仿宋" w:eastAsia="仿宋"/>
                <w:b/>
                <w:color w:val="auto"/>
                <w:sz w:val="24"/>
                <w:highlight w:val="none"/>
              </w:rPr>
              <w:t>数量</w:t>
            </w:r>
          </w:p>
        </w:tc>
        <w:tc>
          <w:tcPr>
            <w:tcW w:w="1559" w:type="dxa"/>
            <w:vAlign w:val="center"/>
          </w:tcPr>
          <w:p>
            <w:pPr>
              <w:spacing w:line="360" w:lineRule="auto"/>
              <w:jc w:val="center"/>
              <w:rPr>
                <w:rFonts w:ascii="仿宋" w:hAnsi="仿宋" w:eastAsia="仿宋" w:cs="仿宋_GB2312"/>
                <w:b/>
                <w:color w:val="auto"/>
                <w:sz w:val="24"/>
                <w:highlight w:val="none"/>
              </w:rPr>
            </w:pPr>
            <w:r>
              <w:rPr>
                <w:rFonts w:hint="eastAsia" w:ascii="仿宋" w:hAnsi="仿宋" w:eastAsia="仿宋"/>
                <w:b/>
                <w:color w:val="auto"/>
                <w:sz w:val="24"/>
                <w:highlight w:val="none"/>
              </w:rPr>
              <w:t>单价</w:t>
            </w:r>
          </w:p>
        </w:tc>
        <w:tc>
          <w:tcPr>
            <w:tcW w:w="1984" w:type="dxa"/>
            <w:vAlign w:val="center"/>
          </w:tcPr>
          <w:p>
            <w:pPr>
              <w:spacing w:line="360" w:lineRule="auto"/>
              <w:jc w:val="center"/>
              <w:rPr>
                <w:rFonts w:ascii="仿宋" w:hAnsi="仿宋" w:eastAsia="仿宋" w:cs="仿宋_GB2312"/>
                <w:b/>
                <w:color w:val="auto"/>
                <w:sz w:val="24"/>
                <w:highlight w:val="none"/>
              </w:rPr>
            </w:pPr>
            <w:r>
              <w:rPr>
                <w:rFonts w:hint="eastAsia" w:ascii="仿宋" w:hAnsi="仿宋" w:eastAsia="仿宋"/>
                <w:b/>
                <w:color w:val="auto"/>
                <w:sz w:val="24"/>
                <w:highlight w:val="none"/>
              </w:rPr>
              <w:t>总价</w:t>
            </w:r>
          </w:p>
        </w:tc>
        <w:tc>
          <w:tcPr>
            <w:tcW w:w="1389" w:type="dxa"/>
            <w:gridSpan w:val="2"/>
            <w:vAlign w:val="center"/>
          </w:tcPr>
          <w:p>
            <w:pPr>
              <w:spacing w:line="360" w:lineRule="auto"/>
              <w:jc w:val="center"/>
              <w:rPr>
                <w:rFonts w:ascii="仿宋" w:hAnsi="仿宋" w:eastAsia="仿宋"/>
                <w:b/>
                <w:color w:val="auto"/>
                <w:sz w:val="24"/>
                <w:highlight w:val="none"/>
              </w:rPr>
            </w:pPr>
          </w:p>
          <w:p>
            <w:pPr>
              <w:spacing w:line="360" w:lineRule="auto"/>
              <w:jc w:val="center"/>
              <w:rPr>
                <w:rFonts w:ascii="仿宋" w:hAnsi="仿宋" w:eastAsia="仿宋" w:cs="仿宋_GB2312"/>
                <w:b/>
                <w:color w:val="auto"/>
                <w:sz w:val="24"/>
                <w:highlight w:val="none"/>
              </w:rPr>
            </w:pPr>
            <w:r>
              <w:rPr>
                <w:rFonts w:hint="eastAsia" w:ascii="仿宋" w:hAnsi="仿宋" w:eastAsia="仿宋"/>
                <w:b/>
                <w:color w:val="auto"/>
                <w:sz w:val="24"/>
                <w:highlight w:val="none"/>
              </w:rPr>
              <w:t>服务期限</w:t>
            </w:r>
          </w:p>
          <w:p>
            <w:pPr>
              <w:spacing w:line="360" w:lineRule="auto"/>
              <w:jc w:val="center"/>
              <w:rPr>
                <w:rFonts w:ascii="仿宋" w:hAnsi="仿宋" w:eastAsia="仿宋"/>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ascii="仿宋" w:hAnsi="仿宋" w:eastAsia="仿宋" w:cs="仿宋_GB2312"/>
                <w:color w:val="auto"/>
                <w:sz w:val="24"/>
                <w:highlight w:val="none"/>
              </w:rPr>
            </w:pPr>
            <w:r>
              <w:rPr>
                <w:rFonts w:ascii="仿宋" w:hAnsi="仿宋" w:eastAsia="仿宋" w:cs="仿宋_GB2312"/>
                <w:color w:val="auto"/>
                <w:sz w:val="24"/>
                <w:highlight w:val="none"/>
              </w:rPr>
              <w:t>1</w:t>
            </w:r>
          </w:p>
        </w:tc>
        <w:tc>
          <w:tcPr>
            <w:tcW w:w="1446" w:type="dxa"/>
            <w:vAlign w:val="center"/>
          </w:tcPr>
          <w:p>
            <w:pPr>
              <w:snapToGrid w:val="0"/>
              <w:spacing w:line="360" w:lineRule="auto"/>
              <w:jc w:val="center"/>
              <w:rPr>
                <w:rFonts w:ascii="仿宋" w:hAnsi="仿宋" w:eastAsia="仿宋" w:cs="仿宋_GB2312"/>
                <w:color w:val="auto"/>
                <w:sz w:val="24"/>
                <w:highlight w:val="none"/>
              </w:rPr>
            </w:pPr>
          </w:p>
        </w:tc>
        <w:tc>
          <w:tcPr>
            <w:tcW w:w="6208" w:type="dxa"/>
            <w:vAlign w:val="center"/>
          </w:tcPr>
          <w:p>
            <w:pPr>
              <w:snapToGrid w:val="0"/>
              <w:spacing w:line="360" w:lineRule="auto"/>
              <w:jc w:val="center"/>
              <w:rPr>
                <w:rFonts w:ascii="仿宋" w:hAnsi="仿宋" w:eastAsia="仿宋" w:cs="仿宋_GB2312"/>
                <w:color w:val="auto"/>
                <w:sz w:val="24"/>
                <w:highlight w:val="none"/>
              </w:rPr>
            </w:pPr>
          </w:p>
        </w:tc>
        <w:tc>
          <w:tcPr>
            <w:tcW w:w="993" w:type="dxa"/>
            <w:vAlign w:val="center"/>
          </w:tcPr>
          <w:p>
            <w:pPr>
              <w:snapToGrid w:val="0"/>
              <w:spacing w:line="360" w:lineRule="auto"/>
              <w:jc w:val="center"/>
              <w:rPr>
                <w:rFonts w:ascii="仿宋" w:hAnsi="仿宋" w:eastAsia="仿宋" w:cs="仿宋_GB2312"/>
                <w:color w:val="auto"/>
                <w:sz w:val="24"/>
                <w:highlight w:val="none"/>
              </w:rPr>
            </w:pPr>
          </w:p>
        </w:tc>
        <w:tc>
          <w:tcPr>
            <w:tcW w:w="1559" w:type="dxa"/>
            <w:vAlign w:val="center"/>
          </w:tcPr>
          <w:p>
            <w:pPr>
              <w:spacing w:line="360" w:lineRule="auto"/>
              <w:jc w:val="center"/>
              <w:rPr>
                <w:rFonts w:ascii="仿宋" w:hAnsi="仿宋" w:eastAsia="仿宋" w:cs="仿宋_GB2312"/>
                <w:color w:val="auto"/>
                <w:sz w:val="24"/>
                <w:highlight w:val="none"/>
              </w:rPr>
            </w:pPr>
          </w:p>
        </w:tc>
        <w:tc>
          <w:tcPr>
            <w:tcW w:w="1984" w:type="dxa"/>
            <w:vAlign w:val="center"/>
          </w:tcPr>
          <w:p>
            <w:pPr>
              <w:spacing w:line="360" w:lineRule="auto"/>
              <w:jc w:val="center"/>
              <w:rPr>
                <w:rFonts w:ascii="仿宋" w:hAnsi="仿宋" w:eastAsia="仿宋" w:cs="仿宋_GB2312"/>
                <w:color w:val="auto"/>
                <w:sz w:val="24"/>
                <w:highlight w:val="none"/>
              </w:rPr>
            </w:pPr>
          </w:p>
        </w:tc>
        <w:tc>
          <w:tcPr>
            <w:tcW w:w="1389" w:type="dxa"/>
            <w:gridSpan w:val="2"/>
            <w:vMerge w:val="restart"/>
            <w:vAlign w:val="center"/>
          </w:tcPr>
          <w:p>
            <w:pPr>
              <w:spacing w:line="360" w:lineRule="auto"/>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响应采购文件要求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 w:hAnsi="仿宋" w:eastAsia="仿宋" w:cs="仿宋_GB2312"/>
                <w:color w:val="auto"/>
                <w:sz w:val="24"/>
                <w:highlight w:val="none"/>
              </w:rPr>
            </w:pPr>
            <w:r>
              <w:rPr>
                <w:rFonts w:ascii="仿宋" w:hAnsi="仿宋" w:eastAsia="仿宋" w:cs="仿宋_GB2312"/>
                <w:color w:val="auto"/>
                <w:sz w:val="24"/>
                <w:highlight w:val="none"/>
              </w:rPr>
              <w:t>2</w:t>
            </w:r>
          </w:p>
        </w:tc>
        <w:tc>
          <w:tcPr>
            <w:tcW w:w="1446" w:type="dxa"/>
            <w:vAlign w:val="center"/>
          </w:tcPr>
          <w:p>
            <w:pPr>
              <w:snapToGrid w:val="0"/>
              <w:spacing w:line="360" w:lineRule="auto"/>
              <w:jc w:val="center"/>
              <w:rPr>
                <w:rFonts w:ascii="仿宋" w:hAnsi="仿宋" w:eastAsia="仿宋" w:cs="仿宋_GB2312"/>
                <w:color w:val="auto"/>
                <w:sz w:val="24"/>
                <w:highlight w:val="none"/>
              </w:rPr>
            </w:pPr>
          </w:p>
        </w:tc>
        <w:tc>
          <w:tcPr>
            <w:tcW w:w="6208" w:type="dxa"/>
            <w:vAlign w:val="center"/>
          </w:tcPr>
          <w:p>
            <w:pPr>
              <w:snapToGrid w:val="0"/>
              <w:spacing w:line="360" w:lineRule="auto"/>
              <w:jc w:val="center"/>
              <w:rPr>
                <w:rFonts w:ascii="仿宋" w:hAnsi="仿宋" w:eastAsia="仿宋" w:cs="仿宋_GB2312"/>
                <w:color w:val="auto"/>
                <w:sz w:val="24"/>
                <w:highlight w:val="none"/>
              </w:rPr>
            </w:pPr>
          </w:p>
        </w:tc>
        <w:tc>
          <w:tcPr>
            <w:tcW w:w="993" w:type="dxa"/>
            <w:vAlign w:val="center"/>
          </w:tcPr>
          <w:p>
            <w:pPr>
              <w:snapToGrid w:val="0"/>
              <w:spacing w:line="360" w:lineRule="auto"/>
              <w:jc w:val="center"/>
              <w:rPr>
                <w:rFonts w:ascii="仿宋" w:hAnsi="仿宋" w:eastAsia="仿宋" w:cs="仿宋_GB2312"/>
                <w:color w:val="auto"/>
                <w:sz w:val="24"/>
                <w:highlight w:val="none"/>
              </w:rPr>
            </w:pPr>
          </w:p>
        </w:tc>
        <w:tc>
          <w:tcPr>
            <w:tcW w:w="1559" w:type="dxa"/>
            <w:vAlign w:val="center"/>
          </w:tcPr>
          <w:p>
            <w:pPr>
              <w:spacing w:line="360" w:lineRule="auto"/>
              <w:jc w:val="center"/>
              <w:rPr>
                <w:rFonts w:ascii="仿宋" w:hAnsi="仿宋" w:eastAsia="仿宋" w:cs="仿宋_GB2312"/>
                <w:color w:val="auto"/>
                <w:sz w:val="24"/>
                <w:highlight w:val="none"/>
              </w:rPr>
            </w:pPr>
          </w:p>
        </w:tc>
        <w:tc>
          <w:tcPr>
            <w:tcW w:w="1984" w:type="dxa"/>
            <w:vAlign w:val="center"/>
          </w:tcPr>
          <w:p>
            <w:pPr>
              <w:spacing w:line="360" w:lineRule="auto"/>
              <w:jc w:val="center"/>
              <w:rPr>
                <w:rFonts w:ascii="仿宋" w:hAnsi="仿宋" w:eastAsia="仿宋" w:cs="仿宋_GB2312"/>
                <w:color w:val="auto"/>
                <w:sz w:val="24"/>
                <w:highlight w:val="none"/>
              </w:rPr>
            </w:pPr>
          </w:p>
        </w:tc>
        <w:tc>
          <w:tcPr>
            <w:tcW w:w="1389" w:type="dxa"/>
            <w:gridSpan w:val="2"/>
            <w:vMerge w:val="continue"/>
            <w:vAlign w:val="center"/>
          </w:tcPr>
          <w:p>
            <w:pPr>
              <w:spacing w:line="360" w:lineRule="auto"/>
              <w:jc w:val="center"/>
              <w:rPr>
                <w:rFonts w:ascii="仿宋" w:hAnsi="仿宋" w:eastAsia="仿宋"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w:t>
            </w:r>
          </w:p>
        </w:tc>
        <w:tc>
          <w:tcPr>
            <w:tcW w:w="1446" w:type="dxa"/>
            <w:vAlign w:val="center"/>
          </w:tcPr>
          <w:p>
            <w:pPr>
              <w:snapToGrid w:val="0"/>
              <w:spacing w:line="360" w:lineRule="auto"/>
              <w:jc w:val="center"/>
              <w:rPr>
                <w:rFonts w:ascii="仿宋" w:hAnsi="仿宋" w:eastAsia="仿宋" w:cs="仿宋_GB2312"/>
                <w:color w:val="auto"/>
                <w:sz w:val="24"/>
                <w:highlight w:val="none"/>
              </w:rPr>
            </w:pPr>
          </w:p>
        </w:tc>
        <w:tc>
          <w:tcPr>
            <w:tcW w:w="6208" w:type="dxa"/>
            <w:vAlign w:val="center"/>
          </w:tcPr>
          <w:p>
            <w:pPr>
              <w:snapToGrid w:val="0"/>
              <w:spacing w:line="360" w:lineRule="auto"/>
              <w:jc w:val="center"/>
              <w:rPr>
                <w:rFonts w:ascii="仿宋" w:hAnsi="仿宋" w:eastAsia="仿宋" w:cs="仿宋_GB2312"/>
                <w:color w:val="auto"/>
                <w:sz w:val="24"/>
                <w:highlight w:val="none"/>
              </w:rPr>
            </w:pPr>
          </w:p>
        </w:tc>
        <w:tc>
          <w:tcPr>
            <w:tcW w:w="993" w:type="dxa"/>
            <w:vAlign w:val="center"/>
          </w:tcPr>
          <w:p>
            <w:pPr>
              <w:snapToGrid w:val="0"/>
              <w:spacing w:line="360" w:lineRule="auto"/>
              <w:jc w:val="center"/>
              <w:rPr>
                <w:rFonts w:ascii="仿宋" w:hAnsi="仿宋" w:eastAsia="仿宋" w:cs="仿宋_GB2312"/>
                <w:color w:val="auto"/>
                <w:sz w:val="24"/>
                <w:highlight w:val="none"/>
              </w:rPr>
            </w:pPr>
          </w:p>
        </w:tc>
        <w:tc>
          <w:tcPr>
            <w:tcW w:w="1559" w:type="dxa"/>
            <w:vAlign w:val="center"/>
          </w:tcPr>
          <w:p>
            <w:pPr>
              <w:spacing w:line="360" w:lineRule="auto"/>
              <w:jc w:val="center"/>
              <w:rPr>
                <w:rFonts w:ascii="仿宋" w:hAnsi="仿宋" w:eastAsia="仿宋" w:cs="仿宋_GB2312"/>
                <w:color w:val="auto"/>
                <w:sz w:val="24"/>
                <w:highlight w:val="none"/>
              </w:rPr>
            </w:pPr>
          </w:p>
        </w:tc>
        <w:tc>
          <w:tcPr>
            <w:tcW w:w="1984" w:type="dxa"/>
            <w:vAlign w:val="center"/>
          </w:tcPr>
          <w:p>
            <w:pPr>
              <w:spacing w:line="360" w:lineRule="auto"/>
              <w:jc w:val="center"/>
              <w:rPr>
                <w:rFonts w:ascii="仿宋" w:hAnsi="仿宋" w:eastAsia="仿宋" w:cs="仿宋_GB2312"/>
                <w:color w:val="auto"/>
                <w:sz w:val="24"/>
                <w:highlight w:val="none"/>
              </w:rPr>
            </w:pPr>
          </w:p>
        </w:tc>
        <w:tc>
          <w:tcPr>
            <w:tcW w:w="1389" w:type="dxa"/>
            <w:gridSpan w:val="2"/>
            <w:vMerge w:val="continue"/>
            <w:vAlign w:val="center"/>
          </w:tcPr>
          <w:p>
            <w:pPr>
              <w:spacing w:line="360" w:lineRule="auto"/>
              <w:jc w:val="center"/>
              <w:rPr>
                <w:rFonts w:ascii="仿宋" w:hAnsi="仿宋" w:eastAsia="仿宋"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 w:hAnsi="仿宋" w:eastAsia="仿宋" w:cs="仿宋_GB2312"/>
                <w:color w:val="auto"/>
                <w:sz w:val="24"/>
                <w:highlight w:val="none"/>
              </w:rPr>
            </w:pPr>
          </w:p>
        </w:tc>
        <w:tc>
          <w:tcPr>
            <w:tcW w:w="1446" w:type="dxa"/>
            <w:vAlign w:val="center"/>
          </w:tcPr>
          <w:p>
            <w:pPr>
              <w:snapToGrid w:val="0"/>
              <w:spacing w:line="360" w:lineRule="auto"/>
              <w:jc w:val="center"/>
              <w:rPr>
                <w:rFonts w:ascii="仿宋" w:hAnsi="仿宋" w:eastAsia="仿宋" w:cs="仿宋_GB2312"/>
                <w:color w:val="auto"/>
                <w:sz w:val="24"/>
                <w:highlight w:val="none"/>
              </w:rPr>
            </w:pPr>
          </w:p>
        </w:tc>
        <w:tc>
          <w:tcPr>
            <w:tcW w:w="6208" w:type="dxa"/>
            <w:vAlign w:val="center"/>
          </w:tcPr>
          <w:p>
            <w:pPr>
              <w:snapToGrid w:val="0"/>
              <w:spacing w:line="360" w:lineRule="auto"/>
              <w:jc w:val="center"/>
              <w:rPr>
                <w:rFonts w:ascii="仿宋" w:hAnsi="仿宋" w:eastAsia="仿宋" w:cs="仿宋_GB2312"/>
                <w:color w:val="auto"/>
                <w:sz w:val="24"/>
                <w:highlight w:val="none"/>
              </w:rPr>
            </w:pPr>
          </w:p>
        </w:tc>
        <w:tc>
          <w:tcPr>
            <w:tcW w:w="993" w:type="dxa"/>
            <w:vAlign w:val="center"/>
          </w:tcPr>
          <w:p>
            <w:pPr>
              <w:snapToGrid w:val="0"/>
              <w:spacing w:line="360" w:lineRule="auto"/>
              <w:jc w:val="center"/>
              <w:rPr>
                <w:rFonts w:ascii="仿宋" w:hAnsi="仿宋" w:eastAsia="仿宋" w:cs="仿宋_GB2312"/>
                <w:color w:val="auto"/>
                <w:sz w:val="24"/>
                <w:highlight w:val="none"/>
              </w:rPr>
            </w:pPr>
          </w:p>
        </w:tc>
        <w:tc>
          <w:tcPr>
            <w:tcW w:w="1559" w:type="dxa"/>
            <w:vAlign w:val="center"/>
          </w:tcPr>
          <w:p>
            <w:pPr>
              <w:spacing w:line="360" w:lineRule="auto"/>
              <w:jc w:val="center"/>
              <w:rPr>
                <w:rFonts w:ascii="仿宋" w:hAnsi="仿宋" w:eastAsia="仿宋" w:cs="仿宋_GB2312"/>
                <w:color w:val="auto"/>
                <w:sz w:val="24"/>
                <w:highlight w:val="none"/>
              </w:rPr>
            </w:pPr>
          </w:p>
        </w:tc>
        <w:tc>
          <w:tcPr>
            <w:tcW w:w="1984" w:type="dxa"/>
            <w:vAlign w:val="center"/>
          </w:tcPr>
          <w:p>
            <w:pPr>
              <w:spacing w:line="360" w:lineRule="auto"/>
              <w:jc w:val="center"/>
              <w:rPr>
                <w:rFonts w:ascii="仿宋" w:hAnsi="仿宋" w:eastAsia="仿宋" w:cs="仿宋_GB2312"/>
                <w:color w:val="auto"/>
                <w:sz w:val="24"/>
                <w:highlight w:val="none"/>
              </w:rPr>
            </w:pPr>
          </w:p>
        </w:tc>
        <w:tc>
          <w:tcPr>
            <w:tcW w:w="1389" w:type="dxa"/>
            <w:gridSpan w:val="2"/>
            <w:vMerge w:val="continue"/>
            <w:vAlign w:val="center"/>
          </w:tcPr>
          <w:p>
            <w:pPr>
              <w:spacing w:line="360" w:lineRule="auto"/>
              <w:jc w:val="center"/>
              <w:rPr>
                <w:rFonts w:ascii="仿宋" w:hAnsi="仿宋" w:eastAsia="仿宋"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 w:hAnsi="仿宋" w:eastAsia="仿宋" w:cs="仿宋_GB2312"/>
                <w:color w:val="auto"/>
                <w:sz w:val="24"/>
                <w:highlight w:val="none"/>
              </w:rPr>
            </w:pPr>
          </w:p>
        </w:tc>
        <w:tc>
          <w:tcPr>
            <w:tcW w:w="1446" w:type="dxa"/>
            <w:vAlign w:val="center"/>
          </w:tcPr>
          <w:p>
            <w:pPr>
              <w:snapToGrid w:val="0"/>
              <w:spacing w:line="360" w:lineRule="auto"/>
              <w:jc w:val="center"/>
              <w:rPr>
                <w:rFonts w:ascii="仿宋" w:hAnsi="仿宋" w:eastAsia="仿宋" w:cs="仿宋_GB2312"/>
                <w:color w:val="auto"/>
                <w:sz w:val="24"/>
                <w:highlight w:val="none"/>
              </w:rPr>
            </w:pPr>
          </w:p>
        </w:tc>
        <w:tc>
          <w:tcPr>
            <w:tcW w:w="6208" w:type="dxa"/>
            <w:vAlign w:val="center"/>
          </w:tcPr>
          <w:p>
            <w:pPr>
              <w:snapToGrid w:val="0"/>
              <w:spacing w:line="360" w:lineRule="auto"/>
              <w:jc w:val="center"/>
              <w:rPr>
                <w:rFonts w:ascii="仿宋" w:hAnsi="仿宋" w:eastAsia="仿宋" w:cs="仿宋_GB2312"/>
                <w:color w:val="auto"/>
                <w:sz w:val="24"/>
                <w:highlight w:val="none"/>
              </w:rPr>
            </w:pPr>
          </w:p>
        </w:tc>
        <w:tc>
          <w:tcPr>
            <w:tcW w:w="993" w:type="dxa"/>
            <w:vAlign w:val="center"/>
          </w:tcPr>
          <w:p>
            <w:pPr>
              <w:snapToGrid w:val="0"/>
              <w:spacing w:line="360" w:lineRule="auto"/>
              <w:jc w:val="center"/>
              <w:rPr>
                <w:rFonts w:ascii="仿宋" w:hAnsi="仿宋" w:eastAsia="仿宋" w:cs="仿宋_GB2312"/>
                <w:color w:val="auto"/>
                <w:sz w:val="24"/>
                <w:highlight w:val="none"/>
              </w:rPr>
            </w:pPr>
          </w:p>
        </w:tc>
        <w:tc>
          <w:tcPr>
            <w:tcW w:w="1559" w:type="dxa"/>
            <w:vAlign w:val="center"/>
          </w:tcPr>
          <w:p>
            <w:pPr>
              <w:spacing w:line="360" w:lineRule="auto"/>
              <w:jc w:val="center"/>
              <w:rPr>
                <w:rFonts w:ascii="仿宋" w:hAnsi="仿宋" w:eastAsia="仿宋" w:cs="仿宋_GB2312"/>
                <w:color w:val="auto"/>
                <w:sz w:val="24"/>
                <w:highlight w:val="none"/>
              </w:rPr>
            </w:pPr>
          </w:p>
        </w:tc>
        <w:tc>
          <w:tcPr>
            <w:tcW w:w="1984" w:type="dxa"/>
            <w:vAlign w:val="center"/>
          </w:tcPr>
          <w:p>
            <w:pPr>
              <w:spacing w:line="360" w:lineRule="auto"/>
              <w:jc w:val="center"/>
              <w:rPr>
                <w:rFonts w:ascii="仿宋" w:hAnsi="仿宋" w:eastAsia="仿宋" w:cs="仿宋_GB2312"/>
                <w:color w:val="auto"/>
                <w:sz w:val="24"/>
                <w:highlight w:val="none"/>
              </w:rPr>
            </w:pPr>
          </w:p>
        </w:tc>
        <w:tc>
          <w:tcPr>
            <w:tcW w:w="1389" w:type="dxa"/>
            <w:gridSpan w:val="2"/>
            <w:vMerge w:val="continue"/>
            <w:vAlign w:val="center"/>
          </w:tcPr>
          <w:p>
            <w:pPr>
              <w:spacing w:line="360" w:lineRule="auto"/>
              <w:jc w:val="center"/>
              <w:rPr>
                <w:rFonts w:ascii="仿宋" w:hAnsi="仿宋" w:eastAsia="仿宋"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659" w:hRule="atLeast"/>
        </w:trPr>
        <w:tc>
          <w:tcPr>
            <w:tcW w:w="8188" w:type="dxa"/>
            <w:gridSpan w:val="3"/>
            <w:vAlign w:val="center"/>
          </w:tcPr>
          <w:p>
            <w:pPr>
              <w:spacing w:line="360" w:lineRule="auto"/>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投标报价（小写）</w:t>
            </w:r>
          </w:p>
        </w:tc>
        <w:tc>
          <w:tcPr>
            <w:tcW w:w="5916" w:type="dxa"/>
            <w:gridSpan w:val="4"/>
            <w:vAlign w:val="center"/>
          </w:tcPr>
          <w:p>
            <w:pPr>
              <w:spacing w:line="360" w:lineRule="auto"/>
              <w:jc w:val="center"/>
              <w:rPr>
                <w:rFonts w:ascii="仿宋" w:hAnsi="仿宋" w:eastAsia="仿宋"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597" w:hRule="atLeast"/>
        </w:trPr>
        <w:tc>
          <w:tcPr>
            <w:tcW w:w="8188" w:type="dxa"/>
            <w:gridSpan w:val="3"/>
            <w:vAlign w:val="center"/>
          </w:tcPr>
          <w:p>
            <w:pPr>
              <w:spacing w:line="360" w:lineRule="auto"/>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投标报价（大写）</w:t>
            </w:r>
          </w:p>
        </w:tc>
        <w:tc>
          <w:tcPr>
            <w:tcW w:w="5916" w:type="dxa"/>
            <w:gridSpan w:val="4"/>
            <w:vAlign w:val="center"/>
          </w:tcPr>
          <w:p>
            <w:pPr>
              <w:spacing w:line="360" w:lineRule="auto"/>
              <w:jc w:val="center"/>
              <w:rPr>
                <w:rFonts w:ascii="仿宋" w:hAnsi="仿宋" w:eastAsia="仿宋" w:cs="仿宋_GB2312"/>
                <w:color w:val="auto"/>
                <w:sz w:val="24"/>
                <w:highlight w:val="none"/>
              </w:rPr>
            </w:pPr>
          </w:p>
        </w:tc>
      </w:tr>
    </w:tbl>
    <w:p>
      <w:pPr>
        <w:spacing w:line="360" w:lineRule="auto"/>
        <w:ind w:left="-2" w:leftChars="-1" w:firstLine="480" w:firstLineChars="200"/>
        <w:rPr>
          <w:rFonts w:ascii="仿宋" w:hAnsi="仿宋" w:eastAsia="仿宋" w:cs="仿宋_GB2312"/>
          <w:color w:val="auto"/>
          <w:kern w:val="0"/>
          <w:sz w:val="24"/>
          <w:highlight w:val="none"/>
          <w:lang w:val="zh-CN"/>
        </w:rPr>
      </w:pPr>
      <w:r>
        <w:rPr>
          <w:rFonts w:ascii="仿宋" w:hAnsi="仿宋" w:eastAsia="仿宋" w:cs="仿宋_GB2312"/>
          <w:color w:val="auto"/>
          <w:kern w:val="0"/>
          <w:sz w:val="24"/>
          <w:highlight w:val="none"/>
          <w:lang w:val="zh-CN"/>
        </w:rPr>
        <w:t>1、投标人需按本表格式填写，不得自行更改。</w:t>
      </w:r>
    </w:p>
    <w:p>
      <w:pPr>
        <w:spacing w:line="360" w:lineRule="auto"/>
        <w:ind w:firstLine="480" w:firstLineChars="200"/>
        <w:rPr>
          <w:rFonts w:ascii="仿宋" w:hAnsi="仿宋" w:eastAsia="仿宋" w:cs="仿宋_GB2312"/>
          <w:color w:val="auto"/>
          <w:kern w:val="0"/>
          <w:sz w:val="24"/>
          <w:highlight w:val="none"/>
          <w:lang w:val="zh-CN"/>
        </w:rPr>
      </w:pPr>
      <w:r>
        <w:rPr>
          <w:rFonts w:ascii="仿宋" w:hAnsi="仿宋" w:eastAsia="仿宋" w:cs="仿宋_GB2312"/>
          <w:color w:val="auto"/>
          <w:kern w:val="0"/>
          <w:sz w:val="24"/>
          <w:highlight w:val="none"/>
          <w:lang w:val="zh-CN"/>
        </w:rPr>
        <w:t>2、有关本项目实施所涉及的一切费用均计入报价。</w:t>
      </w:r>
      <w:r>
        <w:rPr>
          <w:rFonts w:hint="eastAsia" w:ascii="仿宋" w:hAnsi="仿宋" w:eastAsia="仿宋" w:cs="仿宋_GB2312"/>
          <w:b/>
          <w:color w:val="auto"/>
          <w:kern w:val="0"/>
          <w:sz w:val="24"/>
          <w:highlight w:val="none"/>
          <w:lang w:val="zh-CN"/>
        </w:rPr>
        <w:t>采购人将以合同形式有偿取得货物或服务，不接受投标人给予的赠品、回扣或者与采购无关的其他商品、服务</w:t>
      </w:r>
      <w:r>
        <w:rPr>
          <w:rFonts w:hint="eastAsia" w:ascii="仿宋" w:hAnsi="仿宋" w:eastAsia="仿宋" w:cs="仿宋_GB2312"/>
          <w:color w:val="auto"/>
          <w:kern w:val="0"/>
          <w:sz w:val="24"/>
          <w:highlight w:val="none"/>
          <w:lang w:val="zh-CN"/>
        </w:rPr>
        <w:t>，</w:t>
      </w:r>
      <w:r>
        <w:rPr>
          <w:rFonts w:hint="eastAsia" w:ascii="仿宋" w:hAnsi="仿宋" w:eastAsia="仿宋" w:cs="仿宋_GB2312"/>
          <w:b/>
          <w:color w:val="auto"/>
          <w:kern w:val="0"/>
          <w:sz w:val="24"/>
          <w:highlight w:val="none"/>
          <w:lang w:val="zh-CN"/>
        </w:rPr>
        <w:t>不得出现“</w:t>
      </w:r>
      <w:r>
        <w:rPr>
          <w:rFonts w:ascii="仿宋" w:hAnsi="仿宋" w:eastAsia="仿宋" w:cs="仿宋_GB2312"/>
          <w:b/>
          <w:color w:val="auto"/>
          <w:kern w:val="0"/>
          <w:sz w:val="24"/>
          <w:highlight w:val="none"/>
          <w:lang w:val="zh-CN"/>
        </w:rPr>
        <w:t>0元”“免费赠送”等形式的无偿报价</w:t>
      </w:r>
      <w:r>
        <w:rPr>
          <w:rFonts w:hint="eastAsia" w:ascii="仿宋" w:hAnsi="仿宋" w:eastAsia="仿宋" w:cs="仿宋_GB2312"/>
          <w:b/>
          <w:color w:val="auto"/>
          <w:kern w:val="0"/>
          <w:sz w:val="24"/>
          <w:highlight w:val="none"/>
          <w:lang w:val="zh-CN"/>
        </w:rPr>
        <w:t>，</w:t>
      </w:r>
      <w:r>
        <w:rPr>
          <w:rFonts w:hint="eastAsia" w:ascii="仿宋" w:hAnsi="仿宋" w:eastAsia="仿宋" w:cs="仿宋_GB2312"/>
          <w:b/>
          <w:color w:val="auto"/>
          <w:kern w:val="0"/>
          <w:sz w:val="24"/>
          <w:highlight w:val="none"/>
        </w:rPr>
        <w:t>否则视为</w:t>
      </w:r>
      <w:r>
        <w:rPr>
          <w:rFonts w:hint="eastAsia" w:ascii="仿宋" w:hAnsi="仿宋" w:eastAsia="仿宋"/>
          <w:b/>
          <w:color w:val="auto"/>
          <w:sz w:val="24"/>
          <w:highlight w:val="none"/>
        </w:rPr>
        <w:t>投标文件含有采购人不能接受的附加条件的，投标无效</w:t>
      </w:r>
      <w:r>
        <w:rPr>
          <w:rFonts w:hint="eastAsia" w:ascii="仿宋" w:hAnsi="仿宋" w:eastAsia="仿宋" w:cs="仿宋_GB2312"/>
          <w:b/>
          <w:color w:val="auto"/>
          <w:kern w:val="0"/>
          <w:sz w:val="24"/>
          <w:highlight w:val="none"/>
          <w:lang w:val="zh-CN"/>
        </w:rPr>
        <w:t>。</w:t>
      </w:r>
    </w:p>
    <w:p>
      <w:pPr>
        <w:snapToGrid w:val="0"/>
        <w:spacing w:line="360" w:lineRule="auto"/>
        <w:ind w:firstLine="480" w:firstLineChars="200"/>
        <w:jc w:val="left"/>
        <w:rPr>
          <w:rFonts w:ascii="仿宋" w:hAnsi="仿宋" w:eastAsia="仿宋" w:cs="仿宋_GB2312"/>
          <w:color w:val="auto"/>
          <w:kern w:val="0"/>
          <w:sz w:val="24"/>
          <w:highlight w:val="none"/>
          <w:lang w:val="zh-CN"/>
        </w:rPr>
      </w:pPr>
      <w:r>
        <w:rPr>
          <w:rFonts w:ascii="仿宋" w:hAnsi="仿宋" w:eastAsia="仿宋" w:cs="仿宋_GB2312"/>
          <w:color w:val="auto"/>
          <w:kern w:val="0"/>
          <w:sz w:val="24"/>
          <w:highlight w:val="none"/>
          <w:lang w:val="zh-CN"/>
        </w:rPr>
        <w:t>3、以上表格要求细分项目及报价，服务类项目填写具体服务。</w:t>
      </w:r>
    </w:p>
    <w:p>
      <w:pPr>
        <w:snapToGrid w:val="0"/>
        <w:spacing w:line="360" w:lineRule="auto"/>
        <w:ind w:firstLine="480" w:firstLineChars="200"/>
        <w:jc w:val="left"/>
        <w:rPr>
          <w:rFonts w:ascii="仿宋" w:hAnsi="仿宋" w:eastAsia="仿宋" w:cs="仿宋_GB2312"/>
          <w:color w:val="auto"/>
          <w:kern w:val="0"/>
          <w:sz w:val="24"/>
          <w:highlight w:val="none"/>
          <w:lang w:val="zh-CN"/>
        </w:rPr>
      </w:pPr>
      <w:r>
        <w:rPr>
          <w:rFonts w:ascii="仿宋" w:hAnsi="仿宋" w:eastAsia="仿宋" w:cs="仿宋_GB2312"/>
          <w:color w:val="auto"/>
          <w:kern w:val="0"/>
          <w:sz w:val="24"/>
          <w:highlight w:val="none"/>
          <w:lang w:val="zh-CN"/>
        </w:rPr>
        <w:t>4、特别提示：采购机构将对项目名称和项目编号，中标供应商名称、地址和中标金额，主要中标标的</w:t>
      </w:r>
      <w:r>
        <w:rPr>
          <w:rFonts w:hint="eastAsia" w:ascii="仿宋" w:hAnsi="仿宋" w:eastAsia="仿宋" w:cs="仿宋_GB2312"/>
          <w:color w:val="auto"/>
          <w:kern w:val="0"/>
          <w:sz w:val="24"/>
          <w:highlight w:val="none"/>
          <w:lang w:val="zh-CN"/>
        </w:rPr>
        <w:t>的名称数量、单价、服务要求等予以公示。</w:t>
      </w:r>
    </w:p>
    <w:p>
      <w:pPr>
        <w:autoSpaceDE w:val="0"/>
        <w:autoSpaceDN w:val="0"/>
        <w:snapToGrid w:val="0"/>
        <w:spacing w:line="360" w:lineRule="auto"/>
        <w:ind w:firstLine="5160" w:firstLineChars="2150"/>
        <w:jc w:val="left"/>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投标人名称(电子签名)：</w:t>
      </w:r>
    </w:p>
    <w:p>
      <w:pPr>
        <w:autoSpaceDE w:val="0"/>
        <w:autoSpaceDN w:val="0"/>
        <w:snapToGrid w:val="0"/>
        <w:spacing w:line="360" w:lineRule="auto"/>
        <w:ind w:firstLine="5160" w:firstLineChars="2150"/>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日期： 年  月   日</w:t>
      </w:r>
    </w:p>
    <w:p>
      <w:pPr>
        <w:pStyle w:val="401"/>
        <w:tabs>
          <w:tab w:val="clear" w:pos="720"/>
        </w:tabs>
        <w:snapToGrid w:val="0"/>
        <w:ind w:firstLine="643"/>
        <w:outlineLvl w:val="9"/>
        <w:rPr>
          <w:rFonts w:ascii="仿宋" w:hAnsi="仿宋" w:eastAsia="仿宋" w:cs="仿宋_GB2312"/>
          <w:color w:val="auto"/>
          <w:kern w:val="2"/>
          <w:sz w:val="32"/>
          <w:szCs w:val="32"/>
          <w:highlight w:val="none"/>
        </w:rPr>
        <w:sectPr>
          <w:headerReference r:id="rId8" w:type="first"/>
          <w:footerReference r:id="rId11" w:type="first"/>
          <w:headerReference r:id="rId7" w:type="default"/>
          <w:footerReference r:id="rId9" w:type="default"/>
          <w:footerReference r:id="rId10" w:type="even"/>
          <w:pgSz w:w="16838" w:h="11906" w:orient="landscape"/>
          <w:pgMar w:top="1797" w:right="1440" w:bottom="1797" w:left="1440" w:header="851" w:footer="992" w:gutter="0"/>
          <w:cols w:space="720" w:num="1"/>
          <w:titlePg/>
          <w:docGrid w:linePitch="312" w:charSpace="0"/>
        </w:sectPr>
      </w:pPr>
    </w:p>
    <w:p>
      <w:pPr>
        <w:pStyle w:val="4"/>
        <w:jc w:val="center"/>
        <w:rPr>
          <w:rFonts w:ascii="仿宋" w:hAnsi="仿宋" w:eastAsia="仿宋"/>
          <w:color w:val="auto"/>
          <w:highlight w:val="none"/>
        </w:rPr>
      </w:pPr>
      <w:bookmarkStart w:id="812" w:name="_Toc1629831275"/>
      <w:bookmarkStart w:id="813" w:name="_Toc3941"/>
      <w:bookmarkStart w:id="814" w:name="_Toc30388"/>
      <w:bookmarkStart w:id="815" w:name="_Toc7477"/>
      <w:bookmarkStart w:id="816" w:name="_Toc95313028"/>
      <w:bookmarkStart w:id="817" w:name="_Toc18250"/>
      <w:r>
        <w:rPr>
          <w:rFonts w:hint="eastAsia" w:ascii="仿宋" w:hAnsi="仿宋" w:eastAsia="仿宋"/>
          <w:color w:val="auto"/>
          <w:highlight w:val="none"/>
        </w:rPr>
        <w:t>政府采购支持中小企业信用融资相关事项通知</w:t>
      </w:r>
      <w:bookmarkEnd w:id="812"/>
      <w:bookmarkEnd w:id="813"/>
      <w:bookmarkEnd w:id="814"/>
      <w:bookmarkEnd w:id="815"/>
      <w:bookmarkEnd w:id="816"/>
      <w:bookmarkEnd w:id="817"/>
    </w:p>
    <w:p>
      <w:pPr>
        <w:snapToGrid w:val="0"/>
        <w:spacing w:line="360" w:lineRule="auto"/>
        <w:ind w:firstLine="480" w:firstLineChars="200"/>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为贯彻落实中央、省、市关于支持民营经济健康发展有关精神，发挥政府采购在促进中小企业发展中的政策引导作用，缓解中小企业融资难、融资贵问题，杭州市财政局、中国银保监会浙江监管局、杭州市地方金融监督管理局、杭州市经济和信息化局制定《杭州市政府采购支持中小企业信用融资管理办法》。相关事项通知如下：</w:t>
      </w:r>
    </w:p>
    <w:p>
      <w:pPr>
        <w:snapToGrid w:val="0"/>
        <w:spacing w:line="360" w:lineRule="auto"/>
        <w:ind w:firstLine="482" w:firstLineChars="200"/>
        <w:rPr>
          <w:rFonts w:ascii="仿宋" w:hAnsi="仿宋" w:eastAsia="仿宋"/>
          <w:b/>
          <w:color w:val="auto"/>
          <w:sz w:val="24"/>
          <w:highlight w:val="none"/>
        </w:rPr>
      </w:pPr>
      <w:r>
        <w:rPr>
          <w:rFonts w:hint="eastAsia" w:ascii="仿宋" w:hAnsi="仿宋" w:eastAsia="仿宋"/>
          <w:b/>
          <w:color w:val="auto"/>
          <w:sz w:val="24"/>
          <w:highlight w:val="none"/>
        </w:rPr>
        <w:t>一、适用对象</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凡已在浙江政府采购网上注册入库，并取得杭州市政府采购合同的中小企业供应商（以下简称“供应商”），均可申请政府采购信用融资。</w:t>
      </w:r>
    </w:p>
    <w:p>
      <w:pPr>
        <w:snapToGrid w:val="0"/>
        <w:spacing w:line="360" w:lineRule="auto"/>
        <w:ind w:firstLine="482" w:firstLineChars="200"/>
        <w:rPr>
          <w:rFonts w:ascii="仿宋" w:hAnsi="仿宋" w:eastAsia="仿宋"/>
          <w:b/>
          <w:color w:val="auto"/>
          <w:sz w:val="24"/>
          <w:highlight w:val="none"/>
        </w:rPr>
      </w:pPr>
      <w:r>
        <w:rPr>
          <w:rFonts w:hint="eastAsia" w:ascii="仿宋" w:hAnsi="仿宋" w:eastAsia="仿宋"/>
          <w:b/>
          <w:color w:val="auto"/>
          <w:sz w:val="24"/>
          <w:highlight w:val="none"/>
        </w:rPr>
        <w:t>二、相关信息获取方式</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napToGrid w:val="0"/>
        <w:spacing w:line="360" w:lineRule="auto"/>
        <w:ind w:firstLine="482" w:firstLineChars="200"/>
        <w:rPr>
          <w:rFonts w:ascii="仿宋" w:hAnsi="仿宋" w:eastAsia="仿宋"/>
          <w:b/>
          <w:color w:val="auto"/>
          <w:sz w:val="24"/>
          <w:highlight w:val="none"/>
        </w:rPr>
      </w:pPr>
      <w:r>
        <w:rPr>
          <w:rFonts w:hint="eastAsia" w:ascii="仿宋" w:hAnsi="仿宋" w:eastAsia="仿宋"/>
          <w:b/>
          <w:color w:val="auto"/>
          <w:sz w:val="24"/>
          <w:highlight w:val="none"/>
        </w:rPr>
        <w:t>三、政府采购信用融资操作流程：</w:t>
      </w:r>
    </w:p>
    <w:p>
      <w:pPr>
        <w:snapToGrid w:val="0"/>
        <w:spacing w:line="360" w:lineRule="auto"/>
        <w:ind w:firstLine="960" w:firstLineChars="400"/>
        <w:rPr>
          <w:rFonts w:ascii="仿宋" w:hAnsi="仿宋" w:eastAsia="仿宋"/>
          <w:color w:val="auto"/>
          <w:sz w:val="24"/>
          <w:highlight w:val="none"/>
        </w:rPr>
      </w:pPr>
      <w:r>
        <w:rPr>
          <w:rFonts w:hint="eastAsia" w:ascii="仿宋" w:hAnsi="仿宋" w:eastAsia="仿宋"/>
          <w:color w:val="auto"/>
          <w:sz w:val="24"/>
          <w:highlight w:val="none"/>
        </w:rPr>
        <w:t>（一）线上融资模式：</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1.供应商根据合作银行提供的方案，自行选择金融产品，并办理开户等手续；</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2.供应商中标后，可通过杭州市政府采购网或“浙里办”测算授信额度；</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3.采购合同签订后，供应商在杭州市政府采购网或“浙里办”向合作银行发出融资申请；</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4.审批通过后，在线办理放贷手续。</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（二）线下融资模式：</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1.供应商根据合作银行提供的方案，自行选择金融产品，向合作银行提出信用资格预审，并办理开户等手续；</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2.采购合同签订后，供应商在杭州市政府采购网或“浙里办”向合作银行发出融资申请；</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3.合作银行在信用融资模块受理申请后，供应商提供审批材料。合作银行应对申请信用融资的供应商及备案的政府采购合同信息进行核对和审查；</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4.审批通过后，合作银行应按照合作备忘录中约定的审批放款期限和优惠利率及时予以放款。</w:t>
      </w:r>
    </w:p>
    <w:p>
      <w:pPr>
        <w:tabs>
          <w:tab w:val="left" w:pos="432"/>
        </w:tabs>
        <w:snapToGrid w:val="0"/>
        <w:spacing w:line="360" w:lineRule="auto"/>
        <w:ind w:firstLine="960" w:firstLineChars="400"/>
        <w:rPr>
          <w:rFonts w:ascii="仿宋" w:hAnsi="仿宋" w:eastAsia="仿宋"/>
          <w:color w:val="auto"/>
          <w:sz w:val="24"/>
          <w:highlight w:val="none"/>
        </w:rPr>
      </w:pPr>
      <w:r>
        <w:rPr>
          <w:rFonts w:hint="eastAsia" w:ascii="仿宋" w:hAnsi="仿宋" w:eastAsia="仿宋"/>
          <w:color w:val="auto"/>
          <w:sz w:val="24"/>
          <w:highlight w:val="none"/>
        </w:rPr>
        <w:t>（三）杭州e融平台申请融资</w:t>
      </w:r>
    </w:p>
    <w:p>
      <w:pPr>
        <w:tabs>
          <w:tab w:val="left" w:pos="432"/>
        </w:tabs>
        <w:snapToGrid w:val="0"/>
        <w:spacing w:line="360" w:lineRule="auto"/>
        <w:ind w:firstLine="960" w:firstLineChars="400"/>
        <w:rPr>
          <w:rFonts w:ascii="仿宋" w:hAnsi="仿宋" w:eastAsia="仿宋"/>
          <w:color w:val="auto"/>
          <w:sz w:val="24"/>
          <w:highlight w:val="none"/>
        </w:rPr>
      </w:pPr>
      <w:r>
        <w:rPr>
          <w:rFonts w:hint="eastAsia" w:ascii="仿宋" w:hAnsi="仿宋" w:eastAsia="仿宋"/>
          <w:color w:val="auto"/>
          <w:sz w:val="24"/>
          <w:highlight w:val="none"/>
        </w:rPr>
        <w:t>供应商通过杭州e融平台政采贷专区，自行选择金融产品，按规定手续办理贷款流程。</w:t>
      </w:r>
    </w:p>
    <w:p>
      <w:pPr>
        <w:snapToGrid w:val="0"/>
        <w:spacing w:line="360" w:lineRule="auto"/>
        <w:ind w:firstLine="482" w:firstLineChars="200"/>
        <w:rPr>
          <w:rFonts w:ascii="仿宋" w:hAnsi="仿宋" w:eastAsia="仿宋"/>
          <w:b/>
          <w:color w:val="auto"/>
          <w:sz w:val="24"/>
          <w:highlight w:val="none"/>
        </w:rPr>
      </w:pPr>
      <w:r>
        <w:rPr>
          <w:rFonts w:hint="eastAsia" w:ascii="仿宋" w:hAnsi="仿宋" w:eastAsia="仿宋"/>
          <w:b/>
          <w:color w:val="auto"/>
          <w:sz w:val="24"/>
          <w:highlight w:val="none"/>
        </w:rPr>
        <w:t>四、注意事项</w:t>
      </w:r>
    </w:p>
    <w:p>
      <w:pPr>
        <w:snapToGrid w:val="0"/>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1、</w:t>
      </w:r>
      <w:r>
        <w:rPr>
          <w:rFonts w:hint="eastAsia" w:ascii="仿宋" w:hAnsi="仿宋" w:eastAsia="仿宋"/>
          <w:color w:val="auto"/>
          <w:sz w:val="24"/>
          <w:highlight w:val="none"/>
        </w:rPr>
        <w:t>对拟用于信用融资的政府采购合同，供应商在签订合同时应当在合同中注明融资银行名称及账号，作为在该银行的唯一收款账号。</w:t>
      </w:r>
    </w:p>
    <w:p>
      <w:pPr>
        <w:snapToGrid w:val="0"/>
        <w:spacing w:line="360" w:lineRule="auto"/>
        <w:ind w:firstLine="480" w:firstLineChars="200"/>
        <w:rPr>
          <w:rFonts w:ascii="仿宋" w:hAnsi="仿宋" w:eastAsia="仿宋" w:cs="仿宋_GB2312"/>
          <w:color w:val="auto"/>
          <w:sz w:val="24"/>
          <w:highlight w:val="none"/>
        </w:rPr>
      </w:pPr>
      <w:r>
        <w:rPr>
          <w:rFonts w:ascii="仿宋" w:hAnsi="仿宋" w:eastAsia="仿宋"/>
          <w:color w:val="auto"/>
          <w:sz w:val="24"/>
          <w:highlight w:val="none"/>
        </w:rPr>
        <w:t>2</w:t>
      </w:r>
      <w:r>
        <w:rPr>
          <w:rFonts w:hint="eastAsia" w:ascii="仿宋" w:hAnsi="仿宋" w:eastAsia="仿宋"/>
          <w:color w:val="auto"/>
          <w:sz w:val="24"/>
          <w:highlight w:val="none"/>
        </w:rPr>
        <w:t>、供应商弄虚作假或以伪造政府采购合同等方式违规获取政府采购信用融资，或不及时还款，或出现其他违反本办法规定情形的，按融资合同约定承担违约责任；涉嫌犯罪的，移送司法机关处理</w:t>
      </w:r>
      <w:r>
        <w:rPr>
          <w:rFonts w:hint="eastAsia" w:ascii="仿宋" w:hAnsi="仿宋" w:eastAsia="仿宋" w:cs="仿宋_GB2312"/>
          <w:color w:val="auto"/>
          <w:sz w:val="24"/>
          <w:highlight w:val="none"/>
        </w:rPr>
        <w:t>。</w:t>
      </w:r>
    </w:p>
    <w:p>
      <w:pPr>
        <w:spacing w:line="360" w:lineRule="auto"/>
        <w:rPr>
          <w:rFonts w:ascii="仿宋" w:hAnsi="仿宋" w:eastAsia="仿宋" w:cs="仿宋_GB2312"/>
          <w:color w:val="auto"/>
          <w:sz w:val="24"/>
          <w:highlight w:val="none"/>
        </w:rPr>
      </w:pPr>
      <w:r>
        <w:rPr>
          <w:rFonts w:hint="eastAsia" w:ascii="仿宋" w:hAnsi="仿宋" w:eastAsia="仿宋" w:cs="仿宋_GB2312"/>
          <w:color w:val="auto"/>
          <w:sz w:val="24"/>
          <w:highlight w:val="none"/>
        </w:rPr>
        <w:br w:type="page"/>
      </w:r>
    </w:p>
    <w:p>
      <w:pPr>
        <w:pStyle w:val="4"/>
        <w:jc w:val="left"/>
        <w:rPr>
          <w:rFonts w:ascii="仿宋" w:hAnsi="仿宋" w:eastAsia="仿宋"/>
          <w:color w:val="auto"/>
          <w:sz w:val="32"/>
          <w:szCs w:val="32"/>
          <w:highlight w:val="none"/>
        </w:rPr>
      </w:pPr>
      <w:bookmarkStart w:id="818" w:name="_Toc28957"/>
      <w:r>
        <w:rPr>
          <w:rFonts w:hint="eastAsia" w:ascii="仿宋" w:hAnsi="仿宋" w:eastAsia="仿宋"/>
          <w:color w:val="auto"/>
          <w:sz w:val="32"/>
          <w:szCs w:val="32"/>
          <w:highlight w:val="none"/>
        </w:rPr>
        <w:t>附件1：</w:t>
      </w:r>
      <w:bookmarkEnd w:id="818"/>
    </w:p>
    <w:p>
      <w:pPr>
        <w:pStyle w:val="4"/>
        <w:jc w:val="center"/>
        <w:rPr>
          <w:rFonts w:ascii="仿宋" w:hAnsi="仿宋" w:eastAsia="仿宋"/>
          <w:color w:val="auto"/>
          <w:sz w:val="32"/>
          <w:szCs w:val="32"/>
          <w:highlight w:val="none"/>
        </w:rPr>
      </w:pPr>
      <w:bookmarkStart w:id="819" w:name="_Toc23554"/>
      <w:bookmarkStart w:id="820" w:name="OLE_LINK14"/>
      <w:bookmarkStart w:id="821" w:name="OLE_LINK13"/>
      <w:r>
        <w:rPr>
          <w:rFonts w:hint="eastAsia" w:ascii="仿宋" w:hAnsi="仿宋" w:eastAsia="仿宋"/>
          <w:color w:val="auto"/>
          <w:sz w:val="32"/>
          <w:szCs w:val="32"/>
          <w:highlight w:val="none"/>
        </w:rPr>
        <w:t>残疾人福利性单位声明函</w:t>
      </w:r>
      <w:bookmarkEnd w:id="819"/>
      <w:bookmarkEnd w:id="820"/>
      <w:bookmarkEnd w:id="821"/>
    </w:p>
    <w:p>
      <w:pPr>
        <w:snapToGrid w:val="0"/>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本单位郑重声明，根据《财政部</w:t>
      </w:r>
      <w:r>
        <w:rPr>
          <w:rFonts w:ascii="仿宋" w:hAnsi="仿宋" w:eastAsia="仿宋" w:cs="仿宋_GB2312"/>
          <w:color w:val="auto"/>
          <w:sz w:val="24"/>
          <w:highlight w:val="none"/>
        </w:rPr>
        <w:t xml:space="preserve"> </w:t>
      </w:r>
      <w:r>
        <w:rPr>
          <w:rFonts w:hint="eastAsia" w:ascii="仿宋" w:hAnsi="仿宋" w:eastAsia="仿宋" w:cs="仿宋_GB2312"/>
          <w:color w:val="auto"/>
          <w:sz w:val="24"/>
          <w:highlight w:val="none"/>
        </w:rPr>
        <w:t>民政部</w:t>
      </w:r>
      <w:r>
        <w:rPr>
          <w:rFonts w:ascii="仿宋" w:hAnsi="仿宋" w:eastAsia="仿宋" w:cs="仿宋_GB2312"/>
          <w:color w:val="auto"/>
          <w:sz w:val="24"/>
          <w:highlight w:val="none"/>
        </w:rPr>
        <w:t xml:space="preserve"> </w:t>
      </w:r>
      <w:r>
        <w:rPr>
          <w:rFonts w:hint="eastAsia" w:ascii="仿宋" w:hAnsi="仿宋" w:eastAsia="仿宋" w:cs="仿宋_GB2312"/>
          <w:color w:val="auto"/>
          <w:sz w:val="24"/>
          <w:highlight w:val="none"/>
        </w:rPr>
        <w:t>中国残疾人联合会关于促进残疾人就业政府采购政策的通知》（财库〔</w:t>
      </w:r>
      <w:r>
        <w:rPr>
          <w:rFonts w:ascii="仿宋" w:hAnsi="仿宋" w:eastAsia="仿宋" w:cs="仿宋_GB2312"/>
          <w:color w:val="auto"/>
          <w:sz w:val="24"/>
          <w:highlight w:val="none"/>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本单位对上述声明的真实性负责。如有虚假，将依法承担相应责任。</w:t>
      </w:r>
    </w:p>
    <w:p>
      <w:pPr>
        <w:snapToGrid w:val="0"/>
        <w:spacing w:line="360" w:lineRule="auto"/>
        <w:ind w:firstLine="480" w:firstLineChars="200"/>
        <w:rPr>
          <w:rFonts w:ascii="仿宋" w:hAnsi="仿宋" w:eastAsia="仿宋" w:cs="仿宋_GB2312"/>
          <w:color w:val="auto"/>
          <w:sz w:val="24"/>
          <w:highlight w:val="none"/>
        </w:rPr>
      </w:pPr>
    </w:p>
    <w:p>
      <w:pPr>
        <w:snapToGrid w:val="0"/>
        <w:spacing w:line="360" w:lineRule="auto"/>
        <w:ind w:firstLine="480" w:firstLineChars="200"/>
        <w:rPr>
          <w:rFonts w:ascii="仿宋" w:hAnsi="仿宋" w:eastAsia="仿宋" w:cs="仿宋_GB2312"/>
          <w:color w:val="auto"/>
          <w:sz w:val="24"/>
          <w:highlight w:val="none"/>
        </w:rPr>
      </w:pPr>
    </w:p>
    <w:p>
      <w:pPr>
        <w:tabs>
          <w:tab w:val="left" w:pos="4860"/>
        </w:tabs>
        <w:snapToGrid w:val="0"/>
        <w:spacing w:line="360" w:lineRule="auto"/>
        <w:ind w:firstLine="480" w:firstLineChars="200"/>
        <w:jc w:val="center"/>
        <w:rPr>
          <w:rFonts w:ascii="仿宋" w:hAnsi="仿宋" w:eastAsia="仿宋" w:cs="仿宋_GB2312"/>
          <w:color w:val="auto"/>
          <w:sz w:val="24"/>
          <w:highlight w:val="none"/>
        </w:rPr>
      </w:pPr>
      <w:r>
        <w:rPr>
          <w:rFonts w:ascii="仿宋" w:hAnsi="仿宋" w:eastAsia="仿宋" w:cs="仿宋_GB2312"/>
          <w:color w:val="auto"/>
          <w:sz w:val="24"/>
          <w:highlight w:val="none"/>
        </w:rPr>
        <w:t xml:space="preserve">               </w:t>
      </w:r>
      <w:r>
        <w:rPr>
          <w:rFonts w:hint="eastAsia" w:ascii="仿宋" w:hAnsi="仿宋" w:eastAsia="仿宋" w:cs="仿宋_GB2312"/>
          <w:color w:val="auto"/>
          <w:kern w:val="0"/>
          <w:sz w:val="24"/>
          <w:highlight w:val="none"/>
          <w:lang w:val="zh-CN"/>
        </w:rPr>
        <w:t xml:space="preserve"> 投标人名称(电子签名)</w:t>
      </w:r>
      <w:r>
        <w:rPr>
          <w:rFonts w:hint="eastAsia" w:ascii="仿宋" w:hAnsi="仿宋" w:eastAsia="仿宋" w:cs="仿宋_GB2312"/>
          <w:color w:val="auto"/>
          <w:sz w:val="24"/>
          <w:highlight w:val="none"/>
        </w:rPr>
        <w:t>：</w:t>
      </w:r>
    </w:p>
    <w:p>
      <w:pPr>
        <w:tabs>
          <w:tab w:val="left" w:pos="4860"/>
        </w:tabs>
        <w:snapToGrid w:val="0"/>
        <w:spacing w:line="360" w:lineRule="auto"/>
        <w:ind w:firstLine="480" w:firstLineChars="200"/>
        <w:jc w:val="center"/>
        <w:rPr>
          <w:rFonts w:ascii="仿宋" w:hAnsi="仿宋" w:eastAsia="仿宋" w:cs="仿宋_GB2312"/>
          <w:color w:val="auto"/>
          <w:sz w:val="24"/>
          <w:highlight w:val="none"/>
        </w:rPr>
      </w:pPr>
      <w:r>
        <w:rPr>
          <w:rFonts w:ascii="仿宋" w:hAnsi="仿宋" w:eastAsia="仿宋" w:cs="仿宋_GB2312"/>
          <w:color w:val="auto"/>
          <w:sz w:val="24"/>
          <w:highlight w:val="none"/>
        </w:rPr>
        <w:t xml:space="preserve">       日  期：</w:t>
      </w:r>
    </w:p>
    <w:p>
      <w:pPr>
        <w:snapToGrid w:val="0"/>
        <w:spacing w:line="360" w:lineRule="auto"/>
        <w:ind w:firstLine="480" w:firstLineChars="200"/>
        <w:rPr>
          <w:rFonts w:ascii="仿宋" w:hAnsi="仿宋" w:eastAsia="仿宋" w:cs="仿宋_GB2312"/>
          <w:color w:val="auto"/>
          <w:sz w:val="24"/>
          <w:highlight w:val="none"/>
        </w:rPr>
      </w:pPr>
    </w:p>
    <w:p>
      <w:pPr>
        <w:snapToGrid w:val="0"/>
        <w:spacing w:line="360" w:lineRule="auto"/>
        <w:rPr>
          <w:rFonts w:ascii="仿宋" w:hAnsi="仿宋" w:eastAsia="仿宋"/>
          <w:b/>
          <w:color w:val="auto"/>
          <w:spacing w:val="6"/>
          <w:sz w:val="32"/>
          <w:szCs w:val="32"/>
          <w:highlight w:val="none"/>
        </w:rPr>
      </w:pPr>
      <w:r>
        <w:rPr>
          <w:rFonts w:hint="eastAsia" w:ascii="仿宋" w:hAnsi="仿宋" w:eastAsia="仿宋"/>
          <w:b/>
          <w:color w:val="auto"/>
          <w:spacing w:val="6"/>
          <w:sz w:val="32"/>
          <w:szCs w:val="32"/>
          <w:highlight w:val="none"/>
        </w:rPr>
        <w:br w:type="page"/>
      </w:r>
    </w:p>
    <w:p>
      <w:pPr>
        <w:pStyle w:val="4"/>
        <w:jc w:val="left"/>
        <w:rPr>
          <w:rFonts w:ascii="仿宋" w:hAnsi="仿宋" w:eastAsia="仿宋"/>
          <w:color w:val="auto"/>
          <w:sz w:val="32"/>
          <w:szCs w:val="32"/>
          <w:highlight w:val="none"/>
        </w:rPr>
      </w:pPr>
      <w:bookmarkStart w:id="822" w:name="_Toc23705"/>
      <w:r>
        <w:rPr>
          <w:rFonts w:hint="eastAsia" w:ascii="仿宋" w:hAnsi="仿宋" w:eastAsia="仿宋"/>
          <w:color w:val="auto"/>
          <w:sz w:val="32"/>
          <w:szCs w:val="32"/>
          <w:highlight w:val="none"/>
        </w:rPr>
        <w:t>附件2：质疑函范本及制作说明</w:t>
      </w:r>
      <w:bookmarkEnd w:id="822"/>
    </w:p>
    <w:p>
      <w:pPr>
        <w:snapToGrid w:val="0"/>
        <w:spacing w:line="360" w:lineRule="auto"/>
        <w:jc w:val="center"/>
        <w:rPr>
          <w:rFonts w:ascii="仿宋" w:hAnsi="仿宋" w:eastAsia="仿宋"/>
          <w:b/>
          <w:color w:val="auto"/>
          <w:spacing w:val="6"/>
          <w:sz w:val="32"/>
          <w:szCs w:val="32"/>
          <w:highlight w:val="none"/>
        </w:rPr>
      </w:pPr>
      <w:r>
        <w:rPr>
          <w:rFonts w:hint="eastAsia" w:ascii="仿宋" w:hAnsi="仿宋" w:eastAsia="仿宋"/>
          <w:b/>
          <w:color w:val="auto"/>
          <w:spacing w:val="6"/>
          <w:sz w:val="32"/>
          <w:szCs w:val="32"/>
          <w:highlight w:val="none"/>
        </w:rPr>
        <w:t>质疑函范本</w:t>
      </w:r>
    </w:p>
    <w:p>
      <w:pPr>
        <w:snapToGrid w:val="0"/>
        <w:spacing w:line="360" w:lineRule="auto"/>
        <w:rPr>
          <w:rFonts w:ascii="仿宋" w:hAnsi="仿宋" w:eastAsia="仿宋" w:cs="仿宋"/>
          <w:bCs/>
          <w:color w:val="auto"/>
          <w:sz w:val="24"/>
          <w:highlight w:val="none"/>
        </w:rPr>
      </w:pPr>
      <w:r>
        <w:rPr>
          <w:rFonts w:hint="eastAsia" w:ascii="仿宋" w:hAnsi="仿宋" w:eastAsia="仿宋" w:cs="仿宋"/>
          <w:bCs/>
          <w:color w:val="auto"/>
          <w:sz w:val="24"/>
          <w:highlight w:val="none"/>
        </w:rPr>
        <w:t>一、质疑供应商基本信息</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质疑供应商：</w:t>
      </w:r>
      <w:r>
        <w:rPr>
          <w:rFonts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地址：</w:t>
      </w:r>
      <w:r>
        <w:rPr>
          <w:rFonts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联系人：</w:t>
      </w:r>
      <w:r>
        <w:rPr>
          <w:rFonts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授权代表：</w:t>
      </w:r>
      <w:r>
        <w:rPr>
          <w:rFonts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联系电话：</w:t>
      </w:r>
      <w:r>
        <w:rPr>
          <w:rFonts w:ascii="仿宋" w:hAnsi="仿宋" w:eastAsia="仿宋" w:cs="仿宋"/>
          <w:color w:val="auto"/>
          <w:sz w:val="24"/>
          <w:highlight w:val="none"/>
          <w:u w:val="dotted"/>
        </w:rPr>
        <w:t xml:space="preserve">                                           </w:t>
      </w:r>
      <w:r>
        <w:rPr>
          <w:rFonts w:ascii="仿宋" w:hAnsi="仿宋" w:eastAsia="仿宋" w:cs="仿宋"/>
          <w:color w:val="auto"/>
          <w:sz w:val="24"/>
          <w:highlight w:val="none"/>
        </w:rPr>
        <w:t xml:space="preserve"> </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地址：</w:t>
      </w:r>
      <w:r>
        <w:rPr>
          <w:rFonts w:ascii="仿宋" w:hAnsi="仿宋" w:eastAsia="仿宋" w:cs="仿宋"/>
          <w:color w:val="auto"/>
          <w:sz w:val="24"/>
          <w:highlight w:val="none"/>
        </w:rPr>
        <w:t xml:space="preserve"> </w:t>
      </w:r>
      <w:r>
        <w:rPr>
          <w:rFonts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ascii="仿宋" w:hAnsi="仿宋" w:eastAsia="仿宋" w:cs="仿宋"/>
          <w:color w:val="auto"/>
          <w:sz w:val="24"/>
          <w:highlight w:val="none"/>
          <w:u w:val="dotted"/>
        </w:rPr>
        <w:t xml:space="preserve">                                                </w:t>
      </w:r>
    </w:p>
    <w:p>
      <w:pPr>
        <w:snapToGrid w:val="0"/>
        <w:spacing w:line="360" w:lineRule="auto"/>
        <w:rPr>
          <w:rFonts w:ascii="仿宋" w:hAnsi="仿宋" w:eastAsia="仿宋" w:cs="仿宋"/>
          <w:bCs/>
          <w:color w:val="auto"/>
          <w:sz w:val="24"/>
          <w:highlight w:val="none"/>
        </w:rPr>
      </w:pPr>
      <w:r>
        <w:rPr>
          <w:rFonts w:hint="eastAsia" w:ascii="仿宋" w:hAnsi="仿宋" w:eastAsia="仿宋" w:cs="仿宋"/>
          <w:bCs/>
          <w:color w:val="auto"/>
          <w:sz w:val="24"/>
          <w:highlight w:val="none"/>
        </w:rPr>
        <w:t>二、质疑项目基本情况</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质疑项目的名称：</w:t>
      </w:r>
      <w:r>
        <w:rPr>
          <w:rFonts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质疑项目的编号：</w:t>
      </w:r>
      <w:r>
        <w:rPr>
          <w:rFonts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包号：</w:t>
      </w:r>
      <w:r>
        <w:rPr>
          <w:rFonts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采购人名称：</w:t>
      </w:r>
      <w:r>
        <w:rPr>
          <w:rFonts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采购文件获取日期：</w:t>
      </w:r>
      <w:r>
        <w:rPr>
          <w:rFonts w:ascii="仿宋" w:hAnsi="仿宋" w:eastAsia="仿宋" w:cs="仿宋"/>
          <w:color w:val="auto"/>
          <w:sz w:val="24"/>
          <w:highlight w:val="none"/>
          <w:u w:val="dotted"/>
        </w:rPr>
        <w:t xml:space="preserve">                                           </w:t>
      </w:r>
    </w:p>
    <w:p>
      <w:pPr>
        <w:snapToGrid w:val="0"/>
        <w:spacing w:line="360" w:lineRule="auto"/>
        <w:rPr>
          <w:rFonts w:ascii="仿宋" w:hAnsi="仿宋" w:eastAsia="仿宋" w:cs="仿宋"/>
          <w:bCs/>
          <w:color w:val="auto"/>
          <w:sz w:val="24"/>
          <w:highlight w:val="none"/>
        </w:rPr>
      </w:pPr>
      <w:r>
        <w:rPr>
          <w:rFonts w:hint="eastAsia" w:ascii="仿宋" w:hAnsi="仿宋" w:eastAsia="仿宋" w:cs="仿宋"/>
          <w:bCs/>
          <w:color w:val="auto"/>
          <w:sz w:val="24"/>
          <w:highlight w:val="none"/>
        </w:rPr>
        <w:t>三、质疑事项具体内容</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质疑事项</w:t>
      </w:r>
      <w:r>
        <w:rPr>
          <w:rFonts w:ascii="仿宋" w:hAnsi="仿宋" w:eastAsia="仿宋" w:cs="仿宋"/>
          <w:color w:val="auto"/>
          <w:sz w:val="24"/>
          <w:highlight w:val="none"/>
        </w:rPr>
        <w:t>1：</w:t>
      </w:r>
      <w:r>
        <w:rPr>
          <w:rFonts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事实依据：</w:t>
      </w:r>
      <w:r>
        <w:rPr>
          <w:rFonts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rPr>
      </w:pPr>
      <w:r>
        <w:rPr>
          <w:rFonts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法律依据：</w:t>
      </w:r>
      <w:r>
        <w:rPr>
          <w:rFonts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u w:val="dotted"/>
        </w:rPr>
      </w:pPr>
      <w:r>
        <w:rPr>
          <w:rFonts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质疑事项</w:t>
      </w:r>
      <w:r>
        <w:rPr>
          <w:rFonts w:ascii="仿宋" w:hAnsi="仿宋" w:eastAsia="仿宋" w:cs="仿宋"/>
          <w:color w:val="auto"/>
          <w:sz w:val="24"/>
          <w:highlight w:val="none"/>
        </w:rPr>
        <w:t>2</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w:t>
      </w:r>
    </w:p>
    <w:p>
      <w:pPr>
        <w:snapToGrid w:val="0"/>
        <w:spacing w:line="360" w:lineRule="auto"/>
        <w:rPr>
          <w:rFonts w:ascii="仿宋" w:hAnsi="仿宋" w:eastAsia="仿宋" w:cs="仿宋"/>
          <w:bCs/>
          <w:color w:val="auto"/>
          <w:sz w:val="24"/>
          <w:highlight w:val="none"/>
        </w:rPr>
      </w:pPr>
      <w:r>
        <w:rPr>
          <w:rFonts w:hint="eastAsia" w:ascii="仿宋" w:hAnsi="仿宋" w:eastAsia="仿宋" w:cs="仿宋"/>
          <w:bCs/>
          <w:color w:val="auto"/>
          <w:sz w:val="24"/>
          <w:highlight w:val="none"/>
        </w:rPr>
        <w:t>四、与质疑事项相关的质疑请求</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请求：</w:t>
      </w:r>
      <w:r>
        <w:rPr>
          <w:rFonts w:ascii="仿宋" w:hAnsi="仿宋" w:eastAsia="仿宋" w:cs="仿宋"/>
          <w:color w:val="auto"/>
          <w:sz w:val="24"/>
          <w:highlight w:val="none"/>
          <w:u w:val="dotted"/>
        </w:rPr>
        <w:t xml:space="preserve">                                               </w:t>
      </w:r>
    </w:p>
    <w:p>
      <w:pPr>
        <w:snapToGrid w:val="0"/>
        <w:spacing w:line="360" w:lineRule="auto"/>
        <w:rPr>
          <w:rFonts w:ascii="仿宋" w:hAnsi="仿宋" w:eastAsia="仿宋"/>
          <w:color w:val="auto"/>
          <w:sz w:val="24"/>
          <w:highlight w:val="none"/>
        </w:rPr>
      </w:pPr>
      <w:r>
        <w:rPr>
          <w:rFonts w:hint="eastAsia" w:ascii="仿宋" w:hAnsi="仿宋" w:eastAsia="仿宋"/>
          <w:color w:val="auto"/>
          <w:sz w:val="24"/>
          <w:highlight w:val="none"/>
        </w:rPr>
        <w:t>签字</w:t>
      </w:r>
      <w:r>
        <w:rPr>
          <w:rFonts w:ascii="仿宋" w:hAnsi="仿宋" w:eastAsia="仿宋"/>
          <w:color w:val="auto"/>
          <w:sz w:val="24"/>
          <w:highlight w:val="none"/>
        </w:rPr>
        <w:t xml:space="preserve">(签章)：                   公章：                      </w:t>
      </w:r>
    </w:p>
    <w:p>
      <w:pPr>
        <w:snapToGrid w:val="0"/>
        <w:spacing w:line="360" w:lineRule="auto"/>
        <w:rPr>
          <w:rFonts w:ascii="仿宋" w:hAnsi="仿宋" w:eastAsia="仿宋"/>
          <w:color w:val="auto"/>
          <w:sz w:val="24"/>
          <w:highlight w:val="none"/>
        </w:rPr>
      </w:pPr>
      <w:r>
        <w:rPr>
          <w:rFonts w:hint="eastAsia" w:ascii="仿宋" w:hAnsi="仿宋" w:eastAsia="仿宋"/>
          <w:color w:val="auto"/>
          <w:sz w:val="24"/>
          <w:highlight w:val="none"/>
        </w:rPr>
        <w:t>日期：</w:t>
      </w:r>
      <w:r>
        <w:rPr>
          <w:rFonts w:ascii="仿宋" w:hAnsi="仿宋" w:eastAsia="仿宋"/>
          <w:color w:val="auto"/>
          <w:sz w:val="24"/>
          <w:highlight w:val="none"/>
        </w:rPr>
        <w:t xml:space="preserve">    </w:t>
      </w:r>
    </w:p>
    <w:p>
      <w:pPr>
        <w:snapToGrid w:val="0"/>
        <w:spacing w:line="360" w:lineRule="auto"/>
        <w:jc w:val="center"/>
        <w:rPr>
          <w:rFonts w:ascii="仿宋" w:hAnsi="仿宋" w:eastAsia="仿宋" w:cs="仿宋"/>
          <w:b/>
          <w:bCs/>
          <w:color w:val="auto"/>
          <w:sz w:val="24"/>
          <w:highlight w:val="none"/>
        </w:rPr>
      </w:pPr>
    </w:p>
    <w:p>
      <w:pPr>
        <w:snapToGrid w:val="0"/>
        <w:spacing w:line="360" w:lineRule="auto"/>
        <w:rPr>
          <w:rFonts w:ascii="仿宋" w:hAnsi="仿宋" w:eastAsia="仿宋"/>
          <w:b/>
          <w:color w:val="auto"/>
          <w:sz w:val="24"/>
          <w:highlight w:val="none"/>
        </w:rPr>
      </w:pPr>
    </w:p>
    <w:p>
      <w:pPr>
        <w:snapToGrid w:val="0"/>
        <w:spacing w:line="360" w:lineRule="auto"/>
        <w:rPr>
          <w:rFonts w:ascii="仿宋" w:hAnsi="仿宋" w:eastAsia="仿宋"/>
          <w:b/>
          <w:color w:val="auto"/>
          <w:sz w:val="24"/>
          <w:highlight w:val="none"/>
        </w:rPr>
      </w:pPr>
    </w:p>
    <w:p>
      <w:pPr>
        <w:snapToGrid w:val="0"/>
        <w:spacing w:line="360" w:lineRule="auto"/>
        <w:rPr>
          <w:rFonts w:ascii="仿宋" w:hAnsi="仿宋" w:eastAsia="仿宋"/>
          <w:b/>
          <w:color w:val="auto"/>
          <w:sz w:val="24"/>
          <w:highlight w:val="none"/>
        </w:rPr>
      </w:pPr>
    </w:p>
    <w:p>
      <w:pPr>
        <w:snapToGrid w:val="0"/>
        <w:spacing w:line="360" w:lineRule="auto"/>
        <w:rPr>
          <w:rFonts w:ascii="仿宋" w:hAnsi="仿宋" w:eastAsia="仿宋"/>
          <w:b/>
          <w:color w:val="auto"/>
          <w:sz w:val="24"/>
          <w:highlight w:val="none"/>
        </w:rPr>
      </w:pPr>
      <w:r>
        <w:rPr>
          <w:rFonts w:hint="eastAsia" w:ascii="仿宋" w:hAnsi="仿宋" w:eastAsia="仿宋"/>
          <w:b/>
          <w:color w:val="auto"/>
          <w:sz w:val="24"/>
          <w:highlight w:val="none"/>
        </w:rPr>
        <w:t>质疑函制作说明：</w:t>
      </w:r>
    </w:p>
    <w:p>
      <w:pPr>
        <w:widowControl/>
        <w:snapToGrid w:val="0"/>
        <w:spacing w:line="360" w:lineRule="auto"/>
        <w:ind w:firstLine="480" w:firstLineChars="200"/>
        <w:jc w:val="left"/>
        <w:rPr>
          <w:rFonts w:ascii="仿宋" w:hAnsi="仿宋" w:eastAsia="仿宋"/>
          <w:color w:val="auto"/>
          <w:sz w:val="24"/>
          <w:highlight w:val="none"/>
        </w:rPr>
      </w:pPr>
      <w:r>
        <w:rPr>
          <w:rFonts w:ascii="仿宋" w:hAnsi="仿宋" w:eastAsia="仿宋"/>
          <w:color w:val="auto"/>
          <w:sz w:val="24"/>
          <w:highlight w:val="none"/>
        </w:rPr>
        <w:t>1.供应商提出质疑时，应提交质疑函和必要的证明材料。</w:t>
      </w:r>
    </w:p>
    <w:p>
      <w:pPr>
        <w:widowControl/>
        <w:snapToGrid w:val="0"/>
        <w:spacing w:line="360" w:lineRule="auto"/>
        <w:ind w:firstLine="480" w:firstLineChars="200"/>
        <w:jc w:val="left"/>
        <w:rPr>
          <w:rFonts w:ascii="仿宋" w:hAnsi="仿宋" w:eastAsia="仿宋"/>
          <w:color w:val="auto"/>
          <w:sz w:val="24"/>
          <w:highlight w:val="none"/>
        </w:rPr>
      </w:pPr>
      <w:r>
        <w:rPr>
          <w:rFonts w:ascii="仿宋" w:hAnsi="仿宋" w:eastAsia="仿宋"/>
          <w:color w:val="auto"/>
          <w:sz w:val="24"/>
          <w:highlight w:val="none"/>
        </w:rPr>
        <w:t>2.质疑供应商若委托代理人进行质疑的，</w:t>
      </w:r>
      <w:r>
        <w:rPr>
          <w:rFonts w:hint="eastAsia" w:ascii="仿宋" w:hAnsi="仿宋" w:eastAsia="仿宋"/>
          <w:color w:val="auto"/>
          <w:sz w:val="24"/>
          <w:highlight w:val="none"/>
        </w:rPr>
        <w:t>质疑函应按要求列明“授权代表”的有关内容，并在附件中提交由质疑</w:t>
      </w:r>
      <w:r>
        <w:rPr>
          <w:rFonts w:hint="eastAsia" w:ascii="仿宋" w:hAnsi="仿宋" w:eastAsia="仿宋" w:cs="宋体"/>
          <w:color w:val="auto"/>
          <w:kern w:val="0"/>
          <w:sz w:val="24"/>
          <w:highlight w:val="none"/>
        </w:rPr>
        <w:t>供应商签署的授权委托书。授权委托书应载明代理人的姓名或者名称、代理事项、具体权限、期限和相关事项。</w:t>
      </w:r>
    </w:p>
    <w:p>
      <w:pPr>
        <w:widowControl/>
        <w:snapToGrid w:val="0"/>
        <w:spacing w:line="360" w:lineRule="auto"/>
        <w:ind w:firstLine="480" w:firstLineChars="200"/>
        <w:jc w:val="left"/>
        <w:rPr>
          <w:rFonts w:ascii="仿宋" w:hAnsi="仿宋" w:eastAsia="仿宋"/>
          <w:color w:val="auto"/>
          <w:sz w:val="24"/>
          <w:highlight w:val="none"/>
        </w:rPr>
      </w:pPr>
      <w:r>
        <w:rPr>
          <w:rFonts w:ascii="仿宋" w:hAnsi="仿宋" w:eastAsia="仿宋"/>
          <w:color w:val="auto"/>
          <w:sz w:val="24"/>
          <w:highlight w:val="none"/>
        </w:rPr>
        <w:t>3.质疑供应商若对项目的某一分包进行质疑，质疑函中应列明具体分包号。</w:t>
      </w:r>
    </w:p>
    <w:p>
      <w:pPr>
        <w:widowControl/>
        <w:snapToGrid w:val="0"/>
        <w:spacing w:line="360" w:lineRule="auto"/>
        <w:ind w:firstLine="480" w:firstLineChars="200"/>
        <w:jc w:val="left"/>
        <w:rPr>
          <w:rFonts w:ascii="仿宋" w:hAnsi="仿宋" w:eastAsia="仿宋"/>
          <w:color w:val="auto"/>
          <w:sz w:val="24"/>
          <w:highlight w:val="none"/>
        </w:rPr>
      </w:pPr>
      <w:r>
        <w:rPr>
          <w:rFonts w:ascii="仿宋" w:hAnsi="仿宋" w:eastAsia="仿宋"/>
          <w:color w:val="auto"/>
          <w:sz w:val="24"/>
          <w:highlight w:val="none"/>
        </w:rPr>
        <w:t>4.质疑函的质疑事项应具体、明确，并有必要的事实依据和法律依据。</w:t>
      </w:r>
    </w:p>
    <w:p>
      <w:pPr>
        <w:widowControl/>
        <w:snapToGrid w:val="0"/>
        <w:spacing w:line="360" w:lineRule="auto"/>
        <w:ind w:firstLine="480" w:firstLineChars="200"/>
        <w:jc w:val="left"/>
        <w:rPr>
          <w:rFonts w:ascii="仿宋" w:hAnsi="仿宋" w:eastAsia="仿宋"/>
          <w:color w:val="auto"/>
          <w:sz w:val="24"/>
          <w:highlight w:val="none"/>
        </w:rPr>
      </w:pPr>
      <w:r>
        <w:rPr>
          <w:rFonts w:ascii="仿宋" w:hAnsi="仿宋" w:eastAsia="仿宋"/>
          <w:color w:val="auto"/>
          <w:sz w:val="24"/>
          <w:highlight w:val="none"/>
        </w:rPr>
        <w:t>5.质疑函的质疑请求应与质疑事项相关。</w:t>
      </w:r>
    </w:p>
    <w:p>
      <w:pPr>
        <w:widowControl/>
        <w:snapToGrid w:val="0"/>
        <w:spacing w:line="360" w:lineRule="auto"/>
        <w:ind w:firstLine="480" w:firstLineChars="200"/>
        <w:jc w:val="left"/>
        <w:rPr>
          <w:rFonts w:ascii="仿宋" w:hAnsi="仿宋" w:eastAsia="仿宋"/>
          <w:color w:val="auto"/>
          <w:sz w:val="24"/>
          <w:highlight w:val="none"/>
        </w:rPr>
      </w:pPr>
      <w:r>
        <w:rPr>
          <w:rFonts w:ascii="仿宋" w:hAnsi="仿宋" w:eastAsia="仿宋"/>
          <w:color w:val="auto"/>
          <w:sz w:val="24"/>
          <w:highlight w:val="none"/>
        </w:rPr>
        <w:t>6.质疑供应商为自然人的，</w:t>
      </w:r>
      <w:r>
        <w:rPr>
          <w:rFonts w:hint="eastAsia" w:ascii="仿宋" w:hAnsi="仿宋" w:eastAsia="仿宋"/>
          <w:color w:val="auto"/>
          <w:sz w:val="24"/>
          <w:highlight w:val="none"/>
        </w:rPr>
        <w:t>质疑函应由本人签字；质疑供应商为法人或者其他组织的，质疑函应由法定代表人、主要负责人，或者其授权代表签字或者盖章，并加盖公章。</w:t>
      </w:r>
    </w:p>
    <w:p>
      <w:pPr>
        <w:widowControl/>
        <w:snapToGrid w:val="0"/>
        <w:spacing w:line="360" w:lineRule="auto"/>
        <w:ind w:firstLine="600" w:firstLineChars="200"/>
        <w:jc w:val="left"/>
        <w:rPr>
          <w:rFonts w:ascii="仿宋" w:hAnsi="仿宋" w:eastAsia="仿宋"/>
          <w:color w:val="auto"/>
          <w:sz w:val="30"/>
          <w:szCs w:val="30"/>
          <w:highlight w:val="none"/>
        </w:rPr>
      </w:pPr>
    </w:p>
    <w:p>
      <w:pPr>
        <w:snapToGrid w:val="0"/>
        <w:spacing w:line="360" w:lineRule="auto"/>
        <w:jc w:val="center"/>
        <w:rPr>
          <w:rFonts w:ascii="仿宋" w:hAnsi="仿宋" w:eastAsia="仿宋"/>
          <w:b/>
          <w:color w:val="auto"/>
          <w:spacing w:val="6"/>
          <w:sz w:val="32"/>
          <w:szCs w:val="32"/>
          <w:highlight w:val="none"/>
        </w:rPr>
      </w:pPr>
    </w:p>
    <w:p>
      <w:pPr>
        <w:snapToGrid w:val="0"/>
        <w:spacing w:line="360" w:lineRule="auto"/>
        <w:jc w:val="center"/>
        <w:rPr>
          <w:rFonts w:ascii="仿宋" w:hAnsi="仿宋" w:eastAsia="仿宋"/>
          <w:b/>
          <w:color w:val="auto"/>
          <w:spacing w:val="6"/>
          <w:sz w:val="32"/>
          <w:szCs w:val="32"/>
          <w:highlight w:val="none"/>
        </w:rPr>
      </w:pPr>
    </w:p>
    <w:p>
      <w:pPr>
        <w:snapToGrid w:val="0"/>
        <w:spacing w:line="360" w:lineRule="auto"/>
        <w:jc w:val="center"/>
        <w:rPr>
          <w:rFonts w:ascii="仿宋" w:hAnsi="仿宋" w:eastAsia="仿宋"/>
          <w:b/>
          <w:color w:val="auto"/>
          <w:spacing w:val="6"/>
          <w:sz w:val="32"/>
          <w:szCs w:val="32"/>
          <w:highlight w:val="none"/>
        </w:rPr>
      </w:pPr>
    </w:p>
    <w:p>
      <w:pPr>
        <w:snapToGrid w:val="0"/>
        <w:spacing w:line="360" w:lineRule="auto"/>
        <w:jc w:val="center"/>
        <w:rPr>
          <w:rFonts w:ascii="仿宋" w:hAnsi="仿宋" w:eastAsia="仿宋"/>
          <w:b/>
          <w:color w:val="auto"/>
          <w:spacing w:val="6"/>
          <w:sz w:val="32"/>
          <w:szCs w:val="32"/>
          <w:highlight w:val="none"/>
        </w:rPr>
      </w:pPr>
    </w:p>
    <w:p>
      <w:pPr>
        <w:snapToGrid w:val="0"/>
        <w:spacing w:line="360" w:lineRule="auto"/>
        <w:jc w:val="center"/>
        <w:rPr>
          <w:rFonts w:ascii="仿宋" w:hAnsi="仿宋" w:eastAsia="仿宋"/>
          <w:b/>
          <w:color w:val="auto"/>
          <w:spacing w:val="6"/>
          <w:sz w:val="32"/>
          <w:szCs w:val="32"/>
          <w:highlight w:val="none"/>
        </w:rPr>
      </w:pPr>
    </w:p>
    <w:p>
      <w:pPr>
        <w:snapToGrid w:val="0"/>
        <w:spacing w:line="360" w:lineRule="auto"/>
        <w:jc w:val="center"/>
        <w:rPr>
          <w:rFonts w:ascii="仿宋" w:hAnsi="仿宋" w:eastAsia="仿宋"/>
          <w:b/>
          <w:color w:val="auto"/>
          <w:spacing w:val="6"/>
          <w:sz w:val="32"/>
          <w:szCs w:val="32"/>
          <w:highlight w:val="none"/>
        </w:rPr>
      </w:pPr>
    </w:p>
    <w:p>
      <w:pPr>
        <w:snapToGrid w:val="0"/>
        <w:spacing w:line="360" w:lineRule="auto"/>
        <w:jc w:val="center"/>
        <w:rPr>
          <w:rFonts w:ascii="仿宋" w:hAnsi="仿宋" w:eastAsia="仿宋"/>
          <w:b/>
          <w:color w:val="auto"/>
          <w:spacing w:val="6"/>
          <w:sz w:val="32"/>
          <w:szCs w:val="32"/>
          <w:highlight w:val="none"/>
        </w:rPr>
      </w:pPr>
    </w:p>
    <w:p>
      <w:pPr>
        <w:snapToGrid w:val="0"/>
        <w:spacing w:line="360" w:lineRule="auto"/>
        <w:jc w:val="center"/>
        <w:rPr>
          <w:rFonts w:ascii="仿宋" w:hAnsi="仿宋" w:eastAsia="仿宋"/>
          <w:b/>
          <w:color w:val="auto"/>
          <w:spacing w:val="6"/>
          <w:sz w:val="32"/>
          <w:szCs w:val="32"/>
          <w:highlight w:val="none"/>
        </w:rPr>
      </w:pPr>
    </w:p>
    <w:p>
      <w:pPr>
        <w:snapToGrid w:val="0"/>
        <w:spacing w:line="360" w:lineRule="auto"/>
        <w:jc w:val="center"/>
        <w:rPr>
          <w:rFonts w:ascii="仿宋" w:hAnsi="仿宋" w:eastAsia="仿宋"/>
          <w:b/>
          <w:color w:val="auto"/>
          <w:spacing w:val="6"/>
          <w:sz w:val="32"/>
          <w:szCs w:val="32"/>
          <w:highlight w:val="none"/>
        </w:rPr>
      </w:pPr>
    </w:p>
    <w:p>
      <w:pPr>
        <w:snapToGrid w:val="0"/>
        <w:spacing w:line="360" w:lineRule="auto"/>
        <w:jc w:val="center"/>
        <w:rPr>
          <w:rFonts w:ascii="仿宋" w:hAnsi="仿宋" w:eastAsia="仿宋"/>
          <w:b/>
          <w:color w:val="auto"/>
          <w:spacing w:val="6"/>
          <w:sz w:val="32"/>
          <w:szCs w:val="32"/>
          <w:highlight w:val="none"/>
        </w:rPr>
      </w:pPr>
    </w:p>
    <w:p>
      <w:pPr>
        <w:snapToGrid w:val="0"/>
        <w:spacing w:line="360" w:lineRule="auto"/>
        <w:jc w:val="center"/>
        <w:rPr>
          <w:rFonts w:ascii="仿宋" w:hAnsi="仿宋" w:eastAsia="仿宋"/>
          <w:b/>
          <w:color w:val="auto"/>
          <w:spacing w:val="6"/>
          <w:sz w:val="32"/>
          <w:szCs w:val="32"/>
          <w:highlight w:val="none"/>
        </w:rPr>
      </w:pPr>
    </w:p>
    <w:p>
      <w:pPr>
        <w:snapToGrid w:val="0"/>
        <w:spacing w:line="360" w:lineRule="auto"/>
        <w:jc w:val="left"/>
        <w:rPr>
          <w:rFonts w:ascii="仿宋" w:hAnsi="仿宋" w:eastAsia="仿宋"/>
          <w:b/>
          <w:color w:val="auto"/>
          <w:spacing w:val="6"/>
          <w:sz w:val="32"/>
          <w:szCs w:val="32"/>
          <w:highlight w:val="none"/>
        </w:rPr>
      </w:pPr>
    </w:p>
    <w:p>
      <w:pPr>
        <w:tabs>
          <w:tab w:val="left" w:pos="432"/>
        </w:tabs>
        <w:spacing w:line="360" w:lineRule="auto"/>
        <w:jc w:val="left"/>
        <w:rPr>
          <w:rFonts w:ascii="仿宋" w:hAnsi="仿宋" w:eastAsia="仿宋"/>
          <w:color w:val="auto"/>
          <w:sz w:val="32"/>
          <w:szCs w:val="32"/>
          <w:highlight w:val="none"/>
        </w:rPr>
      </w:pPr>
    </w:p>
    <w:p>
      <w:pPr>
        <w:pStyle w:val="4"/>
        <w:jc w:val="left"/>
        <w:rPr>
          <w:rFonts w:ascii="仿宋" w:hAnsi="仿宋" w:eastAsia="仿宋"/>
          <w:color w:val="auto"/>
          <w:sz w:val="32"/>
          <w:szCs w:val="32"/>
          <w:highlight w:val="none"/>
        </w:rPr>
      </w:pPr>
      <w:bookmarkStart w:id="823" w:name="_Toc687"/>
      <w:r>
        <w:rPr>
          <w:rFonts w:hint="eastAsia" w:ascii="仿宋" w:hAnsi="仿宋" w:eastAsia="仿宋"/>
          <w:color w:val="auto"/>
          <w:sz w:val="32"/>
          <w:szCs w:val="32"/>
          <w:highlight w:val="none"/>
        </w:rPr>
        <w:t>附件3：投诉书范本及制作说明</w:t>
      </w:r>
      <w:bookmarkEnd w:id="823"/>
    </w:p>
    <w:p>
      <w:pPr>
        <w:snapToGrid w:val="0"/>
        <w:spacing w:line="360" w:lineRule="auto"/>
        <w:jc w:val="center"/>
        <w:rPr>
          <w:rFonts w:ascii="仿宋" w:hAnsi="仿宋" w:eastAsia="仿宋"/>
          <w:b/>
          <w:color w:val="auto"/>
          <w:sz w:val="24"/>
          <w:highlight w:val="none"/>
        </w:rPr>
      </w:pPr>
    </w:p>
    <w:p>
      <w:pPr>
        <w:snapToGrid w:val="0"/>
        <w:spacing w:line="360" w:lineRule="auto"/>
        <w:jc w:val="center"/>
        <w:rPr>
          <w:rFonts w:ascii="仿宋" w:hAnsi="仿宋" w:eastAsia="仿宋"/>
          <w:b/>
          <w:color w:val="auto"/>
          <w:spacing w:val="6"/>
          <w:sz w:val="32"/>
          <w:szCs w:val="32"/>
          <w:highlight w:val="none"/>
        </w:rPr>
      </w:pPr>
      <w:r>
        <w:rPr>
          <w:rFonts w:hint="eastAsia" w:ascii="仿宋" w:hAnsi="仿宋" w:eastAsia="仿宋"/>
          <w:b/>
          <w:color w:val="auto"/>
          <w:spacing w:val="6"/>
          <w:sz w:val="32"/>
          <w:szCs w:val="32"/>
          <w:highlight w:val="none"/>
        </w:rPr>
        <w:t>投诉书范本</w:t>
      </w:r>
    </w:p>
    <w:p>
      <w:pPr>
        <w:snapToGrid w:val="0"/>
        <w:spacing w:line="360" w:lineRule="auto"/>
        <w:rPr>
          <w:rFonts w:ascii="仿宋" w:hAnsi="仿宋" w:eastAsia="仿宋"/>
          <w:color w:val="auto"/>
          <w:sz w:val="24"/>
          <w:highlight w:val="none"/>
        </w:rPr>
      </w:pPr>
      <w:r>
        <w:rPr>
          <w:rFonts w:hint="eastAsia" w:ascii="仿宋" w:hAnsi="仿宋" w:eastAsia="仿宋"/>
          <w:color w:val="auto"/>
          <w:sz w:val="24"/>
          <w:highlight w:val="none"/>
        </w:rPr>
        <w:t>一、投诉相关主体基本情况</w:t>
      </w:r>
    </w:p>
    <w:p>
      <w:pPr>
        <w:snapToGrid w:val="0"/>
        <w:spacing w:line="360" w:lineRule="auto"/>
        <w:rPr>
          <w:rFonts w:ascii="仿宋" w:hAnsi="仿宋" w:eastAsia="仿宋"/>
          <w:color w:val="auto"/>
          <w:sz w:val="24"/>
          <w:highlight w:val="none"/>
          <w:u w:val="dotted"/>
        </w:rPr>
      </w:pPr>
      <w:r>
        <w:rPr>
          <w:rFonts w:hint="eastAsia" w:ascii="仿宋" w:hAnsi="仿宋" w:eastAsia="仿宋"/>
          <w:color w:val="auto"/>
          <w:sz w:val="24"/>
          <w:highlight w:val="none"/>
        </w:rPr>
        <w:t>投诉人：</w:t>
      </w:r>
      <w:r>
        <w:rPr>
          <w:rFonts w:ascii="仿宋" w:hAnsi="仿宋" w:eastAsia="仿宋"/>
          <w:color w:val="auto"/>
          <w:sz w:val="24"/>
          <w:highlight w:val="none"/>
          <w:u w:val="dotted"/>
        </w:rPr>
        <w:t xml:space="preserve">                                               </w:t>
      </w:r>
    </w:p>
    <w:p>
      <w:pPr>
        <w:snapToGrid w:val="0"/>
        <w:spacing w:line="360" w:lineRule="auto"/>
        <w:rPr>
          <w:rFonts w:ascii="仿宋" w:hAnsi="仿宋" w:eastAsia="仿宋"/>
          <w:color w:val="auto"/>
          <w:sz w:val="24"/>
          <w:highlight w:val="none"/>
          <w:u w:val="single"/>
        </w:rPr>
      </w:pPr>
      <w:r>
        <w:rPr>
          <w:rFonts w:hint="eastAsia" w:ascii="仿宋" w:hAnsi="仿宋" w:eastAsia="仿宋"/>
          <w:color w:val="auto"/>
          <w:sz w:val="24"/>
          <w:highlight w:val="none"/>
        </w:rPr>
        <w:t>地</w:t>
      </w:r>
      <w:r>
        <w:rPr>
          <w:rFonts w:ascii="仿宋" w:hAnsi="仿宋" w:eastAsia="仿宋"/>
          <w:color w:val="auto"/>
          <w:sz w:val="24"/>
          <w:highlight w:val="none"/>
        </w:rPr>
        <w:t xml:space="preserve">     </w:t>
      </w:r>
      <w:r>
        <w:rPr>
          <w:rFonts w:hint="eastAsia" w:ascii="仿宋" w:hAnsi="仿宋" w:eastAsia="仿宋"/>
          <w:color w:val="auto"/>
          <w:sz w:val="24"/>
          <w:highlight w:val="none"/>
        </w:rPr>
        <w:t>址：</w:t>
      </w:r>
      <w:r>
        <w:rPr>
          <w:rFonts w:ascii="仿宋" w:hAnsi="仿宋" w:eastAsia="仿宋"/>
          <w:color w:val="auto"/>
          <w:sz w:val="24"/>
          <w:highlight w:val="none"/>
          <w:u w:val="dotted"/>
        </w:rPr>
        <w:t xml:space="preserve">                             </w:t>
      </w:r>
      <w:r>
        <w:rPr>
          <w:rFonts w:hint="eastAsia" w:ascii="仿宋" w:hAnsi="仿宋" w:eastAsia="仿宋"/>
          <w:color w:val="auto"/>
          <w:sz w:val="24"/>
          <w:highlight w:val="none"/>
        </w:rPr>
        <w:t>邮编：</w:t>
      </w:r>
      <w:r>
        <w:rPr>
          <w:rFonts w:ascii="仿宋" w:hAnsi="仿宋" w:eastAsia="仿宋"/>
          <w:color w:val="auto"/>
          <w:sz w:val="24"/>
          <w:highlight w:val="none"/>
          <w:u w:val="dotted"/>
        </w:rPr>
        <w:t xml:space="preserve">         </w:t>
      </w:r>
      <w:r>
        <w:rPr>
          <w:rFonts w:ascii="仿宋" w:hAnsi="仿宋" w:eastAsia="仿宋"/>
          <w:color w:val="auto"/>
          <w:sz w:val="24"/>
          <w:highlight w:val="none"/>
          <w:u w:val="single"/>
        </w:rPr>
        <w:t xml:space="preserve">   </w:t>
      </w:r>
    </w:p>
    <w:p>
      <w:pPr>
        <w:tabs>
          <w:tab w:val="left" w:pos="6510"/>
        </w:tabs>
        <w:snapToGrid w:val="0"/>
        <w:spacing w:line="360" w:lineRule="auto"/>
        <w:jc w:val="left"/>
        <w:rPr>
          <w:rFonts w:ascii="仿宋" w:hAnsi="仿宋" w:eastAsia="仿宋"/>
          <w:color w:val="auto"/>
          <w:sz w:val="24"/>
          <w:highlight w:val="none"/>
        </w:rPr>
      </w:pPr>
      <w:r>
        <w:rPr>
          <w:rFonts w:hint="eastAsia" w:ascii="仿宋" w:hAnsi="仿宋" w:eastAsia="仿宋"/>
          <w:color w:val="auto"/>
          <w:sz w:val="24"/>
          <w:highlight w:val="none"/>
        </w:rPr>
        <w:t>法定代表人</w:t>
      </w:r>
      <w:r>
        <w:rPr>
          <w:rFonts w:ascii="仿宋" w:hAnsi="仿宋" w:eastAsia="仿宋"/>
          <w:color w:val="auto"/>
          <w:sz w:val="24"/>
          <w:highlight w:val="none"/>
        </w:rPr>
        <w:t>/主要负责人：</w:t>
      </w:r>
      <w:r>
        <w:rPr>
          <w:rFonts w:ascii="仿宋" w:hAnsi="仿宋" w:eastAsia="仿宋"/>
          <w:color w:val="auto"/>
          <w:sz w:val="24"/>
          <w:highlight w:val="none"/>
          <w:u w:val="dotted"/>
        </w:rPr>
        <w:t xml:space="preserve">                                   </w:t>
      </w:r>
      <w:r>
        <w:rPr>
          <w:rFonts w:ascii="仿宋" w:hAnsi="仿宋" w:eastAsia="仿宋"/>
          <w:color w:val="auto"/>
          <w:sz w:val="24"/>
          <w:highlight w:val="none"/>
        </w:rPr>
        <w:t xml:space="preserve">  </w:t>
      </w:r>
    </w:p>
    <w:p>
      <w:pPr>
        <w:tabs>
          <w:tab w:val="left" w:pos="6510"/>
        </w:tabs>
        <w:snapToGrid w:val="0"/>
        <w:spacing w:line="360" w:lineRule="auto"/>
        <w:rPr>
          <w:rFonts w:ascii="仿宋" w:hAnsi="仿宋" w:eastAsia="仿宋"/>
          <w:color w:val="auto"/>
          <w:sz w:val="24"/>
          <w:highlight w:val="none"/>
          <w:u w:val="dotted"/>
        </w:rPr>
      </w:pPr>
      <w:r>
        <w:rPr>
          <w:rFonts w:hint="eastAsia" w:ascii="仿宋" w:hAnsi="仿宋" w:eastAsia="仿宋"/>
          <w:color w:val="auto"/>
          <w:sz w:val="24"/>
          <w:highlight w:val="none"/>
        </w:rPr>
        <w:t>联系电话：</w:t>
      </w:r>
      <w:r>
        <w:rPr>
          <w:rFonts w:ascii="仿宋" w:hAnsi="仿宋" w:eastAsia="仿宋"/>
          <w:color w:val="auto"/>
          <w:sz w:val="24"/>
          <w:highlight w:val="none"/>
          <w:u w:val="dotted"/>
        </w:rPr>
        <w:t xml:space="preserve">                                             </w:t>
      </w:r>
    </w:p>
    <w:p>
      <w:pPr>
        <w:snapToGrid w:val="0"/>
        <w:spacing w:line="360" w:lineRule="auto"/>
        <w:rPr>
          <w:rFonts w:ascii="仿宋" w:hAnsi="仿宋" w:eastAsia="仿宋"/>
          <w:color w:val="auto"/>
          <w:sz w:val="24"/>
          <w:highlight w:val="none"/>
          <w:u w:val="dotted"/>
        </w:rPr>
      </w:pPr>
      <w:r>
        <w:rPr>
          <w:rFonts w:hint="eastAsia" w:ascii="仿宋" w:hAnsi="仿宋" w:eastAsia="仿宋"/>
          <w:color w:val="auto"/>
          <w:sz w:val="24"/>
          <w:highlight w:val="none"/>
        </w:rPr>
        <w:t>授权代表：</w:t>
      </w:r>
      <w:r>
        <w:rPr>
          <w:rFonts w:ascii="仿宋" w:hAnsi="仿宋" w:eastAsia="仿宋"/>
          <w:color w:val="auto"/>
          <w:sz w:val="24"/>
          <w:highlight w:val="none"/>
          <w:u w:val="dotted"/>
        </w:rPr>
        <w:t xml:space="preserve">             </w:t>
      </w:r>
      <w:r>
        <w:rPr>
          <w:rFonts w:hint="eastAsia" w:ascii="仿宋" w:hAnsi="仿宋" w:eastAsia="仿宋"/>
          <w:color w:val="auto"/>
          <w:sz w:val="24"/>
          <w:highlight w:val="none"/>
        </w:rPr>
        <w:t>联系电话</w:t>
      </w:r>
      <w:r>
        <w:rPr>
          <w:rFonts w:hint="eastAsia" w:ascii="仿宋" w:hAnsi="仿宋" w:eastAsia="仿宋"/>
          <w:color w:val="auto"/>
          <w:sz w:val="24"/>
          <w:highlight w:val="none"/>
          <w:u w:val="dotted"/>
        </w:rPr>
        <w:t>：</w:t>
      </w:r>
      <w:r>
        <w:rPr>
          <w:rFonts w:ascii="仿宋" w:hAnsi="仿宋" w:eastAsia="仿宋"/>
          <w:color w:val="auto"/>
          <w:sz w:val="24"/>
          <w:highlight w:val="none"/>
          <w:u w:val="dotted"/>
        </w:rPr>
        <w:t xml:space="preserve">                  </w:t>
      </w:r>
    </w:p>
    <w:p>
      <w:pPr>
        <w:snapToGrid w:val="0"/>
        <w:spacing w:line="360" w:lineRule="auto"/>
        <w:rPr>
          <w:rFonts w:ascii="仿宋" w:hAnsi="仿宋" w:eastAsia="仿宋"/>
          <w:color w:val="auto"/>
          <w:sz w:val="24"/>
          <w:highlight w:val="none"/>
          <w:u w:val="dotted"/>
        </w:rPr>
      </w:pPr>
      <w:r>
        <w:rPr>
          <w:rFonts w:hint="eastAsia" w:ascii="仿宋" w:hAnsi="仿宋" w:eastAsia="仿宋"/>
          <w:color w:val="auto"/>
          <w:sz w:val="24"/>
          <w:highlight w:val="none"/>
        </w:rPr>
        <w:t>地</w:t>
      </w:r>
      <w:r>
        <w:rPr>
          <w:rFonts w:ascii="仿宋" w:hAnsi="仿宋" w:eastAsia="仿宋"/>
          <w:color w:val="auto"/>
          <w:sz w:val="24"/>
          <w:highlight w:val="none"/>
        </w:rPr>
        <w:t xml:space="preserve">     </w:t>
      </w:r>
      <w:r>
        <w:rPr>
          <w:rFonts w:hint="eastAsia" w:ascii="仿宋" w:hAnsi="仿宋" w:eastAsia="仿宋"/>
          <w:color w:val="auto"/>
          <w:sz w:val="24"/>
          <w:highlight w:val="none"/>
        </w:rPr>
        <w:t>址：</w:t>
      </w:r>
      <w:r>
        <w:rPr>
          <w:rFonts w:ascii="仿宋" w:hAnsi="仿宋" w:eastAsia="仿宋"/>
          <w:color w:val="auto"/>
          <w:sz w:val="24"/>
          <w:highlight w:val="none"/>
          <w:u w:val="dotted"/>
        </w:rPr>
        <w:t xml:space="preserve">                             </w:t>
      </w:r>
      <w:r>
        <w:rPr>
          <w:rFonts w:hint="eastAsia" w:ascii="仿宋" w:hAnsi="仿宋" w:eastAsia="仿宋"/>
          <w:color w:val="auto"/>
          <w:sz w:val="24"/>
          <w:highlight w:val="none"/>
        </w:rPr>
        <w:t>邮编：</w:t>
      </w:r>
      <w:r>
        <w:rPr>
          <w:rFonts w:ascii="仿宋" w:hAnsi="仿宋" w:eastAsia="仿宋"/>
          <w:color w:val="auto"/>
          <w:sz w:val="24"/>
          <w:highlight w:val="none"/>
          <w:u w:val="dotted"/>
        </w:rPr>
        <w:t xml:space="preserve">         </w:t>
      </w:r>
      <w:r>
        <w:rPr>
          <w:rFonts w:ascii="仿宋" w:hAnsi="仿宋" w:eastAsia="仿宋"/>
          <w:color w:val="auto"/>
          <w:sz w:val="24"/>
          <w:highlight w:val="none"/>
          <w:u w:val="single"/>
        </w:rPr>
        <w:t xml:space="preserve"> </w:t>
      </w:r>
      <w:r>
        <w:rPr>
          <w:rFonts w:ascii="仿宋" w:hAnsi="仿宋" w:eastAsia="仿宋"/>
          <w:color w:val="auto"/>
          <w:sz w:val="24"/>
          <w:highlight w:val="none"/>
          <w:u w:val="dotted"/>
        </w:rPr>
        <w:t xml:space="preserve">                   </w:t>
      </w:r>
    </w:p>
    <w:p>
      <w:pPr>
        <w:snapToGrid w:val="0"/>
        <w:spacing w:line="360" w:lineRule="auto"/>
        <w:rPr>
          <w:rFonts w:ascii="仿宋" w:hAnsi="仿宋" w:eastAsia="仿宋"/>
          <w:color w:val="auto"/>
          <w:sz w:val="24"/>
          <w:highlight w:val="none"/>
          <w:u w:val="single"/>
        </w:rPr>
      </w:pPr>
      <w:r>
        <w:rPr>
          <w:rFonts w:hint="eastAsia" w:ascii="仿宋" w:hAnsi="仿宋" w:eastAsia="仿宋"/>
          <w:color w:val="auto"/>
          <w:sz w:val="24"/>
          <w:highlight w:val="none"/>
        </w:rPr>
        <w:t>被投诉人</w:t>
      </w:r>
      <w:r>
        <w:rPr>
          <w:rFonts w:ascii="仿宋" w:hAnsi="仿宋" w:eastAsia="仿宋"/>
          <w:color w:val="auto"/>
          <w:sz w:val="24"/>
          <w:highlight w:val="none"/>
        </w:rPr>
        <w:t>1：</w:t>
      </w:r>
      <w:r>
        <w:rPr>
          <w:rFonts w:ascii="仿宋" w:hAnsi="仿宋" w:eastAsia="仿宋"/>
          <w:color w:val="auto"/>
          <w:sz w:val="24"/>
          <w:highlight w:val="none"/>
          <w:u w:val="dotted"/>
        </w:rPr>
        <w:t xml:space="preserve">                                           </w:t>
      </w:r>
      <w:r>
        <w:rPr>
          <w:rFonts w:ascii="仿宋" w:hAnsi="仿宋" w:eastAsia="仿宋"/>
          <w:color w:val="auto"/>
          <w:sz w:val="24"/>
          <w:highlight w:val="none"/>
          <w:u w:val="single"/>
        </w:rPr>
        <w:t xml:space="preserve">  </w:t>
      </w:r>
    </w:p>
    <w:p>
      <w:pPr>
        <w:snapToGrid w:val="0"/>
        <w:spacing w:line="360" w:lineRule="auto"/>
        <w:rPr>
          <w:rFonts w:ascii="仿宋" w:hAnsi="仿宋" w:eastAsia="仿宋"/>
          <w:color w:val="auto"/>
          <w:sz w:val="24"/>
          <w:highlight w:val="none"/>
          <w:u w:val="single"/>
        </w:rPr>
      </w:pPr>
      <w:r>
        <w:rPr>
          <w:rFonts w:hint="eastAsia" w:ascii="仿宋" w:hAnsi="仿宋" w:eastAsia="仿宋"/>
          <w:color w:val="auto"/>
          <w:sz w:val="24"/>
          <w:highlight w:val="none"/>
        </w:rPr>
        <w:t>地</w:t>
      </w:r>
      <w:r>
        <w:rPr>
          <w:rFonts w:ascii="仿宋" w:hAnsi="仿宋" w:eastAsia="仿宋"/>
          <w:color w:val="auto"/>
          <w:sz w:val="24"/>
          <w:highlight w:val="none"/>
        </w:rPr>
        <w:t xml:space="preserve">     </w:t>
      </w:r>
      <w:r>
        <w:rPr>
          <w:rFonts w:hint="eastAsia" w:ascii="仿宋" w:hAnsi="仿宋" w:eastAsia="仿宋"/>
          <w:color w:val="auto"/>
          <w:sz w:val="24"/>
          <w:highlight w:val="none"/>
        </w:rPr>
        <w:t>址：</w:t>
      </w:r>
      <w:r>
        <w:rPr>
          <w:rFonts w:ascii="仿宋" w:hAnsi="仿宋" w:eastAsia="仿宋"/>
          <w:color w:val="auto"/>
          <w:sz w:val="24"/>
          <w:highlight w:val="none"/>
          <w:u w:val="dotted"/>
        </w:rPr>
        <w:t xml:space="preserve">                             </w:t>
      </w:r>
      <w:r>
        <w:rPr>
          <w:rFonts w:hint="eastAsia" w:ascii="仿宋" w:hAnsi="仿宋" w:eastAsia="仿宋"/>
          <w:color w:val="auto"/>
          <w:sz w:val="24"/>
          <w:highlight w:val="none"/>
        </w:rPr>
        <w:t>邮编：</w:t>
      </w:r>
      <w:r>
        <w:rPr>
          <w:rFonts w:ascii="仿宋" w:hAnsi="仿宋" w:eastAsia="仿宋"/>
          <w:color w:val="auto"/>
          <w:sz w:val="24"/>
          <w:highlight w:val="none"/>
          <w:u w:val="dotted"/>
        </w:rPr>
        <w:t xml:space="preserve">          </w:t>
      </w:r>
      <w:r>
        <w:rPr>
          <w:rFonts w:ascii="仿宋" w:hAnsi="仿宋" w:eastAsia="仿宋"/>
          <w:color w:val="auto"/>
          <w:sz w:val="24"/>
          <w:highlight w:val="none"/>
          <w:u w:val="single"/>
        </w:rPr>
        <w:t xml:space="preserve"> </w:t>
      </w:r>
    </w:p>
    <w:p>
      <w:pPr>
        <w:snapToGrid w:val="0"/>
        <w:spacing w:line="360" w:lineRule="auto"/>
        <w:rPr>
          <w:rFonts w:ascii="仿宋" w:hAnsi="仿宋" w:eastAsia="仿宋"/>
          <w:color w:val="auto"/>
          <w:sz w:val="24"/>
          <w:highlight w:val="none"/>
          <w:u w:val="single"/>
        </w:rPr>
      </w:pPr>
      <w:r>
        <w:rPr>
          <w:rFonts w:hint="eastAsia" w:ascii="仿宋" w:hAnsi="仿宋" w:eastAsia="仿宋"/>
          <w:color w:val="auto"/>
          <w:sz w:val="24"/>
          <w:highlight w:val="none"/>
        </w:rPr>
        <w:t>联系人：</w:t>
      </w:r>
      <w:r>
        <w:rPr>
          <w:rFonts w:ascii="仿宋" w:hAnsi="仿宋" w:eastAsia="仿宋"/>
          <w:color w:val="auto"/>
          <w:sz w:val="24"/>
          <w:highlight w:val="none"/>
          <w:u w:val="dotted"/>
        </w:rPr>
        <w:t xml:space="preserve">               </w:t>
      </w:r>
      <w:r>
        <w:rPr>
          <w:rFonts w:hint="eastAsia" w:ascii="仿宋" w:hAnsi="仿宋" w:eastAsia="仿宋"/>
          <w:color w:val="auto"/>
          <w:sz w:val="24"/>
          <w:highlight w:val="none"/>
        </w:rPr>
        <w:t>联系电话：</w:t>
      </w:r>
      <w:r>
        <w:rPr>
          <w:rFonts w:ascii="仿宋" w:hAnsi="仿宋" w:eastAsia="仿宋"/>
          <w:color w:val="auto"/>
          <w:sz w:val="24"/>
          <w:highlight w:val="none"/>
          <w:u w:val="dotted"/>
        </w:rPr>
        <w:t xml:space="preserve">                      </w:t>
      </w:r>
      <w:r>
        <w:rPr>
          <w:rFonts w:ascii="仿宋" w:hAnsi="仿宋" w:eastAsia="仿宋"/>
          <w:color w:val="auto"/>
          <w:sz w:val="24"/>
          <w:highlight w:val="none"/>
          <w:u w:val="single"/>
        </w:rPr>
        <w:t xml:space="preserve"> </w:t>
      </w:r>
    </w:p>
    <w:p>
      <w:pPr>
        <w:snapToGrid w:val="0"/>
        <w:spacing w:line="360" w:lineRule="auto"/>
        <w:rPr>
          <w:rFonts w:ascii="仿宋" w:hAnsi="仿宋" w:eastAsia="仿宋"/>
          <w:color w:val="auto"/>
          <w:sz w:val="24"/>
          <w:highlight w:val="none"/>
        </w:rPr>
      </w:pPr>
      <w:r>
        <w:rPr>
          <w:rFonts w:hint="eastAsia" w:ascii="仿宋" w:hAnsi="仿宋" w:eastAsia="仿宋"/>
          <w:color w:val="auto"/>
          <w:sz w:val="24"/>
          <w:highlight w:val="none"/>
        </w:rPr>
        <w:t>被投诉人</w:t>
      </w:r>
      <w:r>
        <w:rPr>
          <w:rFonts w:ascii="仿宋" w:hAnsi="仿宋" w:eastAsia="仿宋"/>
          <w:color w:val="auto"/>
          <w:sz w:val="24"/>
          <w:highlight w:val="none"/>
        </w:rPr>
        <w:t>2</w:t>
      </w:r>
    </w:p>
    <w:p>
      <w:pPr>
        <w:snapToGrid w:val="0"/>
        <w:spacing w:line="360" w:lineRule="auto"/>
        <w:rPr>
          <w:rFonts w:ascii="仿宋" w:hAnsi="仿宋" w:eastAsia="仿宋"/>
          <w:color w:val="auto"/>
          <w:sz w:val="24"/>
          <w:highlight w:val="none"/>
          <w:u w:val="dotted"/>
        </w:rPr>
      </w:pPr>
      <w:r>
        <w:rPr>
          <w:rFonts w:hint="eastAsia" w:ascii="仿宋" w:hAnsi="仿宋" w:eastAsia="仿宋"/>
          <w:color w:val="auto"/>
          <w:sz w:val="24"/>
          <w:highlight w:val="none"/>
        </w:rPr>
        <w:t>……</w:t>
      </w:r>
    </w:p>
    <w:p>
      <w:pPr>
        <w:snapToGrid w:val="0"/>
        <w:spacing w:line="360" w:lineRule="auto"/>
        <w:rPr>
          <w:rFonts w:ascii="仿宋" w:hAnsi="仿宋" w:eastAsia="仿宋"/>
          <w:color w:val="auto"/>
          <w:sz w:val="24"/>
          <w:highlight w:val="none"/>
          <w:u w:val="single"/>
        </w:rPr>
      </w:pPr>
      <w:r>
        <w:rPr>
          <w:rFonts w:hint="eastAsia" w:ascii="仿宋" w:hAnsi="仿宋" w:eastAsia="仿宋"/>
          <w:color w:val="auto"/>
          <w:sz w:val="24"/>
          <w:highlight w:val="none"/>
        </w:rPr>
        <w:t>相关供应商：</w:t>
      </w:r>
      <w:r>
        <w:rPr>
          <w:rFonts w:ascii="仿宋" w:hAnsi="仿宋" w:eastAsia="仿宋"/>
          <w:color w:val="auto"/>
          <w:sz w:val="24"/>
          <w:highlight w:val="none"/>
          <w:u w:val="dotted"/>
        </w:rPr>
        <w:t xml:space="preserve">                                           </w:t>
      </w:r>
      <w:r>
        <w:rPr>
          <w:rFonts w:ascii="仿宋" w:hAnsi="仿宋" w:eastAsia="仿宋"/>
          <w:color w:val="auto"/>
          <w:sz w:val="24"/>
          <w:highlight w:val="none"/>
          <w:u w:val="single"/>
        </w:rPr>
        <w:t xml:space="preserve">    </w:t>
      </w:r>
    </w:p>
    <w:p>
      <w:pPr>
        <w:snapToGrid w:val="0"/>
        <w:spacing w:line="360" w:lineRule="auto"/>
        <w:rPr>
          <w:rFonts w:ascii="仿宋" w:hAnsi="仿宋" w:eastAsia="仿宋"/>
          <w:color w:val="auto"/>
          <w:sz w:val="24"/>
          <w:highlight w:val="none"/>
          <w:u w:val="single"/>
        </w:rPr>
      </w:pPr>
      <w:r>
        <w:rPr>
          <w:rFonts w:hint="eastAsia" w:ascii="仿宋" w:hAnsi="仿宋" w:eastAsia="仿宋"/>
          <w:color w:val="auto"/>
          <w:sz w:val="24"/>
          <w:highlight w:val="none"/>
        </w:rPr>
        <w:t>地</w:t>
      </w:r>
      <w:r>
        <w:rPr>
          <w:rFonts w:ascii="仿宋" w:hAnsi="仿宋" w:eastAsia="仿宋"/>
          <w:color w:val="auto"/>
          <w:sz w:val="24"/>
          <w:highlight w:val="none"/>
        </w:rPr>
        <w:t xml:space="preserve">     </w:t>
      </w:r>
      <w:r>
        <w:rPr>
          <w:rFonts w:hint="eastAsia" w:ascii="仿宋" w:hAnsi="仿宋" w:eastAsia="仿宋"/>
          <w:color w:val="auto"/>
          <w:sz w:val="24"/>
          <w:highlight w:val="none"/>
        </w:rPr>
        <w:t>址：</w:t>
      </w:r>
      <w:r>
        <w:rPr>
          <w:rFonts w:ascii="仿宋" w:hAnsi="仿宋" w:eastAsia="仿宋"/>
          <w:color w:val="auto"/>
          <w:sz w:val="24"/>
          <w:highlight w:val="none"/>
          <w:u w:val="dotted"/>
        </w:rPr>
        <w:t xml:space="preserve">                             </w:t>
      </w:r>
      <w:r>
        <w:rPr>
          <w:rFonts w:hint="eastAsia" w:ascii="仿宋" w:hAnsi="仿宋" w:eastAsia="仿宋"/>
          <w:color w:val="auto"/>
          <w:sz w:val="24"/>
          <w:highlight w:val="none"/>
        </w:rPr>
        <w:t>邮编：</w:t>
      </w:r>
      <w:r>
        <w:rPr>
          <w:rFonts w:ascii="仿宋" w:hAnsi="仿宋" w:eastAsia="仿宋"/>
          <w:color w:val="auto"/>
          <w:sz w:val="24"/>
          <w:highlight w:val="none"/>
          <w:u w:val="dotted"/>
        </w:rPr>
        <w:t xml:space="preserve">          </w:t>
      </w:r>
      <w:r>
        <w:rPr>
          <w:rFonts w:ascii="仿宋" w:hAnsi="仿宋" w:eastAsia="仿宋"/>
          <w:color w:val="auto"/>
          <w:sz w:val="24"/>
          <w:highlight w:val="none"/>
          <w:u w:val="single"/>
        </w:rPr>
        <w:t xml:space="preserve"> </w:t>
      </w:r>
    </w:p>
    <w:p>
      <w:pPr>
        <w:snapToGrid w:val="0"/>
        <w:spacing w:line="360" w:lineRule="auto"/>
        <w:rPr>
          <w:rFonts w:ascii="仿宋" w:hAnsi="仿宋" w:eastAsia="仿宋"/>
          <w:color w:val="auto"/>
          <w:sz w:val="24"/>
          <w:highlight w:val="none"/>
          <w:u w:val="single"/>
        </w:rPr>
      </w:pPr>
      <w:r>
        <w:rPr>
          <w:rFonts w:hint="eastAsia" w:ascii="仿宋" w:hAnsi="仿宋" w:eastAsia="仿宋"/>
          <w:color w:val="auto"/>
          <w:sz w:val="24"/>
          <w:highlight w:val="none"/>
        </w:rPr>
        <w:t>联系人：</w:t>
      </w:r>
      <w:r>
        <w:rPr>
          <w:rFonts w:ascii="仿宋" w:hAnsi="仿宋" w:eastAsia="仿宋"/>
          <w:color w:val="auto"/>
          <w:sz w:val="24"/>
          <w:highlight w:val="none"/>
          <w:u w:val="dotted"/>
        </w:rPr>
        <w:t xml:space="preserve">               </w:t>
      </w:r>
      <w:r>
        <w:rPr>
          <w:rFonts w:hint="eastAsia" w:ascii="仿宋" w:hAnsi="仿宋" w:eastAsia="仿宋"/>
          <w:color w:val="auto"/>
          <w:sz w:val="24"/>
          <w:highlight w:val="none"/>
        </w:rPr>
        <w:t>联系电话：</w:t>
      </w:r>
      <w:r>
        <w:rPr>
          <w:rFonts w:ascii="仿宋" w:hAnsi="仿宋" w:eastAsia="仿宋"/>
          <w:color w:val="auto"/>
          <w:sz w:val="24"/>
          <w:highlight w:val="none"/>
          <w:u w:val="dotted"/>
        </w:rPr>
        <w:t xml:space="preserve">                      </w:t>
      </w:r>
      <w:r>
        <w:rPr>
          <w:rFonts w:ascii="仿宋" w:hAnsi="仿宋" w:eastAsia="仿宋"/>
          <w:color w:val="auto"/>
          <w:sz w:val="24"/>
          <w:highlight w:val="none"/>
          <w:u w:val="single"/>
        </w:rPr>
        <w:t xml:space="preserve">      </w:t>
      </w:r>
    </w:p>
    <w:p>
      <w:pPr>
        <w:snapToGrid w:val="0"/>
        <w:spacing w:line="360" w:lineRule="auto"/>
        <w:rPr>
          <w:rFonts w:ascii="仿宋" w:hAnsi="仿宋" w:eastAsia="仿宋"/>
          <w:color w:val="auto"/>
          <w:sz w:val="24"/>
          <w:highlight w:val="none"/>
        </w:rPr>
      </w:pPr>
      <w:r>
        <w:rPr>
          <w:rFonts w:hint="eastAsia" w:ascii="仿宋" w:hAnsi="仿宋" w:eastAsia="仿宋"/>
          <w:color w:val="auto"/>
          <w:sz w:val="24"/>
          <w:highlight w:val="none"/>
        </w:rPr>
        <w:t>二、投诉项目基本情况</w:t>
      </w:r>
    </w:p>
    <w:p>
      <w:pPr>
        <w:snapToGrid w:val="0"/>
        <w:spacing w:line="360" w:lineRule="auto"/>
        <w:rPr>
          <w:rFonts w:ascii="仿宋" w:hAnsi="仿宋" w:eastAsia="仿宋"/>
          <w:color w:val="auto"/>
          <w:sz w:val="24"/>
          <w:highlight w:val="none"/>
          <w:u w:val="dotted"/>
        </w:rPr>
      </w:pPr>
      <w:r>
        <w:rPr>
          <w:rFonts w:hint="eastAsia" w:ascii="仿宋" w:hAnsi="仿宋" w:eastAsia="仿宋"/>
          <w:color w:val="auto"/>
          <w:sz w:val="24"/>
          <w:highlight w:val="none"/>
        </w:rPr>
        <w:t>采购项目名称：</w:t>
      </w:r>
      <w:r>
        <w:rPr>
          <w:rFonts w:ascii="仿宋" w:hAnsi="仿宋" w:eastAsia="仿宋"/>
          <w:color w:val="auto"/>
          <w:sz w:val="24"/>
          <w:highlight w:val="none"/>
          <w:u w:val="dotted"/>
        </w:rPr>
        <w:t xml:space="preserve">                                        </w:t>
      </w:r>
    </w:p>
    <w:p>
      <w:pPr>
        <w:snapToGrid w:val="0"/>
        <w:spacing w:line="360" w:lineRule="auto"/>
        <w:rPr>
          <w:rFonts w:ascii="仿宋" w:hAnsi="仿宋" w:eastAsia="仿宋"/>
          <w:color w:val="auto"/>
          <w:sz w:val="24"/>
          <w:highlight w:val="none"/>
          <w:u w:val="single"/>
        </w:rPr>
      </w:pPr>
      <w:r>
        <w:rPr>
          <w:rFonts w:hint="eastAsia" w:ascii="仿宋" w:hAnsi="仿宋" w:eastAsia="仿宋"/>
          <w:color w:val="auto"/>
          <w:sz w:val="24"/>
          <w:highlight w:val="none"/>
        </w:rPr>
        <w:t>采购项目编号：</w:t>
      </w:r>
      <w:r>
        <w:rPr>
          <w:rFonts w:ascii="仿宋" w:hAnsi="仿宋" w:eastAsia="仿宋"/>
          <w:color w:val="auto"/>
          <w:sz w:val="24"/>
          <w:highlight w:val="none"/>
          <w:u w:val="dotted"/>
        </w:rPr>
        <w:t xml:space="preserve">                 </w:t>
      </w:r>
      <w:r>
        <w:rPr>
          <w:rFonts w:hint="eastAsia" w:ascii="仿宋" w:hAnsi="仿宋" w:eastAsia="仿宋"/>
          <w:color w:val="auto"/>
          <w:sz w:val="24"/>
          <w:highlight w:val="none"/>
        </w:rPr>
        <w:t>包号：</w:t>
      </w:r>
      <w:r>
        <w:rPr>
          <w:rFonts w:ascii="仿宋" w:hAnsi="仿宋" w:eastAsia="仿宋"/>
          <w:color w:val="auto"/>
          <w:sz w:val="24"/>
          <w:highlight w:val="none"/>
          <w:u w:val="dotted"/>
        </w:rPr>
        <w:t xml:space="preserve">              </w:t>
      </w:r>
    </w:p>
    <w:p>
      <w:pPr>
        <w:snapToGrid w:val="0"/>
        <w:spacing w:line="360" w:lineRule="auto"/>
        <w:rPr>
          <w:rFonts w:ascii="仿宋" w:hAnsi="仿宋" w:eastAsia="仿宋"/>
          <w:color w:val="auto"/>
          <w:sz w:val="24"/>
          <w:highlight w:val="none"/>
        </w:rPr>
      </w:pPr>
      <w:r>
        <w:rPr>
          <w:rFonts w:hint="eastAsia" w:ascii="仿宋" w:hAnsi="仿宋" w:eastAsia="仿宋"/>
          <w:color w:val="auto"/>
          <w:sz w:val="24"/>
          <w:highlight w:val="none"/>
        </w:rPr>
        <w:t>采购人名称：</w:t>
      </w:r>
      <w:r>
        <w:rPr>
          <w:rFonts w:ascii="仿宋" w:hAnsi="仿宋" w:eastAsia="仿宋"/>
          <w:color w:val="auto"/>
          <w:sz w:val="24"/>
          <w:highlight w:val="none"/>
          <w:u w:val="dotted"/>
        </w:rPr>
        <w:t xml:space="preserve">                                           </w:t>
      </w:r>
      <w:r>
        <w:rPr>
          <w:rFonts w:ascii="仿宋" w:hAnsi="仿宋" w:eastAsia="仿宋"/>
          <w:color w:val="auto"/>
          <w:sz w:val="24"/>
          <w:highlight w:val="none"/>
          <w:u w:val="single"/>
        </w:rPr>
        <w:t xml:space="preserve">  </w:t>
      </w:r>
    </w:p>
    <w:p>
      <w:pPr>
        <w:snapToGrid w:val="0"/>
        <w:spacing w:line="360" w:lineRule="auto"/>
        <w:rPr>
          <w:rFonts w:ascii="仿宋" w:hAnsi="仿宋" w:eastAsia="仿宋"/>
          <w:color w:val="auto"/>
          <w:sz w:val="24"/>
          <w:highlight w:val="none"/>
          <w:u w:val="single"/>
        </w:rPr>
      </w:pPr>
      <w:r>
        <w:rPr>
          <w:rFonts w:hint="eastAsia" w:ascii="仿宋" w:hAnsi="仿宋" w:eastAsia="仿宋"/>
          <w:color w:val="auto"/>
          <w:sz w:val="24"/>
          <w:highlight w:val="none"/>
        </w:rPr>
        <w:t>代理机构名称：</w:t>
      </w:r>
      <w:r>
        <w:rPr>
          <w:rFonts w:ascii="仿宋" w:hAnsi="仿宋" w:eastAsia="仿宋"/>
          <w:color w:val="auto"/>
          <w:sz w:val="24"/>
          <w:highlight w:val="none"/>
          <w:u w:val="dotted"/>
        </w:rPr>
        <w:t xml:space="preserve">                                         </w:t>
      </w:r>
    </w:p>
    <w:p>
      <w:pPr>
        <w:snapToGrid w:val="0"/>
        <w:spacing w:line="360" w:lineRule="auto"/>
        <w:rPr>
          <w:rFonts w:ascii="仿宋" w:hAnsi="仿宋" w:eastAsia="仿宋"/>
          <w:color w:val="auto"/>
          <w:sz w:val="24"/>
          <w:highlight w:val="none"/>
          <w:u w:val="dotted"/>
        </w:rPr>
      </w:pPr>
      <w:r>
        <w:rPr>
          <w:rFonts w:hint="eastAsia" w:ascii="仿宋" w:hAnsi="仿宋" w:eastAsia="仿宋"/>
          <w:color w:val="auto"/>
          <w:sz w:val="24"/>
          <w:highlight w:val="none"/>
        </w:rPr>
        <w:t>采购文件公告</w:t>
      </w:r>
      <w:r>
        <w:rPr>
          <w:rFonts w:ascii="仿宋" w:hAnsi="仿宋" w:eastAsia="仿宋"/>
          <w:color w:val="auto"/>
          <w:sz w:val="24"/>
          <w:highlight w:val="none"/>
        </w:rPr>
        <w:t>:</w:t>
      </w:r>
      <w:r>
        <w:rPr>
          <w:rFonts w:hint="eastAsia" w:ascii="仿宋" w:hAnsi="仿宋" w:eastAsia="仿宋"/>
          <w:color w:val="auto"/>
          <w:sz w:val="24"/>
          <w:highlight w:val="none"/>
          <w:u w:val="dotted"/>
        </w:rPr>
        <w:t>是</w:t>
      </w:r>
      <w:r>
        <w:rPr>
          <w:rFonts w:ascii="仿宋" w:hAnsi="仿宋" w:eastAsia="仿宋"/>
          <w:color w:val="auto"/>
          <w:sz w:val="24"/>
          <w:highlight w:val="none"/>
          <w:u w:val="dotted"/>
        </w:rPr>
        <w:t xml:space="preserve">/否 </w:t>
      </w:r>
      <w:r>
        <w:rPr>
          <w:rFonts w:hint="eastAsia" w:ascii="仿宋" w:hAnsi="仿宋" w:eastAsia="仿宋"/>
          <w:color w:val="auto"/>
          <w:sz w:val="24"/>
          <w:highlight w:val="none"/>
        </w:rPr>
        <w:t>公告期限：</w:t>
      </w:r>
      <w:r>
        <w:rPr>
          <w:rFonts w:ascii="仿宋" w:hAnsi="仿宋" w:eastAsia="仿宋"/>
          <w:color w:val="auto"/>
          <w:sz w:val="24"/>
          <w:highlight w:val="none"/>
          <w:u w:val="dotted"/>
        </w:rPr>
        <w:t xml:space="preserve">                                 </w:t>
      </w:r>
    </w:p>
    <w:p>
      <w:pPr>
        <w:snapToGrid w:val="0"/>
        <w:spacing w:line="360" w:lineRule="auto"/>
        <w:rPr>
          <w:rFonts w:ascii="仿宋" w:hAnsi="仿宋" w:eastAsia="仿宋"/>
          <w:color w:val="auto"/>
          <w:sz w:val="24"/>
          <w:highlight w:val="none"/>
          <w:u w:val="single"/>
        </w:rPr>
      </w:pPr>
      <w:r>
        <w:rPr>
          <w:rFonts w:hint="eastAsia" w:ascii="仿宋" w:hAnsi="仿宋" w:eastAsia="仿宋"/>
          <w:color w:val="auto"/>
          <w:sz w:val="24"/>
          <w:highlight w:val="none"/>
        </w:rPr>
        <w:t>采购结果公告</w:t>
      </w:r>
      <w:r>
        <w:rPr>
          <w:rFonts w:ascii="仿宋" w:hAnsi="仿宋" w:eastAsia="仿宋"/>
          <w:color w:val="auto"/>
          <w:sz w:val="24"/>
          <w:highlight w:val="none"/>
        </w:rPr>
        <w:t>:</w:t>
      </w:r>
      <w:r>
        <w:rPr>
          <w:rFonts w:hint="eastAsia" w:ascii="仿宋" w:hAnsi="仿宋" w:eastAsia="仿宋"/>
          <w:color w:val="auto"/>
          <w:sz w:val="24"/>
          <w:highlight w:val="none"/>
          <w:u w:val="dotted"/>
        </w:rPr>
        <w:t>是</w:t>
      </w:r>
      <w:r>
        <w:rPr>
          <w:rFonts w:ascii="仿宋" w:hAnsi="仿宋" w:eastAsia="仿宋"/>
          <w:color w:val="auto"/>
          <w:sz w:val="24"/>
          <w:highlight w:val="none"/>
          <w:u w:val="dotted"/>
        </w:rPr>
        <w:t xml:space="preserve">/否 </w:t>
      </w:r>
      <w:r>
        <w:rPr>
          <w:rFonts w:hint="eastAsia" w:ascii="仿宋" w:hAnsi="仿宋" w:eastAsia="仿宋"/>
          <w:color w:val="auto"/>
          <w:sz w:val="24"/>
          <w:highlight w:val="none"/>
        </w:rPr>
        <w:t>公告期限：</w:t>
      </w:r>
      <w:r>
        <w:rPr>
          <w:rFonts w:ascii="仿宋" w:hAnsi="仿宋" w:eastAsia="仿宋"/>
          <w:color w:val="auto"/>
          <w:sz w:val="24"/>
          <w:highlight w:val="none"/>
          <w:u w:val="dotted"/>
        </w:rPr>
        <w:t xml:space="preserve">                        </w:t>
      </w:r>
    </w:p>
    <w:p>
      <w:pPr>
        <w:snapToGrid w:val="0"/>
        <w:spacing w:line="360" w:lineRule="auto"/>
        <w:rPr>
          <w:rFonts w:ascii="仿宋" w:hAnsi="仿宋" w:eastAsia="仿宋"/>
          <w:color w:val="auto"/>
          <w:sz w:val="24"/>
          <w:highlight w:val="none"/>
        </w:rPr>
      </w:pPr>
      <w:r>
        <w:rPr>
          <w:rFonts w:hint="eastAsia" w:ascii="仿宋" w:hAnsi="仿宋" w:eastAsia="仿宋"/>
          <w:color w:val="auto"/>
          <w:sz w:val="24"/>
          <w:highlight w:val="none"/>
        </w:rPr>
        <w:t>三、质疑基本情况</w:t>
      </w:r>
    </w:p>
    <w:p>
      <w:pPr>
        <w:snapToGrid w:val="0"/>
        <w:spacing w:line="360" w:lineRule="auto"/>
        <w:ind w:firstLine="480" w:firstLineChars="200"/>
        <w:rPr>
          <w:rFonts w:ascii="仿宋" w:hAnsi="仿宋" w:eastAsia="仿宋"/>
          <w:color w:val="auto"/>
          <w:sz w:val="24"/>
          <w:highlight w:val="none"/>
          <w:u w:val="dotted"/>
        </w:rPr>
      </w:pPr>
      <w:r>
        <w:rPr>
          <w:rFonts w:hint="eastAsia" w:ascii="仿宋" w:hAnsi="仿宋" w:eastAsia="仿宋"/>
          <w:color w:val="auto"/>
          <w:sz w:val="24"/>
          <w:highlight w:val="none"/>
        </w:rPr>
        <w:t>投诉人于</w:t>
      </w:r>
      <w:r>
        <w:rPr>
          <w:rFonts w:ascii="仿宋" w:hAnsi="仿宋" w:eastAsia="仿宋"/>
          <w:color w:val="auto"/>
          <w:sz w:val="24"/>
          <w:highlight w:val="none"/>
          <w:u w:val="dotted"/>
        </w:rPr>
        <w:t xml:space="preserve">   </w:t>
      </w:r>
      <w:r>
        <w:rPr>
          <w:rFonts w:hint="eastAsia" w:ascii="仿宋" w:hAnsi="仿宋" w:eastAsia="仿宋"/>
          <w:color w:val="auto"/>
          <w:sz w:val="24"/>
          <w:highlight w:val="none"/>
        </w:rPr>
        <w:t>年</w:t>
      </w:r>
      <w:r>
        <w:rPr>
          <w:rFonts w:ascii="仿宋" w:hAnsi="仿宋" w:eastAsia="仿宋"/>
          <w:color w:val="auto"/>
          <w:sz w:val="24"/>
          <w:highlight w:val="none"/>
          <w:u w:val="dotted"/>
        </w:rPr>
        <w:t xml:space="preserve">   </w:t>
      </w:r>
      <w:r>
        <w:rPr>
          <w:rFonts w:hint="eastAsia" w:ascii="仿宋" w:hAnsi="仿宋" w:eastAsia="仿宋"/>
          <w:color w:val="auto"/>
          <w:sz w:val="24"/>
          <w:highlight w:val="none"/>
        </w:rPr>
        <w:t>月</w:t>
      </w:r>
      <w:r>
        <w:rPr>
          <w:rFonts w:ascii="仿宋" w:hAnsi="仿宋" w:eastAsia="仿宋"/>
          <w:color w:val="auto"/>
          <w:sz w:val="24"/>
          <w:highlight w:val="none"/>
          <w:u w:val="dotted"/>
        </w:rPr>
        <w:t xml:space="preserve">  </w:t>
      </w:r>
      <w:r>
        <w:rPr>
          <w:rFonts w:hint="eastAsia" w:ascii="仿宋" w:hAnsi="仿宋" w:eastAsia="仿宋"/>
          <w:color w:val="auto"/>
          <w:sz w:val="24"/>
          <w:highlight w:val="none"/>
        </w:rPr>
        <w:t>日</w:t>
      </w:r>
      <w:r>
        <w:rPr>
          <w:rFonts w:ascii="仿宋" w:hAnsi="仿宋" w:eastAsia="仿宋"/>
          <w:color w:val="auto"/>
          <w:sz w:val="24"/>
          <w:highlight w:val="none"/>
        </w:rPr>
        <w:t>,向</w:t>
      </w:r>
      <w:r>
        <w:rPr>
          <w:rFonts w:ascii="仿宋" w:hAnsi="仿宋" w:eastAsia="仿宋"/>
          <w:color w:val="auto"/>
          <w:sz w:val="24"/>
          <w:highlight w:val="none"/>
          <w:u w:val="dotted"/>
        </w:rPr>
        <w:t xml:space="preserve">                   </w:t>
      </w:r>
      <w:r>
        <w:rPr>
          <w:rFonts w:hint="eastAsia" w:ascii="仿宋" w:hAnsi="仿宋" w:eastAsia="仿宋"/>
          <w:color w:val="auto"/>
          <w:sz w:val="24"/>
          <w:highlight w:val="none"/>
        </w:rPr>
        <w:t>提出质疑，质疑事项为：</w:t>
      </w:r>
      <w:r>
        <w:rPr>
          <w:rFonts w:ascii="仿宋" w:hAnsi="仿宋" w:eastAsia="仿宋"/>
          <w:color w:val="auto"/>
          <w:sz w:val="24"/>
          <w:highlight w:val="none"/>
          <w:u w:val="dotted"/>
        </w:rPr>
        <w:t xml:space="preserve">                                </w:t>
      </w:r>
    </w:p>
    <w:p>
      <w:pPr>
        <w:snapToGrid w:val="0"/>
        <w:spacing w:line="360" w:lineRule="auto"/>
        <w:rPr>
          <w:rFonts w:ascii="仿宋" w:hAnsi="仿宋" w:eastAsia="仿宋"/>
          <w:color w:val="auto"/>
          <w:sz w:val="24"/>
          <w:highlight w:val="none"/>
          <w:u w:val="dotted"/>
        </w:rPr>
      </w:pPr>
      <w:r>
        <w:rPr>
          <w:rFonts w:ascii="仿宋" w:hAnsi="仿宋" w:eastAsia="仿宋"/>
          <w:color w:val="auto"/>
          <w:sz w:val="24"/>
          <w:highlight w:val="none"/>
          <w:u w:val="dotted"/>
        </w:rPr>
        <w:t xml:space="preserve">                                                     </w:t>
      </w:r>
      <w:r>
        <w:rPr>
          <w:rFonts w:ascii="仿宋" w:hAnsi="仿宋" w:eastAsia="仿宋"/>
          <w:color w:val="auto"/>
          <w:sz w:val="24"/>
          <w:highlight w:val="none"/>
        </w:rPr>
        <w:t xml:space="preserve">  </w:t>
      </w:r>
    </w:p>
    <w:p>
      <w:pPr>
        <w:snapToGrid w:val="0"/>
        <w:spacing w:line="360" w:lineRule="auto"/>
        <w:ind w:firstLine="360" w:firstLineChars="150"/>
        <w:rPr>
          <w:rFonts w:ascii="仿宋" w:hAnsi="仿宋" w:eastAsia="仿宋"/>
          <w:color w:val="auto"/>
          <w:sz w:val="24"/>
          <w:highlight w:val="none"/>
        </w:rPr>
      </w:pPr>
      <w:r>
        <w:rPr>
          <w:rFonts w:hint="eastAsia" w:ascii="仿宋" w:hAnsi="仿宋" w:eastAsia="仿宋"/>
          <w:color w:val="auto"/>
          <w:sz w:val="24"/>
          <w:highlight w:val="none"/>
          <w:u w:val="dotted"/>
        </w:rPr>
        <w:t>采购人</w:t>
      </w:r>
      <w:r>
        <w:rPr>
          <w:rFonts w:ascii="仿宋" w:hAnsi="仿宋" w:eastAsia="仿宋"/>
          <w:color w:val="auto"/>
          <w:sz w:val="24"/>
          <w:highlight w:val="none"/>
          <w:u w:val="dotted"/>
        </w:rPr>
        <w:t>/代理机构</w:t>
      </w:r>
      <w:r>
        <w:rPr>
          <w:rFonts w:hint="eastAsia" w:ascii="仿宋" w:hAnsi="仿宋" w:eastAsia="仿宋"/>
          <w:color w:val="auto"/>
          <w:sz w:val="24"/>
          <w:highlight w:val="none"/>
        </w:rPr>
        <w:t>于</w:t>
      </w:r>
      <w:r>
        <w:rPr>
          <w:rFonts w:ascii="仿宋" w:hAnsi="仿宋" w:eastAsia="仿宋"/>
          <w:color w:val="auto"/>
          <w:sz w:val="24"/>
          <w:highlight w:val="none"/>
          <w:u w:val="dotted"/>
        </w:rPr>
        <w:t xml:space="preserve">   </w:t>
      </w:r>
      <w:r>
        <w:rPr>
          <w:rFonts w:hint="eastAsia" w:ascii="仿宋" w:hAnsi="仿宋" w:eastAsia="仿宋"/>
          <w:color w:val="auto"/>
          <w:sz w:val="24"/>
          <w:highlight w:val="none"/>
        </w:rPr>
        <w:t>年</w:t>
      </w:r>
      <w:r>
        <w:rPr>
          <w:rFonts w:ascii="仿宋" w:hAnsi="仿宋" w:eastAsia="仿宋"/>
          <w:color w:val="auto"/>
          <w:sz w:val="24"/>
          <w:highlight w:val="none"/>
          <w:u w:val="dotted"/>
        </w:rPr>
        <w:t xml:space="preserve">   </w:t>
      </w:r>
      <w:r>
        <w:rPr>
          <w:rFonts w:hint="eastAsia" w:ascii="仿宋" w:hAnsi="仿宋" w:eastAsia="仿宋"/>
          <w:color w:val="auto"/>
          <w:sz w:val="24"/>
          <w:highlight w:val="none"/>
        </w:rPr>
        <w:t>月</w:t>
      </w:r>
      <w:r>
        <w:rPr>
          <w:rFonts w:ascii="仿宋" w:hAnsi="仿宋" w:eastAsia="仿宋"/>
          <w:color w:val="auto"/>
          <w:sz w:val="24"/>
          <w:highlight w:val="none"/>
          <w:u w:val="dotted"/>
        </w:rPr>
        <w:t xml:space="preserve">   </w:t>
      </w:r>
      <w:r>
        <w:rPr>
          <w:rFonts w:hint="eastAsia" w:ascii="仿宋" w:hAnsi="仿宋" w:eastAsia="仿宋"/>
          <w:color w:val="auto"/>
          <w:sz w:val="24"/>
          <w:highlight w:val="none"/>
        </w:rPr>
        <w:t>日</w:t>
      </w:r>
      <w:r>
        <w:rPr>
          <w:rFonts w:ascii="仿宋" w:hAnsi="仿宋" w:eastAsia="仿宋"/>
          <w:color w:val="auto"/>
          <w:sz w:val="24"/>
          <w:highlight w:val="none"/>
        </w:rPr>
        <w:t>,就质疑事项</w:t>
      </w:r>
      <w:r>
        <w:rPr>
          <w:rFonts w:hint="eastAsia" w:ascii="仿宋" w:hAnsi="仿宋" w:eastAsia="仿宋"/>
          <w:color w:val="auto"/>
          <w:sz w:val="24"/>
          <w:highlight w:val="none"/>
        </w:rPr>
        <w:t>作出了答复</w:t>
      </w:r>
      <w:r>
        <w:rPr>
          <w:rFonts w:ascii="仿宋" w:hAnsi="仿宋" w:eastAsia="仿宋"/>
          <w:color w:val="auto"/>
          <w:sz w:val="24"/>
          <w:highlight w:val="none"/>
        </w:rPr>
        <w:t>/没有在法定期限内</w:t>
      </w:r>
      <w:r>
        <w:rPr>
          <w:rFonts w:hint="eastAsia" w:ascii="仿宋" w:hAnsi="仿宋" w:eastAsia="仿宋"/>
          <w:color w:val="auto"/>
          <w:sz w:val="24"/>
          <w:highlight w:val="none"/>
        </w:rPr>
        <w:t>作出答复。</w:t>
      </w:r>
    </w:p>
    <w:p>
      <w:pPr>
        <w:snapToGrid w:val="0"/>
        <w:spacing w:line="360" w:lineRule="auto"/>
        <w:rPr>
          <w:rFonts w:ascii="仿宋" w:hAnsi="仿宋" w:eastAsia="仿宋"/>
          <w:color w:val="auto"/>
          <w:sz w:val="24"/>
          <w:highlight w:val="none"/>
        </w:rPr>
      </w:pPr>
      <w:r>
        <w:rPr>
          <w:rFonts w:hint="eastAsia" w:ascii="仿宋" w:hAnsi="仿宋" w:eastAsia="仿宋"/>
          <w:color w:val="auto"/>
          <w:sz w:val="24"/>
          <w:highlight w:val="none"/>
        </w:rPr>
        <w:t>四、投诉事项具体内容</w:t>
      </w:r>
    </w:p>
    <w:p>
      <w:pPr>
        <w:snapToGrid w:val="0"/>
        <w:spacing w:line="360" w:lineRule="auto"/>
        <w:rPr>
          <w:rFonts w:ascii="仿宋" w:hAnsi="仿宋" w:eastAsia="仿宋"/>
          <w:color w:val="auto"/>
          <w:sz w:val="24"/>
          <w:highlight w:val="none"/>
          <w:u w:val="single"/>
        </w:rPr>
      </w:pPr>
      <w:r>
        <w:rPr>
          <w:rFonts w:hint="eastAsia" w:ascii="仿宋" w:hAnsi="仿宋" w:eastAsia="仿宋"/>
          <w:color w:val="auto"/>
          <w:sz w:val="24"/>
          <w:highlight w:val="none"/>
        </w:rPr>
        <w:t>投诉事项</w:t>
      </w:r>
      <w:r>
        <w:rPr>
          <w:rFonts w:ascii="仿宋" w:hAnsi="仿宋" w:eastAsia="仿宋"/>
          <w:color w:val="auto"/>
          <w:sz w:val="24"/>
          <w:highlight w:val="none"/>
        </w:rPr>
        <w:t xml:space="preserve"> 1：</w:t>
      </w:r>
      <w:r>
        <w:rPr>
          <w:rFonts w:ascii="仿宋" w:hAnsi="仿宋" w:eastAsia="仿宋"/>
          <w:color w:val="auto"/>
          <w:sz w:val="24"/>
          <w:highlight w:val="none"/>
          <w:u w:val="dotted"/>
        </w:rPr>
        <w:t xml:space="preserve">                                       </w:t>
      </w:r>
    </w:p>
    <w:p>
      <w:pPr>
        <w:snapToGrid w:val="0"/>
        <w:spacing w:line="360" w:lineRule="auto"/>
        <w:rPr>
          <w:rFonts w:ascii="仿宋" w:hAnsi="仿宋" w:eastAsia="仿宋"/>
          <w:color w:val="auto"/>
          <w:sz w:val="24"/>
          <w:highlight w:val="none"/>
        </w:rPr>
      </w:pPr>
      <w:r>
        <w:rPr>
          <w:rFonts w:hint="eastAsia" w:ascii="仿宋" w:hAnsi="仿宋" w:eastAsia="仿宋"/>
          <w:color w:val="auto"/>
          <w:sz w:val="24"/>
          <w:highlight w:val="none"/>
        </w:rPr>
        <w:t>事实依据：</w:t>
      </w:r>
      <w:r>
        <w:rPr>
          <w:rFonts w:ascii="仿宋" w:hAnsi="仿宋" w:eastAsia="仿宋"/>
          <w:color w:val="auto"/>
          <w:sz w:val="24"/>
          <w:highlight w:val="none"/>
          <w:u w:val="dotted"/>
        </w:rPr>
        <w:t xml:space="preserve">                                         </w:t>
      </w:r>
    </w:p>
    <w:p>
      <w:pPr>
        <w:snapToGrid w:val="0"/>
        <w:spacing w:line="360" w:lineRule="auto"/>
        <w:rPr>
          <w:rFonts w:ascii="仿宋" w:hAnsi="仿宋" w:eastAsia="仿宋"/>
          <w:color w:val="auto"/>
          <w:sz w:val="24"/>
          <w:highlight w:val="none"/>
          <w:u w:val="dotted"/>
        </w:rPr>
      </w:pPr>
      <w:r>
        <w:rPr>
          <w:rFonts w:ascii="仿宋" w:hAnsi="仿宋" w:eastAsia="仿宋"/>
          <w:color w:val="auto"/>
          <w:sz w:val="24"/>
          <w:highlight w:val="none"/>
          <w:u w:val="dotted"/>
        </w:rPr>
        <w:t xml:space="preserve">                                                      </w:t>
      </w:r>
    </w:p>
    <w:p>
      <w:pPr>
        <w:snapToGrid w:val="0"/>
        <w:spacing w:line="360" w:lineRule="auto"/>
        <w:rPr>
          <w:rFonts w:ascii="仿宋" w:hAnsi="仿宋" w:eastAsia="仿宋"/>
          <w:color w:val="auto"/>
          <w:sz w:val="24"/>
          <w:highlight w:val="none"/>
          <w:u w:val="single"/>
        </w:rPr>
      </w:pPr>
      <w:r>
        <w:rPr>
          <w:rFonts w:hint="eastAsia" w:ascii="仿宋" w:hAnsi="仿宋" w:eastAsia="仿宋"/>
          <w:color w:val="auto"/>
          <w:sz w:val="24"/>
          <w:highlight w:val="none"/>
        </w:rPr>
        <w:t>法律依据：</w:t>
      </w:r>
      <w:r>
        <w:rPr>
          <w:rFonts w:ascii="仿宋" w:hAnsi="仿宋" w:eastAsia="仿宋"/>
          <w:color w:val="auto"/>
          <w:sz w:val="24"/>
          <w:highlight w:val="none"/>
          <w:u w:val="dotted"/>
        </w:rPr>
        <w:t xml:space="preserve">                                          </w:t>
      </w:r>
    </w:p>
    <w:p>
      <w:pPr>
        <w:snapToGrid w:val="0"/>
        <w:spacing w:line="360" w:lineRule="auto"/>
        <w:rPr>
          <w:rFonts w:ascii="仿宋" w:hAnsi="仿宋" w:eastAsia="仿宋"/>
          <w:color w:val="auto"/>
          <w:sz w:val="24"/>
          <w:highlight w:val="none"/>
          <w:u w:val="dotted"/>
        </w:rPr>
      </w:pPr>
      <w:r>
        <w:rPr>
          <w:rFonts w:ascii="仿宋" w:hAnsi="仿宋" w:eastAsia="仿宋"/>
          <w:color w:val="auto"/>
          <w:sz w:val="24"/>
          <w:highlight w:val="none"/>
          <w:u w:val="dotted"/>
        </w:rPr>
        <w:t xml:space="preserve">                                                      </w:t>
      </w:r>
    </w:p>
    <w:p>
      <w:pPr>
        <w:snapToGrid w:val="0"/>
        <w:spacing w:line="360" w:lineRule="auto"/>
        <w:rPr>
          <w:rFonts w:ascii="仿宋" w:hAnsi="仿宋" w:eastAsia="仿宋"/>
          <w:color w:val="auto"/>
          <w:sz w:val="24"/>
          <w:highlight w:val="none"/>
        </w:rPr>
      </w:pPr>
      <w:r>
        <w:rPr>
          <w:rFonts w:hint="eastAsia" w:ascii="仿宋" w:hAnsi="仿宋" w:eastAsia="仿宋"/>
          <w:color w:val="auto"/>
          <w:sz w:val="24"/>
          <w:highlight w:val="none"/>
        </w:rPr>
        <w:t>投诉事项</w:t>
      </w:r>
      <w:r>
        <w:rPr>
          <w:rFonts w:ascii="仿宋" w:hAnsi="仿宋" w:eastAsia="仿宋"/>
          <w:color w:val="auto"/>
          <w:sz w:val="24"/>
          <w:highlight w:val="none"/>
        </w:rPr>
        <w:t>2</w:t>
      </w:r>
    </w:p>
    <w:p>
      <w:pPr>
        <w:snapToGrid w:val="0"/>
        <w:spacing w:line="360" w:lineRule="auto"/>
        <w:rPr>
          <w:rFonts w:ascii="仿宋" w:hAnsi="仿宋" w:eastAsia="仿宋"/>
          <w:color w:val="auto"/>
          <w:sz w:val="24"/>
          <w:highlight w:val="none"/>
          <w:u w:val="dotted"/>
        </w:rPr>
      </w:pPr>
      <w:r>
        <w:rPr>
          <w:rFonts w:hint="eastAsia" w:ascii="仿宋" w:hAnsi="仿宋" w:eastAsia="仿宋"/>
          <w:color w:val="auto"/>
          <w:sz w:val="24"/>
          <w:highlight w:val="none"/>
        </w:rPr>
        <w:t>……</w:t>
      </w:r>
    </w:p>
    <w:p>
      <w:pPr>
        <w:snapToGrid w:val="0"/>
        <w:spacing w:line="360" w:lineRule="auto"/>
        <w:rPr>
          <w:rFonts w:ascii="仿宋" w:hAnsi="仿宋" w:eastAsia="仿宋"/>
          <w:color w:val="auto"/>
          <w:sz w:val="24"/>
          <w:highlight w:val="none"/>
        </w:rPr>
      </w:pPr>
      <w:r>
        <w:rPr>
          <w:rFonts w:hint="eastAsia" w:ascii="仿宋" w:hAnsi="仿宋" w:eastAsia="仿宋"/>
          <w:color w:val="auto"/>
          <w:sz w:val="24"/>
          <w:highlight w:val="none"/>
        </w:rPr>
        <w:t>五、与投诉事项相关的投诉请求</w:t>
      </w:r>
    </w:p>
    <w:p>
      <w:pPr>
        <w:snapToGrid w:val="0"/>
        <w:spacing w:line="360" w:lineRule="auto"/>
        <w:rPr>
          <w:rFonts w:ascii="仿宋" w:hAnsi="仿宋" w:eastAsia="仿宋"/>
          <w:color w:val="auto"/>
          <w:sz w:val="24"/>
          <w:highlight w:val="none"/>
        </w:rPr>
      </w:pPr>
      <w:r>
        <w:rPr>
          <w:rFonts w:hint="eastAsia" w:ascii="仿宋" w:hAnsi="仿宋" w:eastAsia="仿宋"/>
          <w:color w:val="auto"/>
          <w:sz w:val="24"/>
          <w:highlight w:val="none"/>
        </w:rPr>
        <w:t>请求：</w:t>
      </w:r>
      <w:r>
        <w:rPr>
          <w:rFonts w:ascii="仿宋" w:hAnsi="仿宋" w:eastAsia="仿宋"/>
          <w:color w:val="auto"/>
          <w:sz w:val="24"/>
          <w:highlight w:val="none"/>
          <w:u w:val="dotted"/>
        </w:rPr>
        <w:t xml:space="preserve">                                              </w:t>
      </w:r>
      <w:r>
        <w:rPr>
          <w:rFonts w:ascii="仿宋" w:hAnsi="仿宋" w:eastAsia="仿宋"/>
          <w:color w:val="auto"/>
          <w:sz w:val="24"/>
          <w:highlight w:val="none"/>
        </w:rPr>
        <w:t xml:space="preserve"> </w:t>
      </w:r>
    </w:p>
    <w:p>
      <w:pPr>
        <w:snapToGrid w:val="0"/>
        <w:spacing w:line="360" w:lineRule="auto"/>
        <w:rPr>
          <w:rFonts w:ascii="仿宋" w:hAnsi="仿宋" w:eastAsia="仿宋"/>
          <w:color w:val="auto"/>
          <w:sz w:val="24"/>
          <w:highlight w:val="none"/>
          <w:u w:val="single"/>
        </w:rPr>
      </w:pPr>
      <w:r>
        <w:rPr>
          <w:rFonts w:ascii="仿宋" w:hAnsi="仿宋" w:eastAsia="仿宋"/>
          <w:color w:val="auto"/>
          <w:sz w:val="24"/>
          <w:highlight w:val="none"/>
        </w:rPr>
        <w:t xml:space="preserve">                                                                                                    </w:t>
      </w:r>
    </w:p>
    <w:p>
      <w:pPr>
        <w:snapToGrid w:val="0"/>
        <w:spacing w:line="360" w:lineRule="auto"/>
        <w:rPr>
          <w:rFonts w:ascii="仿宋" w:hAnsi="仿宋" w:eastAsia="仿宋"/>
          <w:color w:val="auto"/>
          <w:sz w:val="24"/>
          <w:highlight w:val="none"/>
        </w:rPr>
      </w:pPr>
      <w:r>
        <w:rPr>
          <w:rFonts w:hint="eastAsia" w:ascii="仿宋" w:hAnsi="仿宋" w:eastAsia="仿宋"/>
          <w:color w:val="auto"/>
          <w:sz w:val="24"/>
          <w:highlight w:val="none"/>
        </w:rPr>
        <w:t>签字</w:t>
      </w:r>
      <w:r>
        <w:rPr>
          <w:rFonts w:ascii="仿宋" w:hAnsi="仿宋" w:eastAsia="仿宋"/>
          <w:color w:val="auto"/>
          <w:sz w:val="24"/>
          <w:highlight w:val="none"/>
        </w:rPr>
        <w:t xml:space="preserve">(签章)：                   公章：                      </w:t>
      </w:r>
    </w:p>
    <w:p>
      <w:pPr>
        <w:snapToGrid w:val="0"/>
        <w:spacing w:line="360" w:lineRule="auto"/>
        <w:rPr>
          <w:rFonts w:ascii="仿宋" w:hAnsi="仿宋" w:eastAsia="仿宋"/>
          <w:color w:val="auto"/>
          <w:sz w:val="24"/>
          <w:highlight w:val="none"/>
        </w:rPr>
      </w:pPr>
      <w:r>
        <w:rPr>
          <w:rFonts w:hint="eastAsia" w:ascii="仿宋" w:hAnsi="仿宋" w:eastAsia="仿宋"/>
          <w:color w:val="auto"/>
          <w:sz w:val="24"/>
          <w:highlight w:val="none"/>
        </w:rPr>
        <w:t>日期：</w:t>
      </w:r>
      <w:r>
        <w:rPr>
          <w:rFonts w:ascii="仿宋" w:hAnsi="仿宋" w:eastAsia="仿宋"/>
          <w:color w:val="auto"/>
          <w:sz w:val="24"/>
          <w:highlight w:val="none"/>
        </w:rPr>
        <w:t xml:space="preserve">    </w:t>
      </w:r>
    </w:p>
    <w:p>
      <w:pPr>
        <w:snapToGrid w:val="0"/>
        <w:spacing w:line="360" w:lineRule="auto"/>
        <w:rPr>
          <w:rFonts w:ascii="仿宋" w:hAnsi="仿宋" w:eastAsia="仿宋"/>
          <w:b/>
          <w:color w:val="auto"/>
          <w:sz w:val="24"/>
          <w:highlight w:val="none"/>
        </w:rPr>
      </w:pPr>
    </w:p>
    <w:p>
      <w:pPr>
        <w:snapToGrid w:val="0"/>
        <w:spacing w:line="360" w:lineRule="auto"/>
        <w:rPr>
          <w:rFonts w:ascii="仿宋" w:hAnsi="仿宋" w:eastAsia="仿宋"/>
          <w:b/>
          <w:color w:val="auto"/>
          <w:sz w:val="24"/>
          <w:highlight w:val="none"/>
        </w:rPr>
      </w:pPr>
    </w:p>
    <w:p>
      <w:pPr>
        <w:snapToGrid w:val="0"/>
        <w:spacing w:line="360" w:lineRule="auto"/>
        <w:rPr>
          <w:rFonts w:ascii="仿宋" w:hAnsi="仿宋" w:eastAsia="仿宋"/>
          <w:b/>
          <w:color w:val="auto"/>
          <w:sz w:val="24"/>
          <w:highlight w:val="none"/>
        </w:rPr>
      </w:pPr>
      <w:r>
        <w:rPr>
          <w:rFonts w:hint="eastAsia" w:ascii="仿宋" w:hAnsi="仿宋" w:eastAsia="仿宋"/>
          <w:b/>
          <w:color w:val="auto"/>
          <w:sz w:val="24"/>
          <w:highlight w:val="none"/>
        </w:rPr>
        <w:t>投诉书制作说明：</w:t>
      </w:r>
    </w:p>
    <w:p>
      <w:pPr>
        <w:widowControl/>
        <w:snapToGrid w:val="0"/>
        <w:spacing w:line="360" w:lineRule="auto"/>
        <w:ind w:firstLine="480" w:firstLineChars="200"/>
        <w:rPr>
          <w:rFonts w:ascii="仿宋" w:hAnsi="仿宋" w:eastAsia="仿宋" w:cs="宋体"/>
          <w:color w:val="auto"/>
          <w:kern w:val="0"/>
          <w:sz w:val="24"/>
          <w:highlight w:val="none"/>
        </w:rPr>
      </w:pPr>
      <w:r>
        <w:rPr>
          <w:rFonts w:ascii="仿宋" w:hAnsi="仿宋" w:eastAsia="仿宋"/>
          <w:color w:val="auto"/>
          <w:sz w:val="24"/>
          <w:highlight w:val="none"/>
        </w:rPr>
        <w:t>1.投诉人提起投诉时，应当提交投诉书和必要的证明材料，并按照被投诉人和与投诉事项有关的供应商数量提供投诉书副本。</w:t>
      </w:r>
    </w:p>
    <w:p>
      <w:pPr>
        <w:widowControl/>
        <w:snapToGrid w:val="0"/>
        <w:spacing w:line="360" w:lineRule="auto"/>
        <w:ind w:firstLine="480" w:firstLineChars="200"/>
        <w:jc w:val="left"/>
        <w:rPr>
          <w:rFonts w:ascii="仿宋" w:hAnsi="仿宋" w:eastAsia="仿宋" w:cs="宋体"/>
          <w:color w:val="auto"/>
          <w:kern w:val="0"/>
          <w:sz w:val="24"/>
          <w:highlight w:val="none"/>
        </w:rPr>
      </w:pPr>
      <w:r>
        <w:rPr>
          <w:rFonts w:ascii="仿宋" w:hAnsi="仿宋" w:eastAsia="仿宋"/>
          <w:color w:val="auto"/>
          <w:sz w:val="24"/>
          <w:highlight w:val="none"/>
        </w:rPr>
        <w:t>2.投诉人若委托代理人进行投诉的，投诉书应按照要求列明“授权代表”的有关内容，并在附件中提交由</w:t>
      </w:r>
      <w:r>
        <w:rPr>
          <w:rFonts w:hint="eastAsia" w:ascii="仿宋" w:hAnsi="仿宋" w:eastAsia="仿宋" w:cs="宋体"/>
          <w:color w:val="auto"/>
          <w:kern w:val="0"/>
          <w:sz w:val="24"/>
          <w:highlight w:val="none"/>
        </w:rPr>
        <w:t>投诉人签署的授权委托书。授权委托书应当载明代理人的姓名或者名称、代理事项、具体权限、期限和相关事项。</w:t>
      </w:r>
    </w:p>
    <w:p>
      <w:pPr>
        <w:widowControl/>
        <w:snapToGrid w:val="0"/>
        <w:spacing w:line="360" w:lineRule="auto"/>
        <w:ind w:firstLine="480" w:firstLineChars="200"/>
        <w:jc w:val="left"/>
        <w:rPr>
          <w:rFonts w:ascii="仿宋" w:hAnsi="仿宋" w:eastAsia="仿宋"/>
          <w:color w:val="auto"/>
          <w:sz w:val="24"/>
          <w:highlight w:val="none"/>
        </w:rPr>
      </w:pPr>
      <w:r>
        <w:rPr>
          <w:rFonts w:ascii="仿宋" w:hAnsi="仿宋" w:eastAsia="仿宋"/>
          <w:color w:val="auto"/>
          <w:sz w:val="24"/>
          <w:highlight w:val="none"/>
        </w:rPr>
        <w:t>3.投诉人若对项目的某一分包进行投诉，投诉书应列明具体分包号。</w:t>
      </w:r>
    </w:p>
    <w:p>
      <w:pPr>
        <w:widowControl/>
        <w:snapToGrid w:val="0"/>
        <w:spacing w:line="360" w:lineRule="auto"/>
        <w:ind w:firstLine="480" w:firstLineChars="200"/>
        <w:jc w:val="left"/>
        <w:rPr>
          <w:rFonts w:ascii="仿宋" w:hAnsi="仿宋" w:eastAsia="仿宋"/>
          <w:color w:val="auto"/>
          <w:sz w:val="24"/>
          <w:highlight w:val="none"/>
        </w:rPr>
      </w:pPr>
      <w:r>
        <w:rPr>
          <w:rFonts w:ascii="仿宋" w:hAnsi="仿宋" w:eastAsia="仿宋"/>
          <w:color w:val="auto"/>
          <w:sz w:val="24"/>
          <w:highlight w:val="none"/>
        </w:rPr>
        <w:t>4.投诉书应简要列明质疑事项，质疑函、质疑答复等作为附件材料提供。</w:t>
      </w:r>
    </w:p>
    <w:p>
      <w:pPr>
        <w:widowControl/>
        <w:snapToGrid w:val="0"/>
        <w:spacing w:line="360" w:lineRule="auto"/>
        <w:ind w:firstLine="480" w:firstLineChars="200"/>
        <w:jc w:val="left"/>
        <w:rPr>
          <w:rFonts w:ascii="仿宋" w:hAnsi="仿宋" w:eastAsia="仿宋"/>
          <w:color w:val="auto"/>
          <w:sz w:val="24"/>
          <w:highlight w:val="none"/>
        </w:rPr>
      </w:pPr>
      <w:r>
        <w:rPr>
          <w:rFonts w:ascii="仿宋" w:hAnsi="仿宋" w:eastAsia="仿宋"/>
          <w:color w:val="auto"/>
          <w:sz w:val="24"/>
          <w:highlight w:val="none"/>
        </w:rPr>
        <w:t>5.投诉书的投诉事项应具体、明确，并有必要的事实依据和法律依据。</w:t>
      </w:r>
    </w:p>
    <w:p>
      <w:pPr>
        <w:widowControl/>
        <w:snapToGrid w:val="0"/>
        <w:spacing w:line="360" w:lineRule="auto"/>
        <w:ind w:firstLine="480" w:firstLineChars="200"/>
        <w:jc w:val="left"/>
        <w:rPr>
          <w:rFonts w:ascii="仿宋" w:hAnsi="仿宋" w:eastAsia="仿宋"/>
          <w:color w:val="auto"/>
          <w:sz w:val="24"/>
          <w:highlight w:val="none"/>
        </w:rPr>
      </w:pPr>
      <w:r>
        <w:rPr>
          <w:rFonts w:ascii="仿宋" w:hAnsi="仿宋" w:eastAsia="仿宋"/>
          <w:color w:val="auto"/>
          <w:sz w:val="24"/>
          <w:highlight w:val="none"/>
        </w:rPr>
        <w:t>6.投诉书的投诉请求应与投诉事项相关。</w:t>
      </w:r>
    </w:p>
    <w:p>
      <w:pPr>
        <w:widowControl/>
        <w:snapToGrid w:val="0"/>
        <w:spacing w:line="360" w:lineRule="auto"/>
        <w:ind w:firstLine="480" w:firstLineChars="200"/>
        <w:jc w:val="left"/>
        <w:rPr>
          <w:rFonts w:ascii="仿宋" w:hAnsi="仿宋" w:eastAsia="仿宋" w:cs="宋体"/>
          <w:color w:val="auto"/>
          <w:kern w:val="0"/>
          <w:sz w:val="24"/>
          <w:highlight w:val="none"/>
        </w:rPr>
      </w:pPr>
      <w:r>
        <w:rPr>
          <w:rFonts w:ascii="仿宋" w:hAnsi="仿宋" w:eastAsia="仿宋"/>
          <w:color w:val="auto"/>
          <w:sz w:val="24"/>
          <w:highlight w:val="none"/>
        </w:rPr>
        <w:t>7.投诉人为自然人的，投诉书应当由本人签字；投诉人为法人或者其他组织的，投诉书应当由法定代表人、主要负责人，或者其授权代表签字或者盖章，并加盖公章。</w:t>
      </w:r>
    </w:p>
    <w:p>
      <w:pPr>
        <w:tabs>
          <w:tab w:val="left" w:pos="432"/>
        </w:tabs>
        <w:spacing w:line="360" w:lineRule="auto"/>
        <w:rPr>
          <w:rFonts w:ascii="仿宋" w:hAnsi="仿宋" w:eastAsia="仿宋"/>
          <w:color w:val="auto"/>
          <w:sz w:val="32"/>
          <w:szCs w:val="32"/>
          <w:highlight w:val="none"/>
        </w:rPr>
      </w:pPr>
    </w:p>
    <w:p>
      <w:pPr>
        <w:pStyle w:val="4"/>
        <w:jc w:val="center"/>
        <w:rPr>
          <w:rFonts w:ascii="仿宋" w:hAnsi="仿宋" w:eastAsia="仿宋"/>
          <w:color w:val="auto"/>
          <w:sz w:val="32"/>
          <w:szCs w:val="32"/>
          <w:highlight w:val="none"/>
        </w:rPr>
      </w:pPr>
      <w:bookmarkStart w:id="824" w:name="_Toc5582"/>
      <w:r>
        <w:rPr>
          <w:rFonts w:hint="eastAsia" w:ascii="仿宋" w:hAnsi="仿宋" w:eastAsia="仿宋"/>
          <w:color w:val="auto"/>
          <w:sz w:val="32"/>
          <w:szCs w:val="32"/>
          <w:highlight w:val="none"/>
        </w:rPr>
        <w:t>附件4：业务专用章使用说明函</w:t>
      </w:r>
      <w:bookmarkEnd w:id="824"/>
    </w:p>
    <w:p>
      <w:pPr>
        <w:snapToGrid w:val="0"/>
        <w:spacing w:line="360" w:lineRule="auto"/>
        <w:rPr>
          <w:rFonts w:ascii="仿宋" w:hAnsi="仿宋" w:eastAsia="仿宋"/>
          <w:color w:val="auto"/>
          <w:sz w:val="24"/>
          <w:highlight w:val="none"/>
        </w:rPr>
      </w:pPr>
      <w:r>
        <w:rPr>
          <w:rFonts w:hint="eastAsia" w:ascii="仿宋" w:hAnsi="仿宋" w:eastAsia="仿宋" w:cs="仿宋_GB2312"/>
          <w:color w:val="auto"/>
          <w:sz w:val="24"/>
          <w:highlight w:val="none"/>
          <w:u w:val="single"/>
        </w:rPr>
        <w:t>杭州市临平区人民政府临平街道办事处 、杭州中瑞招标代理有限公司</w:t>
      </w:r>
    </w:p>
    <w:p>
      <w:pPr>
        <w:snapToGrid w:val="0"/>
        <w:spacing w:line="360" w:lineRule="auto"/>
        <w:ind w:firstLine="480" w:firstLineChars="200"/>
        <w:rPr>
          <w:rFonts w:ascii="仿宋" w:hAnsi="仿宋" w:eastAsia="仿宋" w:cs="宋体"/>
          <w:color w:val="auto"/>
          <w:sz w:val="24"/>
          <w:highlight w:val="none"/>
        </w:rPr>
      </w:pPr>
      <w:r>
        <w:rPr>
          <w:rFonts w:hint="eastAsia" w:ascii="仿宋" w:hAnsi="仿宋" w:eastAsia="仿宋" w:cs="仿宋_GB2312"/>
          <w:color w:val="auto"/>
          <w:kern w:val="0"/>
          <w:sz w:val="24"/>
          <w:highlight w:val="none"/>
          <w:lang w:val="zh-CN"/>
        </w:rPr>
        <w:t>我方</w:t>
      </w:r>
      <w:r>
        <w:rPr>
          <w:rFonts w:ascii="仿宋" w:hAnsi="仿宋" w:eastAsia="仿宋" w:cs="仿宋_GB2312"/>
          <w:color w:val="auto"/>
          <w:kern w:val="0"/>
          <w:sz w:val="24"/>
          <w:highlight w:val="none"/>
          <w:u w:val="single"/>
          <w:lang w:val="zh-CN"/>
        </w:rPr>
        <w:t xml:space="preserve">                         </w:t>
      </w:r>
      <w:r>
        <w:rPr>
          <w:rFonts w:ascii="仿宋" w:hAnsi="仿宋" w:eastAsia="仿宋" w:cs="仿宋_GB2312"/>
          <w:color w:val="auto"/>
          <w:sz w:val="24"/>
          <w:highlight w:val="none"/>
        </w:rPr>
        <w:t>(</w:t>
      </w:r>
      <w:r>
        <w:rPr>
          <w:rFonts w:hint="eastAsia" w:ascii="仿宋" w:hAnsi="仿宋" w:eastAsia="仿宋" w:cs="仿宋_GB2312"/>
          <w:color w:val="auto"/>
          <w:sz w:val="24"/>
          <w:highlight w:val="none"/>
        </w:rPr>
        <w:t>投标人</w:t>
      </w:r>
      <w:r>
        <w:rPr>
          <w:rFonts w:ascii="仿宋" w:hAnsi="仿宋" w:eastAsia="仿宋" w:cs="仿宋_GB2312"/>
          <w:color w:val="auto"/>
          <w:sz w:val="24"/>
          <w:highlight w:val="none"/>
        </w:rPr>
        <w:t>全称)</w:t>
      </w:r>
      <w:r>
        <w:rPr>
          <w:rFonts w:hint="eastAsia" w:ascii="仿宋" w:hAnsi="仿宋" w:eastAsia="仿宋"/>
          <w:color w:val="auto"/>
          <w:sz w:val="24"/>
          <w:highlight w:val="none"/>
        </w:rPr>
        <w:t>是中华人民共和国依法登记注册的合法企业，</w:t>
      </w:r>
      <w:r>
        <w:rPr>
          <w:rFonts w:hint="eastAsia" w:ascii="仿宋" w:hAnsi="仿宋" w:eastAsia="仿宋" w:cs="宋体"/>
          <w:bCs/>
          <w:color w:val="auto"/>
          <w:sz w:val="24"/>
          <w:highlight w:val="none"/>
        </w:rPr>
        <w:t>在参加</w:t>
      </w:r>
      <w:r>
        <w:rPr>
          <w:rFonts w:hint="eastAsia" w:ascii="仿宋" w:hAnsi="仿宋" w:eastAsia="仿宋" w:cs="仿宋_GB2312"/>
          <w:color w:val="auto"/>
          <w:sz w:val="24"/>
          <w:highlight w:val="none"/>
        </w:rPr>
        <w:t>你方组织的“俞樾纪念馆”陈列布展服务项目【招标编号：HZZR-F221201N</w:t>
      </w:r>
      <w:r>
        <w:rPr>
          <w:rFonts w:ascii="仿宋" w:hAnsi="仿宋" w:eastAsia="仿宋" w:cs="仿宋_GB2312"/>
          <w:color w:val="auto"/>
          <w:sz w:val="24"/>
          <w:highlight w:val="none"/>
        </w:rPr>
        <w:t>】</w:t>
      </w:r>
      <w:r>
        <w:rPr>
          <w:rFonts w:hint="eastAsia" w:ascii="仿宋" w:hAnsi="仿宋" w:eastAsia="仿宋" w:cs="宋体"/>
          <w:bCs/>
          <w:color w:val="auto"/>
          <w:sz w:val="24"/>
          <w:highlight w:val="none"/>
        </w:rPr>
        <w:t>投标活动中作如下说明：</w:t>
      </w:r>
      <w:r>
        <w:rPr>
          <w:rFonts w:hint="eastAsia" w:ascii="仿宋" w:hAnsi="仿宋" w:eastAsia="仿宋" w:cs="宋体"/>
          <w:color w:val="auto"/>
          <w:sz w:val="24"/>
          <w:highlight w:val="none"/>
        </w:rPr>
        <w:t>我方所使用的“</w:t>
      </w:r>
      <w:r>
        <w:rPr>
          <w:rFonts w:ascii="仿宋" w:hAnsi="仿宋" w:eastAsia="仿宋" w:cs="仿宋_GB2312"/>
          <w:color w:val="auto"/>
          <w:sz w:val="24"/>
          <w:highlight w:val="none"/>
        </w:rPr>
        <w:t>XX</w:t>
      </w:r>
      <w:r>
        <w:rPr>
          <w:rFonts w:hint="eastAsia" w:ascii="仿宋" w:hAnsi="仿宋" w:eastAsia="仿宋" w:cs="宋体"/>
          <w:color w:val="auto"/>
          <w:sz w:val="24"/>
          <w:highlight w:val="none"/>
        </w:rPr>
        <w:t>专用章”与法定名称章具有同等的法律效力，对使用“</w:t>
      </w:r>
      <w:r>
        <w:rPr>
          <w:rFonts w:ascii="仿宋" w:hAnsi="仿宋" w:eastAsia="仿宋" w:cs="仿宋_GB2312"/>
          <w:color w:val="auto"/>
          <w:sz w:val="24"/>
          <w:highlight w:val="none"/>
        </w:rPr>
        <w:t>XX</w:t>
      </w:r>
      <w:r>
        <w:rPr>
          <w:rFonts w:hint="eastAsia" w:ascii="仿宋" w:hAnsi="仿宋" w:eastAsia="仿宋" w:cs="宋体"/>
          <w:color w:val="auto"/>
          <w:sz w:val="24"/>
          <w:highlight w:val="none"/>
        </w:rPr>
        <w:t>专用章”的行为予以完全承认，并愿意承担相应责任。</w:t>
      </w:r>
      <w:r>
        <w:rPr>
          <w:rFonts w:ascii="仿宋" w:hAnsi="仿宋" w:eastAsia="仿宋" w:cs="宋体"/>
          <w:color w:val="auto"/>
          <w:sz w:val="24"/>
          <w:highlight w:val="none"/>
        </w:rPr>
        <w:t xml:space="preserve">   </w:t>
      </w:r>
    </w:p>
    <w:p>
      <w:pPr>
        <w:snapToGrid w:val="0"/>
        <w:spacing w:line="360" w:lineRule="auto"/>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特此说明。</w:t>
      </w:r>
    </w:p>
    <w:p>
      <w:pPr>
        <w:snapToGrid w:val="0"/>
        <w:spacing w:line="360" w:lineRule="auto"/>
        <w:ind w:firstLine="494"/>
        <w:rPr>
          <w:rFonts w:ascii="仿宋" w:hAnsi="仿宋" w:eastAsia="仿宋" w:cs="宋体"/>
          <w:color w:val="auto"/>
          <w:sz w:val="24"/>
          <w:highlight w:val="none"/>
        </w:rPr>
      </w:pPr>
    </w:p>
    <w:p>
      <w:pPr>
        <w:snapToGrid w:val="0"/>
        <w:spacing w:line="360" w:lineRule="auto"/>
        <w:ind w:firstLine="494"/>
        <w:rPr>
          <w:rFonts w:ascii="仿宋" w:hAnsi="仿宋" w:eastAsia="仿宋" w:cs="宋体"/>
          <w:color w:val="auto"/>
          <w:sz w:val="24"/>
          <w:highlight w:val="none"/>
        </w:rPr>
      </w:pPr>
    </w:p>
    <w:p>
      <w:pPr>
        <w:snapToGrid w:val="0"/>
        <w:spacing w:line="360" w:lineRule="auto"/>
        <w:ind w:firstLine="494"/>
        <w:rPr>
          <w:rFonts w:ascii="仿宋" w:hAnsi="仿宋" w:eastAsia="仿宋" w:cs="宋体"/>
          <w:color w:val="auto"/>
          <w:sz w:val="24"/>
          <w:highlight w:val="none"/>
        </w:rPr>
      </w:pPr>
    </w:p>
    <w:p>
      <w:pPr>
        <w:snapToGrid w:val="0"/>
        <w:spacing w:line="360" w:lineRule="auto"/>
        <w:ind w:firstLine="494"/>
        <w:rPr>
          <w:rFonts w:ascii="仿宋" w:hAnsi="仿宋" w:eastAsia="仿宋" w:cs="宋体"/>
          <w:color w:val="auto"/>
          <w:sz w:val="24"/>
          <w:highlight w:val="none"/>
        </w:rPr>
      </w:pPr>
    </w:p>
    <w:p>
      <w:pPr>
        <w:snapToGrid w:val="0"/>
        <w:spacing w:line="360" w:lineRule="auto"/>
        <w:ind w:firstLine="4080" w:firstLineChars="1700"/>
        <w:rPr>
          <w:rFonts w:ascii="仿宋" w:hAnsi="仿宋" w:eastAsia="仿宋" w:cs="宋体"/>
          <w:color w:val="auto"/>
          <w:sz w:val="24"/>
          <w:highlight w:val="none"/>
        </w:rPr>
      </w:pPr>
      <w:r>
        <w:rPr>
          <w:rFonts w:hint="eastAsia" w:ascii="仿宋" w:hAnsi="仿宋" w:eastAsia="仿宋" w:cs="宋体"/>
          <w:color w:val="auto"/>
          <w:sz w:val="24"/>
          <w:highlight w:val="none"/>
        </w:rPr>
        <w:t>投标单位（法定名称章）：</w:t>
      </w:r>
    </w:p>
    <w:p>
      <w:pPr>
        <w:snapToGrid w:val="0"/>
        <w:spacing w:line="360" w:lineRule="auto"/>
        <w:ind w:firstLine="494"/>
        <w:jc w:val="center"/>
        <w:rPr>
          <w:rFonts w:ascii="仿宋" w:hAnsi="仿宋" w:eastAsia="仿宋" w:cs="宋体"/>
          <w:color w:val="auto"/>
          <w:sz w:val="24"/>
          <w:highlight w:val="none"/>
        </w:rPr>
      </w:pPr>
      <w:r>
        <w:rPr>
          <w:rFonts w:ascii="仿宋" w:hAnsi="仿宋" w:eastAsia="仿宋" w:cs="宋体"/>
          <w:color w:val="auto"/>
          <w:sz w:val="24"/>
          <w:highlight w:val="none"/>
        </w:rPr>
        <w:t xml:space="preserve">                              日期：       年     月     日</w:t>
      </w:r>
    </w:p>
    <w:p>
      <w:pPr>
        <w:snapToGrid w:val="0"/>
        <w:spacing w:line="360" w:lineRule="auto"/>
        <w:rPr>
          <w:rFonts w:ascii="仿宋" w:hAnsi="仿宋" w:eastAsia="仿宋" w:cs="宋体"/>
          <w:color w:val="auto"/>
          <w:sz w:val="24"/>
          <w:highlight w:val="none"/>
        </w:rPr>
      </w:pPr>
      <w:r>
        <w:rPr>
          <w:rFonts w:hint="eastAsia" w:ascii="仿宋" w:hAnsi="仿宋" w:eastAsia="仿宋" w:cs="宋体"/>
          <w:b/>
          <w:bCs/>
          <w:color w:val="auto"/>
          <w:sz w:val="24"/>
          <w:highlight w:val="none"/>
        </w:rPr>
        <w:t>附：</w:t>
      </w:r>
    </w:p>
    <w:p>
      <w:pPr>
        <w:snapToGrid w:val="0"/>
        <w:spacing w:line="360" w:lineRule="auto"/>
        <w:rPr>
          <w:rFonts w:ascii="仿宋" w:hAnsi="仿宋" w:eastAsia="仿宋"/>
          <w:bCs/>
          <w:color w:val="auto"/>
          <w:sz w:val="24"/>
          <w:highlight w:val="none"/>
        </w:rPr>
      </w:pPr>
      <w:r>
        <w:rPr>
          <w:rFonts w:ascii="仿宋" w:hAnsi="仿宋" w:eastAsia="仿宋"/>
          <w:color w:val="auto"/>
          <w:highlight w:val="none"/>
        </w:rPr>
        <mc:AlternateContent>
          <mc:Choice Requires="wps">
            <w:drawing>
              <wp:anchor distT="0" distB="0" distL="114300" distR="114300" simplePos="0" relativeHeight="251665408"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1" name="矩形 2"/>
                <wp:cNvGraphicFramePr/>
                <a:graphic xmlns:a="http://schemas.openxmlformats.org/drawingml/2006/main">
                  <a:graphicData uri="http://schemas.microsoft.com/office/word/2010/wordprocessingShape">
                    <wps:wsp>
                      <wps:cNvSpPr/>
                      <wps:spPr>
                        <a:xfrm>
                          <a:off x="0" y="0"/>
                          <a:ext cx="2704465" cy="225361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矩形 2" o:spid="_x0000_s1026" o:spt="1" style="position:absolute;left:0pt;margin-left:238.9pt;margin-top:28.05pt;height:177.45pt;width:212.95pt;z-index:-251651072;mso-width-relative:page;mso-height-relative:page;" fillcolor="#FFFFFF" filled="t" stroked="t" coordsize="21600,21600" o:gfxdata="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xz/jB2AAAAAoBAAAPAAAAAAAAAAEAIAAAACIAAABkcnMvZG93bnJldi54&#10;bWxQSwECFAAUAAAACACHTuJAOusx0foBAAAfBAAADgAAAAAAAAABACAAAAAnAQAAZHJzL2Uyb0Rv&#10;Yy54bWxQSwUGAAAAAAYABgBZAQAAkwUAAAAA&#10;">
                <v:fill on="t" focussize="0,0"/>
                <v:stroke color="#000000" joinstyle="miter"/>
                <v:imagedata o:title=""/>
                <o:lock v:ext="edit" aspectratio="f"/>
              </v:rect>
            </w:pict>
          </mc:Fallback>
        </mc:AlternateContent>
      </w:r>
      <w:r>
        <w:rPr>
          <w:rFonts w:ascii="仿宋" w:hAnsi="仿宋" w:eastAsia="仿宋"/>
          <w:color w:val="auto"/>
          <w:highlight w:val="none"/>
        </w:rPr>
        <mc:AlternateContent>
          <mc:Choice Requires="wps">
            <w:drawing>
              <wp:anchor distT="0" distB="0" distL="114300" distR="114300" simplePos="0" relativeHeight="251667456" behindDoc="1" locked="0" layoutInCell="1" allowOverlap="1">
                <wp:simplePos x="0" y="0"/>
                <wp:positionH relativeFrom="column">
                  <wp:posOffset>-88265</wp:posOffset>
                </wp:positionH>
                <wp:positionV relativeFrom="paragraph">
                  <wp:posOffset>384810</wp:posOffset>
                </wp:positionV>
                <wp:extent cx="2647950" cy="2253615"/>
                <wp:effectExtent l="5080" t="4445" r="13970" b="8890"/>
                <wp:wrapNone/>
                <wp:docPr id="2" name="矩形 1"/>
                <wp:cNvGraphicFramePr/>
                <a:graphic xmlns:a="http://schemas.openxmlformats.org/drawingml/2006/main">
                  <a:graphicData uri="http://schemas.microsoft.com/office/word/2010/wordprocessingShape">
                    <wps:wsp>
                      <wps:cNvSpPr/>
                      <wps:spPr>
                        <a:xfrm>
                          <a:off x="0" y="0"/>
                          <a:ext cx="2647950" cy="225361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矩形 1" o:spid="_x0000_s1026" o:spt="1" style="position:absolute;left:0pt;margin-left:-6.95pt;margin-top:30.3pt;height:177.45pt;width:208.5pt;z-index:-251649024;mso-width-relative:page;mso-height-relative:page;" fillcolor="#FFFFFF" filled="t" stroked="t" coordsize="21600,21600" o:gfxdata="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K7wjH2QAAAAoBAAAPAAAAAAAAAAEAIAAAACIAAABkcnMvZG93bnJldi54&#10;bWxQSwECFAAUAAAACACHTuJAJgI4f/kBAAAfBAAADgAAAAAAAAABACAAAAAoAQAAZHJzL2Uyb0Rv&#10;Yy54bWxQSwUGAAAAAAYABgBZAQAAkwUAAAAA&#10;">
                <v:fill on="t" focussize="0,0"/>
                <v:stroke color="#000000" joinstyle="miter"/>
                <v:imagedata o:title=""/>
                <o:lock v:ext="edit" aspectratio="f"/>
              </v:rect>
            </w:pict>
          </mc:Fallback>
        </mc:AlternateContent>
      </w:r>
      <w:r>
        <w:rPr>
          <w:rFonts w:hint="eastAsia" w:ascii="仿宋" w:hAnsi="仿宋" w:eastAsia="仿宋" w:cs="宋体"/>
          <w:color w:val="auto"/>
          <w:sz w:val="24"/>
          <w:highlight w:val="none"/>
        </w:rPr>
        <w:t>投标单位法定名称章（印模）</w:t>
      </w:r>
      <w:r>
        <w:rPr>
          <w:rFonts w:ascii="仿宋" w:hAnsi="仿宋" w:eastAsia="仿宋" w:cs="宋体"/>
          <w:color w:val="auto"/>
          <w:sz w:val="24"/>
          <w:highlight w:val="none"/>
        </w:rPr>
        <w:t xml:space="preserve">                </w:t>
      </w:r>
      <w:r>
        <w:rPr>
          <w:rFonts w:hint="eastAsia" w:ascii="仿宋" w:hAnsi="仿宋" w:eastAsia="仿宋" w:cs="宋体"/>
          <w:color w:val="auto"/>
          <w:sz w:val="24"/>
          <w:highlight w:val="none"/>
        </w:rPr>
        <w:t>投标单位“</w:t>
      </w:r>
      <w:r>
        <w:rPr>
          <w:rFonts w:ascii="仿宋" w:hAnsi="仿宋" w:eastAsia="仿宋" w:cs="仿宋_GB2312"/>
          <w:color w:val="auto"/>
          <w:sz w:val="24"/>
          <w:highlight w:val="none"/>
        </w:rPr>
        <w:t>XX</w:t>
      </w:r>
      <w:r>
        <w:rPr>
          <w:rFonts w:hint="eastAsia" w:ascii="仿宋" w:hAnsi="仿宋" w:eastAsia="仿宋" w:cs="宋体"/>
          <w:color w:val="auto"/>
          <w:sz w:val="24"/>
          <w:highlight w:val="none"/>
        </w:rPr>
        <w:t>专用章”（印模）</w:t>
      </w:r>
    </w:p>
    <w:p>
      <w:pPr>
        <w:autoSpaceDE w:val="0"/>
        <w:autoSpaceDN w:val="0"/>
        <w:snapToGrid w:val="0"/>
        <w:spacing w:line="360" w:lineRule="auto"/>
        <w:jc w:val="center"/>
        <w:rPr>
          <w:rFonts w:ascii="仿宋" w:hAnsi="仿宋" w:eastAsia="仿宋"/>
          <w:b/>
          <w:color w:val="auto"/>
          <w:spacing w:val="6"/>
          <w:sz w:val="32"/>
          <w:szCs w:val="32"/>
          <w:highlight w:val="none"/>
        </w:rPr>
      </w:pPr>
    </w:p>
    <w:p>
      <w:pPr>
        <w:autoSpaceDE w:val="0"/>
        <w:autoSpaceDN w:val="0"/>
        <w:snapToGrid w:val="0"/>
        <w:spacing w:line="360" w:lineRule="auto"/>
        <w:jc w:val="center"/>
        <w:rPr>
          <w:rFonts w:ascii="仿宋" w:hAnsi="仿宋" w:eastAsia="仿宋"/>
          <w:b/>
          <w:color w:val="auto"/>
          <w:spacing w:val="6"/>
          <w:sz w:val="32"/>
          <w:szCs w:val="32"/>
          <w:highlight w:val="none"/>
        </w:rPr>
      </w:pPr>
    </w:p>
    <w:p>
      <w:pPr>
        <w:autoSpaceDE w:val="0"/>
        <w:autoSpaceDN w:val="0"/>
        <w:snapToGrid w:val="0"/>
        <w:spacing w:line="360" w:lineRule="auto"/>
        <w:jc w:val="center"/>
        <w:rPr>
          <w:rFonts w:ascii="仿宋" w:hAnsi="仿宋" w:eastAsia="仿宋"/>
          <w:b/>
          <w:color w:val="auto"/>
          <w:spacing w:val="6"/>
          <w:sz w:val="32"/>
          <w:szCs w:val="32"/>
          <w:highlight w:val="none"/>
        </w:rPr>
      </w:pPr>
    </w:p>
    <w:p>
      <w:pPr>
        <w:autoSpaceDE w:val="0"/>
        <w:autoSpaceDN w:val="0"/>
        <w:snapToGrid w:val="0"/>
        <w:spacing w:line="360" w:lineRule="auto"/>
        <w:jc w:val="center"/>
        <w:rPr>
          <w:rFonts w:ascii="仿宋" w:hAnsi="仿宋" w:eastAsia="仿宋"/>
          <w:b/>
          <w:color w:val="auto"/>
          <w:spacing w:val="6"/>
          <w:sz w:val="32"/>
          <w:szCs w:val="32"/>
          <w:highlight w:val="none"/>
        </w:rPr>
      </w:pPr>
    </w:p>
    <w:p>
      <w:pPr>
        <w:pStyle w:val="4"/>
        <w:rPr>
          <w:rFonts w:ascii="仿宋" w:hAnsi="仿宋" w:eastAsia="仿宋"/>
          <w:color w:val="auto"/>
          <w:sz w:val="32"/>
          <w:szCs w:val="32"/>
          <w:highlight w:val="none"/>
        </w:rPr>
      </w:pPr>
      <w:r>
        <w:rPr>
          <w:rFonts w:hint="eastAsia" w:ascii="仿宋" w:hAnsi="仿宋" w:eastAsia="仿宋"/>
          <w:color w:val="auto"/>
          <w:spacing w:val="6"/>
          <w:sz w:val="32"/>
          <w:szCs w:val="32"/>
          <w:highlight w:val="none"/>
        </w:rPr>
        <w:br w:type="page"/>
      </w:r>
      <w:bookmarkStart w:id="825" w:name="_Toc5504"/>
      <w:r>
        <w:rPr>
          <w:rFonts w:hint="eastAsia" w:ascii="仿宋" w:hAnsi="仿宋" w:eastAsia="仿宋"/>
          <w:color w:val="auto"/>
          <w:sz w:val="32"/>
          <w:szCs w:val="32"/>
          <w:highlight w:val="none"/>
        </w:rPr>
        <w:t>附件5：中小企业声明函</w:t>
      </w:r>
      <w:bookmarkEnd w:id="825"/>
    </w:p>
    <w:p>
      <w:pPr>
        <w:autoSpaceDE w:val="0"/>
        <w:autoSpaceDN w:val="0"/>
        <w:spacing w:before="480" w:beforeLines="200" w:after="480" w:afterLines="200" w:line="360" w:lineRule="auto"/>
        <w:jc w:val="center"/>
        <w:rPr>
          <w:rFonts w:ascii="仿宋" w:hAnsi="仿宋" w:eastAsia="仿宋" w:cs="宋体"/>
          <w:color w:val="auto"/>
          <w:kern w:val="0"/>
          <w:sz w:val="24"/>
          <w:highlight w:val="none"/>
        </w:rPr>
      </w:pPr>
      <w:bookmarkStart w:id="826" w:name="_Hlk61009793"/>
      <w:r>
        <w:rPr>
          <w:rFonts w:hint="eastAsia" w:ascii="仿宋" w:hAnsi="仿宋" w:eastAsia="仿宋" w:cs="宋体"/>
          <w:b/>
          <w:color w:val="auto"/>
          <w:kern w:val="0"/>
          <w:sz w:val="24"/>
          <w:highlight w:val="none"/>
        </w:rPr>
        <w:t>中小企业声明函（货物</w:t>
      </w:r>
      <w:r>
        <w:rPr>
          <w:rFonts w:hint="eastAsia" w:ascii="仿宋" w:hAnsi="仿宋" w:eastAsia="仿宋" w:cs="宋体"/>
          <w:color w:val="auto"/>
          <w:kern w:val="0"/>
          <w:sz w:val="24"/>
          <w:highlight w:val="none"/>
        </w:rPr>
        <w:t>）</w:t>
      </w:r>
    </w:p>
    <w:bookmarkEnd w:id="826"/>
    <w:p>
      <w:pPr>
        <w:snapToGrid w:val="0"/>
        <w:spacing w:line="360" w:lineRule="auto"/>
        <w:jc w:val="center"/>
        <w:rPr>
          <w:rFonts w:ascii="仿宋" w:hAnsi="仿宋" w:eastAsia="仿宋"/>
          <w:b/>
          <w:color w:val="auto"/>
          <w:sz w:val="32"/>
          <w:szCs w:val="32"/>
          <w:highlight w:val="none"/>
        </w:rPr>
      </w:pPr>
      <w:r>
        <w:rPr>
          <w:rFonts w:hint="eastAsia" w:ascii="仿宋" w:hAnsi="仿宋" w:eastAsia="仿宋" w:cs="仿宋_GB2312"/>
          <w:b/>
          <w:color w:val="auto"/>
          <w:sz w:val="32"/>
          <w:szCs w:val="32"/>
          <w:highlight w:val="none"/>
        </w:rPr>
        <w:t>中小企业声明函</w:t>
      </w:r>
      <w:r>
        <w:rPr>
          <w:rFonts w:hint="eastAsia" w:ascii="仿宋" w:hAnsi="仿宋" w:eastAsia="仿宋"/>
          <w:b/>
          <w:color w:val="auto"/>
          <w:sz w:val="32"/>
          <w:szCs w:val="32"/>
          <w:highlight w:val="none"/>
        </w:rPr>
        <w:t>（服务）</w:t>
      </w:r>
    </w:p>
    <w:p>
      <w:pPr>
        <w:snapToGrid w:val="0"/>
        <w:spacing w:line="360" w:lineRule="auto"/>
        <w:rPr>
          <w:rFonts w:ascii="仿宋" w:hAnsi="仿宋" w:eastAsia="仿宋"/>
          <w:color w:val="auto"/>
          <w:highlight w:val="none"/>
        </w:rPr>
      </w:pPr>
    </w:p>
    <w:p>
      <w:pPr>
        <w:snapToGrid w:val="0"/>
        <w:spacing w:line="360" w:lineRule="auto"/>
        <w:ind w:firstLine="360" w:firstLineChars="150"/>
        <w:jc w:val="left"/>
        <w:rPr>
          <w:rFonts w:ascii="仿宋" w:hAnsi="仿宋" w:eastAsia="仿宋"/>
          <w:color w:val="auto"/>
          <w:sz w:val="24"/>
          <w:highlight w:val="none"/>
        </w:rPr>
      </w:pPr>
      <w:r>
        <w:rPr>
          <w:rFonts w:hint="eastAsia" w:ascii="仿宋" w:hAnsi="仿宋" w:eastAsia="仿宋"/>
          <w:color w:val="auto"/>
          <w:sz w:val="24"/>
          <w:highlight w:val="none"/>
        </w:rPr>
        <w:t>本公司（联合体）郑重声明，根据《政府采购促进中小企业发展管理办法》（财库﹝</w:t>
      </w:r>
      <w:r>
        <w:rPr>
          <w:rFonts w:ascii="仿宋" w:hAnsi="仿宋" w:eastAsia="仿宋"/>
          <w:color w:val="auto"/>
          <w:sz w:val="24"/>
          <w:highlight w:val="none"/>
        </w:rPr>
        <w:t xml:space="preserve">2020﹞46 </w:t>
      </w:r>
      <w:r>
        <w:rPr>
          <w:rFonts w:hint="eastAsia" w:ascii="仿宋" w:hAnsi="仿宋" w:eastAsia="仿宋"/>
          <w:color w:val="auto"/>
          <w:sz w:val="24"/>
          <w:highlight w:val="none"/>
        </w:rPr>
        <w:t>号）的规定，本公司（联合体）参加</w:t>
      </w:r>
      <w:r>
        <w:rPr>
          <w:rFonts w:ascii="仿宋" w:hAnsi="仿宋" w:eastAsia="仿宋"/>
          <w:color w:val="auto"/>
          <w:sz w:val="24"/>
          <w:highlight w:val="none"/>
        </w:rPr>
        <w:t xml:space="preserve"> </w:t>
      </w:r>
      <w:r>
        <w:rPr>
          <w:rFonts w:hint="eastAsia" w:ascii="仿宋" w:hAnsi="仿宋" w:eastAsia="仿宋"/>
          <w:color w:val="auto"/>
          <w:sz w:val="24"/>
          <w:highlight w:val="none"/>
        </w:rPr>
        <w:t>（单位名称）</w:t>
      </w:r>
      <w:r>
        <w:rPr>
          <w:rFonts w:ascii="仿宋" w:hAnsi="仿宋" w:eastAsia="仿宋"/>
          <w:color w:val="auto"/>
          <w:sz w:val="24"/>
          <w:highlight w:val="none"/>
        </w:rPr>
        <w:t xml:space="preserve"> </w:t>
      </w:r>
      <w:r>
        <w:rPr>
          <w:rFonts w:hint="eastAsia" w:ascii="仿宋" w:hAnsi="仿宋" w:eastAsia="仿宋"/>
          <w:color w:val="auto"/>
          <w:sz w:val="24"/>
          <w:highlight w:val="none"/>
        </w:rPr>
        <w:t>的</w:t>
      </w:r>
      <w:r>
        <w:rPr>
          <w:rFonts w:ascii="仿宋" w:hAnsi="仿宋" w:eastAsia="仿宋"/>
          <w:color w:val="auto"/>
          <w:sz w:val="24"/>
          <w:highlight w:val="none"/>
        </w:rPr>
        <w:t xml:space="preserve"> </w:t>
      </w:r>
      <w:r>
        <w:rPr>
          <w:rFonts w:hint="eastAsia" w:ascii="仿宋" w:hAnsi="仿宋" w:eastAsia="仿宋" w:cs="仿宋_GB2312"/>
          <w:color w:val="auto"/>
          <w:sz w:val="24"/>
          <w:highlight w:val="none"/>
        </w:rPr>
        <w:t>“俞樾纪念馆”陈列布展服务项目</w:t>
      </w:r>
      <w:r>
        <w:rPr>
          <w:rFonts w:hint="eastAsia" w:ascii="仿宋" w:hAnsi="仿宋" w:eastAsia="仿宋"/>
          <w:color w:val="auto"/>
          <w:sz w:val="24"/>
          <w:highlight w:val="none"/>
        </w:rPr>
        <w:t>采购活动，服务全部由符合政策要求的中小企业承接。相关企业（含联合体中的中小企业、签订分包意向协议的中小企业）的具体情况如下：</w:t>
      </w:r>
    </w:p>
    <w:p>
      <w:pPr>
        <w:snapToGrid w:val="0"/>
        <w:spacing w:line="360" w:lineRule="auto"/>
        <w:ind w:firstLine="480" w:firstLineChars="200"/>
        <w:jc w:val="left"/>
        <w:rPr>
          <w:rFonts w:ascii="仿宋" w:hAnsi="仿宋" w:eastAsia="仿宋"/>
          <w:color w:val="auto"/>
          <w:sz w:val="24"/>
          <w:highlight w:val="none"/>
        </w:rPr>
      </w:pPr>
      <w:r>
        <w:rPr>
          <w:rFonts w:ascii="仿宋" w:hAnsi="仿宋" w:eastAsia="仿宋"/>
          <w:color w:val="auto"/>
          <w:sz w:val="24"/>
          <w:highlight w:val="none"/>
        </w:rPr>
        <w:t>1.</w:t>
      </w:r>
      <w:r>
        <w:rPr>
          <w:rFonts w:ascii="仿宋" w:hAnsi="仿宋" w:eastAsia="仿宋"/>
          <w:color w:val="auto"/>
          <w:highlight w:val="none"/>
        </w:rPr>
        <w:t xml:space="preserve"> </w:t>
      </w:r>
      <w:r>
        <w:rPr>
          <w:rFonts w:hint="eastAsia" w:ascii="仿宋" w:hAnsi="仿宋" w:eastAsia="仿宋" w:cs="仿宋_GB2312"/>
          <w:color w:val="auto"/>
          <w:sz w:val="24"/>
          <w:highlight w:val="none"/>
          <w:u w:val="single"/>
        </w:rPr>
        <w:t>“俞樾纪念馆”陈列布展服务项目</w:t>
      </w:r>
      <w:r>
        <w:rPr>
          <w:rFonts w:hint="eastAsia" w:ascii="仿宋" w:hAnsi="仿宋" w:eastAsia="仿宋"/>
          <w:color w:val="auto"/>
          <w:sz w:val="24"/>
          <w:highlight w:val="none"/>
        </w:rPr>
        <w:t>，属于</w:t>
      </w:r>
      <w:r>
        <w:rPr>
          <w:rFonts w:ascii="仿宋" w:hAnsi="仿宋" w:eastAsia="仿宋"/>
          <w:color w:val="auto"/>
          <w:sz w:val="24"/>
          <w:highlight w:val="none"/>
        </w:rPr>
        <w:t xml:space="preserve"> </w:t>
      </w:r>
      <w:r>
        <w:rPr>
          <w:rFonts w:hint="eastAsia" w:ascii="仿宋" w:hAnsi="仿宋" w:eastAsia="仿宋"/>
          <w:color w:val="auto"/>
          <w:sz w:val="24"/>
          <w:highlight w:val="none"/>
          <w:u w:val="single"/>
        </w:rPr>
        <w:t>其他未列明行业</w:t>
      </w:r>
      <w:r>
        <w:rPr>
          <w:rFonts w:ascii="仿宋" w:hAnsi="仿宋" w:eastAsia="仿宋"/>
          <w:color w:val="auto"/>
          <w:sz w:val="24"/>
          <w:highlight w:val="none"/>
        </w:rPr>
        <w:t xml:space="preserve"> ；承建（承接）企业为 </w:t>
      </w:r>
      <w:r>
        <w:rPr>
          <w:rFonts w:hint="eastAsia" w:ascii="仿宋" w:hAnsi="仿宋" w:eastAsia="仿宋"/>
          <w:color w:val="auto"/>
          <w:sz w:val="24"/>
          <w:highlight w:val="none"/>
          <w:u w:val="single"/>
        </w:rPr>
        <w:t>（企业名称）</w:t>
      </w:r>
      <w:r>
        <w:rPr>
          <w:rFonts w:ascii="仿宋" w:hAnsi="仿宋" w:eastAsia="仿宋"/>
          <w:color w:val="auto"/>
          <w:sz w:val="24"/>
          <w:highlight w:val="none"/>
        </w:rPr>
        <w:t xml:space="preserve"> ，从业人员</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人，营业收入为</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万元，资产总额为</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万元属于</w:t>
      </w:r>
      <w:r>
        <w:rPr>
          <w:rFonts w:ascii="仿宋" w:hAnsi="仿宋" w:eastAsia="仿宋"/>
          <w:color w:val="auto"/>
          <w:sz w:val="24"/>
          <w:highlight w:val="none"/>
          <w:u w:val="single"/>
        </w:rPr>
        <w:t xml:space="preserve">        （中型企业、小型企业、微型企业） </w:t>
      </w:r>
      <w:r>
        <w:rPr>
          <w:rFonts w:hint="eastAsia" w:ascii="仿宋" w:hAnsi="仿宋" w:eastAsia="仿宋"/>
          <w:color w:val="auto"/>
          <w:sz w:val="24"/>
          <w:highlight w:val="none"/>
        </w:rPr>
        <w:t>；</w:t>
      </w:r>
    </w:p>
    <w:p>
      <w:pPr>
        <w:snapToGrid w:val="0"/>
        <w:spacing w:line="360" w:lineRule="auto"/>
        <w:ind w:firstLine="480" w:firstLineChars="200"/>
        <w:jc w:val="left"/>
        <w:rPr>
          <w:rFonts w:ascii="仿宋" w:hAnsi="仿宋" w:eastAsia="仿宋"/>
          <w:color w:val="auto"/>
          <w:sz w:val="24"/>
          <w:highlight w:val="none"/>
        </w:rPr>
      </w:pPr>
      <w:r>
        <w:rPr>
          <w:rFonts w:ascii="仿宋" w:hAnsi="仿宋" w:eastAsia="仿宋"/>
          <w:color w:val="auto"/>
          <w:sz w:val="24"/>
          <w:highlight w:val="none"/>
        </w:rPr>
        <w:t>2.</w:t>
      </w:r>
      <w:r>
        <w:rPr>
          <w:rFonts w:ascii="仿宋" w:hAnsi="仿宋" w:eastAsia="仿宋"/>
          <w:color w:val="auto"/>
          <w:highlight w:val="none"/>
        </w:rPr>
        <w:t xml:space="preserve"> </w:t>
      </w:r>
      <w:r>
        <w:rPr>
          <w:rFonts w:hint="eastAsia" w:ascii="仿宋" w:hAnsi="仿宋" w:eastAsia="仿宋"/>
          <w:color w:val="auto"/>
          <w:sz w:val="24"/>
          <w:highlight w:val="none"/>
          <w:u w:val="single"/>
        </w:rPr>
        <w:t>（标的名称）</w:t>
      </w:r>
      <w:r>
        <w:rPr>
          <w:rFonts w:hint="eastAsia" w:ascii="仿宋" w:hAnsi="仿宋" w:eastAsia="仿宋"/>
          <w:color w:val="auto"/>
          <w:sz w:val="24"/>
          <w:highlight w:val="none"/>
        </w:rPr>
        <w:t>，属于</w:t>
      </w:r>
      <w:r>
        <w:rPr>
          <w:rFonts w:ascii="仿宋" w:hAnsi="仿宋" w:eastAsia="仿宋"/>
          <w:color w:val="auto"/>
          <w:sz w:val="24"/>
          <w:highlight w:val="none"/>
        </w:rPr>
        <w:t xml:space="preserve"> </w:t>
      </w:r>
      <w:r>
        <w:rPr>
          <w:rFonts w:hint="eastAsia" w:ascii="仿宋" w:hAnsi="仿宋" w:eastAsia="仿宋"/>
          <w:color w:val="auto"/>
          <w:sz w:val="24"/>
          <w:highlight w:val="none"/>
          <w:u w:val="single"/>
        </w:rPr>
        <w:t>（</w:t>
      </w:r>
      <w:r>
        <w:rPr>
          <w:rFonts w:hint="eastAsia" w:ascii="仿宋" w:hAnsi="仿宋" w:eastAsia="仿宋" w:cs="Arial"/>
          <w:color w:val="auto"/>
          <w:kern w:val="0"/>
          <w:sz w:val="24"/>
          <w:highlight w:val="none"/>
          <w:u w:val="single"/>
        </w:rPr>
        <w:t>其他未列明</w:t>
      </w:r>
      <w:r>
        <w:rPr>
          <w:rFonts w:hint="eastAsia" w:ascii="仿宋" w:hAnsi="仿宋" w:eastAsia="仿宋"/>
          <w:color w:val="auto"/>
          <w:sz w:val="24"/>
          <w:highlight w:val="none"/>
          <w:u w:val="single"/>
        </w:rPr>
        <w:t>）行业</w:t>
      </w:r>
      <w:r>
        <w:rPr>
          <w:rFonts w:ascii="仿宋" w:hAnsi="仿宋" w:eastAsia="仿宋"/>
          <w:color w:val="auto"/>
          <w:sz w:val="24"/>
          <w:highlight w:val="none"/>
        </w:rPr>
        <w:t xml:space="preserve"> ；承建（承接）企业为 </w:t>
      </w:r>
      <w:r>
        <w:rPr>
          <w:rFonts w:hint="eastAsia" w:ascii="仿宋" w:hAnsi="仿宋" w:eastAsia="仿宋"/>
          <w:color w:val="auto"/>
          <w:sz w:val="24"/>
          <w:highlight w:val="none"/>
          <w:u w:val="single"/>
        </w:rPr>
        <w:t>（企业名称）</w:t>
      </w:r>
      <w:r>
        <w:rPr>
          <w:rFonts w:ascii="仿宋" w:hAnsi="仿宋" w:eastAsia="仿宋"/>
          <w:color w:val="auto"/>
          <w:sz w:val="24"/>
          <w:highlight w:val="none"/>
        </w:rPr>
        <w:t xml:space="preserve"> ，从业人员</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人，营业收入为</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万元，资产总额为</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万元属于</w:t>
      </w:r>
      <w:r>
        <w:rPr>
          <w:rFonts w:ascii="仿宋" w:hAnsi="仿宋" w:eastAsia="仿宋"/>
          <w:color w:val="auto"/>
          <w:sz w:val="24"/>
          <w:highlight w:val="none"/>
          <w:u w:val="single"/>
        </w:rPr>
        <w:t xml:space="preserve">      （中型企业、小型企业、微型企业） </w:t>
      </w:r>
      <w:r>
        <w:rPr>
          <w:rFonts w:hint="eastAsia" w:ascii="仿宋" w:hAnsi="仿宋" w:eastAsia="仿宋"/>
          <w:color w:val="auto"/>
          <w:sz w:val="24"/>
          <w:highlight w:val="none"/>
        </w:rPr>
        <w:t>；</w:t>
      </w:r>
    </w:p>
    <w:p>
      <w:pPr>
        <w:snapToGrid w:val="0"/>
        <w:spacing w:line="360" w:lineRule="auto"/>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w:t>
      </w:r>
    </w:p>
    <w:p>
      <w:pPr>
        <w:snapToGrid w:val="0"/>
        <w:spacing w:line="360" w:lineRule="auto"/>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以上企业，不属于大企业的分支机构，不存在控股股东为大企业的情形，也不存在与大企业的负责人为同一人的情形。</w:t>
      </w:r>
    </w:p>
    <w:p>
      <w:pPr>
        <w:snapToGrid w:val="0"/>
        <w:spacing w:line="360" w:lineRule="auto"/>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本企业对上述声明内容的真实性负责。如有虚假，将依法承担相应责任。</w:t>
      </w:r>
    </w:p>
    <w:p>
      <w:pPr>
        <w:snapToGrid w:val="0"/>
        <w:spacing w:line="360" w:lineRule="auto"/>
        <w:jc w:val="right"/>
        <w:rPr>
          <w:rFonts w:ascii="仿宋" w:hAnsi="仿宋" w:eastAsia="仿宋"/>
          <w:color w:val="auto"/>
          <w:sz w:val="24"/>
          <w:highlight w:val="none"/>
        </w:rPr>
      </w:pPr>
      <w:r>
        <w:rPr>
          <w:rFonts w:hint="eastAsia" w:ascii="仿宋" w:hAnsi="仿宋" w:eastAsia="仿宋" w:cs="仿宋_GB2312"/>
          <w:color w:val="auto"/>
          <w:sz w:val="24"/>
          <w:highlight w:val="none"/>
        </w:rPr>
        <w:t xml:space="preserve"> 投标人名称(电子签名)</w:t>
      </w:r>
      <w:r>
        <w:rPr>
          <w:rFonts w:hint="eastAsia" w:ascii="仿宋" w:hAnsi="仿宋" w:eastAsia="仿宋"/>
          <w:color w:val="auto"/>
          <w:sz w:val="24"/>
          <w:highlight w:val="none"/>
        </w:rPr>
        <w:t>：</w:t>
      </w:r>
    </w:p>
    <w:p>
      <w:pPr>
        <w:snapToGrid w:val="0"/>
        <w:spacing w:line="360" w:lineRule="auto"/>
        <w:ind w:firstLine="6600" w:firstLineChars="2750"/>
        <w:rPr>
          <w:rFonts w:ascii="仿宋" w:hAnsi="仿宋" w:eastAsia="仿宋"/>
          <w:color w:val="auto"/>
          <w:sz w:val="24"/>
          <w:highlight w:val="none"/>
        </w:rPr>
      </w:pPr>
      <w:r>
        <w:rPr>
          <w:rFonts w:hint="eastAsia" w:ascii="仿宋" w:hAnsi="仿宋" w:eastAsia="仿宋"/>
          <w:color w:val="auto"/>
          <w:sz w:val="24"/>
          <w:highlight w:val="none"/>
        </w:rPr>
        <w:t>日</w:t>
      </w:r>
      <w:r>
        <w:rPr>
          <w:rFonts w:ascii="仿宋" w:hAnsi="仿宋" w:eastAsia="仿宋"/>
          <w:color w:val="auto"/>
          <w:sz w:val="24"/>
          <w:highlight w:val="none"/>
        </w:rPr>
        <w:t xml:space="preserve"> </w:t>
      </w:r>
      <w:r>
        <w:rPr>
          <w:rFonts w:hint="eastAsia" w:ascii="仿宋" w:hAnsi="仿宋" w:eastAsia="仿宋"/>
          <w:color w:val="auto"/>
          <w:sz w:val="24"/>
          <w:highlight w:val="none"/>
        </w:rPr>
        <w:t>期：</w:t>
      </w:r>
    </w:p>
    <w:p>
      <w:pPr>
        <w:spacing w:line="360" w:lineRule="auto"/>
        <w:ind w:right="420"/>
        <w:rPr>
          <w:rFonts w:ascii="仿宋" w:hAnsi="仿宋" w:eastAsia="仿宋" w:cs="宋体"/>
          <w:bCs/>
          <w:color w:val="auto"/>
          <w:sz w:val="24"/>
          <w:highlight w:val="none"/>
        </w:rPr>
      </w:pPr>
    </w:p>
    <w:p>
      <w:pPr>
        <w:spacing w:line="360" w:lineRule="auto"/>
        <w:ind w:right="420"/>
        <w:rPr>
          <w:rFonts w:ascii="仿宋" w:hAnsi="仿宋" w:eastAsia="仿宋" w:cs="宋体"/>
          <w:b/>
          <w:bCs/>
          <w:color w:val="auto"/>
          <w:sz w:val="24"/>
          <w:highlight w:val="none"/>
        </w:rPr>
      </w:pPr>
      <w:r>
        <w:rPr>
          <w:rFonts w:hint="eastAsia" w:ascii="仿宋" w:hAnsi="仿宋" w:eastAsia="仿宋" w:cs="宋体"/>
          <w:b/>
          <w:bCs/>
          <w:color w:val="auto"/>
          <w:sz w:val="24"/>
          <w:highlight w:val="none"/>
        </w:rPr>
        <w:t>注：</w:t>
      </w:r>
      <w:r>
        <w:rPr>
          <w:rFonts w:ascii="仿宋" w:hAnsi="仿宋" w:eastAsia="仿宋" w:cs="宋体"/>
          <w:b/>
          <w:bCs/>
          <w:color w:val="auto"/>
          <w:sz w:val="24"/>
          <w:highlight w:val="none"/>
        </w:rPr>
        <w:t>1、填写要求：①“标的名称”、“采购文件中明确的所属行业”依据采购文件第二部分供应商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供应商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482" w:firstLineChars="200"/>
        <w:rPr>
          <w:rFonts w:ascii="仿宋" w:hAnsi="仿宋" w:eastAsia="仿宋" w:cs="宋体"/>
          <w:b/>
          <w:bCs/>
          <w:color w:val="auto"/>
          <w:sz w:val="24"/>
          <w:highlight w:val="none"/>
        </w:rPr>
      </w:pPr>
      <w:r>
        <w:rPr>
          <w:rFonts w:ascii="仿宋" w:hAnsi="仿宋" w:eastAsia="仿宋" w:cs="宋体"/>
          <w:b/>
          <w:bCs/>
          <w:color w:val="auto"/>
          <w:sz w:val="24"/>
          <w:highlight w:val="none"/>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供应商提供由省级以上监狱管理局、戒毒管理局（含新疆生产建设兵团）出具的属于监狱企业证明文件的，视同为小型和微型企业。</w:t>
      </w:r>
    </w:p>
    <w:p>
      <w:pPr>
        <w:spacing w:line="360" w:lineRule="auto"/>
        <w:jc w:val="center"/>
        <w:rPr>
          <w:rFonts w:ascii="仿宋" w:hAnsi="仿宋" w:eastAsia="仿宋" w:cs="仿宋"/>
          <w:b/>
          <w:color w:val="auto"/>
          <w:highlight w:val="none"/>
        </w:rPr>
      </w:pPr>
    </w:p>
    <w:p>
      <w:pPr>
        <w:snapToGrid w:val="0"/>
        <w:spacing w:line="360" w:lineRule="auto"/>
        <w:rPr>
          <w:rFonts w:ascii="仿宋" w:hAnsi="仿宋" w:eastAsia="仿宋"/>
          <w:bCs/>
          <w:color w:val="auto"/>
          <w:sz w:val="24"/>
          <w:highlight w:val="none"/>
        </w:rPr>
      </w:pPr>
    </w:p>
    <w:p>
      <w:pPr>
        <w:spacing w:line="360" w:lineRule="auto"/>
        <w:rPr>
          <w:rFonts w:ascii="仿宋" w:hAnsi="仿宋" w:eastAsia="仿宋"/>
          <w:color w:val="auto"/>
          <w:highlight w:val="none"/>
        </w:rPr>
      </w:pPr>
    </w:p>
    <w:p>
      <w:pPr>
        <w:pStyle w:val="36"/>
        <w:spacing w:line="360" w:lineRule="auto"/>
        <w:rPr>
          <w:rFonts w:ascii="仿宋" w:hAnsi="仿宋" w:eastAsia="仿宋"/>
          <w:color w:val="auto"/>
          <w:highlight w:val="none"/>
        </w:rPr>
      </w:pPr>
    </w:p>
    <w:p>
      <w:pPr>
        <w:spacing w:line="360" w:lineRule="auto"/>
        <w:rPr>
          <w:rFonts w:ascii="仿宋" w:hAnsi="仿宋" w:eastAsia="仿宋"/>
          <w:color w:val="auto"/>
          <w:highlight w:val="none"/>
        </w:rPr>
      </w:pPr>
    </w:p>
    <w:p>
      <w:pPr>
        <w:pStyle w:val="36"/>
        <w:spacing w:line="360" w:lineRule="auto"/>
        <w:rPr>
          <w:rFonts w:ascii="仿宋" w:hAnsi="仿宋" w:eastAsia="仿宋"/>
          <w:color w:val="auto"/>
          <w:highlight w:val="none"/>
        </w:rPr>
      </w:pPr>
    </w:p>
    <w:p>
      <w:pPr>
        <w:spacing w:line="360" w:lineRule="auto"/>
        <w:rPr>
          <w:rFonts w:ascii="仿宋" w:hAnsi="仿宋" w:eastAsia="仿宋"/>
          <w:color w:val="auto"/>
          <w:highlight w:val="none"/>
        </w:rPr>
      </w:pPr>
    </w:p>
    <w:p>
      <w:pPr>
        <w:pStyle w:val="36"/>
        <w:spacing w:line="360" w:lineRule="auto"/>
        <w:rPr>
          <w:rFonts w:ascii="仿宋" w:hAnsi="仿宋" w:eastAsia="仿宋"/>
          <w:color w:val="auto"/>
          <w:highlight w:val="none"/>
        </w:rPr>
      </w:pPr>
    </w:p>
    <w:p>
      <w:pPr>
        <w:spacing w:line="360" w:lineRule="auto"/>
        <w:rPr>
          <w:rFonts w:ascii="仿宋" w:hAnsi="仿宋" w:eastAsia="仿宋"/>
          <w:color w:val="auto"/>
          <w:highlight w:val="none"/>
        </w:rPr>
      </w:pPr>
    </w:p>
    <w:p>
      <w:pPr>
        <w:pStyle w:val="36"/>
        <w:spacing w:line="360" w:lineRule="auto"/>
        <w:rPr>
          <w:rFonts w:ascii="仿宋" w:hAnsi="仿宋" w:eastAsia="仿宋"/>
          <w:color w:val="auto"/>
          <w:highlight w:val="none"/>
        </w:rPr>
      </w:pPr>
    </w:p>
    <w:p>
      <w:pPr>
        <w:spacing w:line="360" w:lineRule="auto"/>
        <w:rPr>
          <w:rFonts w:ascii="仿宋" w:hAnsi="仿宋" w:eastAsia="仿宋"/>
          <w:color w:val="auto"/>
          <w:highlight w:val="none"/>
        </w:rPr>
      </w:pPr>
    </w:p>
    <w:p>
      <w:pPr>
        <w:pStyle w:val="36"/>
        <w:spacing w:line="360" w:lineRule="auto"/>
        <w:rPr>
          <w:rFonts w:ascii="仿宋" w:hAnsi="仿宋" w:eastAsia="仿宋"/>
          <w:color w:val="auto"/>
          <w:highlight w:val="none"/>
        </w:rPr>
      </w:pPr>
    </w:p>
    <w:p>
      <w:pPr>
        <w:spacing w:line="360" w:lineRule="auto"/>
        <w:rPr>
          <w:rFonts w:ascii="仿宋" w:hAnsi="仿宋" w:eastAsia="仿宋"/>
          <w:color w:val="auto"/>
          <w:highlight w:val="none"/>
        </w:rPr>
      </w:pPr>
    </w:p>
    <w:p>
      <w:pPr>
        <w:pStyle w:val="36"/>
        <w:spacing w:line="360" w:lineRule="auto"/>
        <w:rPr>
          <w:rFonts w:ascii="仿宋" w:hAnsi="仿宋" w:eastAsia="仿宋"/>
          <w:color w:val="auto"/>
          <w:highlight w:val="none"/>
        </w:rPr>
      </w:pPr>
    </w:p>
    <w:p>
      <w:pPr>
        <w:spacing w:line="360" w:lineRule="auto"/>
        <w:rPr>
          <w:rFonts w:ascii="仿宋" w:hAnsi="仿宋" w:eastAsia="仿宋"/>
          <w:color w:val="auto"/>
          <w:highlight w:val="none"/>
        </w:rPr>
      </w:pPr>
    </w:p>
    <w:p>
      <w:pPr>
        <w:pStyle w:val="36"/>
        <w:spacing w:line="360" w:lineRule="auto"/>
        <w:rPr>
          <w:rFonts w:ascii="仿宋" w:hAnsi="仿宋" w:eastAsia="仿宋"/>
          <w:color w:val="auto"/>
          <w:highlight w:val="none"/>
        </w:rPr>
      </w:pPr>
    </w:p>
    <w:p>
      <w:pPr>
        <w:spacing w:line="360" w:lineRule="auto"/>
        <w:rPr>
          <w:rFonts w:ascii="仿宋" w:hAnsi="仿宋" w:eastAsia="仿宋"/>
          <w:color w:val="auto"/>
          <w:highlight w:val="none"/>
        </w:rPr>
      </w:pPr>
    </w:p>
    <w:p>
      <w:pPr>
        <w:pStyle w:val="36"/>
        <w:spacing w:line="360" w:lineRule="auto"/>
        <w:rPr>
          <w:rFonts w:ascii="仿宋" w:hAnsi="仿宋" w:eastAsia="仿宋"/>
          <w:color w:val="auto"/>
          <w:highlight w:val="none"/>
        </w:rPr>
      </w:pPr>
    </w:p>
    <w:p>
      <w:pPr>
        <w:spacing w:line="360" w:lineRule="auto"/>
        <w:rPr>
          <w:rFonts w:ascii="仿宋" w:hAnsi="仿宋" w:eastAsia="仿宋"/>
          <w:color w:val="auto"/>
          <w:highlight w:val="none"/>
        </w:rPr>
      </w:pPr>
    </w:p>
    <w:p>
      <w:pPr>
        <w:pStyle w:val="36"/>
        <w:spacing w:line="360" w:lineRule="auto"/>
        <w:rPr>
          <w:rFonts w:ascii="仿宋" w:hAnsi="仿宋" w:eastAsia="仿宋"/>
          <w:color w:val="auto"/>
          <w:highlight w:val="none"/>
        </w:rPr>
      </w:pPr>
    </w:p>
    <w:p>
      <w:pPr>
        <w:rPr>
          <w:color w:val="auto"/>
          <w:highlight w:val="none"/>
        </w:rPr>
      </w:pPr>
    </w:p>
    <w:sectPr>
      <w:headerReference r:id="rId13" w:type="first"/>
      <w:footerReference r:id="rId16" w:type="first"/>
      <w:headerReference r:id="rId12" w:type="default"/>
      <w:footerReference r:id="rId14" w:type="default"/>
      <w:footerReference r:id="rId15" w:type="even"/>
      <w:pgSz w:w="11906" w:h="16838"/>
      <w:pgMar w:top="1440" w:right="1797" w:bottom="1440" w:left="1797"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等线 Light">
    <w:panose1 w:val="02010600030101010101"/>
    <w:charset w:val="86"/>
    <w:family w:val="auto"/>
    <w:pitch w:val="default"/>
    <w:sig w:usb0="A00002BF" w:usb1="38CF7CFA" w:usb2="00000016" w:usb3="00000000" w:csb0="0004000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Lucida Sans">
    <w:panose1 w:val="020B0602030504020204"/>
    <w:charset w:val="00"/>
    <w:family w:val="swiss"/>
    <w:pitch w:val="default"/>
    <w:sig w:usb0="00000003" w:usb1="00000000" w:usb2="00000000" w:usb3="00000000" w:csb0="20000001" w:csb1="00000000"/>
  </w:font>
  <w:font w:name="Verdana">
    <w:panose1 w:val="020B0604030504040204"/>
    <w:charset w:val="00"/>
    <w:family w:val="swiss"/>
    <w:pitch w:val="default"/>
    <w:sig w:usb0="A00006FF" w:usb1="4000205B" w:usb2="00000010" w:usb3="00000000" w:csb0="2000019F"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003F01FF" w:csb1="00000000"/>
  </w:font>
  <w:font w:name="Helvetica">
    <w:altName w:val="Arial"/>
    <w:panose1 w:val="020B0604020202020204"/>
    <w:charset w:val="00"/>
    <w:family w:val="swiss"/>
    <w:pitch w:val="default"/>
    <w:sig w:usb0="00000000" w:usb1="00000000" w:usb2="00000009" w:usb3="00000000" w:csb0="000001FF"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86"/>
    <w:family w:val="modern"/>
    <w:pitch w:val="default"/>
    <w:sig w:usb0="00000000" w:usb1="00000000" w:usb2="00000000" w:usb3="00000000" w:csb0="00040001" w:csb1="00000000"/>
  </w:font>
  <w:font w:name="华文细黑">
    <w:panose1 w:val="02010600040101010101"/>
    <w:charset w:val="86"/>
    <w:family w:val="auto"/>
    <w:pitch w:val="default"/>
    <w:sig w:usb0="00000287" w:usb1="080F0000" w:usb2="00000000" w:usb3="00000000" w:csb0="0004009F" w:csb1="DFD70000"/>
  </w:font>
  <w:font w:name="Microsoft Sans Serif">
    <w:panose1 w:val="020B0604020202020204"/>
    <w:charset w:val="00"/>
    <w:family w:val="swiss"/>
    <w:pitch w:val="default"/>
    <w:sig w:usb0="E5002EFF" w:usb1="C000605B" w:usb2="00000029" w:usb3="00000000" w:csb0="200101FF" w:csb1="20280000"/>
  </w:font>
  <w:font w:name="Calibri Light">
    <w:panose1 w:val="020F0302020204030204"/>
    <w:charset w:val="00"/>
    <w:family w:val="swiss"/>
    <w:pitch w:val="default"/>
    <w:sig w:usb0="E4002EFF" w:usb1="C2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MS Sans Serif">
    <w:altName w:val="Segoe Print"/>
    <w:panose1 w:val="00000000000000000000"/>
    <w:charset w:val="00"/>
    <w:family w:val="swiss"/>
    <w:pitch w:val="default"/>
    <w:sig w:usb0="00000000" w:usb1="00000000" w:usb2="00000000" w:usb3="00000000" w:csb0="00000001" w:csb1="00000000"/>
  </w:font>
  <w:font w:name="ˎ̥">
    <w:altName w:val="Times New Roman"/>
    <w:panose1 w:val="00000000000000000000"/>
    <w:charset w:val="00"/>
    <w:family w:val="roman"/>
    <w:pitch w:val="default"/>
    <w:sig w:usb0="00000000" w:usb1="00000000" w:usb2="00000000" w:usb3="00000000" w:csb0="00040001" w:csb1="00000000"/>
  </w:font>
  <w:font w:name="??">
    <w:altName w:val="宋体"/>
    <w:panose1 w:val="00000000000000000000"/>
    <w:charset w:val="86"/>
    <w:family w:val="roman"/>
    <w:pitch w:val="default"/>
    <w:sig w:usb0="00000000" w:usb1="00000000" w:usb2="00000010" w:usb3="00000000" w:csb0="00040001" w:csb1="00000000"/>
  </w:font>
  <w:font w:name="MS Gothic">
    <w:panose1 w:val="020B0609070205080204"/>
    <w:charset w:val="80"/>
    <w:family w:val="modern"/>
    <w:pitch w:val="default"/>
    <w:sig w:usb0="E00002FF" w:usb1="6AC7FDFB" w:usb2="08000012" w:usb3="00000000" w:csb0="4002009F" w:csb1="DFD70000"/>
  </w:font>
  <w:font w:name="Segoe UI Symbol">
    <w:panose1 w:val="020B0502040204020203"/>
    <w:charset w:val="00"/>
    <w:family w:val="swiss"/>
    <w:pitch w:val="default"/>
    <w:sig w:usb0="800001E3" w:usb1="1200FFEF" w:usb2="00040000" w:usb3="04000000"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jc w:val="center"/>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6"/>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56"/>
                    </w:pPr>
                    <w:r>
                      <w:fldChar w:fldCharType="begin"/>
                    </w:r>
                    <w:r>
                      <w:instrText xml:space="preserve"> PAGE  \* MERGEFORMAT </w:instrText>
                    </w:r>
                    <w:r>
                      <w:fldChar w:fldCharType="separate"/>
                    </w:r>
                    <w:r>
                      <w:t>3</w:t>
                    </w:r>
                    <w:r>
                      <w:fldChar w:fldCharType="end"/>
                    </w:r>
                  </w:p>
                </w:txbxContent>
              </v:textbox>
            </v:shape>
          </w:pict>
        </mc:Fallback>
      </mc:AlternateContent>
    </w:r>
  </w:p>
  <w:p>
    <w:pPr>
      <w:pStyle w:val="56"/>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rPr>
        <w:rFonts w:ascii="仿宋_GB2312" w:eastAsia="仿宋_GB2312"/>
      </w:rP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28"/>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56"/>
                          </w:pPr>
                          <w:r>
                            <w:fldChar w:fldCharType="begin"/>
                          </w:r>
                          <w:r>
                            <w:instrText xml:space="preserve"> PAGE  \* MERGEFORMAT </w:instrText>
                          </w:r>
                          <w:r>
                            <w:fldChar w:fldCharType="separate"/>
                          </w:r>
                          <w:r>
                            <w:t>73</w:t>
                          </w:r>
                          <w:r>
                            <w:fldChar w:fldCharType="end"/>
                          </w:r>
                        </w:p>
                      </w:txbxContent>
                    </wps:txbx>
                    <wps:bodyPr wrap="none" lIns="0" tIns="0" rIns="0" bIns="0" upright="1">
                      <a:spAutoFit/>
                    </wps:bodyPr>
                  </wps:wsp>
                </a:graphicData>
              </a:graphic>
            </wp:anchor>
          </w:drawing>
        </mc:Choice>
        <mc:Fallback>
          <w:pict>
            <v:rect id="文本框 28" o:spid="_x0000_s1026" o:spt="1"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XW5UtAAAAAFAQAADwAAAAAAAAABACAAAAAiAAAAZHJzL2Rvd25yZXYueG1sUEsB&#10;AhQAFAAAAAgAh07iQJTIZyPEAQAAkAMAAA4AAAAAAAAAAQAgAAAAHwEAAGRycy9lMm9Eb2MueG1s&#10;UEsFBgAAAAAGAAYAWQEAAFUFAAAAAA==&#10;">
              <v:fill on="f" focussize="0,0"/>
              <v:stroke on="f"/>
              <v:imagedata o:title=""/>
              <o:lock v:ext="edit" aspectratio="f"/>
              <v:textbox inset="0mm,0mm,0mm,0mm" style="mso-fit-shape-to-text:t;">
                <w:txbxContent>
                  <w:p>
                    <w:pPr>
                      <w:pStyle w:val="56"/>
                    </w:pPr>
                    <w:r>
                      <w:fldChar w:fldCharType="begin"/>
                    </w:r>
                    <w:r>
                      <w:instrText xml:space="preserve"> PAGE  \* MERGEFORMAT </w:instrText>
                    </w:r>
                    <w:r>
                      <w:fldChar w:fldCharType="separate"/>
                    </w:r>
                    <w:r>
                      <w:t>73</w:t>
                    </w:r>
                    <w: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jc w:val="center"/>
    </w:pPr>
    <w:r>
      <w:rPr>
        <w:rFonts w:hint="eastAsia"/>
      </w:rPr>
      <w:t>99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6"/>
                          </w:pPr>
                          <w:r>
                            <w:fldChar w:fldCharType="begin"/>
                          </w:r>
                          <w:r>
                            <w:instrText xml:space="preserve"> PAGE  \* MERGEFORMAT </w:instrText>
                          </w:r>
                          <w:r>
                            <w:fldChar w:fldCharType="separate"/>
                          </w:r>
                          <w:r>
                            <w:t>28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KQhEwrAgAAVw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ikIRMKwIAAFcEAAAOAAAAAAAAAAEAIAAAAB8BAABkcnMvZTJvRG9jLnhtbFBLBQYAAAAABgAG&#10;AFkBAAC8BQAAAAA=&#10;">
              <v:fill on="f" focussize="0,0"/>
              <v:stroke on="f" weight="0.5pt"/>
              <v:imagedata o:title=""/>
              <o:lock v:ext="edit" aspectratio="f"/>
              <v:textbox inset="0mm,0mm,0mm,0mm" style="mso-fit-shape-to-text:t;">
                <w:txbxContent>
                  <w:p>
                    <w:pPr>
                      <w:pStyle w:val="56"/>
                    </w:pPr>
                    <w:r>
                      <w:fldChar w:fldCharType="begin"/>
                    </w:r>
                    <w:r>
                      <w:instrText xml:space="preserve"> PAGE  \* MERGEFORMAT </w:instrText>
                    </w:r>
                    <w:r>
                      <w:fldChar w:fldCharType="separate"/>
                    </w:r>
                    <w:r>
                      <w:t>28</w:t>
                    </w:r>
                    <w: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6"/>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txbxContent>
                    </wps:txbx>
                    <wps:bodyPr wrap="none" lIns="0" tIns="0" rIns="0" bIns="0" upright="1">
                      <a:spAutoFit/>
                    </wps:bodyPr>
                  </wps:wsp>
                </a:graphicData>
              </a:graphic>
            </wp:anchor>
          </w:drawing>
        </mc:Choice>
        <mc:Fallback>
          <w:pict>
            <v:rect id="文本框 6" o:spid="_x0000_s1026" o:spt="1"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XW5UtAAAAAFAQAADwAAAAAAAAABACAAAAAiAAAAZHJzL2Rvd25yZXYueG1sUEsB&#10;AhQAFAAAAAgAh07iQKIuTArEAQAAkAMAAA4AAAAAAAAAAQAgAAAAHwEAAGRycy9lMm9Eb2MueG1s&#10;UEsFBgAAAAAGAAYAWQEAAFUFAAAAAA==&#10;">
              <v:fill on="f" focussize="0,0"/>
              <v:stroke on="f"/>
              <v:imagedata o:title=""/>
              <o:lock v:ext="edit" aspectratio="f"/>
              <v:textbox inset="0mm,0mm,0mm,0mm" style="mso-fit-shape-to-text:t;">
                <w:txbxContent>
                  <w:p/>
                </w:txbxContent>
              </v:textbox>
            </v:rect>
          </w:pict>
        </mc:Fallback>
      </mc:AlternateContent>
    </w:r>
  </w:p>
  <w:p>
    <w:pPr>
      <w:rPr>
        <w:rFonts w:ascii="仿宋_GB2312" w:eastAsia="仿宋_GB2312"/>
      </w:rPr>
    </w:pPr>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jc w:val="cente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6"/>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56"/>
                            <w:jc w:val="center"/>
                          </w:pPr>
                          <w:r>
                            <w:fldChar w:fldCharType="begin"/>
                          </w:r>
                          <w:r>
                            <w:instrText xml:space="preserve">PAGE   \* MERGEFORMAT</w:instrText>
                          </w:r>
                          <w:r>
                            <w:fldChar w:fldCharType="separate"/>
                          </w:r>
                          <w:r>
                            <w:rPr>
                              <w:lang w:val="zh-CN"/>
                            </w:rPr>
                            <w:t>48</w:t>
                          </w:r>
                          <w:r>
                            <w:fldChar w:fldCharType="end"/>
                          </w:r>
                        </w:p>
                        <w:p>
                          <w:pPr>
                            <w:pStyle w:val="36"/>
                          </w:pPr>
                        </w:p>
                      </w:txbxContent>
                    </wps:txbx>
                    <wps:bodyPr wrap="none" lIns="0" tIns="0" rIns="0" bIns="0" upright="1">
                      <a:spAutoFit/>
                    </wps:bodyPr>
                  </wps:wsp>
                </a:graphicData>
              </a:graphic>
            </wp:anchor>
          </w:drawing>
        </mc:Choice>
        <mc:Fallback>
          <w:pict>
            <v:rect id="文本框 6" o:spid="_x0000_s1026" o:spt="1"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XW5UtAAAAAFAQAADwAAAAAAAAABACAAAAAiAAAAZHJzL2Rvd25yZXYueG1sUEsB&#10;AhQAFAAAAAgAh07iQJDCUQ/EAQAAjwMAAA4AAAAAAAAAAQAgAAAAHwEAAGRycy9lMm9Eb2MueG1s&#10;UEsFBgAAAAAGAAYAWQEAAFUFAAAAAA==&#10;">
              <v:fill on="f" focussize="0,0"/>
              <v:stroke on="f"/>
              <v:imagedata o:title=""/>
              <o:lock v:ext="edit" aspectratio="f"/>
              <v:textbox inset="0mm,0mm,0mm,0mm" style="mso-fit-shape-to-text:t;">
                <w:txbxContent>
                  <w:p>
                    <w:pPr>
                      <w:pStyle w:val="56"/>
                      <w:jc w:val="center"/>
                    </w:pPr>
                    <w:r>
                      <w:fldChar w:fldCharType="begin"/>
                    </w:r>
                    <w:r>
                      <w:instrText xml:space="preserve">PAGE   \* MERGEFORMAT</w:instrText>
                    </w:r>
                    <w:r>
                      <w:fldChar w:fldCharType="separate"/>
                    </w:r>
                    <w:r>
                      <w:rPr>
                        <w:lang w:val="zh-CN"/>
                      </w:rPr>
                      <w:t>48</w:t>
                    </w:r>
                    <w:r>
                      <w:fldChar w:fldCharType="end"/>
                    </w:r>
                  </w:p>
                  <w:p>
                    <w:pPr>
                      <w:pStyle w:val="36"/>
                    </w:pPr>
                  </w:p>
                </w:txbxContent>
              </v:textbox>
            </v:rect>
          </w:pict>
        </mc:Fallback>
      </mc:AlternateConten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jc w:val="center"/>
      <w:rPr>
        <w:rFonts w:ascii="仿宋_GB2312" w:eastAsia="仿宋_GB2312"/>
        <w:szCs w:val="24"/>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6"/>
                            <w:jc w:val="cente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72</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72</w:t>
                          </w:r>
                          <w:r>
                            <w:rPr>
                              <w:rFonts w:hint="eastAsia" w:ascii="仿宋_GB2312" w:eastAsia="仿宋_GB2312"/>
                              <w:kern w:val="0"/>
                              <w:szCs w:val="21"/>
                            </w:rPr>
                            <w:fldChar w:fldCharType="end"/>
                          </w:r>
                          <w:r>
                            <w:rPr>
                              <w:rFonts w:hint="eastAsia" w:ascii="仿宋_GB2312" w:eastAsia="仿宋_GB2312"/>
                              <w:kern w:val="0"/>
                              <w:szCs w:val="21"/>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56"/>
                      <w:jc w:val="cente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72</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72</w:t>
                    </w:r>
                    <w:r>
                      <w:rPr>
                        <w:rFonts w:hint="eastAsia" w:ascii="仿宋_GB2312" w:eastAsia="仿宋_GB2312"/>
                        <w:kern w:val="0"/>
                        <w:szCs w:val="21"/>
                      </w:rPr>
                      <w:fldChar w:fldCharType="end"/>
                    </w:r>
                    <w:r>
                      <w:rPr>
                        <w:rFonts w:hint="eastAsia" w:ascii="仿宋_GB2312" w:eastAsia="仿宋_GB2312"/>
                        <w:kern w:val="0"/>
                        <w:szCs w:val="21"/>
                      </w:rP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framePr w:wrap="around" w:vAnchor="text" w:hAnchor="margin" w:xAlign="right" w:y="1"/>
      <w:rPr>
        <w:rStyle w:val="98"/>
      </w:rPr>
    </w:pPr>
    <w:r>
      <w:fldChar w:fldCharType="begin"/>
    </w:r>
    <w:r>
      <w:rPr>
        <w:rStyle w:val="98"/>
      </w:rPr>
      <w:instrText xml:space="preserve">PAGE  </w:instrText>
    </w:r>
    <w:r>
      <w:fldChar w:fldCharType="end"/>
    </w:r>
  </w:p>
  <w:p>
    <w:pPr>
      <w:pStyle w:val="56"/>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jc w:val="center"/>
      <w:rPr>
        <w:rFonts w:ascii="仿宋_GB2312" w:eastAsia="仿宋_GB2312"/>
      </w:rP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6"/>
                            <w:jc w:val="cente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bookmarkStart w:id="827" w:name="_Toc36110187"/>
                          <w:bookmarkStart w:id="828" w:name="_Toc131845147"/>
                          <w:bookmarkStart w:id="829" w:name="_Toc91899912"/>
                          <w:bookmarkStart w:id="830" w:name="_Toc164085800"/>
                          <w:r>
                            <w:rPr>
                              <w:rFonts w:hint="eastAsia" w:ascii="仿宋_GB2312" w:eastAsia="仿宋_GB2312"/>
                              <w:kern w:val="0"/>
                              <w:szCs w:val="21"/>
                            </w:rPr>
                            <w:t xml:space="preserve"> 页</w:t>
                          </w:r>
                          <w:bookmarkEnd w:id="827"/>
                          <w:bookmarkEnd w:id="828"/>
                          <w:bookmarkEnd w:id="829"/>
                          <w:bookmarkEnd w:id="830"/>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o+UsAgAAV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r+j5SwCAABVBAAADgAAAAAAAAABACAAAAAfAQAAZHJzL2Uyb0RvYy54bWxQSwUGAAAAAAYA&#10;BgBZAQAAvQUAAAAA&#10;">
              <v:fill on="f" focussize="0,0"/>
              <v:stroke on="f" weight="0.5pt"/>
              <v:imagedata o:title=""/>
              <o:lock v:ext="edit" aspectratio="f"/>
              <v:textbox inset="0mm,0mm,0mm,0mm" style="mso-fit-shape-to-text:t;">
                <w:txbxContent>
                  <w:p>
                    <w:pPr>
                      <w:pStyle w:val="56"/>
                      <w:jc w:val="cente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bookmarkStart w:id="827" w:name="_Toc36110187"/>
                    <w:bookmarkStart w:id="828" w:name="_Toc131845147"/>
                    <w:bookmarkStart w:id="829" w:name="_Toc91899912"/>
                    <w:bookmarkStart w:id="830" w:name="_Toc164085800"/>
                    <w:r>
                      <w:rPr>
                        <w:rFonts w:hint="eastAsia" w:ascii="仿宋_GB2312" w:eastAsia="仿宋_GB2312"/>
                        <w:kern w:val="0"/>
                        <w:szCs w:val="21"/>
                      </w:rPr>
                      <w:t xml:space="preserve"> 页</w:t>
                    </w:r>
                    <w:bookmarkEnd w:id="827"/>
                    <w:bookmarkEnd w:id="828"/>
                    <w:bookmarkEnd w:id="829"/>
                    <w:bookmarkEnd w:id="830"/>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rPr>
        <w:rFonts w:ascii="仿宋_GB2312" w:eastAsia="仿宋_GB2312"/>
        <w:szCs w:val="24"/>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27"/>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56"/>
                          </w:pPr>
                          <w:r>
                            <w:fldChar w:fldCharType="begin"/>
                          </w:r>
                          <w:r>
                            <w:instrText xml:space="preserve"> PAGE  \* MERGEFORMAT </w:instrText>
                          </w:r>
                          <w:r>
                            <w:fldChar w:fldCharType="separate"/>
                          </w:r>
                          <w:r>
                            <w:t>82</w:t>
                          </w:r>
                          <w:r>
                            <w:fldChar w:fldCharType="end"/>
                          </w:r>
                        </w:p>
                      </w:txbxContent>
                    </wps:txbx>
                    <wps:bodyPr wrap="none" lIns="0" tIns="0" rIns="0" bIns="0" upright="1">
                      <a:spAutoFit/>
                    </wps:bodyPr>
                  </wps:wsp>
                </a:graphicData>
              </a:graphic>
            </wp:anchor>
          </w:drawing>
        </mc:Choice>
        <mc:Fallback>
          <w:pict>
            <v:rect id="文本框 27" o:spid="_x0000_s1026" o:spt="1"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Ll1uVLQAAAABQEAAA8AAAAAAAAAAQAgAAAAIgAAAGRycy9kb3ducmV2LnhtbFBL&#10;AQIUABQAAAAIAIdO4kDMsfGaxQEAAJADAAAOAAAAAAAAAAEAIAAAAB8BAABkcnMvZTJvRG9jLnht&#10;bFBLBQYAAAAABgAGAFkBAABWBQAAAAA=&#10;">
              <v:fill on="f" focussize="0,0"/>
              <v:stroke on="f"/>
              <v:imagedata o:title=""/>
              <o:lock v:ext="edit" aspectratio="f"/>
              <v:textbox inset="0mm,0mm,0mm,0mm" style="mso-fit-shape-to-text:t;">
                <w:txbxContent>
                  <w:p>
                    <w:pPr>
                      <w:pStyle w:val="56"/>
                    </w:pPr>
                    <w:r>
                      <w:fldChar w:fldCharType="begin"/>
                    </w:r>
                    <w:r>
                      <w:instrText xml:space="preserve"> PAGE  \* MERGEFORMAT </w:instrText>
                    </w:r>
                    <w:r>
                      <w:fldChar w:fldCharType="separate"/>
                    </w:r>
                    <w:r>
                      <w:t>82</w:t>
                    </w:r>
                    <w:r>
                      <w:fldChar w:fldCharType="end"/>
                    </w:r>
                  </w:p>
                </w:txbxContent>
              </v:textbox>
            </v:rect>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framePr w:wrap="around" w:vAnchor="text" w:hAnchor="margin" w:xAlign="right" w:y="1"/>
      <w:rPr>
        <w:rStyle w:val="98"/>
      </w:rPr>
    </w:pPr>
    <w:r>
      <w:fldChar w:fldCharType="begin"/>
    </w:r>
    <w:r>
      <w:rPr>
        <w:rStyle w:val="98"/>
      </w:rPr>
      <w:instrText xml:space="preserve">PAGE  </w:instrText>
    </w:r>
    <w:r>
      <w:fldChar w:fldCharType="end"/>
    </w:r>
  </w:p>
  <w:p>
    <w:pPr>
      <w:pStyle w:val="5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5"/>
      <w:ind w:firstLine="180" w:firstLineChars="100"/>
      <w:jc w:val="both"/>
      <w:rPr>
        <w:rFonts w:ascii="仿宋_GB2312" w:eastAsia="仿宋_GB2312"/>
        <w:b w:val="0"/>
        <w:i/>
        <w:iCs/>
        <w:sz w:val="18"/>
        <w:szCs w:val="18"/>
        <w:u w:val="single"/>
      </w:rPr>
    </w:pPr>
    <w:r>
      <w:rPr>
        <w:rFonts w:hint="eastAsia" w:eastAsia="仿宋_GB2312"/>
        <w:b w:val="0"/>
        <w:i/>
        <w:iCs/>
        <w:sz w:val="18"/>
        <w:szCs w:val="18"/>
        <w:u w:val="single"/>
      </w:rPr>
      <w:t xml:space="preserve">                                                                      杭州市政府采购竞争性磋商文件</w:t>
    </w:r>
    <w:r>
      <w:rPr>
        <w:rFonts w:hint="eastAsia"/>
        <w:b w:val="0"/>
        <w:sz w:val="18"/>
        <w:szCs w:val="18"/>
        <w:u w:val="singl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jc w:val="right"/>
      <w:rPr>
        <w:rFonts w:eastAsia="仿宋_GB231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jc w:val="right"/>
      <w:rPr>
        <w:rFonts w:ascii="仿宋_GB2312" w:eastAsia="仿宋_GB2312"/>
        <w:b/>
        <w:i/>
        <w:iCs/>
        <w:u w:val="single"/>
      </w:rPr>
    </w:pPr>
    <w:r>
      <w:t>杭州市政府采购公开招标文件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pPr>
    <w:r>
      <w:t></w:t>
    </w:r>
    <w:r>
      <w:rPr>
        <w:rFonts w:hint="eastAsia"/>
      </w:rPr>
      <w:t xml:space="preserve">                                             </w:t>
    </w: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25EB9D"/>
    <w:multiLevelType w:val="singleLevel"/>
    <w:tmpl w:val="8125EB9D"/>
    <w:lvl w:ilvl="0" w:tentative="0">
      <w:start w:val="5"/>
      <w:numFmt w:val="decimal"/>
      <w:lvlText w:val="%1."/>
      <w:lvlJc w:val="left"/>
      <w:pPr>
        <w:tabs>
          <w:tab w:val="left" w:pos="312"/>
        </w:tabs>
      </w:pPr>
    </w:lvl>
  </w:abstractNum>
  <w:abstractNum w:abstractNumId="1">
    <w:nsid w:val="B6ED5973"/>
    <w:multiLevelType w:val="singleLevel"/>
    <w:tmpl w:val="B6ED5973"/>
    <w:lvl w:ilvl="0" w:tentative="0">
      <w:start w:val="1"/>
      <w:numFmt w:val="decimal"/>
      <w:lvlText w:val="(%1)"/>
      <w:lvlJc w:val="left"/>
      <w:pPr>
        <w:ind w:left="425" w:hanging="425"/>
      </w:pPr>
      <w:rPr>
        <w:rFonts w:hint="default"/>
        <w:b w:val="0"/>
        <w:bCs w:val="0"/>
      </w:rPr>
    </w:lvl>
  </w:abstractNum>
  <w:abstractNum w:abstractNumId="2">
    <w:nsid w:val="CDB3996B"/>
    <w:multiLevelType w:val="multilevel"/>
    <w:tmpl w:val="CDB3996B"/>
    <w:lvl w:ilvl="0" w:tentative="0">
      <w:start w:val="1"/>
      <w:numFmt w:val="decimal"/>
      <w:suff w:val="nothing"/>
      <w:lvlText w:val="%1、"/>
      <w:lvlJc w:val="left"/>
      <w:pPr>
        <w:ind w:left="420" w:firstLine="0"/>
      </w:pPr>
    </w:lvl>
    <w:lvl w:ilvl="1" w:tentative="0">
      <w:start w:val="1"/>
      <w:numFmt w:val="decimal"/>
      <w:lvlText w:val="%2）"/>
      <w:lvlJc w:val="left"/>
      <w:pPr>
        <w:ind w:left="1200" w:hanging="360"/>
      </w:pPr>
      <w:rPr>
        <w:rFonts w:hint="default"/>
      </w:r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D9EC99C5"/>
    <w:multiLevelType w:val="singleLevel"/>
    <w:tmpl w:val="D9EC99C5"/>
    <w:lvl w:ilvl="0" w:tentative="0">
      <w:start w:val="1"/>
      <w:numFmt w:val="decimal"/>
      <w:pStyle w:val="24"/>
      <w:lvlText w:val="(%1)"/>
      <w:lvlJc w:val="left"/>
      <w:pPr>
        <w:ind w:left="425" w:hanging="425"/>
      </w:pPr>
      <w:rPr>
        <w:rFonts w:hint="default"/>
      </w:rPr>
    </w:lvl>
  </w:abstractNum>
  <w:abstractNum w:abstractNumId="4">
    <w:nsid w:val="FFFFFF7C"/>
    <w:multiLevelType w:val="singleLevel"/>
    <w:tmpl w:val="FFFFFF7C"/>
    <w:lvl w:ilvl="0" w:tentative="0">
      <w:start w:val="1"/>
      <w:numFmt w:val="decimal"/>
      <w:pStyle w:val="714"/>
      <w:lvlText w:val="%1."/>
      <w:lvlJc w:val="left"/>
      <w:pPr>
        <w:tabs>
          <w:tab w:val="left" w:pos="2040"/>
        </w:tabs>
        <w:ind w:left="2040" w:leftChars="800" w:hanging="360" w:hangingChars="200"/>
      </w:pPr>
    </w:lvl>
  </w:abstractNum>
  <w:abstractNum w:abstractNumId="5">
    <w:nsid w:val="FFFFFF7E"/>
    <w:multiLevelType w:val="singleLevel"/>
    <w:tmpl w:val="FFFFFF7E"/>
    <w:lvl w:ilvl="0" w:tentative="0">
      <w:start w:val="1"/>
      <w:numFmt w:val="decimal"/>
      <w:pStyle w:val="80"/>
      <w:lvlText w:val="%1."/>
      <w:lvlJc w:val="left"/>
      <w:pPr>
        <w:tabs>
          <w:tab w:val="left" w:pos="1200"/>
        </w:tabs>
        <w:ind w:left="1200" w:leftChars="400" w:hanging="360" w:hangingChars="200"/>
      </w:pPr>
    </w:lvl>
  </w:abstractNum>
  <w:abstractNum w:abstractNumId="6">
    <w:nsid w:val="FFFFFF7F"/>
    <w:multiLevelType w:val="singleLevel"/>
    <w:tmpl w:val="FFFFFF7F"/>
    <w:lvl w:ilvl="0" w:tentative="0">
      <w:start w:val="1"/>
      <w:numFmt w:val="decimal"/>
      <w:pStyle w:val="47"/>
      <w:lvlText w:val="%1."/>
      <w:lvlJc w:val="left"/>
      <w:pPr>
        <w:tabs>
          <w:tab w:val="left" w:pos="780"/>
        </w:tabs>
        <w:ind w:left="780" w:leftChars="200" w:hanging="360" w:hangingChars="200"/>
      </w:pPr>
    </w:lvl>
  </w:abstractNum>
  <w:abstractNum w:abstractNumId="7">
    <w:nsid w:val="0C6A744B"/>
    <w:multiLevelType w:val="multilevel"/>
    <w:tmpl w:val="0C6A744B"/>
    <w:lvl w:ilvl="0" w:tentative="0">
      <w:start w:val="1"/>
      <w:numFmt w:val="chineseCountingThousand"/>
      <w:pStyle w:val="670"/>
      <w:suff w:val="nothing"/>
      <w:lvlText w:val="第%1章"/>
      <w:lvlJc w:val="left"/>
      <w:pPr>
        <w:ind w:left="0" w:firstLine="0"/>
      </w:pPr>
      <w:rPr>
        <w:rFonts w:hint="eastAsia"/>
      </w:rPr>
    </w:lvl>
    <w:lvl w:ilvl="1" w:tentative="0">
      <w:start w:val="1"/>
      <w:numFmt w:val="decimal"/>
      <w:pStyle w:val="663"/>
      <w:isLgl/>
      <w:suff w:val="nothing"/>
      <w:lvlText w:val="%1.%2."/>
      <w:lvlJc w:val="left"/>
      <w:pPr>
        <w:ind w:left="568" w:firstLine="0"/>
      </w:pPr>
      <w:rPr>
        <w:rFonts w:hint="eastAsia"/>
      </w:rPr>
    </w:lvl>
    <w:lvl w:ilvl="2" w:tentative="0">
      <w:start w:val="1"/>
      <w:numFmt w:val="decimal"/>
      <w:pStyle w:val="671"/>
      <w:isLgl/>
      <w:suff w:val="nothing"/>
      <w:lvlText w:val="%1.%2.%3."/>
      <w:lvlJc w:val="left"/>
      <w:pPr>
        <w:ind w:left="0" w:firstLine="0"/>
      </w:pPr>
      <w:rPr>
        <w:rFonts w:hint="eastAsia"/>
      </w:rPr>
    </w:lvl>
    <w:lvl w:ilvl="3" w:tentative="0">
      <w:start w:val="1"/>
      <w:numFmt w:val="decimal"/>
      <w:pStyle w:val="664"/>
      <w:isLgl/>
      <w:suff w:val="nothing"/>
      <w:lvlText w:val="%1.%2.%3.%4."/>
      <w:lvlJc w:val="left"/>
      <w:pPr>
        <w:ind w:left="0" w:firstLine="0"/>
      </w:pPr>
      <w:rPr>
        <w:rFonts w:hint="eastAsia"/>
      </w:rPr>
    </w:lvl>
    <w:lvl w:ilvl="4" w:tentative="0">
      <w:start w:val="1"/>
      <w:numFmt w:val="decimal"/>
      <w:pStyle w:val="665"/>
      <w:isLgl/>
      <w:suff w:val="nothing"/>
      <w:lvlText w:val="%1.%2.%3.%4.%5."/>
      <w:lvlJc w:val="left"/>
      <w:pPr>
        <w:ind w:left="0" w:firstLine="0"/>
      </w:pPr>
      <w:rPr>
        <w:rFonts w:hint="eastAsia"/>
      </w:rPr>
    </w:lvl>
    <w:lvl w:ilvl="5" w:tentative="0">
      <w:start w:val="1"/>
      <w:numFmt w:val="decimal"/>
      <w:pStyle w:val="666"/>
      <w:isLgl/>
      <w:suff w:val="nothing"/>
      <w:lvlText w:val="%1.%2.%3.%4.%5.%6."/>
      <w:lvlJc w:val="left"/>
      <w:pPr>
        <w:ind w:left="0" w:firstLine="0"/>
      </w:pPr>
      <w:rPr>
        <w:rFonts w:hint="eastAsia"/>
      </w:rPr>
    </w:lvl>
    <w:lvl w:ilvl="6" w:tentative="0">
      <w:start w:val="1"/>
      <w:numFmt w:val="decimal"/>
      <w:pStyle w:val="667"/>
      <w:isLgl/>
      <w:suff w:val="nothing"/>
      <w:lvlText w:val="%1.%2.%3.%4.%5.%6.%7."/>
      <w:lvlJc w:val="left"/>
      <w:pPr>
        <w:ind w:left="0" w:firstLine="0"/>
      </w:pPr>
      <w:rPr>
        <w:rFonts w:hint="eastAsia"/>
      </w:rPr>
    </w:lvl>
    <w:lvl w:ilvl="7" w:tentative="0">
      <w:start w:val="1"/>
      <w:numFmt w:val="decimal"/>
      <w:pStyle w:val="668"/>
      <w:isLgl/>
      <w:suff w:val="nothing"/>
      <w:lvlText w:val="%1.%2.%3.%4.%5.%6.%7.%8."/>
      <w:lvlJc w:val="left"/>
      <w:pPr>
        <w:ind w:left="0" w:firstLine="0"/>
      </w:pPr>
      <w:rPr>
        <w:rFonts w:hint="eastAsia"/>
      </w:rPr>
    </w:lvl>
    <w:lvl w:ilvl="8" w:tentative="0">
      <w:start w:val="1"/>
      <w:numFmt w:val="decimal"/>
      <w:pStyle w:val="669"/>
      <w:isLgl/>
      <w:suff w:val="nothing"/>
      <w:lvlText w:val="%1.%2.%3.%4.%5.%6.%7.%8.%9."/>
      <w:lvlJc w:val="left"/>
      <w:pPr>
        <w:ind w:left="0" w:firstLine="0"/>
      </w:pPr>
      <w:rPr>
        <w:rFonts w:hint="eastAsia"/>
      </w:rPr>
    </w:lvl>
  </w:abstractNum>
  <w:abstractNum w:abstractNumId="8">
    <w:nsid w:val="169A5F74"/>
    <w:multiLevelType w:val="singleLevel"/>
    <w:tmpl w:val="169A5F74"/>
    <w:lvl w:ilvl="0" w:tentative="0">
      <w:start w:val="3"/>
      <w:numFmt w:val="decimal"/>
      <w:lvlText w:val="%1."/>
      <w:lvlJc w:val="left"/>
      <w:pPr>
        <w:tabs>
          <w:tab w:val="left" w:pos="312"/>
        </w:tabs>
        <w:ind w:left="480" w:firstLine="0"/>
      </w:pPr>
    </w:lvl>
  </w:abstractNum>
  <w:abstractNum w:abstractNumId="9">
    <w:nsid w:val="1D447743"/>
    <w:multiLevelType w:val="multilevel"/>
    <w:tmpl w:val="1D447743"/>
    <w:lvl w:ilvl="0" w:tentative="0">
      <w:start w:val="1"/>
      <w:numFmt w:val="chineseCountingThousand"/>
      <w:lvlText w:val="%1."/>
      <w:lvlJc w:val="left"/>
      <w:pPr>
        <w:ind w:left="420" w:hanging="420"/>
      </w:pPr>
      <w:rPr>
        <w:rFonts w:hint="eastAsia"/>
        <w:sz w:val="36"/>
        <w:szCs w:val="36"/>
      </w:rPr>
    </w:lvl>
    <w:lvl w:ilvl="1" w:tentative="0">
      <w:start w:val="1"/>
      <w:numFmt w:val="decimal"/>
      <w:isLgl/>
      <w:lvlText w:val="%1.%2"/>
      <w:lvlJc w:val="left"/>
      <w:pPr>
        <w:ind w:left="840" w:hanging="840"/>
      </w:pPr>
      <w:rPr>
        <w:rFonts w:hint="eastAsia"/>
      </w:rPr>
    </w:lvl>
    <w:lvl w:ilvl="2" w:tentative="0">
      <w:start w:val="1"/>
      <w:numFmt w:val="decimal"/>
      <w:isLgl/>
      <w:lvlText w:val="%1.%2.%3"/>
      <w:lvlJc w:val="left"/>
      <w:pPr>
        <w:ind w:left="420" w:hanging="420"/>
      </w:pPr>
      <w:rPr>
        <w:rFonts w:hint="eastAsia"/>
      </w:rPr>
    </w:lvl>
    <w:lvl w:ilvl="3" w:tentative="0">
      <w:start w:val="1"/>
      <w:numFmt w:val="decimal"/>
      <w:isLgl/>
      <w:lvlText w:val="%1.%2.%3.%4"/>
      <w:lvlJc w:val="left"/>
      <w:pPr>
        <w:ind w:left="420" w:hanging="420"/>
      </w:pPr>
      <w:rPr>
        <w:rFonts w:hint="eastAsia"/>
      </w:rPr>
    </w:lvl>
    <w:lvl w:ilvl="4" w:tentative="0">
      <w:start w:val="1"/>
      <w:numFmt w:val="lowerLetter"/>
      <w:pStyle w:val="716"/>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0">
    <w:nsid w:val="36D5CFE4"/>
    <w:multiLevelType w:val="singleLevel"/>
    <w:tmpl w:val="36D5CFE4"/>
    <w:lvl w:ilvl="0" w:tentative="0">
      <w:start w:val="12"/>
      <w:numFmt w:val="chineseCounting"/>
      <w:suff w:val="nothing"/>
      <w:lvlText w:val="%1、"/>
      <w:lvlJc w:val="left"/>
      <w:rPr>
        <w:rFonts w:hint="eastAsia"/>
      </w:rPr>
    </w:lvl>
  </w:abstractNum>
  <w:abstractNum w:abstractNumId="11">
    <w:nsid w:val="3C275181"/>
    <w:multiLevelType w:val="multilevel"/>
    <w:tmpl w:val="3C275181"/>
    <w:lvl w:ilvl="0" w:tentative="0">
      <w:start w:val="1"/>
      <w:numFmt w:val="decimal"/>
      <w:lvlText w:val="%1、"/>
      <w:lvlJc w:val="left"/>
      <w:pPr>
        <w:tabs>
          <w:tab w:val="left" w:pos="780"/>
        </w:tabs>
        <w:ind w:left="780" w:hanging="360"/>
      </w:pPr>
      <w:rPr>
        <w:rFonts w:hint="default"/>
        <w:sz w:val="21"/>
        <w:szCs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43235266"/>
    <w:multiLevelType w:val="multilevel"/>
    <w:tmpl w:val="43235266"/>
    <w:lvl w:ilvl="0" w:tentative="0">
      <w:start w:val="1"/>
      <w:numFmt w:val="bullet"/>
      <w:pStyle w:val="696"/>
      <w:lvlText w:val=""/>
      <w:lvlJc w:val="left"/>
      <w:pPr>
        <w:tabs>
          <w:tab w:val="left" w:pos="1123"/>
        </w:tabs>
        <w:ind w:left="1123" w:hanging="375"/>
      </w:pPr>
      <w:rPr>
        <w:rFonts w:hint="default" w:ascii="Wingdings" w:hAnsi="Wingdings" w:cs="Times New Roman"/>
      </w:rPr>
    </w:lvl>
    <w:lvl w:ilvl="1" w:tentative="0">
      <w:start w:val="1"/>
      <w:numFmt w:val="bullet"/>
      <w:lvlText w:val=""/>
      <w:lvlJc w:val="left"/>
      <w:pPr>
        <w:tabs>
          <w:tab w:val="left" w:pos="840"/>
        </w:tabs>
        <w:ind w:left="840" w:hanging="420"/>
      </w:pPr>
      <w:rPr>
        <w:rFonts w:hint="default" w:ascii="Wingdings" w:hAnsi="Wingdings" w:cs="Times New Roman"/>
      </w:rPr>
    </w:lvl>
    <w:lvl w:ilvl="2" w:tentative="0">
      <w:start w:val="1"/>
      <w:numFmt w:val="bullet"/>
      <w:lvlText w:val=""/>
      <w:lvlJc w:val="left"/>
      <w:pPr>
        <w:tabs>
          <w:tab w:val="left" w:pos="1260"/>
        </w:tabs>
        <w:ind w:left="1260" w:hanging="420"/>
      </w:pPr>
      <w:rPr>
        <w:rFonts w:hint="default" w:ascii="Wingdings" w:hAnsi="Wingdings" w:cs="Times New Roman"/>
      </w:rPr>
    </w:lvl>
    <w:lvl w:ilvl="3" w:tentative="0">
      <w:start w:val="1"/>
      <w:numFmt w:val="bullet"/>
      <w:pStyle w:val="693"/>
      <w:lvlText w:val=""/>
      <w:lvlJc w:val="left"/>
      <w:pPr>
        <w:tabs>
          <w:tab w:val="left" w:pos="1680"/>
        </w:tabs>
        <w:ind w:left="1680" w:hanging="420"/>
      </w:pPr>
      <w:rPr>
        <w:rFonts w:hint="default" w:ascii="Wingdings" w:hAnsi="Wingdings" w:cs="Times New Roman"/>
      </w:rPr>
    </w:lvl>
    <w:lvl w:ilvl="4" w:tentative="0">
      <w:start w:val="1"/>
      <w:numFmt w:val="bullet"/>
      <w:lvlText w:val=""/>
      <w:lvlJc w:val="left"/>
      <w:pPr>
        <w:tabs>
          <w:tab w:val="left" w:pos="2100"/>
        </w:tabs>
        <w:ind w:left="2100" w:hanging="420"/>
      </w:pPr>
      <w:rPr>
        <w:rFonts w:hint="default" w:ascii="Wingdings" w:hAnsi="Wingdings" w:cs="Times New Roman"/>
      </w:rPr>
    </w:lvl>
    <w:lvl w:ilvl="5" w:tentative="0">
      <w:start w:val="1"/>
      <w:numFmt w:val="bullet"/>
      <w:lvlText w:val=""/>
      <w:lvlJc w:val="left"/>
      <w:pPr>
        <w:tabs>
          <w:tab w:val="left" w:pos="2520"/>
        </w:tabs>
        <w:ind w:left="2520" w:hanging="420"/>
      </w:pPr>
      <w:rPr>
        <w:rFonts w:hint="default" w:ascii="Wingdings" w:hAnsi="Wingdings" w:cs="Times New Roman"/>
      </w:rPr>
    </w:lvl>
    <w:lvl w:ilvl="6" w:tentative="0">
      <w:start w:val="1"/>
      <w:numFmt w:val="bullet"/>
      <w:lvlText w:val=""/>
      <w:lvlJc w:val="left"/>
      <w:pPr>
        <w:tabs>
          <w:tab w:val="left" w:pos="2940"/>
        </w:tabs>
        <w:ind w:left="2940" w:hanging="420"/>
      </w:pPr>
      <w:rPr>
        <w:rFonts w:hint="default" w:ascii="Wingdings" w:hAnsi="Wingdings" w:cs="Times New Roman"/>
      </w:rPr>
    </w:lvl>
    <w:lvl w:ilvl="7" w:tentative="0">
      <w:start w:val="1"/>
      <w:numFmt w:val="bullet"/>
      <w:lvlText w:val=""/>
      <w:lvlJc w:val="left"/>
      <w:pPr>
        <w:tabs>
          <w:tab w:val="left" w:pos="3360"/>
        </w:tabs>
        <w:ind w:left="3360" w:hanging="420"/>
      </w:pPr>
      <w:rPr>
        <w:rFonts w:hint="default" w:ascii="Wingdings" w:hAnsi="Wingdings" w:cs="Times New Roman"/>
      </w:rPr>
    </w:lvl>
    <w:lvl w:ilvl="8" w:tentative="0">
      <w:start w:val="1"/>
      <w:numFmt w:val="bullet"/>
      <w:lvlText w:val=""/>
      <w:lvlJc w:val="left"/>
      <w:pPr>
        <w:tabs>
          <w:tab w:val="left" w:pos="3780"/>
        </w:tabs>
        <w:ind w:left="3780" w:hanging="420"/>
      </w:pPr>
      <w:rPr>
        <w:rFonts w:hint="default" w:ascii="Wingdings" w:hAnsi="Wingdings" w:cs="Times New Roman"/>
      </w:rPr>
    </w:lvl>
  </w:abstractNum>
  <w:abstractNum w:abstractNumId="13">
    <w:nsid w:val="4E7107F0"/>
    <w:multiLevelType w:val="multilevel"/>
    <w:tmpl w:val="4E7107F0"/>
    <w:lvl w:ilvl="0" w:tentative="0">
      <w:start w:val="1"/>
      <w:numFmt w:val="bullet"/>
      <w:lvlText w:val=""/>
      <w:lvlJc w:val="left"/>
      <w:pPr>
        <w:tabs>
          <w:tab w:val="left" w:pos="-860"/>
        </w:tabs>
        <w:ind w:left="-860" w:hanging="420"/>
      </w:pPr>
      <w:rPr>
        <w:rFonts w:hint="default" w:ascii="Wingdings" w:hAnsi="Wingdings"/>
      </w:rPr>
    </w:lvl>
    <w:lvl w:ilvl="1" w:tentative="0">
      <w:start w:val="1"/>
      <w:numFmt w:val="decimal"/>
      <w:suff w:val="nothing"/>
      <w:lvlText w:val="%2.%1 "/>
      <w:lvlJc w:val="left"/>
      <w:pPr>
        <w:tabs>
          <w:tab w:val="left" w:pos="0"/>
        </w:tabs>
        <w:ind w:left="-960" w:firstLine="0"/>
      </w:pPr>
      <w:rPr>
        <w:rFonts w:hint="eastAsia"/>
      </w:rPr>
    </w:lvl>
    <w:lvl w:ilvl="2" w:tentative="0">
      <w:start w:val="1"/>
      <w:numFmt w:val="decimal"/>
      <w:suff w:val="nothing"/>
      <w:lvlText w:val="%1.%2.%3 "/>
      <w:lvlJc w:val="left"/>
      <w:pPr>
        <w:tabs>
          <w:tab w:val="left" w:pos="0"/>
        </w:tabs>
        <w:ind w:left="-960" w:firstLine="0"/>
      </w:pPr>
      <w:rPr>
        <w:rFonts w:hint="eastAsia"/>
      </w:rPr>
    </w:lvl>
    <w:lvl w:ilvl="3" w:tentative="0">
      <w:start w:val="1"/>
      <w:numFmt w:val="decimal"/>
      <w:suff w:val="nothing"/>
      <w:lvlText w:val="%1.%2.%3.%4 "/>
      <w:lvlJc w:val="left"/>
      <w:pPr>
        <w:tabs>
          <w:tab w:val="left" w:pos="0"/>
        </w:tabs>
        <w:ind w:left="-960" w:firstLine="0"/>
      </w:pPr>
      <w:rPr>
        <w:rFonts w:hint="eastAsia"/>
      </w:rPr>
    </w:lvl>
    <w:lvl w:ilvl="4" w:tentative="0">
      <w:start w:val="1"/>
      <w:numFmt w:val="decimal"/>
      <w:suff w:val="nothing"/>
      <w:lvlText w:val="%1.%2.%3.%4.%5 "/>
      <w:lvlJc w:val="left"/>
      <w:pPr>
        <w:tabs>
          <w:tab w:val="left" w:pos="0"/>
        </w:tabs>
        <w:ind w:left="-960" w:firstLine="0"/>
      </w:pPr>
      <w:rPr>
        <w:rFonts w:hint="eastAsia"/>
      </w:rPr>
    </w:lvl>
    <w:lvl w:ilvl="5" w:tentative="0">
      <w:start w:val="1"/>
      <w:numFmt w:val="decimal"/>
      <w:suff w:val="nothing"/>
      <w:lvlText w:val="%1.%2.%3.%4.%5.%6 "/>
      <w:lvlJc w:val="left"/>
      <w:pPr>
        <w:tabs>
          <w:tab w:val="left" w:pos="0"/>
        </w:tabs>
        <w:ind w:left="-960" w:firstLine="0"/>
      </w:pPr>
      <w:rPr>
        <w:rFonts w:hint="eastAsia"/>
      </w:rPr>
    </w:lvl>
    <w:lvl w:ilvl="6" w:tentative="0">
      <w:start w:val="1"/>
      <w:numFmt w:val="decimal"/>
      <w:suff w:val="nothing"/>
      <w:lvlText w:val="%7."/>
      <w:lvlJc w:val="left"/>
      <w:pPr>
        <w:tabs>
          <w:tab w:val="left" w:pos="0"/>
        </w:tabs>
        <w:ind w:left="-960" w:firstLine="0"/>
      </w:pPr>
      <w:rPr>
        <w:rFonts w:hint="eastAsia"/>
      </w:rPr>
    </w:lvl>
    <w:lvl w:ilvl="7" w:tentative="0">
      <w:start w:val="1"/>
      <w:numFmt w:val="none"/>
      <w:suff w:val="nothing"/>
      <w:lvlText w:val=""/>
      <w:lvlJc w:val="left"/>
      <w:pPr>
        <w:tabs>
          <w:tab w:val="left" w:pos="0"/>
        </w:tabs>
        <w:ind w:left="-960" w:firstLine="0"/>
      </w:pPr>
      <w:rPr>
        <w:rFonts w:hint="eastAsia"/>
      </w:rPr>
    </w:lvl>
    <w:lvl w:ilvl="8" w:tentative="0">
      <w:start w:val="1"/>
      <w:numFmt w:val="none"/>
      <w:suff w:val="nothing"/>
      <w:lvlText w:val=""/>
      <w:lvlJc w:val="left"/>
      <w:pPr>
        <w:tabs>
          <w:tab w:val="left" w:pos="0"/>
        </w:tabs>
        <w:ind w:left="-960" w:firstLine="0"/>
      </w:pPr>
      <w:rPr>
        <w:rFonts w:hint="eastAsia"/>
      </w:rPr>
    </w:lvl>
  </w:abstractNum>
  <w:abstractNum w:abstractNumId="14">
    <w:nsid w:val="51E91DB7"/>
    <w:multiLevelType w:val="multilevel"/>
    <w:tmpl w:val="51E91DB7"/>
    <w:lvl w:ilvl="0" w:tentative="0">
      <w:start w:val="1"/>
      <w:numFmt w:val="decimal"/>
      <w:pStyle w:val="683"/>
      <w:lvlText w:val="(%1)"/>
      <w:lvlJc w:val="left"/>
      <w:rPr>
        <w:rFonts w:hint="eastAsia" w:ascii="Times New Roman" w:hAnsi="Times New Roman" w:cs="Times New Roman"/>
        <w:b w:val="0"/>
        <w:bCs w:val="0"/>
        <w:i w:val="0"/>
        <w:iCs w:val="0"/>
        <w:caps w:val="0"/>
        <w:smallCaps w:val="0"/>
        <w:strike w:val="0"/>
        <w:dstrike w:val="0"/>
        <w:snapToGrid w:val="0"/>
        <w:color w:val="000000"/>
        <w:spacing w:val="0"/>
        <w:w w:val="0"/>
        <w:kern w:val="0"/>
        <w:position w:val="0"/>
        <w:sz w:val="16"/>
        <w:szCs w:val="16"/>
        <w:u w:val="none" w:color="000000"/>
        <w:shd w:val="clear" w:color="000000" w:fill="000000"/>
      </w:rPr>
    </w:lvl>
    <w:lvl w:ilvl="1" w:tentative="0">
      <w:start w:val="1"/>
      <w:numFmt w:val="decimalEnclosedCircle"/>
      <w:lvlText w:val="%2"/>
      <w:lvlJc w:val="left"/>
      <w:pPr>
        <w:tabs>
          <w:tab w:val="left" w:pos="2070"/>
        </w:tabs>
        <w:ind w:left="2070" w:hanging="840"/>
      </w:pPr>
      <w:rPr>
        <w:rFonts w:hint="default" w:ascii="仿宋_GB2312"/>
      </w:rPr>
    </w:lvl>
    <w:lvl w:ilvl="2" w:tentative="0">
      <w:start w:val="1"/>
      <w:numFmt w:val="lowerRoman"/>
      <w:lvlText w:val="%3."/>
      <w:lvlJc w:val="right"/>
      <w:pPr>
        <w:tabs>
          <w:tab w:val="left" w:pos="2070"/>
        </w:tabs>
        <w:ind w:left="2070" w:hanging="420"/>
      </w:pPr>
    </w:lvl>
    <w:lvl w:ilvl="3" w:tentative="0">
      <w:start w:val="1"/>
      <w:numFmt w:val="decimal"/>
      <w:lvlText w:val="%4."/>
      <w:lvlJc w:val="left"/>
      <w:pPr>
        <w:tabs>
          <w:tab w:val="left" w:pos="2490"/>
        </w:tabs>
        <w:ind w:left="2490" w:hanging="420"/>
      </w:pPr>
    </w:lvl>
    <w:lvl w:ilvl="4" w:tentative="0">
      <w:start w:val="1"/>
      <w:numFmt w:val="lowerLetter"/>
      <w:lvlText w:val="%5)"/>
      <w:lvlJc w:val="left"/>
      <w:pPr>
        <w:tabs>
          <w:tab w:val="left" w:pos="2910"/>
        </w:tabs>
        <w:ind w:left="2910" w:hanging="420"/>
      </w:pPr>
    </w:lvl>
    <w:lvl w:ilvl="5" w:tentative="0">
      <w:start w:val="1"/>
      <w:numFmt w:val="lowerRoman"/>
      <w:lvlText w:val="%6."/>
      <w:lvlJc w:val="right"/>
      <w:pPr>
        <w:tabs>
          <w:tab w:val="left" w:pos="3330"/>
        </w:tabs>
        <w:ind w:left="3330" w:hanging="420"/>
      </w:pPr>
    </w:lvl>
    <w:lvl w:ilvl="6" w:tentative="0">
      <w:start w:val="1"/>
      <w:numFmt w:val="decimal"/>
      <w:lvlText w:val="%7."/>
      <w:lvlJc w:val="left"/>
      <w:pPr>
        <w:tabs>
          <w:tab w:val="left" w:pos="3750"/>
        </w:tabs>
        <w:ind w:left="3750" w:hanging="420"/>
      </w:pPr>
    </w:lvl>
    <w:lvl w:ilvl="7" w:tentative="0">
      <w:start w:val="1"/>
      <w:numFmt w:val="lowerLetter"/>
      <w:lvlText w:val="%8)"/>
      <w:lvlJc w:val="left"/>
      <w:pPr>
        <w:tabs>
          <w:tab w:val="left" w:pos="4170"/>
        </w:tabs>
        <w:ind w:left="4170" w:hanging="420"/>
      </w:pPr>
    </w:lvl>
    <w:lvl w:ilvl="8" w:tentative="0">
      <w:start w:val="1"/>
      <w:numFmt w:val="lowerRoman"/>
      <w:lvlText w:val="%9."/>
      <w:lvlJc w:val="right"/>
      <w:pPr>
        <w:tabs>
          <w:tab w:val="left" w:pos="4590"/>
        </w:tabs>
        <w:ind w:left="4590" w:hanging="420"/>
      </w:pPr>
    </w:lvl>
  </w:abstractNum>
  <w:abstractNum w:abstractNumId="15">
    <w:nsid w:val="605B608A"/>
    <w:multiLevelType w:val="singleLevel"/>
    <w:tmpl w:val="605B608A"/>
    <w:lvl w:ilvl="0" w:tentative="0">
      <w:start w:val="3"/>
      <w:numFmt w:val="chineseCounting"/>
      <w:suff w:val="nothing"/>
      <w:lvlText w:val="%1、"/>
      <w:lvlJc w:val="left"/>
      <w:rPr>
        <w:rFonts w:hint="eastAsia"/>
      </w:rPr>
    </w:lvl>
  </w:abstractNum>
  <w:abstractNum w:abstractNumId="16">
    <w:nsid w:val="64D75899"/>
    <w:multiLevelType w:val="multilevel"/>
    <w:tmpl w:val="64D75899"/>
    <w:lvl w:ilvl="0" w:tentative="0">
      <w:start w:val="1"/>
      <w:numFmt w:val="upp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6BF72FE4"/>
    <w:multiLevelType w:val="multilevel"/>
    <w:tmpl w:val="6BF72FE4"/>
    <w:lvl w:ilvl="0" w:tentative="0">
      <w:start w:val="1"/>
      <w:numFmt w:val="decimal"/>
      <w:pStyle w:val="720"/>
      <w:suff w:val="nothing"/>
      <w:lvlText w:val="（%1）"/>
      <w:lvlJc w:val="left"/>
      <w:pPr>
        <w:tabs>
          <w:tab w:val="left" w:pos="0"/>
        </w:tabs>
        <w:ind w:left="482" w:hanging="28"/>
      </w:pPr>
      <w:rPr>
        <w:rFonts w:hint="eastAsia"/>
      </w:rPr>
    </w:lvl>
    <w:lvl w:ilvl="1" w:tentative="0">
      <w:start w:val="1"/>
      <w:numFmt w:val="lowerLetter"/>
      <w:lvlText w:val="%2)"/>
      <w:lvlJc w:val="left"/>
      <w:pPr>
        <w:tabs>
          <w:tab w:val="left" w:pos="0"/>
        </w:tabs>
        <w:ind w:left="1320" w:hanging="420"/>
      </w:pPr>
    </w:lvl>
    <w:lvl w:ilvl="2" w:tentative="0">
      <w:start w:val="1"/>
      <w:numFmt w:val="lowerRoman"/>
      <w:lvlText w:val="%3."/>
      <w:lvlJc w:val="right"/>
      <w:pPr>
        <w:tabs>
          <w:tab w:val="left" w:pos="0"/>
        </w:tabs>
        <w:ind w:left="1740" w:hanging="420"/>
      </w:pPr>
    </w:lvl>
    <w:lvl w:ilvl="3" w:tentative="0">
      <w:start w:val="1"/>
      <w:numFmt w:val="decimal"/>
      <w:lvlText w:val="%4."/>
      <w:lvlJc w:val="left"/>
      <w:pPr>
        <w:tabs>
          <w:tab w:val="left" w:pos="0"/>
        </w:tabs>
        <w:ind w:left="2160" w:hanging="420"/>
      </w:pPr>
    </w:lvl>
    <w:lvl w:ilvl="4" w:tentative="0">
      <w:start w:val="1"/>
      <w:numFmt w:val="lowerLetter"/>
      <w:lvlText w:val="%5)"/>
      <w:lvlJc w:val="left"/>
      <w:pPr>
        <w:tabs>
          <w:tab w:val="left" w:pos="0"/>
        </w:tabs>
        <w:ind w:left="2580" w:hanging="420"/>
      </w:pPr>
    </w:lvl>
    <w:lvl w:ilvl="5" w:tentative="0">
      <w:start w:val="1"/>
      <w:numFmt w:val="lowerRoman"/>
      <w:lvlText w:val="%6."/>
      <w:lvlJc w:val="right"/>
      <w:pPr>
        <w:tabs>
          <w:tab w:val="left" w:pos="0"/>
        </w:tabs>
        <w:ind w:left="3000" w:hanging="420"/>
      </w:pPr>
    </w:lvl>
    <w:lvl w:ilvl="6" w:tentative="0">
      <w:start w:val="1"/>
      <w:numFmt w:val="decimal"/>
      <w:lvlText w:val="%7."/>
      <w:lvlJc w:val="left"/>
      <w:pPr>
        <w:tabs>
          <w:tab w:val="left" w:pos="0"/>
        </w:tabs>
        <w:ind w:left="3420" w:hanging="420"/>
      </w:pPr>
    </w:lvl>
    <w:lvl w:ilvl="7" w:tentative="0">
      <w:start w:val="1"/>
      <w:numFmt w:val="lowerLetter"/>
      <w:lvlText w:val="%8)"/>
      <w:lvlJc w:val="left"/>
      <w:pPr>
        <w:tabs>
          <w:tab w:val="left" w:pos="0"/>
        </w:tabs>
        <w:ind w:left="3840" w:hanging="420"/>
      </w:pPr>
    </w:lvl>
    <w:lvl w:ilvl="8" w:tentative="0">
      <w:start w:val="1"/>
      <w:numFmt w:val="lowerRoman"/>
      <w:lvlText w:val="%9."/>
      <w:lvlJc w:val="right"/>
      <w:pPr>
        <w:tabs>
          <w:tab w:val="left" w:pos="0"/>
        </w:tabs>
        <w:ind w:left="4260" w:hanging="420"/>
      </w:pPr>
    </w:lvl>
  </w:abstractNum>
  <w:abstractNum w:abstractNumId="18">
    <w:nsid w:val="70914521"/>
    <w:multiLevelType w:val="multilevel"/>
    <w:tmpl w:val="70914521"/>
    <w:lvl w:ilvl="0" w:tentative="0">
      <w:start w:val="1"/>
      <w:numFmt w:val="chineseCountingThousand"/>
      <w:lvlText w:val="%1、"/>
      <w:lvlJc w:val="left"/>
      <w:pPr>
        <w:tabs>
          <w:tab w:val="left" w:pos="570"/>
        </w:tabs>
        <w:ind w:left="210" w:firstLine="0"/>
      </w:pPr>
      <w:rPr>
        <w:rFonts w:hint="default" w:eastAsia="黑体"/>
        <w:b/>
        <w:i w:val="0"/>
        <w:sz w:val="44"/>
      </w:rPr>
    </w:lvl>
    <w:lvl w:ilvl="1" w:tentative="0">
      <w:start w:val="1"/>
      <w:numFmt w:val="decimal"/>
      <w:lvlText w:val="%1.%2."/>
      <w:lvlJc w:val="left"/>
      <w:pPr>
        <w:tabs>
          <w:tab w:val="left" w:pos="930"/>
        </w:tabs>
        <w:ind w:left="777" w:hanging="567"/>
      </w:pPr>
    </w:lvl>
    <w:lvl w:ilvl="2" w:tentative="0">
      <w:start w:val="1"/>
      <w:numFmt w:val="decimal"/>
      <w:lvlText w:val="%1.%2.%3."/>
      <w:lvlJc w:val="left"/>
      <w:pPr>
        <w:tabs>
          <w:tab w:val="left" w:pos="919"/>
        </w:tabs>
        <w:ind w:left="919" w:hanging="709"/>
      </w:pPr>
    </w:lvl>
    <w:lvl w:ilvl="3" w:tentative="0">
      <w:start w:val="1"/>
      <w:numFmt w:val="decimal"/>
      <w:lvlText w:val="%1.%2.%3.%4."/>
      <w:lvlJc w:val="left"/>
      <w:pPr>
        <w:tabs>
          <w:tab w:val="left" w:pos="1061"/>
        </w:tabs>
        <w:ind w:left="1061" w:hanging="851"/>
      </w:pPr>
      <w:rPr>
        <w:rFonts w:hint="default" w:ascii="宋体" w:hAnsi="宋体" w:eastAsia="宋体" w:cs="Tahoma"/>
        <w:b/>
        <w:sz w:val="21"/>
        <w:szCs w:val="21"/>
      </w:rPr>
    </w:lvl>
    <w:lvl w:ilvl="4" w:tentative="0">
      <w:start w:val="1"/>
      <w:numFmt w:val="decimal"/>
      <w:pStyle w:val="695"/>
      <w:lvlText w:val="%1.%2.%3.%4.%5."/>
      <w:lvlJc w:val="left"/>
      <w:pPr>
        <w:tabs>
          <w:tab w:val="left" w:pos="1202"/>
        </w:tabs>
        <w:ind w:left="1202" w:hanging="992"/>
      </w:pPr>
    </w:lvl>
    <w:lvl w:ilvl="5" w:tentative="0">
      <w:start w:val="1"/>
      <w:numFmt w:val="decimal"/>
      <w:pStyle w:val="689"/>
      <w:lvlText w:val="%1.%2.%3.%4.%5.%6."/>
      <w:lvlJc w:val="left"/>
      <w:pPr>
        <w:tabs>
          <w:tab w:val="left" w:pos="1344"/>
        </w:tabs>
        <w:ind w:left="1344" w:hanging="1134"/>
      </w:pPr>
    </w:lvl>
    <w:lvl w:ilvl="6" w:tentative="0">
      <w:start w:val="1"/>
      <w:numFmt w:val="decimal"/>
      <w:lvlText w:val="%1.%2.%3.%4.%5.%6.%7."/>
      <w:lvlJc w:val="left"/>
      <w:pPr>
        <w:tabs>
          <w:tab w:val="left" w:pos="1486"/>
        </w:tabs>
        <w:ind w:left="1486" w:hanging="1276"/>
      </w:pPr>
    </w:lvl>
    <w:lvl w:ilvl="7" w:tentative="0">
      <w:start w:val="1"/>
      <w:numFmt w:val="decimal"/>
      <w:lvlText w:val="%1.%2.%3.%4.%5.%6.%7.%8."/>
      <w:lvlJc w:val="left"/>
      <w:pPr>
        <w:tabs>
          <w:tab w:val="left" w:pos="1628"/>
        </w:tabs>
        <w:ind w:left="1628" w:hanging="1418"/>
      </w:pPr>
    </w:lvl>
    <w:lvl w:ilvl="8" w:tentative="0">
      <w:start w:val="1"/>
      <w:numFmt w:val="decimal"/>
      <w:lvlText w:val="%1.%2.%3.%4.%5.%6.%7.%8.%9."/>
      <w:lvlJc w:val="left"/>
      <w:pPr>
        <w:tabs>
          <w:tab w:val="left" w:pos="1769"/>
        </w:tabs>
        <w:ind w:left="1769" w:hanging="1559"/>
      </w:pPr>
    </w:lvl>
  </w:abstractNum>
  <w:abstractNum w:abstractNumId="19">
    <w:nsid w:val="765316F3"/>
    <w:multiLevelType w:val="multilevel"/>
    <w:tmpl w:val="765316F3"/>
    <w:lvl w:ilvl="0" w:tentative="0">
      <w:start w:val="1"/>
      <w:numFmt w:val="chineseCountingThousand"/>
      <w:pStyle w:val="1173"/>
      <w:lvlText w:val="%1、"/>
      <w:lvlJc w:val="left"/>
      <w:rPr>
        <w:rFonts w:ascii="??" w:hAnsi="??" w:eastAsia="??"/>
        <w:b/>
        <w:i w:val="0"/>
        <w:iCs w:val="0"/>
        <w:caps w:val="0"/>
        <w:smallCaps w:val="0"/>
        <w:strike w:val="0"/>
        <w:dstrike w:val="0"/>
        <w:vanish w:val="0"/>
        <w:color w:val="000000"/>
        <w:position w:val="0"/>
        <w:sz w:val="21"/>
        <w:szCs w:val="21"/>
      </w:rPr>
    </w:lvl>
    <w:lvl w:ilvl="1" w:tentative="0">
      <w:start w:val="1"/>
      <w:numFmt w:val="lowerLetter"/>
      <w:lvlText w:val="%1)"/>
      <w:lvlJc w:val="left"/>
      <w:pPr>
        <w:tabs>
          <w:tab w:val="left" w:pos="1149"/>
        </w:tabs>
        <w:ind w:left="1149" w:hanging="420"/>
        <w:textAlignment w:val="baseline"/>
      </w:pPr>
    </w:lvl>
    <w:lvl w:ilvl="2" w:tentative="0">
      <w:start w:val="2"/>
      <w:numFmt w:val="japaneseCounting"/>
      <w:lvlText w:val="(%1)"/>
      <w:lvlJc w:val="left"/>
      <w:pPr>
        <w:tabs>
          <w:tab w:val="left" w:pos="1569"/>
        </w:tabs>
        <w:ind w:left="1569" w:hanging="420"/>
        <w:textAlignment w:val="baseline"/>
      </w:pPr>
    </w:lvl>
    <w:lvl w:ilvl="3" w:tentative="0">
      <w:start w:val="1"/>
      <w:numFmt w:val="japaneseCounting"/>
      <w:lvlText w:val="（%1）"/>
      <w:lvlJc w:val="left"/>
      <w:pPr>
        <w:tabs>
          <w:tab w:val="left" w:pos="2289"/>
        </w:tabs>
        <w:ind w:left="2289" w:hanging="720"/>
        <w:textAlignment w:val="baseline"/>
      </w:pPr>
    </w:lvl>
    <w:lvl w:ilvl="4" w:tentative="0">
      <w:start w:val="3"/>
      <w:numFmt w:val="japaneseCounting"/>
      <w:lvlText w:val="%1、"/>
      <w:lvlJc w:val="left"/>
      <w:pPr>
        <w:tabs>
          <w:tab w:val="left" w:pos="2409"/>
        </w:tabs>
        <w:ind w:left="2409" w:hanging="420"/>
        <w:textAlignment w:val="baseline"/>
      </w:pPr>
    </w:lvl>
    <w:lvl w:ilvl="5" w:tentative="0">
      <w:start w:val="1"/>
      <w:numFmt w:val="decimal"/>
      <w:lvlText w:val="%1、"/>
      <w:lvlJc w:val="left"/>
      <w:pPr>
        <w:tabs>
          <w:tab w:val="left" w:pos="3144"/>
        </w:tabs>
        <w:ind w:left="3144" w:hanging="735"/>
        <w:textAlignment w:val="baseline"/>
      </w:pPr>
      <w:rPr>
        <w:rFonts w:ascii="Times New Roman" w:hAnsi="Times New Roman" w:eastAsia="宋体"/>
      </w:rPr>
    </w:lvl>
    <w:lvl w:ilvl="6" w:tentative="0">
      <w:start w:val="1"/>
      <w:numFmt w:val="decimal"/>
      <w:lvlText w:val="%1."/>
      <w:lvlJc w:val="left"/>
      <w:pPr>
        <w:tabs>
          <w:tab w:val="left" w:pos="3249"/>
        </w:tabs>
        <w:ind w:left="3249" w:hanging="420"/>
        <w:textAlignment w:val="baseline"/>
      </w:pPr>
    </w:lvl>
    <w:lvl w:ilvl="7" w:tentative="0">
      <w:start w:val="1"/>
      <w:numFmt w:val="lowerLetter"/>
      <w:lvlText w:val="%1)"/>
      <w:lvlJc w:val="left"/>
      <w:pPr>
        <w:tabs>
          <w:tab w:val="left" w:pos="3669"/>
        </w:tabs>
        <w:ind w:left="3669" w:hanging="420"/>
        <w:textAlignment w:val="baseline"/>
      </w:pPr>
    </w:lvl>
    <w:lvl w:ilvl="8" w:tentative="0">
      <w:start w:val="1"/>
      <w:numFmt w:val="lowerRoman"/>
      <w:lvlText w:val="%1."/>
      <w:lvlJc w:val="right"/>
      <w:pPr>
        <w:tabs>
          <w:tab w:val="left" w:pos="4089"/>
        </w:tabs>
        <w:ind w:left="4089" w:hanging="420"/>
        <w:textAlignment w:val="baseline"/>
      </w:pPr>
    </w:lvl>
  </w:abstractNum>
  <w:abstractNum w:abstractNumId="20">
    <w:nsid w:val="79EB7B22"/>
    <w:multiLevelType w:val="multilevel"/>
    <w:tmpl w:val="79EB7B22"/>
    <w:lvl w:ilvl="0" w:tentative="0">
      <w:start w:val="1"/>
      <w:numFmt w:val="bullet"/>
      <w:lvlText w:val=""/>
      <w:lvlJc w:val="left"/>
      <w:pPr>
        <w:tabs>
          <w:tab w:val="left" w:pos="700"/>
        </w:tabs>
        <w:ind w:left="700" w:hanging="420"/>
      </w:pPr>
      <w:rPr>
        <w:rFonts w:hint="default" w:ascii="Wingdings" w:hAnsi="Wingdings"/>
      </w:rPr>
    </w:lvl>
    <w:lvl w:ilvl="1" w:tentative="0">
      <w:start w:val="1"/>
      <w:numFmt w:val="bullet"/>
      <w:lvlText w:val=""/>
      <w:lvlJc w:val="left"/>
      <w:pPr>
        <w:tabs>
          <w:tab w:val="left" w:pos="1120"/>
        </w:tabs>
        <w:ind w:left="1120" w:hanging="420"/>
      </w:pPr>
      <w:rPr>
        <w:rFonts w:hint="default" w:ascii="Wingdings" w:hAnsi="Wingdings"/>
      </w:rPr>
    </w:lvl>
    <w:lvl w:ilvl="2" w:tentative="0">
      <w:start w:val="1"/>
      <w:numFmt w:val="bullet"/>
      <w:lvlText w:val=""/>
      <w:lvlJc w:val="left"/>
      <w:pPr>
        <w:tabs>
          <w:tab w:val="left" w:pos="1540"/>
        </w:tabs>
        <w:ind w:left="1540" w:hanging="420"/>
      </w:pPr>
      <w:rPr>
        <w:rFonts w:hint="default" w:ascii="Wingdings" w:hAnsi="Wingdings"/>
      </w:rPr>
    </w:lvl>
    <w:lvl w:ilvl="3" w:tentative="0">
      <w:start w:val="1"/>
      <w:numFmt w:val="bullet"/>
      <w:lvlText w:val=""/>
      <w:lvlJc w:val="left"/>
      <w:pPr>
        <w:tabs>
          <w:tab w:val="left" w:pos="1960"/>
        </w:tabs>
        <w:ind w:left="1960" w:hanging="420"/>
      </w:pPr>
      <w:rPr>
        <w:rFonts w:hint="default" w:ascii="Wingdings" w:hAnsi="Wingdings"/>
      </w:rPr>
    </w:lvl>
    <w:lvl w:ilvl="4" w:tentative="0">
      <w:start w:val="1"/>
      <w:numFmt w:val="bullet"/>
      <w:pStyle w:val="646"/>
      <w:lvlText w:val=""/>
      <w:lvlJc w:val="left"/>
      <w:pPr>
        <w:tabs>
          <w:tab w:val="left" w:pos="2380"/>
        </w:tabs>
        <w:ind w:left="2380" w:hanging="420"/>
      </w:pPr>
      <w:rPr>
        <w:rFonts w:hint="default" w:ascii="Wingdings" w:hAnsi="Wingdings"/>
      </w:rPr>
    </w:lvl>
    <w:lvl w:ilvl="5" w:tentative="0">
      <w:start w:val="1"/>
      <w:numFmt w:val="bullet"/>
      <w:lvlText w:val=""/>
      <w:lvlJc w:val="left"/>
      <w:pPr>
        <w:tabs>
          <w:tab w:val="left" w:pos="2800"/>
        </w:tabs>
        <w:ind w:left="2800" w:hanging="420"/>
      </w:pPr>
      <w:rPr>
        <w:rFonts w:hint="default" w:ascii="Wingdings" w:hAnsi="Wingdings"/>
      </w:rPr>
    </w:lvl>
    <w:lvl w:ilvl="6" w:tentative="0">
      <w:start w:val="1"/>
      <w:numFmt w:val="bullet"/>
      <w:lvlText w:val=""/>
      <w:lvlJc w:val="left"/>
      <w:pPr>
        <w:tabs>
          <w:tab w:val="left" w:pos="3220"/>
        </w:tabs>
        <w:ind w:left="3220" w:hanging="420"/>
      </w:pPr>
      <w:rPr>
        <w:rFonts w:hint="default" w:ascii="Wingdings" w:hAnsi="Wingdings"/>
      </w:rPr>
    </w:lvl>
    <w:lvl w:ilvl="7" w:tentative="0">
      <w:start w:val="1"/>
      <w:numFmt w:val="bullet"/>
      <w:lvlText w:val=""/>
      <w:lvlJc w:val="left"/>
      <w:pPr>
        <w:tabs>
          <w:tab w:val="left" w:pos="3640"/>
        </w:tabs>
        <w:ind w:left="3640" w:hanging="420"/>
      </w:pPr>
      <w:rPr>
        <w:rFonts w:hint="default" w:ascii="Wingdings" w:hAnsi="Wingdings"/>
      </w:rPr>
    </w:lvl>
    <w:lvl w:ilvl="8" w:tentative="0">
      <w:start w:val="1"/>
      <w:numFmt w:val="bullet"/>
      <w:lvlText w:val=""/>
      <w:lvlJc w:val="left"/>
      <w:pPr>
        <w:tabs>
          <w:tab w:val="left" w:pos="4060"/>
        </w:tabs>
        <w:ind w:left="4060" w:hanging="420"/>
      </w:pPr>
      <w:rPr>
        <w:rFonts w:hint="default" w:ascii="Wingdings" w:hAnsi="Wingdings"/>
      </w:rPr>
    </w:lvl>
  </w:abstractNum>
  <w:num w:numId="1">
    <w:abstractNumId w:val="3"/>
  </w:num>
  <w:num w:numId="2">
    <w:abstractNumId w:val="6"/>
  </w:num>
  <w:num w:numId="3">
    <w:abstractNumId w:val="5"/>
  </w:num>
  <w:num w:numId="4">
    <w:abstractNumId w:val="20"/>
  </w:num>
  <w:num w:numId="5">
    <w:abstractNumId w:val="7"/>
  </w:num>
  <w:num w:numId="6">
    <w:abstractNumId w:val="14"/>
  </w:num>
  <w:num w:numId="7">
    <w:abstractNumId w:val="18"/>
  </w:num>
  <w:num w:numId="8">
    <w:abstractNumId w:val="12"/>
  </w:num>
  <w:num w:numId="9">
    <w:abstractNumId w:val="4"/>
  </w:num>
  <w:num w:numId="10">
    <w:abstractNumId w:val="9"/>
  </w:num>
  <w:num w:numId="11">
    <w:abstractNumId w:val="17"/>
  </w:num>
  <w:num w:numId="12">
    <w:abstractNumId w:val="13"/>
  </w:num>
  <w:num w:numId="13">
    <w:abstractNumId w:val="19"/>
    <w:lvlOverride w:ilvl="0">
      <w:startOverride w:val="1"/>
    </w:lvlOverride>
    <w:lvlOverride w:ilvl="1">
      <w:startOverride w:val="1"/>
    </w:lvlOverride>
    <w:lvlOverride w:ilvl="2">
      <w:startOverride w:val="2"/>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
  </w:num>
  <w:num w:numId="16">
    <w:abstractNumId w:val="2"/>
  </w:num>
  <w:num w:numId="17">
    <w:abstractNumId w:val="11"/>
  </w:num>
  <w:num w:numId="18">
    <w:abstractNumId w:val="10"/>
  </w:num>
  <w:num w:numId="19">
    <w:abstractNumId w:val="0"/>
  </w:num>
  <w:num w:numId="20">
    <w:abstractNumId w:val="1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dit="readOnly" w:enforcement="0"/>
  <w:defaultTabStop w:val="420"/>
  <w:displayHorizontalDrawingGridEvery w:val="1"/>
  <w:displayVerticalDrawingGridEvery w:val="1"/>
  <w:noPunctuationKerning w:val="1"/>
  <w:characterSpacingControl w:val="doNotCompress"/>
  <w:compat>
    <w:spaceForUL/>
    <w:doNotLeaveBackslashAlone/>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NhMTQyZTBmYWEwMGI0OWI5YTYxODM0NWU1ZmJhMzkifQ=="/>
  </w:docVars>
  <w:rsids>
    <w:rsidRoot w:val="00172A27"/>
    <w:rsid w:val="00000451"/>
    <w:rsid w:val="00000D59"/>
    <w:rsid w:val="0000108B"/>
    <w:rsid w:val="0000133D"/>
    <w:rsid w:val="00001509"/>
    <w:rsid w:val="000032B2"/>
    <w:rsid w:val="0000363B"/>
    <w:rsid w:val="00004767"/>
    <w:rsid w:val="00004895"/>
    <w:rsid w:val="000058BD"/>
    <w:rsid w:val="00006109"/>
    <w:rsid w:val="00006150"/>
    <w:rsid w:val="00006316"/>
    <w:rsid w:val="000063E8"/>
    <w:rsid w:val="00006725"/>
    <w:rsid w:val="0000675E"/>
    <w:rsid w:val="00007CAA"/>
    <w:rsid w:val="000104C7"/>
    <w:rsid w:val="00010CA2"/>
    <w:rsid w:val="00010FE9"/>
    <w:rsid w:val="0001122F"/>
    <w:rsid w:val="00011A4B"/>
    <w:rsid w:val="00012251"/>
    <w:rsid w:val="0001337C"/>
    <w:rsid w:val="000138C4"/>
    <w:rsid w:val="00013C1F"/>
    <w:rsid w:val="00013F31"/>
    <w:rsid w:val="000140D8"/>
    <w:rsid w:val="00014530"/>
    <w:rsid w:val="00014BBC"/>
    <w:rsid w:val="00014DE7"/>
    <w:rsid w:val="000150EE"/>
    <w:rsid w:val="00015D12"/>
    <w:rsid w:val="000168D8"/>
    <w:rsid w:val="000170C8"/>
    <w:rsid w:val="000173F4"/>
    <w:rsid w:val="00017A1E"/>
    <w:rsid w:val="00020287"/>
    <w:rsid w:val="000202FE"/>
    <w:rsid w:val="00020B5F"/>
    <w:rsid w:val="000211BC"/>
    <w:rsid w:val="0002159A"/>
    <w:rsid w:val="0002177F"/>
    <w:rsid w:val="00021CC1"/>
    <w:rsid w:val="0002207B"/>
    <w:rsid w:val="00022FB3"/>
    <w:rsid w:val="000232FD"/>
    <w:rsid w:val="00023323"/>
    <w:rsid w:val="000233E4"/>
    <w:rsid w:val="00023495"/>
    <w:rsid w:val="00023777"/>
    <w:rsid w:val="00023B06"/>
    <w:rsid w:val="000240D6"/>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DDF"/>
    <w:rsid w:val="00032EA0"/>
    <w:rsid w:val="000331B0"/>
    <w:rsid w:val="000336D4"/>
    <w:rsid w:val="00034FA7"/>
    <w:rsid w:val="0003533D"/>
    <w:rsid w:val="000357E4"/>
    <w:rsid w:val="00035ACA"/>
    <w:rsid w:val="00035C05"/>
    <w:rsid w:val="00040065"/>
    <w:rsid w:val="00040447"/>
    <w:rsid w:val="00040494"/>
    <w:rsid w:val="000407A2"/>
    <w:rsid w:val="00040B70"/>
    <w:rsid w:val="000419B8"/>
    <w:rsid w:val="00042441"/>
    <w:rsid w:val="00042533"/>
    <w:rsid w:val="00042DBB"/>
    <w:rsid w:val="00042E65"/>
    <w:rsid w:val="0004347C"/>
    <w:rsid w:val="00043907"/>
    <w:rsid w:val="0004431B"/>
    <w:rsid w:val="00044F48"/>
    <w:rsid w:val="00046537"/>
    <w:rsid w:val="000470C0"/>
    <w:rsid w:val="00047354"/>
    <w:rsid w:val="00050656"/>
    <w:rsid w:val="00050A19"/>
    <w:rsid w:val="00050B5D"/>
    <w:rsid w:val="000511B6"/>
    <w:rsid w:val="00051B00"/>
    <w:rsid w:val="00051C72"/>
    <w:rsid w:val="00052192"/>
    <w:rsid w:val="0005238F"/>
    <w:rsid w:val="00052787"/>
    <w:rsid w:val="00052BB8"/>
    <w:rsid w:val="00053C0F"/>
    <w:rsid w:val="0005417A"/>
    <w:rsid w:val="00054D39"/>
    <w:rsid w:val="0005501B"/>
    <w:rsid w:val="000550F5"/>
    <w:rsid w:val="00055337"/>
    <w:rsid w:val="000554C7"/>
    <w:rsid w:val="00056145"/>
    <w:rsid w:val="00056376"/>
    <w:rsid w:val="00056402"/>
    <w:rsid w:val="00056791"/>
    <w:rsid w:val="00056868"/>
    <w:rsid w:val="00056876"/>
    <w:rsid w:val="000568DF"/>
    <w:rsid w:val="000578A3"/>
    <w:rsid w:val="00057D4C"/>
    <w:rsid w:val="00057FB8"/>
    <w:rsid w:val="00060C48"/>
    <w:rsid w:val="00061A3C"/>
    <w:rsid w:val="00061C48"/>
    <w:rsid w:val="00064278"/>
    <w:rsid w:val="000646CA"/>
    <w:rsid w:val="0006501D"/>
    <w:rsid w:val="000665C4"/>
    <w:rsid w:val="00067625"/>
    <w:rsid w:val="00067821"/>
    <w:rsid w:val="0006785E"/>
    <w:rsid w:val="00067DE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4485"/>
    <w:rsid w:val="0007568F"/>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15F"/>
    <w:rsid w:val="00082684"/>
    <w:rsid w:val="00082AD4"/>
    <w:rsid w:val="00083E07"/>
    <w:rsid w:val="00084D27"/>
    <w:rsid w:val="00084ED6"/>
    <w:rsid w:val="0008580E"/>
    <w:rsid w:val="0008586C"/>
    <w:rsid w:val="00085A0E"/>
    <w:rsid w:val="00085C4F"/>
    <w:rsid w:val="00086EFD"/>
    <w:rsid w:val="00086F8A"/>
    <w:rsid w:val="00087031"/>
    <w:rsid w:val="00090243"/>
    <w:rsid w:val="000903F8"/>
    <w:rsid w:val="000904F6"/>
    <w:rsid w:val="00090918"/>
    <w:rsid w:val="00090ED8"/>
    <w:rsid w:val="00090F9F"/>
    <w:rsid w:val="0009145F"/>
    <w:rsid w:val="0009184E"/>
    <w:rsid w:val="00091B4E"/>
    <w:rsid w:val="000921F4"/>
    <w:rsid w:val="00092467"/>
    <w:rsid w:val="000927CF"/>
    <w:rsid w:val="00092FE9"/>
    <w:rsid w:val="00093081"/>
    <w:rsid w:val="00093458"/>
    <w:rsid w:val="000936BF"/>
    <w:rsid w:val="0009382F"/>
    <w:rsid w:val="00093A30"/>
    <w:rsid w:val="00094314"/>
    <w:rsid w:val="00094342"/>
    <w:rsid w:val="000945BA"/>
    <w:rsid w:val="00095954"/>
    <w:rsid w:val="000960BA"/>
    <w:rsid w:val="0009662A"/>
    <w:rsid w:val="0009690D"/>
    <w:rsid w:val="00096C1D"/>
    <w:rsid w:val="00096DFF"/>
    <w:rsid w:val="000A0729"/>
    <w:rsid w:val="000A0E69"/>
    <w:rsid w:val="000A1A52"/>
    <w:rsid w:val="000A1B44"/>
    <w:rsid w:val="000A1F98"/>
    <w:rsid w:val="000A200F"/>
    <w:rsid w:val="000A28F2"/>
    <w:rsid w:val="000A37B4"/>
    <w:rsid w:val="000A3D58"/>
    <w:rsid w:val="000A3FE3"/>
    <w:rsid w:val="000A47B0"/>
    <w:rsid w:val="000A4851"/>
    <w:rsid w:val="000A49BB"/>
    <w:rsid w:val="000A4F22"/>
    <w:rsid w:val="000A5674"/>
    <w:rsid w:val="000A5A46"/>
    <w:rsid w:val="000A5DC3"/>
    <w:rsid w:val="000A7299"/>
    <w:rsid w:val="000A752E"/>
    <w:rsid w:val="000B0E04"/>
    <w:rsid w:val="000B1309"/>
    <w:rsid w:val="000B2663"/>
    <w:rsid w:val="000B268D"/>
    <w:rsid w:val="000B291B"/>
    <w:rsid w:val="000B456C"/>
    <w:rsid w:val="000B45B9"/>
    <w:rsid w:val="000B47CE"/>
    <w:rsid w:val="000B4B56"/>
    <w:rsid w:val="000B4C62"/>
    <w:rsid w:val="000B541D"/>
    <w:rsid w:val="000B54C1"/>
    <w:rsid w:val="000B5553"/>
    <w:rsid w:val="000B5FE8"/>
    <w:rsid w:val="000B666E"/>
    <w:rsid w:val="000C033C"/>
    <w:rsid w:val="000C06EC"/>
    <w:rsid w:val="000C0A43"/>
    <w:rsid w:val="000C0CB1"/>
    <w:rsid w:val="000C1411"/>
    <w:rsid w:val="000C1ADE"/>
    <w:rsid w:val="000C1C38"/>
    <w:rsid w:val="000C21DC"/>
    <w:rsid w:val="000C2264"/>
    <w:rsid w:val="000C256B"/>
    <w:rsid w:val="000C3125"/>
    <w:rsid w:val="000C3970"/>
    <w:rsid w:val="000C3B1A"/>
    <w:rsid w:val="000C3FA3"/>
    <w:rsid w:val="000C4727"/>
    <w:rsid w:val="000C47AE"/>
    <w:rsid w:val="000C51AD"/>
    <w:rsid w:val="000C5374"/>
    <w:rsid w:val="000C5EC0"/>
    <w:rsid w:val="000C6162"/>
    <w:rsid w:val="000C64CC"/>
    <w:rsid w:val="000C6688"/>
    <w:rsid w:val="000C692E"/>
    <w:rsid w:val="000C6B28"/>
    <w:rsid w:val="000C7BEB"/>
    <w:rsid w:val="000D00D6"/>
    <w:rsid w:val="000D0124"/>
    <w:rsid w:val="000D08F8"/>
    <w:rsid w:val="000D11E5"/>
    <w:rsid w:val="000D19E8"/>
    <w:rsid w:val="000D1FA1"/>
    <w:rsid w:val="000D208A"/>
    <w:rsid w:val="000D225B"/>
    <w:rsid w:val="000D2834"/>
    <w:rsid w:val="000D2CAC"/>
    <w:rsid w:val="000D34C8"/>
    <w:rsid w:val="000D34FD"/>
    <w:rsid w:val="000D3932"/>
    <w:rsid w:val="000D3BE5"/>
    <w:rsid w:val="000D3C37"/>
    <w:rsid w:val="000D453A"/>
    <w:rsid w:val="000D4AFA"/>
    <w:rsid w:val="000D5240"/>
    <w:rsid w:val="000D5EA6"/>
    <w:rsid w:val="000D5F00"/>
    <w:rsid w:val="000D6C9F"/>
    <w:rsid w:val="000D6E3B"/>
    <w:rsid w:val="000D6F30"/>
    <w:rsid w:val="000D74E4"/>
    <w:rsid w:val="000D7C9D"/>
    <w:rsid w:val="000D7CE0"/>
    <w:rsid w:val="000E1444"/>
    <w:rsid w:val="000E2785"/>
    <w:rsid w:val="000E27BB"/>
    <w:rsid w:val="000E3153"/>
    <w:rsid w:val="000E3484"/>
    <w:rsid w:val="000E386F"/>
    <w:rsid w:val="000E4051"/>
    <w:rsid w:val="000E4139"/>
    <w:rsid w:val="000E4765"/>
    <w:rsid w:val="000E5433"/>
    <w:rsid w:val="000E5661"/>
    <w:rsid w:val="000E5B7E"/>
    <w:rsid w:val="000E5BB8"/>
    <w:rsid w:val="000E5FF9"/>
    <w:rsid w:val="000E6AE1"/>
    <w:rsid w:val="000E7142"/>
    <w:rsid w:val="000E7189"/>
    <w:rsid w:val="000E7236"/>
    <w:rsid w:val="000E7632"/>
    <w:rsid w:val="000E7737"/>
    <w:rsid w:val="000E7739"/>
    <w:rsid w:val="000E77EE"/>
    <w:rsid w:val="000F1604"/>
    <w:rsid w:val="000F2798"/>
    <w:rsid w:val="000F287A"/>
    <w:rsid w:val="000F2940"/>
    <w:rsid w:val="000F2AB3"/>
    <w:rsid w:val="000F3C29"/>
    <w:rsid w:val="000F3D08"/>
    <w:rsid w:val="000F439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4AE"/>
    <w:rsid w:val="001015F8"/>
    <w:rsid w:val="00101967"/>
    <w:rsid w:val="001024BA"/>
    <w:rsid w:val="00103251"/>
    <w:rsid w:val="00103509"/>
    <w:rsid w:val="00103709"/>
    <w:rsid w:val="0010393D"/>
    <w:rsid w:val="00103D66"/>
    <w:rsid w:val="00103EBD"/>
    <w:rsid w:val="00104699"/>
    <w:rsid w:val="00104E5B"/>
    <w:rsid w:val="00104EEC"/>
    <w:rsid w:val="001050DC"/>
    <w:rsid w:val="00105482"/>
    <w:rsid w:val="001056A5"/>
    <w:rsid w:val="00105BA9"/>
    <w:rsid w:val="00105BF2"/>
    <w:rsid w:val="00105FE1"/>
    <w:rsid w:val="001066EF"/>
    <w:rsid w:val="00106AAA"/>
    <w:rsid w:val="00106E0E"/>
    <w:rsid w:val="00107127"/>
    <w:rsid w:val="001078A5"/>
    <w:rsid w:val="00107BBD"/>
    <w:rsid w:val="00107BC7"/>
    <w:rsid w:val="00110033"/>
    <w:rsid w:val="001102B5"/>
    <w:rsid w:val="00110E34"/>
    <w:rsid w:val="00111C7D"/>
    <w:rsid w:val="00112038"/>
    <w:rsid w:val="001127FF"/>
    <w:rsid w:val="00112B0B"/>
    <w:rsid w:val="00112EB5"/>
    <w:rsid w:val="0011383E"/>
    <w:rsid w:val="00113EE3"/>
    <w:rsid w:val="001140CC"/>
    <w:rsid w:val="00114847"/>
    <w:rsid w:val="00114C4D"/>
    <w:rsid w:val="0011585B"/>
    <w:rsid w:val="00115B1A"/>
    <w:rsid w:val="001160FF"/>
    <w:rsid w:val="001164F4"/>
    <w:rsid w:val="001168F8"/>
    <w:rsid w:val="001176FF"/>
    <w:rsid w:val="0012030E"/>
    <w:rsid w:val="0012153F"/>
    <w:rsid w:val="0012159D"/>
    <w:rsid w:val="00121804"/>
    <w:rsid w:val="0012196B"/>
    <w:rsid w:val="00121EC9"/>
    <w:rsid w:val="001224FE"/>
    <w:rsid w:val="001231D3"/>
    <w:rsid w:val="001232A7"/>
    <w:rsid w:val="00123F7C"/>
    <w:rsid w:val="0012419E"/>
    <w:rsid w:val="001248EF"/>
    <w:rsid w:val="00124AC0"/>
    <w:rsid w:val="00124FC4"/>
    <w:rsid w:val="001253AB"/>
    <w:rsid w:val="0012574C"/>
    <w:rsid w:val="001259B8"/>
    <w:rsid w:val="0012601D"/>
    <w:rsid w:val="001264B9"/>
    <w:rsid w:val="0012693E"/>
    <w:rsid w:val="00126A3A"/>
    <w:rsid w:val="00127060"/>
    <w:rsid w:val="00127B83"/>
    <w:rsid w:val="00130429"/>
    <w:rsid w:val="00131C2D"/>
    <w:rsid w:val="0013202C"/>
    <w:rsid w:val="00132704"/>
    <w:rsid w:val="00132CBF"/>
    <w:rsid w:val="00133707"/>
    <w:rsid w:val="00133742"/>
    <w:rsid w:val="00133B70"/>
    <w:rsid w:val="00133E97"/>
    <w:rsid w:val="00134823"/>
    <w:rsid w:val="00134BE9"/>
    <w:rsid w:val="001350F7"/>
    <w:rsid w:val="00135769"/>
    <w:rsid w:val="00135BE9"/>
    <w:rsid w:val="00135E1E"/>
    <w:rsid w:val="00135E5C"/>
    <w:rsid w:val="00135F56"/>
    <w:rsid w:val="001363FF"/>
    <w:rsid w:val="00136692"/>
    <w:rsid w:val="00136762"/>
    <w:rsid w:val="00136E33"/>
    <w:rsid w:val="00136E9D"/>
    <w:rsid w:val="0013773D"/>
    <w:rsid w:val="00140319"/>
    <w:rsid w:val="0014042F"/>
    <w:rsid w:val="00140693"/>
    <w:rsid w:val="00140D7A"/>
    <w:rsid w:val="0014148C"/>
    <w:rsid w:val="00141D28"/>
    <w:rsid w:val="00141DFE"/>
    <w:rsid w:val="00142185"/>
    <w:rsid w:val="001422E2"/>
    <w:rsid w:val="00142C26"/>
    <w:rsid w:val="001433BC"/>
    <w:rsid w:val="001435ED"/>
    <w:rsid w:val="00143872"/>
    <w:rsid w:val="00143A85"/>
    <w:rsid w:val="00144649"/>
    <w:rsid w:val="00145022"/>
    <w:rsid w:val="00145662"/>
    <w:rsid w:val="00145C6D"/>
    <w:rsid w:val="001460FC"/>
    <w:rsid w:val="00146151"/>
    <w:rsid w:val="00146326"/>
    <w:rsid w:val="00147032"/>
    <w:rsid w:val="0014763D"/>
    <w:rsid w:val="001479FD"/>
    <w:rsid w:val="00147EA7"/>
    <w:rsid w:val="00151170"/>
    <w:rsid w:val="00151820"/>
    <w:rsid w:val="00151B2F"/>
    <w:rsid w:val="001524DC"/>
    <w:rsid w:val="001525E5"/>
    <w:rsid w:val="00152F90"/>
    <w:rsid w:val="00153117"/>
    <w:rsid w:val="00153859"/>
    <w:rsid w:val="00153915"/>
    <w:rsid w:val="001539F0"/>
    <w:rsid w:val="00153C3F"/>
    <w:rsid w:val="0015419D"/>
    <w:rsid w:val="0015498C"/>
    <w:rsid w:val="00154BBA"/>
    <w:rsid w:val="00155B95"/>
    <w:rsid w:val="00156853"/>
    <w:rsid w:val="00157432"/>
    <w:rsid w:val="001603D9"/>
    <w:rsid w:val="00161185"/>
    <w:rsid w:val="001614F0"/>
    <w:rsid w:val="001620BA"/>
    <w:rsid w:val="001623AC"/>
    <w:rsid w:val="00162BAA"/>
    <w:rsid w:val="00163C40"/>
    <w:rsid w:val="0016488B"/>
    <w:rsid w:val="00165758"/>
    <w:rsid w:val="00165A65"/>
    <w:rsid w:val="00165F10"/>
    <w:rsid w:val="001661DE"/>
    <w:rsid w:val="00166317"/>
    <w:rsid w:val="00166424"/>
    <w:rsid w:val="00167478"/>
    <w:rsid w:val="00167594"/>
    <w:rsid w:val="001701A4"/>
    <w:rsid w:val="001702BE"/>
    <w:rsid w:val="001703AB"/>
    <w:rsid w:val="001704B3"/>
    <w:rsid w:val="0017059C"/>
    <w:rsid w:val="00170805"/>
    <w:rsid w:val="0017098F"/>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570"/>
    <w:rsid w:val="00180A47"/>
    <w:rsid w:val="00180FC0"/>
    <w:rsid w:val="001827B7"/>
    <w:rsid w:val="001827EF"/>
    <w:rsid w:val="00182982"/>
    <w:rsid w:val="001829BC"/>
    <w:rsid w:val="00182D68"/>
    <w:rsid w:val="00182FEB"/>
    <w:rsid w:val="00183031"/>
    <w:rsid w:val="00183468"/>
    <w:rsid w:val="0018397E"/>
    <w:rsid w:val="0018413B"/>
    <w:rsid w:val="0018416F"/>
    <w:rsid w:val="00184220"/>
    <w:rsid w:val="00184466"/>
    <w:rsid w:val="00184DBF"/>
    <w:rsid w:val="001850D2"/>
    <w:rsid w:val="001852A8"/>
    <w:rsid w:val="0018620A"/>
    <w:rsid w:val="00186C1E"/>
    <w:rsid w:val="00186EB0"/>
    <w:rsid w:val="00187121"/>
    <w:rsid w:val="00187243"/>
    <w:rsid w:val="00187C29"/>
    <w:rsid w:val="00187D13"/>
    <w:rsid w:val="00190555"/>
    <w:rsid w:val="00190782"/>
    <w:rsid w:val="00190860"/>
    <w:rsid w:val="00190942"/>
    <w:rsid w:val="001909A7"/>
    <w:rsid w:val="001909C3"/>
    <w:rsid w:val="00191459"/>
    <w:rsid w:val="00191603"/>
    <w:rsid w:val="0019173E"/>
    <w:rsid w:val="0019174E"/>
    <w:rsid w:val="0019196B"/>
    <w:rsid w:val="00191CFA"/>
    <w:rsid w:val="001923D5"/>
    <w:rsid w:val="00192991"/>
    <w:rsid w:val="00193470"/>
    <w:rsid w:val="00193B94"/>
    <w:rsid w:val="001940A7"/>
    <w:rsid w:val="00194A71"/>
    <w:rsid w:val="00194BB1"/>
    <w:rsid w:val="00194BC6"/>
    <w:rsid w:val="00195070"/>
    <w:rsid w:val="00195245"/>
    <w:rsid w:val="0019526D"/>
    <w:rsid w:val="0019553F"/>
    <w:rsid w:val="001956BE"/>
    <w:rsid w:val="00195E24"/>
    <w:rsid w:val="0019602C"/>
    <w:rsid w:val="001969F2"/>
    <w:rsid w:val="00196CD6"/>
    <w:rsid w:val="0019756A"/>
    <w:rsid w:val="001A0496"/>
    <w:rsid w:val="001A06B5"/>
    <w:rsid w:val="001A07F8"/>
    <w:rsid w:val="001A0A23"/>
    <w:rsid w:val="001A0C98"/>
    <w:rsid w:val="001A128B"/>
    <w:rsid w:val="001A1475"/>
    <w:rsid w:val="001A16FB"/>
    <w:rsid w:val="001A1F0E"/>
    <w:rsid w:val="001A3335"/>
    <w:rsid w:val="001A3CB9"/>
    <w:rsid w:val="001A473A"/>
    <w:rsid w:val="001A4ED9"/>
    <w:rsid w:val="001A5785"/>
    <w:rsid w:val="001A5FD7"/>
    <w:rsid w:val="001A63C9"/>
    <w:rsid w:val="001A66A6"/>
    <w:rsid w:val="001A6BAF"/>
    <w:rsid w:val="001A6BBB"/>
    <w:rsid w:val="001A6CEE"/>
    <w:rsid w:val="001A7314"/>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55C"/>
    <w:rsid w:val="001B7A15"/>
    <w:rsid w:val="001B7B69"/>
    <w:rsid w:val="001B7B9A"/>
    <w:rsid w:val="001B7DC1"/>
    <w:rsid w:val="001C08BB"/>
    <w:rsid w:val="001C08DB"/>
    <w:rsid w:val="001C0E6F"/>
    <w:rsid w:val="001C0FF7"/>
    <w:rsid w:val="001C10BD"/>
    <w:rsid w:val="001C1F01"/>
    <w:rsid w:val="001C2092"/>
    <w:rsid w:val="001C232F"/>
    <w:rsid w:val="001C2544"/>
    <w:rsid w:val="001C2A17"/>
    <w:rsid w:val="001C31F5"/>
    <w:rsid w:val="001C4A57"/>
    <w:rsid w:val="001C6047"/>
    <w:rsid w:val="001C6698"/>
    <w:rsid w:val="001C6C1C"/>
    <w:rsid w:val="001C6C5B"/>
    <w:rsid w:val="001C7399"/>
    <w:rsid w:val="001C7CE0"/>
    <w:rsid w:val="001D005B"/>
    <w:rsid w:val="001D0947"/>
    <w:rsid w:val="001D16F5"/>
    <w:rsid w:val="001D1970"/>
    <w:rsid w:val="001D1D55"/>
    <w:rsid w:val="001D1EDB"/>
    <w:rsid w:val="001D21EF"/>
    <w:rsid w:val="001D29A4"/>
    <w:rsid w:val="001D2AED"/>
    <w:rsid w:val="001D2B73"/>
    <w:rsid w:val="001D2BB4"/>
    <w:rsid w:val="001D3136"/>
    <w:rsid w:val="001D330D"/>
    <w:rsid w:val="001D4AB6"/>
    <w:rsid w:val="001D4AD3"/>
    <w:rsid w:val="001D4DCF"/>
    <w:rsid w:val="001D5281"/>
    <w:rsid w:val="001E11BD"/>
    <w:rsid w:val="001E17E3"/>
    <w:rsid w:val="001E2052"/>
    <w:rsid w:val="001E2492"/>
    <w:rsid w:val="001E257C"/>
    <w:rsid w:val="001E286C"/>
    <w:rsid w:val="001E2CE8"/>
    <w:rsid w:val="001E2F34"/>
    <w:rsid w:val="001E35EE"/>
    <w:rsid w:val="001E4B2C"/>
    <w:rsid w:val="001E507F"/>
    <w:rsid w:val="001E56C2"/>
    <w:rsid w:val="001E59FB"/>
    <w:rsid w:val="001E65E4"/>
    <w:rsid w:val="001E7F81"/>
    <w:rsid w:val="001F0FD1"/>
    <w:rsid w:val="001F1526"/>
    <w:rsid w:val="001F19D1"/>
    <w:rsid w:val="001F1CB9"/>
    <w:rsid w:val="001F1F18"/>
    <w:rsid w:val="001F2C9D"/>
    <w:rsid w:val="001F2F92"/>
    <w:rsid w:val="001F50E3"/>
    <w:rsid w:val="001F53B8"/>
    <w:rsid w:val="001F5DA1"/>
    <w:rsid w:val="001F612E"/>
    <w:rsid w:val="001F6A92"/>
    <w:rsid w:val="001F77E8"/>
    <w:rsid w:val="001F7A8E"/>
    <w:rsid w:val="00201A0C"/>
    <w:rsid w:val="00201B0F"/>
    <w:rsid w:val="0020255A"/>
    <w:rsid w:val="002026D0"/>
    <w:rsid w:val="00202800"/>
    <w:rsid w:val="00202A6E"/>
    <w:rsid w:val="00202D33"/>
    <w:rsid w:val="00202E58"/>
    <w:rsid w:val="00202F99"/>
    <w:rsid w:val="00203C85"/>
    <w:rsid w:val="0020449A"/>
    <w:rsid w:val="00204E9B"/>
    <w:rsid w:val="00205214"/>
    <w:rsid w:val="00205298"/>
    <w:rsid w:val="002055C0"/>
    <w:rsid w:val="0020569E"/>
    <w:rsid w:val="002064F7"/>
    <w:rsid w:val="00206698"/>
    <w:rsid w:val="002066F9"/>
    <w:rsid w:val="00206736"/>
    <w:rsid w:val="00206C88"/>
    <w:rsid w:val="00210B9C"/>
    <w:rsid w:val="00211000"/>
    <w:rsid w:val="00211185"/>
    <w:rsid w:val="00211A94"/>
    <w:rsid w:val="002126F2"/>
    <w:rsid w:val="00213478"/>
    <w:rsid w:val="002136C3"/>
    <w:rsid w:val="00214028"/>
    <w:rsid w:val="002141C3"/>
    <w:rsid w:val="002141DC"/>
    <w:rsid w:val="0021440C"/>
    <w:rsid w:val="00214479"/>
    <w:rsid w:val="002144F3"/>
    <w:rsid w:val="002146C3"/>
    <w:rsid w:val="00214C61"/>
    <w:rsid w:val="00215334"/>
    <w:rsid w:val="00215514"/>
    <w:rsid w:val="002158FC"/>
    <w:rsid w:val="00215A2A"/>
    <w:rsid w:val="00215A3F"/>
    <w:rsid w:val="00215D21"/>
    <w:rsid w:val="0021636B"/>
    <w:rsid w:val="00216387"/>
    <w:rsid w:val="00216E7B"/>
    <w:rsid w:val="00217E1F"/>
    <w:rsid w:val="0022015D"/>
    <w:rsid w:val="002202D2"/>
    <w:rsid w:val="002204BC"/>
    <w:rsid w:val="00220F7B"/>
    <w:rsid w:val="0022127E"/>
    <w:rsid w:val="002213CE"/>
    <w:rsid w:val="0022165F"/>
    <w:rsid w:val="00221AF7"/>
    <w:rsid w:val="00222494"/>
    <w:rsid w:val="00222718"/>
    <w:rsid w:val="00222775"/>
    <w:rsid w:val="00222A31"/>
    <w:rsid w:val="00222C37"/>
    <w:rsid w:val="00222CF6"/>
    <w:rsid w:val="00223A2C"/>
    <w:rsid w:val="00224037"/>
    <w:rsid w:val="002244E4"/>
    <w:rsid w:val="00224D2A"/>
    <w:rsid w:val="00224D8D"/>
    <w:rsid w:val="0022513A"/>
    <w:rsid w:val="0022555A"/>
    <w:rsid w:val="0022565F"/>
    <w:rsid w:val="00225B52"/>
    <w:rsid w:val="00227214"/>
    <w:rsid w:val="00227D86"/>
    <w:rsid w:val="00227DDC"/>
    <w:rsid w:val="0023079F"/>
    <w:rsid w:val="00230FDD"/>
    <w:rsid w:val="00231135"/>
    <w:rsid w:val="002314B1"/>
    <w:rsid w:val="002317A1"/>
    <w:rsid w:val="00231B0B"/>
    <w:rsid w:val="00232555"/>
    <w:rsid w:val="00233538"/>
    <w:rsid w:val="00233A43"/>
    <w:rsid w:val="00234248"/>
    <w:rsid w:val="00234362"/>
    <w:rsid w:val="0023449F"/>
    <w:rsid w:val="002344F5"/>
    <w:rsid w:val="0023454D"/>
    <w:rsid w:val="00234679"/>
    <w:rsid w:val="002359FC"/>
    <w:rsid w:val="002361C8"/>
    <w:rsid w:val="002362A6"/>
    <w:rsid w:val="00236690"/>
    <w:rsid w:val="0023669D"/>
    <w:rsid w:val="00237EAE"/>
    <w:rsid w:val="00237FA2"/>
    <w:rsid w:val="002403D5"/>
    <w:rsid w:val="00240C1F"/>
    <w:rsid w:val="00240F55"/>
    <w:rsid w:val="00240F67"/>
    <w:rsid w:val="00241144"/>
    <w:rsid w:val="00241C7B"/>
    <w:rsid w:val="00242510"/>
    <w:rsid w:val="00242F79"/>
    <w:rsid w:val="00243118"/>
    <w:rsid w:val="0024415B"/>
    <w:rsid w:val="00245565"/>
    <w:rsid w:val="002458C1"/>
    <w:rsid w:val="00245E62"/>
    <w:rsid w:val="002460D0"/>
    <w:rsid w:val="00246357"/>
    <w:rsid w:val="00247422"/>
    <w:rsid w:val="00247BA2"/>
    <w:rsid w:val="00247BE2"/>
    <w:rsid w:val="00250870"/>
    <w:rsid w:val="00250CA4"/>
    <w:rsid w:val="00250D6D"/>
    <w:rsid w:val="0025151C"/>
    <w:rsid w:val="0025184F"/>
    <w:rsid w:val="00251967"/>
    <w:rsid w:val="002521B2"/>
    <w:rsid w:val="002527CC"/>
    <w:rsid w:val="00252F48"/>
    <w:rsid w:val="002530C0"/>
    <w:rsid w:val="00253586"/>
    <w:rsid w:val="002537FC"/>
    <w:rsid w:val="002542F8"/>
    <w:rsid w:val="002543EF"/>
    <w:rsid w:val="00254F2A"/>
    <w:rsid w:val="002552F4"/>
    <w:rsid w:val="002553ED"/>
    <w:rsid w:val="00255530"/>
    <w:rsid w:val="00255784"/>
    <w:rsid w:val="00255A29"/>
    <w:rsid w:val="0025631F"/>
    <w:rsid w:val="00256986"/>
    <w:rsid w:val="00256D61"/>
    <w:rsid w:val="00256E23"/>
    <w:rsid w:val="00257246"/>
    <w:rsid w:val="00257438"/>
    <w:rsid w:val="00257B6A"/>
    <w:rsid w:val="002609E9"/>
    <w:rsid w:val="0026119C"/>
    <w:rsid w:val="00261AFE"/>
    <w:rsid w:val="0026212A"/>
    <w:rsid w:val="002621D7"/>
    <w:rsid w:val="00262996"/>
    <w:rsid w:val="00263044"/>
    <w:rsid w:val="00263759"/>
    <w:rsid w:val="002638BD"/>
    <w:rsid w:val="00263A58"/>
    <w:rsid w:val="0026470B"/>
    <w:rsid w:val="0026486D"/>
    <w:rsid w:val="00264C4B"/>
    <w:rsid w:val="00264ED0"/>
    <w:rsid w:val="00265346"/>
    <w:rsid w:val="00266045"/>
    <w:rsid w:val="002660C3"/>
    <w:rsid w:val="00266ACF"/>
    <w:rsid w:val="00266C21"/>
    <w:rsid w:val="00266DE1"/>
    <w:rsid w:val="00266E95"/>
    <w:rsid w:val="00267408"/>
    <w:rsid w:val="00267720"/>
    <w:rsid w:val="00267A92"/>
    <w:rsid w:val="00267E43"/>
    <w:rsid w:val="00270282"/>
    <w:rsid w:val="00270780"/>
    <w:rsid w:val="00270CF6"/>
    <w:rsid w:val="00271097"/>
    <w:rsid w:val="0027131F"/>
    <w:rsid w:val="00271C53"/>
    <w:rsid w:val="00272066"/>
    <w:rsid w:val="0027244F"/>
    <w:rsid w:val="00273052"/>
    <w:rsid w:val="002739CE"/>
    <w:rsid w:val="00273C5F"/>
    <w:rsid w:val="002741D4"/>
    <w:rsid w:val="002743AC"/>
    <w:rsid w:val="002747F9"/>
    <w:rsid w:val="0027499D"/>
    <w:rsid w:val="002751CA"/>
    <w:rsid w:val="0027544D"/>
    <w:rsid w:val="00277196"/>
    <w:rsid w:val="002775ED"/>
    <w:rsid w:val="002778AB"/>
    <w:rsid w:val="0027798D"/>
    <w:rsid w:val="002802A5"/>
    <w:rsid w:val="002803CC"/>
    <w:rsid w:val="00280CFB"/>
    <w:rsid w:val="00280D24"/>
    <w:rsid w:val="002815C4"/>
    <w:rsid w:val="00281BCB"/>
    <w:rsid w:val="00281C76"/>
    <w:rsid w:val="00281D7F"/>
    <w:rsid w:val="00282A88"/>
    <w:rsid w:val="0028316D"/>
    <w:rsid w:val="00283296"/>
    <w:rsid w:val="00283C0A"/>
    <w:rsid w:val="002855FC"/>
    <w:rsid w:val="0028583E"/>
    <w:rsid w:val="00285853"/>
    <w:rsid w:val="00285B1A"/>
    <w:rsid w:val="00285F3F"/>
    <w:rsid w:val="00285FF3"/>
    <w:rsid w:val="002866EC"/>
    <w:rsid w:val="0028744E"/>
    <w:rsid w:val="002876D2"/>
    <w:rsid w:val="00287936"/>
    <w:rsid w:val="00287BB0"/>
    <w:rsid w:val="00287BB7"/>
    <w:rsid w:val="002903C5"/>
    <w:rsid w:val="0029041B"/>
    <w:rsid w:val="00290A99"/>
    <w:rsid w:val="00290EAF"/>
    <w:rsid w:val="0029159A"/>
    <w:rsid w:val="00291CF1"/>
    <w:rsid w:val="00291EEA"/>
    <w:rsid w:val="00292AA1"/>
    <w:rsid w:val="00293871"/>
    <w:rsid w:val="002939CD"/>
    <w:rsid w:val="00294012"/>
    <w:rsid w:val="002944E7"/>
    <w:rsid w:val="002945B0"/>
    <w:rsid w:val="0029499D"/>
    <w:rsid w:val="00294A13"/>
    <w:rsid w:val="00294B10"/>
    <w:rsid w:val="00294DF9"/>
    <w:rsid w:val="00295073"/>
    <w:rsid w:val="00295468"/>
    <w:rsid w:val="0029612B"/>
    <w:rsid w:val="00296819"/>
    <w:rsid w:val="00296C32"/>
    <w:rsid w:val="002977CE"/>
    <w:rsid w:val="00297AF5"/>
    <w:rsid w:val="00297F13"/>
    <w:rsid w:val="002A01C1"/>
    <w:rsid w:val="002A02D6"/>
    <w:rsid w:val="002A03ED"/>
    <w:rsid w:val="002A07C4"/>
    <w:rsid w:val="002A0921"/>
    <w:rsid w:val="002A0B04"/>
    <w:rsid w:val="002A0CB3"/>
    <w:rsid w:val="002A1887"/>
    <w:rsid w:val="002A2001"/>
    <w:rsid w:val="002A3450"/>
    <w:rsid w:val="002A4060"/>
    <w:rsid w:val="002A4868"/>
    <w:rsid w:val="002A4A05"/>
    <w:rsid w:val="002A4EB3"/>
    <w:rsid w:val="002A51D9"/>
    <w:rsid w:val="002A525A"/>
    <w:rsid w:val="002A5968"/>
    <w:rsid w:val="002A5C82"/>
    <w:rsid w:val="002A5CAB"/>
    <w:rsid w:val="002A5D40"/>
    <w:rsid w:val="002A622E"/>
    <w:rsid w:val="002A6424"/>
    <w:rsid w:val="002A64E7"/>
    <w:rsid w:val="002A706B"/>
    <w:rsid w:val="002A734F"/>
    <w:rsid w:val="002A7748"/>
    <w:rsid w:val="002A7ED3"/>
    <w:rsid w:val="002A7FB1"/>
    <w:rsid w:val="002A7FC9"/>
    <w:rsid w:val="002B139C"/>
    <w:rsid w:val="002B1881"/>
    <w:rsid w:val="002B1F61"/>
    <w:rsid w:val="002B2070"/>
    <w:rsid w:val="002B227D"/>
    <w:rsid w:val="002B2906"/>
    <w:rsid w:val="002B2C66"/>
    <w:rsid w:val="002B3216"/>
    <w:rsid w:val="002B34E3"/>
    <w:rsid w:val="002B3EF8"/>
    <w:rsid w:val="002B4B5C"/>
    <w:rsid w:val="002B51B6"/>
    <w:rsid w:val="002B5AEE"/>
    <w:rsid w:val="002B6177"/>
    <w:rsid w:val="002B650C"/>
    <w:rsid w:val="002B68E6"/>
    <w:rsid w:val="002B6985"/>
    <w:rsid w:val="002B6BD4"/>
    <w:rsid w:val="002B6D7A"/>
    <w:rsid w:val="002B72AE"/>
    <w:rsid w:val="002C02BA"/>
    <w:rsid w:val="002C0301"/>
    <w:rsid w:val="002C0326"/>
    <w:rsid w:val="002C077E"/>
    <w:rsid w:val="002C07B2"/>
    <w:rsid w:val="002C0A9F"/>
    <w:rsid w:val="002C1AB3"/>
    <w:rsid w:val="002C1BB7"/>
    <w:rsid w:val="002C1F0E"/>
    <w:rsid w:val="002C1FB3"/>
    <w:rsid w:val="002C2665"/>
    <w:rsid w:val="002C28E1"/>
    <w:rsid w:val="002C327D"/>
    <w:rsid w:val="002C3607"/>
    <w:rsid w:val="002C3890"/>
    <w:rsid w:val="002C3AD9"/>
    <w:rsid w:val="002C3B82"/>
    <w:rsid w:val="002C4286"/>
    <w:rsid w:val="002C43FC"/>
    <w:rsid w:val="002C45C3"/>
    <w:rsid w:val="002C483B"/>
    <w:rsid w:val="002C4DFE"/>
    <w:rsid w:val="002C519E"/>
    <w:rsid w:val="002C5D5E"/>
    <w:rsid w:val="002C6116"/>
    <w:rsid w:val="002C643D"/>
    <w:rsid w:val="002C66B8"/>
    <w:rsid w:val="002C70E7"/>
    <w:rsid w:val="002D016F"/>
    <w:rsid w:val="002D0404"/>
    <w:rsid w:val="002D0C27"/>
    <w:rsid w:val="002D0E88"/>
    <w:rsid w:val="002D0EA7"/>
    <w:rsid w:val="002D0F31"/>
    <w:rsid w:val="002D1593"/>
    <w:rsid w:val="002D1A1E"/>
    <w:rsid w:val="002D22A6"/>
    <w:rsid w:val="002D2819"/>
    <w:rsid w:val="002D2CD6"/>
    <w:rsid w:val="002D2F81"/>
    <w:rsid w:val="002D330B"/>
    <w:rsid w:val="002D38A3"/>
    <w:rsid w:val="002D39A9"/>
    <w:rsid w:val="002D3BA3"/>
    <w:rsid w:val="002D43EE"/>
    <w:rsid w:val="002D4892"/>
    <w:rsid w:val="002D4D06"/>
    <w:rsid w:val="002D4DDE"/>
    <w:rsid w:val="002D4EE7"/>
    <w:rsid w:val="002D4EED"/>
    <w:rsid w:val="002D51D2"/>
    <w:rsid w:val="002D5AAD"/>
    <w:rsid w:val="002D5DA3"/>
    <w:rsid w:val="002D6097"/>
    <w:rsid w:val="002D648D"/>
    <w:rsid w:val="002D65AD"/>
    <w:rsid w:val="002D6782"/>
    <w:rsid w:val="002D68CC"/>
    <w:rsid w:val="002D6E4D"/>
    <w:rsid w:val="002D74A4"/>
    <w:rsid w:val="002D788E"/>
    <w:rsid w:val="002D7C3D"/>
    <w:rsid w:val="002D7DB2"/>
    <w:rsid w:val="002D7DBD"/>
    <w:rsid w:val="002D7EA8"/>
    <w:rsid w:val="002E00E1"/>
    <w:rsid w:val="002E0102"/>
    <w:rsid w:val="002E03AE"/>
    <w:rsid w:val="002E0542"/>
    <w:rsid w:val="002E05F2"/>
    <w:rsid w:val="002E0E87"/>
    <w:rsid w:val="002E12FA"/>
    <w:rsid w:val="002E13CF"/>
    <w:rsid w:val="002E1A42"/>
    <w:rsid w:val="002E1D14"/>
    <w:rsid w:val="002E201C"/>
    <w:rsid w:val="002E22CA"/>
    <w:rsid w:val="002E236F"/>
    <w:rsid w:val="002E2A3C"/>
    <w:rsid w:val="002E2A90"/>
    <w:rsid w:val="002E3294"/>
    <w:rsid w:val="002E36EE"/>
    <w:rsid w:val="002E37C5"/>
    <w:rsid w:val="002E3956"/>
    <w:rsid w:val="002E3C08"/>
    <w:rsid w:val="002E3CF2"/>
    <w:rsid w:val="002E469E"/>
    <w:rsid w:val="002E4C01"/>
    <w:rsid w:val="002E4D50"/>
    <w:rsid w:val="002E4F8E"/>
    <w:rsid w:val="002E51C3"/>
    <w:rsid w:val="002E55FF"/>
    <w:rsid w:val="002E587E"/>
    <w:rsid w:val="002E63ED"/>
    <w:rsid w:val="002E672A"/>
    <w:rsid w:val="002E6853"/>
    <w:rsid w:val="002E70B3"/>
    <w:rsid w:val="002E7EC1"/>
    <w:rsid w:val="002E7EE5"/>
    <w:rsid w:val="002F0323"/>
    <w:rsid w:val="002F0DFB"/>
    <w:rsid w:val="002F134F"/>
    <w:rsid w:val="002F1D0B"/>
    <w:rsid w:val="002F1E1D"/>
    <w:rsid w:val="002F1F02"/>
    <w:rsid w:val="002F27E5"/>
    <w:rsid w:val="002F2D81"/>
    <w:rsid w:val="002F2F66"/>
    <w:rsid w:val="002F3128"/>
    <w:rsid w:val="002F339A"/>
    <w:rsid w:val="002F39D4"/>
    <w:rsid w:val="002F4A71"/>
    <w:rsid w:val="002F4BA9"/>
    <w:rsid w:val="002F541B"/>
    <w:rsid w:val="002F5ACF"/>
    <w:rsid w:val="002F5BFE"/>
    <w:rsid w:val="002F5DA5"/>
    <w:rsid w:val="002F5E17"/>
    <w:rsid w:val="002F6371"/>
    <w:rsid w:val="002F647C"/>
    <w:rsid w:val="002F6C6B"/>
    <w:rsid w:val="002F6CB0"/>
    <w:rsid w:val="002F6EFF"/>
    <w:rsid w:val="002F7DF0"/>
    <w:rsid w:val="002F7FAF"/>
    <w:rsid w:val="00300573"/>
    <w:rsid w:val="00302077"/>
    <w:rsid w:val="003025FE"/>
    <w:rsid w:val="00302A27"/>
    <w:rsid w:val="00303AB6"/>
    <w:rsid w:val="00303E6E"/>
    <w:rsid w:val="00303EC4"/>
    <w:rsid w:val="00304640"/>
    <w:rsid w:val="00304AC1"/>
    <w:rsid w:val="00305090"/>
    <w:rsid w:val="00305454"/>
    <w:rsid w:val="00305B9F"/>
    <w:rsid w:val="00305E21"/>
    <w:rsid w:val="003066C6"/>
    <w:rsid w:val="003066FA"/>
    <w:rsid w:val="00306AD6"/>
    <w:rsid w:val="003076AD"/>
    <w:rsid w:val="003077F4"/>
    <w:rsid w:val="00307DC7"/>
    <w:rsid w:val="00307FF2"/>
    <w:rsid w:val="00310EDB"/>
    <w:rsid w:val="00311C51"/>
    <w:rsid w:val="00311D56"/>
    <w:rsid w:val="00312016"/>
    <w:rsid w:val="00312340"/>
    <w:rsid w:val="00312C8B"/>
    <w:rsid w:val="00312DFC"/>
    <w:rsid w:val="0031318C"/>
    <w:rsid w:val="00313C9D"/>
    <w:rsid w:val="0031430C"/>
    <w:rsid w:val="00314919"/>
    <w:rsid w:val="00314C43"/>
    <w:rsid w:val="00314C5A"/>
    <w:rsid w:val="0031507A"/>
    <w:rsid w:val="0031531A"/>
    <w:rsid w:val="00315394"/>
    <w:rsid w:val="00315764"/>
    <w:rsid w:val="00315C7E"/>
    <w:rsid w:val="00315D77"/>
    <w:rsid w:val="00315D8E"/>
    <w:rsid w:val="00316002"/>
    <w:rsid w:val="0031677D"/>
    <w:rsid w:val="00316901"/>
    <w:rsid w:val="00316CDE"/>
    <w:rsid w:val="0031752D"/>
    <w:rsid w:val="00317709"/>
    <w:rsid w:val="00317E32"/>
    <w:rsid w:val="00320688"/>
    <w:rsid w:val="00320B75"/>
    <w:rsid w:val="00321DB7"/>
    <w:rsid w:val="00321E7A"/>
    <w:rsid w:val="0032226D"/>
    <w:rsid w:val="003235E6"/>
    <w:rsid w:val="0032361E"/>
    <w:rsid w:val="00323B95"/>
    <w:rsid w:val="00324038"/>
    <w:rsid w:val="00324507"/>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87A"/>
    <w:rsid w:val="00332D52"/>
    <w:rsid w:val="00333337"/>
    <w:rsid w:val="00333A28"/>
    <w:rsid w:val="00333B6C"/>
    <w:rsid w:val="00334927"/>
    <w:rsid w:val="00335A52"/>
    <w:rsid w:val="00335E84"/>
    <w:rsid w:val="003360AD"/>
    <w:rsid w:val="0033631D"/>
    <w:rsid w:val="003369C7"/>
    <w:rsid w:val="003373A6"/>
    <w:rsid w:val="00337409"/>
    <w:rsid w:val="00337E18"/>
    <w:rsid w:val="003405AF"/>
    <w:rsid w:val="0034088F"/>
    <w:rsid w:val="00340B3E"/>
    <w:rsid w:val="00341350"/>
    <w:rsid w:val="003413D2"/>
    <w:rsid w:val="00341525"/>
    <w:rsid w:val="0034257E"/>
    <w:rsid w:val="003429A1"/>
    <w:rsid w:val="003429FC"/>
    <w:rsid w:val="00343079"/>
    <w:rsid w:val="00343127"/>
    <w:rsid w:val="00343320"/>
    <w:rsid w:val="00343BED"/>
    <w:rsid w:val="00344066"/>
    <w:rsid w:val="00344BBF"/>
    <w:rsid w:val="0034509B"/>
    <w:rsid w:val="003452E8"/>
    <w:rsid w:val="00345644"/>
    <w:rsid w:val="00345D0E"/>
    <w:rsid w:val="00345D7A"/>
    <w:rsid w:val="0034607E"/>
    <w:rsid w:val="00346A96"/>
    <w:rsid w:val="00346B6D"/>
    <w:rsid w:val="00346BA3"/>
    <w:rsid w:val="00346C69"/>
    <w:rsid w:val="00346C82"/>
    <w:rsid w:val="00347356"/>
    <w:rsid w:val="0035005C"/>
    <w:rsid w:val="003507E8"/>
    <w:rsid w:val="00350896"/>
    <w:rsid w:val="00350C31"/>
    <w:rsid w:val="00350C9F"/>
    <w:rsid w:val="00351391"/>
    <w:rsid w:val="003519CD"/>
    <w:rsid w:val="00351A3A"/>
    <w:rsid w:val="00351BA5"/>
    <w:rsid w:val="003522B8"/>
    <w:rsid w:val="0035452D"/>
    <w:rsid w:val="0035455F"/>
    <w:rsid w:val="00355D75"/>
    <w:rsid w:val="00355D8F"/>
    <w:rsid w:val="00355DD8"/>
    <w:rsid w:val="00356A73"/>
    <w:rsid w:val="00356FF0"/>
    <w:rsid w:val="003577EF"/>
    <w:rsid w:val="00357A60"/>
    <w:rsid w:val="00360304"/>
    <w:rsid w:val="00360A78"/>
    <w:rsid w:val="00361750"/>
    <w:rsid w:val="00361CDF"/>
    <w:rsid w:val="00362B21"/>
    <w:rsid w:val="00363894"/>
    <w:rsid w:val="00363B2A"/>
    <w:rsid w:val="00363BF1"/>
    <w:rsid w:val="0036516F"/>
    <w:rsid w:val="00365627"/>
    <w:rsid w:val="00365DC5"/>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4DC5"/>
    <w:rsid w:val="0037510C"/>
    <w:rsid w:val="00375850"/>
    <w:rsid w:val="0037632F"/>
    <w:rsid w:val="003777A8"/>
    <w:rsid w:val="00377B26"/>
    <w:rsid w:val="00381014"/>
    <w:rsid w:val="00381604"/>
    <w:rsid w:val="00381C68"/>
    <w:rsid w:val="00381F60"/>
    <w:rsid w:val="00382693"/>
    <w:rsid w:val="00382738"/>
    <w:rsid w:val="00382F11"/>
    <w:rsid w:val="00383204"/>
    <w:rsid w:val="00383AB0"/>
    <w:rsid w:val="003847BB"/>
    <w:rsid w:val="00384814"/>
    <w:rsid w:val="00384C0A"/>
    <w:rsid w:val="003857F9"/>
    <w:rsid w:val="00385B16"/>
    <w:rsid w:val="00385B96"/>
    <w:rsid w:val="0038637D"/>
    <w:rsid w:val="003865C3"/>
    <w:rsid w:val="003868F6"/>
    <w:rsid w:val="003869DC"/>
    <w:rsid w:val="00386C07"/>
    <w:rsid w:val="00386F58"/>
    <w:rsid w:val="0038700D"/>
    <w:rsid w:val="003879CE"/>
    <w:rsid w:val="00387B88"/>
    <w:rsid w:val="00390AD5"/>
    <w:rsid w:val="00390B8F"/>
    <w:rsid w:val="00390C0D"/>
    <w:rsid w:val="00390C79"/>
    <w:rsid w:val="00391447"/>
    <w:rsid w:val="003919D9"/>
    <w:rsid w:val="00391BDD"/>
    <w:rsid w:val="003922DE"/>
    <w:rsid w:val="00392E35"/>
    <w:rsid w:val="00393247"/>
    <w:rsid w:val="00393285"/>
    <w:rsid w:val="00393551"/>
    <w:rsid w:val="00393816"/>
    <w:rsid w:val="003939E9"/>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123"/>
    <w:rsid w:val="003A218C"/>
    <w:rsid w:val="003A24CC"/>
    <w:rsid w:val="003A2512"/>
    <w:rsid w:val="003A2A53"/>
    <w:rsid w:val="003A2EE8"/>
    <w:rsid w:val="003A363A"/>
    <w:rsid w:val="003A373C"/>
    <w:rsid w:val="003A5378"/>
    <w:rsid w:val="003A553C"/>
    <w:rsid w:val="003A56DF"/>
    <w:rsid w:val="003A6008"/>
    <w:rsid w:val="003A703F"/>
    <w:rsid w:val="003A7433"/>
    <w:rsid w:val="003A7E2B"/>
    <w:rsid w:val="003A7E40"/>
    <w:rsid w:val="003B0336"/>
    <w:rsid w:val="003B07A8"/>
    <w:rsid w:val="003B0A3A"/>
    <w:rsid w:val="003B0D79"/>
    <w:rsid w:val="003B2930"/>
    <w:rsid w:val="003B31A7"/>
    <w:rsid w:val="003B4587"/>
    <w:rsid w:val="003B4B51"/>
    <w:rsid w:val="003B4FE1"/>
    <w:rsid w:val="003B514E"/>
    <w:rsid w:val="003B5531"/>
    <w:rsid w:val="003B6238"/>
    <w:rsid w:val="003B636A"/>
    <w:rsid w:val="003B69CE"/>
    <w:rsid w:val="003B71B0"/>
    <w:rsid w:val="003B7403"/>
    <w:rsid w:val="003B79BD"/>
    <w:rsid w:val="003B7BDE"/>
    <w:rsid w:val="003C011C"/>
    <w:rsid w:val="003C0E32"/>
    <w:rsid w:val="003C11D7"/>
    <w:rsid w:val="003C16CB"/>
    <w:rsid w:val="003C1B97"/>
    <w:rsid w:val="003C247B"/>
    <w:rsid w:val="003C2945"/>
    <w:rsid w:val="003C3292"/>
    <w:rsid w:val="003C3C1E"/>
    <w:rsid w:val="003C3D88"/>
    <w:rsid w:val="003C4134"/>
    <w:rsid w:val="003C435B"/>
    <w:rsid w:val="003C4EBE"/>
    <w:rsid w:val="003C62EC"/>
    <w:rsid w:val="003C685A"/>
    <w:rsid w:val="003C6ABD"/>
    <w:rsid w:val="003C6E9C"/>
    <w:rsid w:val="003C746F"/>
    <w:rsid w:val="003C7570"/>
    <w:rsid w:val="003C765A"/>
    <w:rsid w:val="003C76E6"/>
    <w:rsid w:val="003C77A5"/>
    <w:rsid w:val="003C7E59"/>
    <w:rsid w:val="003C7F12"/>
    <w:rsid w:val="003D03D6"/>
    <w:rsid w:val="003D075D"/>
    <w:rsid w:val="003D0EE2"/>
    <w:rsid w:val="003D1283"/>
    <w:rsid w:val="003D14C8"/>
    <w:rsid w:val="003D1517"/>
    <w:rsid w:val="003D16C5"/>
    <w:rsid w:val="003D1CA9"/>
    <w:rsid w:val="003D2CDA"/>
    <w:rsid w:val="003D2DA0"/>
    <w:rsid w:val="003D34C3"/>
    <w:rsid w:val="003D3B4D"/>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1BE0"/>
    <w:rsid w:val="003E1ED6"/>
    <w:rsid w:val="003E20F7"/>
    <w:rsid w:val="003E336A"/>
    <w:rsid w:val="003E3E2F"/>
    <w:rsid w:val="003E4048"/>
    <w:rsid w:val="003E4CE5"/>
    <w:rsid w:val="003E604C"/>
    <w:rsid w:val="003E60DA"/>
    <w:rsid w:val="003E6E00"/>
    <w:rsid w:val="003E7111"/>
    <w:rsid w:val="003E77D8"/>
    <w:rsid w:val="003E7940"/>
    <w:rsid w:val="003F01BD"/>
    <w:rsid w:val="003F01EE"/>
    <w:rsid w:val="003F0486"/>
    <w:rsid w:val="003F048E"/>
    <w:rsid w:val="003F09FA"/>
    <w:rsid w:val="003F0AFF"/>
    <w:rsid w:val="003F0DE2"/>
    <w:rsid w:val="003F1AA2"/>
    <w:rsid w:val="003F1B81"/>
    <w:rsid w:val="003F1ED6"/>
    <w:rsid w:val="003F26DC"/>
    <w:rsid w:val="003F2E19"/>
    <w:rsid w:val="003F2E2F"/>
    <w:rsid w:val="003F42FF"/>
    <w:rsid w:val="003F4747"/>
    <w:rsid w:val="003F4B48"/>
    <w:rsid w:val="003F4DDC"/>
    <w:rsid w:val="003F53CB"/>
    <w:rsid w:val="003F54DD"/>
    <w:rsid w:val="003F56B8"/>
    <w:rsid w:val="003F5F1A"/>
    <w:rsid w:val="003F6327"/>
    <w:rsid w:val="003F6958"/>
    <w:rsid w:val="003F7425"/>
    <w:rsid w:val="003F765B"/>
    <w:rsid w:val="003F7CB8"/>
    <w:rsid w:val="00400BD6"/>
    <w:rsid w:val="00400CB4"/>
    <w:rsid w:val="00401386"/>
    <w:rsid w:val="004013E6"/>
    <w:rsid w:val="004018D2"/>
    <w:rsid w:val="00401A49"/>
    <w:rsid w:val="00401E31"/>
    <w:rsid w:val="0040234D"/>
    <w:rsid w:val="00402BBA"/>
    <w:rsid w:val="00402F96"/>
    <w:rsid w:val="00403538"/>
    <w:rsid w:val="004035D0"/>
    <w:rsid w:val="0040361D"/>
    <w:rsid w:val="00403795"/>
    <w:rsid w:val="004041FB"/>
    <w:rsid w:val="0040443E"/>
    <w:rsid w:val="004056B6"/>
    <w:rsid w:val="00405764"/>
    <w:rsid w:val="00406745"/>
    <w:rsid w:val="0040674B"/>
    <w:rsid w:val="00406B32"/>
    <w:rsid w:val="004074FA"/>
    <w:rsid w:val="00407A56"/>
    <w:rsid w:val="00407FCC"/>
    <w:rsid w:val="00410301"/>
    <w:rsid w:val="0041035A"/>
    <w:rsid w:val="00410E76"/>
    <w:rsid w:val="004112D1"/>
    <w:rsid w:val="004113C9"/>
    <w:rsid w:val="004114CB"/>
    <w:rsid w:val="00411D1E"/>
    <w:rsid w:val="00411DF2"/>
    <w:rsid w:val="004120DF"/>
    <w:rsid w:val="004123BE"/>
    <w:rsid w:val="004126B5"/>
    <w:rsid w:val="00414039"/>
    <w:rsid w:val="00414359"/>
    <w:rsid w:val="00414477"/>
    <w:rsid w:val="00414909"/>
    <w:rsid w:val="00414BD5"/>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2CA"/>
    <w:rsid w:val="00422907"/>
    <w:rsid w:val="00422CCE"/>
    <w:rsid w:val="00423125"/>
    <w:rsid w:val="00423256"/>
    <w:rsid w:val="00423309"/>
    <w:rsid w:val="004233AD"/>
    <w:rsid w:val="00424446"/>
    <w:rsid w:val="00424585"/>
    <w:rsid w:val="00424867"/>
    <w:rsid w:val="00425154"/>
    <w:rsid w:val="00425341"/>
    <w:rsid w:val="004255FE"/>
    <w:rsid w:val="00425674"/>
    <w:rsid w:val="00425A82"/>
    <w:rsid w:val="00425C60"/>
    <w:rsid w:val="00425F97"/>
    <w:rsid w:val="00426B2C"/>
    <w:rsid w:val="00427FA8"/>
    <w:rsid w:val="0043009D"/>
    <w:rsid w:val="0043026B"/>
    <w:rsid w:val="00430299"/>
    <w:rsid w:val="004306D4"/>
    <w:rsid w:val="00430E92"/>
    <w:rsid w:val="00431433"/>
    <w:rsid w:val="00431A2A"/>
    <w:rsid w:val="00431F6D"/>
    <w:rsid w:val="00432ECA"/>
    <w:rsid w:val="004336E7"/>
    <w:rsid w:val="004342E5"/>
    <w:rsid w:val="00434CDB"/>
    <w:rsid w:val="0043554E"/>
    <w:rsid w:val="004355D4"/>
    <w:rsid w:val="004357B1"/>
    <w:rsid w:val="00435821"/>
    <w:rsid w:val="0043583E"/>
    <w:rsid w:val="00435BC0"/>
    <w:rsid w:val="00436CCE"/>
    <w:rsid w:val="00436EAD"/>
    <w:rsid w:val="004375E1"/>
    <w:rsid w:val="004379D4"/>
    <w:rsid w:val="00437A2F"/>
    <w:rsid w:val="00437FCE"/>
    <w:rsid w:val="00440262"/>
    <w:rsid w:val="004406BF"/>
    <w:rsid w:val="00440814"/>
    <w:rsid w:val="0044105D"/>
    <w:rsid w:val="004411C1"/>
    <w:rsid w:val="004412D7"/>
    <w:rsid w:val="00441424"/>
    <w:rsid w:val="00442731"/>
    <w:rsid w:val="00442C12"/>
    <w:rsid w:val="004434DF"/>
    <w:rsid w:val="0044354B"/>
    <w:rsid w:val="004439F4"/>
    <w:rsid w:val="00443E0C"/>
    <w:rsid w:val="00444273"/>
    <w:rsid w:val="0044493E"/>
    <w:rsid w:val="00444A1F"/>
    <w:rsid w:val="00444FC6"/>
    <w:rsid w:val="00445874"/>
    <w:rsid w:val="00445C38"/>
    <w:rsid w:val="0044686B"/>
    <w:rsid w:val="004475F7"/>
    <w:rsid w:val="0045057B"/>
    <w:rsid w:val="0045069B"/>
    <w:rsid w:val="00450B22"/>
    <w:rsid w:val="004515F7"/>
    <w:rsid w:val="00451709"/>
    <w:rsid w:val="004518FA"/>
    <w:rsid w:val="00451A02"/>
    <w:rsid w:val="0045277C"/>
    <w:rsid w:val="00453232"/>
    <w:rsid w:val="00453507"/>
    <w:rsid w:val="00453592"/>
    <w:rsid w:val="004541C7"/>
    <w:rsid w:val="004543AB"/>
    <w:rsid w:val="0045442F"/>
    <w:rsid w:val="004545EC"/>
    <w:rsid w:val="00455385"/>
    <w:rsid w:val="00455967"/>
    <w:rsid w:val="00455C14"/>
    <w:rsid w:val="00455F71"/>
    <w:rsid w:val="00456272"/>
    <w:rsid w:val="0045675A"/>
    <w:rsid w:val="004570EF"/>
    <w:rsid w:val="00457517"/>
    <w:rsid w:val="00457CF7"/>
    <w:rsid w:val="00457D37"/>
    <w:rsid w:val="0046028A"/>
    <w:rsid w:val="004604BB"/>
    <w:rsid w:val="00460E3A"/>
    <w:rsid w:val="00460E68"/>
    <w:rsid w:val="00461014"/>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6B08"/>
    <w:rsid w:val="00466CA6"/>
    <w:rsid w:val="004672E3"/>
    <w:rsid w:val="0046775D"/>
    <w:rsid w:val="00467823"/>
    <w:rsid w:val="004705FA"/>
    <w:rsid w:val="004708AC"/>
    <w:rsid w:val="00471387"/>
    <w:rsid w:val="0047146C"/>
    <w:rsid w:val="0047149F"/>
    <w:rsid w:val="00471963"/>
    <w:rsid w:val="00471D8D"/>
    <w:rsid w:val="004724B8"/>
    <w:rsid w:val="004728FB"/>
    <w:rsid w:val="00472952"/>
    <w:rsid w:val="004729AD"/>
    <w:rsid w:val="00472CA7"/>
    <w:rsid w:val="00472CEC"/>
    <w:rsid w:val="00472F0D"/>
    <w:rsid w:val="00473308"/>
    <w:rsid w:val="00473313"/>
    <w:rsid w:val="0047377C"/>
    <w:rsid w:val="0047471E"/>
    <w:rsid w:val="004749DA"/>
    <w:rsid w:val="00474DEF"/>
    <w:rsid w:val="004750E3"/>
    <w:rsid w:val="00475729"/>
    <w:rsid w:val="004758E7"/>
    <w:rsid w:val="00475AFF"/>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2E4A"/>
    <w:rsid w:val="00483091"/>
    <w:rsid w:val="00483140"/>
    <w:rsid w:val="0048360C"/>
    <w:rsid w:val="00483984"/>
    <w:rsid w:val="00483BB3"/>
    <w:rsid w:val="00483BC7"/>
    <w:rsid w:val="00483CF0"/>
    <w:rsid w:val="00484B6A"/>
    <w:rsid w:val="00484D4D"/>
    <w:rsid w:val="00486516"/>
    <w:rsid w:val="0048664F"/>
    <w:rsid w:val="004868AD"/>
    <w:rsid w:val="00486D00"/>
    <w:rsid w:val="00487FE1"/>
    <w:rsid w:val="0049007D"/>
    <w:rsid w:val="00490707"/>
    <w:rsid w:val="004907EF"/>
    <w:rsid w:val="00490815"/>
    <w:rsid w:val="0049117E"/>
    <w:rsid w:val="00492503"/>
    <w:rsid w:val="004925C8"/>
    <w:rsid w:val="00492AF9"/>
    <w:rsid w:val="00492B76"/>
    <w:rsid w:val="00492BA0"/>
    <w:rsid w:val="0049333E"/>
    <w:rsid w:val="0049418F"/>
    <w:rsid w:val="0049570D"/>
    <w:rsid w:val="00495C48"/>
    <w:rsid w:val="00495DC6"/>
    <w:rsid w:val="00495FFB"/>
    <w:rsid w:val="004967B9"/>
    <w:rsid w:val="00496A82"/>
    <w:rsid w:val="00496CCE"/>
    <w:rsid w:val="004978C1"/>
    <w:rsid w:val="00497AAD"/>
    <w:rsid w:val="00497BD7"/>
    <w:rsid w:val="00497D1A"/>
    <w:rsid w:val="004A00C9"/>
    <w:rsid w:val="004A03D0"/>
    <w:rsid w:val="004A1049"/>
    <w:rsid w:val="004A1AFA"/>
    <w:rsid w:val="004A1EA7"/>
    <w:rsid w:val="004A21EA"/>
    <w:rsid w:val="004A26F5"/>
    <w:rsid w:val="004A2EF8"/>
    <w:rsid w:val="004A3A21"/>
    <w:rsid w:val="004A407A"/>
    <w:rsid w:val="004A4AFB"/>
    <w:rsid w:val="004A4E3B"/>
    <w:rsid w:val="004A6110"/>
    <w:rsid w:val="004A61B8"/>
    <w:rsid w:val="004A6415"/>
    <w:rsid w:val="004A64F9"/>
    <w:rsid w:val="004A65F4"/>
    <w:rsid w:val="004A6D2C"/>
    <w:rsid w:val="004A7C04"/>
    <w:rsid w:val="004B026C"/>
    <w:rsid w:val="004B0271"/>
    <w:rsid w:val="004B0BE8"/>
    <w:rsid w:val="004B0E4A"/>
    <w:rsid w:val="004B12D0"/>
    <w:rsid w:val="004B18F4"/>
    <w:rsid w:val="004B1A98"/>
    <w:rsid w:val="004B2463"/>
    <w:rsid w:val="004B2532"/>
    <w:rsid w:val="004B2E9D"/>
    <w:rsid w:val="004B305F"/>
    <w:rsid w:val="004B3066"/>
    <w:rsid w:val="004B34C4"/>
    <w:rsid w:val="004B34E8"/>
    <w:rsid w:val="004B3981"/>
    <w:rsid w:val="004B3A03"/>
    <w:rsid w:val="004B4104"/>
    <w:rsid w:val="004B419F"/>
    <w:rsid w:val="004B4EA9"/>
    <w:rsid w:val="004B5376"/>
    <w:rsid w:val="004B53CB"/>
    <w:rsid w:val="004B5C96"/>
    <w:rsid w:val="004B6124"/>
    <w:rsid w:val="004B64B2"/>
    <w:rsid w:val="004B676F"/>
    <w:rsid w:val="004B6E50"/>
    <w:rsid w:val="004B6EA7"/>
    <w:rsid w:val="004B728F"/>
    <w:rsid w:val="004B7317"/>
    <w:rsid w:val="004B75B2"/>
    <w:rsid w:val="004B75C6"/>
    <w:rsid w:val="004C02C5"/>
    <w:rsid w:val="004C0BF0"/>
    <w:rsid w:val="004C0D40"/>
    <w:rsid w:val="004C114F"/>
    <w:rsid w:val="004C11A9"/>
    <w:rsid w:val="004C1FE0"/>
    <w:rsid w:val="004C27CF"/>
    <w:rsid w:val="004C2CA7"/>
    <w:rsid w:val="004C3592"/>
    <w:rsid w:val="004C45C8"/>
    <w:rsid w:val="004C4620"/>
    <w:rsid w:val="004C4F8F"/>
    <w:rsid w:val="004C50A0"/>
    <w:rsid w:val="004C5C18"/>
    <w:rsid w:val="004C5F4B"/>
    <w:rsid w:val="004C612E"/>
    <w:rsid w:val="004C61B8"/>
    <w:rsid w:val="004C69FE"/>
    <w:rsid w:val="004C6C0A"/>
    <w:rsid w:val="004C6C6D"/>
    <w:rsid w:val="004C77FF"/>
    <w:rsid w:val="004C7DB0"/>
    <w:rsid w:val="004C7DFB"/>
    <w:rsid w:val="004C7FFC"/>
    <w:rsid w:val="004D0223"/>
    <w:rsid w:val="004D0C4C"/>
    <w:rsid w:val="004D16A3"/>
    <w:rsid w:val="004D1934"/>
    <w:rsid w:val="004D1E41"/>
    <w:rsid w:val="004D2017"/>
    <w:rsid w:val="004D2326"/>
    <w:rsid w:val="004D261E"/>
    <w:rsid w:val="004D2E11"/>
    <w:rsid w:val="004D3108"/>
    <w:rsid w:val="004D329C"/>
    <w:rsid w:val="004D34D1"/>
    <w:rsid w:val="004D3FB8"/>
    <w:rsid w:val="004D4523"/>
    <w:rsid w:val="004D4990"/>
    <w:rsid w:val="004D51D6"/>
    <w:rsid w:val="004D6BF2"/>
    <w:rsid w:val="004D6F29"/>
    <w:rsid w:val="004D7A42"/>
    <w:rsid w:val="004D7BF5"/>
    <w:rsid w:val="004D7F9C"/>
    <w:rsid w:val="004E03F4"/>
    <w:rsid w:val="004E068F"/>
    <w:rsid w:val="004E0860"/>
    <w:rsid w:val="004E09CF"/>
    <w:rsid w:val="004E0B75"/>
    <w:rsid w:val="004E0C29"/>
    <w:rsid w:val="004E0DC4"/>
    <w:rsid w:val="004E109C"/>
    <w:rsid w:val="004E1248"/>
    <w:rsid w:val="004E1D6F"/>
    <w:rsid w:val="004E1DF3"/>
    <w:rsid w:val="004E2393"/>
    <w:rsid w:val="004E3117"/>
    <w:rsid w:val="004E3349"/>
    <w:rsid w:val="004E3A2A"/>
    <w:rsid w:val="004E3AB1"/>
    <w:rsid w:val="004E4003"/>
    <w:rsid w:val="004E4626"/>
    <w:rsid w:val="004E4984"/>
    <w:rsid w:val="004E5101"/>
    <w:rsid w:val="004E5380"/>
    <w:rsid w:val="004E6746"/>
    <w:rsid w:val="004E675C"/>
    <w:rsid w:val="004E6CAC"/>
    <w:rsid w:val="004E6F69"/>
    <w:rsid w:val="004E74F2"/>
    <w:rsid w:val="004E75C1"/>
    <w:rsid w:val="004E777F"/>
    <w:rsid w:val="004E7E66"/>
    <w:rsid w:val="004F07F2"/>
    <w:rsid w:val="004F07F9"/>
    <w:rsid w:val="004F0A50"/>
    <w:rsid w:val="004F0A51"/>
    <w:rsid w:val="004F0D1F"/>
    <w:rsid w:val="004F0E82"/>
    <w:rsid w:val="004F1468"/>
    <w:rsid w:val="004F1523"/>
    <w:rsid w:val="004F1847"/>
    <w:rsid w:val="004F1CE1"/>
    <w:rsid w:val="004F1F9E"/>
    <w:rsid w:val="004F2491"/>
    <w:rsid w:val="004F2CB6"/>
    <w:rsid w:val="004F2E6E"/>
    <w:rsid w:val="004F3015"/>
    <w:rsid w:val="004F313F"/>
    <w:rsid w:val="004F367F"/>
    <w:rsid w:val="004F3A3B"/>
    <w:rsid w:val="004F3EEF"/>
    <w:rsid w:val="004F43A7"/>
    <w:rsid w:val="004F447B"/>
    <w:rsid w:val="004F497C"/>
    <w:rsid w:val="004F4FAC"/>
    <w:rsid w:val="004F4FE8"/>
    <w:rsid w:val="004F531B"/>
    <w:rsid w:val="004F560C"/>
    <w:rsid w:val="004F5DBB"/>
    <w:rsid w:val="004F60B4"/>
    <w:rsid w:val="004F61A3"/>
    <w:rsid w:val="004F6874"/>
    <w:rsid w:val="004F6F71"/>
    <w:rsid w:val="004F7254"/>
    <w:rsid w:val="004F73BD"/>
    <w:rsid w:val="004F7922"/>
    <w:rsid w:val="004F7A1F"/>
    <w:rsid w:val="004F7B47"/>
    <w:rsid w:val="0050079C"/>
    <w:rsid w:val="0050106A"/>
    <w:rsid w:val="005010BC"/>
    <w:rsid w:val="005010BE"/>
    <w:rsid w:val="00501848"/>
    <w:rsid w:val="0050258A"/>
    <w:rsid w:val="00502B31"/>
    <w:rsid w:val="00502D09"/>
    <w:rsid w:val="0050434C"/>
    <w:rsid w:val="0050537D"/>
    <w:rsid w:val="0050591C"/>
    <w:rsid w:val="005059BD"/>
    <w:rsid w:val="005060AE"/>
    <w:rsid w:val="005064BF"/>
    <w:rsid w:val="0050790B"/>
    <w:rsid w:val="00507C05"/>
    <w:rsid w:val="00507FDF"/>
    <w:rsid w:val="0051037C"/>
    <w:rsid w:val="0051050F"/>
    <w:rsid w:val="0051058B"/>
    <w:rsid w:val="00510DDC"/>
    <w:rsid w:val="00511166"/>
    <w:rsid w:val="00512217"/>
    <w:rsid w:val="00512459"/>
    <w:rsid w:val="00512787"/>
    <w:rsid w:val="005131A2"/>
    <w:rsid w:val="005137E4"/>
    <w:rsid w:val="00513BB9"/>
    <w:rsid w:val="0051440E"/>
    <w:rsid w:val="00514480"/>
    <w:rsid w:val="005148CD"/>
    <w:rsid w:val="00514FB2"/>
    <w:rsid w:val="00515180"/>
    <w:rsid w:val="00515973"/>
    <w:rsid w:val="00516069"/>
    <w:rsid w:val="005164A7"/>
    <w:rsid w:val="005175F0"/>
    <w:rsid w:val="00517AC8"/>
    <w:rsid w:val="00517C3E"/>
    <w:rsid w:val="005207D8"/>
    <w:rsid w:val="0052091D"/>
    <w:rsid w:val="005212F4"/>
    <w:rsid w:val="00521908"/>
    <w:rsid w:val="00521BCC"/>
    <w:rsid w:val="005224BC"/>
    <w:rsid w:val="00522928"/>
    <w:rsid w:val="00522FF1"/>
    <w:rsid w:val="005230E1"/>
    <w:rsid w:val="005231CD"/>
    <w:rsid w:val="00523946"/>
    <w:rsid w:val="0052397A"/>
    <w:rsid w:val="00524125"/>
    <w:rsid w:val="005243FC"/>
    <w:rsid w:val="005256D6"/>
    <w:rsid w:val="00525AD8"/>
    <w:rsid w:val="00526429"/>
    <w:rsid w:val="005266C1"/>
    <w:rsid w:val="005267F4"/>
    <w:rsid w:val="005269D3"/>
    <w:rsid w:val="00527317"/>
    <w:rsid w:val="005278FA"/>
    <w:rsid w:val="00527ED6"/>
    <w:rsid w:val="0053024F"/>
    <w:rsid w:val="00531064"/>
    <w:rsid w:val="005312CB"/>
    <w:rsid w:val="005313B2"/>
    <w:rsid w:val="005317BA"/>
    <w:rsid w:val="00531911"/>
    <w:rsid w:val="00531E92"/>
    <w:rsid w:val="005324D7"/>
    <w:rsid w:val="005326F0"/>
    <w:rsid w:val="0053275F"/>
    <w:rsid w:val="00532764"/>
    <w:rsid w:val="00532AA5"/>
    <w:rsid w:val="00532C5F"/>
    <w:rsid w:val="00533233"/>
    <w:rsid w:val="005333D2"/>
    <w:rsid w:val="005335A2"/>
    <w:rsid w:val="00533D13"/>
    <w:rsid w:val="00533DEC"/>
    <w:rsid w:val="00534026"/>
    <w:rsid w:val="00534D55"/>
    <w:rsid w:val="005358F6"/>
    <w:rsid w:val="00535B53"/>
    <w:rsid w:val="00536392"/>
    <w:rsid w:val="00536B03"/>
    <w:rsid w:val="00537456"/>
    <w:rsid w:val="00537708"/>
    <w:rsid w:val="0053790C"/>
    <w:rsid w:val="00537B3D"/>
    <w:rsid w:val="00540401"/>
    <w:rsid w:val="005405B2"/>
    <w:rsid w:val="0054076A"/>
    <w:rsid w:val="00540D47"/>
    <w:rsid w:val="00540EE7"/>
    <w:rsid w:val="00541651"/>
    <w:rsid w:val="0054191A"/>
    <w:rsid w:val="00541A22"/>
    <w:rsid w:val="00541EAD"/>
    <w:rsid w:val="005424C2"/>
    <w:rsid w:val="005426B2"/>
    <w:rsid w:val="00542C0E"/>
    <w:rsid w:val="00543519"/>
    <w:rsid w:val="00543640"/>
    <w:rsid w:val="00544019"/>
    <w:rsid w:val="005444C6"/>
    <w:rsid w:val="00544BF9"/>
    <w:rsid w:val="00544F05"/>
    <w:rsid w:val="00544FCC"/>
    <w:rsid w:val="005454B8"/>
    <w:rsid w:val="00545ACB"/>
    <w:rsid w:val="00545DB9"/>
    <w:rsid w:val="005462ED"/>
    <w:rsid w:val="00546585"/>
    <w:rsid w:val="0054680A"/>
    <w:rsid w:val="00546AC1"/>
    <w:rsid w:val="00546BF8"/>
    <w:rsid w:val="00547BA2"/>
    <w:rsid w:val="005503B7"/>
    <w:rsid w:val="00550AC5"/>
    <w:rsid w:val="00550B7E"/>
    <w:rsid w:val="00551052"/>
    <w:rsid w:val="005524ED"/>
    <w:rsid w:val="00552D8C"/>
    <w:rsid w:val="005539D9"/>
    <w:rsid w:val="00553F91"/>
    <w:rsid w:val="00554007"/>
    <w:rsid w:val="00554C03"/>
    <w:rsid w:val="00554C58"/>
    <w:rsid w:val="00554D5D"/>
    <w:rsid w:val="005550F9"/>
    <w:rsid w:val="00556338"/>
    <w:rsid w:val="00556441"/>
    <w:rsid w:val="0055693B"/>
    <w:rsid w:val="00557031"/>
    <w:rsid w:val="00557F87"/>
    <w:rsid w:val="00560FCB"/>
    <w:rsid w:val="00561001"/>
    <w:rsid w:val="0056111C"/>
    <w:rsid w:val="00561140"/>
    <w:rsid w:val="005612B1"/>
    <w:rsid w:val="00561412"/>
    <w:rsid w:val="005614DB"/>
    <w:rsid w:val="00561903"/>
    <w:rsid w:val="00561A9B"/>
    <w:rsid w:val="00561E54"/>
    <w:rsid w:val="00561F73"/>
    <w:rsid w:val="005621F7"/>
    <w:rsid w:val="005624C4"/>
    <w:rsid w:val="00562694"/>
    <w:rsid w:val="0056278F"/>
    <w:rsid w:val="00562FB1"/>
    <w:rsid w:val="00563068"/>
    <w:rsid w:val="0056376A"/>
    <w:rsid w:val="00563B3C"/>
    <w:rsid w:val="00563FC9"/>
    <w:rsid w:val="0056419C"/>
    <w:rsid w:val="00564C77"/>
    <w:rsid w:val="00564D70"/>
    <w:rsid w:val="00564DA7"/>
    <w:rsid w:val="00565204"/>
    <w:rsid w:val="00565473"/>
    <w:rsid w:val="00565AB1"/>
    <w:rsid w:val="00565AF9"/>
    <w:rsid w:val="00565DAC"/>
    <w:rsid w:val="00565F0D"/>
    <w:rsid w:val="005662DC"/>
    <w:rsid w:val="00566329"/>
    <w:rsid w:val="005668B9"/>
    <w:rsid w:val="00566AD4"/>
    <w:rsid w:val="00566E39"/>
    <w:rsid w:val="0056704E"/>
    <w:rsid w:val="00567623"/>
    <w:rsid w:val="005701C2"/>
    <w:rsid w:val="00570763"/>
    <w:rsid w:val="00570EBB"/>
    <w:rsid w:val="00571CDF"/>
    <w:rsid w:val="0057200B"/>
    <w:rsid w:val="00572297"/>
    <w:rsid w:val="0057345D"/>
    <w:rsid w:val="0057347D"/>
    <w:rsid w:val="00573560"/>
    <w:rsid w:val="00573564"/>
    <w:rsid w:val="00573CE6"/>
    <w:rsid w:val="00574E7B"/>
    <w:rsid w:val="00574F36"/>
    <w:rsid w:val="00576B5C"/>
    <w:rsid w:val="005770CC"/>
    <w:rsid w:val="005802F9"/>
    <w:rsid w:val="005806D5"/>
    <w:rsid w:val="00580DFC"/>
    <w:rsid w:val="0058134C"/>
    <w:rsid w:val="00581359"/>
    <w:rsid w:val="005815CD"/>
    <w:rsid w:val="005827A7"/>
    <w:rsid w:val="00583D43"/>
    <w:rsid w:val="005841FB"/>
    <w:rsid w:val="005846C3"/>
    <w:rsid w:val="00584F04"/>
    <w:rsid w:val="0058544C"/>
    <w:rsid w:val="00585623"/>
    <w:rsid w:val="005857F7"/>
    <w:rsid w:val="00585D9D"/>
    <w:rsid w:val="005865E9"/>
    <w:rsid w:val="00586810"/>
    <w:rsid w:val="005868FD"/>
    <w:rsid w:val="00587D7B"/>
    <w:rsid w:val="005904DB"/>
    <w:rsid w:val="005905ED"/>
    <w:rsid w:val="00590D11"/>
    <w:rsid w:val="0059180B"/>
    <w:rsid w:val="00591911"/>
    <w:rsid w:val="00591BA6"/>
    <w:rsid w:val="005924F2"/>
    <w:rsid w:val="00592825"/>
    <w:rsid w:val="00593488"/>
    <w:rsid w:val="00593DC7"/>
    <w:rsid w:val="00594393"/>
    <w:rsid w:val="00594437"/>
    <w:rsid w:val="005948D8"/>
    <w:rsid w:val="00594B70"/>
    <w:rsid w:val="0059567A"/>
    <w:rsid w:val="00595870"/>
    <w:rsid w:val="00596CFA"/>
    <w:rsid w:val="00596EC6"/>
    <w:rsid w:val="005975CE"/>
    <w:rsid w:val="005A0088"/>
    <w:rsid w:val="005A04F6"/>
    <w:rsid w:val="005A14F0"/>
    <w:rsid w:val="005A1861"/>
    <w:rsid w:val="005A1A31"/>
    <w:rsid w:val="005A22D4"/>
    <w:rsid w:val="005A361D"/>
    <w:rsid w:val="005A36C2"/>
    <w:rsid w:val="005A3719"/>
    <w:rsid w:val="005A38BE"/>
    <w:rsid w:val="005A3DD7"/>
    <w:rsid w:val="005A40FA"/>
    <w:rsid w:val="005A4AC9"/>
    <w:rsid w:val="005A4C20"/>
    <w:rsid w:val="005A4F48"/>
    <w:rsid w:val="005A54F1"/>
    <w:rsid w:val="005A57B8"/>
    <w:rsid w:val="005A5DDE"/>
    <w:rsid w:val="005A5DFC"/>
    <w:rsid w:val="005A64A8"/>
    <w:rsid w:val="005A65C5"/>
    <w:rsid w:val="005A6875"/>
    <w:rsid w:val="005A6C15"/>
    <w:rsid w:val="005A6F0B"/>
    <w:rsid w:val="005A7016"/>
    <w:rsid w:val="005A7A32"/>
    <w:rsid w:val="005A7F85"/>
    <w:rsid w:val="005B00DD"/>
    <w:rsid w:val="005B03B1"/>
    <w:rsid w:val="005B07D5"/>
    <w:rsid w:val="005B0A5E"/>
    <w:rsid w:val="005B1A8A"/>
    <w:rsid w:val="005B1AAB"/>
    <w:rsid w:val="005B2578"/>
    <w:rsid w:val="005B2930"/>
    <w:rsid w:val="005B2B87"/>
    <w:rsid w:val="005B2FAA"/>
    <w:rsid w:val="005B33C8"/>
    <w:rsid w:val="005B387B"/>
    <w:rsid w:val="005B3B01"/>
    <w:rsid w:val="005B4333"/>
    <w:rsid w:val="005B48BE"/>
    <w:rsid w:val="005B54D3"/>
    <w:rsid w:val="005B58F7"/>
    <w:rsid w:val="005B5981"/>
    <w:rsid w:val="005B5994"/>
    <w:rsid w:val="005B6474"/>
    <w:rsid w:val="005B666D"/>
    <w:rsid w:val="005B667A"/>
    <w:rsid w:val="005B6865"/>
    <w:rsid w:val="005B78F8"/>
    <w:rsid w:val="005B7ABC"/>
    <w:rsid w:val="005C039B"/>
    <w:rsid w:val="005C059F"/>
    <w:rsid w:val="005C07CE"/>
    <w:rsid w:val="005C0B8F"/>
    <w:rsid w:val="005C160D"/>
    <w:rsid w:val="005C161E"/>
    <w:rsid w:val="005C194E"/>
    <w:rsid w:val="005C1C83"/>
    <w:rsid w:val="005C1DB1"/>
    <w:rsid w:val="005C226F"/>
    <w:rsid w:val="005C2294"/>
    <w:rsid w:val="005C2E48"/>
    <w:rsid w:val="005C31AD"/>
    <w:rsid w:val="005C3344"/>
    <w:rsid w:val="005C4E4D"/>
    <w:rsid w:val="005C58F2"/>
    <w:rsid w:val="005C5A97"/>
    <w:rsid w:val="005C5F77"/>
    <w:rsid w:val="005C6AAB"/>
    <w:rsid w:val="005C6D5D"/>
    <w:rsid w:val="005C6FD0"/>
    <w:rsid w:val="005C73CC"/>
    <w:rsid w:val="005D01C3"/>
    <w:rsid w:val="005D05FF"/>
    <w:rsid w:val="005D0FB4"/>
    <w:rsid w:val="005D1176"/>
    <w:rsid w:val="005D1747"/>
    <w:rsid w:val="005D1FDB"/>
    <w:rsid w:val="005D2226"/>
    <w:rsid w:val="005D2397"/>
    <w:rsid w:val="005D266D"/>
    <w:rsid w:val="005D306D"/>
    <w:rsid w:val="005D3327"/>
    <w:rsid w:val="005D3D6B"/>
    <w:rsid w:val="005D4854"/>
    <w:rsid w:val="005D5BCF"/>
    <w:rsid w:val="005D65BF"/>
    <w:rsid w:val="005D6D84"/>
    <w:rsid w:val="005D70A1"/>
    <w:rsid w:val="005D79F2"/>
    <w:rsid w:val="005D7C91"/>
    <w:rsid w:val="005D7CB1"/>
    <w:rsid w:val="005D7F57"/>
    <w:rsid w:val="005E0067"/>
    <w:rsid w:val="005E0141"/>
    <w:rsid w:val="005E09CA"/>
    <w:rsid w:val="005E1AB4"/>
    <w:rsid w:val="005E222B"/>
    <w:rsid w:val="005E255B"/>
    <w:rsid w:val="005E2CF7"/>
    <w:rsid w:val="005E4543"/>
    <w:rsid w:val="005E4A1C"/>
    <w:rsid w:val="005E56C9"/>
    <w:rsid w:val="005E5CF7"/>
    <w:rsid w:val="005E5FF0"/>
    <w:rsid w:val="005E642A"/>
    <w:rsid w:val="005E65A7"/>
    <w:rsid w:val="005E6E5A"/>
    <w:rsid w:val="005E721E"/>
    <w:rsid w:val="005E7C92"/>
    <w:rsid w:val="005F0857"/>
    <w:rsid w:val="005F0B15"/>
    <w:rsid w:val="005F1470"/>
    <w:rsid w:val="005F15A9"/>
    <w:rsid w:val="005F2807"/>
    <w:rsid w:val="005F2CD5"/>
    <w:rsid w:val="005F32A1"/>
    <w:rsid w:val="005F3382"/>
    <w:rsid w:val="005F3720"/>
    <w:rsid w:val="005F516D"/>
    <w:rsid w:val="005F5506"/>
    <w:rsid w:val="005F5A0D"/>
    <w:rsid w:val="005F60DF"/>
    <w:rsid w:val="005F615B"/>
    <w:rsid w:val="005F61DF"/>
    <w:rsid w:val="005F663B"/>
    <w:rsid w:val="005F680A"/>
    <w:rsid w:val="005F6880"/>
    <w:rsid w:val="005F6B3E"/>
    <w:rsid w:val="005F6ED2"/>
    <w:rsid w:val="005F745B"/>
    <w:rsid w:val="005F77F8"/>
    <w:rsid w:val="005F7CA8"/>
    <w:rsid w:val="00600B8B"/>
    <w:rsid w:val="00600DE1"/>
    <w:rsid w:val="00601506"/>
    <w:rsid w:val="00601596"/>
    <w:rsid w:val="00601A38"/>
    <w:rsid w:val="00601C92"/>
    <w:rsid w:val="00601F66"/>
    <w:rsid w:val="00602764"/>
    <w:rsid w:val="00602B29"/>
    <w:rsid w:val="00602DAD"/>
    <w:rsid w:val="006030E9"/>
    <w:rsid w:val="00603373"/>
    <w:rsid w:val="006036D0"/>
    <w:rsid w:val="00603B1C"/>
    <w:rsid w:val="006042CD"/>
    <w:rsid w:val="00604375"/>
    <w:rsid w:val="00605217"/>
    <w:rsid w:val="006054A5"/>
    <w:rsid w:val="006059E4"/>
    <w:rsid w:val="00605D60"/>
    <w:rsid w:val="006062A0"/>
    <w:rsid w:val="00607015"/>
    <w:rsid w:val="0061098D"/>
    <w:rsid w:val="00610B78"/>
    <w:rsid w:val="00610F80"/>
    <w:rsid w:val="00611992"/>
    <w:rsid w:val="00611B59"/>
    <w:rsid w:val="00611FBA"/>
    <w:rsid w:val="00612098"/>
    <w:rsid w:val="0061272A"/>
    <w:rsid w:val="00612BF8"/>
    <w:rsid w:val="006130D0"/>
    <w:rsid w:val="0061355D"/>
    <w:rsid w:val="006139F7"/>
    <w:rsid w:val="00613AA2"/>
    <w:rsid w:val="00614542"/>
    <w:rsid w:val="00614906"/>
    <w:rsid w:val="0061517F"/>
    <w:rsid w:val="00615276"/>
    <w:rsid w:val="006155F1"/>
    <w:rsid w:val="00615846"/>
    <w:rsid w:val="006160F0"/>
    <w:rsid w:val="0061618F"/>
    <w:rsid w:val="0061624B"/>
    <w:rsid w:val="00616400"/>
    <w:rsid w:val="006166AD"/>
    <w:rsid w:val="00616812"/>
    <w:rsid w:val="00616C1E"/>
    <w:rsid w:val="00617EFC"/>
    <w:rsid w:val="00620055"/>
    <w:rsid w:val="00620336"/>
    <w:rsid w:val="006204B3"/>
    <w:rsid w:val="006204C2"/>
    <w:rsid w:val="006212D3"/>
    <w:rsid w:val="00621639"/>
    <w:rsid w:val="00622B22"/>
    <w:rsid w:val="00622F67"/>
    <w:rsid w:val="00623571"/>
    <w:rsid w:val="00623A5E"/>
    <w:rsid w:val="00624B9F"/>
    <w:rsid w:val="00625008"/>
    <w:rsid w:val="006252EE"/>
    <w:rsid w:val="0062548B"/>
    <w:rsid w:val="00626710"/>
    <w:rsid w:val="00626930"/>
    <w:rsid w:val="00626AD3"/>
    <w:rsid w:val="00626BAC"/>
    <w:rsid w:val="006271C3"/>
    <w:rsid w:val="00627976"/>
    <w:rsid w:val="00627B14"/>
    <w:rsid w:val="0063001E"/>
    <w:rsid w:val="00630023"/>
    <w:rsid w:val="006308EE"/>
    <w:rsid w:val="00630C70"/>
    <w:rsid w:val="00630D67"/>
    <w:rsid w:val="00631005"/>
    <w:rsid w:val="00631C79"/>
    <w:rsid w:val="00631FFE"/>
    <w:rsid w:val="00632284"/>
    <w:rsid w:val="00632727"/>
    <w:rsid w:val="0063283D"/>
    <w:rsid w:val="00633769"/>
    <w:rsid w:val="00633FE3"/>
    <w:rsid w:val="00634276"/>
    <w:rsid w:val="00634570"/>
    <w:rsid w:val="0063487C"/>
    <w:rsid w:val="00635B73"/>
    <w:rsid w:val="00635BB7"/>
    <w:rsid w:val="00636CC7"/>
    <w:rsid w:val="0063727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5F2B"/>
    <w:rsid w:val="00646084"/>
    <w:rsid w:val="006468ED"/>
    <w:rsid w:val="00646DA2"/>
    <w:rsid w:val="00646E7A"/>
    <w:rsid w:val="00646EA6"/>
    <w:rsid w:val="00647272"/>
    <w:rsid w:val="00647664"/>
    <w:rsid w:val="00650D19"/>
    <w:rsid w:val="00651268"/>
    <w:rsid w:val="006521D7"/>
    <w:rsid w:val="00652CF5"/>
    <w:rsid w:val="0065343E"/>
    <w:rsid w:val="006536BB"/>
    <w:rsid w:val="0065398F"/>
    <w:rsid w:val="00653C7C"/>
    <w:rsid w:val="00654252"/>
    <w:rsid w:val="006543B7"/>
    <w:rsid w:val="00654EA5"/>
    <w:rsid w:val="0065587E"/>
    <w:rsid w:val="006558CD"/>
    <w:rsid w:val="0065592E"/>
    <w:rsid w:val="00655C26"/>
    <w:rsid w:val="0065637A"/>
    <w:rsid w:val="00656998"/>
    <w:rsid w:val="00656E4D"/>
    <w:rsid w:val="006576BA"/>
    <w:rsid w:val="00657CBB"/>
    <w:rsid w:val="006600BF"/>
    <w:rsid w:val="00660AF7"/>
    <w:rsid w:val="00660D3E"/>
    <w:rsid w:val="0066136C"/>
    <w:rsid w:val="00661691"/>
    <w:rsid w:val="00662D3D"/>
    <w:rsid w:val="00662F1F"/>
    <w:rsid w:val="00663D15"/>
    <w:rsid w:val="00665030"/>
    <w:rsid w:val="00665670"/>
    <w:rsid w:val="006659EA"/>
    <w:rsid w:val="00665F27"/>
    <w:rsid w:val="006661E8"/>
    <w:rsid w:val="00666424"/>
    <w:rsid w:val="006664DF"/>
    <w:rsid w:val="0066676C"/>
    <w:rsid w:val="006673B9"/>
    <w:rsid w:val="0066790C"/>
    <w:rsid w:val="00667FF0"/>
    <w:rsid w:val="00670319"/>
    <w:rsid w:val="00670BE1"/>
    <w:rsid w:val="00670C7C"/>
    <w:rsid w:val="00671480"/>
    <w:rsid w:val="006717E7"/>
    <w:rsid w:val="00671FD5"/>
    <w:rsid w:val="006720BC"/>
    <w:rsid w:val="006722B0"/>
    <w:rsid w:val="00672906"/>
    <w:rsid w:val="00672C73"/>
    <w:rsid w:val="00673B64"/>
    <w:rsid w:val="006753AC"/>
    <w:rsid w:val="00675430"/>
    <w:rsid w:val="006755F0"/>
    <w:rsid w:val="00675749"/>
    <w:rsid w:val="006759FE"/>
    <w:rsid w:val="00675C59"/>
    <w:rsid w:val="0067736F"/>
    <w:rsid w:val="00677382"/>
    <w:rsid w:val="006776F6"/>
    <w:rsid w:val="0067772D"/>
    <w:rsid w:val="00677991"/>
    <w:rsid w:val="00677AD2"/>
    <w:rsid w:val="00680326"/>
    <w:rsid w:val="00680714"/>
    <w:rsid w:val="0068071D"/>
    <w:rsid w:val="00680C6B"/>
    <w:rsid w:val="006811F3"/>
    <w:rsid w:val="00681240"/>
    <w:rsid w:val="0068139A"/>
    <w:rsid w:val="00681A77"/>
    <w:rsid w:val="0068270E"/>
    <w:rsid w:val="00683068"/>
    <w:rsid w:val="00683DAD"/>
    <w:rsid w:val="00684592"/>
    <w:rsid w:val="00684963"/>
    <w:rsid w:val="00685033"/>
    <w:rsid w:val="0068517F"/>
    <w:rsid w:val="0068564B"/>
    <w:rsid w:val="00685C15"/>
    <w:rsid w:val="00685D65"/>
    <w:rsid w:val="00685FC8"/>
    <w:rsid w:val="00686E80"/>
    <w:rsid w:val="0068790B"/>
    <w:rsid w:val="00687AF2"/>
    <w:rsid w:val="006901AC"/>
    <w:rsid w:val="00690C8D"/>
    <w:rsid w:val="00691890"/>
    <w:rsid w:val="00691AAD"/>
    <w:rsid w:val="00691DFC"/>
    <w:rsid w:val="00692416"/>
    <w:rsid w:val="00692A22"/>
    <w:rsid w:val="00692AFF"/>
    <w:rsid w:val="00692D2D"/>
    <w:rsid w:val="00692D66"/>
    <w:rsid w:val="0069346A"/>
    <w:rsid w:val="00693B73"/>
    <w:rsid w:val="00693F11"/>
    <w:rsid w:val="006945A1"/>
    <w:rsid w:val="00694A53"/>
    <w:rsid w:val="006952DE"/>
    <w:rsid w:val="00695985"/>
    <w:rsid w:val="00695C78"/>
    <w:rsid w:val="00695E6C"/>
    <w:rsid w:val="00695EAC"/>
    <w:rsid w:val="00696904"/>
    <w:rsid w:val="00696C79"/>
    <w:rsid w:val="00696CB8"/>
    <w:rsid w:val="00697068"/>
    <w:rsid w:val="006977DE"/>
    <w:rsid w:val="00697907"/>
    <w:rsid w:val="00697D5F"/>
    <w:rsid w:val="006A035B"/>
    <w:rsid w:val="006A0582"/>
    <w:rsid w:val="006A060C"/>
    <w:rsid w:val="006A06F8"/>
    <w:rsid w:val="006A071C"/>
    <w:rsid w:val="006A0D23"/>
    <w:rsid w:val="006A0DC7"/>
    <w:rsid w:val="006A150D"/>
    <w:rsid w:val="006A1B00"/>
    <w:rsid w:val="006A2766"/>
    <w:rsid w:val="006A394B"/>
    <w:rsid w:val="006A39D0"/>
    <w:rsid w:val="006A3E91"/>
    <w:rsid w:val="006A4321"/>
    <w:rsid w:val="006A4E20"/>
    <w:rsid w:val="006A4F11"/>
    <w:rsid w:val="006A5474"/>
    <w:rsid w:val="006A5497"/>
    <w:rsid w:val="006A563C"/>
    <w:rsid w:val="006A5782"/>
    <w:rsid w:val="006A5A6F"/>
    <w:rsid w:val="006A5F7E"/>
    <w:rsid w:val="006A6786"/>
    <w:rsid w:val="006A7C29"/>
    <w:rsid w:val="006B0580"/>
    <w:rsid w:val="006B0DA2"/>
    <w:rsid w:val="006B0F70"/>
    <w:rsid w:val="006B1486"/>
    <w:rsid w:val="006B169F"/>
    <w:rsid w:val="006B1BEB"/>
    <w:rsid w:val="006B1D06"/>
    <w:rsid w:val="006B2823"/>
    <w:rsid w:val="006B29DC"/>
    <w:rsid w:val="006B2B21"/>
    <w:rsid w:val="006B2F60"/>
    <w:rsid w:val="006B33DB"/>
    <w:rsid w:val="006B3669"/>
    <w:rsid w:val="006B36E5"/>
    <w:rsid w:val="006B3C07"/>
    <w:rsid w:val="006B3CDF"/>
    <w:rsid w:val="006B3D00"/>
    <w:rsid w:val="006B4CF8"/>
    <w:rsid w:val="006B506B"/>
    <w:rsid w:val="006B54E8"/>
    <w:rsid w:val="006B5FBC"/>
    <w:rsid w:val="006B6ED2"/>
    <w:rsid w:val="006B70D5"/>
    <w:rsid w:val="006B7F74"/>
    <w:rsid w:val="006C0230"/>
    <w:rsid w:val="006C05C7"/>
    <w:rsid w:val="006C0E68"/>
    <w:rsid w:val="006C1F31"/>
    <w:rsid w:val="006C25AB"/>
    <w:rsid w:val="006C2DA6"/>
    <w:rsid w:val="006C3581"/>
    <w:rsid w:val="006C3737"/>
    <w:rsid w:val="006C38AB"/>
    <w:rsid w:val="006C39A0"/>
    <w:rsid w:val="006C3EFE"/>
    <w:rsid w:val="006C4282"/>
    <w:rsid w:val="006C46C7"/>
    <w:rsid w:val="006C4767"/>
    <w:rsid w:val="006C4A1A"/>
    <w:rsid w:val="006C4D02"/>
    <w:rsid w:val="006C53A4"/>
    <w:rsid w:val="006C54DF"/>
    <w:rsid w:val="006C5D5D"/>
    <w:rsid w:val="006C627E"/>
    <w:rsid w:val="006C6303"/>
    <w:rsid w:val="006C63ED"/>
    <w:rsid w:val="006C669B"/>
    <w:rsid w:val="006C6A51"/>
    <w:rsid w:val="006C6EBD"/>
    <w:rsid w:val="006C7E04"/>
    <w:rsid w:val="006C7F79"/>
    <w:rsid w:val="006C7FB4"/>
    <w:rsid w:val="006D0004"/>
    <w:rsid w:val="006D015F"/>
    <w:rsid w:val="006D060E"/>
    <w:rsid w:val="006D0681"/>
    <w:rsid w:val="006D0A80"/>
    <w:rsid w:val="006D0AE8"/>
    <w:rsid w:val="006D135C"/>
    <w:rsid w:val="006D16F6"/>
    <w:rsid w:val="006D2AD1"/>
    <w:rsid w:val="006D2F72"/>
    <w:rsid w:val="006D43C1"/>
    <w:rsid w:val="006D4955"/>
    <w:rsid w:val="006D4BE9"/>
    <w:rsid w:val="006D5442"/>
    <w:rsid w:val="006D6921"/>
    <w:rsid w:val="006D6E4E"/>
    <w:rsid w:val="006D7A7B"/>
    <w:rsid w:val="006D7A8E"/>
    <w:rsid w:val="006D7C59"/>
    <w:rsid w:val="006E00E3"/>
    <w:rsid w:val="006E045C"/>
    <w:rsid w:val="006E0569"/>
    <w:rsid w:val="006E065E"/>
    <w:rsid w:val="006E082D"/>
    <w:rsid w:val="006E0849"/>
    <w:rsid w:val="006E11D6"/>
    <w:rsid w:val="006E17AC"/>
    <w:rsid w:val="006E189B"/>
    <w:rsid w:val="006E20D9"/>
    <w:rsid w:val="006E25C1"/>
    <w:rsid w:val="006E27DC"/>
    <w:rsid w:val="006E2902"/>
    <w:rsid w:val="006E2F9D"/>
    <w:rsid w:val="006E3670"/>
    <w:rsid w:val="006E37C6"/>
    <w:rsid w:val="006E3CF3"/>
    <w:rsid w:val="006E405B"/>
    <w:rsid w:val="006E41ED"/>
    <w:rsid w:val="006E4667"/>
    <w:rsid w:val="006E46B7"/>
    <w:rsid w:val="006E475A"/>
    <w:rsid w:val="006E486D"/>
    <w:rsid w:val="006E4880"/>
    <w:rsid w:val="006E48BB"/>
    <w:rsid w:val="006E5462"/>
    <w:rsid w:val="006E618C"/>
    <w:rsid w:val="006E641A"/>
    <w:rsid w:val="006E65D6"/>
    <w:rsid w:val="006E727B"/>
    <w:rsid w:val="006E73B4"/>
    <w:rsid w:val="006E76C8"/>
    <w:rsid w:val="006E7A92"/>
    <w:rsid w:val="006F01FF"/>
    <w:rsid w:val="006F0C11"/>
    <w:rsid w:val="006F0CB2"/>
    <w:rsid w:val="006F1DE9"/>
    <w:rsid w:val="006F2046"/>
    <w:rsid w:val="006F2555"/>
    <w:rsid w:val="006F2F59"/>
    <w:rsid w:val="006F30CA"/>
    <w:rsid w:val="006F311E"/>
    <w:rsid w:val="006F3442"/>
    <w:rsid w:val="006F36A5"/>
    <w:rsid w:val="006F39F5"/>
    <w:rsid w:val="006F41F4"/>
    <w:rsid w:val="006F442B"/>
    <w:rsid w:val="006F4576"/>
    <w:rsid w:val="006F5813"/>
    <w:rsid w:val="006F59A8"/>
    <w:rsid w:val="006F5A1D"/>
    <w:rsid w:val="006F64DC"/>
    <w:rsid w:val="006F71A6"/>
    <w:rsid w:val="006F7974"/>
    <w:rsid w:val="006F7C2C"/>
    <w:rsid w:val="006F7FD5"/>
    <w:rsid w:val="00700405"/>
    <w:rsid w:val="0070061F"/>
    <w:rsid w:val="00700D18"/>
    <w:rsid w:val="0070168D"/>
    <w:rsid w:val="00701C36"/>
    <w:rsid w:val="00701D7B"/>
    <w:rsid w:val="00702DF3"/>
    <w:rsid w:val="00702F2D"/>
    <w:rsid w:val="00702F3D"/>
    <w:rsid w:val="0070353F"/>
    <w:rsid w:val="00703A99"/>
    <w:rsid w:val="0070415E"/>
    <w:rsid w:val="00704631"/>
    <w:rsid w:val="00704B79"/>
    <w:rsid w:val="00704E7D"/>
    <w:rsid w:val="00705060"/>
    <w:rsid w:val="00705351"/>
    <w:rsid w:val="00705619"/>
    <w:rsid w:val="00705E93"/>
    <w:rsid w:val="007062AF"/>
    <w:rsid w:val="007069AE"/>
    <w:rsid w:val="007069D4"/>
    <w:rsid w:val="00706C89"/>
    <w:rsid w:val="0070744A"/>
    <w:rsid w:val="00707967"/>
    <w:rsid w:val="00707E24"/>
    <w:rsid w:val="00710224"/>
    <w:rsid w:val="00710257"/>
    <w:rsid w:val="00710587"/>
    <w:rsid w:val="007107D5"/>
    <w:rsid w:val="007119DC"/>
    <w:rsid w:val="00711CC7"/>
    <w:rsid w:val="0071230A"/>
    <w:rsid w:val="0071281A"/>
    <w:rsid w:val="00712930"/>
    <w:rsid w:val="0071294A"/>
    <w:rsid w:val="00712BDD"/>
    <w:rsid w:val="00712E1E"/>
    <w:rsid w:val="00712F37"/>
    <w:rsid w:val="00713A6B"/>
    <w:rsid w:val="00713CB5"/>
    <w:rsid w:val="0071499C"/>
    <w:rsid w:val="00714F9D"/>
    <w:rsid w:val="00715141"/>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5F5"/>
    <w:rsid w:val="0072388C"/>
    <w:rsid w:val="0072454E"/>
    <w:rsid w:val="007249D1"/>
    <w:rsid w:val="00724FE4"/>
    <w:rsid w:val="00725829"/>
    <w:rsid w:val="00725D6A"/>
    <w:rsid w:val="007263A2"/>
    <w:rsid w:val="007266B9"/>
    <w:rsid w:val="00727235"/>
    <w:rsid w:val="00727351"/>
    <w:rsid w:val="00727821"/>
    <w:rsid w:val="00727AC5"/>
    <w:rsid w:val="00727C65"/>
    <w:rsid w:val="007300F0"/>
    <w:rsid w:val="00730904"/>
    <w:rsid w:val="00731D13"/>
    <w:rsid w:val="00731DEB"/>
    <w:rsid w:val="00731EDE"/>
    <w:rsid w:val="0073245C"/>
    <w:rsid w:val="00732493"/>
    <w:rsid w:val="00732FE9"/>
    <w:rsid w:val="00733772"/>
    <w:rsid w:val="00733A43"/>
    <w:rsid w:val="00733AE4"/>
    <w:rsid w:val="00733D5F"/>
    <w:rsid w:val="00734932"/>
    <w:rsid w:val="00735D53"/>
    <w:rsid w:val="0073618A"/>
    <w:rsid w:val="007364A3"/>
    <w:rsid w:val="00736740"/>
    <w:rsid w:val="007376A3"/>
    <w:rsid w:val="007378FD"/>
    <w:rsid w:val="007379E8"/>
    <w:rsid w:val="007403FE"/>
    <w:rsid w:val="00740422"/>
    <w:rsid w:val="00740495"/>
    <w:rsid w:val="007405ED"/>
    <w:rsid w:val="00740AA6"/>
    <w:rsid w:val="00740FB6"/>
    <w:rsid w:val="007413EB"/>
    <w:rsid w:val="007413FB"/>
    <w:rsid w:val="00742D32"/>
    <w:rsid w:val="00742E9B"/>
    <w:rsid w:val="0074310F"/>
    <w:rsid w:val="007444E6"/>
    <w:rsid w:val="00745184"/>
    <w:rsid w:val="0074592C"/>
    <w:rsid w:val="00745C91"/>
    <w:rsid w:val="00746098"/>
    <w:rsid w:val="007461EA"/>
    <w:rsid w:val="00746D58"/>
    <w:rsid w:val="00747578"/>
    <w:rsid w:val="0074795D"/>
    <w:rsid w:val="00750D12"/>
    <w:rsid w:val="00751073"/>
    <w:rsid w:val="007517B3"/>
    <w:rsid w:val="0075191B"/>
    <w:rsid w:val="00751AF2"/>
    <w:rsid w:val="00751B1A"/>
    <w:rsid w:val="00751BD2"/>
    <w:rsid w:val="00751C69"/>
    <w:rsid w:val="00751CE5"/>
    <w:rsid w:val="00752034"/>
    <w:rsid w:val="00752188"/>
    <w:rsid w:val="00752859"/>
    <w:rsid w:val="00752CC6"/>
    <w:rsid w:val="00752CEB"/>
    <w:rsid w:val="0075307A"/>
    <w:rsid w:val="00753938"/>
    <w:rsid w:val="00753A57"/>
    <w:rsid w:val="0075418B"/>
    <w:rsid w:val="007543CE"/>
    <w:rsid w:val="0075497E"/>
    <w:rsid w:val="00754A29"/>
    <w:rsid w:val="00754CB9"/>
    <w:rsid w:val="00755B6F"/>
    <w:rsid w:val="00755BCF"/>
    <w:rsid w:val="00756C5F"/>
    <w:rsid w:val="00756D69"/>
    <w:rsid w:val="0075700D"/>
    <w:rsid w:val="00757029"/>
    <w:rsid w:val="007571FD"/>
    <w:rsid w:val="0075723D"/>
    <w:rsid w:val="007602D4"/>
    <w:rsid w:val="007606A3"/>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5C3"/>
    <w:rsid w:val="0076497F"/>
    <w:rsid w:val="007660EC"/>
    <w:rsid w:val="007662C7"/>
    <w:rsid w:val="00766862"/>
    <w:rsid w:val="007675DD"/>
    <w:rsid w:val="007702BF"/>
    <w:rsid w:val="007705F0"/>
    <w:rsid w:val="00771CAC"/>
    <w:rsid w:val="00772036"/>
    <w:rsid w:val="00773098"/>
    <w:rsid w:val="00773610"/>
    <w:rsid w:val="007739A3"/>
    <w:rsid w:val="00773BD9"/>
    <w:rsid w:val="00773CB0"/>
    <w:rsid w:val="00773D71"/>
    <w:rsid w:val="007745E1"/>
    <w:rsid w:val="00775526"/>
    <w:rsid w:val="00775651"/>
    <w:rsid w:val="00775F3F"/>
    <w:rsid w:val="007767B1"/>
    <w:rsid w:val="0077710B"/>
    <w:rsid w:val="0077765A"/>
    <w:rsid w:val="00780032"/>
    <w:rsid w:val="00780636"/>
    <w:rsid w:val="00780E86"/>
    <w:rsid w:val="0078108C"/>
    <w:rsid w:val="00781727"/>
    <w:rsid w:val="007823E8"/>
    <w:rsid w:val="00782411"/>
    <w:rsid w:val="00782CF3"/>
    <w:rsid w:val="007838BA"/>
    <w:rsid w:val="00783959"/>
    <w:rsid w:val="00783BA5"/>
    <w:rsid w:val="007843D8"/>
    <w:rsid w:val="007844A9"/>
    <w:rsid w:val="00785091"/>
    <w:rsid w:val="007856A6"/>
    <w:rsid w:val="0078638C"/>
    <w:rsid w:val="0078681A"/>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4E4F"/>
    <w:rsid w:val="007952DE"/>
    <w:rsid w:val="00795479"/>
    <w:rsid w:val="007959DB"/>
    <w:rsid w:val="00796292"/>
    <w:rsid w:val="007965D9"/>
    <w:rsid w:val="00796BA2"/>
    <w:rsid w:val="007972D5"/>
    <w:rsid w:val="0079778D"/>
    <w:rsid w:val="00797927"/>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029"/>
    <w:rsid w:val="007A54F6"/>
    <w:rsid w:val="007A55FE"/>
    <w:rsid w:val="007A582C"/>
    <w:rsid w:val="007A5950"/>
    <w:rsid w:val="007A6850"/>
    <w:rsid w:val="007A6D91"/>
    <w:rsid w:val="007A7618"/>
    <w:rsid w:val="007B00C9"/>
    <w:rsid w:val="007B02C7"/>
    <w:rsid w:val="007B0306"/>
    <w:rsid w:val="007B084C"/>
    <w:rsid w:val="007B08E4"/>
    <w:rsid w:val="007B0D86"/>
    <w:rsid w:val="007B270F"/>
    <w:rsid w:val="007B28C3"/>
    <w:rsid w:val="007B305E"/>
    <w:rsid w:val="007B3A8E"/>
    <w:rsid w:val="007B3C9B"/>
    <w:rsid w:val="007B4271"/>
    <w:rsid w:val="007B457C"/>
    <w:rsid w:val="007B497D"/>
    <w:rsid w:val="007B4EE9"/>
    <w:rsid w:val="007B5234"/>
    <w:rsid w:val="007B54C7"/>
    <w:rsid w:val="007B5637"/>
    <w:rsid w:val="007B5DC5"/>
    <w:rsid w:val="007B5F32"/>
    <w:rsid w:val="007B63FC"/>
    <w:rsid w:val="007B6708"/>
    <w:rsid w:val="007B6C20"/>
    <w:rsid w:val="007B6E8D"/>
    <w:rsid w:val="007B7ECE"/>
    <w:rsid w:val="007C029E"/>
    <w:rsid w:val="007C0636"/>
    <w:rsid w:val="007C10E4"/>
    <w:rsid w:val="007C159F"/>
    <w:rsid w:val="007C17B4"/>
    <w:rsid w:val="007C1952"/>
    <w:rsid w:val="007C19F6"/>
    <w:rsid w:val="007C20F8"/>
    <w:rsid w:val="007C21C5"/>
    <w:rsid w:val="007C2229"/>
    <w:rsid w:val="007C2267"/>
    <w:rsid w:val="007C2313"/>
    <w:rsid w:val="007C2423"/>
    <w:rsid w:val="007C25C1"/>
    <w:rsid w:val="007C3590"/>
    <w:rsid w:val="007C387A"/>
    <w:rsid w:val="007C3A0D"/>
    <w:rsid w:val="007C3EB0"/>
    <w:rsid w:val="007C43D6"/>
    <w:rsid w:val="007C44FE"/>
    <w:rsid w:val="007C47FF"/>
    <w:rsid w:val="007C60A8"/>
    <w:rsid w:val="007C660F"/>
    <w:rsid w:val="007C6664"/>
    <w:rsid w:val="007C66FF"/>
    <w:rsid w:val="007C69AE"/>
    <w:rsid w:val="007C6A25"/>
    <w:rsid w:val="007C6E15"/>
    <w:rsid w:val="007C6FE9"/>
    <w:rsid w:val="007C7688"/>
    <w:rsid w:val="007C76E3"/>
    <w:rsid w:val="007C76F3"/>
    <w:rsid w:val="007C7DD9"/>
    <w:rsid w:val="007D03BC"/>
    <w:rsid w:val="007D0DC9"/>
    <w:rsid w:val="007D0ECD"/>
    <w:rsid w:val="007D1374"/>
    <w:rsid w:val="007D1ACB"/>
    <w:rsid w:val="007D2882"/>
    <w:rsid w:val="007D296C"/>
    <w:rsid w:val="007D2C31"/>
    <w:rsid w:val="007D2E50"/>
    <w:rsid w:val="007D3D74"/>
    <w:rsid w:val="007D445F"/>
    <w:rsid w:val="007D4DED"/>
    <w:rsid w:val="007D5B91"/>
    <w:rsid w:val="007D5BA2"/>
    <w:rsid w:val="007D5ED3"/>
    <w:rsid w:val="007D682F"/>
    <w:rsid w:val="007D6FB9"/>
    <w:rsid w:val="007D7211"/>
    <w:rsid w:val="007E0595"/>
    <w:rsid w:val="007E0820"/>
    <w:rsid w:val="007E0A63"/>
    <w:rsid w:val="007E0B6C"/>
    <w:rsid w:val="007E0C63"/>
    <w:rsid w:val="007E0E05"/>
    <w:rsid w:val="007E0F5D"/>
    <w:rsid w:val="007E1D2C"/>
    <w:rsid w:val="007E23A1"/>
    <w:rsid w:val="007E259F"/>
    <w:rsid w:val="007E2E09"/>
    <w:rsid w:val="007E347E"/>
    <w:rsid w:val="007E3A1A"/>
    <w:rsid w:val="007E41A4"/>
    <w:rsid w:val="007E43E3"/>
    <w:rsid w:val="007E54B8"/>
    <w:rsid w:val="007E56FB"/>
    <w:rsid w:val="007E5D12"/>
    <w:rsid w:val="007E6420"/>
    <w:rsid w:val="007E677F"/>
    <w:rsid w:val="007E6B25"/>
    <w:rsid w:val="007E6E06"/>
    <w:rsid w:val="007E6F4A"/>
    <w:rsid w:val="007E79CC"/>
    <w:rsid w:val="007E7DAE"/>
    <w:rsid w:val="007F1124"/>
    <w:rsid w:val="007F152D"/>
    <w:rsid w:val="007F20C4"/>
    <w:rsid w:val="007F20EE"/>
    <w:rsid w:val="007F23D8"/>
    <w:rsid w:val="007F267E"/>
    <w:rsid w:val="007F307A"/>
    <w:rsid w:val="007F30C6"/>
    <w:rsid w:val="007F3561"/>
    <w:rsid w:val="007F38FD"/>
    <w:rsid w:val="007F3C18"/>
    <w:rsid w:val="007F4318"/>
    <w:rsid w:val="007F4709"/>
    <w:rsid w:val="007F47DA"/>
    <w:rsid w:val="007F4E52"/>
    <w:rsid w:val="007F4F18"/>
    <w:rsid w:val="007F4F84"/>
    <w:rsid w:val="007F5382"/>
    <w:rsid w:val="007F55A4"/>
    <w:rsid w:val="007F5D28"/>
    <w:rsid w:val="007F6260"/>
    <w:rsid w:val="007F631D"/>
    <w:rsid w:val="007F6370"/>
    <w:rsid w:val="007F6466"/>
    <w:rsid w:val="007F682B"/>
    <w:rsid w:val="007F78E8"/>
    <w:rsid w:val="007F7EB8"/>
    <w:rsid w:val="007F7F8F"/>
    <w:rsid w:val="00800509"/>
    <w:rsid w:val="0080078E"/>
    <w:rsid w:val="00800B7F"/>
    <w:rsid w:val="008012B1"/>
    <w:rsid w:val="0080133B"/>
    <w:rsid w:val="00801D63"/>
    <w:rsid w:val="0080348B"/>
    <w:rsid w:val="00803632"/>
    <w:rsid w:val="00803B3C"/>
    <w:rsid w:val="00803D82"/>
    <w:rsid w:val="00803D98"/>
    <w:rsid w:val="00804BD2"/>
    <w:rsid w:val="008052CE"/>
    <w:rsid w:val="008058D0"/>
    <w:rsid w:val="0080621C"/>
    <w:rsid w:val="00806446"/>
    <w:rsid w:val="00806A4C"/>
    <w:rsid w:val="0080705B"/>
    <w:rsid w:val="00807196"/>
    <w:rsid w:val="0080723C"/>
    <w:rsid w:val="00807604"/>
    <w:rsid w:val="00807F71"/>
    <w:rsid w:val="0081000F"/>
    <w:rsid w:val="00811ABF"/>
    <w:rsid w:val="00812657"/>
    <w:rsid w:val="00812960"/>
    <w:rsid w:val="00812A1A"/>
    <w:rsid w:val="00812DFF"/>
    <w:rsid w:val="0081362F"/>
    <w:rsid w:val="0081383A"/>
    <w:rsid w:val="00813EC2"/>
    <w:rsid w:val="008147EA"/>
    <w:rsid w:val="0081497F"/>
    <w:rsid w:val="00814B90"/>
    <w:rsid w:val="00814E9C"/>
    <w:rsid w:val="00814FC7"/>
    <w:rsid w:val="0081660C"/>
    <w:rsid w:val="00817195"/>
    <w:rsid w:val="00817416"/>
    <w:rsid w:val="00817658"/>
    <w:rsid w:val="00817CFF"/>
    <w:rsid w:val="00817DFB"/>
    <w:rsid w:val="008206AE"/>
    <w:rsid w:val="00821271"/>
    <w:rsid w:val="00821306"/>
    <w:rsid w:val="008213D9"/>
    <w:rsid w:val="008216CE"/>
    <w:rsid w:val="00821827"/>
    <w:rsid w:val="008218AE"/>
    <w:rsid w:val="00821D85"/>
    <w:rsid w:val="00821E47"/>
    <w:rsid w:val="008220F6"/>
    <w:rsid w:val="00822456"/>
    <w:rsid w:val="00823819"/>
    <w:rsid w:val="00823C4B"/>
    <w:rsid w:val="0082427D"/>
    <w:rsid w:val="00825441"/>
    <w:rsid w:val="00826855"/>
    <w:rsid w:val="008268D5"/>
    <w:rsid w:val="00826D38"/>
    <w:rsid w:val="00830052"/>
    <w:rsid w:val="008300D0"/>
    <w:rsid w:val="008308D8"/>
    <w:rsid w:val="0083150E"/>
    <w:rsid w:val="008320D2"/>
    <w:rsid w:val="008321CE"/>
    <w:rsid w:val="0083257C"/>
    <w:rsid w:val="0083261B"/>
    <w:rsid w:val="00832B44"/>
    <w:rsid w:val="00832EC9"/>
    <w:rsid w:val="00833307"/>
    <w:rsid w:val="00833583"/>
    <w:rsid w:val="00833B5B"/>
    <w:rsid w:val="00833E9A"/>
    <w:rsid w:val="00833F52"/>
    <w:rsid w:val="0083445C"/>
    <w:rsid w:val="00834FEF"/>
    <w:rsid w:val="00836323"/>
    <w:rsid w:val="00837D3D"/>
    <w:rsid w:val="00837E9B"/>
    <w:rsid w:val="008404AA"/>
    <w:rsid w:val="008406D7"/>
    <w:rsid w:val="0084074F"/>
    <w:rsid w:val="008407BA"/>
    <w:rsid w:val="00840A70"/>
    <w:rsid w:val="00840AA3"/>
    <w:rsid w:val="00840AAC"/>
    <w:rsid w:val="0084101C"/>
    <w:rsid w:val="0084181B"/>
    <w:rsid w:val="00841F29"/>
    <w:rsid w:val="008425CC"/>
    <w:rsid w:val="00842DC2"/>
    <w:rsid w:val="0084357B"/>
    <w:rsid w:val="0084568C"/>
    <w:rsid w:val="008462D6"/>
    <w:rsid w:val="008465B4"/>
    <w:rsid w:val="00846D25"/>
    <w:rsid w:val="00847907"/>
    <w:rsid w:val="00850013"/>
    <w:rsid w:val="008500DD"/>
    <w:rsid w:val="00850A0A"/>
    <w:rsid w:val="00850A94"/>
    <w:rsid w:val="00851E96"/>
    <w:rsid w:val="00851F1C"/>
    <w:rsid w:val="00852FA5"/>
    <w:rsid w:val="00853114"/>
    <w:rsid w:val="00853208"/>
    <w:rsid w:val="008535AE"/>
    <w:rsid w:val="00853DE9"/>
    <w:rsid w:val="00853F7D"/>
    <w:rsid w:val="0085517F"/>
    <w:rsid w:val="0085562D"/>
    <w:rsid w:val="00855A78"/>
    <w:rsid w:val="00856154"/>
    <w:rsid w:val="00856286"/>
    <w:rsid w:val="0085657E"/>
    <w:rsid w:val="00856D63"/>
    <w:rsid w:val="00856E98"/>
    <w:rsid w:val="00856F0E"/>
    <w:rsid w:val="008573AF"/>
    <w:rsid w:val="008576B0"/>
    <w:rsid w:val="00860296"/>
    <w:rsid w:val="008602E3"/>
    <w:rsid w:val="00860DA4"/>
    <w:rsid w:val="00861146"/>
    <w:rsid w:val="00861948"/>
    <w:rsid w:val="00862011"/>
    <w:rsid w:val="00862A15"/>
    <w:rsid w:val="00862AAE"/>
    <w:rsid w:val="00862CC9"/>
    <w:rsid w:val="00862D8E"/>
    <w:rsid w:val="00862EF2"/>
    <w:rsid w:val="00863509"/>
    <w:rsid w:val="00863D33"/>
    <w:rsid w:val="00863D80"/>
    <w:rsid w:val="00864FB3"/>
    <w:rsid w:val="0086598A"/>
    <w:rsid w:val="00865C3D"/>
    <w:rsid w:val="00865F4C"/>
    <w:rsid w:val="00866453"/>
    <w:rsid w:val="0086707F"/>
    <w:rsid w:val="00867501"/>
    <w:rsid w:val="00867D8E"/>
    <w:rsid w:val="008700C0"/>
    <w:rsid w:val="0087058B"/>
    <w:rsid w:val="0087063B"/>
    <w:rsid w:val="0087099A"/>
    <w:rsid w:val="00870D79"/>
    <w:rsid w:val="00871333"/>
    <w:rsid w:val="00871952"/>
    <w:rsid w:val="00872006"/>
    <w:rsid w:val="00872386"/>
    <w:rsid w:val="008726D7"/>
    <w:rsid w:val="00873128"/>
    <w:rsid w:val="008735BC"/>
    <w:rsid w:val="0087363E"/>
    <w:rsid w:val="00873897"/>
    <w:rsid w:val="00873AAC"/>
    <w:rsid w:val="00873C61"/>
    <w:rsid w:val="00873DFD"/>
    <w:rsid w:val="008749BF"/>
    <w:rsid w:val="00875542"/>
    <w:rsid w:val="00875E14"/>
    <w:rsid w:val="0087677E"/>
    <w:rsid w:val="0087712C"/>
    <w:rsid w:val="008776E7"/>
    <w:rsid w:val="00877746"/>
    <w:rsid w:val="00877C5D"/>
    <w:rsid w:val="00880354"/>
    <w:rsid w:val="00880611"/>
    <w:rsid w:val="0088093C"/>
    <w:rsid w:val="00880BC0"/>
    <w:rsid w:val="0088127A"/>
    <w:rsid w:val="00881D59"/>
    <w:rsid w:val="00881ED4"/>
    <w:rsid w:val="00882991"/>
    <w:rsid w:val="00882EC1"/>
    <w:rsid w:val="0088324E"/>
    <w:rsid w:val="0088434F"/>
    <w:rsid w:val="00884371"/>
    <w:rsid w:val="008848E2"/>
    <w:rsid w:val="00884B7A"/>
    <w:rsid w:val="00884D47"/>
    <w:rsid w:val="008856C5"/>
    <w:rsid w:val="00886112"/>
    <w:rsid w:val="00886B7E"/>
    <w:rsid w:val="008870B9"/>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3AB"/>
    <w:rsid w:val="00895963"/>
    <w:rsid w:val="00896C63"/>
    <w:rsid w:val="00896F55"/>
    <w:rsid w:val="008972B6"/>
    <w:rsid w:val="00897339"/>
    <w:rsid w:val="00897697"/>
    <w:rsid w:val="008977E1"/>
    <w:rsid w:val="00897BFA"/>
    <w:rsid w:val="00897D19"/>
    <w:rsid w:val="008A0044"/>
    <w:rsid w:val="008A0BFE"/>
    <w:rsid w:val="008A1932"/>
    <w:rsid w:val="008A1E83"/>
    <w:rsid w:val="008A21D9"/>
    <w:rsid w:val="008A232D"/>
    <w:rsid w:val="008A2D78"/>
    <w:rsid w:val="008A3182"/>
    <w:rsid w:val="008A3C76"/>
    <w:rsid w:val="008A3D54"/>
    <w:rsid w:val="008A3E10"/>
    <w:rsid w:val="008A411C"/>
    <w:rsid w:val="008A4630"/>
    <w:rsid w:val="008A47CE"/>
    <w:rsid w:val="008A4DFA"/>
    <w:rsid w:val="008A58C7"/>
    <w:rsid w:val="008A5DCA"/>
    <w:rsid w:val="008A5F2F"/>
    <w:rsid w:val="008A64B7"/>
    <w:rsid w:val="008A6BAE"/>
    <w:rsid w:val="008A7350"/>
    <w:rsid w:val="008A7A72"/>
    <w:rsid w:val="008B09F3"/>
    <w:rsid w:val="008B111A"/>
    <w:rsid w:val="008B16E6"/>
    <w:rsid w:val="008B1AB2"/>
    <w:rsid w:val="008B1B17"/>
    <w:rsid w:val="008B1D9B"/>
    <w:rsid w:val="008B2042"/>
    <w:rsid w:val="008B25F1"/>
    <w:rsid w:val="008B2C8F"/>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107"/>
    <w:rsid w:val="008B770C"/>
    <w:rsid w:val="008B7D3F"/>
    <w:rsid w:val="008C0325"/>
    <w:rsid w:val="008C094A"/>
    <w:rsid w:val="008C0A61"/>
    <w:rsid w:val="008C1570"/>
    <w:rsid w:val="008C1792"/>
    <w:rsid w:val="008C17B2"/>
    <w:rsid w:val="008C1E3E"/>
    <w:rsid w:val="008C2059"/>
    <w:rsid w:val="008C21D0"/>
    <w:rsid w:val="008C2DBC"/>
    <w:rsid w:val="008C3A4E"/>
    <w:rsid w:val="008C4104"/>
    <w:rsid w:val="008C4A37"/>
    <w:rsid w:val="008C5371"/>
    <w:rsid w:val="008C623D"/>
    <w:rsid w:val="008C65F4"/>
    <w:rsid w:val="008C6683"/>
    <w:rsid w:val="008C6E0C"/>
    <w:rsid w:val="008C7273"/>
    <w:rsid w:val="008C78F8"/>
    <w:rsid w:val="008D05DF"/>
    <w:rsid w:val="008D09E8"/>
    <w:rsid w:val="008D0E65"/>
    <w:rsid w:val="008D0F4B"/>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4E8C"/>
    <w:rsid w:val="008D5432"/>
    <w:rsid w:val="008D54C0"/>
    <w:rsid w:val="008D5558"/>
    <w:rsid w:val="008D5806"/>
    <w:rsid w:val="008D5ED9"/>
    <w:rsid w:val="008D6857"/>
    <w:rsid w:val="008D69BC"/>
    <w:rsid w:val="008D7247"/>
    <w:rsid w:val="008D7567"/>
    <w:rsid w:val="008E0464"/>
    <w:rsid w:val="008E092F"/>
    <w:rsid w:val="008E0EE4"/>
    <w:rsid w:val="008E1074"/>
    <w:rsid w:val="008E12BE"/>
    <w:rsid w:val="008E13FD"/>
    <w:rsid w:val="008E17D5"/>
    <w:rsid w:val="008E1BBD"/>
    <w:rsid w:val="008E1C24"/>
    <w:rsid w:val="008E2626"/>
    <w:rsid w:val="008E27A9"/>
    <w:rsid w:val="008E295D"/>
    <w:rsid w:val="008E323C"/>
    <w:rsid w:val="008E32E0"/>
    <w:rsid w:val="008E35A6"/>
    <w:rsid w:val="008E36D9"/>
    <w:rsid w:val="008E3A5C"/>
    <w:rsid w:val="008E3A9A"/>
    <w:rsid w:val="008E429E"/>
    <w:rsid w:val="008E4885"/>
    <w:rsid w:val="008E58A3"/>
    <w:rsid w:val="008E5938"/>
    <w:rsid w:val="008E6109"/>
    <w:rsid w:val="008E6A39"/>
    <w:rsid w:val="008E76BB"/>
    <w:rsid w:val="008F1312"/>
    <w:rsid w:val="008F1764"/>
    <w:rsid w:val="008F1E3D"/>
    <w:rsid w:val="008F235C"/>
    <w:rsid w:val="008F290B"/>
    <w:rsid w:val="008F2F11"/>
    <w:rsid w:val="008F3369"/>
    <w:rsid w:val="008F33A6"/>
    <w:rsid w:val="008F35EC"/>
    <w:rsid w:val="008F4A31"/>
    <w:rsid w:val="008F4FE8"/>
    <w:rsid w:val="008F4FED"/>
    <w:rsid w:val="008F583A"/>
    <w:rsid w:val="008F5D5A"/>
    <w:rsid w:val="008F6032"/>
    <w:rsid w:val="008F6200"/>
    <w:rsid w:val="008F62F8"/>
    <w:rsid w:val="008F6893"/>
    <w:rsid w:val="008F70CC"/>
    <w:rsid w:val="008F7292"/>
    <w:rsid w:val="008F76C0"/>
    <w:rsid w:val="009000F2"/>
    <w:rsid w:val="0090079D"/>
    <w:rsid w:val="0090086A"/>
    <w:rsid w:val="00900D2C"/>
    <w:rsid w:val="00901807"/>
    <w:rsid w:val="00901BF9"/>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4F6"/>
    <w:rsid w:val="00906EA2"/>
    <w:rsid w:val="00907278"/>
    <w:rsid w:val="00910041"/>
    <w:rsid w:val="0091112B"/>
    <w:rsid w:val="00911D61"/>
    <w:rsid w:val="00912349"/>
    <w:rsid w:val="00912850"/>
    <w:rsid w:val="009128B8"/>
    <w:rsid w:val="00912BCD"/>
    <w:rsid w:val="00912CAF"/>
    <w:rsid w:val="00913E1B"/>
    <w:rsid w:val="0091472C"/>
    <w:rsid w:val="00914DC9"/>
    <w:rsid w:val="00915351"/>
    <w:rsid w:val="00915679"/>
    <w:rsid w:val="009159C2"/>
    <w:rsid w:val="0091627F"/>
    <w:rsid w:val="00916E45"/>
    <w:rsid w:val="0092077A"/>
    <w:rsid w:val="00920DC0"/>
    <w:rsid w:val="00920E2F"/>
    <w:rsid w:val="00921419"/>
    <w:rsid w:val="009219F3"/>
    <w:rsid w:val="00921FA5"/>
    <w:rsid w:val="009221CB"/>
    <w:rsid w:val="009222D1"/>
    <w:rsid w:val="00922320"/>
    <w:rsid w:val="00922ECC"/>
    <w:rsid w:val="00923643"/>
    <w:rsid w:val="0092371D"/>
    <w:rsid w:val="00923E1A"/>
    <w:rsid w:val="009245CC"/>
    <w:rsid w:val="0092490A"/>
    <w:rsid w:val="00925A3E"/>
    <w:rsid w:val="009261DB"/>
    <w:rsid w:val="00926939"/>
    <w:rsid w:val="00926E06"/>
    <w:rsid w:val="00926F4C"/>
    <w:rsid w:val="00927330"/>
    <w:rsid w:val="00927710"/>
    <w:rsid w:val="009279F9"/>
    <w:rsid w:val="00927B47"/>
    <w:rsid w:val="009307CA"/>
    <w:rsid w:val="0093115F"/>
    <w:rsid w:val="009312F9"/>
    <w:rsid w:val="00931445"/>
    <w:rsid w:val="00931AB8"/>
    <w:rsid w:val="00931C19"/>
    <w:rsid w:val="00931C63"/>
    <w:rsid w:val="00931D10"/>
    <w:rsid w:val="0093218A"/>
    <w:rsid w:val="0093386D"/>
    <w:rsid w:val="00934C8E"/>
    <w:rsid w:val="00935194"/>
    <w:rsid w:val="00936E71"/>
    <w:rsid w:val="00936EA5"/>
    <w:rsid w:val="00937114"/>
    <w:rsid w:val="009400A3"/>
    <w:rsid w:val="0094015D"/>
    <w:rsid w:val="00940461"/>
    <w:rsid w:val="00940916"/>
    <w:rsid w:val="0094129E"/>
    <w:rsid w:val="009412B7"/>
    <w:rsid w:val="00941B13"/>
    <w:rsid w:val="00941F94"/>
    <w:rsid w:val="0094215C"/>
    <w:rsid w:val="00942F8E"/>
    <w:rsid w:val="00943543"/>
    <w:rsid w:val="009441DB"/>
    <w:rsid w:val="00944834"/>
    <w:rsid w:val="00946128"/>
    <w:rsid w:val="0094633F"/>
    <w:rsid w:val="00946E09"/>
    <w:rsid w:val="00947BA5"/>
    <w:rsid w:val="00950805"/>
    <w:rsid w:val="009517E4"/>
    <w:rsid w:val="009517FD"/>
    <w:rsid w:val="009518D4"/>
    <w:rsid w:val="009520BC"/>
    <w:rsid w:val="009521D2"/>
    <w:rsid w:val="00952403"/>
    <w:rsid w:val="00952589"/>
    <w:rsid w:val="00952BD8"/>
    <w:rsid w:val="00953573"/>
    <w:rsid w:val="009537C0"/>
    <w:rsid w:val="009557A9"/>
    <w:rsid w:val="00956647"/>
    <w:rsid w:val="00957380"/>
    <w:rsid w:val="00957409"/>
    <w:rsid w:val="00957499"/>
    <w:rsid w:val="00957AE1"/>
    <w:rsid w:val="00957ED2"/>
    <w:rsid w:val="009604AE"/>
    <w:rsid w:val="009609AF"/>
    <w:rsid w:val="00960DE4"/>
    <w:rsid w:val="00960E27"/>
    <w:rsid w:val="009610C7"/>
    <w:rsid w:val="00961164"/>
    <w:rsid w:val="00961867"/>
    <w:rsid w:val="00961A4F"/>
    <w:rsid w:val="009625B7"/>
    <w:rsid w:val="00962FB8"/>
    <w:rsid w:val="00963183"/>
    <w:rsid w:val="00963591"/>
    <w:rsid w:val="0096373F"/>
    <w:rsid w:val="00964007"/>
    <w:rsid w:val="00964283"/>
    <w:rsid w:val="009642A4"/>
    <w:rsid w:val="009643F4"/>
    <w:rsid w:val="009645A6"/>
    <w:rsid w:val="00964677"/>
    <w:rsid w:val="009648FE"/>
    <w:rsid w:val="009649B0"/>
    <w:rsid w:val="00964F5A"/>
    <w:rsid w:val="0096527F"/>
    <w:rsid w:val="009653ED"/>
    <w:rsid w:val="00966957"/>
    <w:rsid w:val="00966A21"/>
    <w:rsid w:val="00966AD2"/>
    <w:rsid w:val="009673A2"/>
    <w:rsid w:val="00970A5C"/>
    <w:rsid w:val="00971415"/>
    <w:rsid w:val="009716D8"/>
    <w:rsid w:val="00971F54"/>
    <w:rsid w:val="00972057"/>
    <w:rsid w:val="0097227B"/>
    <w:rsid w:val="0097262E"/>
    <w:rsid w:val="0097293F"/>
    <w:rsid w:val="00973103"/>
    <w:rsid w:val="0097337B"/>
    <w:rsid w:val="0097340F"/>
    <w:rsid w:val="009736EF"/>
    <w:rsid w:val="00974022"/>
    <w:rsid w:val="009743E8"/>
    <w:rsid w:val="009745D8"/>
    <w:rsid w:val="009748EA"/>
    <w:rsid w:val="00974F3B"/>
    <w:rsid w:val="0097552A"/>
    <w:rsid w:val="0097564A"/>
    <w:rsid w:val="00975974"/>
    <w:rsid w:val="00975D06"/>
    <w:rsid w:val="00975D63"/>
    <w:rsid w:val="00975DAE"/>
    <w:rsid w:val="00976BBE"/>
    <w:rsid w:val="0097774B"/>
    <w:rsid w:val="00980516"/>
    <w:rsid w:val="0098055B"/>
    <w:rsid w:val="00980992"/>
    <w:rsid w:val="00980B30"/>
    <w:rsid w:val="009810BE"/>
    <w:rsid w:val="00981601"/>
    <w:rsid w:val="009817BC"/>
    <w:rsid w:val="009818D8"/>
    <w:rsid w:val="009819A7"/>
    <w:rsid w:val="0098220A"/>
    <w:rsid w:val="0098285E"/>
    <w:rsid w:val="00982E75"/>
    <w:rsid w:val="00983337"/>
    <w:rsid w:val="009836AA"/>
    <w:rsid w:val="0098450E"/>
    <w:rsid w:val="009846BF"/>
    <w:rsid w:val="00984FCA"/>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1E0C"/>
    <w:rsid w:val="00992141"/>
    <w:rsid w:val="009921DB"/>
    <w:rsid w:val="00992C67"/>
    <w:rsid w:val="00992D5B"/>
    <w:rsid w:val="00993135"/>
    <w:rsid w:val="00993AC7"/>
    <w:rsid w:val="00993BAD"/>
    <w:rsid w:val="00993E49"/>
    <w:rsid w:val="00994120"/>
    <w:rsid w:val="009942F5"/>
    <w:rsid w:val="00994568"/>
    <w:rsid w:val="00994602"/>
    <w:rsid w:val="00995B01"/>
    <w:rsid w:val="00995C43"/>
    <w:rsid w:val="00996055"/>
    <w:rsid w:val="00996EF4"/>
    <w:rsid w:val="00997044"/>
    <w:rsid w:val="00997BC9"/>
    <w:rsid w:val="009A07FD"/>
    <w:rsid w:val="009A0C26"/>
    <w:rsid w:val="009A113D"/>
    <w:rsid w:val="009A1ECA"/>
    <w:rsid w:val="009A2671"/>
    <w:rsid w:val="009A2BE9"/>
    <w:rsid w:val="009A2BF3"/>
    <w:rsid w:val="009A3688"/>
    <w:rsid w:val="009A3713"/>
    <w:rsid w:val="009A3C3E"/>
    <w:rsid w:val="009A4153"/>
    <w:rsid w:val="009A4C2C"/>
    <w:rsid w:val="009A4CAB"/>
    <w:rsid w:val="009A59B3"/>
    <w:rsid w:val="009A5C28"/>
    <w:rsid w:val="009A5FAE"/>
    <w:rsid w:val="009A67DA"/>
    <w:rsid w:val="009A6B3A"/>
    <w:rsid w:val="009A70A3"/>
    <w:rsid w:val="009A7E7C"/>
    <w:rsid w:val="009B00E9"/>
    <w:rsid w:val="009B036C"/>
    <w:rsid w:val="009B05D2"/>
    <w:rsid w:val="009B152B"/>
    <w:rsid w:val="009B2731"/>
    <w:rsid w:val="009B2AFB"/>
    <w:rsid w:val="009B2DCF"/>
    <w:rsid w:val="009B312A"/>
    <w:rsid w:val="009B31B6"/>
    <w:rsid w:val="009B39D8"/>
    <w:rsid w:val="009B3D38"/>
    <w:rsid w:val="009B4368"/>
    <w:rsid w:val="009B4A6E"/>
    <w:rsid w:val="009B4D4C"/>
    <w:rsid w:val="009B63AE"/>
    <w:rsid w:val="009B66F5"/>
    <w:rsid w:val="009B7505"/>
    <w:rsid w:val="009C0020"/>
    <w:rsid w:val="009C03F7"/>
    <w:rsid w:val="009C0CE9"/>
    <w:rsid w:val="009C1029"/>
    <w:rsid w:val="009C10DA"/>
    <w:rsid w:val="009C19FC"/>
    <w:rsid w:val="009C27F7"/>
    <w:rsid w:val="009C354B"/>
    <w:rsid w:val="009C3BC4"/>
    <w:rsid w:val="009C3C93"/>
    <w:rsid w:val="009C3E97"/>
    <w:rsid w:val="009C4017"/>
    <w:rsid w:val="009C424E"/>
    <w:rsid w:val="009C4708"/>
    <w:rsid w:val="009C4870"/>
    <w:rsid w:val="009C4904"/>
    <w:rsid w:val="009C4C4E"/>
    <w:rsid w:val="009C4D37"/>
    <w:rsid w:val="009C55D5"/>
    <w:rsid w:val="009C574C"/>
    <w:rsid w:val="009C5753"/>
    <w:rsid w:val="009C5E42"/>
    <w:rsid w:val="009C5F35"/>
    <w:rsid w:val="009C620F"/>
    <w:rsid w:val="009C657D"/>
    <w:rsid w:val="009C724B"/>
    <w:rsid w:val="009C7266"/>
    <w:rsid w:val="009C748A"/>
    <w:rsid w:val="009C7D85"/>
    <w:rsid w:val="009D03B7"/>
    <w:rsid w:val="009D07AD"/>
    <w:rsid w:val="009D0824"/>
    <w:rsid w:val="009D1172"/>
    <w:rsid w:val="009D13CC"/>
    <w:rsid w:val="009D1654"/>
    <w:rsid w:val="009D1AAC"/>
    <w:rsid w:val="009D1BDB"/>
    <w:rsid w:val="009D2082"/>
    <w:rsid w:val="009D298F"/>
    <w:rsid w:val="009D29B9"/>
    <w:rsid w:val="009D2F9C"/>
    <w:rsid w:val="009D4207"/>
    <w:rsid w:val="009D4DDC"/>
    <w:rsid w:val="009D4DED"/>
    <w:rsid w:val="009D4E4A"/>
    <w:rsid w:val="009D5130"/>
    <w:rsid w:val="009D53D1"/>
    <w:rsid w:val="009D53FB"/>
    <w:rsid w:val="009D56A4"/>
    <w:rsid w:val="009D5FA0"/>
    <w:rsid w:val="009D6081"/>
    <w:rsid w:val="009D678C"/>
    <w:rsid w:val="009D6B8D"/>
    <w:rsid w:val="009D6B9A"/>
    <w:rsid w:val="009D6D30"/>
    <w:rsid w:val="009D7523"/>
    <w:rsid w:val="009D76B5"/>
    <w:rsid w:val="009D7AF1"/>
    <w:rsid w:val="009D7B88"/>
    <w:rsid w:val="009D7BC7"/>
    <w:rsid w:val="009D7FAC"/>
    <w:rsid w:val="009E0109"/>
    <w:rsid w:val="009E0342"/>
    <w:rsid w:val="009E098B"/>
    <w:rsid w:val="009E09AB"/>
    <w:rsid w:val="009E0D7D"/>
    <w:rsid w:val="009E0DAF"/>
    <w:rsid w:val="009E108C"/>
    <w:rsid w:val="009E196D"/>
    <w:rsid w:val="009E19BB"/>
    <w:rsid w:val="009E1C47"/>
    <w:rsid w:val="009E2A08"/>
    <w:rsid w:val="009E38D1"/>
    <w:rsid w:val="009E3DF1"/>
    <w:rsid w:val="009E441F"/>
    <w:rsid w:val="009E458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FC1"/>
    <w:rsid w:val="009F4550"/>
    <w:rsid w:val="009F4AED"/>
    <w:rsid w:val="009F56C0"/>
    <w:rsid w:val="009F5C76"/>
    <w:rsid w:val="009F7317"/>
    <w:rsid w:val="009F76A9"/>
    <w:rsid w:val="00A000C5"/>
    <w:rsid w:val="00A007B4"/>
    <w:rsid w:val="00A00930"/>
    <w:rsid w:val="00A00CA0"/>
    <w:rsid w:val="00A00E00"/>
    <w:rsid w:val="00A01221"/>
    <w:rsid w:val="00A012A8"/>
    <w:rsid w:val="00A012F1"/>
    <w:rsid w:val="00A016FF"/>
    <w:rsid w:val="00A01886"/>
    <w:rsid w:val="00A01E4E"/>
    <w:rsid w:val="00A0207F"/>
    <w:rsid w:val="00A021AF"/>
    <w:rsid w:val="00A02689"/>
    <w:rsid w:val="00A027B1"/>
    <w:rsid w:val="00A0307A"/>
    <w:rsid w:val="00A03A7C"/>
    <w:rsid w:val="00A044AA"/>
    <w:rsid w:val="00A046B7"/>
    <w:rsid w:val="00A04D5E"/>
    <w:rsid w:val="00A0618C"/>
    <w:rsid w:val="00A06275"/>
    <w:rsid w:val="00A0700C"/>
    <w:rsid w:val="00A07FCF"/>
    <w:rsid w:val="00A102F8"/>
    <w:rsid w:val="00A107C0"/>
    <w:rsid w:val="00A10A20"/>
    <w:rsid w:val="00A117D5"/>
    <w:rsid w:val="00A11836"/>
    <w:rsid w:val="00A11C11"/>
    <w:rsid w:val="00A11DB3"/>
    <w:rsid w:val="00A12720"/>
    <w:rsid w:val="00A12ED1"/>
    <w:rsid w:val="00A13121"/>
    <w:rsid w:val="00A131F5"/>
    <w:rsid w:val="00A133C1"/>
    <w:rsid w:val="00A13414"/>
    <w:rsid w:val="00A13675"/>
    <w:rsid w:val="00A138B7"/>
    <w:rsid w:val="00A13DC4"/>
    <w:rsid w:val="00A13F2D"/>
    <w:rsid w:val="00A14153"/>
    <w:rsid w:val="00A148A0"/>
    <w:rsid w:val="00A14AA8"/>
    <w:rsid w:val="00A14F81"/>
    <w:rsid w:val="00A1535F"/>
    <w:rsid w:val="00A15CB1"/>
    <w:rsid w:val="00A15DCC"/>
    <w:rsid w:val="00A15E7D"/>
    <w:rsid w:val="00A15E84"/>
    <w:rsid w:val="00A16021"/>
    <w:rsid w:val="00A165D7"/>
    <w:rsid w:val="00A16961"/>
    <w:rsid w:val="00A175E3"/>
    <w:rsid w:val="00A176DD"/>
    <w:rsid w:val="00A21838"/>
    <w:rsid w:val="00A21F6C"/>
    <w:rsid w:val="00A22C3E"/>
    <w:rsid w:val="00A22C4D"/>
    <w:rsid w:val="00A2334E"/>
    <w:rsid w:val="00A23442"/>
    <w:rsid w:val="00A249D2"/>
    <w:rsid w:val="00A25375"/>
    <w:rsid w:val="00A254AB"/>
    <w:rsid w:val="00A259F2"/>
    <w:rsid w:val="00A25F15"/>
    <w:rsid w:val="00A266CC"/>
    <w:rsid w:val="00A266E8"/>
    <w:rsid w:val="00A26DB4"/>
    <w:rsid w:val="00A2737F"/>
    <w:rsid w:val="00A27425"/>
    <w:rsid w:val="00A300D0"/>
    <w:rsid w:val="00A3023E"/>
    <w:rsid w:val="00A305C5"/>
    <w:rsid w:val="00A30919"/>
    <w:rsid w:val="00A31B08"/>
    <w:rsid w:val="00A31F05"/>
    <w:rsid w:val="00A31FD2"/>
    <w:rsid w:val="00A32CE8"/>
    <w:rsid w:val="00A3404D"/>
    <w:rsid w:val="00A341AB"/>
    <w:rsid w:val="00A34290"/>
    <w:rsid w:val="00A353A1"/>
    <w:rsid w:val="00A3547B"/>
    <w:rsid w:val="00A355F9"/>
    <w:rsid w:val="00A357D3"/>
    <w:rsid w:val="00A35AA9"/>
    <w:rsid w:val="00A35F3C"/>
    <w:rsid w:val="00A36201"/>
    <w:rsid w:val="00A365C8"/>
    <w:rsid w:val="00A36CF6"/>
    <w:rsid w:val="00A37309"/>
    <w:rsid w:val="00A37329"/>
    <w:rsid w:val="00A37558"/>
    <w:rsid w:val="00A3786A"/>
    <w:rsid w:val="00A4008C"/>
    <w:rsid w:val="00A402A8"/>
    <w:rsid w:val="00A40685"/>
    <w:rsid w:val="00A40E2F"/>
    <w:rsid w:val="00A41819"/>
    <w:rsid w:val="00A41A55"/>
    <w:rsid w:val="00A41C9A"/>
    <w:rsid w:val="00A41D73"/>
    <w:rsid w:val="00A42406"/>
    <w:rsid w:val="00A43173"/>
    <w:rsid w:val="00A433E8"/>
    <w:rsid w:val="00A43A1D"/>
    <w:rsid w:val="00A43AB0"/>
    <w:rsid w:val="00A44854"/>
    <w:rsid w:val="00A44A45"/>
    <w:rsid w:val="00A45ECA"/>
    <w:rsid w:val="00A45F2C"/>
    <w:rsid w:val="00A4665D"/>
    <w:rsid w:val="00A46859"/>
    <w:rsid w:val="00A46D39"/>
    <w:rsid w:val="00A46DA6"/>
    <w:rsid w:val="00A47019"/>
    <w:rsid w:val="00A472B8"/>
    <w:rsid w:val="00A5004A"/>
    <w:rsid w:val="00A5017C"/>
    <w:rsid w:val="00A502D6"/>
    <w:rsid w:val="00A502F5"/>
    <w:rsid w:val="00A504F4"/>
    <w:rsid w:val="00A507C4"/>
    <w:rsid w:val="00A508AA"/>
    <w:rsid w:val="00A50D24"/>
    <w:rsid w:val="00A50EE7"/>
    <w:rsid w:val="00A526CE"/>
    <w:rsid w:val="00A52B9F"/>
    <w:rsid w:val="00A52D19"/>
    <w:rsid w:val="00A5325E"/>
    <w:rsid w:val="00A5338D"/>
    <w:rsid w:val="00A535C4"/>
    <w:rsid w:val="00A54909"/>
    <w:rsid w:val="00A54DC0"/>
    <w:rsid w:val="00A550C9"/>
    <w:rsid w:val="00A55228"/>
    <w:rsid w:val="00A55410"/>
    <w:rsid w:val="00A55A04"/>
    <w:rsid w:val="00A55F4B"/>
    <w:rsid w:val="00A564DE"/>
    <w:rsid w:val="00A57500"/>
    <w:rsid w:val="00A57CDE"/>
    <w:rsid w:val="00A6054E"/>
    <w:rsid w:val="00A60799"/>
    <w:rsid w:val="00A6170B"/>
    <w:rsid w:val="00A61991"/>
    <w:rsid w:val="00A619E9"/>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2FB"/>
    <w:rsid w:val="00A70590"/>
    <w:rsid w:val="00A7062E"/>
    <w:rsid w:val="00A70834"/>
    <w:rsid w:val="00A71079"/>
    <w:rsid w:val="00A71542"/>
    <w:rsid w:val="00A7171F"/>
    <w:rsid w:val="00A71FA0"/>
    <w:rsid w:val="00A71FBD"/>
    <w:rsid w:val="00A72727"/>
    <w:rsid w:val="00A727D8"/>
    <w:rsid w:val="00A72832"/>
    <w:rsid w:val="00A72C1A"/>
    <w:rsid w:val="00A732FB"/>
    <w:rsid w:val="00A7463E"/>
    <w:rsid w:val="00A753F8"/>
    <w:rsid w:val="00A758E2"/>
    <w:rsid w:val="00A765B1"/>
    <w:rsid w:val="00A772F2"/>
    <w:rsid w:val="00A77828"/>
    <w:rsid w:val="00A77BAA"/>
    <w:rsid w:val="00A77DEE"/>
    <w:rsid w:val="00A800F9"/>
    <w:rsid w:val="00A803A6"/>
    <w:rsid w:val="00A8073D"/>
    <w:rsid w:val="00A80B0E"/>
    <w:rsid w:val="00A80D02"/>
    <w:rsid w:val="00A812DD"/>
    <w:rsid w:val="00A815FB"/>
    <w:rsid w:val="00A81AEB"/>
    <w:rsid w:val="00A82D32"/>
    <w:rsid w:val="00A82EAE"/>
    <w:rsid w:val="00A82FC7"/>
    <w:rsid w:val="00A8323C"/>
    <w:rsid w:val="00A847F9"/>
    <w:rsid w:val="00A84F27"/>
    <w:rsid w:val="00A8519C"/>
    <w:rsid w:val="00A855EE"/>
    <w:rsid w:val="00A856E1"/>
    <w:rsid w:val="00A8597A"/>
    <w:rsid w:val="00A85B87"/>
    <w:rsid w:val="00A85CE4"/>
    <w:rsid w:val="00A85F83"/>
    <w:rsid w:val="00A86019"/>
    <w:rsid w:val="00A86EED"/>
    <w:rsid w:val="00A8733A"/>
    <w:rsid w:val="00A90434"/>
    <w:rsid w:val="00A90629"/>
    <w:rsid w:val="00A90766"/>
    <w:rsid w:val="00A90C4D"/>
    <w:rsid w:val="00A91340"/>
    <w:rsid w:val="00A9151F"/>
    <w:rsid w:val="00A9196B"/>
    <w:rsid w:val="00A91BB5"/>
    <w:rsid w:val="00A91BEE"/>
    <w:rsid w:val="00A91D4B"/>
    <w:rsid w:val="00A920B2"/>
    <w:rsid w:val="00A92604"/>
    <w:rsid w:val="00A92A96"/>
    <w:rsid w:val="00A92AF0"/>
    <w:rsid w:val="00A933FE"/>
    <w:rsid w:val="00A937D5"/>
    <w:rsid w:val="00A93C70"/>
    <w:rsid w:val="00A94A32"/>
    <w:rsid w:val="00A94AC5"/>
    <w:rsid w:val="00A94AFC"/>
    <w:rsid w:val="00A94BF5"/>
    <w:rsid w:val="00A9686A"/>
    <w:rsid w:val="00A968BF"/>
    <w:rsid w:val="00A96B4A"/>
    <w:rsid w:val="00A97BDA"/>
    <w:rsid w:val="00AA043A"/>
    <w:rsid w:val="00AA0779"/>
    <w:rsid w:val="00AA08F3"/>
    <w:rsid w:val="00AA0A7E"/>
    <w:rsid w:val="00AA0F23"/>
    <w:rsid w:val="00AA1067"/>
    <w:rsid w:val="00AA1163"/>
    <w:rsid w:val="00AA1732"/>
    <w:rsid w:val="00AA1DA8"/>
    <w:rsid w:val="00AA218C"/>
    <w:rsid w:val="00AA222C"/>
    <w:rsid w:val="00AA2264"/>
    <w:rsid w:val="00AA238E"/>
    <w:rsid w:val="00AA2483"/>
    <w:rsid w:val="00AA253B"/>
    <w:rsid w:val="00AA26C8"/>
    <w:rsid w:val="00AA29F8"/>
    <w:rsid w:val="00AA2EB4"/>
    <w:rsid w:val="00AA31AC"/>
    <w:rsid w:val="00AA3243"/>
    <w:rsid w:val="00AA3252"/>
    <w:rsid w:val="00AA350C"/>
    <w:rsid w:val="00AA388F"/>
    <w:rsid w:val="00AA395A"/>
    <w:rsid w:val="00AA3C4C"/>
    <w:rsid w:val="00AA408E"/>
    <w:rsid w:val="00AA4DA9"/>
    <w:rsid w:val="00AA4F6D"/>
    <w:rsid w:val="00AA50CE"/>
    <w:rsid w:val="00AA536B"/>
    <w:rsid w:val="00AA55E5"/>
    <w:rsid w:val="00AA57C9"/>
    <w:rsid w:val="00AA5A5C"/>
    <w:rsid w:val="00AA5A6F"/>
    <w:rsid w:val="00AA5B46"/>
    <w:rsid w:val="00AA634D"/>
    <w:rsid w:val="00AA6F6C"/>
    <w:rsid w:val="00AA721D"/>
    <w:rsid w:val="00AA7519"/>
    <w:rsid w:val="00AA759D"/>
    <w:rsid w:val="00AA790A"/>
    <w:rsid w:val="00AB02EA"/>
    <w:rsid w:val="00AB05EE"/>
    <w:rsid w:val="00AB110C"/>
    <w:rsid w:val="00AB227A"/>
    <w:rsid w:val="00AB22BF"/>
    <w:rsid w:val="00AB256E"/>
    <w:rsid w:val="00AB3466"/>
    <w:rsid w:val="00AB38B2"/>
    <w:rsid w:val="00AB39EF"/>
    <w:rsid w:val="00AB3BBB"/>
    <w:rsid w:val="00AB408C"/>
    <w:rsid w:val="00AB43AF"/>
    <w:rsid w:val="00AB4E41"/>
    <w:rsid w:val="00AB5EB1"/>
    <w:rsid w:val="00AB6003"/>
    <w:rsid w:val="00AB6718"/>
    <w:rsid w:val="00AB6B4E"/>
    <w:rsid w:val="00AB7396"/>
    <w:rsid w:val="00AB73BE"/>
    <w:rsid w:val="00AB759A"/>
    <w:rsid w:val="00AB7B06"/>
    <w:rsid w:val="00AB7EAA"/>
    <w:rsid w:val="00AC0432"/>
    <w:rsid w:val="00AC0770"/>
    <w:rsid w:val="00AC1683"/>
    <w:rsid w:val="00AC1BB9"/>
    <w:rsid w:val="00AC1D82"/>
    <w:rsid w:val="00AC2D5F"/>
    <w:rsid w:val="00AC320F"/>
    <w:rsid w:val="00AC3B5D"/>
    <w:rsid w:val="00AC4094"/>
    <w:rsid w:val="00AC42B6"/>
    <w:rsid w:val="00AC4AB7"/>
    <w:rsid w:val="00AC51E0"/>
    <w:rsid w:val="00AC6D24"/>
    <w:rsid w:val="00AC6E18"/>
    <w:rsid w:val="00AC7F64"/>
    <w:rsid w:val="00AD1065"/>
    <w:rsid w:val="00AD1098"/>
    <w:rsid w:val="00AD159E"/>
    <w:rsid w:val="00AD170C"/>
    <w:rsid w:val="00AD2AB1"/>
    <w:rsid w:val="00AD3132"/>
    <w:rsid w:val="00AD3CEB"/>
    <w:rsid w:val="00AD3DA6"/>
    <w:rsid w:val="00AD3F3C"/>
    <w:rsid w:val="00AD43B7"/>
    <w:rsid w:val="00AD447E"/>
    <w:rsid w:val="00AD4B2F"/>
    <w:rsid w:val="00AD4C13"/>
    <w:rsid w:val="00AD52FC"/>
    <w:rsid w:val="00AD5F0A"/>
    <w:rsid w:val="00AD6A5B"/>
    <w:rsid w:val="00AD6A6B"/>
    <w:rsid w:val="00AD6B4F"/>
    <w:rsid w:val="00AD6D19"/>
    <w:rsid w:val="00AD73D4"/>
    <w:rsid w:val="00AD7812"/>
    <w:rsid w:val="00AD7C42"/>
    <w:rsid w:val="00AD7CFA"/>
    <w:rsid w:val="00AE06B0"/>
    <w:rsid w:val="00AE0BD6"/>
    <w:rsid w:val="00AE11C1"/>
    <w:rsid w:val="00AE163D"/>
    <w:rsid w:val="00AE1A42"/>
    <w:rsid w:val="00AE1C5C"/>
    <w:rsid w:val="00AE2146"/>
    <w:rsid w:val="00AE2814"/>
    <w:rsid w:val="00AE315E"/>
    <w:rsid w:val="00AE319F"/>
    <w:rsid w:val="00AE31D9"/>
    <w:rsid w:val="00AE3CF0"/>
    <w:rsid w:val="00AE4546"/>
    <w:rsid w:val="00AE4997"/>
    <w:rsid w:val="00AE6575"/>
    <w:rsid w:val="00AE71EE"/>
    <w:rsid w:val="00AF03CF"/>
    <w:rsid w:val="00AF0A0A"/>
    <w:rsid w:val="00AF14FC"/>
    <w:rsid w:val="00AF1ED2"/>
    <w:rsid w:val="00AF1F4E"/>
    <w:rsid w:val="00AF2302"/>
    <w:rsid w:val="00AF262A"/>
    <w:rsid w:val="00AF2B44"/>
    <w:rsid w:val="00AF3557"/>
    <w:rsid w:val="00AF3DBB"/>
    <w:rsid w:val="00AF3F86"/>
    <w:rsid w:val="00AF42D4"/>
    <w:rsid w:val="00AF4407"/>
    <w:rsid w:val="00AF4CEE"/>
    <w:rsid w:val="00AF4F4A"/>
    <w:rsid w:val="00AF584C"/>
    <w:rsid w:val="00AF5D84"/>
    <w:rsid w:val="00AF6476"/>
    <w:rsid w:val="00AF669D"/>
    <w:rsid w:val="00AF672C"/>
    <w:rsid w:val="00AF673E"/>
    <w:rsid w:val="00AF6ABE"/>
    <w:rsid w:val="00AF7389"/>
    <w:rsid w:val="00AF79DF"/>
    <w:rsid w:val="00AF7C37"/>
    <w:rsid w:val="00B00378"/>
    <w:rsid w:val="00B007F1"/>
    <w:rsid w:val="00B00A80"/>
    <w:rsid w:val="00B00D91"/>
    <w:rsid w:val="00B00E84"/>
    <w:rsid w:val="00B011FB"/>
    <w:rsid w:val="00B01DD9"/>
    <w:rsid w:val="00B01F0E"/>
    <w:rsid w:val="00B038F1"/>
    <w:rsid w:val="00B03C1B"/>
    <w:rsid w:val="00B04232"/>
    <w:rsid w:val="00B04678"/>
    <w:rsid w:val="00B047C9"/>
    <w:rsid w:val="00B04A04"/>
    <w:rsid w:val="00B04B78"/>
    <w:rsid w:val="00B04C37"/>
    <w:rsid w:val="00B04F00"/>
    <w:rsid w:val="00B05BA6"/>
    <w:rsid w:val="00B066FE"/>
    <w:rsid w:val="00B06912"/>
    <w:rsid w:val="00B06E19"/>
    <w:rsid w:val="00B07316"/>
    <w:rsid w:val="00B07F74"/>
    <w:rsid w:val="00B10618"/>
    <w:rsid w:val="00B10B04"/>
    <w:rsid w:val="00B10CC6"/>
    <w:rsid w:val="00B10FEA"/>
    <w:rsid w:val="00B11932"/>
    <w:rsid w:val="00B11A61"/>
    <w:rsid w:val="00B12082"/>
    <w:rsid w:val="00B12648"/>
    <w:rsid w:val="00B1270C"/>
    <w:rsid w:val="00B12710"/>
    <w:rsid w:val="00B130B3"/>
    <w:rsid w:val="00B13389"/>
    <w:rsid w:val="00B1364C"/>
    <w:rsid w:val="00B137C9"/>
    <w:rsid w:val="00B13EDB"/>
    <w:rsid w:val="00B141A5"/>
    <w:rsid w:val="00B142B6"/>
    <w:rsid w:val="00B14F47"/>
    <w:rsid w:val="00B15282"/>
    <w:rsid w:val="00B15286"/>
    <w:rsid w:val="00B1539F"/>
    <w:rsid w:val="00B1550D"/>
    <w:rsid w:val="00B15A0E"/>
    <w:rsid w:val="00B15F6C"/>
    <w:rsid w:val="00B163E8"/>
    <w:rsid w:val="00B1767E"/>
    <w:rsid w:val="00B2044D"/>
    <w:rsid w:val="00B20760"/>
    <w:rsid w:val="00B20E73"/>
    <w:rsid w:val="00B2125C"/>
    <w:rsid w:val="00B21676"/>
    <w:rsid w:val="00B219E1"/>
    <w:rsid w:val="00B21ECF"/>
    <w:rsid w:val="00B22150"/>
    <w:rsid w:val="00B22466"/>
    <w:rsid w:val="00B226DE"/>
    <w:rsid w:val="00B22FB5"/>
    <w:rsid w:val="00B23192"/>
    <w:rsid w:val="00B2358C"/>
    <w:rsid w:val="00B23FB7"/>
    <w:rsid w:val="00B241D5"/>
    <w:rsid w:val="00B24BE9"/>
    <w:rsid w:val="00B2551D"/>
    <w:rsid w:val="00B25F8C"/>
    <w:rsid w:val="00B260BE"/>
    <w:rsid w:val="00B2658F"/>
    <w:rsid w:val="00B26677"/>
    <w:rsid w:val="00B26A96"/>
    <w:rsid w:val="00B274E3"/>
    <w:rsid w:val="00B2765C"/>
    <w:rsid w:val="00B27C4B"/>
    <w:rsid w:val="00B30563"/>
    <w:rsid w:val="00B3069E"/>
    <w:rsid w:val="00B30A76"/>
    <w:rsid w:val="00B30FC6"/>
    <w:rsid w:val="00B31158"/>
    <w:rsid w:val="00B31246"/>
    <w:rsid w:val="00B31F6E"/>
    <w:rsid w:val="00B32295"/>
    <w:rsid w:val="00B329E1"/>
    <w:rsid w:val="00B32DEF"/>
    <w:rsid w:val="00B3341F"/>
    <w:rsid w:val="00B33788"/>
    <w:rsid w:val="00B33AB5"/>
    <w:rsid w:val="00B3412E"/>
    <w:rsid w:val="00B343E0"/>
    <w:rsid w:val="00B35B6D"/>
    <w:rsid w:val="00B35D53"/>
    <w:rsid w:val="00B365B6"/>
    <w:rsid w:val="00B367C4"/>
    <w:rsid w:val="00B36D3E"/>
    <w:rsid w:val="00B37B8E"/>
    <w:rsid w:val="00B401D6"/>
    <w:rsid w:val="00B40222"/>
    <w:rsid w:val="00B404C3"/>
    <w:rsid w:val="00B40C8E"/>
    <w:rsid w:val="00B41125"/>
    <w:rsid w:val="00B41A04"/>
    <w:rsid w:val="00B42538"/>
    <w:rsid w:val="00B42743"/>
    <w:rsid w:val="00B430E9"/>
    <w:rsid w:val="00B4311F"/>
    <w:rsid w:val="00B431AE"/>
    <w:rsid w:val="00B44288"/>
    <w:rsid w:val="00B44603"/>
    <w:rsid w:val="00B448BF"/>
    <w:rsid w:val="00B45A59"/>
    <w:rsid w:val="00B45F9F"/>
    <w:rsid w:val="00B4627C"/>
    <w:rsid w:val="00B4641F"/>
    <w:rsid w:val="00B46793"/>
    <w:rsid w:val="00B46953"/>
    <w:rsid w:val="00B46B9F"/>
    <w:rsid w:val="00B4704F"/>
    <w:rsid w:val="00B47455"/>
    <w:rsid w:val="00B47979"/>
    <w:rsid w:val="00B47A59"/>
    <w:rsid w:val="00B47ECD"/>
    <w:rsid w:val="00B47FF3"/>
    <w:rsid w:val="00B503D6"/>
    <w:rsid w:val="00B509E1"/>
    <w:rsid w:val="00B50D2D"/>
    <w:rsid w:val="00B51520"/>
    <w:rsid w:val="00B515C3"/>
    <w:rsid w:val="00B517C2"/>
    <w:rsid w:val="00B518CE"/>
    <w:rsid w:val="00B51F56"/>
    <w:rsid w:val="00B52234"/>
    <w:rsid w:val="00B53623"/>
    <w:rsid w:val="00B53D1D"/>
    <w:rsid w:val="00B53E98"/>
    <w:rsid w:val="00B53F9B"/>
    <w:rsid w:val="00B5417F"/>
    <w:rsid w:val="00B545C7"/>
    <w:rsid w:val="00B54B19"/>
    <w:rsid w:val="00B55F64"/>
    <w:rsid w:val="00B56ECA"/>
    <w:rsid w:val="00B57093"/>
    <w:rsid w:val="00B57B5D"/>
    <w:rsid w:val="00B601B2"/>
    <w:rsid w:val="00B60613"/>
    <w:rsid w:val="00B60B8F"/>
    <w:rsid w:val="00B61AEC"/>
    <w:rsid w:val="00B6244C"/>
    <w:rsid w:val="00B625B1"/>
    <w:rsid w:val="00B62A2F"/>
    <w:rsid w:val="00B62B7B"/>
    <w:rsid w:val="00B62F0A"/>
    <w:rsid w:val="00B63484"/>
    <w:rsid w:val="00B634B7"/>
    <w:rsid w:val="00B634F1"/>
    <w:rsid w:val="00B637EF"/>
    <w:rsid w:val="00B63EF6"/>
    <w:rsid w:val="00B6440A"/>
    <w:rsid w:val="00B65788"/>
    <w:rsid w:val="00B65844"/>
    <w:rsid w:val="00B66054"/>
    <w:rsid w:val="00B6677F"/>
    <w:rsid w:val="00B667A3"/>
    <w:rsid w:val="00B66C7A"/>
    <w:rsid w:val="00B672EA"/>
    <w:rsid w:val="00B6747B"/>
    <w:rsid w:val="00B70200"/>
    <w:rsid w:val="00B702D7"/>
    <w:rsid w:val="00B70389"/>
    <w:rsid w:val="00B70E01"/>
    <w:rsid w:val="00B718C5"/>
    <w:rsid w:val="00B71CCD"/>
    <w:rsid w:val="00B72CF0"/>
    <w:rsid w:val="00B7380E"/>
    <w:rsid w:val="00B740F6"/>
    <w:rsid w:val="00B74615"/>
    <w:rsid w:val="00B74789"/>
    <w:rsid w:val="00B755B6"/>
    <w:rsid w:val="00B75884"/>
    <w:rsid w:val="00B75977"/>
    <w:rsid w:val="00B75A48"/>
    <w:rsid w:val="00B75CC0"/>
    <w:rsid w:val="00B76021"/>
    <w:rsid w:val="00B7659D"/>
    <w:rsid w:val="00B76FCD"/>
    <w:rsid w:val="00B7764D"/>
    <w:rsid w:val="00B802CE"/>
    <w:rsid w:val="00B804F8"/>
    <w:rsid w:val="00B8095A"/>
    <w:rsid w:val="00B80E1F"/>
    <w:rsid w:val="00B80F65"/>
    <w:rsid w:val="00B81274"/>
    <w:rsid w:val="00B815D3"/>
    <w:rsid w:val="00B816A9"/>
    <w:rsid w:val="00B81742"/>
    <w:rsid w:val="00B817B5"/>
    <w:rsid w:val="00B823A6"/>
    <w:rsid w:val="00B83E76"/>
    <w:rsid w:val="00B83FA0"/>
    <w:rsid w:val="00B84156"/>
    <w:rsid w:val="00B846E6"/>
    <w:rsid w:val="00B8537B"/>
    <w:rsid w:val="00B85586"/>
    <w:rsid w:val="00B85B6E"/>
    <w:rsid w:val="00B86289"/>
    <w:rsid w:val="00B863B3"/>
    <w:rsid w:val="00B869D3"/>
    <w:rsid w:val="00B86CF8"/>
    <w:rsid w:val="00B86E44"/>
    <w:rsid w:val="00B87359"/>
    <w:rsid w:val="00B87446"/>
    <w:rsid w:val="00B87F1C"/>
    <w:rsid w:val="00B90BFD"/>
    <w:rsid w:val="00B90D8D"/>
    <w:rsid w:val="00B91263"/>
    <w:rsid w:val="00B91B61"/>
    <w:rsid w:val="00B93849"/>
    <w:rsid w:val="00B938BD"/>
    <w:rsid w:val="00B93CF3"/>
    <w:rsid w:val="00B9407F"/>
    <w:rsid w:val="00B944C4"/>
    <w:rsid w:val="00B944E9"/>
    <w:rsid w:val="00B945D7"/>
    <w:rsid w:val="00B94612"/>
    <w:rsid w:val="00B94896"/>
    <w:rsid w:val="00B94BDD"/>
    <w:rsid w:val="00B94CDD"/>
    <w:rsid w:val="00B94DA7"/>
    <w:rsid w:val="00B95163"/>
    <w:rsid w:val="00B954D0"/>
    <w:rsid w:val="00B96D60"/>
    <w:rsid w:val="00B96DD9"/>
    <w:rsid w:val="00B96EA6"/>
    <w:rsid w:val="00B97353"/>
    <w:rsid w:val="00B975EA"/>
    <w:rsid w:val="00B9789D"/>
    <w:rsid w:val="00B978EA"/>
    <w:rsid w:val="00B97A4C"/>
    <w:rsid w:val="00BA050E"/>
    <w:rsid w:val="00BA0A1C"/>
    <w:rsid w:val="00BA1289"/>
    <w:rsid w:val="00BA14B2"/>
    <w:rsid w:val="00BA15DC"/>
    <w:rsid w:val="00BA1E2F"/>
    <w:rsid w:val="00BA1EB8"/>
    <w:rsid w:val="00BA1F48"/>
    <w:rsid w:val="00BA23D6"/>
    <w:rsid w:val="00BA2C82"/>
    <w:rsid w:val="00BA3869"/>
    <w:rsid w:val="00BA4399"/>
    <w:rsid w:val="00BA4452"/>
    <w:rsid w:val="00BA4503"/>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0941"/>
    <w:rsid w:val="00BB0D5E"/>
    <w:rsid w:val="00BB0D8C"/>
    <w:rsid w:val="00BB1688"/>
    <w:rsid w:val="00BB1EFB"/>
    <w:rsid w:val="00BB269F"/>
    <w:rsid w:val="00BB27CC"/>
    <w:rsid w:val="00BB2ACE"/>
    <w:rsid w:val="00BB2E4E"/>
    <w:rsid w:val="00BB2E62"/>
    <w:rsid w:val="00BB3586"/>
    <w:rsid w:val="00BB36C9"/>
    <w:rsid w:val="00BB3A66"/>
    <w:rsid w:val="00BB3FD8"/>
    <w:rsid w:val="00BB40D1"/>
    <w:rsid w:val="00BB6188"/>
    <w:rsid w:val="00BB777D"/>
    <w:rsid w:val="00BB7EC0"/>
    <w:rsid w:val="00BB7F88"/>
    <w:rsid w:val="00BC0207"/>
    <w:rsid w:val="00BC089F"/>
    <w:rsid w:val="00BC0A0C"/>
    <w:rsid w:val="00BC0A5A"/>
    <w:rsid w:val="00BC0E64"/>
    <w:rsid w:val="00BC1F60"/>
    <w:rsid w:val="00BC25D1"/>
    <w:rsid w:val="00BC2DBD"/>
    <w:rsid w:val="00BC2F1A"/>
    <w:rsid w:val="00BC35B8"/>
    <w:rsid w:val="00BC3BCB"/>
    <w:rsid w:val="00BC3CF1"/>
    <w:rsid w:val="00BC428A"/>
    <w:rsid w:val="00BC4885"/>
    <w:rsid w:val="00BC4C40"/>
    <w:rsid w:val="00BC5A29"/>
    <w:rsid w:val="00BC5AE3"/>
    <w:rsid w:val="00BC5BAD"/>
    <w:rsid w:val="00BC692A"/>
    <w:rsid w:val="00BC76C5"/>
    <w:rsid w:val="00BC7F94"/>
    <w:rsid w:val="00BD036E"/>
    <w:rsid w:val="00BD0B37"/>
    <w:rsid w:val="00BD0F07"/>
    <w:rsid w:val="00BD1039"/>
    <w:rsid w:val="00BD10B7"/>
    <w:rsid w:val="00BD138A"/>
    <w:rsid w:val="00BD164A"/>
    <w:rsid w:val="00BD1742"/>
    <w:rsid w:val="00BD1BD1"/>
    <w:rsid w:val="00BD1BDD"/>
    <w:rsid w:val="00BD1D7D"/>
    <w:rsid w:val="00BD1E27"/>
    <w:rsid w:val="00BD2B4D"/>
    <w:rsid w:val="00BD2F08"/>
    <w:rsid w:val="00BD2FB9"/>
    <w:rsid w:val="00BD31C2"/>
    <w:rsid w:val="00BD3683"/>
    <w:rsid w:val="00BD4310"/>
    <w:rsid w:val="00BD450A"/>
    <w:rsid w:val="00BD4717"/>
    <w:rsid w:val="00BD48EA"/>
    <w:rsid w:val="00BD4BA8"/>
    <w:rsid w:val="00BD52FD"/>
    <w:rsid w:val="00BD5624"/>
    <w:rsid w:val="00BD62E6"/>
    <w:rsid w:val="00BD6B0E"/>
    <w:rsid w:val="00BD734D"/>
    <w:rsid w:val="00BD749D"/>
    <w:rsid w:val="00BD7941"/>
    <w:rsid w:val="00BE0591"/>
    <w:rsid w:val="00BE0C55"/>
    <w:rsid w:val="00BE0F03"/>
    <w:rsid w:val="00BE11A2"/>
    <w:rsid w:val="00BE1EF0"/>
    <w:rsid w:val="00BE246C"/>
    <w:rsid w:val="00BE2657"/>
    <w:rsid w:val="00BE2FD2"/>
    <w:rsid w:val="00BE3698"/>
    <w:rsid w:val="00BE377A"/>
    <w:rsid w:val="00BE37AE"/>
    <w:rsid w:val="00BE3B14"/>
    <w:rsid w:val="00BE3C65"/>
    <w:rsid w:val="00BE4222"/>
    <w:rsid w:val="00BE4717"/>
    <w:rsid w:val="00BE472D"/>
    <w:rsid w:val="00BE4C03"/>
    <w:rsid w:val="00BE4D64"/>
    <w:rsid w:val="00BE5B55"/>
    <w:rsid w:val="00BE6218"/>
    <w:rsid w:val="00BE7149"/>
    <w:rsid w:val="00BE774C"/>
    <w:rsid w:val="00BE7F4D"/>
    <w:rsid w:val="00BF01AC"/>
    <w:rsid w:val="00BF03C0"/>
    <w:rsid w:val="00BF0EBF"/>
    <w:rsid w:val="00BF1534"/>
    <w:rsid w:val="00BF2021"/>
    <w:rsid w:val="00BF21D4"/>
    <w:rsid w:val="00BF2CAB"/>
    <w:rsid w:val="00BF2DDC"/>
    <w:rsid w:val="00BF3118"/>
    <w:rsid w:val="00BF32DE"/>
    <w:rsid w:val="00BF4A15"/>
    <w:rsid w:val="00BF4B53"/>
    <w:rsid w:val="00BF4E0E"/>
    <w:rsid w:val="00BF4E27"/>
    <w:rsid w:val="00BF4F7C"/>
    <w:rsid w:val="00BF537B"/>
    <w:rsid w:val="00BF58DC"/>
    <w:rsid w:val="00BF5901"/>
    <w:rsid w:val="00BF626A"/>
    <w:rsid w:val="00BF6644"/>
    <w:rsid w:val="00BF688E"/>
    <w:rsid w:val="00BF6D77"/>
    <w:rsid w:val="00BF739A"/>
    <w:rsid w:val="00BF7EF5"/>
    <w:rsid w:val="00C00BF6"/>
    <w:rsid w:val="00C00D16"/>
    <w:rsid w:val="00C016EE"/>
    <w:rsid w:val="00C01C1C"/>
    <w:rsid w:val="00C0234A"/>
    <w:rsid w:val="00C0247B"/>
    <w:rsid w:val="00C0378E"/>
    <w:rsid w:val="00C04314"/>
    <w:rsid w:val="00C04BD0"/>
    <w:rsid w:val="00C05730"/>
    <w:rsid w:val="00C05AF4"/>
    <w:rsid w:val="00C05AFD"/>
    <w:rsid w:val="00C05DDE"/>
    <w:rsid w:val="00C063BB"/>
    <w:rsid w:val="00C0661C"/>
    <w:rsid w:val="00C0675F"/>
    <w:rsid w:val="00C0702A"/>
    <w:rsid w:val="00C0724C"/>
    <w:rsid w:val="00C07C11"/>
    <w:rsid w:val="00C07E10"/>
    <w:rsid w:val="00C07F34"/>
    <w:rsid w:val="00C10015"/>
    <w:rsid w:val="00C107B5"/>
    <w:rsid w:val="00C1110A"/>
    <w:rsid w:val="00C11689"/>
    <w:rsid w:val="00C12414"/>
    <w:rsid w:val="00C1256E"/>
    <w:rsid w:val="00C12ECB"/>
    <w:rsid w:val="00C138F8"/>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8C4"/>
    <w:rsid w:val="00C20B6C"/>
    <w:rsid w:val="00C20B86"/>
    <w:rsid w:val="00C21145"/>
    <w:rsid w:val="00C215ED"/>
    <w:rsid w:val="00C22350"/>
    <w:rsid w:val="00C22B6F"/>
    <w:rsid w:val="00C22FBD"/>
    <w:rsid w:val="00C23615"/>
    <w:rsid w:val="00C2397E"/>
    <w:rsid w:val="00C23A83"/>
    <w:rsid w:val="00C24381"/>
    <w:rsid w:val="00C24801"/>
    <w:rsid w:val="00C24C2E"/>
    <w:rsid w:val="00C24C7A"/>
    <w:rsid w:val="00C24FFB"/>
    <w:rsid w:val="00C25500"/>
    <w:rsid w:val="00C25A3D"/>
    <w:rsid w:val="00C25BD2"/>
    <w:rsid w:val="00C25CFF"/>
    <w:rsid w:val="00C25EA6"/>
    <w:rsid w:val="00C26164"/>
    <w:rsid w:val="00C261C1"/>
    <w:rsid w:val="00C26574"/>
    <w:rsid w:val="00C26DBF"/>
    <w:rsid w:val="00C27199"/>
    <w:rsid w:val="00C27204"/>
    <w:rsid w:val="00C276D4"/>
    <w:rsid w:val="00C27731"/>
    <w:rsid w:val="00C304E9"/>
    <w:rsid w:val="00C30B0B"/>
    <w:rsid w:val="00C30ED5"/>
    <w:rsid w:val="00C31320"/>
    <w:rsid w:val="00C316B4"/>
    <w:rsid w:val="00C328D3"/>
    <w:rsid w:val="00C332D4"/>
    <w:rsid w:val="00C33399"/>
    <w:rsid w:val="00C33A66"/>
    <w:rsid w:val="00C33E51"/>
    <w:rsid w:val="00C34C45"/>
    <w:rsid w:val="00C34C47"/>
    <w:rsid w:val="00C34FCE"/>
    <w:rsid w:val="00C35207"/>
    <w:rsid w:val="00C35411"/>
    <w:rsid w:val="00C35EED"/>
    <w:rsid w:val="00C3661D"/>
    <w:rsid w:val="00C36B2C"/>
    <w:rsid w:val="00C3701A"/>
    <w:rsid w:val="00C37075"/>
    <w:rsid w:val="00C379EF"/>
    <w:rsid w:val="00C405C8"/>
    <w:rsid w:val="00C407A8"/>
    <w:rsid w:val="00C40C2F"/>
    <w:rsid w:val="00C415AC"/>
    <w:rsid w:val="00C4297A"/>
    <w:rsid w:val="00C4360C"/>
    <w:rsid w:val="00C439B8"/>
    <w:rsid w:val="00C43A0B"/>
    <w:rsid w:val="00C43EDA"/>
    <w:rsid w:val="00C43FEC"/>
    <w:rsid w:val="00C4414C"/>
    <w:rsid w:val="00C45512"/>
    <w:rsid w:val="00C45A9E"/>
    <w:rsid w:val="00C4602B"/>
    <w:rsid w:val="00C46564"/>
    <w:rsid w:val="00C466F3"/>
    <w:rsid w:val="00C46BFA"/>
    <w:rsid w:val="00C46DDF"/>
    <w:rsid w:val="00C500A1"/>
    <w:rsid w:val="00C50A02"/>
    <w:rsid w:val="00C51149"/>
    <w:rsid w:val="00C5117E"/>
    <w:rsid w:val="00C512D1"/>
    <w:rsid w:val="00C51856"/>
    <w:rsid w:val="00C51B04"/>
    <w:rsid w:val="00C51DB5"/>
    <w:rsid w:val="00C52576"/>
    <w:rsid w:val="00C53CE9"/>
    <w:rsid w:val="00C545C5"/>
    <w:rsid w:val="00C54FC1"/>
    <w:rsid w:val="00C5531B"/>
    <w:rsid w:val="00C55375"/>
    <w:rsid w:val="00C5570F"/>
    <w:rsid w:val="00C55F63"/>
    <w:rsid w:val="00C563C5"/>
    <w:rsid w:val="00C56C98"/>
    <w:rsid w:val="00C56DE1"/>
    <w:rsid w:val="00C56DEE"/>
    <w:rsid w:val="00C57120"/>
    <w:rsid w:val="00C571D5"/>
    <w:rsid w:val="00C57393"/>
    <w:rsid w:val="00C575D4"/>
    <w:rsid w:val="00C61223"/>
    <w:rsid w:val="00C61246"/>
    <w:rsid w:val="00C613C7"/>
    <w:rsid w:val="00C618A8"/>
    <w:rsid w:val="00C61A78"/>
    <w:rsid w:val="00C61CBD"/>
    <w:rsid w:val="00C62483"/>
    <w:rsid w:val="00C629F3"/>
    <w:rsid w:val="00C62B88"/>
    <w:rsid w:val="00C62CD3"/>
    <w:rsid w:val="00C634F9"/>
    <w:rsid w:val="00C63CDE"/>
    <w:rsid w:val="00C64147"/>
    <w:rsid w:val="00C643ED"/>
    <w:rsid w:val="00C64534"/>
    <w:rsid w:val="00C64D93"/>
    <w:rsid w:val="00C64F49"/>
    <w:rsid w:val="00C64F71"/>
    <w:rsid w:val="00C650E3"/>
    <w:rsid w:val="00C65200"/>
    <w:rsid w:val="00C6522D"/>
    <w:rsid w:val="00C65898"/>
    <w:rsid w:val="00C65BD3"/>
    <w:rsid w:val="00C664FB"/>
    <w:rsid w:val="00C665DE"/>
    <w:rsid w:val="00C66695"/>
    <w:rsid w:val="00C667C3"/>
    <w:rsid w:val="00C6728B"/>
    <w:rsid w:val="00C70718"/>
    <w:rsid w:val="00C70B25"/>
    <w:rsid w:val="00C70CC2"/>
    <w:rsid w:val="00C71528"/>
    <w:rsid w:val="00C717E4"/>
    <w:rsid w:val="00C7191B"/>
    <w:rsid w:val="00C71F09"/>
    <w:rsid w:val="00C71FA3"/>
    <w:rsid w:val="00C72588"/>
    <w:rsid w:val="00C727B9"/>
    <w:rsid w:val="00C72C1D"/>
    <w:rsid w:val="00C72F44"/>
    <w:rsid w:val="00C72F67"/>
    <w:rsid w:val="00C73670"/>
    <w:rsid w:val="00C737D1"/>
    <w:rsid w:val="00C738A0"/>
    <w:rsid w:val="00C73DE0"/>
    <w:rsid w:val="00C73E9F"/>
    <w:rsid w:val="00C74609"/>
    <w:rsid w:val="00C749AB"/>
    <w:rsid w:val="00C74DCF"/>
    <w:rsid w:val="00C75A8F"/>
    <w:rsid w:val="00C76129"/>
    <w:rsid w:val="00C76C0C"/>
    <w:rsid w:val="00C76FFC"/>
    <w:rsid w:val="00C774E0"/>
    <w:rsid w:val="00C776BA"/>
    <w:rsid w:val="00C7791E"/>
    <w:rsid w:val="00C81716"/>
    <w:rsid w:val="00C82672"/>
    <w:rsid w:val="00C832CB"/>
    <w:rsid w:val="00C83885"/>
    <w:rsid w:val="00C84085"/>
    <w:rsid w:val="00C852DC"/>
    <w:rsid w:val="00C854A8"/>
    <w:rsid w:val="00C85677"/>
    <w:rsid w:val="00C85E17"/>
    <w:rsid w:val="00C85FD7"/>
    <w:rsid w:val="00C8660B"/>
    <w:rsid w:val="00C868A7"/>
    <w:rsid w:val="00C868CE"/>
    <w:rsid w:val="00C86ABA"/>
    <w:rsid w:val="00C86BF7"/>
    <w:rsid w:val="00C87164"/>
    <w:rsid w:val="00C8786A"/>
    <w:rsid w:val="00C87BBA"/>
    <w:rsid w:val="00C87BD0"/>
    <w:rsid w:val="00C905E5"/>
    <w:rsid w:val="00C90754"/>
    <w:rsid w:val="00C90B95"/>
    <w:rsid w:val="00C90BC4"/>
    <w:rsid w:val="00C90C33"/>
    <w:rsid w:val="00C90CA9"/>
    <w:rsid w:val="00C91802"/>
    <w:rsid w:val="00C91FB9"/>
    <w:rsid w:val="00C927C3"/>
    <w:rsid w:val="00C92E41"/>
    <w:rsid w:val="00C92F62"/>
    <w:rsid w:val="00C93097"/>
    <w:rsid w:val="00C93B40"/>
    <w:rsid w:val="00C93DB5"/>
    <w:rsid w:val="00C94133"/>
    <w:rsid w:val="00C94CB9"/>
    <w:rsid w:val="00C95853"/>
    <w:rsid w:val="00C95C2F"/>
    <w:rsid w:val="00C95F87"/>
    <w:rsid w:val="00C96035"/>
    <w:rsid w:val="00C968EF"/>
    <w:rsid w:val="00C972CE"/>
    <w:rsid w:val="00CA0492"/>
    <w:rsid w:val="00CA05B0"/>
    <w:rsid w:val="00CA0632"/>
    <w:rsid w:val="00CA0A04"/>
    <w:rsid w:val="00CA2512"/>
    <w:rsid w:val="00CA2528"/>
    <w:rsid w:val="00CA3CAB"/>
    <w:rsid w:val="00CA3FC0"/>
    <w:rsid w:val="00CA5685"/>
    <w:rsid w:val="00CA6A2E"/>
    <w:rsid w:val="00CA6B56"/>
    <w:rsid w:val="00CA77C6"/>
    <w:rsid w:val="00CA7D3E"/>
    <w:rsid w:val="00CB0317"/>
    <w:rsid w:val="00CB0662"/>
    <w:rsid w:val="00CB0A82"/>
    <w:rsid w:val="00CB0F2F"/>
    <w:rsid w:val="00CB1556"/>
    <w:rsid w:val="00CB210B"/>
    <w:rsid w:val="00CB2913"/>
    <w:rsid w:val="00CB3218"/>
    <w:rsid w:val="00CB3970"/>
    <w:rsid w:val="00CB42B9"/>
    <w:rsid w:val="00CB4550"/>
    <w:rsid w:val="00CB4F39"/>
    <w:rsid w:val="00CB523A"/>
    <w:rsid w:val="00CB52A4"/>
    <w:rsid w:val="00CB537C"/>
    <w:rsid w:val="00CB5A26"/>
    <w:rsid w:val="00CB645B"/>
    <w:rsid w:val="00CB6A93"/>
    <w:rsid w:val="00CB6C79"/>
    <w:rsid w:val="00CB70D3"/>
    <w:rsid w:val="00CB77C3"/>
    <w:rsid w:val="00CB7E9C"/>
    <w:rsid w:val="00CC0072"/>
    <w:rsid w:val="00CC018D"/>
    <w:rsid w:val="00CC027A"/>
    <w:rsid w:val="00CC0915"/>
    <w:rsid w:val="00CC1398"/>
    <w:rsid w:val="00CC1AF5"/>
    <w:rsid w:val="00CC1B74"/>
    <w:rsid w:val="00CC245E"/>
    <w:rsid w:val="00CC291E"/>
    <w:rsid w:val="00CC2D03"/>
    <w:rsid w:val="00CC2EB0"/>
    <w:rsid w:val="00CC3BDC"/>
    <w:rsid w:val="00CC4701"/>
    <w:rsid w:val="00CC56B4"/>
    <w:rsid w:val="00CC5C82"/>
    <w:rsid w:val="00CC5F95"/>
    <w:rsid w:val="00CC642A"/>
    <w:rsid w:val="00CC6872"/>
    <w:rsid w:val="00CC6AC7"/>
    <w:rsid w:val="00CC6D73"/>
    <w:rsid w:val="00CC733D"/>
    <w:rsid w:val="00CC7617"/>
    <w:rsid w:val="00CC796B"/>
    <w:rsid w:val="00CC7A80"/>
    <w:rsid w:val="00CC7E0D"/>
    <w:rsid w:val="00CC7E97"/>
    <w:rsid w:val="00CD00EB"/>
    <w:rsid w:val="00CD1255"/>
    <w:rsid w:val="00CD1484"/>
    <w:rsid w:val="00CD1892"/>
    <w:rsid w:val="00CD1C01"/>
    <w:rsid w:val="00CD1D00"/>
    <w:rsid w:val="00CD2009"/>
    <w:rsid w:val="00CD27AC"/>
    <w:rsid w:val="00CD2A82"/>
    <w:rsid w:val="00CD3B66"/>
    <w:rsid w:val="00CD3CAB"/>
    <w:rsid w:val="00CD40D3"/>
    <w:rsid w:val="00CD44FF"/>
    <w:rsid w:val="00CD46A7"/>
    <w:rsid w:val="00CD47BC"/>
    <w:rsid w:val="00CD4A21"/>
    <w:rsid w:val="00CD4E50"/>
    <w:rsid w:val="00CD57CB"/>
    <w:rsid w:val="00CD614B"/>
    <w:rsid w:val="00CD64E1"/>
    <w:rsid w:val="00CD66BA"/>
    <w:rsid w:val="00CD670F"/>
    <w:rsid w:val="00CD699D"/>
    <w:rsid w:val="00CD6BA3"/>
    <w:rsid w:val="00CD70DB"/>
    <w:rsid w:val="00CD7544"/>
    <w:rsid w:val="00CD78D4"/>
    <w:rsid w:val="00CE00CF"/>
    <w:rsid w:val="00CE0697"/>
    <w:rsid w:val="00CE0B91"/>
    <w:rsid w:val="00CE14CB"/>
    <w:rsid w:val="00CE2E2E"/>
    <w:rsid w:val="00CE3A51"/>
    <w:rsid w:val="00CE41F9"/>
    <w:rsid w:val="00CE44A1"/>
    <w:rsid w:val="00CE4B2C"/>
    <w:rsid w:val="00CE59F6"/>
    <w:rsid w:val="00CE66CD"/>
    <w:rsid w:val="00CE6A96"/>
    <w:rsid w:val="00CE6BA9"/>
    <w:rsid w:val="00CE71C3"/>
    <w:rsid w:val="00CE7271"/>
    <w:rsid w:val="00CE727A"/>
    <w:rsid w:val="00CE756F"/>
    <w:rsid w:val="00CE7BEE"/>
    <w:rsid w:val="00CE7EB8"/>
    <w:rsid w:val="00CF029C"/>
    <w:rsid w:val="00CF0AF0"/>
    <w:rsid w:val="00CF157E"/>
    <w:rsid w:val="00CF1631"/>
    <w:rsid w:val="00CF1834"/>
    <w:rsid w:val="00CF1AAA"/>
    <w:rsid w:val="00CF1EC2"/>
    <w:rsid w:val="00CF2ACF"/>
    <w:rsid w:val="00CF2D4C"/>
    <w:rsid w:val="00CF345B"/>
    <w:rsid w:val="00CF475F"/>
    <w:rsid w:val="00CF5008"/>
    <w:rsid w:val="00CF5069"/>
    <w:rsid w:val="00CF5A38"/>
    <w:rsid w:val="00CF5E34"/>
    <w:rsid w:val="00CF6707"/>
    <w:rsid w:val="00CF7101"/>
    <w:rsid w:val="00CF7327"/>
    <w:rsid w:val="00CF7385"/>
    <w:rsid w:val="00CF7539"/>
    <w:rsid w:val="00CF75C6"/>
    <w:rsid w:val="00CF7B77"/>
    <w:rsid w:val="00CF7DF5"/>
    <w:rsid w:val="00D001D2"/>
    <w:rsid w:val="00D003AF"/>
    <w:rsid w:val="00D0091F"/>
    <w:rsid w:val="00D02A80"/>
    <w:rsid w:val="00D0352D"/>
    <w:rsid w:val="00D04F01"/>
    <w:rsid w:val="00D04F8B"/>
    <w:rsid w:val="00D051F3"/>
    <w:rsid w:val="00D054EF"/>
    <w:rsid w:val="00D05637"/>
    <w:rsid w:val="00D05697"/>
    <w:rsid w:val="00D05BA9"/>
    <w:rsid w:val="00D05CF2"/>
    <w:rsid w:val="00D05EB1"/>
    <w:rsid w:val="00D064CB"/>
    <w:rsid w:val="00D0650B"/>
    <w:rsid w:val="00D068AA"/>
    <w:rsid w:val="00D06E71"/>
    <w:rsid w:val="00D06E9C"/>
    <w:rsid w:val="00D0714B"/>
    <w:rsid w:val="00D0764E"/>
    <w:rsid w:val="00D07D82"/>
    <w:rsid w:val="00D102F6"/>
    <w:rsid w:val="00D10327"/>
    <w:rsid w:val="00D103C9"/>
    <w:rsid w:val="00D10BE1"/>
    <w:rsid w:val="00D11FE3"/>
    <w:rsid w:val="00D12393"/>
    <w:rsid w:val="00D12945"/>
    <w:rsid w:val="00D12A49"/>
    <w:rsid w:val="00D12CC0"/>
    <w:rsid w:val="00D12DA1"/>
    <w:rsid w:val="00D130C0"/>
    <w:rsid w:val="00D1343A"/>
    <w:rsid w:val="00D13D50"/>
    <w:rsid w:val="00D14101"/>
    <w:rsid w:val="00D144D8"/>
    <w:rsid w:val="00D14919"/>
    <w:rsid w:val="00D14E25"/>
    <w:rsid w:val="00D15470"/>
    <w:rsid w:val="00D15682"/>
    <w:rsid w:val="00D158EF"/>
    <w:rsid w:val="00D15AE3"/>
    <w:rsid w:val="00D160C4"/>
    <w:rsid w:val="00D165D8"/>
    <w:rsid w:val="00D16DCB"/>
    <w:rsid w:val="00D1724E"/>
    <w:rsid w:val="00D17C26"/>
    <w:rsid w:val="00D17E08"/>
    <w:rsid w:val="00D17FBE"/>
    <w:rsid w:val="00D206F6"/>
    <w:rsid w:val="00D20FD1"/>
    <w:rsid w:val="00D2115C"/>
    <w:rsid w:val="00D214D4"/>
    <w:rsid w:val="00D21AAA"/>
    <w:rsid w:val="00D21E6F"/>
    <w:rsid w:val="00D2218A"/>
    <w:rsid w:val="00D22B13"/>
    <w:rsid w:val="00D2371E"/>
    <w:rsid w:val="00D237E0"/>
    <w:rsid w:val="00D23A17"/>
    <w:rsid w:val="00D2416C"/>
    <w:rsid w:val="00D24D4E"/>
    <w:rsid w:val="00D25676"/>
    <w:rsid w:val="00D2579F"/>
    <w:rsid w:val="00D2580E"/>
    <w:rsid w:val="00D25BA4"/>
    <w:rsid w:val="00D264E4"/>
    <w:rsid w:val="00D265A7"/>
    <w:rsid w:val="00D2690C"/>
    <w:rsid w:val="00D26A8F"/>
    <w:rsid w:val="00D27129"/>
    <w:rsid w:val="00D279E7"/>
    <w:rsid w:val="00D27F75"/>
    <w:rsid w:val="00D303F6"/>
    <w:rsid w:val="00D3046D"/>
    <w:rsid w:val="00D30497"/>
    <w:rsid w:val="00D30C4D"/>
    <w:rsid w:val="00D30D15"/>
    <w:rsid w:val="00D30F5F"/>
    <w:rsid w:val="00D31243"/>
    <w:rsid w:val="00D316D9"/>
    <w:rsid w:val="00D31B07"/>
    <w:rsid w:val="00D31B9D"/>
    <w:rsid w:val="00D31DC2"/>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266"/>
    <w:rsid w:val="00D43DEF"/>
    <w:rsid w:val="00D44259"/>
    <w:rsid w:val="00D45C61"/>
    <w:rsid w:val="00D45DDC"/>
    <w:rsid w:val="00D4603D"/>
    <w:rsid w:val="00D46210"/>
    <w:rsid w:val="00D462C4"/>
    <w:rsid w:val="00D46CE1"/>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932"/>
    <w:rsid w:val="00D57F1F"/>
    <w:rsid w:val="00D60065"/>
    <w:rsid w:val="00D60270"/>
    <w:rsid w:val="00D605C2"/>
    <w:rsid w:val="00D60733"/>
    <w:rsid w:val="00D608B2"/>
    <w:rsid w:val="00D60C60"/>
    <w:rsid w:val="00D61E1D"/>
    <w:rsid w:val="00D629A4"/>
    <w:rsid w:val="00D62A55"/>
    <w:rsid w:val="00D62BDF"/>
    <w:rsid w:val="00D62EEE"/>
    <w:rsid w:val="00D64F1C"/>
    <w:rsid w:val="00D6570C"/>
    <w:rsid w:val="00D659EA"/>
    <w:rsid w:val="00D65A89"/>
    <w:rsid w:val="00D65E85"/>
    <w:rsid w:val="00D6611C"/>
    <w:rsid w:val="00D67077"/>
    <w:rsid w:val="00D671C7"/>
    <w:rsid w:val="00D675B0"/>
    <w:rsid w:val="00D675DE"/>
    <w:rsid w:val="00D678BB"/>
    <w:rsid w:val="00D67D81"/>
    <w:rsid w:val="00D67EB4"/>
    <w:rsid w:val="00D70170"/>
    <w:rsid w:val="00D702E8"/>
    <w:rsid w:val="00D70552"/>
    <w:rsid w:val="00D70D42"/>
    <w:rsid w:val="00D71285"/>
    <w:rsid w:val="00D71ABC"/>
    <w:rsid w:val="00D721C5"/>
    <w:rsid w:val="00D72454"/>
    <w:rsid w:val="00D72687"/>
    <w:rsid w:val="00D729A7"/>
    <w:rsid w:val="00D72A5B"/>
    <w:rsid w:val="00D73991"/>
    <w:rsid w:val="00D73B4C"/>
    <w:rsid w:val="00D73CD4"/>
    <w:rsid w:val="00D73F06"/>
    <w:rsid w:val="00D740B2"/>
    <w:rsid w:val="00D74247"/>
    <w:rsid w:val="00D743F1"/>
    <w:rsid w:val="00D744CF"/>
    <w:rsid w:val="00D7456E"/>
    <w:rsid w:val="00D74AAA"/>
    <w:rsid w:val="00D751CC"/>
    <w:rsid w:val="00D753A9"/>
    <w:rsid w:val="00D755F7"/>
    <w:rsid w:val="00D75DDB"/>
    <w:rsid w:val="00D75E4B"/>
    <w:rsid w:val="00D76E97"/>
    <w:rsid w:val="00D774F4"/>
    <w:rsid w:val="00D77687"/>
    <w:rsid w:val="00D77AF6"/>
    <w:rsid w:val="00D77FDF"/>
    <w:rsid w:val="00D804C5"/>
    <w:rsid w:val="00D815E6"/>
    <w:rsid w:val="00D81A28"/>
    <w:rsid w:val="00D81BDE"/>
    <w:rsid w:val="00D8201D"/>
    <w:rsid w:val="00D82B00"/>
    <w:rsid w:val="00D82B04"/>
    <w:rsid w:val="00D82BE4"/>
    <w:rsid w:val="00D82E05"/>
    <w:rsid w:val="00D83462"/>
    <w:rsid w:val="00D83C0D"/>
    <w:rsid w:val="00D83C80"/>
    <w:rsid w:val="00D83F5B"/>
    <w:rsid w:val="00D84879"/>
    <w:rsid w:val="00D84AAD"/>
    <w:rsid w:val="00D85FDE"/>
    <w:rsid w:val="00D8665E"/>
    <w:rsid w:val="00D869C1"/>
    <w:rsid w:val="00D86EC6"/>
    <w:rsid w:val="00D87329"/>
    <w:rsid w:val="00D87418"/>
    <w:rsid w:val="00D87A39"/>
    <w:rsid w:val="00D87C77"/>
    <w:rsid w:val="00D87FE6"/>
    <w:rsid w:val="00D90ACA"/>
    <w:rsid w:val="00D90BC3"/>
    <w:rsid w:val="00D90C93"/>
    <w:rsid w:val="00D90DB9"/>
    <w:rsid w:val="00D91001"/>
    <w:rsid w:val="00D910FF"/>
    <w:rsid w:val="00D91337"/>
    <w:rsid w:val="00D914BD"/>
    <w:rsid w:val="00D914FF"/>
    <w:rsid w:val="00D915C9"/>
    <w:rsid w:val="00D918DA"/>
    <w:rsid w:val="00D9198F"/>
    <w:rsid w:val="00D92078"/>
    <w:rsid w:val="00D9223F"/>
    <w:rsid w:val="00D926F0"/>
    <w:rsid w:val="00D92A87"/>
    <w:rsid w:val="00D9384E"/>
    <w:rsid w:val="00D93AEE"/>
    <w:rsid w:val="00D9413E"/>
    <w:rsid w:val="00D94819"/>
    <w:rsid w:val="00D94C8D"/>
    <w:rsid w:val="00D9537A"/>
    <w:rsid w:val="00D95F88"/>
    <w:rsid w:val="00D96698"/>
    <w:rsid w:val="00D96876"/>
    <w:rsid w:val="00D96940"/>
    <w:rsid w:val="00D96B12"/>
    <w:rsid w:val="00D96B91"/>
    <w:rsid w:val="00D96F59"/>
    <w:rsid w:val="00D9722A"/>
    <w:rsid w:val="00DA0175"/>
    <w:rsid w:val="00DA099C"/>
    <w:rsid w:val="00DA0F18"/>
    <w:rsid w:val="00DA2125"/>
    <w:rsid w:val="00DA21EC"/>
    <w:rsid w:val="00DA24DE"/>
    <w:rsid w:val="00DA270C"/>
    <w:rsid w:val="00DA281F"/>
    <w:rsid w:val="00DA30B7"/>
    <w:rsid w:val="00DA36F9"/>
    <w:rsid w:val="00DA3C5B"/>
    <w:rsid w:val="00DA3D23"/>
    <w:rsid w:val="00DA489D"/>
    <w:rsid w:val="00DA4A61"/>
    <w:rsid w:val="00DA5AFE"/>
    <w:rsid w:val="00DA61AB"/>
    <w:rsid w:val="00DA61CD"/>
    <w:rsid w:val="00DA6EE2"/>
    <w:rsid w:val="00DA718A"/>
    <w:rsid w:val="00DA78CF"/>
    <w:rsid w:val="00DA78D5"/>
    <w:rsid w:val="00DA7A89"/>
    <w:rsid w:val="00DA7BF4"/>
    <w:rsid w:val="00DB052F"/>
    <w:rsid w:val="00DB0FD6"/>
    <w:rsid w:val="00DB14D3"/>
    <w:rsid w:val="00DB154B"/>
    <w:rsid w:val="00DB16AE"/>
    <w:rsid w:val="00DB1BDC"/>
    <w:rsid w:val="00DB3490"/>
    <w:rsid w:val="00DB3593"/>
    <w:rsid w:val="00DB362A"/>
    <w:rsid w:val="00DB4064"/>
    <w:rsid w:val="00DB42D7"/>
    <w:rsid w:val="00DB440B"/>
    <w:rsid w:val="00DB4426"/>
    <w:rsid w:val="00DB4522"/>
    <w:rsid w:val="00DB4B40"/>
    <w:rsid w:val="00DB4F12"/>
    <w:rsid w:val="00DB4F21"/>
    <w:rsid w:val="00DB4F42"/>
    <w:rsid w:val="00DB540C"/>
    <w:rsid w:val="00DB6F96"/>
    <w:rsid w:val="00DB71B9"/>
    <w:rsid w:val="00DB7662"/>
    <w:rsid w:val="00DB7B62"/>
    <w:rsid w:val="00DB7E46"/>
    <w:rsid w:val="00DC0271"/>
    <w:rsid w:val="00DC0BBA"/>
    <w:rsid w:val="00DC1395"/>
    <w:rsid w:val="00DC2834"/>
    <w:rsid w:val="00DC32FC"/>
    <w:rsid w:val="00DC3D89"/>
    <w:rsid w:val="00DC42E9"/>
    <w:rsid w:val="00DC4567"/>
    <w:rsid w:val="00DC45B1"/>
    <w:rsid w:val="00DC48A8"/>
    <w:rsid w:val="00DC4D6C"/>
    <w:rsid w:val="00DC4F47"/>
    <w:rsid w:val="00DC5059"/>
    <w:rsid w:val="00DC54A7"/>
    <w:rsid w:val="00DC5860"/>
    <w:rsid w:val="00DC5BD0"/>
    <w:rsid w:val="00DC5BE2"/>
    <w:rsid w:val="00DC6284"/>
    <w:rsid w:val="00DC628E"/>
    <w:rsid w:val="00DC6723"/>
    <w:rsid w:val="00DC6747"/>
    <w:rsid w:val="00DC689C"/>
    <w:rsid w:val="00DC6AF3"/>
    <w:rsid w:val="00DC7608"/>
    <w:rsid w:val="00DC761E"/>
    <w:rsid w:val="00DC7B3B"/>
    <w:rsid w:val="00DC7CFC"/>
    <w:rsid w:val="00DC7DF1"/>
    <w:rsid w:val="00DD09F2"/>
    <w:rsid w:val="00DD0DEE"/>
    <w:rsid w:val="00DD1205"/>
    <w:rsid w:val="00DD1633"/>
    <w:rsid w:val="00DD17A0"/>
    <w:rsid w:val="00DD1B97"/>
    <w:rsid w:val="00DD259F"/>
    <w:rsid w:val="00DD2831"/>
    <w:rsid w:val="00DD2A6D"/>
    <w:rsid w:val="00DD2E17"/>
    <w:rsid w:val="00DD42DE"/>
    <w:rsid w:val="00DD4309"/>
    <w:rsid w:val="00DD4344"/>
    <w:rsid w:val="00DD4357"/>
    <w:rsid w:val="00DD4DDD"/>
    <w:rsid w:val="00DD5303"/>
    <w:rsid w:val="00DD573B"/>
    <w:rsid w:val="00DD57E7"/>
    <w:rsid w:val="00DD5A1E"/>
    <w:rsid w:val="00DD5B8C"/>
    <w:rsid w:val="00DD5DFA"/>
    <w:rsid w:val="00DD5E91"/>
    <w:rsid w:val="00DD6CE2"/>
    <w:rsid w:val="00DD6F39"/>
    <w:rsid w:val="00DD720D"/>
    <w:rsid w:val="00DE0229"/>
    <w:rsid w:val="00DE04E0"/>
    <w:rsid w:val="00DE0C46"/>
    <w:rsid w:val="00DE12F1"/>
    <w:rsid w:val="00DE1A9D"/>
    <w:rsid w:val="00DE1CB1"/>
    <w:rsid w:val="00DE2073"/>
    <w:rsid w:val="00DE28C9"/>
    <w:rsid w:val="00DE2926"/>
    <w:rsid w:val="00DE30AC"/>
    <w:rsid w:val="00DE38D1"/>
    <w:rsid w:val="00DE4106"/>
    <w:rsid w:val="00DE466B"/>
    <w:rsid w:val="00DE48F4"/>
    <w:rsid w:val="00DE5563"/>
    <w:rsid w:val="00DE5C19"/>
    <w:rsid w:val="00DE5D48"/>
    <w:rsid w:val="00DE6130"/>
    <w:rsid w:val="00DE6A1D"/>
    <w:rsid w:val="00DE6E4D"/>
    <w:rsid w:val="00DE7498"/>
    <w:rsid w:val="00DE75EF"/>
    <w:rsid w:val="00DE7611"/>
    <w:rsid w:val="00DE7D19"/>
    <w:rsid w:val="00DF00D6"/>
    <w:rsid w:val="00DF0505"/>
    <w:rsid w:val="00DF05A0"/>
    <w:rsid w:val="00DF1162"/>
    <w:rsid w:val="00DF1BA8"/>
    <w:rsid w:val="00DF1F63"/>
    <w:rsid w:val="00DF248E"/>
    <w:rsid w:val="00DF28F2"/>
    <w:rsid w:val="00DF2BFF"/>
    <w:rsid w:val="00DF3016"/>
    <w:rsid w:val="00DF3498"/>
    <w:rsid w:val="00DF3798"/>
    <w:rsid w:val="00DF42A6"/>
    <w:rsid w:val="00DF4F54"/>
    <w:rsid w:val="00DF4FF1"/>
    <w:rsid w:val="00DF55A2"/>
    <w:rsid w:val="00DF56A3"/>
    <w:rsid w:val="00DF5B33"/>
    <w:rsid w:val="00DF6144"/>
    <w:rsid w:val="00DF6ACD"/>
    <w:rsid w:val="00DF6FD2"/>
    <w:rsid w:val="00DF72EF"/>
    <w:rsid w:val="00DF743D"/>
    <w:rsid w:val="00DF7724"/>
    <w:rsid w:val="00E000D8"/>
    <w:rsid w:val="00E00C1E"/>
    <w:rsid w:val="00E00F5F"/>
    <w:rsid w:val="00E010E6"/>
    <w:rsid w:val="00E01377"/>
    <w:rsid w:val="00E014E7"/>
    <w:rsid w:val="00E0150F"/>
    <w:rsid w:val="00E0232F"/>
    <w:rsid w:val="00E026A9"/>
    <w:rsid w:val="00E0356F"/>
    <w:rsid w:val="00E03B42"/>
    <w:rsid w:val="00E03C10"/>
    <w:rsid w:val="00E0479F"/>
    <w:rsid w:val="00E04816"/>
    <w:rsid w:val="00E04982"/>
    <w:rsid w:val="00E04D6A"/>
    <w:rsid w:val="00E05741"/>
    <w:rsid w:val="00E0579D"/>
    <w:rsid w:val="00E058DB"/>
    <w:rsid w:val="00E05950"/>
    <w:rsid w:val="00E05CD4"/>
    <w:rsid w:val="00E05DE8"/>
    <w:rsid w:val="00E06100"/>
    <w:rsid w:val="00E0614E"/>
    <w:rsid w:val="00E06B40"/>
    <w:rsid w:val="00E06E97"/>
    <w:rsid w:val="00E07B8F"/>
    <w:rsid w:val="00E10712"/>
    <w:rsid w:val="00E10DD1"/>
    <w:rsid w:val="00E1113C"/>
    <w:rsid w:val="00E1224C"/>
    <w:rsid w:val="00E1254C"/>
    <w:rsid w:val="00E12BDF"/>
    <w:rsid w:val="00E13326"/>
    <w:rsid w:val="00E13D07"/>
    <w:rsid w:val="00E14356"/>
    <w:rsid w:val="00E14961"/>
    <w:rsid w:val="00E14B91"/>
    <w:rsid w:val="00E14D76"/>
    <w:rsid w:val="00E15183"/>
    <w:rsid w:val="00E15D6C"/>
    <w:rsid w:val="00E161CE"/>
    <w:rsid w:val="00E167CE"/>
    <w:rsid w:val="00E1720B"/>
    <w:rsid w:val="00E203DE"/>
    <w:rsid w:val="00E20CE7"/>
    <w:rsid w:val="00E215C4"/>
    <w:rsid w:val="00E217B1"/>
    <w:rsid w:val="00E222FA"/>
    <w:rsid w:val="00E22700"/>
    <w:rsid w:val="00E229CE"/>
    <w:rsid w:val="00E22B4A"/>
    <w:rsid w:val="00E2449B"/>
    <w:rsid w:val="00E24A62"/>
    <w:rsid w:val="00E24F52"/>
    <w:rsid w:val="00E255CC"/>
    <w:rsid w:val="00E25636"/>
    <w:rsid w:val="00E25755"/>
    <w:rsid w:val="00E25F90"/>
    <w:rsid w:val="00E26001"/>
    <w:rsid w:val="00E266DD"/>
    <w:rsid w:val="00E26B3B"/>
    <w:rsid w:val="00E26D2E"/>
    <w:rsid w:val="00E26F7E"/>
    <w:rsid w:val="00E27235"/>
    <w:rsid w:val="00E279B2"/>
    <w:rsid w:val="00E303C0"/>
    <w:rsid w:val="00E3055B"/>
    <w:rsid w:val="00E30C8F"/>
    <w:rsid w:val="00E31687"/>
    <w:rsid w:val="00E31699"/>
    <w:rsid w:val="00E31761"/>
    <w:rsid w:val="00E31812"/>
    <w:rsid w:val="00E31889"/>
    <w:rsid w:val="00E31CE7"/>
    <w:rsid w:val="00E32F10"/>
    <w:rsid w:val="00E333D5"/>
    <w:rsid w:val="00E3394F"/>
    <w:rsid w:val="00E33A0B"/>
    <w:rsid w:val="00E34A2F"/>
    <w:rsid w:val="00E35901"/>
    <w:rsid w:val="00E35A45"/>
    <w:rsid w:val="00E35F7F"/>
    <w:rsid w:val="00E36392"/>
    <w:rsid w:val="00E36B32"/>
    <w:rsid w:val="00E37254"/>
    <w:rsid w:val="00E37A6F"/>
    <w:rsid w:val="00E37A9C"/>
    <w:rsid w:val="00E40222"/>
    <w:rsid w:val="00E40406"/>
    <w:rsid w:val="00E4082B"/>
    <w:rsid w:val="00E40835"/>
    <w:rsid w:val="00E408EC"/>
    <w:rsid w:val="00E409B5"/>
    <w:rsid w:val="00E40BCB"/>
    <w:rsid w:val="00E40F8A"/>
    <w:rsid w:val="00E40FD7"/>
    <w:rsid w:val="00E4165D"/>
    <w:rsid w:val="00E4208F"/>
    <w:rsid w:val="00E4282A"/>
    <w:rsid w:val="00E42E94"/>
    <w:rsid w:val="00E42F27"/>
    <w:rsid w:val="00E43006"/>
    <w:rsid w:val="00E4312A"/>
    <w:rsid w:val="00E4331B"/>
    <w:rsid w:val="00E43551"/>
    <w:rsid w:val="00E437FA"/>
    <w:rsid w:val="00E449B5"/>
    <w:rsid w:val="00E449CF"/>
    <w:rsid w:val="00E44E4D"/>
    <w:rsid w:val="00E45A2C"/>
    <w:rsid w:val="00E46A6B"/>
    <w:rsid w:val="00E46A9C"/>
    <w:rsid w:val="00E46C3D"/>
    <w:rsid w:val="00E470E2"/>
    <w:rsid w:val="00E47DB1"/>
    <w:rsid w:val="00E50BDD"/>
    <w:rsid w:val="00E510CF"/>
    <w:rsid w:val="00E513D7"/>
    <w:rsid w:val="00E519FE"/>
    <w:rsid w:val="00E5206C"/>
    <w:rsid w:val="00E52AAB"/>
    <w:rsid w:val="00E53556"/>
    <w:rsid w:val="00E5448E"/>
    <w:rsid w:val="00E547D6"/>
    <w:rsid w:val="00E54E0D"/>
    <w:rsid w:val="00E55247"/>
    <w:rsid w:val="00E558E5"/>
    <w:rsid w:val="00E55B3C"/>
    <w:rsid w:val="00E5647B"/>
    <w:rsid w:val="00E56795"/>
    <w:rsid w:val="00E56B67"/>
    <w:rsid w:val="00E57932"/>
    <w:rsid w:val="00E60466"/>
    <w:rsid w:val="00E606C4"/>
    <w:rsid w:val="00E60811"/>
    <w:rsid w:val="00E60AB8"/>
    <w:rsid w:val="00E60DF7"/>
    <w:rsid w:val="00E6103E"/>
    <w:rsid w:val="00E6185F"/>
    <w:rsid w:val="00E61D32"/>
    <w:rsid w:val="00E62451"/>
    <w:rsid w:val="00E625D9"/>
    <w:rsid w:val="00E63C60"/>
    <w:rsid w:val="00E63D2E"/>
    <w:rsid w:val="00E64050"/>
    <w:rsid w:val="00E64B7B"/>
    <w:rsid w:val="00E6514D"/>
    <w:rsid w:val="00E65161"/>
    <w:rsid w:val="00E651DE"/>
    <w:rsid w:val="00E652C9"/>
    <w:rsid w:val="00E6593B"/>
    <w:rsid w:val="00E65D74"/>
    <w:rsid w:val="00E667B9"/>
    <w:rsid w:val="00E66E11"/>
    <w:rsid w:val="00E672C6"/>
    <w:rsid w:val="00E67366"/>
    <w:rsid w:val="00E70192"/>
    <w:rsid w:val="00E70963"/>
    <w:rsid w:val="00E70C55"/>
    <w:rsid w:val="00E70E34"/>
    <w:rsid w:val="00E713F8"/>
    <w:rsid w:val="00E71809"/>
    <w:rsid w:val="00E71D1E"/>
    <w:rsid w:val="00E726F2"/>
    <w:rsid w:val="00E728E2"/>
    <w:rsid w:val="00E738FA"/>
    <w:rsid w:val="00E739B6"/>
    <w:rsid w:val="00E74A2B"/>
    <w:rsid w:val="00E75667"/>
    <w:rsid w:val="00E756D3"/>
    <w:rsid w:val="00E75985"/>
    <w:rsid w:val="00E75A5A"/>
    <w:rsid w:val="00E75D84"/>
    <w:rsid w:val="00E76004"/>
    <w:rsid w:val="00E7608F"/>
    <w:rsid w:val="00E760D7"/>
    <w:rsid w:val="00E769CC"/>
    <w:rsid w:val="00E77124"/>
    <w:rsid w:val="00E77341"/>
    <w:rsid w:val="00E7783E"/>
    <w:rsid w:val="00E778B8"/>
    <w:rsid w:val="00E8003F"/>
    <w:rsid w:val="00E801C7"/>
    <w:rsid w:val="00E80AF8"/>
    <w:rsid w:val="00E80BED"/>
    <w:rsid w:val="00E816E8"/>
    <w:rsid w:val="00E82592"/>
    <w:rsid w:val="00E825ED"/>
    <w:rsid w:val="00E827BB"/>
    <w:rsid w:val="00E82D24"/>
    <w:rsid w:val="00E8357D"/>
    <w:rsid w:val="00E83B8A"/>
    <w:rsid w:val="00E83C4F"/>
    <w:rsid w:val="00E84212"/>
    <w:rsid w:val="00E84C04"/>
    <w:rsid w:val="00E84F72"/>
    <w:rsid w:val="00E850B7"/>
    <w:rsid w:val="00E85516"/>
    <w:rsid w:val="00E856A2"/>
    <w:rsid w:val="00E8572B"/>
    <w:rsid w:val="00E8575B"/>
    <w:rsid w:val="00E85929"/>
    <w:rsid w:val="00E85AD2"/>
    <w:rsid w:val="00E87A37"/>
    <w:rsid w:val="00E87CF7"/>
    <w:rsid w:val="00E9036E"/>
    <w:rsid w:val="00E9078A"/>
    <w:rsid w:val="00E90A2E"/>
    <w:rsid w:val="00E912FD"/>
    <w:rsid w:val="00E913EF"/>
    <w:rsid w:val="00E91B26"/>
    <w:rsid w:val="00E92C6E"/>
    <w:rsid w:val="00E92D0B"/>
    <w:rsid w:val="00E92FFF"/>
    <w:rsid w:val="00E93195"/>
    <w:rsid w:val="00E93637"/>
    <w:rsid w:val="00E936A1"/>
    <w:rsid w:val="00E9391C"/>
    <w:rsid w:val="00E93D05"/>
    <w:rsid w:val="00E93D99"/>
    <w:rsid w:val="00E94525"/>
    <w:rsid w:val="00E946AB"/>
    <w:rsid w:val="00E94900"/>
    <w:rsid w:val="00E951D8"/>
    <w:rsid w:val="00E95C2A"/>
    <w:rsid w:val="00E95E3D"/>
    <w:rsid w:val="00E961CB"/>
    <w:rsid w:val="00E963BC"/>
    <w:rsid w:val="00E96505"/>
    <w:rsid w:val="00E966A6"/>
    <w:rsid w:val="00E96E91"/>
    <w:rsid w:val="00E9751D"/>
    <w:rsid w:val="00E97DC6"/>
    <w:rsid w:val="00E97DF6"/>
    <w:rsid w:val="00E97F7A"/>
    <w:rsid w:val="00EA0010"/>
    <w:rsid w:val="00EA0143"/>
    <w:rsid w:val="00EA040F"/>
    <w:rsid w:val="00EA089B"/>
    <w:rsid w:val="00EA0AD2"/>
    <w:rsid w:val="00EA1113"/>
    <w:rsid w:val="00EA1782"/>
    <w:rsid w:val="00EA1ACC"/>
    <w:rsid w:val="00EA1B7F"/>
    <w:rsid w:val="00EA275C"/>
    <w:rsid w:val="00EA2E21"/>
    <w:rsid w:val="00EA2EAA"/>
    <w:rsid w:val="00EA380C"/>
    <w:rsid w:val="00EA5F3B"/>
    <w:rsid w:val="00EA60B1"/>
    <w:rsid w:val="00EA613D"/>
    <w:rsid w:val="00EA6744"/>
    <w:rsid w:val="00EA7308"/>
    <w:rsid w:val="00EA7474"/>
    <w:rsid w:val="00EA74D4"/>
    <w:rsid w:val="00EA799E"/>
    <w:rsid w:val="00EB0674"/>
    <w:rsid w:val="00EB0831"/>
    <w:rsid w:val="00EB089C"/>
    <w:rsid w:val="00EB0AA8"/>
    <w:rsid w:val="00EB0B65"/>
    <w:rsid w:val="00EB0C65"/>
    <w:rsid w:val="00EB1624"/>
    <w:rsid w:val="00EB169F"/>
    <w:rsid w:val="00EB2635"/>
    <w:rsid w:val="00EB2961"/>
    <w:rsid w:val="00EB2E1A"/>
    <w:rsid w:val="00EB2F8A"/>
    <w:rsid w:val="00EB304D"/>
    <w:rsid w:val="00EB3268"/>
    <w:rsid w:val="00EB3298"/>
    <w:rsid w:val="00EB3939"/>
    <w:rsid w:val="00EB3CE6"/>
    <w:rsid w:val="00EB3E92"/>
    <w:rsid w:val="00EB4D4E"/>
    <w:rsid w:val="00EB53CE"/>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4D3A"/>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4DA6"/>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29B"/>
    <w:rsid w:val="00EE499F"/>
    <w:rsid w:val="00EE56E2"/>
    <w:rsid w:val="00EE5D5F"/>
    <w:rsid w:val="00EE5FCD"/>
    <w:rsid w:val="00EE63BF"/>
    <w:rsid w:val="00EE6D45"/>
    <w:rsid w:val="00EE6E89"/>
    <w:rsid w:val="00EF03E7"/>
    <w:rsid w:val="00EF0D4B"/>
    <w:rsid w:val="00EF0FE6"/>
    <w:rsid w:val="00EF1130"/>
    <w:rsid w:val="00EF11E0"/>
    <w:rsid w:val="00EF132E"/>
    <w:rsid w:val="00EF1432"/>
    <w:rsid w:val="00EF1511"/>
    <w:rsid w:val="00EF1F01"/>
    <w:rsid w:val="00EF2C39"/>
    <w:rsid w:val="00EF2C5F"/>
    <w:rsid w:val="00EF3811"/>
    <w:rsid w:val="00EF3AC4"/>
    <w:rsid w:val="00EF3FF9"/>
    <w:rsid w:val="00EF41AF"/>
    <w:rsid w:val="00EF47BA"/>
    <w:rsid w:val="00EF4DB4"/>
    <w:rsid w:val="00EF5234"/>
    <w:rsid w:val="00EF55E9"/>
    <w:rsid w:val="00EF5B41"/>
    <w:rsid w:val="00EF611C"/>
    <w:rsid w:val="00EF625F"/>
    <w:rsid w:val="00EF62C0"/>
    <w:rsid w:val="00EF66B0"/>
    <w:rsid w:val="00EF6D39"/>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5F52"/>
    <w:rsid w:val="00F06340"/>
    <w:rsid w:val="00F0665D"/>
    <w:rsid w:val="00F06D42"/>
    <w:rsid w:val="00F07134"/>
    <w:rsid w:val="00F0724D"/>
    <w:rsid w:val="00F07355"/>
    <w:rsid w:val="00F07378"/>
    <w:rsid w:val="00F106A2"/>
    <w:rsid w:val="00F10A1F"/>
    <w:rsid w:val="00F10B81"/>
    <w:rsid w:val="00F10BC9"/>
    <w:rsid w:val="00F10D3C"/>
    <w:rsid w:val="00F111E8"/>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6A"/>
    <w:rsid w:val="00F20C9E"/>
    <w:rsid w:val="00F213D8"/>
    <w:rsid w:val="00F21A5D"/>
    <w:rsid w:val="00F21C13"/>
    <w:rsid w:val="00F22362"/>
    <w:rsid w:val="00F22796"/>
    <w:rsid w:val="00F2296A"/>
    <w:rsid w:val="00F234A4"/>
    <w:rsid w:val="00F2363A"/>
    <w:rsid w:val="00F238F7"/>
    <w:rsid w:val="00F23BA0"/>
    <w:rsid w:val="00F2420C"/>
    <w:rsid w:val="00F24BC2"/>
    <w:rsid w:val="00F24C28"/>
    <w:rsid w:val="00F25277"/>
    <w:rsid w:val="00F254C4"/>
    <w:rsid w:val="00F25641"/>
    <w:rsid w:val="00F256D8"/>
    <w:rsid w:val="00F25824"/>
    <w:rsid w:val="00F25E8C"/>
    <w:rsid w:val="00F26065"/>
    <w:rsid w:val="00F266E3"/>
    <w:rsid w:val="00F2689C"/>
    <w:rsid w:val="00F271C4"/>
    <w:rsid w:val="00F274F2"/>
    <w:rsid w:val="00F27E44"/>
    <w:rsid w:val="00F30313"/>
    <w:rsid w:val="00F303BC"/>
    <w:rsid w:val="00F30472"/>
    <w:rsid w:val="00F31052"/>
    <w:rsid w:val="00F313E8"/>
    <w:rsid w:val="00F318A1"/>
    <w:rsid w:val="00F31CF5"/>
    <w:rsid w:val="00F3265C"/>
    <w:rsid w:val="00F32C4A"/>
    <w:rsid w:val="00F33262"/>
    <w:rsid w:val="00F33958"/>
    <w:rsid w:val="00F343EE"/>
    <w:rsid w:val="00F353F4"/>
    <w:rsid w:val="00F35412"/>
    <w:rsid w:val="00F35494"/>
    <w:rsid w:val="00F35607"/>
    <w:rsid w:val="00F357A0"/>
    <w:rsid w:val="00F359AB"/>
    <w:rsid w:val="00F35DBA"/>
    <w:rsid w:val="00F35E72"/>
    <w:rsid w:val="00F3619D"/>
    <w:rsid w:val="00F36DDE"/>
    <w:rsid w:val="00F3722A"/>
    <w:rsid w:val="00F37366"/>
    <w:rsid w:val="00F37C99"/>
    <w:rsid w:val="00F37FCC"/>
    <w:rsid w:val="00F419B8"/>
    <w:rsid w:val="00F41C0F"/>
    <w:rsid w:val="00F42856"/>
    <w:rsid w:val="00F42BF8"/>
    <w:rsid w:val="00F42ED7"/>
    <w:rsid w:val="00F43777"/>
    <w:rsid w:val="00F4482B"/>
    <w:rsid w:val="00F44F02"/>
    <w:rsid w:val="00F45039"/>
    <w:rsid w:val="00F45041"/>
    <w:rsid w:val="00F4526B"/>
    <w:rsid w:val="00F45298"/>
    <w:rsid w:val="00F45417"/>
    <w:rsid w:val="00F45F64"/>
    <w:rsid w:val="00F462DF"/>
    <w:rsid w:val="00F46534"/>
    <w:rsid w:val="00F4662D"/>
    <w:rsid w:val="00F467BA"/>
    <w:rsid w:val="00F467C1"/>
    <w:rsid w:val="00F4689E"/>
    <w:rsid w:val="00F468AC"/>
    <w:rsid w:val="00F4696F"/>
    <w:rsid w:val="00F469E5"/>
    <w:rsid w:val="00F46A5F"/>
    <w:rsid w:val="00F46BB0"/>
    <w:rsid w:val="00F46C9A"/>
    <w:rsid w:val="00F47316"/>
    <w:rsid w:val="00F47507"/>
    <w:rsid w:val="00F47A01"/>
    <w:rsid w:val="00F47CEE"/>
    <w:rsid w:val="00F5040A"/>
    <w:rsid w:val="00F5052D"/>
    <w:rsid w:val="00F51A82"/>
    <w:rsid w:val="00F51B78"/>
    <w:rsid w:val="00F51BDD"/>
    <w:rsid w:val="00F52065"/>
    <w:rsid w:val="00F521CE"/>
    <w:rsid w:val="00F5253E"/>
    <w:rsid w:val="00F5254B"/>
    <w:rsid w:val="00F526C9"/>
    <w:rsid w:val="00F52CB7"/>
    <w:rsid w:val="00F53A44"/>
    <w:rsid w:val="00F54E5E"/>
    <w:rsid w:val="00F551DB"/>
    <w:rsid w:val="00F55810"/>
    <w:rsid w:val="00F559BE"/>
    <w:rsid w:val="00F55EC2"/>
    <w:rsid w:val="00F56F7E"/>
    <w:rsid w:val="00F56FEF"/>
    <w:rsid w:val="00F57521"/>
    <w:rsid w:val="00F57859"/>
    <w:rsid w:val="00F579EF"/>
    <w:rsid w:val="00F60938"/>
    <w:rsid w:val="00F60982"/>
    <w:rsid w:val="00F60C7E"/>
    <w:rsid w:val="00F60E0A"/>
    <w:rsid w:val="00F61207"/>
    <w:rsid w:val="00F61606"/>
    <w:rsid w:val="00F61918"/>
    <w:rsid w:val="00F620E4"/>
    <w:rsid w:val="00F62151"/>
    <w:rsid w:val="00F62CA8"/>
    <w:rsid w:val="00F62F92"/>
    <w:rsid w:val="00F630B4"/>
    <w:rsid w:val="00F635EF"/>
    <w:rsid w:val="00F63BF4"/>
    <w:rsid w:val="00F63C55"/>
    <w:rsid w:val="00F63C60"/>
    <w:rsid w:val="00F64991"/>
    <w:rsid w:val="00F65693"/>
    <w:rsid w:val="00F65A63"/>
    <w:rsid w:val="00F65BA9"/>
    <w:rsid w:val="00F65BC8"/>
    <w:rsid w:val="00F65EEA"/>
    <w:rsid w:val="00F66205"/>
    <w:rsid w:val="00F6630F"/>
    <w:rsid w:val="00F66419"/>
    <w:rsid w:val="00F6697B"/>
    <w:rsid w:val="00F67079"/>
    <w:rsid w:val="00F67B58"/>
    <w:rsid w:val="00F67E81"/>
    <w:rsid w:val="00F7044B"/>
    <w:rsid w:val="00F70AF8"/>
    <w:rsid w:val="00F70FD4"/>
    <w:rsid w:val="00F71342"/>
    <w:rsid w:val="00F71C68"/>
    <w:rsid w:val="00F724E2"/>
    <w:rsid w:val="00F72840"/>
    <w:rsid w:val="00F72F74"/>
    <w:rsid w:val="00F73BB0"/>
    <w:rsid w:val="00F74103"/>
    <w:rsid w:val="00F7410A"/>
    <w:rsid w:val="00F745A4"/>
    <w:rsid w:val="00F74C0C"/>
    <w:rsid w:val="00F74E0A"/>
    <w:rsid w:val="00F758E1"/>
    <w:rsid w:val="00F75BB5"/>
    <w:rsid w:val="00F75FD5"/>
    <w:rsid w:val="00F7604C"/>
    <w:rsid w:val="00F763B6"/>
    <w:rsid w:val="00F76677"/>
    <w:rsid w:val="00F768CF"/>
    <w:rsid w:val="00F773A9"/>
    <w:rsid w:val="00F77C09"/>
    <w:rsid w:val="00F8056E"/>
    <w:rsid w:val="00F805B7"/>
    <w:rsid w:val="00F810C1"/>
    <w:rsid w:val="00F81623"/>
    <w:rsid w:val="00F81D25"/>
    <w:rsid w:val="00F8245C"/>
    <w:rsid w:val="00F82928"/>
    <w:rsid w:val="00F829B9"/>
    <w:rsid w:val="00F83045"/>
    <w:rsid w:val="00F83615"/>
    <w:rsid w:val="00F83EC7"/>
    <w:rsid w:val="00F84086"/>
    <w:rsid w:val="00F84112"/>
    <w:rsid w:val="00F8421D"/>
    <w:rsid w:val="00F8438A"/>
    <w:rsid w:val="00F85188"/>
    <w:rsid w:val="00F85329"/>
    <w:rsid w:val="00F85683"/>
    <w:rsid w:val="00F857A0"/>
    <w:rsid w:val="00F85841"/>
    <w:rsid w:val="00F85ADA"/>
    <w:rsid w:val="00F86079"/>
    <w:rsid w:val="00F8610A"/>
    <w:rsid w:val="00F864F6"/>
    <w:rsid w:val="00F87282"/>
    <w:rsid w:val="00F878CD"/>
    <w:rsid w:val="00F87905"/>
    <w:rsid w:val="00F87A66"/>
    <w:rsid w:val="00F87A80"/>
    <w:rsid w:val="00F90C1F"/>
    <w:rsid w:val="00F912D9"/>
    <w:rsid w:val="00F91A44"/>
    <w:rsid w:val="00F91BFA"/>
    <w:rsid w:val="00F91F8F"/>
    <w:rsid w:val="00F9217B"/>
    <w:rsid w:val="00F9581C"/>
    <w:rsid w:val="00F97A34"/>
    <w:rsid w:val="00F97E4A"/>
    <w:rsid w:val="00F97EA1"/>
    <w:rsid w:val="00FA003A"/>
    <w:rsid w:val="00FA05C8"/>
    <w:rsid w:val="00FA0678"/>
    <w:rsid w:val="00FA0936"/>
    <w:rsid w:val="00FA0DB6"/>
    <w:rsid w:val="00FA23F7"/>
    <w:rsid w:val="00FA27EB"/>
    <w:rsid w:val="00FA2A29"/>
    <w:rsid w:val="00FA2C82"/>
    <w:rsid w:val="00FA35B6"/>
    <w:rsid w:val="00FA3EBC"/>
    <w:rsid w:val="00FA423C"/>
    <w:rsid w:val="00FA44D0"/>
    <w:rsid w:val="00FA4590"/>
    <w:rsid w:val="00FA49F7"/>
    <w:rsid w:val="00FA4A07"/>
    <w:rsid w:val="00FA53EA"/>
    <w:rsid w:val="00FA55A2"/>
    <w:rsid w:val="00FA672F"/>
    <w:rsid w:val="00FA67C8"/>
    <w:rsid w:val="00FA7472"/>
    <w:rsid w:val="00FA775E"/>
    <w:rsid w:val="00FA7792"/>
    <w:rsid w:val="00FA7AA8"/>
    <w:rsid w:val="00FA7F1D"/>
    <w:rsid w:val="00FB011C"/>
    <w:rsid w:val="00FB0D60"/>
    <w:rsid w:val="00FB18FD"/>
    <w:rsid w:val="00FB2BF5"/>
    <w:rsid w:val="00FB2F8E"/>
    <w:rsid w:val="00FB30BE"/>
    <w:rsid w:val="00FB30C3"/>
    <w:rsid w:val="00FB3693"/>
    <w:rsid w:val="00FB39B0"/>
    <w:rsid w:val="00FB5138"/>
    <w:rsid w:val="00FB547F"/>
    <w:rsid w:val="00FB56D5"/>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35C"/>
    <w:rsid w:val="00FC444A"/>
    <w:rsid w:val="00FC453D"/>
    <w:rsid w:val="00FC4A89"/>
    <w:rsid w:val="00FC619B"/>
    <w:rsid w:val="00FC665F"/>
    <w:rsid w:val="00FC68E8"/>
    <w:rsid w:val="00FC6C35"/>
    <w:rsid w:val="00FC6D59"/>
    <w:rsid w:val="00FC7561"/>
    <w:rsid w:val="00FC78CB"/>
    <w:rsid w:val="00FC78F5"/>
    <w:rsid w:val="00FC7ACA"/>
    <w:rsid w:val="00FC7AD2"/>
    <w:rsid w:val="00FC7C08"/>
    <w:rsid w:val="00FD10B3"/>
    <w:rsid w:val="00FD115D"/>
    <w:rsid w:val="00FD11C3"/>
    <w:rsid w:val="00FD154E"/>
    <w:rsid w:val="00FD1715"/>
    <w:rsid w:val="00FD24D7"/>
    <w:rsid w:val="00FD28B0"/>
    <w:rsid w:val="00FD2996"/>
    <w:rsid w:val="00FD29CE"/>
    <w:rsid w:val="00FD3AE2"/>
    <w:rsid w:val="00FD3E41"/>
    <w:rsid w:val="00FD3EFA"/>
    <w:rsid w:val="00FD400A"/>
    <w:rsid w:val="00FD4D2B"/>
    <w:rsid w:val="00FD54A8"/>
    <w:rsid w:val="00FD564D"/>
    <w:rsid w:val="00FD5AE4"/>
    <w:rsid w:val="00FD5F25"/>
    <w:rsid w:val="00FD60BE"/>
    <w:rsid w:val="00FD674B"/>
    <w:rsid w:val="00FD6894"/>
    <w:rsid w:val="00FD6AF0"/>
    <w:rsid w:val="00FD6BBB"/>
    <w:rsid w:val="00FD704D"/>
    <w:rsid w:val="00FD7249"/>
    <w:rsid w:val="00FD735E"/>
    <w:rsid w:val="00FD74EF"/>
    <w:rsid w:val="00FD79B8"/>
    <w:rsid w:val="00FD79F6"/>
    <w:rsid w:val="00FE033F"/>
    <w:rsid w:val="00FE07A8"/>
    <w:rsid w:val="00FE0AD1"/>
    <w:rsid w:val="00FE0CC0"/>
    <w:rsid w:val="00FE1852"/>
    <w:rsid w:val="00FE1963"/>
    <w:rsid w:val="00FE1981"/>
    <w:rsid w:val="00FE1BF1"/>
    <w:rsid w:val="00FE1C21"/>
    <w:rsid w:val="00FE33DB"/>
    <w:rsid w:val="00FE33F5"/>
    <w:rsid w:val="00FE352A"/>
    <w:rsid w:val="00FE37DD"/>
    <w:rsid w:val="00FE3C31"/>
    <w:rsid w:val="00FE3F01"/>
    <w:rsid w:val="00FE4015"/>
    <w:rsid w:val="00FE44F5"/>
    <w:rsid w:val="00FE4783"/>
    <w:rsid w:val="00FE480D"/>
    <w:rsid w:val="00FE4A0F"/>
    <w:rsid w:val="00FE4ACC"/>
    <w:rsid w:val="00FE4F80"/>
    <w:rsid w:val="00FE570E"/>
    <w:rsid w:val="00FE594D"/>
    <w:rsid w:val="00FE6870"/>
    <w:rsid w:val="00FE713E"/>
    <w:rsid w:val="00FE7877"/>
    <w:rsid w:val="00FE7DD1"/>
    <w:rsid w:val="00FF0B4F"/>
    <w:rsid w:val="00FF0F58"/>
    <w:rsid w:val="00FF150B"/>
    <w:rsid w:val="00FF183C"/>
    <w:rsid w:val="00FF1A06"/>
    <w:rsid w:val="00FF1AD3"/>
    <w:rsid w:val="00FF1B46"/>
    <w:rsid w:val="00FF219D"/>
    <w:rsid w:val="00FF2A7B"/>
    <w:rsid w:val="00FF3D2B"/>
    <w:rsid w:val="00FF427E"/>
    <w:rsid w:val="00FF49B4"/>
    <w:rsid w:val="00FF49D6"/>
    <w:rsid w:val="00FF49F4"/>
    <w:rsid w:val="00FF5781"/>
    <w:rsid w:val="00FF5897"/>
    <w:rsid w:val="00FF5C6A"/>
    <w:rsid w:val="00FF651D"/>
    <w:rsid w:val="00FF6843"/>
    <w:rsid w:val="00FF6C25"/>
    <w:rsid w:val="010651D9"/>
    <w:rsid w:val="010D2991"/>
    <w:rsid w:val="011F6449"/>
    <w:rsid w:val="01236AFB"/>
    <w:rsid w:val="01890039"/>
    <w:rsid w:val="019F7441"/>
    <w:rsid w:val="01B37585"/>
    <w:rsid w:val="01D55165"/>
    <w:rsid w:val="01DF6BF8"/>
    <w:rsid w:val="01EC2C57"/>
    <w:rsid w:val="02025967"/>
    <w:rsid w:val="026B2E25"/>
    <w:rsid w:val="02824D4D"/>
    <w:rsid w:val="02DC4B10"/>
    <w:rsid w:val="02DD76CE"/>
    <w:rsid w:val="02F36323"/>
    <w:rsid w:val="02F5619C"/>
    <w:rsid w:val="0326446A"/>
    <w:rsid w:val="032D5555"/>
    <w:rsid w:val="036634D2"/>
    <w:rsid w:val="03DD35E4"/>
    <w:rsid w:val="04076900"/>
    <w:rsid w:val="041A5A3B"/>
    <w:rsid w:val="042311BA"/>
    <w:rsid w:val="042B157A"/>
    <w:rsid w:val="04735C68"/>
    <w:rsid w:val="048B0EE3"/>
    <w:rsid w:val="048F763B"/>
    <w:rsid w:val="049F330E"/>
    <w:rsid w:val="04AA775C"/>
    <w:rsid w:val="04AF1889"/>
    <w:rsid w:val="04F66F48"/>
    <w:rsid w:val="05120775"/>
    <w:rsid w:val="05251E14"/>
    <w:rsid w:val="05946033"/>
    <w:rsid w:val="05A16594"/>
    <w:rsid w:val="05A7762D"/>
    <w:rsid w:val="060E5941"/>
    <w:rsid w:val="06100207"/>
    <w:rsid w:val="06110FAF"/>
    <w:rsid w:val="062C51A3"/>
    <w:rsid w:val="062F2CAA"/>
    <w:rsid w:val="06493CA7"/>
    <w:rsid w:val="065A6178"/>
    <w:rsid w:val="06642AFE"/>
    <w:rsid w:val="066F1CF3"/>
    <w:rsid w:val="06930BB8"/>
    <w:rsid w:val="06B234A2"/>
    <w:rsid w:val="06BE0C23"/>
    <w:rsid w:val="07245D42"/>
    <w:rsid w:val="07264C62"/>
    <w:rsid w:val="0779354C"/>
    <w:rsid w:val="07A41E5B"/>
    <w:rsid w:val="07EE1963"/>
    <w:rsid w:val="08061376"/>
    <w:rsid w:val="0808579C"/>
    <w:rsid w:val="08163E65"/>
    <w:rsid w:val="08452D77"/>
    <w:rsid w:val="0861033C"/>
    <w:rsid w:val="086401F8"/>
    <w:rsid w:val="08751CAA"/>
    <w:rsid w:val="087E4C40"/>
    <w:rsid w:val="0886507F"/>
    <w:rsid w:val="08D66AD6"/>
    <w:rsid w:val="08DA33A3"/>
    <w:rsid w:val="08E80F13"/>
    <w:rsid w:val="092E1A8D"/>
    <w:rsid w:val="09335624"/>
    <w:rsid w:val="0944690F"/>
    <w:rsid w:val="09535675"/>
    <w:rsid w:val="095F057D"/>
    <w:rsid w:val="09642282"/>
    <w:rsid w:val="09733572"/>
    <w:rsid w:val="09772C16"/>
    <w:rsid w:val="098353B5"/>
    <w:rsid w:val="09A92330"/>
    <w:rsid w:val="09B06B87"/>
    <w:rsid w:val="09C13146"/>
    <w:rsid w:val="09E04166"/>
    <w:rsid w:val="0A1C0718"/>
    <w:rsid w:val="0A303069"/>
    <w:rsid w:val="0A317207"/>
    <w:rsid w:val="0A3E7710"/>
    <w:rsid w:val="0A5B7E63"/>
    <w:rsid w:val="0AA16DFC"/>
    <w:rsid w:val="0AA374A5"/>
    <w:rsid w:val="0AAB7649"/>
    <w:rsid w:val="0ABC5606"/>
    <w:rsid w:val="0AF90439"/>
    <w:rsid w:val="0B0A0458"/>
    <w:rsid w:val="0B30404E"/>
    <w:rsid w:val="0B4C6C14"/>
    <w:rsid w:val="0B5F1DB6"/>
    <w:rsid w:val="0B631A88"/>
    <w:rsid w:val="0B683D45"/>
    <w:rsid w:val="0B7F3F11"/>
    <w:rsid w:val="0B884417"/>
    <w:rsid w:val="0BDD0E19"/>
    <w:rsid w:val="0BF507B6"/>
    <w:rsid w:val="0BF6188C"/>
    <w:rsid w:val="0BF73C91"/>
    <w:rsid w:val="0C170175"/>
    <w:rsid w:val="0C571A41"/>
    <w:rsid w:val="0C5C1171"/>
    <w:rsid w:val="0C5E1CBC"/>
    <w:rsid w:val="0C615B50"/>
    <w:rsid w:val="0C8445DA"/>
    <w:rsid w:val="0C87121B"/>
    <w:rsid w:val="0CB669DB"/>
    <w:rsid w:val="0CC007F7"/>
    <w:rsid w:val="0CF673BD"/>
    <w:rsid w:val="0CFE707A"/>
    <w:rsid w:val="0D063BDA"/>
    <w:rsid w:val="0D08375F"/>
    <w:rsid w:val="0D184CFB"/>
    <w:rsid w:val="0D4A7419"/>
    <w:rsid w:val="0D827401"/>
    <w:rsid w:val="0D84094E"/>
    <w:rsid w:val="0D8A00E9"/>
    <w:rsid w:val="0D8D589E"/>
    <w:rsid w:val="0DA01C73"/>
    <w:rsid w:val="0DD63300"/>
    <w:rsid w:val="0DF50604"/>
    <w:rsid w:val="0DF702FE"/>
    <w:rsid w:val="0E060E51"/>
    <w:rsid w:val="0E19403A"/>
    <w:rsid w:val="0E1B245B"/>
    <w:rsid w:val="0E5604B2"/>
    <w:rsid w:val="0E6D5D79"/>
    <w:rsid w:val="0E9D0089"/>
    <w:rsid w:val="0EB803EE"/>
    <w:rsid w:val="0EF94D4B"/>
    <w:rsid w:val="0F4958DC"/>
    <w:rsid w:val="0F4C0664"/>
    <w:rsid w:val="0F515DF7"/>
    <w:rsid w:val="0F596BA8"/>
    <w:rsid w:val="0F6248D2"/>
    <w:rsid w:val="0F693536"/>
    <w:rsid w:val="0F7B0511"/>
    <w:rsid w:val="0F7B76D9"/>
    <w:rsid w:val="0F816ACD"/>
    <w:rsid w:val="0F9832DB"/>
    <w:rsid w:val="0FB413AF"/>
    <w:rsid w:val="0FBF3FD2"/>
    <w:rsid w:val="0FBF7FF3"/>
    <w:rsid w:val="102F7D69"/>
    <w:rsid w:val="10646583"/>
    <w:rsid w:val="106B69D5"/>
    <w:rsid w:val="107D4B15"/>
    <w:rsid w:val="10855341"/>
    <w:rsid w:val="108A3C80"/>
    <w:rsid w:val="10987513"/>
    <w:rsid w:val="10C26171"/>
    <w:rsid w:val="10F33360"/>
    <w:rsid w:val="10FC16EA"/>
    <w:rsid w:val="110F1D40"/>
    <w:rsid w:val="111B199F"/>
    <w:rsid w:val="11266F33"/>
    <w:rsid w:val="118963A1"/>
    <w:rsid w:val="11C6522A"/>
    <w:rsid w:val="11E104CC"/>
    <w:rsid w:val="11E20309"/>
    <w:rsid w:val="12255233"/>
    <w:rsid w:val="12530213"/>
    <w:rsid w:val="126D04F8"/>
    <w:rsid w:val="127723A9"/>
    <w:rsid w:val="12862074"/>
    <w:rsid w:val="12883966"/>
    <w:rsid w:val="129E45B4"/>
    <w:rsid w:val="12D81596"/>
    <w:rsid w:val="13072A44"/>
    <w:rsid w:val="130A061A"/>
    <w:rsid w:val="1319085D"/>
    <w:rsid w:val="135F4BE2"/>
    <w:rsid w:val="139B1A0A"/>
    <w:rsid w:val="139D25C7"/>
    <w:rsid w:val="13BF3CE4"/>
    <w:rsid w:val="141008D8"/>
    <w:rsid w:val="14125FE6"/>
    <w:rsid w:val="146D271E"/>
    <w:rsid w:val="14982588"/>
    <w:rsid w:val="149A5AD9"/>
    <w:rsid w:val="14A7619D"/>
    <w:rsid w:val="150536C3"/>
    <w:rsid w:val="150C1963"/>
    <w:rsid w:val="151447A0"/>
    <w:rsid w:val="153D4CD7"/>
    <w:rsid w:val="154A6454"/>
    <w:rsid w:val="155862F9"/>
    <w:rsid w:val="15762120"/>
    <w:rsid w:val="15B6173D"/>
    <w:rsid w:val="16A456DC"/>
    <w:rsid w:val="16A8729C"/>
    <w:rsid w:val="16B33777"/>
    <w:rsid w:val="16BC70A7"/>
    <w:rsid w:val="16C6339E"/>
    <w:rsid w:val="172F2D79"/>
    <w:rsid w:val="17557BEF"/>
    <w:rsid w:val="17750F77"/>
    <w:rsid w:val="17BA1532"/>
    <w:rsid w:val="17C64912"/>
    <w:rsid w:val="17D349C1"/>
    <w:rsid w:val="17FF73F0"/>
    <w:rsid w:val="18286B86"/>
    <w:rsid w:val="1830729E"/>
    <w:rsid w:val="1870062C"/>
    <w:rsid w:val="18817102"/>
    <w:rsid w:val="18830A15"/>
    <w:rsid w:val="18852B28"/>
    <w:rsid w:val="188B5321"/>
    <w:rsid w:val="19932372"/>
    <w:rsid w:val="19A20DD5"/>
    <w:rsid w:val="19AE03F1"/>
    <w:rsid w:val="19DE01EC"/>
    <w:rsid w:val="19F7198E"/>
    <w:rsid w:val="1A071A03"/>
    <w:rsid w:val="1A1F16AE"/>
    <w:rsid w:val="1A3B5C77"/>
    <w:rsid w:val="1A984BAD"/>
    <w:rsid w:val="1A9A2283"/>
    <w:rsid w:val="1AB8220E"/>
    <w:rsid w:val="1AE4166C"/>
    <w:rsid w:val="1AF06CFB"/>
    <w:rsid w:val="1AF11B8D"/>
    <w:rsid w:val="1B11359C"/>
    <w:rsid w:val="1B2A271F"/>
    <w:rsid w:val="1B530544"/>
    <w:rsid w:val="1B713184"/>
    <w:rsid w:val="1BA209CF"/>
    <w:rsid w:val="1BB4777D"/>
    <w:rsid w:val="1BD75AB8"/>
    <w:rsid w:val="1C0459C2"/>
    <w:rsid w:val="1C1B3B4A"/>
    <w:rsid w:val="1C1B7A4A"/>
    <w:rsid w:val="1C88086E"/>
    <w:rsid w:val="1CA81A08"/>
    <w:rsid w:val="1D266CE1"/>
    <w:rsid w:val="1D3963AF"/>
    <w:rsid w:val="1D6A673C"/>
    <w:rsid w:val="1D7E5E8C"/>
    <w:rsid w:val="1D9247AE"/>
    <w:rsid w:val="1D937669"/>
    <w:rsid w:val="1DB567EC"/>
    <w:rsid w:val="1DF51A98"/>
    <w:rsid w:val="1E307AA3"/>
    <w:rsid w:val="1E3D060F"/>
    <w:rsid w:val="1E3F7D2E"/>
    <w:rsid w:val="1E4134E4"/>
    <w:rsid w:val="1E5062B3"/>
    <w:rsid w:val="1E523514"/>
    <w:rsid w:val="1E714A66"/>
    <w:rsid w:val="1E802593"/>
    <w:rsid w:val="1EA06883"/>
    <w:rsid w:val="1EA703CC"/>
    <w:rsid w:val="1EB7330C"/>
    <w:rsid w:val="1F0A0FF3"/>
    <w:rsid w:val="1F5771FF"/>
    <w:rsid w:val="1F6E06FC"/>
    <w:rsid w:val="1F87003E"/>
    <w:rsid w:val="1FE868A9"/>
    <w:rsid w:val="1FFF5DA9"/>
    <w:rsid w:val="20034907"/>
    <w:rsid w:val="20173E4B"/>
    <w:rsid w:val="204E48BC"/>
    <w:rsid w:val="208921B3"/>
    <w:rsid w:val="20973DEB"/>
    <w:rsid w:val="20B26522"/>
    <w:rsid w:val="20B44310"/>
    <w:rsid w:val="211116EB"/>
    <w:rsid w:val="214D3572"/>
    <w:rsid w:val="216133FC"/>
    <w:rsid w:val="21D56769"/>
    <w:rsid w:val="21E52EF3"/>
    <w:rsid w:val="21FB5D7B"/>
    <w:rsid w:val="220B1C3D"/>
    <w:rsid w:val="221D1D20"/>
    <w:rsid w:val="22334A87"/>
    <w:rsid w:val="22A42BBD"/>
    <w:rsid w:val="22BE6801"/>
    <w:rsid w:val="230E380E"/>
    <w:rsid w:val="233500BF"/>
    <w:rsid w:val="23377FF7"/>
    <w:rsid w:val="234D3200"/>
    <w:rsid w:val="236B425F"/>
    <w:rsid w:val="236D1AE9"/>
    <w:rsid w:val="23836192"/>
    <w:rsid w:val="23901F29"/>
    <w:rsid w:val="239C0061"/>
    <w:rsid w:val="23B908A4"/>
    <w:rsid w:val="23E95BEF"/>
    <w:rsid w:val="23FD0064"/>
    <w:rsid w:val="245375B0"/>
    <w:rsid w:val="24642C0A"/>
    <w:rsid w:val="249B17F7"/>
    <w:rsid w:val="24B22173"/>
    <w:rsid w:val="24B95AD9"/>
    <w:rsid w:val="24BE24DA"/>
    <w:rsid w:val="24CF5825"/>
    <w:rsid w:val="24D663E6"/>
    <w:rsid w:val="24D77F2B"/>
    <w:rsid w:val="24F33E9A"/>
    <w:rsid w:val="251C31E3"/>
    <w:rsid w:val="258B00E2"/>
    <w:rsid w:val="25A917A6"/>
    <w:rsid w:val="25BE27CC"/>
    <w:rsid w:val="25F74A5C"/>
    <w:rsid w:val="2628662C"/>
    <w:rsid w:val="262A7858"/>
    <w:rsid w:val="262D45DE"/>
    <w:rsid w:val="26A53EF9"/>
    <w:rsid w:val="26A94201"/>
    <w:rsid w:val="26AC274F"/>
    <w:rsid w:val="27044A29"/>
    <w:rsid w:val="271D34C8"/>
    <w:rsid w:val="276142BF"/>
    <w:rsid w:val="27783712"/>
    <w:rsid w:val="27907362"/>
    <w:rsid w:val="27A73950"/>
    <w:rsid w:val="27FD5FE2"/>
    <w:rsid w:val="28333E1D"/>
    <w:rsid w:val="28454BD6"/>
    <w:rsid w:val="28455253"/>
    <w:rsid w:val="28551971"/>
    <w:rsid w:val="285B1C53"/>
    <w:rsid w:val="286D2667"/>
    <w:rsid w:val="289F7086"/>
    <w:rsid w:val="28C32028"/>
    <w:rsid w:val="28CC490F"/>
    <w:rsid w:val="28DE40AA"/>
    <w:rsid w:val="29297B19"/>
    <w:rsid w:val="29345E77"/>
    <w:rsid w:val="294C65AD"/>
    <w:rsid w:val="29806583"/>
    <w:rsid w:val="298B3C4C"/>
    <w:rsid w:val="29AD2CCD"/>
    <w:rsid w:val="29EC34A5"/>
    <w:rsid w:val="29F26D24"/>
    <w:rsid w:val="2A15033F"/>
    <w:rsid w:val="2A1662C1"/>
    <w:rsid w:val="2A1C7367"/>
    <w:rsid w:val="2A2815FA"/>
    <w:rsid w:val="2A4E45E1"/>
    <w:rsid w:val="2A6D6092"/>
    <w:rsid w:val="2A7D76B4"/>
    <w:rsid w:val="2ACE0CCA"/>
    <w:rsid w:val="2B2629E5"/>
    <w:rsid w:val="2B437463"/>
    <w:rsid w:val="2B7807EE"/>
    <w:rsid w:val="2B8B3764"/>
    <w:rsid w:val="2BBF00EC"/>
    <w:rsid w:val="2BC37CFD"/>
    <w:rsid w:val="2BD5237F"/>
    <w:rsid w:val="2BDB6BA0"/>
    <w:rsid w:val="2BDF1F09"/>
    <w:rsid w:val="2BE536CE"/>
    <w:rsid w:val="2BE758D9"/>
    <w:rsid w:val="2C09049E"/>
    <w:rsid w:val="2C0A653C"/>
    <w:rsid w:val="2C191F85"/>
    <w:rsid w:val="2C29770E"/>
    <w:rsid w:val="2C6748DC"/>
    <w:rsid w:val="2C9A62E3"/>
    <w:rsid w:val="2CE82D6F"/>
    <w:rsid w:val="2D343236"/>
    <w:rsid w:val="2DC8E022"/>
    <w:rsid w:val="2DD15014"/>
    <w:rsid w:val="2DF72DE4"/>
    <w:rsid w:val="2E0220AF"/>
    <w:rsid w:val="2E4B082A"/>
    <w:rsid w:val="2E5D4E86"/>
    <w:rsid w:val="2E5D790B"/>
    <w:rsid w:val="2E9A3C18"/>
    <w:rsid w:val="2EBB0FEE"/>
    <w:rsid w:val="2EC63002"/>
    <w:rsid w:val="2EF012F9"/>
    <w:rsid w:val="2F0814E2"/>
    <w:rsid w:val="2F0A6B38"/>
    <w:rsid w:val="2F1E646B"/>
    <w:rsid w:val="2F946CCB"/>
    <w:rsid w:val="2FCE6F45"/>
    <w:rsid w:val="2FD25781"/>
    <w:rsid w:val="2FE36661"/>
    <w:rsid w:val="2FFD7934"/>
    <w:rsid w:val="30733ACD"/>
    <w:rsid w:val="30895216"/>
    <w:rsid w:val="308C3862"/>
    <w:rsid w:val="309379D8"/>
    <w:rsid w:val="30A270F7"/>
    <w:rsid w:val="30DF1478"/>
    <w:rsid w:val="30EC586F"/>
    <w:rsid w:val="31066D6A"/>
    <w:rsid w:val="31315B2B"/>
    <w:rsid w:val="319C6071"/>
    <w:rsid w:val="31AC537E"/>
    <w:rsid w:val="31D5367B"/>
    <w:rsid w:val="31E3679B"/>
    <w:rsid w:val="31E732FD"/>
    <w:rsid w:val="31F33E31"/>
    <w:rsid w:val="322D17D7"/>
    <w:rsid w:val="32517576"/>
    <w:rsid w:val="32A83FF7"/>
    <w:rsid w:val="32BE5C2C"/>
    <w:rsid w:val="32FB6478"/>
    <w:rsid w:val="33263B3F"/>
    <w:rsid w:val="336963EB"/>
    <w:rsid w:val="33816EEB"/>
    <w:rsid w:val="33EB55CD"/>
    <w:rsid w:val="33EC4C02"/>
    <w:rsid w:val="33EF143A"/>
    <w:rsid w:val="340D2360"/>
    <w:rsid w:val="3410665D"/>
    <w:rsid w:val="34211214"/>
    <w:rsid w:val="342E63AB"/>
    <w:rsid w:val="343520A9"/>
    <w:rsid w:val="345C5FDB"/>
    <w:rsid w:val="34627162"/>
    <w:rsid w:val="34897199"/>
    <w:rsid w:val="34950E68"/>
    <w:rsid w:val="34986E94"/>
    <w:rsid w:val="34AF62C9"/>
    <w:rsid w:val="34BD6E42"/>
    <w:rsid w:val="34CB4388"/>
    <w:rsid w:val="34D3006E"/>
    <w:rsid w:val="34FA6E12"/>
    <w:rsid w:val="358D5588"/>
    <w:rsid w:val="35F9691B"/>
    <w:rsid w:val="362278C0"/>
    <w:rsid w:val="363A3B40"/>
    <w:rsid w:val="365302AE"/>
    <w:rsid w:val="36607A0A"/>
    <w:rsid w:val="366E227C"/>
    <w:rsid w:val="366F2E0D"/>
    <w:rsid w:val="367B6A5C"/>
    <w:rsid w:val="36A74ADA"/>
    <w:rsid w:val="36AD60D5"/>
    <w:rsid w:val="36B224F9"/>
    <w:rsid w:val="36E13A87"/>
    <w:rsid w:val="36EC0CC9"/>
    <w:rsid w:val="373F410B"/>
    <w:rsid w:val="37920DA3"/>
    <w:rsid w:val="37EE7094"/>
    <w:rsid w:val="37F92C99"/>
    <w:rsid w:val="38296C89"/>
    <w:rsid w:val="383002EB"/>
    <w:rsid w:val="38586797"/>
    <w:rsid w:val="38BC0149"/>
    <w:rsid w:val="38D87D1C"/>
    <w:rsid w:val="39636459"/>
    <w:rsid w:val="396B7F6C"/>
    <w:rsid w:val="3976752B"/>
    <w:rsid w:val="39B417A9"/>
    <w:rsid w:val="39BF1980"/>
    <w:rsid w:val="39C90037"/>
    <w:rsid w:val="39FC5695"/>
    <w:rsid w:val="3A006D8E"/>
    <w:rsid w:val="3A2B7D1D"/>
    <w:rsid w:val="3A3651E5"/>
    <w:rsid w:val="3A741703"/>
    <w:rsid w:val="3A744481"/>
    <w:rsid w:val="3A8C7BEF"/>
    <w:rsid w:val="3A906246"/>
    <w:rsid w:val="3B2349B7"/>
    <w:rsid w:val="3B2B751A"/>
    <w:rsid w:val="3B616CFF"/>
    <w:rsid w:val="3B6259F6"/>
    <w:rsid w:val="3B6C7456"/>
    <w:rsid w:val="3B976654"/>
    <w:rsid w:val="3BBEE7F0"/>
    <w:rsid w:val="3BC01EFC"/>
    <w:rsid w:val="3BCA786A"/>
    <w:rsid w:val="3BD31E2F"/>
    <w:rsid w:val="3BF15831"/>
    <w:rsid w:val="3C105946"/>
    <w:rsid w:val="3C471448"/>
    <w:rsid w:val="3C5F759A"/>
    <w:rsid w:val="3C6C525A"/>
    <w:rsid w:val="3CBB5DCB"/>
    <w:rsid w:val="3CCE23CB"/>
    <w:rsid w:val="3CD17D17"/>
    <w:rsid w:val="3D3C7F39"/>
    <w:rsid w:val="3D440F09"/>
    <w:rsid w:val="3D4504A0"/>
    <w:rsid w:val="3D67B1D9"/>
    <w:rsid w:val="3D8734BB"/>
    <w:rsid w:val="3D9A11D4"/>
    <w:rsid w:val="3DA16D89"/>
    <w:rsid w:val="3DA364BE"/>
    <w:rsid w:val="3DE041CB"/>
    <w:rsid w:val="3E0D48F6"/>
    <w:rsid w:val="3E1868B4"/>
    <w:rsid w:val="3E377251"/>
    <w:rsid w:val="3E42664B"/>
    <w:rsid w:val="3E453DFC"/>
    <w:rsid w:val="3E5A7334"/>
    <w:rsid w:val="3E7B5D6B"/>
    <w:rsid w:val="3E843E66"/>
    <w:rsid w:val="3E8F51FE"/>
    <w:rsid w:val="3E926F87"/>
    <w:rsid w:val="3E9A59DE"/>
    <w:rsid w:val="3E9F7AC9"/>
    <w:rsid w:val="3EAF4836"/>
    <w:rsid w:val="3EC33DFA"/>
    <w:rsid w:val="3F060E16"/>
    <w:rsid w:val="3F1D1096"/>
    <w:rsid w:val="3F2F0234"/>
    <w:rsid w:val="3F3336EB"/>
    <w:rsid w:val="3F6363FE"/>
    <w:rsid w:val="3F6A5E19"/>
    <w:rsid w:val="3F756B8F"/>
    <w:rsid w:val="3F95482B"/>
    <w:rsid w:val="3FBFFE11"/>
    <w:rsid w:val="3FF7FBE4"/>
    <w:rsid w:val="4019356B"/>
    <w:rsid w:val="40592157"/>
    <w:rsid w:val="406E1CAE"/>
    <w:rsid w:val="40A0133A"/>
    <w:rsid w:val="40C31A53"/>
    <w:rsid w:val="40FF545D"/>
    <w:rsid w:val="410067C8"/>
    <w:rsid w:val="410F0A26"/>
    <w:rsid w:val="413E78FA"/>
    <w:rsid w:val="418F0D2A"/>
    <w:rsid w:val="41BE52A2"/>
    <w:rsid w:val="41D01505"/>
    <w:rsid w:val="41E433F4"/>
    <w:rsid w:val="42474939"/>
    <w:rsid w:val="424C3C57"/>
    <w:rsid w:val="42613FF3"/>
    <w:rsid w:val="42660D96"/>
    <w:rsid w:val="428667D2"/>
    <w:rsid w:val="429F6EF8"/>
    <w:rsid w:val="42CD1CE0"/>
    <w:rsid w:val="42D326B7"/>
    <w:rsid w:val="42E1381E"/>
    <w:rsid w:val="42ED6459"/>
    <w:rsid w:val="42FE58DD"/>
    <w:rsid w:val="43174B3D"/>
    <w:rsid w:val="431F542F"/>
    <w:rsid w:val="43487E33"/>
    <w:rsid w:val="434B790E"/>
    <w:rsid w:val="4360274F"/>
    <w:rsid w:val="43977AB6"/>
    <w:rsid w:val="43A3342B"/>
    <w:rsid w:val="43BA3820"/>
    <w:rsid w:val="43C77C27"/>
    <w:rsid w:val="43DE09EE"/>
    <w:rsid w:val="44002FAD"/>
    <w:rsid w:val="44066811"/>
    <w:rsid w:val="445F0B62"/>
    <w:rsid w:val="4462171E"/>
    <w:rsid w:val="44765407"/>
    <w:rsid w:val="449101DD"/>
    <w:rsid w:val="44DE1391"/>
    <w:rsid w:val="451B225C"/>
    <w:rsid w:val="452410C9"/>
    <w:rsid w:val="45317DFB"/>
    <w:rsid w:val="456D3CE4"/>
    <w:rsid w:val="4579042C"/>
    <w:rsid w:val="457F0571"/>
    <w:rsid w:val="45851176"/>
    <w:rsid w:val="45B47BFC"/>
    <w:rsid w:val="45C63B94"/>
    <w:rsid w:val="45C85647"/>
    <w:rsid w:val="460E7DA5"/>
    <w:rsid w:val="464222BD"/>
    <w:rsid w:val="46422483"/>
    <w:rsid w:val="4659254A"/>
    <w:rsid w:val="465B0637"/>
    <w:rsid w:val="465E3F0D"/>
    <w:rsid w:val="466A16E6"/>
    <w:rsid w:val="46893F2B"/>
    <w:rsid w:val="46C4686E"/>
    <w:rsid w:val="474B392C"/>
    <w:rsid w:val="477B778F"/>
    <w:rsid w:val="478203EC"/>
    <w:rsid w:val="47B025FA"/>
    <w:rsid w:val="47C14C76"/>
    <w:rsid w:val="47ED10C3"/>
    <w:rsid w:val="4809698F"/>
    <w:rsid w:val="4811697D"/>
    <w:rsid w:val="487A3E25"/>
    <w:rsid w:val="488717E9"/>
    <w:rsid w:val="488B5503"/>
    <w:rsid w:val="48937E21"/>
    <w:rsid w:val="489A0361"/>
    <w:rsid w:val="48B94FF3"/>
    <w:rsid w:val="48BC481F"/>
    <w:rsid w:val="48C91E9C"/>
    <w:rsid w:val="48E37AAB"/>
    <w:rsid w:val="48FD4B4C"/>
    <w:rsid w:val="490A68E0"/>
    <w:rsid w:val="491055FE"/>
    <w:rsid w:val="494B4C51"/>
    <w:rsid w:val="495F5B3E"/>
    <w:rsid w:val="496F77D7"/>
    <w:rsid w:val="497654FD"/>
    <w:rsid w:val="4983261A"/>
    <w:rsid w:val="4994413B"/>
    <w:rsid w:val="499B5CD3"/>
    <w:rsid w:val="49B64211"/>
    <w:rsid w:val="49F6167F"/>
    <w:rsid w:val="4A064FA0"/>
    <w:rsid w:val="4A16615C"/>
    <w:rsid w:val="4A4424D7"/>
    <w:rsid w:val="4A69564B"/>
    <w:rsid w:val="4AB82D0F"/>
    <w:rsid w:val="4AEB7664"/>
    <w:rsid w:val="4AFD7C19"/>
    <w:rsid w:val="4B0567D1"/>
    <w:rsid w:val="4B236AAE"/>
    <w:rsid w:val="4B3B40FA"/>
    <w:rsid w:val="4B632DA9"/>
    <w:rsid w:val="4B707271"/>
    <w:rsid w:val="4B836777"/>
    <w:rsid w:val="4B9739F7"/>
    <w:rsid w:val="4BB23021"/>
    <w:rsid w:val="4BC7459F"/>
    <w:rsid w:val="4BEE2503"/>
    <w:rsid w:val="4C245A30"/>
    <w:rsid w:val="4C5916EF"/>
    <w:rsid w:val="4CA455B7"/>
    <w:rsid w:val="4CB6685F"/>
    <w:rsid w:val="4CC367FE"/>
    <w:rsid w:val="4CD10C88"/>
    <w:rsid w:val="4D005368"/>
    <w:rsid w:val="4D077F3C"/>
    <w:rsid w:val="4D0B7988"/>
    <w:rsid w:val="4D123355"/>
    <w:rsid w:val="4D2A3B31"/>
    <w:rsid w:val="4D312C52"/>
    <w:rsid w:val="4D905305"/>
    <w:rsid w:val="4D964A72"/>
    <w:rsid w:val="4D9C1254"/>
    <w:rsid w:val="4DE131FF"/>
    <w:rsid w:val="4E615B84"/>
    <w:rsid w:val="4E793892"/>
    <w:rsid w:val="4E800872"/>
    <w:rsid w:val="4EC569ED"/>
    <w:rsid w:val="4EC959E7"/>
    <w:rsid w:val="4ED50EA1"/>
    <w:rsid w:val="4EE80B08"/>
    <w:rsid w:val="4EEC050C"/>
    <w:rsid w:val="4F104EC3"/>
    <w:rsid w:val="4F47354A"/>
    <w:rsid w:val="4F911C54"/>
    <w:rsid w:val="4FE625E0"/>
    <w:rsid w:val="50084580"/>
    <w:rsid w:val="5021480F"/>
    <w:rsid w:val="503F6BB0"/>
    <w:rsid w:val="504F44D2"/>
    <w:rsid w:val="505A77E4"/>
    <w:rsid w:val="50962ECB"/>
    <w:rsid w:val="50A42E38"/>
    <w:rsid w:val="50A4577F"/>
    <w:rsid w:val="50B213CE"/>
    <w:rsid w:val="50B73D1F"/>
    <w:rsid w:val="50BD5BC9"/>
    <w:rsid w:val="50C11EEE"/>
    <w:rsid w:val="50E97CFC"/>
    <w:rsid w:val="50FA4028"/>
    <w:rsid w:val="510D65B7"/>
    <w:rsid w:val="511157AB"/>
    <w:rsid w:val="5142540C"/>
    <w:rsid w:val="5177735F"/>
    <w:rsid w:val="518832C8"/>
    <w:rsid w:val="51A0432A"/>
    <w:rsid w:val="51A86090"/>
    <w:rsid w:val="51B7396D"/>
    <w:rsid w:val="522E4CC3"/>
    <w:rsid w:val="52383B54"/>
    <w:rsid w:val="5244713B"/>
    <w:rsid w:val="52615633"/>
    <w:rsid w:val="52977FD4"/>
    <w:rsid w:val="52A25790"/>
    <w:rsid w:val="52A96B6F"/>
    <w:rsid w:val="52B45975"/>
    <w:rsid w:val="52D94AA4"/>
    <w:rsid w:val="52EA3A62"/>
    <w:rsid w:val="52F50BB8"/>
    <w:rsid w:val="53097272"/>
    <w:rsid w:val="53544462"/>
    <w:rsid w:val="5397158E"/>
    <w:rsid w:val="53DB585D"/>
    <w:rsid w:val="53F74B50"/>
    <w:rsid w:val="54013861"/>
    <w:rsid w:val="54487265"/>
    <w:rsid w:val="544D6070"/>
    <w:rsid w:val="54605E1E"/>
    <w:rsid w:val="54B3506A"/>
    <w:rsid w:val="54CA0D16"/>
    <w:rsid w:val="54DD4057"/>
    <w:rsid w:val="54E7490F"/>
    <w:rsid w:val="54F16968"/>
    <w:rsid w:val="550764A4"/>
    <w:rsid w:val="550B2BF6"/>
    <w:rsid w:val="55214EB5"/>
    <w:rsid w:val="55364EFD"/>
    <w:rsid w:val="55534144"/>
    <w:rsid w:val="555D4828"/>
    <w:rsid w:val="557A4C8B"/>
    <w:rsid w:val="558931E1"/>
    <w:rsid w:val="55923347"/>
    <w:rsid w:val="55925180"/>
    <w:rsid w:val="55983B1B"/>
    <w:rsid w:val="55A8376B"/>
    <w:rsid w:val="55DC29B6"/>
    <w:rsid w:val="55DD4241"/>
    <w:rsid w:val="566B6D1E"/>
    <w:rsid w:val="56CC2F32"/>
    <w:rsid w:val="57032A2C"/>
    <w:rsid w:val="570F5219"/>
    <w:rsid w:val="57297951"/>
    <w:rsid w:val="575D12B5"/>
    <w:rsid w:val="57610A87"/>
    <w:rsid w:val="577B1140"/>
    <w:rsid w:val="577B7F21"/>
    <w:rsid w:val="577F181B"/>
    <w:rsid w:val="577FE0ED"/>
    <w:rsid w:val="57921984"/>
    <w:rsid w:val="579737F0"/>
    <w:rsid w:val="57A95129"/>
    <w:rsid w:val="57AB7B30"/>
    <w:rsid w:val="57AF5251"/>
    <w:rsid w:val="57B26373"/>
    <w:rsid w:val="57B63F04"/>
    <w:rsid w:val="57CD20C2"/>
    <w:rsid w:val="57D675AB"/>
    <w:rsid w:val="57D95FDD"/>
    <w:rsid w:val="57E66F6F"/>
    <w:rsid w:val="58917D2F"/>
    <w:rsid w:val="5894085C"/>
    <w:rsid w:val="58AE4F0C"/>
    <w:rsid w:val="58B85899"/>
    <w:rsid w:val="58E363A9"/>
    <w:rsid w:val="59170D31"/>
    <w:rsid w:val="595E1678"/>
    <w:rsid w:val="596D5BD4"/>
    <w:rsid w:val="597E3DD8"/>
    <w:rsid w:val="59F80043"/>
    <w:rsid w:val="5A09252F"/>
    <w:rsid w:val="5A0B2778"/>
    <w:rsid w:val="5A2A7C7B"/>
    <w:rsid w:val="5A3E2560"/>
    <w:rsid w:val="5A584D94"/>
    <w:rsid w:val="5A5D3B6E"/>
    <w:rsid w:val="5A637A76"/>
    <w:rsid w:val="5A6D33BA"/>
    <w:rsid w:val="5A792B1F"/>
    <w:rsid w:val="5A874767"/>
    <w:rsid w:val="5AAD6F28"/>
    <w:rsid w:val="5AD63A24"/>
    <w:rsid w:val="5B2E1A1D"/>
    <w:rsid w:val="5B843A1C"/>
    <w:rsid w:val="5B873E3F"/>
    <w:rsid w:val="5BD1436C"/>
    <w:rsid w:val="5BFBF5EC"/>
    <w:rsid w:val="5C02690E"/>
    <w:rsid w:val="5C0F20B2"/>
    <w:rsid w:val="5C196DA7"/>
    <w:rsid w:val="5C2A048C"/>
    <w:rsid w:val="5C80234E"/>
    <w:rsid w:val="5C8A680C"/>
    <w:rsid w:val="5D0C4701"/>
    <w:rsid w:val="5D0F0395"/>
    <w:rsid w:val="5D1230C5"/>
    <w:rsid w:val="5D1A6C78"/>
    <w:rsid w:val="5D221076"/>
    <w:rsid w:val="5D397964"/>
    <w:rsid w:val="5D5A391C"/>
    <w:rsid w:val="5D5F10C0"/>
    <w:rsid w:val="5D891B7B"/>
    <w:rsid w:val="5DAD38EE"/>
    <w:rsid w:val="5E006862"/>
    <w:rsid w:val="5E0207B9"/>
    <w:rsid w:val="5E030FF6"/>
    <w:rsid w:val="5E1834A1"/>
    <w:rsid w:val="5E261785"/>
    <w:rsid w:val="5E4A7017"/>
    <w:rsid w:val="5E552BBA"/>
    <w:rsid w:val="5E611C10"/>
    <w:rsid w:val="5EFC7377"/>
    <w:rsid w:val="5EFF2CA6"/>
    <w:rsid w:val="5F06174D"/>
    <w:rsid w:val="5F3A3602"/>
    <w:rsid w:val="5F6277C6"/>
    <w:rsid w:val="5F6D0B1D"/>
    <w:rsid w:val="5F8D0B82"/>
    <w:rsid w:val="5FCC5339"/>
    <w:rsid w:val="5FE34A5B"/>
    <w:rsid w:val="5FEDD6E9"/>
    <w:rsid w:val="5FFE1E36"/>
    <w:rsid w:val="60232584"/>
    <w:rsid w:val="607330CE"/>
    <w:rsid w:val="607B7A2E"/>
    <w:rsid w:val="60825176"/>
    <w:rsid w:val="609F2AC4"/>
    <w:rsid w:val="60FA2EE8"/>
    <w:rsid w:val="61054A27"/>
    <w:rsid w:val="610A52BC"/>
    <w:rsid w:val="61154AB0"/>
    <w:rsid w:val="611D2366"/>
    <w:rsid w:val="61421856"/>
    <w:rsid w:val="615227C4"/>
    <w:rsid w:val="61654E3F"/>
    <w:rsid w:val="6182292A"/>
    <w:rsid w:val="61907695"/>
    <w:rsid w:val="619F7F92"/>
    <w:rsid w:val="61F94C26"/>
    <w:rsid w:val="62000E56"/>
    <w:rsid w:val="620505DD"/>
    <w:rsid w:val="621C6A35"/>
    <w:rsid w:val="624F3E49"/>
    <w:rsid w:val="62632286"/>
    <w:rsid w:val="62885958"/>
    <w:rsid w:val="62F40B65"/>
    <w:rsid w:val="62FC2CFE"/>
    <w:rsid w:val="63024505"/>
    <w:rsid w:val="6354586C"/>
    <w:rsid w:val="635B1DB5"/>
    <w:rsid w:val="63711FED"/>
    <w:rsid w:val="63880DDC"/>
    <w:rsid w:val="638D750D"/>
    <w:rsid w:val="63AC6CC0"/>
    <w:rsid w:val="63B609B6"/>
    <w:rsid w:val="64055776"/>
    <w:rsid w:val="64240056"/>
    <w:rsid w:val="642751DF"/>
    <w:rsid w:val="643E143A"/>
    <w:rsid w:val="648B6EEF"/>
    <w:rsid w:val="64C158BF"/>
    <w:rsid w:val="64CE2EAA"/>
    <w:rsid w:val="653C3090"/>
    <w:rsid w:val="65744634"/>
    <w:rsid w:val="65854376"/>
    <w:rsid w:val="658767BE"/>
    <w:rsid w:val="65892531"/>
    <w:rsid w:val="65CA293B"/>
    <w:rsid w:val="66195831"/>
    <w:rsid w:val="662A5CF4"/>
    <w:rsid w:val="662E75B1"/>
    <w:rsid w:val="662F710B"/>
    <w:rsid w:val="66342C2E"/>
    <w:rsid w:val="663E784C"/>
    <w:rsid w:val="668B6A45"/>
    <w:rsid w:val="668F4233"/>
    <w:rsid w:val="672F3F24"/>
    <w:rsid w:val="673861F6"/>
    <w:rsid w:val="673E055F"/>
    <w:rsid w:val="67551CE3"/>
    <w:rsid w:val="67A22552"/>
    <w:rsid w:val="67B22DCC"/>
    <w:rsid w:val="67BE71AA"/>
    <w:rsid w:val="67D90273"/>
    <w:rsid w:val="67DE5875"/>
    <w:rsid w:val="67E55852"/>
    <w:rsid w:val="67EB1AB4"/>
    <w:rsid w:val="67EE3DB1"/>
    <w:rsid w:val="67F58F01"/>
    <w:rsid w:val="67FA1285"/>
    <w:rsid w:val="685228CA"/>
    <w:rsid w:val="68551F4F"/>
    <w:rsid w:val="687C10C9"/>
    <w:rsid w:val="68840C16"/>
    <w:rsid w:val="68876EFB"/>
    <w:rsid w:val="68884654"/>
    <w:rsid w:val="689F444F"/>
    <w:rsid w:val="68B96DBB"/>
    <w:rsid w:val="68CA2805"/>
    <w:rsid w:val="68E937A3"/>
    <w:rsid w:val="68EB0086"/>
    <w:rsid w:val="690507DD"/>
    <w:rsid w:val="690A41D9"/>
    <w:rsid w:val="693E15D3"/>
    <w:rsid w:val="69627681"/>
    <w:rsid w:val="6977531D"/>
    <w:rsid w:val="698A6457"/>
    <w:rsid w:val="69CC2BFF"/>
    <w:rsid w:val="69FD55B8"/>
    <w:rsid w:val="6A0B1C62"/>
    <w:rsid w:val="6A2406C8"/>
    <w:rsid w:val="6A4441E0"/>
    <w:rsid w:val="6A8412C2"/>
    <w:rsid w:val="6AD9F682"/>
    <w:rsid w:val="6ADE0BD1"/>
    <w:rsid w:val="6AE96859"/>
    <w:rsid w:val="6B147746"/>
    <w:rsid w:val="6B160AEE"/>
    <w:rsid w:val="6B206D4C"/>
    <w:rsid w:val="6B24787C"/>
    <w:rsid w:val="6B573233"/>
    <w:rsid w:val="6B5B6274"/>
    <w:rsid w:val="6B935D53"/>
    <w:rsid w:val="6BEBD284"/>
    <w:rsid w:val="6C196F71"/>
    <w:rsid w:val="6C226FCB"/>
    <w:rsid w:val="6C31226F"/>
    <w:rsid w:val="6C552F0B"/>
    <w:rsid w:val="6C8C67B7"/>
    <w:rsid w:val="6C9D744C"/>
    <w:rsid w:val="6D167928"/>
    <w:rsid w:val="6D26299B"/>
    <w:rsid w:val="6D4772EC"/>
    <w:rsid w:val="6D4E1F3D"/>
    <w:rsid w:val="6D9078AF"/>
    <w:rsid w:val="6DAA3FEF"/>
    <w:rsid w:val="6DC0172B"/>
    <w:rsid w:val="6DCB690C"/>
    <w:rsid w:val="6DD41A5B"/>
    <w:rsid w:val="6DF43C2E"/>
    <w:rsid w:val="6DF51CA3"/>
    <w:rsid w:val="6DFD66C2"/>
    <w:rsid w:val="6E8335BD"/>
    <w:rsid w:val="6E8E12EF"/>
    <w:rsid w:val="6E972936"/>
    <w:rsid w:val="6ED446C5"/>
    <w:rsid w:val="6EFF182A"/>
    <w:rsid w:val="6F2A7D94"/>
    <w:rsid w:val="6F365C3D"/>
    <w:rsid w:val="6F7B5355"/>
    <w:rsid w:val="6F8331F1"/>
    <w:rsid w:val="6FAE1A09"/>
    <w:rsid w:val="6FD75BF8"/>
    <w:rsid w:val="6FF05881"/>
    <w:rsid w:val="706D5D74"/>
    <w:rsid w:val="707723D0"/>
    <w:rsid w:val="70F5661B"/>
    <w:rsid w:val="71360107"/>
    <w:rsid w:val="713B688E"/>
    <w:rsid w:val="71D43752"/>
    <w:rsid w:val="71F1796A"/>
    <w:rsid w:val="71F633B8"/>
    <w:rsid w:val="72154626"/>
    <w:rsid w:val="72262B5D"/>
    <w:rsid w:val="72283FF7"/>
    <w:rsid w:val="722E7212"/>
    <w:rsid w:val="723A0474"/>
    <w:rsid w:val="725923E4"/>
    <w:rsid w:val="72864BF7"/>
    <w:rsid w:val="728C5DC3"/>
    <w:rsid w:val="729023FC"/>
    <w:rsid w:val="72BB5591"/>
    <w:rsid w:val="72D60117"/>
    <w:rsid w:val="73517180"/>
    <w:rsid w:val="737A1A89"/>
    <w:rsid w:val="73C0646E"/>
    <w:rsid w:val="742222F5"/>
    <w:rsid w:val="74476126"/>
    <w:rsid w:val="74706664"/>
    <w:rsid w:val="747F3682"/>
    <w:rsid w:val="749C4185"/>
    <w:rsid w:val="75067759"/>
    <w:rsid w:val="752E6DCD"/>
    <w:rsid w:val="7551380D"/>
    <w:rsid w:val="75600BE5"/>
    <w:rsid w:val="7564475C"/>
    <w:rsid w:val="756A22C6"/>
    <w:rsid w:val="7583797F"/>
    <w:rsid w:val="75D20F1D"/>
    <w:rsid w:val="75DA2C18"/>
    <w:rsid w:val="75F54412"/>
    <w:rsid w:val="75FF6AB4"/>
    <w:rsid w:val="761D08E0"/>
    <w:rsid w:val="765D347C"/>
    <w:rsid w:val="76826699"/>
    <w:rsid w:val="768A0A0F"/>
    <w:rsid w:val="76C87133"/>
    <w:rsid w:val="76CD08D5"/>
    <w:rsid w:val="76DB4B92"/>
    <w:rsid w:val="77052AA4"/>
    <w:rsid w:val="77136511"/>
    <w:rsid w:val="77340A39"/>
    <w:rsid w:val="77351FD0"/>
    <w:rsid w:val="77472422"/>
    <w:rsid w:val="77754D7F"/>
    <w:rsid w:val="777F31F2"/>
    <w:rsid w:val="77D1700D"/>
    <w:rsid w:val="77EC04CC"/>
    <w:rsid w:val="77F7B105"/>
    <w:rsid w:val="78344A7C"/>
    <w:rsid w:val="78534F43"/>
    <w:rsid w:val="78775729"/>
    <w:rsid w:val="78902FBA"/>
    <w:rsid w:val="78A42DB0"/>
    <w:rsid w:val="78A656AB"/>
    <w:rsid w:val="78AE26DA"/>
    <w:rsid w:val="78B2245C"/>
    <w:rsid w:val="78E172CC"/>
    <w:rsid w:val="78EA1D1F"/>
    <w:rsid w:val="78FA7D52"/>
    <w:rsid w:val="7904172F"/>
    <w:rsid w:val="790F7E27"/>
    <w:rsid w:val="791A69E7"/>
    <w:rsid w:val="792A231A"/>
    <w:rsid w:val="79316829"/>
    <w:rsid w:val="797E66A9"/>
    <w:rsid w:val="79A97383"/>
    <w:rsid w:val="79E27E8B"/>
    <w:rsid w:val="79F76D98"/>
    <w:rsid w:val="79F850CE"/>
    <w:rsid w:val="79FD443C"/>
    <w:rsid w:val="7A1D1975"/>
    <w:rsid w:val="7A3E5150"/>
    <w:rsid w:val="7A4670D6"/>
    <w:rsid w:val="7A534B63"/>
    <w:rsid w:val="7A615382"/>
    <w:rsid w:val="7A67303B"/>
    <w:rsid w:val="7A684727"/>
    <w:rsid w:val="7AAB1D04"/>
    <w:rsid w:val="7ABA4368"/>
    <w:rsid w:val="7AD05746"/>
    <w:rsid w:val="7AED2E7F"/>
    <w:rsid w:val="7B257FFD"/>
    <w:rsid w:val="7B343476"/>
    <w:rsid w:val="7B5A2978"/>
    <w:rsid w:val="7B5A7E4C"/>
    <w:rsid w:val="7B667AF9"/>
    <w:rsid w:val="7B7468F8"/>
    <w:rsid w:val="7B7D2454"/>
    <w:rsid w:val="7B911309"/>
    <w:rsid w:val="7BEE0103"/>
    <w:rsid w:val="7C0A0FE4"/>
    <w:rsid w:val="7C254906"/>
    <w:rsid w:val="7C590818"/>
    <w:rsid w:val="7C7C10F6"/>
    <w:rsid w:val="7C853BEA"/>
    <w:rsid w:val="7C881368"/>
    <w:rsid w:val="7CE27788"/>
    <w:rsid w:val="7D0C32F1"/>
    <w:rsid w:val="7D0F408D"/>
    <w:rsid w:val="7D3F6BF9"/>
    <w:rsid w:val="7D491C6C"/>
    <w:rsid w:val="7D5429C0"/>
    <w:rsid w:val="7D6E6D43"/>
    <w:rsid w:val="7DB57A34"/>
    <w:rsid w:val="7DE60973"/>
    <w:rsid w:val="7DEF0916"/>
    <w:rsid w:val="7E1E5218"/>
    <w:rsid w:val="7E480746"/>
    <w:rsid w:val="7E6A07B7"/>
    <w:rsid w:val="7E9A4E1F"/>
    <w:rsid w:val="7EA7723A"/>
    <w:rsid w:val="7ED10C1A"/>
    <w:rsid w:val="7EF56FBB"/>
    <w:rsid w:val="7EF7152C"/>
    <w:rsid w:val="7F0768EB"/>
    <w:rsid w:val="7F0B7D77"/>
    <w:rsid w:val="7F143BEC"/>
    <w:rsid w:val="7F715AF2"/>
    <w:rsid w:val="7F7D0FA6"/>
    <w:rsid w:val="7F886E69"/>
    <w:rsid w:val="7FBF0504"/>
    <w:rsid w:val="A7EF7B11"/>
    <w:rsid w:val="A7FF18CA"/>
    <w:rsid w:val="B37FFD45"/>
    <w:rsid w:val="B7FA3098"/>
    <w:rsid w:val="B9FD19F7"/>
    <w:rsid w:val="BB7FA927"/>
    <w:rsid w:val="C3B749F9"/>
    <w:rsid w:val="D49D3BF1"/>
    <w:rsid w:val="EDC7265A"/>
    <w:rsid w:val="EFC75B07"/>
    <w:rsid w:val="F5FFD31F"/>
    <w:rsid w:val="FEFFB8F9"/>
    <w:rsid w:val="FF4F40A6"/>
    <w:rsid w:val="FF8F69B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99" w:semiHidden="0" w:name="index 1"/>
    <w:lsdException w:qFormat="1" w:uiPriority="99" w:semiHidden="0" w:name="index 2"/>
    <w:lsdException w:qFormat="1" w:uiPriority="99" w:semiHidden="0" w:name="index 3"/>
    <w:lsdException w:qFormat="1" w:uiPriority="99" w:semiHidden="0" w:name="index 4"/>
    <w:lsdException w:qFormat="1" w:unhideWhenUsed="0" w:uiPriority="99" w:semiHidden="0" w:name="index 5"/>
    <w:lsdException w:qFormat="1" w:uiPriority="99" w:semiHidden="0" w:name="index 6"/>
    <w:lsdException w:qFormat="1" w:uiPriority="99" w:semiHidden="0" w:name="index 7"/>
    <w:lsdException w:qFormat="1" w:uiPriority="99" w:semiHidden="0" w:name="index 8"/>
    <w:lsdException w:qFormat="1" w:unhideWhenUsed="0" w:uiPriority="99"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99" w:semiHidden="0" w:name="index heading"/>
    <w:lsdException w:qFormat="1" w:unhideWhenUsed="0" w:uiPriority="35" w:semiHidden="0" w:name="caption"/>
    <w:lsdException w:qFormat="1" w:unhideWhenUsed="0" w:uiPriority="99" w:semiHidden="0" w:name="table of figures"/>
    <w:lsdException w:qFormat="1" w:uiPriority="99" w:semiHidden="0" w:name="envelope address"/>
    <w:lsdException w:qFormat="1" w:uiPriority="99" w:semiHidden="0" w:name="envelope return"/>
    <w:lsdException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99" w:semiHidden="0" w:name="endnote text"/>
    <w:lsdException w:qFormat="1" w:uiPriority="99" w:semiHidden="0" w:name="table of authorities"/>
    <w:lsdException w:qFormat="1" w:uiPriority="99" w:semiHidden="0" w:name="macro"/>
    <w:lsdException w:qFormat="1" w:uiPriority="99" w:semiHidden="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iPriority="99" w:semiHidden="0" w:name="List 3"/>
    <w:lsdException w:qFormat="1" w:uiPriority="99" w:semiHidden="0" w:name="List 4"/>
    <w:lsdException w:qFormat="1" w:unhideWhenUsed="0" w:uiPriority="99" w:semiHidden="0" w:name="List 5"/>
    <w:lsdException w:qFormat="1" w:unhideWhenUsed="0" w:uiPriority="99" w:semiHidden="0" w:name="List Bullet 2"/>
    <w:lsdException w:qFormat="1" w:uiPriority="99" w:semiHidden="0" w:name="List Bullet 3"/>
    <w:lsdException w:qFormat="1" w:uiPriority="0" w:semiHidden="0" w:name="List Bullet 4"/>
    <w:lsdException w:qFormat="1"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0" w:semiHidden="0" w:name="Title"/>
    <w:lsdException w:qFormat="1" w:uiPriority="99" w:semiHidden="0" w:name="Closing"/>
    <w:lsdException w:qFormat="1" w:unhideWhenUsed="0" w:uiPriority="99" w:semiHidden="0" w:name="Signature"/>
    <w:lsdException w:uiPriority="1" w:name="Default Paragraph Font"/>
    <w:lsdException w:qFormat="1" w:unhideWhenUsed="0" w:uiPriority="0" w:semiHidden="0" w:name="Body Text"/>
    <w:lsdException w:qFormat="1" w:unhideWhenUsed="0" w:uiPriority="0" w:semiHidden="0" w:name="Body Text Indent"/>
    <w:lsdException w:qFormat="1" w:uiPriority="99" w:semiHidden="0" w:name="List Continue"/>
    <w:lsdException w:qFormat="1" w:uiPriority="99" w:semiHidden="0" w:name="List Continue 2"/>
    <w:lsdException w:qFormat="1" w:uiPriority="99" w:semiHidden="0" w:name="List Continue 3"/>
    <w:lsdException w:qFormat="1" w:unhideWhenUsed="0" w:uiPriority="99" w:semiHidden="0" w:name="List Continue 4"/>
    <w:lsdException w:qFormat="1" w:uiPriority="99" w:semiHidden="0" w:name="List Continue 5"/>
    <w:lsdException w:qFormat="1" w:uiPriority="99" w:semiHidden="0" w:name="Message Header"/>
    <w:lsdException w:qFormat="1" w:unhideWhenUsed="0" w:uiPriority="11" w:semiHidden="0" w:name="Subtitle"/>
    <w:lsdException w:qFormat="1" w:unhideWhenUsed="0" w:uiPriority="99" w:semiHidden="0"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qFormat="1" w:uiPriority="99"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qFormat="1" w:uiPriority="99" w:semiHidden="0" w:name="E-mail Signature"/>
    <w:lsdException w:qFormat="1" w:unhideWhenUsed="0" w:uiPriority="0" w:semiHidden="0" w:name="Normal (Web)"/>
    <w:lsdException w:unhideWhenUsed="0" w:uiPriority="0" w:semiHidden="0" w:name="HTML Acronym"/>
    <w:lsdException w:qFormat="1" w:unhideWhenUsed="0" w:uiPriority="99"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752"/>
    <w:qFormat/>
    <w:uiPriority w:val="9"/>
    <w:pPr>
      <w:keepNext/>
      <w:keepLines/>
      <w:tabs>
        <w:tab w:val="left" w:pos="432"/>
      </w:tabs>
      <w:snapToGrid w:val="0"/>
      <w:spacing w:line="360" w:lineRule="auto"/>
      <w:outlineLvl w:val="0"/>
    </w:pPr>
    <w:rPr>
      <w:b/>
      <w:bCs/>
      <w:kern w:val="44"/>
      <w:sz w:val="36"/>
      <w:szCs w:val="44"/>
    </w:rPr>
  </w:style>
  <w:style w:type="paragraph" w:styleId="5">
    <w:name w:val="heading 2"/>
    <w:basedOn w:val="1"/>
    <w:next w:val="1"/>
    <w:link w:val="1100"/>
    <w:qFormat/>
    <w:uiPriority w:val="0"/>
    <w:pPr>
      <w:tabs>
        <w:tab w:val="left" w:pos="432"/>
      </w:tabs>
      <w:jc w:val="left"/>
      <w:outlineLvl w:val="1"/>
    </w:pPr>
    <w:rPr>
      <w:rFonts w:ascii="仿宋_GB2312" w:hAnsi="仿宋_GB2312"/>
      <w:sz w:val="28"/>
      <w:szCs w:val="32"/>
      <w:lang w:val="zh-CN"/>
    </w:rPr>
  </w:style>
  <w:style w:type="paragraph" w:styleId="2">
    <w:name w:val="heading 3"/>
    <w:basedOn w:val="1"/>
    <w:next w:val="1"/>
    <w:link w:val="1099"/>
    <w:qFormat/>
    <w:uiPriority w:val="0"/>
    <w:pPr>
      <w:keepNext/>
      <w:keepLines/>
      <w:tabs>
        <w:tab w:val="left" w:pos="900"/>
      </w:tabs>
      <w:snapToGrid w:val="0"/>
      <w:spacing w:line="360" w:lineRule="auto"/>
      <w:outlineLvl w:val="2"/>
    </w:pPr>
    <w:rPr>
      <w:b/>
      <w:bCs/>
      <w:sz w:val="24"/>
      <w:szCs w:val="32"/>
    </w:rPr>
  </w:style>
  <w:style w:type="paragraph" w:styleId="6">
    <w:name w:val="heading 4"/>
    <w:basedOn w:val="1"/>
    <w:next w:val="1"/>
    <w:link w:val="754"/>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755"/>
    <w:qFormat/>
    <w:uiPriority w:val="0"/>
    <w:pPr>
      <w:keepNext/>
      <w:keepLines/>
      <w:tabs>
        <w:tab w:val="left" w:pos="1008"/>
      </w:tabs>
      <w:snapToGrid w:val="0"/>
      <w:spacing w:line="360" w:lineRule="auto"/>
      <w:outlineLvl w:val="4"/>
    </w:pPr>
    <w:rPr>
      <w:b/>
      <w:bCs/>
      <w:sz w:val="28"/>
      <w:szCs w:val="28"/>
    </w:rPr>
  </w:style>
  <w:style w:type="paragraph" w:styleId="8">
    <w:name w:val="heading 6"/>
    <w:basedOn w:val="1"/>
    <w:next w:val="1"/>
    <w:link w:val="756"/>
    <w:qFormat/>
    <w:uiPriority w:val="0"/>
    <w:pPr>
      <w:keepNext/>
      <w:keepLines/>
      <w:tabs>
        <w:tab w:val="left" w:pos="1152"/>
      </w:tabs>
      <w:snapToGrid w:val="0"/>
      <w:spacing w:line="360" w:lineRule="auto"/>
      <w:outlineLvl w:val="5"/>
    </w:pPr>
    <w:rPr>
      <w:rFonts w:ascii="Arial" w:hAnsi="Arial" w:eastAsia="黑体"/>
      <w:b/>
      <w:bCs/>
      <w:sz w:val="24"/>
    </w:rPr>
  </w:style>
  <w:style w:type="paragraph" w:styleId="9">
    <w:name w:val="heading 7"/>
    <w:basedOn w:val="1"/>
    <w:next w:val="1"/>
    <w:link w:val="757"/>
    <w:qFormat/>
    <w:uiPriority w:val="0"/>
    <w:pPr>
      <w:keepNext/>
      <w:keepLines/>
      <w:tabs>
        <w:tab w:val="left" w:pos="1296"/>
      </w:tabs>
      <w:snapToGrid w:val="0"/>
      <w:spacing w:line="360" w:lineRule="auto"/>
      <w:outlineLvl w:val="6"/>
    </w:pPr>
    <w:rPr>
      <w:b/>
      <w:bCs/>
      <w:sz w:val="28"/>
    </w:rPr>
  </w:style>
  <w:style w:type="paragraph" w:styleId="10">
    <w:name w:val="heading 8"/>
    <w:basedOn w:val="1"/>
    <w:next w:val="1"/>
    <w:link w:val="758"/>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759"/>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95">
    <w:name w:val="Default Paragraph Font"/>
    <w:semiHidden/>
    <w:unhideWhenUsed/>
    <w:uiPriority w:val="1"/>
  </w:style>
  <w:style w:type="table" w:default="1" w:styleId="88">
    <w:name w:val="Normal Table"/>
    <w:semiHidden/>
    <w:unhideWhenUsed/>
    <w:qFormat/>
    <w:uiPriority w:val="99"/>
    <w:tblPr>
      <w:tblCellMar>
        <w:top w:w="0" w:type="dxa"/>
        <w:left w:w="108" w:type="dxa"/>
        <w:bottom w:w="0" w:type="dxa"/>
        <w:right w:w="108" w:type="dxa"/>
      </w:tblCellMar>
    </w:tblPr>
  </w:style>
  <w:style w:type="paragraph" w:styleId="3">
    <w:name w:val="macro"/>
    <w:link w:val="1118"/>
    <w:unhideWhenUsed/>
    <w:qFormat/>
    <w:uiPriority w:val="99"/>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2">
    <w:name w:val="List 3"/>
    <w:basedOn w:val="1"/>
    <w:unhideWhenUsed/>
    <w:qFormat/>
    <w:uiPriority w:val="99"/>
    <w:pPr>
      <w:adjustRightInd/>
      <w:spacing w:line="360" w:lineRule="auto"/>
      <w:ind w:left="100" w:leftChars="400" w:hanging="200" w:hangingChars="200"/>
      <w:contextualSpacing/>
    </w:pPr>
    <w:rPr>
      <w:rFonts w:ascii="Calibri" w:hAnsi="Calibri"/>
      <w:sz w:val="28"/>
      <w:szCs w:val="20"/>
    </w:rPr>
  </w:style>
  <w:style w:type="paragraph" w:styleId="13">
    <w:name w:val="toc 7"/>
    <w:basedOn w:val="1"/>
    <w:next w:val="1"/>
    <w:qFormat/>
    <w:uiPriority w:val="39"/>
    <w:pPr>
      <w:ind w:left="2520" w:leftChars="1200"/>
    </w:pPr>
  </w:style>
  <w:style w:type="paragraph" w:styleId="14">
    <w:name w:val="List Number 2"/>
    <w:basedOn w:val="1"/>
    <w:qFormat/>
    <w:uiPriority w:val="99"/>
    <w:pPr>
      <w:widowControl/>
      <w:tabs>
        <w:tab w:val="left" w:pos="1697"/>
      </w:tabs>
      <w:adjustRightInd/>
      <w:spacing w:after="156" w:afterLines="50"/>
      <w:ind w:left="1697" w:hanging="420"/>
      <w:jc w:val="left"/>
    </w:pPr>
    <w:rPr>
      <w:kern w:val="0"/>
      <w:sz w:val="24"/>
      <w:szCs w:val="20"/>
    </w:rPr>
  </w:style>
  <w:style w:type="paragraph" w:styleId="15">
    <w:name w:val="table of authorities"/>
    <w:basedOn w:val="1"/>
    <w:next w:val="1"/>
    <w:unhideWhenUsed/>
    <w:qFormat/>
    <w:uiPriority w:val="99"/>
    <w:pPr>
      <w:adjustRightInd/>
      <w:spacing w:line="360" w:lineRule="auto"/>
      <w:ind w:left="420" w:leftChars="200"/>
    </w:pPr>
    <w:rPr>
      <w:rFonts w:ascii="Calibri" w:hAnsi="Calibri"/>
      <w:sz w:val="28"/>
      <w:szCs w:val="20"/>
    </w:rPr>
  </w:style>
  <w:style w:type="paragraph" w:styleId="16">
    <w:name w:val="Note Heading"/>
    <w:basedOn w:val="1"/>
    <w:next w:val="1"/>
    <w:link w:val="1119"/>
    <w:unhideWhenUsed/>
    <w:qFormat/>
    <w:uiPriority w:val="99"/>
    <w:pPr>
      <w:adjustRightInd/>
      <w:spacing w:line="360" w:lineRule="auto"/>
      <w:jc w:val="center"/>
    </w:pPr>
    <w:rPr>
      <w:rFonts w:ascii="Calibri" w:hAnsi="Calibri"/>
      <w:sz w:val="28"/>
      <w:szCs w:val="20"/>
    </w:rPr>
  </w:style>
  <w:style w:type="paragraph" w:styleId="17">
    <w:name w:val="List Bullet 4"/>
    <w:basedOn w:val="1"/>
    <w:unhideWhenUsed/>
    <w:qFormat/>
    <w:uiPriority w:val="0"/>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8">
    <w:name w:val="index 8"/>
    <w:basedOn w:val="1"/>
    <w:next w:val="1"/>
    <w:unhideWhenUsed/>
    <w:qFormat/>
    <w:uiPriority w:val="99"/>
    <w:pPr>
      <w:adjustRightInd/>
      <w:spacing w:line="360" w:lineRule="auto"/>
      <w:ind w:left="1400" w:leftChars="1400"/>
    </w:pPr>
    <w:rPr>
      <w:rFonts w:ascii="Calibri" w:hAnsi="Calibri"/>
      <w:sz w:val="28"/>
      <w:szCs w:val="20"/>
    </w:rPr>
  </w:style>
  <w:style w:type="paragraph" w:styleId="19">
    <w:name w:val="E-mail Signature"/>
    <w:basedOn w:val="1"/>
    <w:link w:val="1120"/>
    <w:unhideWhenUsed/>
    <w:qFormat/>
    <w:uiPriority w:val="99"/>
    <w:pPr>
      <w:adjustRightInd/>
      <w:spacing w:line="360" w:lineRule="auto"/>
    </w:pPr>
    <w:rPr>
      <w:rFonts w:ascii="Calibri" w:hAnsi="Calibri"/>
      <w:sz w:val="28"/>
      <w:szCs w:val="20"/>
    </w:rPr>
  </w:style>
  <w:style w:type="paragraph" w:styleId="20">
    <w:name w:val="List Number"/>
    <w:basedOn w:val="1"/>
    <w:qFormat/>
    <w:uiPriority w:val="99"/>
    <w:pPr>
      <w:widowControl/>
      <w:tabs>
        <w:tab w:val="left" w:pos="390"/>
        <w:tab w:val="left" w:pos="454"/>
      </w:tabs>
      <w:adjustRightInd/>
      <w:spacing w:after="156" w:afterLines="50"/>
      <w:ind w:left="454" w:hanging="284"/>
      <w:jc w:val="left"/>
    </w:pPr>
    <w:rPr>
      <w:kern w:val="0"/>
      <w:sz w:val="24"/>
      <w:szCs w:val="20"/>
    </w:rPr>
  </w:style>
  <w:style w:type="paragraph" w:styleId="21">
    <w:name w:val="Normal Indent"/>
    <w:basedOn w:val="1"/>
    <w:link w:val="753"/>
    <w:qFormat/>
    <w:uiPriority w:val="0"/>
    <w:pPr>
      <w:widowControl/>
      <w:snapToGrid w:val="0"/>
      <w:spacing w:line="480" w:lineRule="exact"/>
      <w:ind w:firstLine="567"/>
    </w:pPr>
    <w:rPr>
      <w:rFonts w:ascii="宋体"/>
      <w:snapToGrid w:val="0"/>
      <w:color w:val="000000"/>
      <w:kern w:val="28"/>
      <w:sz w:val="28"/>
      <w:szCs w:val="20"/>
    </w:rPr>
  </w:style>
  <w:style w:type="paragraph" w:styleId="22">
    <w:name w:val="caption"/>
    <w:basedOn w:val="1"/>
    <w:next w:val="1"/>
    <w:link w:val="760"/>
    <w:qFormat/>
    <w:uiPriority w:val="35"/>
    <w:rPr>
      <w:b/>
      <w:sz w:val="28"/>
      <w:szCs w:val="20"/>
    </w:rPr>
  </w:style>
  <w:style w:type="paragraph" w:styleId="23">
    <w:name w:val="index 5"/>
    <w:basedOn w:val="1"/>
    <w:next w:val="1"/>
    <w:qFormat/>
    <w:uiPriority w:val="99"/>
    <w:pPr>
      <w:adjustRightInd/>
      <w:ind w:left="800" w:leftChars="800" w:firstLine="200" w:firstLineChars="200"/>
    </w:pPr>
  </w:style>
  <w:style w:type="paragraph" w:styleId="24">
    <w:name w:val="List Bullet"/>
    <w:basedOn w:val="1"/>
    <w:qFormat/>
    <w:uiPriority w:val="99"/>
    <w:pPr>
      <w:numPr>
        <w:ilvl w:val="0"/>
        <w:numId w:val="1"/>
      </w:numPr>
      <w:tabs>
        <w:tab w:val="left" w:pos="360"/>
      </w:tabs>
      <w:adjustRightInd/>
      <w:spacing w:line="360" w:lineRule="auto"/>
    </w:pPr>
    <w:rPr>
      <w:kern w:val="0"/>
      <w:sz w:val="24"/>
      <w:szCs w:val="20"/>
    </w:rPr>
  </w:style>
  <w:style w:type="paragraph" w:styleId="25">
    <w:name w:val="envelope address"/>
    <w:basedOn w:val="1"/>
    <w:unhideWhenUsed/>
    <w:qFormat/>
    <w:uiPriority w:val="99"/>
    <w:pPr>
      <w:framePr w:w="7920" w:h="1980" w:hRule="exact" w:hSpace="180" w:wrap="around" w:vAnchor="margin" w:hAnchor="page" w:xAlign="center" w:yAlign="bottom"/>
      <w:adjustRightInd/>
      <w:snapToGrid w:val="0"/>
      <w:spacing w:line="360" w:lineRule="auto"/>
      <w:ind w:left="100" w:leftChars="1400"/>
    </w:pPr>
    <w:rPr>
      <w:rFonts w:ascii="等线 Light" w:hAnsi="等线 Light" w:eastAsia="等线 Light"/>
      <w:sz w:val="24"/>
    </w:rPr>
  </w:style>
  <w:style w:type="paragraph" w:styleId="26">
    <w:name w:val="Document Map"/>
    <w:basedOn w:val="1"/>
    <w:link w:val="761"/>
    <w:qFormat/>
    <w:uiPriority w:val="0"/>
    <w:pPr>
      <w:shd w:val="clear" w:color="auto" w:fill="000080"/>
    </w:pPr>
  </w:style>
  <w:style w:type="paragraph" w:styleId="27">
    <w:name w:val="toa heading"/>
    <w:basedOn w:val="1"/>
    <w:next w:val="1"/>
    <w:unhideWhenUsed/>
    <w:qFormat/>
    <w:uiPriority w:val="99"/>
    <w:pPr>
      <w:adjustRightInd/>
      <w:spacing w:before="120" w:line="360" w:lineRule="auto"/>
    </w:pPr>
    <w:rPr>
      <w:rFonts w:ascii="等线 Light" w:hAnsi="等线 Light" w:eastAsia="等线 Light"/>
      <w:sz w:val="24"/>
    </w:rPr>
  </w:style>
  <w:style w:type="paragraph" w:styleId="28">
    <w:name w:val="annotation text"/>
    <w:basedOn w:val="1"/>
    <w:link w:val="762"/>
    <w:qFormat/>
    <w:uiPriority w:val="0"/>
    <w:pPr>
      <w:jc w:val="left"/>
    </w:pPr>
  </w:style>
  <w:style w:type="paragraph" w:styleId="29">
    <w:name w:val="index 6"/>
    <w:basedOn w:val="1"/>
    <w:next w:val="1"/>
    <w:unhideWhenUsed/>
    <w:qFormat/>
    <w:uiPriority w:val="99"/>
    <w:pPr>
      <w:adjustRightInd/>
      <w:spacing w:line="360" w:lineRule="auto"/>
      <w:ind w:left="1000" w:leftChars="1000"/>
    </w:pPr>
    <w:rPr>
      <w:rFonts w:ascii="Calibri" w:hAnsi="Calibri"/>
      <w:sz w:val="28"/>
      <w:szCs w:val="20"/>
    </w:rPr>
  </w:style>
  <w:style w:type="paragraph" w:styleId="30">
    <w:name w:val="Salutation"/>
    <w:basedOn w:val="1"/>
    <w:next w:val="1"/>
    <w:link w:val="763"/>
    <w:qFormat/>
    <w:uiPriority w:val="99"/>
    <w:rPr>
      <w:rFonts w:ascii="仿宋_GB2312" w:eastAsia="仿宋_GB2312"/>
      <w:sz w:val="28"/>
      <w:szCs w:val="20"/>
    </w:rPr>
  </w:style>
  <w:style w:type="paragraph" w:styleId="31">
    <w:name w:val="Body Text 3"/>
    <w:basedOn w:val="1"/>
    <w:link w:val="764"/>
    <w:qFormat/>
    <w:uiPriority w:val="99"/>
    <w:pPr>
      <w:jc w:val="center"/>
    </w:pPr>
    <w:rPr>
      <w:szCs w:val="20"/>
    </w:rPr>
  </w:style>
  <w:style w:type="paragraph" w:styleId="32">
    <w:name w:val="Closing"/>
    <w:basedOn w:val="1"/>
    <w:link w:val="1121"/>
    <w:unhideWhenUsed/>
    <w:qFormat/>
    <w:uiPriority w:val="99"/>
    <w:pPr>
      <w:adjustRightInd/>
      <w:spacing w:line="360" w:lineRule="auto"/>
      <w:ind w:left="100" w:leftChars="2100"/>
    </w:pPr>
    <w:rPr>
      <w:rFonts w:ascii="Calibri" w:hAnsi="Calibri"/>
      <w:sz w:val="28"/>
      <w:szCs w:val="20"/>
    </w:rPr>
  </w:style>
  <w:style w:type="paragraph" w:styleId="33">
    <w:name w:val="List Bullet 3"/>
    <w:basedOn w:val="1"/>
    <w:unhideWhenUsed/>
    <w:qFormat/>
    <w:uiPriority w:val="99"/>
    <w:pPr>
      <w:snapToGrid w:val="0"/>
      <w:spacing w:line="360" w:lineRule="auto"/>
      <w:ind w:left="360" w:right="238" w:hanging="360"/>
      <w:contextualSpacing/>
    </w:pPr>
    <w:rPr>
      <w:sz w:val="24"/>
    </w:rPr>
  </w:style>
  <w:style w:type="paragraph" w:styleId="34">
    <w:name w:val="Body Text"/>
    <w:basedOn w:val="1"/>
    <w:next w:val="35"/>
    <w:link w:val="765"/>
    <w:qFormat/>
    <w:uiPriority w:val="0"/>
    <w:pPr>
      <w:autoSpaceDE w:val="0"/>
      <w:autoSpaceDN w:val="0"/>
      <w:spacing w:line="360" w:lineRule="auto"/>
    </w:pPr>
    <w:rPr>
      <w:rFonts w:ascii="宋体" w:hAnsi="Arial" w:cs="Arial"/>
      <w:snapToGrid w:val="0"/>
      <w:sz w:val="24"/>
      <w:szCs w:val="21"/>
      <w:lang w:val="zh-CN"/>
    </w:rPr>
  </w:style>
  <w:style w:type="paragraph" w:styleId="35">
    <w:name w:val="Body Text First Indent"/>
    <w:basedOn w:val="34"/>
    <w:next w:val="1"/>
    <w:link w:val="783"/>
    <w:qFormat/>
    <w:uiPriority w:val="0"/>
    <w:pPr>
      <w:ind w:firstLine="420"/>
    </w:pPr>
    <w:rPr>
      <w:rFonts w:hAnsi="Calibri" w:cs="Times New Roman"/>
      <w:szCs w:val="20"/>
    </w:rPr>
  </w:style>
  <w:style w:type="paragraph" w:styleId="36">
    <w:name w:val="Body Text Indent"/>
    <w:basedOn w:val="1"/>
    <w:next w:val="1"/>
    <w:link w:val="766"/>
    <w:qFormat/>
    <w:uiPriority w:val="0"/>
    <w:pPr>
      <w:spacing w:line="480" w:lineRule="exact"/>
      <w:ind w:firstLine="480" w:firstLineChars="200"/>
    </w:pPr>
    <w:rPr>
      <w:rFonts w:ascii="宋体" w:hAnsi="宋体"/>
      <w:sz w:val="24"/>
    </w:rPr>
  </w:style>
  <w:style w:type="paragraph" w:styleId="37">
    <w:name w:val="List Number 3"/>
    <w:basedOn w:val="1"/>
    <w:qFormat/>
    <w:uiPriority w:val="99"/>
    <w:pPr>
      <w:widowControl/>
      <w:tabs>
        <w:tab w:val="left" w:pos="360"/>
        <w:tab w:val="left" w:pos="482"/>
      </w:tabs>
      <w:adjustRightInd/>
      <w:spacing w:after="156" w:afterLines="50"/>
      <w:ind w:left="482" w:hanging="340"/>
      <w:jc w:val="left"/>
    </w:pPr>
    <w:rPr>
      <w:kern w:val="0"/>
      <w:sz w:val="24"/>
      <w:szCs w:val="20"/>
    </w:rPr>
  </w:style>
  <w:style w:type="paragraph" w:styleId="38">
    <w:name w:val="List 2"/>
    <w:basedOn w:val="1"/>
    <w:qFormat/>
    <w:uiPriority w:val="99"/>
    <w:pPr>
      <w:adjustRightInd/>
      <w:spacing w:line="360" w:lineRule="auto"/>
      <w:ind w:left="100" w:leftChars="200" w:hanging="200" w:hangingChars="200"/>
    </w:pPr>
    <w:rPr>
      <w:rFonts w:eastAsia="微软雅黑"/>
    </w:rPr>
  </w:style>
  <w:style w:type="paragraph" w:styleId="39">
    <w:name w:val="List Continue"/>
    <w:basedOn w:val="1"/>
    <w:unhideWhenUsed/>
    <w:qFormat/>
    <w:uiPriority w:val="99"/>
    <w:pPr>
      <w:adjustRightInd/>
      <w:spacing w:after="120" w:line="360" w:lineRule="auto"/>
      <w:ind w:left="420" w:leftChars="200"/>
      <w:contextualSpacing/>
    </w:pPr>
    <w:rPr>
      <w:rFonts w:ascii="Calibri" w:hAnsi="Calibri"/>
      <w:sz w:val="28"/>
      <w:szCs w:val="20"/>
    </w:rPr>
  </w:style>
  <w:style w:type="paragraph" w:styleId="40">
    <w:name w:val="Block Text"/>
    <w:basedOn w:val="1"/>
    <w:qFormat/>
    <w:uiPriority w:val="99"/>
    <w:pPr>
      <w:ind w:left="-359" w:leftChars="-171" w:right="-244" w:rightChars="-244" w:firstLine="501" w:firstLineChars="239"/>
    </w:pPr>
    <w:rPr>
      <w:rFonts w:ascii="仿宋_GB2312" w:eastAsia="仿宋_GB2312"/>
      <w:sz w:val="30"/>
      <w:szCs w:val="20"/>
    </w:rPr>
  </w:style>
  <w:style w:type="paragraph" w:styleId="41">
    <w:name w:val="List Bullet 2"/>
    <w:basedOn w:val="1"/>
    <w:qFormat/>
    <w:uiPriority w:val="99"/>
    <w:pPr>
      <w:autoSpaceDE w:val="0"/>
      <w:autoSpaceDN w:val="0"/>
      <w:ind w:left="420"/>
      <w:jc w:val="left"/>
    </w:pPr>
    <w:rPr>
      <w:rFonts w:ascii="宋体" w:hAnsi="宋体"/>
      <w:color w:val="000000"/>
      <w:kern w:val="0"/>
      <w:sz w:val="24"/>
      <w:szCs w:val="20"/>
    </w:rPr>
  </w:style>
  <w:style w:type="paragraph" w:styleId="42">
    <w:name w:val="HTML Address"/>
    <w:basedOn w:val="1"/>
    <w:link w:val="767"/>
    <w:qFormat/>
    <w:uiPriority w:val="99"/>
    <w:pPr>
      <w:widowControl/>
      <w:adjustRightInd/>
      <w:ind w:firstLine="200" w:firstLineChars="200"/>
      <w:jc w:val="left"/>
    </w:pPr>
    <w:rPr>
      <w:rFonts w:ascii="宋体" w:hAnsi="宋体"/>
      <w:i/>
      <w:iCs/>
      <w:kern w:val="0"/>
      <w:sz w:val="24"/>
    </w:rPr>
  </w:style>
  <w:style w:type="paragraph" w:styleId="43">
    <w:name w:val="index 4"/>
    <w:basedOn w:val="1"/>
    <w:next w:val="1"/>
    <w:unhideWhenUsed/>
    <w:qFormat/>
    <w:uiPriority w:val="99"/>
    <w:pPr>
      <w:adjustRightInd/>
      <w:spacing w:line="360" w:lineRule="auto"/>
      <w:ind w:left="600" w:leftChars="600"/>
    </w:pPr>
    <w:rPr>
      <w:rFonts w:ascii="Calibri" w:hAnsi="Calibri"/>
      <w:sz w:val="28"/>
      <w:szCs w:val="20"/>
    </w:rPr>
  </w:style>
  <w:style w:type="paragraph" w:styleId="44">
    <w:name w:val="toc 5"/>
    <w:basedOn w:val="1"/>
    <w:next w:val="1"/>
    <w:qFormat/>
    <w:uiPriority w:val="39"/>
    <w:pPr>
      <w:ind w:left="1680" w:leftChars="800"/>
    </w:pPr>
  </w:style>
  <w:style w:type="paragraph" w:styleId="45">
    <w:name w:val="toc 3"/>
    <w:basedOn w:val="1"/>
    <w:next w:val="1"/>
    <w:qFormat/>
    <w:uiPriority w:val="39"/>
    <w:pPr>
      <w:tabs>
        <w:tab w:val="right" w:leader="dot" w:pos="8268"/>
      </w:tabs>
      <w:spacing w:line="460" w:lineRule="exact"/>
      <w:ind w:left="840" w:leftChars="400" w:firstLine="482"/>
    </w:pPr>
    <w:rPr>
      <w:rFonts w:ascii="宋体" w:hAnsi="宋体"/>
    </w:rPr>
  </w:style>
  <w:style w:type="paragraph" w:styleId="46">
    <w:name w:val="Plain Text"/>
    <w:basedOn w:val="1"/>
    <w:link w:val="768"/>
    <w:qFormat/>
    <w:uiPriority w:val="0"/>
    <w:rPr>
      <w:rFonts w:ascii="宋体" w:hAnsi="Courier New" w:cs="Arial"/>
      <w:snapToGrid w:val="0"/>
      <w:szCs w:val="21"/>
    </w:rPr>
  </w:style>
  <w:style w:type="paragraph" w:styleId="47">
    <w:name w:val="List Bullet 5"/>
    <w:basedOn w:val="1"/>
    <w:unhideWhenUsed/>
    <w:qFormat/>
    <w:uiPriority w:val="99"/>
    <w:pPr>
      <w:numPr>
        <w:ilvl w:val="0"/>
        <w:numId w:val="2"/>
      </w:numPr>
      <w:tabs>
        <w:tab w:val="left" w:pos="2040"/>
        <w:tab w:val="clear" w:pos="780"/>
      </w:tabs>
      <w:adjustRightInd/>
      <w:spacing w:line="360" w:lineRule="auto"/>
      <w:ind w:left="2040" w:leftChars="800"/>
      <w:contextualSpacing/>
    </w:pPr>
    <w:rPr>
      <w:rFonts w:ascii="Calibri" w:hAnsi="Calibri"/>
      <w:sz w:val="28"/>
      <w:szCs w:val="20"/>
    </w:rPr>
  </w:style>
  <w:style w:type="paragraph" w:styleId="48">
    <w:name w:val="List Number 4"/>
    <w:basedOn w:val="1"/>
    <w:qFormat/>
    <w:uiPriority w:val="99"/>
    <w:pPr>
      <w:tabs>
        <w:tab w:val="left" w:pos="840"/>
      </w:tabs>
      <w:autoSpaceDE w:val="0"/>
      <w:autoSpaceDN w:val="0"/>
      <w:spacing w:line="360" w:lineRule="atLeast"/>
      <w:ind w:left="840" w:hanging="420"/>
    </w:pPr>
    <w:rPr>
      <w:kern w:val="0"/>
      <w:sz w:val="24"/>
    </w:rPr>
  </w:style>
  <w:style w:type="paragraph" w:styleId="49">
    <w:name w:val="toc 8"/>
    <w:basedOn w:val="1"/>
    <w:next w:val="1"/>
    <w:qFormat/>
    <w:uiPriority w:val="39"/>
    <w:pPr>
      <w:ind w:left="2940" w:leftChars="1400"/>
    </w:pPr>
  </w:style>
  <w:style w:type="paragraph" w:styleId="50">
    <w:name w:val="index 3"/>
    <w:basedOn w:val="1"/>
    <w:next w:val="1"/>
    <w:unhideWhenUsed/>
    <w:qFormat/>
    <w:uiPriority w:val="99"/>
    <w:pPr>
      <w:adjustRightInd/>
      <w:spacing w:line="360" w:lineRule="auto"/>
      <w:ind w:left="400" w:leftChars="400"/>
    </w:pPr>
    <w:rPr>
      <w:rFonts w:ascii="Calibri" w:hAnsi="Calibri"/>
      <w:sz w:val="28"/>
      <w:szCs w:val="20"/>
    </w:rPr>
  </w:style>
  <w:style w:type="paragraph" w:styleId="51">
    <w:name w:val="Date"/>
    <w:basedOn w:val="1"/>
    <w:next w:val="1"/>
    <w:link w:val="769"/>
    <w:qFormat/>
    <w:uiPriority w:val="99"/>
    <w:pPr>
      <w:ind w:left="100" w:leftChars="2500"/>
    </w:pPr>
    <w:rPr>
      <w:rFonts w:ascii="宋体"/>
      <w:sz w:val="24"/>
      <w:szCs w:val="21"/>
      <w:lang w:val="zh-CN"/>
    </w:rPr>
  </w:style>
  <w:style w:type="paragraph" w:styleId="52">
    <w:name w:val="Body Text Indent 2"/>
    <w:basedOn w:val="1"/>
    <w:link w:val="770"/>
    <w:qFormat/>
    <w:uiPriority w:val="99"/>
    <w:pPr>
      <w:spacing w:line="360" w:lineRule="auto"/>
      <w:ind w:firstLine="601"/>
      <w:textAlignment w:val="baseline"/>
    </w:pPr>
    <w:rPr>
      <w:rFonts w:ascii="宋体"/>
      <w:kern w:val="0"/>
      <w:sz w:val="28"/>
      <w:szCs w:val="20"/>
    </w:rPr>
  </w:style>
  <w:style w:type="paragraph" w:styleId="53">
    <w:name w:val="endnote text"/>
    <w:basedOn w:val="1"/>
    <w:link w:val="771"/>
    <w:qFormat/>
    <w:uiPriority w:val="99"/>
    <w:rPr>
      <w:lang w:val="zh-CN"/>
    </w:rPr>
  </w:style>
  <w:style w:type="paragraph" w:styleId="54">
    <w:name w:val="List Continue 5"/>
    <w:basedOn w:val="1"/>
    <w:unhideWhenUsed/>
    <w:qFormat/>
    <w:uiPriority w:val="99"/>
    <w:pPr>
      <w:adjustRightInd/>
      <w:spacing w:after="120" w:line="360" w:lineRule="auto"/>
      <w:ind w:left="2100" w:leftChars="1000"/>
      <w:contextualSpacing/>
    </w:pPr>
    <w:rPr>
      <w:rFonts w:ascii="Calibri" w:hAnsi="Calibri"/>
      <w:sz w:val="28"/>
      <w:szCs w:val="20"/>
    </w:rPr>
  </w:style>
  <w:style w:type="paragraph" w:styleId="55">
    <w:name w:val="Balloon Text"/>
    <w:basedOn w:val="1"/>
    <w:link w:val="772"/>
    <w:qFormat/>
    <w:uiPriority w:val="0"/>
    <w:rPr>
      <w:sz w:val="18"/>
      <w:szCs w:val="18"/>
    </w:rPr>
  </w:style>
  <w:style w:type="paragraph" w:styleId="56">
    <w:name w:val="footer"/>
    <w:basedOn w:val="1"/>
    <w:link w:val="773"/>
    <w:qFormat/>
    <w:uiPriority w:val="0"/>
    <w:pPr>
      <w:tabs>
        <w:tab w:val="center" w:pos="4153"/>
        <w:tab w:val="right" w:pos="8306"/>
      </w:tabs>
      <w:snapToGrid w:val="0"/>
      <w:jc w:val="left"/>
    </w:pPr>
    <w:rPr>
      <w:sz w:val="18"/>
      <w:szCs w:val="18"/>
    </w:rPr>
  </w:style>
  <w:style w:type="paragraph" w:styleId="57">
    <w:name w:val="envelope return"/>
    <w:basedOn w:val="1"/>
    <w:unhideWhenUsed/>
    <w:qFormat/>
    <w:uiPriority w:val="99"/>
    <w:pPr>
      <w:adjustRightInd/>
      <w:snapToGrid w:val="0"/>
      <w:spacing w:line="360" w:lineRule="auto"/>
    </w:pPr>
    <w:rPr>
      <w:rFonts w:ascii="等线 Light" w:hAnsi="等线 Light" w:eastAsia="等线 Light"/>
      <w:sz w:val="28"/>
      <w:szCs w:val="20"/>
    </w:rPr>
  </w:style>
  <w:style w:type="paragraph" w:styleId="58">
    <w:name w:val="header"/>
    <w:basedOn w:val="1"/>
    <w:link w:val="774"/>
    <w:qFormat/>
    <w:uiPriority w:val="0"/>
    <w:pPr>
      <w:pBdr>
        <w:bottom w:val="single" w:color="auto" w:sz="6" w:space="1"/>
      </w:pBdr>
      <w:tabs>
        <w:tab w:val="center" w:pos="4153"/>
        <w:tab w:val="right" w:pos="8306"/>
      </w:tabs>
      <w:snapToGrid w:val="0"/>
      <w:jc w:val="center"/>
    </w:pPr>
    <w:rPr>
      <w:sz w:val="18"/>
      <w:szCs w:val="18"/>
    </w:rPr>
  </w:style>
  <w:style w:type="paragraph" w:styleId="59">
    <w:name w:val="Signature"/>
    <w:basedOn w:val="1"/>
    <w:link w:val="775"/>
    <w:qFormat/>
    <w:uiPriority w:val="99"/>
    <w:pPr>
      <w:spacing w:after="600" w:line="312" w:lineRule="atLeast"/>
      <w:jc w:val="center"/>
      <w:textAlignment w:val="baseline"/>
    </w:pPr>
    <w:rPr>
      <w:rFonts w:eastAsia="仿宋_GB2312"/>
      <w:kern w:val="0"/>
      <w:sz w:val="24"/>
      <w:szCs w:val="20"/>
    </w:rPr>
  </w:style>
  <w:style w:type="paragraph" w:styleId="60">
    <w:name w:val="toc 1"/>
    <w:basedOn w:val="1"/>
    <w:next w:val="1"/>
    <w:qFormat/>
    <w:uiPriority w:val="39"/>
  </w:style>
  <w:style w:type="paragraph" w:styleId="61">
    <w:name w:val="List Continue 4"/>
    <w:basedOn w:val="1"/>
    <w:qFormat/>
    <w:uiPriority w:val="99"/>
    <w:pPr>
      <w:spacing w:after="120"/>
      <w:ind w:left="1680" w:leftChars="800"/>
      <w:contextualSpacing/>
    </w:pPr>
  </w:style>
  <w:style w:type="paragraph" w:styleId="62">
    <w:name w:val="toc 4"/>
    <w:basedOn w:val="1"/>
    <w:next w:val="1"/>
    <w:qFormat/>
    <w:uiPriority w:val="39"/>
    <w:pPr>
      <w:ind w:left="1260" w:leftChars="600"/>
    </w:pPr>
  </w:style>
  <w:style w:type="paragraph" w:styleId="63">
    <w:name w:val="index heading"/>
    <w:basedOn w:val="1"/>
    <w:next w:val="64"/>
    <w:qFormat/>
    <w:uiPriority w:val="99"/>
    <w:pPr>
      <w:adjustRightInd/>
      <w:ind w:firstLine="200" w:firstLineChars="200"/>
    </w:pPr>
  </w:style>
  <w:style w:type="paragraph" w:styleId="64">
    <w:name w:val="index 1"/>
    <w:basedOn w:val="1"/>
    <w:next w:val="1"/>
    <w:qFormat/>
    <w:uiPriority w:val="99"/>
    <w:pPr>
      <w:adjustRightInd/>
      <w:spacing w:line="360" w:lineRule="auto"/>
      <w:ind w:firstLine="200" w:firstLineChars="200"/>
      <w:jc w:val="center"/>
    </w:pPr>
    <w:rPr>
      <w:sz w:val="24"/>
      <w:szCs w:val="20"/>
    </w:rPr>
  </w:style>
  <w:style w:type="paragraph" w:styleId="65">
    <w:name w:val="Subtitle"/>
    <w:link w:val="776"/>
    <w:qFormat/>
    <w:uiPriority w:val="11"/>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66">
    <w:name w:val="List Number 5"/>
    <w:basedOn w:val="1"/>
    <w:qFormat/>
    <w:uiPriority w:val="99"/>
    <w:pPr>
      <w:tabs>
        <w:tab w:val="left" w:pos="902"/>
      </w:tabs>
      <w:adjustRightInd/>
      <w:spacing w:line="400" w:lineRule="exact"/>
      <w:ind w:left="902" w:hanging="420"/>
    </w:pPr>
    <w:rPr>
      <w:sz w:val="24"/>
      <w:szCs w:val="20"/>
    </w:rPr>
  </w:style>
  <w:style w:type="paragraph" w:styleId="67">
    <w:name w:val="List"/>
    <w:basedOn w:val="1"/>
    <w:qFormat/>
    <w:uiPriority w:val="99"/>
    <w:pPr>
      <w:ind w:left="200" w:hanging="200" w:hangingChars="200"/>
    </w:pPr>
  </w:style>
  <w:style w:type="paragraph" w:styleId="68">
    <w:name w:val="footnote text"/>
    <w:basedOn w:val="21"/>
    <w:link w:val="777"/>
    <w:qFormat/>
    <w:uiPriority w:val="0"/>
    <w:pPr>
      <w:adjustRightInd/>
      <w:snapToGrid/>
      <w:spacing w:before="60" w:after="60" w:line="300" w:lineRule="exact"/>
      <w:ind w:firstLine="0"/>
    </w:pPr>
    <w:rPr>
      <w:rFonts w:ascii="Calibri"/>
      <w:color w:val="0000FF"/>
      <w:kern w:val="0"/>
      <w:sz w:val="21"/>
    </w:rPr>
  </w:style>
  <w:style w:type="paragraph" w:styleId="69">
    <w:name w:val="toc 6"/>
    <w:basedOn w:val="1"/>
    <w:next w:val="1"/>
    <w:qFormat/>
    <w:uiPriority w:val="39"/>
    <w:pPr>
      <w:ind w:left="2100" w:leftChars="1000"/>
    </w:pPr>
  </w:style>
  <w:style w:type="paragraph" w:styleId="70">
    <w:name w:val="List 5"/>
    <w:basedOn w:val="1"/>
    <w:qFormat/>
    <w:uiPriority w:val="99"/>
    <w:pPr>
      <w:adjustRightInd/>
      <w:ind w:left="100" w:leftChars="800" w:hanging="200" w:hangingChars="200"/>
    </w:pPr>
  </w:style>
  <w:style w:type="paragraph" w:styleId="71">
    <w:name w:val="Body Text Indent 3"/>
    <w:basedOn w:val="1"/>
    <w:link w:val="778"/>
    <w:qFormat/>
    <w:uiPriority w:val="99"/>
    <w:pPr>
      <w:spacing w:line="360" w:lineRule="auto"/>
      <w:ind w:firstLine="420"/>
    </w:pPr>
    <w:rPr>
      <w:sz w:val="24"/>
      <w:szCs w:val="20"/>
    </w:rPr>
  </w:style>
  <w:style w:type="paragraph" w:styleId="72">
    <w:name w:val="index 7"/>
    <w:basedOn w:val="1"/>
    <w:next w:val="1"/>
    <w:unhideWhenUsed/>
    <w:qFormat/>
    <w:uiPriority w:val="99"/>
    <w:pPr>
      <w:adjustRightInd/>
      <w:spacing w:line="360" w:lineRule="auto"/>
      <w:ind w:left="1200" w:leftChars="1200"/>
    </w:pPr>
    <w:rPr>
      <w:rFonts w:ascii="Calibri" w:hAnsi="Calibri"/>
      <w:sz w:val="28"/>
      <w:szCs w:val="20"/>
    </w:rPr>
  </w:style>
  <w:style w:type="paragraph" w:styleId="73">
    <w:name w:val="index 9"/>
    <w:basedOn w:val="1"/>
    <w:next w:val="1"/>
    <w:qFormat/>
    <w:uiPriority w:val="99"/>
    <w:pPr>
      <w:widowControl/>
      <w:adjustRightInd/>
      <w:spacing w:line="360" w:lineRule="auto"/>
      <w:ind w:left="1600" w:leftChars="1600" w:firstLine="560" w:firstLineChars="200"/>
      <w:jc w:val="left"/>
    </w:pPr>
    <w:rPr>
      <w:rFonts w:ascii="Calibri" w:hAnsi="Calibri" w:cs="Arial"/>
      <w:bCs/>
      <w:kern w:val="0"/>
      <w:sz w:val="24"/>
      <w:szCs w:val="28"/>
      <w:lang w:bidi="en-US"/>
    </w:rPr>
  </w:style>
  <w:style w:type="paragraph" w:styleId="74">
    <w:name w:val="table of figures"/>
    <w:basedOn w:val="1"/>
    <w:next w:val="1"/>
    <w:qFormat/>
    <w:uiPriority w:val="99"/>
    <w:pPr>
      <w:adjustRightInd/>
      <w:spacing w:line="360" w:lineRule="auto"/>
      <w:ind w:left="200" w:hanging="200" w:hangingChars="200"/>
    </w:pPr>
    <w:rPr>
      <w:rFonts w:ascii="宋体" w:hAnsi="宋体" w:cs="宋体"/>
      <w:szCs w:val="21"/>
    </w:rPr>
  </w:style>
  <w:style w:type="paragraph" w:styleId="75">
    <w:name w:val="toc 2"/>
    <w:basedOn w:val="1"/>
    <w:next w:val="1"/>
    <w:qFormat/>
    <w:uiPriority w:val="39"/>
    <w:pPr>
      <w:ind w:left="420" w:leftChars="200"/>
    </w:pPr>
  </w:style>
  <w:style w:type="paragraph" w:styleId="76">
    <w:name w:val="toc 9"/>
    <w:basedOn w:val="1"/>
    <w:next w:val="1"/>
    <w:qFormat/>
    <w:uiPriority w:val="39"/>
    <w:pPr>
      <w:ind w:left="3360" w:leftChars="1600"/>
    </w:pPr>
  </w:style>
  <w:style w:type="paragraph" w:styleId="77">
    <w:name w:val="Body Text 2"/>
    <w:basedOn w:val="1"/>
    <w:link w:val="779"/>
    <w:qFormat/>
    <w:uiPriority w:val="99"/>
    <w:pPr>
      <w:spacing w:after="120" w:line="480" w:lineRule="auto"/>
    </w:pPr>
  </w:style>
  <w:style w:type="paragraph" w:styleId="78">
    <w:name w:val="List 4"/>
    <w:basedOn w:val="1"/>
    <w:unhideWhenUsed/>
    <w:qFormat/>
    <w:uiPriority w:val="99"/>
    <w:pPr>
      <w:adjustRightInd/>
      <w:spacing w:line="360" w:lineRule="auto"/>
      <w:ind w:left="100" w:leftChars="600" w:hanging="200" w:hangingChars="200"/>
      <w:contextualSpacing/>
    </w:pPr>
    <w:rPr>
      <w:rFonts w:ascii="Calibri" w:hAnsi="Calibri"/>
      <w:sz w:val="28"/>
      <w:szCs w:val="20"/>
    </w:rPr>
  </w:style>
  <w:style w:type="paragraph" w:styleId="79">
    <w:name w:val="List Continue 2"/>
    <w:basedOn w:val="1"/>
    <w:unhideWhenUsed/>
    <w:qFormat/>
    <w:uiPriority w:val="99"/>
    <w:pPr>
      <w:adjustRightInd/>
      <w:spacing w:after="120" w:line="360" w:lineRule="auto"/>
      <w:ind w:left="840" w:leftChars="400"/>
      <w:contextualSpacing/>
    </w:pPr>
    <w:rPr>
      <w:rFonts w:ascii="Calibri" w:hAnsi="Calibri"/>
      <w:sz w:val="28"/>
      <w:szCs w:val="20"/>
    </w:rPr>
  </w:style>
  <w:style w:type="paragraph" w:styleId="80">
    <w:name w:val="Message Header"/>
    <w:basedOn w:val="1"/>
    <w:link w:val="1122"/>
    <w:unhideWhenUsed/>
    <w:qFormat/>
    <w:uiPriority w:val="99"/>
    <w:pPr>
      <w:numPr>
        <w:ilvl w:val="0"/>
        <w:numId w:val="3"/>
      </w:numPr>
      <w:pBdr>
        <w:top w:val="single" w:color="auto" w:sz="6" w:space="1"/>
        <w:left w:val="single" w:color="auto" w:sz="6" w:space="1"/>
        <w:bottom w:val="single" w:color="auto" w:sz="6" w:space="1"/>
        <w:right w:val="single" w:color="auto" w:sz="6" w:space="1"/>
      </w:pBdr>
      <w:shd w:val="pct20" w:color="auto" w:fill="auto"/>
      <w:adjustRightInd/>
      <w:spacing w:line="360" w:lineRule="auto"/>
      <w:ind w:left="1080" w:leftChars="500" w:hanging="1080" w:hangingChars="500"/>
    </w:pPr>
    <w:rPr>
      <w:rFonts w:ascii="等线 Light" w:hAnsi="等线 Light" w:eastAsia="等线 Light"/>
      <w:sz w:val="24"/>
    </w:rPr>
  </w:style>
  <w:style w:type="paragraph" w:styleId="81">
    <w:name w:val="HTML Preformatted"/>
    <w:basedOn w:val="1"/>
    <w:link w:val="78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82">
    <w:name w:val="Normal (Web)"/>
    <w:basedOn w:val="1"/>
    <w:link w:val="1132"/>
    <w:qFormat/>
    <w:uiPriority w:val="0"/>
    <w:pPr>
      <w:widowControl/>
      <w:spacing w:before="100" w:beforeAutospacing="1" w:after="100" w:afterAutospacing="1"/>
      <w:jc w:val="left"/>
    </w:pPr>
    <w:rPr>
      <w:rFonts w:ascii="宋体" w:hAnsi="宋体"/>
      <w:kern w:val="0"/>
      <w:sz w:val="24"/>
    </w:rPr>
  </w:style>
  <w:style w:type="paragraph" w:styleId="83">
    <w:name w:val="List Continue 3"/>
    <w:basedOn w:val="1"/>
    <w:unhideWhenUsed/>
    <w:qFormat/>
    <w:uiPriority w:val="99"/>
    <w:pPr>
      <w:adjustRightInd/>
      <w:spacing w:after="120" w:line="360" w:lineRule="auto"/>
      <w:ind w:left="1260" w:leftChars="600"/>
      <w:contextualSpacing/>
    </w:pPr>
    <w:rPr>
      <w:rFonts w:ascii="Calibri" w:hAnsi="Calibri"/>
      <w:sz w:val="28"/>
      <w:szCs w:val="20"/>
    </w:rPr>
  </w:style>
  <w:style w:type="paragraph" w:styleId="84">
    <w:name w:val="index 2"/>
    <w:basedOn w:val="1"/>
    <w:next w:val="1"/>
    <w:unhideWhenUsed/>
    <w:qFormat/>
    <w:uiPriority w:val="99"/>
    <w:pPr>
      <w:adjustRightInd/>
      <w:spacing w:line="360" w:lineRule="auto"/>
      <w:ind w:left="200" w:leftChars="200"/>
    </w:pPr>
    <w:rPr>
      <w:rFonts w:ascii="Calibri" w:hAnsi="Calibri"/>
      <w:sz w:val="28"/>
      <w:szCs w:val="20"/>
    </w:rPr>
  </w:style>
  <w:style w:type="paragraph" w:styleId="85">
    <w:name w:val="Title"/>
    <w:basedOn w:val="1"/>
    <w:link w:val="781"/>
    <w:qFormat/>
    <w:uiPriority w:val="0"/>
    <w:pPr>
      <w:widowControl/>
      <w:overflowPunct w:val="0"/>
      <w:autoSpaceDE w:val="0"/>
      <w:autoSpaceDN w:val="0"/>
      <w:jc w:val="center"/>
      <w:textAlignment w:val="baseline"/>
    </w:pPr>
    <w:rPr>
      <w:b/>
      <w:kern w:val="0"/>
      <w:sz w:val="24"/>
      <w:szCs w:val="20"/>
    </w:rPr>
  </w:style>
  <w:style w:type="paragraph" w:styleId="86">
    <w:name w:val="annotation subject"/>
    <w:basedOn w:val="28"/>
    <w:next w:val="28"/>
    <w:link w:val="782"/>
    <w:qFormat/>
    <w:uiPriority w:val="0"/>
    <w:rPr>
      <w:b/>
      <w:bCs/>
    </w:rPr>
  </w:style>
  <w:style w:type="paragraph" w:styleId="87">
    <w:name w:val="Body Text First Indent 2"/>
    <w:basedOn w:val="36"/>
    <w:link w:val="784"/>
    <w:qFormat/>
    <w:uiPriority w:val="0"/>
    <w:pPr>
      <w:adjustRightInd/>
      <w:spacing w:after="120" w:line="240" w:lineRule="auto"/>
      <w:ind w:left="420" w:leftChars="200" w:firstLine="210"/>
    </w:pPr>
    <w:rPr>
      <w:sz w:val="21"/>
    </w:rPr>
  </w:style>
  <w:style w:type="table" w:styleId="89">
    <w:name w:val="Table Grid"/>
    <w:basedOn w:val="88"/>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0">
    <w:name w:val="Table Theme"/>
    <w:basedOn w:val="8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1">
    <w:name w:val="Table Elegant"/>
    <w:basedOn w:val="88"/>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92">
    <w:name w:val="Table Grid 5"/>
    <w:basedOn w:val="88"/>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93">
    <w:name w:val="Table Grid 8"/>
    <w:basedOn w:val="88"/>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94">
    <w:name w:val="Table Professional"/>
    <w:basedOn w:val="88"/>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96">
    <w:name w:val="Strong"/>
    <w:qFormat/>
    <w:uiPriority w:val="0"/>
    <w:rPr>
      <w:b/>
      <w:bCs/>
    </w:rPr>
  </w:style>
  <w:style w:type="character" w:styleId="97">
    <w:name w:val="endnote reference"/>
    <w:qFormat/>
    <w:uiPriority w:val="0"/>
    <w:rPr>
      <w:vertAlign w:val="superscript"/>
    </w:rPr>
  </w:style>
  <w:style w:type="character" w:styleId="98">
    <w:name w:val="page number"/>
    <w:qFormat/>
    <w:uiPriority w:val="0"/>
    <w:rPr>
      <w:rFonts w:ascii="Arial" w:hAnsi="Arial" w:eastAsia="黑体" w:cs="Arial"/>
      <w:snapToGrid w:val="0"/>
      <w:kern w:val="0"/>
      <w:szCs w:val="21"/>
    </w:rPr>
  </w:style>
  <w:style w:type="character" w:styleId="99">
    <w:name w:val="FollowedHyperlink"/>
    <w:qFormat/>
    <w:uiPriority w:val="99"/>
    <w:rPr>
      <w:rFonts w:ascii="Arial" w:hAnsi="Arial" w:eastAsia="黑体" w:cs="Arial"/>
      <w:snapToGrid w:val="0"/>
      <w:color w:val="000000"/>
      <w:kern w:val="0"/>
      <w:sz w:val="18"/>
      <w:szCs w:val="18"/>
      <w:u w:val="none"/>
    </w:rPr>
  </w:style>
  <w:style w:type="character" w:styleId="100">
    <w:name w:val="Emphasis"/>
    <w:qFormat/>
    <w:uiPriority w:val="20"/>
    <w:rPr>
      <w:color w:val="CC0033"/>
    </w:rPr>
  </w:style>
  <w:style w:type="character" w:styleId="101">
    <w:name w:val="line number"/>
    <w:qFormat/>
    <w:uiPriority w:val="0"/>
    <w:rPr>
      <w:rFonts w:ascii="Arial" w:hAnsi="Arial" w:eastAsia="黑体" w:cs="Arial"/>
      <w:snapToGrid w:val="0"/>
      <w:kern w:val="0"/>
      <w:szCs w:val="21"/>
    </w:rPr>
  </w:style>
  <w:style w:type="character" w:styleId="102">
    <w:name w:val="Hyperlink"/>
    <w:qFormat/>
    <w:uiPriority w:val="99"/>
    <w:rPr>
      <w:rFonts w:ascii="Arial" w:hAnsi="Arial" w:eastAsia="黑体" w:cs="Arial"/>
      <w:snapToGrid w:val="0"/>
      <w:color w:val="000000"/>
      <w:kern w:val="0"/>
      <w:sz w:val="18"/>
      <w:szCs w:val="18"/>
      <w:u w:val="none"/>
    </w:rPr>
  </w:style>
  <w:style w:type="character" w:styleId="103">
    <w:name w:val="HTML Code"/>
    <w:qFormat/>
    <w:uiPriority w:val="0"/>
    <w:rPr>
      <w:rFonts w:ascii="黑体" w:hAnsi="Courier New" w:eastAsia="黑体" w:cs="楷体_GB2312"/>
      <w:sz w:val="20"/>
      <w:szCs w:val="20"/>
    </w:rPr>
  </w:style>
  <w:style w:type="character" w:styleId="104">
    <w:name w:val="annotation reference"/>
    <w:qFormat/>
    <w:uiPriority w:val="0"/>
    <w:rPr>
      <w:sz w:val="21"/>
      <w:szCs w:val="21"/>
    </w:rPr>
  </w:style>
  <w:style w:type="paragraph" w:customStyle="1" w:styleId="105">
    <w:name w:val="Default"/>
    <w:link w:val="785"/>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06">
    <w:name w:val="表格非标题文字"/>
    <w:link w:val="786"/>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107">
    <w:name w:val="*正文"/>
    <w:basedOn w:val="1"/>
    <w:link w:val="787"/>
    <w:qFormat/>
    <w:uiPriority w:val="0"/>
    <w:pPr>
      <w:spacing w:line="360" w:lineRule="auto"/>
      <w:ind w:firstLine="420"/>
    </w:pPr>
    <w:rPr>
      <w:rFonts w:ascii="仿宋" w:hAnsi="仿宋" w:eastAsia="仿宋"/>
      <w:sz w:val="24"/>
    </w:rPr>
  </w:style>
  <w:style w:type="paragraph" w:customStyle="1" w:styleId="108">
    <w:name w:val="U_正文"/>
    <w:basedOn w:val="1"/>
    <w:link w:val="795"/>
    <w:qFormat/>
    <w:uiPriority w:val="0"/>
    <w:pPr>
      <w:adjustRightInd/>
      <w:spacing w:beforeLines="20" w:afterLines="20" w:line="300" w:lineRule="auto"/>
      <w:ind w:firstLine="200" w:firstLineChars="200"/>
    </w:pPr>
    <w:rPr>
      <w:kern w:val="0"/>
      <w:sz w:val="24"/>
    </w:rPr>
  </w:style>
  <w:style w:type="paragraph" w:customStyle="1" w:styleId="109">
    <w:name w:val="哈哈正文"/>
    <w:basedOn w:val="1"/>
    <w:link w:val="801"/>
    <w:qFormat/>
    <w:uiPriority w:val="0"/>
    <w:pPr>
      <w:adjustRightInd/>
      <w:spacing w:line="360" w:lineRule="auto"/>
      <w:ind w:firstLine="200" w:firstLineChars="200"/>
    </w:pPr>
    <w:rPr>
      <w:rFonts w:ascii="宋体" w:hAnsi="宋体"/>
      <w:sz w:val="24"/>
      <w:szCs w:val="20"/>
    </w:rPr>
  </w:style>
  <w:style w:type="paragraph" w:customStyle="1" w:styleId="110">
    <w:name w:val="5正文"/>
    <w:basedOn w:val="1"/>
    <w:link w:val="814"/>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111">
    <w:name w:val="正文2"/>
    <w:basedOn w:val="1"/>
    <w:link w:val="825"/>
    <w:qFormat/>
    <w:uiPriority w:val="0"/>
    <w:pPr>
      <w:spacing w:before="156" w:line="360" w:lineRule="auto"/>
      <w:ind w:firstLine="510" w:firstLineChars="200"/>
    </w:pPr>
    <w:rPr>
      <w:sz w:val="24"/>
      <w:szCs w:val="20"/>
    </w:rPr>
  </w:style>
  <w:style w:type="paragraph" w:customStyle="1" w:styleId="112">
    <w:name w:val="无间隔1"/>
    <w:link w:val="832"/>
    <w:qFormat/>
    <w:uiPriority w:val="0"/>
    <w:rPr>
      <w:rFonts w:ascii="Times New Roman" w:hAnsi="Times New Roman" w:eastAsia="宋体" w:cs="Times New Roman"/>
      <w:sz w:val="22"/>
      <w:szCs w:val="22"/>
      <w:lang w:val="en-US" w:eastAsia="zh-CN" w:bidi="ar-SA"/>
    </w:rPr>
  </w:style>
  <w:style w:type="paragraph" w:customStyle="1" w:styleId="113">
    <w:name w:val="纯文本_0_0"/>
    <w:basedOn w:val="114"/>
    <w:link w:val="839"/>
    <w:qFormat/>
    <w:uiPriority w:val="0"/>
    <w:rPr>
      <w:rFonts w:ascii="宋体" w:hAnsi="Courier New"/>
      <w:szCs w:val="21"/>
    </w:rPr>
  </w:style>
  <w:style w:type="paragraph" w:customStyle="1" w:styleId="114">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5">
    <w:name w:val="正文（绿盟科技）"/>
    <w:link w:val="849"/>
    <w:qFormat/>
    <w:uiPriority w:val="0"/>
    <w:pPr>
      <w:spacing w:line="300" w:lineRule="auto"/>
    </w:pPr>
    <w:rPr>
      <w:rFonts w:ascii="Arial" w:hAnsi="Arial" w:eastAsia="宋体" w:cs="Times New Roman"/>
      <w:sz w:val="21"/>
      <w:szCs w:val="21"/>
      <w:lang w:val="en-US" w:eastAsia="zh-CN" w:bidi="ar-SA"/>
    </w:rPr>
  </w:style>
  <w:style w:type="paragraph" w:customStyle="1" w:styleId="116">
    <w:name w:val="表格名称"/>
    <w:basedOn w:val="5"/>
    <w:link w:val="858"/>
    <w:qFormat/>
    <w:uiPriority w:val="0"/>
    <w:pPr>
      <w:spacing w:before="240" w:after="240"/>
      <w:jc w:val="center"/>
    </w:pPr>
    <w:rPr>
      <w:rFonts w:ascii="Calibri" w:hAnsi="Calibri"/>
      <w:kern w:val="0"/>
      <w:szCs w:val="20"/>
    </w:rPr>
  </w:style>
  <w:style w:type="paragraph" w:customStyle="1" w:styleId="117">
    <w:name w:val="my正文"/>
    <w:basedOn w:val="1"/>
    <w:link w:val="875"/>
    <w:qFormat/>
    <w:uiPriority w:val="0"/>
    <w:pPr>
      <w:adjustRightInd/>
      <w:spacing w:line="360" w:lineRule="auto"/>
      <w:ind w:firstLine="480" w:firstLineChars="200"/>
    </w:pPr>
    <w:rPr>
      <w:rFonts w:ascii="Tahoma" w:hAnsi="Tahoma"/>
      <w:kern w:val="0"/>
      <w:sz w:val="24"/>
    </w:rPr>
  </w:style>
  <w:style w:type="paragraph" w:customStyle="1" w:styleId="118">
    <w:name w:val="3级"/>
    <w:basedOn w:val="119"/>
    <w:link w:val="880"/>
    <w:qFormat/>
    <w:uiPriority w:val="0"/>
    <w:pPr>
      <w:ind w:left="0" w:right="466" w:firstLine="288"/>
    </w:pPr>
    <w:rPr>
      <w:rFonts w:hAnsi="宋体"/>
    </w:rPr>
  </w:style>
  <w:style w:type="paragraph" w:customStyle="1" w:styleId="119">
    <w:name w:val="样式 标题 3h33rd level3BOD 0H3l3CTHeading 3 - oldLevel 3 He..."/>
    <w:basedOn w:val="2"/>
    <w:qFormat/>
    <w:uiPriority w:val="99"/>
    <w:pPr>
      <w:widowControl/>
      <w:tabs>
        <w:tab w:val="clear" w:pos="900"/>
      </w:tabs>
      <w:adjustRightInd/>
      <w:spacing w:before="240" w:after="240"/>
      <w:ind w:left="851" w:right="407" w:rightChars="194" w:hanging="851"/>
      <w:jc w:val="left"/>
    </w:pPr>
    <w:rPr>
      <w:rFonts w:ascii="宋体" w:hAnsi="Arial"/>
      <w:snapToGrid w:val="0"/>
      <w:kern w:val="0"/>
      <w:sz w:val="28"/>
      <w:szCs w:val="20"/>
    </w:rPr>
  </w:style>
  <w:style w:type="paragraph" w:customStyle="1" w:styleId="120">
    <w:name w:val="标题4-dyf"/>
    <w:basedOn w:val="6"/>
    <w:link w:val="899"/>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121">
    <w:name w:val="冯"/>
    <w:basedOn w:val="1"/>
    <w:link w:val="901"/>
    <w:qFormat/>
    <w:uiPriority w:val="0"/>
    <w:pPr>
      <w:widowControl/>
      <w:adjustRightInd/>
      <w:spacing w:line="360" w:lineRule="auto"/>
      <w:ind w:firstLine="480" w:firstLineChars="200"/>
    </w:pPr>
    <w:rPr>
      <w:rFonts w:ascii="宋体" w:hAnsi="宋体"/>
      <w:color w:val="000000"/>
      <w:kern w:val="0"/>
      <w:sz w:val="24"/>
    </w:rPr>
  </w:style>
  <w:style w:type="paragraph" w:customStyle="1" w:styleId="122">
    <w:name w:val="正文样式"/>
    <w:basedOn w:val="1"/>
    <w:link w:val="917"/>
    <w:qFormat/>
    <w:uiPriority w:val="0"/>
    <w:pPr>
      <w:adjustRightInd/>
      <w:spacing w:line="360" w:lineRule="auto"/>
      <w:ind w:firstLine="480" w:firstLineChars="200"/>
    </w:pPr>
    <w:rPr>
      <w:kern w:val="0"/>
      <w:sz w:val="24"/>
    </w:rPr>
  </w:style>
  <w:style w:type="paragraph" w:customStyle="1" w:styleId="123">
    <w:name w:val="gf正文1"/>
    <w:basedOn w:val="1"/>
    <w:link w:val="923"/>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124">
    <w:name w:val="列表1"/>
    <w:basedOn w:val="1"/>
    <w:next w:val="125"/>
    <w:link w:val="926"/>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25">
    <w:name w:val="列表段落1"/>
    <w:basedOn w:val="1"/>
    <w:link w:val="927"/>
    <w:qFormat/>
    <w:uiPriority w:val="99"/>
    <w:pPr>
      <w:spacing w:line="360" w:lineRule="auto"/>
      <w:ind w:firstLine="200" w:firstLineChars="200"/>
    </w:pPr>
    <w:rPr>
      <w:rFonts w:eastAsia="楷体_GB2312" w:cs="Lucida Sans"/>
      <w:sz w:val="24"/>
    </w:rPr>
  </w:style>
  <w:style w:type="paragraph" w:customStyle="1" w:styleId="126">
    <w:name w:val="此正文"/>
    <w:basedOn w:val="1"/>
    <w:link w:val="948"/>
    <w:qFormat/>
    <w:uiPriority w:val="0"/>
    <w:pPr>
      <w:adjustRightInd/>
      <w:spacing w:line="360" w:lineRule="auto"/>
      <w:ind w:firstLine="200" w:firstLineChars="200"/>
    </w:pPr>
    <w:rPr>
      <w:sz w:val="24"/>
    </w:rPr>
  </w:style>
  <w:style w:type="paragraph" w:customStyle="1" w:styleId="127">
    <w:name w:val="样式 样式 标题 4h4H4Fab-4T5Ref Heading 1rh1Heading sqlsect 1.2.3.... +..."/>
    <w:basedOn w:val="128"/>
    <w:link w:val="964"/>
    <w:qFormat/>
    <w:uiPriority w:val="0"/>
    <w:pPr>
      <w:tabs>
        <w:tab w:val="left" w:pos="2356"/>
      </w:tabs>
    </w:pPr>
  </w:style>
  <w:style w:type="paragraph" w:customStyle="1" w:styleId="128">
    <w:name w:val="样式 标题 4h4H4Fab-4T5Ref Heading 1rh1Heading sqlsect 1.2.3...."/>
    <w:basedOn w:val="6"/>
    <w:link w:val="965"/>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29">
    <w:name w:val="Item List"/>
    <w:link w:val="973"/>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30">
    <w:name w:val="纯文本1"/>
    <w:basedOn w:val="1"/>
    <w:link w:val="975"/>
    <w:qFormat/>
    <w:uiPriority w:val="0"/>
    <w:pPr>
      <w:adjustRightInd/>
    </w:pPr>
    <w:rPr>
      <w:rFonts w:ascii="宋体" w:hAnsi="Courier New"/>
      <w:kern w:val="0"/>
      <w:sz w:val="20"/>
      <w:szCs w:val="20"/>
    </w:rPr>
  </w:style>
  <w:style w:type="paragraph" w:customStyle="1" w:styleId="131">
    <w:name w:val="正文说明"/>
    <w:basedOn w:val="1"/>
    <w:link w:val="984"/>
    <w:qFormat/>
    <w:uiPriority w:val="0"/>
    <w:pPr>
      <w:adjustRightInd/>
      <w:spacing w:line="360" w:lineRule="auto"/>
    </w:pPr>
    <w:rPr>
      <w:kern w:val="0"/>
      <w:sz w:val="24"/>
    </w:rPr>
  </w:style>
  <w:style w:type="paragraph" w:customStyle="1" w:styleId="132">
    <w:name w:val="Table Text"/>
    <w:basedOn w:val="1"/>
    <w:link w:val="990"/>
    <w:qFormat/>
    <w:uiPriority w:val="0"/>
    <w:pPr>
      <w:widowControl/>
      <w:spacing w:before="60" w:after="60"/>
      <w:jc w:val="left"/>
    </w:pPr>
    <w:rPr>
      <w:kern w:val="0"/>
      <w:sz w:val="24"/>
    </w:rPr>
  </w:style>
  <w:style w:type="paragraph" w:customStyle="1" w:styleId="133">
    <w:name w:val="公文正文"/>
    <w:basedOn w:val="1"/>
    <w:link w:val="1000"/>
    <w:qFormat/>
    <w:uiPriority w:val="0"/>
    <w:pPr>
      <w:adjustRightInd/>
      <w:spacing w:before="156" w:line="360" w:lineRule="auto"/>
      <w:ind w:firstLine="360" w:firstLineChars="200"/>
    </w:pPr>
    <w:rPr>
      <w:rFonts w:ascii="仿宋_GB2312" w:eastAsia="仿宋_GB2312"/>
      <w:sz w:val="24"/>
    </w:rPr>
  </w:style>
  <w:style w:type="paragraph" w:customStyle="1" w:styleId="134">
    <w:name w:val="正文（缩进2汉字）"/>
    <w:basedOn w:val="1"/>
    <w:link w:val="1003"/>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35">
    <w:name w:val="b11_01b"/>
    <w:basedOn w:val="1"/>
    <w:next w:val="1"/>
    <w:link w:val="1023"/>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36">
    <w:name w:val="段落"/>
    <w:basedOn w:val="1"/>
    <w:link w:val="1030"/>
    <w:qFormat/>
    <w:uiPriority w:val="0"/>
    <w:pPr>
      <w:adjustRightInd/>
      <w:spacing w:line="360" w:lineRule="auto"/>
      <w:ind w:firstLine="480" w:firstLineChars="200"/>
    </w:pPr>
    <w:rPr>
      <w:rFonts w:ascii="宋体" w:hAnsi="宋体"/>
      <w:kern w:val="0"/>
      <w:sz w:val="24"/>
      <w:szCs w:val="20"/>
    </w:rPr>
  </w:style>
  <w:style w:type="paragraph" w:customStyle="1" w:styleId="137">
    <w:name w:val="正文段"/>
    <w:basedOn w:val="1"/>
    <w:link w:val="1036"/>
    <w:qFormat/>
    <w:uiPriority w:val="0"/>
    <w:pPr>
      <w:widowControl/>
      <w:snapToGrid w:val="0"/>
      <w:spacing w:after="156" w:afterLines="50"/>
      <w:ind w:firstLine="200" w:firstLineChars="200"/>
    </w:pPr>
    <w:rPr>
      <w:kern w:val="0"/>
      <w:sz w:val="24"/>
      <w:szCs w:val="20"/>
    </w:rPr>
  </w:style>
  <w:style w:type="paragraph" w:customStyle="1" w:styleId="138">
    <w:name w:val="冯广丽"/>
    <w:basedOn w:val="1"/>
    <w:link w:val="1039"/>
    <w:qFormat/>
    <w:uiPriority w:val="0"/>
    <w:pPr>
      <w:adjustRightInd/>
      <w:spacing w:line="360" w:lineRule="auto"/>
      <w:ind w:firstLine="480" w:firstLineChars="200"/>
    </w:pPr>
    <w:rPr>
      <w:rFonts w:ascii="宋体" w:hAnsi="宋体"/>
      <w:sz w:val="24"/>
      <w:szCs w:val="22"/>
    </w:rPr>
  </w:style>
  <w:style w:type="paragraph" w:customStyle="1" w:styleId="139">
    <w:name w:val="编号，小四"/>
    <w:basedOn w:val="1"/>
    <w:link w:val="1045"/>
    <w:qFormat/>
    <w:uiPriority w:val="0"/>
    <w:pPr>
      <w:tabs>
        <w:tab w:val="left" w:pos="432"/>
      </w:tabs>
      <w:adjustRightInd/>
      <w:spacing w:line="360" w:lineRule="auto"/>
      <w:ind w:left="432" w:hanging="432"/>
    </w:pPr>
    <w:rPr>
      <w:rFonts w:ascii="Arial" w:hAnsi="Arial"/>
      <w:kern w:val="0"/>
      <w:sz w:val="24"/>
      <w:szCs w:val="20"/>
    </w:rPr>
  </w:style>
  <w:style w:type="paragraph" w:customStyle="1" w:styleId="140">
    <w:name w:val="仿宋正文"/>
    <w:basedOn w:val="1"/>
    <w:link w:val="1051"/>
    <w:qFormat/>
    <w:uiPriority w:val="0"/>
    <w:pPr>
      <w:adjustRightInd/>
      <w:spacing w:line="360" w:lineRule="auto"/>
      <w:ind w:firstLine="480" w:firstLineChars="200"/>
    </w:pPr>
    <w:rPr>
      <w:rFonts w:ascii="仿宋_GB2312" w:eastAsia="仿宋_GB2312"/>
      <w:sz w:val="24"/>
      <w:szCs w:val="20"/>
    </w:rPr>
  </w:style>
  <w:style w:type="paragraph" w:customStyle="1" w:styleId="141">
    <w:name w:val="样式 正文缩进 + 首行缩进:  2 字符"/>
    <w:basedOn w:val="21"/>
    <w:link w:val="1063"/>
    <w:qFormat/>
    <w:uiPriority w:val="0"/>
    <w:pPr>
      <w:widowControl w:val="0"/>
      <w:adjustRightInd/>
      <w:snapToGrid/>
      <w:spacing w:line="360" w:lineRule="auto"/>
      <w:ind w:firstLine="200" w:firstLineChars="200"/>
    </w:pPr>
    <w:rPr>
      <w:rFonts w:ascii="Calibri"/>
      <w:color w:val="auto"/>
      <w:kern w:val="2"/>
      <w:sz w:val="24"/>
    </w:rPr>
  </w:style>
  <w:style w:type="paragraph" w:customStyle="1" w:styleId="142">
    <w:name w:val="样式 正文文本缩进 + 左侧:  2 字符 首行缩进:  2 字符"/>
    <w:basedOn w:val="36"/>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43">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144">
    <w:name w:val="正文文本 221"/>
    <w:basedOn w:val="1"/>
    <w:qFormat/>
    <w:uiPriority w:val="0"/>
    <w:pPr>
      <w:widowControl/>
      <w:overflowPunct w:val="0"/>
      <w:autoSpaceDE w:val="0"/>
      <w:autoSpaceDN w:val="0"/>
      <w:ind w:left="720" w:hanging="720"/>
      <w:textAlignment w:val="baseline"/>
    </w:pPr>
    <w:rPr>
      <w:kern w:val="0"/>
      <w:sz w:val="24"/>
      <w:szCs w:val="20"/>
    </w:rPr>
  </w:style>
  <w:style w:type="paragraph" w:customStyle="1" w:styleId="145">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146">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47">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148">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149">
    <w:name w:val="标题4_自定义"/>
    <w:basedOn w:val="6"/>
    <w:qFormat/>
    <w:uiPriority w:val="0"/>
    <w:pPr>
      <w:adjustRightInd/>
      <w:spacing w:before="0" w:after="0" w:line="360" w:lineRule="auto"/>
    </w:pPr>
    <w:rPr>
      <w:rFonts w:ascii="Verdana" w:eastAsia="Verdana"/>
      <w:sz w:val="21"/>
      <w:lang w:val="en-US"/>
    </w:rPr>
  </w:style>
  <w:style w:type="paragraph" w:customStyle="1" w:styleId="150">
    <w:name w:val="正文 内标 序号标"/>
    <w:basedOn w:val="151"/>
    <w:qFormat/>
    <w:uiPriority w:val="0"/>
    <w:pPr>
      <w:tabs>
        <w:tab w:val="left" w:pos="0"/>
      </w:tabs>
      <w:adjustRightInd/>
      <w:spacing w:before="0"/>
      <w:ind w:firstLine="482"/>
    </w:pPr>
    <w:rPr>
      <w:rFonts w:ascii="微软雅黑" w:hAnsi="微软雅黑"/>
      <w:sz w:val="24"/>
      <w:szCs w:val="24"/>
    </w:rPr>
  </w:style>
  <w:style w:type="paragraph" w:customStyle="1" w:styleId="151">
    <w:name w:val="My正文"/>
    <w:basedOn w:val="1"/>
    <w:qFormat/>
    <w:uiPriority w:val="0"/>
    <w:pPr>
      <w:spacing w:before="120" w:line="360" w:lineRule="auto"/>
      <w:ind w:firstLine="567"/>
    </w:pPr>
    <w:rPr>
      <w:rFonts w:ascii="Arial" w:hAnsi="Arial"/>
      <w:sz w:val="20"/>
      <w:szCs w:val="20"/>
    </w:rPr>
  </w:style>
  <w:style w:type="paragraph" w:customStyle="1" w:styleId="152">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53">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154">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155">
    <w:name w:val="修订2"/>
    <w:qFormat/>
    <w:uiPriority w:val="99"/>
    <w:rPr>
      <w:rFonts w:ascii="Times New Roman" w:hAnsi="Times New Roman" w:eastAsia="宋体" w:cs="Times New Roman"/>
      <w:kern w:val="2"/>
      <w:sz w:val="21"/>
      <w:lang w:val="en-US" w:eastAsia="zh-CN" w:bidi="ar-SA"/>
    </w:rPr>
  </w:style>
  <w:style w:type="paragraph" w:customStyle="1" w:styleId="156">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57">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58">
    <w:name w:val="文章标题"/>
    <w:next w:val="159"/>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159">
    <w:name w:val="封面公司名"/>
    <w:qFormat/>
    <w:uiPriority w:val="0"/>
    <w:pPr>
      <w:jc w:val="center"/>
    </w:pPr>
    <w:rPr>
      <w:rFonts w:ascii="Arial" w:hAnsi="Arial" w:eastAsia="楷体_GB2312" w:cs="宋体"/>
      <w:bCs/>
      <w:kern w:val="2"/>
      <w:sz w:val="28"/>
      <w:lang w:val="en-US" w:eastAsia="zh-CN" w:bidi="ar-SA"/>
    </w:rPr>
  </w:style>
  <w:style w:type="paragraph" w:customStyle="1" w:styleId="160">
    <w:name w:val="Char1 Char Char Char5"/>
    <w:basedOn w:val="1"/>
    <w:qFormat/>
    <w:uiPriority w:val="0"/>
    <w:pPr>
      <w:adjustRightInd/>
      <w:ind w:firstLine="200" w:firstLineChars="200"/>
    </w:pPr>
    <w:rPr>
      <w:rFonts w:ascii="Tahoma" w:hAnsi="Tahoma"/>
      <w:sz w:val="24"/>
      <w:szCs w:val="20"/>
    </w:rPr>
  </w:style>
  <w:style w:type="paragraph" w:customStyle="1" w:styleId="161">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62">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63">
    <w:name w:val="Char Char Char Char Char Char Char Char"/>
    <w:basedOn w:val="1"/>
    <w:qFormat/>
    <w:uiPriority w:val="0"/>
    <w:pPr>
      <w:tabs>
        <w:tab w:val="left" w:pos="360"/>
      </w:tabs>
    </w:pPr>
    <w:rPr>
      <w:sz w:val="24"/>
      <w:szCs w:val="20"/>
    </w:rPr>
  </w:style>
  <w:style w:type="paragraph" w:customStyle="1" w:styleId="164">
    <w:name w:val="Char Char11 Char Char Char"/>
    <w:basedOn w:val="1"/>
    <w:qFormat/>
    <w:uiPriority w:val="0"/>
    <w:pPr>
      <w:spacing w:line="360" w:lineRule="auto"/>
    </w:pPr>
    <w:rPr>
      <w:szCs w:val="20"/>
    </w:rPr>
  </w:style>
  <w:style w:type="paragraph" w:customStyle="1" w:styleId="165">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lang w:val="en-US" w:eastAsia="zh-CN" w:bidi="ar-SA"/>
    </w:rPr>
  </w:style>
  <w:style w:type="paragraph" w:customStyle="1" w:styleId="166">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167">
    <w:name w:val="样式3"/>
    <w:basedOn w:val="168"/>
    <w:qFormat/>
    <w:uiPriority w:val="0"/>
    <w:pPr>
      <w:tabs>
        <w:tab w:val="left" w:pos="2790"/>
        <w:tab w:val="left" w:pos="4230"/>
      </w:tabs>
      <w:ind w:firstLine="482" w:firstLineChars="200"/>
      <w:jc w:val="left"/>
    </w:pPr>
    <w:rPr>
      <w:rFonts w:hAnsi="仿宋_GB2312" w:eastAsia="宋体"/>
      <w:sz w:val="24"/>
    </w:rPr>
  </w:style>
  <w:style w:type="paragraph" w:customStyle="1" w:styleId="168">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69">
    <w:name w:val="Char Char1 Char Char1 Char Char1"/>
    <w:basedOn w:val="1"/>
    <w:qFormat/>
    <w:uiPriority w:val="0"/>
    <w:pPr>
      <w:tabs>
        <w:tab w:val="left" w:pos="840"/>
      </w:tabs>
      <w:ind w:left="840" w:hanging="420"/>
    </w:pPr>
    <w:rPr>
      <w:rFonts w:ascii="Tahoma" w:hAnsi="Tahoma"/>
      <w:sz w:val="24"/>
    </w:rPr>
  </w:style>
  <w:style w:type="paragraph" w:customStyle="1" w:styleId="170">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171">
    <w:name w:val="标书标题2"/>
    <w:basedOn w:val="5"/>
    <w:qFormat/>
    <w:uiPriority w:val="0"/>
    <w:pPr>
      <w:widowControl/>
      <w:tabs>
        <w:tab w:val="left" w:pos="840"/>
        <w:tab w:val="clear" w:pos="432"/>
      </w:tabs>
      <w:spacing w:before="156" w:beforeLines="50" w:after="60" w:line="300" w:lineRule="auto"/>
      <w:ind w:left="840" w:hanging="420"/>
    </w:pPr>
    <w:rPr>
      <w:rFonts w:ascii="Arial Narrow" w:hAnsi="Arial Narrow"/>
      <w:snapToGrid w:val="0"/>
      <w:kern w:val="0"/>
      <w:szCs w:val="20"/>
      <w:lang w:val="en-US"/>
    </w:rPr>
  </w:style>
  <w:style w:type="paragraph" w:customStyle="1" w:styleId="172">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173">
    <w:name w:val="正文21"/>
    <w:basedOn w:val="1"/>
    <w:qFormat/>
    <w:uiPriority w:val="0"/>
    <w:pPr>
      <w:adjustRightInd/>
      <w:spacing w:before="156" w:line="360" w:lineRule="auto"/>
      <w:ind w:firstLine="510" w:firstLineChars="200"/>
    </w:pPr>
    <w:rPr>
      <w:sz w:val="24"/>
      <w:szCs w:val="20"/>
    </w:rPr>
  </w:style>
  <w:style w:type="paragraph" w:customStyle="1" w:styleId="174">
    <w:name w:val="Test2"/>
    <w:basedOn w:val="5"/>
    <w:qFormat/>
    <w:uiPriority w:val="0"/>
    <w:pPr>
      <w:widowControl/>
      <w:spacing w:before="360" w:after="360" w:line="240" w:lineRule="atLeast"/>
    </w:pPr>
    <w:rPr>
      <w:rFonts w:ascii="宋体" w:hAnsi="Arial"/>
      <w:snapToGrid w:val="0"/>
      <w:kern w:val="0"/>
      <w:lang w:val="en-US"/>
    </w:rPr>
  </w:style>
  <w:style w:type="paragraph" w:customStyle="1" w:styleId="175">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76">
    <w:name w:val="Char1"/>
    <w:basedOn w:val="1"/>
    <w:qFormat/>
    <w:uiPriority w:val="0"/>
    <w:rPr>
      <w:rFonts w:ascii="仿宋_GB2312" w:eastAsia="仿宋_GB2312"/>
      <w:b/>
      <w:sz w:val="32"/>
      <w:szCs w:val="32"/>
    </w:rPr>
  </w:style>
  <w:style w:type="paragraph" w:customStyle="1" w:styleId="177">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78">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179">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180">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81">
    <w:name w:val="6级标题"/>
    <w:basedOn w:val="182"/>
    <w:qFormat/>
    <w:uiPriority w:val="0"/>
    <w:pPr>
      <w:keepNext/>
      <w:tabs>
        <w:tab w:val="left" w:pos="360"/>
      </w:tabs>
      <w:spacing w:before="0" w:after="0"/>
      <w:outlineLvl w:val="5"/>
    </w:pPr>
  </w:style>
  <w:style w:type="paragraph" w:customStyle="1" w:styleId="182">
    <w:name w:val="5级标题"/>
    <w:basedOn w:val="183"/>
    <w:qFormat/>
    <w:uiPriority w:val="0"/>
    <w:pPr>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183">
    <w:name w:val="4级标题"/>
    <w:basedOn w:val="125"/>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84">
    <w:name w:val="样式 正文文本缩进 + 段前: 2 字符"/>
    <w:basedOn w:val="1"/>
    <w:qFormat/>
    <w:uiPriority w:val="0"/>
    <w:pPr>
      <w:adjustRightInd/>
      <w:ind w:left="420" w:leftChars="200"/>
      <w:jc w:val="left"/>
    </w:pPr>
    <w:rPr>
      <w:sz w:val="28"/>
      <w:szCs w:val="20"/>
      <w:lang w:eastAsia="zh-TW"/>
    </w:rPr>
  </w:style>
  <w:style w:type="paragraph" w:customStyle="1" w:styleId="185">
    <w:name w:val="Char2 Char Char"/>
    <w:basedOn w:val="1"/>
    <w:qFormat/>
    <w:uiPriority w:val="0"/>
    <w:pPr>
      <w:adjustRightInd/>
    </w:pPr>
    <w:rPr>
      <w:rFonts w:ascii="Tahoma" w:hAnsi="Tahoma"/>
      <w:sz w:val="24"/>
      <w:szCs w:val="20"/>
    </w:rPr>
  </w:style>
  <w:style w:type="paragraph" w:customStyle="1" w:styleId="186">
    <w:name w:val="_Style 11"/>
    <w:basedOn w:val="1"/>
    <w:qFormat/>
    <w:uiPriority w:val="34"/>
    <w:pPr>
      <w:adjustRightInd/>
      <w:ind w:firstLine="420" w:firstLineChars="200"/>
    </w:pPr>
    <w:rPr>
      <w:rFonts w:eastAsia="仿宋_GB2312"/>
      <w:sz w:val="28"/>
    </w:rPr>
  </w:style>
  <w:style w:type="paragraph" w:customStyle="1" w:styleId="187">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88">
    <w:name w:val="Char Char Char"/>
    <w:basedOn w:val="1"/>
    <w:qFormat/>
    <w:uiPriority w:val="0"/>
    <w:rPr>
      <w:rFonts w:ascii="Tahoma" w:hAnsi="Tahoma"/>
      <w:sz w:val="24"/>
      <w:szCs w:val="20"/>
    </w:rPr>
  </w:style>
  <w:style w:type="paragraph" w:customStyle="1" w:styleId="189">
    <w:name w:val="数字标题6"/>
    <w:basedOn w:val="8"/>
    <w:next w:val="1"/>
    <w:qFormat/>
    <w:uiPriority w:val="0"/>
    <w:pPr>
      <w:tabs>
        <w:tab w:val="left" w:pos="1080"/>
        <w:tab w:val="clear" w:pos="1152"/>
      </w:tabs>
      <w:ind w:left="1080" w:hanging="1080"/>
    </w:pPr>
    <w:rPr>
      <w:rFonts w:ascii="Times New Roman" w:hAnsi="Times New Roman" w:eastAsia="宋体"/>
      <w:i/>
    </w:rPr>
  </w:style>
  <w:style w:type="paragraph" w:customStyle="1" w:styleId="190">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91">
    <w:name w:val="无间隔2"/>
    <w:basedOn w:val="1"/>
    <w:link w:val="1067"/>
    <w:qFormat/>
    <w:uiPriority w:val="99"/>
    <w:rPr>
      <w:szCs w:val="22"/>
    </w:rPr>
  </w:style>
  <w:style w:type="paragraph" w:customStyle="1" w:styleId="192">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93">
    <w:name w:val="Char Char Char Char Char Char Char Char Char Char Char Char1 Char1"/>
    <w:basedOn w:val="1"/>
    <w:qFormat/>
    <w:uiPriority w:val="6"/>
    <w:rPr>
      <w:rFonts w:ascii="Tahoma" w:hAnsi="Tahoma" w:cs="仿宋_GB2312"/>
      <w:sz w:val="24"/>
      <w:szCs w:val="20"/>
    </w:rPr>
  </w:style>
  <w:style w:type="paragraph" w:customStyle="1" w:styleId="194">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95">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96">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97">
    <w:name w:val="MM Topic 2"/>
    <w:basedOn w:val="5"/>
    <w:qFormat/>
    <w:uiPriority w:val="0"/>
    <w:pPr>
      <w:tabs>
        <w:tab w:val="left" w:pos="1260"/>
        <w:tab w:val="clear" w:pos="432"/>
      </w:tabs>
      <w:ind w:left="1260" w:hanging="420"/>
    </w:pPr>
    <w:rPr>
      <w:rFonts w:ascii="Arial" w:hAnsi="Arial" w:eastAsia="黑体"/>
      <w:lang w:val="en-US"/>
    </w:rPr>
  </w:style>
  <w:style w:type="paragraph" w:customStyle="1" w:styleId="198">
    <w:name w:val="五级无标题条"/>
    <w:basedOn w:val="1"/>
    <w:qFormat/>
    <w:uiPriority w:val="0"/>
    <w:pPr>
      <w:adjustRightInd/>
    </w:pPr>
  </w:style>
  <w:style w:type="paragraph" w:customStyle="1" w:styleId="199">
    <w:name w:val="Char5"/>
    <w:basedOn w:val="1"/>
    <w:qFormat/>
    <w:uiPriority w:val="0"/>
    <w:rPr>
      <w:rFonts w:ascii="仿宋_GB2312" w:eastAsia="仿宋_GB2312"/>
      <w:b/>
      <w:sz w:val="32"/>
      <w:szCs w:val="32"/>
    </w:rPr>
  </w:style>
  <w:style w:type="paragraph" w:customStyle="1" w:styleId="200">
    <w:name w:val="TOC 标题1"/>
    <w:basedOn w:val="4"/>
    <w:next w:val="1"/>
    <w:qFormat/>
    <w:uiPriority w:val="0"/>
    <w:pPr>
      <w:widowControl/>
      <w:adjustRightInd/>
      <w:spacing w:before="480" w:line="276" w:lineRule="auto"/>
      <w:jc w:val="left"/>
      <w:outlineLvl w:val="9"/>
    </w:pPr>
    <w:rPr>
      <w:rFonts w:ascii="Cambria" w:hAnsi="Cambria"/>
      <w:color w:val="365F91"/>
      <w:kern w:val="0"/>
      <w:sz w:val="28"/>
      <w:szCs w:val="28"/>
    </w:rPr>
  </w:style>
  <w:style w:type="paragraph" w:customStyle="1" w:styleId="201">
    <w:name w:val="彩色列表 - 强调文字颜色 12"/>
    <w:basedOn w:val="1"/>
    <w:qFormat/>
    <w:uiPriority w:val="0"/>
    <w:pPr>
      <w:adjustRightInd/>
      <w:ind w:firstLine="420" w:firstLineChars="200"/>
    </w:pPr>
    <w:rPr>
      <w:rFonts w:ascii="Calibri" w:hAnsi="Calibri"/>
      <w:szCs w:val="22"/>
    </w:rPr>
  </w:style>
  <w:style w:type="paragraph" w:customStyle="1" w:styleId="202">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203">
    <w:name w:val="Char2"/>
    <w:basedOn w:val="1"/>
    <w:qFormat/>
    <w:uiPriority w:val="0"/>
    <w:rPr>
      <w:rFonts w:ascii="仿宋_GB2312" w:eastAsia="仿宋_GB2312"/>
      <w:b/>
      <w:sz w:val="32"/>
      <w:szCs w:val="32"/>
    </w:rPr>
  </w:style>
  <w:style w:type="paragraph" w:customStyle="1" w:styleId="204">
    <w:name w:val="数字标题3"/>
    <w:basedOn w:val="2"/>
    <w:next w:val="1"/>
    <w:qFormat/>
    <w:uiPriority w:val="0"/>
    <w:pPr>
      <w:spacing w:line="240" w:lineRule="auto"/>
    </w:pPr>
    <w:rPr>
      <w:sz w:val="28"/>
      <w:szCs w:val="28"/>
    </w:rPr>
  </w:style>
  <w:style w:type="paragraph" w:customStyle="1" w:styleId="205">
    <w:name w:val="FA正文"/>
    <w:basedOn w:val="1"/>
    <w:qFormat/>
    <w:uiPriority w:val="0"/>
    <w:pPr>
      <w:spacing w:line="360" w:lineRule="auto"/>
      <w:ind w:firstLine="480" w:firstLineChars="200"/>
    </w:pPr>
    <w:rPr>
      <w:rFonts w:hAnsi="宋体"/>
      <w:sz w:val="24"/>
      <w:szCs w:val="20"/>
    </w:rPr>
  </w:style>
  <w:style w:type="paragraph" w:customStyle="1" w:styleId="206">
    <w:name w:val="MM Topic 5"/>
    <w:basedOn w:val="7"/>
    <w:qFormat/>
    <w:uiPriority w:val="0"/>
    <w:pPr>
      <w:tabs>
        <w:tab w:val="left" w:pos="2520"/>
        <w:tab w:val="clear" w:pos="1008"/>
      </w:tabs>
      <w:adjustRightInd/>
      <w:ind w:left="2520" w:hanging="420"/>
    </w:pPr>
  </w:style>
  <w:style w:type="paragraph" w:customStyle="1" w:styleId="207">
    <w:name w:val="Char Char Char Char Char Char Char Char Char Char1"/>
    <w:basedOn w:val="1"/>
    <w:qFormat/>
    <w:uiPriority w:val="0"/>
    <w:rPr>
      <w:rFonts w:ascii="仿宋_GB2312" w:eastAsia="仿宋_GB2312"/>
      <w:b/>
      <w:sz w:val="32"/>
      <w:szCs w:val="32"/>
    </w:rPr>
  </w:style>
  <w:style w:type="paragraph" w:customStyle="1" w:styleId="208">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209">
    <w:name w:val="修订1"/>
    <w:qFormat/>
    <w:uiPriority w:val="99"/>
    <w:rPr>
      <w:rFonts w:ascii="Times New Roman" w:hAnsi="Times New Roman" w:eastAsia="宋体" w:cs="Times New Roman"/>
      <w:color w:val="000000"/>
      <w:kern w:val="1"/>
      <w:sz w:val="21"/>
      <w:lang w:val="en-US" w:eastAsia="zh-CN" w:bidi="ar-SA"/>
    </w:rPr>
  </w:style>
  <w:style w:type="paragraph" w:customStyle="1" w:styleId="210">
    <w:name w:val="Char2 Char Char Char"/>
    <w:basedOn w:val="1"/>
    <w:qFormat/>
    <w:uiPriority w:val="0"/>
    <w:rPr>
      <w:rFonts w:ascii="仿宋_GB2312" w:eastAsia="仿宋_GB2312"/>
      <w:b/>
      <w:sz w:val="32"/>
      <w:szCs w:val="32"/>
    </w:rPr>
  </w:style>
  <w:style w:type="paragraph" w:customStyle="1" w:styleId="211">
    <w:name w:val="Char2 Char Char Char1"/>
    <w:basedOn w:val="1"/>
    <w:qFormat/>
    <w:uiPriority w:val="6"/>
    <w:rPr>
      <w:rFonts w:ascii="仿宋_GB2312" w:eastAsia="仿宋_GB2312"/>
      <w:b/>
      <w:sz w:val="32"/>
      <w:szCs w:val="32"/>
    </w:rPr>
  </w:style>
  <w:style w:type="paragraph" w:customStyle="1" w:styleId="212">
    <w:name w:val="默认段落样式"/>
    <w:basedOn w:val="111"/>
    <w:qFormat/>
    <w:uiPriority w:val="0"/>
    <w:pPr>
      <w:spacing w:before="0"/>
      <w:ind w:firstLine="480"/>
      <w:outlineLvl w:val="2"/>
    </w:pPr>
    <w:rPr>
      <w:rFonts w:ascii="仿宋_GB2312" w:hAnsi="宋体" w:eastAsia="仿宋_GB2312"/>
      <w:color w:val="000000"/>
      <w:szCs w:val="24"/>
    </w:rPr>
  </w:style>
  <w:style w:type="paragraph" w:customStyle="1" w:styleId="213">
    <w:name w:val="图中文字"/>
    <w:basedOn w:val="1"/>
    <w:qFormat/>
    <w:uiPriority w:val="0"/>
    <w:pPr>
      <w:snapToGrid w:val="0"/>
      <w:spacing w:line="0" w:lineRule="atLeast"/>
      <w:ind w:firstLine="200" w:firstLineChars="200"/>
      <w:jc w:val="center"/>
    </w:pPr>
    <w:rPr>
      <w:sz w:val="24"/>
      <w:szCs w:val="20"/>
    </w:rPr>
  </w:style>
  <w:style w:type="paragraph" w:customStyle="1" w:styleId="214">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15">
    <w:name w:val="MM Topic 3"/>
    <w:basedOn w:val="2"/>
    <w:qFormat/>
    <w:uiPriority w:val="0"/>
    <w:pPr>
      <w:tabs>
        <w:tab w:val="left" w:pos="1680"/>
        <w:tab w:val="clear" w:pos="900"/>
      </w:tabs>
      <w:adjustRightInd/>
      <w:ind w:left="1680" w:hanging="420"/>
    </w:pPr>
  </w:style>
  <w:style w:type="paragraph" w:customStyle="1" w:styleId="216">
    <w:name w:val="标准小四"/>
    <w:basedOn w:val="1"/>
    <w:qFormat/>
    <w:uiPriority w:val="0"/>
    <w:pPr>
      <w:spacing w:line="360" w:lineRule="auto"/>
      <w:ind w:firstLine="480" w:firstLineChars="200"/>
    </w:pPr>
    <w:rPr>
      <w:rFonts w:ascii="Arial" w:hAnsi="Arial"/>
      <w:sz w:val="24"/>
      <w:szCs w:val="21"/>
    </w:rPr>
  </w:style>
  <w:style w:type="paragraph" w:customStyle="1" w:styleId="217">
    <w:name w:val="样式 标题 2H2h2Underrubrik1prop2l2Chapter Titlesect 1.2DO NO..."/>
    <w:basedOn w:val="5"/>
    <w:qFormat/>
    <w:uiPriority w:val="0"/>
    <w:pPr>
      <w:spacing w:before="120" w:after="120"/>
      <w:ind w:left="425" w:hanging="425"/>
    </w:pPr>
    <w:rPr>
      <w:rFonts w:ascii="微软雅黑" w:hAnsi="微软雅黑" w:eastAsia="微软雅黑" w:cs="宋体"/>
      <w:szCs w:val="20"/>
      <w:lang w:val="en-US"/>
    </w:rPr>
  </w:style>
  <w:style w:type="paragraph" w:customStyle="1" w:styleId="218">
    <w:name w:val="表格（小）"/>
    <w:basedOn w:val="1"/>
    <w:qFormat/>
    <w:uiPriority w:val="0"/>
    <w:pPr>
      <w:adjustRightInd/>
      <w:snapToGrid w:val="0"/>
      <w:spacing w:line="300" w:lineRule="auto"/>
    </w:pPr>
    <w:rPr>
      <w:rFonts w:eastAsia="仿宋"/>
      <w:szCs w:val="21"/>
    </w:rPr>
  </w:style>
  <w:style w:type="paragraph" w:customStyle="1" w:styleId="219">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220">
    <w:name w:val="Char2 Char Char1"/>
    <w:basedOn w:val="1"/>
    <w:qFormat/>
    <w:uiPriority w:val="6"/>
    <w:pPr>
      <w:adjustRightInd/>
    </w:pPr>
    <w:rPr>
      <w:rFonts w:ascii="Tahoma" w:hAnsi="Tahoma"/>
      <w:sz w:val="24"/>
      <w:szCs w:val="20"/>
    </w:rPr>
  </w:style>
  <w:style w:type="paragraph" w:customStyle="1" w:styleId="221">
    <w:name w:val="列出段落5"/>
    <w:basedOn w:val="1"/>
    <w:qFormat/>
    <w:uiPriority w:val="0"/>
    <w:pPr>
      <w:spacing w:line="360" w:lineRule="auto"/>
      <w:ind w:firstLine="200" w:firstLineChars="200"/>
    </w:pPr>
    <w:rPr>
      <w:rFonts w:eastAsia="楷体_GB2312" w:cs="Lucida Sans"/>
      <w:sz w:val="24"/>
    </w:rPr>
  </w:style>
  <w:style w:type="paragraph" w:customStyle="1" w:styleId="222">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223">
    <w:name w:val="表格文字"/>
    <w:basedOn w:val="1"/>
    <w:next w:val="21"/>
    <w:qFormat/>
    <w:uiPriority w:val="0"/>
    <w:pPr>
      <w:adjustRightInd/>
      <w:ind w:firstLine="200" w:firstLineChars="200"/>
    </w:pPr>
    <w:rPr>
      <w:rFonts w:ascii="Arial" w:hAnsi="Arial"/>
      <w:spacing w:val="-5"/>
      <w:kern w:val="0"/>
      <w:sz w:val="24"/>
      <w:szCs w:val="20"/>
    </w:rPr>
  </w:style>
  <w:style w:type="paragraph" w:customStyle="1" w:styleId="224">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225">
    <w:name w:val="TOC 标题111"/>
    <w:basedOn w:val="4"/>
    <w:next w:val="1"/>
    <w:unhideWhenUsed/>
    <w:qFormat/>
    <w:uiPriority w:val="0"/>
    <w:pPr>
      <w:widowControl/>
      <w:adjustRightInd/>
      <w:spacing w:before="480" w:line="276" w:lineRule="auto"/>
      <w:jc w:val="left"/>
      <w:outlineLvl w:val="9"/>
    </w:pPr>
    <w:rPr>
      <w:rFonts w:ascii="Cambria" w:hAnsi="Cambria"/>
      <w:color w:val="365F91"/>
      <w:kern w:val="0"/>
      <w:sz w:val="28"/>
      <w:szCs w:val="28"/>
    </w:rPr>
  </w:style>
  <w:style w:type="paragraph" w:customStyle="1" w:styleId="226">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27">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228">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29">
    <w:name w:val="_Style 3"/>
    <w:basedOn w:val="1"/>
    <w:qFormat/>
    <w:uiPriority w:val="1"/>
    <w:pPr>
      <w:adjustRightInd/>
      <w:ind w:firstLine="420" w:firstLineChars="200"/>
    </w:pPr>
    <w:rPr>
      <w:rFonts w:eastAsia="仿宋_GB2312"/>
      <w:sz w:val="28"/>
    </w:rPr>
  </w:style>
  <w:style w:type="paragraph" w:customStyle="1" w:styleId="230">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31">
    <w:name w:val="Bulleting First Indent 1"/>
    <w:basedOn w:val="35"/>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32">
    <w:name w:val="左对齐表格文字"/>
    <w:basedOn w:val="1"/>
    <w:qFormat/>
    <w:uiPriority w:val="0"/>
    <w:pPr>
      <w:adjustRightInd/>
      <w:ind w:firstLine="200" w:firstLineChars="200"/>
      <w:jc w:val="right"/>
    </w:pPr>
  </w:style>
  <w:style w:type="paragraph" w:customStyle="1" w:styleId="233">
    <w:name w:val="Char Char11 Char Char Char Char Char Char Char Char Char"/>
    <w:basedOn w:val="1"/>
    <w:qFormat/>
    <w:uiPriority w:val="0"/>
    <w:pPr>
      <w:spacing w:line="360" w:lineRule="auto"/>
    </w:pPr>
    <w:rPr>
      <w:szCs w:val="20"/>
    </w:rPr>
  </w:style>
  <w:style w:type="paragraph" w:customStyle="1" w:styleId="234">
    <w:name w:val="正文1.25"/>
    <w:basedOn w:val="1"/>
    <w:qFormat/>
    <w:uiPriority w:val="0"/>
    <w:pPr>
      <w:adjustRightInd/>
      <w:spacing w:line="300" w:lineRule="auto"/>
      <w:ind w:firstLine="480" w:firstLineChars="200"/>
    </w:pPr>
    <w:rPr>
      <w:sz w:val="24"/>
      <w:szCs w:val="20"/>
    </w:rPr>
  </w:style>
  <w:style w:type="paragraph" w:customStyle="1" w:styleId="235">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236">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37">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38">
    <w:name w:val="Char Char1 Char Char Char1"/>
    <w:basedOn w:val="1"/>
    <w:qFormat/>
    <w:uiPriority w:val="6"/>
    <w:rPr>
      <w:rFonts w:ascii="仿宋_GB2312" w:eastAsia="仿宋_GB2312"/>
      <w:b/>
      <w:sz w:val="32"/>
      <w:szCs w:val="20"/>
    </w:rPr>
  </w:style>
  <w:style w:type="paragraph" w:customStyle="1" w:styleId="239">
    <w:name w:val="列出段落2"/>
    <w:basedOn w:val="1"/>
    <w:qFormat/>
    <w:uiPriority w:val="0"/>
    <w:pPr>
      <w:adjustRightInd/>
      <w:ind w:firstLine="420" w:firstLineChars="200"/>
    </w:pPr>
    <w:rPr>
      <w:rFonts w:ascii="宋体" w:hAnsi="宋体"/>
      <w:sz w:val="24"/>
    </w:rPr>
  </w:style>
  <w:style w:type="paragraph" w:customStyle="1" w:styleId="240">
    <w:name w:val="默认段落字体 Para Char Char Char Char Char Char Char"/>
    <w:basedOn w:val="1"/>
    <w:qFormat/>
    <w:uiPriority w:val="0"/>
    <w:rPr>
      <w:rFonts w:eastAsia="仿宋_GB2312"/>
      <w:sz w:val="28"/>
      <w:szCs w:val="20"/>
    </w:rPr>
  </w:style>
  <w:style w:type="paragraph" w:customStyle="1" w:styleId="241">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42">
    <w:name w:val="样式 标题 4PIM 4H4h4bulletblbbH41H42H43H44H45H46H47H48...1"/>
    <w:basedOn w:val="6"/>
    <w:qFormat/>
    <w:uiPriority w:val="0"/>
    <w:pPr>
      <w:widowControl/>
      <w:jc w:val="left"/>
    </w:pPr>
    <w:rPr>
      <w:rFonts w:cs="宋体"/>
      <w:sz w:val="24"/>
      <w:szCs w:val="20"/>
    </w:rPr>
  </w:style>
  <w:style w:type="paragraph" w:customStyle="1" w:styleId="243">
    <w:name w:val="彩色列表 - 强调文字颜色 11"/>
    <w:basedOn w:val="1"/>
    <w:qFormat/>
    <w:uiPriority w:val="0"/>
    <w:pPr>
      <w:adjustRightInd/>
      <w:ind w:firstLine="420" w:firstLineChars="200"/>
    </w:pPr>
    <w:rPr>
      <w:rFonts w:ascii="Calibri" w:hAnsi="Calibri"/>
      <w:szCs w:val="22"/>
    </w:rPr>
  </w:style>
  <w:style w:type="paragraph" w:customStyle="1" w:styleId="244">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245">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46">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247">
    <w:name w:val="Char Char Char1 Char1"/>
    <w:basedOn w:val="1"/>
    <w:qFormat/>
    <w:uiPriority w:val="6"/>
    <w:rPr>
      <w:szCs w:val="20"/>
    </w:rPr>
  </w:style>
  <w:style w:type="paragraph" w:customStyle="1" w:styleId="248">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49">
    <w:name w:val="样式 标题 2 + 宋体 左侧:  1.76 厘米 首行缩进:  0 厘米"/>
    <w:basedOn w:val="5"/>
    <w:qFormat/>
    <w:uiPriority w:val="0"/>
    <w:pPr>
      <w:tabs>
        <w:tab w:val="left" w:pos="0"/>
        <w:tab w:val="clear" w:pos="432"/>
      </w:tabs>
      <w:spacing w:before="260" w:after="260" w:line="415" w:lineRule="auto"/>
      <w:ind w:firstLine="200" w:firstLineChars="200"/>
      <w:jc w:val="both"/>
    </w:pPr>
    <w:rPr>
      <w:rFonts w:ascii="宋体" w:hAnsi="Cambria" w:cs="宋体"/>
      <w:szCs w:val="20"/>
      <w:lang w:val="en-US"/>
    </w:rPr>
  </w:style>
  <w:style w:type="paragraph" w:customStyle="1" w:styleId="250">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251">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252">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53">
    <w:name w:val="CM14"/>
    <w:basedOn w:val="105"/>
    <w:next w:val="105"/>
    <w:qFormat/>
    <w:uiPriority w:val="0"/>
    <w:pPr>
      <w:spacing w:after="68"/>
    </w:pPr>
    <w:rPr>
      <w:rFonts w:ascii="FHLHE E+ Futura Bk" w:eastAsia="FHLHE E+ Futura Bk" w:cs="Times New Roman"/>
      <w:color w:val="auto"/>
    </w:rPr>
  </w:style>
  <w:style w:type="paragraph" w:customStyle="1" w:styleId="254">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55">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56">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257">
    <w:name w:val="正文文字 2"/>
    <w:basedOn w:val="105"/>
    <w:next w:val="105"/>
    <w:qFormat/>
    <w:uiPriority w:val="0"/>
    <w:rPr>
      <w:rFonts w:ascii="宋体" w:eastAsia="宋体" w:cs="Times New Roman"/>
      <w:color w:val="auto"/>
    </w:rPr>
  </w:style>
  <w:style w:type="paragraph" w:customStyle="1" w:styleId="258">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59">
    <w:name w:val="Char Char1 Char"/>
    <w:basedOn w:val="1"/>
    <w:qFormat/>
    <w:uiPriority w:val="0"/>
    <w:rPr>
      <w:rFonts w:ascii="仿宋_GB2312" w:eastAsia="仿宋_GB2312"/>
      <w:b/>
      <w:sz w:val="32"/>
      <w:szCs w:val="32"/>
    </w:rPr>
  </w:style>
  <w:style w:type="paragraph" w:customStyle="1" w:styleId="260">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61">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262">
    <w:name w:val="Char Char111"/>
    <w:basedOn w:val="1"/>
    <w:qFormat/>
    <w:uiPriority w:val="0"/>
    <w:pPr>
      <w:spacing w:line="360" w:lineRule="auto"/>
    </w:pPr>
    <w:rPr>
      <w:szCs w:val="20"/>
    </w:rPr>
  </w:style>
  <w:style w:type="paragraph" w:customStyle="1" w:styleId="263">
    <w:name w:val="Char"/>
    <w:basedOn w:val="1"/>
    <w:qFormat/>
    <w:uiPriority w:val="0"/>
    <w:rPr>
      <w:rFonts w:ascii="仿宋_GB2312" w:eastAsia="仿宋_GB2312"/>
      <w:b/>
      <w:sz w:val="32"/>
      <w:szCs w:val="32"/>
    </w:rPr>
  </w:style>
  <w:style w:type="paragraph" w:customStyle="1" w:styleId="264">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65">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66">
    <w:name w:val="Char Char Char1 Char"/>
    <w:basedOn w:val="1"/>
    <w:qFormat/>
    <w:uiPriority w:val="0"/>
    <w:rPr>
      <w:szCs w:val="20"/>
    </w:rPr>
  </w:style>
  <w:style w:type="paragraph" w:customStyle="1" w:styleId="267">
    <w:name w:val="正文标准"/>
    <w:basedOn w:val="1"/>
    <w:qFormat/>
    <w:uiPriority w:val="0"/>
    <w:pPr>
      <w:adjustRightInd/>
      <w:spacing w:line="360" w:lineRule="auto"/>
      <w:ind w:firstLine="200" w:firstLineChars="200"/>
    </w:pPr>
    <w:rPr>
      <w:rFonts w:ascii="宋体" w:hAnsi="Calibri"/>
      <w:sz w:val="24"/>
    </w:rPr>
  </w:style>
  <w:style w:type="paragraph" w:customStyle="1" w:styleId="268">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69">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70">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71">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272">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73">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74">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275">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76">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77">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78">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79">
    <w:name w:val="标准有序列表（L1）"/>
    <w:basedOn w:val="21"/>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80">
    <w:name w:val="Char Char Char Char Char Char Char Char Char Char"/>
    <w:basedOn w:val="1"/>
    <w:qFormat/>
    <w:uiPriority w:val="0"/>
    <w:rPr>
      <w:rFonts w:ascii="仿宋_GB2312" w:eastAsia="仿宋_GB2312"/>
      <w:b/>
      <w:sz w:val="32"/>
      <w:szCs w:val="32"/>
    </w:rPr>
  </w:style>
  <w:style w:type="paragraph" w:customStyle="1" w:styleId="281">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82">
    <w:name w:val="_正文段落"/>
    <w:basedOn w:val="1"/>
    <w:qFormat/>
    <w:uiPriority w:val="0"/>
    <w:pPr>
      <w:adjustRightInd/>
      <w:ind w:firstLine="560"/>
    </w:pPr>
    <w:rPr>
      <w:rFonts w:ascii="仿宋_GB2312" w:hAnsi="仿宋" w:eastAsia="仿宋_GB2312"/>
      <w:kern w:val="0"/>
      <w:sz w:val="28"/>
      <w:szCs w:val="28"/>
    </w:rPr>
  </w:style>
  <w:style w:type="paragraph" w:customStyle="1" w:styleId="283">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284">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85">
    <w:name w:val="正文（首行缩进）"/>
    <w:basedOn w:val="36"/>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86">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87">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88">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89">
    <w:name w:val="Char Char Char1 Char2"/>
    <w:basedOn w:val="1"/>
    <w:qFormat/>
    <w:uiPriority w:val="0"/>
    <w:rPr>
      <w:szCs w:val="20"/>
    </w:rPr>
  </w:style>
  <w:style w:type="paragraph" w:customStyle="1" w:styleId="290">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91">
    <w:name w:val="默认段落字体 Para Char"/>
    <w:basedOn w:val="1"/>
    <w:qFormat/>
    <w:uiPriority w:val="0"/>
    <w:rPr>
      <w:rFonts w:ascii="Tahoma" w:hAnsi="Tahoma"/>
      <w:sz w:val="24"/>
      <w:szCs w:val="20"/>
    </w:rPr>
  </w:style>
  <w:style w:type="paragraph" w:customStyle="1" w:styleId="292">
    <w:name w:val="标题五"/>
    <w:basedOn w:val="1"/>
    <w:qFormat/>
    <w:uiPriority w:val="0"/>
    <w:pPr>
      <w:adjustRightInd/>
      <w:spacing w:before="156" w:beforeLines="50" w:line="360" w:lineRule="auto"/>
    </w:pPr>
    <w:rPr>
      <w:b/>
      <w:sz w:val="24"/>
    </w:rPr>
  </w:style>
  <w:style w:type="paragraph" w:customStyle="1" w:styleId="293">
    <w:name w:val="Char Char1101"/>
    <w:basedOn w:val="1"/>
    <w:qFormat/>
    <w:uiPriority w:val="0"/>
    <w:pPr>
      <w:spacing w:line="360" w:lineRule="auto"/>
    </w:pPr>
    <w:rPr>
      <w:rFonts w:ascii="Tahoma" w:hAnsi="Tahoma"/>
      <w:sz w:val="24"/>
      <w:szCs w:val="20"/>
    </w:rPr>
  </w:style>
  <w:style w:type="paragraph" w:customStyle="1" w:styleId="294">
    <w:name w:val="Char Char Char Char Char Char Char Char1"/>
    <w:basedOn w:val="1"/>
    <w:qFormat/>
    <w:uiPriority w:val="0"/>
    <w:pPr>
      <w:tabs>
        <w:tab w:val="left" w:pos="360"/>
      </w:tabs>
    </w:pPr>
    <w:rPr>
      <w:sz w:val="24"/>
      <w:szCs w:val="20"/>
    </w:rPr>
  </w:style>
  <w:style w:type="paragraph" w:customStyle="1" w:styleId="295">
    <w:name w:val="Char Char Char 字元 字元"/>
    <w:basedOn w:val="1"/>
    <w:qFormat/>
    <w:uiPriority w:val="0"/>
    <w:pPr>
      <w:adjustRightInd/>
      <w:spacing w:line="360" w:lineRule="auto"/>
      <w:ind w:firstLine="200" w:firstLineChars="200"/>
    </w:pPr>
    <w:rPr>
      <w:szCs w:val="20"/>
    </w:rPr>
  </w:style>
  <w:style w:type="paragraph" w:customStyle="1" w:styleId="296">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97">
    <w:name w:val="Char Char Char Char Char Char Char"/>
    <w:basedOn w:val="1"/>
    <w:qFormat/>
    <w:uiPriority w:val="0"/>
    <w:rPr>
      <w:rFonts w:ascii="仿宋_GB2312" w:eastAsia="仿宋_GB2312"/>
      <w:b/>
      <w:sz w:val="32"/>
      <w:szCs w:val="32"/>
    </w:rPr>
  </w:style>
  <w:style w:type="paragraph" w:customStyle="1" w:styleId="298">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99">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300">
    <w:name w:val="样式 标题 22h2L1 Heading 2H2sect 1.2H21sect 1.21H22sect 1.2..."/>
    <w:basedOn w:val="5"/>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301">
    <w:name w:val="样式6"/>
    <w:basedOn w:val="46"/>
    <w:qFormat/>
    <w:uiPriority w:val="0"/>
    <w:pPr>
      <w:spacing w:line="460" w:lineRule="exact"/>
      <w:outlineLvl w:val="2"/>
    </w:pPr>
    <w:rPr>
      <w:rFonts w:ascii="仿宋_GB2312" w:hAnsi="宋体" w:eastAsia="仿宋_GB2312"/>
      <w:b/>
      <w:bCs/>
      <w:sz w:val="24"/>
      <w:szCs w:val="24"/>
    </w:rPr>
  </w:style>
  <w:style w:type="paragraph" w:customStyle="1" w:styleId="302">
    <w:name w:val="批注框文本 Char Char"/>
    <w:basedOn w:val="1"/>
    <w:qFormat/>
    <w:uiPriority w:val="0"/>
    <w:pPr>
      <w:adjustRightInd/>
    </w:pPr>
    <w:rPr>
      <w:sz w:val="18"/>
      <w:szCs w:val="20"/>
    </w:rPr>
  </w:style>
  <w:style w:type="paragraph" w:customStyle="1" w:styleId="303">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304">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05">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306">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lang w:val="en-US" w:eastAsia="zh-CN" w:bidi="ar-SA"/>
    </w:rPr>
  </w:style>
  <w:style w:type="paragraph" w:customStyle="1" w:styleId="307">
    <w:name w:val="索引 11"/>
    <w:basedOn w:val="1"/>
    <w:next w:val="1"/>
    <w:qFormat/>
    <w:uiPriority w:val="99"/>
    <w:pPr>
      <w:adjustRightInd/>
      <w:spacing w:line="360" w:lineRule="auto"/>
    </w:pPr>
    <w:rPr>
      <w:rFonts w:ascii="仿宋_GB2312" w:eastAsia="仿宋_GB2312"/>
      <w:sz w:val="24"/>
      <w:szCs w:val="20"/>
    </w:rPr>
  </w:style>
  <w:style w:type="paragraph" w:customStyle="1" w:styleId="308">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09">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310">
    <w:name w:val="正文文字缩进项目"/>
    <w:basedOn w:val="36"/>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311">
    <w:name w:val="文档正文"/>
    <w:basedOn w:val="1"/>
    <w:qFormat/>
    <w:uiPriority w:val="0"/>
    <w:pPr>
      <w:spacing w:line="480" w:lineRule="atLeast"/>
      <w:ind w:firstLine="567"/>
      <w:textAlignment w:val="baseline"/>
    </w:pPr>
    <w:rPr>
      <w:kern w:val="0"/>
      <w:sz w:val="24"/>
      <w:szCs w:val="20"/>
    </w:rPr>
  </w:style>
  <w:style w:type="paragraph" w:customStyle="1" w:styleId="312">
    <w:name w:val="正文文字表格居中"/>
    <w:basedOn w:val="1"/>
    <w:next w:val="77"/>
    <w:qFormat/>
    <w:uiPriority w:val="0"/>
    <w:pPr>
      <w:snapToGrid w:val="0"/>
      <w:spacing w:line="360" w:lineRule="auto"/>
    </w:pPr>
    <w:rPr>
      <w:rFonts w:ascii="宋体"/>
      <w:b/>
      <w:sz w:val="24"/>
      <w:szCs w:val="20"/>
    </w:rPr>
  </w:style>
  <w:style w:type="paragraph" w:customStyle="1" w:styleId="313">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314">
    <w:name w:val="小节"/>
    <w:basedOn w:val="2"/>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315">
    <w:name w:val="Plain Text1"/>
    <w:basedOn w:val="1"/>
    <w:qFormat/>
    <w:uiPriority w:val="7"/>
    <w:pPr>
      <w:adjustRightInd/>
    </w:pPr>
    <w:rPr>
      <w:rFonts w:ascii="宋体" w:hAnsi="Courier New"/>
    </w:rPr>
  </w:style>
  <w:style w:type="paragraph" w:customStyle="1" w:styleId="316">
    <w:name w:val="Char3"/>
    <w:basedOn w:val="1"/>
    <w:qFormat/>
    <w:uiPriority w:val="0"/>
    <w:pPr>
      <w:adjustRightInd/>
    </w:pPr>
    <w:rPr>
      <w:rFonts w:ascii="仿宋_GB2312" w:eastAsia="仿宋_GB2312"/>
      <w:b/>
      <w:sz w:val="32"/>
      <w:szCs w:val="32"/>
    </w:rPr>
  </w:style>
  <w:style w:type="paragraph" w:customStyle="1" w:styleId="317">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18">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319">
    <w:name w:val="标题2"/>
    <w:basedOn w:val="5"/>
    <w:next w:val="1"/>
    <w:qFormat/>
    <w:uiPriority w:val="0"/>
    <w:pPr>
      <w:tabs>
        <w:tab w:val="left" w:pos="578"/>
        <w:tab w:val="left" w:pos="900"/>
        <w:tab w:val="left" w:pos="1440"/>
        <w:tab w:val="clear" w:pos="432"/>
      </w:tabs>
      <w:ind w:left="1440" w:hanging="360"/>
    </w:pPr>
    <w:rPr>
      <w:rFonts w:ascii="仿宋" w:eastAsia="仿宋" w:cs="宋体"/>
      <w:szCs w:val="28"/>
    </w:rPr>
  </w:style>
  <w:style w:type="paragraph" w:customStyle="1" w:styleId="320">
    <w:name w:val="List Paragraph1"/>
    <w:basedOn w:val="1"/>
    <w:qFormat/>
    <w:uiPriority w:val="34"/>
    <w:pPr>
      <w:spacing w:line="360" w:lineRule="auto"/>
      <w:ind w:firstLine="200" w:firstLineChars="200"/>
    </w:pPr>
    <w:rPr>
      <w:rFonts w:eastAsia="楷体_GB2312" w:cs="Lucida Sans"/>
      <w:sz w:val="24"/>
    </w:rPr>
  </w:style>
  <w:style w:type="paragraph" w:customStyle="1" w:styleId="321">
    <w:name w:val="样式 标题 3标题 3 Char第二层条h33Bold Headbh章标题1小标题level_3PIM 3..."/>
    <w:basedOn w:val="2"/>
    <w:qFormat/>
    <w:uiPriority w:val="0"/>
    <w:rPr>
      <w:rFonts w:ascii="黑体" w:hAnsi="宋体" w:eastAsia="黑体" w:cs="宋体"/>
      <w:b w:val="0"/>
      <w:bCs w:val="0"/>
      <w:color w:val="000000"/>
      <w:kern w:val="0"/>
      <w:sz w:val="28"/>
      <w:szCs w:val="20"/>
    </w:rPr>
  </w:style>
  <w:style w:type="paragraph" w:customStyle="1" w:styleId="322">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23">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324">
    <w:name w:val="Char3 Char Char Char"/>
    <w:basedOn w:val="1"/>
    <w:qFormat/>
    <w:uiPriority w:val="0"/>
    <w:pPr>
      <w:widowControl/>
      <w:adjustRightInd/>
      <w:spacing w:after="160" w:line="240" w:lineRule="exact"/>
      <w:jc w:val="left"/>
    </w:pPr>
    <w:rPr>
      <w:szCs w:val="20"/>
    </w:rPr>
  </w:style>
  <w:style w:type="paragraph" w:customStyle="1" w:styleId="325">
    <w:name w:val="表格标题2"/>
    <w:basedOn w:val="326"/>
    <w:qFormat/>
    <w:uiPriority w:val="0"/>
    <w:rPr>
      <w:b/>
    </w:rPr>
  </w:style>
  <w:style w:type="paragraph" w:customStyle="1" w:styleId="326">
    <w:name w:val="表格内文"/>
    <w:basedOn w:val="1"/>
    <w:qFormat/>
    <w:uiPriority w:val="0"/>
    <w:pPr>
      <w:adjustRightInd/>
      <w:spacing w:line="360" w:lineRule="auto"/>
    </w:pPr>
    <w:rPr>
      <w:rFonts w:ascii="宋体" w:hAnsi="宋体" w:cs="宋体"/>
      <w:color w:val="000000"/>
      <w:szCs w:val="20"/>
    </w:rPr>
  </w:style>
  <w:style w:type="paragraph" w:customStyle="1" w:styleId="327">
    <w:name w:val="Char Char Char Char Char Char Char Char Char Char2"/>
    <w:basedOn w:val="1"/>
    <w:qFormat/>
    <w:uiPriority w:val="0"/>
    <w:rPr>
      <w:rFonts w:ascii="仿宋_GB2312" w:eastAsia="仿宋_GB2312"/>
      <w:b/>
      <w:sz w:val="32"/>
      <w:szCs w:val="32"/>
    </w:rPr>
  </w:style>
  <w:style w:type="paragraph" w:customStyle="1" w:styleId="328">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29">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30">
    <w:name w:val="Char Char11 Char Char Char Char Char Char Char Char Char11"/>
    <w:basedOn w:val="1"/>
    <w:qFormat/>
    <w:uiPriority w:val="0"/>
    <w:pPr>
      <w:spacing w:line="360" w:lineRule="auto"/>
    </w:pPr>
    <w:rPr>
      <w:szCs w:val="20"/>
    </w:rPr>
  </w:style>
  <w:style w:type="paragraph" w:customStyle="1" w:styleId="331">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332">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333">
    <w:name w:val="MM Topic 1"/>
    <w:basedOn w:val="4"/>
    <w:qFormat/>
    <w:uiPriority w:val="0"/>
    <w:pPr>
      <w:tabs>
        <w:tab w:val="left" w:pos="840"/>
        <w:tab w:val="clear" w:pos="432"/>
      </w:tabs>
      <w:adjustRightInd/>
      <w:ind w:left="840" w:hanging="420"/>
    </w:pPr>
  </w:style>
  <w:style w:type="paragraph" w:customStyle="1" w:styleId="334">
    <w:name w:val="样式 标题 2标题2H2Heading 2 HiddenHeading 2 CCBSheading 22nd lev..."/>
    <w:basedOn w:val="5"/>
    <w:qFormat/>
    <w:uiPriority w:val="0"/>
    <w:pPr>
      <w:widowControl/>
      <w:spacing w:before="260" w:after="260" w:line="416" w:lineRule="auto"/>
    </w:pPr>
    <w:rPr>
      <w:rFonts w:ascii="Arial" w:hAnsi="Arial" w:eastAsia="黑体"/>
      <w:sz w:val="30"/>
      <w:szCs w:val="21"/>
    </w:rPr>
  </w:style>
  <w:style w:type="paragraph" w:customStyle="1" w:styleId="335">
    <w:name w:val="文本正文 Char"/>
    <w:basedOn w:val="1"/>
    <w:qFormat/>
    <w:uiPriority w:val="0"/>
    <w:pPr>
      <w:spacing w:line="360" w:lineRule="auto"/>
      <w:ind w:firstLine="200" w:firstLineChars="200"/>
    </w:pPr>
    <w:rPr>
      <w:kern w:val="0"/>
      <w:sz w:val="24"/>
      <w:szCs w:val="20"/>
    </w:rPr>
  </w:style>
  <w:style w:type="paragraph" w:customStyle="1" w:styleId="336">
    <w:name w:val="表格"/>
    <w:basedOn w:val="1"/>
    <w:qFormat/>
    <w:uiPriority w:val="0"/>
    <w:pPr>
      <w:snapToGrid w:val="0"/>
      <w:ind w:firstLine="42" w:firstLineChars="21"/>
    </w:pPr>
    <w:rPr>
      <w:rFonts w:ascii="宋体" w:hAnsi="宋体"/>
      <w:kern w:val="0"/>
      <w:sz w:val="20"/>
      <w:szCs w:val="20"/>
    </w:rPr>
  </w:style>
  <w:style w:type="paragraph" w:customStyle="1" w:styleId="337">
    <w:name w:val="标书标题4"/>
    <w:basedOn w:val="6"/>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38">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339">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40">
    <w:name w:val="表格项目符号 2"/>
    <w:basedOn w:val="41"/>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41">
    <w:name w:val="EB_表格"/>
    <w:basedOn w:val="1"/>
    <w:qFormat/>
    <w:uiPriority w:val="0"/>
    <w:pPr>
      <w:adjustRightInd/>
      <w:spacing w:line="300" w:lineRule="auto"/>
      <w:jc w:val="center"/>
    </w:pPr>
  </w:style>
  <w:style w:type="paragraph" w:customStyle="1" w:styleId="342">
    <w:name w:val="_Style 6"/>
    <w:basedOn w:val="1"/>
    <w:qFormat/>
    <w:uiPriority w:val="34"/>
    <w:pPr>
      <w:adjustRightInd/>
      <w:ind w:firstLine="420" w:firstLineChars="200"/>
    </w:pPr>
    <w:rPr>
      <w:rFonts w:eastAsia="仿宋_GB2312"/>
      <w:sz w:val="28"/>
    </w:rPr>
  </w:style>
  <w:style w:type="paragraph" w:customStyle="1" w:styleId="343">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44">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45">
    <w:name w:val="!大节"/>
    <w:basedOn w:val="5"/>
    <w:qFormat/>
    <w:uiPriority w:val="0"/>
    <w:pPr>
      <w:spacing w:before="260" w:after="260" w:line="415" w:lineRule="auto"/>
      <w:ind w:left="420" w:hanging="420"/>
    </w:pPr>
    <w:rPr>
      <w:rFonts w:ascii="Arial" w:hAnsi="Arial" w:eastAsia="微软雅黑"/>
      <w:lang w:val="en-US"/>
    </w:rPr>
  </w:style>
  <w:style w:type="paragraph" w:customStyle="1" w:styleId="346">
    <w:name w:val="正文文本 22"/>
    <w:basedOn w:val="1"/>
    <w:qFormat/>
    <w:uiPriority w:val="0"/>
    <w:pPr>
      <w:widowControl/>
      <w:overflowPunct w:val="0"/>
      <w:autoSpaceDE w:val="0"/>
      <w:autoSpaceDN w:val="0"/>
      <w:ind w:left="720" w:hanging="720"/>
      <w:textAlignment w:val="baseline"/>
    </w:pPr>
    <w:rPr>
      <w:kern w:val="0"/>
      <w:sz w:val="24"/>
      <w:szCs w:val="20"/>
    </w:rPr>
  </w:style>
  <w:style w:type="paragraph" w:customStyle="1" w:styleId="347">
    <w:name w:val="正文表标题"/>
    <w:next w:val="348"/>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48">
    <w:name w:val="段"/>
    <w:link w:val="1131"/>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49">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350">
    <w:name w:val="trademark"/>
    <w:qFormat/>
    <w:uiPriority w:val="0"/>
    <w:pPr>
      <w:spacing w:after="60"/>
    </w:pPr>
    <w:rPr>
      <w:rFonts w:ascii="Futura Bk" w:hAnsi="Futura Bk" w:eastAsia="宋体" w:cs="Times New Roman"/>
      <w:sz w:val="15"/>
      <w:lang w:val="en-US" w:eastAsia="en-US" w:bidi="ar-SA"/>
    </w:rPr>
  </w:style>
  <w:style w:type="paragraph" w:customStyle="1" w:styleId="351">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52">
    <w:name w:val="Char Char1 Char Char Char Char Char Char1"/>
    <w:basedOn w:val="1"/>
    <w:qFormat/>
    <w:uiPriority w:val="0"/>
    <w:rPr>
      <w:rFonts w:ascii="仿宋_GB2312" w:eastAsia="仿宋_GB2312"/>
      <w:b/>
      <w:sz w:val="32"/>
      <w:szCs w:val="20"/>
    </w:rPr>
  </w:style>
  <w:style w:type="paragraph" w:customStyle="1" w:styleId="353">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354">
    <w:name w:val="Char1 Char Char Char1"/>
    <w:basedOn w:val="1"/>
    <w:qFormat/>
    <w:uiPriority w:val="0"/>
    <w:pPr>
      <w:adjustRightInd/>
      <w:ind w:firstLine="200" w:firstLineChars="200"/>
    </w:pPr>
    <w:rPr>
      <w:rFonts w:ascii="Tahoma" w:hAnsi="Tahoma"/>
      <w:sz w:val="24"/>
      <w:szCs w:val="20"/>
    </w:rPr>
  </w:style>
  <w:style w:type="paragraph" w:customStyle="1" w:styleId="355">
    <w:name w:val="a1"/>
    <w:basedOn w:val="1"/>
    <w:qFormat/>
    <w:uiPriority w:val="0"/>
    <w:pPr>
      <w:widowControl/>
      <w:spacing w:line="300" w:lineRule="atLeast"/>
      <w:jc w:val="left"/>
    </w:pPr>
    <w:rPr>
      <w:rFonts w:ascii="宋体" w:hAnsi="宋体"/>
      <w:kern w:val="0"/>
      <w:sz w:val="18"/>
      <w:szCs w:val="20"/>
    </w:rPr>
  </w:style>
  <w:style w:type="paragraph" w:customStyle="1" w:styleId="356">
    <w:name w:val="样式7"/>
    <w:basedOn w:val="357"/>
    <w:next w:val="1"/>
    <w:qFormat/>
    <w:uiPriority w:val="0"/>
    <w:pPr>
      <w:spacing w:after="156" w:afterLines="50"/>
      <w:jc w:val="left"/>
      <w:outlineLvl w:val="3"/>
    </w:pPr>
    <w:rPr>
      <w:sz w:val="24"/>
      <w:szCs w:val="24"/>
    </w:rPr>
  </w:style>
  <w:style w:type="paragraph" w:customStyle="1" w:styleId="357">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58">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59">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60">
    <w:name w:val="样式 样式2 + 左侧:  1 字符 右侧:  1 字符"/>
    <w:basedOn w:val="168"/>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61">
    <w:name w:val="Char2 Char Char2"/>
    <w:basedOn w:val="1"/>
    <w:qFormat/>
    <w:uiPriority w:val="0"/>
    <w:pPr>
      <w:adjustRightInd/>
    </w:pPr>
    <w:rPr>
      <w:rFonts w:ascii="Tahoma" w:hAnsi="Tahoma"/>
      <w:sz w:val="24"/>
      <w:szCs w:val="20"/>
    </w:rPr>
  </w:style>
  <w:style w:type="paragraph" w:customStyle="1" w:styleId="362">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63">
    <w:name w:val="三级条标题"/>
    <w:basedOn w:val="364"/>
    <w:next w:val="348"/>
    <w:qFormat/>
    <w:uiPriority w:val="0"/>
    <w:pPr>
      <w:tabs>
        <w:tab w:val="left" w:pos="1260"/>
        <w:tab w:val="left" w:pos="1680"/>
        <w:tab w:val="left" w:pos="2100"/>
        <w:tab w:val="left" w:pos="2520"/>
      </w:tabs>
      <w:ind w:left="2520"/>
      <w:outlineLvl w:val="4"/>
    </w:pPr>
  </w:style>
  <w:style w:type="paragraph" w:customStyle="1" w:styleId="364">
    <w:name w:val="二级条标题"/>
    <w:basedOn w:val="365"/>
    <w:next w:val="348"/>
    <w:qFormat/>
    <w:uiPriority w:val="0"/>
    <w:pPr>
      <w:tabs>
        <w:tab w:val="left" w:pos="1260"/>
        <w:tab w:val="left" w:pos="1680"/>
        <w:tab w:val="left" w:pos="2100"/>
      </w:tabs>
      <w:ind w:left="0"/>
      <w:outlineLvl w:val="3"/>
    </w:pPr>
  </w:style>
  <w:style w:type="paragraph" w:customStyle="1" w:styleId="365">
    <w:name w:val="一级条标题"/>
    <w:basedOn w:val="366"/>
    <w:next w:val="348"/>
    <w:link w:val="1102"/>
    <w:qFormat/>
    <w:uiPriority w:val="0"/>
    <w:pPr>
      <w:tabs>
        <w:tab w:val="left" w:pos="1260"/>
        <w:tab w:val="left" w:pos="1680"/>
      </w:tabs>
      <w:spacing w:before="0" w:beforeLines="0" w:after="0" w:afterLines="0"/>
      <w:ind w:left="1680"/>
      <w:outlineLvl w:val="2"/>
    </w:pPr>
  </w:style>
  <w:style w:type="paragraph" w:customStyle="1" w:styleId="366">
    <w:name w:val="章标题"/>
    <w:next w:val="348"/>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367">
    <w:name w:val="数字标题2"/>
    <w:basedOn w:val="5"/>
    <w:next w:val="1"/>
    <w:qFormat/>
    <w:uiPriority w:val="0"/>
    <w:pPr>
      <w:tabs>
        <w:tab w:val="left" w:pos="480"/>
        <w:tab w:val="clear" w:pos="432"/>
      </w:tabs>
      <w:ind w:left="480" w:hanging="480"/>
    </w:pPr>
    <w:rPr>
      <w:rFonts w:ascii="Times New Roman"/>
      <w:i/>
      <w:sz w:val="36"/>
      <w:szCs w:val="36"/>
      <w:lang w:val="en-US"/>
    </w:rPr>
  </w:style>
  <w:style w:type="paragraph" w:customStyle="1" w:styleId="368">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69">
    <w:name w:val="样式 标题 1Level 1 HeadPIM 1Section Headh1l11Heading 0Datash..."/>
    <w:basedOn w:val="4"/>
    <w:qFormat/>
    <w:uiPriority w:val="0"/>
    <w:pPr>
      <w:widowControl/>
      <w:overflowPunct w:val="0"/>
      <w:autoSpaceDE w:val="0"/>
      <w:autoSpaceDN w:val="0"/>
      <w:spacing w:after="100"/>
      <w:jc w:val="left"/>
      <w:textAlignment w:val="baseline"/>
    </w:pPr>
    <w:rPr>
      <w:rFonts w:ascii="宋体" w:hAnsi="宋体"/>
      <w:kern w:val="2"/>
      <w:sz w:val="24"/>
      <w:szCs w:val="20"/>
    </w:rPr>
  </w:style>
  <w:style w:type="paragraph" w:customStyle="1" w:styleId="370">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71">
    <w:name w:val="样式 标题 1章节第一层h1H"/>
    <w:basedOn w:val="4"/>
    <w:qFormat/>
    <w:uiPriority w:val="0"/>
    <w:pPr>
      <w:autoSpaceDE w:val="0"/>
      <w:autoSpaceDN w:val="0"/>
      <w:spacing w:line="240" w:lineRule="auto"/>
      <w:jc w:val="left"/>
      <w:outlineLvl w:val="9"/>
    </w:pPr>
    <w:rPr>
      <w:kern w:val="0"/>
      <w:sz w:val="52"/>
      <w:szCs w:val="52"/>
      <w:lang w:val="zh-CN"/>
    </w:rPr>
  </w:style>
  <w:style w:type="paragraph" w:customStyle="1" w:styleId="372">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73">
    <w:name w:val="正文 项目2"/>
    <w:basedOn w:val="374"/>
    <w:qFormat/>
    <w:uiPriority w:val="0"/>
    <w:pPr>
      <w:tabs>
        <w:tab w:val="left" w:pos="840"/>
      </w:tabs>
      <w:spacing w:after="0"/>
      <w:ind w:left="900"/>
    </w:pPr>
  </w:style>
  <w:style w:type="paragraph" w:customStyle="1" w:styleId="374">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75">
    <w:name w:val="Body Text 2*"/>
    <w:basedOn w:val="1"/>
    <w:qFormat/>
    <w:uiPriority w:val="6"/>
    <w:pPr>
      <w:widowControl/>
      <w:adjustRightInd/>
      <w:ind w:left="720" w:hanging="720"/>
    </w:pPr>
    <w:rPr>
      <w:color w:val="000000"/>
      <w:kern w:val="0"/>
      <w:sz w:val="24"/>
      <w:szCs w:val="20"/>
    </w:rPr>
  </w:style>
  <w:style w:type="paragraph" w:customStyle="1" w:styleId="376">
    <w:name w:val="表1"/>
    <w:basedOn w:val="1"/>
    <w:qFormat/>
    <w:uiPriority w:val="0"/>
    <w:pPr>
      <w:tabs>
        <w:tab w:val="left" w:pos="703"/>
      </w:tabs>
      <w:adjustRightInd/>
      <w:spacing w:line="360" w:lineRule="auto"/>
      <w:ind w:left="703"/>
      <w:jc w:val="center"/>
    </w:pPr>
  </w:style>
  <w:style w:type="paragraph" w:customStyle="1" w:styleId="377">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78">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379">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380">
    <w:name w:val="2级标题"/>
    <w:basedOn w:val="381"/>
    <w:qFormat/>
    <w:uiPriority w:val="0"/>
    <w:pPr>
      <w:jc w:val="left"/>
      <w:outlineLvl w:val="1"/>
    </w:pPr>
    <w:rPr>
      <w:rFonts w:ascii="Times New Roman" w:hAnsi="Times New Roman" w:eastAsia="仿宋"/>
      <w:sz w:val="30"/>
    </w:rPr>
  </w:style>
  <w:style w:type="paragraph" w:customStyle="1" w:styleId="381">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382">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83">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84">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85">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86">
    <w:name w:val="bullet"/>
    <w:basedOn w:val="1"/>
    <w:qFormat/>
    <w:uiPriority w:val="0"/>
    <w:pPr>
      <w:tabs>
        <w:tab w:val="left" w:pos="840"/>
      </w:tabs>
      <w:adjustRightInd/>
      <w:ind w:left="840" w:hanging="420"/>
    </w:pPr>
  </w:style>
  <w:style w:type="paragraph" w:customStyle="1" w:styleId="387">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88">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89">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90">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91">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92">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93">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94">
    <w:name w:val="MM Topic 4"/>
    <w:basedOn w:val="6"/>
    <w:qFormat/>
    <w:uiPriority w:val="0"/>
    <w:pPr>
      <w:tabs>
        <w:tab w:val="left" w:pos="2100"/>
        <w:tab w:val="clear" w:pos="864"/>
      </w:tabs>
      <w:adjustRightInd/>
      <w:ind w:left="2100" w:hanging="420"/>
    </w:pPr>
    <w:rPr>
      <w:lang w:val="en-US"/>
    </w:rPr>
  </w:style>
  <w:style w:type="paragraph" w:customStyle="1" w:styleId="395">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396">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lang w:val="en-US" w:eastAsia="zh-CN" w:bidi="ar-SA"/>
    </w:rPr>
  </w:style>
  <w:style w:type="paragraph" w:customStyle="1" w:styleId="397">
    <w:name w:val="Char Char11 Char Char Char Char Char Char Char Char Char1"/>
    <w:basedOn w:val="1"/>
    <w:qFormat/>
    <w:uiPriority w:val="6"/>
    <w:pPr>
      <w:spacing w:line="360" w:lineRule="auto"/>
    </w:pPr>
    <w:rPr>
      <w:szCs w:val="20"/>
    </w:rPr>
  </w:style>
  <w:style w:type="paragraph" w:customStyle="1" w:styleId="398">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399">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400">
    <w:name w:val="body text bold"/>
    <w:basedOn w:val="34"/>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401">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402">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403">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404">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05">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6">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407">
    <w:name w:val="单元格居中"/>
    <w:basedOn w:val="1"/>
    <w:qFormat/>
    <w:uiPriority w:val="0"/>
    <w:pPr>
      <w:adjustRightInd/>
      <w:spacing w:line="360" w:lineRule="auto"/>
      <w:jc w:val="center"/>
    </w:pPr>
    <w:rPr>
      <w:sz w:val="24"/>
    </w:rPr>
  </w:style>
  <w:style w:type="paragraph" w:customStyle="1" w:styleId="408">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409">
    <w:name w:val="Char Char Char Char Char Char Char1"/>
    <w:basedOn w:val="1"/>
    <w:qFormat/>
    <w:uiPriority w:val="6"/>
    <w:rPr>
      <w:rFonts w:ascii="仿宋_GB2312" w:eastAsia="仿宋_GB2312"/>
      <w:b/>
      <w:sz w:val="32"/>
      <w:szCs w:val="32"/>
    </w:rPr>
  </w:style>
  <w:style w:type="paragraph" w:customStyle="1" w:styleId="410">
    <w:name w:val="正文缩进1"/>
    <w:basedOn w:val="1"/>
    <w:next w:val="36"/>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411">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412">
    <w:name w:val="Char3 Char Char Char11"/>
    <w:basedOn w:val="1"/>
    <w:qFormat/>
    <w:uiPriority w:val="0"/>
    <w:pPr>
      <w:widowControl/>
      <w:adjustRightInd/>
      <w:spacing w:after="160" w:line="240" w:lineRule="exact"/>
      <w:jc w:val="left"/>
    </w:pPr>
    <w:rPr>
      <w:szCs w:val="20"/>
    </w:rPr>
  </w:style>
  <w:style w:type="paragraph" w:customStyle="1" w:styleId="413">
    <w:name w:val="Char Char1121"/>
    <w:basedOn w:val="1"/>
    <w:qFormat/>
    <w:uiPriority w:val="0"/>
    <w:pPr>
      <w:spacing w:line="360" w:lineRule="auto"/>
    </w:pPr>
    <w:rPr>
      <w:szCs w:val="20"/>
    </w:rPr>
  </w:style>
  <w:style w:type="paragraph" w:customStyle="1" w:styleId="414">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415">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lang w:val="en-US" w:eastAsia="zh-CN" w:bidi="ar-SA"/>
    </w:rPr>
  </w:style>
  <w:style w:type="paragraph" w:customStyle="1" w:styleId="416">
    <w:name w:val="Normal0"/>
    <w:qFormat/>
    <w:uiPriority w:val="0"/>
    <w:rPr>
      <w:rFonts w:ascii="Times New Roman" w:hAnsi="Times New Roman" w:eastAsia="宋体" w:cs="Times New Roman"/>
      <w:lang w:val="en-US" w:eastAsia="en-US" w:bidi="ar-SA"/>
    </w:rPr>
  </w:style>
  <w:style w:type="paragraph" w:customStyle="1" w:styleId="417">
    <w:name w:val="带编号样式"/>
    <w:basedOn w:val="335"/>
    <w:qFormat/>
    <w:uiPriority w:val="0"/>
    <w:pPr>
      <w:tabs>
        <w:tab w:val="left" w:pos="840"/>
      </w:tabs>
      <w:snapToGrid w:val="0"/>
      <w:ind w:left="840" w:hanging="420" w:firstLineChars="0"/>
    </w:pPr>
    <w:rPr>
      <w:rFonts w:ascii="仿宋_GB2312" w:eastAsia="仿宋_GB2312"/>
      <w:color w:val="000000"/>
    </w:rPr>
  </w:style>
  <w:style w:type="paragraph" w:customStyle="1" w:styleId="418">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19">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420">
    <w:name w:val="封面"/>
    <w:basedOn w:val="1"/>
    <w:qFormat/>
    <w:uiPriority w:val="0"/>
    <w:pPr>
      <w:spacing w:line="360" w:lineRule="atLeast"/>
      <w:jc w:val="right"/>
      <w:textAlignment w:val="baseline"/>
    </w:pPr>
    <w:rPr>
      <w:rFonts w:ascii="Symbol" w:hAnsi="Symbol"/>
      <w:kern w:val="0"/>
      <w:szCs w:val="20"/>
    </w:rPr>
  </w:style>
  <w:style w:type="paragraph" w:customStyle="1" w:styleId="421">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422">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423">
    <w:name w:val="默认段落字体 Para Char Char Char1 Char"/>
    <w:basedOn w:val="1"/>
    <w:qFormat/>
    <w:uiPriority w:val="0"/>
    <w:pPr>
      <w:spacing w:line="240" w:lineRule="atLeast"/>
      <w:ind w:left="420" w:firstLine="420"/>
    </w:pPr>
    <w:rPr>
      <w:sz w:val="24"/>
    </w:rPr>
  </w:style>
  <w:style w:type="paragraph" w:customStyle="1" w:styleId="424">
    <w:name w:val="WW-正文文字缩进 2"/>
    <w:basedOn w:val="1"/>
    <w:qFormat/>
    <w:uiPriority w:val="0"/>
    <w:pPr>
      <w:suppressAutoHyphens/>
      <w:adjustRightInd/>
      <w:ind w:firstLine="420"/>
    </w:pPr>
    <w:rPr>
      <w:kern w:val="1"/>
      <w:szCs w:val="20"/>
    </w:rPr>
  </w:style>
  <w:style w:type="paragraph" w:customStyle="1" w:styleId="425">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26">
    <w:name w:val="样式 标题 2 + 四号"/>
    <w:basedOn w:val="5"/>
    <w:qFormat/>
    <w:uiPriority w:val="0"/>
    <w:pPr>
      <w:spacing w:before="120" w:after="120"/>
      <w:jc w:val="both"/>
    </w:pPr>
    <w:rPr>
      <w:rFonts w:ascii="宋体" w:hAnsi="Arial"/>
      <w:lang w:val="en-US"/>
    </w:rPr>
  </w:style>
  <w:style w:type="paragraph" w:customStyle="1" w:styleId="427">
    <w:name w:val="有符号正文"/>
    <w:basedOn w:val="1"/>
    <w:qFormat/>
    <w:uiPriority w:val="0"/>
    <w:pPr>
      <w:adjustRightInd/>
      <w:spacing w:line="400" w:lineRule="exact"/>
      <w:ind w:firstLine="200" w:firstLineChars="200"/>
    </w:pPr>
    <w:rPr>
      <w:rFonts w:ascii="Arial" w:hAnsi="Arial"/>
    </w:rPr>
  </w:style>
  <w:style w:type="paragraph" w:customStyle="1" w:styleId="428">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29">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430">
    <w:name w:val="4"/>
    <w:basedOn w:val="1"/>
    <w:next w:val="52"/>
    <w:qFormat/>
    <w:uiPriority w:val="0"/>
    <w:pPr>
      <w:spacing w:after="120" w:line="480" w:lineRule="auto"/>
      <w:ind w:left="420" w:leftChars="200"/>
    </w:pPr>
    <w:rPr>
      <w:sz w:val="24"/>
      <w:szCs w:val="20"/>
    </w:rPr>
  </w:style>
  <w:style w:type="paragraph" w:customStyle="1" w:styleId="431">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32">
    <w:name w:val="样式1"/>
    <w:basedOn w:val="1"/>
    <w:link w:val="1098"/>
    <w:qFormat/>
    <w:uiPriority w:val="0"/>
    <w:pPr>
      <w:widowControl/>
      <w:tabs>
        <w:tab w:val="left" w:pos="1212"/>
        <w:tab w:val="left" w:pos="3888"/>
      </w:tabs>
      <w:snapToGrid w:val="0"/>
      <w:spacing w:line="360" w:lineRule="auto"/>
      <w:jc w:val="left"/>
    </w:pPr>
    <w:rPr>
      <w:rFonts w:ascii="宋体" w:hAnsi="宋体"/>
      <w:b/>
      <w:kern w:val="0"/>
      <w:sz w:val="24"/>
      <w:szCs w:val="20"/>
    </w:rPr>
  </w:style>
  <w:style w:type="paragraph" w:customStyle="1" w:styleId="433">
    <w:name w:val="样式 标题 3H3 + 两端对齐"/>
    <w:basedOn w:val="2"/>
    <w:qFormat/>
    <w:uiPriority w:val="0"/>
    <w:pPr>
      <w:spacing w:line="240" w:lineRule="auto"/>
      <w:jc w:val="left"/>
    </w:pPr>
    <w:rPr>
      <w:rFonts w:cs="宋体"/>
      <w:sz w:val="21"/>
      <w:szCs w:val="20"/>
    </w:rPr>
  </w:style>
  <w:style w:type="paragraph" w:customStyle="1" w:styleId="434">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435">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436">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37">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438">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39">
    <w:name w:val="Char Char1 Char Char Char"/>
    <w:basedOn w:val="1"/>
    <w:qFormat/>
    <w:uiPriority w:val="0"/>
    <w:rPr>
      <w:rFonts w:ascii="仿宋_GB2312" w:eastAsia="仿宋_GB2312"/>
      <w:b/>
      <w:sz w:val="32"/>
      <w:szCs w:val="20"/>
    </w:rPr>
  </w:style>
  <w:style w:type="paragraph" w:customStyle="1" w:styleId="440">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441">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42">
    <w:name w:val="Picture"/>
    <w:basedOn w:val="1"/>
    <w:next w:val="22"/>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43">
    <w:name w:val="Char Char1 Char Char Char2"/>
    <w:basedOn w:val="1"/>
    <w:qFormat/>
    <w:uiPriority w:val="0"/>
    <w:rPr>
      <w:rFonts w:ascii="仿宋_GB2312" w:eastAsia="仿宋_GB2312"/>
      <w:b/>
      <w:sz w:val="32"/>
      <w:szCs w:val="32"/>
    </w:rPr>
  </w:style>
  <w:style w:type="paragraph" w:customStyle="1" w:styleId="444">
    <w:name w:val="Char3 Char Char Char1"/>
    <w:basedOn w:val="1"/>
    <w:qFormat/>
    <w:uiPriority w:val="6"/>
    <w:pPr>
      <w:widowControl/>
      <w:adjustRightInd/>
      <w:spacing w:after="160" w:line="240" w:lineRule="exact"/>
      <w:jc w:val="left"/>
    </w:pPr>
    <w:rPr>
      <w:szCs w:val="20"/>
    </w:rPr>
  </w:style>
  <w:style w:type="paragraph" w:customStyle="1" w:styleId="445">
    <w:name w:val="Char1 Char Char Char21"/>
    <w:basedOn w:val="1"/>
    <w:qFormat/>
    <w:uiPriority w:val="0"/>
    <w:rPr>
      <w:rFonts w:ascii="Tahoma" w:hAnsi="Tahoma"/>
      <w:sz w:val="24"/>
      <w:szCs w:val="20"/>
    </w:rPr>
  </w:style>
  <w:style w:type="paragraph" w:customStyle="1" w:styleId="446">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47">
    <w:name w:val="正文（标题三）"/>
    <w:basedOn w:val="1"/>
    <w:qFormat/>
    <w:uiPriority w:val="0"/>
    <w:pPr>
      <w:spacing w:line="360" w:lineRule="auto"/>
      <w:ind w:firstLine="200" w:firstLineChars="200"/>
    </w:pPr>
    <w:rPr>
      <w:sz w:val="24"/>
    </w:rPr>
  </w:style>
  <w:style w:type="paragraph" w:customStyle="1" w:styleId="448">
    <w:name w:val="样式 正1 + 首行缩进:  2 字符"/>
    <w:basedOn w:val="1"/>
    <w:link w:val="1101"/>
    <w:qFormat/>
    <w:uiPriority w:val="0"/>
    <w:pPr>
      <w:adjustRightInd/>
      <w:spacing w:line="360" w:lineRule="auto"/>
      <w:ind w:firstLine="480" w:firstLineChars="200"/>
    </w:pPr>
    <w:rPr>
      <w:rFonts w:ascii="仿宋_GB2312" w:eastAsia="仿宋_GB2312"/>
      <w:sz w:val="24"/>
    </w:rPr>
  </w:style>
  <w:style w:type="paragraph" w:customStyle="1" w:styleId="449">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50">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451">
    <w:name w:val="Default Text"/>
    <w:basedOn w:val="1"/>
    <w:link w:val="1145"/>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52">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453">
    <w:name w:val="Char1 Char Char Char4"/>
    <w:basedOn w:val="1"/>
    <w:qFormat/>
    <w:uiPriority w:val="0"/>
    <w:pPr>
      <w:adjustRightInd/>
      <w:ind w:firstLine="200" w:firstLineChars="200"/>
    </w:pPr>
    <w:rPr>
      <w:rFonts w:ascii="Tahoma" w:hAnsi="Tahoma"/>
      <w:sz w:val="24"/>
      <w:szCs w:val="20"/>
    </w:rPr>
  </w:style>
  <w:style w:type="paragraph" w:customStyle="1" w:styleId="454">
    <w:name w:val="_标题2"/>
    <w:basedOn w:val="421"/>
    <w:next w:val="421"/>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455">
    <w:name w:val="样式1 + (中宋体"/>
    <w:basedOn w:val="432"/>
    <w:qFormat/>
    <w:uiPriority w:val="0"/>
    <w:pPr>
      <w:widowControl w:val="0"/>
      <w:tabs>
        <w:tab w:val="left" w:pos="1200"/>
        <w:tab w:val="clear" w:pos="1212"/>
        <w:tab w:val="clear" w:pos="3888"/>
      </w:tabs>
      <w:adjustRightInd/>
      <w:snapToGrid/>
      <w:ind w:left="1200" w:hanging="360" w:firstLineChars="200"/>
      <w:jc w:val="both"/>
    </w:pPr>
    <w:rPr>
      <w:kern w:val="2"/>
      <w:szCs w:val="24"/>
    </w:rPr>
  </w:style>
  <w:style w:type="paragraph" w:customStyle="1" w:styleId="456">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57">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58">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59">
    <w:name w:val="四号　首行缩进"/>
    <w:basedOn w:val="1"/>
    <w:qFormat/>
    <w:uiPriority w:val="0"/>
    <w:pPr>
      <w:adjustRightInd/>
      <w:spacing w:line="360" w:lineRule="auto"/>
    </w:pPr>
    <w:rPr>
      <w:rFonts w:ascii="宋体" w:hAnsi="宋体"/>
      <w:szCs w:val="20"/>
    </w:rPr>
  </w:style>
  <w:style w:type="paragraph" w:customStyle="1" w:styleId="460">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61">
    <w:name w:val="Char Char Char Char Char Char Char Char Char Char Char1 Char"/>
    <w:basedOn w:val="1"/>
    <w:qFormat/>
    <w:uiPriority w:val="0"/>
    <w:pPr>
      <w:adjustRightInd/>
    </w:pPr>
    <w:rPr>
      <w:rFonts w:ascii="Tahoma" w:hAnsi="Tahoma"/>
      <w:sz w:val="24"/>
    </w:rPr>
  </w:style>
  <w:style w:type="paragraph" w:customStyle="1" w:styleId="462">
    <w:name w:val="Char Char Char Char11"/>
    <w:basedOn w:val="1"/>
    <w:qFormat/>
    <w:uiPriority w:val="0"/>
    <w:rPr>
      <w:rFonts w:ascii="Tahoma" w:hAnsi="Tahoma"/>
      <w:sz w:val="24"/>
      <w:szCs w:val="20"/>
    </w:rPr>
  </w:style>
  <w:style w:type="paragraph" w:customStyle="1" w:styleId="463">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64">
    <w:name w:val="Char Char Char Char"/>
    <w:basedOn w:val="1"/>
    <w:qFormat/>
    <w:uiPriority w:val="0"/>
    <w:rPr>
      <w:rFonts w:ascii="Tahoma" w:hAnsi="Tahoma"/>
      <w:sz w:val="24"/>
      <w:szCs w:val="20"/>
    </w:rPr>
  </w:style>
  <w:style w:type="paragraph" w:customStyle="1" w:styleId="465">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66">
    <w:name w:val="Char19"/>
    <w:basedOn w:val="1"/>
    <w:qFormat/>
    <w:uiPriority w:val="0"/>
    <w:pPr>
      <w:adjustRightInd/>
    </w:pPr>
    <w:rPr>
      <w:szCs w:val="20"/>
    </w:rPr>
  </w:style>
  <w:style w:type="paragraph" w:customStyle="1" w:styleId="467">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68">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469">
    <w:name w:val="_Style 5"/>
    <w:basedOn w:val="1"/>
    <w:qFormat/>
    <w:uiPriority w:val="34"/>
    <w:pPr>
      <w:adjustRightInd/>
      <w:ind w:firstLine="420" w:firstLineChars="200"/>
    </w:pPr>
    <w:rPr>
      <w:rFonts w:eastAsia="仿宋_GB2312"/>
      <w:sz w:val="28"/>
    </w:rPr>
  </w:style>
  <w:style w:type="paragraph" w:customStyle="1" w:styleId="470">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71">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472">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73">
    <w:name w:val="标书表格字体格式"/>
    <w:next w:val="467"/>
    <w:qFormat/>
    <w:uiPriority w:val="0"/>
    <w:rPr>
      <w:rFonts w:ascii="Times New Roman" w:hAnsi="Times New Roman" w:eastAsia="宋体" w:cs="Times New Roman"/>
      <w:kern w:val="2"/>
      <w:sz w:val="21"/>
      <w:szCs w:val="24"/>
      <w:lang w:val="en-US" w:eastAsia="zh-CN" w:bidi="ar-SA"/>
    </w:rPr>
  </w:style>
  <w:style w:type="paragraph" w:customStyle="1" w:styleId="474">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475">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76">
    <w:name w:val="修订3"/>
    <w:qFormat/>
    <w:uiPriority w:val="99"/>
    <w:rPr>
      <w:rFonts w:ascii="Times New Roman" w:hAnsi="Times New Roman" w:eastAsia="宋体" w:cs="Times New Roman"/>
      <w:kern w:val="2"/>
      <w:sz w:val="21"/>
      <w:lang w:val="en-US" w:eastAsia="zh-CN" w:bidi="ar-SA"/>
    </w:rPr>
  </w:style>
  <w:style w:type="paragraph" w:customStyle="1" w:styleId="477">
    <w:name w:val="CSS1级正文 Char"/>
    <w:basedOn w:val="34"/>
    <w:qFormat/>
    <w:uiPriority w:val="0"/>
    <w:pPr>
      <w:snapToGrid w:val="0"/>
      <w:ind w:firstLine="480" w:firstLineChars="200"/>
    </w:pPr>
    <w:rPr>
      <w:rFonts w:ascii="Times New Roman"/>
      <w:szCs w:val="24"/>
      <w:lang w:val="en-US"/>
    </w:rPr>
  </w:style>
  <w:style w:type="paragraph" w:customStyle="1" w:styleId="478">
    <w:name w:val="无间隔2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79">
    <w:name w:val="表文字"/>
    <w:qFormat/>
    <w:uiPriority w:val="0"/>
    <w:rPr>
      <w:rFonts w:ascii="宋体" w:hAnsi="Times New Roman" w:eastAsia="宋体" w:cs="Times New Roman"/>
      <w:kern w:val="2"/>
      <w:lang w:val="en-US" w:eastAsia="zh-CN" w:bidi="ar-SA"/>
    </w:rPr>
  </w:style>
  <w:style w:type="paragraph" w:customStyle="1" w:styleId="480">
    <w:name w:val="MM Title"/>
    <w:basedOn w:val="85"/>
    <w:qFormat/>
    <w:uiPriority w:val="0"/>
    <w:pPr>
      <w:widowControl w:val="0"/>
      <w:adjustRightInd/>
      <w:spacing w:before="240" w:after="60"/>
      <w:textAlignment w:val="auto"/>
      <w:outlineLvl w:val="0"/>
    </w:pPr>
    <w:rPr>
      <w:rFonts w:ascii="Arial" w:hAnsi="Arial" w:cs="Arial"/>
      <w:bCs/>
      <w:kern w:val="2"/>
      <w:sz w:val="32"/>
      <w:szCs w:val="32"/>
    </w:rPr>
  </w:style>
  <w:style w:type="paragraph" w:customStyle="1" w:styleId="481">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82">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483">
    <w:name w:val="Char Char Char Char Char Char Char Char2"/>
    <w:basedOn w:val="1"/>
    <w:qFormat/>
    <w:uiPriority w:val="0"/>
    <w:pPr>
      <w:tabs>
        <w:tab w:val="left" w:pos="360"/>
      </w:tabs>
    </w:pPr>
    <w:rPr>
      <w:sz w:val="24"/>
      <w:szCs w:val="20"/>
    </w:rPr>
  </w:style>
  <w:style w:type="paragraph" w:customStyle="1" w:styleId="484">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85">
    <w:name w:val="正文文本 21"/>
    <w:basedOn w:val="1"/>
    <w:qFormat/>
    <w:uiPriority w:val="0"/>
    <w:pPr>
      <w:widowControl/>
      <w:overflowPunct w:val="0"/>
      <w:autoSpaceDE w:val="0"/>
      <w:autoSpaceDN w:val="0"/>
      <w:ind w:left="720" w:hanging="720"/>
      <w:textAlignment w:val="baseline"/>
    </w:pPr>
    <w:rPr>
      <w:kern w:val="0"/>
      <w:sz w:val="24"/>
      <w:szCs w:val="20"/>
    </w:rPr>
  </w:style>
  <w:style w:type="paragraph" w:customStyle="1" w:styleId="486">
    <w:name w:val="中文标题 3"/>
    <w:basedOn w:val="36"/>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87">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88">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89">
    <w:name w:val="正文－恩普"/>
    <w:basedOn w:val="21"/>
    <w:qFormat/>
    <w:uiPriority w:val="0"/>
    <w:pPr>
      <w:adjustRightInd/>
      <w:snapToGrid/>
      <w:spacing w:before="100" w:beforeAutospacing="1" w:after="100" w:afterLines="50" w:afterAutospacing="1" w:line="360" w:lineRule="auto"/>
      <w:ind w:firstLine="480" w:firstLineChars="200"/>
      <w:jc w:val="left"/>
    </w:pPr>
    <w:rPr>
      <w:rFonts w:ascii="Times New Roman"/>
      <w:color w:val="auto"/>
      <w:kern w:val="0"/>
      <w:sz w:val="24"/>
    </w:rPr>
  </w:style>
  <w:style w:type="paragraph" w:customStyle="1" w:styleId="490">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491">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492">
    <w:name w:val="p0"/>
    <w:basedOn w:val="1"/>
    <w:qFormat/>
    <w:uiPriority w:val="0"/>
    <w:pPr>
      <w:widowControl/>
      <w:adjustRightInd/>
    </w:pPr>
    <w:rPr>
      <w:kern w:val="0"/>
      <w:szCs w:val="21"/>
    </w:rPr>
  </w:style>
  <w:style w:type="paragraph" w:customStyle="1" w:styleId="493">
    <w:name w:val="Char6"/>
    <w:basedOn w:val="1"/>
    <w:qFormat/>
    <w:uiPriority w:val="0"/>
    <w:rPr>
      <w:rFonts w:ascii="仿宋_GB2312" w:eastAsia="仿宋_GB2312"/>
      <w:b/>
      <w:sz w:val="32"/>
      <w:szCs w:val="32"/>
    </w:rPr>
  </w:style>
  <w:style w:type="paragraph" w:customStyle="1" w:styleId="494">
    <w:name w:val="Char111"/>
    <w:basedOn w:val="1"/>
    <w:qFormat/>
    <w:uiPriority w:val="0"/>
    <w:rPr>
      <w:rFonts w:ascii="仿宋_GB2312" w:eastAsia="仿宋_GB2312"/>
      <w:b/>
      <w:sz w:val="32"/>
      <w:szCs w:val="32"/>
    </w:rPr>
  </w:style>
  <w:style w:type="paragraph" w:customStyle="1" w:styleId="495">
    <w:name w:val="标题3"/>
    <w:basedOn w:val="2"/>
    <w:next w:val="71"/>
    <w:qFormat/>
    <w:uiPriority w:val="0"/>
    <w:pPr>
      <w:tabs>
        <w:tab w:val="clear" w:pos="900"/>
      </w:tabs>
    </w:pPr>
    <w:rPr>
      <w:rFonts w:ascii="仿宋" w:hAnsi="仿宋" w:eastAsia="仿宋" w:cs="仿宋"/>
    </w:rPr>
  </w:style>
  <w:style w:type="paragraph" w:customStyle="1" w:styleId="496">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97">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498">
    <w:name w:val="Char1 Char Char Char2"/>
    <w:basedOn w:val="1"/>
    <w:qFormat/>
    <w:uiPriority w:val="0"/>
    <w:pPr>
      <w:adjustRightInd/>
      <w:ind w:firstLine="200" w:firstLineChars="200"/>
    </w:pPr>
    <w:rPr>
      <w:rFonts w:ascii="Tahoma" w:hAnsi="Tahoma"/>
      <w:sz w:val="24"/>
      <w:szCs w:val="20"/>
    </w:rPr>
  </w:style>
  <w:style w:type="paragraph" w:customStyle="1" w:styleId="499">
    <w:name w:val="列出段落1"/>
    <w:basedOn w:val="1"/>
    <w:qFormat/>
    <w:uiPriority w:val="34"/>
    <w:pPr>
      <w:adjustRightInd/>
      <w:spacing w:line="360" w:lineRule="auto"/>
      <w:ind w:firstLine="420" w:firstLineChars="200"/>
    </w:pPr>
    <w:rPr>
      <w:rFonts w:ascii="Calibri" w:hAnsi="Calibri"/>
      <w:sz w:val="24"/>
      <w:szCs w:val="22"/>
    </w:rPr>
  </w:style>
  <w:style w:type="paragraph" w:customStyle="1" w:styleId="500">
    <w:name w:val="样式 标题 1 + 黑色 段前: 0.5 行 段后: 0.5 行1"/>
    <w:basedOn w:val="4"/>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line="640" w:lineRule="exact"/>
      <w:ind w:left="431" w:hanging="431"/>
      <w:jc w:val="center"/>
    </w:pPr>
    <w:rPr>
      <w:rFonts w:ascii="黑体" w:hAnsi="黑体" w:eastAsia="黑体" w:cs="Arial"/>
      <w:caps/>
      <w:color w:val="FFFFFF"/>
      <w:kern w:val="2"/>
      <w:sz w:val="30"/>
      <w:szCs w:val="20"/>
    </w:rPr>
  </w:style>
  <w:style w:type="paragraph" w:customStyle="1" w:styleId="501">
    <w:name w:val="Char Char Char Char Char Char Char2"/>
    <w:basedOn w:val="1"/>
    <w:qFormat/>
    <w:uiPriority w:val="0"/>
    <w:rPr>
      <w:rFonts w:ascii="仿宋_GB2312" w:eastAsia="仿宋_GB2312"/>
      <w:b/>
      <w:sz w:val="32"/>
      <w:szCs w:val="32"/>
    </w:rPr>
  </w:style>
  <w:style w:type="paragraph" w:customStyle="1" w:styleId="502">
    <w:name w:val="五级条标题"/>
    <w:basedOn w:val="503"/>
    <w:next w:val="348"/>
    <w:qFormat/>
    <w:uiPriority w:val="0"/>
    <w:pPr>
      <w:tabs>
        <w:tab w:val="left" w:pos="1260"/>
        <w:tab w:val="left" w:pos="1680"/>
        <w:tab w:val="left" w:pos="2100"/>
        <w:tab w:val="left" w:pos="2940"/>
        <w:tab w:val="left" w:pos="3360"/>
      </w:tabs>
      <w:ind w:left="3360"/>
      <w:outlineLvl w:val="6"/>
    </w:pPr>
  </w:style>
  <w:style w:type="paragraph" w:customStyle="1" w:styleId="503">
    <w:name w:val="四级条标题"/>
    <w:basedOn w:val="363"/>
    <w:next w:val="348"/>
    <w:qFormat/>
    <w:uiPriority w:val="0"/>
    <w:pPr>
      <w:tabs>
        <w:tab w:val="left" w:pos="2940"/>
        <w:tab w:val="clear" w:pos="1260"/>
        <w:tab w:val="clear" w:pos="1680"/>
        <w:tab w:val="clear" w:pos="2100"/>
        <w:tab w:val="clear" w:pos="2520"/>
      </w:tabs>
      <w:ind w:left="2940"/>
      <w:outlineLvl w:val="5"/>
    </w:pPr>
  </w:style>
  <w:style w:type="paragraph" w:customStyle="1" w:styleId="504">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505">
    <w:name w:val="Char23"/>
    <w:basedOn w:val="1"/>
    <w:qFormat/>
    <w:uiPriority w:val="0"/>
    <w:rPr>
      <w:rFonts w:ascii="仿宋_GB2312" w:eastAsia="仿宋_GB2312"/>
      <w:b/>
      <w:sz w:val="32"/>
      <w:szCs w:val="32"/>
    </w:rPr>
  </w:style>
  <w:style w:type="paragraph" w:customStyle="1" w:styleId="506">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507">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508">
    <w:name w:val="首行缩进"/>
    <w:basedOn w:val="1"/>
    <w:qFormat/>
    <w:uiPriority w:val="99"/>
    <w:pPr>
      <w:spacing w:line="360" w:lineRule="auto"/>
      <w:ind w:firstLine="480" w:firstLineChars="200"/>
    </w:pPr>
    <w:rPr>
      <w:rFonts w:ascii="宋体"/>
      <w:sz w:val="24"/>
      <w:szCs w:val="20"/>
    </w:rPr>
  </w:style>
  <w:style w:type="paragraph" w:customStyle="1" w:styleId="509">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510">
    <w:name w:val="单元格左对齐"/>
    <w:basedOn w:val="1"/>
    <w:qFormat/>
    <w:uiPriority w:val="0"/>
    <w:pPr>
      <w:adjustRightInd/>
      <w:spacing w:line="360" w:lineRule="auto"/>
    </w:pPr>
    <w:rPr>
      <w:sz w:val="24"/>
    </w:rPr>
  </w:style>
  <w:style w:type="paragraph" w:customStyle="1" w:styleId="511">
    <w:name w:val="正文主体"/>
    <w:basedOn w:val="332"/>
    <w:qFormat/>
    <w:uiPriority w:val="0"/>
  </w:style>
  <w:style w:type="paragraph" w:customStyle="1" w:styleId="512">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513">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14">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515">
    <w:name w:val="正文（首行缩进2字符）"/>
    <w:basedOn w:val="1"/>
    <w:qFormat/>
    <w:uiPriority w:val="0"/>
    <w:pPr>
      <w:adjustRightInd/>
      <w:spacing w:line="360" w:lineRule="auto"/>
      <w:ind w:firstLine="480" w:firstLineChars="200"/>
    </w:pPr>
    <w:rPr>
      <w:sz w:val="24"/>
      <w:szCs w:val="20"/>
    </w:rPr>
  </w:style>
  <w:style w:type="paragraph" w:customStyle="1" w:styleId="516">
    <w:name w:val="P1"/>
    <w:basedOn w:val="1"/>
    <w:qFormat/>
    <w:uiPriority w:val="0"/>
    <w:pPr>
      <w:adjustRightInd/>
      <w:spacing w:line="288" w:lineRule="auto"/>
      <w:ind w:firstLine="425" w:firstLineChars="200"/>
    </w:pPr>
  </w:style>
  <w:style w:type="paragraph" w:customStyle="1" w:styleId="517">
    <w:name w:val="列表内容"/>
    <w:basedOn w:val="1"/>
    <w:next w:val="1"/>
    <w:qFormat/>
    <w:uiPriority w:val="0"/>
    <w:pPr>
      <w:widowControl/>
      <w:tabs>
        <w:tab w:val="left" w:pos="840"/>
      </w:tabs>
      <w:ind w:left="840" w:hanging="420"/>
      <w:jc w:val="left"/>
    </w:pPr>
    <w:rPr>
      <w:kern w:val="0"/>
      <w:sz w:val="18"/>
    </w:rPr>
  </w:style>
  <w:style w:type="paragraph" w:customStyle="1" w:styleId="518">
    <w:name w:val="Char Char11 Char Char Char1"/>
    <w:basedOn w:val="1"/>
    <w:qFormat/>
    <w:uiPriority w:val="6"/>
    <w:pPr>
      <w:spacing w:line="360" w:lineRule="auto"/>
    </w:pPr>
    <w:rPr>
      <w:szCs w:val="20"/>
    </w:rPr>
  </w:style>
  <w:style w:type="paragraph" w:customStyle="1" w:styleId="519">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520">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521">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522">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523">
    <w:name w:val="正文文字缩进2字"/>
    <w:basedOn w:val="34"/>
    <w:qFormat/>
    <w:uiPriority w:val="0"/>
    <w:pPr>
      <w:adjustRightInd/>
      <w:spacing w:before="60" w:after="60"/>
      <w:ind w:firstLine="200" w:firstLineChars="200"/>
    </w:pPr>
    <w:rPr>
      <w:rFonts w:ascii="Times New Roman"/>
      <w:szCs w:val="20"/>
      <w:lang w:val="en-US"/>
    </w:rPr>
  </w:style>
  <w:style w:type="paragraph" w:customStyle="1" w:styleId="524">
    <w:name w:val="默认段落字体 Para Char Char Char Char"/>
    <w:basedOn w:val="1"/>
    <w:qFormat/>
    <w:uiPriority w:val="0"/>
    <w:pPr>
      <w:spacing w:line="360" w:lineRule="auto"/>
    </w:pPr>
    <w:rPr>
      <w:szCs w:val="20"/>
    </w:rPr>
  </w:style>
  <w:style w:type="paragraph" w:customStyle="1" w:styleId="525">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526">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27">
    <w:name w:val="Char2 Char Char Char2"/>
    <w:basedOn w:val="1"/>
    <w:qFormat/>
    <w:uiPriority w:val="0"/>
    <w:rPr>
      <w:rFonts w:ascii="仿宋_GB2312" w:eastAsia="仿宋_GB2312"/>
      <w:b/>
      <w:sz w:val="32"/>
      <w:szCs w:val="32"/>
    </w:rPr>
  </w:style>
  <w:style w:type="paragraph" w:customStyle="1" w:styleId="528">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529">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30">
    <w:name w:val="正文 首行缩进:  2 字符 Char"/>
    <w:basedOn w:val="1"/>
    <w:qFormat/>
    <w:uiPriority w:val="0"/>
    <w:pPr>
      <w:adjustRightInd/>
      <w:spacing w:line="360" w:lineRule="auto"/>
      <w:ind w:firstLine="480"/>
    </w:pPr>
    <w:rPr>
      <w:rFonts w:cs="宋体"/>
      <w:sz w:val="24"/>
      <w:szCs w:val="20"/>
    </w:rPr>
  </w:style>
  <w:style w:type="paragraph" w:customStyle="1" w:styleId="531">
    <w:name w:val="Char Char4 Char Char"/>
    <w:basedOn w:val="1"/>
    <w:qFormat/>
    <w:uiPriority w:val="0"/>
    <w:pPr>
      <w:widowControl/>
      <w:adjustRightInd/>
      <w:spacing w:after="160" w:line="240" w:lineRule="exact"/>
      <w:jc w:val="left"/>
    </w:pPr>
  </w:style>
  <w:style w:type="paragraph" w:customStyle="1" w:styleId="532">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33">
    <w:name w:val="Char Char11 Char Char Char2"/>
    <w:basedOn w:val="1"/>
    <w:qFormat/>
    <w:uiPriority w:val="0"/>
    <w:pPr>
      <w:spacing w:line="360" w:lineRule="auto"/>
    </w:pPr>
    <w:rPr>
      <w:szCs w:val="20"/>
    </w:rPr>
  </w:style>
  <w:style w:type="paragraph" w:customStyle="1" w:styleId="534">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35">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36">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37">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538">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539">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40">
    <w:name w:val="Char311"/>
    <w:basedOn w:val="1"/>
    <w:qFormat/>
    <w:uiPriority w:val="0"/>
    <w:pPr>
      <w:adjustRightInd/>
      <w:ind w:firstLine="200" w:firstLineChars="200"/>
    </w:pPr>
    <w:rPr>
      <w:rFonts w:ascii="Tahoma" w:hAnsi="Tahoma"/>
      <w:sz w:val="24"/>
      <w:szCs w:val="20"/>
    </w:rPr>
  </w:style>
  <w:style w:type="paragraph" w:customStyle="1" w:styleId="541">
    <w:name w:val="正文文本 23"/>
    <w:basedOn w:val="1"/>
    <w:qFormat/>
    <w:uiPriority w:val="0"/>
    <w:pPr>
      <w:widowControl/>
      <w:overflowPunct w:val="0"/>
      <w:autoSpaceDE w:val="0"/>
      <w:autoSpaceDN w:val="0"/>
      <w:ind w:left="720" w:hanging="720"/>
      <w:textAlignment w:val="baseline"/>
    </w:pPr>
    <w:rPr>
      <w:kern w:val="0"/>
      <w:sz w:val="24"/>
      <w:szCs w:val="20"/>
    </w:rPr>
  </w:style>
  <w:style w:type="paragraph" w:customStyle="1" w:styleId="542">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43">
    <w:name w:val="正文 内标"/>
    <w:basedOn w:val="458"/>
    <w:qFormat/>
    <w:uiPriority w:val="0"/>
    <w:pPr>
      <w:tabs>
        <w:tab w:val="left" w:pos="0"/>
      </w:tabs>
      <w:ind w:left="900" w:firstLine="0" w:firstLineChars="0"/>
    </w:pPr>
  </w:style>
  <w:style w:type="paragraph" w:customStyle="1" w:styleId="544">
    <w:name w:val="Bulleted List"/>
    <w:basedOn w:val="1"/>
    <w:qFormat/>
    <w:uiPriority w:val="0"/>
    <w:pPr>
      <w:tabs>
        <w:tab w:val="left" w:pos="1260"/>
      </w:tabs>
      <w:adjustRightInd/>
      <w:ind w:left="1260" w:hanging="420"/>
    </w:pPr>
  </w:style>
  <w:style w:type="paragraph" w:customStyle="1" w:styleId="545">
    <w:name w:val="样式 正文文本缩进 2 + 仿宋_GB2312 黑色 行距: 1.5 倍行距"/>
    <w:basedOn w:val="52"/>
    <w:qFormat/>
    <w:uiPriority w:val="0"/>
    <w:pPr>
      <w:adjustRightInd/>
      <w:ind w:firstLine="560" w:firstLineChars="200"/>
      <w:textAlignment w:val="auto"/>
    </w:pPr>
    <w:rPr>
      <w:rFonts w:hAnsi="宋体" w:cs="宋体"/>
      <w:color w:val="000000"/>
      <w:kern w:val="2"/>
      <w:sz w:val="24"/>
    </w:rPr>
  </w:style>
  <w:style w:type="paragraph" w:customStyle="1" w:styleId="546">
    <w:name w:val="样式 左侧:  0.85 厘米"/>
    <w:basedOn w:val="1"/>
    <w:qFormat/>
    <w:uiPriority w:val="2"/>
    <w:pPr>
      <w:adjustRightInd/>
      <w:spacing w:line="360" w:lineRule="auto"/>
    </w:pPr>
    <w:rPr>
      <w:rFonts w:cs="宋体"/>
      <w:sz w:val="24"/>
      <w:szCs w:val="20"/>
    </w:rPr>
  </w:style>
  <w:style w:type="paragraph" w:customStyle="1" w:styleId="547">
    <w:name w:val="Char Char Char Char Char Char Char Char Char Char Char Char1 Char"/>
    <w:basedOn w:val="1"/>
    <w:qFormat/>
    <w:uiPriority w:val="0"/>
    <w:rPr>
      <w:rFonts w:ascii="Tahoma" w:hAnsi="Tahoma" w:cs="仿宋_GB2312"/>
      <w:sz w:val="24"/>
      <w:szCs w:val="20"/>
    </w:rPr>
  </w:style>
  <w:style w:type="paragraph" w:customStyle="1" w:styleId="548">
    <w:name w:val="正文1"/>
    <w:basedOn w:val="45"/>
    <w:qFormat/>
    <w:uiPriority w:val="0"/>
    <w:pPr>
      <w:ind w:left="0" w:leftChars="0" w:firstLine="480" w:firstLineChars="200"/>
    </w:pPr>
    <w:rPr>
      <w:rFonts w:ascii="仿宋_GB2312" w:hAnsi="Courier New" w:eastAsia="仿宋_GB2312"/>
      <w:kern w:val="28"/>
      <w:sz w:val="24"/>
    </w:rPr>
  </w:style>
  <w:style w:type="paragraph" w:customStyle="1" w:styleId="549">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550">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1">
    <w:name w:val="模板普通正文"/>
    <w:basedOn w:val="36"/>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552">
    <w:name w:val="Char Char1 Char Char Char Char Char Char"/>
    <w:basedOn w:val="1"/>
    <w:qFormat/>
    <w:uiPriority w:val="0"/>
    <w:rPr>
      <w:rFonts w:ascii="仿宋_GB2312" w:eastAsia="仿宋_GB2312"/>
      <w:b/>
      <w:sz w:val="32"/>
      <w:szCs w:val="20"/>
    </w:rPr>
  </w:style>
  <w:style w:type="paragraph" w:customStyle="1" w:styleId="553">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554">
    <w:name w:val="Char Char1 Char Char Char Char Char Char2"/>
    <w:basedOn w:val="1"/>
    <w:qFormat/>
    <w:uiPriority w:val="0"/>
    <w:rPr>
      <w:rFonts w:ascii="仿宋_GB2312" w:eastAsia="仿宋_GB2312"/>
      <w:b/>
      <w:sz w:val="32"/>
      <w:szCs w:val="20"/>
    </w:rPr>
  </w:style>
  <w:style w:type="paragraph" w:customStyle="1" w:styleId="555">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56">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57">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58">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59">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560">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561">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562">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63">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64">
    <w:name w:val="Char31"/>
    <w:basedOn w:val="1"/>
    <w:qFormat/>
    <w:uiPriority w:val="0"/>
    <w:pPr>
      <w:adjustRightInd/>
    </w:pPr>
    <w:rPr>
      <w:rFonts w:ascii="仿宋_GB2312" w:eastAsia="仿宋_GB2312"/>
      <w:b/>
      <w:sz w:val="32"/>
      <w:szCs w:val="32"/>
    </w:rPr>
  </w:style>
  <w:style w:type="paragraph" w:customStyle="1" w:styleId="565">
    <w:name w:val="样式 标题 3h33rd level3Heading 3 - oldH3l3CTheading 3Headin..."/>
    <w:basedOn w:val="2"/>
    <w:qFormat/>
    <w:uiPriority w:val="0"/>
    <w:pPr>
      <w:jc w:val="left"/>
    </w:pPr>
    <w:rPr>
      <w:rFonts w:eastAsia="黑体" w:cs="宋体"/>
      <w:sz w:val="28"/>
      <w:szCs w:val="20"/>
    </w:rPr>
  </w:style>
  <w:style w:type="paragraph" w:customStyle="1" w:styleId="566">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67">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68">
    <w:name w:val="Char Char1"/>
    <w:basedOn w:val="1"/>
    <w:qFormat/>
    <w:uiPriority w:val="0"/>
    <w:pPr>
      <w:widowControl/>
      <w:spacing w:after="160" w:line="240" w:lineRule="exact"/>
      <w:jc w:val="left"/>
    </w:pPr>
    <w:rPr>
      <w:rFonts w:eastAsia="仿宋_GB2312"/>
      <w:sz w:val="28"/>
    </w:rPr>
  </w:style>
  <w:style w:type="paragraph" w:customStyle="1" w:styleId="569">
    <w:name w:val="Char21"/>
    <w:basedOn w:val="1"/>
    <w:qFormat/>
    <w:uiPriority w:val="0"/>
    <w:pPr>
      <w:adjustRightInd/>
      <w:ind w:firstLine="200" w:firstLineChars="200"/>
    </w:pPr>
    <w:rPr>
      <w:rFonts w:ascii="仿宋_GB2312" w:eastAsia="仿宋_GB2312"/>
      <w:b/>
      <w:sz w:val="32"/>
      <w:szCs w:val="32"/>
    </w:rPr>
  </w:style>
  <w:style w:type="paragraph" w:customStyle="1" w:styleId="570">
    <w:name w:val="列表段落11"/>
    <w:basedOn w:val="1"/>
    <w:qFormat/>
    <w:uiPriority w:val="34"/>
    <w:pPr>
      <w:adjustRightInd/>
      <w:ind w:right="238" w:firstLine="420"/>
    </w:pPr>
    <w:rPr>
      <w:rFonts w:ascii="Calibri" w:hAnsi="Calibri"/>
      <w:sz w:val="24"/>
    </w:rPr>
  </w:style>
  <w:style w:type="paragraph" w:customStyle="1" w:styleId="571">
    <w:name w:val="Char Char110"/>
    <w:basedOn w:val="1"/>
    <w:qFormat/>
    <w:uiPriority w:val="6"/>
    <w:pPr>
      <w:spacing w:line="360" w:lineRule="auto"/>
    </w:pPr>
    <w:rPr>
      <w:rFonts w:ascii="Tahoma" w:hAnsi="Tahoma"/>
      <w:sz w:val="24"/>
      <w:szCs w:val="20"/>
    </w:rPr>
  </w:style>
  <w:style w:type="paragraph" w:customStyle="1" w:styleId="572">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73">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74">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75">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576">
    <w:name w:val="Char Char Char Char Char Char Char Char Char Char Char Char1 Char2"/>
    <w:basedOn w:val="1"/>
    <w:qFormat/>
    <w:uiPriority w:val="0"/>
    <w:rPr>
      <w:rFonts w:ascii="Tahoma" w:hAnsi="Tahoma" w:cs="仿宋_GB2312"/>
      <w:sz w:val="24"/>
      <w:szCs w:val="20"/>
    </w:rPr>
  </w:style>
  <w:style w:type="paragraph" w:customStyle="1" w:styleId="577">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78">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579">
    <w:name w:val="样式 列表编号 + 段后: 0.5 行"/>
    <w:basedOn w:val="20"/>
    <w:qFormat/>
    <w:uiPriority w:val="2"/>
    <w:pPr>
      <w:tabs>
        <w:tab w:val="clear" w:pos="390"/>
        <w:tab w:val="clear" w:pos="454"/>
      </w:tabs>
      <w:spacing w:after="0"/>
      <w:ind w:left="840" w:hanging="420"/>
      <w:contextualSpacing/>
    </w:pPr>
    <w:rPr>
      <w:rFonts w:cs="宋体"/>
    </w:rPr>
  </w:style>
  <w:style w:type="paragraph" w:customStyle="1" w:styleId="580">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581">
    <w:name w:val="_Style 12"/>
    <w:basedOn w:val="26"/>
    <w:qFormat/>
    <w:uiPriority w:val="0"/>
    <w:pPr>
      <w:snapToGrid w:val="0"/>
      <w:spacing w:line="360" w:lineRule="auto"/>
    </w:pPr>
  </w:style>
  <w:style w:type="paragraph" w:customStyle="1" w:styleId="582">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583">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84">
    <w:name w:val="_Style 94"/>
    <w:basedOn w:val="1"/>
    <w:next w:val="125"/>
    <w:qFormat/>
    <w:uiPriority w:val="34"/>
    <w:pPr>
      <w:adjustRightInd/>
      <w:spacing w:line="360" w:lineRule="auto"/>
      <w:ind w:firstLine="200" w:firstLineChars="200"/>
    </w:pPr>
    <w:rPr>
      <w:rFonts w:ascii="Calibri" w:hAnsi="Calibri"/>
      <w:sz w:val="28"/>
      <w:szCs w:val="20"/>
    </w:rPr>
  </w:style>
  <w:style w:type="paragraph" w:customStyle="1" w:styleId="585">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86">
    <w:name w:val="正文 A"/>
    <w:qFormat/>
    <w:uiPriority w:val="0"/>
    <w:pPr>
      <w:widowControl w:val="0"/>
      <w:jc w:val="both"/>
    </w:pPr>
    <w:rPr>
      <w:rFonts w:ascii="Times New Roman" w:hAnsi="Times New Roman" w:eastAsia="Arial Unicode MS" w:cs="Arial Unicode MS"/>
      <w:color w:val="000000"/>
      <w:kern w:val="2"/>
      <w:sz w:val="21"/>
      <w:szCs w:val="21"/>
      <w:lang w:val="en-US" w:eastAsia="zh-CN" w:bidi="ar-SA"/>
    </w:rPr>
  </w:style>
  <w:style w:type="paragraph" w:customStyle="1" w:styleId="587">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88">
    <w:name w:val="3级标题"/>
    <w:basedOn w:val="380"/>
    <w:qFormat/>
    <w:uiPriority w:val="0"/>
    <w:pPr>
      <w:outlineLvl w:val="2"/>
    </w:pPr>
  </w:style>
  <w:style w:type="paragraph" w:customStyle="1" w:styleId="589">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90">
    <w:name w:val="Char1 Char Char Char3"/>
    <w:basedOn w:val="1"/>
    <w:qFormat/>
    <w:uiPriority w:val="0"/>
    <w:pPr>
      <w:adjustRightInd/>
      <w:ind w:firstLine="200" w:firstLineChars="200"/>
    </w:pPr>
    <w:rPr>
      <w:rFonts w:ascii="Tahoma" w:hAnsi="Tahoma"/>
      <w:sz w:val="24"/>
      <w:szCs w:val="20"/>
    </w:rPr>
  </w:style>
  <w:style w:type="paragraph" w:customStyle="1" w:styleId="591">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592">
    <w:name w:val="MM Empty"/>
    <w:basedOn w:val="1"/>
    <w:qFormat/>
    <w:uiPriority w:val="0"/>
    <w:pPr>
      <w:adjustRightInd/>
    </w:pPr>
  </w:style>
  <w:style w:type="paragraph" w:customStyle="1" w:styleId="593">
    <w:name w:val="Char24"/>
    <w:basedOn w:val="1"/>
    <w:qFormat/>
    <w:uiPriority w:val="0"/>
    <w:rPr>
      <w:rFonts w:ascii="仿宋_GB2312" w:eastAsia="仿宋_GB2312"/>
      <w:b/>
      <w:sz w:val="32"/>
      <w:szCs w:val="32"/>
    </w:rPr>
  </w:style>
  <w:style w:type="paragraph" w:customStyle="1" w:styleId="594">
    <w:name w:val="正文箭头"/>
    <w:basedOn w:val="246"/>
    <w:qFormat/>
    <w:uiPriority w:val="0"/>
  </w:style>
  <w:style w:type="paragraph" w:customStyle="1" w:styleId="595">
    <w:name w:val="U_编号2"/>
    <w:basedOn w:val="1"/>
    <w:qFormat/>
    <w:uiPriority w:val="0"/>
    <w:pPr>
      <w:tabs>
        <w:tab w:val="left" w:pos="785"/>
      </w:tabs>
      <w:adjustRightInd/>
      <w:spacing w:beforeLines="10" w:afterLines="10" w:line="300" w:lineRule="auto"/>
    </w:pPr>
    <w:rPr>
      <w:sz w:val="24"/>
    </w:rPr>
  </w:style>
  <w:style w:type="paragraph" w:customStyle="1" w:styleId="596">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7">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8">
    <w:name w:val="标书标题3"/>
    <w:basedOn w:val="2"/>
    <w:qFormat/>
    <w:uiPriority w:val="0"/>
    <w:pPr>
      <w:widowControl/>
      <w:spacing w:before="120" w:after="60" w:line="300" w:lineRule="auto"/>
      <w:jc w:val="left"/>
    </w:pPr>
    <w:rPr>
      <w:rFonts w:ascii="Arial Narrow" w:hAnsi="Arial Narrow" w:eastAsia="仿宋_GB2312"/>
      <w:b w:val="0"/>
      <w:bCs w:val="0"/>
      <w:color w:val="000000"/>
      <w:kern w:val="0"/>
      <w:sz w:val="28"/>
    </w:rPr>
  </w:style>
  <w:style w:type="paragraph" w:customStyle="1" w:styleId="599">
    <w:name w:val="TOC 标题11"/>
    <w:basedOn w:val="4"/>
    <w:next w:val="1"/>
    <w:unhideWhenUsed/>
    <w:qFormat/>
    <w:uiPriority w:val="4"/>
    <w:pPr>
      <w:widowControl/>
      <w:adjustRightInd/>
      <w:spacing w:before="480" w:line="276" w:lineRule="auto"/>
      <w:jc w:val="left"/>
      <w:outlineLvl w:val="9"/>
    </w:pPr>
    <w:rPr>
      <w:rFonts w:ascii="Cambria" w:hAnsi="Cambria"/>
      <w:color w:val="365F91"/>
      <w:kern w:val="0"/>
      <w:sz w:val="28"/>
      <w:szCs w:val="28"/>
    </w:rPr>
  </w:style>
  <w:style w:type="paragraph" w:customStyle="1" w:styleId="600">
    <w:name w:val="_Style 1"/>
    <w:basedOn w:val="1"/>
    <w:qFormat/>
    <w:uiPriority w:val="34"/>
    <w:pPr>
      <w:adjustRightInd/>
      <w:ind w:firstLine="420" w:firstLineChars="200"/>
    </w:pPr>
    <w:rPr>
      <w:rFonts w:eastAsia="仿宋_GB2312"/>
      <w:sz w:val="28"/>
    </w:rPr>
  </w:style>
  <w:style w:type="paragraph" w:customStyle="1" w:styleId="601">
    <w:name w:val="表格 内容"/>
    <w:basedOn w:val="437"/>
    <w:qFormat/>
    <w:uiPriority w:val="0"/>
    <w:rPr>
      <w:b w:val="0"/>
      <w:sz w:val="20"/>
    </w:rPr>
  </w:style>
  <w:style w:type="paragraph" w:customStyle="1" w:styleId="602">
    <w:name w:val="正文首行缩进1"/>
    <w:basedOn w:val="34"/>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603">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604">
    <w:name w:val="数字标题5"/>
    <w:basedOn w:val="7"/>
    <w:next w:val="1"/>
    <w:qFormat/>
    <w:uiPriority w:val="0"/>
    <w:pPr>
      <w:tabs>
        <w:tab w:val="left" w:pos="1080"/>
        <w:tab w:val="clear" w:pos="1008"/>
      </w:tabs>
      <w:ind w:left="1080" w:hanging="1080"/>
    </w:pPr>
  </w:style>
  <w:style w:type="paragraph" w:customStyle="1" w:styleId="605">
    <w:name w:val="数字标题1"/>
    <w:basedOn w:val="4"/>
    <w:next w:val="1"/>
    <w:qFormat/>
    <w:uiPriority w:val="0"/>
    <w:pPr>
      <w:tabs>
        <w:tab w:val="left" w:pos="480"/>
        <w:tab w:val="clear" w:pos="432"/>
      </w:tabs>
      <w:ind w:left="480" w:hanging="480"/>
    </w:pPr>
  </w:style>
  <w:style w:type="paragraph" w:customStyle="1" w:styleId="606">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607">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608">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609">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610">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611">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612">
    <w:name w:val="0"/>
    <w:basedOn w:val="1"/>
    <w:qFormat/>
    <w:uiPriority w:val="0"/>
    <w:pPr>
      <w:widowControl/>
    </w:pPr>
    <w:rPr>
      <w:kern w:val="0"/>
      <w:sz w:val="24"/>
      <w:szCs w:val="20"/>
    </w:rPr>
  </w:style>
  <w:style w:type="paragraph" w:customStyle="1" w:styleId="613">
    <w:name w:val="Char Char113"/>
    <w:basedOn w:val="1"/>
    <w:qFormat/>
    <w:uiPriority w:val="0"/>
    <w:pPr>
      <w:widowControl/>
      <w:spacing w:after="160" w:line="240" w:lineRule="exact"/>
      <w:jc w:val="left"/>
    </w:pPr>
    <w:rPr>
      <w:rFonts w:eastAsia="仿宋_GB2312"/>
      <w:sz w:val="28"/>
    </w:rPr>
  </w:style>
  <w:style w:type="paragraph" w:customStyle="1" w:styleId="614">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615">
    <w:name w:val="_Style 8"/>
    <w:basedOn w:val="1"/>
    <w:qFormat/>
    <w:uiPriority w:val="34"/>
    <w:pPr>
      <w:adjustRightInd/>
      <w:ind w:firstLine="420" w:firstLineChars="200"/>
    </w:pPr>
    <w:rPr>
      <w:rFonts w:eastAsia="仿宋_GB2312"/>
      <w:sz w:val="28"/>
    </w:rPr>
  </w:style>
  <w:style w:type="paragraph" w:customStyle="1" w:styleId="616">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617">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618">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9">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620">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621">
    <w:name w:val="Char Char112"/>
    <w:basedOn w:val="1"/>
    <w:qFormat/>
    <w:uiPriority w:val="6"/>
    <w:pPr>
      <w:widowControl/>
      <w:spacing w:after="160" w:line="240" w:lineRule="exact"/>
      <w:jc w:val="left"/>
    </w:pPr>
    <w:rPr>
      <w:rFonts w:eastAsia="仿宋_GB2312"/>
      <w:sz w:val="28"/>
    </w:rPr>
  </w:style>
  <w:style w:type="paragraph" w:customStyle="1" w:styleId="622">
    <w:name w:val="正文 图"/>
    <w:basedOn w:val="151"/>
    <w:qFormat/>
    <w:uiPriority w:val="0"/>
    <w:pPr>
      <w:adjustRightInd/>
      <w:spacing w:before="0"/>
      <w:ind w:firstLine="0"/>
      <w:jc w:val="center"/>
    </w:pPr>
    <w:rPr>
      <w:rFonts w:ascii="微软雅黑" w:hAnsi="微软雅黑"/>
    </w:rPr>
  </w:style>
  <w:style w:type="paragraph" w:customStyle="1" w:styleId="623">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24">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625">
    <w:name w:val="Thf"/>
    <w:basedOn w:val="270"/>
    <w:qFormat/>
    <w:uiPriority w:val="0"/>
    <w:pPr>
      <w:ind w:left="0"/>
    </w:pPr>
  </w:style>
  <w:style w:type="paragraph" w:customStyle="1" w:styleId="626">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27">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628">
    <w:name w:val="注释"/>
    <w:basedOn w:val="1"/>
    <w:qFormat/>
    <w:uiPriority w:val="0"/>
    <w:pPr>
      <w:adjustRightInd/>
      <w:spacing w:line="360" w:lineRule="auto"/>
      <w:ind w:firstLine="480"/>
    </w:pPr>
    <w:rPr>
      <w:sz w:val="24"/>
    </w:rPr>
  </w:style>
  <w:style w:type="paragraph" w:customStyle="1" w:styleId="629">
    <w:name w:val="列出段落111"/>
    <w:basedOn w:val="1"/>
    <w:qFormat/>
    <w:uiPriority w:val="34"/>
    <w:pPr>
      <w:ind w:firstLine="420" w:firstLineChars="200"/>
    </w:pPr>
  </w:style>
  <w:style w:type="paragraph" w:customStyle="1" w:styleId="630">
    <w:name w:val="标准文本"/>
    <w:basedOn w:val="1"/>
    <w:link w:val="1072"/>
    <w:qFormat/>
    <w:uiPriority w:val="0"/>
    <w:pPr>
      <w:adjustRightInd/>
      <w:spacing w:line="360" w:lineRule="auto"/>
      <w:ind w:firstLine="480" w:firstLineChars="200"/>
    </w:pPr>
    <w:rPr>
      <w:rFonts w:cs="宋体"/>
      <w:sz w:val="24"/>
      <w:szCs w:val="20"/>
    </w:rPr>
  </w:style>
  <w:style w:type="paragraph" w:customStyle="1" w:styleId="631">
    <w:name w:val="_Style 947"/>
    <w:basedOn w:val="1"/>
    <w:next w:val="125"/>
    <w:qFormat/>
    <w:uiPriority w:val="34"/>
    <w:pPr>
      <w:adjustRightInd/>
      <w:ind w:firstLine="420" w:firstLineChars="200"/>
    </w:pPr>
  </w:style>
  <w:style w:type="paragraph" w:customStyle="1" w:styleId="632">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633">
    <w:name w:val="纯文本2"/>
    <w:basedOn w:val="1"/>
    <w:qFormat/>
    <w:uiPriority w:val="0"/>
    <w:pPr>
      <w:adjustRightInd/>
      <w:snapToGrid w:val="0"/>
      <w:jc w:val="left"/>
    </w:pPr>
    <w:rPr>
      <w:rFonts w:ascii="Century Gothic" w:hAnsi="楷体_GB2312" w:eastAsia="Century Gothic"/>
      <w:szCs w:val="20"/>
    </w:rPr>
  </w:style>
  <w:style w:type="paragraph" w:customStyle="1" w:styleId="634">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35">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36">
    <w:name w:val="节"/>
    <w:basedOn w:val="5"/>
    <w:qFormat/>
    <w:uiPriority w:val="0"/>
    <w:pPr>
      <w:tabs>
        <w:tab w:val="clear" w:pos="432"/>
      </w:tabs>
      <w:spacing w:before="160" w:after="160" w:line="720" w:lineRule="exact"/>
      <w:jc w:val="center"/>
    </w:pPr>
    <w:rPr>
      <w:rFonts w:ascii="Arial" w:hAnsi="Arial" w:eastAsia="楷体"/>
      <w:color w:val="000000"/>
      <w:spacing w:val="14"/>
      <w:kern w:val="24"/>
      <w:szCs w:val="20"/>
      <w:lang w:val="en-US"/>
    </w:rPr>
  </w:style>
  <w:style w:type="paragraph" w:customStyle="1" w:styleId="637">
    <w:name w:val="Blockquote"/>
    <w:basedOn w:val="1"/>
    <w:qFormat/>
    <w:uiPriority w:val="0"/>
    <w:pPr>
      <w:autoSpaceDE w:val="0"/>
      <w:autoSpaceDN w:val="0"/>
      <w:spacing w:before="100" w:after="100"/>
      <w:ind w:left="360" w:right="360"/>
      <w:jc w:val="left"/>
    </w:pPr>
    <w:rPr>
      <w:kern w:val="0"/>
      <w:sz w:val="24"/>
      <w:szCs w:val="20"/>
    </w:rPr>
  </w:style>
  <w:style w:type="paragraph" w:customStyle="1" w:styleId="638">
    <w:name w:val="p1"/>
    <w:basedOn w:val="1"/>
    <w:qFormat/>
    <w:uiPriority w:val="0"/>
    <w:pPr>
      <w:widowControl/>
      <w:adjustRightInd/>
      <w:jc w:val="left"/>
    </w:pPr>
    <w:rPr>
      <w:rFonts w:ascii=".PingFang SC" w:eastAsia=".PingFang SC"/>
      <w:color w:val="454545"/>
      <w:kern w:val="0"/>
      <w:sz w:val="18"/>
      <w:szCs w:val="18"/>
    </w:rPr>
  </w:style>
  <w:style w:type="paragraph" w:customStyle="1" w:styleId="639">
    <w:name w:val="Table Paragraph"/>
    <w:basedOn w:val="1"/>
    <w:qFormat/>
    <w:uiPriority w:val="1"/>
    <w:pPr>
      <w:adjustRightInd/>
      <w:jc w:val="left"/>
    </w:pPr>
    <w:rPr>
      <w:rFonts w:ascii="Calibri" w:hAnsi="Calibri"/>
      <w:kern w:val="0"/>
      <w:sz w:val="22"/>
      <w:szCs w:val="22"/>
      <w:lang w:eastAsia="en-US"/>
    </w:rPr>
  </w:style>
  <w:style w:type="paragraph" w:customStyle="1" w:styleId="640">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41">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42">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43">
    <w:name w:val="[Normal]"/>
    <w:qFormat/>
    <w:uiPriority w:val="0"/>
    <w:rPr>
      <w:rFonts w:ascii="宋体" w:hAnsi="宋体" w:eastAsia="宋体" w:cs="Times New Roman"/>
      <w:sz w:val="24"/>
      <w:szCs w:val="22"/>
      <w:lang w:val="zh-CN" w:eastAsia="zh-CN" w:bidi="ar-SA"/>
    </w:rPr>
  </w:style>
  <w:style w:type="paragraph" w:customStyle="1" w:styleId="644">
    <w:name w:val="jd-正文1"/>
    <w:basedOn w:val="1"/>
    <w:qFormat/>
    <w:uiPriority w:val="0"/>
    <w:pPr>
      <w:widowControl/>
      <w:adjustRightInd/>
      <w:spacing w:line="360" w:lineRule="auto"/>
      <w:ind w:firstLine="482" w:firstLineChars="200"/>
    </w:pPr>
    <w:rPr>
      <w:rFonts w:ascii="宋体" w:hAnsi="宋体" w:cs="宋体"/>
      <w:sz w:val="24"/>
      <w:szCs w:val="20"/>
    </w:rPr>
  </w:style>
  <w:style w:type="paragraph" w:customStyle="1" w:styleId="645">
    <w:name w:val="_正文"/>
    <w:basedOn w:val="1"/>
    <w:link w:val="1090"/>
    <w:qFormat/>
    <w:uiPriority w:val="0"/>
    <w:pPr>
      <w:tabs>
        <w:tab w:val="left" w:pos="840"/>
      </w:tabs>
      <w:adjustRightInd/>
      <w:spacing w:line="360" w:lineRule="auto"/>
      <w:ind w:firstLine="200" w:firstLineChars="200"/>
    </w:pPr>
    <w:rPr>
      <w:sz w:val="24"/>
    </w:rPr>
  </w:style>
  <w:style w:type="paragraph" w:customStyle="1" w:styleId="646">
    <w:name w:val="亚运 5级标题"/>
    <w:basedOn w:val="7"/>
    <w:link w:val="1091"/>
    <w:qFormat/>
    <w:uiPriority w:val="0"/>
    <w:pPr>
      <w:numPr>
        <w:ilvl w:val="4"/>
        <w:numId w:val="4"/>
      </w:numPr>
      <w:tabs>
        <w:tab w:val="left" w:pos="700"/>
        <w:tab w:val="left" w:pos="840"/>
        <w:tab w:val="clear" w:pos="1008"/>
      </w:tabs>
      <w:textAlignment w:val="baseline"/>
    </w:pPr>
    <w:rPr>
      <w:rFonts w:ascii="宋体" w:hAnsi="宋体"/>
      <w:color w:val="000000"/>
      <w:sz w:val="24"/>
    </w:rPr>
  </w:style>
  <w:style w:type="paragraph" w:customStyle="1" w:styleId="647">
    <w:name w:val="修订4"/>
    <w:semiHidden/>
    <w:qFormat/>
    <w:uiPriority w:val="99"/>
    <w:rPr>
      <w:rFonts w:ascii="Times New Roman" w:hAnsi="Times New Roman" w:eastAsia="宋体" w:cs="Times New Roman"/>
      <w:kern w:val="2"/>
      <w:sz w:val="21"/>
      <w:szCs w:val="24"/>
      <w:lang w:val="en-US" w:eastAsia="zh-CN" w:bidi="ar-SA"/>
    </w:rPr>
  </w:style>
  <w:style w:type="paragraph" w:customStyle="1" w:styleId="648">
    <w:name w:val="修订5"/>
    <w:semiHidden/>
    <w:qFormat/>
    <w:uiPriority w:val="99"/>
    <w:rPr>
      <w:rFonts w:ascii="Times New Roman" w:hAnsi="Times New Roman" w:eastAsia="宋体" w:cs="Times New Roman"/>
      <w:kern w:val="2"/>
      <w:sz w:val="21"/>
      <w:szCs w:val="24"/>
      <w:lang w:val="en-US" w:eastAsia="zh-CN" w:bidi="ar-SA"/>
    </w:rPr>
  </w:style>
  <w:style w:type="paragraph" w:customStyle="1" w:styleId="649">
    <w:name w:val="正文缩"/>
    <w:basedOn w:val="1"/>
    <w:link w:val="1092"/>
    <w:qFormat/>
    <w:uiPriority w:val="0"/>
    <w:pPr>
      <w:adjustRightInd/>
      <w:spacing w:line="360" w:lineRule="auto"/>
      <w:ind w:firstLine="200" w:firstLineChars="200"/>
    </w:pPr>
    <w:rPr>
      <w:rFonts w:eastAsia="楷体_GB2312"/>
      <w:sz w:val="24"/>
    </w:rPr>
  </w:style>
  <w:style w:type="paragraph" w:customStyle="1" w:styleId="650">
    <w:name w:val="亚运3级标题"/>
    <w:basedOn w:val="1"/>
    <w:link w:val="1094"/>
    <w:qFormat/>
    <w:uiPriority w:val="0"/>
    <w:pPr>
      <w:keepNext/>
      <w:keepLines/>
      <w:tabs>
        <w:tab w:val="left" w:pos="720"/>
        <w:tab w:val="left" w:pos="840"/>
      </w:tabs>
      <w:snapToGrid w:val="0"/>
      <w:spacing w:line="360" w:lineRule="auto"/>
      <w:outlineLvl w:val="2"/>
    </w:pPr>
    <w:rPr>
      <w:rFonts w:ascii="黑体" w:hAnsi="黑体" w:eastAsia="仿宋" w:cs="Arial"/>
      <w:bCs/>
      <w:sz w:val="30"/>
      <w:szCs w:val="30"/>
    </w:rPr>
  </w:style>
  <w:style w:type="paragraph" w:customStyle="1" w:styleId="651">
    <w:name w:val="亚运 4级标题"/>
    <w:basedOn w:val="6"/>
    <w:link w:val="1095"/>
    <w:qFormat/>
    <w:uiPriority w:val="0"/>
    <w:pPr>
      <w:tabs>
        <w:tab w:val="left" w:pos="840"/>
        <w:tab w:val="clear" w:pos="864"/>
      </w:tabs>
      <w:snapToGrid w:val="0"/>
      <w:spacing w:before="0" w:after="0" w:line="360" w:lineRule="auto"/>
      <w:ind w:left="0" w:firstLine="0"/>
      <w:textAlignment w:val="baseline"/>
    </w:pPr>
    <w:rPr>
      <w:rFonts w:ascii="黑体" w:hAnsi="黑体" w:eastAsia="仿宋"/>
      <w:b w:val="0"/>
      <w:color w:val="000000"/>
      <w:kern w:val="0"/>
      <w:sz w:val="30"/>
      <w:szCs w:val="30"/>
      <w:lang w:val="en-US"/>
    </w:rPr>
  </w:style>
  <w:style w:type="paragraph" w:customStyle="1" w:styleId="652">
    <w:name w:val="修订6"/>
    <w:hidden/>
    <w:semiHidden/>
    <w:qFormat/>
    <w:uiPriority w:val="99"/>
    <w:rPr>
      <w:rFonts w:ascii="Times New Roman" w:hAnsi="Times New Roman" w:eastAsia="宋体" w:cs="Times New Roman"/>
      <w:kern w:val="2"/>
      <w:sz w:val="21"/>
      <w:szCs w:val="24"/>
      <w:lang w:val="en-US" w:eastAsia="zh-CN" w:bidi="ar-SA"/>
    </w:rPr>
  </w:style>
  <w:style w:type="paragraph" w:customStyle="1" w:styleId="653">
    <w:name w:val="修订7"/>
    <w:hidden/>
    <w:semiHidden/>
    <w:qFormat/>
    <w:uiPriority w:val="99"/>
    <w:rPr>
      <w:rFonts w:ascii="Times New Roman" w:hAnsi="Times New Roman" w:eastAsia="宋体" w:cs="Times New Roman"/>
      <w:kern w:val="2"/>
      <w:sz w:val="21"/>
      <w:szCs w:val="24"/>
      <w:lang w:val="en-US" w:eastAsia="zh-CN" w:bidi="ar-SA"/>
    </w:rPr>
  </w:style>
  <w:style w:type="paragraph" w:customStyle="1" w:styleId="654">
    <w:name w:val="修订8"/>
    <w:hidden/>
    <w:semiHidden/>
    <w:qFormat/>
    <w:uiPriority w:val="99"/>
    <w:rPr>
      <w:rFonts w:ascii="Times New Roman" w:hAnsi="Times New Roman" w:eastAsia="宋体" w:cs="Times New Roman"/>
      <w:kern w:val="2"/>
      <w:sz w:val="21"/>
      <w:szCs w:val="24"/>
      <w:lang w:val="en-US" w:eastAsia="zh-CN" w:bidi="ar-SA"/>
    </w:rPr>
  </w:style>
  <w:style w:type="paragraph" w:customStyle="1" w:styleId="655">
    <w:name w:val="修订9"/>
    <w:hidden/>
    <w:semiHidden/>
    <w:qFormat/>
    <w:uiPriority w:val="99"/>
    <w:rPr>
      <w:rFonts w:ascii="Times New Roman" w:hAnsi="Times New Roman" w:eastAsia="宋体" w:cs="Times New Roman"/>
      <w:kern w:val="2"/>
      <w:sz w:val="21"/>
      <w:szCs w:val="24"/>
      <w:lang w:val="en-US" w:eastAsia="zh-CN" w:bidi="ar-SA"/>
    </w:rPr>
  </w:style>
  <w:style w:type="paragraph" w:customStyle="1" w:styleId="656">
    <w:name w:val="列表段落2"/>
    <w:basedOn w:val="1"/>
    <w:qFormat/>
    <w:uiPriority w:val="0"/>
    <w:pPr>
      <w:ind w:firstLine="420" w:firstLineChars="200"/>
    </w:pPr>
  </w:style>
  <w:style w:type="paragraph" w:customStyle="1" w:styleId="657">
    <w:name w:val="表格正文"/>
    <w:qFormat/>
    <w:uiPriority w:val="0"/>
    <w:pPr>
      <w:widowControl w:val="0"/>
      <w:adjustRightInd w:val="0"/>
      <w:snapToGrid w:val="0"/>
      <w:jc w:val="center"/>
      <w:textAlignment w:val="baseline"/>
    </w:pPr>
    <w:rPr>
      <w:rFonts w:ascii="宋体" w:hAnsi="Arial" w:eastAsia="宋体" w:cs="宋体"/>
      <w:szCs w:val="18"/>
      <w:lang w:val="en-US" w:eastAsia="zh-CN" w:bidi="ar-SA"/>
    </w:rPr>
  </w:style>
  <w:style w:type="paragraph" w:customStyle="1" w:styleId="658">
    <w:name w:val="修订10"/>
    <w:hidden/>
    <w:semiHidden/>
    <w:qFormat/>
    <w:uiPriority w:val="99"/>
    <w:rPr>
      <w:rFonts w:ascii="Times New Roman" w:hAnsi="Times New Roman" w:eastAsia="宋体" w:cs="Times New Roman"/>
      <w:kern w:val="2"/>
      <w:sz w:val="21"/>
      <w:szCs w:val="24"/>
      <w:lang w:val="en-US" w:eastAsia="zh-CN" w:bidi="ar-SA"/>
    </w:rPr>
  </w:style>
  <w:style w:type="paragraph" w:customStyle="1" w:styleId="659">
    <w:name w:val="修订11"/>
    <w:hidden/>
    <w:qFormat/>
    <w:uiPriority w:val="0"/>
    <w:rPr>
      <w:rFonts w:ascii="Times New Roman" w:hAnsi="Times New Roman" w:eastAsia="宋体" w:cs="Times New Roman"/>
      <w:kern w:val="2"/>
      <w:sz w:val="21"/>
      <w:szCs w:val="24"/>
      <w:lang w:val="en-US" w:eastAsia="zh-CN" w:bidi="ar-SA"/>
    </w:rPr>
  </w:style>
  <w:style w:type="paragraph" w:customStyle="1" w:styleId="660">
    <w:name w:val="修订12"/>
    <w:hidden/>
    <w:semiHidden/>
    <w:qFormat/>
    <w:uiPriority w:val="99"/>
    <w:rPr>
      <w:rFonts w:ascii="Times New Roman" w:hAnsi="Times New Roman" w:eastAsia="宋体" w:cs="Times New Roman"/>
      <w:kern w:val="2"/>
      <w:sz w:val="21"/>
      <w:szCs w:val="24"/>
      <w:lang w:val="en-US" w:eastAsia="zh-CN" w:bidi="ar-SA"/>
    </w:rPr>
  </w:style>
  <w:style w:type="paragraph" w:customStyle="1" w:styleId="661">
    <w:name w:val="正文（上会）"/>
    <w:basedOn w:val="1"/>
    <w:link w:val="1106"/>
    <w:qFormat/>
    <w:uiPriority w:val="0"/>
    <w:pPr>
      <w:adjustRightInd/>
      <w:spacing w:line="336" w:lineRule="auto"/>
      <w:ind w:firstLine="200" w:firstLineChars="200"/>
    </w:pPr>
    <w:rPr>
      <w:rFonts w:ascii="仿宋_GB2312" w:hAnsi="仿宋_GB2312" w:eastAsia="仿宋_GB2312" w:cs="仿宋_GB2312"/>
      <w:sz w:val="32"/>
      <w:szCs w:val="32"/>
    </w:rPr>
  </w:style>
  <w:style w:type="paragraph" w:customStyle="1" w:styleId="662">
    <w:name w:val="样式 宋体 小四 行距: 1.5 倍行距 首行缩进:  2 字符"/>
    <w:basedOn w:val="1"/>
    <w:qFormat/>
    <w:uiPriority w:val="0"/>
    <w:pPr>
      <w:adjustRightInd/>
      <w:spacing w:line="360" w:lineRule="auto"/>
      <w:ind w:firstLine="200" w:firstLineChars="200"/>
    </w:pPr>
    <w:rPr>
      <w:rFonts w:ascii="宋体" w:hAnsi="宋体" w:cs="宋体"/>
      <w:sz w:val="24"/>
    </w:rPr>
  </w:style>
  <w:style w:type="paragraph" w:customStyle="1" w:styleId="663">
    <w:name w:val="二级标题"/>
    <w:basedOn w:val="5"/>
    <w:link w:val="1110"/>
    <w:qFormat/>
    <w:uiPriority w:val="0"/>
    <w:pPr>
      <w:numPr>
        <w:ilvl w:val="1"/>
        <w:numId w:val="5"/>
      </w:numPr>
      <w:tabs>
        <w:tab w:val="clear" w:pos="432"/>
      </w:tabs>
      <w:adjustRightInd/>
      <w:ind w:left="0"/>
    </w:pPr>
    <w:rPr>
      <w:rFonts w:ascii="Arial" w:hAnsi="Arial" w:cs="宋体"/>
      <w:sz w:val="30"/>
      <w:lang w:val="en-US"/>
    </w:rPr>
  </w:style>
  <w:style w:type="paragraph" w:customStyle="1" w:styleId="664">
    <w:name w:val="四级标题"/>
    <w:basedOn w:val="6"/>
    <w:link w:val="1111"/>
    <w:qFormat/>
    <w:uiPriority w:val="0"/>
    <w:pPr>
      <w:numPr>
        <w:ilvl w:val="3"/>
        <w:numId w:val="5"/>
      </w:numPr>
      <w:tabs>
        <w:tab w:val="clear" w:pos="864"/>
      </w:tabs>
      <w:adjustRightInd/>
      <w:spacing w:before="0" w:after="0" w:line="360" w:lineRule="auto"/>
      <w:jc w:val="left"/>
    </w:pPr>
    <w:rPr>
      <w:rFonts w:eastAsia="宋体" w:cs="宋体"/>
      <w:lang w:val="en-US"/>
    </w:rPr>
  </w:style>
  <w:style w:type="paragraph" w:customStyle="1" w:styleId="665">
    <w:name w:val="五级标题"/>
    <w:basedOn w:val="7"/>
    <w:link w:val="1112"/>
    <w:qFormat/>
    <w:uiPriority w:val="0"/>
    <w:pPr>
      <w:numPr>
        <w:ilvl w:val="4"/>
        <w:numId w:val="5"/>
      </w:numPr>
      <w:tabs>
        <w:tab w:val="clear" w:pos="1008"/>
      </w:tabs>
      <w:adjustRightInd/>
      <w:snapToGrid/>
    </w:pPr>
    <w:rPr>
      <w:rFonts w:ascii="Arial" w:hAnsi="Arial" w:cs="宋体"/>
      <w:kern w:val="0"/>
    </w:rPr>
  </w:style>
  <w:style w:type="paragraph" w:customStyle="1" w:styleId="666">
    <w:name w:val="六级标题"/>
    <w:basedOn w:val="8"/>
    <w:link w:val="1113"/>
    <w:qFormat/>
    <w:uiPriority w:val="0"/>
    <w:pPr>
      <w:numPr>
        <w:ilvl w:val="5"/>
        <w:numId w:val="5"/>
      </w:numPr>
      <w:tabs>
        <w:tab w:val="clear" w:pos="1152"/>
      </w:tabs>
      <w:adjustRightInd/>
      <w:snapToGrid/>
    </w:pPr>
    <w:rPr>
      <w:rFonts w:eastAsia="宋体" w:cs="宋体"/>
      <w:sz w:val="28"/>
    </w:rPr>
  </w:style>
  <w:style w:type="paragraph" w:customStyle="1" w:styleId="667">
    <w:name w:val="七级标题"/>
    <w:basedOn w:val="9"/>
    <w:qFormat/>
    <w:uiPriority w:val="0"/>
    <w:pPr>
      <w:numPr>
        <w:ilvl w:val="6"/>
        <w:numId w:val="5"/>
      </w:numPr>
      <w:tabs>
        <w:tab w:val="clear" w:pos="1296"/>
      </w:tabs>
      <w:adjustRightInd/>
      <w:snapToGrid/>
    </w:pPr>
    <w:rPr>
      <w:rFonts w:ascii="Arial" w:hAnsi="Arial" w:cs="宋体"/>
      <w:kern w:val="0"/>
    </w:rPr>
  </w:style>
  <w:style w:type="paragraph" w:customStyle="1" w:styleId="668">
    <w:name w:val="八级标题"/>
    <w:basedOn w:val="10"/>
    <w:qFormat/>
    <w:uiPriority w:val="0"/>
    <w:pPr>
      <w:numPr>
        <w:ilvl w:val="7"/>
        <w:numId w:val="5"/>
      </w:numPr>
      <w:tabs>
        <w:tab w:val="clear" w:pos="1440"/>
      </w:tabs>
      <w:adjustRightInd/>
      <w:spacing w:before="0" w:after="0" w:line="360" w:lineRule="auto"/>
      <w:jc w:val="left"/>
    </w:pPr>
    <w:rPr>
      <w:rFonts w:eastAsia="宋体" w:cs="宋体"/>
      <w:b/>
      <w:kern w:val="0"/>
      <w:sz w:val="28"/>
    </w:rPr>
  </w:style>
  <w:style w:type="paragraph" w:customStyle="1" w:styleId="669">
    <w:name w:val="九级标题"/>
    <w:basedOn w:val="11"/>
    <w:qFormat/>
    <w:uiPriority w:val="0"/>
    <w:pPr>
      <w:numPr>
        <w:ilvl w:val="8"/>
        <w:numId w:val="5"/>
      </w:numPr>
      <w:tabs>
        <w:tab w:val="clear" w:pos="1584"/>
      </w:tabs>
      <w:adjustRightInd/>
      <w:spacing w:before="0" w:after="0" w:line="360" w:lineRule="auto"/>
    </w:pPr>
    <w:rPr>
      <w:rFonts w:eastAsia="宋体" w:cs="宋体"/>
      <w:b/>
      <w:kern w:val="0"/>
      <w:sz w:val="28"/>
    </w:rPr>
  </w:style>
  <w:style w:type="paragraph" w:customStyle="1" w:styleId="670">
    <w:name w:val="一级标题"/>
    <w:basedOn w:val="663"/>
    <w:qFormat/>
    <w:uiPriority w:val="0"/>
    <w:pPr>
      <w:numPr>
        <w:ilvl w:val="0"/>
      </w:numPr>
      <w:tabs>
        <w:tab w:val="left" w:pos="360"/>
      </w:tabs>
      <w:outlineLvl w:val="0"/>
    </w:pPr>
  </w:style>
  <w:style w:type="paragraph" w:customStyle="1" w:styleId="671">
    <w:name w:val="三级标题正式"/>
    <w:qFormat/>
    <w:uiPriority w:val="0"/>
    <w:pPr>
      <w:numPr>
        <w:ilvl w:val="2"/>
        <w:numId w:val="5"/>
      </w:numPr>
      <w:spacing w:line="360" w:lineRule="auto"/>
      <w:outlineLvl w:val="2"/>
    </w:pPr>
    <w:rPr>
      <w:rFonts w:ascii="Arial" w:hAnsi="Arial" w:eastAsia="宋体" w:cs="Times New Roman"/>
      <w:b/>
      <w:kern w:val="2"/>
      <w:sz w:val="28"/>
      <w:szCs w:val="24"/>
      <w:lang w:val="en-US" w:eastAsia="zh-CN" w:bidi="ar-SA"/>
    </w:rPr>
  </w:style>
  <w:style w:type="paragraph" w:customStyle="1" w:styleId="672">
    <w:name w:val="正文（缩进）"/>
    <w:basedOn w:val="1"/>
    <w:link w:val="1116"/>
    <w:qFormat/>
    <w:uiPriority w:val="0"/>
    <w:pPr>
      <w:widowControl/>
      <w:adjustRightInd/>
      <w:spacing w:line="360" w:lineRule="auto"/>
      <w:ind w:left="-34" w:leftChars="-14" w:firstLine="480" w:firstLineChars="200"/>
      <w:jc w:val="left"/>
    </w:pPr>
    <w:rPr>
      <w:rFonts w:ascii="宋体" w:hAnsi="宋体"/>
      <w:kern w:val="0"/>
      <w:sz w:val="24"/>
    </w:rPr>
  </w:style>
  <w:style w:type="paragraph" w:customStyle="1" w:styleId="673">
    <w:name w:val="编号1"/>
    <w:basedOn w:val="1"/>
    <w:next w:val="1"/>
    <w:link w:val="1130"/>
    <w:qFormat/>
    <w:uiPriority w:val="0"/>
    <w:pPr>
      <w:tabs>
        <w:tab w:val="left" w:pos="256"/>
      </w:tabs>
      <w:adjustRightInd/>
    </w:pPr>
    <w:rPr>
      <w:rFonts w:eastAsia="仿宋_GB2312"/>
      <w:sz w:val="28"/>
    </w:rPr>
  </w:style>
  <w:style w:type="paragraph" w:customStyle="1" w:styleId="674">
    <w:name w:val="正文ll"/>
    <w:basedOn w:val="1"/>
    <w:link w:val="1117"/>
    <w:qFormat/>
    <w:uiPriority w:val="0"/>
    <w:pPr>
      <w:adjustRightInd/>
      <w:spacing w:line="360" w:lineRule="auto"/>
      <w:ind w:firstLine="480" w:firstLineChars="200"/>
    </w:pPr>
    <w:rPr>
      <w:sz w:val="24"/>
    </w:rPr>
  </w:style>
  <w:style w:type="paragraph" w:customStyle="1" w:styleId="675">
    <w:name w:val="正文-段落"/>
    <w:link w:val="1123"/>
    <w:qFormat/>
    <w:uiPriority w:val="0"/>
    <w:pPr>
      <w:spacing w:line="360" w:lineRule="auto"/>
      <w:ind w:firstLine="200" w:firstLineChars="200"/>
    </w:pPr>
    <w:rPr>
      <w:rFonts w:ascii="Times New Roman" w:hAnsi="Times New Roman" w:eastAsia="宋体" w:cs="Times New Roman"/>
      <w:sz w:val="24"/>
      <w:szCs w:val="24"/>
      <w:lang w:val="en-US" w:eastAsia="zh-CN" w:bidi="ar-SA"/>
    </w:rPr>
  </w:style>
  <w:style w:type="paragraph" w:customStyle="1" w:styleId="676">
    <w:name w:val="图片"/>
    <w:basedOn w:val="1"/>
    <w:link w:val="1126"/>
    <w:qFormat/>
    <w:uiPriority w:val="0"/>
    <w:pPr>
      <w:adjustRightInd/>
      <w:spacing w:line="360" w:lineRule="auto"/>
      <w:jc w:val="center"/>
    </w:pPr>
    <w:rPr>
      <w:rFonts w:ascii="仿宋" w:hAnsi="仿宋" w:eastAsia="仿宋"/>
      <w:sz w:val="28"/>
    </w:rPr>
  </w:style>
  <w:style w:type="paragraph" w:customStyle="1" w:styleId="677">
    <w:name w:val="正缩"/>
    <w:basedOn w:val="1"/>
    <w:link w:val="1127"/>
    <w:qFormat/>
    <w:uiPriority w:val="0"/>
    <w:pPr>
      <w:adjustRightInd/>
      <w:spacing w:line="360" w:lineRule="auto"/>
      <w:ind w:firstLine="480" w:firstLineChars="200"/>
    </w:pPr>
    <w:rPr>
      <w:rFonts w:ascii="宋体" w:hAnsi="宋体"/>
      <w:sz w:val="24"/>
    </w:rPr>
  </w:style>
  <w:style w:type="paragraph" w:customStyle="1" w:styleId="678">
    <w:name w:val="标题4级"/>
    <w:basedOn w:val="6"/>
    <w:link w:val="1128"/>
    <w:qFormat/>
    <w:uiPriority w:val="0"/>
    <w:pPr>
      <w:tabs>
        <w:tab w:val="left" w:pos="284"/>
        <w:tab w:val="left" w:pos="426"/>
        <w:tab w:val="left" w:pos="840"/>
        <w:tab w:val="clear" w:pos="864"/>
      </w:tabs>
      <w:adjustRightInd/>
      <w:spacing w:before="120" w:after="120"/>
      <w:ind w:left="284" w:hanging="284"/>
    </w:pPr>
    <w:rPr>
      <w:rFonts w:ascii="宋体" w:hAnsi="宋体" w:eastAsia="宋体" w:cs="宋体"/>
      <w:snapToGrid w:val="0"/>
    </w:rPr>
  </w:style>
  <w:style w:type="paragraph" w:customStyle="1" w:styleId="679">
    <w:name w:val="图片2"/>
    <w:basedOn w:val="1"/>
    <w:link w:val="1134"/>
    <w:qFormat/>
    <w:uiPriority w:val="0"/>
    <w:pPr>
      <w:widowControl/>
      <w:adjustRightInd/>
      <w:spacing w:line="360" w:lineRule="auto"/>
      <w:jc w:val="center"/>
    </w:pPr>
    <w:rPr>
      <w:rFonts w:eastAsia="仿宋"/>
      <w:kern w:val="0"/>
      <w:sz w:val="32"/>
      <w:shd w:val="clear" w:color="auto" w:fill="FFFFFF"/>
    </w:rPr>
  </w:style>
  <w:style w:type="paragraph" w:customStyle="1" w:styleId="680">
    <w:name w:val="中等深浅底纹 1 - 着色 11"/>
    <w:link w:val="1135"/>
    <w:qFormat/>
    <w:uiPriority w:val="1"/>
    <w:rPr>
      <w:rFonts w:ascii="Times New Roman" w:hAnsi="Times New Roman" w:eastAsia="宋体" w:cs="Times New Roman"/>
      <w:sz w:val="22"/>
      <w:szCs w:val="22"/>
      <w:lang w:val="en-US" w:eastAsia="zh-CN" w:bidi="ar-SA"/>
    </w:rPr>
  </w:style>
  <w:style w:type="paragraph" w:customStyle="1" w:styleId="681">
    <w:name w:val="题注1"/>
    <w:basedOn w:val="1"/>
    <w:next w:val="1"/>
    <w:link w:val="1137"/>
    <w:qFormat/>
    <w:uiPriority w:val="0"/>
    <w:pPr>
      <w:adjustRightInd/>
      <w:jc w:val="center"/>
    </w:pPr>
    <w:rPr>
      <w:rFonts w:ascii="Arial" w:hAnsi="Arial" w:eastAsia="黑体" w:cs="宋体"/>
      <w:szCs w:val="20"/>
    </w:rPr>
  </w:style>
  <w:style w:type="paragraph" w:customStyle="1" w:styleId="682">
    <w:name w:val="图表标题"/>
    <w:basedOn w:val="1"/>
    <w:link w:val="1138"/>
    <w:qFormat/>
    <w:uiPriority w:val="0"/>
    <w:pPr>
      <w:adjustRightInd/>
      <w:spacing w:line="360" w:lineRule="auto"/>
      <w:jc w:val="center"/>
    </w:pPr>
    <w:rPr>
      <w:rFonts w:ascii="黑体" w:hAnsi="黑体" w:eastAsia="黑体"/>
      <w:b/>
      <w:kern w:val="0"/>
      <w:sz w:val="20"/>
      <w:szCs w:val="21"/>
    </w:rPr>
  </w:style>
  <w:style w:type="paragraph" w:customStyle="1" w:styleId="683">
    <w:name w:val="编号2"/>
    <w:basedOn w:val="1"/>
    <w:next w:val="1"/>
    <w:link w:val="1139"/>
    <w:qFormat/>
    <w:uiPriority w:val="0"/>
    <w:pPr>
      <w:numPr>
        <w:ilvl w:val="0"/>
        <w:numId w:val="6"/>
      </w:numPr>
      <w:tabs>
        <w:tab w:val="left" w:pos="397"/>
      </w:tabs>
      <w:adjustRightInd/>
    </w:pPr>
    <w:rPr>
      <w:rFonts w:ascii="宋体" w:hAnsi="宋体" w:eastAsia="仿宋_GB2312" w:cs="宋体"/>
      <w:sz w:val="28"/>
    </w:rPr>
  </w:style>
  <w:style w:type="paragraph" w:customStyle="1" w:styleId="684">
    <w:name w:val="样式 正文文本缩进 + 左  0 字符"/>
    <w:basedOn w:val="36"/>
    <w:link w:val="1144"/>
    <w:qFormat/>
    <w:uiPriority w:val="0"/>
    <w:pPr>
      <w:adjustRightInd/>
      <w:spacing w:line="360" w:lineRule="auto"/>
      <w:ind w:firstLine="250" w:firstLineChars="250"/>
    </w:pPr>
    <w:rPr>
      <w:rFonts w:ascii="Times New Roman" w:hAnsi="Times New Roman"/>
      <w:kern w:val="0"/>
      <w:szCs w:val="20"/>
      <w:lang w:eastAsia="en-US"/>
    </w:rPr>
  </w:style>
  <w:style w:type="paragraph" w:customStyle="1" w:styleId="685">
    <w:name w:val="中等深浅网格 1 - 着色 21"/>
    <w:basedOn w:val="1"/>
    <w:qFormat/>
    <w:uiPriority w:val="0"/>
    <w:pPr>
      <w:adjustRightInd/>
      <w:ind w:firstLine="420" w:firstLineChars="200"/>
    </w:pPr>
    <w:rPr>
      <w:rFonts w:ascii="Calibri" w:hAnsi="Calibri" w:cs="宋体"/>
      <w:szCs w:val="22"/>
    </w:rPr>
  </w:style>
  <w:style w:type="paragraph" w:customStyle="1" w:styleId="686">
    <w:name w:val="A_表格正文（加黑）"/>
    <w:basedOn w:val="687"/>
    <w:qFormat/>
    <w:uiPriority w:val="0"/>
    <w:rPr>
      <w:b/>
      <w:color w:val="000000"/>
    </w:rPr>
  </w:style>
  <w:style w:type="paragraph" w:customStyle="1" w:styleId="687">
    <w:name w:val="A_表格正文（居中）"/>
    <w:basedOn w:val="1"/>
    <w:qFormat/>
    <w:uiPriority w:val="0"/>
    <w:pPr>
      <w:adjustRightInd/>
      <w:jc w:val="center"/>
    </w:pPr>
    <w:rPr>
      <w:rFonts w:eastAsia="仿宋"/>
      <w:kern w:val="0"/>
      <w:szCs w:val="20"/>
    </w:rPr>
  </w:style>
  <w:style w:type="paragraph" w:customStyle="1" w:styleId="688">
    <w:name w:val="Bullet List"/>
    <w:basedOn w:val="1"/>
    <w:next w:val="656"/>
    <w:qFormat/>
    <w:uiPriority w:val="34"/>
    <w:pPr>
      <w:adjustRightInd/>
      <w:spacing w:line="360" w:lineRule="auto"/>
      <w:ind w:firstLine="200" w:firstLineChars="200"/>
    </w:pPr>
    <w:rPr>
      <w:rFonts w:ascii="宋体" w:hAnsi="宋体"/>
      <w:sz w:val="24"/>
    </w:rPr>
  </w:style>
  <w:style w:type="paragraph" w:customStyle="1" w:styleId="689">
    <w:name w:val="可研－正文"/>
    <w:basedOn w:val="1"/>
    <w:qFormat/>
    <w:uiPriority w:val="0"/>
    <w:pPr>
      <w:numPr>
        <w:ilvl w:val="5"/>
        <w:numId w:val="7"/>
      </w:numPr>
      <w:tabs>
        <w:tab w:val="left" w:pos="570"/>
        <w:tab w:val="clear" w:pos="1344"/>
      </w:tabs>
      <w:autoSpaceDE w:val="0"/>
      <w:autoSpaceDN w:val="0"/>
      <w:adjustRightInd/>
      <w:spacing w:line="360" w:lineRule="auto"/>
      <w:ind w:left="0" w:firstLine="200" w:firstLineChars="200"/>
      <w:jc w:val="left"/>
    </w:pPr>
    <w:rPr>
      <w:rFonts w:ascii="仿宋" w:hAnsi="仿宋" w:eastAsia="仿宋" w:cs="宋体"/>
      <w:color w:val="000000"/>
      <w:kern w:val="0"/>
      <w:sz w:val="32"/>
      <w:szCs w:val="32"/>
      <w:lang w:val="zh-CN" w:bidi="zh-CN"/>
    </w:rPr>
  </w:style>
  <w:style w:type="paragraph" w:customStyle="1" w:styleId="690">
    <w:name w:val="插图居中"/>
    <w:next w:val="1"/>
    <w:qFormat/>
    <w:uiPriority w:val="0"/>
    <w:pPr>
      <w:spacing w:before="156" w:beforeLines="50" w:after="156" w:afterLines="50" w:line="360" w:lineRule="auto"/>
      <w:jc w:val="center"/>
    </w:pPr>
    <w:rPr>
      <w:rFonts w:ascii="Times New Roman" w:hAnsi="Times New Roman" w:eastAsia="宋体" w:cs="Times New Roman"/>
      <w:kern w:val="2"/>
      <w:sz w:val="24"/>
      <w:szCs w:val="24"/>
      <w:lang w:val="en-US" w:eastAsia="zh-CN" w:bidi="ar-SA"/>
    </w:rPr>
  </w:style>
  <w:style w:type="paragraph" w:customStyle="1" w:styleId="691">
    <w:name w:val="图形位置"/>
    <w:basedOn w:val="1"/>
    <w:next w:val="1"/>
    <w:qFormat/>
    <w:uiPriority w:val="0"/>
    <w:pPr>
      <w:adjustRightInd/>
    </w:pPr>
    <w:rPr>
      <w:rFonts w:ascii="宋体" w:hAnsi="宋体" w:eastAsia="仿宋_GB2312" w:cs="宋体"/>
      <w:sz w:val="28"/>
    </w:rPr>
  </w:style>
  <w:style w:type="paragraph" w:customStyle="1" w:styleId="692">
    <w:name w:val="A_表格头"/>
    <w:basedOn w:val="1"/>
    <w:qFormat/>
    <w:uiPriority w:val="0"/>
    <w:pPr>
      <w:adjustRightInd/>
      <w:jc w:val="center"/>
    </w:pPr>
    <w:rPr>
      <w:rFonts w:eastAsia="黑体"/>
      <w:bCs/>
      <w:kern w:val="0"/>
      <w:szCs w:val="20"/>
    </w:rPr>
  </w:style>
  <w:style w:type="paragraph" w:customStyle="1" w:styleId="693">
    <w:name w:val="GP标题4"/>
    <w:basedOn w:val="1"/>
    <w:next w:val="1"/>
    <w:qFormat/>
    <w:uiPriority w:val="0"/>
    <w:pPr>
      <w:numPr>
        <w:ilvl w:val="3"/>
        <w:numId w:val="8"/>
      </w:numPr>
      <w:tabs>
        <w:tab w:val="left" w:pos="1123"/>
      </w:tabs>
      <w:adjustRightInd/>
      <w:spacing w:beforeLines="50" w:afterLines="50" w:line="360" w:lineRule="auto"/>
      <w:jc w:val="left"/>
      <w:outlineLvl w:val="3"/>
    </w:pPr>
    <w:rPr>
      <w:rFonts w:ascii="华文细黑" w:hAnsi="华文细黑" w:cs="宋体"/>
      <w:b/>
      <w:sz w:val="24"/>
      <w:szCs w:val="21"/>
    </w:rPr>
  </w:style>
  <w:style w:type="paragraph" w:customStyle="1" w:styleId="694">
    <w:name w:val="标题（6级）"/>
    <w:basedOn w:val="8"/>
    <w:qFormat/>
    <w:uiPriority w:val="0"/>
    <w:pPr>
      <w:tabs>
        <w:tab w:val="left" w:pos="840"/>
        <w:tab w:val="left" w:pos="2040"/>
        <w:tab w:val="clear" w:pos="1152"/>
      </w:tabs>
      <w:adjustRightInd/>
      <w:snapToGrid/>
      <w:spacing w:before="240" w:after="64" w:line="320" w:lineRule="auto"/>
      <w:ind w:left="2040" w:leftChars="800" w:hanging="360" w:hangingChars="200"/>
    </w:pPr>
    <w:rPr>
      <w:rFonts w:ascii="Cambria" w:hAnsi="Cambria" w:eastAsia="宋体" w:cs="宋体"/>
    </w:rPr>
  </w:style>
  <w:style w:type="paragraph" w:customStyle="1" w:styleId="695">
    <w:name w:val="样式 样式 仿宋_GB2312 四号 + 首行缩进:  2 字符"/>
    <w:basedOn w:val="1"/>
    <w:qFormat/>
    <w:uiPriority w:val="0"/>
    <w:pPr>
      <w:numPr>
        <w:ilvl w:val="4"/>
        <w:numId w:val="7"/>
      </w:numPr>
      <w:tabs>
        <w:tab w:val="left" w:pos="570"/>
        <w:tab w:val="clear" w:pos="1202"/>
      </w:tabs>
      <w:adjustRightInd/>
      <w:spacing w:line="440" w:lineRule="exact"/>
      <w:ind w:left="0" w:firstLine="560" w:firstLineChars="200"/>
    </w:pPr>
    <w:rPr>
      <w:rFonts w:ascii="仿宋_GB2312" w:hAnsi="宋体" w:eastAsia="仿宋_GB2312" w:cs="宋体"/>
      <w:sz w:val="24"/>
      <w:szCs w:val="20"/>
    </w:rPr>
  </w:style>
  <w:style w:type="paragraph" w:customStyle="1" w:styleId="696">
    <w:name w:val="GP标题1"/>
    <w:basedOn w:val="1"/>
    <w:next w:val="1"/>
    <w:qFormat/>
    <w:uiPriority w:val="0"/>
    <w:pPr>
      <w:numPr>
        <w:ilvl w:val="0"/>
        <w:numId w:val="8"/>
      </w:numPr>
      <w:adjustRightInd/>
      <w:spacing w:before="100" w:beforeLines="100" w:after="100" w:afterLines="100" w:line="360" w:lineRule="auto"/>
      <w:jc w:val="left"/>
      <w:outlineLvl w:val="0"/>
    </w:pPr>
    <w:rPr>
      <w:rFonts w:ascii="黑体" w:hAnsi="黑体" w:cs="宋体"/>
      <w:b/>
      <w:sz w:val="44"/>
      <w:szCs w:val="21"/>
    </w:rPr>
  </w:style>
  <w:style w:type="paragraph" w:customStyle="1" w:styleId="697">
    <w:name w:val="我的表格文字"/>
    <w:basedOn w:val="1"/>
    <w:qFormat/>
    <w:uiPriority w:val="0"/>
    <w:pPr>
      <w:widowControl/>
      <w:autoSpaceDE w:val="0"/>
      <w:autoSpaceDN w:val="0"/>
      <w:adjustRightInd/>
      <w:jc w:val="left"/>
    </w:pPr>
    <w:rPr>
      <w:rFonts w:ascii="Arial" w:hAnsi="Arial" w:cs="Microsoft Sans Serif"/>
      <w:kern w:val="0"/>
      <w:sz w:val="24"/>
      <w:szCs w:val="18"/>
    </w:rPr>
  </w:style>
  <w:style w:type="paragraph" w:customStyle="1" w:styleId="698">
    <w:name w:val="xl6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pPr>
    <w:rPr>
      <w:rFonts w:ascii="宋体" w:hAnsi="宋体" w:cs="宋体"/>
      <w:color w:val="000000"/>
      <w:kern w:val="0"/>
      <w:szCs w:val="21"/>
    </w:rPr>
  </w:style>
  <w:style w:type="paragraph" w:customStyle="1" w:styleId="699">
    <w:name w:val="GP标题3"/>
    <w:basedOn w:val="1"/>
    <w:next w:val="1"/>
    <w:qFormat/>
    <w:uiPriority w:val="0"/>
    <w:pPr>
      <w:adjustRightInd/>
      <w:spacing w:beforeLines="50" w:afterLines="50" w:line="360" w:lineRule="auto"/>
      <w:jc w:val="left"/>
      <w:outlineLvl w:val="2"/>
    </w:pPr>
    <w:rPr>
      <w:rFonts w:ascii="华文细黑" w:hAnsi="华文细黑" w:eastAsia="仿宋" w:cs="宋体"/>
      <w:b/>
      <w:sz w:val="32"/>
      <w:szCs w:val="21"/>
    </w:rPr>
  </w:style>
  <w:style w:type="paragraph" w:customStyle="1" w:styleId="700">
    <w:name w:val="正文（首行缩进两字） Char"/>
    <w:basedOn w:val="1"/>
    <w:next w:val="82"/>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1">
    <w:name w:val="标题5级"/>
    <w:basedOn w:val="7"/>
    <w:qFormat/>
    <w:uiPriority w:val="0"/>
    <w:pPr>
      <w:tabs>
        <w:tab w:val="left" w:pos="840"/>
        <w:tab w:val="left" w:pos="2040"/>
        <w:tab w:val="clear" w:pos="1008"/>
      </w:tabs>
      <w:adjustRightInd/>
      <w:snapToGrid/>
      <w:spacing w:before="280" w:after="290" w:line="376" w:lineRule="auto"/>
      <w:ind w:left="2040" w:leftChars="800" w:hanging="360" w:hangingChars="200"/>
    </w:pPr>
    <w:rPr>
      <w:rFonts w:ascii="Calibri" w:hAnsi="Calibri" w:cs="宋体"/>
    </w:rPr>
  </w:style>
  <w:style w:type="paragraph" w:customStyle="1" w:styleId="702">
    <w:name w:val="网格表 5 深色 - 着色 11"/>
    <w:basedOn w:val="4"/>
    <w:next w:val="1"/>
    <w:unhideWhenUsed/>
    <w:qFormat/>
    <w:uiPriority w:val="39"/>
    <w:pPr>
      <w:widowControl/>
      <w:tabs>
        <w:tab w:val="left" w:pos="840"/>
        <w:tab w:val="clear" w:pos="432"/>
      </w:tabs>
      <w:adjustRightInd/>
      <w:snapToGrid/>
      <w:spacing w:before="480" w:line="276" w:lineRule="auto"/>
      <w:ind w:left="431" w:hanging="431"/>
      <w:jc w:val="left"/>
      <w:outlineLvl w:val="9"/>
    </w:pPr>
    <w:rPr>
      <w:rFonts w:ascii="Cambria" w:hAnsi="Cambria" w:cs="宋体"/>
      <w:snapToGrid w:val="0"/>
      <w:color w:val="365F91"/>
      <w:kern w:val="0"/>
      <w:sz w:val="28"/>
      <w:szCs w:val="28"/>
    </w:rPr>
  </w:style>
  <w:style w:type="paragraph" w:customStyle="1" w:styleId="703">
    <w:name w:val="数据字典"/>
    <w:basedOn w:val="1"/>
    <w:qFormat/>
    <w:uiPriority w:val="0"/>
    <w:pPr>
      <w:spacing w:after="20" w:line="260" w:lineRule="exact"/>
      <w:ind w:firstLine="425"/>
      <w:jc w:val="center"/>
      <w:textAlignment w:val="baseline"/>
    </w:pPr>
    <w:rPr>
      <w:rFonts w:ascii="宋体" w:hAnsi="宋体" w:cs="宋体"/>
      <w:kern w:val="0"/>
      <w:sz w:val="18"/>
      <w:szCs w:val="20"/>
    </w:rPr>
  </w:style>
  <w:style w:type="paragraph" w:customStyle="1" w:styleId="704">
    <w:name w:val="段(正文）"/>
    <w:qFormat/>
    <w:uiPriority w:val="0"/>
    <w:pPr>
      <w:autoSpaceDE w:val="0"/>
      <w:autoSpaceDN w:val="0"/>
      <w:ind w:firstLine="420"/>
      <w:jc w:val="both"/>
    </w:pPr>
    <w:rPr>
      <w:rFonts w:ascii="宋体" w:hAnsi="Times New Roman" w:eastAsia="宋体" w:cs="Times New Roman"/>
      <w:sz w:val="21"/>
      <w:lang w:val="en-US" w:eastAsia="zh-CN" w:bidi="ar-SA"/>
    </w:rPr>
  </w:style>
  <w:style w:type="paragraph" w:customStyle="1" w:styleId="705">
    <w:name w:val="彩色列表 - 着色 11"/>
    <w:basedOn w:val="1"/>
    <w:qFormat/>
    <w:uiPriority w:val="34"/>
    <w:pPr>
      <w:widowControl/>
      <w:adjustRightInd/>
      <w:ind w:firstLine="420" w:firstLineChars="200"/>
      <w:jc w:val="left"/>
    </w:pPr>
    <w:rPr>
      <w:rFonts w:ascii="Calibri" w:hAnsi="Calibri" w:eastAsia="等线"/>
      <w:kern w:val="0"/>
      <w:sz w:val="24"/>
    </w:rPr>
  </w:style>
  <w:style w:type="paragraph" w:customStyle="1" w:styleId="706">
    <w:name w:val="GP标题2"/>
    <w:basedOn w:val="1"/>
    <w:next w:val="1"/>
    <w:qFormat/>
    <w:uiPriority w:val="0"/>
    <w:pPr>
      <w:adjustRightInd/>
      <w:spacing w:beforeLines="50" w:afterLines="50" w:line="360" w:lineRule="auto"/>
      <w:jc w:val="left"/>
      <w:outlineLvl w:val="1"/>
    </w:pPr>
    <w:rPr>
      <w:rFonts w:ascii="华文细黑" w:hAnsi="华文细黑" w:cs="宋体"/>
      <w:b/>
      <w:sz w:val="32"/>
      <w:szCs w:val="21"/>
    </w:rPr>
  </w:style>
  <w:style w:type="paragraph" w:customStyle="1" w:styleId="707">
    <w:name w:val="GP标题5"/>
    <w:basedOn w:val="1"/>
    <w:next w:val="1"/>
    <w:qFormat/>
    <w:uiPriority w:val="0"/>
    <w:pPr>
      <w:adjustRightInd/>
      <w:spacing w:beforeLines="50" w:afterLines="50" w:line="360" w:lineRule="auto"/>
      <w:jc w:val="left"/>
      <w:outlineLvl w:val="4"/>
    </w:pPr>
    <w:rPr>
      <w:rFonts w:ascii="华文细黑" w:hAnsi="华文细黑" w:eastAsia="华文细黑" w:cs="宋体"/>
      <w:b/>
      <w:sz w:val="24"/>
      <w:szCs w:val="21"/>
    </w:rPr>
  </w:style>
  <w:style w:type="paragraph" w:customStyle="1" w:styleId="708">
    <w:name w:val="xl63"/>
    <w:basedOn w:val="1"/>
    <w:qFormat/>
    <w:uiPriority w:val="0"/>
    <w:pPr>
      <w:widowControl/>
      <w:pBdr>
        <w:top w:val="single" w:color="auto" w:sz="4" w:space="0"/>
        <w:left w:val="single" w:color="auto" w:sz="4" w:space="0"/>
        <w:bottom w:val="single" w:color="auto" w:sz="4" w:space="0"/>
        <w:right w:val="single" w:color="auto" w:sz="4" w:space="0"/>
      </w:pBdr>
      <w:shd w:val="clear" w:color="000000" w:fill="BFBFBF"/>
      <w:adjustRightInd/>
      <w:spacing w:before="100" w:beforeAutospacing="1" w:after="100" w:afterAutospacing="1"/>
      <w:jc w:val="center"/>
    </w:pPr>
    <w:rPr>
      <w:rFonts w:ascii="宋体" w:hAnsi="宋体" w:cs="宋体"/>
      <w:color w:val="000000"/>
      <w:kern w:val="0"/>
      <w:szCs w:val="21"/>
    </w:rPr>
  </w:style>
  <w:style w:type="paragraph" w:customStyle="1" w:styleId="709">
    <w:name w:val="正文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10">
    <w:name w:val="发布部门"/>
    <w:next w:val="348"/>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711">
    <w:name w:val="一级无标题条"/>
    <w:basedOn w:val="1"/>
    <w:qFormat/>
    <w:uiPriority w:val="0"/>
    <w:pPr>
      <w:tabs>
        <w:tab w:val="left" w:pos="1200"/>
      </w:tabs>
      <w:adjustRightInd/>
      <w:spacing w:line="360" w:lineRule="auto"/>
      <w:ind w:left="1200" w:leftChars="400" w:hanging="360" w:hangingChars="200"/>
    </w:pPr>
    <w:rPr>
      <w:rFonts w:ascii="宋体" w:hAnsi="宋体"/>
      <w:sz w:val="24"/>
    </w:rPr>
  </w:style>
  <w:style w:type="paragraph" w:customStyle="1" w:styleId="712">
    <w:name w:val="A_正文_黑"/>
    <w:basedOn w:val="1"/>
    <w:qFormat/>
    <w:uiPriority w:val="0"/>
    <w:pPr>
      <w:tabs>
        <w:tab w:val="left" w:pos="1547"/>
      </w:tabs>
      <w:adjustRightInd/>
      <w:spacing w:line="360" w:lineRule="auto"/>
      <w:ind w:firstLine="600" w:firstLineChars="200"/>
    </w:pPr>
    <w:rPr>
      <w:rFonts w:eastAsia="仿宋"/>
      <w:color w:val="000000"/>
      <w:sz w:val="30"/>
      <w:szCs w:val="22"/>
    </w:rPr>
  </w:style>
  <w:style w:type="paragraph" w:customStyle="1" w:styleId="713">
    <w:name w:val="A_正文_注释"/>
    <w:basedOn w:val="1"/>
    <w:qFormat/>
    <w:uiPriority w:val="0"/>
    <w:pPr>
      <w:tabs>
        <w:tab w:val="left" w:pos="1547"/>
      </w:tabs>
      <w:adjustRightInd/>
      <w:spacing w:line="360" w:lineRule="auto"/>
      <w:ind w:firstLine="600" w:firstLineChars="200"/>
    </w:pPr>
    <w:rPr>
      <w:rFonts w:eastAsia="仿宋"/>
      <w:color w:val="0070C0"/>
      <w:sz w:val="30"/>
      <w:szCs w:val="22"/>
    </w:rPr>
  </w:style>
  <w:style w:type="paragraph" w:customStyle="1" w:styleId="714">
    <w:name w:val="一级要点"/>
    <w:basedOn w:val="1"/>
    <w:qFormat/>
    <w:uiPriority w:val="0"/>
    <w:pPr>
      <w:widowControl/>
      <w:numPr>
        <w:ilvl w:val="0"/>
        <w:numId w:val="9"/>
      </w:numPr>
      <w:adjustRightInd/>
      <w:spacing w:line="360" w:lineRule="auto"/>
      <w:ind w:left="902" w:leftChars="200" w:firstLine="0"/>
    </w:pPr>
    <w:rPr>
      <w:rFonts w:ascii="Calibri" w:hAnsi="Calibri"/>
      <w:kern w:val="0"/>
      <w:sz w:val="28"/>
      <w:szCs w:val="28"/>
      <w:lang w:eastAsia="en-US" w:bidi="en-US"/>
    </w:rPr>
  </w:style>
  <w:style w:type="paragraph" w:customStyle="1" w:styleId="715">
    <w:name w:val="公文标题"/>
    <w:basedOn w:val="1"/>
    <w:qFormat/>
    <w:uiPriority w:val="0"/>
    <w:pPr>
      <w:adjustRightInd/>
      <w:jc w:val="center"/>
    </w:pPr>
    <w:rPr>
      <w:rFonts w:eastAsia="仿宋_GB2312"/>
      <w:sz w:val="44"/>
      <w:szCs w:val="20"/>
    </w:rPr>
  </w:style>
  <w:style w:type="paragraph" w:customStyle="1" w:styleId="716">
    <w:name w:val="标题5"/>
    <w:basedOn w:val="7"/>
    <w:qFormat/>
    <w:uiPriority w:val="0"/>
    <w:pPr>
      <w:numPr>
        <w:ilvl w:val="4"/>
        <w:numId w:val="10"/>
      </w:numPr>
      <w:tabs>
        <w:tab w:val="left" w:pos="840"/>
        <w:tab w:val="clear" w:pos="1008"/>
      </w:tabs>
      <w:snapToGrid/>
      <w:textAlignment w:val="baseline"/>
    </w:pPr>
    <w:rPr>
      <w:rFonts w:ascii="宋体" w:hAnsi="宋体" w:cs="宋体"/>
      <w:bCs w:val="0"/>
      <w:sz w:val="30"/>
      <w:szCs w:val="30"/>
    </w:rPr>
  </w:style>
  <w:style w:type="paragraph" w:customStyle="1" w:styleId="717">
    <w:name w:val="示例"/>
    <w:next w:val="348"/>
    <w:qFormat/>
    <w:uiPriority w:val="0"/>
    <w:pPr>
      <w:tabs>
        <w:tab w:val="left" w:pos="1200"/>
      </w:tabs>
      <w:ind w:left="1200" w:leftChars="400" w:hanging="360" w:hangingChars="200"/>
      <w:jc w:val="both"/>
    </w:pPr>
    <w:rPr>
      <w:rFonts w:ascii="宋体" w:hAnsi="Times New Roman" w:eastAsia="宋体" w:cs="Times New Roman"/>
      <w:sz w:val="18"/>
      <w:lang w:val="en-US" w:eastAsia="zh-CN" w:bidi="ar-SA"/>
    </w:rPr>
  </w:style>
  <w:style w:type="paragraph" w:customStyle="1" w:styleId="718">
    <w:name w:val="条文脚注"/>
    <w:basedOn w:val="68"/>
    <w:qFormat/>
    <w:uiPriority w:val="0"/>
    <w:pPr>
      <w:widowControl w:val="0"/>
      <w:tabs>
        <w:tab w:val="left" w:pos="840"/>
        <w:tab w:val="left" w:pos="1200"/>
      </w:tabs>
      <w:snapToGrid w:val="0"/>
      <w:spacing w:before="0" w:after="0" w:line="360" w:lineRule="auto"/>
      <w:ind w:left="431" w:leftChars="400" w:hanging="431" w:hangingChars="200"/>
    </w:pPr>
    <w:rPr>
      <w:rFonts w:ascii="宋体"/>
      <w:color w:val="auto"/>
      <w:kern w:val="2"/>
      <w:sz w:val="18"/>
      <w:szCs w:val="18"/>
    </w:rPr>
  </w:style>
  <w:style w:type="paragraph" w:customStyle="1" w:styleId="719">
    <w:name w:val="实施方案_通篇正文"/>
    <w:basedOn w:val="1"/>
    <w:qFormat/>
    <w:uiPriority w:val="0"/>
    <w:pPr>
      <w:widowControl/>
      <w:adjustRightInd/>
      <w:spacing w:before="160"/>
      <w:ind w:firstLine="200" w:firstLineChars="200"/>
      <w:jc w:val="left"/>
    </w:pPr>
    <w:rPr>
      <w:rFonts w:ascii="宋体" w:hAnsi="宋体" w:cs="宋体"/>
      <w:sz w:val="24"/>
      <w:szCs w:val="21"/>
    </w:rPr>
  </w:style>
  <w:style w:type="paragraph" w:customStyle="1" w:styleId="720">
    <w:name w:val="p15"/>
    <w:basedOn w:val="1"/>
    <w:qFormat/>
    <w:uiPriority w:val="0"/>
    <w:pPr>
      <w:widowControl/>
      <w:numPr>
        <w:ilvl w:val="0"/>
        <w:numId w:val="11"/>
      </w:numPr>
      <w:adjustRightInd/>
      <w:spacing w:line="360" w:lineRule="auto"/>
      <w:ind w:left="0" w:firstLine="200" w:firstLineChars="200"/>
    </w:pPr>
    <w:rPr>
      <w:rFonts w:cs="宋体"/>
      <w:kern w:val="0"/>
      <w:sz w:val="28"/>
    </w:rPr>
  </w:style>
  <w:style w:type="paragraph" w:customStyle="1" w:styleId="721">
    <w:name w:val="TOC 标题2"/>
    <w:basedOn w:val="4"/>
    <w:next w:val="1"/>
    <w:qFormat/>
    <w:uiPriority w:val="0"/>
    <w:pPr>
      <w:widowControl/>
      <w:tabs>
        <w:tab w:val="left" w:pos="0"/>
        <w:tab w:val="clear" w:pos="432"/>
      </w:tabs>
      <w:adjustRightInd/>
      <w:snapToGrid/>
      <w:spacing w:before="240" w:line="259" w:lineRule="auto"/>
      <w:jc w:val="left"/>
      <w:outlineLvl w:val="9"/>
    </w:pPr>
    <w:rPr>
      <w:rFonts w:ascii="Calibri Light" w:hAnsi="Calibri Light"/>
      <w:b w:val="0"/>
      <w:bCs w:val="0"/>
      <w:color w:val="2E74B5"/>
      <w:kern w:val="0"/>
      <w:sz w:val="32"/>
      <w:szCs w:val="32"/>
    </w:rPr>
  </w:style>
  <w:style w:type="paragraph" w:customStyle="1" w:styleId="722">
    <w:name w:val="xl95"/>
    <w:basedOn w:val="1"/>
    <w:qFormat/>
    <w:uiPriority w:val="0"/>
    <w:pPr>
      <w:widowControl/>
      <w:pBdr>
        <w:top w:val="single" w:color="000000" w:sz="8" w:space="0"/>
        <w:left w:val="single" w:color="000000" w:sz="8" w:space="0"/>
      </w:pBdr>
      <w:shd w:val="clear" w:color="000000" w:fill="FFFFFF"/>
      <w:adjustRightInd/>
      <w:spacing w:before="100" w:beforeAutospacing="1" w:after="100" w:afterAutospacing="1"/>
      <w:jc w:val="center"/>
    </w:pPr>
    <w:rPr>
      <w:rFonts w:ascii="仿宋" w:hAnsi="仿宋" w:eastAsia="仿宋" w:cs="宋体"/>
      <w:b/>
      <w:bCs/>
      <w:color w:val="000000"/>
      <w:kern w:val="0"/>
      <w:sz w:val="24"/>
    </w:rPr>
  </w:style>
  <w:style w:type="paragraph" w:customStyle="1" w:styleId="723">
    <w:name w:val="xl96"/>
    <w:basedOn w:val="1"/>
    <w:qFormat/>
    <w:uiPriority w:val="0"/>
    <w:pPr>
      <w:widowControl/>
      <w:pBdr>
        <w:top w:val="single" w:color="000000" w:sz="8" w:space="0"/>
        <w:right w:val="single" w:color="000000" w:sz="8" w:space="0"/>
      </w:pBdr>
      <w:shd w:val="clear" w:color="000000" w:fill="FFFFFF"/>
      <w:adjustRightInd/>
      <w:spacing w:before="100" w:beforeAutospacing="1" w:after="100" w:afterAutospacing="1"/>
      <w:jc w:val="center"/>
    </w:pPr>
    <w:rPr>
      <w:rFonts w:ascii="仿宋" w:hAnsi="仿宋" w:eastAsia="仿宋" w:cs="宋体"/>
      <w:b/>
      <w:bCs/>
      <w:color w:val="000000"/>
      <w:kern w:val="0"/>
      <w:sz w:val="24"/>
    </w:rPr>
  </w:style>
  <w:style w:type="paragraph" w:customStyle="1" w:styleId="724">
    <w:name w:val="xl97"/>
    <w:basedOn w:val="1"/>
    <w:qFormat/>
    <w:uiPriority w:val="0"/>
    <w:pPr>
      <w:widowControl/>
      <w:pBdr>
        <w:left w:val="single" w:color="000000" w:sz="8" w:space="0"/>
        <w:bottom w:val="single" w:color="000000" w:sz="8" w:space="0"/>
      </w:pBdr>
      <w:shd w:val="clear" w:color="000000" w:fill="FFFFFF"/>
      <w:adjustRightInd/>
      <w:spacing w:before="100" w:beforeAutospacing="1" w:after="100" w:afterAutospacing="1"/>
      <w:jc w:val="center"/>
    </w:pPr>
    <w:rPr>
      <w:rFonts w:ascii="仿宋" w:hAnsi="仿宋" w:eastAsia="仿宋" w:cs="宋体"/>
      <w:b/>
      <w:bCs/>
      <w:color w:val="000000"/>
      <w:kern w:val="0"/>
      <w:sz w:val="24"/>
    </w:rPr>
  </w:style>
  <w:style w:type="paragraph" w:customStyle="1" w:styleId="725">
    <w:name w:val="xl98"/>
    <w:basedOn w:val="1"/>
    <w:qFormat/>
    <w:uiPriority w:val="0"/>
    <w:pPr>
      <w:widowControl/>
      <w:pBdr>
        <w:top w:val="single" w:color="000000" w:sz="8" w:space="0"/>
        <w:left w:val="single" w:color="000000" w:sz="8" w:space="0"/>
      </w:pBdr>
      <w:shd w:val="clear" w:color="000000" w:fill="FFFFFF"/>
      <w:adjustRightInd/>
      <w:spacing w:before="100" w:beforeAutospacing="1" w:after="100" w:afterAutospacing="1"/>
      <w:jc w:val="center"/>
    </w:pPr>
    <w:rPr>
      <w:rFonts w:ascii="仿宋" w:hAnsi="仿宋" w:eastAsia="仿宋" w:cs="宋体"/>
      <w:color w:val="000000"/>
      <w:kern w:val="0"/>
      <w:sz w:val="24"/>
    </w:rPr>
  </w:style>
  <w:style w:type="paragraph" w:customStyle="1" w:styleId="726">
    <w:name w:val="xl99"/>
    <w:basedOn w:val="1"/>
    <w:qFormat/>
    <w:uiPriority w:val="0"/>
    <w:pPr>
      <w:widowControl/>
      <w:pBdr>
        <w:top w:val="single" w:color="000000" w:sz="8" w:space="0"/>
        <w:right w:val="single" w:color="000000" w:sz="8" w:space="0"/>
      </w:pBdr>
      <w:shd w:val="clear" w:color="000000" w:fill="FFFFFF"/>
      <w:adjustRightInd/>
      <w:spacing w:before="100" w:beforeAutospacing="1" w:after="100" w:afterAutospacing="1"/>
      <w:jc w:val="center"/>
    </w:pPr>
    <w:rPr>
      <w:rFonts w:ascii="仿宋" w:hAnsi="仿宋" w:eastAsia="仿宋" w:cs="宋体"/>
      <w:color w:val="000000"/>
      <w:kern w:val="0"/>
      <w:sz w:val="24"/>
    </w:rPr>
  </w:style>
  <w:style w:type="paragraph" w:customStyle="1" w:styleId="727">
    <w:name w:val="xl100"/>
    <w:basedOn w:val="1"/>
    <w:qFormat/>
    <w:uiPriority w:val="0"/>
    <w:pPr>
      <w:widowControl/>
      <w:pBdr>
        <w:left w:val="single" w:color="000000" w:sz="8" w:space="0"/>
        <w:bottom w:val="single" w:color="000000" w:sz="8" w:space="0"/>
      </w:pBdr>
      <w:shd w:val="clear" w:color="000000" w:fill="FFFFFF"/>
      <w:adjustRightInd/>
      <w:spacing w:before="100" w:beforeAutospacing="1" w:after="100" w:afterAutospacing="1"/>
      <w:jc w:val="center"/>
    </w:pPr>
    <w:rPr>
      <w:rFonts w:ascii="仿宋" w:hAnsi="仿宋" w:eastAsia="仿宋" w:cs="宋体"/>
      <w:color w:val="000000"/>
      <w:kern w:val="0"/>
      <w:sz w:val="24"/>
    </w:rPr>
  </w:style>
  <w:style w:type="paragraph" w:customStyle="1" w:styleId="728">
    <w:name w:val="xl101"/>
    <w:basedOn w:val="1"/>
    <w:qFormat/>
    <w:uiPriority w:val="0"/>
    <w:pPr>
      <w:widowControl/>
      <w:pBdr>
        <w:top w:val="single" w:color="000000" w:sz="8" w:space="0"/>
        <w:left w:val="single" w:color="000000" w:sz="8" w:space="0"/>
        <w:right w:val="single" w:color="000000" w:sz="8" w:space="0"/>
      </w:pBdr>
      <w:shd w:val="clear" w:color="000000" w:fill="FFFFFF"/>
      <w:adjustRightInd/>
      <w:spacing w:before="100" w:beforeAutospacing="1" w:after="100" w:afterAutospacing="1"/>
      <w:jc w:val="left"/>
    </w:pPr>
    <w:rPr>
      <w:rFonts w:ascii="仿宋" w:hAnsi="仿宋" w:eastAsia="仿宋" w:cs="宋体"/>
      <w:color w:val="000000"/>
      <w:kern w:val="0"/>
      <w:sz w:val="24"/>
    </w:rPr>
  </w:style>
  <w:style w:type="paragraph" w:customStyle="1" w:styleId="729">
    <w:name w:val="xl102"/>
    <w:basedOn w:val="1"/>
    <w:qFormat/>
    <w:uiPriority w:val="0"/>
    <w:pPr>
      <w:widowControl/>
      <w:pBdr>
        <w:left w:val="single" w:color="000000" w:sz="8" w:space="0"/>
        <w:right w:val="single" w:color="000000" w:sz="8" w:space="0"/>
      </w:pBdr>
      <w:shd w:val="clear" w:color="000000" w:fill="FFFFFF"/>
      <w:adjustRightInd/>
      <w:spacing w:before="100" w:beforeAutospacing="1" w:after="100" w:afterAutospacing="1"/>
      <w:jc w:val="left"/>
    </w:pPr>
    <w:rPr>
      <w:rFonts w:ascii="仿宋" w:hAnsi="仿宋" w:eastAsia="仿宋" w:cs="宋体"/>
      <w:color w:val="000000"/>
      <w:kern w:val="0"/>
      <w:sz w:val="24"/>
    </w:rPr>
  </w:style>
  <w:style w:type="paragraph" w:customStyle="1" w:styleId="730">
    <w:name w:val="xl103"/>
    <w:basedOn w:val="1"/>
    <w:qFormat/>
    <w:uiPriority w:val="0"/>
    <w:pPr>
      <w:widowControl/>
      <w:pBdr>
        <w:left w:val="single" w:color="000000" w:sz="8" w:space="0"/>
        <w:bottom w:val="single" w:color="000000" w:sz="8" w:space="0"/>
        <w:right w:val="single" w:color="000000" w:sz="8" w:space="0"/>
      </w:pBdr>
      <w:shd w:val="clear" w:color="000000" w:fill="FFFFFF"/>
      <w:adjustRightInd/>
      <w:spacing w:before="100" w:beforeAutospacing="1" w:after="100" w:afterAutospacing="1"/>
      <w:jc w:val="left"/>
    </w:pPr>
    <w:rPr>
      <w:rFonts w:ascii="仿宋" w:hAnsi="仿宋" w:eastAsia="仿宋" w:cs="宋体"/>
      <w:color w:val="000000"/>
      <w:kern w:val="0"/>
      <w:sz w:val="24"/>
    </w:rPr>
  </w:style>
  <w:style w:type="paragraph" w:customStyle="1" w:styleId="731">
    <w:name w:val="xl104"/>
    <w:basedOn w:val="1"/>
    <w:qFormat/>
    <w:uiPriority w:val="0"/>
    <w:pPr>
      <w:widowControl/>
      <w:pBdr>
        <w:top w:val="single" w:color="000000" w:sz="8" w:space="0"/>
      </w:pBdr>
      <w:shd w:val="clear" w:color="000000" w:fill="FFFFFF"/>
      <w:adjustRightInd/>
      <w:spacing w:before="100" w:beforeAutospacing="1" w:after="100" w:afterAutospacing="1"/>
      <w:jc w:val="center"/>
    </w:pPr>
    <w:rPr>
      <w:rFonts w:ascii="仿宋" w:hAnsi="仿宋" w:eastAsia="仿宋" w:cs="宋体"/>
      <w:color w:val="000000"/>
      <w:kern w:val="0"/>
      <w:sz w:val="24"/>
    </w:rPr>
  </w:style>
  <w:style w:type="paragraph" w:customStyle="1" w:styleId="732">
    <w:name w:val="xl105"/>
    <w:basedOn w:val="1"/>
    <w:qFormat/>
    <w:uiPriority w:val="0"/>
    <w:pPr>
      <w:widowControl/>
      <w:shd w:val="clear" w:color="000000" w:fill="FFFFFF"/>
      <w:adjustRightInd/>
      <w:spacing w:before="100" w:beforeAutospacing="1" w:after="100" w:afterAutospacing="1"/>
      <w:jc w:val="center"/>
    </w:pPr>
    <w:rPr>
      <w:rFonts w:ascii="仿宋" w:hAnsi="仿宋" w:eastAsia="仿宋" w:cs="宋体"/>
      <w:color w:val="000000"/>
      <w:kern w:val="0"/>
      <w:sz w:val="24"/>
    </w:rPr>
  </w:style>
  <w:style w:type="paragraph" w:customStyle="1" w:styleId="733">
    <w:name w:val="xl106"/>
    <w:basedOn w:val="1"/>
    <w:qFormat/>
    <w:uiPriority w:val="0"/>
    <w:pPr>
      <w:widowControl/>
      <w:pBdr>
        <w:bottom w:val="single" w:color="000000" w:sz="8" w:space="0"/>
      </w:pBdr>
      <w:shd w:val="clear" w:color="000000" w:fill="FFFFFF"/>
      <w:adjustRightInd/>
      <w:spacing w:before="100" w:beforeAutospacing="1" w:after="100" w:afterAutospacing="1"/>
      <w:jc w:val="center"/>
    </w:pPr>
    <w:rPr>
      <w:rFonts w:ascii="仿宋" w:hAnsi="仿宋" w:eastAsia="仿宋" w:cs="宋体"/>
      <w:color w:val="000000"/>
      <w:kern w:val="0"/>
      <w:sz w:val="24"/>
    </w:rPr>
  </w:style>
  <w:style w:type="paragraph" w:customStyle="1" w:styleId="734">
    <w:name w:val="xl107"/>
    <w:basedOn w:val="1"/>
    <w:qFormat/>
    <w:uiPriority w:val="0"/>
    <w:pPr>
      <w:widowControl/>
      <w:pBdr>
        <w:top w:val="single" w:color="000000" w:sz="8" w:space="0"/>
        <w:left w:val="single" w:color="000000" w:sz="8" w:space="0"/>
        <w:bottom w:val="single" w:color="000000" w:sz="8" w:space="0"/>
      </w:pBdr>
      <w:shd w:val="clear" w:color="000000" w:fill="FFFFFF"/>
      <w:adjustRightInd/>
      <w:spacing w:before="100" w:beforeAutospacing="1" w:after="100" w:afterAutospacing="1"/>
      <w:jc w:val="center"/>
    </w:pPr>
    <w:rPr>
      <w:rFonts w:ascii="仿宋" w:hAnsi="仿宋" w:eastAsia="仿宋" w:cs="宋体"/>
      <w:color w:val="000000"/>
      <w:kern w:val="0"/>
      <w:sz w:val="24"/>
    </w:rPr>
  </w:style>
  <w:style w:type="paragraph" w:customStyle="1" w:styleId="735">
    <w:name w:val="xl108"/>
    <w:basedOn w:val="1"/>
    <w:qFormat/>
    <w:uiPriority w:val="0"/>
    <w:pPr>
      <w:widowControl/>
      <w:pBdr>
        <w:top w:val="single" w:color="000000" w:sz="8" w:space="0"/>
        <w:bottom w:val="single" w:color="000000" w:sz="8" w:space="0"/>
      </w:pBdr>
      <w:shd w:val="clear" w:color="000000" w:fill="FFFFFF"/>
      <w:adjustRightInd/>
      <w:spacing w:before="100" w:beforeAutospacing="1" w:after="100" w:afterAutospacing="1"/>
      <w:jc w:val="center"/>
    </w:pPr>
    <w:rPr>
      <w:rFonts w:ascii="仿宋" w:hAnsi="仿宋" w:eastAsia="仿宋" w:cs="宋体"/>
      <w:color w:val="000000"/>
      <w:kern w:val="0"/>
      <w:sz w:val="24"/>
    </w:rPr>
  </w:style>
  <w:style w:type="paragraph" w:customStyle="1" w:styleId="736">
    <w:name w:val="xl109"/>
    <w:basedOn w:val="1"/>
    <w:qFormat/>
    <w:uiPriority w:val="0"/>
    <w:pPr>
      <w:widowControl/>
      <w:pBdr>
        <w:top w:val="single" w:color="000000" w:sz="8" w:space="0"/>
        <w:bottom w:val="single" w:color="000000" w:sz="8" w:space="0"/>
        <w:right w:val="single" w:color="000000" w:sz="8" w:space="0"/>
      </w:pBdr>
      <w:shd w:val="clear" w:color="000000" w:fill="FFFFFF"/>
      <w:adjustRightInd/>
      <w:spacing w:before="100" w:beforeAutospacing="1" w:after="100" w:afterAutospacing="1"/>
      <w:jc w:val="center"/>
    </w:pPr>
    <w:rPr>
      <w:rFonts w:ascii="仿宋" w:hAnsi="仿宋" w:eastAsia="仿宋" w:cs="宋体"/>
      <w:color w:val="000000"/>
      <w:kern w:val="0"/>
      <w:sz w:val="24"/>
    </w:rPr>
  </w:style>
  <w:style w:type="paragraph" w:customStyle="1" w:styleId="737">
    <w:name w:val="xl110"/>
    <w:basedOn w:val="1"/>
    <w:qFormat/>
    <w:uiPriority w:val="0"/>
    <w:pPr>
      <w:widowControl/>
      <w:pBdr>
        <w:top w:val="single" w:color="000000" w:sz="8" w:space="0"/>
        <w:right w:val="single" w:color="auto" w:sz="8" w:space="0"/>
      </w:pBdr>
      <w:shd w:val="clear" w:color="000000" w:fill="FFFFFF"/>
      <w:adjustRightInd/>
      <w:spacing w:before="100" w:beforeAutospacing="1" w:after="100" w:afterAutospacing="1"/>
      <w:jc w:val="center"/>
    </w:pPr>
    <w:rPr>
      <w:rFonts w:ascii="仿宋" w:hAnsi="仿宋" w:eastAsia="仿宋" w:cs="宋体"/>
      <w:color w:val="000000"/>
      <w:kern w:val="0"/>
      <w:sz w:val="24"/>
    </w:rPr>
  </w:style>
  <w:style w:type="paragraph" w:customStyle="1" w:styleId="738">
    <w:name w:val="xl111"/>
    <w:basedOn w:val="1"/>
    <w:qFormat/>
    <w:uiPriority w:val="0"/>
    <w:pPr>
      <w:widowControl/>
      <w:pBdr>
        <w:right w:val="single" w:color="auto" w:sz="8" w:space="0"/>
      </w:pBdr>
      <w:shd w:val="clear" w:color="000000" w:fill="FFFFFF"/>
      <w:adjustRightInd/>
      <w:spacing w:before="100" w:beforeAutospacing="1" w:after="100" w:afterAutospacing="1"/>
      <w:jc w:val="center"/>
    </w:pPr>
    <w:rPr>
      <w:rFonts w:ascii="仿宋" w:hAnsi="仿宋" w:eastAsia="仿宋" w:cs="宋体"/>
      <w:color w:val="000000"/>
      <w:kern w:val="0"/>
      <w:sz w:val="24"/>
    </w:rPr>
  </w:style>
  <w:style w:type="paragraph" w:customStyle="1" w:styleId="739">
    <w:name w:val="xl112"/>
    <w:basedOn w:val="1"/>
    <w:qFormat/>
    <w:uiPriority w:val="0"/>
    <w:pPr>
      <w:widowControl/>
      <w:pBdr>
        <w:top w:val="single" w:color="000000" w:sz="8" w:space="0"/>
        <w:left w:val="single" w:color="auto" w:sz="8" w:space="0"/>
        <w:right w:val="single" w:color="000000" w:sz="8" w:space="0"/>
      </w:pBdr>
      <w:shd w:val="clear" w:color="000000" w:fill="FFFFFF"/>
      <w:adjustRightInd/>
      <w:spacing w:before="100" w:beforeAutospacing="1" w:after="100" w:afterAutospacing="1"/>
      <w:jc w:val="center"/>
    </w:pPr>
    <w:rPr>
      <w:rFonts w:ascii="仿宋" w:hAnsi="仿宋" w:eastAsia="仿宋" w:cs="宋体"/>
      <w:color w:val="000000"/>
      <w:kern w:val="0"/>
      <w:sz w:val="24"/>
    </w:rPr>
  </w:style>
  <w:style w:type="paragraph" w:customStyle="1" w:styleId="740">
    <w:name w:val="xl113"/>
    <w:basedOn w:val="1"/>
    <w:qFormat/>
    <w:uiPriority w:val="0"/>
    <w:pPr>
      <w:widowControl/>
      <w:pBdr>
        <w:left w:val="single" w:color="auto" w:sz="8" w:space="0"/>
        <w:right w:val="single" w:color="000000" w:sz="8" w:space="0"/>
      </w:pBdr>
      <w:shd w:val="clear" w:color="000000" w:fill="FFFFFF"/>
      <w:adjustRightInd/>
      <w:spacing w:before="100" w:beforeAutospacing="1" w:after="100" w:afterAutospacing="1"/>
      <w:jc w:val="center"/>
    </w:pPr>
    <w:rPr>
      <w:rFonts w:ascii="仿宋" w:hAnsi="仿宋" w:eastAsia="仿宋" w:cs="宋体"/>
      <w:color w:val="000000"/>
      <w:kern w:val="0"/>
      <w:sz w:val="24"/>
    </w:rPr>
  </w:style>
  <w:style w:type="paragraph" w:customStyle="1" w:styleId="741">
    <w:name w:val="xl114"/>
    <w:basedOn w:val="1"/>
    <w:qFormat/>
    <w:uiPriority w:val="0"/>
    <w:pPr>
      <w:widowControl/>
      <w:pBdr>
        <w:left w:val="single" w:color="auto" w:sz="8" w:space="0"/>
        <w:bottom w:val="single" w:color="000000" w:sz="8" w:space="0"/>
        <w:right w:val="single" w:color="000000" w:sz="8" w:space="0"/>
      </w:pBdr>
      <w:shd w:val="clear" w:color="000000" w:fill="FFFFFF"/>
      <w:adjustRightInd/>
      <w:spacing w:before="100" w:beforeAutospacing="1" w:after="100" w:afterAutospacing="1"/>
      <w:jc w:val="center"/>
    </w:pPr>
    <w:rPr>
      <w:rFonts w:ascii="仿宋" w:hAnsi="仿宋" w:eastAsia="仿宋" w:cs="宋体"/>
      <w:color w:val="000000"/>
      <w:kern w:val="0"/>
      <w:sz w:val="24"/>
    </w:rPr>
  </w:style>
  <w:style w:type="paragraph" w:customStyle="1" w:styleId="742">
    <w:name w:val="xl115"/>
    <w:basedOn w:val="1"/>
    <w:qFormat/>
    <w:uiPriority w:val="0"/>
    <w:pPr>
      <w:widowControl/>
      <w:pBdr>
        <w:bottom w:val="single" w:color="000000" w:sz="8" w:space="0"/>
        <w:right w:val="single" w:color="auto" w:sz="8" w:space="0"/>
      </w:pBdr>
      <w:shd w:val="clear" w:color="000000" w:fill="FFFFFF"/>
      <w:adjustRightInd/>
      <w:spacing w:before="100" w:beforeAutospacing="1" w:after="100" w:afterAutospacing="1"/>
      <w:jc w:val="center"/>
    </w:pPr>
    <w:rPr>
      <w:rFonts w:ascii="仿宋" w:hAnsi="仿宋" w:eastAsia="仿宋" w:cs="宋体"/>
      <w:color w:val="000000"/>
      <w:kern w:val="0"/>
      <w:sz w:val="24"/>
    </w:rPr>
  </w:style>
  <w:style w:type="paragraph" w:customStyle="1" w:styleId="743">
    <w:name w:val="TOC 标题3"/>
    <w:basedOn w:val="4"/>
    <w:next w:val="1"/>
    <w:unhideWhenUsed/>
    <w:qFormat/>
    <w:uiPriority w:val="39"/>
    <w:pPr>
      <w:tabs>
        <w:tab w:val="clear" w:pos="432"/>
      </w:tabs>
      <w:adjustRightInd/>
      <w:snapToGrid/>
      <w:spacing w:before="340" w:after="330" w:line="578" w:lineRule="auto"/>
      <w:outlineLvl w:val="9"/>
    </w:pPr>
    <w:rPr>
      <w:rFonts w:ascii="Calibri" w:hAnsi="Calibri"/>
      <w:sz w:val="44"/>
    </w:rPr>
  </w:style>
  <w:style w:type="paragraph" w:customStyle="1" w:styleId="744">
    <w:name w:val="明显引用1"/>
    <w:basedOn w:val="1"/>
    <w:next w:val="1"/>
    <w:link w:val="1150"/>
    <w:qFormat/>
    <w:uiPriority w:val="99"/>
    <w:pPr>
      <w:pBdr>
        <w:top w:val="single" w:color="4472C4" w:sz="4" w:space="10"/>
        <w:bottom w:val="single" w:color="4472C4" w:sz="4" w:space="10"/>
      </w:pBdr>
      <w:adjustRightInd/>
      <w:spacing w:before="360" w:after="360" w:line="360" w:lineRule="auto"/>
      <w:ind w:left="864" w:right="864"/>
      <w:jc w:val="center"/>
    </w:pPr>
    <w:rPr>
      <w:rFonts w:ascii="Calibri" w:hAnsi="Calibri"/>
      <w:i/>
      <w:iCs/>
      <w:color w:val="4472C4"/>
      <w:sz w:val="28"/>
      <w:szCs w:val="20"/>
    </w:rPr>
  </w:style>
  <w:style w:type="paragraph" w:customStyle="1" w:styleId="745">
    <w:name w:val="书目1"/>
    <w:basedOn w:val="1"/>
    <w:next w:val="1"/>
    <w:unhideWhenUsed/>
    <w:qFormat/>
    <w:uiPriority w:val="37"/>
    <w:pPr>
      <w:adjustRightInd/>
      <w:spacing w:line="360" w:lineRule="auto"/>
    </w:pPr>
    <w:rPr>
      <w:rFonts w:ascii="Calibri" w:hAnsi="Calibri"/>
      <w:sz w:val="28"/>
      <w:szCs w:val="20"/>
    </w:rPr>
  </w:style>
  <w:style w:type="paragraph" w:customStyle="1" w:styleId="746">
    <w:name w:val="无间隔3"/>
    <w:qFormat/>
    <w:uiPriority w:val="99"/>
    <w:pPr>
      <w:widowControl w:val="0"/>
      <w:jc w:val="both"/>
    </w:pPr>
    <w:rPr>
      <w:rFonts w:ascii="Calibri" w:hAnsi="Calibri" w:eastAsia="宋体" w:cs="Times New Roman"/>
      <w:kern w:val="2"/>
      <w:sz w:val="28"/>
      <w:lang w:val="en-US" w:eastAsia="zh-CN" w:bidi="ar-SA"/>
    </w:rPr>
  </w:style>
  <w:style w:type="paragraph" w:customStyle="1" w:styleId="747">
    <w:name w:val="引用1"/>
    <w:basedOn w:val="1"/>
    <w:next w:val="1"/>
    <w:link w:val="1151"/>
    <w:qFormat/>
    <w:uiPriority w:val="99"/>
    <w:pPr>
      <w:adjustRightInd/>
      <w:spacing w:before="200" w:after="160" w:line="360" w:lineRule="auto"/>
      <w:ind w:left="864" w:right="864"/>
      <w:jc w:val="center"/>
    </w:pPr>
    <w:rPr>
      <w:rFonts w:ascii="Calibri" w:hAnsi="Calibri"/>
      <w:i/>
      <w:iCs/>
      <w:color w:val="404040"/>
      <w:sz w:val="28"/>
      <w:szCs w:val="20"/>
    </w:rPr>
  </w:style>
  <w:style w:type="paragraph" w:customStyle="1" w:styleId="748">
    <w:name w:val="TOC 标题4"/>
    <w:basedOn w:val="4"/>
    <w:next w:val="1"/>
    <w:unhideWhenUsed/>
    <w:qFormat/>
    <w:uiPriority w:val="39"/>
    <w:pPr>
      <w:widowControl/>
      <w:tabs>
        <w:tab w:val="clear" w:pos="432"/>
      </w:tabs>
      <w:adjustRightInd/>
      <w:snapToGrid/>
      <w:spacing w:before="240" w:line="259" w:lineRule="auto"/>
      <w:jc w:val="left"/>
      <w:outlineLvl w:val="9"/>
    </w:pPr>
    <w:rPr>
      <w:rFonts w:ascii="等线 Light" w:hAnsi="等线 Light" w:eastAsia="等线 Light"/>
      <w:b w:val="0"/>
      <w:bCs w:val="0"/>
      <w:color w:val="2F5496"/>
      <w:kern w:val="0"/>
      <w:sz w:val="32"/>
      <w:szCs w:val="32"/>
    </w:rPr>
  </w:style>
  <w:style w:type="paragraph" w:customStyle="1" w:styleId="749">
    <w:name w:val="修订13"/>
    <w:hidden/>
    <w:unhideWhenUsed/>
    <w:qFormat/>
    <w:uiPriority w:val="99"/>
    <w:rPr>
      <w:rFonts w:ascii="宋体" w:hAnsi="宋体" w:eastAsia="宋体" w:cs="宋体"/>
      <w:sz w:val="24"/>
      <w:szCs w:val="24"/>
      <w:lang w:val="en-US" w:eastAsia="zh-CN" w:bidi="ar-SA"/>
    </w:rPr>
  </w:style>
  <w:style w:type="character" w:customStyle="1" w:styleId="750">
    <w:name w:val="标题 2 Char"/>
    <w:qFormat/>
    <w:uiPriority w:val="0"/>
    <w:rPr>
      <w:rFonts w:ascii="Arial" w:hAnsi="Arial" w:eastAsia="黑体"/>
      <w:b/>
      <w:kern w:val="2"/>
      <w:sz w:val="32"/>
      <w:lang w:val="en-US" w:eastAsia="zh-CN"/>
    </w:rPr>
  </w:style>
  <w:style w:type="character" w:customStyle="1" w:styleId="751">
    <w:name w:val="标题 3 字符"/>
    <w:qFormat/>
    <w:uiPriority w:val="9"/>
    <w:rPr>
      <w:b/>
      <w:bCs/>
      <w:kern w:val="2"/>
      <w:sz w:val="32"/>
      <w:szCs w:val="32"/>
    </w:rPr>
  </w:style>
  <w:style w:type="character" w:customStyle="1" w:styleId="752">
    <w:name w:val="标题 1 字符1"/>
    <w:link w:val="4"/>
    <w:qFormat/>
    <w:uiPriority w:val="9"/>
    <w:rPr>
      <w:rFonts w:eastAsia="宋体"/>
      <w:b/>
      <w:bCs/>
      <w:kern w:val="44"/>
      <w:sz w:val="36"/>
      <w:szCs w:val="44"/>
    </w:rPr>
  </w:style>
  <w:style w:type="character" w:customStyle="1" w:styleId="753">
    <w:name w:val="正文缩进 字符2"/>
    <w:link w:val="21"/>
    <w:qFormat/>
    <w:uiPriority w:val="0"/>
    <w:rPr>
      <w:rFonts w:ascii="宋体" w:eastAsia="宋体"/>
      <w:snapToGrid w:val="0"/>
      <w:color w:val="000000"/>
      <w:kern w:val="28"/>
      <w:sz w:val="28"/>
      <w:lang w:val="en-US" w:eastAsia="zh-CN" w:bidi="ar-SA"/>
    </w:rPr>
  </w:style>
  <w:style w:type="character" w:customStyle="1" w:styleId="754">
    <w:name w:val="标题 4 字符1"/>
    <w:link w:val="6"/>
    <w:qFormat/>
    <w:uiPriority w:val="0"/>
    <w:rPr>
      <w:rFonts w:ascii="Arial" w:hAnsi="Arial" w:eastAsia="黑体"/>
      <w:b/>
      <w:bCs/>
      <w:kern w:val="2"/>
      <w:sz w:val="28"/>
      <w:szCs w:val="28"/>
      <w:lang w:val="zh-CN"/>
    </w:rPr>
  </w:style>
  <w:style w:type="character" w:customStyle="1" w:styleId="755">
    <w:name w:val="标题 5 字符"/>
    <w:link w:val="7"/>
    <w:qFormat/>
    <w:uiPriority w:val="0"/>
    <w:rPr>
      <w:rFonts w:eastAsia="宋体"/>
      <w:b/>
      <w:bCs/>
      <w:kern w:val="2"/>
      <w:sz w:val="28"/>
      <w:szCs w:val="28"/>
    </w:rPr>
  </w:style>
  <w:style w:type="character" w:customStyle="1" w:styleId="756">
    <w:name w:val="标题 6 字符"/>
    <w:link w:val="8"/>
    <w:qFormat/>
    <w:uiPriority w:val="0"/>
    <w:rPr>
      <w:rFonts w:ascii="Arial" w:hAnsi="Arial" w:eastAsia="黑体"/>
      <w:b/>
      <w:bCs/>
      <w:kern w:val="2"/>
      <w:sz w:val="24"/>
      <w:szCs w:val="24"/>
    </w:rPr>
  </w:style>
  <w:style w:type="character" w:customStyle="1" w:styleId="757">
    <w:name w:val="标题 7 字符"/>
    <w:link w:val="9"/>
    <w:qFormat/>
    <w:uiPriority w:val="0"/>
    <w:rPr>
      <w:rFonts w:eastAsia="宋体"/>
      <w:b/>
      <w:bCs/>
      <w:kern w:val="2"/>
      <w:sz w:val="28"/>
      <w:szCs w:val="24"/>
    </w:rPr>
  </w:style>
  <w:style w:type="character" w:customStyle="1" w:styleId="758">
    <w:name w:val="标题 8 字符"/>
    <w:link w:val="10"/>
    <w:qFormat/>
    <w:uiPriority w:val="0"/>
    <w:rPr>
      <w:rFonts w:ascii="Arial" w:hAnsi="Arial" w:eastAsia="黑体"/>
      <w:kern w:val="2"/>
      <w:sz w:val="24"/>
      <w:szCs w:val="24"/>
    </w:rPr>
  </w:style>
  <w:style w:type="character" w:customStyle="1" w:styleId="759">
    <w:name w:val="标题 9 字符"/>
    <w:link w:val="11"/>
    <w:qFormat/>
    <w:uiPriority w:val="0"/>
    <w:rPr>
      <w:rFonts w:ascii="Arial" w:hAnsi="Arial" w:eastAsia="黑体"/>
      <w:kern w:val="2"/>
      <w:sz w:val="21"/>
      <w:szCs w:val="21"/>
    </w:rPr>
  </w:style>
  <w:style w:type="character" w:customStyle="1" w:styleId="760">
    <w:name w:val="题注 字符"/>
    <w:link w:val="22"/>
    <w:qFormat/>
    <w:uiPriority w:val="0"/>
    <w:rPr>
      <w:b/>
      <w:kern w:val="2"/>
      <w:sz w:val="28"/>
    </w:rPr>
  </w:style>
  <w:style w:type="character" w:customStyle="1" w:styleId="761">
    <w:name w:val="文档结构图 字符"/>
    <w:link w:val="26"/>
    <w:qFormat/>
    <w:uiPriority w:val="0"/>
    <w:rPr>
      <w:kern w:val="2"/>
      <w:sz w:val="21"/>
      <w:szCs w:val="24"/>
      <w:shd w:val="clear" w:color="auto" w:fill="000080"/>
    </w:rPr>
  </w:style>
  <w:style w:type="character" w:customStyle="1" w:styleId="762">
    <w:name w:val="批注文字 字符1"/>
    <w:link w:val="28"/>
    <w:qFormat/>
    <w:uiPriority w:val="0"/>
    <w:rPr>
      <w:kern w:val="2"/>
      <w:sz w:val="21"/>
      <w:szCs w:val="24"/>
    </w:rPr>
  </w:style>
  <w:style w:type="character" w:customStyle="1" w:styleId="763">
    <w:name w:val="称呼 字符"/>
    <w:link w:val="30"/>
    <w:qFormat/>
    <w:uiPriority w:val="99"/>
    <w:rPr>
      <w:rFonts w:ascii="仿宋_GB2312" w:eastAsia="仿宋_GB2312"/>
      <w:kern w:val="2"/>
      <w:sz w:val="28"/>
    </w:rPr>
  </w:style>
  <w:style w:type="character" w:customStyle="1" w:styleId="764">
    <w:name w:val="正文文本 3 字符"/>
    <w:link w:val="31"/>
    <w:qFormat/>
    <w:uiPriority w:val="99"/>
    <w:rPr>
      <w:kern w:val="2"/>
      <w:sz w:val="21"/>
    </w:rPr>
  </w:style>
  <w:style w:type="character" w:customStyle="1" w:styleId="765">
    <w:name w:val="正文文本 字符"/>
    <w:link w:val="34"/>
    <w:qFormat/>
    <w:uiPriority w:val="0"/>
    <w:rPr>
      <w:rFonts w:ascii="宋体" w:hAnsi="Arial" w:eastAsia="宋体" w:cs="Arial"/>
      <w:snapToGrid w:val="0"/>
      <w:kern w:val="2"/>
      <w:sz w:val="24"/>
      <w:szCs w:val="21"/>
      <w:lang w:val="zh-CN" w:eastAsia="zh-CN" w:bidi="ar-SA"/>
    </w:rPr>
  </w:style>
  <w:style w:type="character" w:customStyle="1" w:styleId="766">
    <w:name w:val="正文文本缩进 字符1"/>
    <w:link w:val="36"/>
    <w:qFormat/>
    <w:uiPriority w:val="0"/>
    <w:rPr>
      <w:rFonts w:ascii="宋体" w:hAnsi="宋体"/>
      <w:kern w:val="2"/>
      <w:sz w:val="24"/>
      <w:szCs w:val="24"/>
    </w:rPr>
  </w:style>
  <w:style w:type="character" w:customStyle="1" w:styleId="767">
    <w:name w:val="HTML 地址 字符"/>
    <w:link w:val="42"/>
    <w:qFormat/>
    <w:uiPriority w:val="99"/>
    <w:rPr>
      <w:rFonts w:ascii="宋体" w:hAnsi="宋体"/>
      <w:i/>
      <w:iCs/>
      <w:sz w:val="24"/>
      <w:szCs w:val="24"/>
    </w:rPr>
  </w:style>
  <w:style w:type="character" w:customStyle="1" w:styleId="768">
    <w:name w:val="纯文本 字符1"/>
    <w:link w:val="46"/>
    <w:qFormat/>
    <w:uiPriority w:val="0"/>
    <w:rPr>
      <w:rFonts w:ascii="宋体" w:hAnsi="Courier New" w:eastAsia="宋体" w:cs="Arial"/>
      <w:snapToGrid w:val="0"/>
      <w:kern w:val="2"/>
      <w:sz w:val="21"/>
      <w:szCs w:val="21"/>
      <w:lang w:val="en-US" w:eastAsia="zh-CN" w:bidi="ar-SA"/>
    </w:rPr>
  </w:style>
  <w:style w:type="character" w:customStyle="1" w:styleId="769">
    <w:name w:val="日期 字符"/>
    <w:link w:val="51"/>
    <w:qFormat/>
    <w:uiPriority w:val="99"/>
    <w:rPr>
      <w:rFonts w:ascii="宋体"/>
      <w:kern w:val="2"/>
      <w:sz w:val="24"/>
      <w:szCs w:val="21"/>
      <w:lang w:val="zh-CN"/>
    </w:rPr>
  </w:style>
  <w:style w:type="character" w:customStyle="1" w:styleId="770">
    <w:name w:val="正文文本缩进 2 字符"/>
    <w:link w:val="52"/>
    <w:qFormat/>
    <w:uiPriority w:val="99"/>
    <w:rPr>
      <w:rFonts w:ascii="宋体"/>
      <w:sz w:val="28"/>
    </w:rPr>
  </w:style>
  <w:style w:type="character" w:customStyle="1" w:styleId="771">
    <w:name w:val="尾注文本 字符"/>
    <w:link w:val="53"/>
    <w:qFormat/>
    <w:uiPriority w:val="99"/>
    <w:rPr>
      <w:kern w:val="2"/>
      <w:sz w:val="21"/>
      <w:szCs w:val="24"/>
      <w:lang w:val="zh-CN"/>
    </w:rPr>
  </w:style>
  <w:style w:type="character" w:customStyle="1" w:styleId="772">
    <w:name w:val="批注框文本 字符1"/>
    <w:link w:val="55"/>
    <w:qFormat/>
    <w:uiPriority w:val="99"/>
    <w:rPr>
      <w:kern w:val="2"/>
      <w:sz w:val="18"/>
      <w:szCs w:val="18"/>
    </w:rPr>
  </w:style>
  <w:style w:type="character" w:customStyle="1" w:styleId="773">
    <w:name w:val="页脚 字符2"/>
    <w:link w:val="56"/>
    <w:qFormat/>
    <w:locked/>
    <w:uiPriority w:val="99"/>
    <w:rPr>
      <w:kern w:val="2"/>
      <w:sz w:val="18"/>
      <w:szCs w:val="18"/>
    </w:rPr>
  </w:style>
  <w:style w:type="character" w:customStyle="1" w:styleId="774">
    <w:name w:val="页眉 字符2"/>
    <w:link w:val="58"/>
    <w:qFormat/>
    <w:uiPriority w:val="99"/>
    <w:rPr>
      <w:kern w:val="2"/>
      <w:sz w:val="18"/>
      <w:szCs w:val="18"/>
    </w:rPr>
  </w:style>
  <w:style w:type="character" w:customStyle="1" w:styleId="775">
    <w:name w:val="签名 字符"/>
    <w:link w:val="59"/>
    <w:qFormat/>
    <w:uiPriority w:val="99"/>
    <w:rPr>
      <w:rFonts w:eastAsia="仿宋_GB2312"/>
      <w:sz w:val="24"/>
    </w:rPr>
  </w:style>
  <w:style w:type="character" w:customStyle="1" w:styleId="776">
    <w:name w:val="副标题 字符"/>
    <w:link w:val="65"/>
    <w:qFormat/>
    <w:uiPriority w:val="11"/>
    <w:rPr>
      <w:rFonts w:ascii="Arial" w:hAnsi="Arial" w:eastAsia="隶书"/>
      <w:b/>
      <w:bCs/>
      <w:kern w:val="28"/>
      <w:sz w:val="44"/>
      <w:szCs w:val="32"/>
      <w:lang w:val="en-US" w:eastAsia="zh-CN" w:bidi="ar-SA"/>
    </w:rPr>
  </w:style>
  <w:style w:type="character" w:customStyle="1" w:styleId="777">
    <w:name w:val="脚注文本 字符"/>
    <w:link w:val="68"/>
    <w:qFormat/>
    <w:uiPriority w:val="0"/>
    <w:rPr>
      <w:color w:val="0000FF"/>
      <w:sz w:val="21"/>
    </w:rPr>
  </w:style>
  <w:style w:type="character" w:customStyle="1" w:styleId="778">
    <w:name w:val="正文文本缩进 3 字符"/>
    <w:link w:val="71"/>
    <w:qFormat/>
    <w:uiPriority w:val="99"/>
    <w:rPr>
      <w:kern w:val="2"/>
      <w:sz w:val="24"/>
    </w:rPr>
  </w:style>
  <w:style w:type="character" w:customStyle="1" w:styleId="779">
    <w:name w:val="正文文本 2 字符1"/>
    <w:link w:val="77"/>
    <w:qFormat/>
    <w:uiPriority w:val="0"/>
    <w:rPr>
      <w:kern w:val="2"/>
      <w:sz w:val="21"/>
      <w:szCs w:val="24"/>
    </w:rPr>
  </w:style>
  <w:style w:type="character" w:customStyle="1" w:styleId="780">
    <w:name w:val="HTML 预设格式 字符"/>
    <w:link w:val="81"/>
    <w:qFormat/>
    <w:uiPriority w:val="0"/>
    <w:rPr>
      <w:rFonts w:ascii="黑体" w:hAnsi="Courier New" w:eastAsia="黑体"/>
    </w:rPr>
  </w:style>
  <w:style w:type="character" w:customStyle="1" w:styleId="781">
    <w:name w:val="标题 字符"/>
    <w:link w:val="85"/>
    <w:qFormat/>
    <w:uiPriority w:val="10"/>
    <w:rPr>
      <w:b/>
      <w:sz w:val="24"/>
    </w:rPr>
  </w:style>
  <w:style w:type="character" w:customStyle="1" w:styleId="782">
    <w:name w:val="批注主题 字符"/>
    <w:link w:val="86"/>
    <w:qFormat/>
    <w:uiPriority w:val="0"/>
    <w:rPr>
      <w:b/>
      <w:bCs/>
      <w:kern w:val="2"/>
      <w:sz w:val="21"/>
      <w:szCs w:val="24"/>
    </w:rPr>
  </w:style>
  <w:style w:type="character" w:customStyle="1" w:styleId="783">
    <w:name w:val="正文文本首行缩进 字符"/>
    <w:link w:val="35"/>
    <w:qFormat/>
    <w:uiPriority w:val="0"/>
    <w:rPr>
      <w:rFonts w:ascii="宋体"/>
      <w:kern w:val="2"/>
      <w:sz w:val="24"/>
      <w:lang w:val="zh-CN"/>
    </w:rPr>
  </w:style>
  <w:style w:type="character" w:customStyle="1" w:styleId="784">
    <w:name w:val="正文文本首行缩进 2 字符"/>
    <w:link w:val="87"/>
    <w:qFormat/>
    <w:uiPriority w:val="0"/>
    <w:rPr>
      <w:rFonts w:ascii="宋体" w:hAnsi="宋体"/>
      <w:kern w:val="2"/>
      <w:sz w:val="21"/>
      <w:szCs w:val="24"/>
    </w:rPr>
  </w:style>
  <w:style w:type="character" w:customStyle="1" w:styleId="785">
    <w:name w:val="Default Char"/>
    <w:link w:val="105"/>
    <w:qFormat/>
    <w:uiPriority w:val="0"/>
    <w:rPr>
      <w:rFonts w:ascii="仿宋_GB2312" w:eastAsia="仿宋_GB2312" w:cs="仿宋_GB2312"/>
      <w:color w:val="000000"/>
      <w:sz w:val="24"/>
      <w:szCs w:val="24"/>
      <w:lang w:val="en-US" w:eastAsia="zh-CN" w:bidi="ar-SA"/>
    </w:rPr>
  </w:style>
  <w:style w:type="character" w:customStyle="1" w:styleId="786">
    <w:name w:val="表格非标题文字 Char"/>
    <w:link w:val="106"/>
    <w:qFormat/>
    <w:uiPriority w:val="0"/>
    <w:rPr>
      <w:rFonts w:ascii="Futura Bk" w:hAnsi="Futura Bk"/>
      <w:kern w:val="2"/>
      <w:sz w:val="18"/>
      <w:szCs w:val="21"/>
      <w:lang w:val="en-US" w:eastAsia="zh-CN" w:bidi="ar-SA"/>
    </w:rPr>
  </w:style>
  <w:style w:type="character" w:customStyle="1" w:styleId="787">
    <w:name w:val="*正文 Char"/>
    <w:link w:val="107"/>
    <w:qFormat/>
    <w:locked/>
    <w:uiPriority w:val="0"/>
    <w:rPr>
      <w:rFonts w:ascii="仿宋" w:hAnsi="仿宋" w:eastAsia="仿宋"/>
      <w:kern w:val="2"/>
      <w:sz w:val="24"/>
      <w:szCs w:val="24"/>
    </w:rPr>
  </w:style>
  <w:style w:type="character" w:customStyle="1" w:styleId="788">
    <w:name w:val="Char Char71"/>
    <w:semiHidden/>
    <w:qFormat/>
    <w:uiPriority w:val="0"/>
    <w:rPr>
      <w:rFonts w:eastAsia="宋体"/>
      <w:kern w:val="2"/>
      <w:sz w:val="21"/>
      <w:szCs w:val="24"/>
      <w:lang w:val="en-US" w:eastAsia="zh-CN" w:bidi="ar-SA"/>
    </w:rPr>
  </w:style>
  <w:style w:type="character" w:customStyle="1" w:styleId="789">
    <w:name w:val="Char Char6"/>
    <w:qFormat/>
    <w:uiPriority w:val="0"/>
    <w:rPr>
      <w:rFonts w:eastAsia="宋体"/>
      <w:kern w:val="2"/>
      <w:sz w:val="21"/>
      <w:szCs w:val="24"/>
      <w:lang w:val="en-US" w:eastAsia="zh-CN" w:bidi="ar-SA"/>
    </w:rPr>
  </w:style>
  <w:style w:type="character" w:customStyle="1" w:styleId="790">
    <w:name w:val="正文缩进 Char"/>
    <w:qFormat/>
    <w:uiPriority w:val="0"/>
    <w:rPr>
      <w:rFonts w:eastAsia="宋体"/>
      <w:kern w:val="2"/>
      <w:sz w:val="21"/>
      <w:lang w:val="en-US" w:eastAsia="zh-CN"/>
    </w:rPr>
  </w:style>
  <w:style w:type="character" w:customStyle="1" w:styleId="791">
    <w:name w:val="正文首行缩进 Char1"/>
    <w:qFormat/>
    <w:uiPriority w:val="0"/>
    <w:rPr>
      <w:rFonts w:ascii="宋体" w:hAnsi="Times New Roman" w:eastAsia="宋体" w:cs="Times New Roman"/>
      <w:snapToGrid w:val="0"/>
      <w:kern w:val="2"/>
      <w:sz w:val="24"/>
      <w:szCs w:val="21"/>
      <w:lang w:val="zh-CN"/>
    </w:rPr>
  </w:style>
  <w:style w:type="character" w:customStyle="1" w:styleId="792">
    <w:name w:val="Char Char28"/>
    <w:qFormat/>
    <w:uiPriority w:val="6"/>
    <w:rPr>
      <w:rFonts w:ascii="仿宋_GB2312" w:hAnsi="仿宋_GB2312" w:eastAsia="仿宋_GB2312"/>
      <w:kern w:val="1"/>
      <w:sz w:val="28"/>
    </w:rPr>
  </w:style>
  <w:style w:type="character" w:customStyle="1" w:styleId="793">
    <w:name w:val="标题 3 Char1"/>
    <w:qFormat/>
    <w:uiPriority w:val="0"/>
    <w:rPr>
      <w:rFonts w:hint="eastAsia" w:ascii="华文中宋" w:hAnsi="华文中宋" w:eastAsia="华文中宋"/>
      <w:b/>
      <w:bCs/>
      <w:kern w:val="2"/>
      <w:sz w:val="32"/>
      <w:szCs w:val="32"/>
      <w:lang w:val="en-US" w:eastAsia="zh-CN" w:bidi="ar-SA"/>
    </w:rPr>
  </w:style>
  <w:style w:type="character" w:customStyle="1" w:styleId="794">
    <w:name w:val="Heading 1 Char"/>
    <w:qFormat/>
    <w:uiPriority w:val="6"/>
    <w:rPr>
      <w:rFonts w:ascii="Times New Roman" w:hAnsi="Times New Roman" w:eastAsia="黑体" w:cs="Times New Roman"/>
      <w:b/>
      <w:kern w:val="0"/>
      <w:sz w:val="24"/>
      <w:szCs w:val="24"/>
    </w:rPr>
  </w:style>
  <w:style w:type="character" w:customStyle="1" w:styleId="795">
    <w:name w:val="U_正文 Char"/>
    <w:link w:val="108"/>
    <w:qFormat/>
    <w:uiPriority w:val="0"/>
    <w:rPr>
      <w:sz w:val="24"/>
      <w:szCs w:val="24"/>
    </w:rPr>
  </w:style>
  <w:style w:type="character" w:customStyle="1" w:styleId="796">
    <w:name w:val="HTML 地址 Char1"/>
    <w:qFormat/>
    <w:uiPriority w:val="0"/>
    <w:rPr>
      <w:rFonts w:ascii="Times New Roman" w:hAnsi="Times New Roman" w:eastAsia="宋体" w:cs="Times New Roman"/>
      <w:i/>
      <w:iCs/>
      <w:szCs w:val="24"/>
    </w:rPr>
  </w:style>
  <w:style w:type="character" w:customStyle="1" w:styleId="797">
    <w:name w:val="Char Char51"/>
    <w:qFormat/>
    <w:uiPriority w:val="0"/>
    <w:rPr>
      <w:rFonts w:ascii="宋体" w:hAnsi="Courier New" w:eastAsia="宋体"/>
      <w:kern w:val="2"/>
      <w:sz w:val="21"/>
      <w:lang w:val="en-US" w:eastAsia="zh-CN"/>
    </w:rPr>
  </w:style>
  <w:style w:type="character" w:customStyle="1" w:styleId="798">
    <w:name w:val="表正文 Char"/>
    <w:qFormat/>
    <w:uiPriority w:val="0"/>
    <w:rPr>
      <w:rFonts w:ascii="宋体" w:eastAsia="宋体"/>
      <w:snapToGrid w:val="0"/>
      <w:color w:val="000000"/>
      <w:kern w:val="28"/>
      <w:sz w:val="28"/>
      <w:lang w:val="en-US" w:eastAsia="zh-CN" w:bidi="ar-SA"/>
    </w:rPr>
  </w:style>
  <w:style w:type="character" w:customStyle="1" w:styleId="799">
    <w:name w:val="Char Char34"/>
    <w:qFormat/>
    <w:uiPriority w:val="6"/>
    <w:rPr>
      <w:b/>
      <w:kern w:val="1"/>
      <w:sz w:val="28"/>
      <w:szCs w:val="28"/>
    </w:rPr>
  </w:style>
  <w:style w:type="character" w:customStyle="1" w:styleId="800">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801">
    <w:name w:val="哈哈正文 Char"/>
    <w:link w:val="109"/>
    <w:qFormat/>
    <w:uiPriority w:val="0"/>
    <w:rPr>
      <w:rFonts w:ascii="宋体" w:hAnsi="宋体" w:eastAsia="宋体"/>
      <w:kern w:val="2"/>
      <w:sz w:val="24"/>
      <w:lang w:bidi="ar-SA"/>
    </w:rPr>
  </w:style>
  <w:style w:type="character" w:customStyle="1" w:styleId="802">
    <w:name w:val="未处理的提及1"/>
    <w:qFormat/>
    <w:uiPriority w:val="99"/>
    <w:rPr>
      <w:color w:val="808080"/>
      <w:shd w:val="clear" w:color="auto" w:fill="E6E6E6"/>
    </w:rPr>
  </w:style>
  <w:style w:type="character" w:customStyle="1" w:styleId="803">
    <w:name w:val="txt"/>
    <w:qFormat/>
    <w:uiPriority w:val="0"/>
    <w:rPr>
      <w:rFonts w:ascii="仿宋_GB2312" w:eastAsia="微软雅黑"/>
      <w:b/>
      <w:kern w:val="2"/>
      <w:sz w:val="32"/>
      <w:szCs w:val="32"/>
      <w:lang w:val="en-US" w:eastAsia="zh-CN" w:bidi="ar-SA"/>
    </w:rPr>
  </w:style>
  <w:style w:type="character" w:customStyle="1" w:styleId="804">
    <w:name w:val="二级标题 Char Char"/>
    <w:qFormat/>
    <w:uiPriority w:val="0"/>
    <w:rPr>
      <w:rFonts w:ascii="宋体" w:hAnsi="宋体" w:eastAsia="宋体"/>
      <w:b/>
      <w:snapToGrid w:val="0"/>
      <w:kern w:val="2"/>
      <w:sz w:val="24"/>
      <w:szCs w:val="24"/>
      <w:lang w:val="en-US" w:eastAsia="zh-CN" w:bidi="ar-SA"/>
    </w:rPr>
  </w:style>
  <w:style w:type="character" w:customStyle="1" w:styleId="805">
    <w:name w:val="Char Char32"/>
    <w:qFormat/>
    <w:uiPriority w:val="6"/>
    <w:rPr>
      <w:b/>
      <w:kern w:val="1"/>
      <w:sz w:val="24"/>
      <w:szCs w:val="24"/>
    </w:rPr>
  </w:style>
  <w:style w:type="character" w:customStyle="1" w:styleId="806">
    <w:name w:val="PI Char1"/>
    <w:qFormat/>
    <w:uiPriority w:val="0"/>
    <w:rPr>
      <w:rFonts w:ascii="宋体" w:hAnsi="宋体"/>
      <w:kern w:val="2"/>
      <w:sz w:val="24"/>
      <w:szCs w:val="24"/>
    </w:rPr>
  </w:style>
  <w:style w:type="character" w:customStyle="1" w:styleId="807">
    <w:name w:val="tw4winTerm"/>
    <w:qFormat/>
    <w:uiPriority w:val="0"/>
    <w:rPr>
      <w:color w:val="0000FF"/>
    </w:rPr>
  </w:style>
  <w:style w:type="character" w:customStyle="1" w:styleId="808">
    <w:name w:val="Footer Char"/>
    <w:qFormat/>
    <w:locked/>
    <w:uiPriority w:val="0"/>
    <w:rPr>
      <w:rFonts w:eastAsia="宋体"/>
      <w:kern w:val="2"/>
      <w:sz w:val="18"/>
      <w:lang w:val="en-US" w:eastAsia="zh-CN" w:bidi="ar-SA"/>
    </w:rPr>
  </w:style>
  <w:style w:type="character" w:customStyle="1" w:styleId="809">
    <w:name w:val="普通文字 Char Char1"/>
    <w:qFormat/>
    <w:uiPriority w:val="0"/>
    <w:rPr>
      <w:rFonts w:ascii="宋体" w:hAnsi="Courier New"/>
      <w:kern w:val="2"/>
      <w:sz w:val="21"/>
    </w:rPr>
  </w:style>
  <w:style w:type="character" w:customStyle="1" w:styleId="810">
    <w:name w:val="Char Char101"/>
    <w:qFormat/>
    <w:uiPriority w:val="6"/>
    <w:rPr>
      <w:rFonts w:ascii="宋体" w:hAnsi="宋体"/>
      <w:kern w:val="2"/>
      <w:sz w:val="21"/>
      <w:szCs w:val="24"/>
      <w:lang w:val="en-US" w:eastAsia="zh-CN"/>
    </w:rPr>
  </w:style>
  <w:style w:type="character" w:customStyle="1" w:styleId="811">
    <w:name w:val="标题 4 Char"/>
    <w:qFormat/>
    <w:uiPriority w:val="0"/>
    <w:rPr>
      <w:rFonts w:ascii="Arial" w:hAnsi="Arial" w:eastAsia="黑体"/>
      <w:b/>
      <w:kern w:val="2"/>
      <w:sz w:val="28"/>
    </w:rPr>
  </w:style>
  <w:style w:type="character" w:customStyle="1" w:styleId="812">
    <w:name w:val="链接"/>
    <w:qFormat/>
    <w:uiPriority w:val="0"/>
    <w:rPr>
      <w:color w:val="0000FF"/>
      <w:sz w:val="21"/>
      <w:szCs w:val="21"/>
      <w:u w:val="single"/>
    </w:rPr>
  </w:style>
  <w:style w:type="character" w:customStyle="1" w:styleId="813">
    <w:name w:val="h4 Char"/>
    <w:qFormat/>
    <w:uiPriority w:val="0"/>
    <w:rPr>
      <w:rFonts w:ascii="Arial" w:hAnsi="Arial" w:eastAsia="黑体"/>
      <w:b/>
      <w:bCs/>
      <w:kern w:val="2"/>
      <w:sz w:val="28"/>
      <w:szCs w:val="28"/>
      <w:lang w:val="zh-CN" w:eastAsia="zh-CN" w:bidi="ar-SA"/>
    </w:rPr>
  </w:style>
  <w:style w:type="character" w:customStyle="1" w:styleId="814">
    <w:name w:val="5正文 Char"/>
    <w:link w:val="110"/>
    <w:qFormat/>
    <w:uiPriority w:val="0"/>
    <w:rPr>
      <w:rFonts w:ascii="仿宋_GB2312" w:hAnsi="微软雅黑" w:eastAsia="仿宋_GB2312"/>
      <w:sz w:val="28"/>
      <w:szCs w:val="21"/>
    </w:rPr>
  </w:style>
  <w:style w:type="character" w:customStyle="1" w:styleId="815">
    <w:name w:val="样式6 Char"/>
    <w:qFormat/>
    <w:uiPriority w:val="0"/>
    <w:rPr>
      <w:rFonts w:ascii="仿宋_GB2312" w:hAnsi="宋体" w:eastAsia="仿宋_GB2312"/>
      <w:b/>
      <w:bCs/>
      <w:kern w:val="2"/>
      <w:sz w:val="24"/>
      <w:szCs w:val="24"/>
      <w:lang w:val="en-US" w:eastAsia="zh-CN" w:bidi="ar-SA"/>
    </w:rPr>
  </w:style>
  <w:style w:type="character" w:customStyle="1" w:styleId="816">
    <w:name w:val="Char Char14"/>
    <w:qFormat/>
    <w:uiPriority w:val="6"/>
    <w:rPr>
      <w:rFonts w:ascii="黑体" w:hAnsi="黑体" w:eastAsia="黑体"/>
    </w:rPr>
  </w:style>
  <w:style w:type="character" w:customStyle="1" w:styleId="817">
    <w:name w:val="Heading 2 Hidden Char"/>
    <w:qFormat/>
    <w:uiPriority w:val="0"/>
    <w:rPr>
      <w:rFonts w:ascii="仿宋_GB2312" w:eastAsia="仿宋_GB2312"/>
      <w:b/>
      <w:bCs/>
      <w:kern w:val="2"/>
      <w:sz w:val="24"/>
      <w:szCs w:val="24"/>
      <w:lang w:val="zh-CN" w:eastAsia="zh-CN" w:bidi="ar-SA"/>
    </w:rPr>
  </w:style>
  <w:style w:type="character" w:customStyle="1" w:styleId="818">
    <w:name w:val="font11"/>
    <w:qFormat/>
    <w:uiPriority w:val="0"/>
    <w:rPr>
      <w:rFonts w:hint="default" w:ascii="Times New Roman" w:hAnsi="Times New Roman" w:cs="Times New Roman"/>
      <w:color w:val="000000"/>
      <w:sz w:val="22"/>
      <w:szCs w:val="22"/>
      <w:u w:val="none"/>
    </w:rPr>
  </w:style>
  <w:style w:type="character" w:customStyle="1" w:styleId="819">
    <w:name w:val="表正文 Char1"/>
    <w:qFormat/>
    <w:uiPriority w:val="0"/>
    <w:rPr>
      <w:rFonts w:ascii="宋体" w:eastAsia="宋体"/>
      <w:snapToGrid w:val="0"/>
      <w:color w:val="000000"/>
      <w:kern w:val="28"/>
      <w:sz w:val="28"/>
    </w:rPr>
  </w:style>
  <w:style w:type="character" w:customStyle="1" w:styleId="820">
    <w:name w:val="blue1"/>
    <w:qFormat/>
    <w:uiPriority w:val="0"/>
    <w:rPr>
      <w:rFonts w:ascii="Arial" w:hAnsi="Arial" w:eastAsia="黑体" w:cs="Arial"/>
      <w:snapToGrid w:val="0"/>
      <w:kern w:val="0"/>
      <w:szCs w:val="21"/>
    </w:rPr>
  </w:style>
  <w:style w:type="character" w:customStyle="1" w:styleId="821">
    <w:name w:val="标书1 Char"/>
    <w:qFormat/>
    <w:uiPriority w:val="0"/>
    <w:rPr>
      <w:rFonts w:eastAsia="宋体"/>
      <w:b/>
      <w:bCs/>
      <w:kern w:val="44"/>
      <w:sz w:val="44"/>
      <w:szCs w:val="44"/>
      <w:lang w:val="en-US" w:eastAsia="zh-CN" w:bidi="ar-SA"/>
    </w:rPr>
  </w:style>
  <w:style w:type="character" w:customStyle="1" w:styleId="822">
    <w:name w:val="样式5 Char"/>
    <w:qFormat/>
    <w:uiPriority w:val="0"/>
    <w:rPr>
      <w:rFonts w:ascii="仿宋_GB2312" w:hAnsi="仿宋" w:eastAsia="仿宋_GB2312"/>
      <w:kern w:val="2"/>
      <w:sz w:val="24"/>
      <w:szCs w:val="24"/>
    </w:rPr>
  </w:style>
  <w:style w:type="character" w:customStyle="1" w:styleId="823">
    <w:name w:val="样式4 Char"/>
    <w:qFormat/>
    <w:uiPriority w:val="0"/>
    <w:rPr>
      <w:rFonts w:ascii="仿宋_GB2312" w:hAnsi="仿宋" w:eastAsia="仿宋_GB2312"/>
      <w:b/>
      <w:kern w:val="2"/>
      <w:sz w:val="32"/>
      <w:szCs w:val="32"/>
      <w:lang w:bidi="ar-SA"/>
    </w:rPr>
  </w:style>
  <w:style w:type="character" w:customStyle="1" w:styleId="824">
    <w:name w:val="插图说明 Char"/>
    <w:qFormat/>
    <w:uiPriority w:val="0"/>
    <w:rPr>
      <w:rFonts w:eastAsia="黑体"/>
      <w:sz w:val="24"/>
      <w:lang w:val="en-US" w:eastAsia="zh-CN"/>
    </w:rPr>
  </w:style>
  <w:style w:type="character" w:customStyle="1" w:styleId="825">
    <w:name w:val="正文2 Char Char"/>
    <w:link w:val="111"/>
    <w:qFormat/>
    <w:uiPriority w:val="0"/>
    <w:rPr>
      <w:rFonts w:eastAsia="宋体"/>
      <w:kern w:val="2"/>
      <w:sz w:val="24"/>
      <w:lang w:val="en-US" w:eastAsia="zh-CN" w:bidi="ar-SA"/>
    </w:rPr>
  </w:style>
  <w:style w:type="character" w:customStyle="1" w:styleId="826">
    <w:name w:val="Char Char24"/>
    <w:qFormat/>
    <w:uiPriority w:val="6"/>
    <w:rPr>
      <w:kern w:val="1"/>
      <w:sz w:val="21"/>
    </w:rPr>
  </w:style>
  <w:style w:type="character" w:customStyle="1" w:styleId="827">
    <w:name w:val="普通文字 Char1 Char"/>
    <w:qFormat/>
    <w:uiPriority w:val="0"/>
    <w:rPr>
      <w:rFonts w:ascii="宋体" w:hAnsi="Courier New" w:eastAsia="宋体"/>
      <w:kern w:val="2"/>
      <w:sz w:val="21"/>
      <w:szCs w:val="24"/>
      <w:lang w:val="en-US" w:eastAsia="zh-CN" w:bidi="ar-SA"/>
    </w:rPr>
  </w:style>
  <w:style w:type="character" w:customStyle="1" w:styleId="828">
    <w:name w:val="h3 Char1"/>
    <w:qFormat/>
    <w:uiPriority w:val="0"/>
    <w:rPr>
      <w:rFonts w:eastAsia="宋体"/>
      <w:b/>
      <w:bCs/>
      <w:kern w:val="2"/>
      <w:sz w:val="32"/>
      <w:szCs w:val="32"/>
      <w:lang w:bidi="ar-SA"/>
    </w:rPr>
  </w:style>
  <w:style w:type="character" w:customStyle="1" w:styleId="829">
    <w:name w:val="标题 Char1"/>
    <w:qFormat/>
    <w:uiPriority w:val="0"/>
    <w:rPr>
      <w:rFonts w:ascii="Cambria" w:hAnsi="Cambria" w:eastAsia="宋体" w:cs="Times New Roman"/>
      <w:b/>
      <w:bCs/>
      <w:sz w:val="32"/>
      <w:szCs w:val="32"/>
      <w:lang w:bidi="ar-SA"/>
    </w:rPr>
  </w:style>
  <w:style w:type="character" w:customStyle="1" w:styleId="830">
    <w:name w:val="gf正文1 Char"/>
    <w:qFormat/>
    <w:uiPriority w:val="0"/>
    <w:rPr>
      <w:rFonts w:ascii="宋体" w:hAnsi="宋体" w:eastAsia="宋体" w:cs="宋体"/>
      <w:kern w:val="2"/>
      <w:sz w:val="24"/>
      <w:szCs w:val="24"/>
      <w:lang w:val="en-US" w:eastAsia="zh-CN" w:bidi="ar-SA"/>
    </w:rPr>
  </w:style>
  <w:style w:type="character" w:customStyle="1" w:styleId="831">
    <w:name w:val="正文文本缩进 Char1"/>
    <w:qFormat/>
    <w:uiPriority w:val="0"/>
    <w:rPr>
      <w:rFonts w:ascii="Calibri" w:hAnsi="Calibri"/>
      <w:sz w:val="28"/>
    </w:rPr>
  </w:style>
  <w:style w:type="character" w:customStyle="1" w:styleId="832">
    <w:name w:val="No Spacing Char"/>
    <w:link w:val="112"/>
    <w:qFormat/>
    <w:uiPriority w:val="1"/>
    <w:rPr>
      <w:sz w:val="22"/>
      <w:szCs w:val="22"/>
      <w:lang w:val="en-US" w:eastAsia="zh-CN" w:bidi="ar-SA"/>
    </w:rPr>
  </w:style>
  <w:style w:type="character" w:customStyle="1" w:styleId="833">
    <w:name w:val="样式7 Char"/>
    <w:qFormat/>
    <w:uiPriority w:val="0"/>
    <w:rPr>
      <w:rFonts w:ascii="仿宋_GB2312" w:hAnsi="仿宋" w:eastAsia="仿宋_GB2312"/>
      <w:b/>
      <w:kern w:val="2"/>
      <w:sz w:val="24"/>
      <w:szCs w:val="24"/>
    </w:rPr>
  </w:style>
  <w:style w:type="character" w:customStyle="1" w:styleId="834">
    <w:name w:val="font12gray1"/>
    <w:qFormat/>
    <w:uiPriority w:val="0"/>
    <w:rPr>
      <w:rFonts w:ascii="仿宋_GB2312" w:eastAsia="微软雅黑"/>
      <w:b/>
      <w:spacing w:val="300"/>
      <w:kern w:val="2"/>
      <w:sz w:val="18"/>
      <w:szCs w:val="18"/>
      <w:lang w:val="en-US" w:eastAsia="zh-CN" w:bidi="ar-SA"/>
    </w:rPr>
  </w:style>
  <w:style w:type="character" w:customStyle="1" w:styleId="835">
    <w:name w:val="Char Char7"/>
    <w:semiHidden/>
    <w:qFormat/>
    <w:uiPriority w:val="0"/>
    <w:rPr>
      <w:rFonts w:eastAsia="宋体"/>
      <w:kern w:val="2"/>
      <w:sz w:val="21"/>
      <w:szCs w:val="24"/>
      <w:lang w:val="en-US" w:eastAsia="zh-CN" w:bidi="ar-SA"/>
    </w:rPr>
  </w:style>
  <w:style w:type="character" w:customStyle="1" w:styleId="836">
    <w:name w:val="表名 Char"/>
    <w:qFormat/>
    <w:uiPriority w:val="0"/>
    <w:rPr>
      <w:rFonts w:eastAsia="宋体"/>
      <w:b/>
      <w:bCs/>
      <w:kern w:val="2"/>
      <w:sz w:val="24"/>
      <w:szCs w:val="24"/>
      <w:lang w:val="en-US" w:eastAsia="zh-CN" w:bidi="ar-SA"/>
    </w:rPr>
  </w:style>
  <w:style w:type="character" w:customStyle="1" w:styleId="837">
    <w:name w:val="Document Map Char"/>
    <w:qFormat/>
    <w:locked/>
    <w:uiPriority w:val="0"/>
    <w:rPr>
      <w:rFonts w:eastAsia="宋体"/>
      <w:kern w:val="2"/>
      <w:sz w:val="21"/>
      <w:szCs w:val="24"/>
      <w:lang w:val="en-US" w:eastAsia="zh-CN" w:bidi="ar-SA"/>
    </w:rPr>
  </w:style>
  <w:style w:type="character" w:customStyle="1" w:styleId="838">
    <w:name w:val="font41"/>
    <w:qFormat/>
    <w:uiPriority w:val="0"/>
    <w:rPr>
      <w:rFonts w:hint="eastAsia" w:ascii="仿宋_GB2312" w:eastAsia="仿宋_GB2312" w:cs="仿宋_GB2312"/>
      <w:color w:val="000000"/>
      <w:sz w:val="22"/>
      <w:szCs w:val="22"/>
      <w:u w:val="none"/>
    </w:rPr>
  </w:style>
  <w:style w:type="character" w:customStyle="1" w:styleId="839">
    <w:name w:val="纯文本 Char_0"/>
    <w:link w:val="113"/>
    <w:qFormat/>
    <w:uiPriority w:val="0"/>
    <w:rPr>
      <w:rFonts w:ascii="宋体" w:hAnsi="Courier New"/>
      <w:kern w:val="2"/>
      <w:sz w:val="21"/>
      <w:szCs w:val="21"/>
      <w:lang w:val="en-US" w:eastAsia="zh-CN"/>
    </w:rPr>
  </w:style>
  <w:style w:type="character" w:customStyle="1" w:styleId="840">
    <w:name w:val="Balloon Text Char"/>
    <w:qFormat/>
    <w:locked/>
    <w:uiPriority w:val="0"/>
    <w:rPr>
      <w:rFonts w:eastAsia="宋体"/>
      <w:kern w:val="2"/>
      <w:sz w:val="18"/>
      <w:szCs w:val="18"/>
      <w:lang w:val="en-US" w:eastAsia="zh-CN" w:bidi="ar-SA"/>
    </w:rPr>
  </w:style>
  <w:style w:type="character" w:customStyle="1" w:styleId="841">
    <w:name w:val="正文 项目2 Char"/>
    <w:qFormat/>
    <w:uiPriority w:val="0"/>
    <w:rPr>
      <w:rFonts w:ascii="仿宋_GB2312" w:hAnsi="仿宋_GB2312" w:eastAsia="仿宋_GB2312"/>
      <w:kern w:val="2"/>
      <w:sz w:val="24"/>
      <w:lang w:bidi="ar-SA"/>
    </w:rPr>
  </w:style>
  <w:style w:type="character" w:customStyle="1" w:styleId="842">
    <w:name w:val="正文 项目 Char"/>
    <w:qFormat/>
    <w:uiPriority w:val="0"/>
    <w:rPr>
      <w:rFonts w:ascii="仿宋_GB2312" w:hAnsi="仿宋_GB2312" w:eastAsia="仿宋_GB2312"/>
      <w:kern w:val="2"/>
      <w:sz w:val="24"/>
      <w:lang w:bidi="ar-SA"/>
    </w:rPr>
  </w:style>
  <w:style w:type="character" w:customStyle="1" w:styleId="843">
    <w:name w:val="h Char Char1"/>
    <w:qFormat/>
    <w:uiPriority w:val="0"/>
    <w:rPr>
      <w:rFonts w:eastAsia="宋体"/>
      <w:kern w:val="2"/>
      <w:sz w:val="18"/>
      <w:szCs w:val="18"/>
      <w:lang w:val="en-US" w:eastAsia="zh-CN" w:bidi="ar-SA"/>
    </w:rPr>
  </w:style>
  <w:style w:type="character" w:customStyle="1" w:styleId="844">
    <w:name w:val="Char Char27"/>
    <w:qFormat/>
    <w:uiPriority w:val="6"/>
    <w:rPr>
      <w:rFonts w:ascii="宋体" w:hAnsi="宋体" w:eastAsia="宋体"/>
      <w:color w:val="000000"/>
      <w:kern w:val="1"/>
      <w:sz w:val="28"/>
      <w:lang w:val="en-US" w:eastAsia="zh-CN" w:bidi="ar-SA"/>
    </w:rPr>
  </w:style>
  <w:style w:type="character" w:customStyle="1" w:styleId="845">
    <w:name w:val="px14"/>
    <w:qFormat/>
    <w:uiPriority w:val="0"/>
    <w:rPr>
      <w:rFonts w:ascii="仿宋_GB2312" w:eastAsia="微软雅黑" w:cs="Times New Roman"/>
      <w:b/>
      <w:kern w:val="2"/>
      <w:sz w:val="32"/>
      <w:szCs w:val="32"/>
      <w:lang w:val="en-US" w:eastAsia="zh-CN" w:bidi="ar-SA"/>
    </w:rPr>
  </w:style>
  <w:style w:type="character" w:customStyle="1" w:styleId="846">
    <w:name w:val="HTML 预设格式 Char1"/>
    <w:qFormat/>
    <w:uiPriority w:val="0"/>
    <w:rPr>
      <w:rFonts w:ascii="Courier New" w:hAnsi="Courier New" w:eastAsia="宋体" w:cs="Courier New"/>
      <w:sz w:val="20"/>
      <w:szCs w:val="20"/>
    </w:rPr>
  </w:style>
  <w:style w:type="character" w:customStyle="1" w:styleId="847">
    <w:name w:val="普通文字 Char1"/>
    <w:qFormat/>
    <w:uiPriority w:val="0"/>
    <w:rPr>
      <w:rFonts w:ascii="宋体" w:hAnsi="Courier New" w:eastAsia="宋体"/>
      <w:kern w:val="2"/>
      <w:sz w:val="21"/>
      <w:lang w:val="en-US" w:eastAsia="zh-CN"/>
    </w:rPr>
  </w:style>
  <w:style w:type="character" w:customStyle="1" w:styleId="848">
    <w:name w:val="hei16b1"/>
    <w:qFormat/>
    <w:uiPriority w:val="0"/>
    <w:rPr>
      <w:rFonts w:hint="default" w:ascii="Arial" w:hAnsi="Arial" w:cs="Arial"/>
      <w:b/>
      <w:bCs/>
      <w:color w:val="000000"/>
      <w:sz w:val="24"/>
      <w:szCs w:val="24"/>
    </w:rPr>
  </w:style>
  <w:style w:type="character" w:customStyle="1" w:styleId="849">
    <w:name w:val="正文（绿盟科技） Char"/>
    <w:link w:val="115"/>
    <w:qFormat/>
    <w:uiPriority w:val="0"/>
    <w:rPr>
      <w:rFonts w:ascii="Arial" w:hAnsi="Arial"/>
      <w:sz w:val="21"/>
      <w:szCs w:val="21"/>
    </w:rPr>
  </w:style>
  <w:style w:type="character" w:customStyle="1" w:styleId="850">
    <w:name w:val="Char Char19"/>
    <w:qFormat/>
    <w:uiPriority w:val="6"/>
    <w:rPr>
      <w:rFonts w:ascii="宋体" w:hAnsi="宋体"/>
      <w:i/>
      <w:sz w:val="24"/>
      <w:szCs w:val="24"/>
    </w:rPr>
  </w:style>
  <w:style w:type="character" w:customStyle="1" w:styleId="851">
    <w:name w:val="页脚 Char"/>
    <w:qFormat/>
    <w:uiPriority w:val="0"/>
    <w:rPr>
      <w:rFonts w:eastAsia="仿宋_GB2312"/>
      <w:kern w:val="2"/>
      <w:sz w:val="18"/>
      <w:lang w:val="en-US" w:eastAsia="zh-CN"/>
    </w:rPr>
  </w:style>
  <w:style w:type="character" w:customStyle="1" w:styleId="852">
    <w:name w:val="批注主题 Char"/>
    <w:qFormat/>
    <w:uiPriority w:val="0"/>
    <w:rPr>
      <w:rFonts w:eastAsia="宋体"/>
      <w:b/>
      <w:bCs/>
      <w:kern w:val="2"/>
      <w:sz w:val="21"/>
      <w:szCs w:val="24"/>
      <w:lang w:val="en-US" w:eastAsia="zh-CN" w:bidi="ar-SA"/>
    </w:rPr>
  </w:style>
  <w:style w:type="character" w:customStyle="1" w:styleId="853">
    <w:name w:val="Comment Text Char"/>
    <w:qFormat/>
    <w:locked/>
    <w:uiPriority w:val="0"/>
    <w:rPr>
      <w:rFonts w:ascii="宋体" w:hAnsi="宋体" w:eastAsia="宋体"/>
      <w:kern w:val="2"/>
      <w:sz w:val="24"/>
      <w:lang w:val="en-US" w:eastAsia="zh-CN" w:bidi="ar-SA"/>
    </w:rPr>
  </w:style>
  <w:style w:type="character" w:customStyle="1" w:styleId="854">
    <w:name w:val="标题 2 字符"/>
    <w:qFormat/>
    <w:uiPriority w:val="0"/>
    <w:rPr>
      <w:rFonts w:ascii="仿宋_GB2312" w:hAnsi="Times New Roman" w:eastAsia="仿宋_GB2312" w:cs="Times New Roman"/>
      <w:b/>
      <w:kern w:val="2"/>
      <w:sz w:val="24"/>
      <w:lang w:val="zh-CN"/>
    </w:rPr>
  </w:style>
  <w:style w:type="character" w:customStyle="1" w:styleId="855">
    <w:name w:val="Char Char72"/>
    <w:qFormat/>
    <w:uiPriority w:val="0"/>
    <w:rPr>
      <w:rFonts w:eastAsia="宋体"/>
      <w:kern w:val="2"/>
      <w:sz w:val="21"/>
      <w:szCs w:val="24"/>
      <w:lang w:val="en-US" w:eastAsia="zh-CN" w:bidi="ar-SA"/>
    </w:rPr>
  </w:style>
  <w:style w:type="character" w:customStyle="1" w:styleId="856">
    <w:name w:val="正文文本缩进 Char2"/>
    <w:qFormat/>
    <w:uiPriority w:val="0"/>
    <w:rPr>
      <w:rFonts w:ascii="Times New Roman" w:hAnsi="Times New Roman" w:eastAsia="宋体" w:cs="Times New Roman"/>
      <w:snapToGrid w:val="0"/>
      <w:kern w:val="0"/>
      <w:szCs w:val="24"/>
    </w:rPr>
  </w:style>
  <w:style w:type="character" w:customStyle="1" w:styleId="857">
    <w:name w:val="样式2 Char"/>
    <w:qFormat/>
    <w:uiPriority w:val="0"/>
    <w:rPr>
      <w:rFonts w:ascii="仿宋_GB2312" w:hAnsi="仿宋" w:eastAsia="仿宋_GB2312" w:cs="仿宋_GB2312"/>
      <w:b/>
      <w:bCs/>
      <w:sz w:val="32"/>
      <w:szCs w:val="30"/>
      <w:lang w:val="zh-CN"/>
    </w:rPr>
  </w:style>
  <w:style w:type="character" w:customStyle="1" w:styleId="858">
    <w:name w:val="表格名称[858D7CFB-ED40-4347-BF05-701D383B685F]"/>
    <w:link w:val="116"/>
    <w:qFormat/>
    <w:uiPriority w:val="0"/>
    <w:rPr>
      <w:sz w:val="32"/>
    </w:rPr>
  </w:style>
  <w:style w:type="character" w:customStyle="1" w:styleId="859">
    <w:name w:val="Char Char4"/>
    <w:qFormat/>
    <w:uiPriority w:val="0"/>
    <w:rPr>
      <w:rFonts w:eastAsia="宋体"/>
      <w:b/>
      <w:sz w:val="24"/>
      <w:lang w:eastAsia="zh-CN" w:bidi="ar-SA"/>
    </w:rPr>
  </w:style>
  <w:style w:type="character" w:customStyle="1" w:styleId="860">
    <w:name w:val="c7 style3"/>
    <w:qFormat/>
    <w:uiPriority w:val="0"/>
  </w:style>
  <w:style w:type="character" w:customStyle="1" w:styleId="861">
    <w:name w:val="正文文本 3 Char1"/>
    <w:semiHidden/>
    <w:qFormat/>
    <w:uiPriority w:val="99"/>
    <w:rPr>
      <w:rFonts w:ascii="Times New Roman" w:hAnsi="Times New Roman" w:eastAsia="宋体" w:cs="Times New Roman"/>
      <w:sz w:val="16"/>
      <w:szCs w:val="16"/>
    </w:rPr>
  </w:style>
  <w:style w:type="character" w:customStyle="1" w:styleId="862">
    <w:name w:val="tw4winInternal"/>
    <w:qFormat/>
    <w:uiPriority w:val="0"/>
    <w:rPr>
      <w:rFonts w:ascii="Courier New" w:hAnsi="Courier New" w:cs="Courier New"/>
      <w:color w:val="FF0000"/>
      <w:lang w:val="en-US" w:eastAsia="zh-CN"/>
    </w:rPr>
  </w:style>
  <w:style w:type="character" w:customStyle="1" w:styleId="863">
    <w:name w:val="Char Char10"/>
    <w:semiHidden/>
    <w:qFormat/>
    <w:uiPriority w:val="0"/>
    <w:rPr>
      <w:rFonts w:ascii="宋体" w:hAnsi="宋体"/>
      <w:kern w:val="2"/>
      <w:sz w:val="21"/>
      <w:szCs w:val="24"/>
      <w:lang w:val="en-US" w:eastAsia="zh-CN"/>
    </w:rPr>
  </w:style>
  <w:style w:type="character" w:customStyle="1" w:styleId="864">
    <w:name w:val="shadow11"/>
    <w:qFormat/>
    <w:uiPriority w:val="0"/>
    <w:rPr>
      <w:color w:val="000000"/>
      <w:sz w:val="21"/>
    </w:rPr>
  </w:style>
  <w:style w:type="character" w:customStyle="1" w:styleId="865">
    <w:name w:val="正文非缩进 Char3"/>
    <w:qFormat/>
    <w:uiPriority w:val="0"/>
    <w:rPr>
      <w:rFonts w:ascii="宋体" w:eastAsia="宋体"/>
      <w:snapToGrid w:val="0"/>
      <w:color w:val="000000"/>
      <w:kern w:val="28"/>
      <w:sz w:val="28"/>
      <w:lang w:val="en-US" w:eastAsia="zh-CN" w:bidi="ar-SA"/>
    </w:rPr>
  </w:style>
  <w:style w:type="character" w:customStyle="1" w:styleId="866">
    <w:name w:val="Char Char"/>
    <w:qFormat/>
    <w:uiPriority w:val="0"/>
    <w:rPr>
      <w:rFonts w:ascii="宋体" w:hAnsi="Courier New" w:eastAsia="宋体"/>
      <w:kern w:val="2"/>
      <w:sz w:val="21"/>
      <w:lang w:val="en-US" w:eastAsia="zh-CN" w:bidi="ar-SA"/>
    </w:rPr>
  </w:style>
  <w:style w:type="character" w:customStyle="1" w:styleId="867">
    <w:name w:val="签名 Char1"/>
    <w:qFormat/>
    <w:uiPriority w:val="0"/>
    <w:rPr>
      <w:rFonts w:ascii="Times New Roman" w:hAnsi="Times New Roman" w:eastAsia="宋体" w:cs="Times New Roman"/>
      <w:szCs w:val="24"/>
    </w:rPr>
  </w:style>
  <w:style w:type="character" w:customStyle="1" w:styleId="868">
    <w:name w:val="Char Char18"/>
    <w:qFormat/>
    <w:uiPriority w:val="6"/>
    <w:rPr>
      <w:rFonts w:ascii="宋体" w:hAnsi="宋体"/>
      <w:sz w:val="28"/>
    </w:rPr>
  </w:style>
  <w:style w:type="character" w:customStyle="1" w:styleId="869">
    <w:name w:val="批注文字 Char"/>
    <w:qFormat/>
    <w:uiPriority w:val="99"/>
    <w:rPr>
      <w:kern w:val="2"/>
      <w:sz w:val="21"/>
      <w:szCs w:val="24"/>
    </w:rPr>
  </w:style>
  <w:style w:type="character" w:customStyle="1" w:styleId="870">
    <w:name w:val="Char Char22"/>
    <w:qFormat/>
    <w:uiPriority w:val="6"/>
    <w:rPr>
      <w:rFonts w:ascii="宋体" w:hAnsi="宋体"/>
      <w:kern w:val="1"/>
      <w:sz w:val="24"/>
      <w:szCs w:val="24"/>
    </w:rPr>
  </w:style>
  <w:style w:type="character" w:customStyle="1" w:styleId="871">
    <w:name w:val="pt141"/>
    <w:qFormat/>
    <w:uiPriority w:val="0"/>
    <w:rPr>
      <w:color w:val="330066"/>
      <w:sz w:val="22"/>
      <w:szCs w:val="22"/>
    </w:rPr>
  </w:style>
  <w:style w:type="character" w:customStyle="1" w:styleId="872">
    <w:name w:val="正文文本缩进 2 Char1"/>
    <w:semiHidden/>
    <w:qFormat/>
    <w:uiPriority w:val="99"/>
    <w:rPr>
      <w:rFonts w:ascii="Times New Roman" w:hAnsi="Times New Roman" w:eastAsia="宋体" w:cs="Times New Roman"/>
      <w:szCs w:val="24"/>
    </w:rPr>
  </w:style>
  <w:style w:type="character" w:customStyle="1" w:styleId="873">
    <w:name w:val="Char Char611"/>
    <w:qFormat/>
    <w:uiPriority w:val="0"/>
    <w:rPr>
      <w:rFonts w:eastAsia="宋体"/>
      <w:kern w:val="2"/>
      <w:sz w:val="21"/>
      <w:szCs w:val="24"/>
      <w:lang w:val="en-US" w:eastAsia="zh-CN" w:bidi="ar-SA"/>
    </w:rPr>
  </w:style>
  <w:style w:type="character" w:customStyle="1" w:styleId="874">
    <w:name w:val="highlight1"/>
    <w:qFormat/>
    <w:uiPriority w:val="0"/>
    <w:rPr>
      <w:rFonts w:ascii="仿宋_GB2312" w:eastAsia="微软雅黑"/>
      <w:b/>
      <w:kern w:val="2"/>
      <w:sz w:val="23"/>
      <w:szCs w:val="23"/>
      <w:lang w:val="en-US" w:eastAsia="zh-CN" w:bidi="ar-SA"/>
    </w:rPr>
  </w:style>
  <w:style w:type="character" w:customStyle="1" w:styleId="875">
    <w:name w:val="my正文 Char"/>
    <w:link w:val="117"/>
    <w:qFormat/>
    <w:locked/>
    <w:uiPriority w:val="0"/>
    <w:rPr>
      <w:rFonts w:ascii="Tahoma" w:hAnsi="Tahoma"/>
      <w:sz w:val="24"/>
      <w:szCs w:val="24"/>
    </w:rPr>
  </w:style>
  <w:style w:type="character" w:customStyle="1" w:styleId="876">
    <w:name w:val="Used by Word for text of Help footnotes Char Char1"/>
    <w:qFormat/>
    <w:uiPriority w:val="0"/>
    <w:rPr>
      <w:color w:val="0000FF"/>
      <w:sz w:val="21"/>
    </w:rPr>
  </w:style>
  <w:style w:type="character" w:customStyle="1" w:styleId="877">
    <w:name w:val="页眉 Char"/>
    <w:qFormat/>
    <w:uiPriority w:val="0"/>
    <w:rPr>
      <w:rFonts w:eastAsia="仿宋_GB2312"/>
      <w:kern w:val="2"/>
      <w:sz w:val="18"/>
      <w:lang w:val="en-US" w:eastAsia="zh-CN"/>
    </w:rPr>
  </w:style>
  <w:style w:type="character" w:customStyle="1" w:styleId="878">
    <w:name w:val="FA正文 Char Char"/>
    <w:qFormat/>
    <w:uiPriority w:val="0"/>
    <w:rPr>
      <w:rFonts w:hAnsi="宋体"/>
      <w:kern w:val="2"/>
      <w:sz w:val="24"/>
      <w:lang w:bidi="ar-SA"/>
    </w:rPr>
  </w:style>
  <w:style w:type="character" w:customStyle="1" w:styleId="879">
    <w:name w:val="纯文本 字符"/>
    <w:qFormat/>
    <w:uiPriority w:val="0"/>
    <w:rPr>
      <w:rFonts w:ascii="宋体" w:hAnsi="Courier New" w:eastAsia="宋体" w:cs="Arial"/>
      <w:snapToGrid w:val="0"/>
      <w:kern w:val="2"/>
      <w:sz w:val="21"/>
      <w:szCs w:val="21"/>
      <w:lang w:val="en-US" w:eastAsia="zh-CN" w:bidi="ar-SA"/>
    </w:rPr>
  </w:style>
  <w:style w:type="character" w:customStyle="1" w:styleId="880">
    <w:name w:val="3级 Char"/>
    <w:link w:val="118"/>
    <w:qFormat/>
    <w:uiPriority w:val="0"/>
    <w:rPr>
      <w:rFonts w:ascii="宋体" w:hAnsi="宋体"/>
      <w:b/>
      <w:bCs/>
      <w:sz w:val="28"/>
    </w:rPr>
  </w:style>
  <w:style w:type="character" w:customStyle="1" w:styleId="881">
    <w:name w:val="myp11"/>
    <w:qFormat/>
    <w:uiPriority w:val="0"/>
    <w:rPr>
      <w:rFonts w:ascii="仿宋_GB2312" w:eastAsia="微软雅黑"/>
      <w:b/>
      <w:kern w:val="2"/>
      <w:sz w:val="32"/>
      <w:szCs w:val="32"/>
      <w:lang w:val="en-US" w:eastAsia="zh-CN" w:bidi="ar-SA"/>
    </w:rPr>
  </w:style>
  <w:style w:type="character" w:customStyle="1" w:styleId="882">
    <w:name w:val="H6 Char"/>
    <w:qFormat/>
    <w:uiPriority w:val="0"/>
    <w:rPr>
      <w:rFonts w:ascii="Arial" w:hAnsi="Arial" w:eastAsia="黑体"/>
      <w:b/>
      <w:bCs/>
      <w:kern w:val="2"/>
      <w:sz w:val="24"/>
      <w:szCs w:val="24"/>
    </w:rPr>
  </w:style>
  <w:style w:type="character" w:customStyle="1" w:styleId="883">
    <w:name w:val="Char Char91"/>
    <w:qFormat/>
    <w:uiPriority w:val="0"/>
    <w:rPr>
      <w:rFonts w:eastAsia="宋体"/>
      <w:kern w:val="2"/>
      <w:sz w:val="18"/>
      <w:szCs w:val="18"/>
      <w:lang w:val="en-US" w:eastAsia="zh-CN" w:bidi="ar-SA"/>
    </w:rPr>
  </w:style>
  <w:style w:type="character" w:customStyle="1" w:styleId="884">
    <w:name w:val="副标题 Char1"/>
    <w:qFormat/>
    <w:uiPriority w:val="0"/>
    <w:rPr>
      <w:rFonts w:ascii="Cambria" w:hAnsi="Cambria" w:eastAsia="宋体" w:cs="Times New Roman"/>
      <w:b/>
      <w:bCs/>
      <w:snapToGrid w:val="0"/>
      <w:kern w:val="28"/>
      <w:sz w:val="32"/>
      <w:szCs w:val="32"/>
    </w:rPr>
  </w:style>
  <w:style w:type="character" w:customStyle="1" w:styleId="885">
    <w:name w:val="font61"/>
    <w:qFormat/>
    <w:uiPriority w:val="0"/>
    <w:rPr>
      <w:rFonts w:hint="eastAsia" w:ascii="仿宋" w:hAnsi="仿宋" w:eastAsia="仿宋" w:cs="仿宋"/>
      <w:color w:val="000000"/>
      <w:sz w:val="20"/>
      <w:szCs w:val="20"/>
      <w:u w:val="none"/>
    </w:rPr>
  </w:style>
  <w:style w:type="character" w:customStyle="1" w:styleId="886">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887">
    <w:name w:val="Char Char211"/>
    <w:qFormat/>
    <w:uiPriority w:val="0"/>
    <w:rPr>
      <w:rFonts w:eastAsia="宋体"/>
      <w:b/>
      <w:bCs/>
      <w:kern w:val="2"/>
      <w:sz w:val="21"/>
      <w:szCs w:val="24"/>
      <w:lang w:val="en-US" w:eastAsia="zh-CN" w:bidi="ar-SA"/>
    </w:rPr>
  </w:style>
  <w:style w:type="character" w:customStyle="1" w:styleId="888">
    <w:name w:val="maywed421"/>
    <w:qFormat/>
    <w:uiPriority w:val="0"/>
    <w:rPr>
      <w:color w:val="366FB6"/>
      <w:u w:val="none"/>
    </w:rPr>
  </w:style>
  <w:style w:type="character" w:customStyle="1" w:styleId="889">
    <w:name w:val="正文文本缩进 Char"/>
    <w:qFormat/>
    <w:uiPriority w:val="0"/>
    <w:rPr>
      <w:rFonts w:ascii="宋体" w:hAnsi="宋体"/>
      <w:kern w:val="2"/>
      <w:sz w:val="24"/>
      <w:szCs w:val="24"/>
    </w:rPr>
  </w:style>
  <w:style w:type="character" w:customStyle="1" w:styleId="890">
    <w:name w:val="Char Char102"/>
    <w:semiHidden/>
    <w:qFormat/>
    <w:uiPriority w:val="0"/>
    <w:rPr>
      <w:rFonts w:ascii="宋体" w:hAnsi="宋体"/>
      <w:kern w:val="2"/>
      <w:sz w:val="21"/>
      <w:szCs w:val="24"/>
      <w:lang w:val="en-US" w:eastAsia="zh-CN"/>
    </w:rPr>
  </w:style>
  <w:style w:type="character" w:customStyle="1" w:styleId="891">
    <w:name w:val="页眉 Char1"/>
    <w:qFormat/>
    <w:uiPriority w:val="0"/>
    <w:rPr>
      <w:rFonts w:eastAsia="宋体"/>
      <w:kern w:val="2"/>
      <w:sz w:val="18"/>
      <w:szCs w:val="18"/>
      <w:lang w:val="en-US" w:eastAsia="zh-CN" w:bidi="ar-SA"/>
    </w:rPr>
  </w:style>
  <w:style w:type="character" w:customStyle="1" w:styleId="892">
    <w:name w:val="md"/>
    <w:qFormat/>
    <w:uiPriority w:val="0"/>
    <w:rPr>
      <w:rFonts w:ascii="Arial" w:hAnsi="Arial" w:eastAsia="黑体" w:cs="Arial"/>
      <w:snapToGrid w:val="0"/>
      <w:kern w:val="0"/>
      <w:szCs w:val="21"/>
    </w:rPr>
  </w:style>
  <w:style w:type="character" w:customStyle="1" w:styleId="893">
    <w:name w:val="big1"/>
    <w:qFormat/>
    <w:uiPriority w:val="0"/>
    <w:rPr>
      <w:rFonts w:hint="eastAsia" w:ascii="宋体" w:hAnsi="宋体" w:eastAsia="宋体"/>
      <w:color w:val="333333"/>
      <w:sz w:val="22"/>
      <w:szCs w:val="22"/>
    </w:rPr>
  </w:style>
  <w:style w:type="character" w:customStyle="1" w:styleId="894">
    <w:name w:val="Char Char311"/>
    <w:qFormat/>
    <w:uiPriority w:val="0"/>
    <w:rPr>
      <w:rFonts w:eastAsia="宋体"/>
      <w:kern w:val="2"/>
      <w:sz w:val="21"/>
      <w:szCs w:val="24"/>
      <w:lang w:val="en-US" w:eastAsia="zh-CN" w:bidi="ar-SA"/>
    </w:rPr>
  </w:style>
  <w:style w:type="character" w:customStyle="1" w:styleId="895">
    <w:name w:val="Char Char81"/>
    <w:qFormat/>
    <w:uiPriority w:val="6"/>
    <w:rPr>
      <w:rFonts w:eastAsia="宋体"/>
      <w:b/>
      <w:sz w:val="24"/>
      <w:lang w:eastAsia="zh-CN"/>
    </w:rPr>
  </w:style>
  <w:style w:type="character" w:customStyle="1" w:styleId="896">
    <w:name w:val="样式3 Char"/>
    <w:qFormat/>
    <w:uiPriority w:val="0"/>
    <w:rPr>
      <w:rFonts w:ascii="仿宋_GB2312" w:hAnsi="仿宋" w:eastAsia="仿宋_GB2312" w:cs="仿宋_GB2312"/>
      <w:sz w:val="32"/>
      <w:szCs w:val="30"/>
      <w:lang w:val="zh-CN"/>
    </w:rPr>
  </w:style>
  <w:style w:type="character" w:customStyle="1" w:styleId="897">
    <w:name w:val="正文首行缩进 2 Char1"/>
    <w:qFormat/>
    <w:uiPriority w:val="0"/>
    <w:rPr>
      <w:rFonts w:ascii="Times New Roman" w:hAnsi="Times New Roman" w:eastAsia="宋体" w:cs="Times New Roman"/>
      <w:kern w:val="2"/>
      <w:sz w:val="24"/>
      <w:szCs w:val="24"/>
    </w:rPr>
  </w:style>
  <w:style w:type="character" w:customStyle="1" w:styleId="898">
    <w:name w:val="副标题 Char2"/>
    <w:qFormat/>
    <w:uiPriority w:val="0"/>
    <w:rPr>
      <w:rFonts w:ascii="Cambria" w:hAnsi="Cambria" w:eastAsia="宋体" w:cs="Times New Roman"/>
      <w:b/>
      <w:bCs/>
      <w:snapToGrid w:val="0"/>
      <w:kern w:val="28"/>
      <w:sz w:val="32"/>
      <w:szCs w:val="32"/>
    </w:rPr>
  </w:style>
  <w:style w:type="character" w:customStyle="1" w:styleId="899">
    <w:name w:val="标题4-dyf Char"/>
    <w:link w:val="120"/>
    <w:qFormat/>
    <w:uiPriority w:val="0"/>
    <w:rPr>
      <w:rFonts w:ascii="Cambria" w:hAnsi="Cambria"/>
      <w:b/>
      <w:bCs/>
      <w:color w:val="000000"/>
      <w:kern w:val="2"/>
      <w:sz w:val="21"/>
      <w:szCs w:val="21"/>
    </w:rPr>
  </w:style>
  <w:style w:type="character" w:customStyle="1" w:styleId="900">
    <w:name w:val="dectext1"/>
    <w:qFormat/>
    <w:uiPriority w:val="0"/>
    <w:rPr>
      <w:rFonts w:ascii="宋体" w:hAnsi="宋体" w:eastAsia="宋体"/>
      <w:color w:val="333333"/>
      <w:sz w:val="21"/>
      <w:szCs w:val="21"/>
      <w:u w:val="none"/>
    </w:rPr>
  </w:style>
  <w:style w:type="character" w:customStyle="1" w:styleId="901">
    <w:name w:val="冯 Char"/>
    <w:link w:val="121"/>
    <w:qFormat/>
    <w:uiPriority w:val="0"/>
    <w:rPr>
      <w:rFonts w:ascii="宋体" w:hAnsi="宋体"/>
      <w:color w:val="000000"/>
      <w:sz w:val="24"/>
      <w:szCs w:val="24"/>
    </w:rPr>
  </w:style>
  <w:style w:type="character" w:customStyle="1" w:styleId="902">
    <w:name w:val="Header Char"/>
    <w:qFormat/>
    <w:locked/>
    <w:uiPriority w:val="0"/>
    <w:rPr>
      <w:rFonts w:eastAsia="宋体"/>
      <w:kern w:val="2"/>
      <w:sz w:val="18"/>
      <w:szCs w:val="18"/>
      <w:lang w:val="en-US" w:eastAsia="zh-CN" w:bidi="ar-SA"/>
    </w:rPr>
  </w:style>
  <w:style w:type="character" w:customStyle="1" w:styleId="903">
    <w:name w:val="Char Char12"/>
    <w:qFormat/>
    <w:uiPriority w:val="0"/>
    <w:rPr>
      <w:rFonts w:ascii="仿宋_GB2312" w:eastAsia="仿宋_GB2312"/>
      <w:b/>
      <w:bCs/>
      <w:kern w:val="2"/>
      <w:sz w:val="24"/>
      <w:szCs w:val="24"/>
      <w:lang w:val="zh-CN" w:eastAsia="zh-CN" w:bidi="ar-SA"/>
    </w:rPr>
  </w:style>
  <w:style w:type="character" w:customStyle="1" w:styleId="904">
    <w:name w:val="普通文字 Char3"/>
    <w:qFormat/>
    <w:uiPriority w:val="0"/>
    <w:rPr>
      <w:rFonts w:ascii="宋体" w:hAnsi="Courier New" w:eastAsia="宋体"/>
      <w:kern w:val="2"/>
      <w:sz w:val="21"/>
      <w:lang w:val="en-US" w:eastAsia="zh-CN" w:bidi="ar-SA"/>
    </w:rPr>
  </w:style>
  <w:style w:type="character" w:customStyle="1" w:styleId="905">
    <w:name w:val="公文正文 Char"/>
    <w:qFormat/>
    <w:uiPriority w:val="0"/>
    <w:rPr>
      <w:rFonts w:ascii="仿宋_GB2312" w:eastAsia="仿宋_GB2312"/>
      <w:kern w:val="2"/>
      <w:sz w:val="24"/>
      <w:szCs w:val="24"/>
      <w:lang w:val="en-US" w:eastAsia="zh-CN" w:bidi="ar-SA"/>
    </w:rPr>
  </w:style>
  <w:style w:type="character" w:customStyle="1" w:styleId="906">
    <w:name w:val="正文首行缩进 Char Char Char Char Char"/>
    <w:qFormat/>
    <w:uiPriority w:val="0"/>
    <w:rPr>
      <w:rFonts w:ascii="宋体"/>
      <w:kern w:val="2"/>
      <w:sz w:val="24"/>
      <w:lang w:val="zh-CN"/>
    </w:rPr>
  </w:style>
  <w:style w:type="character" w:customStyle="1" w:styleId="907">
    <w:name w:val="PI Char"/>
    <w:qFormat/>
    <w:uiPriority w:val="0"/>
    <w:rPr>
      <w:rFonts w:ascii="宋体" w:hAnsi="宋体" w:eastAsia="宋体"/>
      <w:kern w:val="2"/>
      <w:sz w:val="24"/>
      <w:szCs w:val="24"/>
      <w:lang w:val="en-US" w:eastAsia="zh-CN" w:bidi="ar-SA"/>
    </w:rPr>
  </w:style>
  <w:style w:type="character" w:customStyle="1" w:styleId="908">
    <w:name w:val="style91"/>
    <w:qFormat/>
    <w:uiPriority w:val="0"/>
    <w:rPr>
      <w:color w:val="333333"/>
    </w:rPr>
  </w:style>
  <w:style w:type="character" w:customStyle="1" w:styleId="909">
    <w:name w:val="列出段落 Char2"/>
    <w:qFormat/>
    <w:uiPriority w:val="34"/>
    <w:rPr>
      <w:rFonts w:ascii="Calibri" w:hAnsi="Calibri"/>
      <w:kern w:val="2"/>
      <w:sz w:val="28"/>
    </w:rPr>
  </w:style>
  <w:style w:type="character" w:customStyle="1" w:styleId="910">
    <w:name w:val="mdeck"/>
    <w:qFormat/>
    <w:uiPriority w:val="0"/>
    <w:rPr>
      <w:rFonts w:ascii="仿宋_GB2312" w:eastAsia="微软雅黑"/>
      <w:b/>
      <w:kern w:val="2"/>
      <w:sz w:val="32"/>
      <w:szCs w:val="32"/>
      <w:lang w:val="en-US" w:eastAsia="zh-CN" w:bidi="ar-SA"/>
    </w:rPr>
  </w:style>
  <w:style w:type="character" w:customStyle="1" w:styleId="911">
    <w:name w:val="unnamed11"/>
    <w:qFormat/>
    <w:uiPriority w:val="0"/>
    <w:rPr>
      <w:sz w:val="20"/>
      <w:szCs w:val="20"/>
    </w:rPr>
  </w:style>
  <w:style w:type="character" w:customStyle="1" w:styleId="912">
    <w:name w:val="正文文本 Char2"/>
    <w:semiHidden/>
    <w:qFormat/>
    <w:uiPriority w:val="99"/>
    <w:rPr>
      <w:rFonts w:ascii="Times New Roman" w:hAnsi="Times New Roman" w:eastAsia="宋体" w:cs="Times New Roman"/>
      <w:snapToGrid w:val="0"/>
      <w:kern w:val="0"/>
      <w:szCs w:val="24"/>
    </w:rPr>
  </w:style>
  <w:style w:type="character" w:customStyle="1" w:styleId="913">
    <w:name w:val="标书正文格式 Char"/>
    <w:qFormat/>
    <w:uiPriority w:val="0"/>
    <w:rPr>
      <w:rFonts w:eastAsia="楷体_GB2312"/>
      <w:kern w:val="2"/>
      <w:sz w:val="24"/>
      <w:szCs w:val="24"/>
      <w:lang w:bidi="ar-SA"/>
    </w:rPr>
  </w:style>
  <w:style w:type="character" w:customStyle="1" w:styleId="914">
    <w:name w:val="Char Char11"/>
    <w:qFormat/>
    <w:locked/>
    <w:uiPriority w:val="0"/>
    <w:rPr>
      <w:rFonts w:ascii="宋体" w:hAnsi="宋体" w:eastAsia="宋体"/>
      <w:b/>
      <w:kern w:val="2"/>
      <w:sz w:val="24"/>
      <w:szCs w:val="24"/>
      <w:lang w:val="en-US" w:eastAsia="zh-CN" w:bidi="ar-SA"/>
    </w:rPr>
  </w:style>
  <w:style w:type="character" w:customStyle="1" w:styleId="915">
    <w:name w:val="ca-131"/>
    <w:qFormat/>
    <w:uiPriority w:val="0"/>
    <w:rPr>
      <w:rFonts w:hint="eastAsia" w:ascii="仿宋_GB2312" w:eastAsia="仿宋_GB2312"/>
      <w:b/>
      <w:bCs/>
      <w:color w:val="000000"/>
      <w:spacing w:val="-20"/>
      <w:sz w:val="24"/>
      <w:szCs w:val="24"/>
    </w:rPr>
  </w:style>
  <w:style w:type="character" w:customStyle="1" w:styleId="916">
    <w:name w:val="tw4winMark"/>
    <w:qFormat/>
    <w:uiPriority w:val="0"/>
    <w:rPr>
      <w:rFonts w:ascii="Courier New" w:hAnsi="Courier New" w:cs="Courier New"/>
      <w:vanish/>
      <w:color w:val="800080"/>
      <w:sz w:val="24"/>
      <w:szCs w:val="24"/>
      <w:vertAlign w:val="subscript"/>
    </w:rPr>
  </w:style>
  <w:style w:type="character" w:customStyle="1" w:styleId="917">
    <w:name w:val="正文样式 Char"/>
    <w:link w:val="122"/>
    <w:qFormat/>
    <w:uiPriority w:val="0"/>
    <w:rPr>
      <w:rFonts w:ascii="Calibri" w:hAnsi="Calibri"/>
      <w:sz w:val="24"/>
      <w:szCs w:val="24"/>
    </w:rPr>
  </w:style>
  <w:style w:type="character" w:customStyle="1" w:styleId="918">
    <w:name w:val="表正文 Char3"/>
    <w:qFormat/>
    <w:uiPriority w:val="0"/>
    <w:rPr>
      <w:rFonts w:eastAsia="宋体"/>
    </w:rPr>
  </w:style>
  <w:style w:type="character" w:customStyle="1" w:styleId="919">
    <w:name w:val="H5 Char"/>
    <w:qFormat/>
    <w:uiPriority w:val="0"/>
    <w:rPr>
      <w:b/>
      <w:bCs/>
      <w:kern w:val="2"/>
      <w:sz w:val="28"/>
      <w:szCs w:val="28"/>
    </w:rPr>
  </w:style>
  <w:style w:type="character" w:customStyle="1" w:styleId="920">
    <w:name w:val="Char Char3"/>
    <w:qFormat/>
    <w:uiPriority w:val="0"/>
    <w:rPr>
      <w:rFonts w:eastAsia="宋体"/>
      <w:kern w:val="2"/>
      <w:sz w:val="21"/>
      <w:szCs w:val="24"/>
      <w:lang w:val="en-US" w:eastAsia="zh-CN" w:bidi="ar-SA"/>
    </w:rPr>
  </w:style>
  <w:style w:type="character" w:customStyle="1" w:styleId="921">
    <w:name w:val="正文 编号 Char"/>
    <w:qFormat/>
    <w:uiPriority w:val="0"/>
    <w:rPr>
      <w:rFonts w:ascii="仿宋_GB2312" w:hAnsi="仿宋_GB2312" w:eastAsia="仿宋_GB2312"/>
      <w:kern w:val="2"/>
      <w:sz w:val="24"/>
      <w:lang w:bidi="ar-SA"/>
    </w:rPr>
  </w:style>
  <w:style w:type="character" w:customStyle="1" w:styleId="922">
    <w:name w:val="question-title2"/>
    <w:qFormat/>
    <w:uiPriority w:val="6"/>
    <w:rPr>
      <w:rFonts w:ascii="Arial" w:hAnsi="Arial" w:eastAsia="黑体" w:cs="Arial"/>
      <w:snapToGrid w:val="0"/>
      <w:kern w:val="0"/>
      <w:szCs w:val="21"/>
    </w:rPr>
  </w:style>
  <w:style w:type="character" w:customStyle="1" w:styleId="923">
    <w:name w:val="gf正文1 Char Char"/>
    <w:link w:val="123"/>
    <w:qFormat/>
    <w:uiPriority w:val="0"/>
    <w:rPr>
      <w:rFonts w:ascii="宋体" w:hAnsi="宋体" w:cs="宋体"/>
      <w:kern w:val="2"/>
      <w:sz w:val="24"/>
      <w:szCs w:val="24"/>
    </w:rPr>
  </w:style>
  <w:style w:type="character" w:customStyle="1" w:styleId="924">
    <w:name w:val="Char Char15"/>
    <w:qFormat/>
    <w:uiPriority w:val="6"/>
    <w:rPr>
      <w:rFonts w:ascii="宋体" w:hAnsi="宋体"/>
      <w:kern w:val="1"/>
      <w:sz w:val="21"/>
    </w:rPr>
  </w:style>
  <w:style w:type="character" w:customStyle="1" w:styleId="925">
    <w:name w:val="正文缩进 Char3"/>
    <w:qFormat/>
    <w:uiPriority w:val="0"/>
    <w:rPr>
      <w:rFonts w:ascii="宋体" w:eastAsia="宋体"/>
      <w:snapToGrid w:val="0"/>
      <w:color w:val="000000"/>
      <w:kern w:val="28"/>
      <w:sz w:val="28"/>
      <w:lang w:val="en-US" w:eastAsia="zh-CN" w:bidi="ar-SA"/>
    </w:rPr>
  </w:style>
  <w:style w:type="character" w:customStyle="1" w:styleId="926">
    <w:name w:val="列出段落 Char1"/>
    <w:link w:val="124"/>
    <w:qFormat/>
    <w:uiPriority w:val="0"/>
    <w:rPr>
      <w:rFonts w:ascii="Calibri" w:hAnsi="Calibri"/>
      <w:sz w:val="24"/>
      <w:lang w:eastAsia="en-US"/>
    </w:rPr>
  </w:style>
  <w:style w:type="character" w:customStyle="1" w:styleId="927">
    <w:name w:val="列表段落 字符1"/>
    <w:link w:val="125"/>
    <w:qFormat/>
    <w:locked/>
    <w:uiPriority w:val="34"/>
    <w:rPr>
      <w:rFonts w:eastAsia="楷体_GB2312" w:cs="Lucida Sans"/>
      <w:kern w:val="2"/>
      <w:sz w:val="24"/>
      <w:szCs w:val="24"/>
    </w:rPr>
  </w:style>
  <w:style w:type="character" w:customStyle="1" w:styleId="928">
    <w:name w:val="Char Char8"/>
    <w:qFormat/>
    <w:uiPriority w:val="0"/>
    <w:rPr>
      <w:rFonts w:eastAsia="宋体"/>
      <w:b/>
      <w:sz w:val="24"/>
      <w:lang w:eastAsia="zh-CN"/>
    </w:rPr>
  </w:style>
  <w:style w:type="character" w:customStyle="1" w:styleId="929">
    <w:name w:val="Normal Indent Char Char"/>
    <w:qFormat/>
    <w:uiPriority w:val="0"/>
    <w:rPr>
      <w:rFonts w:eastAsia="宋体"/>
      <w:kern w:val="2"/>
      <w:sz w:val="21"/>
      <w:lang w:val="en-US" w:eastAsia="zh-CN" w:bidi="ar-SA"/>
    </w:rPr>
  </w:style>
  <w:style w:type="character" w:customStyle="1" w:styleId="930">
    <w:name w:val="列表段落 字符"/>
    <w:qFormat/>
    <w:uiPriority w:val="0"/>
  </w:style>
  <w:style w:type="character" w:customStyle="1" w:styleId="931">
    <w:name w:val="Ò³Ã¼ Char Char1"/>
    <w:qFormat/>
    <w:uiPriority w:val="0"/>
    <w:rPr>
      <w:rFonts w:eastAsia="宋体"/>
      <w:kern w:val="2"/>
      <w:sz w:val="18"/>
      <w:szCs w:val="18"/>
      <w:lang w:val="en-US" w:eastAsia="zh-CN" w:bidi="ar-SA"/>
    </w:rPr>
  </w:style>
  <w:style w:type="character" w:customStyle="1" w:styleId="932">
    <w:name w:val="方案正文 Char"/>
    <w:qFormat/>
    <w:uiPriority w:val="0"/>
    <w:rPr>
      <w:rFonts w:ascii="仿宋_GB2312" w:eastAsia="仿宋_GB2312"/>
      <w:b/>
      <w:color w:val="000000"/>
      <w:kern w:val="2"/>
      <w:sz w:val="24"/>
      <w:lang w:val="en-US" w:eastAsia="zh-CN" w:bidi="ar-SA"/>
    </w:rPr>
  </w:style>
  <w:style w:type="character" w:customStyle="1" w:styleId="933">
    <w:name w:val="Char Char30"/>
    <w:qFormat/>
    <w:uiPriority w:val="6"/>
    <w:rPr>
      <w:rFonts w:ascii="Arial" w:hAnsi="Arial" w:eastAsia="黑体"/>
      <w:kern w:val="1"/>
      <w:sz w:val="21"/>
      <w:szCs w:val="21"/>
    </w:rPr>
  </w:style>
  <w:style w:type="character" w:customStyle="1" w:styleId="934">
    <w:name w:val="font01"/>
    <w:qFormat/>
    <w:uiPriority w:val="0"/>
    <w:rPr>
      <w:rFonts w:hint="eastAsia" w:ascii="微软雅黑" w:hAnsi="微软雅黑" w:eastAsia="微软雅黑" w:cs="微软雅黑"/>
      <w:color w:val="000000"/>
      <w:sz w:val="20"/>
      <w:szCs w:val="20"/>
      <w:u w:val="none"/>
    </w:rPr>
  </w:style>
  <w:style w:type="character" w:customStyle="1" w:styleId="935">
    <w:name w:val="Char Char20"/>
    <w:qFormat/>
    <w:uiPriority w:val="6"/>
    <w:rPr>
      <w:kern w:val="1"/>
      <w:sz w:val="24"/>
    </w:rPr>
  </w:style>
  <w:style w:type="character" w:customStyle="1" w:styleId="936">
    <w:name w:val="tw4winExternal"/>
    <w:qFormat/>
    <w:uiPriority w:val="0"/>
    <w:rPr>
      <w:rFonts w:ascii="Courier New" w:hAnsi="Courier New" w:cs="Courier New"/>
      <w:color w:val="808080"/>
      <w:lang w:val="en-US" w:eastAsia="zh-CN"/>
    </w:rPr>
  </w:style>
  <w:style w:type="character" w:customStyle="1" w:styleId="937">
    <w:name w:val="标题 4 Char1"/>
    <w:qFormat/>
    <w:uiPriority w:val="9"/>
    <w:rPr>
      <w:rFonts w:ascii="Cambria" w:hAnsi="Cambria" w:eastAsia="宋体" w:cs="Times New Roman"/>
      <w:b/>
      <w:bCs/>
      <w:kern w:val="2"/>
      <w:sz w:val="28"/>
      <w:szCs w:val="28"/>
    </w:rPr>
  </w:style>
  <w:style w:type="character" w:customStyle="1" w:styleId="938">
    <w:name w:val="批注文字 Char2"/>
    <w:qFormat/>
    <w:uiPriority w:val="99"/>
    <w:rPr>
      <w:rFonts w:ascii="Times New Roman" w:hAnsi="Times New Roman" w:eastAsia="宋体" w:cs="Times New Roman"/>
      <w:snapToGrid w:val="0"/>
      <w:kern w:val="0"/>
      <w:szCs w:val="24"/>
    </w:rPr>
  </w:style>
  <w:style w:type="character" w:customStyle="1" w:styleId="939">
    <w:name w:val="正文文本 2 Char"/>
    <w:qFormat/>
    <w:uiPriority w:val="0"/>
    <w:rPr>
      <w:rFonts w:eastAsia="宋体"/>
      <w:kern w:val="2"/>
      <w:sz w:val="21"/>
      <w:szCs w:val="24"/>
      <w:lang w:val="en-US" w:eastAsia="zh-CN" w:bidi="ar-SA"/>
    </w:rPr>
  </w:style>
  <w:style w:type="character" w:customStyle="1" w:styleId="940">
    <w:name w:val="Ò³Ã¼ Char Char"/>
    <w:qFormat/>
    <w:uiPriority w:val="0"/>
    <w:rPr>
      <w:rFonts w:eastAsia="宋体"/>
      <w:kern w:val="2"/>
      <w:sz w:val="18"/>
      <w:lang w:val="en-US" w:eastAsia="zh-CN" w:bidi="ar-SA"/>
    </w:rPr>
  </w:style>
  <w:style w:type="character" w:customStyle="1" w:styleId="941">
    <w:name w:val="message1"/>
    <w:qFormat/>
    <w:uiPriority w:val="0"/>
    <w:rPr>
      <w:rFonts w:hint="default" w:ascii="Tahoma" w:hAnsi="Tahoma" w:cs="Tahoma"/>
      <w:sz w:val="18"/>
      <w:szCs w:val="18"/>
    </w:rPr>
  </w:style>
  <w:style w:type="character" w:customStyle="1" w:styleId="942">
    <w:name w:val="Char Char23"/>
    <w:qFormat/>
    <w:uiPriority w:val="6"/>
    <w:rPr>
      <w:color w:val="0000FF"/>
      <w:sz w:val="21"/>
    </w:rPr>
  </w:style>
  <w:style w:type="character" w:customStyle="1" w:styleId="943">
    <w:name w:val="批注框文本 字符"/>
    <w:qFormat/>
    <w:uiPriority w:val="0"/>
    <w:rPr>
      <w:rFonts w:ascii="Arial" w:hAnsi="Arial" w:eastAsia="黑体" w:cs="Arial"/>
      <w:snapToGrid w:val="0"/>
      <w:kern w:val="0"/>
      <w:sz w:val="18"/>
      <w:szCs w:val="18"/>
    </w:rPr>
  </w:style>
  <w:style w:type="character" w:customStyle="1" w:styleId="944">
    <w:name w:val="纯文本 Char2"/>
    <w:semiHidden/>
    <w:qFormat/>
    <w:uiPriority w:val="99"/>
    <w:rPr>
      <w:rFonts w:ascii="宋体" w:hAnsi="Courier New" w:eastAsia="宋体" w:cs="Courier New"/>
    </w:rPr>
  </w:style>
  <w:style w:type="character" w:customStyle="1" w:styleId="945">
    <w:name w:val="Char Char25"/>
    <w:qFormat/>
    <w:uiPriority w:val="6"/>
    <w:rPr>
      <w:rFonts w:ascii="宋体" w:hAnsi="宋体"/>
      <w:kern w:val="1"/>
      <w:sz w:val="24"/>
      <w:lang w:val="zh-CN"/>
    </w:rPr>
  </w:style>
  <w:style w:type="character" w:customStyle="1" w:styleId="946">
    <w:name w:val="Char Char411"/>
    <w:qFormat/>
    <w:uiPriority w:val="0"/>
    <w:rPr>
      <w:rFonts w:eastAsia="宋体"/>
      <w:b/>
      <w:sz w:val="24"/>
      <w:lang w:eastAsia="zh-CN" w:bidi="ar-SA"/>
    </w:rPr>
  </w:style>
  <w:style w:type="character" w:customStyle="1" w:styleId="947">
    <w:name w:val="Heading 7 Char"/>
    <w:qFormat/>
    <w:locked/>
    <w:uiPriority w:val="0"/>
    <w:rPr>
      <w:rFonts w:ascii="宋体" w:hAnsi="宋体" w:eastAsia="宋体"/>
      <w:b/>
      <w:bCs/>
      <w:kern w:val="2"/>
      <w:sz w:val="24"/>
      <w:szCs w:val="24"/>
      <w:lang w:val="en-US" w:eastAsia="zh-CN" w:bidi="ar-SA"/>
    </w:rPr>
  </w:style>
  <w:style w:type="character" w:customStyle="1" w:styleId="948">
    <w:name w:val="此正文 Char"/>
    <w:link w:val="126"/>
    <w:qFormat/>
    <w:uiPriority w:val="0"/>
    <w:rPr>
      <w:kern w:val="2"/>
      <w:sz w:val="24"/>
      <w:szCs w:val="24"/>
    </w:rPr>
  </w:style>
  <w:style w:type="character" w:customStyle="1" w:styleId="949">
    <w:name w:val="Char Char2"/>
    <w:qFormat/>
    <w:uiPriority w:val="0"/>
    <w:rPr>
      <w:rFonts w:eastAsia="宋体"/>
      <w:b/>
      <w:bCs/>
      <w:kern w:val="2"/>
      <w:sz w:val="21"/>
      <w:szCs w:val="24"/>
      <w:lang w:val="en-US" w:eastAsia="zh-CN" w:bidi="ar-SA"/>
    </w:rPr>
  </w:style>
  <w:style w:type="character" w:customStyle="1" w:styleId="950">
    <w:name w:val="Footer-Even Char1"/>
    <w:qFormat/>
    <w:uiPriority w:val="0"/>
    <w:rPr>
      <w:rFonts w:eastAsia="宋体"/>
      <w:kern w:val="2"/>
      <w:sz w:val="18"/>
      <w:szCs w:val="18"/>
      <w:lang w:val="en-US" w:eastAsia="zh-CN" w:bidi="ar-SA"/>
    </w:rPr>
  </w:style>
  <w:style w:type="character" w:customStyle="1" w:styleId="951">
    <w:name w:val="Char Char29"/>
    <w:qFormat/>
    <w:uiPriority w:val="6"/>
    <w:rPr>
      <w:rFonts w:ascii="Arial" w:hAnsi="Arial" w:eastAsia="微软雅黑"/>
      <w:b/>
      <w:kern w:val="1"/>
      <w:sz w:val="44"/>
      <w:szCs w:val="32"/>
      <w:lang w:val="en-US" w:eastAsia="zh-CN" w:bidi="ar-SA"/>
    </w:rPr>
  </w:style>
  <w:style w:type="character" w:customStyle="1" w:styleId="952">
    <w:name w:val="font81"/>
    <w:qFormat/>
    <w:uiPriority w:val="0"/>
    <w:rPr>
      <w:rFonts w:ascii="微软雅黑" w:hAnsi="微软雅黑" w:eastAsia="微软雅黑" w:cs="微软雅黑"/>
      <w:color w:val="000000"/>
      <w:sz w:val="20"/>
      <w:szCs w:val="20"/>
      <w:u w:val="none"/>
    </w:rPr>
  </w:style>
  <w:style w:type="character" w:customStyle="1" w:styleId="953">
    <w:name w:val="Char Char312"/>
    <w:qFormat/>
    <w:uiPriority w:val="0"/>
    <w:rPr>
      <w:rFonts w:ascii="Times New Roman" w:hAnsi="Times New Roman" w:eastAsia="宋体" w:cs="Times New Roman"/>
      <w:b/>
      <w:kern w:val="2"/>
      <w:sz w:val="32"/>
      <w:szCs w:val="24"/>
      <w:lang w:val="en-US" w:eastAsia="zh-CN" w:bidi="ar-SA"/>
    </w:rPr>
  </w:style>
  <w:style w:type="character" w:customStyle="1" w:styleId="954">
    <w:name w:val="t21"/>
    <w:qFormat/>
    <w:uiPriority w:val="0"/>
    <w:rPr>
      <w:rFonts w:ascii="仿宋_GB2312" w:eastAsia="微软雅黑"/>
      <w:b/>
      <w:kern w:val="2"/>
      <w:sz w:val="23"/>
      <w:szCs w:val="23"/>
      <w:lang w:val="en-US" w:eastAsia="zh-CN" w:bidi="ar-SA"/>
    </w:rPr>
  </w:style>
  <w:style w:type="character" w:customStyle="1" w:styleId="955">
    <w:name w:val="样式8 Char"/>
    <w:qFormat/>
    <w:uiPriority w:val="0"/>
    <w:rPr>
      <w:rFonts w:ascii="仿宋_GB2312" w:hAnsi="宋体" w:eastAsia="仿宋_GB2312"/>
      <w:b/>
      <w:bCs/>
      <w:kern w:val="2"/>
      <w:sz w:val="24"/>
      <w:szCs w:val="24"/>
    </w:rPr>
  </w:style>
  <w:style w:type="character" w:customStyle="1" w:styleId="956">
    <w:name w:val="表格 Char Char"/>
    <w:qFormat/>
    <w:uiPriority w:val="0"/>
    <w:rPr>
      <w:rFonts w:ascii="宋体" w:hAnsi="宋体" w:eastAsia="宋体"/>
      <w:lang w:bidi="ar-SA"/>
    </w:rPr>
  </w:style>
  <w:style w:type="character" w:customStyle="1" w:styleId="957">
    <w:name w:val="正文文本 字符1"/>
    <w:qFormat/>
    <w:uiPriority w:val="99"/>
    <w:rPr>
      <w:rFonts w:ascii="Calibri" w:hAnsi="Calibri" w:eastAsia="黑体" w:cs="Arial"/>
      <w:snapToGrid w:val="0"/>
      <w:kern w:val="2"/>
      <w:sz w:val="28"/>
      <w:szCs w:val="21"/>
    </w:rPr>
  </w:style>
  <w:style w:type="character" w:customStyle="1" w:styleId="958">
    <w:name w:val="标题 6 Char1"/>
    <w:qFormat/>
    <w:uiPriority w:val="0"/>
    <w:rPr>
      <w:rFonts w:ascii="Arial" w:hAnsi="Arial" w:eastAsia="黑体" w:cs="Times New Roman"/>
      <w:b/>
      <w:sz w:val="24"/>
      <w:szCs w:val="20"/>
      <w:lang w:bidi="ar-SA"/>
    </w:rPr>
  </w:style>
  <w:style w:type="character" w:customStyle="1" w:styleId="959">
    <w:name w:val="带编号样式 Char"/>
    <w:qFormat/>
    <w:uiPriority w:val="0"/>
    <w:rPr>
      <w:rFonts w:ascii="仿宋_GB2312" w:eastAsia="仿宋_GB2312"/>
      <w:color w:val="000000"/>
      <w:sz w:val="24"/>
      <w:lang w:bidi="ar-SA"/>
    </w:rPr>
  </w:style>
  <w:style w:type="character" w:customStyle="1" w:styleId="960">
    <w:name w:val="unnamed31"/>
    <w:qFormat/>
    <w:uiPriority w:val="0"/>
    <w:rPr>
      <w:rFonts w:ascii="Tahoma" w:hAnsi="Tahoma" w:eastAsia="宋体"/>
      <w:b/>
      <w:kern w:val="2"/>
      <w:sz w:val="24"/>
      <w:szCs w:val="32"/>
      <w:u w:val="none"/>
      <w:lang w:val="en-US" w:eastAsia="zh-CN" w:bidi="ar-SA"/>
    </w:rPr>
  </w:style>
  <w:style w:type="character" w:customStyle="1" w:styleId="961">
    <w:name w:val="正文首行缩进 Char Char Char Char Char Char1"/>
    <w:qFormat/>
    <w:uiPriority w:val="0"/>
    <w:rPr>
      <w:rFonts w:ascii="宋体" w:eastAsia="宋体"/>
      <w:kern w:val="2"/>
      <w:sz w:val="24"/>
      <w:szCs w:val="24"/>
      <w:lang w:val="zh-CN" w:bidi="ar-SA"/>
    </w:rPr>
  </w:style>
  <w:style w:type="character" w:customStyle="1" w:styleId="962">
    <w:name w:val="文本正文 Char Char"/>
    <w:qFormat/>
    <w:locked/>
    <w:uiPriority w:val="0"/>
    <w:rPr>
      <w:sz w:val="24"/>
      <w:lang w:bidi="ar-SA"/>
    </w:rPr>
  </w:style>
  <w:style w:type="character" w:customStyle="1" w:styleId="963">
    <w:name w:val="正文缩进 字符"/>
    <w:qFormat/>
    <w:uiPriority w:val="0"/>
    <w:rPr>
      <w:rFonts w:ascii="宋体" w:eastAsia="宋体"/>
      <w:snapToGrid w:val="0"/>
      <w:color w:val="000000"/>
      <w:kern w:val="28"/>
      <w:sz w:val="28"/>
      <w:lang w:val="en-US" w:eastAsia="zh-CN" w:bidi="ar-SA"/>
    </w:rPr>
  </w:style>
  <w:style w:type="character" w:customStyle="1" w:styleId="964">
    <w:name w:val="样式 样式 标题 4h4H4Fab-4T5Ref Heading 1rh1Heading sqlsect 1.2.3.... +... Char"/>
    <w:link w:val="127"/>
    <w:qFormat/>
    <w:uiPriority w:val="0"/>
    <w:rPr>
      <w:rFonts w:ascii="微软雅黑" w:hAnsi="微软雅黑" w:eastAsia="微软雅黑"/>
      <w:b/>
      <w:bCs/>
      <w:kern w:val="2"/>
      <w:sz w:val="24"/>
      <w:szCs w:val="28"/>
    </w:rPr>
  </w:style>
  <w:style w:type="character" w:customStyle="1" w:styleId="965">
    <w:name w:val="样式 标题 4h4H4Fab-4T5Ref Heading 1rh1Heading sqlsect 1.2.3.... Char"/>
    <w:link w:val="128"/>
    <w:qFormat/>
    <w:uiPriority w:val="0"/>
    <w:rPr>
      <w:rFonts w:ascii="微软雅黑" w:hAnsi="微软雅黑" w:eastAsia="微软雅黑"/>
      <w:b/>
      <w:bCs/>
      <w:kern w:val="2"/>
      <w:sz w:val="24"/>
      <w:szCs w:val="28"/>
    </w:rPr>
  </w:style>
  <w:style w:type="character" w:customStyle="1" w:styleId="966">
    <w:name w:val="正文非缩进 Char"/>
    <w:qFormat/>
    <w:uiPriority w:val="0"/>
    <w:rPr>
      <w:rFonts w:ascii="宋体" w:eastAsia="宋体"/>
      <w:snapToGrid w:val="0"/>
      <w:color w:val="000000"/>
      <w:kern w:val="28"/>
      <w:sz w:val="28"/>
      <w:lang w:val="en-US" w:eastAsia="zh-CN" w:bidi="ar-SA"/>
    </w:rPr>
  </w:style>
  <w:style w:type="character" w:customStyle="1" w:styleId="967">
    <w:name w:val="Char Char5"/>
    <w:qFormat/>
    <w:uiPriority w:val="0"/>
    <w:rPr>
      <w:rFonts w:ascii="宋体" w:hAnsi="Courier New" w:eastAsia="宋体"/>
      <w:kern w:val="2"/>
      <w:sz w:val="21"/>
      <w:lang w:val="en-US" w:eastAsia="zh-CN"/>
    </w:rPr>
  </w:style>
  <w:style w:type="character" w:customStyle="1" w:styleId="968">
    <w:name w:val="称呼 Char1"/>
    <w:qFormat/>
    <w:uiPriority w:val="0"/>
    <w:rPr>
      <w:rFonts w:ascii="Times New Roman" w:hAnsi="Times New Roman" w:eastAsia="宋体" w:cs="Times New Roman"/>
      <w:szCs w:val="24"/>
    </w:rPr>
  </w:style>
  <w:style w:type="character" w:customStyle="1" w:styleId="969">
    <w:name w:val="正文1 Char"/>
    <w:qFormat/>
    <w:uiPriority w:val="0"/>
    <w:rPr>
      <w:rFonts w:ascii="宋体" w:eastAsia="宋体"/>
      <w:snapToGrid w:val="0"/>
      <w:color w:val="000000"/>
      <w:kern w:val="28"/>
      <w:sz w:val="28"/>
      <w:lang w:val="en-US" w:eastAsia="zh-CN" w:bidi="ar-SA"/>
    </w:rPr>
  </w:style>
  <w:style w:type="character" w:customStyle="1" w:styleId="970">
    <w:name w:val="正文缩进 Char1"/>
    <w:qFormat/>
    <w:uiPriority w:val="0"/>
    <w:rPr>
      <w:rFonts w:ascii="宋体" w:eastAsia="宋体"/>
      <w:snapToGrid w:val="0"/>
      <w:color w:val="000000"/>
      <w:kern w:val="28"/>
      <w:sz w:val="28"/>
      <w:lang w:val="en-US" w:eastAsia="zh-CN" w:bidi="ar-SA"/>
    </w:rPr>
  </w:style>
  <w:style w:type="character" w:customStyle="1" w:styleId="971">
    <w:name w:val="font21"/>
    <w:qFormat/>
    <w:uiPriority w:val="0"/>
    <w:rPr>
      <w:rFonts w:hint="eastAsia" w:ascii="宋体" w:hAnsi="宋体" w:eastAsia="宋体"/>
      <w:kern w:val="2"/>
      <w:sz w:val="28"/>
      <w:szCs w:val="28"/>
      <w:lang w:val="en-US" w:eastAsia="zh-CN" w:bidi="ar-SA"/>
    </w:rPr>
  </w:style>
  <w:style w:type="character" w:customStyle="1" w:styleId="972">
    <w:name w:val="Char Char26"/>
    <w:qFormat/>
    <w:uiPriority w:val="6"/>
    <w:rPr>
      <w:kern w:val="1"/>
      <w:sz w:val="21"/>
      <w:szCs w:val="24"/>
    </w:rPr>
  </w:style>
  <w:style w:type="character" w:customStyle="1" w:styleId="973">
    <w:name w:val="Item List Char"/>
    <w:link w:val="129"/>
    <w:qFormat/>
    <w:uiPriority w:val="0"/>
    <w:rPr>
      <w:rFonts w:ascii="Arial"/>
      <w:bCs/>
      <w:sz w:val="21"/>
      <w:szCs w:val="21"/>
      <w:lang w:val="en-US" w:eastAsia="zh-CN" w:bidi="ar-SA"/>
    </w:rPr>
  </w:style>
  <w:style w:type="character" w:customStyle="1" w:styleId="974">
    <w:name w:val="批注框文本 Char1"/>
    <w:qFormat/>
    <w:uiPriority w:val="0"/>
    <w:rPr>
      <w:rFonts w:ascii="Times New Roman" w:hAnsi="Times New Roman" w:eastAsia="宋体" w:cs="Times New Roman"/>
      <w:sz w:val="18"/>
      <w:szCs w:val="18"/>
    </w:rPr>
  </w:style>
  <w:style w:type="character" w:customStyle="1" w:styleId="975">
    <w:name w:val="纯文本 Char1"/>
    <w:link w:val="130"/>
    <w:qFormat/>
    <w:uiPriority w:val="0"/>
    <w:rPr>
      <w:rFonts w:ascii="宋体" w:hAnsi="Courier New"/>
    </w:rPr>
  </w:style>
  <w:style w:type="character" w:customStyle="1" w:styleId="976">
    <w:name w:val="h3 Char"/>
    <w:qFormat/>
    <w:uiPriority w:val="0"/>
    <w:rPr>
      <w:rFonts w:eastAsia="宋体"/>
      <w:b/>
      <w:kern w:val="2"/>
      <w:sz w:val="32"/>
      <w:lang w:val="en-US" w:eastAsia="zh-CN" w:bidi="ar-SA"/>
    </w:rPr>
  </w:style>
  <w:style w:type="character" w:customStyle="1" w:styleId="977">
    <w:name w:val="dandyren_title1"/>
    <w:qFormat/>
    <w:uiPriority w:val="0"/>
    <w:rPr>
      <w:b/>
      <w:bCs/>
      <w:color w:val="FF6633"/>
      <w:sz w:val="18"/>
      <w:szCs w:val="18"/>
    </w:rPr>
  </w:style>
  <w:style w:type="character" w:customStyle="1" w:styleId="978">
    <w:name w:val="Char Char31"/>
    <w:qFormat/>
    <w:uiPriority w:val="6"/>
    <w:rPr>
      <w:rFonts w:ascii="Arial" w:hAnsi="Arial" w:eastAsia="黑体"/>
      <w:kern w:val="1"/>
      <w:sz w:val="24"/>
      <w:szCs w:val="24"/>
    </w:rPr>
  </w:style>
  <w:style w:type="character" w:customStyle="1" w:styleId="979">
    <w:name w:val="h Char1"/>
    <w:qFormat/>
    <w:uiPriority w:val="0"/>
    <w:rPr>
      <w:sz w:val="18"/>
      <w:szCs w:val="18"/>
    </w:rPr>
  </w:style>
  <w:style w:type="character" w:customStyle="1" w:styleId="980">
    <w:name w:val="solutionfonts"/>
    <w:qFormat/>
    <w:uiPriority w:val="0"/>
  </w:style>
  <w:style w:type="character" w:customStyle="1" w:styleId="981">
    <w:name w:val="首行缩进 Char"/>
    <w:qFormat/>
    <w:uiPriority w:val="0"/>
    <w:rPr>
      <w:rFonts w:ascii="宋体" w:eastAsia="宋体"/>
      <w:kern w:val="2"/>
      <w:sz w:val="24"/>
      <w:lang w:val="en-US" w:eastAsia="zh-CN" w:bidi="ar-SA"/>
    </w:rPr>
  </w:style>
  <w:style w:type="character" w:customStyle="1" w:styleId="982">
    <w:name w:val="Char Char52"/>
    <w:qFormat/>
    <w:uiPriority w:val="0"/>
    <w:rPr>
      <w:rFonts w:ascii="宋体" w:hAnsi="Courier New" w:eastAsia="宋体"/>
      <w:kern w:val="2"/>
      <w:sz w:val="21"/>
      <w:lang w:val="en-US" w:eastAsia="zh-CN"/>
    </w:rPr>
  </w:style>
  <w:style w:type="character" w:customStyle="1" w:styleId="983">
    <w:name w:val="font31"/>
    <w:qFormat/>
    <w:uiPriority w:val="0"/>
    <w:rPr>
      <w:rFonts w:hint="eastAsia" w:ascii="仿宋" w:hAnsi="仿宋" w:eastAsia="仿宋" w:cs="仿宋"/>
      <w:color w:val="000000"/>
      <w:sz w:val="20"/>
      <w:szCs w:val="20"/>
      <w:u w:val="none"/>
    </w:rPr>
  </w:style>
  <w:style w:type="character" w:customStyle="1" w:styleId="984">
    <w:name w:val="正文说明 Char"/>
    <w:link w:val="131"/>
    <w:qFormat/>
    <w:uiPriority w:val="0"/>
    <w:rPr>
      <w:sz w:val="24"/>
      <w:szCs w:val="24"/>
    </w:rPr>
  </w:style>
  <w:style w:type="character" w:customStyle="1" w:styleId="985">
    <w:name w:val="脚注文本 Char1"/>
    <w:qFormat/>
    <w:uiPriority w:val="0"/>
    <w:rPr>
      <w:rFonts w:ascii="Times New Roman" w:hAnsi="Times New Roman" w:eastAsia="宋体" w:cs="Times New Roman"/>
      <w:sz w:val="18"/>
      <w:szCs w:val="18"/>
    </w:rPr>
  </w:style>
  <w:style w:type="character" w:customStyle="1" w:styleId="986">
    <w:name w:val="Char Char1211"/>
    <w:qFormat/>
    <w:uiPriority w:val="0"/>
    <w:rPr>
      <w:rFonts w:ascii="仿宋_GB2312" w:eastAsia="仿宋_GB2312"/>
      <w:b/>
      <w:bCs/>
      <w:kern w:val="2"/>
      <w:sz w:val="24"/>
      <w:szCs w:val="24"/>
      <w:lang w:val="zh-CN" w:eastAsia="zh-CN" w:bidi="ar-SA"/>
    </w:rPr>
  </w:style>
  <w:style w:type="character" w:customStyle="1" w:styleId="987">
    <w:name w:val="标题 Char"/>
    <w:qFormat/>
    <w:uiPriority w:val="0"/>
    <w:rPr>
      <w:rFonts w:eastAsia="宋体"/>
      <w:b/>
      <w:sz w:val="24"/>
      <w:lang w:eastAsia="zh-CN" w:bidi="ar-SA"/>
    </w:rPr>
  </w:style>
  <w:style w:type="character" w:customStyle="1" w:styleId="988">
    <w:name w:val="Char Char35"/>
    <w:qFormat/>
    <w:uiPriority w:val="6"/>
    <w:rPr>
      <w:rFonts w:ascii="Arial" w:hAnsi="Arial" w:eastAsia="黑体"/>
      <w:b/>
      <w:kern w:val="1"/>
      <w:sz w:val="28"/>
      <w:szCs w:val="28"/>
      <w:lang w:val="zh-CN"/>
    </w:rPr>
  </w:style>
  <w:style w:type="character" w:customStyle="1" w:styleId="989">
    <w:name w:val="纯文本 Char Char Char"/>
    <w:qFormat/>
    <w:uiPriority w:val="0"/>
    <w:rPr>
      <w:rFonts w:ascii="宋体" w:hAnsi="Courier New" w:eastAsia="宋体"/>
      <w:kern w:val="2"/>
      <w:sz w:val="21"/>
      <w:lang w:val="en-US" w:eastAsia="zh-CN" w:bidi="ar-SA"/>
    </w:rPr>
  </w:style>
  <w:style w:type="character" w:customStyle="1" w:styleId="990">
    <w:name w:val="Table Text Char"/>
    <w:link w:val="132"/>
    <w:qFormat/>
    <w:uiPriority w:val="0"/>
    <w:rPr>
      <w:sz w:val="24"/>
      <w:szCs w:val="24"/>
    </w:rPr>
  </w:style>
  <w:style w:type="character" w:customStyle="1" w:styleId="991">
    <w:name w:val="正文1 Char1"/>
    <w:qFormat/>
    <w:uiPriority w:val="0"/>
    <w:rPr>
      <w:rFonts w:ascii="仿宋_GB2312" w:hAnsi="Courier New" w:eastAsia="仿宋_GB2312"/>
      <w:kern w:val="28"/>
      <w:sz w:val="24"/>
      <w:szCs w:val="24"/>
      <w:lang w:val="en-US" w:eastAsia="zh-CN"/>
    </w:rPr>
  </w:style>
  <w:style w:type="character" w:customStyle="1" w:styleId="992">
    <w:name w:val="页脚 Char1"/>
    <w:qFormat/>
    <w:uiPriority w:val="0"/>
    <w:rPr>
      <w:rFonts w:eastAsia="宋体"/>
      <w:kern w:val="2"/>
      <w:sz w:val="18"/>
      <w:szCs w:val="18"/>
      <w:lang w:val="en-US" w:eastAsia="zh-CN" w:bidi="ar-SA"/>
    </w:rPr>
  </w:style>
  <w:style w:type="character" w:customStyle="1" w:styleId="993">
    <w:name w:val="Bold"/>
    <w:qFormat/>
    <w:uiPriority w:val="0"/>
    <w:rPr>
      <w:rFonts w:ascii="Arial" w:hAnsi="Arial" w:eastAsia="黑体" w:cs="Times New Roman"/>
      <w:b/>
      <w:kern w:val="2"/>
      <w:sz w:val="32"/>
      <w:szCs w:val="32"/>
      <w:lang w:val="en-US" w:eastAsia="zh-CN" w:bidi="ar-SA"/>
    </w:rPr>
  </w:style>
  <w:style w:type="character" w:customStyle="1" w:styleId="994">
    <w:name w:val="hui3"/>
    <w:qFormat/>
    <w:uiPriority w:val="0"/>
    <w:rPr>
      <w:color w:val="333333"/>
    </w:rPr>
  </w:style>
  <w:style w:type="character" w:customStyle="1" w:styleId="995">
    <w:name w:val="Char Char17"/>
    <w:qFormat/>
    <w:uiPriority w:val="6"/>
    <w:rPr>
      <w:rFonts w:eastAsia="仿宋_GB2312"/>
      <w:sz w:val="24"/>
    </w:rPr>
  </w:style>
  <w:style w:type="character" w:customStyle="1" w:styleId="996">
    <w:name w:val="标题 4 字符"/>
    <w:qFormat/>
    <w:uiPriority w:val="0"/>
    <w:rPr>
      <w:rFonts w:ascii="等线 Light" w:hAnsi="等线 Light" w:eastAsia="等线 Light" w:cs="Times New Roman"/>
      <w:b/>
      <w:bCs/>
      <w:snapToGrid w:val="0"/>
      <w:kern w:val="0"/>
      <w:sz w:val="28"/>
      <w:szCs w:val="28"/>
    </w:rPr>
  </w:style>
  <w:style w:type="character" w:customStyle="1" w:styleId="997">
    <w:name w:val="Char Char37"/>
    <w:qFormat/>
    <w:uiPriority w:val="6"/>
    <w:rPr>
      <w:b/>
      <w:kern w:val="1"/>
      <w:sz w:val="44"/>
      <w:szCs w:val="44"/>
    </w:rPr>
  </w:style>
  <w:style w:type="character" w:customStyle="1" w:styleId="998">
    <w:name w:val="列出段落 Char"/>
    <w:qFormat/>
    <w:uiPriority w:val="34"/>
    <w:rPr>
      <w:rFonts w:eastAsia="楷体_GB2312" w:cs="Lucida Sans"/>
      <w:kern w:val="2"/>
      <w:sz w:val="24"/>
      <w:szCs w:val="24"/>
      <w:lang w:val="en-US" w:eastAsia="zh-CN" w:bidi="ar-SA"/>
    </w:rPr>
  </w:style>
  <w:style w:type="character" w:customStyle="1" w:styleId="999">
    <w:name w:val="正文文本缩进 3 Char1"/>
    <w:semiHidden/>
    <w:qFormat/>
    <w:uiPriority w:val="99"/>
    <w:rPr>
      <w:rFonts w:ascii="Times New Roman" w:hAnsi="Times New Roman" w:eastAsia="宋体" w:cs="Times New Roman"/>
      <w:sz w:val="16"/>
      <w:szCs w:val="16"/>
    </w:rPr>
  </w:style>
  <w:style w:type="character" w:customStyle="1" w:styleId="1000">
    <w:name w:val="公文正文 Char Char"/>
    <w:link w:val="133"/>
    <w:qFormat/>
    <w:uiPriority w:val="0"/>
    <w:rPr>
      <w:rFonts w:ascii="仿宋_GB2312" w:eastAsia="仿宋_GB2312"/>
      <w:kern w:val="2"/>
      <w:sz w:val="24"/>
      <w:szCs w:val="24"/>
    </w:rPr>
  </w:style>
  <w:style w:type="character" w:customStyle="1" w:styleId="1001">
    <w:name w:val="Table Text Char1"/>
    <w:qFormat/>
    <w:uiPriority w:val="0"/>
    <w:rPr>
      <w:rFonts w:eastAsia="宋体"/>
      <w:sz w:val="24"/>
      <w:szCs w:val="24"/>
      <w:lang w:val="en-US" w:eastAsia="zh-CN" w:bidi="ar-SA"/>
    </w:rPr>
  </w:style>
  <w:style w:type="character" w:customStyle="1" w:styleId="1002">
    <w:name w:val="标题 1 Char Char"/>
    <w:qFormat/>
    <w:uiPriority w:val="0"/>
    <w:rPr>
      <w:rFonts w:hint="eastAsia" w:ascii="宋体" w:hAnsi="宋体" w:eastAsia="宋体"/>
      <w:b/>
      <w:spacing w:val="-2"/>
      <w:sz w:val="24"/>
      <w:lang w:val="en-US" w:eastAsia="zh-CN" w:bidi="ar-SA"/>
    </w:rPr>
  </w:style>
  <w:style w:type="character" w:customStyle="1" w:styleId="1003">
    <w:name w:val="正文（缩进2汉字） Char"/>
    <w:link w:val="134"/>
    <w:qFormat/>
    <w:uiPriority w:val="0"/>
    <w:rPr>
      <w:rFonts w:ascii="宋体"/>
    </w:rPr>
  </w:style>
  <w:style w:type="character" w:customStyle="1" w:styleId="1004">
    <w:name w:val="标书表格字体格式 Char"/>
    <w:qFormat/>
    <w:uiPriority w:val="0"/>
    <w:rPr>
      <w:kern w:val="2"/>
      <w:sz w:val="21"/>
      <w:szCs w:val="24"/>
      <w:lang w:bidi="ar-SA"/>
    </w:rPr>
  </w:style>
  <w:style w:type="character" w:customStyle="1" w:styleId="1005">
    <w:name w:val="tw4winError"/>
    <w:qFormat/>
    <w:uiPriority w:val="0"/>
    <w:rPr>
      <w:rFonts w:ascii="Courier New" w:hAnsi="Courier New" w:cs="Courier New"/>
      <w:color w:val="00FF00"/>
      <w:sz w:val="40"/>
      <w:szCs w:val="40"/>
    </w:rPr>
  </w:style>
  <w:style w:type="character" w:customStyle="1" w:styleId="1006">
    <w:name w:val="Body Text(ch) Char Char"/>
    <w:qFormat/>
    <w:uiPriority w:val="0"/>
    <w:rPr>
      <w:rFonts w:ascii="宋体"/>
      <w:kern w:val="2"/>
      <w:sz w:val="24"/>
      <w:szCs w:val="21"/>
      <w:lang w:val="zh-CN"/>
    </w:rPr>
  </w:style>
  <w:style w:type="character" w:customStyle="1" w:styleId="1007">
    <w:name w:val="正文首行缩进两字 Char"/>
    <w:qFormat/>
    <w:uiPriority w:val="0"/>
    <w:rPr>
      <w:sz w:val="24"/>
      <w:szCs w:val="24"/>
      <w:lang w:val="en-US" w:eastAsia="zh-CN" w:bidi="ar-SA"/>
    </w:rPr>
  </w:style>
  <w:style w:type="character" w:customStyle="1" w:styleId="1008">
    <w:name w:val="正文文本 Char"/>
    <w:qFormat/>
    <w:uiPriority w:val="0"/>
    <w:rPr>
      <w:rFonts w:eastAsia="宋体"/>
      <w:kern w:val="2"/>
      <w:sz w:val="24"/>
      <w:szCs w:val="24"/>
      <w:lang w:val="en-US" w:eastAsia="zh-CN" w:bidi="ar-SA"/>
    </w:rPr>
  </w:style>
  <w:style w:type="character" w:customStyle="1" w:styleId="1009">
    <w:name w:val="文档结构图 字符1"/>
    <w:qFormat/>
    <w:uiPriority w:val="99"/>
    <w:rPr>
      <w:rFonts w:ascii="宋体" w:hAnsi="Calibri" w:eastAsia="黑体" w:cs="Arial"/>
      <w:snapToGrid w:val="0"/>
      <w:kern w:val="2"/>
      <w:sz w:val="18"/>
      <w:szCs w:val="18"/>
    </w:rPr>
  </w:style>
  <w:style w:type="character" w:customStyle="1" w:styleId="1010">
    <w:name w:val="content"/>
    <w:qFormat/>
    <w:uiPriority w:val="0"/>
  </w:style>
  <w:style w:type="character" w:customStyle="1" w:styleId="1011">
    <w:name w:val="tw4winPopup"/>
    <w:qFormat/>
    <w:uiPriority w:val="0"/>
    <w:rPr>
      <w:rFonts w:ascii="Courier New" w:hAnsi="Courier New" w:cs="Courier New"/>
      <w:color w:val="008000"/>
      <w:lang w:val="en-US" w:eastAsia="zh-CN"/>
    </w:rPr>
  </w:style>
  <w:style w:type="character" w:customStyle="1" w:styleId="1012">
    <w:name w:val="param-name"/>
    <w:qFormat/>
    <w:uiPriority w:val="99"/>
    <w:rPr>
      <w:rFonts w:ascii="Arial" w:hAnsi="Arial" w:eastAsia="黑体" w:cs="Arial"/>
      <w:snapToGrid w:val="0"/>
      <w:kern w:val="0"/>
      <w:szCs w:val="21"/>
    </w:rPr>
  </w:style>
  <w:style w:type="character" w:customStyle="1" w:styleId="1013">
    <w:name w:val="标准正文格式 Char"/>
    <w:qFormat/>
    <w:uiPriority w:val="0"/>
    <w:rPr>
      <w:rFonts w:ascii="宋体" w:eastAsia="仿宋_GB2312" w:cs="宋体"/>
      <w:color w:val="000000"/>
      <w:sz w:val="24"/>
      <w:lang w:val="en-US" w:eastAsia="zh-CN" w:bidi="ar-SA"/>
    </w:rPr>
  </w:style>
  <w:style w:type="character" w:customStyle="1" w:styleId="1014">
    <w:name w:val="Char Char212"/>
    <w:qFormat/>
    <w:uiPriority w:val="0"/>
    <w:rPr>
      <w:rFonts w:eastAsia="宋体"/>
      <w:b/>
      <w:bCs/>
      <w:kern w:val="2"/>
      <w:sz w:val="21"/>
      <w:szCs w:val="24"/>
      <w:lang w:val="en-US" w:eastAsia="zh-CN" w:bidi="ar-SA"/>
    </w:rPr>
  </w:style>
  <w:style w:type="character" w:customStyle="1" w:styleId="1015">
    <w:name w:val="文档结构图 Char"/>
    <w:qFormat/>
    <w:uiPriority w:val="0"/>
    <w:rPr>
      <w:rFonts w:eastAsia="宋体"/>
      <w:kern w:val="2"/>
      <w:sz w:val="21"/>
      <w:szCs w:val="24"/>
      <w:lang w:val="en-US" w:eastAsia="zh-CN" w:bidi="ar-SA"/>
    </w:rPr>
  </w:style>
  <w:style w:type="character" w:customStyle="1" w:styleId="1016">
    <w:name w:val="zbggmain style9"/>
    <w:qFormat/>
    <w:uiPriority w:val="0"/>
  </w:style>
  <w:style w:type="character" w:customStyle="1" w:styleId="1017">
    <w:name w:val="Char Char16"/>
    <w:qFormat/>
    <w:uiPriority w:val="6"/>
    <w:rPr>
      <w:kern w:val="1"/>
      <w:sz w:val="18"/>
      <w:szCs w:val="18"/>
    </w:rPr>
  </w:style>
  <w:style w:type="character" w:customStyle="1" w:styleId="1018">
    <w:name w:val="font51"/>
    <w:qFormat/>
    <w:uiPriority w:val="0"/>
    <w:rPr>
      <w:rFonts w:hint="eastAsia" w:ascii="仿宋" w:hAnsi="仿宋" w:eastAsia="仿宋" w:cs="仿宋"/>
      <w:color w:val="000000"/>
      <w:sz w:val="20"/>
      <w:szCs w:val="20"/>
      <w:u w:val="none"/>
    </w:rPr>
  </w:style>
  <w:style w:type="character" w:customStyle="1" w:styleId="1019">
    <w:name w:val="Char Char82"/>
    <w:qFormat/>
    <w:uiPriority w:val="0"/>
    <w:rPr>
      <w:rFonts w:eastAsia="宋体"/>
      <w:b/>
      <w:sz w:val="24"/>
      <w:lang w:eastAsia="zh-CN"/>
    </w:rPr>
  </w:style>
  <w:style w:type="character" w:customStyle="1" w:styleId="1020">
    <w:name w:val="日期 Char1"/>
    <w:semiHidden/>
    <w:qFormat/>
    <w:uiPriority w:val="99"/>
    <w:rPr>
      <w:rFonts w:ascii="Times New Roman" w:hAnsi="Times New Roman" w:eastAsia="宋体" w:cs="Times New Roman"/>
      <w:szCs w:val="24"/>
    </w:rPr>
  </w:style>
  <w:style w:type="character" w:customStyle="1" w:styleId="1021">
    <w:name w:val="页眉 字符"/>
    <w:qFormat/>
    <w:uiPriority w:val="0"/>
    <w:rPr>
      <w:kern w:val="2"/>
      <w:sz w:val="18"/>
      <w:szCs w:val="18"/>
    </w:rPr>
  </w:style>
  <w:style w:type="character" w:customStyle="1" w:styleId="1022">
    <w:name w:val="Char Char33"/>
    <w:qFormat/>
    <w:uiPriority w:val="6"/>
    <w:rPr>
      <w:rFonts w:ascii="Arial" w:hAnsi="Arial" w:eastAsia="黑体"/>
      <w:b/>
      <w:kern w:val="1"/>
      <w:sz w:val="24"/>
      <w:szCs w:val="24"/>
    </w:rPr>
  </w:style>
  <w:style w:type="character" w:customStyle="1" w:styleId="1023">
    <w:name w:val="b11_01b Char"/>
    <w:link w:val="135"/>
    <w:qFormat/>
    <w:uiPriority w:val="0"/>
    <w:rPr>
      <w:rFonts w:ascii="Verdana" w:hAnsi="Verdana"/>
      <w:b/>
      <w:bCs/>
      <w:color w:val="4A82CA"/>
      <w:sz w:val="17"/>
      <w:szCs w:val="17"/>
    </w:rPr>
  </w:style>
  <w:style w:type="character" w:customStyle="1" w:styleId="1024">
    <w:name w:val="Char Char121"/>
    <w:qFormat/>
    <w:uiPriority w:val="6"/>
    <w:rPr>
      <w:rFonts w:ascii="仿宋_GB2312" w:eastAsia="仿宋_GB2312"/>
      <w:b/>
      <w:bCs/>
      <w:kern w:val="2"/>
      <w:sz w:val="24"/>
      <w:szCs w:val="24"/>
      <w:lang w:val="zh-CN" w:eastAsia="zh-CN" w:bidi="ar-SA"/>
    </w:rPr>
  </w:style>
  <w:style w:type="character" w:customStyle="1" w:styleId="1025">
    <w:name w:val="Footer-Even Char"/>
    <w:qFormat/>
    <w:uiPriority w:val="0"/>
    <w:rPr>
      <w:rFonts w:eastAsia="宋体"/>
      <w:kern w:val="2"/>
      <w:sz w:val="18"/>
      <w:lang w:val="en-US" w:eastAsia="zh-CN" w:bidi="ar-SA"/>
    </w:rPr>
  </w:style>
  <w:style w:type="character" w:customStyle="1" w:styleId="1026">
    <w:name w:val="Char Char36"/>
    <w:qFormat/>
    <w:uiPriority w:val="6"/>
    <w:rPr>
      <w:rFonts w:ascii="仿宋_GB2312" w:hAnsi="仿宋_GB2312" w:eastAsia="仿宋_GB2312" w:cs="Arial"/>
      <w:b/>
      <w:kern w:val="1"/>
      <w:sz w:val="32"/>
      <w:szCs w:val="32"/>
      <w:lang w:val="zh-CN" w:eastAsia="zh-CN" w:bidi="ar-SA"/>
    </w:rPr>
  </w:style>
  <w:style w:type="character" w:customStyle="1" w:styleId="1027">
    <w:name w:val="Char Char61"/>
    <w:qFormat/>
    <w:uiPriority w:val="6"/>
    <w:rPr>
      <w:rFonts w:eastAsia="宋体"/>
      <w:kern w:val="2"/>
      <w:sz w:val="21"/>
      <w:szCs w:val="24"/>
      <w:lang w:val="en-US" w:eastAsia="zh-CN" w:bidi="ar-SA"/>
    </w:rPr>
  </w:style>
  <w:style w:type="character" w:customStyle="1" w:styleId="1028">
    <w:name w:val="正文文字缩进 2 Char Char"/>
    <w:qFormat/>
    <w:uiPriority w:val="0"/>
    <w:rPr>
      <w:rFonts w:ascii="宋体"/>
      <w:sz w:val="28"/>
    </w:rPr>
  </w:style>
  <w:style w:type="character" w:customStyle="1" w:styleId="1029">
    <w:name w:val="f141"/>
    <w:qFormat/>
    <w:uiPriority w:val="0"/>
    <w:rPr>
      <w:rFonts w:ascii="Tahoma" w:hAnsi="Tahoma" w:eastAsia="宋体"/>
      <w:b/>
      <w:kern w:val="2"/>
      <w:sz w:val="21"/>
      <w:szCs w:val="21"/>
      <w:lang w:val="en-US" w:eastAsia="zh-CN" w:bidi="ar-SA"/>
    </w:rPr>
  </w:style>
  <w:style w:type="character" w:customStyle="1" w:styleId="1030">
    <w:name w:val="段落 Char Char"/>
    <w:link w:val="136"/>
    <w:qFormat/>
    <w:uiPriority w:val="0"/>
    <w:rPr>
      <w:rFonts w:ascii="宋体" w:hAnsi="宋体"/>
      <w:sz w:val="24"/>
    </w:rPr>
  </w:style>
  <w:style w:type="character" w:customStyle="1" w:styleId="1031">
    <w:name w:val="标题 3 Char2"/>
    <w:qFormat/>
    <w:uiPriority w:val="0"/>
    <w:rPr>
      <w:rFonts w:eastAsia="宋体"/>
      <w:b/>
      <w:bCs/>
      <w:kern w:val="2"/>
      <w:sz w:val="32"/>
      <w:szCs w:val="32"/>
      <w:lang w:val="en-US" w:eastAsia="zh-CN" w:bidi="ar-SA"/>
    </w:rPr>
  </w:style>
  <w:style w:type="character" w:customStyle="1" w:styleId="1032">
    <w:name w:val="apple-converted-space"/>
    <w:qFormat/>
    <w:uiPriority w:val="0"/>
  </w:style>
  <w:style w:type="character" w:customStyle="1" w:styleId="1033">
    <w:name w:val="Char Char9"/>
    <w:qFormat/>
    <w:uiPriority w:val="0"/>
    <w:rPr>
      <w:rFonts w:eastAsia="宋体"/>
      <w:kern w:val="2"/>
      <w:sz w:val="18"/>
      <w:szCs w:val="18"/>
      <w:lang w:val="en-US" w:eastAsia="zh-CN" w:bidi="ar-SA"/>
    </w:rPr>
  </w:style>
  <w:style w:type="character" w:customStyle="1" w:styleId="1034">
    <w:name w:val="Char Char41"/>
    <w:qFormat/>
    <w:uiPriority w:val="0"/>
    <w:rPr>
      <w:rFonts w:eastAsia="宋体"/>
      <w:b/>
      <w:sz w:val="24"/>
      <w:lang w:eastAsia="zh-CN" w:bidi="ar-SA"/>
    </w:rPr>
  </w:style>
  <w:style w:type="character" w:customStyle="1" w:styleId="1035">
    <w:name w:val="large1"/>
    <w:qFormat/>
    <w:uiPriority w:val="0"/>
    <w:rPr>
      <w:rFonts w:hint="eastAsia" w:ascii="宋体" w:hAnsi="宋体" w:eastAsia="宋体"/>
      <w:sz w:val="21"/>
      <w:szCs w:val="21"/>
    </w:rPr>
  </w:style>
  <w:style w:type="character" w:customStyle="1" w:styleId="1036">
    <w:name w:val="正文段 Char"/>
    <w:link w:val="137"/>
    <w:qFormat/>
    <w:uiPriority w:val="0"/>
    <w:rPr>
      <w:sz w:val="24"/>
    </w:rPr>
  </w:style>
  <w:style w:type="character" w:customStyle="1" w:styleId="1037">
    <w:name w:val="Char Char13"/>
    <w:qFormat/>
    <w:uiPriority w:val="6"/>
    <w:rPr>
      <w:rFonts w:ascii="宋体" w:hAnsi="宋体"/>
      <w:kern w:val="1"/>
      <w:sz w:val="21"/>
      <w:szCs w:val="24"/>
    </w:rPr>
  </w:style>
  <w:style w:type="character" w:customStyle="1" w:styleId="1038">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1039">
    <w:name w:val="冯广丽 Char"/>
    <w:link w:val="138"/>
    <w:qFormat/>
    <w:uiPriority w:val="0"/>
    <w:rPr>
      <w:rFonts w:ascii="宋体" w:hAnsi="宋体"/>
      <w:kern w:val="2"/>
      <w:sz w:val="24"/>
      <w:szCs w:val="22"/>
    </w:rPr>
  </w:style>
  <w:style w:type="character" w:customStyle="1" w:styleId="1040">
    <w:name w:val="批注文字 字符"/>
    <w:qFormat/>
    <w:uiPriority w:val="0"/>
    <w:rPr>
      <w:rFonts w:ascii="Arial" w:hAnsi="Arial" w:eastAsia="黑体" w:cs="Arial"/>
      <w:snapToGrid w:val="0"/>
      <w:kern w:val="0"/>
      <w:szCs w:val="21"/>
    </w:rPr>
  </w:style>
  <w:style w:type="character" w:customStyle="1" w:styleId="1041">
    <w:name w:val="Char Char161"/>
    <w:qFormat/>
    <w:uiPriority w:val="0"/>
    <w:rPr>
      <w:rFonts w:eastAsia="宋体"/>
      <w:b/>
      <w:kern w:val="2"/>
      <w:sz w:val="32"/>
      <w:lang w:val="en-US" w:eastAsia="zh-CN"/>
    </w:rPr>
  </w:style>
  <w:style w:type="character" w:customStyle="1" w:styleId="1042">
    <w:name w:val="javascript"/>
    <w:qFormat/>
    <w:uiPriority w:val="0"/>
  </w:style>
  <w:style w:type="character" w:customStyle="1" w:styleId="1043">
    <w:name w:val="图名 Char"/>
    <w:qFormat/>
    <w:uiPriority w:val="0"/>
    <w:rPr>
      <w:rFonts w:ascii="Arial" w:hAnsi="Arial" w:eastAsia="黑体"/>
      <w:kern w:val="2"/>
      <w:sz w:val="24"/>
      <w:szCs w:val="24"/>
      <w:lang w:val="en-US" w:eastAsia="zh-CN" w:bidi="ar-SA"/>
    </w:rPr>
  </w:style>
  <w:style w:type="character" w:customStyle="1" w:styleId="1044">
    <w:name w:val="Used by Word for text of Help footnotes Char Char"/>
    <w:qFormat/>
    <w:uiPriority w:val="0"/>
    <w:rPr>
      <w:rFonts w:ascii="Times New Roman" w:hAnsi="Times New Roman" w:eastAsia="宋体" w:cs="Times New Roman"/>
      <w:sz w:val="20"/>
      <w:szCs w:val="20"/>
    </w:rPr>
  </w:style>
  <w:style w:type="character" w:customStyle="1" w:styleId="1045">
    <w:name w:val="编号，小四 Char"/>
    <w:link w:val="139"/>
    <w:qFormat/>
    <w:uiPriority w:val="0"/>
    <w:rPr>
      <w:rFonts w:ascii="Arial" w:hAnsi="Arial"/>
      <w:sz w:val="24"/>
    </w:rPr>
  </w:style>
  <w:style w:type="character" w:customStyle="1" w:styleId="1046">
    <w:name w:val="Font Style82"/>
    <w:qFormat/>
    <w:uiPriority w:val="99"/>
    <w:rPr>
      <w:rFonts w:ascii="宋体" w:eastAsia="宋体" w:cs="宋体"/>
      <w:color w:val="000000"/>
      <w:sz w:val="14"/>
      <w:szCs w:val="14"/>
    </w:rPr>
  </w:style>
  <w:style w:type="character" w:customStyle="1" w:styleId="1047">
    <w:name w:val="标题 2 Char Char"/>
    <w:qFormat/>
    <w:uiPriority w:val="0"/>
    <w:rPr>
      <w:rFonts w:ascii="楷体_GB2312" w:hAnsi="Arial" w:eastAsia="楷体_GB2312"/>
      <w:b/>
      <w:bCs/>
      <w:kern w:val="2"/>
      <w:sz w:val="24"/>
      <w:szCs w:val="32"/>
      <w:lang w:val="en-US" w:eastAsia="zh-CN" w:bidi="ar-SA"/>
    </w:rPr>
  </w:style>
  <w:style w:type="character" w:customStyle="1" w:styleId="1048">
    <w:name w:val="未用 Char"/>
    <w:qFormat/>
    <w:uiPriority w:val="0"/>
    <w:rPr>
      <w:rFonts w:ascii="Arial" w:hAnsi="Arial" w:eastAsia="黑体"/>
      <w:kern w:val="2"/>
      <w:sz w:val="21"/>
      <w:szCs w:val="21"/>
      <w:lang w:val="en-US" w:eastAsia="zh-CN" w:bidi="ar-SA"/>
    </w:rPr>
  </w:style>
  <w:style w:type="character" w:customStyle="1" w:styleId="1049">
    <w:name w:val="myp1111"/>
    <w:qFormat/>
    <w:uiPriority w:val="0"/>
    <w:rPr>
      <w:rFonts w:hint="default" w:ascii="ˎ̥" w:hAnsi="ˎ̥"/>
      <w:color w:val="000000"/>
      <w:sz w:val="20"/>
      <w:szCs w:val="20"/>
      <w:u w:val="none"/>
    </w:rPr>
  </w:style>
  <w:style w:type="character" w:customStyle="1" w:styleId="1050">
    <w:name w:val="h Char Char"/>
    <w:qFormat/>
    <w:uiPriority w:val="0"/>
    <w:rPr>
      <w:rFonts w:eastAsia="宋体"/>
      <w:kern w:val="2"/>
      <w:sz w:val="18"/>
      <w:lang w:val="en-US" w:eastAsia="zh-CN" w:bidi="ar-SA"/>
    </w:rPr>
  </w:style>
  <w:style w:type="character" w:customStyle="1" w:styleId="1051">
    <w:name w:val="仿宋正文 Char"/>
    <w:link w:val="140"/>
    <w:qFormat/>
    <w:uiPriority w:val="0"/>
    <w:rPr>
      <w:rFonts w:ascii="仿宋_GB2312" w:eastAsia="仿宋_GB2312"/>
      <w:kern w:val="2"/>
      <w:sz w:val="24"/>
      <w:lang w:val="en-US" w:eastAsia="zh-CN" w:bidi="ar-SA"/>
    </w:rPr>
  </w:style>
  <w:style w:type="character" w:customStyle="1" w:styleId="1052">
    <w:name w:val="正文首行缩进 Char Char Char Char Char Char"/>
    <w:qFormat/>
    <w:uiPriority w:val="0"/>
    <w:rPr>
      <w:rFonts w:ascii="宋体" w:eastAsia="宋体"/>
      <w:kern w:val="2"/>
      <w:sz w:val="24"/>
      <w:lang w:val="zh-CN" w:bidi="ar-SA"/>
    </w:rPr>
  </w:style>
  <w:style w:type="character" w:customStyle="1" w:styleId="1053">
    <w:name w:val="样式 宋体"/>
    <w:qFormat/>
    <w:uiPriority w:val="0"/>
    <w:rPr>
      <w:rFonts w:ascii="宋体" w:hAnsi="宋体"/>
      <w:sz w:val="24"/>
    </w:rPr>
  </w:style>
  <w:style w:type="character" w:customStyle="1" w:styleId="1054">
    <w:name w:val="tw4winJump"/>
    <w:qFormat/>
    <w:uiPriority w:val="0"/>
    <w:rPr>
      <w:rFonts w:ascii="Courier New" w:hAnsi="Courier New" w:cs="Courier New"/>
      <w:color w:val="008080"/>
      <w:lang w:val="en-US" w:eastAsia="zh-CN"/>
    </w:rPr>
  </w:style>
  <w:style w:type="character" w:customStyle="1" w:styleId="1055">
    <w:name w:val="标题 1 字符"/>
    <w:qFormat/>
    <w:uiPriority w:val="9"/>
    <w:rPr>
      <w:rFonts w:ascii="Arial" w:hAnsi="Arial" w:eastAsia="黑体" w:cs="Arial"/>
      <w:b/>
      <w:bCs/>
      <w:snapToGrid w:val="0"/>
      <w:kern w:val="44"/>
      <w:sz w:val="44"/>
      <w:szCs w:val="44"/>
    </w:rPr>
  </w:style>
  <w:style w:type="character" w:customStyle="1" w:styleId="1056">
    <w:name w:val="style36"/>
    <w:qFormat/>
    <w:uiPriority w:val="0"/>
    <w:rPr>
      <w:rFonts w:ascii="Arial" w:hAnsi="Arial" w:eastAsia="黑体" w:cs="Arial"/>
      <w:snapToGrid w:val="0"/>
      <w:kern w:val="0"/>
      <w:szCs w:val="21"/>
    </w:rPr>
  </w:style>
  <w:style w:type="character" w:customStyle="1" w:styleId="1057">
    <w:name w:val="pt9"/>
    <w:qFormat/>
    <w:uiPriority w:val="0"/>
    <w:rPr>
      <w:rFonts w:ascii="仿宋_GB2312" w:eastAsia="微软雅黑"/>
      <w:b/>
      <w:kern w:val="2"/>
      <w:sz w:val="32"/>
      <w:szCs w:val="32"/>
      <w:lang w:val="en-US" w:eastAsia="zh-CN" w:bidi="ar-SA"/>
    </w:rPr>
  </w:style>
  <w:style w:type="character" w:customStyle="1" w:styleId="1058">
    <w:name w:val="DO_NOT_TRANSLATE"/>
    <w:qFormat/>
    <w:uiPriority w:val="0"/>
    <w:rPr>
      <w:rFonts w:ascii="Courier New" w:hAnsi="Courier New" w:cs="Courier New"/>
      <w:color w:val="800000"/>
      <w:lang w:val="en-US" w:eastAsia="zh-CN"/>
    </w:rPr>
  </w:style>
  <w:style w:type="character" w:customStyle="1" w:styleId="1059">
    <w:name w:val="标书1 Char1"/>
    <w:qFormat/>
    <w:uiPriority w:val="0"/>
    <w:rPr>
      <w:rFonts w:eastAsia="宋体"/>
      <w:b/>
      <w:bCs/>
      <w:kern w:val="44"/>
      <w:sz w:val="44"/>
      <w:szCs w:val="44"/>
      <w:lang w:val="en-US" w:eastAsia="zh-CN" w:bidi="ar-SA"/>
    </w:rPr>
  </w:style>
  <w:style w:type="character" w:customStyle="1" w:styleId="1060">
    <w:name w:val="页脚 字符"/>
    <w:qFormat/>
    <w:uiPriority w:val="99"/>
    <w:rPr>
      <w:kern w:val="2"/>
      <w:sz w:val="18"/>
      <w:szCs w:val="18"/>
    </w:rPr>
  </w:style>
  <w:style w:type="character" w:customStyle="1" w:styleId="1061">
    <w:name w:val="正文2 Char"/>
    <w:qFormat/>
    <w:uiPriority w:val="0"/>
    <w:rPr>
      <w:rFonts w:eastAsia="宋体"/>
      <w:kern w:val="2"/>
      <w:sz w:val="24"/>
      <w:lang w:val="en-US" w:eastAsia="zh-CN" w:bidi="ar-SA"/>
    </w:rPr>
  </w:style>
  <w:style w:type="character" w:customStyle="1" w:styleId="1062">
    <w:name w:val="Char Char21"/>
    <w:qFormat/>
    <w:uiPriority w:val="6"/>
    <w:rPr>
      <w:rFonts w:ascii="宋体" w:hAnsi="宋体"/>
      <w:kern w:val="1"/>
      <w:sz w:val="24"/>
      <w:szCs w:val="21"/>
      <w:lang w:val="zh-CN"/>
    </w:rPr>
  </w:style>
  <w:style w:type="character" w:customStyle="1" w:styleId="1063">
    <w:name w:val="样式 正文缩进 + 首行缩进:  2 字符 Char Char"/>
    <w:link w:val="141"/>
    <w:qFormat/>
    <w:uiPriority w:val="0"/>
    <w:rPr>
      <w:rFonts w:cs="宋体"/>
      <w:kern w:val="2"/>
      <w:sz w:val="24"/>
    </w:rPr>
  </w:style>
  <w:style w:type="character" w:customStyle="1" w:styleId="1064">
    <w:name w:val="gray6"/>
    <w:qFormat/>
    <w:uiPriority w:val="0"/>
    <w:rPr>
      <w:rFonts w:ascii="Arial" w:hAnsi="Arial" w:eastAsia="黑体" w:cs="Arial"/>
      <w:snapToGrid w:val="0"/>
      <w:kern w:val="0"/>
      <w:szCs w:val="21"/>
    </w:rPr>
  </w:style>
  <w:style w:type="character" w:customStyle="1" w:styleId="1065">
    <w:name w:val="hui"/>
    <w:qFormat/>
    <w:uiPriority w:val="0"/>
    <w:rPr>
      <w:rFonts w:ascii="Arial" w:hAnsi="Arial" w:eastAsia="黑体" w:cs="Arial"/>
      <w:snapToGrid w:val="0"/>
      <w:kern w:val="0"/>
      <w:szCs w:val="21"/>
    </w:rPr>
  </w:style>
  <w:style w:type="character" w:customStyle="1" w:styleId="1066">
    <w:name w:val="哈哈正文 Char Char"/>
    <w:qFormat/>
    <w:uiPriority w:val="0"/>
    <w:rPr>
      <w:rFonts w:ascii="宋体" w:hAnsi="宋体" w:eastAsia="宋体" w:cs="宋体"/>
      <w:kern w:val="2"/>
      <w:sz w:val="24"/>
      <w:lang w:val="en-US" w:eastAsia="zh-CN" w:bidi="ar-SA"/>
    </w:rPr>
  </w:style>
  <w:style w:type="character" w:customStyle="1" w:styleId="1067">
    <w:name w:val="无间隔 字符"/>
    <w:link w:val="191"/>
    <w:qFormat/>
    <w:uiPriority w:val="99"/>
    <w:rPr>
      <w:kern w:val="2"/>
      <w:sz w:val="21"/>
      <w:szCs w:val="22"/>
    </w:rPr>
  </w:style>
  <w:style w:type="character" w:customStyle="1" w:styleId="1068">
    <w:name w:val="交叉引用"/>
    <w:qFormat/>
    <w:uiPriority w:val="1"/>
    <w:rPr>
      <w:rFonts w:ascii="Arial" w:hAnsi="Arial" w:eastAsia="黑体"/>
      <w:snapToGrid w:val="0"/>
      <w:color w:val="0000FF"/>
      <w:kern w:val="0"/>
      <w:sz w:val="20"/>
      <w:szCs w:val="21"/>
      <w:u w:val="single"/>
      <w:lang w:val="en-US" w:eastAsia="zh-CN"/>
    </w:rPr>
  </w:style>
  <w:style w:type="character" w:customStyle="1" w:styleId="1069">
    <w:name w:val="正文缩进 字符1"/>
    <w:qFormat/>
    <w:uiPriority w:val="0"/>
    <w:rPr>
      <w:rFonts w:ascii="宋体" w:eastAsia="宋体"/>
      <w:snapToGrid w:val="0"/>
      <w:color w:val="000000"/>
      <w:kern w:val="28"/>
      <w:sz w:val="28"/>
      <w:lang w:val="en-US" w:eastAsia="zh-CN" w:bidi="ar-SA"/>
    </w:rPr>
  </w:style>
  <w:style w:type="character" w:customStyle="1" w:styleId="1070">
    <w:name w:val="页脚 字符1"/>
    <w:qFormat/>
    <w:locked/>
    <w:uiPriority w:val="99"/>
    <w:rPr>
      <w:kern w:val="2"/>
      <w:sz w:val="18"/>
      <w:szCs w:val="18"/>
    </w:rPr>
  </w:style>
  <w:style w:type="character" w:customStyle="1" w:styleId="1071">
    <w:name w:val="页眉 字符1"/>
    <w:qFormat/>
    <w:uiPriority w:val="99"/>
    <w:rPr>
      <w:kern w:val="2"/>
      <w:sz w:val="18"/>
      <w:szCs w:val="18"/>
    </w:rPr>
  </w:style>
  <w:style w:type="character" w:customStyle="1" w:styleId="1072">
    <w:name w:val="标准文本 Char Char"/>
    <w:link w:val="630"/>
    <w:qFormat/>
    <w:uiPriority w:val="0"/>
    <w:rPr>
      <w:rFonts w:cs="宋体"/>
      <w:kern w:val="2"/>
      <w:sz w:val="24"/>
    </w:rPr>
  </w:style>
  <w:style w:type="character" w:customStyle="1" w:styleId="1073">
    <w:name w:val="Char Char213"/>
    <w:qFormat/>
    <w:uiPriority w:val="0"/>
    <w:rPr>
      <w:rFonts w:eastAsia="Century Gothic"/>
      <w:b/>
      <w:bCs/>
      <w:kern w:val="44"/>
      <w:sz w:val="32"/>
      <w:szCs w:val="44"/>
      <w:lang w:val="en-US" w:eastAsia="zh-CN" w:bidi="ar-SA"/>
    </w:rPr>
  </w:style>
  <w:style w:type="character" w:customStyle="1" w:styleId="1074">
    <w:name w:val="apple-style-span"/>
    <w:qFormat/>
    <w:uiPriority w:val="0"/>
    <w:rPr>
      <w:rFonts w:ascii="Arial" w:hAnsi="Arial" w:eastAsia="黑体" w:cs="Arial"/>
      <w:snapToGrid w:val="0"/>
      <w:kern w:val="0"/>
      <w:szCs w:val="21"/>
    </w:rPr>
  </w:style>
  <w:style w:type="character" w:customStyle="1" w:styleId="1075">
    <w:name w:val="15"/>
    <w:qFormat/>
    <w:uiPriority w:val="0"/>
    <w:rPr>
      <w:rFonts w:hint="default" w:ascii="Calibri" w:hAnsi="Calibri"/>
      <w:color w:val="0000FF"/>
      <w:u w:val="single"/>
    </w:rPr>
  </w:style>
  <w:style w:type="character" w:customStyle="1" w:styleId="1076">
    <w:name w:val="16"/>
    <w:qFormat/>
    <w:uiPriority w:val="0"/>
    <w:rPr>
      <w:rFonts w:hint="eastAsia" w:ascii="宋体" w:hAnsi="宋体" w:eastAsia="宋体"/>
      <w:color w:val="000000"/>
      <w:sz w:val="20"/>
      <w:szCs w:val="20"/>
    </w:rPr>
  </w:style>
  <w:style w:type="character" w:customStyle="1" w:styleId="1077">
    <w:name w:val="edui-unclickable"/>
    <w:qFormat/>
    <w:uiPriority w:val="0"/>
    <w:rPr>
      <w:color w:val="808080"/>
    </w:rPr>
  </w:style>
  <w:style w:type="character" w:customStyle="1" w:styleId="1078">
    <w:name w:val="tpc_content1"/>
    <w:qFormat/>
    <w:uiPriority w:val="0"/>
    <w:rPr>
      <w:sz w:val="20"/>
      <w:szCs w:val="20"/>
    </w:rPr>
  </w:style>
  <w:style w:type="character" w:customStyle="1" w:styleId="1079">
    <w:name w:val="正文文本缩进 字符"/>
    <w:qFormat/>
    <w:uiPriority w:val="0"/>
    <w:rPr>
      <w:rFonts w:ascii="Century Gothic" w:hAnsi="Century Gothic" w:eastAsia="Century Gothic"/>
      <w:kern w:val="2"/>
      <w:sz w:val="24"/>
      <w:lang w:val="en-US" w:eastAsia="zh-CN" w:bidi="ar-SA"/>
    </w:rPr>
  </w:style>
  <w:style w:type="character" w:customStyle="1" w:styleId="1080">
    <w:name w:val="正文文本 2 字符"/>
    <w:qFormat/>
    <w:uiPriority w:val="99"/>
    <w:rPr>
      <w:rFonts w:ascii="Arial" w:hAnsi="Arial" w:eastAsia="宋体"/>
      <w:kern w:val="2"/>
      <w:sz w:val="24"/>
      <w:szCs w:val="24"/>
      <w:lang w:val="en-US" w:eastAsia="zh-CN" w:bidi="ar-SA"/>
    </w:rPr>
  </w:style>
  <w:style w:type="character" w:customStyle="1" w:styleId="1081">
    <w:name w:val="edui-clickable2"/>
    <w:qFormat/>
    <w:uiPriority w:val="0"/>
    <w:rPr>
      <w:color w:val="0000FF"/>
      <w:u w:val="single"/>
    </w:rPr>
  </w:style>
  <w:style w:type="character" w:customStyle="1" w:styleId="1082">
    <w:name w:val="style1"/>
    <w:qFormat/>
    <w:uiPriority w:val="0"/>
    <w:rPr>
      <w:rFonts w:ascii="Arial" w:hAnsi="Arial" w:eastAsia="黑体" w:cs="Arial"/>
      <w:snapToGrid w:val="0"/>
      <w:kern w:val="0"/>
      <w:szCs w:val="21"/>
    </w:rPr>
  </w:style>
  <w:style w:type="character" w:customStyle="1" w:styleId="1083">
    <w:name w:val="zbggtop11 style5"/>
    <w:qFormat/>
    <w:uiPriority w:val="0"/>
    <w:rPr>
      <w:rFonts w:ascii="Arial" w:hAnsi="Arial" w:eastAsia="黑体" w:cs="Arial"/>
      <w:snapToGrid w:val="0"/>
      <w:kern w:val="0"/>
      <w:szCs w:val="21"/>
    </w:rPr>
  </w:style>
  <w:style w:type="character" w:customStyle="1" w:styleId="108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1085">
    <w:name w:val="bulletintext1"/>
    <w:qFormat/>
    <w:uiPriority w:val="0"/>
    <w:rPr>
      <w:color w:val="000000"/>
      <w:sz w:val="18"/>
    </w:rPr>
  </w:style>
  <w:style w:type="character" w:customStyle="1" w:styleId="1086">
    <w:name w:val="ksfind_class_select1"/>
    <w:qFormat/>
    <w:uiPriority w:val="0"/>
    <w:rPr>
      <w:color w:val="000000"/>
      <w:shd w:val="clear" w:color="auto" w:fill="EFD200"/>
    </w:rPr>
  </w:style>
  <w:style w:type="character" w:customStyle="1" w:styleId="1087">
    <w:name w:val="font71"/>
    <w:qFormat/>
    <w:uiPriority w:val="0"/>
    <w:rPr>
      <w:rFonts w:hint="eastAsia" w:ascii="宋体" w:hAnsi="宋体" w:eastAsia="宋体" w:cs="宋体"/>
      <w:color w:val="000000"/>
      <w:sz w:val="22"/>
      <w:szCs w:val="22"/>
      <w:u w:val="none"/>
    </w:rPr>
  </w:style>
  <w:style w:type="character" w:customStyle="1" w:styleId="1088">
    <w:name w:val="font91"/>
    <w:qFormat/>
    <w:uiPriority w:val="0"/>
    <w:rPr>
      <w:rFonts w:hint="eastAsia" w:ascii="仿宋" w:hAnsi="仿宋" w:eastAsia="仿宋" w:cs="仿宋"/>
      <w:color w:val="000000"/>
      <w:sz w:val="22"/>
      <w:szCs w:val="22"/>
      <w:u w:val="none"/>
    </w:rPr>
  </w:style>
  <w:style w:type="character" w:customStyle="1" w:styleId="1089">
    <w:name w:val="未处理的提及2"/>
    <w:unhideWhenUsed/>
    <w:qFormat/>
    <w:uiPriority w:val="99"/>
    <w:rPr>
      <w:color w:val="605E5C"/>
      <w:shd w:val="clear" w:color="auto" w:fill="E1DFDD"/>
    </w:rPr>
  </w:style>
  <w:style w:type="character" w:customStyle="1" w:styleId="1090">
    <w:name w:val="_正文 Char"/>
    <w:link w:val="645"/>
    <w:qFormat/>
    <w:uiPriority w:val="0"/>
    <w:rPr>
      <w:rFonts w:eastAsia="宋体" w:cs="Times New Roman"/>
      <w:kern w:val="2"/>
      <w:sz w:val="24"/>
      <w:szCs w:val="24"/>
    </w:rPr>
  </w:style>
  <w:style w:type="character" w:customStyle="1" w:styleId="1091">
    <w:name w:val="亚运 5级标题 字符"/>
    <w:link w:val="646"/>
    <w:qFormat/>
    <w:uiPriority w:val="0"/>
    <w:rPr>
      <w:rFonts w:ascii="宋体" w:hAnsi="宋体"/>
      <w:color w:val="000000"/>
      <w:kern w:val="2"/>
      <w:sz w:val="24"/>
      <w:szCs w:val="28"/>
    </w:rPr>
  </w:style>
  <w:style w:type="character" w:customStyle="1" w:styleId="1092">
    <w:name w:val="正文缩 Char"/>
    <w:link w:val="649"/>
    <w:qFormat/>
    <w:uiPriority w:val="0"/>
    <w:rPr>
      <w:rFonts w:eastAsia="楷体_GB2312"/>
      <w:kern w:val="2"/>
      <w:sz w:val="24"/>
      <w:szCs w:val="24"/>
    </w:rPr>
  </w:style>
  <w:style w:type="character" w:customStyle="1" w:styleId="1093">
    <w:name w:val="未处理的提及3"/>
    <w:unhideWhenUsed/>
    <w:qFormat/>
    <w:uiPriority w:val="99"/>
    <w:rPr>
      <w:color w:val="605E5C"/>
      <w:shd w:val="clear" w:color="auto" w:fill="E1DFDD"/>
    </w:rPr>
  </w:style>
  <w:style w:type="character" w:customStyle="1" w:styleId="1094">
    <w:name w:val="亚运3级标题 字符"/>
    <w:link w:val="650"/>
    <w:qFormat/>
    <w:uiPriority w:val="0"/>
    <w:rPr>
      <w:rFonts w:ascii="黑体" w:hAnsi="黑体" w:eastAsia="仿宋" w:cs="Arial"/>
      <w:bCs/>
      <w:kern w:val="2"/>
      <w:sz w:val="30"/>
      <w:szCs w:val="30"/>
    </w:rPr>
  </w:style>
  <w:style w:type="character" w:customStyle="1" w:styleId="1095">
    <w:name w:val="亚运 4级标题 字符"/>
    <w:link w:val="651"/>
    <w:qFormat/>
    <w:uiPriority w:val="0"/>
    <w:rPr>
      <w:rFonts w:ascii="黑体" w:hAnsi="黑体" w:eastAsia="仿宋" w:cs="Times New Roman"/>
      <w:color w:val="000000"/>
      <w:kern w:val="0"/>
      <w:sz w:val="30"/>
      <w:szCs w:val="30"/>
    </w:rPr>
  </w:style>
  <w:style w:type="character" w:customStyle="1" w:styleId="1096">
    <w:name w:val="未处理的提及4"/>
    <w:basedOn w:val="95"/>
    <w:unhideWhenUsed/>
    <w:qFormat/>
    <w:uiPriority w:val="99"/>
    <w:rPr>
      <w:color w:val="605E5C"/>
      <w:shd w:val="clear" w:color="auto" w:fill="E1DFDD"/>
    </w:rPr>
  </w:style>
  <w:style w:type="character" w:customStyle="1" w:styleId="1097">
    <w:name w:val="未处理的提及5"/>
    <w:basedOn w:val="95"/>
    <w:unhideWhenUsed/>
    <w:qFormat/>
    <w:uiPriority w:val="99"/>
    <w:rPr>
      <w:color w:val="605E5C"/>
      <w:shd w:val="clear" w:color="auto" w:fill="E1DFDD"/>
    </w:rPr>
  </w:style>
  <w:style w:type="character" w:customStyle="1" w:styleId="1098">
    <w:name w:val="样式1 Char"/>
    <w:link w:val="432"/>
    <w:qFormat/>
    <w:uiPriority w:val="0"/>
    <w:rPr>
      <w:rFonts w:ascii="宋体" w:hAnsi="宋体"/>
      <w:b/>
      <w:kern w:val="0"/>
      <w:sz w:val="24"/>
      <w:szCs w:val="20"/>
    </w:rPr>
  </w:style>
  <w:style w:type="character" w:customStyle="1" w:styleId="1099">
    <w:name w:val="标题 3 字符1"/>
    <w:link w:val="2"/>
    <w:qFormat/>
    <w:uiPriority w:val="0"/>
    <w:rPr>
      <w:rFonts w:eastAsia="宋体"/>
      <w:b/>
      <w:bCs/>
      <w:sz w:val="24"/>
      <w:szCs w:val="32"/>
    </w:rPr>
  </w:style>
  <w:style w:type="character" w:customStyle="1" w:styleId="1100">
    <w:name w:val="标题 2 字符1"/>
    <w:link w:val="5"/>
    <w:qFormat/>
    <w:uiPriority w:val="0"/>
    <w:rPr>
      <w:rFonts w:ascii="仿宋_GB2312" w:hAnsi="仿宋_GB2312" w:eastAsia="宋体"/>
      <w:sz w:val="28"/>
      <w:szCs w:val="32"/>
      <w:lang w:val="zh-CN"/>
    </w:rPr>
  </w:style>
  <w:style w:type="character" w:customStyle="1" w:styleId="1101">
    <w:name w:val="样式 正1 + 首行缩进:  2 字符 Char"/>
    <w:link w:val="448"/>
    <w:qFormat/>
    <w:uiPriority w:val="0"/>
    <w:rPr>
      <w:rFonts w:ascii="仿宋_GB2312" w:eastAsia="仿宋_GB2312"/>
      <w:sz w:val="24"/>
    </w:rPr>
  </w:style>
  <w:style w:type="character" w:customStyle="1" w:styleId="1102">
    <w:name w:val="一级条标题 Char"/>
    <w:link w:val="365"/>
    <w:qFormat/>
    <w:uiPriority w:val="0"/>
  </w:style>
  <w:style w:type="character" w:customStyle="1" w:styleId="1103">
    <w:name w:val="未处理的提及6"/>
    <w:basedOn w:val="95"/>
    <w:unhideWhenUsed/>
    <w:qFormat/>
    <w:uiPriority w:val="99"/>
    <w:rPr>
      <w:color w:val="605E5C"/>
      <w:shd w:val="clear" w:color="auto" w:fill="E1DFDD"/>
    </w:rPr>
  </w:style>
  <w:style w:type="character" w:customStyle="1" w:styleId="1104">
    <w:name w:val="未处理的提及7"/>
    <w:basedOn w:val="95"/>
    <w:unhideWhenUsed/>
    <w:qFormat/>
    <w:uiPriority w:val="99"/>
    <w:rPr>
      <w:color w:val="605E5C"/>
      <w:shd w:val="clear" w:color="auto" w:fill="E1DFDD"/>
    </w:rPr>
  </w:style>
  <w:style w:type="character" w:customStyle="1" w:styleId="1105">
    <w:name w:val="bookmark-item"/>
    <w:basedOn w:val="95"/>
    <w:qFormat/>
    <w:uiPriority w:val="0"/>
  </w:style>
  <w:style w:type="character" w:customStyle="1" w:styleId="1106">
    <w:name w:val="正文（上会） 字符"/>
    <w:basedOn w:val="95"/>
    <w:link w:val="661"/>
    <w:qFormat/>
    <w:uiPriority w:val="0"/>
    <w:rPr>
      <w:rFonts w:ascii="仿宋_GB2312" w:hAnsi="仿宋_GB2312" w:eastAsia="仿宋_GB2312" w:cs="仿宋_GB2312"/>
      <w:kern w:val="2"/>
      <w:sz w:val="32"/>
      <w:szCs w:val="32"/>
    </w:rPr>
  </w:style>
  <w:style w:type="character" w:customStyle="1" w:styleId="1107">
    <w:name w:val="未处理的提及8"/>
    <w:basedOn w:val="95"/>
    <w:unhideWhenUsed/>
    <w:qFormat/>
    <w:uiPriority w:val="99"/>
    <w:rPr>
      <w:color w:val="605E5C"/>
      <w:shd w:val="clear" w:color="auto" w:fill="E1DFDD"/>
    </w:rPr>
  </w:style>
  <w:style w:type="character" w:customStyle="1" w:styleId="1108">
    <w:name w:val="未处理的提及9"/>
    <w:basedOn w:val="95"/>
    <w:unhideWhenUsed/>
    <w:qFormat/>
    <w:uiPriority w:val="99"/>
    <w:rPr>
      <w:color w:val="605E5C"/>
      <w:shd w:val="clear" w:color="auto" w:fill="E1DFDD"/>
    </w:rPr>
  </w:style>
  <w:style w:type="character" w:customStyle="1" w:styleId="1109">
    <w:name w:val="未处理的提及10"/>
    <w:basedOn w:val="95"/>
    <w:unhideWhenUsed/>
    <w:qFormat/>
    <w:uiPriority w:val="99"/>
    <w:rPr>
      <w:color w:val="605E5C"/>
      <w:shd w:val="clear" w:color="auto" w:fill="E1DFDD"/>
    </w:rPr>
  </w:style>
  <w:style w:type="character" w:customStyle="1" w:styleId="1110">
    <w:name w:val="二级标题 字符"/>
    <w:link w:val="663"/>
    <w:qFormat/>
    <w:uiPriority w:val="0"/>
    <w:rPr>
      <w:rFonts w:ascii="Arial" w:hAnsi="Arial" w:cs="宋体"/>
      <w:b/>
      <w:bCs/>
      <w:kern w:val="2"/>
      <w:sz w:val="30"/>
      <w:szCs w:val="32"/>
    </w:rPr>
  </w:style>
  <w:style w:type="character" w:customStyle="1" w:styleId="1111">
    <w:name w:val="四级标题 字符"/>
    <w:link w:val="664"/>
    <w:qFormat/>
    <w:uiPriority w:val="0"/>
    <w:rPr>
      <w:rFonts w:ascii="Arial" w:hAnsi="Arial" w:cs="宋体"/>
      <w:b/>
      <w:bCs/>
      <w:kern w:val="2"/>
      <w:sz w:val="28"/>
      <w:szCs w:val="28"/>
    </w:rPr>
  </w:style>
  <w:style w:type="character" w:customStyle="1" w:styleId="1112">
    <w:name w:val="五级标题 字符"/>
    <w:link w:val="665"/>
    <w:qFormat/>
    <w:uiPriority w:val="0"/>
    <w:rPr>
      <w:rFonts w:ascii="Arial" w:hAnsi="Arial" w:cs="宋体"/>
      <w:b/>
      <w:bCs/>
      <w:sz w:val="28"/>
      <w:szCs w:val="28"/>
    </w:rPr>
  </w:style>
  <w:style w:type="character" w:customStyle="1" w:styleId="1113">
    <w:name w:val="六级标题 字符"/>
    <w:link w:val="666"/>
    <w:qFormat/>
    <w:uiPriority w:val="0"/>
    <w:rPr>
      <w:rFonts w:ascii="Arial" w:hAnsi="Arial" w:cs="宋体"/>
      <w:b/>
      <w:bCs/>
      <w:kern w:val="2"/>
      <w:sz w:val="28"/>
      <w:szCs w:val="24"/>
    </w:rPr>
  </w:style>
  <w:style w:type="character" w:customStyle="1" w:styleId="1114">
    <w:name w:val="未处理的提及11"/>
    <w:basedOn w:val="95"/>
    <w:unhideWhenUsed/>
    <w:qFormat/>
    <w:uiPriority w:val="0"/>
    <w:rPr>
      <w:color w:val="605E5C"/>
      <w:shd w:val="clear" w:color="auto" w:fill="E1DFDD"/>
    </w:rPr>
  </w:style>
  <w:style w:type="character" w:customStyle="1" w:styleId="1115">
    <w:name w:val="未处理的提及12"/>
    <w:basedOn w:val="95"/>
    <w:unhideWhenUsed/>
    <w:qFormat/>
    <w:uiPriority w:val="99"/>
    <w:rPr>
      <w:color w:val="605E5C"/>
      <w:shd w:val="clear" w:color="auto" w:fill="E1DFDD"/>
    </w:rPr>
  </w:style>
  <w:style w:type="character" w:customStyle="1" w:styleId="1116">
    <w:name w:val="正文（缩进） 字符"/>
    <w:link w:val="672"/>
    <w:qFormat/>
    <w:uiPriority w:val="0"/>
    <w:rPr>
      <w:rFonts w:ascii="宋体" w:hAnsi="宋体"/>
      <w:sz w:val="24"/>
      <w:szCs w:val="24"/>
    </w:rPr>
  </w:style>
  <w:style w:type="character" w:customStyle="1" w:styleId="1117">
    <w:name w:val="正文ll Char"/>
    <w:link w:val="674"/>
    <w:qFormat/>
    <w:uiPriority w:val="0"/>
    <w:rPr>
      <w:kern w:val="2"/>
      <w:sz w:val="24"/>
      <w:szCs w:val="24"/>
    </w:rPr>
  </w:style>
  <w:style w:type="character" w:customStyle="1" w:styleId="1118">
    <w:name w:val="宏文本 字符"/>
    <w:basedOn w:val="95"/>
    <w:link w:val="3"/>
    <w:qFormat/>
    <w:uiPriority w:val="99"/>
    <w:rPr>
      <w:rFonts w:ascii="Courier New" w:hAnsi="Courier New" w:cs="Courier New"/>
      <w:kern w:val="2"/>
      <w:sz w:val="24"/>
      <w:szCs w:val="24"/>
    </w:rPr>
  </w:style>
  <w:style w:type="character" w:customStyle="1" w:styleId="1119">
    <w:name w:val="注释标题 字符"/>
    <w:basedOn w:val="95"/>
    <w:link w:val="16"/>
    <w:qFormat/>
    <w:uiPriority w:val="99"/>
    <w:rPr>
      <w:rFonts w:ascii="Calibri" w:hAnsi="Calibri"/>
      <w:kern w:val="2"/>
      <w:sz w:val="28"/>
    </w:rPr>
  </w:style>
  <w:style w:type="character" w:customStyle="1" w:styleId="1120">
    <w:name w:val="电子邮件签名 字符"/>
    <w:basedOn w:val="95"/>
    <w:link w:val="19"/>
    <w:qFormat/>
    <w:uiPriority w:val="99"/>
    <w:rPr>
      <w:rFonts w:ascii="Calibri" w:hAnsi="Calibri"/>
      <w:kern w:val="2"/>
      <w:sz w:val="28"/>
    </w:rPr>
  </w:style>
  <w:style w:type="character" w:customStyle="1" w:styleId="1121">
    <w:name w:val="结束语 字符"/>
    <w:basedOn w:val="95"/>
    <w:link w:val="32"/>
    <w:qFormat/>
    <w:uiPriority w:val="99"/>
    <w:rPr>
      <w:rFonts w:ascii="Calibri" w:hAnsi="Calibri"/>
      <w:kern w:val="2"/>
      <w:sz w:val="28"/>
    </w:rPr>
  </w:style>
  <w:style w:type="character" w:customStyle="1" w:styleId="1122">
    <w:name w:val="信息标题 字符"/>
    <w:basedOn w:val="95"/>
    <w:link w:val="80"/>
    <w:qFormat/>
    <w:uiPriority w:val="99"/>
    <w:rPr>
      <w:rFonts w:ascii="等线 Light" w:hAnsi="等线 Light" w:eastAsia="等线 Light"/>
      <w:kern w:val="2"/>
      <w:sz w:val="24"/>
      <w:szCs w:val="24"/>
      <w:shd w:val="pct20" w:color="auto" w:fill="auto"/>
    </w:rPr>
  </w:style>
  <w:style w:type="character" w:customStyle="1" w:styleId="1123">
    <w:name w:val="正文-段落 Char"/>
    <w:link w:val="675"/>
    <w:qFormat/>
    <w:uiPriority w:val="0"/>
    <w:rPr>
      <w:sz w:val="24"/>
      <w:szCs w:val="24"/>
    </w:rPr>
  </w:style>
  <w:style w:type="character" w:customStyle="1" w:styleId="1124">
    <w:name w:val="批注主题 Char1"/>
    <w:qFormat/>
    <w:uiPriority w:val="0"/>
    <w:rPr>
      <w:rFonts w:ascii="Calibri" w:hAnsi="Calibri"/>
      <w:b/>
      <w:bCs/>
      <w:kern w:val="2"/>
      <w:sz w:val="21"/>
      <w:szCs w:val="22"/>
    </w:rPr>
  </w:style>
  <w:style w:type="character" w:customStyle="1" w:styleId="1125">
    <w:name w:val="标题 5 字符1"/>
    <w:qFormat/>
    <w:uiPriority w:val="0"/>
    <w:rPr>
      <w:rFonts w:ascii="Calibri" w:hAnsi="Calibri" w:cs="宋体"/>
      <w:b/>
      <w:bCs/>
      <w:sz w:val="28"/>
      <w:szCs w:val="28"/>
    </w:rPr>
  </w:style>
  <w:style w:type="character" w:customStyle="1" w:styleId="1126">
    <w:name w:val="图片 字符"/>
    <w:link w:val="676"/>
    <w:qFormat/>
    <w:uiPriority w:val="0"/>
    <w:rPr>
      <w:rFonts w:ascii="仿宋" w:hAnsi="仿宋" w:eastAsia="仿宋"/>
      <w:kern w:val="2"/>
      <w:sz w:val="28"/>
      <w:szCs w:val="24"/>
    </w:rPr>
  </w:style>
  <w:style w:type="character" w:customStyle="1" w:styleId="1127">
    <w:name w:val="正缩 Char"/>
    <w:link w:val="677"/>
    <w:qFormat/>
    <w:uiPriority w:val="0"/>
    <w:rPr>
      <w:rFonts w:ascii="宋体" w:hAnsi="宋体"/>
      <w:kern w:val="2"/>
      <w:sz w:val="24"/>
      <w:szCs w:val="24"/>
    </w:rPr>
  </w:style>
  <w:style w:type="character" w:customStyle="1" w:styleId="1128">
    <w:name w:val="标题4级 字符"/>
    <w:link w:val="678"/>
    <w:qFormat/>
    <w:uiPriority w:val="0"/>
    <w:rPr>
      <w:rFonts w:ascii="宋体" w:hAnsi="宋体" w:cs="宋体"/>
      <w:b/>
      <w:bCs/>
      <w:snapToGrid w:val="0"/>
      <w:kern w:val="2"/>
      <w:sz w:val="28"/>
      <w:szCs w:val="28"/>
      <w:lang w:val="zh-CN"/>
    </w:rPr>
  </w:style>
  <w:style w:type="character" w:customStyle="1" w:styleId="1129">
    <w:name w:val="keyword"/>
    <w:basedOn w:val="95"/>
    <w:qFormat/>
    <w:uiPriority w:val="0"/>
  </w:style>
  <w:style w:type="character" w:customStyle="1" w:styleId="1130">
    <w:name w:val="编号1 Char Char"/>
    <w:link w:val="673"/>
    <w:qFormat/>
    <w:uiPriority w:val="0"/>
    <w:rPr>
      <w:rFonts w:eastAsia="仿宋_GB2312"/>
      <w:kern w:val="2"/>
      <w:sz w:val="28"/>
      <w:szCs w:val="24"/>
    </w:rPr>
  </w:style>
  <w:style w:type="character" w:customStyle="1" w:styleId="1131">
    <w:name w:val="段 Char"/>
    <w:link w:val="348"/>
    <w:qFormat/>
    <w:locked/>
    <w:uiPriority w:val="0"/>
    <w:rPr>
      <w:rFonts w:ascii="宋体"/>
      <w:sz w:val="21"/>
    </w:rPr>
  </w:style>
  <w:style w:type="character" w:customStyle="1" w:styleId="1132">
    <w:name w:val="普通(网站) 字符"/>
    <w:link w:val="82"/>
    <w:qFormat/>
    <w:uiPriority w:val="0"/>
    <w:rPr>
      <w:rFonts w:ascii="宋体" w:hAnsi="宋体"/>
      <w:sz w:val="24"/>
      <w:szCs w:val="24"/>
    </w:rPr>
  </w:style>
  <w:style w:type="character" w:customStyle="1" w:styleId="1133">
    <w:name w:val="正文ll Char Char"/>
    <w:qFormat/>
    <w:uiPriority w:val="0"/>
    <w:rPr>
      <w:sz w:val="24"/>
      <w:szCs w:val="24"/>
    </w:rPr>
  </w:style>
  <w:style w:type="character" w:customStyle="1" w:styleId="1134">
    <w:name w:val="图片2 字符"/>
    <w:link w:val="679"/>
    <w:qFormat/>
    <w:uiPriority w:val="0"/>
    <w:rPr>
      <w:rFonts w:eastAsia="仿宋"/>
      <w:sz w:val="32"/>
      <w:szCs w:val="24"/>
    </w:rPr>
  </w:style>
  <w:style w:type="character" w:customStyle="1" w:styleId="1135">
    <w:name w:val="中等深浅底纹 1 - 着色 1 字符"/>
    <w:link w:val="680"/>
    <w:qFormat/>
    <w:uiPriority w:val="1"/>
    <w:rPr>
      <w:sz w:val="22"/>
      <w:szCs w:val="22"/>
    </w:rPr>
  </w:style>
  <w:style w:type="character" w:customStyle="1" w:styleId="1136">
    <w:name w:val="apple-tab-span"/>
    <w:qFormat/>
    <w:uiPriority w:val="0"/>
  </w:style>
  <w:style w:type="character" w:customStyle="1" w:styleId="1137">
    <w:name w:val="题注1 Char"/>
    <w:link w:val="681"/>
    <w:qFormat/>
    <w:uiPriority w:val="0"/>
    <w:rPr>
      <w:rFonts w:ascii="Arial" w:hAnsi="Arial" w:eastAsia="黑体" w:cs="宋体"/>
      <w:kern w:val="2"/>
      <w:sz w:val="21"/>
    </w:rPr>
  </w:style>
  <w:style w:type="character" w:customStyle="1" w:styleId="1138">
    <w:name w:val="图表标题 Char"/>
    <w:link w:val="682"/>
    <w:qFormat/>
    <w:uiPriority w:val="0"/>
    <w:rPr>
      <w:rFonts w:ascii="黑体" w:hAnsi="黑体" w:eastAsia="黑体"/>
      <w:b/>
      <w:szCs w:val="21"/>
    </w:rPr>
  </w:style>
  <w:style w:type="character" w:customStyle="1" w:styleId="1139">
    <w:name w:val="编号2 Char Char"/>
    <w:link w:val="683"/>
    <w:qFormat/>
    <w:uiPriority w:val="0"/>
    <w:rPr>
      <w:rFonts w:ascii="宋体" w:hAnsi="宋体" w:eastAsia="仿宋_GB2312" w:cs="宋体"/>
      <w:kern w:val="2"/>
      <w:sz w:val="28"/>
      <w:szCs w:val="24"/>
    </w:rPr>
  </w:style>
  <w:style w:type="character" w:customStyle="1" w:styleId="1140">
    <w:name w:val="def"/>
    <w:basedOn w:val="95"/>
    <w:qFormat/>
    <w:uiPriority w:val="0"/>
  </w:style>
  <w:style w:type="character" w:customStyle="1" w:styleId="1141">
    <w:name w:val="title21"/>
    <w:qFormat/>
    <w:uiPriority w:val="0"/>
    <w:rPr>
      <w:b/>
      <w:bCs/>
      <w:color w:val="000000"/>
      <w:sz w:val="33"/>
      <w:szCs w:val="33"/>
    </w:rPr>
  </w:style>
  <w:style w:type="character" w:customStyle="1" w:styleId="1142">
    <w:name w:val="正文（缩进） Char"/>
    <w:qFormat/>
    <w:uiPriority w:val="0"/>
    <w:rPr>
      <w:rFonts w:ascii="宋体" w:hAnsi="宋体"/>
      <w:kern w:val="2"/>
      <w:sz w:val="24"/>
      <w:szCs w:val="24"/>
    </w:rPr>
  </w:style>
  <w:style w:type="character" w:customStyle="1" w:styleId="1143">
    <w:name w:val="标题 6 字符1"/>
    <w:qFormat/>
    <w:uiPriority w:val="0"/>
    <w:rPr>
      <w:rFonts w:ascii="Cambria" w:hAnsi="Cambria" w:cs="宋体"/>
      <w:b/>
      <w:bCs/>
      <w:sz w:val="28"/>
      <w:szCs w:val="28"/>
    </w:rPr>
  </w:style>
  <w:style w:type="character" w:customStyle="1" w:styleId="1144">
    <w:name w:val="样式 正文文本缩进 + 左  0 字符 Char"/>
    <w:link w:val="684"/>
    <w:qFormat/>
    <w:uiPriority w:val="0"/>
    <w:rPr>
      <w:sz w:val="24"/>
      <w:lang w:eastAsia="en-US"/>
    </w:rPr>
  </w:style>
  <w:style w:type="character" w:customStyle="1" w:styleId="1145">
    <w:name w:val="Default Text Char Char"/>
    <w:link w:val="451"/>
    <w:qFormat/>
    <w:uiPriority w:val="0"/>
    <w:rPr>
      <w:rFonts w:ascii="宋体" w:hAnsi="宋体" w:eastAsia="微软雅黑"/>
      <w:sz w:val="24"/>
    </w:rPr>
  </w:style>
  <w:style w:type="character" w:customStyle="1" w:styleId="1146">
    <w:name w:val="标题 3 Char"/>
    <w:qFormat/>
    <w:uiPriority w:val="0"/>
    <w:rPr>
      <w:rFonts w:ascii="Calibri" w:hAnsi="Calibri"/>
      <w:b/>
      <w:kern w:val="2"/>
      <w:sz w:val="32"/>
    </w:rPr>
  </w:style>
  <w:style w:type="character" w:customStyle="1" w:styleId="1147">
    <w:name w:val="recordsinfoblock"/>
    <w:qFormat/>
    <w:uiPriority w:val="0"/>
    <w:rPr>
      <w:rFonts w:ascii="Verdana" w:hAnsi="Verdana" w:cs="Verdana"/>
      <w:sz w:val="9"/>
      <w:szCs w:val="9"/>
    </w:rPr>
  </w:style>
  <w:style w:type="character" w:customStyle="1" w:styleId="1148">
    <w:name w:val="space2"/>
    <w:qFormat/>
    <w:uiPriority w:val="0"/>
  </w:style>
  <w:style w:type="character" w:customStyle="1" w:styleId="1149">
    <w:name w:val="space"/>
    <w:qFormat/>
    <w:uiPriority w:val="0"/>
  </w:style>
  <w:style w:type="character" w:customStyle="1" w:styleId="1150">
    <w:name w:val="明显引用 字符"/>
    <w:basedOn w:val="95"/>
    <w:link w:val="744"/>
    <w:qFormat/>
    <w:uiPriority w:val="99"/>
    <w:rPr>
      <w:rFonts w:ascii="Calibri" w:hAnsi="Calibri"/>
      <w:i/>
      <w:iCs/>
      <w:color w:val="4472C4"/>
      <w:kern w:val="2"/>
      <w:sz w:val="28"/>
    </w:rPr>
  </w:style>
  <w:style w:type="character" w:customStyle="1" w:styleId="1151">
    <w:name w:val="引用 字符"/>
    <w:basedOn w:val="95"/>
    <w:link w:val="747"/>
    <w:qFormat/>
    <w:uiPriority w:val="99"/>
    <w:rPr>
      <w:rFonts w:ascii="Calibri" w:hAnsi="Calibri"/>
      <w:i/>
      <w:iCs/>
      <w:color w:val="404040"/>
      <w:kern w:val="2"/>
      <w:sz w:val="28"/>
    </w:rPr>
  </w:style>
  <w:style w:type="character" w:customStyle="1" w:styleId="1152">
    <w:name w:val="脚注文本 字符1"/>
    <w:semiHidden/>
    <w:qFormat/>
    <w:uiPriority w:val="99"/>
    <w:rPr>
      <w:rFonts w:ascii="宋体" w:hAnsi="宋体" w:cs="宋体"/>
      <w:sz w:val="18"/>
      <w:szCs w:val="18"/>
    </w:rPr>
  </w:style>
  <w:style w:type="character" w:customStyle="1" w:styleId="1153">
    <w:name w:val="正文文本缩进 2 字符1"/>
    <w:semiHidden/>
    <w:qFormat/>
    <w:uiPriority w:val="99"/>
    <w:rPr>
      <w:rFonts w:ascii="宋体" w:hAnsi="宋体" w:cs="宋体"/>
      <w:sz w:val="24"/>
      <w:szCs w:val="24"/>
    </w:rPr>
  </w:style>
  <w:style w:type="character" w:customStyle="1" w:styleId="1154">
    <w:name w:val="批注文字 字符2"/>
    <w:semiHidden/>
    <w:qFormat/>
    <w:uiPriority w:val="99"/>
    <w:rPr>
      <w:rFonts w:ascii="宋体" w:hAnsi="宋体" w:cs="宋体"/>
      <w:sz w:val="24"/>
      <w:szCs w:val="24"/>
    </w:rPr>
  </w:style>
  <w:style w:type="character" w:customStyle="1" w:styleId="1155">
    <w:name w:val="批注主题 字符1"/>
    <w:semiHidden/>
    <w:qFormat/>
    <w:uiPriority w:val="99"/>
  </w:style>
  <w:style w:type="character" w:customStyle="1" w:styleId="1156">
    <w:name w:val="未处理的提及13"/>
    <w:basedOn w:val="95"/>
    <w:unhideWhenUsed/>
    <w:qFormat/>
    <w:uiPriority w:val="99"/>
    <w:rPr>
      <w:color w:val="605E5C"/>
      <w:shd w:val="clear" w:color="auto" w:fill="E1DFDD"/>
    </w:rPr>
  </w:style>
  <w:style w:type="table" w:customStyle="1" w:styleId="1157">
    <w:name w:val="网格型2"/>
    <w:basedOn w:val="88"/>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8">
    <w:name w:val="网格型1"/>
    <w:basedOn w:val="88"/>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9">
    <w:name w:val="网格型6"/>
    <w:basedOn w:val="88"/>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0">
    <w:name w:val="网格型3"/>
    <w:basedOn w:val="88"/>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1">
    <w:name w:val="网格型4"/>
    <w:basedOn w:val="88"/>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2">
    <w:name w:val="网格型5"/>
    <w:basedOn w:val="88"/>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3">
    <w:name w:val="网格型浅色1"/>
    <w:basedOn w:val="88"/>
    <w:qFormat/>
    <w:uiPriority w:val="40"/>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1164">
    <w:name w:val="无格式表格 51"/>
    <w:basedOn w:val="88"/>
    <w:qFormat/>
    <w:uiPriority w:val="45"/>
    <w:pPr>
      <w:numPr>
        <w:numId w:val="12"/>
      </w:numPr>
      <w:ind w:left="0" w:firstLine="0"/>
    </w:pPr>
    <w:tblStylePr w:type="firstRow">
      <w:rPr>
        <w:rFonts w:cs="Times New Roman"/>
        <w:i/>
        <w:iCs/>
        <w:sz w:val="26"/>
      </w:rPr>
      <w:tcPr>
        <w:tcBorders>
          <w:top w:val="nil"/>
          <w:left w:val="nil"/>
          <w:bottom w:val="single" w:color="7F7F7F" w:sz="4" w:space="0"/>
          <w:right w:val="nil"/>
          <w:insideH w:val="nil"/>
          <w:insideV w:val="nil"/>
          <w:tl2br w:val="nil"/>
          <w:tr2bl w:val="nil"/>
        </w:tcBorders>
        <w:shd w:val="clear" w:color="auto" w:fill="FFFFFF"/>
      </w:tcPr>
    </w:tblStylePr>
    <w:tblStylePr w:type="lastRow">
      <w:rPr>
        <w:rFonts w:cs="Times New Roman"/>
        <w:i/>
        <w:iCs/>
        <w:sz w:val="26"/>
      </w:rPr>
      <w:tcPr>
        <w:tcBorders>
          <w:top w:val="single" w:color="7F7F7F" w:sz="4" w:space="0"/>
          <w:left w:val="nil"/>
          <w:bottom w:val="nil"/>
          <w:right w:val="nil"/>
          <w:insideH w:val="nil"/>
          <w:insideV w:val="nil"/>
          <w:tl2br w:val="nil"/>
          <w:tr2bl w:val="nil"/>
        </w:tcBorders>
        <w:shd w:val="clear" w:color="auto" w:fill="FFFFFF"/>
      </w:tcPr>
    </w:tblStylePr>
    <w:tblStylePr w:type="firstCol">
      <w:rPr>
        <w:rFonts w:cs="Times New Roman"/>
        <w:i/>
        <w:iCs/>
        <w:sz w:val="26"/>
      </w:rPr>
      <w:tcPr>
        <w:tcBorders>
          <w:top w:val="nil"/>
          <w:left w:val="nil"/>
          <w:bottom w:val="nil"/>
          <w:right w:val="single" w:color="7F7F7F" w:sz="4" w:space="0"/>
          <w:insideH w:val="nil"/>
          <w:insideV w:val="nil"/>
          <w:tl2br w:val="nil"/>
          <w:tr2bl w:val="nil"/>
        </w:tcBorders>
        <w:shd w:val="clear" w:color="auto" w:fill="FFFFFF"/>
      </w:tcPr>
    </w:tblStylePr>
    <w:tblStylePr w:type="lastCol">
      <w:rPr>
        <w:rFonts w:cs="Times New Roman"/>
        <w:i/>
        <w:iCs/>
        <w:sz w:val="26"/>
      </w:rPr>
      <w:tcPr>
        <w:tcBorders>
          <w:top w:val="nil"/>
          <w:left w:val="single" w:color="7F7F7F" w:sz="4" w:space="0"/>
          <w:bottom w:val="nil"/>
          <w:right w:val="nil"/>
          <w:insideH w:val="nil"/>
          <w:insideV w:val="nil"/>
          <w:tl2br w:val="nil"/>
          <w:tr2bl w:val="nil"/>
        </w:tcBorders>
        <w:shd w:val="clear" w:color="auto" w:fill="FFFFFF"/>
      </w:tcPr>
    </w:tblStylePr>
    <w:tblStylePr w:type="band1Vert">
      <w:tcPr>
        <w:shd w:val="clear" w:color="auto" w:fill="F2F2F2"/>
      </w:tcPr>
    </w:tblStylePr>
    <w:tblStylePr w:type="band1Horz">
      <w:tcPr>
        <w:shd w:val="clear" w:color="auto" w:fill="F2F2F2"/>
      </w:tcPr>
    </w:tblStylePr>
    <w:tblStylePr w:type="neCell">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nil"/>
          <w:tr2bl w:val="nil"/>
        </w:tcBorders>
      </w:tcPr>
    </w:tblStylePr>
    <w:tblStylePr w:type="seCell">
      <w:tcPr>
        <w:tcBorders>
          <w:top w:val="nil"/>
          <w:left w:val="nil"/>
          <w:bottom w:val="nil"/>
          <w:right w:val="nil"/>
          <w:insideH w:val="nil"/>
          <w:insideV w:val="nil"/>
          <w:tl2br w:val="nil"/>
          <w:tr2bl w:val="nil"/>
        </w:tcBorders>
      </w:tcPr>
    </w:tblStylePr>
    <w:tblStylePr w:type="swCell">
      <w:tcPr>
        <w:tcBorders>
          <w:top w:val="nil"/>
          <w:left w:val="nil"/>
          <w:bottom w:val="nil"/>
          <w:right w:val="nil"/>
          <w:insideH w:val="nil"/>
          <w:insideV w:val="nil"/>
          <w:tl2br w:val="nil"/>
          <w:tr2bl w:val="nil"/>
        </w:tcBorders>
      </w:tcPr>
    </w:tblStylePr>
  </w:style>
  <w:style w:type="table" w:customStyle="1" w:styleId="1165">
    <w:name w:val="Table Normal"/>
    <w:unhideWhenUsed/>
    <w:qFormat/>
    <w:uiPriority w:val="0"/>
    <w:tblPr>
      <w:tblCellMar>
        <w:top w:w="0" w:type="dxa"/>
        <w:left w:w="0" w:type="dxa"/>
        <w:bottom w:w="0" w:type="dxa"/>
        <w:right w:w="0" w:type="dxa"/>
      </w:tblCellMar>
    </w:tblPr>
  </w:style>
  <w:style w:type="paragraph" w:customStyle="1" w:styleId="1166">
    <w:name w:val="列表段落3"/>
    <w:basedOn w:val="1"/>
    <w:qFormat/>
    <w:uiPriority w:val="99"/>
    <w:pPr>
      <w:ind w:firstLine="420" w:firstLineChars="200"/>
    </w:pPr>
  </w:style>
  <w:style w:type="character" w:customStyle="1" w:styleId="1167">
    <w:name w:val="未处理的提及14"/>
    <w:basedOn w:val="95"/>
    <w:unhideWhenUsed/>
    <w:qFormat/>
    <w:uiPriority w:val="99"/>
    <w:rPr>
      <w:color w:val="605E5C"/>
      <w:shd w:val="clear" w:color="auto" w:fill="E1DFDD"/>
    </w:rPr>
  </w:style>
  <w:style w:type="character" w:customStyle="1" w:styleId="1168">
    <w:name w:val="NormalCharacter"/>
    <w:semiHidden/>
    <w:qFormat/>
    <w:uiPriority w:val="0"/>
  </w:style>
  <w:style w:type="paragraph" w:customStyle="1" w:styleId="1169">
    <w:name w:val="BodyTextIndent"/>
    <w:basedOn w:val="1"/>
    <w:link w:val="1170"/>
    <w:qFormat/>
    <w:uiPriority w:val="0"/>
    <w:pPr>
      <w:widowControl/>
      <w:adjustRightInd/>
      <w:spacing w:line="480" w:lineRule="atLeast"/>
      <w:ind w:firstLine="570"/>
      <w:textAlignment w:val="baseline"/>
    </w:pPr>
    <w:rPr>
      <w:rFonts w:ascii="??" w:hAnsi="??" w:eastAsia="??"/>
      <w:sz w:val="28"/>
      <w:szCs w:val="28"/>
    </w:rPr>
  </w:style>
  <w:style w:type="character" w:customStyle="1" w:styleId="1170">
    <w:name w:val="UserStyle_17"/>
    <w:link w:val="1169"/>
    <w:qFormat/>
    <w:uiPriority w:val="0"/>
    <w:rPr>
      <w:rFonts w:ascii="??" w:hAnsi="??" w:eastAsia="??"/>
      <w:kern w:val="2"/>
      <w:sz w:val="28"/>
      <w:szCs w:val="28"/>
    </w:rPr>
  </w:style>
  <w:style w:type="character" w:customStyle="1" w:styleId="1171">
    <w:name w:val="UserStyle_512"/>
    <w:qFormat/>
    <w:uiPriority w:val="0"/>
  </w:style>
  <w:style w:type="paragraph" w:customStyle="1" w:styleId="1172">
    <w:name w:val="正文文本首行缩进 21"/>
    <w:basedOn w:val="36"/>
    <w:qFormat/>
    <w:uiPriority w:val="99"/>
    <w:pPr>
      <w:adjustRightInd/>
      <w:spacing w:line="200" w:lineRule="atLeast"/>
      <w:ind w:firstLine="420" w:firstLineChars="0"/>
    </w:pPr>
    <w:rPr>
      <w:rFonts w:hAnsi="Courier New" w:eastAsia="??"/>
      <w:spacing w:val="-4"/>
      <w:sz w:val="18"/>
      <w:szCs w:val="28"/>
    </w:rPr>
  </w:style>
  <w:style w:type="paragraph" w:customStyle="1" w:styleId="1173">
    <w:name w:val="Heading2"/>
    <w:basedOn w:val="1"/>
    <w:next w:val="1"/>
    <w:qFormat/>
    <w:uiPriority w:val="0"/>
    <w:pPr>
      <w:keepNext/>
      <w:keepLines/>
      <w:widowControl/>
      <w:numPr>
        <w:ilvl w:val="0"/>
        <w:numId w:val="13"/>
      </w:numPr>
      <w:tabs>
        <w:tab w:val="left" w:pos="706"/>
        <w:tab w:val="left" w:pos="1110"/>
      </w:tabs>
      <w:adjustRightInd/>
      <w:spacing w:line="360" w:lineRule="auto"/>
      <w:textAlignment w:val="baseline"/>
    </w:pPr>
    <w:rPr>
      <w:rFonts w:ascii="Arial" w:hAnsi="Arial" w:eastAsia="??" w:cs="Arial"/>
      <w:szCs w:val="32"/>
    </w:rPr>
  </w:style>
  <w:style w:type="paragraph" w:customStyle="1" w:styleId="1174">
    <w:name w:val="UserStyle_238"/>
    <w:basedOn w:val="1"/>
    <w:qFormat/>
    <w:uiPriority w:val="0"/>
    <w:pPr>
      <w:widowControl/>
      <w:adjustRightInd/>
      <w:textAlignment w:val="baseline"/>
    </w:pPr>
    <w:rPr>
      <w:rFonts w:ascii="宋体" w:hAnsi="宋体"/>
      <w:lang w:val="zh-CN" w:bidi="zh-CN"/>
    </w:rPr>
  </w:style>
  <w:style w:type="paragraph" w:customStyle="1" w:styleId="1175">
    <w:name w:val="UserStyle_197"/>
    <w:qFormat/>
    <w:uiPriority w:val="0"/>
    <w:pPr>
      <w:jc w:val="both"/>
      <w:textAlignment w:val="baseline"/>
    </w:pPr>
    <w:rPr>
      <w:rFonts w:ascii="Arial Unicode MS" w:hAnsi="Arial Unicode MS" w:eastAsia="宋体" w:cs="Times New Roman"/>
      <w:color w:val="000000"/>
      <w:kern w:val="2"/>
      <w:sz w:val="21"/>
      <w:szCs w:val="22"/>
      <w:lang w:val="en-US" w:eastAsia="zh-CN" w:bidi="ar-SA"/>
    </w:rPr>
  </w:style>
  <w:style w:type="paragraph" w:customStyle="1" w:styleId="1176">
    <w:name w:val="修订14"/>
    <w:hidden/>
    <w:semiHidden/>
    <w:qFormat/>
    <w:uiPriority w:val="99"/>
    <w:rPr>
      <w:rFonts w:ascii="Times New Roman" w:hAnsi="Times New Roman" w:eastAsia="宋体" w:cs="Times New Roman"/>
      <w:kern w:val="2"/>
      <w:sz w:val="21"/>
      <w:szCs w:val="24"/>
      <w:lang w:val="en-US" w:eastAsia="zh-CN" w:bidi="ar-SA"/>
    </w:rPr>
  </w:style>
  <w:style w:type="paragraph" w:customStyle="1" w:styleId="1177">
    <w:name w:val="修订15"/>
    <w:hidden/>
    <w:semiHidden/>
    <w:qFormat/>
    <w:uiPriority w:val="99"/>
    <w:rPr>
      <w:rFonts w:ascii="Times New Roman" w:hAnsi="Times New Roman" w:eastAsia="宋体" w:cs="Times New Roman"/>
      <w:kern w:val="2"/>
      <w:sz w:val="21"/>
      <w:szCs w:val="24"/>
      <w:lang w:val="en-US" w:eastAsia="zh-CN" w:bidi="ar-SA"/>
    </w:rPr>
  </w:style>
  <w:style w:type="character" w:customStyle="1" w:styleId="1178">
    <w:name w:val="未处理的提及15"/>
    <w:basedOn w:val="95"/>
    <w:semiHidden/>
    <w:unhideWhenUsed/>
    <w:qFormat/>
    <w:uiPriority w:val="99"/>
    <w:rPr>
      <w:color w:val="605E5C"/>
      <w:shd w:val="clear" w:color="auto" w:fill="E1DFDD"/>
    </w:rPr>
  </w:style>
  <w:style w:type="character" w:customStyle="1" w:styleId="1179">
    <w:name w:val="font101"/>
    <w:basedOn w:val="95"/>
    <w:qFormat/>
    <w:uiPriority w:val="0"/>
    <w:rPr>
      <w:rFonts w:hint="default" w:ascii="Calibri" w:hAnsi="Calibri" w:cs="Calibri"/>
      <w:color w:val="000000"/>
      <w:sz w:val="20"/>
      <w:szCs w:val="20"/>
      <w:u w:val="none"/>
    </w:rPr>
  </w:style>
  <w:style w:type="character" w:customStyle="1" w:styleId="1180">
    <w:name w:val="font112"/>
    <w:basedOn w:val="95"/>
    <w:qFormat/>
    <w:uiPriority w:val="0"/>
    <w:rPr>
      <w:rFonts w:hint="eastAsia" w:ascii="宋体" w:hAnsi="宋体" w:eastAsia="宋体" w:cs="宋体"/>
      <w:color w:val="000000"/>
      <w:sz w:val="20"/>
      <w:szCs w:val="20"/>
      <w:u w:val="none"/>
      <w:vertAlign w:val="superscript"/>
    </w:rPr>
  </w:style>
  <w:style w:type="paragraph" w:styleId="1181">
    <w:name w:val="List Paragraph"/>
    <w:basedOn w:val="1"/>
    <w:qFormat/>
    <w:uiPriority w:val="99"/>
    <w:pPr>
      <w:ind w:firstLine="420" w:firstLineChars="200"/>
    </w:pPr>
  </w:style>
  <w:style w:type="character" w:customStyle="1" w:styleId="1182">
    <w:name w:val="未处理的提及16"/>
    <w:basedOn w:val="95"/>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header" Target="header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10.xml"/><Relationship Id="rId15" Type="http://schemas.openxmlformats.org/officeDocument/2006/relationships/footer" Target="footer9.xml"/><Relationship Id="rId14" Type="http://schemas.openxmlformats.org/officeDocument/2006/relationships/footer" Target="footer8.xml"/><Relationship Id="rId13" Type="http://schemas.openxmlformats.org/officeDocument/2006/relationships/header" Target="header4.xml"/><Relationship Id="rId12" Type="http://schemas.openxmlformats.org/officeDocument/2006/relationships/header" Target="header3.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104</Pages>
  <Words>50620</Words>
  <Characters>57495</Characters>
  <Lines>474</Lines>
  <Paragraphs>133</Paragraphs>
  <TotalTime>1</TotalTime>
  <ScaleCrop>false</ScaleCrop>
  <LinksUpToDate>false</LinksUpToDate>
  <CharactersWithSpaces>63388</CharactersWithSpaces>
  <Application>WPS Office_11.1.0.13020_F1E327BC-269C-435d-A152-05C5408002CA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2022-02-20T10:19:00Z</dcterms:created>
  <dc:creator>kanT</dc:creator>
  <cp:lastModifiedBy>金佳霖</cp:lastModifiedBy>
  <cp:lastPrinted>2022-08-31T12:39:00Z</cp:lastPrinted>
  <dcterms:modified xsi:type="dcterms:W3CDTF">2023-03-13T08:45:11Z</dcterms:modified>
  <dc:title>2022年余杭区国省道及部分新建道路养护项目</dc:title>
  <cp:revision>155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2052-11.1.0.13020</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7BDB9F1481E2479FBD4607A84D0EEFC8</vt:lpwstr>
  </property>
</Properties>
</file>