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仿宋" w:hAnsi="仿宋" w:eastAsia="仿宋" w:cs="仿宋_GB2312"/>
          <w:b/>
          <w:color w:val="auto"/>
          <w:sz w:val="24"/>
          <w:highlight w:val="none"/>
        </w:rPr>
      </w:pPr>
    </w:p>
    <w:p>
      <w:pPr>
        <w:snapToGrid w:val="0"/>
        <w:spacing w:line="360" w:lineRule="auto"/>
        <w:rPr>
          <w:rFonts w:ascii="仿宋" w:hAnsi="仿宋" w:eastAsia="仿宋" w:cs="仿宋_GB2312"/>
          <w:b/>
          <w:color w:val="auto"/>
          <w:sz w:val="48"/>
          <w:szCs w:val="48"/>
          <w:highlight w:val="none"/>
        </w:rPr>
      </w:pPr>
    </w:p>
    <w:p>
      <w:pPr>
        <w:shd w:val="clear" w:color="auto" w:fill="FFFFFF"/>
        <w:tabs>
          <w:tab w:val="left" w:pos="4500"/>
        </w:tabs>
        <w:snapToGrid w:val="0"/>
        <w:spacing w:line="360" w:lineRule="auto"/>
        <w:jc w:val="center"/>
        <w:textAlignment w:val="bottom"/>
        <w:rPr>
          <w:rFonts w:ascii="仿宋" w:hAnsi="仿宋" w:eastAsia="仿宋" w:cs="宋体"/>
          <w:b/>
          <w:bCs/>
          <w:color w:val="auto"/>
          <w:spacing w:val="6"/>
          <w:sz w:val="48"/>
          <w:szCs w:val="48"/>
          <w:highlight w:val="none"/>
        </w:rPr>
      </w:pPr>
      <w:bookmarkStart w:id="0" w:name="_Hlk94030499"/>
      <w:r>
        <w:rPr>
          <w:rFonts w:hint="eastAsia" w:ascii="仿宋" w:hAnsi="仿宋" w:eastAsia="仿宋" w:cs="宋体"/>
          <w:b/>
          <w:bCs/>
          <w:color w:val="auto"/>
          <w:spacing w:val="6"/>
          <w:sz w:val="48"/>
          <w:szCs w:val="48"/>
          <w:highlight w:val="none"/>
        </w:rPr>
        <w:t>“俞樾纪念馆”陈列布展服务项目</w:t>
      </w:r>
      <w:bookmarkEnd w:id="0"/>
    </w:p>
    <w:p>
      <w:pPr>
        <w:shd w:val="clear" w:color="auto" w:fill="FFFFFF"/>
        <w:tabs>
          <w:tab w:val="left" w:pos="4500"/>
        </w:tabs>
        <w:snapToGrid w:val="0"/>
        <w:spacing w:line="360" w:lineRule="auto"/>
        <w:jc w:val="center"/>
        <w:textAlignment w:val="bottom"/>
        <w:rPr>
          <w:rFonts w:ascii="仿宋" w:hAnsi="仿宋" w:eastAsia="仿宋" w:cs="宋体"/>
          <w:b/>
          <w:bCs/>
          <w:color w:val="auto"/>
          <w:sz w:val="52"/>
          <w:szCs w:val="52"/>
          <w:highlight w:val="none"/>
        </w:rPr>
      </w:pPr>
    </w:p>
    <w:p>
      <w:pPr>
        <w:shd w:val="clear" w:color="auto" w:fill="FFFFFF"/>
        <w:tabs>
          <w:tab w:val="left" w:pos="4500"/>
        </w:tabs>
        <w:snapToGrid w:val="0"/>
        <w:spacing w:line="360" w:lineRule="auto"/>
        <w:jc w:val="center"/>
        <w:textAlignment w:val="bottom"/>
        <w:rPr>
          <w:rFonts w:ascii="仿宋" w:hAnsi="仿宋" w:eastAsia="仿宋" w:cs="宋体"/>
          <w:b/>
          <w:bCs/>
          <w:color w:val="auto"/>
          <w:sz w:val="72"/>
          <w:szCs w:val="72"/>
          <w:highlight w:val="none"/>
        </w:rPr>
      </w:pPr>
      <w:r>
        <w:rPr>
          <w:rFonts w:hint="eastAsia" w:ascii="仿宋" w:hAnsi="仿宋" w:eastAsia="仿宋" w:cs="宋体"/>
          <w:b/>
          <w:bCs/>
          <w:color w:val="auto"/>
          <w:sz w:val="72"/>
          <w:szCs w:val="72"/>
          <w:highlight w:val="none"/>
        </w:rPr>
        <w:t>公开招标文件</w:t>
      </w:r>
    </w:p>
    <w:p>
      <w:pPr>
        <w:widowControl/>
        <w:snapToGrid w:val="0"/>
        <w:spacing w:line="360" w:lineRule="auto"/>
        <w:jc w:val="center"/>
        <w:rPr>
          <w:rFonts w:ascii="仿宋" w:hAnsi="仿宋" w:eastAsia="仿宋" w:cs="宋体"/>
          <w:color w:val="auto"/>
          <w:highlight w:val="none"/>
        </w:rPr>
      </w:pPr>
      <w:r>
        <w:rPr>
          <w:rFonts w:hint="eastAsia" w:ascii="仿宋" w:hAnsi="仿宋" w:eastAsia="仿宋" w:cs="宋体"/>
          <w:b/>
          <w:color w:val="auto"/>
          <w:sz w:val="36"/>
          <w:highlight w:val="none"/>
        </w:rPr>
        <w:t>（电子化招投标）</w:t>
      </w:r>
    </w:p>
    <w:p>
      <w:pPr>
        <w:widowControl/>
        <w:snapToGrid w:val="0"/>
        <w:spacing w:line="360" w:lineRule="auto"/>
        <w:jc w:val="center"/>
        <w:rPr>
          <w:rFonts w:ascii="仿宋" w:hAnsi="仿宋" w:eastAsia="仿宋" w:cs="宋体"/>
          <w:color w:val="auto"/>
          <w:kern w:val="0"/>
          <w:sz w:val="24"/>
          <w:highlight w:val="none"/>
        </w:rPr>
      </w:pPr>
    </w:p>
    <w:p>
      <w:pPr>
        <w:pStyle w:val="36"/>
        <w:rPr>
          <w:color w:val="auto"/>
          <w:highlight w:val="none"/>
        </w:rPr>
      </w:pPr>
    </w:p>
    <w:p>
      <w:pPr>
        <w:shd w:val="clear" w:color="auto" w:fill="FFFFFF"/>
        <w:snapToGrid w:val="0"/>
        <w:spacing w:line="360" w:lineRule="auto"/>
        <w:rPr>
          <w:rFonts w:ascii="仿宋" w:hAnsi="仿宋" w:eastAsia="仿宋" w:cs="宋体"/>
          <w:b/>
          <w:color w:val="auto"/>
          <w:sz w:val="36"/>
          <w:highlight w:val="none"/>
        </w:rPr>
      </w:pPr>
    </w:p>
    <w:p>
      <w:pPr>
        <w:shd w:val="clear" w:color="auto" w:fill="FFFFFF"/>
        <w:snapToGrid w:val="0"/>
        <w:spacing w:line="360" w:lineRule="auto"/>
        <w:jc w:val="center"/>
        <w:rPr>
          <w:rFonts w:ascii="仿宋" w:hAnsi="仿宋" w:eastAsia="仿宋" w:cs="宋体"/>
          <w:b/>
          <w:bCs/>
          <w:color w:val="auto"/>
          <w:sz w:val="36"/>
          <w:szCs w:val="36"/>
          <w:highlight w:val="none"/>
        </w:rPr>
      </w:pPr>
      <w:r>
        <w:rPr>
          <w:rFonts w:hint="eastAsia" w:ascii="仿宋" w:hAnsi="仿宋" w:eastAsia="仿宋" w:cs="宋体"/>
          <w:b/>
          <w:bCs/>
          <w:color w:val="auto"/>
          <w:sz w:val="36"/>
          <w:szCs w:val="36"/>
          <w:highlight w:val="none"/>
        </w:rPr>
        <w:t>招标编号：HZZR-F221201N</w:t>
      </w:r>
    </w:p>
    <w:p>
      <w:pPr>
        <w:shd w:val="clear" w:color="auto" w:fill="FFFFFF"/>
        <w:snapToGrid w:val="0"/>
        <w:spacing w:line="360" w:lineRule="auto"/>
        <w:textAlignment w:val="bottom"/>
        <w:rPr>
          <w:rFonts w:ascii="仿宋" w:hAnsi="仿宋" w:eastAsia="仿宋" w:cs="宋体"/>
          <w:b/>
          <w:bCs/>
          <w:color w:val="auto"/>
          <w:sz w:val="48"/>
          <w:szCs w:val="48"/>
          <w:highlight w:val="none"/>
        </w:rPr>
      </w:pPr>
      <w:r>
        <w:rPr>
          <w:rFonts w:ascii="仿宋" w:hAnsi="仿宋" w:eastAsia="仿宋"/>
          <w:color w:val="auto"/>
          <w:highlight w:val="none"/>
        </w:rPr>
        <mc:AlternateContent>
          <mc:Choice Requires="wps">
            <w:drawing>
              <wp:anchor distT="0" distB="0" distL="114300" distR="114300" simplePos="0" relativeHeight="251666432" behindDoc="0" locked="0" layoutInCell="0" allowOverlap="1">
                <wp:simplePos x="0" y="0"/>
                <wp:positionH relativeFrom="column">
                  <wp:posOffset>4191000</wp:posOffset>
                </wp:positionH>
                <wp:positionV relativeFrom="paragraph">
                  <wp:posOffset>72390</wp:posOffset>
                </wp:positionV>
                <wp:extent cx="635"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30pt;margin-top:5.7pt;height:0.05pt;width:0.05pt;mso-wrap-distance-bottom:0pt;mso-wrap-distance-left:9pt;mso-wrap-distance-right:9pt;mso-wrap-distance-top:0pt;z-index:251666432;mso-width-relative:page;mso-height-relative:page;" filled="f" stroked="t" coordsize="21600,21600" o:allowincell="f" o:gfxdata="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8jy61QAA&#10;AAkBAAAPAAAAAAAAAAEAIAAAACIAAABkcnMvZG93bnJldi54bWxQSwECFAAUAAAACACHTuJAWgbv&#10;AOgBAADWAwAADgAAAAAAAAABACAAAAAkAQAAZHJzL2Uyb0RvYy54bWxQSwUGAAAAAAYABgBZAQAA&#10;fgUAAAAA&#10;">
                <v:fill on="f" focussize="0,0"/>
                <v:stroke color="#000000" joinstyle="round"/>
                <v:imagedata o:title=""/>
                <o:lock v:ext="edit" aspectratio="f"/>
                <w10:wrap type="square"/>
              </v:line>
            </w:pict>
          </mc:Fallback>
        </mc:AlternateContent>
      </w:r>
    </w:p>
    <w:p>
      <w:pPr>
        <w:shd w:val="clear" w:color="auto" w:fill="FFFFFF"/>
        <w:snapToGrid w:val="0"/>
        <w:spacing w:line="360" w:lineRule="auto"/>
        <w:ind w:firstLine="1419" w:firstLineChars="471"/>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招标人：</w:t>
      </w:r>
      <w:r>
        <w:rPr>
          <w:rFonts w:ascii="仿宋" w:hAnsi="仿宋" w:eastAsia="仿宋" w:cs="宋体"/>
          <w:b/>
          <w:bCs/>
          <w:color w:val="auto"/>
          <w:sz w:val="30"/>
          <w:szCs w:val="30"/>
          <w:highlight w:val="none"/>
        </w:rPr>
        <w:t xml:space="preserve"> </w:t>
      </w:r>
      <w:r>
        <w:rPr>
          <w:rFonts w:hint="eastAsia" w:ascii="仿宋" w:hAnsi="仿宋" w:eastAsia="仿宋" w:cs="宋体"/>
          <w:b/>
          <w:bCs/>
          <w:color w:val="auto"/>
          <w:spacing w:val="-24"/>
          <w:sz w:val="30"/>
          <w:szCs w:val="30"/>
          <w:highlight w:val="none"/>
        </w:rPr>
        <w:t xml:space="preserve">杭州市临平区人民政府临平街道办事处 </w:t>
      </w:r>
    </w:p>
    <w:p>
      <w:pPr>
        <w:shd w:val="clear" w:color="auto" w:fill="FFFFFF"/>
        <w:snapToGrid w:val="0"/>
        <w:spacing w:line="360" w:lineRule="auto"/>
        <w:ind w:firstLine="426"/>
        <w:jc w:val="center"/>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招标代理机构：杭州中瑞招标代理有限公司</w:t>
      </w:r>
    </w:p>
    <w:p>
      <w:pPr>
        <w:shd w:val="clear" w:color="auto" w:fill="FFFFFF"/>
        <w:snapToGrid w:val="0"/>
        <w:spacing w:line="360" w:lineRule="auto"/>
        <w:ind w:firstLine="426"/>
        <w:jc w:val="center"/>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二O二三年三月</w:t>
      </w:r>
    </w:p>
    <w:p>
      <w:pPr>
        <w:snapToGrid w:val="0"/>
        <w:spacing w:line="360" w:lineRule="auto"/>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br w:type="page"/>
      </w:r>
    </w:p>
    <w:p>
      <w:pPr>
        <w:spacing w:line="360" w:lineRule="auto"/>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目录</w:t>
      </w:r>
    </w:p>
    <w:p>
      <w:pPr>
        <w:pStyle w:val="60"/>
        <w:tabs>
          <w:tab w:val="right" w:leader="dot" w:pos="8306"/>
        </w:tabs>
        <w:spacing w:line="360" w:lineRule="auto"/>
        <w:rPr>
          <w:rFonts w:ascii="仿宋" w:hAnsi="仿宋" w:eastAsia="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TOC \o "1-3" \h \u </w:instrText>
      </w:r>
      <w:r>
        <w:rPr>
          <w:rFonts w:hint="eastAsia" w:ascii="仿宋" w:hAnsi="仿宋" w:eastAsia="仿宋" w:cs="仿宋"/>
          <w:b/>
          <w:bCs/>
          <w:color w:val="auto"/>
          <w:sz w:val="24"/>
          <w:highlight w:val="none"/>
        </w:rPr>
        <w:fldChar w:fldCharType="separate"/>
      </w:r>
      <w:r>
        <w:rPr>
          <w:color w:val="auto"/>
          <w:highlight w:val="none"/>
        </w:rPr>
        <w:fldChar w:fldCharType="begin"/>
      </w:r>
      <w:r>
        <w:rPr>
          <w:color w:val="auto"/>
          <w:highlight w:val="none"/>
        </w:rPr>
        <w:instrText xml:space="preserve"> HYPERLINK \l "_Toc24913" </w:instrText>
      </w:r>
      <w:r>
        <w:rPr>
          <w:color w:val="auto"/>
          <w:highlight w:val="none"/>
        </w:rPr>
        <w:fldChar w:fldCharType="separate"/>
      </w:r>
      <w:r>
        <w:rPr>
          <w:rFonts w:hint="eastAsia" w:ascii="仿宋" w:hAnsi="仿宋" w:eastAsia="仿宋"/>
          <w:b/>
          <w:bCs/>
          <w:color w:val="auto"/>
          <w:sz w:val="24"/>
          <w:highlight w:val="none"/>
        </w:rPr>
        <w:t>第一部分</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招标公告</w:t>
      </w:r>
      <w:r>
        <w:rPr>
          <w:rFonts w:ascii="仿宋" w:hAnsi="仿宋" w:eastAsia="仿宋"/>
          <w:b/>
          <w:bCs/>
          <w:color w:val="auto"/>
          <w:sz w:val="24"/>
          <w:highlight w:val="none"/>
        </w:rPr>
        <w:tab/>
      </w:r>
      <w:r>
        <w:rPr>
          <w:rFonts w:ascii="仿宋" w:hAnsi="仿宋" w:eastAsia="仿宋"/>
          <w:b/>
          <w:bCs/>
          <w:color w:val="auto"/>
          <w:sz w:val="24"/>
          <w:highlight w:val="none"/>
        </w:rPr>
        <w:fldChar w:fldCharType="begin"/>
      </w:r>
      <w:r>
        <w:rPr>
          <w:rFonts w:ascii="仿宋" w:hAnsi="仿宋" w:eastAsia="仿宋"/>
          <w:b/>
          <w:bCs/>
          <w:color w:val="auto"/>
          <w:sz w:val="24"/>
          <w:highlight w:val="none"/>
        </w:rPr>
        <w:instrText xml:space="preserve"> PAGEREF _Toc24913 \h </w:instrText>
      </w:r>
      <w:r>
        <w:rPr>
          <w:rFonts w:ascii="仿宋" w:hAnsi="仿宋" w:eastAsia="仿宋"/>
          <w:b/>
          <w:bCs/>
          <w:color w:val="auto"/>
          <w:sz w:val="24"/>
          <w:highlight w:val="none"/>
        </w:rPr>
        <w:fldChar w:fldCharType="separate"/>
      </w:r>
      <w:r>
        <w:rPr>
          <w:rFonts w:ascii="仿宋" w:hAnsi="仿宋" w:eastAsia="仿宋"/>
          <w:b/>
          <w:bCs/>
          <w:color w:val="auto"/>
          <w:sz w:val="24"/>
          <w:highlight w:val="none"/>
        </w:rPr>
        <w:t>3</w:t>
      </w:r>
      <w:r>
        <w:rPr>
          <w:rFonts w:ascii="仿宋" w:hAnsi="仿宋" w:eastAsia="仿宋"/>
          <w:b/>
          <w:bCs/>
          <w:color w:val="auto"/>
          <w:sz w:val="24"/>
          <w:highlight w:val="none"/>
        </w:rPr>
        <w:fldChar w:fldCharType="end"/>
      </w:r>
      <w:r>
        <w:rPr>
          <w:rFonts w:ascii="仿宋" w:hAnsi="仿宋" w:eastAsia="仿宋"/>
          <w:b/>
          <w:bCs/>
          <w:color w:val="auto"/>
          <w:sz w:val="24"/>
          <w:highlight w:val="none"/>
        </w:rPr>
        <w:fldChar w:fldCharType="end"/>
      </w:r>
    </w:p>
    <w:p>
      <w:pPr>
        <w:pStyle w:val="60"/>
        <w:tabs>
          <w:tab w:val="right" w:leader="dot" w:pos="8306"/>
        </w:tabs>
        <w:spacing w:line="360" w:lineRule="auto"/>
        <w:rPr>
          <w:rFonts w:ascii="仿宋" w:hAnsi="仿宋" w:eastAsia="仿宋"/>
          <w:b/>
          <w:bCs/>
          <w:color w:val="auto"/>
          <w:sz w:val="24"/>
          <w:highlight w:val="none"/>
        </w:rPr>
      </w:pPr>
      <w:r>
        <w:rPr>
          <w:color w:val="auto"/>
          <w:highlight w:val="none"/>
        </w:rPr>
        <w:fldChar w:fldCharType="begin"/>
      </w:r>
      <w:r>
        <w:rPr>
          <w:color w:val="auto"/>
          <w:highlight w:val="none"/>
        </w:rPr>
        <w:instrText xml:space="preserve"> HYPERLINK \l "_Toc12764" </w:instrText>
      </w:r>
      <w:r>
        <w:rPr>
          <w:color w:val="auto"/>
          <w:highlight w:val="none"/>
        </w:rPr>
        <w:fldChar w:fldCharType="separate"/>
      </w:r>
      <w:r>
        <w:rPr>
          <w:rFonts w:hint="eastAsia" w:ascii="仿宋" w:hAnsi="仿宋" w:eastAsia="仿宋"/>
          <w:b/>
          <w:bCs/>
          <w:color w:val="auto"/>
          <w:sz w:val="24"/>
          <w:highlight w:val="none"/>
        </w:rPr>
        <w:t>第二部分</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投标人</w:t>
      </w:r>
      <w:r>
        <w:rPr>
          <w:rFonts w:ascii="仿宋" w:hAnsi="仿宋" w:eastAsia="仿宋"/>
          <w:b/>
          <w:bCs/>
          <w:color w:val="auto"/>
          <w:sz w:val="24"/>
          <w:highlight w:val="none"/>
        </w:rPr>
        <w:t>须知</w:t>
      </w:r>
      <w:r>
        <w:rPr>
          <w:rFonts w:ascii="仿宋" w:hAnsi="仿宋" w:eastAsia="仿宋"/>
          <w:b/>
          <w:bCs/>
          <w:color w:val="auto"/>
          <w:sz w:val="24"/>
          <w:highlight w:val="none"/>
        </w:rPr>
        <w:tab/>
      </w:r>
      <w:r>
        <w:rPr>
          <w:rFonts w:ascii="仿宋" w:hAnsi="仿宋" w:eastAsia="仿宋"/>
          <w:b/>
          <w:bCs/>
          <w:color w:val="auto"/>
          <w:sz w:val="24"/>
          <w:highlight w:val="none"/>
        </w:rPr>
        <w:fldChar w:fldCharType="begin"/>
      </w:r>
      <w:r>
        <w:rPr>
          <w:rFonts w:ascii="仿宋" w:hAnsi="仿宋" w:eastAsia="仿宋"/>
          <w:b/>
          <w:bCs/>
          <w:color w:val="auto"/>
          <w:sz w:val="24"/>
          <w:highlight w:val="none"/>
        </w:rPr>
        <w:instrText xml:space="preserve"> PAGEREF _Toc12764 \h </w:instrText>
      </w:r>
      <w:r>
        <w:rPr>
          <w:rFonts w:ascii="仿宋" w:hAnsi="仿宋" w:eastAsia="仿宋"/>
          <w:b/>
          <w:bCs/>
          <w:color w:val="auto"/>
          <w:sz w:val="24"/>
          <w:highlight w:val="none"/>
        </w:rPr>
        <w:fldChar w:fldCharType="separate"/>
      </w:r>
      <w:r>
        <w:rPr>
          <w:rFonts w:ascii="仿宋" w:hAnsi="仿宋" w:eastAsia="仿宋"/>
          <w:b/>
          <w:bCs/>
          <w:color w:val="auto"/>
          <w:sz w:val="24"/>
          <w:highlight w:val="none"/>
        </w:rPr>
        <w:t>8</w:t>
      </w:r>
      <w:r>
        <w:rPr>
          <w:rFonts w:ascii="仿宋" w:hAnsi="仿宋" w:eastAsia="仿宋"/>
          <w:b/>
          <w:bCs/>
          <w:color w:val="auto"/>
          <w:sz w:val="24"/>
          <w:highlight w:val="none"/>
        </w:rPr>
        <w:fldChar w:fldCharType="end"/>
      </w:r>
      <w:r>
        <w:rPr>
          <w:rFonts w:ascii="仿宋" w:hAnsi="仿宋" w:eastAsia="仿宋"/>
          <w:b/>
          <w:bCs/>
          <w:color w:val="auto"/>
          <w:sz w:val="24"/>
          <w:highlight w:val="none"/>
        </w:rPr>
        <w:fldChar w:fldCharType="end"/>
      </w:r>
    </w:p>
    <w:p>
      <w:pPr>
        <w:pStyle w:val="60"/>
        <w:tabs>
          <w:tab w:val="right" w:leader="dot" w:pos="8306"/>
        </w:tabs>
        <w:spacing w:line="360" w:lineRule="auto"/>
        <w:rPr>
          <w:rFonts w:ascii="仿宋" w:hAnsi="仿宋" w:eastAsia="仿宋"/>
          <w:b/>
          <w:bCs/>
          <w:color w:val="auto"/>
          <w:sz w:val="24"/>
          <w:highlight w:val="none"/>
        </w:rPr>
      </w:pPr>
      <w:r>
        <w:rPr>
          <w:color w:val="auto"/>
          <w:highlight w:val="none"/>
        </w:rPr>
        <w:fldChar w:fldCharType="begin"/>
      </w:r>
      <w:r>
        <w:rPr>
          <w:color w:val="auto"/>
          <w:highlight w:val="none"/>
        </w:rPr>
        <w:instrText xml:space="preserve"> HYPERLINK \l "_Toc24825" </w:instrText>
      </w:r>
      <w:r>
        <w:rPr>
          <w:color w:val="auto"/>
          <w:highlight w:val="none"/>
        </w:rPr>
        <w:fldChar w:fldCharType="separate"/>
      </w:r>
      <w:r>
        <w:rPr>
          <w:rFonts w:hint="eastAsia" w:ascii="仿宋" w:hAnsi="仿宋" w:eastAsia="仿宋"/>
          <w:b/>
          <w:bCs/>
          <w:color w:val="auto"/>
          <w:sz w:val="24"/>
          <w:highlight w:val="none"/>
        </w:rPr>
        <w:t>第三部分</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采购需求</w:t>
      </w:r>
      <w:r>
        <w:rPr>
          <w:rFonts w:ascii="仿宋" w:hAnsi="仿宋" w:eastAsia="仿宋"/>
          <w:b/>
          <w:bCs/>
          <w:color w:val="auto"/>
          <w:sz w:val="24"/>
          <w:highlight w:val="none"/>
        </w:rPr>
        <w:tab/>
      </w:r>
      <w:r>
        <w:rPr>
          <w:rFonts w:ascii="仿宋" w:hAnsi="仿宋" w:eastAsia="仿宋"/>
          <w:b/>
          <w:bCs/>
          <w:color w:val="auto"/>
          <w:sz w:val="24"/>
          <w:highlight w:val="none"/>
        </w:rPr>
        <w:fldChar w:fldCharType="begin"/>
      </w:r>
      <w:r>
        <w:rPr>
          <w:rFonts w:ascii="仿宋" w:hAnsi="仿宋" w:eastAsia="仿宋"/>
          <w:b/>
          <w:bCs/>
          <w:color w:val="auto"/>
          <w:sz w:val="24"/>
          <w:highlight w:val="none"/>
        </w:rPr>
        <w:instrText xml:space="preserve"> PAGEREF _Toc24825 \h </w:instrText>
      </w:r>
      <w:r>
        <w:rPr>
          <w:rFonts w:ascii="仿宋" w:hAnsi="仿宋" w:eastAsia="仿宋"/>
          <w:b/>
          <w:bCs/>
          <w:color w:val="auto"/>
          <w:sz w:val="24"/>
          <w:highlight w:val="none"/>
        </w:rPr>
        <w:fldChar w:fldCharType="separate"/>
      </w:r>
      <w:r>
        <w:rPr>
          <w:rFonts w:ascii="仿宋" w:hAnsi="仿宋" w:eastAsia="仿宋"/>
          <w:b/>
          <w:bCs/>
          <w:color w:val="auto"/>
          <w:sz w:val="24"/>
          <w:highlight w:val="none"/>
        </w:rPr>
        <w:t>24</w:t>
      </w:r>
      <w:r>
        <w:rPr>
          <w:rFonts w:ascii="仿宋" w:hAnsi="仿宋" w:eastAsia="仿宋"/>
          <w:b/>
          <w:bCs/>
          <w:color w:val="auto"/>
          <w:sz w:val="24"/>
          <w:highlight w:val="none"/>
        </w:rPr>
        <w:fldChar w:fldCharType="end"/>
      </w:r>
      <w:r>
        <w:rPr>
          <w:rFonts w:ascii="仿宋" w:hAnsi="仿宋" w:eastAsia="仿宋"/>
          <w:b/>
          <w:bCs/>
          <w:color w:val="auto"/>
          <w:sz w:val="24"/>
          <w:highlight w:val="none"/>
        </w:rPr>
        <w:fldChar w:fldCharType="end"/>
      </w:r>
    </w:p>
    <w:p>
      <w:pPr>
        <w:pStyle w:val="60"/>
        <w:tabs>
          <w:tab w:val="right" w:leader="dot" w:pos="8306"/>
        </w:tabs>
        <w:spacing w:line="360" w:lineRule="auto"/>
        <w:rPr>
          <w:rFonts w:ascii="仿宋" w:hAnsi="仿宋" w:eastAsia="仿宋"/>
          <w:b/>
          <w:bCs/>
          <w:color w:val="auto"/>
          <w:sz w:val="24"/>
          <w:highlight w:val="none"/>
        </w:rPr>
      </w:pPr>
      <w:r>
        <w:rPr>
          <w:color w:val="auto"/>
          <w:highlight w:val="none"/>
        </w:rPr>
        <w:fldChar w:fldCharType="begin"/>
      </w:r>
      <w:r>
        <w:rPr>
          <w:color w:val="auto"/>
          <w:highlight w:val="none"/>
        </w:rPr>
        <w:instrText xml:space="preserve"> HYPERLINK \l "_Toc24273" </w:instrText>
      </w:r>
      <w:r>
        <w:rPr>
          <w:color w:val="auto"/>
          <w:highlight w:val="none"/>
        </w:rPr>
        <w:fldChar w:fldCharType="separate"/>
      </w:r>
      <w:r>
        <w:rPr>
          <w:rFonts w:hint="eastAsia" w:ascii="仿宋" w:hAnsi="仿宋" w:eastAsia="仿宋" w:cs="宋体"/>
          <w:b/>
          <w:bCs/>
          <w:color w:val="auto"/>
          <w:sz w:val="24"/>
          <w:highlight w:val="none"/>
        </w:rPr>
        <w:t>第四部分 评标办法</w:t>
      </w:r>
      <w:r>
        <w:rPr>
          <w:rFonts w:ascii="仿宋" w:hAnsi="仿宋" w:eastAsia="仿宋"/>
          <w:b/>
          <w:bCs/>
          <w:color w:val="auto"/>
          <w:sz w:val="24"/>
          <w:highlight w:val="none"/>
        </w:rPr>
        <w:tab/>
      </w:r>
      <w:r>
        <w:rPr>
          <w:rFonts w:ascii="仿宋" w:hAnsi="仿宋" w:eastAsia="仿宋"/>
          <w:b/>
          <w:bCs/>
          <w:color w:val="auto"/>
          <w:sz w:val="24"/>
          <w:highlight w:val="none"/>
        </w:rPr>
        <w:fldChar w:fldCharType="begin"/>
      </w:r>
      <w:r>
        <w:rPr>
          <w:rFonts w:ascii="仿宋" w:hAnsi="仿宋" w:eastAsia="仿宋"/>
          <w:b/>
          <w:bCs/>
          <w:color w:val="auto"/>
          <w:sz w:val="24"/>
          <w:highlight w:val="none"/>
        </w:rPr>
        <w:instrText xml:space="preserve"> PAGEREF _Toc24273 \h </w:instrText>
      </w:r>
      <w:r>
        <w:rPr>
          <w:rFonts w:ascii="仿宋" w:hAnsi="仿宋" w:eastAsia="仿宋"/>
          <w:b/>
          <w:bCs/>
          <w:color w:val="auto"/>
          <w:sz w:val="24"/>
          <w:highlight w:val="none"/>
        </w:rPr>
        <w:fldChar w:fldCharType="separate"/>
      </w:r>
      <w:r>
        <w:rPr>
          <w:rFonts w:ascii="仿宋" w:hAnsi="仿宋" w:eastAsia="仿宋"/>
          <w:b/>
          <w:bCs/>
          <w:color w:val="auto"/>
          <w:sz w:val="24"/>
          <w:highlight w:val="none"/>
        </w:rPr>
        <w:t>51</w:t>
      </w:r>
      <w:r>
        <w:rPr>
          <w:rFonts w:ascii="仿宋" w:hAnsi="仿宋" w:eastAsia="仿宋"/>
          <w:b/>
          <w:bCs/>
          <w:color w:val="auto"/>
          <w:sz w:val="24"/>
          <w:highlight w:val="none"/>
        </w:rPr>
        <w:fldChar w:fldCharType="end"/>
      </w:r>
      <w:r>
        <w:rPr>
          <w:rFonts w:ascii="仿宋" w:hAnsi="仿宋" w:eastAsia="仿宋"/>
          <w:b/>
          <w:bCs/>
          <w:color w:val="auto"/>
          <w:sz w:val="24"/>
          <w:highlight w:val="none"/>
        </w:rPr>
        <w:fldChar w:fldCharType="end"/>
      </w:r>
    </w:p>
    <w:p>
      <w:pPr>
        <w:pStyle w:val="60"/>
        <w:tabs>
          <w:tab w:val="right" w:leader="dot" w:pos="8306"/>
        </w:tabs>
        <w:spacing w:line="360" w:lineRule="auto"/>
        <w:rPr>
          <w:rFonts w:ascii="仿宋" w:hAnsi="仿宋" w:eastAsia="仿宋"/>
          <w:b/>
          <w:bCs/>
          <w:color w:val="auto"/>
          <w:sz w:val="24"/>
          <w:highlight w:val="none"/>
        </w:rPr>
      </w:pPr>
      <w:r>
        <w:rPr>
          <w:color w:val="auto"/>
          <w:highlight w:val="none"/>
        </w:rPr>
        <w:fldChar w:fldCharType="begin"/>
      </w:r>
      <w:r>
        <w:rPr>
          <w:color w:val="auto"/>
          <w:highlight w:val="none"/>
        </w:rPr>
        <w:instrText xml:space="preserve"> HYPERLINK \l "_Toc16184" </w:instrText>
      </w:r>
      <w:r>
        <w:rPr>
          <w:color w:val="auto"/>
          <w:highlight w:val="none"/>
        </w:rPr>
        <w:fldChar w:fldCharType="separate"/>
      </w:r>
      <w:r>
        <w:rPr>
          <w:rFonts w:hint="eastAsia" w:ascii="仿宋" w:hAnsi="仿宋" w:eastAsia="仿宋"/>
          <w:b/>
          <w:bCs/>
          <w:color w:val="auto"/>
          <w:sz w:val="24"/>
          <w:highlight w:val="none"/>
        </w:rPr>
        <w:t>第五部分</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拟签订的合同文本</w:t>
      </w:r>
      <w:r>
        <w:rPr>
          <w:rFonts w:ascii="仿宋" w:hAnsi="仿宋" w:eastAsia="仿宋"/>
          <w:b/>
          <w:bCs/>
          <w:color w:val="auto"/>
          <w:sz w:val="24"/>
          <w:highlight w:val="none"/>
        </w:rPr>
        <w:tab/>
      </w:r>
      <w:r>
        <w:rPr>
          <w:rFonts w:ascii="仿宋" w:hAnsi="仿宋" w:eastAsia="仿宋"/>
          <w:b/>
          <w:bCs/>
          <w:color w:val="auto"/>
          <w:sz w:val="24"/>
          <w:highlight w:val="none"/>
        </w:rPr>
        <w:fldChar w:fldCharType="begin"/>
      </w:r>
      <w:r>
        <w:rPr>
          <w:rFonts w:ascii="仿宋" w:hAnsi="仿宋" w:eastAsia="仿宋"/>
          <w:b/>
          <w:bCs/>
          <w:color w:val="auto"/>
          <w:sz w:val="24"/>
          <w:highlight w:val="none"/>
        </w:rPr>
        <w:instrText xml:space="preserve"> PAGEREF _Toc16184 \h </w:instrText>
      </w:r>
      <w:r>
        <w:rPr>
          <w:rFonts w:ascii="仿宋" w:hAnsi="仿宋" w:eastAsia="仿宋"/>
          <w:b/>
          <w:bCs/>
          <w:color w:val="auto"/>
          <w:sz w:val="24"/>
          <w:highlight w:val="none"/>
        </w:rPr>
        <w:fldChar w:fldCharType="separate"/>
      </w:r>
      <w:r>
        <w:rPr>
          <w:rFonts w:ascii="仿宋" w:hAnsi="仿宋" w:eastAsia="仿宋"/>
          <w:b/>
          <w:bCs/>
          <w:color w:val="auto"/>
          <w:sz w:val="24"/>
          <w:highlight w:val="none"/>
        </w:rPr>
        <w:t>63</w:t>
      </w:r>
      <w:r>
        <w:rPr>
          <w:rFonts w:ascii="仿宋" w:hAnsi="仿宋" w:eastAsia="仿宋"/>
          <w:b/>
          <w:bCs/>
          <w:color w:val="auto"/>
          <w:sz w:val="24"/>
          <w:highlight w:val="none"/>
        </w:rPr>
        <w:fldChar w:fldCharType="end"/>
      </w:r>
      <w:r>
        <w:rPr>
          <w:rFonts w:ascii="仿宋" w:hAnsi="仿宋" w:eastAsia="仿宋"/>
          <w:b/>
          <w:bCs/>
          <w:color w:val="auto"/>
          <w:sz w:val="24"/>
          <w:highlight w:val="none"/>
        </w:rPr>
        <w:fldChar w:fldCharType="end"/>
      </w:r>
    </w:p>
    <w:p>
      <w:pPr>
        <w:pStyle w:val="60"/>
        <w:tabs>
          <w:tab w:val="right" w:leader="dot" w:pos="8306"/>
        </w:tabs>
        <w:spacing w:line="360" w:lineRule="auto"/>
        <w:rPr>
          <w:rFonts w:ascii="仿宋" w:hAnsi="仿宋" w:eastAsia="仿宋"/>
          <w:b/>
          <w:bCs/>
          <w:color w:val="auto"/>
          <w:sz w:val="24"/>
          <w:highlight w:val="none"/>
        </w:rPr>
      </w:pPr>
      <w:r>
        <w:rPr>
          <w:color w:val="auto"/>
          <w:highlight w:val="none"/>
        </w:rPr>
        <w:fldChar w:fldCharType="begin"/>
      </w:r>
      <w:r>
        <w:rPr>
          <w:color w:val="auto"/>
          <w:highlight w:val="none"/>
        </w:rPr>
        <w:instrText xml:space="preserve"> HYPERLINK \l "_Toc17409" </w:instrText>
      </w:r>
      <w:r>
        <w:rPr>
          <w:color w:val="auto"/>
          <w:highlight w:val="none"/>
        </w:rPr>
        <w:fldChar w:fldCharType="separate"/>
      </w:r>
      <w:r>
        <w:rPr>
          <w:rFonts w:hint="eastAsia" w:ascii="仿宋" w:hAnsi="仿宋" w:eastAsia="仿宋"/>
          <w:b/>
          <w:bCs/>
          <w:color w:val="auto"/>
          <w:sz w:val="24"/>
          <w:highlight w:val="none"/>
        </w:rPr>
        <w:t>第六部分</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应提交的有关格式范例</w:t>
      </w:r>
      <w:r>
        <w:rPr>
          <w:rFonts w:ascii="仿宋" w:hAnsi="仿宋" w:eastAsia="仿宋"/>
          <w:b/>
          <w:bCs/>
          <w:color w:val="auto"/>
          <w:sz w:val="24"/>
          <w:highlight w:val="none"/>
        </w:rPr>
        <w:tab/>
      </w:r>
      <w:r>
        <w:rPr>
          <w:rFonts w:ascii="仿宋" w:hAnsi="仿宋" w:eastAsia="仿宋"/>
          <w:b/>
          <w:bCs/>
          <w:color w:val="auto"/>
          <w:sz w:val="24"/>
          <w:highlight w:val="none"/>
        </w:rPr>
        <w:fldChar w:fldCharType="begin"/>
      </w:r>
      <w:r>
        <w:rPr>
          <w:rFonts w:ascii="仿宋" w:hAnsi="仿宋" w:eastAsia="仿宋"/>
          <w:b/>
          <w:bCs/>
          <w:color w:val="auto"/>
          <w:sz w:val="24"/>
          <w:highlight w:val="none"/>
        </w:rPr>
        <w:instrText xml:space="preserve"> PAGEREF _Toc17409 \h </w:instrText>
      </w:r>
      <w:r>
        <w:rPr>
          <w:rFonts w:ascii="仿宋" w:hAnsi="仿宋" w:eastAsia="仿宋"/>
          <w:b/>
          <w:bCs/>
          <w:color w:val="auto"/>
          <w:sz w:val="24"/>
          <w:highlight w:val="none"/>
        </w:rPr>
        <w:fldChar w:fldCharType="separate"/>
      </w:r>
      <w:r>
        <w:rPr>
          <w:rFonts w:ascii="仿宋" w:hAnsi="仿宋" w:eastAsia="仿宋"/>
          <w:b/>
          <w:bCs/>
          <w:color w:val="auto"/>
          <w:sz w:val="24"/>
          <w:highlight w:val="none"/>
        </w:rPr>
        <w:t>77</w:t>
      </w:r>
      <w:r>
        <w:rPr>
          <w:rFonts w:ascii="仿宋" w:hAnsi="仿宋" w:eastAsia="仿宋"/>
          <w:b/>
          <w:bCs/>
          <w:color w:val="auto"/>
          <w:sz w:val="24"/>
          <w:highlight w:val="none"/>
        </w:rPr>
        <w:fldChar w:fldCharType="end"/>
      </w:r>
      <w:r>
        <w:rPr>
          <w:rFonts w:ascii="仿宋" w:hAnsi="仿宋" w:eastAsia="仿宋"/>
          <w:b/>
          <w:bCs/>
          <w:color w:val="auto"/>
          <w:sz w:val="24"/>
          <w:highlight w:val="none"/>
        </w:rPr>
        <w:fldChar w:fldCharType="end"/>
      </w:r>
    </w:p>
    <w:p>
      <w:pPr>
        <w:pStyle w:val="36"/>
        <w:spacing w:line="360" w:lineRule="auto"/>
        <w:ind w:firstLine="0" w:firstLineChars="0"/>
        <w:rPr>
          <w:rFonts w:ascii="仿宋" w:hAnsi="仿宋" w:eastAsia="仿宋" w:cs="仿宋"/>
          <w:b/>
          <w:bCs/>
          <w:color w:val="auto"/>
          <w:highlight w:val="none"/>
        </w:rPr>
      </w:pPr>
      <w:r>
        <w:rPr>
          <w:rFonts w:hint="eastAsia" w:ascii="仿宋" w:hAnsi="仿宋" w:eastAsia="仿宋" w:cs="仿宋"/>
          <w:b/>
          <w:bCs/>
          <w:color w:val="auto"/>
          <w:highlight w:val="none"/>
        </w:rPr>
        <w:fldChar w:fldCharType="end"/>
      </w:r>
    </w:p>
    <w:p>
      <w:pPr>
        <w:pStyle w:val="5"/>
        <w:rPr>
          <w:rFonts w:ascii="仿宋" w:hAnsi="仿宋" w:eastAsia="仿宋" w:cs="仿宋"/>
          <w:color w:val="auto"/>
          <w:sz w:val="24"/>
          <w:szCs w:val="24"/>
          <w:highlight w:val="none"/>
        </w:rPr>
        <w:sectPr>
          <w:footerReference r:id="rId4" w:type="first"/>
          <w:footerReference r:id="rId3" w:type="default"/>
          <w:pgSz w:w="11906" w:h="16838"/>
          <w:pgMar w:top="1440" w:right="1800" w:bottom="1440" w:left="1800" w:header="851" w:footer="992" w:gutter="0"/>
          <w:pgNumType w:start="1"/>
          <w:cols w:space="720" w:num="1"/>
          <w:docGrid w:linePitch="312" w:charSpace="0"/>
        </w:sectPr>
      </w:pPr>
      <w:bookmarkStart w:id="1" w:name="_Toc829790387"/>
      <w:bookmarkStart w:id="2" w:name="_Toc24823"/>
      <w:bookmarkStart w:id="3" w:name="_Toc27876"/>
      <w:bookmarkStart w:id="4" w:name="_Toc12868"/>
      <w:bookmarkStart w:id="5" w:name="_Toc95312933"/>
      <w:bookmarkStart w:id="6" w:name="第二部分"/>
      <w:bookmarkStart w:id="7" w:name="_Toc91899870"/>
      <w:bookmarkStart w:id="8" w:name="_Toc91899871"/>
    </w:p>
    <w:p>
      <w:pPr>
        <w:pStyle w:val="4"/>
        <w:jc w:val="center"/>
        <w:rPr>
          <w:rFonts w:ascii="仿宋" w:hAnsi="仿宋" w:eastAsia="仿宋"/>
          <w:color w:val="auto"/>
          <w:highlight w:val="none"/>
        </w:rPr>
      </w:pPr>
      <w:bookmarkStart w:id="9" w:name="_Toc24913"/>
      <w:r>
        <w:rPr>
          <w:rFonts w:hint="eastAsia" w:ascii="仿宋" w:hAnsi="仿宋" w:eastAsia="仿宋"/>
          <w:color w:val="auto"/>
          <w:highlight w:val="none"/>
        </w:rPr>
        <w:t>第一部分</w:t>
      </w:r>
      <w:r>
        <w:rPr>
          <w:rFonts w:ascii="仿宋" w:hAnsi="仿宋" w:eastAsia="仿宋"/>
          <w:color w:val="auto"/>
          <w:highlight w:val="none"/>
        </w:rPr>
        <w:t xml:space="preserve"> </w:t>
      </w:r>
      <w:r>
        <w:rPr>
          <w:rFonts w:hint="eastAsia" w:ascii="仿宋" w:hAnsi="仿宋" w:eastAsia="仿宋"/>
          <w:color w:val="auto"/>
          <w:highlight w:val="none"/>
        </w:rPr>
        <w:t>招标公告</w:t>
      </w:r>
      <w:bookmarkEnd w:id="1"/>
      <w:bookmarkEnd w:id="2"/>
      <w:bookmarkEnd w:id="3"/>
      <w:bookmarkEnd w:id="4"/>
      <w:bookmarkEnd w:id="5"/>
      <w:bookmarkEnd w:id="9"/>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仿宋" w:hAnsi="仿宋" w:eastAsia="仿宋"/>
          <w:color w:val="auto"/>
          <w:sz w:val="24"/>
          <w:highlight w:val="none"/>
        </w:rPr>
      </w:pPr>
      <w:bookmarkStart w:id="10" w:name="_Hlk94195394"/>
      <w:r>
        <w:rPr>
          <w:rFonts w:hint="eastAsia" w:ascii="仿宋" w:hAnsi="仿宋" w:eastAsia="仿宋" w:cs="仿宋_GB2312"/>
          <w:color w:val="auto"/>
          <w:sz w:val="24"/>
          <w:highlight w:val="none"/>
        </w:rPr>
        <w:t>“俞樾纪念馆”陈列布展服务</w:t>
      </w:r>
      <w:r>
        <w:rPr>
          <w:rFonts w:hint="eastAsia" w:ascii="仿宋" w:hAnsi="仿宋" w:eastAsia="仿宋"/>
          <w:color w:val="auto"/>
          <w:sz w:val="24"/>
          <w:highlight w:val="none"/>
        </w:rPr>
        <w:t>项目</w:t>
      </w:r>
      <w:bookmarkEnd w:id="10"/>
      <w:r>
        <w:rPr>
          <w:rFonts w:hint="eastAsia" w:ascii="仿宋" w:hAnsi="仿宋" w:eastAsia="仿宋"/>
          <w:color w:val="auto"/>
          <w:sz w:val="24"/>
          <w:highlight w:val="none"/>
        </w:rPr>
        <w:t>的潜在供应商应在政采云平台（</w:t>
      </w:r>
      <w:r>
        <w:rPr>
          <w:color w:val="auto"/>
          <w:highlight w:val="none"/>
        </w:rPr>
        <w:fldChar w:fldCharType="begin"/>
      </w:r>
      <w:r>
        <w:rPr>
          <w:color w:val="auto"/>
          <w:highlight w:val="none"/>
        </w:rPr>
        <w:instrText xml:space="preserve"> HYPERLINK "https://www.zcygov.cn/）获取（下载）采购文件，并于2023年%20%20月%20%20日09点30分00秒" </w:instrText>
      </w:r>
      <w:r>
        <w:rPr>
          <w:color w:val="auto"/>
          <w:highlight w:val="none"/>
        </w:rPr>
        <w:fldChar w:fldCharType="separate"/>
      </w:r>
      <w:r>
        <w:rPr>
          <w:rStyle w:val="102"/>
          <w:rFonts w:ascii="仿宋" w:hAnsi="仿宋" w:eastAsia="仿宋" w:cs="Times New Roman"/>
          <w:color w:val="auto"/>
          <w:kern w:val="2"/>
          <w:sz w:val="24"/>
          <w:szCs w:val="24"/>
          <w:highlight w:val="none"/>
        </w:rPr>
        <w:t>https://www.zcygov.cn/）获取（下载）采购文件，并于202</w:t>
      </w:r>
      <w:r>
        <w:rPr>
          <w:rStyle w:val="102"/>
          <w:rFonts w:hint="eastAsia" w:ascii="仿宋" w:hAnsi="仿宋" w:eastAsia="仿宋" w:cs="Times New Roman"/>
          <w:color w:val="auto"/>
          <w:kern w:val="2"/>
          <w:sz w:val="24"/>
          <w:szCs w:val="24"/>
          <w:highlight w:val="none"/>
        </w:rPr>
        <w:t>3</w:t>
      </w:r>
      <w:r>
        <w:rPr>
          <w:rStyle w:val="102"/>
          <w:rFonts w:ascii="仿宋" w:hAnsi="仿宋" w:eastAsia="仿宋" w:cs="Times New Roman"/>
          <w:color w:val="auto"/>
          <w:kern w:val="2"/>
          <w:sz w:val="24"/>
          <w:szCs w:val="24"/>
          <w:highlight w:val="none"/>
        </w:rPr>
        <w:t>年</w:t>
      </w:r>
      <w:r>
        <w:rPr>
          <w:rStyle w:val="102"/>
          <w:rFonts w:hint="eastAsia" w:ascii="仿宋" w:hAnsi="仿宋" w:eastAsia="仿宋" w:cs="Times New Roman"/>
          <w:color w:val="auto"/>
          <w:kern w:val="2"/>
          <w:sz w:val="24"/>
          <w:szCs w:val="24"/>
          <w:highlight w:val="none"/>
          <w:lang w:val="en-US" w:eastAsia="zh-CN"/>
        </w:rPr>
        <w:t>04</w:t>
      </w:r>
      <w:r>
        <w:rPr>
          <w:rStyle w:val="102"/>
          <w:rFonts w:hint="eastAsia" w:ascii="仿宋" w:hAnsi="仿宋" w:eastAsia="仿宋" w:cs="Times New Roman"/>
          <w:color w:val="auto"/>
          <w:kern w:val="2"/>
          <w:sz w:val="24"/>
          <w:szCs w:val="24"/>
          <w:highlight w:val="none"/>
        </w:rPr>
        <w:t>月</w:t>
      </w:r>
      <w:r>
        <w:rPr>
          <w:rStyle w:val="102"/>
          <w:rFonts w:hint="eastAsia" w:ascii="仿宋" w:hAnsi="仿宋" w:eastAsia="仿宋" w:cs="Times New Roman"/>
          <w:color w:val="auto"/>
          <w:kern w:val="2"/>
          <w:sz w:val="24"/>
          <w:szCs w:val="24"/>
          <w:highlight w:val="none"/>
          <w:lang w:val="en-US" w:eastAsia="zh-CN"/>
        </w:rPr>
        <w:t>03</w:t>
      </w:r>
      <w:r>
        <w:rPr>
          <w:rStyle w:val="102"/>
          <w:rFonts w:hint="eastAsia" w:ascii="仿宋" w:hAnsi="仿宋" w:eastAsia="仿宋" w:cs="Times New Roman"/>
          <w:color w:val="auto"/>
          <w:kern w:val="2"/>
          <w:sz w:val="24"/>
          <w:szCs w:val="24"/>
          <w:highlight w:val="none"/>
        </w:rPr>
        <w:t>日</w:t>
      </w:r>
      <w:r>
        <w:rPr>
          <w:rStyle w:val="102"/>
          <w:rFonts w:hint="eastAsia" w:ascii="仿宋" w:hAnsi="仿宋" w:eastAsia="仿宋" w:cs="Times New Roman"/>
          <w:color w:val="auto"/>
          <w:kern w:val="2"/>
          <w:sz w:val="24"/>
          <w:szCs w:val="24"/>
          <w:highlight w:val="none"/>
          <w:lang w:val="en-US" w:eastAsia="zh-CN"/>
        </w:rPr>
        <w:t>13</w:t>
      </w:r>
      <w:r>
        <w:rPr>
          <w:rStyle w:val="102"/>
          <w:rFonts w:ascii="仿宋" w:hAnsi="仿宋" w:eastAsia="仿宋" w:cs="Times New Roman"/>
          <w:color w:val="auto"/>
          <w:kern w:val="2"/>
          <w:sz w:val="24"/>
          <w:szCs w:val="24"/>
          <w:highlight w:val="none"/>
        </w:rPr>
        <w:t>点</w:t>
      </w:r>
      <w:r>
        <w:rPr>
          <w:rStyle w:val="102"/>
          <w:rFonts w:hint="eastAsia" w:ascii="仿宋" w:hAnsi="仿宋" w:eastAsia="仿宋" w:cs="Times New Roman"/>
          <w:color w:val="auto"/>
          <w:kern w:val="2"/>
          <w:sz w:val="24"/>
          <w:szCs w:val="24"/>
          <w:highlight w:val="none"/>
        </w:rPr>
        <w:t>3</w:t>
      </w:r>
      <w:r>
        <w:rPr>
          <w:rStyle w:val="102"/>
          <w:rFonts w:ascii="仿宋" w:hAnsi="仿宋" w:eastAsia="仿宋" w:cs="Times New Roman"/>
          <w:color w:val="auto"/>
          <w:kern w:val="2"/>
          <w:sz w:val="24"/>
          <w:szCs w:val="24"/>
          <w:highlight w:val="none"/>
        </w:rPr>
        <w:t>0分</w:t>
      </w:r>
      <w:r>
        <w:rPr>
          <w:rStyle w:val="102"/>
          <w:rFonts w:ascii="仿宋" w:hAnsi="仿宋" w:eastAsia="仿宋" w:cs="Times New Roman"/>
          <w:bCs/>
          <w:color w:val="auto"/>
          <w:kern w:val="2"/>
          <w:sz w:val="24"/>
          <w:szCs w:val="24"/>
          <w:highlight w:val="none"/>
        </w:rPr>
        <w:t>00秒</w:t>
      </w:r>
      <w:r>
        <w:rPr>
          <w:rStyle w:val="102"/>
          <w:rFonts w:ascii="仿宋" w:hAnsi="仿宋" w:eastAsia="仿宋" w:cs="Times New Roman"/>
          <w:bCs/>
          <w:color w:val="auto"/>
          <w:kern w:val="2"/>
          <w:sz w:val="24"/>
          <w:szCs w:val="24"/>
          <w:highlight w:val="none"/>
        </w:rPr>
        <w:fldChar w:fldCharType="end"/>
      </w:r>
      <w:r>
        <w:rPr>
          <w:rFonts w:hint="eastAsia" w:ascii="仿宋" w:hAnsi="仿宋" w:eastAsia="仿宋"/>
          <w:bCs/>
          <w:color w:val="auto"/>
          <w:sz w:val="24"/>
          <w:highlight w:val="none"/>
        </w:rPr>
        <w:t>（北京时间）前</w:t>
      </w:r>
      <w:r>
        <w:rPr>
          <w:rFonts w:hint="eastAsia" w:ascii="仿宋" w:hAnsi="仿宋" w:eastAsia="仿宋"/>
          <w:color w:val="auto"/>
          <w:sz w:val="24"/>
          <w:highlight w:val="none"/>
        </w:rPr>
        <w:t>递交（上传）投标文件。</w:t>
      </w:r>
    </w:p>
    <w:p>
      <w:pPr>
        <w:snapToGrid w:val="0"/>
        <w:spacing w:line="360" w:lineRule="auto"/>
        <w:rPr>
          <w:rFonts w:ascii="仿宋" w:hAnsi="仿宋" w:eastAsia="仿宋"/>
          <w:b/>
          <w:color w:val="auto"/>
          <w:sz w:val="24"/>
          <w:highlight w:val="none"/>
        </w:rPr>
      </w:pPr>
      <w:r>
        <w:rPr>
          <w:rFonts w:hint="eastAsia" w:ascii="仿宋" w:hAnsi="仿宋" w:eastAsia="仿宋" w:cs="仿宋_GB2312"/>
          <w:b/>
          <w:bCs/>
          <w:color w:val="auto"/>
          <w:sz w:val="24"/>
          <w:highlight w:val="none"/>
        </w:rPr>
        <w:t>一、项目基本情况</w:t>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项目编号：</w:t>
      </w:r>
      <w:r>
        <w:rPr>
          <w:rFonts w:hint="eastAsia" w:ascii="仿宋" w:hAnsi="仿宋" w:eastAsia="仿宋"/>
          <w:color w:val="auto"/>
          <w:sz w:val="24"/>
          <w:highlight w:val="none"/>
        </w:rPr>
        <w:t>HZZR-F221201N</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项目名称：</w:t>
      </w:r>
      <w:bookmarkStart w:id="11" w:name="_Hlk94199876"/>
      <w:r>
        <w:rPr>
          <w:rFonts w:hint="eastAsia" w:ascii="仿宋" w:hAnsi="仿宋" w:eastAsia="仿宋"/>
          <w:b/>
          <w:color w:val="auto"/>
          <w:sz w:val="24"/>
          <w:highlight w:val="none"/>
        </w:rPr>
        <w:t>”俞樾纪念馆”陈列布展服务项目</w:t>
      </w:r>
      <w:bookmarkEnd w:id="11"/>
    </w:p>
    <w:p>
      <w:pPr>
        <w:snapToGrid w:val="0"/>
        <w:spacing w:line="360" w:lineRule="auto"/>
        <w:ind w:firstLine="482" w:firstLineChars="200"/>
        <w:rPr>
          <w:rFonts w:ascii="仿宋" w:hAnsi="仿宋" w:eastAsia="仿宋"/>
          <w:bCs/>
          <w:color w:val="auto"/>
          <w:sz w:val="24"/>
          <w:highlight w:val="none"/>
        </w:rPr>
      </w:pPr>
      <w:r>
        <w:rPr>
          <w:rFonts w:ascii="仿宋" w:hAnsi="仿宋" w:eastAsia="仿宋"/>
          <w:b/>
          <w:color w:val="auto"/>
          <w:sz w:val="24"/>
          <w:highlight w:val="none"/>
        </w:rPr>
        <w:t>预算金额（元）：</w:t>
      </w:r>
      <w:bookmarkStart w:id="12" w:name="_Hlk120830979"/>
      <w:r>
        <w:rPr>
          <w:rFonts w:hint="eastAsia" w:ascii="仿宋" w:hAnsi="仿宋" w:eastAsia="仿宋"/>
          <w:color w:val="auto"/>
          <w:sz w:val="24"/>
          <w:highlight w:val="none"/>
        </w:rPr>
        <w:t>5283186</w:t>
      </w:r>
      <w:bookmarkEnd w:id="12"/>
      <w:r>
        <w:rPr>
          <w:rFonts w:ascii="仿宋" w:hAnsi="仿宋" w:eastAsia="仿宋" w:cs="宋体"/>
          <w:color w:val="auto"/>
          <w:sz w:val="24"/>
          <w:highlight w:val="none"/>
        </w:rPr>
        <w:t xml:space="preserve">  </w:t>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最高限价（元）：</w:t>
      </w:r>
      <w:r>
        <w:rPr>
          <w:rFonts w:hint="eastAsia" w:ascii="仿宋" w:hAnsi="仿宋" w:eastAsia="仿宋"/>
          <w:color w:val="auto"/>
          <w:sz w:val="24"/>
          <w:highlight w:val="none"/>
        </w:rPr>
        <w:t>5</w:t>
      </w:r>
      <w:r>
        <w:rPr>
          <w:rFonts w:ascii="仿宋" w:hAnsi="仿宋" w:eastAsia="仿宋"/>
          <w:color w:val="auto"/>
          <w:sz w:val="24"/>
          <w:highlight w:val="none"/>
        </w:rPr>
        <w:t>150000</w:t>
      </w:r>
    </w:p>
    <w:p>
      <w:pPr>
        <w:spacing w:before="75" w:line="360" w:lineRule="auto"/>
        <w:ind w:left="207" w:firstLine="241" w:firstLineChars="100"/>
        <w:rPr>
          <w:rFonts w:hint="eastAsia" w:ascii="仿宋" w:hAnsi="仿宋" w:eastAsia="仿宋" w:cs="仿宋"/>
          <w:color w:val="auto"/>
          <w:spacing w:val="9"/>
          <w:sz w:val="24"/>
          <w:highlight w:val="none"/>
        </w:rPr>
      </w:pPr>
      <w:r>
        <w:rPr>
          <w:rFonts w:hint="eastAsia" w:ascii="仿宋" w:hAnsi="仿宋" w:eastAsia="仿宋"/>
          <w:b/>
          <w:color w:val="auto"/>
          <w:sz w:val="24"/>
          <w:highlight w:val="none"/>
        </w:rPr>
        <w:t>采购需求：</w:t>
      </w:r>
      <w:r>
        <w:rPr>
          <w:rFonts w:hint="eastAsia" w:ascii="仿宋" w:hAnsi="仿宋" w:eastAsia="仿宋" w:cs="仿宋"/>
          <w:color w:val="auto"/>
          <w:spacing w:val="9"/>
          <w:sz w:val="24"/>
          <w:highlight w:val="none"/>
        </w:rPr>
        <w:t>包括不限于：1）根据提供的建筑平面图进行设计：包含室内陈列布展设计方案、施工方案等；2）布展制作：含展陈布展项制作实施、布展工程设计实施；3）其它：大门改造、门厅、走廊景观及户外附属用房局部改造设计制作；4）布展、维护等。</w:t>
      </w:r>
    </w:p>
    <w:p>
      <w:pPr>
        <w:spacing w:before="75" w:line="360" w:lineRule="auto"/>
        <w:ind w:left="207" w:firstLine="241" w:firstLineChars="100"/>
        <w:rPr>
          <w:rFonts w:hint="default" w:ascii="仿宋" w:hAnsi="仿宋" w:eastAsia="仿宋" w:cs="Times New Roman"/>
          <w:b/>
          <w:bCs/>
          <w:color w:val="auto"/>
          <w:kern w:val="2"/>
          <w:sz w:val="24"/>
          <w:szCs w:val="24"/>
          <w:highlight w:val="none"/>
          <w:lang w:val="en-US" w:eastAsia="zh-CN" w:bidi="ar-SA"/>
        </w:rPr>
      </w:pPr>
      <w:r>
        <w:rPr>
          <w:rFonts w:hint="eastAsia" w:ascii="仿宋" w:hAnsi="仿宋" w:eastAsia="仿宋" w:cs="Times New Roman"/>
          <w:b/>
          <w:bCs/>
          <w:color w:val="auto"/>
          <w:kern w:val="2"/>
          <w:sz w:val="24"/>
          <w:szCs w:val="24"/>
          <w:highlight w:val="none"/>
          <w:lang w:val="en-US" w:eastAsia="zh-CN" w:bidi="ar-SA"/>
        </w:rPr>
        <w:t>备注：</w:t>
      </w:r>
      <w:r>
        <w:rPr>
          <w:rFonts w:hint="eastAsia" w:ascii="仿宋" w:hAnsi="仿宋" w:eastAsia="仿宋" w:cs="Times New Roman"/>
          <w:b w:val="0"/>
          <w:bCs w:val="0"/>
          <w:color w:val="auto"/>
          <w:kern w:val="2"/>
          <w:sz w:val="24"/>
          <w:szCs w:val="24"/>
          <w:highlight w:val="none"/>
          <w:lang w:val="en-US" w:eastAsia="zh-CN" w:bidi="ar-SA"/>
        </w:rPr>
        <w:t>详见招标文件第三部分采购需求。</w:t>
      </w:r>
    </w:p>
    <w:p>
      <w:pPr>
        <w:spacing w:line="360" w:lineRule="auto"/>
        <w:ind w:firstLine="482" w:firstLineChars="200"/>
        <w:rPr>
          <w:rFonts w:ascii="仿宋" w:hAnsi="仿宋" w:eastAsia="仿宋"/>
          <w:color w:val="auto"/>
          <w:sz w:val="24"/>
          <w:highlight w:val="none"/>
          <w:u w:val="single"/>
        </w:rPr>
      </w:pPr>
      <w:r>
        <w:rPr>
          <w:rFonts w:hint="eastAsia" w:ascii="仿宋" w:hAnsi="仿宋" w:eastAsia="仿宋"/>
          <w:b/>
          <w:bCs/>
          <w:color w:val="auto"/>
          <w:sz w:val="24"/>
          <w:highlight w:val="none"/>
        </w:rPr>
        <w:t>合同履约期限：</w:t>
      </w:r>
      <w:r>
        <w:rPr>
          <w:rFonts w:hint="eastAsia" w:ascii="仿宋" w:hAnsi="仿宋" w:eastAsia="仿宋" w:cs="仿宋"/>
          <w:color w:val="auto"/>
          <w:spacing w:val="8"/>
          <w:sz w:val="24"/>
          <w:highlight w:val="none"/>
        </w:rPr>
        <w:t>自合同签订后</w:t>
      </w:r>
      <w:r>
        <w:rPr>
          <w:rFonts w:ascii="仿宋" w:hAnsi="仿宋" w:eastAsia="仿宋" w:cs="仿宋"/>
          <w:color w:val="auto"/>
          <w:spacing w:val="8"/>
          <w:sz w:val="24"/>
          <w:highlight w:val="none"/>
        </w:rPr>
        <w:t>90</w:t>
      </w:r>
      <w:r>
        <w:rPr>
          <w:rFonts w:hint="eastAsia" w:ascii="仿宋" w:hAnsi="仿宋" w:eastAsia="仿宋" w:cs="仿宋"/>
          <w:color w:val="auto"/>
          <w:spacing w:val="8"/>
          <w:sz w:val="24"/>
          <w:highlight w:val="none"/>
        </w:rPr>
        <w:t>日内(具体以合同签订为准)。</w:t>
      </w:r>
    </w:p>
    <w:p>
      <w:pPr>
        <w:pStyle w:val="21"/>
        <w:spacing w:line="360" w:lineRule="auto"/>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本项目接受联合体投标：</w:t>
      </w:r>
      <w:r>
        <w:rPr>
          <w:rFonts w:ascii="仿宋" w:hAnsi="仿宋" w:eastAsia="仿宋" w:cs="Arial"/>
          <w:color w:val="auto"/>
          <w:kern w:val="0"/>
          <w:sz w:val="24"/>
          <w:szCs w:val="24"/>
          <w:highlight w:val="none"/>
        </w:rPr>
        <w:sym w:font="Wingdings" w:char="F0FE"/>
      </w:r>
      <w:r>
        <w:rPr>
          <w:rFonts w:hint="eastAsia" w:ascii="仿宋" w:hAnsi="仿宋" w:eastAsia="仿宋"/>
          <w:b/>
          <w:color w:val="auto"/>
          <w:sz w:val="24"/>
          <w:szCs w:val="24"/>
          <w:highlight w:val="none"/>
        </w:rPr>
        <w:t>是，</w:t>
      </w:r>
      <w:r>
        <w:rPr>
          <w:rFonts w:ascii="仿宋" w:hAnsi="仿宋" w:eastAsia="仿宋" w:cs="Arial"/>
          <w:color w:val="auto"/>
          <w:kern w:val="0"/>
          <w:sz w:val="24"/>
          <w:szCs w:val="24"/>
          <w:highlight w:val="none"/>
        </w:rPr>
        <w:sym w:font="Wingdings" w:char="00A8"/>
      </w:r>
      <w:r>
        <w:rPr>
          <w:rFonts w:hint="eastAsia" w:ascii="仿宋" w:hAnsi="仿宋" w:eastAsia="仿宋"/>
          <w:b/>
          <w:color w:val="auto"/>
          <w:sz w:val="24"/>
          <w:szCs w:val="24"/>
          <w:highlight w:val="none"/>
        </w:rPr>
        <w:t>否</w:t>
      </w:r>
      <w:r>
        <w:rPr>
          <w:rFonts w:hint="eastAsia" w:ascii="仿宋" w:hAnsi="仿宋" w:eastAsia="仿宋" w:cs="Arial"/>
          <w:color w:val="auto"/>
          <w:kern w:val="0"/>
          <w:sz w:val="24"/>
          <w:szCs w:val="24"/>
          <w:highlight w:val="none"/>
        </w:rPr>
        <w:t>。</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二、申请人的资格要求：</w:t>
      </w:r>
    </w:p>
    <w:p>
      <w:pPr>
        <w:spacing w:line="360" w:lineRule="auto"/>
        <w:ind w:firstLine="480"/>
        <w:rPr>
          <w:rFonts w:ascii="仿宋" w:hAnsi="仿宋" w:eastAsia="仿宋" w:cs="仿宋"/>
          <w:snapToGrid w:val="0"/>
          <w:color w:val="auto"/>
          <w:kern w:val="28"/>
          <w:sz w:val="24"/>
          <w:szCs w:val="24"/>
          <w:highlight w:val="none"/>
        </w:rPr>
      </w:pPr>
      <w:bookmarkStart w:id="13" w:name="_Hlk120831040"/>
      <w:r>
        <w:rPr>
          <w:rFonts w:hint="eastAsia" w:ascii="仿宋" w:hAnsi="仿宋" w:eastAsia="仿宋" w:cs="仿宋"/>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 xml:space="preserve">    2.落实政府采购政策需满足的资格要求：</w:t>
      </w:r>
    </w:p>
    <w:p>
      <w:pPr>
        <w:spacing w:line="360" w:lineRule="auto"/>
        <w:ind w:firstLine="480" w:firstLineChars="200"/>
        <w:rPr>
          <w:rFonts w:ascii="仿宋" w:hAnsi="仿宋" w:eastAsia="仿宋" w:cs="仿宋"/>
          <w:color w:val="auto"/>
          <w:sz w:val="24"/>
          <w:highlight w:val="none"/>
        </w:rPr>
      </w:pPr>
      <w:r>
        <w:rPr>
          <w:rFonts w:hint="eastAsia" w:ascii="Wingdings" w:hAnsi="Wingdings" w:eastAsia="仿宋" w:cs="仿宋"/>
          <w:color w:val="auto"/>
          <w:kern w:val="0"/>
          <w:sz w:val="24"/>
          <w:highlight w:val="none"/>
        </w:rPr>
        <w:t>þ</w:t>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ascii="仿宋" w:hAnsi="仿宋" w:eastAsia="仿宋" w:cs="仿宋"/>
          <w:color w:val="auto"/>
          <w:sz w:val="24"/>
          <w:highlight w:val="none"/>
        </w:rPr>
      </w:pPr>
      <w:r>
        <w:rPr>
          <w:rFonts w:hint="eastAsia" w:ascii="Wingdings" w:hAnsi="Wingdings" w:eastAsia="仿宋" w:cs="仿宋"/>
          <w:color w:val="auto"/>
          <w:kern w:val="0"/>
          <w:sz w:val="24"/>
          <w:highlight w:val="none"/>
        </w:rPr>
        <w:t>þ</w:t>
      </w:r>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ascii="仿宋" w:hAnsi="仿宋" w:eastAsia="仿宋" w:cs="仿宋"/>
          <w:color w:val="auto"/>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服务全部由符合政策要求的小微企业承接，提供中小企业声明函；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b/>
          <w:bCs/>
          <w:color w:val="auto"/>
          <w:sz w:val="24"/>
          <w:highlight w:val="none"/>
        </w:rPr>
        <w:t>建筑装饰工程设计专项乙级及以上资质、建筑装修装饰工程专业承包贰级及以上资质、企业安全生产许可证；</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13"/>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三、获取采购文件</w:t>
      </w:r>
      <w:r>
        <w:rPr>
          <w:rFonts w:ascii="仿宋" w:hAnsi="仿宋" w:eastAsia="仿宋"/>
          <w:b/>
          <w:color w:val="auto"/>
          <w:sz w:val="24"/>
          <w:highlight w:val="none"/>
        </w:rPr>
        <w:t xml:space="preserve"> </w:t>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时间：</w:t>
      </w:r>
      <w:r>
        <w:rPr>
          <w:rFonts w:ascii="仿宋" w:hAnsi="仿宋" w:eastAsia="仿宋"/>
          <w:color w:val="auto"/>
          <w:sz w:val="24"/>
          <w:highlight w:val="none"/>
        </w:rPr>
        <w:t>/至</w:t>
      </w:r>
      <w:r>
        <w:rPr>
          <w:rFonts w:hint="eastAsia" w:ascii="仿宋" w:hAnsi="仿宋" w:eastAsia="仿宋"/>
          <w:color w:val="auto"/>
          <w:sz w:val="24"/>
          <w:highlight w:val="none"/>
        </w:rPr>
        <w:t>2023</w:t>
      </w:r>
      <w:r>
        <w:rPr>
          <w:rFonts w:ascii="仿宋" w:hAnsi="仿宋" w:eastAsia="仿宋"/>
          <w:color w:val="auto"/>
          <w:sz w:val="24"/>
          <w:highlight w:val="none"/>
        </w:rPr>
        <w:t>年</w:t>
      </w:r>
      <w:r>
        <w:rPr>
          <w:rFonts w:hint="eastAsia" w:ascii="仿宋" w:hAnsi="仿宋" w:eastAsia="仿宋"/>
          <w:color w:val="auto"/>
          <w:sz w:val="24"/>
          <w:highlight w:val="none"/>
          <w:lang w:val="en-US" w:eastAsia="zh-CN"/>
        </w:rPr>
        <w:t>04</w:t>
      </w:r>
      <w:r>
        <w:rPr>
          <w:rFonts w:ascii="仿宋" w:hAnsi="仿宋" w:eastAsia="仿宋"/>
          <w:color w:val="auto"/>
          <w:sz w:val="24"/>
          <w:highlight w:val="none"/>
        </w:rPr>
        <w:t>月</w:t>
      </w:r>
      <w:r>
        <w:rPr>
          <w:rFonts w:hint="eastAsia" w:ascii="仿宋" w:hAnsi="仿宋" w:eastAsia="仿宋"/>
          <w:color w:val="auto"/>
          <w:sz w:val="24"/>
          <w:highlight w:val="none"/>
          <w:lang w:val="en-US" w:eastAsia="zh-CN"/>
        </w:rPr>
        <w:t>03</w:t>
      </w:r>
      <w:r>
        <w:rPr>
          <w:rFonts w:ascii="仿宋" w:hAnsi="仿宋" w:eastAsia="仿宋"/>
          <w:color w:val="auto"/>
          <w:sz w:val="24"/>
          <w:highlight w:val="none"/>
        </w:rPr>
        <w:t>日</w:t>
      </w:r>
      <w:r>
        <w:rPr>
          <w:rFonts w:hint="eastAsia" w:ascii="仿宋" w:hAnsi="仿宋" w:eastAsia="仿宋"/>
          <w:color w:val="auto"/>
          <w:sz w:val="24"/>
          <w:highlight w:val="none"/>
        </w:rPr>
        <w:t>，每天上午</w:t>
      </w:r>
      <w:r>
        <w:rPr>
          <w:rFonts w:ascii="仿宋" w:hAnsi="仿宋" w:eastAsia="仿宋"/>
          <w:color w:val="auto"/>
          <w:sz w:val="24"/>
          <w:highlight w:val="none"/>
        </w:rPr>
        <w:t xml:space="preserve">00:00至12:00 </w:t>
      </w:r>
      <w:r>
        <w:rPr>
          <w:rFonts w:hint="eastAsia" w:ascii="仿宋" w:hAnsi="仿宋" w:eastAsia="仿宋"/>
          <w:color w:val="auto"/>
          <w:sz w:val="24"/>
          <w:highlight w:val="none"/>
        </w:rPr>
        <w:t>，下午</w:t>
      </w:r>
      <w:r>
        <w:rPr>
          <w:rFonts w:ascii="仿宋" w:hAnsi="仿宋" w:eastAsia="仿宋"/>
          <w:color w:val="auto"/>
          <w:sz w:val="24"/>
          <w:highlight w:val="none"/>
        </w:rPr>
        <w:t>12:00至23:59（北京时间，线上获取法定节假日均可，线下获取文件法定节假日除外）</w:t>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地点（网址）：</w:t>
      </w:r>
      <w:r>
        <w:rPr>
          <w:rFonts w:hint="eastAsia" w:ascii="仿宋" w:hAnsi="仿宋" w:eastAsia="仿宋"/>
          <w:color w:val="auto"/>
          <w:sz w:val="24"/>
          <w:highlight w:val="none"/>
        </w:rPr>
        <w:t>政采云平台（</w:t>
      </w:r>
      <w:r>
        <w:rPr>
          <w:rFonts w:ascii="仿宋" w:hAnsi="仿宋" w:eastAsia="仿宋"/>
          <w:color w:val="auto"/>
          <w:sz w:val="24"/>
          <w:highlight w:val="none"/>
        </w:rPr>
        <w:t xml:space="preserve">https://www.zcygov.cn/） </w:t>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方式：</w:t>
      </w:r>
      <w:r>
        <w:rPr>
          <w:rFonts w:hint="eastAsia" w:ascii="仿宋" w:hAnsi="仿宋" w:eastAsia="仿宋"/>
          <w:color w:val="auto"/>
          <w:sz w:val="24"/>
          <w:highlight w:val="none"/>
        </w:rPr>
        <w:t>供应商登录政采云平台</w:t>
      </w:r>
      <w:r>
        <w:rPr>
          <w:rFonts w:ascii="仿宋" w:hAnsi="仿宋" w:eastAsia="仿宋"/>
          <w:color w:val="auto"/>
          <w:sz w:val="24"/>
          <w:highlight w:val="none"/>
        </w:rPr>
        <w:t xml:space="preserve">https://www.zcygov.cn/在线申请获取采购文件（进入“项目采购”应用，在获取采购文件菜单中选择项目，申请获取采购文件）。 </w:t>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售价（元）：</w:t>
      </w:r>
      <w:r>
        <w:rPr>
          <w:rFonts w:ascii="仿宋" w:hAnsi="仿宋" w:eastAsia="仿宋"/>
          <w:color w:val="auto"/>
          <w:sz w:val="24"/>
          <w:highlight w:val="none"/>
        </w:rPr>
        <w:t xml:space="preserve">0 </w:t>
      </w:r>
      <w:r>
        <w:rPr>
          <w:rFonts w:ascii="仿宋" w:hAnsi="仿宋" w:eastAsia="仿宋"/>
          <w:color w:val="auto"/>
          <w:sz w:val="24"/>
          <w:highlight w:val="none"/>
        </w:rPr>
        <w:tab/>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四、提交投标文件截止时间、开标时间和地点</w:t>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提交投标文件截止时间：</w:t>
      </w:r>
      <w:r>
        <w:rPr>
          <w:rFonts w:hint="eastAsia" w:ascii="仿宋" w:hAnsi="仿宋" w:eastAsia="仿宋"/>
          <w:color w:val="auto"/>
          <w:sz w:val="24"/>
          <w:highlight w:val="none"/>
        </w:rPr>
        <w:t>2023</w:t>
      </w:r>
      <w:r>
        <w:rPr>
          <w:rFonts w:ascii="仿宋" w:hAnsi="仿宋" w:eastAsia="仿宋"/>
          <w:color w:val="auto"/>
          <w:sz w:val="24"/>
          <w:highlight w:val="none"/>
        </w:rPr>
        <w:t>年</w:t>
      </w:r>
      <w:r>
        <w:rPr>
          <w:rFonts w:hint="eastAsia" w:ascii="仿宋" w:hAnsi="仿宋" w:eastAsia="仿宋"/>
          <w:color w:val="auto"/>
          <w:sz w:val="24"/>
          <w:highlight w:val="none"/>
          <w:lang w:val="en-US" w:eastAsia="zh-CN"/>
        </w:rPr>
        <w:t>04</w:t>
      </w:r>
      <w:r>
        <w:rPr>
          <w:rFonts w:hint="eastAsia" w:ascii="仿宋" w:hAnsi="仿宋" w:eastAsia="仿宋"/>
          <w:color w:val="auto"/>
          <w:sz w:val="24"/>
          <w:highlight w:val="none"/>
        </w:rPr>
        <w:t>月</w:t>
      </w:r>
      <w:r>
        <w:rPr>
          <w:rFonts w:hint="eastAsia" w:ascii="仿宋" w:hAnsi="仿宋" w:eastAsia="仿宋"/>
          <w:color w:val="auto"/>
          <w:sz w:val="24"/>
          <w:highlight w:val="none"/>
          <w:lang w:val="en-US" w:eastAsia="zh-CN"/>
        </w:rPr>
        <w:t>03</w:t>
      </w:r>
      <w:r>
        <w:rPr>
          <w:rFonts w:hint="eastAsia" w:ascii="仿宋" w:hAnsi="仿宋" w:eastAsia="仿宋"/>
          <w:color w:val="auto"/>
          <w:sz w:val="24"/>
          <w:highlight w:val="none"/>
        </w:rPr>
        <w:t>日</w:t>
      </w:r>
      <w:r>
        <w:rPr>
          <w:rFonts w:hint="eastAsia" w:ascii="仿宋" w:hAnsi="仿宋" w:eastAsia="仿宋"/>
          <w:color w:val="auto"/>
          <w:sz w:val="24"/>
          <w:highlight w:val="none"/>
          <w:lang w:val="en-US" w:eastAsia="zh-CN"/>
        </w:rPr>
        <w:t>13</w:t>
      </w:r>
      <w:r>
        <w:rPr>
          <w:rFonts w:hint="eastAsia" w:ascii="仿宋" w:hAnsi="仿宋" w:eastAsia="仿宋"/>
          <w:color w:val="auto"/>
          <w:sz w:val="24"/>
          <w:highlight w:val="none"/>
        </w:rPr>
        <w:t>点30分</w:t>
      </w:r>
      <w:r>
        <w:rPr>
          <w:rFonts w:hint="eastAsia" w:ascii="仿宋" w:hAnsi="仿宋" w:eastAsia="仿宋"/>
          <w:bCs/>
          <w:color w:val="auto"/>
          <w:sz w:val="24"/>
          <w:highlight w:val="none"/>
        </w:rPr>
        <w:t xml:space="preserve"> </w:t>
      </w:r>
      <w:r>
        <w:rPr>
          <w:rFonts w:hint="eastAsia" w:ascii="仿宋" w:hAnsi="仿宋" w:eastAsia="仿宋"/>
          <w:color w:val="auto"/>
          <w:sz w:val="24"/>
          <w:highlight w:val="none"/>
        </w:rPr>
        <w:t>（北京时间）</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投标地点（网址）：</w:t>
      </w:r>
      <w:r>
        <w:rPr>
          <w:rFonts w:hint="eastAsia" w:ascii="仿宋" w:hAnsi="仿宋" w:eastAsia="仿宋"/>
          <w:color w:val="auto"/>
          <w:sz w:val="24"/>
          <w:highlight w:val="none"/>
        </w:rPr>
        <w:t>政采云平台（</w:t>
      </w:r>
      <w:r>
        <w:rPr>
          <w:rFonts w:ascii="仿宋" w:hAnsi="仿宋" w:eastAsia="仿宋"/>
          <w:color w:val="auto"/>
          <w:sz w:val="24"/>
          <w:highlight w:val="none"/>
        </w:rPr>
        <w:t xml:space="preserve">https://www.zcygov.cn/） </w:t>
      </w:r>
    </w:p>
    <w:p>
      <w:pPr>
        <w:snapToGrid w:val="0"/>
        <w:spacing w:line="360" w:lineRule="auto"/>
        <w:ind w:firstLine="482" w:firstLineChars="200"/>
        <w:rPr>
          <w:rFonts w:ascii="仿宋" w:hAnsi="仿宋" w:eastAsia="仿宋"/>
          <w:bCs/>
          <w:color w:val="auto"/>
          <w:sz w:val="24"/>
          <w:highlight w:val="none"/>
          <w:u w:val="single"/>
        </w:rPr>
      </w:pPr>
      <w:r>
        <w:rPr>
          <w:rFonts w:hint="eastAsia" w:ascii="仿宋" w:hAnsi="仿宋" w:eastAsia="仿宋"/>
          <w:b/>
          <w:color w:val="auto"/>
          <w:sz w:val="24"/>
          <w:highlight w:val="none"/>
        </w:rPr>
        <w:t>开标时间：</w:t>
      </w:r>
      <w:r>
        <w:rPr>
          <w:rFonts w:hint="eastAsia" w:ascii="仿宋" w:hAnsi="仿宋" w:eastAsia="仿宋"/>
          <w:color w:val="auto"/>
          <w:sz w:val="24"/>
          <w:highlight w:val="none"/>
        </w:rPr>
        <w:t>2023</w:t>
      </w:r>
      <w:r>
        <w:rPr>
          <w:rFonts w:ascii="仿宋" w:hAnsi="仿宋" w:eastAsia="仿宋"/>
          <w:color w:val="auto"/>
          <w:sz w:val="24"/>
          <w:highlight w:val="none"/>
        </w:rPr>
        <w:t>年</w:t>
      </w:r>
      <w:r>
        <w:rPr>
          <w:rFonts w:hint="eastAsia" w:ascii="仿宋" w:hAnsi="仿宋" w:eastAsia="仿宋"/>
          <w:color w:val="auto"/>
          <w:sz w:val="24"/>
          <w:highlight w:val="none"/>
          <w:lang w:val="en-US" w:eastAsia="zh-CN"/>
        </w:rPr>
        <w:t>04</w:t>
      </w:r>
      <w:r>
        <w:rPr>
          <w:rFonts w:hint="eastAsia" w:ascii="仿宋" w:hAnsi="仿宋" w:eastAsia="仿宋"/>
          <w:color w:val="auto"/>
          <w:sz w:val="24"/>
          <w:highlight w:val="none"/>
        </w:rPr>
        <w:t>月</w:t>
      </w:r>
      <w:r>
        <w:rPr>
          <w:rFonts w:hint="eastAsia" w:ascii="仿宋" w:hAnsi="仿宋" w:eastAsia="仿宋"/>
          <w:color w:val="auto"/>
          <w:sz w:val="24"/>
          <w:highlight w:val="none"/>
          <w:lang w:val="en-US" w:eastAsia="zh-CN"/>
        </w:rPr>
        <w:t>03</w:t>
      </w:r>
      <w:r>
        <w:rPr>
          <w:rFonts w:hint="eastAsia" w:ascii="仿宋" w:hAnsi="仿宋" w:eastAsia="仿宋"/>
          <w:color w:val="auto"/>
          <w:sz w:val="24"/>
          <w:highlight w:val="none"/>
        </w:rPr>
        <w:t>日</w:t>
      </w:r>
      <w:r>
        <w:rPr>
          <w:rFonts w:hint="eastAsia" w:ascii="仿宋" w:hAnsi="仿宋" w:eastAsia="仿宋"/>
          <w:color w:val="auto"/>
          <w:sz w:val="24"/>
          <w:highlight w:val="none"/>
          <w:lang w:val="en-US" w:eastAsia="zh-CN"/>
        </w:rPr>
        <w:t>13</w:t>
      </w:r>
      <w:r>
        <w:rPr>
          <w:rFonts w:hint="eastAsia" w:ascii="仿宋" w:hAnsi="仿宋" w:eastAsia="仿宋"/>
          <w:color w:val="auto"/>
          <w:sz w:val="24"/>
          <w:highlight w:val="none"/>
        </w:rPr>
        <w:t>点30分</w:t>
      </w:r>
      <w:r>
        <w:rPr>
          <w:rFonts w:hint="eastAsia" w:ascii="仿宋" w:hAnsi="仿宋" w:eastAsia="仿宋"/>
          <w:bCs/>
          <w:color w:val="auto"/>
          <w:sz w:val="24"/>
          <w:highlight w:val="none"/>
        </w:rPr>
        <w:t xml:space="preserve"> </w:t>
      </w:r>
    </w:p>
    <w:p>
      <w:pPr>
        <w:tabs>
          <w:tab w:val="left" w:pos="900"/>
        </w:tabs>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sz w:val="24"/>
          <w:highlight w:val="none"/>
        </w:rPr>
        <w:t>开标地点（网址）：</w:t>
      </w:r>
      <w:r>
        <w:rPr>
          <w:rFonts w:hint="eastAsia" w:ascii="仿宋" w:hAnsi="仿宋" w:eastAsia="仿宋"/>
          <w:color w:val="auto"/>
          <w:sz w:val="24"/>
          <w:highlight w:val="none"/>
        </w:rPr>
        <w:t>政采云平台（</w:t>
      </w:r>
      <w:r>
        <w:rPr>
          <w:rFonts w:ascii="仿宋" w:hAnsi="仿宋" w:eastAsia="仿宋"/>
          <w:color w:val="auto"/>
          <w:sz w:val="24"/>
          <w:highlight w:val="none"/>
        </w:rPr>
        <w:t>https://www.zcygov.cn/）</w:t>
      </w:r>
      <w:r>
        <w:rPr>
          <w:rFonts w:hint="eastAsia" w:ascii="仿宋" w:hAnsi="仿宋" w:eastAsia="仿宋"/>
          <w:color w:val="auto"/>
          <w:sz w:val="24"/>
          <w:highlight w:val="none"/>
        </w:rPr>
        <w:t>（杭州市临平区临平街道河南埭路108号临平新天地3号楼301室</w:t>
      </w:r>
      <w:bookmarkStart w:id="14" w:name="_Toc20890"/>
      <w:bookmarkStart w:id="15" w:name="_Toc10486"/>
      <w:bookmarkStart w:id="16" w:name="_Toc29045"/>
      <w:r>
        <w:rPr>
          <w:rFonts w:hint="eastAsia" w:ascii="仿宋" w:hAnsi="仿宋" w:eastAsia="仿宋"/>
          <w:color w:val="auto"/>
          <w:sz w:val="24"/>
          <w:highlight w:val="none"/>
        </w:rPr>
        <w:t>）</w:t>
      </w:r>
    </w:p>
    <w:p>
      <w:pPr>
        <w:tabs>
          <w:tab w:val="left" w:pos="900"/>
        </w:tabs>
        <w:snapToGrid w:val="0"/>
        <w:spacing w:line="360" w:lineRule="auto"/>
        <w:ind w:firstLine="482" w:firstLineChars="200"/>
        <w:rPr>
          <w:rFonts w:ascii="仿宋" w:hAnsi="仿宋" w:eastAsia="仿宋" w:cs="宋体"/>
          <w:b/>
          <w:bCs/>
          <w:color w:val="auto"/>
          <w:sz w:val="24"/>
          <w:highlight w:val="none"/>
        </w:rPr>
      </w:pPr>
      <w:r>
        <w:rPr>
          <w:rFonts w:hint="eastAsia" w:ascii="仿宋" w:hAnsi="仿宋" w:eastAsia="仿宋" w:cs="宋体"/>
          <w:b/>
          <w:bCs/>
          <w:color w:val="auto"/>
          <w:sz w:val="24"/>
          <w:highlight w:val="none"/>
        </w:rPr>
        <w:t>五、采购意向公开链接</w:t>
      </w:r>
      <w:bookmarkEnd w:id="14"/>
      <w:bookmarkEnd w:id="15"/>
      <w:bookmarkEnd w:id="16"/>
    </w:p>
    <w:p>
      <w:pPr>
        <w:snapToGrid w:val="0"/>
        <w:spacing w:line="360" w:lineRule="auto"/>
        <w:ind w:firstLine="420" w:firstLineChars="200"/>
        <w:rPr>
          <w:color w:val="auto"/>
          <w:highlight w:val="none"/>
        </w:rPr>
      </w:pPr>
      <w:r>
        <w:rPr>
          <w:color w:val="auto"/>
          <w:highlight w:val="none"/>
        </w:rPr>
        <w:fldChar w:fldCharType="begin"/>
      </w:r>
      <w:r>
        <w:rPr>
          <w:color w:val="auto"/>
          <w:highlight w:val="none"/>
        </w:rPr>
        <w:instrText xml:space="preserve"> HYPERLINK "https://zfcg.czt.zj.gov.cn/innerUsed_noticeDetails/index.html?noticeId=8998706&amp;utm=web-government-front.49399a16.0.0.76c4abc070b711ed970d198012b461a2" </w:instrText>
      </w:r>
      <w:r>
        <w:rPr>
          <w:color w:val="auto"/>
          <w:highlight w:val="none"/>
        </w:rPr>
        <w:fldChar w:fldCharType="separate"/>
      </w:r>
      <w:r>
        <w:rPr>
          <w:rStyle w:val="102"/>
          <w:rFonts w:ascii="Times New Roman" w:hAnsi="Times New Roman" w:eastAsia="宋体" w:cs="Times New Roman"/>
          <w:snapToGrid/>
          <w:color w:val="auto"/>
          <w:kern w:val="2"/>
          <w:sz w:val="21"/>
          <w:szCs w:val="24"/>
          <w:highlight w:val="none"/>
        </w:rPr>
        <w:t>https://zfcg.czt.zj.gov.cn/innerUsed_noticeDetails/index.html?noticeId=8998706&amp;utm=web-government-front.49399a16.0.0.76c4abc070b711ed970d198012b461a2</w:t>
      </w:r>
      <w:r>
        <w:rPr>
          <w:rStyle w:val="102"/>
          <w:rFonts w:ascii="Times New Roman" w:hAnsi="Times New Roman" w:eastAsia="宋体" w:cs="Times New Roman"/>
          <w:snapToGrid/>
          <w:color w:val="auto"/>
          <w:kern w:val="2"/>
          <w:sz w:val="21"/>
          <w:szCs w:val="24"/>
          <w:highlight w:val="none"/>
        </w:rPr>
        <w:fldChar w:fldCharType="end"/>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六、公告期限</w:t>
      </w:r>
      <w:r>
        <w:rPr>
          <w:rFonts w:ascii="仿宋" w:hAnsi="仿宋" w:eastAsia="仿宋"/>
          <w:b/>
          <w:color w:val="auto"/>
          <w:sz w:val="24"/>
          <w:highlight w:val="none"/>
        </w:rPr>
        <w:t xml:space="preserve">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自本公告发布之日起</w:t>
      </w:r>
      <w:r>
        <w:rPr>
          <w:rFonts w:ascii="仿宋" w:hAnsi="仿宋" w:eastAsia="仿宋"/>
          <w:color w:val="auto"/>
          <w:sz w:val="24"/>
          <w:highlight w:val="none"/>
        </w:rPr>
        <w:t>5个工作日。</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七、其他补充事宜</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 xml:space="preserve"> </w:t>
      </w:r>
      <w:r>
        <w:rPr>
          <w:rFonts w:hint="eastAsia" w:ascii="仿宋" w:hAnsi="仿宋" w:eastAsia="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color w:val="auto"/>
          <w:sz w:val="24"/>
          <w:highlight w:val="none"/>
        </w:rPr>
        <w:t>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.其他事项：</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（1）需要落实的政府采购政策：包括节约资源、保护环境、支持创新、促进中小企业发展等。详见采购文件的第二部分总则。</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电子招投标的说明：</w:t>
      </w:r>
      <w:r>
        <w:rPr>
          <w:rFonts w:hint="eastAsia" w:ascii="仿宋" w:hAnsi="仿宋" w:eastAsia="仿宋" w:cs="仿宋_GB2312"/>
          <w:color w:val="auto"/>
          <w:sz w:val="24"/>
          <w:highlight w:val="none"/>
        </w:rPr>
        <w:t>①</w:t>
      </w:r>
      <w:r>
        <w:rPr>
          <w:rFonts w:ascii="仿宋" w:hAnsi="仿宋" w:eastAsia="仿宋" w:cs="仿宋_GB2312"/>
          <w:color w:val="auto"/>
          <w:sz w:val="24"/>
          <w:highlight w:val="none"/>
        </w:rPr>
        <w:t>电子招投标：本项目以数据电文形式，依托“政府采购云平台（www.zcygov.cn）”进行招投标活动，不接受纸质投标文件</w:t>
      </w:r>
      <w:r>
        <w:rPr>
          <w:rFonts w:hint="eastAsia" w:ascii="仿宋" w:hAnsi="仿宋" w:eastAsia="仿宋" w:cs="仿宋_GB2312"/>
          <w:color w:val="auto"/>
          <w:sz w:val="24"/>
          <w:highlight w:val="none"/>
        </w:rPr>
        <w:t>；②</w:t>
      </w:r>
      <w:r>
        <w:rPr>
          <w:rFonts w:ascii="仿宋" w:hAnsi="仿宋" w:eastAsia="仿宋"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color w:val="auto"/>
          <w:sz w:val="24"/>
          <w:highlight w:val="none"/>
        </w:rPr>
        <w:t>采云电子交易客户端”</w:t>
      </w:r>
      <w:r>
        <w:rPr>
          <w:rFonts w:ascii="仿宋" w:hAnsi="仿宋" w:eastAsia="仿宋" w:cs="仿宋_GB2312"/>
          <w:color w:val="auto"/>
          <w:sz w:val="24"/>
          <w:highlight w:val="none"/>
        </w:rPr>
        <w:t>----前往“浙江政府采购网-下载专区-电子交易客户端”进行下载并安装</w:t>
      </w:r>
      <w:r>
        <w:rPr>
          <w:rFonts w:hint="eastAsia" w:ascii="仿宋" w:hAnsi="仿宋" w:eastAsia="仿宋" w:cs="仿宋_GB2312"/>
          <w:color w:val="auto"/>
          <w:sz w:val="24"/>
          <w:highlight w:val="none"/>
        </w:rPr>
        <w:t>；③</w:t>
      </w:r>
      <w:r>
        <w:rPr>
          <w:rFonts w:ascii="仿宋" w:hAnsi="仿宋" w:eastAsia="仿宋" w:cs="仿宋_GB2312"/>
          <w:color w:val="auto"/>
          <w:sz w:val="24"/>
          <w:highlight w:val="none"/>
        </w:rPr>
        <w:t>采购文件的获取：使用账号登录或者使用CA登录政</w:t>
      </w:r>
      <w:r>
        <w:rPr>
          <w:rFonts w:hint="eastAsia" w:ascii="仿宋" w:hAnsi="仿宋" w:eastAsia="仿宋" w:cs="仿宋_GB2312"/>
          <w:color w:val="auto"/>
          <w:sz w:val="24"/>
          <w:highlight w:val="none"/>
        </w:rPr>
        <w:t>采云平台；进入“项目采购”应用，在获取采购文件菜单中选择项目，获取采购文件；④</w:t>
      </w:r>
      <w:r>
        <w:rPr>
          <w:rFonts w:ascii="仿宋" w:hAnsi="仿宋" w:eastAsia="仿宋" w:cs="仿宋_GB2312"/>
          <w:color w:val="auto"/>
          <w:sz w:val="24"/>
          <w:highlight w:val="none"/>
        </w:rPr>
        <w:t>投标文件的制作：在“政</w:t>
      </w:r>
      <w:r>
        <w:rPr>
          <w:rFonts w:hint="eastAsia" w:ascii="仿宋" w:hAnsi="仿宋" w:eastAsia="仿宋" w:cs="仿宋_GB2312"/>
          <w:color w:val="auto"/>
          <w:sz w:val="24"/>
          <w:highlight w:val="none"/>
        </w:rPr>
        <w:t>采云电子交易客户端”中完成“填写基本信息”、“导入投标文件”、“标书关联”、“标书检查”、“电子签名”、“生成电子标书”等操作；</w:t>
      </w:r>
      <w:r>
        <w:rPr>
          <w:rFonts w:hint="eastAsia" w:ascii="仿宋" w:hAnsi="仿宋" w:eastAsia="仿宋"/>
          <w:color w:val="auto"/>
          <w:sz w:val="24"/>
          <w:highlight w:val="none"/>
        </w:rPr>
        <w:t>⑤</w:t>
      </w:r>
      <w:r>
        <w:rPr>
          <w:rFonts w:ascii="仿宋" w:hAnsi="仿宋" w:eastAsia="仿宋"/>
          <w:color w:val="auto"/>
          <w:sz w:val="24"/>
          <w:highlight w:val="none"/>
        </w:rPr>
        <w:t>采购人、采购代理机构将依托政</w:t>
      </w:r>
      <w:r>
        <w:rPr>
          <w:rFonts w:hint="eastAsia" w:ascii="仿宋" w:hAnsi="仿宋" w:eastAsia="仿宋"/>
          <w:color w:val="auto"/>
          <w:sz w:val="24"/>
          <w:highlight w:val="none"/>
        </w:rPr>
        <w:t>采云平台完成本项目的电子交易活动，平台不接受未按上述方式获取采购文件的供应商进行投标活动；</w:t>
      </w:r>
      <w:r>
        <w:rPr>
          <w:rFonts w:ascii="仿宋" w:hAnsi="仿宋" w:eastAsia="仿宋"/>
          <w:color w:val="auto"/>
          <w:sz w:val="24"/>
          <w:highlight w:val="none"/>
        </w:rPr>
        <w:t xml:space="preserve"> </w:t>
      </w:r>
      <w:r>
        <w:rPr>
          <w:rFonts w:hint="eastAsia" w:ascii="仿宋" w:hAnsi="仿宋" w:eastAsia="仿宋"/>
          <w:color w:val="auto"/>
          <w:sz w:val="24"/>
          <w:highlight w:val="none"/>
        </w:rPr>
        <w:t>⑥</w:t>
      </w:r>
      <w:r>
        <w:rPr>
          <w:rFonts w:ascii="仿宋" w:hAnsi="仿宋" w:eastAsia="仿宋"/>
          <w:color w:val="auto"/>
          <w:sz w:val="24"/>
          <w:highlight w:val="none"/>
        </w:rPr>
        <w:t>对未按上述方式获取采购文件的供应商对该文件提出的质疑，采购人或采购代理机构将</w:t>
      </w:r>
      <w:r>
        <w:rPr>
          <w:rFonts w:hint="eastAsia" w:ascii="仿宋" w:hAnsi="仿宋" w:eastAsia="仿宋"/>
          <w:color w:val="auto"/>
          <w:sz w:val="24"/>
          <w:highlight w:val="none"/>
        </w:rPr>
        <w:t>不予处理；⑦</w:t>
      </w:r>
      <w:r>
        <w:rPr>
          <w:rFonts w:ascii="仿宋" w:hAnsi="仿宋" w:eastAsia="仿宋"/>
          <w:color w:val="auto"/>
          <w:sz w:val="24"/>
          <w:highlight w:val="none"/>
        </w:rPr>
        <w:t>不提供采购文件纸质版</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⑧</w:t>
      </w:r>
      <w:r>
        <w:rPr>
          <w:rFonts w:ascii="仿宋" w:hAnsi="仿宋" w:eastAsia="仿宋" w:cs="仿宋_GB2312"/>
          <w:color w:val="auto"/>
          <w:sz w:val="24"/>
          <w:highlight w:val="none"/>
        </w:rPr>
        <w:t>投标文件的传输递交：供应商在投标截止时间前将加密的投标文件上传至政府采购云平台，还可以在投标截止时间前直接提交或者以邮政快递方式递交备份投标文件1份。备份投标文件的制作、存储、密封详见采购文件第二部分第15点—“备份投标文件”</w:t>
      </w:r>
      <w:r>
        <w:rPr>
          <w:rFonts w:hint="eastAsia" w:ascii="仿宋" w:hAnsi="仿宋" w:eastAsia="仿宋" w:cs="仿宋_GB2312"/>
          <w:color w:val="auto"/>
          <w:sz w:val="24"/>
          <w:highlight w:val="none"/>
        </w:rPr>
        <w:t>；</w:t>
      </w:r>
      <w:r>
        <w:rPr>
          <w:rFonts w:hint="eastAsia" w:ascii="仿宋" w:hAnsi="仿宋" w:eastAsia="仿宋"/>
          <w:color w:val="auto"/>
          <w:sz w:val="24"/>
          <w:highlight w:val="none"/>
        </w:rPr>
        <w:t>⑨</w:t>
      </w:r>
      <w:r>
        <w:rPr>
          <w:rFonts w:hint="eastAsia" w:ascii="仿宋" w:hAnsi="仿宋" w:eastAsia="仿宋" w:cs="仿宋_GB2312"/>
          <w:color w:val="auto"/>
          <w:sz w:val="24"/>
          <w:highlight w:val="none"/>
        </w:rPr>
        <w:t>投标文件的解密：供应商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⑩</w:t>
      </w:r>
      <w:r>
        <w:rPr>
          <w:rFonts w:ascii="仿宋" w:hAnsi="仿宋" w:eastAsia="仿宋" w:cs="仿宋_GB2312"/>
          <w:color w:val="auto"/>
          <w:sz w:val="24"/>
          <w:highlight w:val="none"/>
        </w:rPr>
        <w:t>具体操作指南：详见政</w:t>
      </w:r>
      <w:r>
        <w:rPr>
          <w:rFonts w:hint="eastAsia" w:ascii="仿宋" w:hAnsi="仿宋" w:eastAsia="仿宋" w:cs="仿宋_GB2312"/>
          <w:color w:val="auto"/>
          <w:sz w:val="24"/>
          <w:highlight w:val="none"/>
        </w:rPr>
        <w:t>采云平台“服务中心</w:t>
      </w:r>
      <w:r>
        <w:rPr>
          <w:rFonts w:ascii="仿宋" w:hAnsi="仿宋" w:eastAsia="仿宋" w:cs="仿宋_GB2312"/>
          <w:color w:val="auto"/>
          <w:sz w:val="24"/>
          <w:highlight w:val="none"/>
        </w:rPr>
        <w:t>-帮助文档-项目采购-操作流程-电子招投标-政府采购项目电子交易管理操作指南-供应商”。</w:t>
      </w:r>
    </w:p>
    <w:p>
      <w:pPr>
        <w:pStyle w:val="36"/>
        <w:snapToGrid w:val="0"/>
        <w:spacing w:line="360" w:lineRule="auto"/>
        <w:rPr>
          <w:rFonts w:ascii="仿宋" w:hAnsi="仿宋" w:eastAsia="仿宋"/>
          <w:color w:val="auto"/>
          <w:highlight w:val="none"/>
        </w:rPr>
      </w:pPr>
      <w:r>
        <w:rPr>
          <w:rFonts w:hint="eastAsia" w:ascii="仿宋" w:hAnsi="仿宋" w:eastAsia="仿宋"/>
          <w:color w:val="auto"/>
          <w:highlight w:val="none"/>
        </w:rPr>
        <w:t>（3）单位负责人为同一人或者存在直接控股、管理关系的不同供应商，不得参加同一合同项下的政府采购活动；</w:t>
      </w:r>
      <w:r>
        <w:rPr>
          <w:rFonts w:ascii="仿宋" w:hAnsi="仿宋" w:eastAsia="仿宋" w:cs="仿宋_GB2312"/>
          <w:color w:val="auto"/>
          <w:highlight w:val="none"/>
        </w:rPr>
        <w:t>为采购项目提供整体设计、规范编制或者项目管理、监理、检测等服务后</w:t>
      </w:r>
      <w:r>
        <w:rPr>
          <w:rFonts w:hint="eastAsia" w:ascii="仿宋" w:hAnsi="仿宋" w:eastAsia="仿宋" w:cs="仿宋_GB2312"/>
          <w:color w:val="auto"/>
          <w:highlight w:val="none"/>
        </w:rPr>
        <w:t>不得</w:t>
      </w:r>
      <w:r>
        <w:rPr>
          <w:rFonts w:ascii="仿宋" w:hAnsi="仿宋" w:eastAsia="仿宋" w:cs="仿宋_GB2312"/>
          <w:color w:val="auto"/>
          <w:highlight w:val="none"/>
        </w:rPr>
        <w:t>再参加该采购项目的其他采购活动。</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八、对本次采购提出询问、质疑、投诉，请按以下方式联系</w:t>
      </w:r>
    </w:p>
    <w:p>
      <w:pPr>
        <w:pStyle w:val="644"/>
        <w:adjustRightInd w:val="0"/>
        <w:snapToGrid w:val="0"/>
        <w:ind w:firstLine="480"/>
        <w:rPr>
          <w:rFonts w:ascii="仿宋" w:hAnsi="仿宋" w:eastAsia="仿宋"/>
          <w:color w:val="auto"/>
          <w:szCs w:val="24"/>
          <w:highlight w:val="none"/>
        </w:rPr>
      </w:pPr>
      <w:r>
        <w:rPr>
          <w:rFonts w:ascii="仿宋" w:hAnsi="仿宋" w:eastAsia="仿宋"/>
          <w:color w:val="auto"/>
          <w:szCs w:val="24"/>
          <w:highlight w:val="none"/>
        </w:rPr>
        <w:t>1.</w:t>
      </w:r>
      <w:r>
        <w:rPr>
          <w:rFonts w:hint="eastAsia" w:ascii="仿宋" w:hAnsi="仿宋" w:eastAsia="仿宋"/>
          <w:color w:val="auto"/>
          <w:szCs w:val="24"/>
          <w:highlight w:val="none"/>
        </w:rPr>
        <w:t>采购人信息</w:t>
      </w:r>
    </w:p>
    <w:p>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名称：</w:t>
      </w:r>
      <w:r>
        <w:rPr>
          <w:rFonts w:hint="eastAsia" w:ascii="仿宋" w:hAnsi="仿宋" w:eastAsia="仿宋" w:cs="宋体"/>
          <w:color w:val="auto"/>
          <w:kern w:val="0"/>
          <w:sz w:val="24"/>
          <w:highlight w:val="none"/>
        </w:rPr>
        <w:t>杭州市临平区人民政府临平街道办事处</w:t>
      </w:r>
    </w:p>
    <w:p>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地址：</w:t>
      </w:r>
      <w:r>
        <w:rPr>
          <w:rFonts w:hint="eastAsia" w:ascii="仿宋" w:hAnsi="仿宋" w:eastAsia="仿宋" w:cs="宋体"/>
          <w:color w:val="auto"/>
          <w:kern w:val="0"/>
          <w:sz w:val="24"/>
          <w:highlight w:val="none"/>
        </w:rPr>
        <w:t>杭州市临平区临平北沙东路50号</w:t>
      </w:r>
      <w:r>
        <w:rPr>
          <w:rFonts w:ascii="仿宋" w:hAnsi="仿宋" w:eastAsia="仿宋" w:cs="宋体"/>
          <w:color w:val="auto"/>
          <w:kern w:val="0"/>
          <w:sz w:val="24"/>
          <w:highlight w:val="none"/>
        </w:rPr>
        <w:t xml:space="preserve">  </w:t>
      </w:r>
    </w:p>
    <w:p>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项目联系人：</w:t>
      </w:r>
      <w:r>
        <w:rPr>
          <w:rFonts w:hint="eastAsia" w:ascii="仿宋" w:hAnsi="仿宋" w:eastAsia="仿宋" w:cs="宋体"/>
          <w:color w:val="auto"/>
          <w:kern w:val="0"/>
          <w:sz w:val="24"/>
          <w:highlight w:val="none"/>
        </w:rPr>
        <w:t xml:space="preserve">孙伟         </w:t>
      </w:r>
      <w:r>
        <w:rPr>
          <w:rFonts w:ascii="仿宋" w:hAnsi="仿宋" w:eastAsia="仿宋" w:cs="宋体"/>
          <w:color w:val="auto"/>
          <w:kern w:val="0"/>
          <w:sz w:val="24"/>
          <w:highlight w:val="none"/>
        </w:rPr>
        <w:t xml:space="preserve"> </w:t>
      </w:r>
    </w:p>
    <w:p>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项目联系方式：</w:t>
      </w:r>
      <w:r>
        <w:rPr>
          <w:rFonts w:hint="eastAsia" w:ascii="仿宋" w:hAnsi="仿宋" w:eastAsia="仿宋" w:cs="宋体"/>
          <w:color w:val="auto"/>
          <w:kern w:val="0"/>
          <w:sz w:val="24"/>
          <w:highlight w:val="none"/>
        </w:rPr>
        <w:t xml:space="preserve">0571-89188271       </w:t>
      </w:r>
    </w:p>
    <w:p>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质疑联系人</w:t>
      </w:r>
      <w:r>
        <w:rPr>
          <w:rFonts w:hint="eastAsia" w:ascii="仿宋" w:hAnsi="仿宋" w:eastAsia="仿宋" w:cs="宋体"/>
          <w:color w:val="auto"/>
          <w:kern w:val="0"/>
          <w:sz w:val="24"/>
          <w:highlight w:val="none"/>
        </w:rPr>
        <w:t xml:space="preserve">：李莉     </w:t>
      </w:r>
    </w:p>
    <w:p>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质疑联系方式：</w:t>
      </w:r>
      <w:r>
        <w:rPr>
          <w:rFonts w:hint="eastAsia" w:ascii="仿宋" w:hAnsi="仿宋" w:eastAsia="仿宋" w:cs="宋体"/>
          <w:color w:val="auto"/>
          <w:kern w:val="0"/>
          <w:sz w:val="24"/>
          <w:highlight w:val="none"/>
        </w:rPr>
        <w:t xml:space="preserve">0571-89266376       </w:t>
      </w:r>
    </w:p>
    <w:p>
      <w:pPr>
        <w:widowControl/>
        <w:snapToGrid w:val="0"/>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2.</w:t>
      </w:r>
      <w:r>
        <w:rPr>
          <w:rFonts w:hint="eastAsia" w:ascii="仿宋" w:hAnsi="仿宋" w:eastAsia="仿宋" w:cs="宋体"/>
          <w:color w:val="auto"/>
          <w:sz w:val="24"/>
          <w:highlight w:val="none"/>
        </w:rPr>
        <w:t>采购代理机构信息</w:t>
      </w:r>
    </w:p>
    <w:p>
      <w:pPr>
        <w:pStyle w:val="644"/>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名称：杭州中瑞招标代理有限公司</w:t>
      </w:r>
    </w:p>
    <w:p>
      <w:pPr>
        <w:pStyle w:val="644"/>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地址：杭州市临平区临平街道河南埭路108号临平新天地3号楼3楼</w:t>
      </w:r>
    </w:p>
    <w:p>
      <w:pPr>
        <w:pStyle w:val="644"/>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项目联系人：金佳霖</w:t>
      </w:r>
      <w:r>
        <w:rPr>
          <w:rFonts w:hint="eastAsia" w:ascii="仿宋" w:hAnsi="仿宋" w:eastAsia="仿宋"/>
          <w:color w:val="auto"/>
          <w:szCs w:val="24"/>
          <w:highlight w:val="none"/>
        </w:rPr>
        <w:tab/>
      </w:r>
    </w:p>
    <w:p>
      <w:pPr>
        <w:pStyle w:val="644"/>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项目联系方式：0571-86111691</w:t>
      </w:r>
    </w:p>
    <w:p>
      <w:pPr>
        <w:pStyle w:val="644"/>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质疑联系人：秦沙金</w:t>
      </w:r>
    </w:p>
    <w:p>
      <w:pPr>
        <w:pStyle w:val="644"/>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 xml:space="preserve">质疑联系方式：0571-86111691 </w:t>
      </w:r>
    </w:p>
    <w:p>
      <w:pPr>
        <w:numPr>
          <w:ilvl w:val="0"/>
          <w:numId w:val="14"/>
        </w:numPr>
        <w:spacing w:line="360" w:lineRule="auto"/>
        <w:rPr>
          <w:rFonts w:ascii="仿宋" w:hAnsi="仿宋" w:eastAsia="仿宋"/>
          <w:color w:val="auto"/>
          <w:sz w:val="24"/>
          <w:highlight w:val="none"/>
        </w:rPr>
      </w:pPr>
      <w:r>
        <w:rPr>
          <w:rFonts w:ascii="仿宋" w:hAnsi="仿宋" w:eastAsia="仿宋"/>
          <w:color w:val="auto"/>
          <w:sz w:val="24"/>
          <w:highlight w:val="none"/>
        </w:rPr>
        <w:t xml:space="preserve">同级政府采购监督管理部门            </w:t>
      </w:r>
      <w:bookmarkStart w:id="17" w:name="_Toc76824065"/>
    </w:p>
    <w:bookmarkEnd w:id="17"/>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名称：杭州市</w:t>
      </w:r>
      <w:r>
        <w:rPr>
          <w:rFonts w:hint="eastAsia" w:ascii="仿宋" w:hAnsi="仿宋" w:eastAsia="仿宋"/>
          <w:color w:val="auto"/>
          <w:sz w:val="24"/>
          <w:highlight w:val="none"/>
        </w:rPr>
        <w:t>临平区</w:t>
      </w:r>
      <w:r>
        <w:rPr>
          <w:rFonts w:ascii="仿宋" w:hAnsi="仿宋" w:eastAsia="仿宋"/>
          <w:color w:val="auto"/>
          <w:sz w:val="24"/>
          <w:highlight w:val="none"/>
        </w:rPr>
        <w:t>财政局</w:t>
      </w:r>
      <w:r>
        <w:rPr>
          <w:rFonts w:ascii="Calibri" w:hAnsi="Calibri" w:eastAsia="仿宋" w:cs="Calibri"/>
          <w:color w:val="auto"/>
          <w:sz w:val="24"/>
          <w:highlight w:val="none"/>
        </w:rPr>
        <w:t> </w:t>
      </w:r>
      <w:r>
        <w:rPr>
          <w:rFonts w:ascii="仿宋" w:hAnsi="仿宋" w:eastAsia="仿宋"/>
          <w:color w:val="auto"/>
          <w:sz w:val="24"/>
          <w:highlight w:val="none"/>
        </w:rPr>
        <w:t>　　　　　　　　　　　</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地址：</w:t>
      </w:r>
      <w:r>
        <w:rPr>
          <w:rFonts w:hint="eastAsia" w:ascii="仿宋" w:hAnsi="仿宋" w:eastAsia="仿宋"/>
          <w:color w:val="auto"/>
          <w:sz w:val="24"/>
          <w:highlight w:val="none"/>
        </w:rPr>
        <w:t>杭州市临平区临平东湖中路236号财税大楼</w:t>
      </w:r>
      <w:r>
        <w:rPr>
          <w:rFonts w:ascii="Calibri" w:hAnsi="Calibri" w:eastAsia="仿宋" w:cs="Calibri"/>
          <w:color w:val="auto"/>
          <w:sz w:val="24"/>
          <w:highlight w:val="none"/>
        </w:rPr>
        <w:t>  </w:t>
      </w:r>
      <w:r>
        <w:rPr>
          <w:rFonts w:ascii="仿宋" w:hAnsi="仿宋" w:eastAsia="仿宋"/>
          <w:color w:val="auto"/>
          <w:sz w:val="24"/>
          <w:highlight w:val="none"/>
        </w:rPr>
        <w:t>　　　　　　　　　　　</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传真：</w:t>
      </w:r>
      <w:r>
        <w:rPr>
          <w:rFonts w:hint="eastAsia" w:ascii="仿宋" w:hAnsi="仿宋" w:eastAsia="仿宋"/>
          <w:color w:val="auto"/>
          <w:sz w:val="24"/>
          <w:highlight w:val="none"/>
        </w:rPr>
        <w:t>/</w:t>
      </w:r>
      <w:r>
        <w:rPr>
          <w:rFonts w:ascii="仿宋" w:hAnsi="仿宋" w:eastAsia="仿宋"/>
          <w:color w:val="auto"/>
          <w:sz w:val="24"/>
          <w:highlight w:val="none"/>
        </w:rPr>
        <w:t xml:space="preserve"> </w:t>
      </w:r>
      <w:r>
        <w:rPr>
          <w:rFonts w:ascii="Calibri" w:hAnsi="Calibri" w:eastAsia="仿宋" w:cs="Calibri"/>
          <w:color w:val="auto"/>
          <w:sz w:val="24"/>
          <w:highlight w:val="none"/>
        </w:rPr>
        <w:t> </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联系人：</w:t>
      </w:r>
      <w:r>
        <w:rPr>
          <w:rFonts w:hint="eastAsia" w:ascii="仿宋" w:hAnsi="仿宋" w:eastAsia="仿宋"/>
          <w:color w:val="auto"/>
          <w:sz w:val="24"/>
          <w:highlight w:val="none"/>
        </w:rPr>
        <w:t>俞征</w:t>
      </w:r>
      <w:r>
        <w:rPr>
          <w:rFonts w:ascii="仿宋" w:hAnsi="仿宋" w:eastAsia="仿宋"/>
          <w:color w:val="auto"/>
          <w:sz w:val="24"/>
          <w:highlight w:val="none"/>
        </w:rPr>
        <w:t>　　　　　　　　　　　</w:t>
      </w:r>
    </w:p>
    <w:p>
      <w:pPr>
        <w:shd w:val="clear" w:color="auto" w:fill="FFFFFF"/>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监督投诉电话：</w:t>
      </w:r>
      <w:r>
        <w:rPr>
          <w:rFonts w:hint="eastAsia" w:ascii="仿宋" w:hAnsi="仿宋" w:eastAsia="仿宋"/>
          <w:color w:val="auto"/>
          <w:sz w:val="24"/>
          <w:highlight w:val="none"/>
        </w:rPr>
        <w:t xml:space="preserve">0571-89185312 </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若对项目采购电子交易系统操作有疑问，可登录政采云（</w:t>
      </w:r>
      <w:r>
        <w:rPr>
          <w:rFonts w:ascii="仿宋" w:hAnsi="仿宋" w:eastAsia="仿宋"/>
          <w:color w:val="auto"/>
          <w:sz w:val="24"/>
          <w:highlight w:val="none"/>
        </w:rPr>
        <w:t>https://www.zcygov.cn/），点击右侧咨询小采，获取采小蜜智能服务管家帮助，或拨打政</w:t>
      </w:r>
      <w:r>
        <w:rPr>
          <w:rFonts w:hint="eastAsia" w:ascii="仿宋" w:hAnsi="仿宋" w:eastAsia="仿宋"/>
          <w:color w:val="auto"/>
          <w:sz w:val="24"/>
          <w:highlight w:val="none"/>
        </w:rPr>
        <w:t>采云服务热线</w:t>
      </w:r>
      <w:r>
        <w:rPr>
          <w:rFonts w:ascii="仿宋" w:hAnsi="仿宋" w:eastAsia="仿宋"/>
          <w:color w:val="auto"/>
          <w:sz w:val="24"/>
          <w:highlight w:val="none"/>
        </w:rPr>
        <w:t>400-881-7190获取热线服务帮助。</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CA问题联系电话（人工）：</w:t>
      </w:r>
      <w:r>
        <w:rPr>
          <w:rFonts w:hint="eastAsia" w:ascii="仿宋" w:hAnsi="仿宋" w:eastAsia="仿宋"/>
          <w:color w:val="auto"/>
          <w:sz w:val="24"/>
          <w:highlight w:val="none"/>
        </w:rPr>
        <w:t>汇信</w:t>
      </w:r>
      <w:r>
        <w:rPr>
          <w:rFonts w:ascii="仿宋" w:hAnsi="仿宋" w:eastAsia="仿宋"/>
          <w:color w:val="auto"/>
          <w:sz w:val="24"/>
          <w:highlight w:val="none"/>
        </w:rPr>
        <w:t>CA 400-888-4636；天谷CA 400-087-8198。</w:t>
      </w:r>
      <w:r>
        <w:rPr>
          <w:rFonts w:ascii="仿宋" w:hAnsi="仿宋" w:eastAsia="仿宋" w:cs="仿宋_GB2312"/>
          <w:color w:val="auto"/>
          <w:sz w:val="24"/>
          <w:highlight w:val="none"/>
        </w:rPr>
        <w:t xml:space="preserve">       </w:t>
      </w:r>
    </w:p>
    <w:p>
      <w:pPr>
        <w:pStyle w:val="46"/>
        <w:snapToGrid w:val="0"/>
        <w:spacing w:line="360" w:lineRule="auto"/>
        <w:ind w:firstLine="480" w:firstLineChars="200"/>
        <w:rPr>
          <w:rFonts w:ascii="仿宋" w:hAnsi="仿宋" w:eastAsia="仿宋" w:cs="仿宋_GB2312"/>
          <w:color w:val="auto"/>
          <w:sz w:val="24"/>
          <w:highlight w:val="none"/>
        </w:rPr>
      </w:pPr>
    </w:p>
    <w:p>
      <w:pPr>
        <w:pStyle w:val="46"/>
        <w:snapToGrid w:val="0"/>
        <w:spacing w:line="360" w:lineRule="auto"/>
        <w:ind w:firstLine="480" w:firstLineChars="200"/>
        <w:rPr>
          <w:rFonts w:ascii="仿宋" w:hAnsi="仿宋" w:eastAsia="仿宋" w:cs="仿宋_GB2312"/>
          <w:color w:val="auto"/>
          <w:sz w:val="24"/>
          <w:highlight w:val="none"/>
        </w:rPr>
      </w:pPr>
    </w:p>
    <w:p>
      <w:pPr>
        <w:pStyle w:val="46"/>
        <w:snapToGrid w:val="0"/>
        <w:spacing w:line="360" w:lineRule="auto"/>
        <w:ind w:firstLine="480" w:firstLineChars="200"/>
        <w:rPr>
          <w:rFonts w:ascii="仿宋" w:hAnsi="仿宋" w:eastAsia="仿宋" w:cs="仿宋_GB2312"/>
          <w:color w:val="auto"/>
          <w:sz w:val="24"/>
          <w:highlight w:val="none"/>
        </w:rPr>
      </w:pPr>
    </w:p>
    <w:p>
      <w:pPr>
        <w:pStyle w:val="46"/>
        <w:snapToGrid w:val="0"/>
        <w:spacing w:line="360" w:lineRule="auto"/>
        <w:ind w:firstLine="480" w:firstLineChars="200"/>
        <w:rPr>
          <w:rFonts w:ascii="仿宋" w:hAnsi="仿宋" w:eastAsia="仿宋" w:cs="仿宋_GB2312"/>
          <w:color w:val="auto"/>
          <w:sz w:val="24"/>
          <w:highlight w:val="none"/>
        </w:rPr>
      </w:pPr>
    </w:p>
    <w:p>
      <w:pPr>
        <w:pStyle w:val="46"/>
        <w:snapToGrid w:val="0"/>
        <w:spacing w:line="360" w:lineRule="auto"/>
        <w:ind w:firstLine="480" w:firstLineChars="200"/>
        <w:rPr>
          <w:rFonts w:ascii="仿宋" w:hAnsi="仿宋" w:eastAsia="仿宋" w:cs="仿宋_GB2312"/>
          <w:color w:val="auto"/>
          <w:sz w:val="24"/>
          <w:highlight w:val="none"/>
        </w:rPr>
      </w:pPr>
    </w:p>
    <w:p>
      <w:pPr>
        <w:pStyle w:val="46"/>
        <w:snapToGrid w:val="0"/>
        <w:spacing w:line="360" w:lineRule="auto"/>
        <w:ind w:firstLine="480" w:firstLineChars="200"/>
        <w:rPr>
          <w:rFonts w:ascii="仿宋" w:hAnsi="仿宋" w:eastAsia="仿宋" w:cs="仿宋_GB2312"/>
          <w:color w:val="auto"/>
          <w:sz w:val="24"/>
          <w:highlight w:val="none"/>
        </w:rPr>
      </w:pPr>
    </w:p>
    <w:p>
      <w:pPr>
        <w:pStyle w:val="46"/>
        <w:snapToGrid w:val="0"/>
        <w:spacing w:line="360" w:lineRule="auto"/>
        <w:ind w:firstLine="480" w:firstLineChars="200"/>
        <w:rPr>
          <w:rFonts w:ascii="仿宋" w:hAnsi="仿宋" w:eastAsia="仿宋" w:cs="仿宋_GB2312"/>
          <w:color w:val="auto"/>
          <w:sz w:val="24"/>
          <w:highlight w:val="none"/>
        </w:rPr>
      </w:pPr>
    </w:p>
    <w:p>
      <w:pPr>
        <w:pStyle w:val="46"/>
        <w:snapToGrid w:val="0"/>
        <w:spacing w:line="360" w:lineRule="auto"/>
        <w:ind w:firstLine="480" w:firstLineChars="200"/>
        <w:rPr>
          <w:rFonts w:ascii="仿宋" w:hAnsi="仿宋" w:eastAsia="仿宋" w:cs="仿宋_GB2312"/>
          <w:color w:val="auto"/>
          <w:sz w:val="24"/>
          <w:highlight w:val="none"/>
        </w:rPr>
      </w:pPr>
    </w:p>
    <w:p>
      <w:pPr>
        <w:pStyle w:val="46"/>
        <w:snapToGrid w:val="0"/>
        <w:spacing w:line="360" w:lineRule="auto"/>
        <w:ind w:firstLine="480" w:firstLineChars="200"/>
        <w:rPr>
          <w:rFonts w:ascii="仿宋" w:hAnsi="仿宋" w:eastAsia="仿宋" w:cs="仿宋_GB2312"/>
          <w:color w:val="auto"/>
          <w:sz w:val="24"/>
          <w:highlight w:val="none"/>
        </w:rPr>
      </w:pPr>
    </w:p>
    <w:p>
      <w:pPr>
        <w:pStyle w:val="46"/>
        <w:snapToGrid w:val="0"/>
        <w:spacing w:line="360" w:lineRule="auto"/>
        <w:ind w:firstLine="480" w:firstLineChars="200"/>
        <w:rPr>
          <w:rFonts w:ascii="仿宋" w:hAnsi="仿宋" w:eastAsia="仿宋" w:cs="仿宋_GB2312"/>
          <w:color w:val="auto"/>
          <w:sz w:val="24"/>
          <w:highlight w:val="none"/>
        </w:rPr>
      </w:pPr>
    </w:p>
    <w:p>
      <w:pPr>
        <w:pStyle w:val="46"/>
        <w:snapToGrid w:val="0"/>
        <w:spacing w:line="360" w:lineRule="auto"/>
        <w:ind w:firstLine="480" w:firstLineChars="200"/>
        <w:rPr>
          <w:rFonts w:ascii="仿宋" w:hAnsi="仿宋" w:eastAsia="仿宋" w:cs="仿宋_GB2312"/>
          <w:color w:val="auto"/>
          <w:sz w:val="24"/>
          <w:highlight w:val="none"/>
        </w:rPr>
      </w:pPr>
    </w:p>
    <w:p>
      <w:pPr>
        <w:pStyle w:val="46"/>
        <w:snapToGrid w:val="0"/>
        <w:spacing w:line="360" w:lineRule="auto"/>
        <w:ind w:firstLine="480" w:firstLineChars="200"/>
        <w:rPr>
          <w:rFonts w:ascii="仿宋" w:hAnsi="仿宋" w:eastAsia="仿宋" w:cs="仿宋_GB2312"/>
          <w:color w:val="auto"/>
          <w:sz w:val="24"/>
          <w:highlight w:val="none"/>
        </w:rPr>
      </w:pPr>
    </w:p>
    <w:p>
      <w:pPr>
        <w:pStyle w:val="46"/>
        <w:snapToGrid w:val="0"/>
        <w:spacing w:line="360" w:lineRule="auto"/>
        <w:ind w:firstLine="480" w:firstLineChars="200"/>
        <w:rPr>
          <w:rFonts w:ascii="仿宋" w:hAnsi="仿宋" w:eastAsia="仿宋" w:cs="仿宋_GB2312"/>
          <w:color w:val="auto"/>
          <w:sz w:val="24"/>
          <w:highlight w:val="none"/>
        </w:rPr>
      </w:pPr>
    </w:p>
    <w:p>
      <w:pPr>
        <w:spacing w:line="360" w:lineRule="auto"/>
        <w:rPr>
          <w:rFonts w:ascii="仿宋" w:hAnsi="仿宋" w:eastAsia="仿宋"/>
          <w:color w:val="auto"/>
          <w:highlight w:val="none"/>
        </w:rPr>
      </w:pPr>
      <w:bookmarkStart w:id="831" w:name="_GoBack"/>
      <w:bookmarkEnd w:id="831"/>
      <w:bookmarkStart w:id="18" w:name="_Toc27720"/>
      <w:bookmarkStart w:id="19" w:name="_Toc9084"/>
      <w:bookmarkStart w:id="20" w:name="_Toc2935"/>
      <w:bookmarkStart w:id="21" w:name="_Toc528230691"/>
      <w:bookmarkStart w:id="22" w:name="_Toc95312934"/>
    </w:p>
    <w:p>
      <w:pPr>
        <w:pStyle w:val="4"/>
        <w:jc w:val="center"/>
        <w:rPr>
          <w:rFonts w:ascii="仿宋" w:hAnsi="仿宋" w:eastAsia="仿宋"/>
          <w:color w:val="auto"/>
          <w:highlight w:val="none"/>
        </w:rPr>
      </w:pPr>
      <w:bookmarkStart w:id="23" w:name="_Toc12764"/>
      <w:r>
        <w:rPr>
          <w:rFonts w:hint="eastAsia" w:ascii="仿宋" w:hAnsi="仿宋" w:eastAsia="仿宋"/>
          <w:color w:val="auto"/>
          <w:highlight w:val="none"/>
        </w:rPr>
        <w:t>第二部分</w:t>
      </w:r>
      <w:bookmarkEnd w:id="6"/>
      <w:r>
        <w:rPr>
          <w:rFonts w:ascii="仿宋" w:hAnsi="仿宋" w:eastAsia="仿宋"/>
          <w:color w:val="auto"/>
          <w:highlight w:val="none"/>
        </w:rPr>
        <w:t xml:space="preserve"> </w:t>
      </w:r>
      <w:r>
        <w:rPr>
          <w:rFonts w:hint="eastAsia" w:ascii="仿宋" w:hAnsi="仿宋" w:eastAsia="仿宋"/>
          <w:color w:val="auto"/>
          <w:highlight w:val="none"/>
        </w:rPr>
        <w:t>投标人</w:t>
      </w:r>
      <w:r>
        <w:rPr>
          <w:rFonts w:ascii="仿宋" w:hAnsi="仿宋" w:eastAsia="仿宋"/>
          <w:color w:val="auto"/>
          <w:highlight w:val="none"/>
        </w:rPr>
        <w:t>须知</w:t>
      </w:r>
      <w:bookmarkEnd w:id="7"/>
      <w:bookmarkEnd w:id="18"/>
      <w:bookmarkEnd w:id="19"/>
      <w:bookmarkEnd w:id="20"/>
      <w:bookmarkEnd w:id="21"/>
      <w:bookmarkEnd w:id="22"/>
      <w:bookmarkEnd w:id="23"/>
    </w:p>
    <w:p>
      <w:pPr>
        <w:pStyle w:val="5"/>
        <w:jc w:val="center"/>
        <w:rPr>
          <w:rFonts w:ascii="仿宋" w:hAnsi="仿宋" w:eastAsia="仿宋"/>
          <w:color w:val="auto"/>
          <w:highlight w:val="none"/>
        </w:rPr>
      </w:pPr>
      <w:bookmarkStart w:id="24" w:name="_Toc275826939"/>
      <w:bookmarkStart w:id="25" w:name="_Toc26268"/>
      <w:bookmarkStart w:id="26" w:name="_Toc12938"/>
      <w:bookmarkStart w:id="27" w:name="_Toc28300"/>
      <w:bookmarkStart w:id="28" w:name="_Toc95312935"/>
      <w:bookmarkStart w:id="29" w:name="_Toc4935"/>
      <w:r>
        <w:rPr>
          <w:rFonts w:hint="eastAsia" w:ascii="仿宋" w:hAnsi="仿宋" w:eastAsia="仿宋"/>
          <w:color w:val="auto"/>
          <w:highlight w:val="none"/>
        </w:rPr>
        <w:t>前附表</w:t>
      </w:r>
      <w:bookmarkEnd w:id="24"/>
      <w:bookmarkEnd w:id="25"/>
      <w:bookmarkEnd w:id="26"/>
      <w:bookmarkEnd w:id="27"/>
      <w:bookmarkEnd w:id="28"/>
      <w:bookmarkEnd w:id="29"/>
    </w:p>
    <w:tbl>
      <w:tblPr>
        <w:tblStyle w:val="88"/>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6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b/>
                <w:bCs/>
                <w:color w:val="auto"/>
                <w:sz w:val="24"/>
                <w:highlight w:val="none"/>
              </w:rPr>
            </w:pPr>
            <w:bookmarkStart w:id="30" w:name="_Toc18461"/>
            <w:bookmarkStart w:id="31" w:name="_Toc1553653547"/>
            <w:bookmarkStart w:id="32" w:name="_Toc95736576"/>
            <w:bookmarkStart w:id="33" w:name="_Toc547338095"/>
            <w:bookmarkStart w:id="34" w:name="_Toc31589"/>
            <w:bookmarkStart w:id="35" w:name="_Toc31188"/>
            <w:bookmarkStart w:id="36" w:name="_Toc95312936"/>
            <w:r>
              <w:rPr>
                <w:rFonts w:hint="eastAsia" w:ascii="仿宋" w:hAnsi="仿宋" w:eastAsia="仿宋"/>
                <w:b/>
                <w:bCs/>
                <w:color w:val="auto"/>
                <w:sz w:val="24"/>
                <w:highlight w:val="none"/>
              </w:rPr>
              <w:t>本次报价须包含按采购文件要求完成本项目所需的所有费用</w:t>
            </w:r>
            <w:r>
              <w:rPr>
                <w:rFonts w:ascii="仿宋" w:hAnsi="仿宋" w:eastAsia="仿宋"/>
                <w:b/>
                <w:bCs/>
                <w:color w:val="auto"/>
                <w:sz w:val="24"/>
                <w:highlight w:val="none"/>
              </w:rPr>
              <w:t>(包括</w:t>
            </w:r>
            <w:r>
              <w:rPr>
                <w:rFonts w:hint="eastAsia" w:ascii="仿宋" w:hAnsi="仿宋" w:eastAsia="仿宋"/>
                <w:b/>
                <w:bCs/>
                <w:color w:val="auto"/>
                <w:sz w:val="24"/>
                <w:highlight w:val="none"/>
              </w:rPr>
              <w:t>设计、制作、安装、现场技术服务、人员交通食宿费、税金、</w:t>
            </w:r>
            <w:r>
              <w:rPr>
                <w:rFonts w:ascii="仿宋" w:hAnsi="仿宋" w:eastAsia="仿宋"/>
                <w:b/>
                <w:bCs/>
                <w:color w:val="auto"/>
                <w:sz w:val="24"/>
                <w:highlight w:val="none"/>
              </w:rPr>
              <w:t>保险等，一切费用均计入报价。对于保障本项目完整顺利实施的必须项，如上述未包含，供应商需自行测算及预估，且费用均已包含在报价中)。</w:t>
            </w:r>
          </w:p>
          <w:bookmarkEnd w:id="30"/>
          <w:bookmarkEnd w:id="31"/>
          <w:bookmarkEnd w:id="32"/>
          <w:bookmarkEnd w:id="33"/>
          <w:bookmarkEnd w:id="34"/>
          <w:bookmarkEnd w:id="35"/>
          <w:bookmarkEnd w:id="36"/>
          <w:p>
            <w:pPr>
              <w:snapToGrid w:val="0"/>
              <w:spacing w:line="360" w:lineRule="auto"/>
              <w:rPr>
                <w:rFonts w:ascii="仿宋" w:hAnsi="仿宋" w:eastAsia="仿宋"/>
                <w:b/>
                <w:bCs/>
                <w:color w:val="auto"/>
                <w:sz w:val="24"/>
                <w:highlight w:val="none"/>
                <w:lang w:val="zh-CN"/>
              </w:rPr>
            </w:pPr>
            <w:r>
              <w:rPr>
                <w:rFonts w:hint="eastAsia" w:ascii="仿宋" w:hAnsi="仿宋" w:eastAsia="仿宋"/>
                <w:b/>
                <w:bCs/>
                <w:color w:val="auto"/>
                <w:sz w:val="24"/>
                <w:highlight w:val="none"/>
                <w:lang w:val="zh-CN"/>
              </w:rPr>
              <w:t>投标报价出现下列情形的，投标无效：</w:t>
            </w:r>
          </w:p>
          <w:p>
            <w:pPr>
              <w:snapToGrid w:val="0"/>
              <w:spacing w:line="360" w:lineRule="auto"/>
              <w:rPr>
                <w:rFonts w:ascii="仿宋" w:hAnsi="仿宋" w:eastAsia="仿宋"/>
                <w:b/>
                <w:bCs/>
                <w:color w:val="auto"/>
                <w:sz w:val="24"/>
                <w:highlight w:val="none"/>
                <w:lang w:val="zh-CN"/>
              </w:rPr>
            </w:pPr>
            <w:r>
              <w:rPr>
                <w:rFonts w:hint="eastAsia" w:ascii="仿宋" w:hAnsi="仿宋" w:eastAsia="仿宋"/>
                <w:b/>
                <w:bCs/>
                <w:color w:val="auto"/>
                <w:sz w:val="24"/>
                <w:highlight w:val="none"/>
                <w:lang w:val="zh-CN"/>
              </w:rPr>
              <w:t>投标文件出现不是唯一的、有选择性投标报价的；</w:t>
            </w:r>
          </w:p>
          <w:p>
            <w:pPr>
              <w:snapToGrid w:val="0"/>
              <w:spacing w:line="360" w:lineRule="auto"/>
              <w:rPr>
                <w:rFonts w:ascii="仿宋" w:hAnsi="仿宋" w:eastAsia="仿宋"/>
                <w:b/>
                <w:bCs/>
                <w:color w:val="auto"/>
                <w:sz w:val="24"/>
                <w:highlight w:val="none"/>
                <w:lang w:val="zh-CN"/>
              </w:rPr>
            </w:pPr>
            <w:r>
              <w:rPr>
                <w:rFonts w:hint="eastAsia" w:ascii="仿宋" w:hAnsi="仿宋" w:eastAsia="仿宋"/>
                <w:b/>
                <w:bCs/>
                <w:color w:val="auto"/>
                <w:sz w:val="24"/>
                <w:highlight w:val="none"/>
                <w:lang w:val="zh-CN"/>
              </w:rPr>
              <w:t>投标报价超过采购文件中规定的预算金额或者最高限价的;</w:t>
            </w:r>
          </w:p>
          <w:p>
            <w:pPr>
              <w:snapToGrid w:val="0"/>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报价明显低于其他通过符合性审查供应商的报价，有可能影响产品质量或者不能诚信履约的，未能按要求提供书面说明或者提交相关证明材料证明其报价合理性的;</w:t>
            </w:r>
          </w:p>
          <w:p>
            <w:pPr>
              <w:snapToGrid w:val="0"/>
              <w:spacing w:line="360" w:lineRule="auto"/>
              <w:ind w:left="-425" w:firstLine="482" w:firstLineChars="200"/>
              <w:rPr>
                <w:rFonts w:ascii="仿宋" w:hAnsi="仿宋" w:eastAsia="仿宋"/>
                <w:color w:val="auto"/>
                <w:sz w:val="24"/>
                <w:highlight w:val="none"/>
              </w:rPr>
            </w:pPr>
            <w:r>
              <w:rPr>
                <w:rFonts w:hint="eastAsia" w:ascii="仿宋" w:hAnsi="仿宋" w:eastAsia="仿宋"/>
                <w:b/>
                <w:bCs/>
                <w:color w:val="auto"/>
                <w:sz w:val="24"/>
                <w:highlight w:val="none"/>
              </w:rPr>
              <w:t>供应商对根据修正原则修正后的报价不确认的。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bookmarkStart w:id="37" w:name="_Hlk96377661"/>
            <w:r>
              <w:rPr>
                <w:rFonts w:hint="eastAsia" w:ascii="仿宋" w:hAnsi="仿宋" w:eastAsia="仿宋"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分包、转包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b/>
                <w:color w:val="auto"/>
                <w:sz w:val="24"/>
                <w:highlight w:val="none"/>
                <w:u w:val="single"/>
              </w:rPr>
              <w:t>信息化设备集成</w:t>
            </w:r>
            <w:r>
              <w:rPr>
                <w:rFonts w:hint="eastAsia" w:ascii="仿宋" w:hAnsi="仿宋" w:eastAsia="仿宋" w:cs="仿宋"/>
                <w:color w:val="auto"/>
                <w:sz w:val="24"/>
                <w:highlight w:val="none"/>
              </w:rPr>
              <w:t>工作分包。</w:t>
            </w:r>
          </w:p>
          <w:p>
            <w:pPr>
              <w:spacing w:line="360" w:lineRule="auto"/>
              <w:rPr>
                <w:rFonts w:ascii="仿宋" w:hAnsi="仿宋" w:eastAsia="仿宋"/>
                <w:color w:val="auto"/>
                <w:highlight w:val="none"/>
              </w:rPr>
            </w:pPr>
            <w:sdt>
              <w:sdtPr>
                <w:rPr>
                  <w:rFonts w:hint="eastAsia" w:ascii="宋体" w:hAnsi="宋体" w:cs="宋体"/>
                  <w:color w:val="auto"/>
                  <w:kern w:val="0"/>
                  <w:sz w:val="24"/>
                  <w:highlight w:val="none"/>
                </w:rPr>
                <w:id w:val="-12357785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bookmarkEnd w:id="37"/>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1843"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供应商应当提供的资格证明文件</w:t>
            </w:r>
          </w:p>
        </w:tc>
        <w:tc>
          <w:tcPr>
            <w:tcW w:w="6095" w:type="dxa"/>
            <w:tcBorders>
              <w:top w:val="single" w:color="000000" w:sz="8" w:space="0"/>
              <w:left w:val="single" w:color="000000" w:sz="2" w:space="0"/>
              <w:right w:val="single" w:color="000000" w:sz="8" w:space="0"/>
            </w:tcBorders>
            <w:vAlign w:val="center"/>
          </w:tcPr>
          <w:p>
            <w:pPr>
              <w:snapToGrid w:val="0"/>
              <w:spacing w:line="360" w:lineRule="auto"/>
              <w:rPr>
                <w:rFonts w:ascii="仿宋" w:hAnsi="仿宋" w:eastAsia="仿宋"/>
                <w:color w:val="auto"/>
                <w:sz w:val="24"/>
                <w:highlight w:val="none"/>
              </w:rPr>
            </w:pPr>
            <w:r>
              <w:rPr>
                <w:rFonts w:ascii="仿宋" w:hAnsi="仿宋" w:eastAsia="仿宋"/>
                <w:color w:val="auto"/>
                <w:sz w:val="24"/>
                <w:highlight w:val="none"/>
              </w:rPr>
              <w:t>资格证明文件：见采购文件第二部分11.1。</w:t>
            </w:r>
          </w:p>
          <w:p>
            <w:pPr>
              <w:snapToGrid w:val="0"/>
              <w:spacing w:line="360" w:lineRule="auto"/>
              <w:rPr>
                <w:rFonts w:ascii="仿宋" w:hAnsi="仿宋" w:eastAsia="仿宋" w:cs="Arial"/>
                <w:snapToGrid w:val="0"/>
                <w:color w:val="auto"/>
                <w:kern w:val="0"/>
                <w:szCs w:val="21"/>
                <w:highlight w:val="none"/>
              </w:rPr>
            </w:pPr>
            <w:r>
              <w:rPr>
                <w:rFonts w:hint="eastAsia" w:ascii="仿宋" w:hAnsi="仿宋" w:eastAsia="仿宋"/>
                <w:color w:val="auto"/>
                <w:kern w:val="0"/>
                <w:sz w:val="24"/>
                <w:highlight w:val="none"/>
                <w:lang w:val="zh-CN"/>
              </w:rPr>
              <w:t>供应商未提供有效的资格证明文件的，视为供应商不具备采购文件中规定的资格要求，投标无效。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s="Arial"/>
                <w:color w:val="auto"/>
                <w:kern w:val="0"/>
                <w:sz w:val="24"/>
                <w:highlight w:val="none"/>
              </w:rPr>
              <w:sym w:font="Wingdings" w:char="F0FE"/>
            </w:r>
            <w:r>
              <w:rPr>
                <w:rFonts w:ascii="仿宋" w:hAnsi="仿宋" w:eastAsia="仿宋" w:cs="Arial"/>
                <w:color w:val="auto"/>
                <w:kern w:val="0"/>
                <w:sz w:val="24"/>
                <w:highlight w:val="none"/>
              </w:rPr>
              <w:t>A</w:t>
            </w:r>
            <w:r>
              <w:rPr>
                <w:rFonts w:hint="eastAsia" w:ascii="仿宋" w:hAnsi="仿宋" w:eastAsia="仿宋"/>
                <w:color w:val="auto"/>
                <w:sz w:val="24"/>
                <w:highlight w:val="none"/>
              </w:rPr>
              <w:t>不组织。</w:t>
            </w:r>
          </w:p>
          <w:p>
            <w:pPr>
              <w:snapToGrid w:val="0"/>
              <w:spacing w:line="360" w:lineRule="auto"/>
              <w:rPr>
                <w:rFonts w:ascii="仿宋" w:hAnsi="仿宋" w:eastAsia="仿宋"/>
                <w:color w:val="auto"/>
                <w:sz w:val="24"/>
                <w:szCs w:val="20"/>
                <w:highlight w:val="none"/>
              </w:rPr>
            </w:pP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B组织，</w:t>
            </w:r>
            <w:r>
              <w:rPr>
                <w:rFonts w:hint="eastAsia" w:ascii="仿宋" w:hAnsi="仿宋" w:eastAsia="仿宋"/>
                <w:color w:val="auto"/>
                <w:sz w:val="24"/>
                <w:highlight w:val="none"/>
              </w:rPr>
              <w:t>时间：</w:t>
            </w:r>
            <w:r>
              <w:rPr>
                <w:rFonts w:ascii="仿宋" w:hAnsi="仿宋" w:eastAsia="仿宋"/>
                <w:color w:val="auto"/>
                <w:sz w:val="24"/>
                <w:highlight w:val="none"/>
                <w:u w:val="single"/>
              </w:rPr>
              <w:t xml:space="preserve">      </w:t>
            </w:r>
            <w:r>
              <w:rPr>
                <w:rFonts w:ascii="仿宋" w:hAnsi="仿宋" w:eastAsia="仿宋"/>
                <w:color w:val="auto"/>
                <w:sz w:val="24"/>
                <w:highlight w:val="none"/>
              </w:rPr>
              <w:t>,地点：</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，联系人：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，联系方式：</w:t>
            </w:r>
            <w:r>
              <w:rPr>
                <w:rFonts w:ascii="仿宋" w:hAnsi="仿宋" w:eastAsia="仿宋"/>
                <w:color w:val="auto"/>
                <w:sz w:val="24"/>
                <w:highlight w:val="none"/>
                <w:u w:val="single"/>
              </w:rPr>
              <w:t xml:space="preserve">      </w:t>
            </w:r>
            <w:r>
              <w:rPr>
                <w:rFonts w:hint="eastAsia" w:ascii="仿宋" w:hAnsi="仿宋" w:eastAsia="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s="Arial"/>
                <w:color w:val="auto"/>
                <w:kern w:val="0"/>
                <w:sz w:val="24"/>
                <w:highlight w:val="none"/>
              </w:rPr>
              <w:sym w:font="Wingdings" w:char="F0FE"/>
            </w:r>
            <w:r>
              <w:rPr>
                <w:rFonts w:ascii="仿宋" w:hAnsi="仿宋" w:eastAsia="仿宋" w:cs="Arial"/>
                <w:color w:val="auto"/>
                <w:kern w:val="0"/>
                <w:sz w:val="24"/>
                <w:highlight w:val="none"/>
              </w:rPr>
              <w:t>A</w:t>
            </w:r>
            <w:r>
              <w:rPr>
                <w:rFonts w:hint="eastAsia" w:ascii="仿宋" w:hAnsi="仿宋" w:eastAsia="仿宋"/>
                <w:color w:val="auto"/>
                <w:sz w:val="24"/>
                <w:highlight w:val="none"/>
              </w:rPr>
              <w:t>不要求提供。</w:t>
            </w:r>
          </w:p>
          <w:p>
            <w:pPr>
              <w:snapToGrid w:val="0"/>
              <w:spacing w:line="360" w:lineRule="auto"/>
              <w:rPr>
                <w:rFonts w:ascii="仿宋" w:hAnsi="仿宋" w:eastAsia="仿宋"/>
                <w:color w:val="auto"/>
                <w:kern w:val="0"/>
                <w:sz w:val="24"/>
                <w:highlight w:val="none"/>
              </w:rPr>
            </w:pP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B</w:t>
            </w:r>
            <w:r>
              <w:rPr>
                <w:rFonts w:hint="eastAsia" w:ascii="仿宋" w:hAnsi="仿宋" w:eastAsia="仿宋"/>
                <w:color w:val="auto"/>
                <w:kern w:val="0"/>
                <w:sz w:val="24"/>
                <w:highlight w:val="none"/>
              </w:rPr>
              <w:t>要求提供，</w:t>
            </w:r>
          </w:p>
          <w:p>
            <w:pPr>
              <w:numPr>
                <w:ilvl w:val="0"/>
                <w:numId w:val="15"/>
              </w:numPr>
              <w:snapToGrid w:val="0"/>
              <w:spacing w:line="360" w:lineRule="auto"/>
              <w:ind w:left="0"/>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pPr>
              <w:numPr>
                <w:ilvl w:val="0"/>
                <w:numId w:val="15"/>
              </w:numPr>
              <w:snapToGrid w:val="0"/>
              <w:spacing w:line="360" w:lineRule="auto"/>
              <w:ind w:left="0"/>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样品制作的标准和要求：</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pPr>
              <w:numPr>
                <w:ilvl w:val="0"/>
                <w:numId w:val="15"/>
              </w:numPr>
              <w:snapToGrid w:val="0"/>
              <w:spacing w:line="360" w:lineRule="auto"/>
              <w:ind w:left="0"/>
              <w:rPr>
                <w:rFonts w:ascii="仿宋" w:hAnsi="仿宋" w:eastAsia="仿宋"/>
                <w:color w:val="auto"/>
                <w:kern w:val="0"/>
                <w:sz w:val="24"/>
                <w:highlight w:val="none"/>
              </w:rPr>
            </w:pPr>
            <w:r>
              <w:rPr>
                <w:rFonts w:ascii="仿宋" w:hAnsi="仿宋" w:eastAsia="仿宋"/>
                <w:color w:val="auto"/>
                <w:kern w:val="0"/>
                <w:sz w:val="24"/>
                <w:highlight w:val="none"/>
              </w:rPr>
              <w:t>样品的评审方法以及评审标准</w:t>
            </w:r>
            <w:r>
              <w:rPr>
                <w:rFonts w:hint="eastAsia" w:ascii="仿宋" w:hAnsi="仿宋" w:eastAsia="仿宋"/>
                <w:snapToGrid w:val="0"/>
                <w:color w:val="auto"/>
                <w:kern w:val="28"/>
                <w:sz w:val="24"/>
                <w:highlight w:val="none"/>
              </w:rPr>
              <w:t>：详见</w:t>
            </w:r>
            <w:r>
              <w:rPr>
                <w:rFonts w:hint="eastAsia" w:ascii="仿宋" w:hAnsi="仿宋" w:eastAsia="仿宋"/>
                <w:color w:val="auto"/>
                <w:sz w:val="24"/>
                <w:highlight w:val="none"/>
                <w:u w:val="single"/>
              </w:rPr>
              <w:t>评标办法</w:t>
            </w:r>
            <w:r>
              <w:rPr>
                <w:rFonts w:hint="eastAsia" w:ascii="仿宋" w:hAnsi="仿宋" w:eastAsia="仿宋"/>
                <w:color w:val="auto"/>
                <w:kern w:val="0"/>
                <w:sz w:val="24"/>
                <w:highlight w:val="none"/>
              </w:rPr>
              <w:t>；</w:t>
            </w:r>
          </w:p>
          <w:p>
            <w:pPr>
              <w:numPr>
                <w:ilvl w:val="0"/>
                <w:numId w:val="15"/>
              </w:numPr>
              <w:snapToGrid w:val="0"/>
              <w:spacing w:line="360" w:lineRule="auto"/>
              <w:ind w:left="0"/>
              <w:rPr>
                <w:rFonts w:ascii="仿宋" w:hAnsi="仿宋" w:eastAsia="仿宋"/>
                <w:color w:val="auto"/>
                <w:kern w:val="0"/>
                <w:sz w:val="24"/>
                <w:highlight w:val="none"/>
              </w:rPr>
            </w:pPr>
            <w:r>
              <w:rPr>
                <w:rFonts w:ascii="仿宋" w:hAnsi="仿宋" w:eastAsia="仿宋"/>
                <w:color w:val="auto"/>
                <w:kern w:val="0"/>
                <w:sz w:val="24"/>
                <w:highlight w:val="none"/>
              </w:rPr>
              <w:t>是否需要随样品提交检测报告</w:t>
            </w:r>
            <w:r>
              <w:rPr>
                <w:rFonts w:hint="eastAsia" w:ascii="仿宋" w:hAnsi="仿宋" w:eastAsia="仿宋"/>
                <w:color w:val="auto"/>
                <w:kern w:val="0"/>
                <w:sz w:val="24"/>
                <w:highlight w:val="none"/>
              </w:rPr>
              <w:t>：</w:t>
            </w: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否；</w:t>
            </w: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是，检测机构的要求</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；检测内容</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pPr>
              <w:numPr>
                <w:ilvl w:val="0"/>
                <w:numId w:val="15"/>
              </w:numPr>
              <w:snapToGrid w:val="0"/>
              <w:spacing w:line="360" w:lineRule="auto"/>
              <w:ind w:left="0"/>
              <w:rPr>
                <w:rFonts w:ascii="仿宋" w:hAnsi="仿宋" w:eastAsia="仿宋"/>
                <w:color w:val="auto"/>
                <w:sz w:val="24"/>
                <w:highlight w:val="none"/>
              </w:rPr>
            </w:pPr>
            <w:r>
              <w:rPr>
                <w:rFonts w:ascii="仿宋" w:hAnsi="仿宋" w:eastAsia="仿宋"/>
                <w:color w:val="auto"/>
                <w:sz w:val="24"/>
                <w:highlight w:val="none"/>
              </w:rPr>
              <w:t>提供样品的时间：</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；地点：</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；联系人</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r>
              <w:rPr>
                <w:rFonts w:hint="eastAsia" w:ascii="仿宋" w:hAnsi="仿宋" w:eastAsia="仿宋"/>
                <w:color w:val="auto"/>
                <w:kern w:val="28"/>
                <w:sz w:val="24"/>
                <w:highlight w:val="none"/>
              </w:rPr>
              <w:t>联系电话：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。请供应商在上述时间内提供样品并按规定位置安装完毕。超过截止时间的，采购人或采购代理机构将不予接收，并将清场并封闭样品现场。</w:t>
            </w:r>
          </w:p>
          <w:p>
            <w:pPr>
              <w:numPr>
                <w:ilvl w:val="0"/>
                <w:numId w:val="15"/>
              </w:numPr>
              <w:snapToGrid w:val="0"/>
              <w:spacing w:line="360" w:lineRule="auto"/>
              <w:ind w:left="0"/>
              <w:rPr>
                <w:rFonts w:ascii="仿宋" w:hAnsi="仿宋" w:eastAsia="仿宋"/>
                <w:color w:val="auto"/>
                <w:highlight w:val="none"/>
              </w:rPr>
            </w:pPr>
            <w:r>
              <w:rPr>
                <w:rFonts w:ascii="仿宋" w:hAnsi="仿宋" w:eastAsia="仿宋"/>
                <w:color w:val="auto"/>
                <w:sz w:val="24"/>
                <w:highlight w:val="none"/>
              </w:rPr>
              <w:t>采购活动结束后，对于未中标人提供的样品，</w:t>
            </w:r>
            <w:r>
              <w:rPr>
                <w:rFonts w:hint="eastAsia" w:ascii="仿宋" w:hAnsi="仿宋" w:eastAsia="仿宋"/>
                <w:color w:val="auto"/>
                <w:sz w:val="24"/>
                <w:highlight w:val="none"/>
              </w:rPr>
              <w:t>采购人、采购代理机构将通知</w:t>
            </w:r>
            <w:r>
              <w:rPr>
                <w:rFonts w:ascii="仿宋" w:hAnsi="仿宋" w:eastAsia="仿宋"/>
                <w:color w:val="auto"/>
                <w:sz w:val="24"/>
                <w:highlight w:val="none"/>
              </w:rPr>
              <w:t>未中标人</w:t>
            </w:r>
            <w:r>
              <w:rPr>
                <w:rFonts w:hint="eastAsia" w:ascii="仿宋" w:hAnsi="仿宋" w:eastAsia="仿宋"/>
                <w:color w:val="auto"/>
                <w:sz w:val="24"/>
                <w:highlight w:val="none"/>
              </w:rPr>
              <w:t>在规定的时间内取回，逾期未取回的，采购人、采购代理机构不负保管义务</w:t>
            </w:r>
            <w:r>
              <w:rPr>
                <w:rFonts w:ascii="仿宋" w:hAnsi="仿宋" w:eastAsia="仿宋"/>
                <w:color w:val="auto"/>
                <w:sz w:val="24"/>
                <w:highlight w:val="none"/>
              </w:rPr>
              <w:t>；对于中标人提供的样品，</w:t>
            </w:r>
            <w:r>
              <w:rPr>
                <w:rFonts w:hint="eastAsia" w:ascii="仿宋" w:hAnsi="仿宋" w:eastAsia="仿宋"/>
                <w:color w:val="auto"/>
                <w:sz w:val="24"/>
                <w:highlight w:val="none"/>
              </w:rPr>
              <w:t>采购人将进</w:t>
            </w:r>
            <w:r>
              <w:rPr>
                <w:rFonts w:ascii="仿宋" w:hAnsi="仿宋" w:eastAsia="仿宋"/>
                <w:color w:val="auto"/>
                <w:sz w:val="24"/>
                <w:highlight w:val="none"/>
              </w:rPr>
              <w:t>行保管、封存，并作为履约验收的参考。</w:t>
            </w:r>
          </w:p>
          <w:p>
            <w:pPr>
              <w:numPr>
                <w:ilvl w:val="0"/>
                <w:numId w:val="15"/>
              </w:numPr>
              <w:snapToGrid w:val="0"/>
              <w:spacing w:line="360" w:lineRule="auto"/>
              <w:ind w:left="0"/>
              <w:rPr>
                <w:rFonts w:ascii="仿宋" w:hAnsi="仿宋" w:eastAsia="仿宋"/>
                <w:b/>
                <w:color w:val="auto"/>
                <w:sz w:val="24"/>
                <w:highlight w:val="none"/>
              </w:rPr>
            </w:pPr>
            <w:r>
              <w:rPr>
                <w:rFonts w:ascii="仿宋" w:hAnsi="仿宋" w:eastAsia="仿宋"/>
                <w:color w:val="auto"/>
                <w:sz w:val="24"/>
                <w:highlight w:val="none"/>
              </w:rPr>
              <w:t>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color w:val="auto"/>
                <w:sz w:val="24"/>
                <w:highlight w:val="none"/>
              </w:rPr>
            </w:pPr>
            <w:r>
              <w:rPr>
                <w:rFonts w:hint="eastAsia" w:ascii="仿宋" w:hAnsi="仿宋" w:eastAsia="仿宋" w:cs="仿宋_GB2312"/>
                <w:b/>
                <w:color w:val="auto"/>
                <w:sz w:val="24"/>
                <w:highlight w:val="none"/>
              </w:rPr>
              <w:t>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kern w:val="0"/>
                <w:sz w:val="24"/>
                <w:highlight w:val="none"/>
              </w:rPr>
            </w:pP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A</w:t>
            </w:r>
            <w:r>
              <w:rPr>
                <w:rFonts w:hint="eastAsia" w:ascii="仿宋" w:hAnsi="仿宋" w:eastAsia="仿宋"/>
                <w:color w:val="auto"/>
                <w:kern w:val="0"/>
                <w:sz w:val="24"/>
                <w:highlight w:val="none"/>
              </w:rPr>
              <w:t>不组织。</w:t>
            </w:r>
          </w:p>
          <w:p>
            <w:pPr>
              <w:snapToGrid w:val="0"/>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sym w:font="Wingdings" w:char="F0FE"/>
            </w:r>
            <w:r>
              <w:rPr>
                <w:rFonts w:ascii="仿宋" w:hAnsi="仿宋" w:eastAsia="仿宋"/>
                <w:color w:val="auto"/>
                <w:kern w:val="0"/>
                <w:sz w:val="24"/>
                <w:highlight w:val="none"/>
              </w:rPr>
              <w:t>B组织。</w:t>
            </w:r>
          </w:p>
          <w:p>
            <w:pPr>
              <w:pStyle w:val="36"/>
              <w:ind w:firstLine="0" w:firstLineChars="0"/>
              <w:rPr>
                <w:color w:val="auto"/>
                <w:highlight w:val="none"/>
              </w:rPr>
            </w:pPr>
            <w:r>
              <w:rPr>
                <w:rFonts w:hint="eastAsia" w:ascii="仿宋" w:hAnsi="仿宋" w:eastAsia="仿宋" w:cs="宋体"/>
                <w:color w:val="auto"/>
                <w:highlight w:val="none"/>
              </w:rPr>
              <w:t>设计方案多媒体演示，文件的演示时间不超过10分钟（普通话口语）</w:t>
            </w:r>
            <w:r>
              <w:rPr>
                <w:rFonts w:hint="eastAsia" w:ascii="仿宋" w:hAnsi="仿宋" w:eastAsia="仿宋"/>
                <w:color w:val="auto"/>
                <w:kern w:val="0"/>
                <w:highlight w:val="none"/>
              </w:rPr>
              <w:t>演示地点：</w:t>
            </w:r>
            <w:r>
              <w:rPr>
                <w:rFonts w:hint="eastAsia" w:ascii="仿宋" w:hAnsi="仿宋" w:eastAsia="仿宋"/>
                <w:color w:val="auto"/>
                <w:kern w:val="28"/>
                <w:highlight w:val="none"/>
                <w:u w:val="single"/>
              </w:rPr>
              <w:t xml:space="preserve"> </w:t>
            </w:r>
            <w:r>
              <w:rPr>
                <w:rFonts w:ascii="仿宋" w:hAnsi="仿宋" w:eastAsia="仿宋"/>
                <w:color w:val="auto"/>
                <w:kern w:val="28"/>
                <w:highlight w:val="none"/>
                <w:u w:val="single"/>
              </w:rPr>
              <w:t xml:space="preserve">           </w:t>
            </w:r>
            <w:r>
              <w:rPr>
                <w:rFonts w:hint="eastAsia" w:ascii="仿宋" w:hAnsi="仿宋" w:eastAsia="仿宋"/>
                <w:color w:val="auto"/>
                <w:kern w:val="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ascii="Segoe UI Symbol" w:hAnsi="Segoe UI Symbol" w:eastAsia="仿宋" w:cs="Segoe UI Symbol"/>
                <w:color w:val="auto"/>
                <w:kern w:val="0"/>
                <w:sz w:val="24"/>
                <w:highlight w:val="none"/>
              </w:rPr>
              <w:t>☐</w:t>
            </w:r>
            <w:r>
              <w:rPr>
                <w:rFonts w:ascii="仿宋" w:hAnsi="仿宋" w:eastAsia="仿宋" w:cs="Arial"/>
                <w:color w:val="auto"/>
                <w:kern w:val="0"/>
                <w:sz w:val="24"/>
                <w:highlight w:val="none"/>
              </w:rPr>
              <w:t>A</w:t>
            </w:r>
            <w:r>
              <w:rPr>
                <w:rFonts w:hint="eastAsia" w:ascii="仿宋" w:hAnsi="仿宋" w:eastAsia="仿宋"/>
                <w:color w:val="auto"/>
                <w:sz w:val="24"/>
                <w:highlight w:val="none"/>
              </w:rPr>
              <w:t>货物类，单一产品或</w:t>
            </w:r>
            <w:r>
              <w:rPr>
                <w:rFonts w:hint="eastAsia" w:ascii="仿宋" w:hAnsi="仿宋" w:eastAsia="仿宋"/>
                <w:color w:val="auto"/>
                <w:kern w:val="0"/>
                <w:sz w:val="24"/>
                <w:highlight w:val="none"/>
              </w:rPr>
              <w:t>核心产品为：</w:t>
            </w:r>
            <w:r>
              <w:rPr>
                <w:rFonts w:hint="eastAsia" w:ascii="仿宋" w:hAnsi="仿宋" w:eastAsia="仿宋"/>
                <w:b/>
                <w:bCs/>
                <w:color w:val="auto"/>
                <w:sz w:val="24"/>
                <w:highlight w:val="none"/>
                <w:u w:val="single"/>
              </w:rPr>
              <w:t xml:space="preserve"> </w:t>
            </w:r>
            <w:r>
              <w:rPr>
                <w:rFonts w:ascii="仿宋" w:hAnsi="仿宋" w:eastAsia="仿宋"/>
                <w:b/>
                <w:bCs/>
                <w:color w:val="auto"/>
                <w:sz w:val="24"/>
                <w:highlight w:val="none"/>
                <w:u w:val="single"/>
              </w:rPr>
              <w:t xml:space="preserve">         </w:t>
            </w:r>
            <w:r>
              <w:rPr>
                <w:rFonts w:hint="eastAsia" w:ascii="仿宋" w:hAnsi="仿宋" w:eastAsia="仿宋"/>
                <w:color w:val="auto"/>
                <w:sz w:val="24"/>
                <w:highlight w:val="none"/>
              </w:rPr>
              <w:t>。</w:t>
            </w:r>
          </w:p>
          <w:p>
            <w:pPr>
              <w:snapToGrid w:val="0"/>
              <w:spacing w:line="360" w:lineRule="auto"/>
              <w:rPr>
                <w:rFonts w:ascii="仿宋" w:hAnsi="仿宋" w:eastAsia="仿宋"/>
                <w:color w:val="auto"/>
                <w:sz w:val="24"/>
                <w:highlight w:val="none"/>
              </w:rPr>
            </w:pPr>
            <w:r>
              <w:rPr>
                <w:rFonts w:ascii="仿宋" w:hAnsi="仿宋" w:eastAsia="仿宋" w:cs="Arial"/>
                <w:color w:val="auto"/>
                <w:kern w:val="0"/>
                <w:sz w:val="24"/>
                <w:highlight w:val="none"/>
              </w:rPr>
              <w:sym w:font="Wingdings" w:char="00FE"/>
            </w:r>
            <w:r>
              <w:rPr>
                <w:rFonts w:ascii="仿宋" w:hAnsi="仿宋" w:eastAsia="仿宋" w:cs="Arial"/>
                <w:color w:val="auto"/>
                <w:kern w:val="0"/>
                <w:sz w:val="24"/>
                <w:highlight w:val="none"/>
              </w:rPr>
              <w:t>B</w:t>
            </w:r>
            <w:r>
              <w:rPr>
                <w:rFonts w:hint="eastAsia" w:ascii="仿宋" w:hAnsi="仿宋" w:eastAsia="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Arial"/>
                <w:b/>
                <w:bCs/>
                <w:color w:val="auto"/>
                <w:kern w:val="0"/>
                <w:sz w:val="24"/>
                <w:highlight w:val="none"/>
              </w:rPr>
            </w:pPr>
            <w:r>
              <w:rPr>
                <w:rFonts w:hint="eastAsia" w:ascii="仿宋" w:hAnsi="仿宋" w:eastAsia="仿宋" w:cs="Arial"/>
                <w:b/>
                <w:bCs/>
                <w:color w:val="auto"/>
                <w:kern w:val="0"/>
                <w:sz w:val="24"/>
                <w:highlight w:val="none"/>
              </w:rPr>
              <w:t>标的：</w:t>
            </w:r>
            <w:r>
              <w:rPr>
                <w:rFonts w:hint="eastAsia" w:ascii="仿宋" w:hAnsi="仿宋" w:eastAsia="仿宋" w:cs="Arial"/>
                <w:b/>
                <w:bCs/>
                <w:color w:val="auto"/>
                <w:kern w:val="0"/>
                <w:sz w:val="24"/>
                <w:highlight w:val="none"/>
                <w:u w:val="single"/>
              </w:rPr>
              <w:t>”俞樾纪念馆”陈列布展服务项目</w:t>
            </w:r>
            <w:r>
              <w:rPr>
                <w:rFonts w:hint="eastAsia" w:ascii="仿宋" w:hAnsi="仿宋" w:eastAsia="仿宋" w:cs="Arial"/>
                <w:b/>
                <w:bCs/>
                <w:color w:val="auto"/>
                <w:kern w:val="0"/>
                <w:sz w:val="24"/>
                <w:highlight w:val="none"/>
              </w:rPr>
              <w:t>，属于</w:t>
            </w:r>
            <w:r>
              <w:rPr>
                <w:rFonts w:hint="eastAsia" w:ascii="仿宋" w:hAnsi="仿宋" w:eastAsia="仿宋" w:cs="Arial"/>
                <w:b/>
                <w:bCs/>
                <w:color w:val="auto"/>
                <w:kern w:val="0"/>
                <w:sz w:val="24"/>
                <w:highlight w:val="none"/>
                <w:u w:val="single"/>
              </w:rPr>
              <w:t>其他未列明</w:t>
            </w:r>
            <w:r>
              <w:rPr>
                <w:rFonts w:hint="eastAsia" w:ascii="仿宋" w:hAnsi="仿宋" w:eastAsia="仿宋" w:cs="Arial"/>
                <w:b/>
                <w:bCs/>
                <w:color w:val="auto"/>
                <w:kern w:val="0"/>
                <w:sz w:val="24"/>
                <w:highlight w:val="none"/>
              </w:rPr>
              <w:t>行业</w:t>
            </w:r>
            <w:r>
              <w:rPr>
                <w:rFonts w:ascii="仿宋" w:hAnsi="仿宋" w:eastAsia="仿宋" w:cs="Arial"/>
                <w:b/>
                <w:bCs/>
                <w:color w:val="auto"/>
                <w:kern w:val="0"/>
                <w:sz w:val="24"/>
                <w:highlight w:val="none"/>
              </w:rPr>
              <w:t>。</w:t>
            </w:r>
          </w:p>
          <w:p>
            <w:pPr>
              <w:snapToGrid w:val="0"/>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其他未列明行业中小企业划型标准：从业人员300人以下的为中小微型企业。其中，从业人员100人及以上的为中型企业；从业人员10人及以上的为小型企业；从业人员10人以下的为微型企业。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highlight w:val="none"/>
              </w:rPr>
            </w:pPr>
            <w:r>
              <w:rPr>
                <w:rFonts w:hint="eastAsia" w:ascii="仿宋" w:hAnsi="仿宋" w:eastAsia="仿宋"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jc w:val="center"/>
        </w:trPr>
        <w:tc>
          <w:tcPr>
            <w:tcW w:w="629" w:type="dxa"/>
            <w:vMerge w:val="continue"/>
            <w:tcBorders>
              <w:left w:val="single" w:color="000000" w:sz="8" w:space="0"/>
              <w:right w:val="single" w:color="000000" w:sz="2" w:space="0"/>
            </w:tcBorders>
            <w:vAlign w:val="center"/>
          </w:tcPr>
          <w:p>
            <w:pPr>
              <w:snapToGrid w:val="0"/>
              <w:spacing w:line="360" w:lineRule="auto"/>
              <w:ind w:firstLine="420" w:firstLineChars="200"/>
              <w:jc w:val="center"/>
              <w:rPr>
                <w:rFonts w:ascii="仿宋" w:hAnsi="仿宋" w:eastAsia="仿宋"/>
                <w:color w:val="auto"/>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ind w:firstLine="420" w:firstLineChars="200"/>
              <w:rPr>
                <w:rFonts w:ascii="仿宋" w:hAnsi="仿宋" w:eastAsia="仿宋"/>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napToGrid w:val="0"/>
                <w:color w:val="auto"/>
                <w:kern w:val="28"/>
                <w:sz w:val="24"/>
                <w:highlight w:val="none"/>
              </w:rPr>
            </w:pPr>
            <w:r>
              <w:rPr>
                <w:rFonts w:hint="eastAsia" w:ascii="仿宋" w:hAnsi="仿宋" w:eastAsia="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备份投标文件送达地点和签收人员</w:t>
            </w:r>
            <w:r>
              <w:rPr>
                <w:rFonts w:ascii="仿宋" w:hAnsi="仿宋" w:eastAsia="仿宋" w:cs="仿宋_GB2312"/>
                <w:b/>
                <w:color w:val="auto"/>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46"/>
              <w:snapToGrid w:val="0"/>
              <w:spacing w:line="360" w:lineRule="auto"/>
              <w:rPr>
                <w:rFonts w:ascii="仿宋" w:hAnsi="仿宋" w:eastAsia="仿宋" w:cs="Times New Roman"/>
                <w:color w:val="auto"/>
                <w:kern w:val="28"/>
                <w:sz w:val="24"/>
                <w:szCs w:val="24"/>
                <w:highlight w:val="none"/>
              </w:rPr>
            </w:pPr>
            <w:r>
              <w:rPr>
                <w:rFonts w:hint="eastAsia" w:ascii="仿宋" w:hAnsi="仿宋" w:eastAsia="仿宋" w:cs="Times New Roman"/>
                <w:color w:val="auto"/>
                <w:kern w:val="28"/>
                <w:sz w:val="24"/>
                <w:szCs w:val="24"/>
                <w:highlight w:val="none"/>
              </w:rPr>
              <w:t>备份投标文件送达地点：杭州市临平区临平街道河南埭路108号临平新天地3号楼301室；</w:t>
            </w:r>
          </w:p>
          <w:p>
            <w:pPr>
              <w:pStyle w:val="46"/>
              <w:snapToGrid w:val="0"/>
              <w:spacing w:line="360" w:lineRule="auto"/>
              <w:rPr>
                <w:rFonts w:ascii="仿宋" w:hAnsi="仿宋" w:eastAsia="仿宋" w:cs="仿宋_GB2312"/>
                <w:color w:val="auto"/>
                <w:sz w:val="24"/>
                <w:szCs w:val="24"/>
                <w:highlight w:val="none"/>
              </w:rPr>
            </w:pPr>
            <w:r>
              <w:rPr>
                <w:rFonts w:hint="eastAsia" w:ascii="仿宋" w:hAnsi="仿宋" w:eastAsia="仿宋" w:cs="Times New Roman"/>
                <w:color w:val="auto"/>
                <w:kern w:val="28"/>
                <w:sz w:val="24"/>
                <w:szCs w:val="24"/>
                <w:highlight w:val="none"/>
              </w:rPr>
              <w:t>备份投标文件签收人员联系电话：</w:t>
            </w:r>
            <w:r>
              <w:rPr>
                <w:rFonts w:hint="eastAsia" w:ascii="仿宋" w:hAnsi="仿宋" w:eastAsia="仿宋"/>
                <w:color w:val="auto"/>
                <w:sz w:val="24"/>
                <w:highlight w:val="none"/>
                <w:u w:val="single"/>
              </w:rPr>
              <w:t>金佳霖，0571-86111691</w:t>
            </w:r>
            <w:r>
              <w:rPr>
                <w:rFonts w:hint="eastAsia" w:ascii="仿宋" w:hAnsi="仿宋" w:eastAsia="仿宋" w:cs="仿宋_GB2312"/>
                <w:color w:val="auto"/>
                <w:sz w:val="24"/>
                <w:szCs w:val="24"/>
                <w:highlight w:val="none"/>
              </w:rPr>
              <w:t>。</w:t>
            </w:r>
          </w:p>
          <w:p>
            <w:pPr>
              <w:pStyle w:val="46"/>
              <w:snapToGrid w:val="0"/>
              <w:spacing w:line="360" w:lineRule="auto"/>
              <w:rPr>
                <w:rFonts w:ascii="仿宋" w:hAnsi="仿宋" w:eastAsia="仿宋"/>
                <w:color w:val="auto"/>
                <w:kern w:val="28"/>
                <w:sz w:val="24"/>
                <w:highlight w:val="none"/>
              </w:rPr>
            </w:pPr>
            <w:r>
              <w:rPr>
                <w:rFonts w:hint="eastAsia" w:ascii="仿宋" w:hAnsi="仿宋" w:eastAsia="仿宋" w:cs="仿宋_GB2312"/>
                <w:b/>
                <w:color w:val="auto"/>
                <w:sz w:val="24"/>
                <w:szCs w:val="24"/>
                <w:highlight w:val="none"/>
              </w:rPr>
              <w:t>采购人、采购代理机构不强制或变相强制供应商提交备份投标文件。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napToGrid w:val="0"/>
                <w:color w:val="auto"/>
                <w:kern w:val="28"/>
                <w:sz w:val="24"/>
                <w:highlight w:val="none"/>
              </w:rPr>
            </w:pPr>
            <w:r>
              <w:rPr>
                <w:rFonts w:hint="eastAsia" w:ascii="仿宋" w:hAnsi="仿宋" w:eastAsia="仿宋"/>
                <w:snapToGrid w:val="0"/>
                <w:color w:val="auto"/>
                <w:kern w:val="28"/>
                <w:sz w:val="24"/>
                <w:highlight w:val="none"/>
              </w:rPr>
              <w:t>无</w:t>
            </w:r>
            <w:r>
              <w:rPr>
                <w:rFonts w:hint="eastAsia" w:ascii="仿宋" w:hAnsi="仿宋" w:eastAsia="仿宋"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snapToGrid w:val="0"/>
              <w:spacing w:line="360" w:lineRule="auto"/>
              <w:jc w:val="left"/>
              <w:rPr>
                <w:rFonts w:ascii="仿宋" w:hAnsi="仿宋" w:eastAsia="仿宋"/>
                <w:snapToGrid w:val="0"/>
                <w:color w:val="auto"/>
                <w:kern w:val="28"/>
                <w:sz w:val="24"/>
                <w:highlight w:val="none"/>
              </w:rPr>
            </w:pPr>
            <w:r>
              <w:rPr>
                <w:rFonts w:hint="eastAsia" w:ascii="仿宋" w:hAnsi="仿宋" w:eastAsia="仿宋"/>
                <w:snapToGrid w:val="0"/>
                <w:color w:val="auto"/>
                <w:kern w:val="28"/>
                <w:sz w:val="24"/>
                <w:highlight w:val="none"/>
              </w:rPr>
              <w:t>本项目的采购代理费由中标人支付；以中标金额为计费基准，计费标准按《计价格［</w:t>
            </w:r>
            <w:r>
              <w:rPr>
                <w:rFonts w:ascii="仿宋" w:hAnsi="仿宋" w:eastAsia="仿宋"/>
                <w:snapToGrid w:val="0"/>
                <w:color w:val="auto"/>
                <w:kern w:val="28"/>
                <w:sz w:val="24"/>
                <w:highlight w:val="none"/>
              </w:rPr>
              <w:t>2002</w:t>
            </w:r>
            <w:r>
              <w:rPr>
                <w:rFonts w:hint="eastAsia" w:ascii="仿宋" w:hAnsi="仿宋" w:eastAsia="仿宋"/>
                <w:snapToGrid w:val="0"/>
                <w:color w:val="auto"/>
                <w:kern w:val="28"/>
                <w:sz w:val="24"/>
                <w:highlight w:val="none"/>
              </w:rPr>
              <w:t>］</w:t>
            </w:r>
            <w:r>
              <w:rPr>
                <w:rFonts w:ascii="仿宋" w:hAnsi="仿宋" w:eastAsia="仿宋"/>
                <w:snapToGrid w:val="0"/>
                <w:color w:val="auto"/>
                <w:kern w:val="28"/>
                <w:sz w:val="24"/>
                <w:highlight w:val="none"/>
              </w:rPr>
              <w:t>1980</w:t>
            </w:r>
            <w:r>
              <w:rPr>
                <w:rFonts w:hint="eastAsia" w:ascii="仿宋" w:hAnsi="仿宋" w:eastAsia="仿宋"/>
                <w:snapToGrid w:val="0"/>
                <w:color w:val="auto"/>
                <w:kern w:val="28"/>
                <w:sz w:val="24"/>
                <w:highlight w:val="none"/>
              </w:rPr>
              <w:t>号》及《发改办价格［</w:t>
            </w:r>
            <w:r>
              <w:rPr>
                <w:rFonts w:ascii="仿宋" w:hAnsi="仿宋" w:eastAsia="仿宋"/>
                <w:snapToGrid w:val="0"/>
                <w:color w:val="auto"/>
                <w:kern w:val="28"/>
                <w:sz w:val="24"/>
                <w:highlight w:val="none"/>
              </w:rPr>
              <w:t>2003</w:t>
            </w:r>
            <w:r>
              <w:rPr>
                <w:rFonts w:hint="eastAsia" w:ascii="仿宋" w:hAnsi="仿宋" w:eastAsia="仿宋"/>
                <w:snapToGrid w:val="0"/>
                <w:color w:val="auto"/>
                <w:kern w:val="28"/>
                <w:sz w:val="24"/>
                <w:highlight w:val="none"/>
              </w:rPr>
              <w:t>］</w:t>
            </w:r>
            <w:r>
              <w:rPr>
                <w:rFonts w:ascii="仿宋" w:hAnsi="仿宋" w:eastAsia="仿宋"/>
                <w:snapToGrid w:val="0"/>
                <w:color w:val="auto"/>
                <w:kern w:val="28"/>
                <w:sz w:val="24"/>
                <w:highlight w:val="none"/>
              </w:rPr>
              <w:t>857</w:t>
            </w:r>
            <w:r>
              <w:rPr>
                <w:rFonts w:hint="eastAsia" w:ascii="仿宋" w:hAnsi="仿宋" w:eastAsia="仿宋"/>
                <w:snapToGrid w:val="0"/>
                <w:color w:val="auto"/>
                <w:kern w:val="28"/>
                <w:sz w:val="24"/>
                <w:highlight w:val="none"/>
              </w:rPr>
              <w:t>号》文件中服务类收费标准计算。</w:t>
            </w:r>
          </w:p>
          <w:p>
            <w:pPr>
              <w:widowControl/>
              <w:snapToGrid w:val="0"/>
              <w:spacing w:line="360" w:lineRule="auto"/>
              <w:jc w:val="left"/>
              <w:rPr>
                <w:rFonts w:ascii="仿宋" w:hAnsi="仿宋" w:eastAsia="仿宋"/>
                <w:snapToGrid w:val="0"/>
                <w:color w:val="auto"/>
                <w:kern w:val="28"/>
                <w:sz w:val="24"/>
                <w:highlight w:val="none"/>
              </w:rPr>
            </w:pPr>
            <w:r>
              <w:rPr>
                <w:rFonts w:hint="eastAsia" w:ascii="仿宋" w:hAnsi="仿宋" w:eastAsia="仿宋"/>
                <w:snapToGrid w:val="0"/>
                <w:color w:val="auto"/>
                <w:kern w:val="28"/>
                <w:sz w:val="24"/>
                <w:highlight w:val="none"/>
              </w:rPr>
              <w:t>收款单位（户名）：杭州中瑞招标代理有限公司；</w:t>
            </w:r>
          </w:p>
          <w:p>
            <w:pPr>
              <w:widowControl/>
              <w:snapToGrid w:val="0"/>
              <w:spacing w:line="360" w:lineRule="auto"/>
              <w:jc w:val="left"/>
              <w:rPr>
                <w:rFonts w:ascii="仿宋" w:hAnsi="仿宋" w:eastAsia="仿宋"/>
                <w:snapToGrid w:val="0"/>
                <w:color w:val="auto"/>
                <w:kern w:val="28"/>
                <w:sz w:val="24"/>
                <w:highlight w:val="none"/>
              </w:rPr>
            </w:pPr>
            <w:r>
              <w:rPr>
                <w:rFonts w:hint="eastAsia" w:ascii="仿宋" w:hAnsi="仿宋" w:eastAsia="仿宋"/>
                <w:snapToGrid w:val="0"/>
                <w:color w:val="auto"/>
                <w:kern w:val="28"/>
                <w:sz w:val="24"/>
                <w:highlight w:val="none"/>
              </w:rPr>
              <w:t>开户银行：中国银行临平支行；</w:t>
            </w:r>
          </w:p>
          <w:p>
            <w:pPr>
              <w:pStyle w:val="111"/>
              <w:snapToGrid w:val="0"/>
              <w:spacing w:before="0"/>
              <w:ind w:firstLine="0" w:firstLineChars="0"/>
              <w:rPr>
                <w:rFonts w:ascii="仿宋" w:hAnsi="仿宋" w:eastAsia="仿宋"/>
                <w:color w:val="auto"/>
                <w:highlight w:val="none"/>
              </w:rPr>
            </w:pPr>
            <w:r>
              <w:rPr>
                <w:rFonts w:hint="eastAsia" w:ascii="仿宋" w:hAnsi="仿宋" w:eastAsia="仿宋"/>
                <w:bCs/>
                <w:snapToGrid w:val="0"/>
                <w:color w:val="auto"/>
                <w:kern w:val="28"/>
                <w:highlight w:val="none"/>
              </w:rPr>
              <w:t>银行账号：</w:t>
            </w:r>
            <w:r>
              <w:rPr>
                <w:rFonts w:ascii="仿宋" w:hAnsi="仿宋" w:eastAsia="仿宋"/>
                <w:bCs/>
                <w:snapToGrid w:val="0"/>
                <w:color w:val="auto"/>
                <w:kern w:val="28"/>
                <w:highlight w:val="none"/>
              </w:rPr>
              <w:t>364975499143</w:t>
            </w:r>
            <w:r>
              <w:rPr>
                <w:rFonts w:hint="eastAsia" w:ascii="仿宋" w:hAnsi="仿宋" w:eastAsia="仿宋"/>
                <w:bCs/>
                <w:snapToGrid w:val="0"/>
                <w:color w:val="auto"/>
                <w:kern w:val="28"/>
                <w:highlight w:val="none"/>
              </w:rPr>
              <w:t>。</w:t>
            </w:r>
          </w:p>
        </w:tc>
      </w:tr>
      <w:bookmarkEnd w:id="8"/>
    </w:tbl>
    <w:p>
      <w:pPr>
        <w:snapToGrid w:val="0"/>
        <w:spacing w:line="360" w:lineRule="auto"/>
        <w:jc w:val="center"/>
        <w:rPr>
          <w:rFonts w:ascii="仿宋" w:hAnsi="仿宋" w:eastAsia="仿宋" w:cs="仿宋_GB2312"/>
          <w:b/>
          <w:color w:val="auto"/>
          <w:sz w:val="32"/>
          <w:szCs w:val="20"/>
          <w:highlight w:val="none"/>
        </w:rPr>
      </w:pPr>
    </w:p>
    <w:p>
      <w:pPr>
        <w:snapToGrid w:val="0"/>
        <w:spacing w:line="360" w:lineRule="auto"/>
        <w:jc w:val="center"/>
        <w:rPr>
          <w:rFonts w:ascii="仿宋" w:hAnsi="仿宋" w:eastAsia="仿宋"/>
          <w:b/>
          <w:bCs/>
          <w:color w:val="auto"/>
          <w:kern w:val="44"/>
          <w:sz w:val="28"/>
          <w:szCs w:val="32"/>
          <w:highlight w:val="none"/>
          <w:lang w:val="zh-CN"/>
        </w:rPr>
      </w:pPr>
      <w:bookmarkStart w:id="38" w:name="_Toc164416483"/>
      <w:bookmarkStart w:id="39" w:name="第三部分"/>
      <w:r>
        <w:rPr>
          <w:rFonts w:hint="eastAsia" w:ascii="仿宋" w:hAnsi="仿宋" w:eastAsia="仿宋" w:cs="仿宋_GB2312"/>
          <w:b/>
          <w:color w:val="auto"/>
          <w:sz w:val="32"/>
          <w:szCs w:val="20"/>
          <w:highlight w:val="none"/>
        </w:rPr>
        <w:br w:type="page"/>
      </w:r>
      <w:bookmarkStart w:id="40" w:name="_Toc95312938"/>
      <w:bookmarkStart w:id="41" w:name="_Toc6298"/>
      <w:bookmarkStart w:id="42" w:name="_Toc11537"/>
      <w:bookmarkStart w:id="43" w:name="_Toc13069"/>
      <w:bookmarkStart w:id="44" w:name="_Toc18125"/>
      <w:bookmarkStart w:id="45" w:name="_Toc243019506"/>
      <w:r>
        <w:rPr>
          <w:rFonts w:hint="eastAsia" w:ascii="仿宋" w:hAnsi="仿宋" w:eastAsia="仿宋"/>
          <w:b/>
          <w:bCs/>
          <w:color w:val="auto"/>
          <w:kern w:val="44"/>
          <w:sz w:val="28"/>
          <w:szCs w:val="32"/>
          <w:highlight w:val="none"/>
          <w:lang w:val="zh-CN"/>
        </w:rPr>
        <w:t>一、总则</w:t>
      </w:r>
      <w:bookmarkEnd w:id="40"/>
      <w:bookmarkEnd w:id="41"/>
      <w:bookmarkEnd w:id="42"/>
      <w:bookmarkEnd w:id="43"/>
      <w:bookmarkEnd w:id="44"/>
      <w:bookmarkEnd w:id="45"/>
    </w:p>
    <w:p>
      <w:pPr>
        <w:pStyle w:val="2"/>
        <w:rPr>
          <w:rFonts w:ascii="仿宋" w:hAnsi="仿宋" w:eastAsia="仿宋"/>
          <w:color w:val="auto"/>
          <w:highlight w:val="none"/>
        </w:rPr>
      </w:pPr>
      <w:bookmarkStart w:id="46" w:name="_Toc5493"/>
      <w:bookmarkStart w:id="47" w:name="_Toc5666"/>
      <w:bookmarkStart w:id="48" w:name="_Toc4118"/>
      <w:bookmarkStart w:id="49" w:name="_Toc95312939"/>
      <w:r>
        <w:rPr>
          <w:rFonts w:ascii="仿宋" w:hAnsi="仿宋" w:eastAsia="仿宋"/>
          <w:color w:val="auto"/>
          <w:highlight w:val="none"/>
        </w:rPr>
        <w:t>1.</w:t>
      </w:r>
      <w:r>
        <w:rPr>
          <w:rFonts w:hint="eastAsia" w:ascii="仿宋" w:hAnsi="仿宋" w:eastAsia="仿宋"/>
          <w:color w:val="auto"/>
          <w:highlight w:val="none"/>
        </w:rPr>
        <w:t>适用范围</w:t>
      </w:r>
      <w:bookmarkEnd w:id="46"/>
      <w:bookmarkEnd w:id="47"/>
      <w:bookmarkEnd w:id="48"/>
      <w:bookmarkEnd w:id="49"/>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本采购文件适用于该项目的招标、投标、开标、资格审查及信用信息查询、评标、定标、合同、验收等行为（法律、法规另有规定的，从其规定）。</w:t>
      </w:r>
    </w:p>
    <w:p>
      <w:pPr>
        <w:pStyle w:val="36"/>
        <w:spacing w:line="360" w:lineRule="auto"/>
        <w:rPr>
          <w:rFonts w:ascii="仿宋" w:hAnsi="仿宋" w:eastAsia="仿宋"/>
          <w:color w:val="auto"/>
          <w:highlight w:val="none"/>
        </w:rPr>
      </w:pPr>
    </w:p>
    <w:p>
      <w:pPr>
        <w:pStyle w:val="2"/>
        <w:rPr>
          <w:rFonts w:ascii="仿宋" w:hAnsi="仿宋" w:eastAsia="仿宋"/>
          <w:color w:val="auto"/>
          <w:highlight w:val="none"/>
        </w:rPr>
      </w:pPr>
      <w:bookmarkStart w:id="50" w:name="_Toc17022"/>
      <w:bookmarkStart w:id="51" w:name="_Toc95312940"/>
      <w:bookmarkStart w:id="52" w:name="_Toc27293"/>
      <w:bookmarkStart w:id="53" w:name="_Toc20903"/>
      <w:r>
        <w:rPr>
          <w:rFonts w:ascii="仿宋" w:hAnsi="仿宋" w:eastAsia="仿宋"/>
          <w:color w:val="auto"/>
          <w:highlight w:val="none"/>
        </w:rPr>
        <w:t>2.定义</w:t>
      </w:r>
      <w:bookmarkEnd w:id="50"/>
      <w:bookmarkEnd w:id="51"/>
      <w:bookmarkEnd w:id="52"/>
      <w:bookmarkEnd w:id="53"/>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snapToGrid w:val="0"/>
          <w:color w:val="auto"/>
          <w:kern w:val="0"/>
          <w:sz w:val="24"/>
          <w:highlight w:val="none"/>
        </w:rPr>
        <w:t>2.1</w:t>
      </w:r>
      <w:r>
        <w:rPr>
          <w:rFonts w:hint="eastAsia" w:ascii="仿宋" w:hAnsi="仿宋" w:eastAsia="仿宋" w:cs="宋体"/>
          <w:snapToGrid w:val="0"/>
          <w:color w:val="auto"/>
          <w:kern w:val="0"/>
          <w:sz w:val="24"/>
          <w:highlight w:val="none"/>
        </w:rPr>
        <w:t>“采购人”系指杭州市临平区人民政府临平街道办事处 （合同中的甲方）。</w:t>
      </w:r>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snapToGrid w:val="0"/>
          <w:color w:val="auto"/>
          <w:kern w:val="0"/>
          <w:sz w:val="24"/>
          <w:highlight w:val="none"/>
        </w:rPr>
        <w:t>2.2</w:t>
      </w:r>
      <w:r>
        <w:rPr>
          <w:rFonts w:hint="eastAsia" w:ascii="仿宋" w:hAnsi="仿宋" w:eastAsia="仿宋" w:cs="宋体"/>
          <w:snapToGrid w:val="0"/>
          <w:color w:val="auto"/>
          <w:kern w:val="0"/>
          <w:sz w:val="24"/>
          <w:highlight w:val="none"/>
        </w:rPr>
        <w:t>“监督管理部门”系指杭州市临平区财政局。</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 </w:t>
      </w:r>
      <w:r>
        <w:rPr>
          <w:rFonts w:hint="eastAsia" w:ascii="仿宋" w:hAnsi="仿宋" w:eastAsia="仿宋"/>
          <w:color w:val="auto"/>
          <w:sz w:val="24"/>
          <w:highlight w:val="none"/>
        </w:rPr>
        <w:t>“采购代理机构”</w:t>
      </w:r>
      <w:r>
        <w:rPr>
          <w:rFonts w:hint="eastAsia" w:ascii="仿宋" w:hAnsi="仿宋" w:eastAsia="仿宋" w:cs="宋体"/>
          <w:snapToGrid w:val="0"/>
          <w:color w:val="auto"/>
          <w:kern w:val="0"/>
          <w:sz w:val="24"/>
          <w:highlight w:val="none"/>
        </w:rPr>
        <w:t>系指杭州中瑞招标代理有限公司</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snapToGrid w:val="0"/>
          <w:color w:val="auto"/>
          <w:kern w:val="0"/>
          <w:sz w:val="24"/>
          <w:highlight w:val="none"/>
        </w:rPr>
        <w:t>2.4</w:t>
      </w:r>
      <w:r>
        <w:rPr>
          <w:rFonts w:hint="eastAsia" w:ascii="仿宋" w:hAnsi="仿宋" w:eastAsia="仿宋" w:cs="宋体"/>
          <w:snapToGrid w:val="0"/>
          <w:color w:val="auto"/>
          <w:kern w:val="0"/>
          <w:sz w:val="24"/>
          <w:highlight w:val="none"/>
        </w:rPr>
        <w:t>“服务”系指采购文件或合同规定供应商须承担的服务以及其他类似的义务。</w:t>
      </w:r>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snapToGrid w:val="0"/>
          <w:color w:val="auto"/>
          <w:kern w:val="0"/>
          <w:sz w:val="24"/>
          <w:highlight w:val="none"/>
        </w:rPr>
        <w:t>2.5</w:t>
      </w:r>
      <w:r>
        <w:rPr>
          <w:rFonts w:hint="eastAsia" w:ascii="仿宋" w:hAnsi="仿宋" w:eastAsia="仿宋" w:cs="宋体"/>
          <w:snapToGrid w:val="0"/>
          <w:color w:val="auto"/>
          <w:kern w:val="0"/>
          <w:sz w:val="24"/>
          <w:highlight w:val="none"/>
        </w:rPr>
        <w:t>官方指定网站公示的内容视为书面告知。</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 </w:t>
      </w:r>
      <w:r>
        <w:rPr>
          <w:rFonts w:hint="eastAsia" w:ascii="仿宋" w:hAnsi="仿宋" w:eastAsia="仿宋"/>
          <w:color w:val="auto"/>
          <w:sz w:val="24"/>
          <w:highlight w:val="none"/>
        </w:rPr>
        <w:t>“投标人”系指是指响应招标、参加投标竞争的法人、其他组织或者自然人。</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 </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2.8“电子签名”系指数据电文中以电子形式所含、所附用于识别签名人身份并表明签名人认可其中内容的数据；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2.9“电子交易平台”是指本项目政府采购活动所依托的政府采购云平台（https://www.zcygov.cn/）。</w:t>
      </w:r>
    </w:p>
    <w:p>
      <w:pPr>
        <w:snapToGrid w:val="0"/>
        <w:spacing w:line="360" w:lineRule="auto"/>
        <w:ind w:firstLine="482" w:firstLineChars="200"/>
        <w:rPr>
          <w:rFonts w:ascii="仿宋" w:hAnsi="仿宋" w:eastAsia="仿宋"/>
          <w:b/>
          <w:bCs/>
          <w:color w:val="auto"/>
          <w:sz w:val="24"/>
          <w:highlight w:val="none"/>
        </w:rPr>
      </w:pPr>
      <w:r>
        <w:rPr>
          <w:rFonts w:ascii="仿宋" w:hAnsi="仿宋" w:eastAsia="仿宋"/>
          <w:b/>
          <w:bCs/>
          <w:color w:val="auto"/>
          <w:sz w:val="24"/>
          <w:highlight w:val="none"/>
        </w:rPr>
        <w:t xml:space="preserve">2.10 </w:t>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系指实质性要求条款，“★”系产品采购项目中单一产品或核心产品，“</w:t>
      </w:r>
      <w:r>
        <w:rPr>
          <w:rFonts w:hint="eastAsia" w:ascii="仿宋" w:hAnsi="仿宋" w:eastAsia="仿宋" w:cs="Arial"/>
          <w:b/>
          <w:bCs/>
          <w:color w:val="auto"/>
          <w:kern w:val="0"/>
          <w:sz w:val="24"/>
          <w:highlight w:val="none"/>
        </w:rPr>
        <w:sym w:font="Wingdings" w:char="F0FE"/>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系指适用本项目的要求，“</w:t>
      </w:r>
      <w:r>
        <w:rPr>
          <w:rFonts w:ascii="Segoe UI Symbol" w:hAnsi="Segoe UI Symbol" w:eastAsia="仿宋" w:cs="Segoe UI Symbol"/>
          <w:b/>
          <w:bCs/>
          <w:color w:val="auto"/>
          <w:kern w:val="0"/>
          <w:sz w:val="24"/>
          <w:highlight w:val="none"/>
        </w:rPr>
        <w:t>☐</w:t>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系指不适用本项目的要求。</w:t>
      </w:r>
    </w:p>
    <w:p>
      <w:pPr>
        <w:snapToGrid w:val="0"/>
        <w:spacing w:line="360" w:lineRule="auto"/>
        <w:ind w:firstLine="241" w:firstLineChars="100"/>
        <w:rPr>
          <w:rFonts w:ascii="仿宋" w:hAnsi="仿宋" w:eastAsia="仿宋"/>
          <w:b/>
          <w:color w:val="auto"/>
          <w:sz w:val="24"/>
          <w:highlight w:val="none"/>
        </w:rPr>
      </w:pPr>
    </w:p>
    <w:p>
      <w:pPr>
        <w:pStyle w:val="2"/>
        <w:rPr>
          <w:rFonts w:ascii="仿宋" w:hAnsi="仿宋" w:eastAsia="仿宋"/>
          <w:color w:val="auto"/>
          <w:highlight w:val="none"/>
        </w:rPr>
      </w:pPr>
      <w:bookmarkStart w:id="54" w:name="_Toc14912"/>
      <w:bookmarkStart w:id="55" w:name="_Toc21010"/>
      <w:bookmarkStart w:id="56" w:name="_Toc95312941"/>
      <w:bookmarkStart w:id="57" w:name="_Toc19383"/>
      <w:r>
        <w:rPr>
          <w:rFonts w:ascii="仿宋" w:hAnsi="仿宋" w:eastAsia="仿宋"/>
          <w:color w:val="auto"/>
          <w:highlight w:val="none"/>
        </w:rPr>
        <w:t>3.</w:t>
      </w:r>
      <w:r>
        <w:rPr>
          <w:rFonts w:hint="eastAsia" w:ascii="仿宋" w:hAnsi="仿宋" w:eastAsia="仿宋"/>
          <w:color w:val="auto"/>
          <w:highlight w:val="none"/>
        </w:rPr>
        <w:t>采购项目需要落实的政府采购政策</w:t>
      </w:r>
      <w:bookmarkEnd w:id="54"/>
      <w:bookmarkEnd w:id="55"/>
      <w:bookmarkEnd w:id="56"/>
      <w:bookmarkEnd w:id="57"/>
    </w:p>
    <w:p>
      <w:pPr>
        <w:snapToGrid w:val="0"/>
        <w:spacing w:line="360" w:lineRule="auto"/>
        <w:ind w:firstLine="420"/>
        <w:rPr>
          <w:rFonts w:ascii="仿宋" w:hAnsi="仿宋" w:eastAsia="仿宋"/>
          <w:color w:val="auto"/>
          <w:sz w:val="24"/>
          <w:highlight w:val="none"/>
        </w:rPr>
      </w:pPr>
      <w:r>
        <w:rPr>
          <w:rFonts w:ascii="仿宋" w:hAnsi="仿宋" w:eastAsia="仿宋"/>
          <w:color w:val="auto"/>
          <w:sz w:val="24"/>
          <w:highlight w:val="none"/>
        </w:rPr>
        <w:t xml:space="preserve">3.1 </w:t>
      </w:r>
      <w:r>
        <w:rPr>
          <w:rFonts w:hint="eastAsia" w:ascii="仿宋" w:hAnsi="仿宋" w:eastAsia="仿宋"/>
          <w:color w:val="auto"/>
          <w:sz w:val="24"/>
          <w:highlight w:val="none"/>
        </w:rPr>
        <w:t>支持绿色发展</w:t>
      </w:r>
    </w:p>
    <w:p>
      <w:pPr>
        <w:snapToGrid w:val="0"/>
        <w:spacing w:line="360" w:lineRule="auto"/>
        <w:ind w:firstLine="420"/>
        <w:rPr>
          <w:rFonts w:ascii="仿宋" w:hAnsi="仿宋" w:eastAsia="仿宋"/>
          <w:b/>
          <w:color w:val="auto"/>
          <w:sz w:val="24"/>
          <w:highlight w:val="none"/>
        </w:rPr>
      </w:pPr>
      <w:r>
        <w:rPr>
          <w:rFonts w:ascii="仿宋" w:hAnsi="仿宋" w:eastAsia="仿宋"/>
          <w:color w:val="auto"/>
          <w:sz w:val="24"/>
          <w:highlight w:val="none"/>
        </w:rPr>
        <w:t>3.1.1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3.1.2 </w:t>
      </w:r>
      <w:r>
        <w:rPr>
          <w:rFonts w:hint="eastAsia" w:ascii="仿宋" w:hAnsi="仿宋" w:eastAsia="仿宋"/>
          <w:color w:val="auto"/>
          <w:sz w:val="24"/>
          <w:highlight w:val="none"/>
        </w:rPr>
        <w:t>修缮、装修类项目采购建材的，采购人应将绿色建筑和绿色建材性能、指标等作为实质性条件纳入采购文件和合同。</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3.1.3</w:t>
      </w:r>
      <w:r>
        <w:rPr>
          <w:rFonts w:hint="eastAsia" w:ascii="仿宋" w:hAnsi="仿宋" w:eastAsia="仿宋"/>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420"/>
        <w:rPr>
          <w:rFonts w:ascii="仿宋" w:hAnsi="仿宋" w:eastAsia="仿宋"/>
          <w:color w:val="auto"/>
          <w:sz w:val="24"/>
          <w:highlight w:val="none"/>
        </w:rPr>
      </w:pPr>
      <w:r>
        <w:rPr>
          <w:rFonts w:ascii="仿宋" w:hAnsi="仿宋" w:eastAsia="仿宋"/>
          <w:color w:val="auto"/>
          <w:sz w:val="24"/>
          <w:highlight w:val="none"/>
        </w:rPr>
        <w:t>3.2支持中小企业发展</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符合中小企业划分标准的个体工商户，在政府采购活动中视同中小企业。</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bCs/>
          <w:color w:val="auto"/>
          <w:sz w:val="24"/>
          <w:highlight w:val="none"/>
        </w:rPr>
        <w:t>3.2.2</w:t>
      </w:r>
      <w:r>
        <w:rPr>
          <w:rFonts w:hint="eastAsia" w:ascii="仿宋" w:hAnsi="仿宋" w:eastAsia="仿宋" w:cs="宋体"/>
          <w:color w:val="auto"/>
          <w:kern w:val="0"/>
          <w:sz w:val="24"/>
          <w:highlight w:val="none"/>
        </w:rPr>
        <w:t>在政府采购活动中，供应商提供的货物、工程或者服务符合下列情形的，享受中小企业扶持政策：</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cs="宋体"/>
          <w:color w:val="auto"/>
          <w:kern w:val="0"/>
          <w:sz w:val="24"/>
          <w:highlight w:val="none"/>
        </w:rPr>
        <w:t>3.2.2.1在货物采购项目中，货物由中小企业制造，即货物由中小企业生产且使用该中小企业商号或者注册商标；</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cs="宋体"/>
          <w:color w:val="auto"/>
          <w:kern w:val="0"/>
          <w:sz w:val="24"/>
          <w:highlight w:val="none"/>
        </w:rPr>
        <w:t>3.2.2.2在工程采购项目中，工程由中小企业承建，即工程施工单位为中小企业；</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cs="宋体"/>
          <w:color w:val="auto"/>
          <w:kern w:val="0"/>
          <w:sz w:val="24"/>
          <w:highlight w:val="none"/>
        </w:rPr>
        <w:t>3.2.2.3在服务采购项目中，服务由中小企业承接，即提供服务的人员为中小企业依照《中华人民共和国劳动合同法》订立劳动合同的从业人员。</w:t>
      </w:r>
    </w:p>
    <w:p>
      <w:pPr>
        <w:widowControl/>
        <w:snapToGrid w:val="0"/>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在货物采购项目中，供应商提供的货物既有中小企业制造货物，也有大型企业制造货物的，不享受中小企业扶持政策。</w:t>
      </w:r>
    </w:p>
    <w:p>
      <w:pPr>
        <w:widowControl/>
        <w:snapToGrid w:val="0"/>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3.2.3</w:t>
      </w:r>
      <w:r>
        <w:rPr>
          <w:rFonts w:hint="eastAsia" w:ascii="仿宋" w:hAnsi="仿宋" w:eastAsia="仿宋"/>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b/>
          <w:bCs/>
          <w:color w:val="auto"/>
          <w:sz w:val="24"/>
          <w:highlight w:val="none"/>
        </w:rPr>
        <w:t>20%</w:t>
      </w:r>
      <w:r>
        <w:rPr>
          <w:rFonts w:ascii="仿宋" w:hAnsi="仿宋" w:eastAsia="仿宋"/>
          <w:color w:val="auto"/>
          <w:sz w:val="24"/>
          <w:highlight w:val="none"/>
        </w:rPr>
        <w:t>的扣除，用扣除后的价格参与评审。接受大中型企业与小微企业组成联合体或者允许大中型企业向一家或者多家小微企业分包的</w:t>
      </w:r>
      <w:r>
        <w:rPr>
          <w:rFonts w:hint="eastAsia" w:ascii="仿宋" w:hAnsi="仿宋" w:eastAsia="仿宋"/>
          <w:color w:val="auto"/>
          <w:sz w:val="24"/>
          <w:highlight w:val="none"/>
        </w:rPr>
        <w:t>政府</w:t>
      </w:r>
      <w:r>
        <w:rPr>
          <w:rFonts w:ascii="仿宋" w:hAnsi="仿宋" w:eastAsia="仿宋"/>
          <w:color w:val="auto"/>
          <w:sz w:val="24"/>
          <w:highlight w:val="none"/>
        </w:rPr>
        <w:t>采购</w:t>
      </w:r>
      <w:r>
        <w:rPr>
          <w:rFonts w:hint="eastAsia" w:ascii="仿宋" w:hAnsi="仿宋" w:eastAsia="仿宋"/>
          <w:color w:val="auto"/>
          <w:sz w:val="24"/>
          <w:highlight w:val="none"/>
        </w:rPr>
        <w:t>货物或服务</w:t>
      </w:r>
      <w:r>
        <w:rPr>
          <w:rFonts w:ascii="仿宋" w:hAnsi="仿宋" w:eastAsia="仿宋"/>
          <w:color w:val="auto"/>
          <w:sz w:val="24"/>
          <w:highlight w:val="none"/>
        </w:rPr>
        <w:t>项目，对于联合协议或者分包意向协议约定小微企业的合同份额占到合同总金额30%以上的，对联合体或者大中型企业的报价给予</w:t>
      </w:r>
      <w:r>
        <w:rPr>
          <w:rFonts w:ascii="仿宋" w:hAnsi="仿宋" w:eastAsia="仿宋"/>
          <w:b/>
          <w:bCs/>
          <w:color w:val="auto"/>
          <w:sz w:val="24"/>
          <w:highlight w:val="none"/>
        </w:rPr>
        <w:t>6%</w:t>
      </w:r>
      <w:r>
        <w:rPr>
          <w:rFonts w:ascii="仿宋" w:hAnsi="仿宋" w:eastAsia="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3.2.6</w:t>
      </w:r>
      <w:r>
        <w:rPr>
          <w:rFonts w:hint="eastAsia" w:ascii="仿宋" w:hAnsi="仿宋" w:eastAsia="仿宋"/>
          <w:color w:val="auto"/>
          <w:sz w:val="24"/>
          <w:highlight w:val="none"/>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3.2.7中小企业享受扶持政策获得政府采购合同的，小微企业不得将合同分包给大中型企业，中型企业不得将合同分包给大型企业</w:t>
      </w:r>
      <w:r>
        <w:rPr>
          <w:rFonts w:hint="eastAsia" w:ascii="仿宋" w:hAnsi="仿宋" w:eastAsia="仿宋"/>
          <w:color w:val="auto"/>
          <w:sz w:val="24"/>
          <w:highlight w:val="none"/>
        </w:rPr>
        <w:t>。</w:t>
      </w:r>
    </w:p>
    <w:p>
      <w:pPr>
        <w:snapToGrid w:val="0"/>
        <w:spacing w:line="360" w:lineRule="auto"/>
        <w:ind w:firstLine="420"/>
        <w:rPr>
          <w:rFonts w:ascii="仿宋" w:hAnsi="仿宋" w:eastAsia="仿宋"/>
          <w:color w:val="auto"/>
          <w:sz w:val="24"/>
          <w:highlight w:val="none"/>
        </w:rPr>
      </w:pPr>
      <w:r>
        <w:rPr>
          <w:rFonts w:ascii="仿宋" w:hAnsi="仿宋" w:eastAsia="仿宋"/>
          <w:color w:val="auto"/>
          <w:sz w:val="24"/>
          <w:highlight w:val="none"/>
        </w:rPr>
        <w:t>3.3</w:t>
      </w:r>
      <w:r>
        <w:rPr>
          <w:rFonts w:hint="eastAsia" w:ascii="仿宋" w:hAnsi="仿宋" w:eastAsia="仿宋"/>
          <w:bCs/>
          <w:color w:val="auto"/>
          <w:sz w:val="24"/>
          <w:highlight w:val="none"/>
        </w:rPr>
        <w:t>支持创新发展</w:t>
      </w:r>
    </w:p>
    <w:p>
      <w:pPr>
        <w:snapToGrid w:val="0"/>
        <w:spacing w:line="360" w:lineRule="auto"/>
        <w:ind w:firstLine="424" w:firstLineChars="177"/>
        <w:rPr>
          <w:rFonts w:ascii="仿宋" w:hAnsi="仿宋" w:eastAsia="仿宋"/>
          <w:color w:val="auto"/>
          <w:sz w:val="24"/>
          <w:highlight w:val="none"/>
        </w:rPr>
      </w:pPr>
      <w:r>
        <w:rPr>
          <w:rFonts w:ascii="仿宋" w:hAnsi="仿宋" w:eastAsia="仿宋"/>
          <w:color w:val="auto"/>
          <w:sz w:val="24"/>
          <w:highlight w:val="none"/>
        </w:rPr>
        <w:t>3.3.1 采购人优先采购被认定</w:t>
      </w:r>
      <w:r>
        <w:rPr>
          <w:rFonts w:hint="eastAsia" w:ascii="仿宋" w:hAnsi="仿宋" w:eastAsia="仿宋"/>
          <w:color w:val="auto"/>
          <w:sz w:val="24"/>
          <w:highlight w:val="none"/>
        </w:rPr>
        <w:t>为首台套产品和“制造精品”的自主创新产品。</w:t>
      </w:r>
    </w:p>
    <w:p>
      <w:pPr>
        <w:snapToGrid w:val="0"/>
        <w:spacing w:line="360" w:lineRule="auto"/>
        <w:ind w:firstLine="424" w:firstLineChars="177"/>
        <w:rPr>
          <w:rFonts w:ascii="仿宋" w:hAnsi="仿宋" w:eastAsia="仿宋"/>
          <w:color w:val="auto"/>
          <w:sz w:val="24"/>
          <w:highlight w:val="none"/>
        </w:rPr>
      </w:pPr>
      <w:r>
        <w:rPr>
          <w:rFonts w:ascii="仿宋" w:hAnsi="仿宋" w:eastAsia="仿宋"/>
          <w:color w:val="auto"/>
          <w:sz w:val="24"/>
          <w:highlight w:val="none"/>
        </w:rPr>
        <w:t>3.3.2首台套产品</w:t>
      </w:r>
      <w:r>
        <w:rPr>
          <w:rFonts w:hint="eastAsia" w:ascii="仿宋" w:hAnsi="仿宋" w:eastAsia="仿宋"/>
          <w:color w:val="auto"/>
          <w:sz w:val="24"/>
          <w:highlight w:val="none"/>
        </w:rPr>
        <w:t>被纳入《首台套产品推广应用指导目录》之日起</w:t>
      </w:r>
      <w:r>
        <w:rPr>
          <w:rFonts w:ascii="仿宋" w:hAnsi="仿宋" w:eastAsia="仿宋"/>
          <w:color w:val="auto"/>
          <w:sz w:val="24"/>
          <w:highlight w:val="none"/>
        </w:rPr>
        <w:t>2年内，以及产品核心技术高于国内领先水平，并具有明晰自主知识产权的“制造精品”产品，</w:t>
      </w:r>
      <w:r>
        <w:rPr>
          <w:rFonts w:hint="eastAsia" w:ascii="仿宋" w:hAnsi="仿宋" w:eastAsia="仿宋"/>
          <w:color w:val="auto"/>
          <w:sz w:val="24"/>
          <w:highlight w:val="none"/>
        </w:rPr>
        <w:t>自认定之日起</w:t>
      </w:r>
      <w:r>
        <w:rPr>
          <w:rFonts w:ascii="仿宋" w:hAnsi="仿宋" w:eastAsia="仿宋"/>
          <w:color w:val="auto"/>
          <w:sz w:val="24"/>
          <w:highlight w:val="none"/>
        </w:rPr>
        <w:t>2年内视同已具备相应销售业绩，参加政府采购活动</w:t>
      </w:r>
      <w:r>
        <w:rPr>
          <w:rFonts w:hint="eastAsia" w:ascii="仿宋" w:hAnsi="仿宋" w:eastAsia="仿宋"/>
          <w:color w:val="auto"/>
          <w:sz w:val="24"/>
          <w:highlight w:val="none"/>
        </w:rPr>
        <w:t>时业绩分值为满分。</w:t>
      </w:r>
    </w:p>
    <w:p>
      <w:pPr>
        <w:snapToGrid w:val="0"/>
        <w:spacing w:line="360" w:lineRule="auto"/>
        <w:ind w:firstLine="420"/>
        <w:rPr>
          <w:rFonts w:ascii="仿宋" w:hAnsi="仿宋" w:eastAsia="仿宋"/>
          <w:color w:val="auto"/>
          <w:sz w:val="24"/>
          <w:highlight w:val="none"/>
        </w:rPr>
      </w:pPr>
      <w:r>
        <w:rPr>
          <w:rFonts w:ascii="仿宋" w:hAnsi="仿宋" w:eastAsia="仿宋"/>
          <w:color w:val="auto"/>
          <w:sz w:val="24"/>
          <w:highlight w:val="none"/>
        </w:rPr>
        <w:t>3.4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 w:hAnsi="仿宋" w:eastAsia="仿宋"/>
          <w:color w:val="auto"/>
          <w:sz w:val="24"/>
          <w:highlight w:val="none"/>
        </w:rPr>
        <w:t>登录</w:t>
      </w:r>
      <w:r>
        <w:rPr>
          <w:rFonts w:ascii="仿宋" w:hAnsi="仿宋" w:eastAsia="仿宋"/>
          <w:color w:val="auto"/>
          <w:sz w:val="24"/>
          <w:highlight w:val="none"/>
        </w:rPr>
        <w:t>杭州市政府采购网“中小企业信用融资”模块，查看信用融资政策文件及各相关银行服务方案。</w:t>
      </w:r>
      <w:r>
        <w:rPr>
          <w:rFonts w:ascii="仿宋" w:hAnsi="仿宋" w:eastAsia="仿宋"/>
          <w:color w:val="auto"/>
          <w:sz w:val="24"/>
          <w:highlight w:val="none"/>
        </w:rPr>
        <w:cr/>
      </w:r>
    </w:p>
    <w:p>
      <w:pPr>
        <w:pStyle w:val="2"/>
        <w:rPr>
          <w:rFonts w:ascii="仿宋" w:hAnsi="仿宋" w:eastAsia="仿宋"/>
          <w:color w:val="auto"/>
          <w:highlight w:val="none"/>
        </w:rPr>
      </w:pPr>
      <w:bookmarkStart w:id="58" w:name="_Toc95312942"/>
      <w:bookmarkStart w:id="59" w:name="_Toc30272"/>
      <w:bookmarkStart w:id="60" w:name="_Toc4807"/>
      <w:bookmarkStart w:id="61" w:name="_Toc10216"/>
      <w:r>
        <w:rPr>
          <w:rFonts w:ascii="仿宋" w:hAnsi="仿宋" w:eastAsia="仿宋"/>
          <w:color w:val="auto"/>
          <w:highlight w:val="none"/>
        </w:rPr>
        <w:t>4.</w:t>
      </w:r>
      <w:r>
        <w:rPr>
          <w:rFonts w:hint="eastAsia" w:ascii="仿宋" w:hAnsi="仿宋" w:eastAsia="仿宋"/>
          <w:color w:val="auto"/>
          <w:highlight w:val="none"/>
        </w:rPr>
        <w:t>询问、质疑、投诉</w:t>
      </w:r>
      <w:bookmarkEnd w:id="58"/>
      <w:bookmarkEnd w:id="59"/>
      <w:bookmarkEnd w:id="60"/>
      <w:bookmarkEnd w:id="61"/>
    </w:p>
    <w:p>
      <w:pPr>
        <w:autoSpaceDE w:val="0"/>
        <w:autoSpaceDN w:val="0"/>
        <w:snapToGrid w:val="0"/>
        <w:spacing w:line="360" w:lineRule="auto"/>
        <w:ind w:firstLine="42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4.1供应商询问</w:t>
      </w:r>
    </w:p>
    <w:p>
      <w:pPr>
        <w:autoSpaceDE w:val="0"/>
        <w:autoSpaceDN w:val="0"/>
        <w:snapToGrid w:val="0"/>
        <w:spacing w:line="360" w:lineRule="auto"/>
        <w:ind w:firstLine="480" w:firstLineChars="200"/>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供应商对政府采购活动事项有疑问的，可以提出询问，采购人或者采购代理机构应当在</w:t>
      </w:r>
      <w:r>
        <w:rPr>
          <w:rFonts w:ascii="仿宋" w:hAnsi="仿宋" w:eastAsia="仿宋" w:cs="微软雅黑"/>
          <w:color w:val="auto"/>
          <w:kern w:val="0"/>
          <w:sz w:val="24"/>
          <w:highlight w:val="none"/>
          <w:lang w:val="zh-CN"/>
        </w:rPr>
        <w:t>3个工作日内对供应</w:t>
      </w:r>
      <w:r>
        <w:rPr>
          <w:rFonts w:hint="eastAsia" w:ascii="仿宋" w:hAnsi="仿宋" w:eastAsia="仿宋"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2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4.2供应商质疑</w:t>
      </w:r>
    </w:p>
    <w:p>
      <w:pPr>
        <w:pStyle w:val="46"/>
        <w:snapToGrid w:val="0"/>
        <w:spacing w:line="360" w:lineRule="auto"/>
        <w:ind w:firstLine="480" w:firstLineChars="200"/>
        <w:rPr>
          <w:rFonts w:ascii="仿宋" w:hAnsi="仿宋" w:eastAsia="仿宋"/>
          <w:color w:val="auto"/>
          <w:sz w:val="24"/>
          <w:highlight w:val="none"/>
        </w:rPr>
      </w:pPr>
      <w:r>
        <w:rPr>
          <w:rFonts w:ascii="仿宋" w:hAnsi="仿宋" w:eastAsia="仿宋" w:cs="微软雅黑"/>
          <w:color w:val="auto"/>
          <w:kern w:val="0"/>
          <w:sz w:val="24"/>
          <w:highlight w:val="none"/>
          <w:lang w:val="zh-CN"/>
        </w:rPr>
        <w:t>4.2</w:t>
      </w:r>
      <w:r>
        <w:rPr>
          <w:rFonts w:ascii="仿宋" w:hAnsi="仿宋" w:eastAsia="仿宋"/>
          <w:color w:val="auto"/>
          <w:sz w:val="24"/>
          <w:highlight w:val="none"/>
        </w:rPr>
        <w:t>.1提出质疑的供应商应当是参与所质疑项目采购活动的供应商。潜在供应商已依法获取其可质疑的采购文件的，可以对该文件提出质疑。</w:t>
      </w:r>
    </w:p>
    <w:p>
      <w:pPr>
        <w:pStyle w:val="46"/>
        <w:snapToGrid w:val="0"/>
        <w:spacing w:line="360" w:lineRule="auto"/>
        <w:ind w:firstLine="480" w:firstLineChars="200"/>
        <w:rPr>
          <w:rFonts w:ascii="仿宋" w:hAnsi="仿宋" w:eastAsia="仿宋"/>
          <w:color w:val="auto"/>
          <w:sz w:val="24"/>
          <w:highlight w:val="none"/>
        </w:rPr>
      </w:pPr>
      <w:r>
        <w:rPr>
          <w:rFonts w:ascii="仿宋" w:hAnsi="仿宋" w:eastAsia="仿宋" w:cs="微软雅黑"/>
          <w:color w:val="auto"/>
          <w:kern w:val="0"/>
          <w:sz w:val="24"/>
          <w:highlight w:val="none"/>
          <w:lang w:val="zh-CN"/>
        </w:rPr>
        <w:t>4.2</w:t>
      </w:r>
      <w:r>
        <w:rPr>
          <w:rFonts w:ascii="仿宋" w:hAnsi="仿宋" w:eastAsia="仿宋"/>
          <w:color w:val="auto"/>
          <w:sz w:val="24"/>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21"/>
        <w:spacing w:line="360" w:lineRule="auto"/>
        <w:ind w:firstLine="480" w:firstLineChars="200"/>
        <w:rPr>
          <w:rFonts w:ascii="仿宋" w:hAnsi="仿宋" w:eastAsia="仿宋"/>
          <w:color w:val="auto"/>
          <w:kern w:val="2"/>
          <w:sz w:val="24"/>
          <w:highlight w:val="none"/>
        </w:rPr>
      </w:pPr>
      <w:r>
        <w:rPr>
          <w:rFonts w:ascii="仿宋" w:hAnsi="仿宋" w:eastAsia="仿宋"/>
          <w:color w:val="auto"/>
          <w:kern w:val="2"/>
          <w:sz w:val="24"/>
          <w:highlight w:val="none"/>
        </w:rPr>
        <w:t>4.2.2.1对采购文件提出质疑的，质疑期限为供应商获得采购文件之日或者采购文件公告期限届满之日起计算。</w:t>
      </w:r>
    </w:p>
    <w:p>
      <w:pPr>
        <w:pStyle w:val="46"/>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4.2.2.2对采购过程提出质疑的，质疑期限为各采购程序环节结束之日起计算。对同一采购程序环节的质疑，供应商须一次性提出。</w:t>
      </w:r>
    </w:p>
    <w:p>
      <w:pPr>
        <w:pStyle w:val="46"/>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4.2.2.3对采购结果提出质疑的，质疑期限自采购结果公告期限届满之日起计算。</w:t>
      </w:r>
    </w:p>
    <w:p>
      <w:pPr>
        <w:pStyle w:val="46"/>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w:t>
      </w:r>
      <w:r>
        <w:rPr>
          <w:rFonts w:hint="eastAsia" w:ascii="仿宋" w:hAnsi="仿宋" w:eastAsia="仿宋"/>
          <w:color w:val="auto"/>
          <w:sz w:val="24"/>
          <w:highlight w:val="none"/>
        </w:rPr>
        <w:t>供应商提出质疑应当提交质疑函和必要的证明材料。质疑函应当包括下列内容：</w:t>
      </w:r>
    </w:p>
    <w:p>
      <w:pPr>
        <w:pStyle w:val="46"/>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4.2.3.1</w:t>
      </w:r>
      <w:r>
        <w:rPr>
          <w:rFonts w:hint="eastAsia" w:ascii="仿宋" w:hAnsi="仿宋" w:eastAsia="仿宋" w:cs="微软雅黑"/>
          <w:color w:val="auto"/>
          <w:kern w:val="0"/>
          <w:sz w:val="24"/>
          <w:highlight w:val="none"/>
          <w:lang w:val="zh-CN"/>
        </w:rPr>
        <w:t>供应商的姓名或者名称、地址、邮编、联系人及联系电话；</w:t>
      </w:r>
    </w:p>
    <w:p>
      <w:pPr>
        <w:pStyle w:val="46"/>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4.2.3.2</w:t>
      </w:r>
      <w:r>
        <w:rPr>
          <w:rFonts w:hint="eastAsia" w:ascii="仿宋" w:hAnsi="仿宋" w:eastAsia="仿宋" w:cs="微软雅黑"/>
          <w:color w:val="auto"/>
          <w:kern w:val="0"/>
          <w:sz w:val="24"/>
          <w:highlight w:val="none"/>
          <w:lang w:val="zh-CN"/>
        </w:rPr>
        <w:t>质疑项目的名称、编号；</w:t>
      </w:r>
    </w:p>
    <w:p>
      <w:pPr>
        <w:pStyle w:val="46"/>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4.2.3.3</w:t>
      </w:r>
      <w:r>
        <w:rPr>
          <w:rFonts w:hint="eastAsia" w:ascii="仿宋" w:hAnsi="仿宋" w:eastAsia="仿宋" w:cs="微软雅黑"/>
          <w:color w:val="auto"/>
          <w:kern w:val="0"/>
          <w:sz w:val="24"/>
          <w:highlight w:val="none"/>
          <w:lang w:val="zh-CN"/>
        </w:rPr>
        <w:t>具体、明确的质疑事项和与质疑事项相关的请求；</w:t>
      </w:r>
    </w:p>
    <w:p>
      <w:pPr>
        <w:pStyle w:val="46"/>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4.2.3.4</w:t>
      </w:r>
      <w:r>
        <w:rPr>
          <w:rFonts w:hint="eastAsia" w:ascii="仿宋" w:hAnsi="仿宋" w:eastAsia="仿宋" w:cs="微软雅黑"/>
          <w:color w:val="auto"/>
          <w:kern w:val="0"/>
          <w:sz w:val="24"/>
          <w:highlight w:val="none"/>
          <w:lang w:val="zh-CN"/>
        </w:rPr>
        <w:t>事实依据；</w:t>
      </w:r>
    </w:p>
    <w:p>
      <w:pPr>
        <w:pStyle w:val="46"/>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4.2.3.5</w:t>
      </w:r>
      <w:r>
        <w:rPr>
          <w:rFonts w:hint="eastAsia" w:ascii="仿宋" w:hAnsi="仿宋" w:eastAsia="仿宋" w:cs="微软雅黑"/>
          <w:color w:val="auto"/>
          <w:kern w:val="0"/>
          <w:sz w:val="24"/>
          <w:highlight w:val="none"/>
          <w:lang w:val="zh-CN"/>
        </w:rPr>
        <w:t>必要的法律依据；</w:t>
      </w:r>
    </w:p>
    <w:p>
      <w:pPr>
        <w:pStyle w:val="46"/>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4.2.3.6</w:t>
      </w:r>
      <w:r>
        <w:rPr>
          <w:rFonts w:hint="eastAsia" w:ascii="仿宋" w:hAnsi="仿宋" w:eastAsia="仿宋" w:cs="微软雅黑"/>
          <w:color w:val="auto"/>
          <w:kern w:val="0"/>
          <w:sz w:val="24"/>
          <w:highlight w:val="none"/>
          <w:lang w:val="zh-CN"/>
        </w:rPr>
        <w:t>提出质疑的日期。</w:t>
      </w:r>
    </w:p>
    <w:p>
      <w:pPr>
        <w:pStyle w:val="597"/>
        <w:shd w:val="clear" w:color="auto" w:fill="FFFFFF"/>
        <w:adjustRightInd w:val="0"/>
        <w:snapToGrid w:val="0"/>
        <w:spacing w:before="0" w:beforeAutospacing="0" w:after="0" w:afterAutospacing="0" w:line="360" w:lineRule="auto"/>
        <w:ind w:firstLine="400"/>
        <w:contextualSpacing/>
        <w:jc w:val="both"/>
        <w:rPr>
          <w:rFonts w:ascii="仿宋" w:hAnsi="仿宋" w:eastAsia="仿宋"/>
          <w:color w:val="auto"/>
          <w:highlight w:val="none"/>
        </w:rPr>
      </w:pPr>
      <w:r>
        <w:rPr>
          <w:rFonts w:hint="eastAsia" w:ascii="仿宋" w:hAnsi="仿宋" w:eastAsia="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97"/>
        <w:shd w:val="clear" w:color="auto" w:fill="FFFFFF"/>
        <w:adjustRightInd w:val="0"/>
        <w:snapToGrid w:val="0"/>
        <w:spacing w:before="0" w:beforeAutospacing="0" w:after="0" w:afterAutospacing="0" w:line="360" w:lineRule="auto"/>
        <w:ind w:firstLine="420"/>
        <w:contextualSpacing/>
        <w:jc w:val="both"/>
        <w:rPr>
          <w:rFonts w:ascii="仿宋" w:hAnsi="仿宋" w:eastAsia="仿宋"/>
          <w:color w:val="auto"/>
          <w:highlight w:val="none"/>
        </w:rPr>
      </w:pPr>
      <w:r>
        <w:rPr>
          <w:rFonts w:hint="eastAsia" w:ascii="仿宋" w:hAnsi="仿宋" w:eastAsia="仿宋"/>
          <w:color w:val="auto"/>
          <w:highlight w:val="none"/>
        </w:rPr>
        <w:t>质疑函范本及制作说明详见附件</w:t>
      </w:r>
      <w:r>
        <w:rPr>
          <w:rFonts w:ascii="仿宋" w:hAnsi="仿宋" w:eastAsia="仿宋"/>
          <w:color w:val="auto"/>
          <w:highlight w:val="none"/>
        </w:rPr>
        <w:t>2。</w:t>
      </w:r>
    </w:p>
    <w:p>
      <w:pPr>
        <w:pStyle w:val="597"/>
        <w:shd w:val="clear" w:color="auto" w:fill="FFFFFF"/>
        <w:adjustRightInd w:val="0"/>
        <w:snapToGrid w:val="0"/>
        <w:spacing w:before="0" w:beforeAutospacing="0" w:after="0" w:afterAutospacing="0" w:line="360" w:lineRule="auto"/>
        <w:ind w:firstLine="420"/>
        <w:contextualSpacing/>
        <w:jc w:val="both"/>
        <w:rPr>
          <w:rFonts w:ascii="仿宋" w:hAnsi="仿宋" w:eastAsia="仿宋"/>
          <w:color w:val="auto"/>
          <w:highlight w:val="none"/>
        </w:rPr>
      </w:pPr>
      <w:r>
        <w:rPr>
          <w:rFonts w:ascii="仿宋" w:hAnsi="仿宋" w:eastAsia="仿宋" w:cs="微软雅黑"/>
          <w:color w:val="auto"/>
          <w:highlight w:val="none"/>
          <w:lang w:val="zh-CN"/>
        </w:rPr>
        <w:t>4.2</w:t>
      </w:r>
      <w:r>
        <w:rPr>
          <w:rFonts w:ascii="仿宋" w:hAnsi="仿宋" w:eastAsia="仿宋"/>
          <w:color w:val="auto"/>
          <w:highlight w:val="none"/>
        </w:rPr>
        <w:t>.4</w:t>
      </w:r>
      <w:r>
        <w:rPr>
          <w:rFonts w:hint="eastAsia" w:ascii="仿宋" w:hAnsi="仿宋" w:eastAsia="仿宋"/>
          <w:color w:val="auto"/>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olor w:val="auto"/>
          <w:highlight w:val="none"/>
        </w:rPr>
        <w:t>2021〕17号）,</w:t>
      </w:r>
      <w:r>
        <w:rPr>
          <w:rFonts w:hint="eastAsia" w:ascii="仿宋" w:hAnsi="仿宋" w:eastAsia="仿宋"/>
          <w:color w:val="auto"/>
          <w:highlight w:val="none"/>
        </w:rPr>
        <w:t>采购人或者采购代理机构在质疑回复后</w:t>
      </w:r>
      <w:r>
        <w:rPr>
          <w:rFonts w:ascii="仿宋" w:hAnsi="仿宋" w:eastAsia="仿宋"/>
          <w:color w:val="auto"/>
          <w:highlight w:val="none"/>
        </w:rPr>
        <w:t>5个工作日内，在浙江政府采购网的“其他公告”栏目公开质疑答复，答复内容应当完整。质疑</w:t>
      </w:r>
      <w:r>
        <w:rPr>
          <w:rFonts w:hint="eastAsia" w:ascii="仿宋" w:hAnsi="仿宋" w:eastAsia="仿宋"/>
          <w:color w:val="auto"/>
          <w:highlight w:val="none"/>
        </w:rPr>
        <w:t>函作为附件上传。</w:t>
      </w:r>
    </w:p>
    <w:p>
      <w:pPr>
        <w:pStyle w:val="597"/>
        <w:shd w:val="clear" w:color="auto" w:fill="FFFFFF"/>
        <w:adjustRightInd w:val="0"/>
        <w:snapToGrid w:val="0"/>
        <w:spacing w:before="0" w:beforeAutospacing="0" w:after="0" w:afterAutospacing="0" w:line="360" w:lineRule="auto"/>
        <w:ind w:firstLine="420"/>
        <w:contextualSpacing/>
        <w:jc w:val="both"/>
        <w:rPr>
          <w:rFonts w:ascii="仿宋" w:hAnsi="仿宋" w:eastAsia="仿宋"/>
          <w:color w:val="auto"/>
          <w:highlight w:val="none"/>
        </w:rPr>
      </w:pPr>
      <w:r>
        <w:rPr>
          <w:rFonts w:ascii="仿宋" w:hAnsi="仿宋" w:eastAsia="仿宋" w:cs="微软雅黑"/>
          <w:color w:val="auto"/>
          <w:highlight w:val="none"/>
          <w:lang w:val="zh-CN"/>
        </w:rPr>
        <w:t>4.2</w:t>
      </w:r>
      <w:r>
        <w:rPr>
          <w:rFonts w:ascii="仿宋" w:hAnsi="仿宋" w:eastAsia="仿宋"/>
          <w:color w:val="auto"/>
          <w:highlight w:val="none"/>
        </w:rPr>
        <w:t>.5询问或者质疑事项可能影响采购结果的，采购人应当暂停签订合同，已经签订合同的，应当中止履行合同。</w:t>
      </w:r>
    </w:p>
    <w:p>
      <w:pPr>
        <w:pStyle w:val="597"/>
        <w:shd w:val="clear" w:color="auto" w:fill="FFFFFF"/>
        <w:adjustRightInd w:val="0"/>
        <w:snapToGrid w:val="0"/>
        <w:spacing w:before="0" w:beforeAutospacing="0" w:after="0" w:afterAutospacing="0" w:line="360" w:lineRule="auto"/>
        <w:ind w:firstLine="420"/>
        <w:contextualSpacing/>
        <w:jc w:val="both"/>
        <w:rPr>
          <w:rFonts w:ascii="仿宋" w:hAnsi="仿宋" w:eastAsia="仿宋" w:cs="微软雅黑"/>
          <w:color w:val="auto"/>
          <w:highlight w:val="none"/>
          <w:lang w:val="zh-CN"/>
        </w:rPr>
      </w:pPr>
      <w:r>
        <w:rPr>
          <w:rFonts w:ascii="仿宋" w:hAnsi="仿宋" w:eastAsia="仿宋" w:cs="微软雅黑"/>
          <w:color w:val="auto"/>
          <w:highlight w:val="none"/>
          <w:lang w:val="zh-CN"/>
        </w:rPr>
        <w:t>4.3供应商投诉</w:t>
      </w:r>
    </w:p>
    <w:p>
      <w:pPr>
        <w:pStyle w:val="597"/>
        <w:shd w:val="clear" w:color="auto" w:fill="FFFFFF"/>
        <w:adjustRightInd w:val="0"/>
        <w:snapToGrid w:val="0"/>
        <w:spacing w:before="0" w:beforeAutospacing="0" w:after="0" w:afterAutospacing="0" w:line="360" w:lineRule="auto"/>
        <w:ind w:firstLine="400"/>
        <w:contextualSpacing/>
        <w:jc w:val="both"/>
        <w:rPr>
          <w:rFonts w:ascii="仿宋" w:hAnsi="仿宋" w:eastAsia="仿宋"/>
          <w:color w:val="auto"/>
          <w:highlight w:val="none"/>
        </w:rPr>
      </w:pPr>
      <w:r>
        <w:rPr>
          <w:rFonts w:ascii="仿宋" w:hAnsi="仿宋" w:eastAsia="仿宋"/>
          <w:color w:val="auto"/>
          <w:highlight w:val="none"/>
        </w:rPr>
        <w:t>4.3.1质疑供应商对采购人、采购代理机构的答复不满意或者采购人、采购代理机构未在规定的时间内</w:t>
      </w:r>
      <w:r>
        <w:rPr>
          <w:rFonts w:hint="eastAsia" w:ascii="仿宋" w:hAnsi="仿宋" w:eastAsia="仿宋"/>
          <w:color w:val="auto"/>
          <w:highlight w:val="none"/>
        </w:rPr>
        <w:t>作出答复的，可以在答复期满后十五个工作日内向同级政府采购监督管理部门提出投诉。</w:t>
      </w:r>
    </w:p>
    <w:p>
      <w:pPr>
        <w:pStyle w:val="597"/>
        <w:shd w:val="clear" w:color="auto" w:fill="FFFFFF"/>
        <w:adjustRightInd w:val="0"/>
        <w:snapToGrid w:val="0"/>
        <w:spacing w:before="0" w:beforeAutospacing="0" w:after="0" w:afterAutospacing="0" w:line="360" w:lineRule="auto"/>
        <w:ind w:firstLine="400"/>
        <w:contextualSpacing/>
        <w:jc w:val="both"/>
        <w:rPr>
          <w:rFonts w:ascii="仿宋" w:hAnsi="仿宋" w:eastAsia="仿宋"/>
          <w:color w:val="auto"/>
          <w:highlight w:val="none"/>
        </w:rPr>
      </w:pPr>
      <w:r>
        <w:rPr>
          <w:rFonts w:ascii="仿宋" w:hAnsi="仿宋" w:eastAsia="仿宋"/>
          <w:color w:val="auto"/>
          <w:highlight w:val="none"/>
        </w:rPr>
        <w:t>4.3.</w:t>
      </w:r>
      <w:r>
        <w:rPr>
          <w:rFonts w:ascii="仿宋" w:hAnsi="仿宋" w:eastAsia="仿宋" w:cs="微软雅黑"/>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pPr>
        <w:pStyle w:val="597"/>
        <w:shd w:val="clear" w:color="auto" w:fill="FFFFFF"/>
        <w:adjustRightInd w:val="0"/>
        <w:snapToGrid w:val="0"/>
        <w:spacing w:before="0" w:beforeAutospacing="0" w:after="0" w:afterAutospacing="0" w:line="360" w:lineRule="auto"/>
        <w:ind w:firstLine="400"/>
        <w:contextualSpacing/>
        <w:jc w:val="both"/>
        <w:rPr>
          <w:rFonts w:ascii="仿宋" w:hAnsi="仿宋" w:eastAsia="仿宋"/>
          <w:color w:val="auto"/>
          <w:highlight w:val="none"/>
        </w:rPr>
      </w:pPr>
      <w:r>
        <w:rPr>
          <w:rFonts w:ascii="仿宋" w:hAnsi="仿宋" w:eastAsia="仿宋"/>
          <w:color w:val="auto"/>
          <w:highlight w:val="none"/>
        </w:rPr>
        <w:t>4.3.3供应</w:t>
      </w:r>
      <w:r>
        <w:rPr>
          <w:rFonts w:hint="eastAsia" w:ascii="仿宋" w:hAnsi="仿宋" w:eastAsia="仿宋"/>
          <w:color w:val="auto"/>
          <w:highlight w:val="none"/>
        </w:rPr>
        <w:t>商投诉应当有明确的请求和必要的证明材料。</w:t>
      </w:r>
    </w:p>
    <w:p>
      <w:pPr>
        <w:pStyle w:val="597"/>
        <w:shd w:val="clear" w:color="auto" w:fill="FFFFFF"/>
        <w:adjustRightInd w:val="0"/>
        <w:snapToGrid w:val="0"/>
        <w:spacing w:before="0" w:beforeAutospacing="0" w:after="0" w:afterAutospacing="0" w:line="360" w:lineRule="auto"/>
        <w:ind w:firstLine="400"/>
        <w:contextualSpacing/>
        <w:jc w:val="both"/>
        <w:rPr>
          <w:rFonts w:ascii="仿宋" w:hAnsi="仿宋" w:eastAsia="仿宋"/>
          <w:color w:val="auto"/>
          <w:highlight w:val="none"/>
        </w:rPr>
      </w:pPr>
      <w:r>
        <w:rPr>
          <w:rFonts w:ascii="仿宋" w:hAnsi="仿宋" w:eastAsia="仿宋"/>
          <w:color w:val="auto"/>
          <w:highlight w:val="none"/>
        </w:rPr>
        <w:t>4.3.</w:t>
      </w:r>
      <w:r>
        <w:rPr>
          <w:rFonts w:hint="eastAsia" w:ascii="仿宋" w:hAnsi="仿宋" w:eastAsia="仿宋"/>
          <w:color w:val="auto"/>
          <w:highlight w:val="none"/>
        </w:rPr>
        <w:t>4</w:t>
      </w:r>
      <w:r>
        <w:rPr>
          <w:rFonts w:ascii="仿宋" w:hAnsi="仿宋" w:eastAsia="仿宋"/>
          <w:color w:val="auto"/>
          <w:highlight w:val="none"/>
        </w:rPr>
        <w:t xml:space="preserve"> </w:t>
      </w:r>
      <w:r>
        <w:rPr>
          <w:rFonts w:hint="eastAsia" w:ascii="仿宋" w:hAnsi="仿宋" w:eastAsia="仿宋"/>
          <w:color w:val="auto"/>
          <w:highlight w:val="none"/>
        </w:rPr>
        <w:t>以联合体形式参加政府采购活动的，其投诉应当由组成联合体的所有供应商共同提出。</w:t>
      </w:r>
    </w:p>
    <w:p>
      <w:pPr>
        <w:pStyle w:val="597"/>
        <w:shd w:val="clear" w:color="auto" w:fill="FFFFFF"/>
        <w:adjustRightInd w:val="0"/>
        <w:snapToGrid w:val="0"/>
        <w:spacing w:before="0" w:beforeAutospacing="0" w:after="0" w:afterAutospacing="0" w:line="360" w:lineRule="auto"/>
        <w:ind w:firstLine="420"/>
        <w:contextualSpacing/>
        <w:jc w:val="both"/>
        <w:rPr>
          <w:rFonts w:ascii="仿宋" w:hAnsi="仿宋" w:eastAsia="仿宋"/>
          <w:color w:val="auto"/>
          <w:highlight w:val="none"/>
        </w:rPr>
      </w:pPr>
      <w:r>
        <w:rPr>
          <w:rFonts w:hint="eastAsia" w:ascii="仿宋" w:hAnsi="仿宋" w:eastAsia="仿宋"/>
          <w:color w:val="auto"/>
          <w:highlight w:val="none"/>
        </w:rPr>
        <w:t>投诉书范本及制作说明详见附件</w:t>
      </w:r>
      <w:r>
        <w:rPr>
          <w:rFonts w:ascii="仿宋" w:hAnsi="仿宋" w:eastAsia="仿宋"/>
          <w:color w:val="auto"/>
          <w:highlight w:val="none"/>
        </w:rPr>
        <w:t>3。</w:t>
      </w:r>
    </w:p>
    <w:p>
      <w:pPr>
        <w:snapToGrid w:val="0"/>
        <w:spacing w:line="360" w:lineRule="auto"/>
        <w:jc w:val="center"/>
        <w:rPr>
          <w:rFonts w:hint="eastAsia" w:ascii="仿宋" w:hAnsi="仿宋" w:eastAsia="仿宋"/>
          <w:b/>
          <w:bCs/>
          <w:color w:val="auto"/>
          <w:kern w:val="44"/>
          <w:sz w:val="28"/>
          <w:szCs w:val="32"/>
          <w:highlight w:val="none"/>
          <w:lang w:val="zh-CN"/>
        </w:rPr>
      </w:pPr>
      <w:bookmarkStart w:id="62" w:name="_Toc5852"/>
      <w:bookmarkStart w:id="63" w:name="_Toc2062424395"/>
      <w:bookmarkStart w:id="64" w:name="_Toc15814"/>
      <w:bookmarkStart w:id="65" w:name="_Toc32377"/>
      <w:bookmarkStart w:id="66" w:name="_Toc95312943"/>
      <w:bookmarkStart w:id="67" w:name="_Toc22555"/>
      <w:r>
        <w:rPr>
          <w:rFonts w:hint="eastAsia" w:ascii="仿宋" w:hAnsi="仿宋" w:eastAsia="仿宋"/>
          <w:b/>
          <w:bCs/>
          <w:color w:val="auto"/>
          <w:kern w:val="44"/>
          <w:sz w:val="28"/>
          <w:szCs w:val="32"/>
          <w:highlight w:val="none"/>
          <w:lang w:val="zh-CN"/>
        </w:rPr>
        <w:t>二、采购文件的构成、澄清、修改</w:t>
      </w:r>
      <w:bookmarkEnd w:id="62"/>
      <w:bookmarkEnd w:id="63"/>
      <w:bookmarkEnd w:id="64"/>
      <w:bookmarkEnd w:id="65"/>
      <w:bookmarkEnd w:id="66"/>
      <w:bookmarkEnd w:id="67"/>
    </w:p>
    <w:p>
      <w:pPr>
        <w:pStyle w:val="2"/>
        <w:rPr>
          <w:rFonts w:ascii="仿宋" w:hAnsi="仿宋" w:eastAsia="仿宋"/>
          <w:color w:val="auto"/>
          <w:highlight w:val="none"/>
        </w:rPr>
      </w:pPr>
      <w:bookmarkStart w:id="68" w:name="_Toc32513"/>
      <w:bookmarkStart w:id="69" w:name="_Toc30129"/>
      <w:bookmarkStart w:id="70" w:name="_Toc8219"/>
      <w:bookmarkStart w:id="71" w:name="_Toc95312944"/>
      <w:r>
        <w:rPr>
          <w:rFonts w:ascii="仿宋" w:hAnsi="仿宋" w:eastAsia="仿宋"/>
          <w:color w:val="auto"/>
          <w:highlight w:val="none"/>
        </w:rPr>
        <w:t>5．采购文件的构成</w:t>
      </w:r>
      <w:bookmarkEnd w:id="68"/>
      <w:bookmarkEnd w:id="69"/>
      <w:bookmarkEnd w:id="70"/>
      <w:bookmarkEnd w:id="71"/>
    </w:p>
    <w:p>
      <w:pPr>
        <w:pStyle w:val="46"/>
        <w:snapToGrid w:val="0"/>
        <w:spacing w:line="360" w:lineRule="auto"/>
        <w:ind w:firstLine="42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 xml:space="preserve">5.1 </w:t>
      </w:r>
      <w:r>
        <w:rPr>
          <w:rFonts w:hint="eastAsia" w:ascii="仿宋" w:hAnsi="仿宋" w:eastAsia="仿宋" w:cs="仿宋_GB2312"/>
          <w:color w:val="auto"/>
          <w:sz w:val="24"/>
          <w:szCs w:val="24"/>
          <w:highlight w:val="none"/>
        </w:rPr>
        <w:t>采购文件包括下列文件及附件：</w:t>
      </w:r>
    </w:p>
    <w:p>
      <w:pPr>
        <w:pStyle w:val="46"/>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5.1.1招标公告；</w:t>
      </w:r>
    </w:p>
    <w:p>
      <w:pPr>
        <w:pStyle w:val="46"/>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5.1.2供应商须知；</w:t>
      </w:r>
    </w:p>
    <w:p>
      <w:pPr>
        <w:pStyle w:val="46"/>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5.1.3采购需求；</w:t>
      </w:r>
    </w:p>
    <w:p>
      <w:pPr>
        <w:pStyle w:val="46"/>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5.1.4评标</w:t>
      </w:r>
      <w:r>
        <w:rPr>
          <w:rFonts w:hint="eastAsia" w:ascii="仿宋" w:hAnsi="仿宋" w:eastAsia="仿宋" w:cs="仿宋_GB2312"/>
          <w:color w:val="auto"/>
          <w:sz w:val="24"/>
          <w:szCs w:val="24"/>
          <w:highlight w:val="none"/>
        </w:rPr>
        <w:t>办</w:t>
      </w:r>
      <w:r>
        <w:rPr>
          <w:rFonts w:ascii="仿宋" w:hAnsi="仿宋" w:eastAsia="仿宋" w:cs="仿宋_GB2312"/>
          <w:color w:val="auto"/>
          <w:sz w:val="24"/>
          <w:szCs w:val="24"/>
          <w:highlight w:val="none"/>
        </w:rPr>
        <w:t>法；</w:t>
      </w:r>
    </w:p>
    <w:p>
      <w:pPr>
        <w:pStyle w:val="46"/>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5.1.5</w:t>
      </w:r>
      <w:r>
        <w:rPr>
          <w:rFonts w:hint="eastAsia" w:ascii="仿宋" w:hAnsi="仿宋" w:eastAsia="仿宋" w:cs="仿宋_GB2312"/>
          <w:color w:val="auto"/>
          <w:sz w:val="24"/>
          <w:szCs w:val="24"/>
          <w:highlight w:val="none"/>
        </w:rPr>
        <w:t>拟签订的合同文本；</w:t>
      </w:r>
    </w:p>
    <w:p>
      <w:pPr>
        <w:pStyle w:val="46"/>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highlight w:val="none"/>
        </w:rPr>
        <w:t>5.1.6</w:t>
      </w:r>
      <w:r>
        <w:rPr>
          <w:rFonts w:hint="eastAsia" w:ascii="仿宋" w:hAnsi="仿宋" w:eastAsia="仿宋" w:cs="仿宋_GB2312"/>
          <w:color w:val="auto"/>
          <w:sz w:val="24"/>
          <w:szCs w:val="24"/>
          <w:highlight w:val="none"/>
        </w:rPr>
        <w:t>应提交的有关格式范例。</w:t>
      </w:r>
    </w:p>
    <w:p>
      <w:pPr>
        <w:snapToGrid w:val="0"/>
        <w:spacing w:line="360" w:lineRule="auto"/>
        <w:ind w:firstLine="420"/>
        <w:rPr>
          <w:rFonts w:ascii="仿宋" w:hAnsi="仿宋" w:eastAsia="仿宋" w:cs="仿宋_GB2312"/>
          <w:color w:val="auto"/>
          <w:sz w:val="24"/>
          <w:highlight w:val="none"/>
        </w:rPr>
      </w:pPr>
      <w:r>
        <w:rPr>
          <w:rFonts w:ascii="仿宋" w:hAnsi="仿宋" w:eastAsia="仿宋"/>
          <w:color w:val="auto"/>
          <w:sz w:val="24"/>
          <w:highlight w:val="none"/>
        </w:rPr>
        <w:t>5.2与本项目有关的</w:t>
      </w:r>
      <w:r>
        <w:rPr>
          <w:rFonts w:hint="eastAsia" w:ascii="仿宋" w:hAnsi="仿宋" w:eastAsia="仿宋"/>
          <w:bCs/>
          <w:color w:val="auto"/>
          <w:sz w:val="24"/>
          <w:highlight w:val="none"/>
        </w:rPr>
        <w:t>澄清或者修改的内容为采购文件的组成部分</w:t>
      </w:r>
      <w:r>
        <w:rPr>
          <w:rFonts w:hint="eastAsia" w:ascii="仿宋" w:hAnsi="仿宋" w:eastAsia="仿宋" w:cs="仿宋_GB2312"/>
          <w:color w:val="auto"/>
          <w:sz w:val="24"/>
          <w:highlight w:val="none"/>
        </w:rPr>
        <w:t>。</w:t>
      </w:r>
    </w:p>
    <w:p>
      <w:pPr>
        <w:pStyle w:val="46"/>
        <w:snapToGrid w:val="0"/>
        <w:spacing w:line="360" w:lineRule="auto"/>
        <w:rPr>
          <w:rFonts w:ascii="仿宋" w:hAnsi="仿宋" w:eastAsia="仿宋" w:cs="仿宋_GB2312"/>
          <w:b/>
          <w:color w:val="auto"/>
          <w:sz w:val="24"/>
          <w:szCs w:val="24"/>
          <w:highlight w:val="none"/>
        </w:rPr>
      </w:pPr>
    </w:p>
    <w:p>
      <w:pPr>
        <w:pStyle w:val="2"/>
        <w:rPr>
          <w:rFonts w:ascii="仿宋" w:hAnsi="仿宋" w:eastAsia="仿宋"/>
          <w:color w:val="auto"/>
          <w:highlight w:val="none"/>
        </w:rPr>
      </w:pPr>
      <w:bookmarkStart w:id="72" w:name="_Toc24512"/>
      <w:bookmarkStart w:id="73" w:name="_Toc95312945"/>
      <w:bookmarkStart w:id="74" w:name="_Toc7908"/>
      <w:bookmarkStart w:id="75" w:name="_Toc3070"/>
      <w:r>
        <w:rPr>
          <w:rFonts w:ascii="仿宋" w:hAnsi="仿宋" w:eastAsia="仿宋"/>
          <w:color w:val="auto"/>
          <w:highlight w:val="none"/>
        </w:rPr>
        <w:t>6.</w:t>
      </w:r>
      <w:r>
        <w:rPr>
          <w:rFonts w:hint="eastAsia" w:ascii="仿宋" w:hAnsi="仿宋" w:eastAsia="仿宋"/>
          <w:color w:val="auto"/>
          <w:highlight w:val="none"/>
        </w:rPr>
        <w:t>采购文件的澄清、修改</w:t>
      </w:r>
      <w:bookmarkEnd w:id="72"/>
      <w:bookmarkEnd w:id="73"/>
      <w:bookmarkEnd w:id="74"/>
      <w:bookmarkEnd w:id="75"/>
    </w:p>
    <w:p>
      <w:pPr>
        <w:pStyle w:val="111"/>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6.1已获取采购文件的潜在供应商，若有问题需要澄清，应于投标截止时间前，以书面形式向采购代理机构提出。</w:t>
      </w:r>
    </w:p>
    <w:p>
      <w:pPr>
        <w:pStyle w:val="111"/>
        <w:snapToGrid w:val="0"/>
        <w:spacing w:before="0"/>
        <w:ind w:firstLine="480"/>
        <w:rPr>
          <w:rFonts w:ascii="仿宋" w:hAnsi="仿宋" w:eastAsia="仿宋"/>
          <w:color w:val="auto"/>
          <w:highlight w:val="none"/>
        </w:rPr>
      </w:pPr>
      <w:r>
        <w:rPr>
          <w:rFonts w:ascii="仿宋" w:hAnsi="仿宋" w:eastAsia="仿宋"/>
          <w:color w:val="auto"/>
          <w:highlight w:val="none"/>
        </w:rPr>
        <w:t xml:space="preserve">6.2 </w:t>
      </w:r>
      <w:r>
        <w:rPr>
          <w:rFonts w:hint="eastAsia" w:ascii="仿宋" w:hAnsi="仿宋" w:eastAsia="仿宋"/>
          <w:color w:val="auto"/>
          <w:highlight w:val="none"/>
        </w:rPr>
        <w:t>采购代理机构对采购文件进行澄清或修改的，将同时通过电子交易平台通知已获取采购文件的潜在供应商。依法应当公告的，将按规定公告，同时视情况延长投标截止时间和开标时间。该澄清或者修改的内容为采购文件的组成部分。</w:t>
      </w:r>
    </w:p>
    <w:p>
      <w:pPr>
        <w:spacing w:line="360" w:lineRule="auto"/>
        <w:jc w:val="center"/>
        <w:rPr>
          <w:rFonts w:hint="eastAsia" w:ascii="仿宋" w:hAnsi="仿宋" w:eastAsia="仿宋"/>
          <w:b/>
          <w:bCs/>
          <w:color w:val="auto"/>
          <w:kern w:val="44"/>
          <w:sz w:val="28"/>
          <w:szCs w:val="32"/>
          <w:highlight w:val="none"/>
          <w:lang w:val="zh-CN"/>
        </w:rPr>
      </w:pPr>
      <w:bookmarkStart w:id="76" w:name="_Toc21412"/>
      <w:bookmarkStart w:id="77" w:name="_Toc95312946"/>
      <w:bookmarkStart w:id="78" w:name="_Toc19628"/>
      <w:bookmarkStart w:id="79" w:name="_Toc32104"/>
      <w:bookmarkStart w:id="80" w:name="_Toc633260538"/>
      <w:bookmarkStart w:id="81" w:name="_Toc11740"/>
      <w:r>
        <w:rPr>
          <w:rFonts w:hint="eastAsia" w:ascii="仿宋" w:hAnsi="仿宋" w:eastAsia="仿宋"/>
          <w:b/>
          <w:bCs/>
          <w:color w:val="auto"/>
          <w:kern w:val="44"/>
          <w:sz w:val="28"/>
          <w:szCs w:val="32"/>
          <w:highlight w:val="none"/>
          <w:lang w:val="zh-CN"/>
        </w:rPr>
        <w:t>三、投标</w:t>
      </w:r>
      <w:bookmarkEnd w:id="76"/>
      <w:bookmarkEnd w:id="77"/>
      <w:bookmarkEnd w:id="78"/>
      <w:bookmarkEnd w:id="79"/>
      <w:bookmarkEnd w:id="80"/>
      <w:bookmarkEnd w:id="81"/>
    </w:p>
    <w:p>
      <w:pPr>
        <w:pStyle w:val="2"/>
        <w:rPr>
          <w:rFonts w:ascii="仿宋" w:hAnsi="仿宋" w:eastAsia="仿宋"/>
          <w:color w:val="auto"/>
          <w:highlight w:val="none"/>
        </w:rPr>
      </w:pPr>
      <w:bookmarkStart w:id="82" w:name="_Toc20212"/>
      <w:bookmarkStart w:id="83" w:name="_Toc4596"/>
      <w:bookmarkStart w:id="84" w:name="_Toc30176"/>
      <w:bookmarkStart w:id="85" w:name="_Toc95312947"/>
      <w:r>
        <w:rPr>
          <w:rFonts w:ascii="仿宋" w:hAnsi="仿宋" w:eastAsia="仿宋"/>
          <w:color w:val="auto"/>
          <w:highlight w:val="none"/>
        </w:rPr>
        <w:t>7.</w:t>
      </w:r>
      <w:r>
        <w:rPr>
          <w:rFonts w:hint="eastAsia" w:ascii="仿宋" w:hAnsi="仿宋" w:eastAsia="仿宋"/>
          <w:color w:val="auto"/>
          <w:highlight w:val="none"/>
        </w:rPr>
        <w:t>采购文件的获取</w:t>
      </w:r>
      <w:bookmarkEnd w:id="82"/>
      <w:bookmarkEnd w:id="83"/>
      <w:bookmarkEnd w:id="84"/>
      <w:bookmarkEnd w:id="85"/>
    </w:p>
    <w:p>
      <w:pPr>
        <w:snapToGrid w:val="0"/>
        <w:spacing w:line="360" w:lineRule="auto"/>
        <w:ind w:firstLine="480" w:firstLineChars="200"/>
        <w:rPr>
          <w:rFonts w:ascii="仿宋" w:hAnsi="仿宋" w:eastAsia="仿宋" w:cs="仿宋_GB2312"/>
          <w:snapToGrid w:val="0"/>
          <w:color w:val="auto"/>
          <w:kern w:val="28"/>
          <w:sz w:val="24"/>
          <w:highlight w:val="none"/>
        </w:rPr>
      </w:pPr>
      <w:r>
        <w:rPr>
          <w:rFonts w:hint="eastAsia" w:ascii="仿宋" w:hAnsi="仿宋" w:eastAsia="仿宋" w:cs="仿宋_GB2312"/>
          <w:snapToGrid w:val="0"/>
          <w:color w:val="auto"/>
          <w:kern w:val="28"/>
          <w:sz w:val="24"/>
          <w:highlight w:val="none"/>
        </w:rPr>
        <w:t>详见招标公告中获取采购文件的时间期限、地点、方式。</w:t>
      </w:r>
    </w:p>
    <w:p>
      <w:pPr>
        <w:pStyle w:val="46"/>
        <w:snapToGrid w:val="0"/>
        <w:spacing w:line="360" w:lineRule="auto"/>
        <w:rPr>
          <w:rFonts w:ascii="仿宋" w:hAnsi="仿宋" w:eastAsia="仿宋" w:cs="仿宋_GB2312"/>
          <w:b/>
          <w:color w:val="auto"/>
          <w:sz w:val="24"/>
          <w:szCs w:val="24"/>
          <w:highlight w:val="none"/>
        </w:rPr>
      </w:pPr>
    </w:p>
    <w:p>
      <w:pPr>
        <w:pStyle w:val="2"/>
        <w:rPr>
          <w:rFonts w:ascii="仿宋" w:hAnsi="仿宋" w:eastAsia="仿宋"/>
          <w:color w:val="auto"/>
          <w:highlight w:val="none"/>
        </w:rPr>
      </w:pPr>
      <w:bookmarkStart w:id="86" w:name="_Toc18612"/>
      <w:bookmarkStart w:id="87" w:name="_Toc4625"/>
      <w:bookmarkStart w:id="88" w:name="_Toc18862"/>
      <w:bookmarkStart w:id="89" w:name="_Toc95312948"/>
      <w:r>
        <w:rPr>
          <w:rFonts w:ascii="仿宋" w:hAnsi="仿宋" w:eastAsia="仿宋"/>
          <w:color w:val="auto"/>
          <w:highlight w:val="none"/>
        </w:rPr>
        <w:t>8.开标前答疑会或现场考察</w:t>
      </w:r>
      <w:bookmarkEnd w:id="86"/>
      <w:bookmarkEnd w:id="87"/>
      <w:bookmarkEnd w:id="88"/>
      <w:bookmarkEnd w:id="89"/>
    </w:p>
    <w:p>
      <w:pPr>
        <w:pStyle w:val="46"/>
        <w:snapToGrid w:val="0"/>
        <w:spacing w:line="360" w:lineRule="auto"/>
        <w:ind w:firstLine="420"/>
        <w:rPr>
          <w:rFonts w:ascii="仿宋" w:hAnsi="仿宋" w:eastAsia="仿宋"/>
          <w:color w:val="auto"/>
          <w:sz w:val="24"/>
          <w:szCs w:val="24"/>
          <w:highlight w:val="none"/>
        </w:rPr>
      </w:pPr>
      <w:r>
        <w:rPr>
          <w:rFonts w:hint="eastAsia" w:ascii="仿宋" w:hAnsi="仿宋" w:eastAsia="仿宋"/>
          <w:color w:val="auto"/>
          <w:sz w:val="24"/>
          <w:szCs w:val="24"/>
          <w:highlight w:val="none"/>
        </w:rPr>
        <w:t>本项目不组织现场考察和召开开标前答疑会。</w:t>
      </w:r>
    </w:p>
    <w:p>
      <w:pPr>
        <w:pStyle w:val="46"/>
        <w:snapToGrid w:val="0"/>
        <w:spacing w:line="360" w:lineRule="auto"/>
        <w:rPr>
          <w:rFonts w:ascii="仿宋" w:hAnsi="仿宋" w:eastAsia="仿宋"/>
          <w:b/>
          <w:color w:val="auto"/>
          <w:kern w:val="28"/>
          <w:sz w:val="24"/>
          <w:szCs w:val="24"/>
          <w:highlight w:val="none"/>
        </w:rPr>
      </w:pPr>
    </w:p>
    <w:p>
      <w:pPr>
        <w:pStyle w:val="2"/>
        <w:rPr>
          <w:rFonts w:ascii="仿宋" w:hAnsi="仿宋" w:eastAsia="仿宋"/>
          <w:color w:val="auto"/>
          <w:highlight w:val="none"/>
        </w:rPr>
      </w:pPr>
      <w:bookmarkStart w:id="90" w:name="_Toc10547"/>
      <w:bookmarkStart w:id="91" w:name="_Toc95312949"/>
      <w:bookmarkStart w:id="92" w:name="_Toc32518"/>
      <w:bookmarkStart w:id="93" w:name="_Toc31033"/>
      <w:r>
        <w:rPr>
          <w:rFonts w:ascii="仿宋" w:hAnsi="仿宋" w:eastAsia="仿宋"/>
          <w:color w:val="auto"/>
          <w:highlight w:val="none"/>
        </w:rPr>
        <w:t>9.投标保证金</w:t>
      </w:r>
      <w:bookmarkEnd w:id="90"/>
      <w:bookmarkEnd w:id="91"/>
      <w:bookmarkEnd w:id="92"/>
      <w:bookmarkEnd w:id="93"/>
    </w:p>
    <w:p>
      <w:pPr>
        <w:pStyle w:val="21"/>
        <w:spacing w:line="360" w:lineRule="auto"/>
        <w:ind w:firstLine="470" w:firstLineChars="196"/>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本项目不需缴纳投标保证金。</w:t>
      </w:r>
    </w:p>
    <w:p>
      <w:pPr>
        <w:pStyle w:val="46"/>
        <w:snapToGrid w:val="0"/>
        <w:spacing w:line="360" w:lineRule="auto"/>
        <w:rPr>
          <w:rFonts w:ascii="仿宋" w:hAnsi="仿宋" w:eastAsia="仿宋" w:cs="仿宋_GB2312"/>
          <w:b/>
          <w:color w:val="auto"/>
          <w:sz w:val="24"/>
          <w:szCs w:val="24"/>
          <w:highlight w:val="none"/>
        </w:rPr>
      </w:pPr>
    </w:p>
    <w:p>
      <w:pPr>
        <w:pStyle w:val="2"/>
        <w:rPr>
          <w:rFonts w:ascii="仿宋" w:hAnsi="仿宋" w:eastAsia="仿宋"/>
          <w:color w:val="auto"/>
          <w:highlight w:val="none"/>
        </w:rPr>
      </w:pPr>
      <w:bookmarkStart w:id="94" w:name="_Toc95312950"/>
      <w:bookmarkStart w:id="95" w:name="_Toc6335"/>
      <w:bookmarkStart w:id="96" w:name="_Toc5004"/>
      <w:bookmarkStart w:id="97" w:name="_Toc6779"/>
      <w:r>
        <w:rPr>
          <w:rFonts w:ascii="仿宋" w:hAnsi="仿宋" w:eastAsia="仿宋"/>
          <w:color w:val="auto"/>
          <w:highlight w:val="none"/>
        </w:rPr>
        <w:t>10.</w:t>
      </w:r>
      <w:r>
        <w:rPr>
          <w:rFonts w:hint="eastAsia" w:ascii="仿宋" w:hAnsi="仿宋" w:eastAsia="仿宋"/>
          <w:color w:val="auto"/>
          <w:highlight w:val="none"/>
        </w:rPr>
        <w:t>投标文件的语言</w:t>
      </w:r>
      <w:bookmarkEnd w:id="94"/>
      <w:bookmarkEnd w:id="95"/>
      <w:bookmarkEnd w:id="96"/>
      <w:bookmarkEnd w:id="97"/>
    </w:p>
    <w:p>
      <w:pPr>
        <w:autoSpaceDE w:val="0"/>
        <w:autoSpaceDN w:val="0"/>
        <w:snapToGrid w:val="0"/>
        <w:spacing w:line="360" w:lineRule="auto"/>
        <w:ind w:firstLine="480" w:firstLineChars="2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rPr>
        <w:t>投标文件及供应商与采购有关的来往通知、函件和文件均应使用中文。</w:t>
      </w:r>
    </w:p>
    <w:p>
      <w:pPr>
        <w:pStyle w:val="46"/>
        <w:snapToGrid w:val="0"/>
        <w:spacing w:line="360" w:lineRule="auto"/>
        <w:rPr>
          <w:rFonts w:ascii="仿宋" w:hAnsi="仿宋" w:eastAsia="仿宋" w:cs="仿宋_GB2312"/>
          <w:b/>
          <w:color w:val="auto"/>
          <w:sz w:val="24"/>
          <w:szCs w:val="24"/>
          <w:highlight w:val="none"/>
        </w:rPr>
      </w:pPr>
    </w:p>
    <w:p>
      <w:pPr>
        <w:pStyle w:val="2"/>
        <w:rPr>
          <w:rFonts w:ascii="仿宋" w:hAnsi="仿宋" w:eastAsia="仿宋"/>
          <w:color w:val="auto"/>
          <w:highlight w:val="none"/>
        </w:rPr>
      </w:pPr>
      <w:bookmarkStart w:id="98" w:name="_Toc23118"/>
      <w:bookmarkStart w:id="99" w:name="_Toc95312951"/>
      <w:bookmarkStart w:id="100" w:name="_Toc607"/>
      <w:bookmarkStart w:id="101" w:name="_Toc31286"/>
      <w:r>
        <w:rPr>
          <w:rFonts w:ascii="仿宋" w:hAnsi="仿宋" w:eastAsia="仿宋"/>
          <w:color w:val="auto"/>
          <w:highlight w:val="none"/>
        </w:rPr>
        <w:t>11.</w:t>
      </w:r>
      <w:r>
        <w:rPr>
          <w:rFonts w:hint="eastAsia" w:ascii="仿宋" w:hAnsi="仿宋" w:eastAsia="仿宋"/>
          <w:color w:val="auto"/>
          <w:highlight w:val="none"/>
        </w:rPr>
        <w:t>投标文件的组成</w:t>
      </w:r>
      <w:bookmarkEnd w:id="98"/>
      <w:bookmarkEnd w:id="99"/>
      <w:bookmarkEnd w:id="100"/>
      <w:bookmarkEnd w:id="101"/>
    </w:p>
    <w:p>
      <w:pPr>
        <w:snapToGrid w:val="0"/>
        <w:spacing w:line="360" w:lineRule="auto"/>
        <w:rPr>
          <w:rFonts w:ascii="仿宋" w:hAnsi="仿宋" w:eastAsia="仿宋" w:cs="仿宋_GB2312"/>
          <w:b/>
          <w:bCs/>
          <w:color w:val="auto"/>
          <w:sz w:val="24"/>
          <w:highlight w:val="none"/>
        </w:rPr>
      </w:pPr>
      <w:bookmarkStart w:id="102" w:name="_Hlk95263917"/>
      <w:r>
        <w:rPr>
          <w:rFonts w:ascii="仿宋" w:hAnsi="仿宋" w:eastAsia="仿宋" w:cs="仿宋_GB2312"/>
          <w:b/>
          <w:bCs/>
          <w:color w:val="auto"/>
          <w:sz w:val="24"/>
          <w:highlight w:val="none"/>
        </w:rPr>
        <w:t>11.1</w:t>
      </w:r>
      <w:r>
        <w:rPr>
          <w:rFonts w:hint="eastAsia" w:ascii="仿宋" w:hAnsi="仿宋" w:eastAsia="仿宋" w:cs="仿宋_GB2312"/>
          <w:b/>
          <w:bCs/>
          <w:color w:val="auto"/>
          <w:sz w:val="24"/>
          <w:highlight w:val="none"/>
        </w:rPr>
        <w:t>资格文件：</w:t>
      </w:r>
    </w:p>
    <w:p>
      <w:pPr>
        <w:snapToGrid w:val="0"/>
        <w:spacing w:line="360" w:lineRule="auto"/>
        <w:rPr>
          <w:rFonts w:ascii="仿宋" w:hAnsi="仿宋" w:eastAsia="仿宋" w:cs="仿宋_GB2312"/>
          <w:color w:val="auto"/>
          <w:sz w:val="24"/>
          <w:highlight w:val="none"/>
        </w:rPr>
      </w:pPr>
      <w:r>
        <w:rPr>
          <w:rFonts w:ascii="仿宋" w:hAnsi="仿宋" w:eastAsia="仿宋" w:cs="仿宋_GB2312"/>
          <w:color w:val="auto"/>
          <w:sz w:val="24"/>
          <w:highlight w:val="none"/>
        </w:rPr>
        <w:t>2.1.1符合参加政府采购活动应当具备的一般条件的承诺函；</w:t>
      </w:r>
    </w:p>
    <w:p>
      <w:pPr>
        <w:snapToGrid w:val="0"/>
        <w:spacing w:line="360" w:lineRule="auto"/>
        <w:rPr>
          <w:rFonts w:ascii="仿宋" w:hAnsi="仿宋" w:eastAsia="仿宋" w:cs="仿宋_GB2312"/>
          <w:color w:val="auto"/>
          <w:sz w:val="24"/>
          <w:highlight w:val="none"/>
        </w:rPr>
      </w:pPr>
      <w:r>
        <w:rPr>
          <w:rFonts w:ascii="仿宋" w:hAnsi="仿宋" w:eastAsia="仿宋" w:cs="仿宋_GB2312"/>
          <w:color w:val="auto"/>
          <w:sz w:val="24"/>
          <w:highlight w:val="none"/>
        </w:rPr>
        <w:t>2.1.2落实政府采购政策需满足的资格要求；</w:t>
      </w:r>
    </w:p>
    <w:p>
      <w:pPr>
        <w:snapToGrid w:val="0"/>
        <w:spacing w:line="360" w:lineRule="auto"/>
        <w:rPr>
          <w:rFonts w:ascii="仿宋" w:hAnsi="仿宋" w:eastAsia="仿宋" w:cs="仿宋_GB2312"/>
          <w:color w:val="auto"/>
          <w:sz w:val="24"/>
          <w:highlight w:val="none"/>
        </w:rPr>
      </w:pPr>
      <w:r>
        <w:rPr>
          <w:rFonts w:ascii="仿宋" w:hAnsi="仿宋" w:eastAsia="仿宋" w:cs="仿宋_GB2312"/>
          <w:color w:val="auto"/>
          <w:sz w:val="24"/>
          <w:highlight w:val="none"/>
        </w:rPr>
        <w:t>2.1.3本项目的特定资格要求。</w:t>
      </w:r>
    </w:p>
    <w:p>
      <w:pPr>
        <w:snapToGrid w:val="0"/>
        <w:spacing w:line="360" w:lineRule="auto"/>
        <w:rPr>
          <w:rFonts w:ascii="仿宋" w:hAnsi="仿宋" w:eastAsia="仿宋" w:cs="仿宋_GB2312"/>
          <w:b/>
          <w:bCs/>
          <w:color w:val="auto"/>
          <w:sz w:val="24"/>
          <w:highlight w:val="none"/>
          <w:lang w:val="zh-CN"/>
        </w:rPr>
      </w:pPr>
      <w:r>
        <w:rPr>
          <w:rFonts w:ascii="仿宋" w:hAnsi="仿宋" w:eastAsia="仿宋" w:cs="仿宋_GB2312"/>
          <w:b/>
          <w:bCs/>
          <w:color w:val="auto"/>
          <w:sz w:val="24"/>
          <w:highlight w:val="none"/>
          <w:lang w:val="zh-CN"/>
        </w:rPr>
        <w:t>11.</w:t>
      </w:r>
      <w:r>
        <w:rPr>
          <w:rFonts w:ascii="仿宋" w:hAnsi="仿宋" w:eastAsia="仿宋" w:cs="仿宋_GB2312"/>
          <w:b/>
          <w:bCs/>
          <w:color w:val="auto"/>
          <w:sz w:val="24"/>
          <w:highlight w:val="none"/>
        </w:rPr>
        <w:t>2</w:t>
      </w:r>
      <w:r>
        <w:rPr>
          <w:rFonts w:ascii="仿宋" w:hAnsi="仿宋" w:eastAsia="仿宋" w:cs="仿宋_GB2312"/>
          <w:b/>
          <w:bCs/>
          <w:color w:val="auto"/>
          <w:sz w:val="24"/>
          <w:highlight w:val="none"/>
          <w:lang w:val="zh-CN"/>
        </w:rPr>
        <w:t xml:space="preserve"> </w:t>
      </w:r>
      <w:r>
        <w:rPr>
          <w:rFonts w:hint="eastAsia" w:ascii="仿宋" w:hAnsi="仿宋" w:eastAsia="仿宋" w:cs="仿宋_GB2312"/>
          <w:b/>
          <w:bCs/>
          <w:color w:val="auto"/>
          <w:sz w:val="24"/>
          <w:highlight w:val="none"/>
        </w:rPr>
        <w:t>商务技术</w:t>
      </w:r>
      <w:r>
        <w:rPr>
          <w:rFonts w:hint="eastAsia" w:ascii="仿宋" w:hAnsi="仿宋" w:eastAsia="仿宋" w:cs="仿宋_GB2312"/>
          <w:b/>
          <w:bCs/>
          <w:color w:val="auto"/>
          <w:sz w:val="24"/>
          <w:highlight w:val="none"/>
          <w:lang w:val="zh-CN"/>
        </w:rPr>
        <w:t>文件：</w:t>
      </w:r>
    </w:p>
    <w:bookmarkEnd w:id="102"/>
    <w:p>
      <w:pPr>
        <w:snapToGrid w:val="0"/>
        <w:spacing w:line="360" w:lineRule="auto"/>
        <w:rPr>
          <w:rFonts w:ascii="仿宋" w:hAnsi="仿宋" w:eastAsia="仿宋" w:cs="仿宋_GB2312"/>
          <w:color w:val="auto"/>
          <w:sz w:val="24"/>
          <w:highlight w:val="none"/>
        </w:rPr>
      </w:pPr>
      <w:r>
        <w:rPr>
          <w:rFonts w:ascii="仿宋" w:hAnsi="仿宋" w:eastAsia="仿宋" w:cs="仿宋_GB2312"/>
          <w:color w:val="auto"/>
          <w:sz w:val="24"/>
          <w:highlight w:val="none"/>
        </w:rPr>
        <w:t>11.2.1投标函；</w:t>
      </w:r>
      <w:r>
        <w:rPr>
          <w:rFonts w:ascii="仿宋" w:hAnsi="仿宋" w:eastAsia="仿宋" w:cs="仿宋_GB2312"/>
          <w:color w:val="auto"/>
          <w:sz w:val="24"/>
          <w:highlight w:val="none"/>
          <w:lang w:val="zh-CN"/>
        </w:rPr>
        <w:t xml:space="preserve"> </w:t>
      </w:r>
    </w:p>
    <w:p>
      <w:pPr>
        <w:snapToGrid w:val="0"/>
        <w:spacing w:line="360" w:lineRule="auto"/>
        <w:rPr>
          <w:rFonts w:ascii="仿宋" w:hAnsi="仿宋" w:eastAsia="仿宋" w:cs="宋体"/>
          <w:color w:val="auto"/>
          <w:sz w:val="24"/>
          <w:highlight w:val="none"/>
        </w:rPr>
      </w:pPr>
      <w:bookmarkStart w:id="103" w:name="_Hlk87474952"/>
      <w:r>
        <w:rPr>
          <w:rFonts w:ascii="仿宋" w:hAnsi="仿宋" w:eastAsia="仿宋" w:cs="宋体"/>
          <w:color w:val="auto"/>
          <w:sz w:val="24"/>
          <w:highlight w:val="none"/>
        </w:rPr>
        <w:t>11.2.2</w:t>
      </w:r>
      <w:r>
        <w:rPr>
          <w:rFonts w:hint="eastAsia" w:ascii="仿宋" w:hAnsi="仿宋" w:eastAsia="仿宋" w:cs="宋体"/>
          <w:color w:val="auto"/>
          <w:sz w:val="24"/>
          <w:highlight w:val="none"/>
        </w:rPr>
        <w:t>授权委托书；</w:t>
      </w:r>
    </w:p>
    <w:p>
      <w:pPr>
        <w:snapToGrid w:val="0"/>
        <w:spacing w:line="360" w:lineRule="auto"/>
        <w:rPr>
          <w:rFonts w:ascii="仿宋" w:hAnsi="仿宋" w:eastAsia="仿宋" w:cs="宋体"/>
          <w:color w:val="auto"/>
          <w:sz w:val="24"/>
          <w:highlight w:val="none"/>
        </w:rPr>
      </w:pPr>
      <w:r>
        <w:rPr>
          <w:rFonts w:ascii="仿宋" w:hAnsi="仿宋" w:eastAsia="仿宋" w:cs="宋体"/>
          <w:color w:val="auto"/>
          <w:sz w:val="24"/>
          <w:highlight w:val="none"/>
        </w:rPr>
        <w:t>11.2.3</w:t>
      </w:r>
      <w:r>
        <w:rPr>
          <w:rFonts w:hint="eastAsia" w:ascii="仿宋" w:hAnsi="仿宋" w:eastAsia="仿宋" w:cs="宋体"/>
          <w:color w:val="auto"/>
          <w:sz w:val="24"/>
          <w:highlight w:val="none"/>
        </w:rPr>
        <w:t>法定代表人和授权委托代表的有效身份证复印件（法定代表人直接参加投标并对相应文件签字的，只需提供前者）；</w:t>
      </w:r>
    </w:p>
    <w:p>
      <w:pPr>
        <w:snapToGrid w:val="0"/>
        <w:spacing w:line="360" w:lineRule="auto"/>
        <w:rPr>
          <w:rFonts w:ascii="仿宋" w:hAnsi="仿宋" w:eastAsia="仿宋" w:cs="宋体"/>
          <w:snapToGrid w:val="0"/>
          <w:color w:val="auto"/>
          <w:kern w:val="0"/>
          <w:sz w:val="24"/>
          <w:highlight w:val="none"/>
        </w:rPr>
      </w:pPr>
      <w:r>
        <w:rPr>
          <w:rFonts w:ascii="仿宋" w:hAnsi="仿宋" w:eastAsia="仿宋" w:cs="宋体"/>
          <w:color w:val="auto"/>
          <w:sz w:val="24"/>
          <w:highlight w:val="none"/>
        </w:rPr>
        <w:t>11.2.4</w:t>
      </w:r>
      <w:r>
        <w:rPr>
          <w:rFonts w:hint="eastAsia" w:ascii="仿宋" w:hAnsi="仿宋" w:eastAsia="仿宋" w:cs="宋体"/>
          <w:snapToGrid w:val="0"/>
          <w:color w:val="auto"/>
          <w:kern w:val="0"/>
          <w:sz w:val="24"/>
          <w:highlight w:val="none"/>
        </w:rPr>
        <w:t>公司情况介绍；</w:t>
      </w:r>
    </w:p>
    <w:p>
      <w:pPr>
        <w:snapToGrid w:val="0"/>
        <w:spacing w:line="360" w:lineRule="auto"/>
        <w:rPr>
          <w:rFonts w:ascii="仿宋" w:hAnsi="仿宋" w:eastAsia="仿宋" w:cs="宋体"/>
          <w:snapToGrid w:val="0"/>
          <w:color w:val="auto"/>
          <w:kern w:val="0"/>
          <w:sz w:val="24"/>
          <w:highlight w:val="none"/>
        </w:rPr>
      </w:pPr>
      <w:r>
        <w:rPr>
          <w:rFonts w:ascii="仿宋" w:hAnsi="仿宋" w:eastAsia="仿宋" w:cs="宋体"/>
          <w:color w:val="auto"/>
          <w:sz w:val="24"/>
          <w:highlight w:val="none"/>
        </w:rPr>
        <w:t>11.2.5</w:t>
      </w:r>
      <w:r>
        <w:rPr>
          <w:rFonts w:hint="eastAsia" w:ascii="仿宋" w:hAnsi="仿宋" w:eastAsia="仿宋" w:cs="宋体"/>
          <w:snapToGrid w:val="0"/>
          <w:color w:val="auto"/>
          <w:kern w:val="0"/>
          <w:sz w:val="24"/>
          <w:highlight w:val="none"/>
          <w:lang w:val="zh-CN"/>
        </w:rPr>
        <w:t>供应商成功案例；</w:t>
      </w:r>
    </w:p>
    <w:p>
      <w:pPr>
        <w:snapToGrid w:val="0"/>
        <w:spacing w:line="360" w:lineRule="auto"/>
        <w:rPr>
          <w:rFonts w:ascii="仿宋" w:hAnsi="仿宋" w:eastAsia="仿宋" w:cs="宋体"/>
          <w:snapToGrid w:val="0"/>
          <w:color w:val="auto"/>
          <w:kern w:val="0"/>
          <w:sz w:val="24"/>
          <w:highlight w:val="none"/>
        </w:rPr>
      </w:pPr>
      <w:r>
        <w:rPr>
          <w:rFonts w:ascii="仿宋" w:hAnsi="仿宋" w:eastAsia="仿宋" w:cs="宋体"/>
          <w:color w:val="auto"/>
          <w:sz w:val="24"/>
          <w:highlight w:val="none"/>
        </w:rPr>
        <w:t>11.2.6</w:t>
      </w:r>
      <w:r>
        <w:rPr>
          <w:rFonts w:hint="eastAsia" w:ascii="仿宋" w:hAnsi="仿宋" w:eastAsia="仿宋" w:cs="宋体"/>
          <w:snapToGrid w:val="0"/>
          <w:color w:val="auto"/>
          <w:kern w:val="0"/>
          <w:sz w:val="24"/>
          <w:highlight w:val="none"/>
        </w:rPr>
        <w:t>相关资质文件（如有）；</w:t>
      </w:r>
    </w:p>
    <w:p>
      <w:pPr>
        <w:pStyle w:val="34"/>
        <w:snapToGrid w:val="0"/>
        <w:rPr>
          <w:rFonts w:ascii="仿宋" w:hAnsi="仿宋" w:eastAsia="仿宋" w:cs="宋体"/>
          <w:color w:val="auto"/>
          <w:kern w:val="0"/>
          <w:highlight w:val="none"/>
        </w:rPr>
      </w:pPr>
      <w:r>
        <w:rPr>
          <w:rFonts w:ascii="仿宋" w:hAnsi="仿宋" w:eastAsia="仿宋" w:cs="宋体"/>
          <w:color w:val="auto"/>
          <w:highlight w:val="none"/>
        </w:rPr>
        <w:t>11.2.7</w:t>
      </w:r>
      <w:r>
        <w:rPr>
          <w:rFonts w:hint="eastAsia" w:ascii="仿宋" w:hAnsi="仿宋" w:eastAsia="仿宋" w:cs="宋体"/>
          <w:color w:val="auto"/>
          <w:kern w:val="0"/>
          <w:highlight w:val="none"/>
        </w:rPr>
        <w:t>供应商应提供针对项目的完整服务解决方案：</w:t>
      </w:r>
    </w:p>
    <w:p>
      <w:pPr>
        <w:pStyle w:val="34"/>
        <w:snapToGrid w:val="0"/>
        <w:rPr>
          <w:rFonts w:ascii="仿宋" w:hAnsi="仿宋" w:eastAsia="仿宋"/>
          <w:color w:val="auto"/>
          <w:highlight w:val="none"/>
        </w:rPr>
      </w:pPr>
      <w:r>
        <w:rPr>
          <w:rFonts w:ascii="仿宋" w:hAnsi="仿宋" w:eastAsia="仿宋"/>
          <w:color w:val="auto"/>
          <w:highlight w:val="none"/>
        </w:rPr>
        <w:t>11.2.8</w:t>
      </w:r>
      <w:r>
        <w:rPr>
          <w:rFonts w:hint="eastAsia" w:ascii="仿宋" w:hAnsi="仿宋" w:eastAsia="仿宋"/>
          <w:color w:val="auto"/>
          <w:highlight w:val="none"/>
        </w:rPr>
        <w:t>项目组人员介绍、职责分配；</w:t>
      </w:r>
    </w:p>
    <w:p>
      <w:pPr>
        <w:pStyle w:val="34"/>
        <w:snapToGrid w:val="0"/>
        <w:rPr>
          <w:rFonts w:ascii="仿宋" w:hAnsi="仿宋" w:eastAsia="仿宋"/>
          <w:color w:val="auto"/>
          <w:highlight w:val="none"/>
        </w:rPr>
      </w:pPr>
      <w:r>
        <w:rPr>
          <w:rFonts w:ascii="仿宋" w:hAnsi="仿宋" w:eastAsia="仿宋"/>
          <w:color w:val="auto"/>
          <w:highlight w:val="none"/>
        </w:rPr>
        <w:t>11.2.9</w:t>
      </w:r>
      <w:r>
        <w:rPr>
          <w:rFonts w:hint="eastAsia" w:ascii="仿宋" w:hAnsi="仿宋" w:eastAsia="仿宋"/>
          <w:color w:val="auto"/>
          <w:highlight w:val="none"/>
        </w:rPr>
        <w:t>商务技术偏离表；</w:t>
      </w:r>
    </w:p>
    <w:p>
      <w:pPr>
        <w:pStyle w:val="34"/>
        <w:snapToGrid w:val="0"/>
        <w:rPr>
          <w:rFonts w:ascii="仿宋" w:hAnsi="仿宋" w:eastAsia="仿宋"/>
          <w:color w:val="auto"/>
          <w:highlight w:val="none"/>
        </w:rPr>
      </w:pPr>
      <w:r>
        <w:rPr>
          <w:rFonts w:ascii="仿宋" w:hAnsi="仿宋" w:eastAsia="仿宋"/>
          <w:color w:val="auto"/>
          <w:highlight w:val="none"/>
        </w:rPr>
        <w:t>11.2.10</w:t>
      </w:r>
      <w:r>
        <w:rPr>
          <w:rFonts w:hint="eastAsia" w:ascii="仿宋" w:hAnsi="仿宋" w:eastAsia="仿宋"/>
          <w:color w:val="auto"/>
          <w:highlight w:val="none"/>
        </w:rPr>
        <w:t>其他商务技术文件或说明；</w:t>
      </w:r>
    </w:p>
    <w:p>
      <w:pPr>
        <w:pStyle w:val="34"/>
        <w:snapToGrid w:val="0"/>
        <w:rPr>
          <w:rFonts w:ascii="仿宋" w:hAnsi="仿宋" w:eastAsia="仿宋"/>
          <w:color w:val="auto"/>
          <w:highlight w:val="none"/>
        </w:rPr>
      </w:pPr>
      <w:r>
        <w:rPr>
          <w:rFonts w:hint="eastAsia" w:ascii="仿宋" w:hAnsi="仿宋" w:eastAsia="仿宋"/>
          <w:color w:val="auto"/>
          <w:highlight w:val="none"/>
          <w:lang w:val="en-US" w:eastAsia="zh-CN"/>
        </w:rPr>
        <w:t>11</w:t>
      </w:r>
      <w:r>
        <w:rPr>
          <w:rFonts w:ascii="仿宋" w:hAnsi="仿宋" w:eastAsia="仿宋"/>
          <w:color w:val="auto"/>
          <w:highlight w:val="none"/>
        </w:rPr>
        <w:t>.2.11</w:t>
      </w:r>
      <w:r>
        <w:rPr>
          <w:rFonts w:hint="eastAsia" w:ascii="仿宋" w:hAnsi="仿宋" w:eastAsia="仿宋"/>
          <w:color w:val="auto"/>
          <w:highlight w:val="none"/>
        </w:rPr>
        <w:t>政府采购供应商廉洁自律承诺书。</w:t>
      </w:r>
      <w:bookmarkEnd w:id="103"/>
    </w:p>
    <w:p>
      <w:pPr>
        <w:pStyle w:val="107"/>
        <w:ind w:firstLine="0"/>
        <w:rPr>
          <w:b/>
          <w:color w:val="auto"/>
          <w:highlight w:val="none"/>
        </w:rPr>
      </w:pPr>
      <w:r>
        <w:rPr>
          <w:b/>
          <w:color w:val="auto"/>
          <w:highlight w:val="none"/>
        </w:rPr>
        <w:t>11.3</w:t>
      </w:r>
      <w:r>
        <w:rPr>
          <w:rFonts w:hint="eastAsia"/>
          <w:b/>
          <w:color w:val="auto"/>
          <w:highlight w:val="none"/>
        </w:rPr>
        <w:t>报价文件：</w:t>
      </w:r>
      <w:r>
        <w:rPr>
          <w:b/>
          <w:color w:val="auto"/>
          <w:highlight w:val="none"/>
        </w:rPr>
        <w:t xml:space="preserve"> </w:t>
      </w:r>
    </w:p>
    <w:p>
      <w:pPr>
        <w:snapToGrid w:val="0"/>
        <w:spacing w:line="360" w:lineRule="auto"/>
        <w:rPr>
          <w:rFonts w:ascii="仿宋" w:hAnsi="仿宋" w:eastAsia="仿宋" w:cs="仿宋_GB2312"/>
          <w:color w:val="auto"/>
          <w:sz w:val="24"/>
          <w:highlight w:val="none"/>
        </w:rPr>
      </w:pPr>
      <w:r>
        <w:rPr>
          <w:rFonts w:ascii="仿宋" w:hAnsi="仿宋" w:eastAsia="仿宋" w:cs="仿宋_GB2312"/>
          <w:color w:val="auto"/>
          <w:sz w:val="24"/>
          <w:highlight w:val="none"/>
        </w:rPr>
        <w:t>11.3.1开标一览表（报价表）</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b/>
          <w:color w:val="auto"/>
          <w:sz w:val="24"/>
          <w:highlight w:val="none"/>
        </w:rPr>
      </w:pPr>
      <w:r>
        <w:rPr>
          <w:rFonts w:ascii="仿宋" w:hAnsi="仿宋" w:eastAsia="仿宋"/>
          <w:color w:val="auto"/>
          <w:sz w:val="24"/>
          <w:highlight w:val="none"/>
        </w:rPr>
        <w:t>▲</w:t>
      </w:r>
      <w:r>
        <w:rPr>
          <w:rFonts w:hint="eastAsia" w:ascii="仿宋" w:hAnsi="仿宋" w:eastAsia="仿宋"/>
          <w:b/>
          <w:color w:val="auto"/>
          <w:sz w:val="24"/>
          <w:highlight w:val="none"/>
        </w:rPr>
        <w:t>投标文件含有采购人不能接受的附加条件的，投标无效；</w:t>
      </w:r>
    </w:p>
    <w:p>
      <w:pPr>
        <w:snapToGrid w:val="0"/>
        <w:spacing w:line="360" w:lineRule="auto"/>
        <w:ind w:firstLine="480" w:firstLineChars="200"/>
        <w:rPr>
          <w:rFonts w:ascii="仿宋" w:hAnsi="仿宋" w:eastAsia="仿宋" w:cs="仿宋_GB2312"/>
          <w:b/>
          <w:color w:val="auto"/>
          <w:highlight w:val="none"/>
        </w:rPr>
      </w:pPr>
      <w:r>
        <w:rPr>
          <w:rFonts w:ascii="仿宋" w:hAnsi="仿宋" w:eastAsia="仿宋"/>
          <w:color w:val="auto"/>
          <w:sz w:val="24"/>
          <w:highlight w:val="none"/>
        </w:rPr>
        <w:t>▲</w:t>
      </w:r>
      <w:r>
        <w:rPr>
          <w:rFonts w:hint="eastAsia" w:ascii="仿宋" w:hAnsi="仿宋" w:eastAsia="仿宋"/>
          <w:b/>
          <w:color w:val="auto"/>
          <w:sz w:val="24"/>
          <w:highlight w:val="none"/>
        </w:rPr>
        <w:t>供应商提供虚假材料投标的，投标无效。</w:t>
      </w:r>
    </w:p>
    <w:p>
      <w:pPr>
        <w:pStyle w:val="107"/>
        <w:snapToGrid w:val="0"/>
        <w:ind w:firstLine="480" w:firstLineChars="200"/>
        <w:rPr>
          <w:color w:val="auto"/>
          <w:highlight w:val="none"/>
        </w:rPr>
      </w:pPr>
      <w:bookmarkStart w:id="104" w:name="_Toc95312952"/>
      <w:bookmarkStart w:id="105" w:name="_Toc6294"/>
      <w:bookmarkStart w:id="106" w:name="_Toc22083"/>
    </w:p>
    <w:p>
      <w:pPr>
        <w:pStyle w:val="2"/>
        <w:rPr>
          <w:rFonts w:ascii="仿宋" w:hAnsi="仿宋" w:eastAsia="仿宋"/>
          <w:color w:val="auto"/>
          <w:highlight w:val="none"/>
        </w:rPr>
      </w:pPr>
      <w:bookmarkStart w:id="107" w:name="_Toc30772"/>
      <w:r>
        <w:rPr>
          <w:rFonts w:ascii="仿宋" w:hAnsi="仿宋" w:eastAsia="仿宋"/>
          <w:color w:val="auto"/>
          <w:highlight w:val="none"/>
        </w:rPr>
        <w:t xml:space="preserve">12. </w:t>
      </w:r>
      <w:r>
        <w:rPr>
          <w:rFonts w:hint="eastAsia" w:ascii="仿宋" w:hAnsi="仿宋" w:eastAsia="仿宋"/>
          <w:color w:val="auto"/>
          <w:highlight w:val="none"/>
        </w:rPr>
        <w:t>投标文件的编制</w:t>
      </w:r>
      <w:bookmarkEnd w:id="104"/>
      <w:bookmarkEnd w:id="105"/>
      <w:bookmarkEnd w:id="106"/>
      <w:bookmarkEnd w:id="107"/>
    </w:p>
    <w:p>
      <w:pPr>
        <w:snapToGrid w:val="0"/>
        <w:spacing w:line="360" w:lineRule="auto"/>
        <w:ind w:firstLine="480" w:firstLineChars="200"/>
        <w:rPr>
          <w:rFonts w:ascii="仿宋" w:hAnsi="仿宋" w:eastAsia="仿宋" w:cs="仿宋_GB2312"/>
          <w:b/>
          <w:color w:val="auto"/>
          <w:sz w:val="24"/>
          <w:highlight w:val="none"/>
        </w:rPr>
      </w:pPr>
      <w:r>
        <w:rPr>
          <w:rFonts w:ascii="仿宋" w:hAnsi="仿宋" w:eastAsia="仿宋" w:cs="仿宋_GB2312"/>
          <w:color w:val="auto"/>
          <w:kern w:val="0"/>
          <w:sz w:val="24"/>
          <w:highlight w:val="none"/>
          <w:lang w:val="zh-CN"/>
        </w:rPr>
        <w:t>12.1投标文件分为资格文件、商务技术文件、报价文件三部分。各供应商在编制投标文件时请按照采购文件第六部</w:t>
      </w:r>
      <w:r>
        <w:rPr>
          <w:rFonts w:hint="eastAsia" w:ascii="仿宋" w:hAnsi="仿宋" w:eastAsia="仿宋" w:cs="仿宋_GB2312"/>
          <w:color w:val="auto"/>
          <w:kern w:val="0"/>
          <w:sz w:val="24"/>
          <w:highlight w:val="none"/>
          <w:lang w:val="zh-CN"/>
        </w:rPr>
        <w:t>分规定的格式进行，混乱的编排导致投标文件被误读或评标委员会查找不到有效文件是供应商的风险。</w:t>
      </w:r>
    </w:p>
    <w:p>
      <w:pPr>
        <w:snapToGrid w:val="0"/>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12.2供应商进行电子投标应安装客户端软件—“政</w:t>
      </w:r>
      <w:r>
        <w:rPr>
          <w:rFonts w:hint="eastAsia" w:ascii="仿宋" w:hAnsi="仿宋" w:eastAsia="仿宋" w:cs="仿宋_GB2312"/>
          <w:color w:val="auto"/>
          <w:kern w:val="0"/>
          <w:sz w:val="24"/>
          <w:highlight w:val="none"/>
          <w:lang w:val="zh-CN"/>
        </w:rPr>
        <w:t>采云电子交易客户端”，并按照采购文件和电子交易平台的要求编制并加密投标文件。供应商未按规定加密的投标文件，电子交易平台将拒收并提示。</w:t>
      </w:r>
    </w:p>
    <w:p>
      <w:pPr>
        <w:snapToGrid w:val="0"/>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12.3使用“政</w:t>
      </w:r>
      <w:r>
        <w:rPr>
          <w:rFonts w:hint="eastAsia" w:ascii="仿宋" w:hAnsi="仿宋" w:eastAsia="仿宋" w:cs="仿宋_GB2312"/>
          <w:color w:val="auto"/>
          <w:kern w:val="0"/>
          <w:sz w:val="24"/>
          <w:highlight w:val="none"/>
          <w:lang w:val="zh-CN"/>
        </w:rPr>
        <w:t>采云电子交易客户端”需要提前申领</w:t>
      </w:r>
      <w:r>
        <w:rPr>
          <w:rFonts w:ascii="仿宋" w:hAnsi="仿宋" w:eastAsia="仿宋"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 w:hAnsi="仿宋" w:eastAsia="仿宋"/>
          <w:b/>
          <w:color w:val="auto"/>
          <w:sz w:val="24"/>
          <w:highlight w:val="none"/>
        </w:rPr>
      </w:pPr>
    </w:p>
    <w:p>
      <w:pPr>
        <w:pStyle w:val="2"/>
        <w:rPr>
          <w:rFonts w:ascii="仿宋" w:hAnsi="仿宋" w:eastAsia="仿宋"/>
          <w:color w:val="auto"/>
          <w:highlight w:val="none"/>
        </w:rPr>
      </w:pPr>
      <w:bookmarkStart w:id="108" w:name="_Toc18716"/>
      <w:bookmarkStart w:id="109" w:name="_Toc7352"/>
      <w:bookmarkStart w:id="110" w:name="_Toc95312953"/>
      <w:bookmarkStart w:id="111" w:name="_Toc3269"/>
      <w:r>
        <w:rPr>
          <w:rFonts w:ascii="仿宋" w:hAnsi="仿宋" w:eastAsia="仿宋"/>
          <w:color w:val="auto"/>
          <w:highlight w:val="none"/>
        </w:rPr>
        <w:t>13.投标文件的签署、盖章</w:t>
      </w:r>
      <w:bookmarkEnd w:id="108"/>
      <w:bookmarkEnd w:id="109"/>
      <w:bookmarkEnd w:id="110"/>
      <w:bookmarkEnd w:id="111"/>
    </w:p>
    <w:p>
      <w:pPr>
        <w:pStyle w:val="111"/>
        <w:snapToGrid w:val="0"/>
        <w:spacing w:before="0"/>
        <w:ind w:firstLine="480"/>
        <w:rPr>
          <w:rFonts w:ascii="仿宋" w:hAnsi="仿宋" w:eastAsia="仿宋" w:cs="仿宋_GB2312"/>
          <w:color w:val="auto"/>
          <w:highlight w:val="none"/>
        </w:rPr>
      </w:pPr>
      <w:r>
        <w:rPr>
          <w:rFonts w:ascii="仿宋" w:hAnsi="仿宋" w:eastAsia="仿宋" w:cs="仿宋_GB2312"/>
          <w:color w:val="auto"/>
          <w:szCs w:val="24"/>
          <w:highlight w:val="none"/>
        </w:rPr>
        <w:t>13.1投标文件按照采购文件第六部分格式要</w:t>
      </w:r>
      <w:r>
        <w:rPr>
          <w:rFonts w:hint="eastAsia" w:ascii="仿宋" w:hAnsi="仿宋" w:eastAsia="仿宋" w:cs="仿宋_GB2312"/>
          <w:color w:val="auto"/>
          <w:highlight w:val="none"/>
        </w:rPr>
        <w:t>求进行签署、盖章。</w:t>
      </w:r>
    </w:p>
    <w:p>
      <w:pPr>
        <w:pStyle w:val="111"/>
        <w:snapToGrid w:val="0"/>
        <w:spacing w:before="0"/>
        <w:ind w:firstLine="482"/>
        <w:rPr>
          <w:rFonts w:ascii="仿宋" w:hAnsi="仿宋" w:eastAsia="仿宋" w:cs="仿宋_GB2312"/>
          <w:b/>
          <w:color w:val="auto"/>
          <w:highlight w:val="none"/>
        </w:rPr>
      </w:pPr>
      <w:r>
        <w:rPr>
          <w:rFonts w:hint="eastAsia" w:ascii="仿宋" w:hAnsi="仿宋" w:eastAsia="仿宋"/>
          <w:b/>
          <w:color w:val="auto"/>
          <w:highlight w:val="none"/>
        </w:rPr>
        <w:t>▲</w:t>
      </w:r>
      <w:r>
        <w:rPr>
          <w:rFonts w:hint="eastAsia" w:ascii="仿宋" w:hAnsi="仿宋" w:eastAsia="仿宋" w:cs="仿宋_GB2312"/>
          <w:b/>
          <w:color w:val="auto"/>
          <w:highlight w:val="none"/>
        </w:rPr>
        <w:t>供应商的投标文件未按照采购文件要求签署、盖章的，其投标无效</w:t>
      </w:r>
      <w:r>
        <w:rPr>
          <w:rFonts w:hint="eastAsia" w:ascii="仿宋" w:hAnsi="仿宋" w:eastAsia="仿宋" w:cs="仿宋_GB2312"/>
          <w:color w:val="auto"/>
          <w:szCs w:val="24"/>
          <w:highlight w:val="none"/>
        </w:rPr>
        <w:t>。</w:t>
      </w:r>
    </w:p>
    <w:p>
      <w:pPr>
        <w:pStyle w:val="111"/>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13.2为确保网上操作合法、有效和安全，供应商应当在投标截止时间前完成在“政府采购云平台”的身份认证，确保在电子投标过程中能够对相关数据电文进行加密和使用电子签名。</w:t>
      </w:r>
    </w:p>
    <w:p>
      <w:pPr>
        <w:pStyle w:val="111"/>
        <w:snapToGrid w:val="0"/>
        <w:spacing w:before="0"/>
        <w:ind w:firstLine="480"/>
        <w:rPr>
          <w:rFonts w:ascii="仿宋" w:hAnsi="仿宋" w:eastAsia="仿宋" w:cs="仿宋_GB2312"/>
          <w:b/>
          <w:color w:val="auto"/>
          <w:szCs w:val="24"/>
          <w:highlight w:val="none"/>
        </w:rPr>
      </w:pPr>
      <w:r>
        <w:rPr>
          <w:rFonts w:ascii="仿宋" w:hAnsi="仿宋" w:eastAsia="仿宋" w:cs="仿宋_GB2312"/>
          <w:color w:val="auto"/>
          <w:highlight w:val="none"/>
        </w:rPr>
        <w:t>13.3采购文件对投标文件签署、盖章的要求适用于电子签名。</w:t>
      </w:r>
    </w:p>
    <w:p>
      <w:pPr>
        <w:pStyle w:val="107"/>
        <w:rPr>
          <w:color w:val="auto"/>
          <w:highlight w:val="none"/>
        </w:rPr>
      </w:pPr>
      <w:bookmarkStart w:id="112" w:name="_Toc5131"/>
      <w:bookmarkStart w:id="113" w:name="_Toc95312954"/>
      <w:bookmarkStart w:id="114" w:name="_Toc22736"/>
    </w:p>
    <w:p>
      <w:pPr>
        <w:pStyle w:val="2"/>
        <w:rPr>
          <w:rFonts w:ascii="仿宋" w:hAnsi="仿宋" w:eastAsia="仿宋"/>
          <w:color w:val="auto"/>
          <w:highlight w:val="none"/>
        </w:rPr>
      </w:pPr>
      <w:bookmarkStart w:id="115" w:name="_Toc30288"/>
      <w:r>
        <w:rPr>
          <w:rFonts w:ascii="仿宋" w:hAnsi="仿宋" w:eastAsia="仿宋"/>
          <w:color w:val="auto"/>
          <w:highlight w:val="none"/>
        </w:rPr>
        <w:t xml:space="preserve">14. </w:t>
      </w:r>
      <w:r>
        <w:rPr>
          <w:rFonts w:hint="eastAsia" w:ascii="仿宋" w:hAnsi="仿宋" w:eastAsia="仿宋"/>
          <w:color w:val="auto"/>
          <w:highlight w:val="none"/>
        </w:rPr>
        <w:t>投标文件的提交、补充、修改、撤回</w:t>
      </w:r>
      <w:bookmarkEnd w:id="112"/>
      <w:bookmarkEnd w:id="113"/>
      <w:bookmarkEnd w:id="114"/>
      <w:bookmarkEnd w:id="115"/>
    </w:p>
    <w:p>
      <w:pPr>
        <w:pStyle w:val="111"/>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 xml:space="preserve">14.1 </w:t>
      </w:r>
      <w:r>
        <w:rPr>
          <w:rFonts w:hint="eastAsia" w:ascii="仿宋" w:hAnsi="仿宋" w:eastAsia="仿宋"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11"/>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11"/>
        <w:snapToGrid w:val="0"/>
        <w:spacing w:before="0"/>
        <w:ind w:firstLine="480"/>
        <w:rPr>
          <w:rFonts w:ascii="仿宋" w:hAnsi="仿宋" w:eastAsia="仿宋" w:cs="仿宋_GB2312"/>
          <w:b/>
          <w:color w:val="auto"/>
          <w:szCs w:val="24"/>
          <w:highlight w:val="none"/>
        </w:rPr>
      </w:pPr>
      <w:r>
        <w:rPr>
          <w:rFonts w:ascii="仿宋" w:hAnsi="仿宋" w:eastAsia="仿宋" w:cs="仿宋_GB2312"/>
          <w:color w:val="auto"/>
          <w:szCs w:val="24"/>
          <w:highlight w:val="none"/>
        </w:rPr>
        <w:t>14.3采购人、采购代理机构可以视情况延长投标文件提交的截止时间。在上述情况下，采购代理机构与供应商以前在投标截止期方面的全部权利、责任和义务，将适用于延长至新的投标截止期。</w:t>
      </w:r>
    </w:p>
    <w:p>
      <w:pPr>
        <w:pStyle w:val="107"/>
        <w:rPr>
          <w:color w:val="auto"/>
          <w:highlight w:val="none"/>
        </w:rPr>
      </w:pPr>
      <w:bookmarkStart w:id="116" w:name="_Toc14673"/>
      <w:bookmarkStart w:id="117" w:name="_Toc95312955"/>
      <w:bookmarkStart w:id="118" w:name="_Toc16394"/>
    </w:p>
    <w:p>
      <w:pPr>
        <w:pStyle w:val="2"/>
        <w:rPr>
          <w:rFonts w:ascii="仿宋" w:hAnsi="仿宋" w:eastAsia="仿宋"/>
          <w:color w:val="auto"/>
          <w:highlight w:val="none"/>
        </w:rPr>
      </w:pPr>
      <w:bookmarkStart w:id="119" w:name="_Toc18576"/>
      <w:r>
        <w:rPr>
          <w:rFonts w:ascii="仿宋" w:hAnsi="仿宋" w:eastAsia="仿宋"/>
          <w:color w:val="auto"/>
          <w:highlight w:val="none"/>
        </w:rPr>
        <w:t>15.备份投标文件</w:t>
      </w:r>
      <w:bookmarkEnd w:id="116"/>
      <w:bookmarkEnd w:id="117"/>
      <w:bookmarkEnd w:id="118"/>
      <w:bookmarkEnd w:id="119"/>
    </w:p>
    <w:p>
      <w:pPr>
        <w:pStyle w:val="46"/>
        <w:snapToGrid w:val="0"/>
        <w:spacing w:line="360" w:lineRule="auto"/>
        <w:ind w:firstLine="480" w:firstLineChars="20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15.1供应商在电子交易平台传输递交投标文件后，还可以在投标截止时间前直接提交或者以邮政快递方式递交备份投标文件1份，</w:t>
      </w:r>
      <w:r>
        <w:rPr>
          <w:rFonts w:hint="eastAsia" w:ascii="仿宋" w:hAnsi="仿宋" w:eastAsia="仿宋" w:cs="仿宋_GB2312"/>
          <w:b/>
          <w:color w:val="auto"/>
          <w:sz w:val="24"/>
          <w:szCs w:val="24"/>
          <w:highlight w:val="none"/>
        </w:rPr>
        <w:t>但采购人、采购代理机构不强制或变相强制供应商提交备份投标文件。</w:t>
      </w:r>
    </w:p>
    <w:p>
      <w:pPr>
        <w:pStyle w:val="46"/>
        <w:snapToGrid w:val="0"/>
        <w:spacing w:line="360" w:lineRule="auto"/>
        <w:ind w:firstLine="480" w:firstLineChars="20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15.2备份投标文件须在“政</w:t>
      </w:r>
      <w:r>
        <w:rPr>
          <w:rFonts w:hint="eastAsia" w:ascii="仿宋" w:hAnsi="仿宋" w:eastAsia="仿宋" w:cs="仿宋_GB2312"/>
          <w:color w:val="auto"/>
          <w:sz w:val="24"/>
          <w:szCs w:val="24"/>
          <w:highlight w:val="none"/>
        </w:rPr>
        <w:t>采云投标客户端”制作生成，并储存在</w:t>
      </w:r>
      <w:r>
        <w:rPr>
          <w:rFonts w:hint="eastAsia" w:ascii="仿宋" w:hAnsi="仿宋" w:eastAsia="仿宋"/>
          <w:color w:val="auto"/>
          <w:sz w:val="24"/>
          <w:highlight w:val="none"/>
        </w:rPr>
        <w:t>U</w:t>
      </w:r>
      <w:r>
        <w:rPr>
          <w:rFonts w:ascii="仿宋" w:hAnsi="仿宋" w:eastAsia="仿宋"/>
          <w:color w:val="auto"/>
          <w:sz w:val="24"/>
          <w:highlight w:val="none"/>
        </w:rPr>
        <w:t>盘</w:t>
      </w:r>
      <w:r>
        <w:rPr>
          <w:rFonts w:hint="eastAsia" w:ascii="仿宋" w:hAnsi="仿宋" w:eastAsia="仿宋" w:cs="仿宋_GB2312"/>
          <w:color w:val="auto"/>
          <w:sz w:val="24"/>
          <w:szCs w:val="24"/>
          <w:highlight w:val="none"/>
        </w:rPr>
        <w:t>中。备份投标文件应当密封包装并在包装上加盖公章并注明项目名称，供应商名称</w:t>
      </w:r>
      <w:r>
        <w:rPr>
          <w:rFonts w:ascii="仿宋" w:hAnsi="仿宋" w:eastAsia="仿宋" w:cs="仿宋_GB2312"/>
          <w:color w:val="auto"/>
          <w:sz w:val="24"/>
          <w:szCs w:val="24"/>
          <w:highlight w:val="none"/>
        </w:rPr>
        <w:t>(联合体投标的，包装物封面需注明联合体投标，并注明联合体成员各方的名称和联合协议中约定的牵头人的名称)。</w:t>
      </w:r>
      <w:r>
        <w:rPr>
          <w:rFonts w:hint="eastAsia" w:ascii="仿宋" w:hAnsi="仿宋" w:eastAsia="仿宋"/>
          <w:b/>
          <w:color w:val="auto"/>
          <w:sz w:val="24"/>
          <w:highlight w:val="none"/>
        </w:rPr>
        <w:t>不符合上述制作、</w:t>
      </w:r>
      <w:r>
        <w:rPr>
          <w:rFonts w:hint="eastAsia" w:ascii="仿宋" w:hAnsi="仿宋" w:eastAsia="仿宋" w:cs="仿宋_GB2312"/>
          <w:b/>
          <w:color w:val="auto"/>
          <w:sz w:val="24"/>
          <w:szCs w:val="24"/>
          <w:highlight w:val="none"/>
        </w:rPr>
        <w:t>存储、密封规定的备份投标文件将被视为无效或者被拒绝接收。</w:t>
      </w:r>
    </w:p>
    <w:p>
      <w:pPr>
        <w:pStyle w:val="46"/>
        <w:snapToGrid w:val="0"/>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15.3直接提交备份投标文件的，供应商应于投标截止时间前在招标公告中载明的开标地点将备份投标文件提交给采购代理机构，采购代理机构将拒绝接受逾期送达的备份投标文件。</w:t>
      </w:r>
    </w:p>
    <w:p>
      <w:pPr>
        <w:pStyle w:val="46"/>
        <w:snapToGrid w:val="0"/>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15.4以邮政快递方式递交备份投标文件的，供应商应先将备份投标文件按要求密封和标记，再进行邮政快递包装后邮寄。备份投标文件须在投标截止时间之前送达</w:t>
      </w:r>
      <w:r>
        <w:rPr>
          <w:rFonts w:hint="eastAsia" w:ascii="仿宋" w:hAnsi="仿宋" w:eastAsia="仿宋" w:cs="仿宋_GB2312"/>
          <w:color w:val="auto"/>
          <w:sz w:val="24"/>
          <w:szCs w:val="24"/>
          <w:highlight w:val="none"/>
        </w:rPr>
        <w:t>采购文件第二部分供应商须知前附表规定的备份投标文件送达地点，送达时间以签收人签收时间为准。采购代理机构将拒绝接受逾期送达的备份投标文件。邮寄过程中，电子备份投标文件发生泄露、遗失、损坏或延期送达等情况的，由供应商自行负责。</w:t>
      </w:r>
    </w:p>
    <w:p>
      <w:pPr>
        <w:pStyle w:val="46"/>
        <w:snapToGrid w:val="0"/>
        <w:spacing w:line="360" w:lineRule="auto"/>
        <w:ind w:firstLine="482" w:firstLineChars="200"/>
        <w:rPr>
          <w:rFonts w:ascii="仿宋" w:hAnsi="仿宋" w:eastAsia="仿宋" w:cs="仿宋_GB2312"/>
          <w:b/>
          <w:color w:val="auto"/>
          <w:szCs w:val="24"/>
          <w:highlight w:val="none"/>
        </w:rPr>
      </w:pPr>
      <w:r>
        <w:rPr>
          <w:rFonts w:ascii="仿宋" w:hAnsi="仿宋" w:eastAsia="仿宋" w:cs="仿宋_GB2312"/>
          <w:b/>
          <w:color w:val="auto"/>
          <w:sz w:val="24"/>
          <w:szCs w:val="24"/>
          <w:highlight w:val="none"/>
        </w:rPr>
        <w:t>15.5供应商仅提交备份投标文件，没有在电子交易平台传输递交投标文件的，投标无效。</w:t>
      </w:r>
    </w:p>
    <w:p>
      <w:pPr>
        <w:pStyle w:val="107"/>
        <w:rPr>
          <w:color w:val="auto"/>
          <w:highlight w:val="none"/>
        </w:rPr>
      </w:pPr>
      <w:bookmarkStart w:id="120" w:name="_Toc95312956"/>
      <w:bookmarkStart w:id="121" w:name="_Toc20132"/>
      <w:bookmarkStart w:id="122" w:name="_Toc28686"/>
    </w:p>
    <w:p>
      <w:pPr>
        <w:pStyle w:val="2"/>
        <w:rPr>
          <w:rFonts w:ascii="仿宋" w:hAnsi="仿宋" w:eastAsia="仿宋"/>
          <w:color w:val="auto"/>
          <w:highlight w:val="none"/>
        </w:rPr>
      </w:pPr>
      <w:bookmarkStart w:id="123" w:name="_Toc22374"/>
      <w:r>
        <w:rPr>
          <w:rFonts w:ascii="仿宋" w:hAnsi="仿宋" w:eastAsia="仿宋"/>
          <w:color w:val="auto"/>
          <w:highlight w:val="none"/>
        </w:rPr>
        <w:t>16.投标文件的无效处理</w:t>
      </w:r>
      <w:bookmarkEnd w:id="120"/>
      <w:bookmarkEnd w:id="121"/>
      <w:bookmarkEnd w:id="122"/>
      <w:bookmarkEnd w:id="123"/>
    </w:p>
    <w:p>
      <w:pPr>
        <w:pStyle w:val="36"/>
        <w:snapToGrid w:val="0"/>
        <w:spacing w:line="360" w:lineRule="auto"/>
        <w:ind w:firstLine="360" w:firstLineChars="150"/>
        <w:rPr>
          <w:rFonts w:ascii="仿宋" w:hAnsi="仿宋" w:eastAsia="仿宋" w:cs="仿宋_GB2312"/>
          <w:b/>
          <w:color w:val="auto"/>
          <w:highlight w:val="none"/>
        </w:rPr>
      </w:pPr>
      <w:r>
        <w:rPr>
          <w:rFonts w:hint="eastAsia" w:ascii="仿宋" w:hAnsi="仿宋" w:eastAsia="仿宋" w:cs="仿宋_GB2312"/>
          <w:color w:val="auto"/>
          <w:szCs w:val="21"/>
          <w:highlight w:val="none"/>
        </w:rPr>
        <w:t>有采购文件第四部分</w:t>
      </w:r>
      <w:r>
        <w:rPr>
          <w:rFonts w:hint="eastAsia" w:ascii="仿宋" w:hAnsi="仿宋" w:eastAsia="仿宋"/>
          <w:color w:val="auto"/>
          <w:highlight w:val="none"/>
        </w:rPr>
        <w:t>第4.2</w:t>
      </w:r>
      <w:r>
        <w:rPr>
          <w:rFonts w:ascii="仿宋" w:hAnsi="仿宋" w:eastAsia="仿宋"/>
          <w:color w:val="auto"/>
          <w:highlight w:val="none"/>
        </w:rPr>
        <w:t>项规定</w:t>
      </w:r>
      <w:r>
        <w:rPr>
          <w:rFonts w:hint="eastAsia" w:ascii="仿宋" w:hAnsi="仿宋" w:eastAsia="仿宋" w:cs="仿宋_GB2312"/>
          <w:color w:val="auto"/>
          <w:szCs w:val="21"/>
          <w:highlight w:val="none"/>
        </w:rPr>
        <w:t>的情形之一的，投标无效：</w:t>
      </w:r>
    </w:p>
    <w:p>
      <w:pPr>
        <w:pStyle w:val="107"/>
        <w:rPr>
          <w:color w:val="auto"/>
          <w:highlight w:val="none"/>
        </w:rPr>
      </w:pPr>
      <w:bookmarkStart w:id="124" w:name="_Toc30999"/>
      <w:bookmarkStart w:id="125" w:name="_Toc95312957"/>
      <w:bookmarkStart w:id="126" w:name="_Toc6061"/>
    </w:p>
    <w:p>
      <w:pPr>
        <w:pStyle w:val="2"/>
        <w:rPr>
          <w:rFonts w:ascii="仿宋" w:hAnsi="仿宋" w:eastAsia="仿宋"/>
          <w:color w:val="auto"/>
          <w:highlight w:val="none"/>
        </w:rPr>
      </w:pPr>
      <w:bookmarkStart w:id="127" w:name="_Toc29203"/>
      <w:r>
        <w:rPr>
          <w:rFonts w:ascii="仿宋" w:hAnsi="仿宋" w:eastAsia="仿宋"/>
          <w:color w:val="auto"/>
          <w:highlight w:val="none"/>
        </w:rPr>
        <w:t>17.投标有效期</w:t>
      </w:r>
      <w:bookmarkEnd w:id="124"/>
      <w:bookmarkEnd w:id="125"/>
      <w:bookmarkEnd w:id="126"/>
      <w:bookmarkEnd w:id="127"/>
    </w:p>
    <w:p>
      <w:pPr>
        <w:snapToGrid w:val="0"/>
        <w:spacing w:line="360" w:lineRule="auto"/>
        <w:ind w:firstLine="480" w:firstLineChars="200"/>
        <w:rPr>
          <w:rFonts w:ascii="仿宋" w:hAnsi="仿宋" w:eastAsia="仿宋" w:cs="仿宋_GB2312"/>
          <w:color w:val="auto"/>
          <w:sz w:val="24"/>
          <w:szCs w:val="20"/>
          <w:highlight w:val="none"/>
        </w:rPr>
      </w:pPr>
      <w:r>
        <w:rPr>
          <w:rFonts w:ascii="仿宋" w:hAnsi="仿宋" w:eastAsia="仿宋" w:cs="仿宋_GB2312"/>
          <w:color w:val="auto"/>
          <w:sz w:val="24"/>
          <w:szCs w:val="20"/>
          <w:highlight w:val="none"/>
        </w:rPr>
        <w:t>17.1投标有效期为从提交投标文件的截止之日起90天。</w:t>
      </w:r>
    </w:p>
    <w:p>
      <w:pPr>
        <w:pStyle w:val="111"/>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17.2投标文件合格投递后，自投标截止日期起，在投标有效期内有效。</w:t>
      </w:r>
    </w:p>
    <w:p>
      <w:pPr>
        <w:pStyle w:val="111"/>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17.3在原定投标有效期满之前，如果出现特殊情况，采购代理机构可以以书面形式通知供应商延长投标有效期。供应商同意延长的，不得要求或被允许修改其投标文件，供应商拒绝延长的，其投标无效。</w:t>
      </w:r>
    </w:p>
    <w:p>
      <w:pPr>
        <w:spacing w:line="360" w:lineRule="auto"/>
        <w:jc w:val="center"/>
        <w:rPr>
          <w:rFonts w:hint="eastAsia" w:ascii="仿宋" w:hAnsi="仿宋" w:eastAsia="仿宋"/>
          <w:b/>
          <w:bCs/>
          <w:color w:val="auto"/>
          <w:kern w:val="44"/>
          <w:sz w:val="28"/>
          <w:szCs w:val="32"/>
          <w:highlight w:val="none"/>
          <w:lang w:val="zh-CN"/>
        </w:rPr>
      </w:pPr>
      <w:bookmarkStart w:id="128" w:name="_Toc14207"/>
      <w:bookmarkStart w:id="129" w:name="_Toc1196"/>
      <w:bookmarkStart w:id="130" w:name="_Toc280907634"/>
      <w:r>
        <w:rPr>
          <w:rFonts w:hint="eastAsia" w:ascii="仿宋" w:hAnsi="仿宋" w:eastAsia="仿宋"/>
          <w:b/>
          <w:bCs/>
          <w:color w:val="auto"/>
          <w:kern w:val="44"/>
          <w:sz w:val="28"/>
          <w:szCs w:val="32"/>
          <w:highlight w:val="none"/>
          <w:lang w:val="zh-CN"/>
        </w:rPr>
        <w:t>四、开标、资格审查与信用信息查询</w:t>
      </w:r>
      <w:bookmarkEnd w:id="128"/>
      <w:bookmarkEnd w:id="129"/>
      <w:bookmarkEnd w:id="130"/>
    </w:p>
    <w:p>
      <w:pPr>
        <w:pStyle w:val="2"/>
        <w:rPr>
          <w:rFonts w:ascii="仿宋" w:hAnsi="仿宋" w:eastAsia="仿宋"/>
          <w:color w:val="auto"/>
          <w:highlight w:val="none"/>
        </w:rPr>
      </w:pPr>
      <w:bookmarkStart w:id="131" w:name="_Toc95312958"/>
      <w:bookmarkStart w:id="132" w:name="_Toc19884"/>
      <w:bookmarkStart w:id="133" w:name="_Toc16060"/>
      <w:bookmarkStart w:id="134" w:name="_Toc15474"/>
      <w:r>
        <w:rPr>
          <w:rFonts w:ascii="仿宋" w:hAnsi="仿宋" w:eastAsia="仿宋"/>
          <w:color w:val="auto"/>
          <w:highlight w:val="none"/>
        </w:rPr>
        <w:t>18.开标</w:t>
      </w:r>
      <w:bookmarkEnd w:id="131"/>
      <w:bookmarkEnd w:id="132"/>
      <w:bookmarkEnd w:id="133"/>
      <w:bookmarkEnd w:id="134"/>
      <w:r>
        <w:rPr>
          <w:rFonts w:ascii="仿宋" w:hAnsi="仿宋" w:eastAsia="仿宋"/>
          <w:color w:val="auto"/>
          <w:highlight w:val="none"/>
        </w:rPr>
        <w:t xml:space="preserve"> </w:t>
      </w:r>
    </w:p>
    <w:p>
      <w:pPr>
        <w:pStyle w:val="265"/>
        <w:snapToGrid w:val="0"/>
        <w:spacing w:before="0" w:line="360" w:lineRule="auto"/>
        <w:ind w:left="0" w:firstLine="480" w:firstLineChars="200"/>
        <w:contextualSpacing/>
        <w:rPr>
          <w:rFonts w:ascii="仿宋" w:hAnsi="仿宋" w:eastAsia="仿宋" w:cs="仿宋_GB2312"/>
          <w:color w:val="auto"/>
          <w:sz w:val="24"/>
          <w:highlight w:val="none"/>
        </w:rPr>
      </w:pPr>
      <w:r>
        <w:rPr>
          <w:rFonts w:ascii="仿宋" w:hAnsi="仿宋" w:eastAsia="仿宋" w:cs="仿宋_GB2312"/>
          <w:color w:val="auto"/>
          <w:sz w:val="24"/>
          <w:highlight w:val="none"/>
        </w:rPr>
        <w:t>18.1采购代理机构按照采购文件规定的时间通过电子交易平台组织开标，所有供应商均应当准时在线参加。供应商不足3家的，不得开标。</w:t>
      </w:r>
    </w:p>
    <w:p>
      <w:pPr>
        <w:pStyle w:val="265"/>
        <w:snapToGrid w:val="0"/>
        <w:spacing w:before="0" w:line="360" w:lineRule="auto"/>
        <w:ind w:left="0" w:firstLine="480" w:firstLineChars="200"/>
        <w:contextualSpacing/>
        <w:rPr>
          <w:rFonts w:ascii="仿宋" w:hAnsi="仿宋" w:eastAsia="仿宋" w:cs="仿宋_GB2312"/>
          <w:color w:val="auto"/>
          <w:sz w:val="24"/>
          <w:highlight w:val="none"/>
        </w:rPr>
      </w:pPr>
      <w:r>
        <w:rPr>
          <w:rFonts w:ascii="仿宋" w:hAnsi="仿宋" w:eastAsia="仿宋" w:cs="仿宋_GB2312"/>
          <w:color w:val="auto"/>
          <w:sz w:val="24"/>
          <w:highlight w:val="none"/>
        </w:rPr>
        <w:t>18.2开标时，电子交易平台按开标时间自动提取所有投标文件。采购代理机构依托电子交易平台发起开始解密指令，供应商按照平台提示和采购文件的规定在半小时内完成在线解密。</w:t>
      </w:r>
    </w:p>
    <w:p>
      <w:pPr>
        <w:pStyle w:val="265"/>
        <w:snapToGrid w:val="0"/>
        <w:spacing w:before="0" w:line="360" w:lineRule="auto"/>
        <w:ind w:left="0" w:firstLine="480" w:firstLineChars="200"/>
        <w:contextualSpacing/>
        <w:rPr>
          <w:rFonts w:ascii="仿宋" w:hAnsi="仿宋" w:eastAsia="仿宋" w:cs="仿宋_GB2312"/>
          <w:b/>
          <w:color w:val="auto"/>
          <w:sz w:val="24"/>
          <w:highlight w:val="none"/>
        </w:rPr>
      </w:pPr>
      <w:r>
        <w:rPr>
          <w:rFonts w:ascii="仿宋" w:hAnsi="仿宋" w:eastAsia="仿宋" w:cs="仿宋_GB2312"/>
          <w:color w:val="auto"/>
          <w:sz w:val="24"/>
          <w:highlight w:val="none"/>
        </w:rPr>
        <w:t>18.3</w:t>
      </w:r>
      <w:r>
        <w:rPr>
          <w:rFonts w:hint="eastAsia" w:ascii="仿宋" w:hAnsi="仿宋" w:eastAsia="仿宋" w:cs="仿宋_GB2312"/>
          <w:b/>
          <w:color w:val="auto"/>
          <w:sz w:val="24"/>
          <w:highlight w:val="none"/>
        </w:rPr>
        <w:t>投标文件未按时解密，供应商提供了备份投标文件的，以备份投标文件作为依据，否则视为投标文件撤回。投标文件已按时解密的，备份投标文件自动失效。</w:t>
      </w:r>
    </w:p>
    <w:p>
      <w:pPr>
        <w:widowControl/>
        <w:snapToGrid w:val="0"/>
        <w:spacing w:line="360" w:lineRule="auto"/>
        <w:jc w:val="left"/>
        <w:rPr>
          <w:rFonts w:ascii="仿宋" w:hAnsi="仿宋" w:eastAsia="仿宋" w:cs="仿宋_GB2312"/>
          <w:b/>
          <w:color w:val="auto"/>
          <w:sz w:val="24"/>
          <w:szCs w:val="20"/>
          <w:highlight w:val="none"/>
        </w:rPr>
      </w:pPr>
    </w:p>
    <w:p>
      <w:pPr>
        <w:pStyle w:val="2"/>
        <w:rPr>
          <w:rFonts w:ascii="仿宋" w:hAnsi="仿宋" w:eastAsia="仿宋"/>
          <w:color w:val="auto"/>
          <w:highlight w:val="none"/>
        </w:rPr>
      </w:pPr>
      <w:bookmarkStart w:id="135" w:name="_Toc16408"/>
      <w:r>
        <w:rPr>
          <w:rFonts w:ascii="仿宋" w:hAnsi="仿宋" w:eastAsia="仿宋"/>
          <w:color w:val="auto"/>
          <w:highlight w:val="none"/>
        </w:rPr>
        <w:t>19</w:t>
      </w:r>
      <w:r>
        <w:rPr>
          <w:rFonts w:hint="eastAsia" w:ascii="仿宋" w:hAnsi="仿宋" w:eastAsia="仿宋"/>
          <w:color w:val="auto"/>
          <w:highlight w:val="none"/>
        </w:rPr>
        <w:t>.</w:t>
      </w:r>
      <w:r>
        <w:rPr>
          <w:rFonts w:ascii="仿宋" w:hAnsi="仿宋" w:eastAsia="仿宋"/>
          <w:color w:val="auto"/>
          <w:highlight w:val="none"/>
        </w:rPr>
        <w:t>资格审查</w:t>
      </w:r>
      <w:bookmarkEnd w:id="135"/>
    </w:p>
    <w:p>
      <w:pPr>
        <w:pStyle w:val="111"/>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19.1开标后，采购人或采购代理机构将依法对供应商的资格进行审查。</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Arial"/>
          <w:color w:val="auto"/>
          <w:kern w:val="0"/>
          <w:sz w:val="24"/>
          <w:highlight w:val="none"/>
        </w:rPr>
        <w:t>19.2</w:t>
      </w:r>
      <w:r>
        <w:rPr>
          <w:rFonts w:hint="eastAsia" w:ascii="仿宋" w:hAnsi="仿宋" w:eastAsia="仿宋" w:cs="仿宋_GB2312"/>
          <w:color w:val="auto"/>
          <w:sz w:val="24"/>
          <w:highlight w:val="none"/>
        </w:rPr>
        <w:t>采购人或采购代理机构依据法律法规和采购文件的规定，对供应商的基本资格条件、特定资格条件进行审查。</w:t>
      </w:r>
    </w:p>
    <w:p>
      <w:pPr>
        <w:pStyle w:val="111"/>
        <w:snapToGrid w:val="0"/>
        <w:spacing w:before="0"/>
        <w:ind w:firstLine="480"/>
        <w:rPr>
          <w:rFonts w:ascii="仿宋" w:hAnsi="仿宋" w:eastAsia="仿宋" w:cs="仿宋_GB2312"/>
          <w:color w:val="auto"/>
          <w:highlight w:val="none"/>
        </w:rPr>
      </w:pPr>
      <w:r>
        <w:rPr>
          <w:rFonts w:ascii="仿宋" w:hAnsi="仿宋" w:eastAsia="仿宋" w:cs="Arial"/>
          <w:color w:val="auto"/>
          <w:kern w:val="0"/>
          <w:szCs w:val="24"/>
          <w:highlight w:val="none"/>
        </w:rPr>
        <w:t>19.3供应商未按照采购文件要求提供与</w:t>
      </w:r>
      <w:r>
        <w:rPr>
          <w:rFonts w:hint="eastAsia" w:ascii="仿宋" w:hAnsi="仿宋" w:eastAsia="仿宋" w:cs="仿宋_GB2312"/>
          <w:color w:val="auto"/>
          <w:highlight w:val="none"/>
        </w:rPr>
        <w:t>基本资格条件、特定资格条件相应的</w:t>
      </w:r>
      <w:r>
        <w:rPr>
          <w:rFonts w:hint="eastAsia" w:ascii="仿宋" w:hAnsi="仿宋" w:eastAsia="仿宋" w:cs="Arial"/>
          <w:color w:val="auto"/>
          <w:kern w:val="0"/>
          <w:szCs w:val="24"/>
          <w:highlight w:val="none"/>
        </w:rPr>
        <w:t>有效资格证明材料的，视为</w:t>
      </w:r>
      <w:r>
        <w:rPr>
          <w:rFonts w:hint="eastAsia" w:ascii="仿宋" w:hAnsi="仿宋" w:eastAsia="仿宋" w:cs="仿宋_GB2312"/>
          <w:color w:val="auto"/>
          <w:highlight w:val="none"/>
        </w:rPr>
        <w:t>供应商不具备采购文件中规定的资格要求，其投标无效。</w:t>
      </w:r>
    </w:p>
    <w:p>
      <w:pPr>
        <w:pStyle w:val="111"/>
        <w:snapToGrid w:val="0"/>
        <w:spacing w:before="0"/>
        <w:ind w:firstLine="480"/>
        <w:rPr>
          <w:rFonts w:ascii="仿宋" w:hAnsi="仿宋" w:eastAsia="仿宋" w:cs="仿宋_GB2312"/>
          <w:color w:val="auto"/>
          <w:highlight w:val="none"/>
        </w:rPr>
      </w:pPr>
      <w:r>
        <w:rPr>
          <w:rFonts w:ascii="仿宋" w:hAnsi="仿宋" w:eastAsia="仿宋" w:cs="Arial"/>
          <w:color w:val="auto"/>
          <w:kern w:val="0"/>
          <w:szCs w:val="24"/>
          <w:highlight w:val="none"/>
        </w:rPr>
        <w:t>19.</w:t>
      </w:r>
      <w:r>
        <w:rPr>
          <w:rFonts w:ascii="仿宋" w:hAnsi="仿宋" w:eastAsia="仿宋" w:cs="仿宋_GB2312"/>
          <w:color w:val="auto"/>
          <w:highlight w:val="none"/>
        </w:rPr>
        <w:t>4对未通过资格审查的供应商，采购人或采购代理机构告知其未通过的原因。</w:t>
      </w:r>
    </w:p>
    <w:p>
      <w:pPr>
        <w:pStyle w:val="111"/>
        <w:snapToGrid w:val="0"/>
        <w:spacing w:before="0"/>
        <w:ind w:firstLine="480"/>
        <w:rPr>
          <w:rFonts w:ascii="仿宋" w:hAnsi="仿宋" w:eastAsia="仿宋" w:cs="仿宋_GB2312"/>
          <w:b/>
          <w:color w:val="auto"/>
          <w:szCs w:val="24"/>
          <w:highlight w:val="none"/>
        </w:rPr>
      </w:pPr>
      <w:r>
        <w:rPr>
          <w:rFonts w:ascii="仿宋" w:hAnsi="仿宋" w:eastAsia="仿宋" w:cs="Arial"/>
          <w:color w:val="auto"/>
          <w:kern w:val="0"/>
          <w:szCs w:val="24"/>
          <w:highlight w:val="none"/>
        </w:rPr>
        <w:t>19.</w:t>
      </w:r>
      <w:r>
        <w:rPr>
          <w:rFonts w:ascii="仿宋" w:hAnsi="仿宋" w:eastAsia="仿宋" w:cs="仿宋_GB2312"/>
          <w:color w:val="auto"/>
          <w:highlight w:val="none"/>
        </w:rPr>
        <w:t>5合格供应商不足3家的，不再评标。</w:t>
      </w:r>
    </w:p>
    <w:p>
      <w:pPr>
        <w:pStyle w:val="111"/>
        <w:snapToGrid w:val="0"/>
        <w:spacing w:before="0"/>
        <w:ind w:firstLine="482"/>
        <w:rPr>
          <w:rFonts w:ascii="仿宋" w:hAnsi="仿宋" w:eastAsia="仿宋" w:cs="仿宋_GB2312"/>
          <w:b/>
          <w:color w:val="auto"/>
          <w:szCs w:val="24"/>
          <w:highlight w:val="none"/>
        </w:rPr>
      </w:pPr>
    </w:p>
    <w:p>
      <w:pPr>
        <w:pStyle w:val="2"/>
        <w:rPr>
          <w:rFonts w:ascii="仿宋" w:hAnsi="仿宋" w:eastAsia="仿宋"/>
          <w:color w:val="auto"/>
          <w:highlight w:val="none"/>
        </w:rPr>
      </w:pPr>
      <w:bookmarkStart w:id="136" w:name="_Toc1839"/>
      <w:r>
        <w:rPr>
          <w:rFonts w:ascii="仿宋" w:hAnsi="仿宋" w:eastAsia="仿宋"/>
          <w:color w:val="auto"/>
          <w:highlight w:val="none"/>
        </w:rPr>
        <w:t>20</w:t>
      </w:r>
      <w:r>
        <w:rPr>
          <w:rFonts w:hint="eastAsia" w:ascii="仿宋" w:hAnsi="仿宋" w:eastAsia="仿宋"/>
          <w:color w:val="auto"/>
          <w:highlight w:val="none"/>
        </w:rPr>
        <w:t>.</w:t>
      </w:r>
      <w:r>
        <w:rPr>
          <w:rFonts w:ascii="仿宋" w:hAnsi="仿宋" w:eastAsia="仿宋"/>
          <w:color w:val="auto"/>
          <w:highlight w:val="none"/>
        </w:rPr>
        <w:t>信用信息查询</w:t>
      </w:r>
      <w:bookmarkEnd w:id="136"/>
    </w:p>
    <w:p>
      <w:pPr>
        <w:pStyle w:val="111"/>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20.1信用信息查询渠道及截止时间：采购代理机构将通过“信用中国”网站(www.creditchina.gov.cn)、中国政府采购网(www.ccgp.gov.cn)渠道查询供应商投标截止时间当天的信用记录。</w:t>
      </w:r>
    </w:p>
    <w:p>
      <w:pPr>
        <w:pStyle w:val="111"/>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20.2信用信息查询记录和证据留存的具体方式：现场查询的供应商的信用记录、查询结果经确认后将与采购文件一起存档。</w:t>
      </w:r>
    </w:p>
    <w:p>
      <w:pPr>
        <w:pStyle w:val="111"/>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pPr>
        <w:pStyle w:val="111"/>
        <w:snapToGrid w:val="0"/>
        <w:spacing w:before="0"/>
        <w:ind w:firstLine="480"/>
        <w:rPr>
          <w:rFonts w:hint="eastAsia" w:ascii="仿宋" w:hAnsi="仿宋" w:eastAsia="仿宋" w:cs="Arial"/>
          <w:color w:val="auto"/>
          <w:kern w:val="0"/>
          <w:szCs w:val="24"/>
          <w:highlight w:val="none"/>
        </w:rPr>
      </w:pPr>
      <w:r>
        <w:rPr>
          <w:rFonts w:ascii="仿宋" w:hAnsi="仿宋" w:eastAsia="仿宋"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Arial"/>
          <w:color w:val="auto"/>
          <w:kern w:val="0"/>
          <w:szCs w:val="24"/>
          <w:highlight w:val="none"/>
        </w:rPr>
        <w:t>。</w:t>
      </w:r>
      <w:bookmarkStart w:id="137" w:name="_Toc772"/>
      <w:bookmarkStart w:id="138" w:name="_Toc4565"/>
      <w:bookmarkStart w:id="139" w:name="_Toc23183"/>
      <w:bookmarkStart w:id="140" w:name="_Toc1045548532"/>
      <w:bookmarkStart w:id="141" w:name="_Toc95312959"/>
      <w:bookmarkStart w:id="142" w:name="_Toc24831"/>
    </w:p>
    <w:p>
      <w:pPr>
        <w:pStyle w:val="111"/>
        <w:snapToGrid w:val="0"/>
        <w:spacing w:before="0"/>
        <w:ind w:left="0" w:leftChars="0" w:firstLine="0" w:firstLineChars="0"/>
        <w:jc w:val="center"/>
        <w:rPr>
          <w:rFonts w:hint="eastAsia" w:ascii="仿宋" w:hAnsi="仿宋" w:eastAsia="仿宋" w:cs="Times New Roman"/>
          <w:b/>
          <w:bCs/>
          <w:color w:val="auto"/>
          <w:kern w:val="44"/>
          <w:sz w:val="28"/>
          <w:szCs w:val="32"/>
          <w:highlight w:val="none"/>
          <w:lang w:val="zh-CN" w:eastAsia="zh-CN" w:bidi="ar-SA"/>
        </w:rPr>
      </w:pPr>
      <w:r>
        <w:rPr>
          <w:rFonts w:hint="eastAsia" w:ascii="仿宋" w:hAnsi="仿宋" w:eastAsia="仿宋" w:cs="Times New Roman"/>
          <w:b/>
          <w:bCs/>
          <w:color w:val="auto"/>
          <w:kern w:val="44"/>
          <w:sz w:val="28"/>
          <w:szCs w:val="32"/>
          <w:highlight w:val="none"/>
          <w:lang w:val="zh-CN" w:eastAsia="zh-CN" w:bidi="ar-SA"/>
        </w:rPr>
        <w:t>五、评</w:t>
      </w:r>
      <w:r>
        <w:rPr>
          <w:rFonts w:hint="eastAsia" w:ascii="仿宋" w:hAnsi="仿宋" w:eastAsia="仿宋" w:cs="Times New Roman"/>
          <w:b/>
          <w:bCs/>
          <w:color w:val="auto"/>
          <w:kern w:val="44"/>
          <w:sz w:val="28"/>
          <w:szCs w:val="32"/>
          <w:highlight w:val="none"/>
          <w:lang w:val="en-US" w:eastAsia="zh-CN" w:bidi="ar-SA"/>
        </w:rPr>
        <w:t xml:space="preserve"> </w:t>
      </w:r>
      <w:r>
        <w:rPr>
          <w:rFonts w:hint="eastAsia" w:ascii="仿宋" w:hAnsi="仿宋" w:eastAsia="仿宋" w:cs="Times New Roman"/>
          <w:b/>
          <w:bCs/>
          <w:color w:val="auto"/>
          <w:kern w:val="44"/>
          <w:sz w:val="28"/>
          <w:szCs w:val="32"/>
          <w:highlight w:val="none"/>
          <w:lang w:val="zh-CN" w:eastAsia="zh-CN" w:bidi="ar-SA"/>
        </w:rPr>
        <w:t>标</w:t>
      </w:r>
      <w:bookmarkEnd w:id="137"/>
      <w:bookmarkEnd w:id="138"/>
      <w:bookmarkEnd w:id="139"/>
      <w:bookmarkEnd w:id="140"/>
      <w:bookmarkEnd w:id="141"/>
      <w:bookmarkEnd w:id="142"/>
    </w:p>
    <w:p>
      <w:pPr>
        <w:snapToGrid w:val="0"/>
        <w:spacing w:line="360" w:lineRule="auto"/>
        <w:rPr>
          <w:rFonts w:ascii="仿宋" w:hAnsi="仿宋" w:eastAsia="仿宋" w:cs="仿宋_GB2312"/>
          <w:b/>
          <w:color w:val="auto"/>
          <w:sz w:val="24"/>
          <w:highlight w:val="none"/>
        </w:rPr>
      </w:pPr>
      <w:bookmarkStart w:id="143" w:name="_Toc91899903"/>
      <w:r>
        <w:rPr>
          <w:rFonts w:ascii="仿宋" w:hAnsi="仿宋" w:eastAsia="仿宋" w:cs="仿宋_GB2312"/>
          <w:b/>
          <w:color w:val="auto"/>
          <w:sz w:val="24"/>
          <w:highlight w:val="none"/>
        </w:rPr>
        <w:t>21.</w:t>
      </w:r>
      <w:r>
        <w:rPr>
          <w:rFonts w:ascii="仿宋" w:hAnsi="仿宋" w:eastAsia="仿宋"/>
          <w:color w:val="auto"/>
          <w:highlight w:val="none"/>
        </w:rPr>
        <w:t xml:space="preserve"> </w:t>
      </w:r>
      <w:r>
        <w:rPr>
          <w:rFonts w:hint="eastAsia" w:ascii="仿宋" w:hAnsi="仿宋" w:eastAsia="仿宋" w:cs="仿宋_GB2312"/>
          <w:color w:val="auto"/>
          <w:sz w:val="24"/>
          <w:highlight w:val="none"/>
        </w:rPr>
        <w:t>评标委员会将根据采购文件和有关规定，履行评标工作职责，并按照评标方法及评分标准，全面衡量各供应商对采购文件的响应情况。对实质上响应采购文件的供应商，按照评审因素的量化指标排出推荐中标的供应商的先后顺序，并按顺序提出授标建议。</w:t>
      </w:r>
      <w:r>
        <w:rPr>
          <w:rFonts w:hint="eastAsia" w:ascii="仿宋" w:hAnsi="仿宋" w:eastAsia="仿宋" w:cs="仿宋_GB2312"/>
          <w:b/>
          <w:color w:val="auto"/>
          <w:sz w:val="24"/>
          <w:highlight w:val="none"/>
        </w:rPr>
        <w:t>详见采购文件第四部分评标办法。</w:t>
      </w:r>
    </w:p>
    <w:p>
      <w:pPr>
        <w:snapToGrid w:val="0"/>
        <w:spacing w:line="360" w:lineRule="auto"/>
        <w:rPr>
          <w:rFonts w:ascii="仿宋" w:hAnsi="仿宋" w:eastAsia="仿宋" w:cs="仿宋_GB2312"/>
          <w:b/>
          <w:color w:val="auto"/>
          <w:sz w:val="24"/>
          <w:highlight w:val="none"/>
        </w:rPr>
      </w:pPr>
    </w:p>
    <w:p>
      <w:pPr>
        <w:pStyle w:val="5"/>
        <w:jc w:val="center"/>
        <w:rPr>
          <w:rFonts w:hint="eastAsia" w:ascii="仿宋" w:hAnsi="仿宋" w:eastAsia="仿宋" w:cs="Times New Roman"/>
          <w:b/>
          <w:bCs/>
          <w:color w:val="auto"/>
          <w:kern w:val="44"/>
          <w:sz w:val="28"/>
          <w:szCs w:val="32"/>
          <w:highlight w:val="none"/>
          <w:lang w:val="zh-CN" w:eastAsia="zh-CN" w:bidi="ar-SA"/>
        </w:rPr>
      </w:pPr>
      <w:bookmarkStart w:id="144" w:name="_Toc8276"/>
      <w:bookmarkStart w:id="145" w:name="_Toc5442"/>
      <w:bookmarkStart w:id="146" w:name="_Toc16557"/>
      <w:bookmarkStart w:id="147" w:name="_Toc1709"/>
      <w:bookmarkStart w:id="148" w:name="_Toc1822977570"/>
      <w:bookmarkStart w:id="149" w:name="_Toc95312960"/>
      <w:r>
        <w:rPr>
          <w:rFonts w:hint="eastAsia" w:ascii="仿宋" w:hAnsi="仿宋" w:eastAsia="仿宋" w:cs="Times New Roman"/>
          <w:b/>
          <w:bCs/>
          <w:color w:val="auto"/>
          <w:kern w:val="44"/>
          <w:sz w:val="28"/>
          <w:szCs w:val="32"/>
          <w:highlight w:val="none"/>
          <w:lang w:val="zh-CN" w:eastAsia="zh-CN" w:bidi="ar-SA"/>
        </w:rPr>
        <w:t>六、定 标</w:t>
      </w:r>
      <w:bookmarkEnd w:id="144"/>
      <w:bookmarkEnd w:id="145"/>
      <w:bookmarkEnd w:id="146"/>
      <w:bookmarkEnd w:id="147"/>
      <w:bookmarkEnd w:id="148"/>
      <w:bookmarkEnd w:id="149"/>
    </w:p>
    <w:p>
      <w:pPr>
        <w:pStyle w:val="36"/>
        <w:snapToGrid w:val="0"/>
        <w:spacing w:line="360" w:lineRule="auto"/>
        <w:ind w:firstLine="0" w:firstLineChars="0"/>
        <w:rPr>
          <w:rFonts w:ascii="仿宋" w:hAnsi="仿宋" w:eastAsia="仿宋" w:cs="仿宋_GB2312"/>
          <w:b/>
          <w:color w:val="auto"/>
          <w:highlight w:val="none"/>
        </w:rPr>
      </w:pPr>
      <w:r>
        <w:rPr>
          <w:rFonts w:ascii="仿宋" w:hAnsi="仿宋" w:eastAsia="仿宋" w:cs="仿宋_GB2312"/>
          <w:b/>
          <w:color w:val="auto"/>
          <w:highlight w:val="none"/>
        </w:rPr>
        <w:t xml:space="preserve">22. </w:t>
      </w:r>
      <w:r>
        <w:rPr>
          <w:rFonts w:hint="eastAsia" w:ascii="仿宋" w:hAnsi="仿宋" w:eastAsia="仿宋" w:cs="仿宋_GB2312"/>
          <w:b/>
          <w:color w:val="auto"/>
          <w:highlight w:val="none"/>
        </w:rPr>
        <w:t>确定中标供应商</w:t>
      </w:r>
    </w:p>
    <w:p>
      <w:pPr>
        <w:pStyle w:val="111"/>
        <w:snapToGrid w:val="0"/>
        <w:spacing w:before="0"/>
        <w:ind w:firstLine="48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采购人将自收到评审报告之日起</w:t>
      </w:r>
      <w:r>
        <w:rPr>
          <w:rFonts w:ascii="仿宋" w:hAnsi="仿宋" w:eastAsia="仿宋" w:cs="仿宋_GB2312"/>
          <w:color w:val="auto"/>
          <w:szCs w:val="24"/>
          <w:highlight w:val="none"/>
        </w:rPr>
        <w:t>5个工作日内通过电子交易平台在评审报告推荐的中标候选人中按顺序确定中标供应商。</w:t>
      </w:r>
    </w:p>
    <w:p>
      <w:pPr>
        <w:pStyle w:val="111"/>
        <w:snapToGrid w:val="0"/>
        <w:spacing w:before="0"/>
        <w:ind w:firstLine="0" w:firstLineChars="0"/>
        <w:rPr>
          <w:rFonts w:ascii="仿宋" w:hAnsi="仿宋" w:eastAsia="仿宋" w:cs="仿宋_GB2312"/>
          <w:b/>
          <w:color w:val="auto"/>
          <w:szCs w:val="24"/>
          <w:highlight w:val="none"/>
        </w:rPr>
      </w:pPr>
    </w:p>
    <w:p>
      <w:pPr>
        <w:pStyle w:val="111"/>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 xml:space="preserve">23. </w:t>
      </w:r>
      <w:r>
        <w:rPr>
          <w:rFonts w:hint="eastAsia" w:ascii="仿宋" w:hAnsi="仿宋" w:eastAsia="仿宋" w:cs="仿宋_GB2312"/>
          <w:b/>
          <w:color w:val="auto"/>
          <w:szCs w:val="24"/>
          <w:highlight w:val="none"/>
        </w:rPr>
        <w:t>中标通知与中标结果公告</w:t>
      </w:r>
    </w:p>
    <w:p>
      <w:pPr>
        <w:widowControl/>
        <w:shd w:val="clear" w:color="auto" w:fill="FFFFFF"/>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23.1自中标人确定之日起2个工作日内，采购代理机构通过电子交易平台向中标人发出中标通知书，</w:t>
      </w:r>
      <w:r>
        <w:rPr>
          <w:rFonts w:hint="eastAsia" w:ascii="仿宋" w:hAnsi="仿宋" w:eastAsia="仿宋" w:cs="仿宋_GB2312"/>
          <w:color w:val="auto"/>
          <w:sz w:val="24"/>
          <w:highlight w:val="none"/>
        </w:rPr>
        <w:t>同时编制发布采购结果公告。采购代理机构也可以以纸质形式进行中标通知。</w:t>
      </w:r>
    </w:p>
    <w:p>
      <w:pPr>
        <w:widowControl/>
        <w:shd w:val="clear" w:color="auto" w:fill="FFFFFF"/>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23.2中标结果公告内容包括采购人及其委托的采购代理机构的名称、地址、联系方式，</w:t>
      </w:r>
      <w:r>
        <w:rPr>
          <w:rFonts w:hint="eastAsia" w:ascii="仿宋" w:hAnsi="仿宋" w:eastAsia="仿宋" w:cs="仿宋_GB2312"/>
          <w:color w:val="auto"/>
          <w:sz w:val="24"/>
          <w:highlight w:val="none"/>
        </w:rPr>
        <w:t>”俞樾纪念馆”陈列布展服务</w:t>
      </w:r>
      <w:r>
        <w:rPr>
          <w:rFonts w:ascii="仿宋" w:hAnsi="仿宋" w:eastAsia="仿宋" w:cs="仿宋_GB2312"/>
          <w:color w:val="auto"/>
          <w:sz w:val="24"/>
          <w:highlight w:val="none"/>
        </w:rPr>
        <w:t>项目编号，中标人名称、地址和中标金额，主要中标标的</w:t>
      </w:r>
      <w:r>
        <w:rPr>
          <w:rFonts w:hint="eastAsia" w:ascii="仿宋" w:hAnsi="仿宋" w:eastAsia="仿宋" w:cs="仿宋_GB2312"/>
          <w:color w:val="auto"/>
          <w:sz w:val="24"/>
          <w:highlight w:val="none"/>
        </w:rPr>
        <w:t>的名称、规格型号（如有）、数量、单价、服务要求，开标记录、未中标情况说明、中标公告期限以及评审专家名单、评分汇总及明细。</w:t>
      </w:r>
    </w:p>
    <w:p>
      <w:pPr>
        <w:widowControl/>
        <w:shd w:val="clear" w:color="auto" w:fill="FFFFFF"/>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23.3公告期限为1个工作日。</w:t>
      </w:r>
    </w:p>
    <w:p>
      <w:pPr>
        <w:spacing w:line="360" w:lineRule="auto"/>
        <w:jc w:val="center"/>
        <w:rPr>
          <w:rFonts w:hint="eastAsia" w:ascii="仿宋" w:hAnsi="仿宋" w:eastAsia="仿宋" w:cs="Times New Roman"/>
          <w:b/>
          <w:bCs/>
          <w:color w:val="auto"/>
          <w:kern w:val="44"/>
          <w:sz w:val="28"/>
          <w:szCs w:val="32"/>
          <w:highlight w:val="none"/>
          <w:lang w:val="zh-CN" w:eastAsia="zh-CN" w:bidi="ar-SA"/>
        </w:rPr>
      </w:pPr>
      <w:bookmarkStart w:id="150" w:name="_Toc8690"/>
      <w:bookmarkStart w:id="151" w:name="_Toc5863"/>
      <w:bookmarkStart w:id="152" w:name="_Toc95312961"/>
      <w:bookmarkStart w:id="153" w:name="_Toc634827241"/>
      <w:bookmarkStart w:id="154" w:name="_Toc11039"/>
      <w:bookmarkStart w:id="155" w:name="_Toc27304"/>
      <w:r>
        <w:rPr>
          <w:rFonts w:hint="eastAsia" w:ascii="仿宋" w:hAnsi="仿宋" w:eastAsia="仿宋" w:cs="Times New Roman"/>
          <w:b/>
          <w:bCs/>
          <w:color w:val="auto"/>
          <w:kern w:val="44"/>
          <w:sz w:val="28"/>
          <w:szCs w:val="32"/>
          <w:highlight w:val="none"/>
          <w:lang w:val="zh-CN" w:eastAsia="zh-CN" w:bidi="ar-SA"/>
        </w:rPr>
        <w:t>七、合同授予</w:t>
      </w:r>
      <w:bookmarkEnd w:id="150"/>
      <w:bookmarkEnd w:id="151"/>
      <w:bookmarkEnd w:id="152"/>
      <w:bookmarkEnd w:id="153"/>
      <w:bookmarkEnd w:id="154"/>
      <w:bookmarkEnd w:id="155"/>
    </w:p>
    <w:p>
      <w:pPr>
        <w:pStyle w:val="36"/>
        <w:snapToGrid w:val="0"/>
        <w:spacing w:line="360" w:lineRule="auto"/>
        <w:ind w:firstLine="0" w:firstLineChars="0"/>
        <w:rPr>
          <w:rFonts w:ascii="仿宋" w:hAnsi="仿宋" w:eastAsia="仿宋" w:cs="仿宋_GB2312"/>
          <w:b/>
          <w:color w:val="auto"/>
          <w:highlight w:val="none"/>
        </w:rPr>
      </w:pPr>
      <w:r>
        <w:rPr>
          <w:rFonts w:ascii="仿宋" w:hAnsi="仿宋" w:eastAsia="仿宋" w:cs="仿宋_GB2312"/>
          <w:b/>
          <w:color w:val="auto"/>
          <w:highlight w:val="none"/>
        </w:rPr>
        <w:t xml:space="preserve">24. </w:t>
      </w:r>
      <w:r>
        <w:rPr>
          <w:rFonts w:hint="eastAsia" w:ascii="仿宋" w:hAnsi="仿宋" w:eastAsia="仿宋" w:cs="仿宋_GB2312"/>
          <w:color w:val="auto"/>
          <w:highlight w:val="none"/>
        </w:rPr>
        <w:t>合同主要条款详见第五部分拟签订的合同文本。</w:t>
      </w:r>
    </w:p>
    <w:p>
      <w:pPr>
        <w:pStyle w:val="36"/>
        <w:snapToGrid w:val="0"/>
        <w:spacing w:line="360" w:lineRule="auto"/>
        <w:ind w:left="479" w:firstLine="482"/>
        <w:rPr>
          <w:rFonts w:ascii="仿宋" w:hAnsi="仿宋" w:eastAsia="仿宋" w:cs="仿宋_GB2312"/>
          <w:b/>
          <w:color w:val="auto"/>
          <w:highlight w:val="none"/>
        </w:rPr>
      </w:pPr>
    </w:p>
    <w:p>
      <w:pPr>
        <w:pStyle w:val="36"/>
        <w:snapToGrid w:val="0"/>
        <w:spacing w:line="360" w:lineRule="auto"/>
        <w:ind w:firstLine="0" w:firstLineChars="0"/>
        <w:rPr>
          <w:rFonts w:ascii="仿宋" w:hAnsi="仿宋" w:eastAsia="仿宋" w:cs="仿宋_GB2312"/>
          <w:b/>
          <w:color w:val="auto"/>
          <w:highlight w:val="none"/>
        </w:rPr>
      </w:pPr>
      <w:r>
        <w:rPr>
          <w:rFonts w:ascii="仿宋" w:hAnsi="仿宋" w:eastAsia="仿宋" w:cs="仿宋_GB2312"/>
          <w:b/>
          <w:color w:val="auto"/>
          <w:highlight w:val="none"/>
        </w:rPr>
        <w:t xml:space="preserve">25. </w:t>
      </w:r>
      <w:r>
        <w:rPr>
          <w:rFonts w:hint="eastAsia" w:ascii="仿宋" w:hAnsi="仿宋" w:eastAsia="仿宋" w:cs="仿宋_GB2312"/>
          <w:b/>
          <w:color w:val="auto"/>
          <w:highlight w:val="none"/>
        </w:rPr>
        <w:t>合同的签订</w:t>
      </w:r>
    </w:p>
    <w:p>
      <w:pPr>
        <w:widowControl/>
        <w:shd w:val="clear" w:color="auto" w:fill="FFFFFF"/>
        <w:snapToGrid w:val="0"/>
        <w:spacing w:line="360" w:lineRule="auto"/>
        <w:ind w:firstLine="480" w:firstLineChars="200"/>
        <w:rPr>
          <w:rFonts w:ascii="仿宋" w:hAnsi="仿宋" w:eastAsia="仿宋" w:cs="Arial"/>
          <w:color w:val="auto"/>
          <w:kern w:val="0"/>
          <w:sz w:val="24"/>
          <w:highlight w:val="none"/>
        </w:rPr>
      </w:pPr>
      <w:r>
        <w:rPr>
          <w:rFonts w:ascii="仿宋" w:hAnsi="仿宋" w:eastAsia="仿宋" w:cs="仿宋_GB2312"/>
          <w:color w:val="auto"/>
          <w:sz w:val="24"/>
          <w:highlight w:val="none"/>
        </w:rPr>
        <w:t>25.1</w:t>
      </w:r>
      <w:r>
        <w:rPr>
          <w:rFonts w:ascii="仿宋" w:hAnsi="仿宋" w:eastAsia="仿宋" w:cs="Arial"/>
          <w:color w:val="auto"/>
          <w:kern w:val="0"/>
          <w:sz w:val="24"/>
          <w:highlight w:val="none"/>
        </w:rPr>
        <w:t xml:space="preserve"> 采购人与中标人应当通过电子交易平台在中标通知书发出之日起</w:t>
      </w:r>
      <w:r>
        <w:rPr>
          <w:rFonts w:hint="eastAsia" w:ascii="仿宋" w:hAnsi="仿宋" w:eastAsia="仿宋" w:cs="Arial"/>
          <w:color w:val="auto"/>
          <w:kern w:val="0"/>
          <w:sz w:val="24"/>
          <w:highlight w:val="none"/>
          <w:lang w:val="en-US" w:eastAsia="zh-CN"/>
        </w:rPr>
        <w:t>十个工作</w:t>
      </w:r>
      <w:r>
        <w:rPr>
          <w:rFonts w:ascii="仿宋" w:hAnsi="仿宋" w:eastAsia="仿宋" w:cs="Arial"/>
          <w:color w:val="auto"/>
          <w:kern w:val="0"/>
          <w:sz w:val="24"/>
          <w:highlight w:val="none"/>
        </w:rPr>
        <w:t>日内，按照采购文件确定的事项签订政府采购合同，并在</w:t>
      </w:r>
      <w:r>
        <w:rPr>
          <w:rFonts w:hint="eastAsia" w:ascii="仿宋" w:hAnsi="仿宋" w:eastAsia="仿宋" w:cs="Arial"/>
          <w:color w:val="auto"/>
          <w:kern w:val="0"/>
          <w:sz w:val="24"/>
          <w:highlight w:val="none"/>
        </w:rPr>
        <w:t>合同签订之日起2个工作日</w:t>
      </w:r>
      <w:r>
        <w:rPr>
          <w:rFonts w:ascii="仿宋" w:hAnsi="仿宋" w:eastAsia="仿宋" w:cs="Arial"/>
          <w:color w:val="auto"/>
          <w:kern w:val="0"/>
          <w:sz w:val="24"/>
          <w:highlight w:val="none"/>
        </w:rPr>
        <w:t>内依法发布合同公告。</w:t>
      </w:r>
    </w:p>
    <w:p>
      <w:pPr>
        <w:pStyle w:val="111"/>
        <w:snapToGrid w:val="0"/>
        <w:spacing w:before="0"/>
        <w:ind w:firstLine="480"/>
        <w:rPr>
          <w:rFonts w:ascii="仿宋" w:hAnsi="仿宋" w:eastAsia="仿宋"/>
          <w:color w:val="auto"/>
          <w:kern w:val="0"/>
          <w:highlight w:val="none"/>
        </w:rPr>
      </w:pPr>
      <w:r>
        <w:rPr>
          <w:rFonts w:ascii="仿宋" w:hAnsi="仿宋" w:eastAsia="仿宋" w:cs="仿宋_GB2312"/>
          <w:color w:val="auto"/>
          <w:kern w:val="0"/>
          <w:highlight w:val="none"/>
          <w:lang w:val="zh-CN"/>
        </w:rPr>
        <w:t>25.2</w:t>
      </w:r>
      <w:r>
        <w:rPr>
          <w:rFonts w:hint="eastAsia" w:ascii="仿宋" w:hAnsi="仿宋" w:eastAsia="仿宋"/>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11"/>
        <w:snapToGrid w:val="0"/>
        <w:spacing w:before="0"/>
        <w:ind w:firstLine="48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25.3如签订合同并生效后，供应商无故拒绝或延期，除按照合同条款处理外，列入不良行为记录一次，并给予通报。</w:t>
      </w:r>
    </w:p>
    <w:p>
      <w:pPr>
        <w:pStyle w:val="111"/>
        <w:snapToGrid w:val="0"/>
        <w:spacing w:before="0"/>
        <w:ind w:firstLine="48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25.4中标供应</w:t>
      </w:r>
      <w:r>
        <w:rPr>
          <w:rFonts w:hint="eastAsia" w:ascii="仿宋" w:hAnsi="仿宋" w:eastAsia="仿宋" w:cs="仿宋_GB2312"/>
          <w:color w:val="auto"/>
          <w:kern w:val="0"/>
          <w:highlight w:val="none"/>
          <w:lang w:val="zh-CN"/>
        </w:rPr>
        <w:t>商拒绝与采购人签订合同的，采购人可以按照评审报告推荐的中标或者成交候选人名单排序，确定下一候选人为中标供应商，也可以重新开展政府采购活动。</w:t>
      </w:r>
    </w:p>
    <w:p>
      <w:pPr>
        <w:pStyle w:val="111"/>
        <w:snapToGrid w:val="0"/>
        <w:spacing w:before="0"/>
        <w:ind w:firstLine="48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25.5采购合同由采购人与中标供应商根据</w:t>
      </w:r>
      <w:r>
        <w:rPr>
          <w:rFonts w:hint="eastAsia" w:ascii="仿宋" w:hAnsi="仿宋" w:eastAsia="仿宋" w:cs="仿宋_GB2312"/>
          <w:color w:val="auto"/>
          <w:kern w:val="0"/>
          <w:highlight w:val="none"/>
          <w:lang w:val="zh-CN"/>
        </w:rPr>
        <w:t>采购文件、投标文件等内容通过政府采购电子交易平台在线签订，自动备案。</w:t>
      </w:r>
    </w:p>
    <w:p>
      <w:pPr>
        <w:pStyle w:val="36"/>
        <w:snapToGrid w:val="0"/>
        <w:spacing w:line="360" w:lineRule="auto"/>
        <w:ind w:left="479" w:firstLine="482"/>
        <w:rPr>
          <w:rFonts w:ascii="仿宋" w:hAnsi="仿宋" w:eastAsia="仿宋" w:cs="仿宋_GB2312"/>
          <w:b/>
          <w:color w:val="auto"/>
          <w:highlight w:val="none"/>
        </w:rPr>
      </w:pPr>
    </w:p>
    <w:p>
      <w:pPr>
        <w:pStyle w:val="36"/>
        <w:snapToGrid w:val="0"/>
        <w:spacing w:line="360" w:lineRule="auto"/>
        <w:ind w:firstLine="0" w:firstLineChars="0"/>
        <w:rPr>
          <w:rFonts w:ascii="仿宋" w:hAnsi="仿宋" w:eastAsia="仿宋" w:cs="仿宋_GB2312"/>
          <w:b/>
          <w:color w:val="auto"/>
          <w:highlight w:val="none"/>
        </w:rPr>
      </w:pPr>
      <w:r>
        <w:rPr>
          <w:rFonts w:ascii="仿宋" w:hAnsi="仿宋" w:eastAsia="仿宋" w:cs="仿宋_GB2312"/>
          <w:b/>
          <w:color w:val="auto"/>
          <w:highlight w:val="none"/>
        </w:rPr>
        <w:t xml:space="preserve">26. </w:t>
      </w:r>
      <w:r>
        <w:rPr>
          <w:rFonts w:hint="eastAsia" w:ascii="仿宋" w:hAnsi="仿宋" w:eastAsia="仿宋" w:cs="仿宋_GB2312"/>
          <w:b/>
          <w:color w:val="auto"/>
          <w:highlight w:val="none"/>
        </w:rPr>
        <w:t>履约保证金</w:t>
      </w:r>
    </w:p>
    <w:p>
      <w:pPr>
        <w:tabs>
          <w:tab w:val="left" w:pos="0"/>
        </w:tabs>
        <w:spacing w:line="360" w:lineRule="auto"/>
        <w:ind w:firstLine="480" w:firstLineChars="200"/>
        <w:rPr>
          <w:rFonts w:ascii="仿宋" w:hAnsi="仿宋" w:eastAsia="仿宋"/>
          <w:b/>
          <w:color w:val="auto"/>
          <w:sz w:val="24"/>
          <w:highlight w:val="none"/>
        </w:rPr>
      </w:pPr>
      <w:r>
        <w:rPr>
          <w:rFonts w:hint="eastAsia" w:ascii="仿宋" w:hAnsi="仿宋" w:eastAsia="仿宋"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olor w:val="auto"/>
          <w:sz w:val="24"/>
          <w:highlight w:val="none"/>
        </w:rPr>
        <w:t>。履约保证金的数额不得超过政府采购合同金额的1.0</w:t>
      </w:r>
      <w:r>
        <w:rPr>
          <w:rFonts w:ascii="仿宋" w:hAnsi="仿宋" w:eastAsia="仿宋"/>
          <w:color w:val="auto"/>
          <w:sz w:val="24"/>
          <w:highlight w:val="none"/>
        </w:rPr>
        <w:t>%。</w:t>
      </w:r>
      <w:r>
        <w:rPr>
          <w:rFonts w:hint="eastAsia" w:ascii="仿宋" w:hAnsi="仿宋" w:eastAsia="仿宋"/>
          <w:color w:val="auto"/>
          <w:sz w:val="24"/>
          <w:highlight w:val="none"/>
        </w:rPr>
        <w:t>鼓励和支持供应商以银行、保险公司出具的保函形式提供履约保证金。</w:t>
      </w:r>
    </w:p>
    <w:p>
      <w:pPr>
        <w:tabs>
          <w:tab w:val="left" w:pos="0"/>
        </w:tabs>
        <w:spacing w:line="360" w:lineRule="auto"/>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ab/>
      </w:r>
      <w:r>
        <w:rPr>
          <w:rFonts w:hint="eastAsia" w:ascii="仿宋" w:hAnsi="仿宋" w:eastAsia="仿宋" w:cs="仿宋_GB2312"/>
          <w:color w:val="auto"/>
          <w:sz w:val="24"/>
          <w:szCs w:val="20"/>
          <w:highlight w:val="none"/>
        </w:rPr>
        <w:t>供应商可登录政采云平台-【金融服务】—【我的项目】—【已备案合同】以保函形式提供：</w:t>
      </w:r>
    </w:p>
    <w:p>
      <w:pPr>
        <w:numPr>
          <w:ilvl w:val="0"/>
          <w:numId w:val="16"/>
        </w:numPr>
        <w:tabs>
          <w:tab w:val="left" w:pos="0"/>
        </w:tabs>
        <w:spacing w:line="360" w:lineRule="auto"/>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供应商在合同列表选择需要投保的合同，点击[保函推荐]。</w:t>
      </w:r>
    </w:p>
    <w:p>
      <w:pPr>
        <w:numPr>
          <w:ilvl w:val="0"/>
          <w:numId w:val="16"/>
        </w:numPr>
        <w:tabs>
          <w:tab w:val="left" w:pos="0"/>
        </w:tabs>
        <w:spacing w:line="360" w:lineRule="auto"/>
        <w:ind w:left="0" w:firstLine="420" w:firstLineChars="175"/>
        <w:jc w:val="left"/>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在弹框里查看推荐的保函产品，供应商自行选择保函产品，点击[立即申请]。</w:t>
      </w:r>
    </w:p>
    <w:p>
      <w:pPr>
        <w:numPr>
          <w:ilvl w:val="0"/>
          <w:numId w:val="16"/>
        </w:numPr>
        <w:tabs>
          <w:tab w:val="left" w:pos="0"/>
        </w:tabs>
        <w:spacing w:line="360" w:lineRule="auto"/>
        <w:ind w:left="0" w:firstLine="420" w:firstLineChars="175"/>
        <w:jc w:val="left"/>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在弹框里填写保函申请信息。具体步骤：选择产品—填写供应商信息—选择中标项目—确认信息—等待保险/保函受理—确认保单—支付保费—成功出单。政采云金融专线400-903-9583。</w:t>
      </w:r>
    </w:p>
    <w:p>
      <w:pPr>
        <w:pStyle w:val="5"/>
        <w:jc w:val="both"/>
        <w:rPr>
          <w:rFonts w:hint="eastAsia" w:ascii="仿宋" w:hAnsi="仿宋" w:eastAsia="仿宋" w:cs="Times New Roman"/>
          <w:b/>
          <w:bCs/>
          <w:color w:val="auto"/>
          <w:kern w:val="44"/>
          <w:sz w:val="28"/>
          <w:szCs w:val="32"/>
          <w:highlight w:val="none"/>
          <w:lang w:val="zh-CN" w:eastAsia="zh-CN" w:bidi="ar-SA"/>
        </w:rPr>
      </w:pPr>
      <w:bookmarkStart w:id="156" w:name="_Toc17103"/>
      <w:bookmarkStart w:id="157" w:name="_Toc95312962"/>
      <w:bookmarkStart w:id="158" w:name="_Toc842681191"/>
      <w:bookmarkStart w:id="159" w:name="_Toc21125"/>
      <w:bookmarkStart w:id="160" w:name="_Toc17059"/>
      <w:bookmarkStart w:id="161" w:name="_Toc21878"/>
    </w:p>
    <w:p>
      <w:pPr>
        <w:pStyle w:val="5"/>
        <w:jc w:val="center"/>
        <w:rPr>
          <w:rFonts w:hint="eastAsia" w:ascii="仿宋" w:hAnsi="仿宋" w:eastAsia="仿宋" w:cs="Times New Roman"/>
          <w:b/>
          <w:bCs/>
          <w:color w:val="auto"/>
          <w:kern w:val="44"/>
          <w:sz w:val="28"/>
          <w:szCs w:val="32"/>
          <w:highlight w:val="none"/>
          <w:lang w:val="zh-CN" w:eastAsia="zh-CN" w:bidi="ar-SA"/>
        </w:rPr>
      </w:pPr>
      <w:r>
        <w:rPr>
          <w:rFonts w:hint="eastAsia" w:ascii="仿宋" w:hAnsi="仿宋" w:eastAsia="仿宋" w:cs="Times New Roman"/>
          <w:b/>
          <w:bCs/>
          <w:color w:val="auto"/>
          <w:kern w:val="44"/>
          <w:sz w:val="28"/>
          <w:szCs w:val="32"/>
          <w:highlight w:val="none"/>
          <w:lang w:val="zh-CN" w:eastAsia="zh-CN" w:bidi="ar-SA"/>
        </w:rPr>
        <w:t>八、电子交易活动的中止</w:t>
      </w:r>
      <w:bookmarkEnd w:id="156"/>
      <w:bookmarkEnd w:id="157"/>
      <w:bookmarkEnd w:id="158"/>
      <w:bookmarkEnd w:id="159"/>
      <w:bookmarkEnd w:id="160"/>
      <w:bookmarkEnd w:id="161"/>
    </w:p>
    <w:p>
      <w:pPr>
        <w:pStyle w:val="111"/>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color w:val="auto"/>
          <w:highlight w:val="none"/>
        </w:rPr>
        <w:t>2</w:t>
      </w:r>
      <w:r>
        <w:rPr>
          <w:rFonts w:ascii="仿宋" w:hAnsi="仿宋" w:eastAsia="仿宋" w:cs="仿宋_GB2312"/>
          <w:b/>
          <w:color w:val="auto"/>
          <w:szCs w:val="24"/>
          <w:highlight w:val="none"/>
        </w:rPr>
        <w:t xml:space="preserve">7. </w:t>
      </w:r>
      <w:r>
        <w:rPr>
          <w:rFonts w:hint="eastAsia" w:ascii="仿宋" w:hAnsi="仿宋" w:eastAsia="仿宋" w:cs="仿宋_GB2312"/>
          <w:b/>
          <w:color w:val="auto"/>
          <w:szCs w:val="24"/>
          <w:highlight w:val="none"/>
        </w:rPr>
        <w:t>电子交易活动的中止。</w:t>
      </w:r>
    </w:p>
    <w:p>
      <w:pPr>
        <w:pStyle w:val="111"/>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采购过程中出现以下情形，导致电子交易平台无法正常运行，或者无法保证电子交易的公平、公正和安全时，采购代理机构可中止电子交易活动：</w:t>
      </w:r>
    </w:p>
    <w:p>
      <w:pPr>
        <w:pStyle w:val="111"/>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 xml:space="preserve">27.1电子交易平台发生故障而无法登录访问的； </w:t>
      </w:r>
    </w:p>
    <w:p>
      <w:pPr>
        <w:pStyle w:val="111"/>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27.2电子交易平台应用或数据库出现错误，不能进行正常操作的；</w:t>
      </w:r>
    </w:p>
    <w:p>
      <w:pPr>
        <w:pStyle w:val="111"/>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27.3电子交易平台发现严重安全漏洞，有潜在泄密危险的；</w:t>
      </w:r>
    </w:p>
    <w:p>
      <w:pPr>
        <w:pStyle w:val="111"/>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 xml:space="preserve">27.4病毒发作导致不能进行正常操作的； </w:t>
      </w:r>
    </w:p>
    <w:p>
      <w:pPr>
        <w:pStyle w:val="111"/>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27.5其他无法保证电子交易的公平、公正和安全的情况。</w:t>
      </w:r>
    </w:p>
    <w:p>
      <w:pPr>
        <w:pStyle w:val="111"/>
        <w:snapToGrid w:val="0"/>
        <w:spacing w:before="0"/>
        <w:ind w:firstLine="482"/>
        <w:rPr>
          <w:rFonts w:ascii="仿宋" w:hAnsi="仿宋" w:eastAsia="仿宋" w:cs="仿宋_GB2312"/>
          <w:b/>
          <w:color w:val="auto"/>
          <w:sz w:val="36"/>
          <w:szCs w:val="36"/>
          <w:highlight w:val="none"/>
        </w:rPr>
      </w:pPr>
      <w:r>
        <w:rPr>
          <w:rFonts w:ascii="仿宋" w:hAnsi="仿宋" w:eastAsia="仿宋" w:cs="仿宋_GB2312"/>
          <w:b/>
          <w:bCs/>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bookmarkEnd w:id="38"/>
      <w:bookmarkEnd w:id="39"/>
      <w:bookmarkEnd w:id="143"/>
      <w:bookmarkStart w:id="162" w:name="_Toc15967"/>
      <w:bookmarkStart w:id="163" w:name="_Toc95312963"/>
      <w:bookmarkStart w:id="164" w:name="_Toc26111"/>
      <w:bookmarkStart w:id="165" w:name="第四部分"/>
      <w:r>
        <w:rPr>
          <w:rFonts w:hint="eastAsia" w:ascii="仿宋" w:hAnsi="仿宋" w:eastAsia="仿宋" w:cs="仿宋_GB2312"/>
          <w:b/>
          <w:color w:val="auto"/>
          <w:sz w:val="36"/>
          <w:szCs w:val="36"/>
          <w:highlight w:val="none"/>
        </w:rPr>
        <w:br w:type="page"/>
      </w:r>
    </w:p>
    <w:p>
      <w:pPr>
        <w:pStyle w:val="4"/>
        <w:jc w:val="center"/>
        <w:rPr>
          <w:rFonts w:ascii="仿宋" w:hAnsi="仿宋" w:eastAsia="仿宋"/>
          <w:color w:val="auto"/>
          <w:highlight w:val="none"/>
        </w:rPr>
        <w:sectPr>
          <w:pgSz w:w="11906" w:h="16838"/>
          <w:pgMar w:top="1440" w:right="1797" w:bottom="1440" w:left="1797" w:header="851" w:footer="992" w:gutter="0"/>
          <w:cols w:space="720" w:num="1"/>
          <w:docGrid w:linePitch="312" w:charSpace="0"/>
        </w:sectPr>
      </w:pPr>
      <w:bookmarkStart w:id="166" w:name="_Toc727"/>
      <w:bookmarkStart w:id="167" w:name="_Toc288125172"/>
      <w:bookmarkStart w:id="168" w:name="_Toc24825"/>
    </w:p>
    <w:p>
      <w:pPr>
        <w:pStyle w:val="4"/>
        <w:jc w:val="center"/>
        <w:rPr>
          <w:rFonts w:ascii="仿宋" w:hAnsi="仿宋" w:eastAsia="仿宋"/>
          <w:color w:val="auto"/>
          <w:highlight w:val="none"/>
        </w:rPr>
      </w:pPr>
      <w:r>
        <w:rPr>
          <w:rFonts w:hint="eastAsia" w:ascii="仿宋" w:hAnsi="仿宋" w:eastAsia="仿宋"/>
          <w:color w:val="auto"/>
          <w:highlight w:val="none"/>
        </w:rPr>
        <w:t>第三部分</w:t>
      </w:r>
      <w:r>
        <w:rPr>
          <w:rFonts w:ascii="仿宋" w:hAnsi="仿宋" w:eastAsia="仿宋"/>
          <w:color w:val="auto"/>
          <w:highlight w:val="none"/>
        </w:rPr>
        <w:t xml:space="preserve"> </w:t>
      </w:r>
      <w:r>
        <w:rPr>
          <w:rFonts w:hint="eastAsia" w:ascii="仿宋" w:hAnsi="仿宋" w:eastAsia="仿宋"/>
          <w:color w:val="auto"/>
          <w:highlight w:val="none"/>
        </w:rPr>
        <w:t>采购需求</w:t>
      </w:r>
      <w:bookmarkEnd w:id="162"/>
      <w:bookmarkEnd w:id="163"/>
      <w:bookmarkEnd w:id="164"/>
      <w:bookmarkEnd w:id="166"/>
      <w:bookmarkEnd w:id="167"/>
      <w:bookmarkEnd w:id="168"/>
    </w:p>
    <w:p>
      <w:pPr>
        <w:spacing w:before="75" w:line="360" w:lineRule="auto"/>
        <w:ind w:left="123"/>
        <w:rPr>
          <w:rFonts w:ascii="仿宋" w:hAnsi="仿宋" w:eastAsia="仿宋" w:cs="仿宋"/>
          <w:color w:val="auto"/>
          <w:sz w:val="24"/>
          <w:highlight w:val="none"/>
        </w:rPr>
      </w:pPr>
      <w:bookmarkStart w:id="169" w:name="_Toc508818254"/>
      <w:bookmarkStart w:id="170" w:name="_Toc5783"/>
      <w:bookmarkStart w:id="171" w:name="_Toc97219781"/>
      <w:bookmarkStart w:id="172" w:name="_Toc13818"/>
      <w:bookmarkStart w:id="173" w:name="_Toc95312971"/>
      <w:bookmarkStart w:id="174" w:name="_Toc20840"/>
      <w:bookmarkStart w:id="175" w:name="_Toc15073"/>
      <w:bookmarkStart w:id="176" w:name="_Toc670907605"/>
      <w:r>
        <w:rPr>
          <w:rFonts w:ascii="仿宋" w:hAnsi="仿宋" w:eastAsia="仿宋" w:cs="仿宋"/>
          <w:color w:val="auto"/>
          <w:spacing w:val="11"/>
          <w:position w:val="2"/>
          <w:sz w:val="24"/>
          <w:highlight w:val="none"/>
          <w14:textOutline w14:w="4356" w14:cap="sq" w14:cmpd="sng" w14:algn="ctr">
            <w14:solidFill>
              <w14:srgbClr w14:val="000000"/>
            </w14:solidFill>
            <w14:prstDash w14:val="solid"/>
            <w14:bevel/>
          </w14:textOutline>
        </w:rPr>
        <w:t>一</w:t>
      </w:r>
      <w:r>
        <w:rPr>
          <w:rFonts w:ascii="仿宋" w:hAnsi="仿宋" w:eastAsia="仿宋" w:cs="仿宋"/>
          <w:color w:val="auto"/>
          <w:spacing w:val="6"/>
          <w:position w:val="2"/>
          <w:sz w:val="24"/>
          <w:highlight w:val="none"/>
          <w14:textOutline w14:w="4356" w14:cap="sq" w14:cmpd="sng" w14:algn="ctr">
            <w14:solidFill>
              <w14:srgbClr w14:val="000000"/>
            </w14:solidFill>
            <w14:prstDash w14:val="solid"/>
            <w14:bevel/>
          </w14:textOutline>
        </w:rPr>
        <w:t>、项目主要概况</w:t>
      </w:r>
    </w:p>
    <w:p>
      <w:pPr>
        <w:spacing w:before="8" w:line="360" w:lineRule="auto"/>
        <w:ind w:firstLine="459"/>
        <w:rPr>
          <w:rFonts w:ascii="仿宋" w:hAnsi="仿宋" w:eastAsia="仿宋" w:cs="仿宋"/>
          <w:color w:val="auto"/>
          <w:sz w:val="24"/>
          <w:highlight w:val="none"/>
        </w:rPr>
      </w:pPr>
      <w:r>
        <w:rPr>
          <w:rFonts w:hint="eastAsia" w:ascii="仿宋" w:hAnsi="仿宋" w:eastAsia="仿宋" w:cs="仿宋"/>
          <w:color w:val="auto"/>
          <w:spacing w:val="5"/>
          <w:sz w:val="24"/>
          <w:highlight w:val="none"/>
        </w:rPr>
        <w:t>本项目为俞樾纪念馆的布展项目，讲述俞樾的临平故事，借助俞樾的视角再现旧时大临平的历史、人文、民俗、美食、美景等社会面，让游客认识俞樾、了解大临平当时的社会情况。</w:t>
      </w:r>
      <w:r>
        <w:rPr>
          <w:rFonts w:ascii="仿宋" w:hAnsi="仿宋" w:eastAsia="仿宋" w:cs="仿宋"/>
          <w:color w:val="auto"/>
          <w:spacing w:val="2"/>
          <w:sz w:val="24"/>
          <w:highlight w:val="none"/>
        </w:rPr>
        <w:t>供应商需完成</w:t>
      </w:r>
      <w:r>
        <w:rPr>
          <w:rFonts w:hint="eastAsia" w:ascii="仿宋" w:hAnsi="仿宋" w:eastAsia="仿宋" w:cs="仿宋"/>
          <w:color w:val="auto"/>
          <w:spacing w:val="8"/>
          <w:sz w:val="24"/>
          <w:highlight w:val="none"/>
        </w:rPr>
        <w:t>展陈布展大纲内容设计策划、展陈方案设计、</w:t>
      </w:r>
      <w:r>
        <w:rPr>
          <w:rFonts w:ascii="仿宋" w:hAnsi="仿宋" w:eastAsia="仿宋" w:cs="仿宋"/>
          <w:color w:val="auto"/>
          <w:spacing w:val="2"/>
          <w:sz w:val="24"/>
          <w:highlight w:val="none"/>
        </w:rPr>
        <w:t>深化设计、展厅</w:t>
      </w:r>
      <w:r>
        <w:rPr>
          <w:rFonts w:ascii="仿宋" w:hAnsi="仿宋" w:eastAsia="仿宋" w:cs="仿宋"/>
          <w:color w:val="auto"/>
          <w:spacing w:val="8"/>
          <w:sz w:val="24"/>
          <w:highlight w:val="none"/>
        </w:rPr>
        <w:t>布展</w:t>
      </w:r>
      <w:r>
        <w:rPr>
          <w:rFonts w:hint="eastAsia" w:ascii="仿宋" w:hAnsi="仿宋" w:eastAsia="仿宋" w:cs="仿宋"/>
          <w:color w:val="auto"/>
          <w:spacing w:val="8"/>
          <w:sz w:val="24"/>
          <w:highlight w:val="none"/>
        </w:rPr>
        <w:t>、</w:t>
      </w:r>
      <w:r>
        <w:rPr>
          <w:rFonts w:hint="eastAsia" w:ascii="仿宋" w:hAnsi="仿宋" w:eastAsia="仿宋" w:cs="仿宋"/>
          <w:color w:val="auto"/>
          <w:spacing w:val="9"/>
          <w:sz w:val="24"/>
          <w:highlight w:val="none"/>
        </w:rPr>
        <w:t>大门改造、门厅、走廊景观及户外附属用房局部改造设计制作</w:t>
      </w:r>
      <w:r>
        <w:rPr>
          <w:rFonts w:hint="eastAsia" w:ascii="仿宋" w:hAnsi="仿宋" w:eastAsia="仿宋" w:cs="仿宋"/>
          <w:color w:val="auto"/>
          <w:spacing w:val="8"/>
          <w:sz w:val="24"/>
          <w:highlight w:val="none"/>
        </w:rPr>
        <w:t>等</w:t>
      </w:r>
      <w:r>
        <w:rPr>
          <w:rFonts w:ascii="仿宋" w:hAnsi="仿宋" w:eastAsia="仿宋" w:cs="仿宋"/>
          <w:color w:val="auto"/>
          <w:spacing w:val="8"/>
          <w:sz w:val="24"/>
          <w:highlight w:val="none"/>
        </w:rPr>
        <w:t>服务。其中深化设计要求供应商充分解读展陈文案和初步方案设计，就</w:t>
      </w:r>
      <w:r>
        <w:rPr>
          <w:rFonts w:ascii="仿宋" w:hAnsi="仿宋" w:eastAsia="仿宋" w:cs="仿宋"/>
          <w:color w:val="auto"/>
          <w:spacing w:val="16"/>
          <w:sz w:val="24"/>
          <w:highlight w:val="none"/>
        </w:rPr>
        <w:t>展</w:t>
      </w:r>
      <w:r>
        <w:rPr>
          <w:rFonts w:ascii="仿宋" w:hAnsi="仿宋" w:eastAsia="仿宋" w:cs="仿宋"/>
          <w:color w:val="auto"/>
          <w:spacing w:val="12"/>
          <w:sz w:val="24"/>
          <w:highlight w:val="none"/>
        </w:rPr>
        <w:t>柜</w:t>
      </w:r>
      <w:r>
        <w:rPr>
          <w:rFonts w:hint="eastAsia" w:ascii="仿宋" w:hAnsi="仿宋" w:eastAsia="仿宋" w:cs="仿宋"/>
          <w:color w:val="auto"/>
          <w:spacing w:val="12"/>
          <w:sz w:val="24"/>
          <w:highlight w:val="none"/>
        </w:rPr>
        <w:t>展项、多媒体、雕塑</w:t>
      </w:r>
      <w:r>
        <w:rPr>
          <w:rFonts w:ascii="仿宋" w:hAnsi="仿宋" w:eastAsia="仿宋" w:cs="仿宋"/>
          <w:color w:val="auto"/>
          <w:spacing w:val="8"/>
          <w:sz w:val="24"/>
          <w:highlight w:val="none"/>
        </w:rPr>
        <w:t>、展板样式等内容进行设计深化和图纸绘制；布展服务包含但不限于各类展陈材料设备制作安</w:t>
      </w:r>
      <w:r>
        <w:rPr>
          <w:rFonts w:ascii="仿宋" w:hAnsi="仿宋" w:eastAsia="仿宋" w:cs="仿宋"/>
          <w:color w:val="auto"/>
          <w:spacing w:val="2"/>
          <w:sz w:val="24"/>
          <w:highlight w:val="none"/>
        </w:rPr>
        <w:t>装 (如展柜、展墙、展</w:t>
      </w:r>
      <w:r>
        <w:rPr>
          <w:rFonts w:ascii="仿宋" w:hAnsi="仿宋" w:eastAsia="仿宋" w:cs="仿宋"/>
          <w:color w:val="auto"/>
          <w:spacing w:val="1"/>
          <w:sz w:val="24"/>
          <w:highlight w:val="none"/>
        </w:rPr>
        <w:t>台、展架、展示说明牌、可拆装组合式展板、场景模型、沙盘等)、</w:t>
      </w:r>
      <w:r>
        <w:rPr>
          <w:rFonts w:ascii="仿宋" w:hAnsi="仿宋" w:eastAsia="仿宋" w:cs="仿宋"/>
          <w:color w:val="auto"/>
          <w:sz w:val="24"/>
          <w:highlight w:val="none"/>
        </w:rPr>
        <w:t xml:space="preserve"> </w:t>
      </w:r>
      <w:r>
        <w:rPr>
          <w:rFonts w:ascii="仿宋" w:hAnsi="仿宋" w:eastAsia="仿宋" w:cs="仿宋"/>
          <w:color w:val="auto"/>
          <w:spacing w:val="16"/>
          <w:sz w:val="24"/>
          <w:highlight w:val="none"/>
        </w:rPr>
        <w:t>智</w:t>
      </w:r>
      <w:r>
        <w:rPr>
          <w:rFonts w:ascii="仿宋" w:hAnsi="仿宋" w:eastAsia="仿宋" w:cs="仿宋"/>
          <w:color w:val="auto"/>
          <w:spacing w:val="9"/>
          <w:sz w:val="24"/>
          <w:highlight w:val="none"/>
        </w:rPr>
        <w:t>能</w:t>
      </w:r>
      <w:r>
        <w:rPr>
          <w:rFonts w:ascii="仿宋" w:hAnsi="仿宋" w:eastAsia="仿宋" w:cs="仿宋"/>
          <w:color w:val="auto"/>
          <w:spacing w:val="8"/>
          <w:sz w:val="24"/>
          <w:highlight w:val="none"/>
        </w:rPr>
        <w:t>互动体验设备采购及安装</w:t>
      </w:r>
      <w:r>
        <w:rPr>
          <w:rFonts w:ascii="仿宋" w:hAnsi="仿宋" w:eastAsia="仿宋" w:cs="仿宋"/>
          <w:color w:val="auto"/>
          <w:spacing w:val="3"/>
          <w:sz w:val="24"/>
          <w:highlight w:val="none"/>
        </w:rPr>
        <w:t>。</w:t>
      </w:r>
    </w:p>
    <w:p>
      <w:pPr>
        <w:spacing w:before="8" w:line="360" w:lineRule="auto"/>
        <w:ind w:firstLine="459"/>
        <w:rPr>
          <w:rFonts w:ascii="仿宋" w:hAnsi="仿宋" w:eastAsia="仿宋" w:cs="仿宋"/>
          <w:color w:val="auto"/>
          <w:spacing w:val="5"/>
          <w:sz w:val="24"/>
          <w:highlight w:val="none"/>
        </w:rPr>
      </w:pPr>
      <w:r>
        <w:rPr>
          <w:rFonts w:hint="eastAsia" w:ascii="仿宋" w:hAnsi="仿宋" w:eastAsia="仿宋" w:cs="仿宋"/>
          <w:color w:val="auto"/>
          <w:spacing w:val="5"/>
          <w:sz w:val="24"/>
          <w:highlight w:val="none"/>
        </w:rPr>
        <w:t>项目位置：布展场地位于桂芳桥社区缸甏弄2号、3号民居，包括临平北大街104-106号营业房（原奥康</w:t>
      </w:r>
      <w:r>
        <w:rPr>
          <w:rFonts w:hint="eastAsia" w:ascii="仿宋" w:hAnsi="仿宋" w:eastAsia="仿宋" w:cs="仿宋"/>
          <w:color w:val="auto"/>
          <w:spacing w:val="5"/>
          <w:sz w:val="24"/>
          <w:highlight w:val="none"/>
          <w:lang w:eastAsia="zh-CN"/>
        </w:rPr>
        <w:t>门店厅</w:t>
      </w:r>
      <w:r>
        <w:rPr>
          <w:rFonts w:hint="eastAsia" w:ascii="仿宋" w:hAnsi="仿宋" w:eastAsia="仿宋" w:cs="仿宋"/>
          <w:color w:val="auto"/>
          <w:spacing w:val="5"/>
          <w:sz w:val="24"/>
          <w:highlight w:val="none"/>
        </w:rPr>
        <w:t>），属于临平区历史建筑。建筑始建于清代，两层传统木结构建筑，合院式布局，平面呈“凹”字形，由正屋、南北两侧厢房和天井构成。整体占地面积约</w:t>
      </w:r>
      <w:r>
        <w:rPr>
          <w:rFonts w:hint="eastAsia" w:ascii="仿宋" w:hAnsi="仿宋" w:eastAsia="仿宋" w:cs="仿宋"/>
          <w:color w:val="auto"/>
          <w:spacing w:val="5"/>
          <w:sz w:val="24"/>
          <w:highlight w:val="none"/>
          <w:u w:val="single"/>
        </w:rPr>
        <w:t>865</w:t>
      </w:r>
      <w:r>
        <w:rPr>
          <w:rFonts w:hint="eastAsia" w:ascii="仿宋" w:hAnsi="仿宋" w:eastAsia="仿宋" w:cs="仿宋"/>
          <w:color w:val="auto"/>
          <w:spacing w:val="5"/>
          <w:sz w:val="24"/>
          <w:highlight w:val="none"/>
        </w:rPr>
        <w:t>m</w:t>
      </w:r>
      <w:r>
        <w:rPr>
          <w:rFonts w:ascii="Calibri" w:hAnsi="Calibri" w:eastAsia="仿宋" w:cs="Calibri"/>
          <w:color w:val="auto"/>
          <w:spacing w:val="5"/>
          <w:sz w:val="24"/>
          <w:highlight w:val="none"/>
        </w:rPr>
        <w:t>²</w:t>
      </w:r>
      <w:r>
        <w:rPr>
          <w:rFonts w:hint="eastAsia" w:ascii="Calibri" w:hAnsi="Calibri" w:eastAsia="仿宋" w:cs="Calibri"/>
          <w:color w:val="auto"/>
          <w:spacing w:val="5"/>
          <w:sz w:val="24"/>
          <w:highlight w:val="none"/>
        </w:rPr>
        <w:t>（包括走廊、连廊及房前屋后户外空间）</w:t>
      </w:r>
      <w:r>
        <w:rPr>
          <w:rFonts w:hint="eastAsia" w:ascii="仿宋" w:hAnsi="仿宋" w:eastAsia="仿宋" w:cs="仿宋"/>
          <w:color w:val="auto"/>
          <w:spacing w:val="5"/>
          <w:sz w:val="24"/>
          <w:highlight w:val="none"/>
        </w:rPr>
        <w:t>，建筑面积约</w:t>
      </w:r>
      <w:r>
        <w:rPr>
          <w:rFonts w:hint="eastAsia" w:ascii="仿宋" w:hAnsi="仿宋" w:eastAsia="仿宋" w:cs="仿宋"/>
          <w:color w:val="auto"/>
          <w:spacing w:val="5"/>
          <w:sz w:val="24"/>
          <w:highlight w:val="none"/>
          <w:u w:val="single"/>
        </w:rPr>
        <w:t>750</w:t>
      </w:r>
      <w:r>
        <w:rPr>
          <w:rFonts w:hint="eastAsia" w:ascii="仿宋" w:hAnsi="仿宋" w:eastAsia="仿宋" w:cs="仿宋"/>
          <w:color w:val="auto"/>
          <w:spacing w:val="5"/>
          <w:sz w:val="24"/>
          <w:highlight w:val="none"/>
        </w:rPr>
        <w:t>m</w:t>
      </w:r>
      <w:r>
        <w:rPr>
          <w:rFonts w:ascii="Calibri" w:hAnsi="Calibri" w:eastAsia="仿宋" w:cs="Calibri"/>
          <w:color w:val="auto"/>
          <w:spacing w:val="5"/>
          <w:sz w:val="24"/>
          <w:highlight w:val="none"/>
        </w:rPr>
        <w:t>²</w:t>
      </w:r>
      <w:r>
        <w:rPr>
          <w:rFonts w:hint="eastAsia" w:ascii="仿宋" w:hAnsi="仿宋" w:eastAsia="仿宋" w:cs="仿宋"/>
          <w:color w:val="auto"/>
          <w:spacing w:val="5"/>
          <w:sz w:val="24"/>
          <w:highlight w:val="none"/>
        </w:rPr>
        <w:t>，策展面积约</w:t>
      </w:r>
      <w:r>
        <w:rPr>
          <w:rFonts w:hint="eastAsia" w:ascii="仿宋" w:hAnsi="仿宋" w:eastAsia="仿宋" w:cs="仿宋"/>
          <w:color w:val="auto"/>
          <w:spacing w:val="5"/>
          <w:sz w:val="24"/>
          <w:highlight w:val="none"/>
          <w:u w:val="single"/>
        </w:rPr>
        <w:t>1200</w:t>
      </w:r>
      <w:r>
        <w:rPr>
          <w:rFonts w:hint="eastAsia" w:ascii="仿宋" w:hAnsi="仿宋" w:eastAsia="仿宋" w:cs="仿宋"/>
          <w:color w:val="auto"/>
          <w:spacing w:val="5"/>
          <w:sz w:val="24"/>
          <w:highlight w:val="none"/>
        </w:rPr>
        <w:t>m</w:t>
      </w:r>
      <w:r>
        <w:rPr>
          <w:rFonts w:ascii="Calibri" w:hAnsi="Calibri" w:eastAsia="仿宋" w:cs="Calibri"/>
          <w:color w:val="auto"/>
          <w:spacing w:val="5"/>
          <w:sz w:val="24"/>
          <w:highlight w:val="none"/>
        </w:rPr>
        <w:t>²</w:t>
      </w:r>
      <w:r>
        <w:rPr>
          <w:rFonts w:hint="eastAsia" w:ascii="仿宋" w:hAnsi="仿宋" w:eastAsia="仿宋" w:cs="仿宋"/>
          <w:color w:val="auto"/>
          <w:spacing w:val="5"/>
          <w:sz w:val="24"/>
          <w:highlight w:val="none"/>
        </w:rPr>
        <w:t>（包含户外局部景观改造及展览展示部分）。</w:t>
      </w:r>
    </w:p>
    <w:p>
      <w:pPr>
        <w:spacing w:line="360" w:lineRule="auto"/>
        <w:rPr>
          <w:rFonts w:ascii="仿宋" w:hAnsi="仿宋" w:eastAsia="仿宋" w:cs="仿宋"/>
          <w:color w:val="auto"/>
          <w:sz w:val="24"/>
          <w:highlight w:val="none"/>
        </w:rPr>
      </w:pPr>
      <w:r>
        <w:rPr>
          <w:rFonts w:ascii="仿宋" w:hAnsi="仿宋" w:eastAsia="仿宋" w:cs="仿宋"/>
          <w:color w:val="auto"/>
          <w:spacing w:val="8"/>
          <w:position w:val="2"/>
          <w:sz w:val="24"/>
          <w:highlight w:val="none"/>
          <w14:textOutline w14:w="4356" w14:cap="sq" w14:cmpd="sng" w14:algn="ctr">
            <w14:solidFill>
              <w14:srgbClr w14:val="000000"/>
            </w14:solidFill>
            <w14:prstDash w14:val="solid"/>
            <w14:bevel/>
          </w14:textOutline>
        </w:rPr>
        <w:t>二</w:t>
      </w:r>
      <w:r>
        <w:rPr>
          <w:rFonts w:ascii="仿宋" w:hAnsi="仿宋" w:eastAsia="仿宋" w:cs="仿宋"/>
          <w:color w:val="auto"/>
          <w:spacing w:val="6"/>
          <w:position w:val="2"/>
          <w:sz w:val="24"/>
          <w:highlight w:val="none"/>
          <w14:textOutline w14:w="4356" w14:cap="sq" w14:cmpd="sng" w14:algn="ctr">
            <w14:solidFill>
              <w14:srgbClr w14:val="000000"/>
            </w14:solidFill>
            <w14:prstDash w14:val="solid"/>
            <w14:bevel/>
          </w14:textOutline>
        </w:rPr>
        <w:t>、项目定位</w:t>
      </w:r>
    </w:p>
    <w:p>
      <w:pPr>
        <w:spacing w:before="139" w:line="360" w:lineRule="auto"/>
        <w:ind w:left="22" w:right="81" w:firstLine="400"/>
        <w:rPr>
          <w:rFonts w:ascii="仿宋" w:hAnsi="仿宋" w:eastAsia="仿宋" w:cs="仿宋"/>
          <w:color w:val="auto"/>
          <w:sz w:val="24"/>
          <w:highlight w:val="none"/>
        </w:rPr>
      </w:pPr>
      <w:r>
        <w:rPr>
          <w:rFonts w:ascii="仿宋" w:hAnsi="仿宋" w:eastAsia="仿宋" w:cs="仿宋"/>
          <w:color w:val="auto"/>
          <w:spacing w:val="12"/>
          <w:sz w:val="24"/>
          <w:highlight w:val="none"/>
        </w:rPr>
        <w:t>打造</w:t>
      </w:r>
      <w:r>
        <w:rPr>
          <w:rFonts w:ascii="仿宋" w:hAnsi="仿宋" w:eastAsia="仿宋" w:cs="仿宋"/>
          <w:color w:val="auto"/>
          <w:spacing w:val="10"/>
          <w:sz w:val="24"/>
          <w:highlight w:val="none"/>
        </w:rPr>
        <w:t>一</w:t>
      </w:r>
      <w:r>
        <w:rPr>
          <w:rFonts w:ascii="仿宋" w:hAnsi="仿宋" w:eastAsia="仿宋" w:cs="仿宋"/>
          <w:color w:val="auto"/>
          <w:spacing w:val="6"/>
          <w:sz w:val="24"/>
          <w:highlight w:val="none"/>
        </w:rPr>
        <w:t>个</w:t>
      </w:r>
      <w:r>
        <w:rPr>
          <w:rFonts w:hint="eastAsia" w:ascii="仿宋" w:hAnsi="仿宋" w:eastAsia="仿宋" w:cs="仿宋"/>
          <w:color w:val="auto"/>
          <w:spacing w:val="5"/>
          <w:sz w:val="24"/>
          <w:highlight w:val="none"/>
        </w:rPr>
        <w:t>集展览展示、悠闲娱乐、学习体验于一体的文化场所。</w:t>
      </w:r>
    </w:p>
    <w:p>
      <w:pPr>
        <w:spacing w:before="1" w:line="360" w:lineRule="auto"/>
        <w:rPr>
          <w:rFonts w:ascii="仿宋" w:hAnsi="仿宋" w:eastAsia="仿宋" w:cs="仿宋"/>
          <w:color w:val="auto"/>
          <w:sz w:val="24"/>
          <w:highlight w:val="none"/>
        </w:rPr>
      </w:pPr>
      <w:r>
        <w:rPr>
          <w:rFonts w:ascii="仿宋" w:hAnsi="仿宋" w:eastAsia="仿宋" w:cs="仿宋"/>
          <w:color w:val="auto"/>
          <w:spacing w:val="-16"/>
          <w:sz w:val="24"/>
          <w:highlight w:val="none"/>
          <w14:textOutline w14:w="4356" w14:cap="sq" w14:cmpd="sng" w14:algn="ctr">
            <w14:solidFill>
              <w14:srgbClr w14:val="000000"/>
            </w14:solidFill>
            <w14:prstDash w14:val="solid"/>
            <w14:bevel/>
          </w14:textOutline>
        </w:rPr>
        <w:t>三</w:t>
      </w:r>
      <w:r>
        <w:rPr>
          <w:rFonts w:ascii="仿宋" w:hAnsi="仿宋" w:eastAsia="仿宋" w:cs="仿宋"/>
          <w:color w:val="auto"/>
          <w:spacing w:val="-10"/>
          <w:sz w:val="24"/>
          <w:highlight w:val="none"/>
          <w14:textOutline w14:w="4356" w14:cap="sq" w14:cmpd="sng" w14:algn="ctr">
            <w14:solidFill>
              <w14:srgbClr w14:val="000000"/>
            </w14:solidFill>
            <w14:prstDash w14:val="solid"/>
            <w14:bevel/>
          </w14:textOutline>
        </w:rPr>
        <w:t>、</w:t>
      </w:r>
      <w:r>
        <w:rPr>
          <w:rFonts w:ascii="仿宋" w:hAnsi="仿宋" w:eastAsia="仿宋" w:cs="仿宋"/>
          <w:color w:val="auto"/>
          <w:spacing w:val="-10"/>
          <w:sz w:val="24"/>
          <w:highlight w:val="none"/>
        </w:rPr>
        <w:t xml:space="preserve"> </w:t>
      </w:r>
      <w:r>
        <w:rPr>
          <w:rFonts w:ascii="仿宋" w:hAnsi="仿宋" w:eastAsia="仿宋" w:cs="仿宋"/>
          <w:color w:val="auto"/>
          <w:spacing w:val="-10"/>
          <w:sz w:val="24"/>
          <w:highlight w:val="none"/>
          <w14:textOutline w14:w="4356" w14:cap="sq" w14:cmpd="sng" w14:algn="ctr">
            <w14:solidFill>
              <w14:srgbClr w14:val="000000"/>
            </w14:solidFill>
            <w14:prstDash w14:val="solid"/>
            <w14:bevel/>
          </w14:textOutline>
        </w:rPr>
        <w:t>内容定位</w:t>
      </w:r>
    </w:p>
    <w:p>
      <w:pPr>
        <w:spacing w:before="178" w:line="360" w:lineRule="auto"/>
        <w:ind w:left="4" w:right="81" w:firstLine="418"/>
        <w:rPr>
          <w:rFonts w:ascii="仿宋" w:hAnsi="仿宋" w:eastAsia="仿宋" w:cs="仿宋"/>
          <w:color w:val="auto"/>
          <w:sz w:val="24"/>
          <w:highlight w:val="none"/>
        </w:rPr>
      </w:pPr>
      <w:r>
        <w:rPr>
          <w:rFonts w:ascii="仿宋" w:hAnsi="仿宋" w:eastAsia="仿宋" w:cs="仿宋"/>
          <w:color w:val="auto"/>
          <w:spacing w:val="10"/>
          <w:sz w:val="24"/>
          <w:highlight w:val="none"/>
        </w:rPr>
        <w:t>更高层次的知识维度、更高标准的审美品位、更加开阔的国际视角、更加丰富的</w:t>
      </w:r>
      <w:r>
        <w:rPr>
          <w:rFonts w:ascii="仿宋" w:hAnsi="仿宋" w:eastAsia="仿宋" w:cs="仿宋"/>
          <w:color w:val="auto"/>
          <w:spacing w:val="3"/>
          <w:sz w:val="24"/>
          <w:highlight w:val="none"/>
        </w:rPr>
        <w:t>情</w:t>
      </w:r>
      <w:r>
        <w:rPr>
          <w:rFonts w:ascii="仿宋" w:hAnsi="仿宋" w:eastAsia="仿宋" w:cs="仿宋"/>
          <w:color w:val="auto"/>
          <w:sz w:val="24"/>
          <w:highlight w:val="none"/>
        </w:rPr>
        <w:t xml:space="preserve"> </w:t>
      </w:r>
      <w:r>
        <w:rPr>
          <w:rFonts w:ascii="仿宋" w:hAnsi="仿宋" w:eastAsia="仿宋" w:cs="仿宋"/>
          <w:color w:val="auto"/>
          <w:spacing w:val="8"/>
          <w:sz w:val="24"/>
          <w:highlight w:val="none"/>
        </w:rPr>
        <w:t>感表达、更加深度的沉浸式体验</w:t>
      </w:r>
      <w:r>
        <w:rPr>
          <w:rFonts w:ascii="仿宋" w:hAnsi="仿宋" w:eastAsia="仿宋" w:cs="仿宋"/>
          <w:color w:val="auto"/>
          <w:spacing w:val="7"/>
          <w:sz w:val="24"/>
          <w:highlight w:val="none"/>
        </w:rPr>
        <w:t>。</w:t>
      </w:r>
    </w:p>
    <w:p>
      <w:pPr>
        <w:spacing w:before="1" w:line="360" w:lineRule="auto"/>
        <w:rPr>
          <w:rFonts w:ascii="仿宋" w:hAnsi="仿宋" w:eastAsia="仿宋" w:cs="仿宋"/>
          <w:color w:val="auto"/>
          <w:sz w:val="24"/>
          <w:highlight w:val="none"/>
        </w:rPr>
      </w:pPr>
      <w:r>
        <w:rPr>
          <w:rFonts w:ascii="仿宋" w:hAnsi="仿宋" w:eastAsia="仿宋" w:cs="仿宋"/>
          <w:color w:val="auto"/>
          <w:spacing w:val="3"/>
          <w:sz w:val="24"/>
          <w:highlight w:val="none"/>
          <w14:textOutline w14:w="4356" w14:cap="sq" w14:cmpd="sng" w14:algn="ctr">
            <w14:solidFill>
              <w14:srgbClr w14:val="000000"/>
            </w14:solidFill>
            <w14:prstDash w14:val="solid"/>
            <w14:bevel/>
          </w14:textOutline>
        </w:rPr>
        <w:t>四、项目规模</w:t>
      </w:r>
    </w:p>
    <w:p>
      <w:pPr>
        <w:spacing w:before="167" w:line="360" w:lineRule="auto"/>
        <w:ind w:left="3" w:right="83" w:firstLine="417"/>
        <w:rPr>
          <w:rFonts w:ascii="仿宋" w:hAnsi="仿宋" w:eastAsia="仿宋" w:cs="仿宋"/>
          <w:color w:val="auto"/>
          <w:spacing w:val="6"/>
          <w:sz w:val="24"/>
          <w:highlight w:val="none"/>
        </w:rPr>
      </w:pPr>
      <w:r>
        <w:rPr>
          <w:rFonts w:hint="eastAsia" w:ascii="仿宋" w:hAnsi="仿宋" w:eastAsia="仿宋" w:cs="仿宋"/>
          <w:color w:val="auto"/>
          <w:spacing w:val="5"/>
          <w:sz w:val="24"/>
          <w:highlight w:val="none"/>
        </w:rPr>
        <w:t>策</w:t>
      </w:r>
      <w:r>
        <w:rPr>
          <w:rFonts w:ascii="仿宋" w:hAnsi="仿宋" w:eastAsia="仿宋" w:cs="仿宋"/>
          <w:color w:val="auto"/>
          <w:spacing w:val="5"/>
          <w:sz w:val="24"/>
          <w:highlight w:val="none"/>
        </w:rPr>
        <w:t>展</w:t>
      </w:r>
      <w:r>
        <w:rPr>
          <w:rFonts w:ascii="仿宋" w:hAnsi="仿宋" w:eastAsia="仿宋" w:cs="仿宋"/>
          <w:color w:val="auto"/>
          <w:spacing w:val="3"/>
          <w:sz w:val="24"/>
          <w:highlight w:val="none"/>
        </w:rPr>
        <w:t>面积约</w:t>
      </w:r>
      <w:r>
        <w:rPr>
          <w:rFonts w:hint="eastAsia" w:ascii="仿宋" w:hAnsi="仿宋" w:eastAsia="仿宋" w:cs="仿宋"/>
          <w:color w:val="auto"/>
          <w:spacing w:val="3"/>
          <w:sz w:val="24"/>
          <w:highlight w:val="none"/>
          <w:u w:val="single"/>
        </w:rPr>
        <w:t>1200</w:t>
      </w:r>
      <w:r>
        <w:rPr>
          <w:rFonts w:ascii="仿宋" w:hAnsi="仿宋" w:eastAsia="仿宋" w:cs="仿宋"/>
          <w:color w:val="auto"/>
          <w:spacing w:val="3"/>
          <w:sz w:val="24"/>
          <w:highlight w:val="none"/>
        </w:rPr>
        <w:t>平方米，</w:t>
      </w:r>
      <w:r>
        <w:rPr>
          <w:rFonts w:hint="eastAsia" w:ascii="仿宋" w:hAnsi="仿宋" w:eastAsia="仿宋" w:cs="仿宋"/>
          <w:color w:val="auto"/>
          <w:spacing w:val="3"/>
          <w:sz w:val="24"/>
          <w:highlight w:val="none"/>
        </w:rPr>
        <w:t>供应商</w:t>
      </w:r>
      <w:r>
        <w:rPr>
          <w:rFonts w:ascii="仿宋" w:hAnsi="仿宋" w:eastAsia="仿宋" w:cs="仿宋"/>
          <w:color w:val="auto"/>
          <w:spacing w:val="5"/>
          <w:sz w:val="24"/>
          <w:highlight w:val="none"/>
        </w:rPr>
        <w:t>需</w:t>
      </w:r>
      <w:r>
        <w:rPr>
          <w:rFonts w:hint="eastAsia" w:ascii="仿宋" w:hAnsi="仿宋" w:eastAsia="仿宋" w:cs="仿宋"/>
          <w:color w:val="auto"/>
          <w:spacing w:val="5"/>
          <w:sz w:val="24"/>
          <w:highlight w:val="none"/>
        </w:rPr>
        <w:t>依据业主对俞樾纪念馆项目的总体要求，</w:t>
      </w:r>
      <w:r>
        <w:rPr>
          <w:rFonts w:ascii="仿宋" w:hAnsi="仿宋" w:eastAsia="仿宋" w:cs="仿宋"/>
          <w:color w:val="auto"/>
          <w:spacing w:val="5"/>
          <w:sz w:val="24"/>
          <w:highlight w:val="none"/>
        </w:rPr>
        <w:t>完成</w:t>
      </w:r>
      <w:r>
        <w:rPr>
          <w:rFonts w:hint="eastAsia" w:ascii="仿宋" w:hAnsi="仿宋" w:eastAsia="仿宋" w:cs="仿宋"/>
          <w:color w:val="auto"/>
          <w:spacing w:val="5"/>
          <w:sz w:val="24"/>
          <w:highlight w:val="none"/>
        </w:rPr>
        <w:t>桂芳桥社区缸甏弄2号、3号民居楼包括临平北大街104-106号营业房（原奥康门</w:t>
      </w:r>
      <w:r>
        <w:rPr>
          <w:rFonts w:hint="eastAsia" w:ascii="仿宋" w:hAnsi="仿宋" w:eastAsia="仿宋" w:cs="仿宋"/>
          <w:color w:val="auto"/>
          <w:spacing w:val="5"/>
          <w:sz w:val="24"/>
          <w:highlight w:val="none"/>
          <w:lang w:eastAsia="zh-CN"/>
        </w:rPr>
        <w:t>店厅</w:t>
      </w:r>
      <w:r>
        <w:rPr>
          <w:rFonts w:hint="eastAsia" w:ascii="仿宋" w:hAnsi="仿宋" w:eastAsia="仿宋" w:cs="仿宋"/>
          <w:color w:val="auto"/>
          <w:spacing w:val="5"/>
          <w:sz w:val="24"/>
          <w:highlight w:val="none"/>
        </w:rPr>
        <w:t>）的策划设计</w:t>
      </w:r>
      <w:r>
        <w:rPr>
          <w:rFonts w:ascii="仿宋" w:hAnsi="仿宋" w:eastAsia="仿宋" w:cs="仿宋"/>
          <w:color w:val="auto"/>
          <w:spacing w:val="5"/>
          <w:sz w:val="24"/>
          <w:highlight w:val="none"/>
        </w:rPr>
        <w:t>与布展服务</w:t>
      </w:r>
      <w:r>
        <w:rPr>
          <w:rFonts w:hint="eastAsia" w:ascii="仿宋" w:hAnsi="仿宋" w:eastAsia="仿宋" w:cs="仿宋"/>
          <w:color w:val="auto"/>
          <w:spacing w:val="5"/>
          <w:sz w:val="24"/>
          <w:highlight w:val="none"/>
        </w:rPr>
        <w:t>，</w:t>
      </w:r>
      <w:r>
        <w:rPr>
          <w:rFonts w:hint="eastAsia" w:ascii="仿宋" w:hAnsi="仿宋" w:eastAsia="仿宋" w:cs="仿宋"/>
          <w:color w:val="auto"/>
          <w:spacing w:val="9"/>
          <w:sz w:val="24"/>
          <w:highlight w:val="none"/>
        </w:rPr>
        <w:t>大门改造、走廊景观及户外附属用房局部改造设计制作</w:t>
      </w:r>
      <w:r>
        <w:rPr>
          <w:rFonts w:ascii="仿宋" w:hAnsi="仿宋" w:eastAsia="仿宋" w:cs="仿宋"/>
          <w:color w:val="auto"/>
          <w:spacing w:val="6"/>
          <w:sz w:val="24"/>
          <w:highlight w:val="none"/>
        </w:rPr>
        <w:t>。</w:t>
      </w:r>
    </w:p>
    <w:p>
      <w:pPr>
        <w:spacing w:before="1" w:line="360" w:lineRule="auto"/>
        <w:rPr>
          <w:rFonts w:ascii="仿宋" w:hAnsi="仿宋" w:eastAsia="仿宋" w:cs="仿宋"/>
          <w:color w:val="auto"/>
          <w:spacing w:val="-16"/>
          <w:sz w:val="24"/>
          <w:highlight w:val="none"/>
          <w14:textOutline w14:w="4356" w14:cap="sq" w14:cmpd="sng" w14:algn="ctr">
            <w14:solidFill>
              <w14:srgbClr w14:val="000000"/>
            </w14:solidFill>
            <w14:prstDash w14:val="solid"/>
            <w14:bevel/>
          </w14:textOutline>
        </w:rPr>
      </w:pPr>
      <w:r>
        <w:rPr>
          <w:rFonts w:ascii="仿宋" w:hAnsi="仿宋" w:eastAsia="仿宋" w:cs="仿宋"/>
          <w:color w:val="auto"/>
          <w:spacing w:val="-16"/>
          <w:sz w:val="24"/>
          <w:highlight w:val="none"/>
          <w14:textOutline w14:w="4356" w14:cap="sq" w14:cmpd="sng" w14:algn="ctr">
            <w14:solidFill>
              <w14:srgbClr w14:val="000000"/>
            </w14:solidFill>
            <w14:prstDash w14:val="solid"/>
            <w14:bevel/>
          </w14:textOutline>
        </w:rPr>
        <w:t>五、</w:t>
      </w:r>
      <w:r>
        <w:rPr>
          <w:rFonts w:hint="eastAsia" w:ascii="仿宋" w:hAnsi="仿宋" w:eastAsia="仿宋" w:cs="仿宋"/>
          <w:color w:val="auto"/>
          <w:spacing w:val="-16"/>
          <w:sz w:val="24"/>
          <w:highlight w:val="none"/>
          <w14:textOutline w14:w="4356" w14:cap="sq" w14:cmpd="sng" w14:algn="ctr">
            <w14:solidFill>
              <w14:srgbClr w14:val="000000"/>
            </w14:solidFill>
            <w14:prstDash w14:val="solid"/>
            <w14:bevel/>
          </w14:textOutline>
        </w:rPr>
        <w:t>布展内容:(包括但不仅限于）</w:t>
      </w:r>
    </w:p>
    <w:p>
      <w:pPr>
        <w:spacing w:before="8" w:line="360" w:lineRule="auto"/>
        <w:ind w:firstLine="459"/>
        <w:rPr>
          <w:rFonts w:ascii="仿宋" w:hAnsi="仿宋" w:eastAsia="仿宋" w:cs="仿宋"/>
          <w:color w:val="auto"/>
          <w:spacing w:val="8"/>
          <w:sz w:val="24"/>
          <w:highlight w:val="none"/>
        </w:rPr>
      </w:pPr>
      <w:r>
        <w:rPr>
          <w:rFonts w:hint="eastAsia" w:ascii="仿宋" w:hAnsi="仿宋" w:eastAsia="仿宋" w:cs="仿宋"/>
          <w:color w:val="auto"/>
          <w:spacing w:val="8"/>
          <w:sz w:val="24"/>
          <w:highlight w:val="none"/>
        </w:rPr>
        <w:t>1、展陈布展大纲内容设计策划；</w:t>
      </w:r>
    </w:p>
    <w:p>
      <w:pPr>
        <w:spacing w:before="8" w:line="360" w:lineRule="auto"/>
        <w:ind w:firstLine="459"/>
        <w:rPr>
          <w:rFonts w:ascii="仿宋" w:hAnsi="仿宋" w:eastAsia="仿宋" w:cs="仿宋"/>
          <w:color w:val="auto"/>
          <w:spacing w:val="8"/>
          <w:sz w:val="24"/>
          <w:highlight w:val="none"/>
        </w:rPr>
      </w:pPr>
      <w:r>
        <w:rPr>
          <w:rFonts w:hint="eastAsia" w:ascii="仿宋" w:hAnsi="仿宋" w:eastAsia="仿宋" w:cs="仿宋"/>
          <w:color w:val="auto"/>
          <w:spacing w:val="8"/>
          <w:sz w:val="24"/>
          <w:highlight w:val="none"/>
        </w:rPr>
        <w:t>2、展览大纲内容资料的搜集整理；</w:t>
      </w:r>
    </w:p>
    <w:p>
      <w:pPr>
        <w:spacing w:before="8" w:line="360" w:lineRule="auto"/>
        <w:ind w:firstLine="459"/>
        <w:rPr>
          <w:rFonts w:ascii="仿宋" w:hAnsi="仿宋" w:eastAsia="仿宋" w:cs="仿宋"/>
          <w:color w:val="auto"/>
          <w:spacing w:val="8"/>
          <w:sz w:val="24"/>
          <w:highlight w:val="none"/>
        </w:rPr>
      </w:pPr>
      <w:r>
        <w:rPr>
          <w:rFonts w:hint="eastAsia" w:ascii="仿宋" w:hAnsi="仿宋" w:eastAsia="仿宋" w:cs="仿宋"/>
          <w:color w:val="auto"/>
          <w:spacing w:val="8"/>
          <w:sz w:val="24"/>
          <w:highlight w:val="none"/>
        </w:rPr>
        <w:t>3、纪念馆展馆的展陈效果方案设计、施工图等等；</w:t>
      </w:r>
    </w:p>
    <w:p>
      <w:pPr>
        <w:spacing w:before="8" w:line="360" w:lineRule="auto"/>
        <w:ind w:firstLine="459"/>
        <w:rPr>
          <w:rFonts w:ascii="仿宋" w:hAnsi="仿宋" w:eastAsia="仿宋" w:cs="仿宋"/>
          <w:color w:val="auto"/>
          <w:spacing w:val="8"/>
          <w:sz w:val="24"/>
          <w:highlight w:val="none"/>
        </w:rPr>
      </w:pPr>
      <w:r>
        <w:rPr>
          <w:rFonts w:hint="eastAsia" w:ascii="仿宋" w:hAnsi="仿宋" w:eastAsia="仿宋" w:cs="仿宋"/>
          <w:color w:val="auto"/>
          <w:spacing w:val="8"/>
          <w:sz w:val="24"/>
          <w:highlight w:val="none"/>
        </w:rPr>
        <w:t>4、布展内容的创意策划与平面美工设计、制作；</w:t>
      </w:r>
    </w:p>
    <w:p>
      <w:pPr>
        <w:spacing w:before="8" w:line="360" w:lineRule="auto"/>
        <w:ind w:firstLine="459"/>
        <w:rPr>
          <w:rFonts w:ascii="仿宋" w:hAnsi="仿宋" w:eastAsia="仿宋" w:cs="仿宋"/>
          <w:color w:val="auto"/>
          <w:spacing w:val="8"/>
          <w:sz w:val="24"/>
          <w:highlight w:val="none"/>
        </w:rPr>
      </w:pPr>
      <w:r>
        <w:rPr>
          <w:rFonts w:hint="eastAsia" w:ascii="仿宋" w:hAnsi="仿宋" w:eastAsia="仿宋" w:cs="仿宋"/>
          <w:color w:val="auto"/>
          <w:spacing w:val="8"/>
          <w:sz w:val="24"/>
          <w:highlight w:val="none"/>
        </w:rPr>
        <w:t>5、各展区所需的道具、场景、沙盘等装置的策划、设计、制作；</w:t>
      </w:r>
    </w:p>
    <w:p>
      <w:pPr>
        <w:spacing w:before="8" w:line="360" w:lineRule="auto"/>
        <w:ind w:firstLine="459"/>
        <w:rPr>
          <w:rFonts w:ascii="仿宋" w:hAnsi="仿宋" w:eastAsia="仿宋" w:cs="仿宋"/>
          <w:color w:val="auto"/>
          <w:spacing w:val="8"/>
          <w:sz w:val="24"/>
          <w:highlight w:val="none"/>
        </w:rPr>
      </w:pPr>
      <w:r>
        <w:rPr>
          <w:rFonts w:hint="eastAsia" w:ascii="仿宋" w:hAnsi="仿宋" w:eastAsia="仿宋" w:cs="仿宋"/>
          <w:color w:val="auto"/>
          <w:spacing w:val="8"/>
          <w:sz w:val="24"/>
          <w:highlight w:val="none"/>
        </w:rPr>
        <w:t>6、造型展板设计、布置；</w:t>
      </w:r>
    </w:p>
    <w:p>
      <w:pPr>
        <w:spacing w:before="8" w:line="360" w:lineRule="auto"/>
        <w:ind w:firstLine="459"/>
        <w:rPr>
          <w:rFonts w:ascii="仿宋" w:hAnsi="仿宋" w:eastAsia="仿宋" w:cs="仿宋"/>
          <w:color w:val="auto"/>
          <w:spacing w:val="8"/>
          <w:sz w:val="24"/>
          <w:highlight w:val="none"/>
        </w:rPr>
      </w:pPr>
      <w:r>
        <w:rPr>
          <w:rFonts w:hint="eastAsia" w:ascii="仿宋" w:hAnsi="仿宋" w:eastAsia="仿宋" w:cs="仿宋"/>
          <w:color w:val="auto"/>
          <w:spacing w:val="8"/>
          <w:sz w:val="24"/>
          <w:highlight w:val="none"/>
        </w:rPr>
        <w:t>7、多媒体展项的创意设计、互动软件开发和多媒体影片创意制作。</w:t>
      </w:r>
    </w:p>
    <w:p>
      <w:pPr>
        <w:pStyle w:val="34"/>
        <w:ind w:firstLine="512" w:firstLineChars="200"/>
        <w:rPr>
          <w:color w:val="auto"/>
          <w:highlight w:val="none"/>
          <w:lang w:val="en-US"/>
        </w:rPr>
      </w:pPr>
      <w:r>
        <w:rPr>
          <w:rFonts w:hint="eastAsia" w:ascii="仿宋" w:hAnsi="仿宋" w:eastAsia="仿宋" w:cs="仿宋"/>
          <w:color w:val="auto"/>
          <w:spacing w:val="8"/>
          <w:highlight w:val="none"/>
          <w:lang w:val="en-US"/>
        </w:rPr>
        <w:t>8、</w:t>
      </w:r>
      <w:r>
        <w:rPr>
          <w:rFonts w:hint="eastAsia" w:ascii="仿宋" w:hAnsi="仿宋" w:eastAsia="仿宋" w:cs="仿宋"/>
          <w:color w:val="auto"/>
          <w:spacing w:val="9"/>
          <w:highlight w:val="none"/>
        </w:rPr>
        <w:t>大门改造、走廊景观及户外附属用房局部改造设计制作</w:t>
      </w:r>
    </w:p>
    <w:p>
      <w:pPr>
        <w:spacing w:before="1" w:line="360" w:lineRule="auto"/>
        <w:ind w:left="426"/>
        <w:rPr>
          <w:rFonts w:ascii="仿宋" w:hAnsi="仿宋" w:eastAsia="仿宋" w:cs="仿宋"/>
          <w:color w:val="auto"/>
          <w:spacing w:val="-16"/>
          <w:sz w:val="24"/>
          <w:highlight w:val="none"/>
          <w14:textOutline w14:w="4356" w14:cap="sq" w14:cmpd="sng" w14:algn="ctr">
            <w14:solidFill>
              <w14:srgbClr w14:val="000000"/>
            </w14:solidFill>
            <w14:prstDash w14:val="solid"/>
            <w14:bevel/>
          </w14:textOutline>
        </w:rPr>
      </w:pPr>
    </w:p>
    <w:p>
      <w:pPr>
        <w:spacing w:before="1" w:line="360" w:lineRule="auto"/>
        <w:rPr>
          <w:rFonts w:ascii="仿宋" w:hAnsi="仿宋" w:eastAsia="仿宋" w:cs="仿宋"/>
          <w:color w:val="auto"/>
          <w:spacing w:val="-16"/>
          <w:sz w:val="24"/>
          <w:highlight w:val="none"/>
          <w14:textOutline w14:w="4356" w14:cap="sq" w14:cmpd="sng" w14:algn="ctr">
            <w14:solidFill>
              <w14:srgbClr w14:val="000000"/>
            </w14:solidFill>
            <w14:prstDash w14:val="solid"/>
            <w14:bevel/>
          </w14:textOutline>
        </w:rPr>
      </w:pPr>
      <w:r>
        <w:rPr>
          <w:rFonts w:ascii="仿宋" w:hAnsi="仿宋" w:eastAsia="仿宋" w:cs="仿宋"/>
          <w:color w:val="auto"/>
          <w:spacing w:val="-16"/>
          <w:sz w:val="24"/>
          <w:highlight w:val="none"/>
          <w14:textOutline w14:w="4356" w14:cap="sq" w14:cmpd="sng" w14:algn="ctr">
            <w14:solidFill>
              <w14:srgbClr w14:val="000000"/>
            </w14:solidFill>
            <w14:prstDash w14:val="solid"/>
            <w14:bevel/>
          </w14:textOutline>
        </w:rPr>
        <w:t>六、本项目的</w:t>
      </w:r>
      <w:r>
        <w:rPr>
          <w:rFonts w:hint="eastAsia" w:ascii="仿宋" w:hAnsi="仿宋" w:eastAsia="仿宋" w:cs="仿宋"/>
          <w:color w:val="auto"/>
          <w:spacing w:val="-16"/>
          <w:sz w:val="24"/>
          <w:highlight w:val="none"/>
          <w14:textOutline w14:w="4356" w14:cap="sq" w14:cmpd="sng" w14:algn="ctr">
            <w14:solidFill>
              <w14:srgbClr w14:val="000000"/>
            </w14:solidFill>
            <w14:prstDash w14:val="solid"/>
            <w14:bevel/>
          </w14:textOutline>
        </w:rPr>
        <w:t>设计标准和规范</w:t>
      </w:r>
    </w:p>
    <w:p>
      <w:pPr>
        <w:spacing w:before="8" w:line="360" w:lineRule="auto"/>
        <w:ind w:firstLine="459"/>
        <w:rPr>
          <w:rFonts w:ascii="仿宋" w:hAnsi="仿宋" w:eastAsia="仿宋" w:cs="仿宋"/>
          <w:color w:val="auto"/>
          <w:spacing w:val="8"/>
          <w:sz w:val="24"/>
          <w:highlight w:val="none"/>
        </w:rPr>
      </w:pPr>
      <w:r>
        <w:rPr>
          <w:rFonts w:hint="eastAsia" w:ascii="仿宋" w:hAnsi="仿宋" w:eastAsia="仿宋" w:cs="仿宋"/>
          <w:color w:val="auto"/>
          <w:spacing w:val="8"/>
          <w:sz w:val="24"/>
          <w:highlight w:val="none"/>
        </w:rPr>
        <w:t>标准及规范需达到以下现行版的中华人民共和国有关法规的要求，如下列标准及规范要求与标书要求有出入则以较严格者为准。</w:t>
      </w:r>
    </w:p>
    <w:p>
      <w:pPr>
        <w:spacing w:before="8" w:line="360" w:lineRule="auto"/>
        <w:ind w:firstLine="459"/>
        <w:rPr>
          <w:rFonts w:ascii="仿宋" w:hAnsi="仿宋" w:eastAsia="仿宋" w:cs="仿宋"/>
          <w:color w:val="auto"/>
          <w:spacing w:val="8"/>
          <w:sz w:val="24"/>
          <w:highlight w:val="none"/>
        </w:rPr>
      </w:pPr>
      <w:r>
        <w:rPr>
          <w:rFonts w:hint="eastAsia" w:ascii="仿宋" w:hAnsi="仿宋" w:eastAsia="仿宋" w:cs="仿宋"/>
          <w:color w:val="auto"/>
          <w:spacing w:val="8"/>
          <w:sz w:val="24"/>
          <w:highlight w:val="none"/>
        </w:rPr>
        <w:t xml:space="preserve">《展览展示工程服务基本要求》 </w:t>
      </w:r>
    </w:p>
    <w:p>
      <w:pPr>
        <w:spacing w:before="8" w:line="360" w:lineRule="auto"/>
        <w:ind w:firstLine="459"/>
        <w:rPr>
          <w:rFonts w:ascii="仿宋" w:hAnsi="仿宋" w:eastAsia="仿宋" w:cs="仿宋"/>
          <w:color w:val="auto"/>
          <w:spacing w:val="8"/>
          <w:sz w:val="24"/>
          <w:highlight w:val="none"/>
        </w:rPr>
      </w:pPr>
      <w:r>
        <w:rPr>
          <w:rFonts w:hint="eastAsia" w:ascii="仿宋" w:hAnsi="仿宋" w:eastAsia="仿宋" w:cs="仿宋"/>
          <w:color w:val="auto"/>
          <w:spacing w:val="8"/>
          <w:sz w:val="24"/>
          <w:highlight w:val="none"/>
        </w:rPr>
        <w:t>《建筑装修工程质量验收规范》（GB50210）</w:t>
      </w:r>
    </w:p>
    <w:p>
      <w:pPr>
        <w:spacing w:before="8" w:line="360" w:lineRule="auto"/>
        <w:ind w:firstLine="459"/>
        <w:rPr>
          <w:rFonts w:ascii="仿宋" w:hAnsi="仿宋" w:eastAsia="仿宋" w:cs="仿宋"/>
          <w:color w:val="auto"/>
          <w:spacing w:val="8"/>
          <w:sz w:val="24"/>
          <w:highlight w:val="none"/>
        </w:rPr>
      </w:pPr>
      <w:r>
        <w:rPr>
          <w:rFonts w:hint="eastAsia" w:ascii="仿宋" w:hAnsi="仿宋" w:eastAsia="仿宋" w:cs="仿宋"/>
          <w:color w:val="auto"/>
          <w:spacing w:val="8"/>
          <w:sz w:val="24"/>
          <w:highlight w:val="none"/>
        </w:rPr>
        <w:t xml:space="preserve"> 国家、地方其它有关规定</w:t>
      </w:r>
    </w:p>
    <w:p>
      <w:pPr>
        <w:spacing w:before="8" w:line="360" w:lineRule="auto"/>
        <w:ind w:firstLine="459"/>
        <w:jc w:val="left"/>
        <w:rPr>
          <w:rFonts w:ascii="仿宋" w:hAnsi="仿宋" w:eastAsia="仿宋" w:cs="仿宋"/>
          <w:color w:val="auto"/>
          <w:spacing w:val="8"/>
          <w:sz w:val="24"/>
          <w:highlight w:val="none"/>
        </w:rPr>
      </w:pPr>
      <w:r>
        <w:rPr>
          <w:rFonts w:hint="eastAsia" w:ascii="仿宋" w:hAnsi="仿宋" w:eastAsia="仿宋" w:cs="仿宋"/>
          <w:color w:val="auto"/>
          <w:spacing w:val="8"/>
          <w:sz w:val="24"/>
          <w:highlight w:val="none"/>
        </w:rPr>
        <w:t>若设计人使用的标准在本招标文件的规定外，则应明确说明用于替代的标准或使用规范，并提供所使用的标准。</w:t>
      </w:r>
    </w:p>
    <w:p>
      <w:pPr>
        <w:spacing w:before="8" w:line="360" w:lineRule="auto"/>
        <w:jc w:val="left"/>
        <w:rPr>
          <w:rFonts w:ascii="仿宋" w:hAnsi="仿宋" w:eastAsia="仿宋" w:cs="仿宋"/>
          <w:color w:val="auto"/>
          <w:sz w:val="24"/>
          <w:highlight w:val="none"/>
        </w:rPr>
      </w:pPr>
      <w:r>
        <w:rPr>
          <w:rFonts w:ascii="仿宋" w:hAnsi="仿宋" w:eastAsia="仿宋" w:cs="仿宋"/>
          <w:color w:val="auto"/>
          <w:spacing w:val="9"/>
          <w:sz w:val="24"/>
          <w:highlight w:val="none"/>
          <w14:textOutline w14:w="4356" w14:cap="sq" w14:cmpd="sng" w14:algn="ctr">
            <w14:solidFill>
              <w14:srgbClr w14:val="000000"/>
            </w14:solidFill>
            <w14:prstDash w14:val="solid"/>
            <w14:bevel/>
          </w14:textOutline>
        </w:rPr>
        <w:t>七、陈列布展团队要</w:t>
      </w:r>
      <w:r>
        <w:rPr>
          <w:rFonts w:ascii="仿宋" w:hAnsi="仿宋" w:eastAsia="仿宋" w:cs="仿宋"/>
          <w:color w:val="auto"/>
          <w:spacing w:val="7"/>
          <w:sz w:val="24"/>
          <w:highlight w:val="none"/>
          <w14:textOutline w14:w="4356" w14:cap="sq" w14:cmpd="sng" w14:algn="ctr">
            <w14:solidFill>
              <w14:srgbClr w14:val="000000"/>
            </w14:solidFill>
            <w14:prstDash w14:val="solid"/>
            <w14:bevel/>
          </w14:textOutline>
        </w:rPr>
        <w:t>求</w:t>
      </w:r>
      <w:r>
        <w:rPr>
          <w:rFonts w:hint="eastAsia" w:ascii="仿宋" w:hAnsi="仿宋" w:eastAsia="仿宋" w:cs="仿宋"/>
          <w:color w:val="auto"/>
          <w:spacing w:val="7"/>
          <w:sz w:val="24"/>
          <w:highlight w:val="none"/>
          <w14:textOutline w14:w="4356" w14:cap="sq" w14:cmpd="sng" w14:algn="ctr">
            <w14:solidFill>
              <w14:srgbClr w14:val="000000"/>
            </w14:solidFill>
            <w14:prstDash w14:val="solid"/>
            <w14:bevel/>
          </w14:textOutline>
        </w:rPr>
        <w:t>（如有）</w:t>
      </w:r>
    </w:p>
    <w:p>
      <w:pPr>
        <w:spacing w:before="167" w:line="360" w:lineRule="auto"/>
        <w:ind w:left="11" w:right="294" w:firstLine="479"/>
        <w:rPr>
          <w:rFonts w:ascii="仿宋" w:hAnsi="仿宋" w:eastAsia="仿宋" w:cs="仿宋"/>
          <w:color w:val="auto"/>
          <w:sz w:val="24"/>
          <w:highlight w:val="none"/>
        </w:rPr>
      </w:pPr>
      <w:r>
        <w:rPr>
          <w:rFonts w:ascii="仿宋" w:hAnsi="仿宋" w:eastAsia="仿宋" w:cs="宋体"/>
          <w:color w:val="auto"/>
          <w:spacing w:val="13"/>
          <w:sz w:val="24"/>
          <w:highlight w:val="none"/>
        </w:rPr>
        <w:t>1</w:t>
      </w:r>
      <w:r>
        <w:rPr>
          <w:rFonts w:ascii="仿宋" w:hAnsi="仿宋" w:eastAsia="仿宋" w:cs="仿宋"/>
          <w:color w:val="auto"/>
          <w:spacing w:val="9"/>
          <w:sz w:val="24"/>
          <w:highlight w:val="none"/>
        </w:rPr>
        <w:t>、</w:t>
      </w:r>
      <w:r>
        <w:rPr>
          <w:rFonts w:hint="eastAsia" w:ascii="仿宋" w:hAnsi="仿宋" w:eastAsia="仿宋" w:cs="宋体"/>
          <w:color w:val="auto"/>
          <w:sz w:val="24"/>
          <w:highlight w:val="none"/>
        </w:rPr>
        <w:t>项目负责人具有建筑工程专业贰级及以上建造师执业资格，同时具有</w:t>
      </w:r>
      <w:r>
        <w:rPr>
          <w:rFonts w:ascii="仿宋" w:hAnsi="仿宋" w:eastAsia="仿宋"/>
          <w:color w:val="auto"/>
          <w:sz w:val="24"/>
          <w:highlight w:val="none"/>
        </w:rPr>
        <w:t>“</w:t>
      </w:r>
      <w:r>
        <w:rPr>
          <w:rFonts w:hint="eastAsia" w:ascii="仿宋" w:hAnsi="仿宋" w:eastAsia="仿宋" w:cs="宋体"/>
          <w:color w:val="auto"/>
          <w:sz w:val="24"/>
          <w:highlight w:val="none"/>
        </w:rPr>
        <w:t>三类人员</w:t>
      </w:r>
      <w:r>
        <w:rPr>
          <w:rFonts w:ascii="仿宋" w:hAnsi="仿宋" w:eastAsia="仿宋"/>
          <w:color w:val="auto"/>
          <w:sz w:val="24"/>
          <w:highlight w:val="none"/>
        </w:rPr>
        <w:t>”</w:t>
      </w:r>
      <w:r>
        <w:rPr>
          <w:rFonts w:hint="eastAsia" w:ascii="仿宋" w:hAnsi="仿宋" w:eastAsia="仿宋"/>
          <w:color w:val="auto"/>
          <w:sz w:val="24"/>
          <w:highlight w:val="none"/>
        </w:rPr>
        <w:t>B</w:t>
      </w:r>
      <w:r>
        <w:rPr>
          <w:rFonts w:hint="eastAsia" w:ascii="仿宋" w:hAnsi="仿宋" w:eastAsia="仿宋" w:cs="宋体"/>
          <w:color w:val="auto"/>
          <w:sz w:val="24"/>
          <w:highlight w:val="none"/>
        </w:rPr>
        <w:t>类证书</w:t>
      </w:r>
      <w:r>
        <w:rPr>
          <w:rFonts w:ascii="仿宋" w:hAnsi="仿宋" w:eastAsia="仿宋" w:cs="仿宋"/>
          <w:color w:val="auto"/>
          <w:spacing w:val="7"/>
          <w:sz w:val="24"/>
          <w:highlight w:val="none"/>
        </w:rPr>
        <w:t>；</w:t>
      </w:r>
    </w:p>
    <w:p>
      <w:pPr>
        <w:spacing w:before="178" w:line="360" w:lineRule="auto"/>
        <w:ind w:firstLine="430"/>
        <w:rPr>
          <w:rFonts w:ascii="仿宋" w:hAnsi="仿宋" w:eastAsia="仿宋" w:cs="仿宋"/>
          <w:color w:val="auto"/>
          <w:spacing w:val="-2"/>
          <w:sz w:val="24"/>
          <w:highlight w:val="none"/>
        </w:rPr>
      </w:pPr>
      <w:r>
        <w:rPr>
          <w:rFonts w:ascii="仿宋" w:hAnsi="仿宋" w:eastAsia="仿宋" w:cs="宋体"/>
          <w:color w:val="auto"/>
          <w:spacing w:val="6"/>
          <w:sz w:val="24"/>
          <w:highlight w:val="none"/>
        </w:rPr>
        <w:t>2</w:t>
      </w:r>
      <w:r>
        <w:rPr>
          <w:rFonts w:ascii="仿宋" w:hAnsi="仿宋" w:eastAsia="仿宋" w:cs="仿宋"/>
          <w:color w:val="auto"/>
          <w:spacing w:val="6"/>
          <w:sz w:val="24"/>
          <w:highlight w:val="none"/>
        </w:rPr>
        <w:t>、</w:t>
      </w:r>
      <w:r>
        <w:rPr>
          <w:rFonts w:hint="eastAsia" w:ascii="仿宋" w:hAnsi="仿宋" w:eastAsia="仿宋" w:cs="宋体"/>
          <w:color w:val="auto"/>
          <w:sz w:val="24"/>
          <w:highlight w:val="none"/>
        </w:rPr>
        <w:t>展陈负责人具有工艺美术师中级及以上职称</w:t>
      </w:r>
      <w:r>
        <w:rPr>
          <w:rFonts w:hint="eastAsia" w:ascii="仿宋" w:hAnsi="仿宋" w:eastAsia="仿宋" w:cs="仿宋"/>
          <w:color w:val="auto"/>
          <w:spacing w:val="-2"/>
          <w:sz w:val="24"/>
          <w:highlight w:val="none"/>
        </w:rPr>
        <w:t>；</w:t>
      </w:r>
    </w:p>
    <w:p>
      <w:pPr>
        <w:pStyle w:val="34"/>
        <w:ind w:firstLine="480" w:firstLineChars="200"/>
        <w:rPr>
          <w:rFonts w:ascii="仿宋" w:hAnsi="仿宋" w:eastAsia="仿宋" w:cs="宋体"/>
          <w:color w:val="auto"/>
          <w:szCs w:val="24"/>
          <w:highlight w:val="none"/>
        </w:rPr>
      </w:pPr>
      <w:r>
        <w:rPr>
          <w:rFonts w:ascii="仿宋" w:hAnsi="仿宋" w:eastAsia="仿宋"/>
          <w:color w:val="auto"/>
          <w:szCs w:val="24"/>
          <w:highlight w:val="none"/>
        </w:rPr>
        <w:t>3</w:t>
      </w:r>
      <w:r>
        <w:rPr>
          <w:rFonts w:hint="eastAsia" w:ascii="仿宋" w:hAnsi="仿宋" w:eastAsia="仿宋"/>
          <w:color w:val="auto"/>
          <w:szCs w:val="24"/>
          <w:highlight w:val="none"/>
        </w:rPr>
        <w:t>、</w:t>
      </w:r>
      <w:r>
        <w:rPr>
          <w:rFonts w:hint="eastAsia" w:ascii="仿宋" w:hAnsi="仿宋" w:eastAsia="仿宋" w:cs="宋体"/>
          <w:color w:val="auto"/>
          <w:szCs w:val="24"/>
          <w:highlight w:val="none"/>
        </w:rPr>
        <w:t>设计负责人具有建筑设计或环境艺术设计相关专业中级及以上工程师职称；</w:t>
      </w:r>
    </w:p>
    <w:p>
      <w:pPr>
        <w:pStyle w:val="34"/>
        <w:ind w:firstLine="480" w:firstLineChars="200"/>
        <w:rPr>
          <w:rFonts w:ascii="仿宋" w:hAnsi="仿宋" w:eastAsia="仿宋"/>
          <w:color w:val="auto"/>
          <w:szCs w:val="24"/>
          <w:highlight w:val="none"/>
          <w:lang w:val="en-US"/>
        </w:rPr>
      </w:pPr>
      <w:r>
        <w:rPr>
          <w:rFonts w:ascii="仿宋" w:hAnsi="仿宋" w:eastAsia="仿宋" w:cs="宋体"/>
          <w:color w:val="auto"/>
          <w:szCs w:val="24"/>
          <w:highlight w:val="none"/>
        </w:rPr>
        <w:t>4</w:t>
      </w:r>
      <w:r>
        <w:rPr>
          <w:rFonts w:hint="eastAsia" w:ascii="仿宋" w:hAnsi="仿宋" w:eastAsia="仿宋" w:cs="宋体"/>
          <w:color w:val="auto"/>
          <w:szCs w:val="24"/>
          <w:highlight w:val="none"/>
        </w:rPr>
        <w:t>、施工负责人、技术负责人、现场管理人员都具有中级及以上工程师职称；</w:t>
      </w:r>
    </w:p>
    <w:p>
      <w:pPr>
        <w:spacing w:line="360" w:lineRule="auto"/>
        <w:ind w:firstLine="552" w:firstLineChars="200"/>
        <w:rPr>
          <w:rFonts w:ascii="仿宋" w:hAnsi="仿宋" w:eastAsia="仿宋" w:cs="仿宋"/>
          <w:b/>
          <w:bCs/>
          <w:color w:val="auto"/>
          <w:spacing w:val="9"/>
          <w:sz w:val="24"/>
          <w:highlight w:val="none"/>
        </w:rPr>
      </w:pPr>
      <w:r>
        <w:rPr>
          <w:rFonts w:ascii="仿宋" w:hAnsi="仿宋" w:eastAsia="仿宋" w:cs="宋体"/>
          <w:color w:val="auto"/>
          <w:spacing w:val="18"/>
          <w:sz w:val="24"/>
          <w:highlight w:val="none"/>
        </w:rPr>
        <w:t>5</w:t>
      </w:r>
      <w:r>
        <w:rPr>
          <w:rFonts w:ascii="仿宋" w:hAnsi="仿宋" w:eastAsia="仿宋" w:cs="仿宋"/>
          <w:color w:val="auto"/>
          <w:spacing w:val="16"/>
          <w:sz w:val="24"/>
          <w:highlight w:val="none"/>
        </w:rPr>
        <w:t>、</w:t>
      </w:r>
      <w:r>
        <w:rPr>
          <w:rFonts w:ascii="仿宋" w:hAnsi="仿宋" w:eastAsia="仿宋" w:cs="仿宋"/>
          <w:color w:val="auto"/>
          <w:spacing w:val="10"/>
          <w:sz w:val="24"/>
          <w:highlight w:val="none"/>
        </w:rPr>
        <w:t>供</w:t>
      </w:r>
      <w:r>
        <w:rPr>
          <w:rFonts w:ascii="仿宋" w:hAnsi="仿宋" w:eastAsia="仿宋" w:cs="仿宋"/>
          <w:color w:val="auto"/>
          <w:spacing w:val="9"/>
          <w:sz w:val="24"/>
          <w:highlight w:val="none"/>
        </w:rPr>
        <w:t>应商应组建有相关经验人员为核心的管理团队，管理团队人员数量应满足项</w:t>
      </w:r>
      <w:r>
        <w:rPr>
          <w:rFonts w:ascii="仿宋" w:hAnsi="仿宋" w:eastAsia="仿宋" w:cs="仿宋"/>
          <w:color w:val="auto"/>
          <w:spacing w:val="3"/>
          <w:sz w:val="24"/>
          <w:highlight w:val="none"/>
        </w:rPr>
        <w:t xml:space="preserve">目工期要求 (服务实施阶段需派驻人员不少于 </w:t>
      </w:r>
      <w:r>
        <w:rPr>
          <w:rFonts w:hint="eastAsia" w:ascii="仿宋" w:hAnsi="仿宋" w:eastAsia="仿宋" w:cs="宋体"/>
          <w:color w:val="auto"/>
          <w:spacing w:val="3"/>
          <w:sz w:val="24"/>
          <w:highlight w:val="none"/>
        </w:rPr>
        <w:t>7</w:t>
      </w:r>
      <w:r>
        <w:rPr>
          <w:rFonts w:ascii="仿宋" w:hAnsi="仿宋" w:eastAsia="仿宋" w:cs="仿宋"/>
          <w:color w:val="auto"/>
          <w:spacing w:val="3"/>
          <w:sz w:val="24"/>
          <w:highlight w:val="none"/>
        </w:rPr>
        <w:t xml:space="preserve">人，其中：项目负责人 </w:t>
      </w:r>
      <w:r>
        <w:rPr>
          <w:rFonts w:ascii="仿宋" w:hAnsi="仿宋" w:eastAsia="仿宋" w:cs="宋体"/>
          <w:color w:val="auto"/>
          <w:spacing w:val="3"/>
          <w:sz w:val="24"/>
          <w:highlight w:val="none"/>
        </w:rPr>
        <w:t xml:space="preserve">1 </w:t>
      </w:r>
      <w:r>
        <w:rPr>
          <w:rFonts w:ascii="仿宋" w:hAnsi="仿宋" w:eastAsia="仿宋" w:cs="仿宋"/>
          <w:color w:val="auto"/>
          <w:spacing w:val="3"/>
          <w:sz w:val="24"/>
          <w:highlight w:val="none"/>
        </w:rPr>
        <w:t>名，设计</w:t>
      </w:r>
      <w:r>
        <w:rPr>
          <w:rFonts w:ascii="仿宋" w:hAnsi="仿宋" w:eastAsia="仿宋" w:cs="仿宋"/>
          <w:color w:val="auto"/>
          <w:spacing w:val="2"/>
          <w:sz w:val="24"/>
          <w:highlight w:val="none"/>
        </w:rPr>
        <w:t>负</w:t>
      </w:r>
      <w:r>
        <w:rPr>
          <w:rFonts w:ascii="仿宋" w:hAnsi="仿宋" w:eastAsia="仿宋" w:cs="仿宋"/>
          <w:color w:val="auto"/>
          <w:sz w:val="24"/>
          <w:highlight w:val="none"/>
        </w:rPr>
        <w:t xml:space="preserve"> </w:t>
      </w:r>
      <w:r>
        <w:rPr>
          <w:rFonts w:ascii="仿宋" w:hAnsi="仿宋" w:eastAsia="仿宋" w:cs="仿宋"/>
          <w:color w:val="auto"/>
          <w:spacing w:val="-6"/>
          <w:sz w:val="24"/>
          <w:highlight w:val="none"/>
        </w:rPr>
        <w:t xml:space="preserve">责人 </w:t>
      </w:r>
      <w:r>
        <w:rPr>
          <w:rFonts w:ascii="仿宋" w:hAnsi="仿宋" w:eastAsia="仿宋" w:cs="宋体"/>
          <w:color w:val="auto"/>
          <w:spacing w:val="-6"/>
          <w:sz w:val="24"/>
          <w:highlight w:val="none"/>
        </w:rPr>
        <w:t xml:space="preserve">1 </w:t>
      </w:r>
      <w:r>
        <w:rPr>
          <w:rFonts w:ascii="仿宋" w:hAnsi="仿宋" w:eastAsia="仿宋" w:cs="仿宋"/>
          <w:color w:val="auto"/>
          <w:spacing w:val="-4"/>
          <w:sz w:val="24"/>
          <w:highlight w:val="none"/>
        </w:rPr>
        <w:t>人</w:t>
      </w:r>
      <w:r>
        <w:rPr>
          <w:rFonts w:ascii="仿宋" w:hAnsi="仿宋" w:eastAsia="仿宋" w:cs="仿宋"/>
          <w:color w:val="auto"/>
          <w:spacing w:val="-3"/>
          <w:sz w:val="24"/>
          <w:highlight w:val="none"/>
        </w:rPr>
        <w:t>，</w:t>
      </w:r>
      <w:r>
        <w:rPr>
          <w:rFonts w:hint="eastAsia" w:ascii="仿宋" w:hAnsi="仿宋" w:eastAsia="仿宋" w:cs="仿宋"/>
          <w:color w:val="auto"/>
          <w:spacing w:val="-3"/>
          <w:sz w:val="24"/>
          <w:highlight w:val="none"/>
        </w:rPr>
        <w:t>展陈负责人</w:t>
      </w:r>
      <w:r>
        <w:rPr>
          <w:rFonts w:ascii="仿宋" w:hAnsi="仿宋" w:eastAsia="仿宋" w:cs="仿宋"/>
          <w:color w:val="auto"/>
          <w:spacing w:val="-3"/>
          <w:sz w:val="24"/>
          <w:highlight w:val="none"/>
        </w:rPr>
        <w:t xml:space="preserve"> </w:t>
      </w:r>
      <w:r>
        <w:rPr>
          <w:rFonts w:ascii="仿宋" w:hAnsi="仿宋" w:eastAsia="仿宋" w:cs="宋体"/>
          <w:color w:val="auto"/>
          <w:spacing w:val="-3"/>
          <w:sz w:val="24"/>
          <w:highlight w:val="none"/>
        </w:rPr>
        <w:t xml:space="preserve">1 </w:t>
      </w:r>
      <w:r>
        <w:rPr>
          <w:rFonts w:ascii="仿宋" w:hAnsi="仿宋" w:eastAsia="仿宋" w:cs="仿宋"/>
          <w:color w:val="auto"/>
          <w:spacing w:val="-3"/>
          <w:sz w:val="24"/>
          <w:highlight w:val="none"/>
        </w:rPr>
        <w:t xml:space="preserve">人，安全员 </w:t>
      </w:r>
      <w:r>
        <w:rPr>
          <w:rFonts w:hint="eastAsia" w:ascii="仿宋" w:hAnsi="仿宋" w:eastAsia="仿宋" w:cs="宋体"/>
          <w:color w:val="auto"/>
          <w:spacing w:val="-3"/>
          <w:sz w:val="24"/>
          <w:highlight w:val="none"/>
        </w:rPr>
        <w:t>1</w:t>
      </w:r>
      <w:r>
        <w:rPr>
          <w:rFonts w:ascii="仿宋" w:hAnsi="仿宋" w:eastAsia="仿宋" w:cs="仿宋"/>
          <w:color w:val="auto"/>
          <w:spacing w:val="-3"/>
          <w:sz w:val="24"/>
          <w:highlight w:val="none"/>
        </w:rPr>
        <w:t>名，</w:t>
      </w:r>
      <w:r>
        <w:rPr>
          <w:rFonts w:hint="eastAsia" w:ascii="仿宋" w:hAnsi="仿宋" w:eastAsia="仿宋" w:cs="仿宋"/>
          <w:color w:val="auto"/>
          <w:spacing w:val="-3"/>
          <w:sz w:val="24"/>
          <w:highlight w:val="none"/>
        </w:rPr>
        <w:t>技术负责人</w:t>
      </w:r>
      <w:r>
        <w:rPr>
          <w:rFonts w:ascii="仿宋" w:hAnsi="仿宋" w:eastAsia="仿宋" w:cs="仿宋"/>
          <w:color w:val="auto"/>
          <w:spacing w:val="-3"/>
          <w:sz w:val="24"/>
          <w:highlight w:val="none"/>
        </w:rPr>
        <w:t xml:space="preserve"> </w:t>
      </w:r>
      <w:r>
        <w:rPr>
          <w:rFonts w:hint="eastAsia" w:ascii="仿宋" w:hAnsi="仿宋" w:eastAsia="仿宋" w:cs="宋体"/>
          <w:color w:val="auto"/>
          <w:spacing w:val="-3"/>
          <w:sz w:val="24"/>
          <w:highlight w:val="none"/>
        </w:rPr>
        <w:t>1</w:t>
      </w:r>
      <w:r>
        <w:rPr>
          <w:rFonts w:ascii="仿宋" w:hAnsi="仿宋" w:eastAsia="仿宋" w:cs="宋体"/>
          <w:color w:val="auto"/>
          <w:spacing w:val="-3"/>
          <w:sz w:val="24"/>
          <w:highlight w:val="none"/>
        </w:rPr>
        <w:t xml:space="preserve"> </w:t>
      </w:r>
      <w:r>
        <w:rPr>
          <w:rFonts w:ascii="仿宋" w:hAnsi="仿宋" w:eastAsia="仿宋" w:cs="仿宋"/>
          <w:color w:val="auto"/>
          <w:spacing w:val="-3"/>
          <w:sz w:val="24"/>
          <w:highlight w:val="none"/>
        </w:rPr>
        <w:t>名，</w:t>
      </w:r>
      <w:r>
        <w:rPr>
          <w:rFonts w:hint="eastAsia" w:ascii="仿宋" w:hAnsi="仿宋" w:eastAsia="仿宋" w:cs="仿宋"/>
          <w:color w:val="auto"/>
          <w:spacing w:val="-3"/>
          <w:sz w:val="24"/>
          <w:highlight w:val="none"/>
        </w:rPr>
        <w:t>现场</w:t>
      </w:r>
      <w:r>
        <w:rPr>
          <w:rFonts w:ascii="仿宋" w:hAnsi="仿宋" w:eastAsia="仿宋" w:cs="仿宋"/>
          <w:color w:val="auto"/>
          <w:spacing w:val="-3"/>
          <w:sz w:val="24"/>
          <w:highlight w:val="none"/>
        </w:rPr>
        <w:t xml:space="preserve">管理人员 </w:t>
      </w:r>
      <w:r>
        <w:rPr>
          <w:rFonts w:hint="eastAsia" w:ascii="仿宋" w:hAnsi="仿宋" w:eastAsia="仿宋" w:cs="宋体"/>
          <w:color w:val="auto"/>
          <w:spacing w:val="-3"/>
          <w:sz w:val="24"/>
          <w:highlight w:val="none"/>
        </w:rPr>
        <w:t>1</w:t>
      </w:r>
      <w:r>
        <w:rPr>
          <w:rFonts w:ascii="仿宋" w:hAnsi="仿宋" w:eastAsia="仿宋" w:cs="仿宋"/>
          <w:color w:val="auto"/>
          <w:spacing w:val="8"/>
          <w:sz w:val="24"/>
          <w:highlight w:val="none"/>
        </w:rPr>
        <w:t>名，</w:t>
      </w:r>
      <w:r>
        <w:rPr>
          <w:rFonts w:hint="eastAsia" w:ascii="仿宋" w:hAnsi="仿宋" w:eastAsia="仿宋" w:cs="仿宋"/>
          <w:color w:val="auto"/>
          <w:spacing w:val="8"/>
          <w:sz w:val="24"/>
          <w:highlight w:val="none"/>
        </w:rPr>
        <w:t>施工负责人</w:t>
      </w:r>
      <w:r>
        <w:rPr>
          <w:rFonts w:ascii="仿宋" w:hAnsi="仿宋" w:eastAsia="仿宋" w:cs="仿宋"/>
          <w:color w:val="auto"/>
          <w:spacing w:val="4"/>
          <w:sz w:val="24"/>
          <w:highlight w:val="none"/>
        </w:rPr>
        <w:t xml:space="preserve"> </w:t>
      </w:r>
      <w:r>
        <w:rPr>
          <w:rFonts w:hint="eastAsia" w:ascii="仿宋" w:hAnsi="仿宋" w:eastAsia="仿宋" w:cs="宋体"/>
          <w:color w:val="auto"/>
          <w:spacing w:val="4"/>
          <w:sz w:val="24"/>
          <w:highlight w:val="none"/>
        </w:rPr>
        <w:t>1</w:t>
      </w:r>
      <w:r>
        <w:rPr>
          <w:rFonts w:ascii="仿宋" w:hAnsi="仿宋" w:eastAsia="仿宋" w:cs="宋体"/>
          <w:color w:val="auto"/>
          <w:spacing w:val="4"/>
          <w:sz w:val="24"/>
          <w:highlight w:val="none"/>
        </w:rPr>
        <w:t xml:space="preserve"> </w:t>
      </w:r>
      <w:r>
        <w:rPr>
          <w:rFonts w:ascii="仿宋" w:hAnsi="仿宋" w:eastAsia="仿宋" w:cs="仿宋"/>
          <w:color w:val="auto"/>
          <w:spacing w:val="4"/>
          <w:sz w:val="24"/>
          <w:highlight w:val="none"/>
        </w:rPr>
        <w:t>名) ，需在开工前将管理团队相关人员资料报监理及采购人，</w:t>
      </w:r>
      <w:r>
        <w:rPr>
          <w:rFonts w:ascii="仿宋" w:hAnsi="仿宋" w:eastAsia="仿宋" w:cs="仿宋"/>
          <w:b/>
          <w:bCs/>
          <w:color w:val="auto"/>
          <w:spacing w:val="11"/>
          <w:sz w:val="24"/>
          <w:highlight w:val="none"/>
        </w:rPr>
        <w:t>后</w:t>
      </w:r>
      <w:r>
        <w:rPr>
          <w:rFonts w:ascii="仿宋" w:hAnsi="仿宋" w:eastAsia="仿宋" w:cs="仿宋"/>
          <w:b/>
          <w:bCs/>
          <w:color w:val="auto"/>
          <w:spacing w:val="9"/>
          <w:sz w:val="24"/>
          <w:highlight w:val="none"/>
        </w:rPr>
        <w:t>期不得随意变更管理团队内人员</w:t>
      </w:r>
      <w:r>
        <w:rPr>
          <w:rFonts w:hint="eastAsia" w:ascii="仿宋" w:hAnsi="仿宋" w:eastAsia="仿宋" w:cs="仿宋"/>
          <w:b/>
          <w:bCs/>
          <w:color w:val="auto"/>
          <w:spacing w:val="9"/>
          <w:sz w:val="24"/>
          <w:highlight w:val="none"/>
        </w:rPr>
        <w:t>，如未经同意随意变更人员，采购人有权拒绝支付合同款项，并解除合同</w:t>
      </w:r>
      <w:r>
        <w:rPr>
          <w:rFonts w:ascii="仿宋" w:hAnsi="仿宋" w:eastAsia="仿宋" w:cs="仿宋"/>
          <w:b/>
          <w:bCs/>
          <w:color w:val="auto"/>
          <w:spacing w:val="9"/>
          <w:sz w:val="24"/>
          <w:highlight w:val="none"/>
        </w:rPr>
        <w:t>。</w:t>
      </w:r>
    </w:p>
    <w:p>
      <w:pPr>
        <w:spacing w:line="360" w:lineRule="auto"/>
        <w:rPr>
          <w:rFonts w:ascii="仿宋" w:hAnsi="仿宋" w:eastAsia="仿宋" w:cs="仿宋"/>
          <w:color w:val="auto"/>
          <w:sz w:val="24"/>
          <w:highlight w:val="none"/>
        </w:rPr>
      </w:pPr>
      <w:r>
        <w:rPr>
          <w:rFonts w:ascii="仿宋" w:hAnsi="仿宋" w:eastAsia="仿宋" w:cs="仿宋"/>
          <w:color w:val="auto"/>
          <w:spacing w:val="3"/>
          <w:sz w:val="24"/>
          <w:highlight w:val="none"/>
          <w14:textOutline w14:w="4356" w14:cap="sq" w14:cmpd="sng" w14:algn="ctr">
            <w14:solidFill>
              <w14:srgbClr w14:val="000000"/>
            </w14:solidFill>
            <w14:prstDash w14:val="solid"/>
            <w14:bevel/>
          </w14:textOutline>
        </w:rPr>
        <w:t>八、服务时间</w:t>
      </w:r>
    </w:p>
    <w:p>
      <w:pPr>
        <w:spacing w:before="164" w:line="360" w:lineRule="auto"/>
        <w:ind w:left="499"/>
        <w:rPr>
          <w:rFonts w:ascii="仿宋" w:hAnsi="仿宋" w:eastAsia="仿宋" w:cs="仿宋"/>
          <w:color w:val="auto"/>
          <w:spacing w:val="8"/>
          <w:sz w:val="24"/>
          <w:highlight w:val="none"/>
        </w:rPr>
      </w:pPr>
      <w:r>
        <w:rPr>
          <w:rFonts w:hint="eastAsia" w:ascii="仿宋" w:hAnsi="仿宋" w:eastAsia="仿宋" w:cs="仿宋"/>
          <w:color w:val="auto"/>
          <w:spacing w:val="8"/>
          <w:sz w:val="24"/>
          <w:highlight w:val="none"/>
        </w:rPr>
        <w:t>1、服务期限：自合同签订后</w:t>
      </w:r>
      <w:r>
        <w:rPr>
          <w:rFonts w:ascii="仿宋" w:hAnsi="仿宋" w:eastAsia="仿宋" w:cs="仿宋"/>
          <w:color w:val="auto"/>
          <w:spacing w:val="8"/>
          <w:sz w:val="24"/>
          <w:highlight w:val="none"/>
        </w:rPr>
        <w:t>9</w:t>
      </w:r>
      <w:r>
        <w:rPr>
          <w:rFonts w:hint="eastAsia" w:ascii="仿宋" w:hAnsi="仿宋" w:eastAsia="仿宋" w:cs="仿宋"/>
          <w:color w:val="auto"/>
          <w:spacing w:val="8"/>
          <w:sz w:val="24"/>
          <w:highlight w:val="none"/>
        </w:rPr>
        <w:t>0日内(具体以合同签订为准)。</w:t>
      </w:r>
    </w:p>
    <w:p>
      <w:pPr>
        <w:spacing w:before="164" w:line="360" w:lineRule="auto"/>
        <w:ind w:left="499"/>
        <w:rPr>
          <w:rFonts w:ascii="仿宋" w:hAnsi="仿宋" w:eastAsia="仿宋" w:cs="仿宋"/>
          <w:color w:val="auto"/>
          <w:spacing w:val="8"/>
          <w:sz w:val="24"/>
          <w:highlight w:val="none"/>
        </w:rPr>
      </w:pPr>
      <w:r>
        <w:rPr>
          <w:rFonts w:hint="eastAsia" w:ascii="仿宋" w:hAnsi="仿宋" w:eastAsia="仿宋" w:cs="仿宋"/>
          <w:color w:val="auto"/>
          <w:spacing w:val="8"/>
          <w:sz w:val="24"/>
          <w:highlight w:val="none"/>
        </w:rPr>
        <w:t>1.1 总工期要求</w:t>
      </w:r>
    </w:p>
    <w:p>
      <w:pPr>
        <w:spacing w:before="164" w:line="360" w:lineRule="auto"/>
        <w:ind w:left="499"/>
        <w:rPr>
          <w:rFonts w:ascii="仿宋" w:hAnsi="仿宋" w:eastAsia="仿宋" w:cs="仿宋"/>
          <w:color w:val="auto"/>
          <w:spacing w:val="8"/>
          <w:sz w:val="24"/>
          <w:highlight w:val="none"/>
        </w:rPr>
      </w:pPr>
      <w:r>
        <w:rPr>
          <w:rFonts w:hint="eastAsia" w:ascii="仿宋" w:hAnsi="仿宋" w:eastAsia="仿宋" w:cs="仿宋"/>
          <w:color w:val="auto"/>
          <w:spacing w:val="8"/>
          <w:sz w:val="24"/>
          <w:highlight w:val="none"/>
        </w:rPr>
        <w:t>(1) 合同签订后10 日内，完成人员、材料、设备的进场等开工前准</w:t>
      </w:r>
    </w:p>
    <w:p>
      <w:pPr>
        <w:spacing w:before="164" w:line="360" w:lineRule="auto"/>
        <w:rPr>
          <w:rFonts w:ascii="仿宋" w:hAnsi="仿宋" w:eastAsia="仿宋" w:cs="仿宋"/>
          <w:color w:val="auto"/>
          <w:spacing w:val="8"/>
          <w:sz w:val="24"/>
          <w:highlight w:val="none"/>
        </w:rPr>
      </w:pPr>
      <w:r>
        <w:rPr>
          <w:rFonts w:hint="eastAsia" w:ascii="仿宋" w:hAnsi="仿宋" w:eastAsia="仿宋" w:cs="仿宋"/>
          <w:color w:val="auto"/>
          <w:spacing w:val="8"/>
          <w:sz w:val="24"/>
          <w:highlight w:val="none"/>
        </w:rPr>
        <w:t>备工作。</w:t>
      </w:r>
    </w:p>
    <w:p>
      <w:pPr>
        <w:spacing w:before="164" w:line="360" w:lineRule="auto"/>
        <w:ind w:left="499"/>
        <w:rPr>
          <w:rFonts w:ascii="仿宋" w:hAnsi="仿宋" w:eastAsia="仿宋" w:cs="仿宋"/>
          <w:color w:val="auto"/>
          <w:spacing w:val="8"/>
          <w:sz w:val="24"/>
          <w:highlight w:val="none"/>
        </w:rPr>
      </w:pPr>
      <w:r>
        <w:rPr>
          <w:rFonts w:hint="eastAsia" w:ascii="仿宋" w:hAnsi="仿宋" w:eastAsia="仿宋" w:cs="仿宋"/>
          <w:color w:val="auto"/>
          <w:spacing w:val="8"/>
          <w:sz w:val="24"/>
          <w:highlight w:val="none"/>
        </w:rPr>
        <w:t>(2) 合同签订后15 日内，完成展厅布展工作的深化设计工作，并交采</w:t>
      </w:r>
    </w:p>
    <w:p>
      <w:pPr>
        <w:spacing w:before="164" w:line="360" w:lineRule="auto"/>
        <w:rPr>
          <w:rFonts w:ascii="仿宋" w:hAnsi="仿宋" w:eastAsia="仿宋" w:cs="仿宋"/>
          <w:color w:val="auto"/>
          <w:spacing w:val="8"/>
          <w:sz w:val="24"/>
          <w:highlight w:val="none"/>
        </w:rPr>
      </w:pPr>
      <w:r>
        <w:rPr>
          <w:rFonts w:hint="eastAsia" w:ascii="仿宋" w:hAnsi="仿宋" w:eastAsia="仿宋" w:cs="仿宋"/>
          <w:color w:val="auto"/>
          <w:spacing w:val="8"/>
          <w:sz w:val="24"/>
          <w:highlight w:val="none"/>
        </w:rPr>
        <w:t>购人及方案设计单位确认。</w:t>
      </w:r>
    </w:p>
    <w:p>
      <w:pPr>
        <w:spacing w:before="164" w:line="360" w:lineRule="auto"/>
        <w:ind w:left="499"/>
        <w:rPr>
          <w:rFonts w:ascii="仿宋" w:hAnsi="仿宋" w:eastAsia="仿宋" w:cs="仿宋"/>
          <w:color w:val="auto"/>
          <w:spacing w:val="8"/>
          <w:sz w:val="24"/>
          <w:highlight w:val="none"/>
        </w:rPr>
      </w:pPr>
      <w:r>
        <w:rPr>
          <w:rFonts w:hint="eastAsia" w:ascii="仿宋" w:hAnsi="仿宋" w:eastAsia="仿宋" w:cs="仿宋"/>
          <w:color w:val="auto"/>
          <w:spacing w:val="8"/>
          <w:sz w:val="24"/>
          <w:highlight w:val="none"/>
        </w:rPr>
        <w:t>(3) 合同签订后</w:t>
      </w:r>
      <w:r>
        <w:rPr>
          <w:rFonts w:ascii="仿宋" w:hAnsi="仿宋" w:eastAsia="仿宋" w:cs="仿宋"/>
          <w:color w:val="auto"/>
          <w:spacing w:val="8"/>
          <w:sz w:val="24"/>
          <w:highlight w:val="none"/>
        </w:rPr>
        <w:t>9</w:t>
      </w:r>
      <w:r>
        <w:rPr>
          <w:rFonts w:hint="eastAsia" w:ascii="仿宋" w:hAnsi="仿宋" w:eastAsia="仿宋" w:cs="仿宋"/>
          <w:color w:val="auto"/>
          <w:spacing w:val="8"/>
          <w:sz w:val="24"/>
          <w:highlight w:val="none"/>
        </w:rPr>
        <w:t>0日内，完成展厅布展工作，初步达到试运营条件。</w:t>
      </w:r>
    </w:p>
    <w:p>
      <w:pPr>
        <w:spacing w:before="164" w:line="360" w:lineRule="auto"/>
        <w:rPr>
          <w:rFonts w:ascii="仿宋" w:hAnsi="仿宋" w:eastAsia="仿宋" w:cs="仿宋"/>
          <w:color w:val="auto"/>
          <w:spacing w:val="8"/>
          <w:sz w:val="24"/>
          <w:highlight w:val="none"/>
        </w:rPr>
      </w:pPr>
      <w:r>
        <w:rPr>
          <w:rFonts w:ascii="仿宋" w:hAnsi="仿宋" w:eastAsia="仿宋" w:cs="仿宋"/>
          <w:color w:val="auto"/>
          <w:spacing w:val="8"/>
          <w:sz w:val="24"/>
          <w:highlight w:val="none"/>
        </w:rPr>
        <w:t>试运营条件指：(1) 展品基本布设完成；(2) 多媒体播放内容基本调试完成；</w:t>
      </w:r>
      <w:r>
        <w:rPr>
          <w:rFonts w:hint="eastAsia" w:ascii="仿宋" w:hAnsi="仿宋" w:eastAsia="仿宋" w:cs="仿宋"/>
          <w:color w:val="auto"/>
          <w:spacing w:val="8"/>
          <w:sz w:val="24"/>
          <w:highlight w:val="none"/>
        </w:rPr>
        <w:t>（3）</w:t>
      </w:r>
      <w:r>
        <w:rPr>
          <w:rFonts w:ascii="仿宋" w:hAnsi="仿宋" w:eastAsia="仿宋" w:cs="仿宋"/>
          <w:color w:val="auto"/>
          <w:spacing w:val="8"/>
          <w:sz w:val="24"/>
          <w:highlight w:val="none"/>
        </w:rPr>
        <w:t>灯光效果调试基本完成；(4) 运营团队人员基本到岗，可以开展服务工作。</w:t>
      </w:r>
    </w:p>
    <w:p>
      <w:pPr>
        <w:spacing w:before="164" w:line="360" w:lineRule="auto"/>
        <w:ind w:left="499"/>
        <w:rPr>
          <w:rFonts w:ascii="仿宋" w:hAnsi="仿宋" w:eastAsia="仿宋" w:cs="仿宋"/>
          <w:color w:val="auto"/>
          <w:spacing w:val="8"/>
          <w:sz w:val="24"/>
          <w:highlight w:val="none"/>
        </w:rPr>
      </w:pPr>
      <w:r>
        <w:rPr>
          <w:rFonts w:ascii="仿宋" w:hAnsi="仿宋" w:eastAsia="仿宋" w:cs="仿宋"/>
          <w:color w:val="auto"/>
          <w:spacing w:val="8"/>
          <w:sz w:val="24"/>
          <w:highlight w:val="none"/>
        </w:rPr>
        <w:t>2、除陈列布展外，服务供应商还应全程参与展厅联调联试，并在开馆</w:t>
      </w:r>
    </w:p>
    <w:p>
      <w:pPr>
        <w:spacing w:before="164" w:line="360" w:lineRule="auto"/>
        <w:rPr>
          <w:rFonts w:ascii="仿宋" w:hAnsi="仿宋" w:eastAsia="仿宋" w:cs="仿宋"/>
          <w:color w:val="auto"/>
          <w:spacing w:val="8"/>
          <w:sz w:val="24"/>
          <w:highlight w:val="none"/>
        </w:rPr>
      </w:pPr>
      <w:r>
        <w:rPr>
          <w:rFonts w:ascii="仿宋" w:hAnsi="仿宋" w:eastAsia="仿宋" w:cs="仿宋"/>
          <w:color w:val="auto"/>
          <w:spacing w:val="8"/>
          <w:sz w:val="24"/>
          <w:highlight w:val="none"/>
        </w:rPr>
        <w:t>后安排 1-2 名 专职人员提供运维指导。(由于受疫情防控政策导致的可能产生的闭环管理费用，如住宿、就餐等费用，由供应商自行承担)</w:t>
      </w:r>
    </w:p>
    <w:p>
      <w:pPr>
        <w:spacing w:before="164" w:line="360" w:lineRule="auto"/>
        <w:ind w:left="499"/>
        <w:rPr>
          <w:rFonts w:ascii="仿宋" w:hAnsi="仿宋" w:eastAsia="仿宋" w:cs="仿宋"/>
          <w:color w:val="auto"/>
          <w:spacing w:val="8"/>
          <w:sz w:val="24"/>
          <w:highlight w:val="none"/>
        </w:rPr>
      </w:pPr>
      <w:r>
        <w:rPr>
          <w:rFonts w:ascii="仿宋" w:hAnsi="仿宋" w:eastAsia="仿宋" w:cs="仿宋"/>
          <w:color w:val="auto"/>
          <w:spacing w:val="8"/>
          <w:sz w:val="24"/>
          <w:highlight w:val="none"/>
        </w:rPr>
        <w:t>3、进度节点： 由</w:t>
      </w:r>
      <w:r>
        <w:rPr>
          <w:rFonts w:hint="eastAsia" w:ascii="仿宋" w:hAnsi="仿宋" w:eastAsia="仿宋" w:cs="仿宋"/>
          <w:color w:val="auto"/>
          <w:spacing w:val="8"/>
          <w:sz w:val="24"/>
          <w:highlight w:val="none"/>
        </w:rPr>
        <w:t>投标人</w:t>
      </w:r>
      <w:r>
        <w:rPr>
          <w:rFonts w:ascii="仿宋" w:hAnsi="仿宋" w:eastAsia="仿宋" w:cs="仿宋"/>
          <w:color w:val="auto"/>
          <w:spacing w:val="8"/>
          <w:sz w:val="24"/>
          <w:highlight w:val="none"/>
        </w:rPr>
        <w:t>在</w:t>
      </w:r>
      <w:r>
        <w:rPr>
          <w:rFonts w:hint="eastAsia" w:ascii="仿宋" w:hAnsi="仿宋" w:eastAsia="仿宋" w:cs="仿宋"/>
          <w:color w:val="auto"/>
          <w:spacing w:val="8"/>
          <w:sz w:val="24"/>
          <w:highlight w:val="none"/>
        </w:rPr>
        <w:t>投标</w:t>
      </w:r>
      <w:r>
        <w:rPr>
          <w:rFonts w:ascii="仿宋" w:hAnsi="仿宋" w:eastAsia="仿宋" w:cs="仿宋"/>
          <w:color w:val="auto"/>
          <w:spacing w:val="8"/>
          <w:sz w:val="24"/>
          <w:highlight w:val="none"/>
        </w:rPr>
        <w:t>文件中提供详细进度节点。</w:t>
      </w:r>
      <w:r>
        <w:rPr>
          <w:rFonts w:hint="eastAsia" w:ascii="仿宋" w:hAnsi="仿宋" w:eastAsia="仿宋" w:cs="仿宋"/>
          <w:color w:val="auto"/>
          <w:spacing w:val="8"/>
          <w:sz w:val="24"/>
          <w:highlight w:val="none"/>
        </w:rPr>
        <w:t>中标</w:t>
      </w:r>
      <w:r>
        <w:rPr>
          <w:rFonts w:ascii="仿宋" w:hAnsi="仿宋" w:eastAsia="仿宋" w:cs="仿宋"/>
          <w:color w:val="auto"/>
          <w:spacing w:val="8"/>
          <w:sz w:val="24"/>
          <w:highlight w:val="none"/>
        </w:rPr>
        <w:t>后进度</w:t>
      </w:r>
    </w:p>
    <w:p>
      <w:pPr>
        <w:spacing w:before="164" w:line="360" w:lineRule="auto"/>
        <w:rPr>
          <w:rFonts w:ascii="仿宋" w:hAnsi="仿宋" w:eastAsia="仿宋" w:cs="仿宋"/>
          <w:color w:val="auto"/>
          <w:spacing w:val="8"/>
          <w:sz w:val="24"/>
          <w:highlight w:val="none"/>
        </w:rPr>
      </w:pPr>
      <w:r>
        <w:rPr>
          <w:rFonts w:ascii="仿宋" w:hAnsi="仿宋" w:eastAsia="仿宋" w:cs="仿宋"/>
          <w:color w:val="auto"/>
          <w:spacing w:val="8"/>
          <w:sz w:val="24"/>
          <w:highlight w:val="none"/>
        </w:rPr>
        <w:t>节点与采购 人协商调整确认。</w:t>
      </w:r>
    </w:p>
    <w:p>
      <w:pPr>
        <w:keepNext/>
        <w:keepLines/>
        <w:tabs>
          <w:tab w:val="left" w:pos="706"/>
          <w:tab w:val="left" w:pos="1110"/>
        </w:tabs>
        <w:spacing w:line="360" w:lineRule="auto"/>
        <w:outlineLvl w:val="1"/>
        <w:rPr>
          <w:rFonts w:ascii="仿宋" w:hAnsi="仿宋" w:eastAsia="仿宋" w:cs="仿宋"/>
          <w:b/>
          <w:bCs/>
          <w:color w:val="auto"/>
          <w:sz w:val="24"/>
          <w:highlight w:val="none"/>
        </w:rPr>
      </w:pPr>
      <w:r>
        <w:rPr>
          <w:rFonts w:hint="eastAsia" w:ascii="仿宋" w:hAnsi="仿宋" w:eastAsia="仿宋" w:cs="仿宋"/>
          <w:b/>
          <w:bCs/>
          <w:color w:val="auto"/>
          <w:sz w:val="24"/>
          <w:highlight w:val="none"/>
        </w:rPr>
        <w:t>九、售后服务</w:t>
      </w:r>
      <w:bookmarkEnd w:id="169"/>
    </w:p>
    <w:p>
      <w:pPr>
        <w:numPr>
          <w:ilvl w:val="0"/>
          <w:numId w:val="17"/>
        </w:numPr>
        <w:tabs>
          <w:tab w:val="left" w:pos="0"/>
          <w:tab w:val="clear" w:pos="780"/>
        </w:tabs>
        <w:adjustRightInd/>
        <w:spacing w:line="360" w:lineRule="auto"/>
        <w:ind w:left="0" w:firstLine="480" w:firstLineChars="200"/>
        <w:jc w:val="left"/>
        <w:rPr>
          <w:rFonts w:ascii="仿宋" w:hAnsi="仿宋" w:eastAsia="仿宋" w:cs="仿宋"/>
          <w:color w:val="auto"/>
          <w:sz w:val="24"/>
          <w:highlight w:val="none"/>
        </w:rPr>
      </w:pPr>
      <w:bookmarkStart w:id="177" w:name="_Hlk120831121"/>
      <w:r>
        <w:rPr>
          <w:rFonts w:hint="eastAsia" w:ascii="仿宋" w:hAnsi="仿宋" w:eastAsia="仿宋" w:cs="仿宋"/>
          <w:color w:val="auto"/>
          <w:sz w:val="24"/>
          <w:highlight w:val="none"/>
        </w:rPr>
        <w:t>质保期：</w:t>
      </w:r>
      <w:r>
        <w:rPr>
          <w:rFonts w:hint="eastAsia" w:ascii="仿宋" w:hAnsi="仿宋" w:eastAsia="仿宋" w:cs="仿宋"/>
          <w:color w:val="auto"/>
          <w:sz w:val="24"/>
          <w:highlight w:val="none"/>
          <w:u w:val="single"/>
        </w:rPr>
        <w:t xml:space="preserve"> 1</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质保期内中标人提供7*24小时内响应的售后服务，提供足够的备品、备件和技术服务，若设备出现故障，接采购人通知后30分钟内响应，2小时到达现场，8小时内排除故障，如不能修复，须提供备品备件替换使用。</w:t>
      </w:r>
    </w:p>
    <w:p>
      <w:pPr>
        <w:numPr>
          <w:ilvl w:val="0"/>
          <w:numId w:val="17"/>
        </w:numPr>
        <w:tabs>
          <w:tab w:val="left" w:pos="0"/>
          <w:tab w:val="clear" w:pos="780"/>
        </w:tabs>
        <w:adjustRightInd/>
        <w:spacing w:line="360" w:lineRule="auto"/>
        <w:ind w:left="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当设备出现故障或不能满足需方要求时，中标人应按需方要求排除故障，直到需方满意为止。</w:t>
      </w:r>
    </w:p>
    <w:p>
      <w:pPr>
        <w:numPr>
          <w:ilvl w:val="0"/>
          <w:numId w:val="17"/>
        </w:numPr>
        <w:tabs>
          <w:tab w:val="left" w:pos="0"/>
          <w:tab w:val="clear" w:pos="780"/>
        </w:tabs>
        <w:adjustRightInd/>
        <w:spacing w:line="360" w:lineRule="auto"/>
        <w:ind w:left="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在质保期内，当设备需要维修或更换部件时，中标人应派有经验的工程师到现场进行技术支持。 </w:t>
      </w:r>
    </w:p>
    <w:p>
      <w:pPr>
        <w:numPr>
          <w:ilvl w:val="0"/>
          <w:numId w:val="17"/>
        </w:numPr>
        <w:tabs>
          <w:tab w:val="left" w:pos="0"/>
          <w:tab w:val="clear" w:pos="780"/>
        </w:tabs>
        <w:adjustRightInd/>
        <w:spacing w:line="360" w:lineRule="auto"/>
        <w:ind w:left="0" w:firstLine="480" w:firstLineChars="200"/>
        <w:jc w:val="left"/>
        <w:rPr>
          <w:rFonts w:ascii="仿宋" w:hAnsi="仿宋" w:eastAsia="仿宋" w:cs="仿宋"/>
          <w:snapToGrid w:val="0"/>
          <w:color w:val="auto"/>
          <w:sz w:val="24"/>
          <w:highlight w:val="none"/>
        </w:rPr>
      </w:pPr>
      <w:r>
        <w:rPr>
          <w:rFonts w:hint="eastAsia" w:ascii="仿宋" w:hAnsi="仿宋" w:eastAsia="仿宋" w:cs="仿宋"/>
          <w:color w:val="auto"/>
          <w:sz w:val="24"/>
          <w:highlight w:val="none"/>
        </w:rPr>
        <w:t>在</w:t>
      </w:r>
      <w:r>
        <w:rPr>
          <w:rFonts w:hint="eastAsia" w:ascii="仿宋" w:hAnsi="仿宋" w:eastAsia="仿宋" w:cs="仿宋"/>
          <w:color w:val="auto"/>
          <w:kern w:val="0"/>
          <w:sz w:val="24"/>
          <w:highlight w:val="none"/>
        </w:rPr>
        <w:t>质保期</w:t>
      </w:r>
      <w:r>
        <w:rPr>
          <w:rFonts w:hint="eastAsia" w:ascii="仿宋" w:hAnsi="仿宋" w:eastAsia="仿宋" w:cs="仿宋"/>
          <w:color w:val="auto"/>
          <w:sz w:val="24"/>
          <w:highlight w:val="none"/>
        </w:rPr>
        <w:t>内，中标人负责对需方提出的质量异议做出书面明确答复。确属质量问题时，中标人应及时采取应急措施且负责免费更换。并相应延长其保质期。</w:t>
      </w:r>
      <w:r>
        <w:rPr>
          <w:rFonts w:hint="eastAsia" w:ascii="仿宋" w:hAnsi="仿宋" w:eastAsia="仿宋" w:cs="仿宋"/>
          <w:snapToGrid w:val="0"/>
          <w:color w:val="auto"/>
          <w:sz w:val="24"/>
          <w:highlight w:val="none"/>
        </w:rPr>
        <w:t xml:space="preserve"> </w:t>
      </w:r>
    </w:p>
    <w:p>
      <w:pPr>
        <w:numPr>
          <w:ilvl w:val="0"/>
          <w:numId w:val="17"/>
        </w:numPr>
        <w:tabs>
          <w:tab w:val="left" w:pos="0"/>
          <w:tab w:val="clear" w:pos="780"/>
        </w:tabs>
        <w:adjustRightInd/>
        <w:spacing w:line="360" w:lineRule="auto"/>
        <w:ind w:left="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质保期内，中标人应确保所有零备件的供应。 </w:t>
      </w:r>
    </w:p>
    <w:bookmarkEnd w:id="170"/>
    <w:bookmarkEnd w:id="171"/>
    <w:bookmarkEnd w:id="177"/>
    <w:p>
      <w:pPr>
        <w:pStyle w:val="36"/>
        <w:spacing w:line="360" w:lineRule="auto"/>
        <w:ind w:firstLine="0" w:firstLineChars="0"/>
        <w:rPr>
          <w:rFonts w:ascii="仿宋" w:hAnsi="仿宋" w:eastAsia="仿宋" w:cs="仿宋"/>
          <w:b/>
          <w:bCs/>
          <w:color w:val="auto"/>
          <w:highlight w:val="none"/>
        </w:rPr>
      </w:pPr>
      <w:r>
        <w:rPr>
          <w:rFonts w:hint="eastAsia" w:ascii="仿宋" w:hAnsi="仿宋" w:eastAsia="仿宋" w:cs="仿宋"/>
          <w:b/>
          <w:bCs/>
          <w:color w:val="auto"/>
          <w:highlight w:val="none"/>
        </w:rPr>
        <w:t>十、项目审核、验收要求</w:t>
      </w:r>
    </w:p>
    <w:p>
      <w:pPr>
        <w:tabs>
          <w:tab w:val="left" w:pos="0"/>
        </w:tabs>
        <w:adjustRightInd/>
        <w:spacing w:line="360" w:lineRule="auto"/>
        <w:ind w:left="480"/>
        <w:jc w:val="left"/>
        <w:rPr>
          <w:rFonts w:ascii="仿宋" w:hAnsi="仿宋" w:eastAsia="仿宋" w:cs="仿宋"/>
          <w:color w:val="auto"/>
          <w:sz w:val="24"/>
          <w:highlight w:val="none"/>
        </w:rPr>
      </w:pPr>
      <w:bookmarkStart w:id="178" w:name="_Hlk120793075"/>
      <w:r>
        <w:rPr>
          <w:rFonts w:hint="eastAsia" w:ascii="仿宋" w:hAnsi="仿宋" w:eastAsia="仿宋" w:cs="仿宋"/>
          <w:color w:val="auto"/>
          <w:sz w:val="24"/>
          <w:highlight w:val="none"/>
        </w:rPr>
        <w:t>(1) 供应商提出验收申请后，采购人按照采购合同规定的技术、服务、标准以及 中标时的投标文件、本项目采购文件等要求，委托第三方对供应商履约情况进行验收， 供应商提请验收时需要提交的验收材料 (包括但不限于) ：验收申请表、材料 (设备) 合格证 (质保资料) 、最终版图纸、第三方检测机构出具的环境空气质量合格检测报告、 方案设计单位的效果监督服务报告、展厅试运行报告等。</w:t>
      </w:r>
    </w:p>
    <w:p>
      <w:pPr>
        <w:tabs>
          <w:tab w:val="left" w:pos="0"/>
        </w:tabs>
        <w:adjustRightInd/>
        <w:spacing w:line="360" w:lineRule="auto"/>
        <w:ind w:left="480"/>
        <w:jc w:val="left"/>
        <w:rPr>
          <w:rFonts w:ascii="仿宋" w:hAnsi="仿宋" w:eastAsia="仿宋" w:cs="仿宋"/>
          <w:color w:val="auto"/>
          <w:sz w:val="24"/>
          <w:highlight w:val="none"/>
        </w:rPr>
      </w:pPr>
      <w:r>
        <w:rPr>
          <w:rFonts w:hint="eastAsia" w:ascii="仿宋" w:hAnsi="仿宋" w:eastAsia="仿宋" w:cs="仿宋"/>
          <w:color w:val="auto"/>
          <w:sz w:val="24"/>
          <w:highlight w:val="none"/>
        </w:rPr>
        <w:t>(2) 验收流程：</w:t>
      </w:r>
    </w:p>
    <w:p>
      <w:pPr>
        <w:tabs>
          <w:tab w:val="left" w:pos="0"/>
        </w:tabs>
        <w:adjustRightInd/>
        <w:spacing w:line="360" w:lineRule="auto"/>
        <w:ind w:left="480"/>
        <w:jc w:val="left"/>
        <w:rPr>
          <w:rFonts w:ascii="仿宋" w:hAnsi="仿宋" w:eastAsia="仿宋" w:cs="仿宋"/>
          <w:color w:val="auto"/>
          <w:sz w:val="24"/>
          <w:highlight w:val="none"/>
        </w:rPr>
      </w:pPr>
      <w:r>
        <w:rPr>
          <w:rFonts w:hint="eastAsia" w:ascii="仿宋" w:hAnsi="仿宋" w:eastAsia="仿宋" w:cs="仿宋"/>
          <w:color w:val="auto"/>
          <w:sz w:val="24"/>
          <w:highlight w:val="none"/>
        </w:rPr>
        <w:t>①供应商完成合同要求的内容后，须向采购人发出验收申请。</w:t>
      </w:r>
    </w:p>
    <w:p>
      <w:pPr>
        <w:tabs>
          <w:tab w:val="left" w:pos="0"/>
        </w:tabs>
        <w:adjustRightInd/>
        <w:spacing w:line="360" w:lineRule="auto"/>
        <w:ind w:left="480"/>
        <w:jc w:val="left"/>
        <w:rPr>
          <w:rFonts w:ascii="仿宋" w:hAnsi="仿宋" w:eastAsia="仿宋" w:cs="仿宋"/>
          <w:color w:val="auto"/>
          <w:sz w:val="24"/>
          <w:highlight w:val="none"/>
        </w:rPr>
      </w:pPr>
      <w:r>
        <w:rPr>
          <w:rFonts w:hint="eastAsia" w:ascii="仿宋" w:hAnsi="仿宋" w:eastAsia="仿宋" w:cs="仿宋"/>
          <w:color w:val="auto"/>
          <w:sz w:val="24"/>
          <w:highlight w:val="none"/>
        </w:rPr>
        <w:t>②采购人收到供应商验收申请后，委托第三方验收。验收的结果为本项目付款依据。</w:t>
      </w:r>
    </w:p>
    <w:p>
      <w:pPr>
        <w:pStyle w:val="36"/>
        <w:spacing w:line="360" w:lineRule="auto"/>
        <w:rPr>
          <w:rFonts w:ascii="仿宋" w:hAnsi="仿宋" w:eastAsia="仿宋" w:cs="宋体"/>
          <w:color w:val="auto"/>
          <w:highlight w:val="none"/>
        </w:rPr>
      </w:pPr>
      <w:bookmarkStart w:id="179" w:name="_Toc8526"/>
      <w:r>
        <w:rPr>
          <w:color w:val="auto"/>
          <w:highlight w:val="none"/>
        </w:rPr>
        <w:t>(3)</w:t>
      </w:r>
      <w:r>
        <w:rPr>
          <w:rFonts w:hint="eastAsia" w:ascii="仿宋" w:hAnsi="仿宋" w:eastAsia="仿宋" w:cs="宋体"/>
          <w:color w:val="auto"/>
          <w:highlight w:val="none"/>
        </w:rPr>
        <w:t>履约验收内容</w:t>
      </w:r>
      <w:bookmarkEnd w:id="179"/>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1）技术履约内容</w:t>
      </w:r>
    </w:p>
    <w:p>
      <w:pPr>
        <w:pStyle w:val="36"/>
        <w:spacing w:after="120" w:line="360" w:lineRule="auto"/>
        <w:rPr>
          <w:rFonts w:ascii="仿宋" w:hAnsi="仿宋" w:eastAsia="仿宋" w:cs="仿宋"/>
          <w:color w:val="auto"/>
          <w:highlight w:val="none"/>
        </w:rPr>
      </w:pPr>
      <w:r>
        <w:rPr>
          <w:rFonts w:hint="eastAsia" w:ascii="仿宋" w:hAnsi="仿宋" w:eastAsia="仿宋" w:cs="仿宋"/>
          <w:color w:val="auto"/>
          <w:highlight w:val="none"/>
        </w:rPr>
        <w:t>①满足所有采购需求及响应文件承诺；</w:t>
      </w:r>
    </w:p>
    <w:p>
      <w:pPr>
        <w:pStyle w:val="36"/>
        <w:spacing w:after="120" w:line="360" w:lineRule="auto"/>
        <w:rPr>
          <w:rFonts w:ascii="仿宋" w:hAnsi="仿宋" w:eastAsia="仿宋" w:cs="仿宋"/>
          <w:color w:val="auto"/>
          <w:highlight w:val="none"/>
        </w:rPr>
      </w:pPr>
      <w:r>
        <w:rPr>
          <w:rFonts w:hint="eastAsia" w:ascii="仿宋" w:hAnsi="仿宋" w:eastAsia="仿宋" w:cs="仿宋"/>
          <w:color w:val="auto"/>
          <w:highlight w:val="none"/>
        </w:rPr>
        <w:t>②</w:t>
      </w:r>
      <w:r>
        <w:rPr>
          <w:rFonts w:ascii="仿宋" w:hAnsi="仿宋" w:eastAsia="仿宋" w:cs="仿宋"/>
          <w:color w:val="auto"/>
          <w:highlight w:val="none"/>
        </w:rPr>
        <w:t>拟投服务团队人员全部到位，与</w:t>
      </w:r>
      <w:r>
        <w:rPr>
          <w:rFonts w:hint="eastAsia" w:ascii="仿宋" w:hAnsi="仿宋" w:eastAsia="仿宋" w:cs="仿宋"/>
          <w:color w:val="auto"/>
          <w:highlight w:val="none"/>
        </w:rPr>
        <w:t>响应</w:t>
      </w:r>
      <w:r>
        <w:rPr>
          <w:rFonts w:ascii="仿宋" w:hAnsi="仿宋" w:eastAsia="仿宋" w:cs="仿宋"/>
          <w:color w:val="auto"/>
          <w:highlight w:val="none"/>
        </w:rPr>
        <w:t>文件人员信息清单一致；</w:t>
      </w:r>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2）商务履约内容</w:t>
      </w:r>
    </w:p>
    <w:p>
      <w:pPr>
        <w:pStyle w:val="661"/>
        <w:spacing w:after="120"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①服务周期满足采购要求。</w:t>
      </w:r>
    </w:p>
    <w:p>
      <w:pPr>
        <w:tabs>
          <w:tab w:val="left" w:pos="0"/>
        </w:tabs>
        <w:adjustRightInd/>
        <w:spacing w:line="360" w:lineRule="auto"/>
        <w:ind w:left="48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4</w:t>
      </w:r>
      <w:r>
        <w:rPr>
          <w:rFonts w:hint="eastAsia" w:ascii="仿宋" w:hAnsi="仿宋" w:eastAsia="仿宋" w:cs="仿宋"/>
          <w:color w:val="auto"/>
          <w:sz w:val="24"/>
          <w:highlight w:val="none"/>
        </w:rPr>
        <w:t>) 验收标准：</w:t>
      </w:r>
    </w:p>
    <w:p>
      <w:pPr>
        <w:tabs>
          <w:tab w:val="left" w:pos="0"/>
        </w:tabs>
        <w:adjustRightInd/>
        <w:spacing w:line="360" w:lineRule="auto"/>
        <w:ind w:left="480"/>
        <w:jc w:val="left"/>
        <w:rPr>
          <w:rFonts w:ascii="仿宋" w:hAnsi="仿宋" w:eastAsia="仿宋" w:cs="仿宋"/>
          <w:color w:val="auto"/>
          <w:sz w:val="24"/>
          <w:highlight w:val="none"/>
        </w:rPr>
      </w:pPr>
      <w:r>
        <w:rPr>
          <w:rFonts w:hint="eastAsia" w:ascii="仿宋" w:hAnsi="仿宋" w:eastAsia="仿宋" w:cs="仿宋"/>
          <w:color w:val="auto"/>
          <w:sz w:val="24"/>
          <w:highlight w:val="none"/>
        </w:rPr>
        <w:t>①满足需求“标准规范”中提到的相应国家相关标准、行业标准、地方标准；</w:t>
      </w:r>
    </w:p>
    <w:p>
      <w:pPr>
        <w:tabs>
          <w:tab w:val="left" w:pos="0"/>
        </w:tabs>
        <w:adjustRightInd/>
        <w:spacing w:line="360" w:lineRule="auto"/>
        <w:ind w:left="480"/>
        <w:jc w:val="left"/>
        <w:rPr>
          <w:rFonts w:ascii="仿宋" w:hAnsi="仿宋" w:eastAsia="仿宋" w:cs="仿宋"/>
          <w:color w:val="auto"/>
          <w:sz w:val="24"/>
          <w:highlight w:val="none"/>
        </w:rPr>
      </w:pPr>
      <w:r>
        <w:rPr>
          <w:rFonts w:hint="eastAsia" w:ascii="仿宋" w:hAnsi="仿宋" w:eastAsia="仿宋" w:cs="仿宋"/>
          <w:color w:val="auto"/>
          <w:sz w:val="24"/>
          <w:highlight w:val="none"/>
        </w:rPr>
        <w:t>②展厅布展服务的深化设计：在规定时间内提供平面深化图、各类节点图、 灯具布置图、弱电管线图、强电管线图、展柜 (台) 的形式，灯具 (专业) 的形式及要求，异形展墙、普通展墙、定制金属展柜、独立金属展柜 、特殊展柜墙体、浮雕墙创作、油画类背景画创作、彩色立面图等，全尺寸建模、渲染效果图等深化设计图纸，设计深度达到施工图程度，能有效指导展厅搭设及布展，深化设计图纸符合原设计方案的设计理念和总体要求，并通过采购人确认；</w:t>
      </w:r>
    </w:p>
    <w:bookmarkEnd w:id="178"/>
    <w:p>
      <w:pPr>
        <w:tabs>
          <w:tab w:val="left" w:pos="0"/>
        </w:tabs>
        <w:adjustRightInd/>
        <w:spacing w:line="360"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十一、其他要求</w:t>
      </w:r>
    </w:p>
    <w:p>
      <w:pPr>
        <w:tabs>
          <w:tab w:val="left" w:pos="0"/>
        </w:tabs>
        <w:adjustRightInd/>
        <w:spacing w:line="360" w:lineRule="auto"/>
        <w:ind w:left="480"/>
        <w:jc w:val="left"/>
        <w:rPr>
          <w:rFonts w:ascii="仿宋" w:hAnsi="仿宋" w:eastAsia="仿宋" w:cs="仿宋"/>
          <w:color w:val="auto"/>
          <w:sz w:val="24"/>
          <w:highlight w:val="none"/>
        </w:rPr>
      </w:pPr>
      <w:bookmarkStart w:id="180" w:name="_Hlk120830935"/>
      <w:r>
        <w:rPr>
          <w:rFonts w:hint="eastAsia" w:ascii="仿宋" w:hAnsi="仿宋" w:eastAsia="仿宋" w:cs="仿宋"/>
          <w:color w:val="auto"/>
          <w:sz w:val="24"/>
          <w:highlight w:val="none"/>
        </w:rPr>
        <w:t>1、在质量保证期内设备、材料非因人为及不可抗拒因素的原因而引起损坏或质量问题，供应商应免费予以技术服务、维修或设备更换，并承担相应费用和零部件的费用。</w:t>
      </w:r>
    </w:p>
    <w:p>
      <w:pPr>
        <w:tabs>
          <w:tab w:val="left" w:pos="0"/>
        </w:tabs>
        <w:adjustRightInd/>
        <w:spacing w:line="360" w:lineRule="auto"/>
        <w:ind w:left="480"/>
        <w:jc w:val="left"/>
        <w:rPr>
          <w:rFonts w:ascii="仿宋" w:hAnsi="仿宋" w:eastAsia="仿宋" w:cs="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2、包装要求：相关设备、材料发运前对其进行满足运输距离、防潮、防震、防锈和 防破损装卸等要求包装， 以保证设备安全运达指定地点。</w:t>
      </w:r>
    </w:p>
    <w:p>
      <w:pPr>
        <w:tabs>
          <w:tab w:val="left" w:pos="0"/>
        </w:tabs>
        <w:adjustRightInd/>
        <w:spacing w:line="360" w:lineRule="auto"/>
        <w:ind w:left="480"/>
        <w:jc w:val="left"/>
        <w:rPr>
          <w:rFonts w:ascii="仿宋" w:hAnsi="仿宋" w:eastAsia="仿宋" w:cs="仿宋"/>
          <w:color w:val="auto"/>
          <w:sz w:val="24"/>
          <w:highlight w:val="none"/>
        </w:rPr>
      </w:pPr>
      <w:r>
        <w:rPr>
          <w:rFonts w:hint="eastAsia" w:ascii="仿宋" w:hAnsi="仿宋" w:eastAsia="仿宋" w:cs="仿宋"/>
          <w:color w:val="auto"/>
          <w:sz w:val="24"/>
          <w:highlight w:val="none"/>
        </w:rPr>
        <w:t>3、运输要求：供应商需负责设备运输的相关事项，并承担运费及其运费险。</w:t>
      </w:r>
    </w:p>
    <w:p>
      <w:pPr>
        <w:tabs>
          <w:tab w:val="left" w:pos="0"/>
        </w:tabs>
        <w:adjustRightInd/>
        <w:spacing w:line="360" w:lineRule="auto"/>
        <w:ind w:left="480"/>
        <w:jc w:val="left"/>
        <w:rPr>
          <w:rFonts w:ascii="仿宋" w:hAnsi="仿宋" w:eastAsia="仿宋" w:cs="仿宋"/>
          <w:color w:val="auto"/>
          <w:sz w:val="24"/>
          <w:highlight w:val="none"/>
        </w:rPr>
      </w:pPr>
      <w:r>
        <w:rPr>
          <w:rFonts w:hint="eastAsia" w:ascii="仿宋" w:hAnsi="仿宋" w:eastAsia="仿宋" w:cs="仿宋"/>
          <w:color w:val="auto"/>
          <w:sz w:val="24"/>
          <w:highlight w:val="none"/>
        </w:rPr>
        <w:t>4、环保要求：要求供应商制定详细的展陈方案，确保在搭设期间有效控制现场的扬 尘、噪音、水、光等污染，按规范要求处置各类废弃物。</w:t>
      </w:r>
    </w:p>
    <w:p>
      <w:pPr>
        <w:tabs>
          <w:tab w:val="left" w:pos="0"/>
        </w:tabs>
        <w:adjustRightInd/>
        <w:spacing w:line="360" w:lineRule="auto"/>
        <w:ind w:left="480"/>
        <w:jc w:val="left"/>
        <w:rPr>
          <w:rFonts w:ascii="仿宋" w:hAnsi="仿宋" w:eastAsia="仿宋" w:cs="仿宋"/>
          <w:color w:val="auto"/>
          <w:sz w:val="24"/>
          <w:highlight w:val="none"/>
        </w:rPr>
      </w:pPr>
      <w:r>
        <w:rPr>
          <w:rFonts w:hint="eastAsia" w:ascii="仿宋" w:hAnsi="仿宋" w:eastAsia="仿宋" w:cs="仿宋"/>
          <w:color w:val="auto"/>
          <w:sz w:val="24"/>
          <w:highlight w:val="none"/>
        </w:rPr>
        <w:t>5、安全文明要求：在合同履行期间必须保证供应商 (含所有参与本项目的人员) 项 目所在地及第三方的安全，做到文明和规范。期间若发生安全责任事故或被相关部门查 处的，一切责任及经济赔偿由供应商承担，由此给采购人造成损失的，由供应商予以赔偿。</w:t>
      </w:r>
    </w:p>
    <w:bookmarkEnd w:id="180"/>
    <w:p>
      <w:pPr>
        <w:rPr>
          <w:color w:val="auto"/>
          <w:highlight w:val="none"/>
        </w:rPr>
      </w:pPr>
    </w:p>
    <w:p>
      <w:pPr>
        <w:pStyle w:val="36"/>
        <w:numPr>
          <w:ilvl w:val="0"/>
          <w:numId w:val="18"/>
        </w:numPr>
        <w:ind w:firstLine="0" w:firstLineChars="0"/>
        <w:jc w:val="left"/>
        <w:rPr>
          <w:rFonts w:ascii="仿宋" w:hAnsi="仿宋" w:eastAsia="仿宋" w:cs="仿宋"/>
          <w:b/>
          <w:bCs/>
          <w:color w:val="auto"/>
          <w:highlight w:val="none"/>
        </w:rPr>
      </w:pPr>
      <w:r>
        <w:rPr>
          <w:rFonts w:hint="eastAsia" w:ascii="仿宋" w:hAnsi="仿宋" w:eastAsia="仿宋" w:cs="仿宋"/>
          <w:b/>
          <w:bCs/>
          <w:color w:val="auto"/>
          <w:highlight w:val="none"/>
        </w:rPr>
        <w:t>清单</w:t>
      </w:r>
    </w:p>
    <w:p>
      <w:pPr>
        <w:rPr>
          <w:color w:val="auto"/>
          <w:highlight w:val="none"/>
        </w:rPr>
      </w:pPr>
    </w:p>
    <w:tbl>
      <w:tblPr>
        <w:tblStyle w:val="88"/>
        <w:tblW w:w="9240" w:type="dxa"/>
        <w:tblInd w:w="93" w:type="dxa"/>
        <w:tblLayout w:type="autofit"/>
        <w:tblCellMar>
          <w:top w:w="0" w:type="dxa"/>
          <w:left w:w="108" w:type="dxa"/>
          <w:bottom w:w="0" w:type="dxa"/>
          <w:right w:w="108" w:type="dxa"/>
        </w:tblCellMar>
      </w:tblPr>
      <w:tblGrid>
        <w:gridCol w:w="531"/>
        <w:gridCol w:w="2173"/>
        <w:gridCol w:w="4422"/>
        <w:gridCol w:w="974"/>
        <w:gridCol w:w="1140"/>
      </w:tblGrid>
      <w:tr>
        <w:tblPrEx>
          <w:tblCellMar>
            <w:top w:w="0" w:type="dxa"/>
            <w:left w:w="108" w:type="dxa"/>
            <w:bottom w:w="0" w:type="dxa"/>
            <w:right w:w="108" w:type="dxa"/>
          </w:tblCellMar>
        </w:tblPrEx>
        <w:trPr>
          <w:trHeight w:val="259" w:hRule="atLeast"/>
        </w:trPr>
        <w:tc>
          <w:tcPr>
            <w:tcW w:w="531"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序号</w:t>
            </w:r>
          </w:p>
        </w:tc>
        <w:tc>
          <w:tcPr>
            <w:tcW w:w="2173"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项目名称</w:t>
            </w:r>
          </w:p>
        </w:tc>
        <w:tc>
          <w:tcPr>
            <w:tcW w:w="4422"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项目特征</w:t>
            </w:r>
          </w:p>
        </w:tc>
        <w:tc>
          <w:tcPr>
            <w:tcW w:w="974"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计量单位</w:t>
            </w:r>
          </w:p>
        </w:tc>
        <w:tc>
          <w:tcPr>
            <w:tcW w:w="1140"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工程量</w:t>
            </w:r>
          </w:p>
        </w:tc>
      </w:tr>
      <w:tr>
        <w:tblPrEx>
          <w:tblCellMar>
            <w:top w:w="0" w:type="dxa"/>
            <w:left w:w="108" w:type="dxa"/>
            <w:bottom w:w="0" w:type="dxa"/>
            <w:right w:w="108" w:type="dxa"/>
          </w:tblCellMar>
        </w:tblPrEx>
        <w:trPr>
          <w:trHeight w:val="259" w:hRule="atLeast"/>
        </w:trPr>
        <w:tc>
          <w:tcPr>
            <w:tcW w:w="531"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仿宋" w:hAnsi="仿宋" w:eastAsia="仿宋" w:cs="仿宋"/>
                <w:b/>
                <w:bCs/>
                <w:color w:val="auto"/>
                <w:sz w:val="20"/>
                <w:szCs w:val="20"/>
                <w:highlight w:val="none"/>
              </w:rPr>
            </w:pPr>
          </w:p>
        </w:tc>
        <w:tc>
          <w:tcPr>
            <w:tcW w:w="2173"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仿宋" w:hAnsi="仿宋" w:eastAsia="仿宋" w:cs="仿宋"/>
                <w:b/>
                <w:bCs/>
                <w:color w:val="auto"/>
                <w:sz w:val="20"/>
                <w:szCs w:val="20"/>
                <w:highlight w:val="none"/>
              </w:rPr>
            </w:pPr>
          </w:p>
        </w:tc>
        <w:tc>
          <w:tcPr>
            <w:tcW w:w="4422"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仿宋" w:hAnsi="仿宋" w:eastAsia="仿宋" w:cs="仿宋"/>
                <w:b/>
                <w:bCs/>
                <w:color w:val="auto"/>
                <w:sz w:val="20"/>
                <w:szCs w:val="20"/>
                <w:highlight w:val="none"/>
              </w:rPr>
            </w:pPr>
          </w:p>
        </w:tc>
        <w:tc>
          <w:tcPr>
            <w:tcW w:w="974"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仿宋" w:hAnsi="仿宋" w:eastAsia="仿宋" w:cs="仿宋"/>
                <w:b/>
                <w:bCs/>
                <w:color w:val="auto"/>
                <w:sz w:val="20"/>
                <w:szCs w:val="20"/>
                <w:highlight w:val="none"/>
              </w:rPr>
            </w:pPr>
          </w:p>
        </w:tc>
        <w:tc>
          <w:tcPr>
            <w:tcW w:w="1140"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仿宋" w:hAnsi="仿宋" w:eastAsia="仿宋" w:cs="仿宋"/>
                <w:b/>
                <w:bCs/>
                <w:color w:val="auto"/>
                <w:sz w:val="20"/>
                <w:szCs w:val="20"/>
                <w:highlight w:val="none"/>
              </w:rPr>
            </w:pPr>
          </w:p>
        </w:tc>
      </w:tr>
      <w:tr>
        <w:tblPrEx>
          <w:tblCellMar>
            <w:top w:w="0" w:type="dxa"/>
            <w:left w:w="108" w:type="dxa"/>
            <w:bottom w:w="0" w:type="dxa"/>
            <w:right w:w="108" w:type="dxa"/>
          </w:tblCellMar>
        </w:tblPrEx>
        <w:trPr>
          <w:trHeight w:val="259" w:hRule="atLeast"/>
        </w:trPr>
        <w:tc>
          <w:tcPr>
            <w:tcW w:w="531"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仿宋" w:hAnsi="仿宋" w:eastAsia="仿宋" w:cs="仿宋"/>
                <w:b/>
                <w:bCs/>
                <w:color w:val="auto"/>
                <w:sz w:val="20"/>
                <w:szCs w:val="20"/>
                <w:highlight w:val="none"/>
              </w:rPr>
            </w:pPr>
          </w:p>
        </w:tc>
        <w:tc>
          <w:tcPr>
            <w:tcW w:w="2173"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仿宋" w:hAnsi="仿宋" w:eastAsia="仿宋" w:cs="仿宋"/>
                <w:b/>
                <w:bCs/>
                <w:color w:val="auto"/>
                <w:sz w:val="20"/>
                <w:szCs w:val="20"/>
                <w:highlight w:val="none"/>
              </w:rPr>
            </w:pPr>
          </w:p>
        </w:tc>
        <w:tc>
          <w:tcPr>
            <w:tcW w:w="4422"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仿宋" w:hAnsi="仿宋" w:eastAsia="仿宋" w:cs="仿宋"/>
                <w:b/>
                <w:bCs/>
                <w:color w:val="auto"/>
                <w:sz w:val="20"/>
                <w:szCs w:val="20"/>
                <w:highlight w:val="none"/>
              </w:rPr>
            </w:pPr>
          </w:p>
        </w:tc>
        <w:tc>
          <w:tcPr>
            <w:tcW w:w="974"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仿宋" w:hAnsi="仿宋" w:eastAsia="仿宋" w:cs="仿宋"/>
                <w:b/>
                <w:bCs/>
                <w:color w:val="auto"/>
                <w:sz w:val="20"/>
                <w:szCs w:val="20"/>
                <w:highlight w:val="none"/>
              </w:rPr>
            </w:pPr>
          </w:p>
        </w:tc>
        <w:tc>
          <w:tcPr>
            <w:tcW w:w="1140"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ascii="仿宋" w:hAnsi="仿宋" w:eastAsia="仿宋" w:cs="仿宋"/>
                <w:b/>
                <w:bCs/>
                <w:color w:val="auto"/>
                <w:sz w:val="20"/>
                <w:szCs w:val="20"/>
                <w:highlight w:val="none"/>
              </w:rPr>
            </w:pP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ascii="仿宋" w:hAnsi="仿宋" w:eastAsia="仿宋" w:cs="仿宋"/>
                <w:color w:val="auto"/>
                <w:sz w:val="20"/>
                <w:szCs w:val="20"/>
                <w:highlight w:val="none"/>
              </w:rPr>
            </w:pP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户外采购部分</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艺术屋檐</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1.金属板艺术屋檐</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铝板门头</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1.铝板印刷镂空设计加喷塑</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22</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入户过道</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1.入户过道(铝方通）</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37.2</w:t>
            </w:r>
          </w:p>
        </w:tc>
      </w:tr>
      <w:tr>
        <w:tblPrEx>
          <w:tblCellMar>
            <w:top w:w="0" w:type="dxa"/>
            <w:left w:w="108" w:type="dxa"/>
            <w:bottom w:w="0" w:type="dxa"/>
            <w:right w:w="108" w:type="dxa"/>
          </w:tblCellMar>
        </w:tblPrEx>
        <w:trPr>
          <w:trHeight w:val="7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门头艺术装饰板</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1、金属门头艺术装饰板</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2、字体书法设计、表面喷洒金属保护漆</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3、局部翻板，电动装置和控制软件</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17.25</w:t>
            </w: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户外浮雕墙</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铜制艺术浮雕（含基础）塑形、成稿。图文信息收集整理、小样及参考图稿制作，骨架焊接、钢网表面定型、泥稿塑形、泥塑修正、铜制艺术浮雕着色、打磨、运输、安装、定位</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13</w:t>
            </w:r>
          </w:p>
        </w:tc>
      </w:tr>
      <w:tr>
        <w:tblPrEx>
          <w:tblCellMar>
            <w:top w:w="0" w:type="dxa"/>
            <w:left w:w="108" w:type="dxa"/>
            <w:bottom w:w="0" w:type="dxa"/>
            <w:right w:w="108" w:type="dxa"/>
          </w:tblCellMar>
        </w:tblPrEx>
        <w:trPr>
          <w:trHeight w:val="4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6</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附属房间户外屋檐</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1.屋檐造型（仿江南民居屋檐造型、艺术做旧处理）</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7</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陶瓷水缸</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1.成品陶瓷水缸直径1.2m</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8</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导视牌</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1.导视牌、指示</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9</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绿植</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1.浮雕墙下方绿植美化</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10</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花窗</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1.仿古艺术花窗</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扇</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w:t>
            </w:r>
          </w:p>
        </w:tc>
      </w:tr>
      <w:tr>
        <w:tblPrEx>
          <w:tblCellMar>
            <w:top w:w="0" w:type="dxa"/>
            <w:left w:w="108" w:type="dxa"/>
            <w:bottom w:w="0" w:type="dxa"/>
            <w:right w:w="108" w:type="dxa"/>
          </w:tblCellMar>
        </w:tblPrEx>
        <w:trPr>
          <w:trHeight w:val="4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11</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外墙美化及楼梯拆除新建</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1.浮雕墙外墙粉刷美化及户外楼梯部分拆除新建</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ascii="仿宋" w:hAnsi="仿宋" w:eastAsia="仿宋" w:cs="仿宋"/>
                <w:color w:val="auto"/>
                <w:sz w:val="20"/>
                <w:szCs w:val="20"/>
                <w:highlight w:val="none"/>
              </w:rPr>
            </w:pP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前厅</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7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12</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片状地胶板楼地面</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1.粘结层厚度、材料种类:30厚细石混凝土找平层；3mm厚自流平地面</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2.面层材料品种、规格、颜色:2.6mm厚地胶板</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color w:val="auto"/>
                <w:highlight w:val="none"/>
              </w:rPr>
            </w:pPr>
            <w:r>
              <w:rPr>
                <w:rFonts w:hint="eastAsia" w:ascii="仿宋" w:hAnsi="仿宋" w:eastAsia="仿宋" w:cs="仿宋"/>
                <w:color w:val="auto"/>
                <w:sz w:val="20"/>
                <w:szCs w:val="20"/>
                <w:highlight w:val="none"/>
              </w:rPr>
              <w:t>42</w:t>
            </w: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13</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金属踢脚线</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1.踢脚线高度:100mm</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2.基层材料种类、规格:9mm厚阻燃胶合板</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3.面层材料品种、规格、 颜色:1.2厚黑色不锈钢</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15</w:t>
            </w:r>
          </w:p>
        </w:tc>
      </w:tr>
      <w:tr>
        <w:tblPrEx>
          <w:tblCellMar>
            <w:top w:w="0" w:type="dxa"/>
            <w:left w:w="108" w:type="dxa"/>
            <w:bottom w:w="0" w:type="dxa"/>
            <w:right w:w="108" w:type="dxa"/>
          </w:tblCellMar>
        </w:tblPrEx>
        <w:trPr>
          <w:trHeight w:val="7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14</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墙面装饰板</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1.龙骨材料种类、规格、中距:75系列轻钢龙骨</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2.基层材料种类、规格:18mm阻燃胶合板</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3.面层：石膏板、腻子三遍、乳胶漆三遍</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color w:val="auto"/>
                <w:highlight w:val="none"/>
              </w:rPr>
            </w:pPr>
            <w:r>
              <w:rPr>
                <w:rFonts w:hint="eastAsia" w:ascii="仿宋" w:hAnsi="仿宋" w:eastAsia="仿宋" w:cs="仿宋"/>
                <w:color w:val="auto"/>
                <w:highlight w:val="none"/>
              </w:rPr>
              <w:t>65</w:t>
            </w: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15</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吊顶天棚</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1.龙骨材料种类、规格、中距:轻钢龙骨 (U50型)平面</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2.面层材料品种、规格:双层9.5mm纸面石膏板，平面</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45</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16</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服务台</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1.3000*1300定制服务台</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17</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成品定制书柜</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1.定制成品柜</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2.尺寸:宽度0.3M</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3.材质:优质E1级中纤板基材，5MM白色橡木贴面，使用环保净味油漆</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color w:val="auto"/>
                <w:highlight w:val="none"/>
              </w:rPr>
            </w:pPr>
            <w:r>
              <w:rPr>
                <w:rFonts w:hint="eastAsia" w:ascii="仿宋" w:hAnsi="仿宋" w:eastAsia="仿宋" w:cs="仿宋"/>
                <w:color w:val="auto"/>
                <w:sz w:val="20"/>
                <w:szCs w:val="20"/>
                <w:highlight w:val="none"/>
              </w:rPr>
              <w:t>32</w:t>
            </w:r>
          </w:p>
        </w:tc>
      </w:tr>
      <w:tr>
        <w:tblPrEx>
          <w:tblCellMar>
            <w:top w:w="0" w:type="dxa"/>
            <w:left w:w="108" w:type="dxa"/>
            <w:bottom w:w="0" w:type="dxa"/>
            <w:right w:w="108" w:type="dxa"/>
          </w:tblCellMar>
        </w:tblPrEx>
        <w:trPr>
          <w:trHeight w:val="4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18</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临平国学大师场景布置</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1.俞樾铸铜雕塑</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2、艺术场景布置，地面塑型</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4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19</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前厅基础地面及顶面拆除</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1.基础装饰拆除</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2、门洞开凿</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4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20</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玻璃门</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1.尺寸规格:1200*2100</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2.玻璃电动门含配件五金门套</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扇</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21</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前厅-电视播放器（60寸）</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分辨率：1920*1080，屏幕比例：16:9，面板：IPS技术，屏幕刷新率：60Hz，双核处理器，内存1G，硬盘8G，视频播放系统60英寸播放器，安卓播放器</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4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22</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液压支架</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1.专业定制维护支架；挂架材质:SPCC冷轧钢板；最大承重：55kg</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套</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ascii="仿宋" w:hAnsi="仿宋" w:eastAsia="仿宋" w:cs="仿宋"/>
                <w:color w:val="auto"/>
                <w:sz w:val="20"/>
                <w:szCs w:val="20"/>
                <w:highlight w:val="none"/>
              </w:rPr>
            </w:pP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序厅：不与桑梓异</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14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23</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定制前言说明牌</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1.名称:定制前言</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2.尺寸:1200*2200mm</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3.基层材料种类、规格:20*30mm防火阻燃木方龙骨，12mm厚阻燃板基层；3厚黑色烤漆钢板</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4.面层材料品种、规格、颜色:3mm厚白色亚克力板</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24</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展品说明牌</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1.展品说明牌</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16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25</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进口油画设计UV制作</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定制艺术油画布</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1、定制进口油画布UV，背景合成</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图电分、扫描、修版、合成及艺</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术创作，背景合成喷专用防护油</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处理；</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2、美术师级别：具有中级美术师</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及以上职称。</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8.5</w:t>
            </w:r>
          </w:p>
        </w:tc>
      </w:tr>
      <w:tr>
        <w:tblPrEx>
          <w:tblCellMar>
            <w:top w:w="0" w:type="dxa"/>
            <w:left w:w="108" w:type="dxa"/>
            <w:bottom w:w="0" w:type="dxa"/>
            <w:right w:w="108" w:type="dxa"/>
          </w:tblCellMar>
        </w:tblPrEx>
        <w:trPr>
          <w:trHeight w:val="7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26</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艺术雕刻字</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1.1.2厚不锈钢金属折边烤漆字</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2.字体规格:15*15*2cm</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3.固定方式:背面敷2cm厚PVC雕刻字</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40</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27</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仿清代家具</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1.仿古清代家具（含一案桌两圈椅）</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套</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28</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仿清代家具</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1.仿古清代家具（含三茶几三圈椅）</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套</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29</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中堂摆件复原</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1.中堂摆件复原</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30</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对联及制作</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1.书法裱框对联</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31</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仿旧复制品字画</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1.仿旧复制品字画</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32</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定制通柜</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1.定制通柜</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2.材料种类、规格:7750*3000展柜玻璃采用国产超白夹胶玻璃(6mm+1.52mm+6mm)，透光率&gt;95%以上</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7.7</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ascii="仿宋" w:hAnsi="仿宋" w:eastAsia="仿宋" w:cs="仿宋"/>
                <w:color w:val="auto"/>
                <w:sz w:val="20"/>
                <w:szCs w:val="20"/>
                <w:highlight w:val="none"/>
              </w:rPr>
            </w:pP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第一部分临平岁月</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ascii="仿宋" w:hAnsi="仿宋" w:eastAsia="仿宋" w:cs="仿宋"/>
                <w:color w:val="auto"/>
                <w:sz w:val="20"/>
                <w:szCs w:val="20"/>
                <w:highlight w:val="none"/>
              </w:rPr>
            </w:pP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迁居临平</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33</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定制部分说明牌</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1、40*40阻燃木方龙骨框架，12厚阻燃板基层，20厚铝型材框包边，展板金属挂件；</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2、3mm铝板uv饰面，文字图案编排、3厚亚克力雕刻字背面着色</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34</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定制单元说明牌</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1、40*40阻燃木方龙骨框架，12厚阻燃板基层，20厚铝型材框包边，展板金属挂件；</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2、3mm铝板uv饰面，文字图案编排、3厚亚克力雕刻字背面着色</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35</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定制小组说明牌</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1.定制小组说明牌</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36</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展品说明牌</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1.展品说明牌</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121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37</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图文展板</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1.40*40阻燃木方龙骨框架，12厚阻燃板基层，20厚铝型材框包边，展板金属挂件；</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2.面层材料品种、规格、颜色:雪绒布喷绘，背景合成图电分、扫描、修版、合成，背景合成喷专用防护油处理</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7.2</w:t>
            </w:r>
          </w:p>
        </w:tc>
      </w:tr>
      <w:tr>
        <w:tblPrEx>
          <w:tblCellMar>
            <w:top w:w="0" w:type="dxa"/>
            <w:left w:w="108" w:type="dxa"/>
            <w:bottom w:w="0" w:type="dxa"/>
            <w:right w:w="108" w:type="dxa"/>
          </w:tblCellMar>
        </w:tblPrEx>
        <w:trPr>
          <w:trHeight w:val="7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38</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艺术雕刻字</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1.1.2厚不锈钢金属折边烤漆字</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2.字体规格:15*15*2cm</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3.固定方式:背面敷2cm厚PVC雕刻字</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12</w:t>
            </w: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39</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定制平柜</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1.定制组合平柜（木纹）</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2.材料种类、规格:1200*950展柜玻璃采用国产超白夹胶玻璃(6mm+1.52mm+6mm)，透光率&gt;95%以上</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40</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定制独立柜</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1.定制独立柜</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2.材料种类、规格:350*350*1200展柜玻璃采用国产超白夹胶玻璃(6mm+1.52mm+6mm)，透光率&gt;95%以上</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4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41</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斜面看板</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1.定制斜面看板</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2.材料种类、规格:木质看板、3000*1200尺寸</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2.4</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42</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书籍复制</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1.书籍纸张制作复制</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43</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实木格栅</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1.实木格栅</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3.5</w:t>
            </w:r>
          </w:p>
        </w:tc>
      </w:tr>
      <w:tr>
        <w:tblPrEx>
          <w:tblCellMar>
            <w:top w:w="0" w:type="dxa"/>
            <w:left w:w="108" w:type="dxa"/>
            <w:bottom w:w="0" w:type="dxa"/>
            <w:right w:w="108" w:type="dxa"/>
          </w:tblCellMar>
        </w:tblPrEx>
        <w:trPr>
          <w:trHeight w:val="7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44</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艺术创作画</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1.材料种类、规格:根据主题定位寻找素材资料、提炼主要信息点、中国美院国画系老师（副教授级别）进行初稿手绘创作</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幅</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45</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江南名镇视频播放器（52寸）</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分辨率：1920*1080，屏幕比例：16:9，面板：IPS技术，屏幕刷新率：60Hz，双核处理器，内存1G，硬盘8G，视频播放系统52寸播放器：定制金属柜体样式、安卓播放器</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4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46</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液压支架</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1.专业定制维护支架；挂架材质:SPCC冷轧钢板；最大承重：55kg</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套</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14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47</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软件（视频剪辑制作）</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1.高清影片制作，视频制作分辨率符合所选配的硬件设备，4K及以上；</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2.影片内容需有方案创意构思，根据客户需求，固定影片风格，拟定方向。</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3.多媒体内容脚本制作:根据策划拟定的方向进行影片内容、画面的文字性创作。</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秒</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60</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ascii="仿宋" w:hAnsi="仿宋" w:eastAsia="仿宋" w:cs="仿宋"/>
                <w:color w:val="auto"/>
                <w:sz w:val="20"/>
                <w:szCs w:val="20"/>
                <w:highlight w:val="none"/>
              </w:rPr>
            </w:pP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学在临平</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48</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定制单元说明牌</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1、40*40阻燃木方龙骨框架，12厚阻燃板基层，20厚铝型材框包边，展板金属挂件；</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2、3mm铝板uv饰面，文字图案编排、3厚亚克力雕刻字背面着色</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49</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定制小组说明牌</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1.定制小组说明牌</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50</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展品说明牌</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1.展品说明牌</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121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51</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图文展板</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1.40*40阻燃木方龙骨框架，12厚阻燃板基层，20厚铝型材框包边，展板金属挂件；</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2.面层材料品种、规格、颜色:雪绒布喷绘，背景合成图电分、扫描、修版、合成，背景合成喷专用防护油处理</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6</w:t>
            </w:r>
          </w:p>
        </w:tc>
      </w:tr>
      <w:tr>
        <w:tblPrEx>
          <w:tblCellMar>
            <w:top w:w="0" w:type="dxa"/>
            <w:left w:w="108" w:type="dxa"/>
            <w:bottom w:w="0" w:type="dxa"/>
            <w:right w:w="108" w:type="dxa"/>
          </w:tblCellMar>
        </w:tblPrEx>
        <w:trPr>
          <w:trHeight w:val="16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52</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进口油画布设计UV制作</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定制艺术油画布</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1、定制进口油画布UV，背景合成</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图电分、扫描、修版、合成及艺</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术创作，背景合成喷专用防护油</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处理；</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2、美术师级别：具有中级美术师</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及以上职称。</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3.5</w:t>
            </w:r>
          </w:p>
        </w:tc>
      </w:tr>
      <w:tr>
        <w:tblPrEx>
          <w:tblCellMar>
            <w:top w:w="0" w:type="dxa"/>
            <w:left w:w="108" w:type="dxa"/>
            <w:bottom w:w="0" w:type="dxa"/>
            <w:right w:w="108" w:type="dxa"/>
          </w:tblCellMar>
        </w:tblPrEx>
        <w:trPr>
          <w:trHeight w:val="7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53</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艺术创作画</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1.材料种类、规格:根据主题定位寻找素材资料、提炼主要信息点、中国美院国画系老师（副教授级别）进行初稿手绘创作</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幅</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w:t>
            </w:r>
          </w:p>
        </w:tc>
      </w:tr>
      <w:tr>
        <w:tblPrEx>
          <w:tblCellMar>
            <w:top w:w="0" w:type="dxa"/>
            <w:left w:w="108" w:type="dxa"/>
            <w:bottom w:w="0" w:type="dxa"/>
            <w:right w:w="108" w:type="dxa"/>
          </w:tblCellMar>
        </w:tblPrEx>
        <w:trPr>
          <w:trHeight w:val="4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54</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斜面看板</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1.定制斜面看板</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2.材料种类、规格:木质看板、3000*1200尺寸</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1.8</w:t>
            </w:r>
          </w:p>
        </w:tc>
      </w:tr>
      <w:tr>
        <w:tblPrEx>
          <w:tblCellMar>
            <w:top w:w="0" w:type="dxa"/>
            <w:left w:w="108" w:type="dxa"/>
            <w:bottom w:w="0" w:type="dxa"/>
            <w:right w:w="108" w:type="dxa"/>
          </w:tblCellMar>
        </w:tblPrEx>
        <w:trPr>
          <w:trHeight w:val="7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55</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艺术雕刻字</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1.1.2厚不锈钢金属折边烤漆字</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2.字体规格:15*15*2cm</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3.固定方式:背面敷2cm厚PVC雕刻字</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20</w:t>
            </w:r>
          </w:p>
        </w:tc>
      </w:tr>
      <w:tr>
        <w:tblPrEx>
          <w:tblCellMar>
            <w:top w:w="0" w:type="dxa"/>
            <w:left w:w="108" w:type="dxa"/>
            <w:bottom w:w="0" w:type="dxa"/>
            <w:right w:w="108" w:type="dxa"/>
          </w:tblCellMar>
        </w:tblPrEx>
        <w:trPr>
          <w:trHeight w:val="14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56</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定制斜面柜</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1.名称:定制组合柜</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2.材料种类、规格:玻璃：8+8超</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白夹胶玻璃；定制金属收边，基</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面用定制钢板</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3.五金种类、规格:开启方式：电动旋出手动平移开启</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1.2</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57</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实木格栅</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1.实木格栅</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2.5</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58</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铸铜雕塑</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1.私塾铸铜雕塑等身1：1</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59</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仿清代家具</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1.仿古清代家具（含一砚台桌）</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套</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741"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60</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史埭春灯场景复原   沉浸式裸眼3D效果</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1.名称:室内P2.0全彩表贴LED显示屏</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2.规格:</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像素构成：1R1G1B ，像素点间距2.0mm；像素密度：250000Dots/㎡，单元板分辨率：160*80=12800Dots；单元板尺寸：320*160，最大电流： 6.7A±0.1A；亮度均匀性：＞0.95，屏体最大功耗： ≤700W/㎡；最佳视距：≥2m，亮度：600cd/ ㎡；屏幕水平视角：140±10度，屏幕垂直视角：130±10度；</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26</w:t>
            </w:r>
          </w:p>
        </w:tc>
      </w:tr>
      <w:tr>
        <w:tblPrEx>
          <w:tblCellMar>
            <w:top w:w="0" w:type="dxa"/>
            <w:left w:w="108" w:type="dxa"/>
            <w:bottom w:w="0" w:type="dxa"/>
            <w:right w:w="108" w:type="dxa"/>
          </w:tblCellMar>
        </w:tblPrEx>
        <w:trPr>
          <w:trHeight w:val="1208"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61</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收发器</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1.名称:接收卡</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2.规格:诺瓦DH7516</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3.功能:接收系统，含电源线、排线</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套</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w:t>
            </w:r>
          </w:p>
        </w:tc>
      </w:tr>
      <w:tr>
        <w:tblPrEx>
          <w:tblCellMar>
            <w:top w:w="0" w:type="dxa"/>
            <w:left w:w="108" w:type="dxa"/>
            <w:bottom w:w="0" w:type="dxa"/>
            <w:right w:w="108" w:type="dxa"/>
          </w:tblCellMar>
        </w:tblPrEx>
        <w:trPr>
          <w:trHeight w:val="8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62</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开关电源设备</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1.名称:电源</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2.规格:5V 40A，含电源线</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w:t>
            </w:r>
          </w:p>
        </w:tc>
      </w:tr>
      <w:tr>
        <w:tblPrEx>
          <w:tblCellMar>
            <w:top w:w="0" w:type="dxa"/>
            <w:left w:w="108" w:type="dxa"/>
            <w:bottom w:w="0" w:type="dxa"/>
            <w:right w:w="108" w:type="dxa"/>
          </w:tblCellMar>
        </w:tblPrEx>
        <w:trPr>
          <w:trHeight w:val="971"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63</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LED专用安装基础</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1.名称:LED专用安装基础</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2.规格:室内显示屏专用铝合金框架结构</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26</w:t>
            </w: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64</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配电柜</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1.名称:LED专用智能配电柜10KW</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2.功能:可成整个显示屏系统的供电分配，具有综保功能，对过压、过流、短路等异常情况具有自动保护功能。</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3790"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65</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视频传输器</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1.名称:视频处理器</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2.规格:诺瓦V960</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3.功能、用途:1.支持多达 5 路输入接口，包括 1 路 DVI，1 路 HDMI1.3，1 路 VGA，1 路 USB 播 放，1 路 CVBS，1 路选配扩展子卡。</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4.支持窗口位置、大小调整及窗口截取功能。</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5.扩展子卡支持 AP+WiFi 无线模式，可实现手机，电脑的无线投屏。</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6.支持输入源一键切换。</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7.支持外置独立音频。</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8.支持画面一键全屏缩放、点对点显示、自定义缩放三种缩放模式。</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9.支持 4 个网口输出，最大带载 260 万像素。</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1606"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66</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图形计算机</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1.名称:图形计算机</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2.规格:主机:CPU: Intel 酷睿I7；内存:8GB；硬盘:120G固态硬盘；显卡：高配2G独显；电源:650w；机箱：工控机箱</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6925" w:hRule="atLeast"/>
        </w:trPr>
        <w:tc>
          <w:tcPr>
            <w:tcW w:w="531" w:type="dxa"/>
            <w:tcBorders>
              <w:top w:val="single" w:color="000000" w:sz="8" w:space="0"/>
              <w:left w:val="single" w:color="000000" w:sz="8" w:space="0"/>
              <w:bottom w:val="single" w:color="auto" w:sz="4"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67</w:t>
            </w:r>
          </w:p>
        </w:tc>
        <w:tc>
          <w:tcPr>
            <w:tcW w:w="2173" w:type="dxa"/>
            <w:tcBorders>
              <w:top w:val="single" w:color="000000" w:sz="8" w:space="0"/>
              <w:left w:val="single" w:color="000000" w:sz="8" w:space="0"/>
              <w:bottom w:val="single" w:color="auto" w:sz="4"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扩声系统设备</w:t>
            </w:r>
          </w:p>
        </w:tc>
        <w:tc>
          <w:tcPr>
            <w:tcW w:w="4422" w:type="dxa"/>
            <w:tcBorders>
              <w:top w:val="single" w:color="000000" w:sz="8" w:space="0"/>
              <w:left w:val="single" w:color="000000" w:sz="8" w:space="0"/>
              <w:bottom w:val="single" w:color="auto" w:sz="4"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1.名称:功放</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2立体声输出功率8Ω：2x600W</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立体声输出功率 4Ω：2x900W</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立体声输出功率 2Ω：2x1200W</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桥接单声道输出8Ω：1800W</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桥接单声道输出4Ω：2400W</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频率响应：5-20K+/-0.5dB</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总谐波失真：&lt;0.05%@8Ω 1KHz 1/4Po</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信噪比：&gt;102dB</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瞬态响应：20V/u S</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阻尼系数：&gt;400</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串音：&gt;60dB@8Ω 1KHz</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输入阻抗：20KΩ(Balance)/10KΩ(Unbalance)</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输入灵敏度：1V</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高度：2U</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重量：26KG</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尺寸：575x570x158mm</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包装：纸箱保护</w:t>
            </w:r>
          </w:p>
        </w:tc>
        <w:tc>
          <w:tcPr>
            <w:tcW w:w="974" w:type="dxa"/>
            <w:tcBorders>
              <w:top w:val="single" w:color="000000" w:sz="8" w:space="0"/>
              <w:left w:val="single" w:color="000000" w:sz="8" w:space="0"/>
              <w:bottom w:val="single" w:color="auto" w:sz="4"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auto" w:sz="4"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5909" w:hRule="atLeast"/>
        </w:trPr>
        <w:tc>
          <w:tcPr>
            <w:tcW w:w="531" w:type="dxa"/>
            <w:tcBorders>
              <w:top w:val="single" w:color="auto" w:sz="4" w:space="0"/>
              <w:left w:val="single" w:color="auto" w:sz="4" w:space="0"/>
              <w:bottom w:val="single" w:color="auto" w:sz="4"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68</w:t>
            </w:r>
          </w:p>
        </w:tc>
        <w:tc>
          <w:tcPr>
            <w:tcW w:w="2173" w:type="dxa"/>
            <w:tcBorders>
              <w:top w:val="single" w:color="auto" w:sz="4" w:space="0"/>
              <w:left w:val="single" w:color="000000" w:sz="8" w:space="0"/>
              <w:bottom w:val="single" w:color="auto" w:sz="4"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扩声系统设备</w:t>
            </w:r>
          </w:p>
        </w:tc>
        <w:tc>
          <w:tcPr>
            <w:tcW w:w="4422" w:type="dxa"/>
            <w:tcBorders>
              <w:top w:val="single" w:color="auto" w:sz="4" w:space="0"/>
              <w:left w:val="single" w:color="000000" w:sz="8" w:space="0"/>
              <w:bottom w:val="single" w:color="auto" w:sz="4"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1.名称:8英寸无框天花扬声器</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 xml:space="preserve">2.规格:1、产品类型:8英寸无框天花扬声器 </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2、系统安全:CAPD II高频过载保护</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3、频率响应(-10 dB):69Hz-20kHz</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4、灵敏度(1W/1m):89 dB</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5、声压级(持续/峰值:112/118 dB</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6、额定系统功率:95W(RMS)</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峰值系统功率:380W(Peak)</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7、标称阻抗:8 Ohm</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8、定压选项:50W/25W/12.5W/6.25W/3.1W @70V/100V</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9、磁体类型;低音材质&gt;橡边PP盆，高音材质&gt;钛膜球顶</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低音数组:1 x 8" 代码CT4008KB</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高音数组:1 x 1" 代码DT4001M</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10、外观描述:面罩使用</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磁吸式无边框安装结构</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11、覆盖角度:90°H×90°V</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12、外部尺寸:275mm x 222mm</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开孔口径:245mm</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产品重量:3.05kg</w:t>
            </w:r>
          </w:p>
        </w:tc>
        <w:tc>
          <w:tcPr>
            <w:tcW w:w="974" w:type="dxa"/>
            <w:tcBorders>
              <w:top w:val="single" w:color="auto" w:sz="4" w:space="0"/>
              <w:left w:val="single" w:color="000000" w:sz="8" w:space="0"/>
              <w:bottom w:val="single" w:color="auto" w:sz="4"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auto" w:sz="4" w:space="0"/>
              <w:left w:val="single" w:color="000000" w:sz="8" w:space="0"/>
              <w:bottom w:val="single" w:color="auto" w:sz="4" w:space="0"/>
              <w:right w:val="single" w:color="auto" w:sz="4"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p>
        </w:tc>
      </w:tr>
      <w:tr>
        <w:tblPrEx>
          <w:tblCellMar>
            <w:top w:w="0" w:type="dxa"/>
            <w:left w:w="108" w:type="dxa"/>
            <w:bottom w:w="0" w:type="dxa"/>
            <w:right w:w="108" w:type="dxa"/>
          </w:tblCellMar>
        </w:tblPrEx>
        <w:trPr>
          <w:trHeight w:val="2655" w:hRule="atLeast"/>
        </w:trPr>
        <w:tc>
          <w:tcPr>
            <w:tcW w:w="531" w:type="dxa"/>
            <w:tcBorders>
              <w:top w:val="single" w:color="auto" w:sz="4"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69</w:t>
            </w:r>
          </w:p>
        </w:tc>
        <w:tc>
          <w:tcPr>
            <w:tcW w:w="2173" w:type="dxa"/>
            <w:tcBorders>
              <w:top w:val="single" w:color="auto" w:sz="4"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裸眼3D影片</w:t>
            </w:r>
          </w:p>
        </w:tc>
        <w:tc>
          <w:tcPr>
            <w:tcW w:w="4422" w:type="dxa"/>
            <w:tcBorders>
              <w:top w:val="single" w:color="auto" w:sz="4"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1.内容策划：.资料收集整理、剧本（影片或互动媒体）影片或互动媒体的内容创意、内容大纲制作、详细分镜脚本制作、解说词编写</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2.特殊场景及尺寸分辨率的多通道投影融合影像画面制作，需对特殊视角进行逻辑推算演示；</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3.8K高清数字3D镜头制作,三维建模、动画、渲染、特效、后期合成；影视画面视觉设计包装；</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4.音乐编辑音乐编辑合成、声效编辑环境声音氛围，声效合成处理</w:t>
            </w:r>
          </w:p>
        </w:tc>
        <w:tc>
          <w:tcPr>
            <w:tcW w:w="974" w:type="dxa"/>
            <w:tcBorders>
              <w:top w:val="single" w:color="auto" w:sz="4"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秒</w:t>
            </w:r>
          </w:p>
        </w:tc>
        <w:tc>
          <w:tcPr>
            <w:tcW w:w="1140" w:type="dxa"/>
            <w:tcBorders>
              <w:top w:val="single" w:color="auto" w:sz="4"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60</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ascii="仿宋" w:hAnsi="仿宋" w:eastAsia="仿宋" w:cs="仿宋"/>
                <w:color w:val="auto"/>
                <w:sz w:val="20"/>
                <w:szCs w:val="20"/>
                <w:highlight w:val="none"/>
              </w:rPr>
            </w:pP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根系临平</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70</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定制单元说明牌</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1、40*40阻燃木方龙骨框架，12厚阻燃板基层，20厚铝型材框包边，展板金属挂件；</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2、3mm铝板uv饰面，文字图案编排、3厚亚克力雕刻字背面着色</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71</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定制小组说明牌</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1.定制小组说明牌</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72</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展品说明牌</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1.展品说明牌</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121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73</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图文展板</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1.40*40阻燃木方龙骨框架，12厚阻燃板基层，20厚铝型材框包边，展板金属挂件；</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2.面层材料品种、规格、颜色:雪绒布喷绘，背景合成图电分、扫描、修版、合成，背景合成喷专用防护油处理</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17.2</w:t>
            </w:r>
          </w:p>
        </w:tc>
      </w:tr>
      <w:tr>
        <w:tblPrEx>
          <w:tblCellMar>
            <w:top w:w="0" w:type="dxa"/>
            <w:left w:w="108" w:type="dxa"/>
            <w:bottom w:w="0" w:type="dxa"/>
            <w:right w:w="108" w:type="dxa"/>
          </w:tblCellMar>
        </w:tblPrEx>
        <w:trPr>
          <w:trHeight w:val="16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74</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进口油画布设计UV制作</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定制艺术油画布</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1、定制进口油画布UV，背景合成</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图电分、扫描、修版、合成及艺</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术创作，背景合成喷专用防护油</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处理；</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2、美术师级别：具有中级美术师</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及以上职称。</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29.25</w:t>
            </w:r>
          </w:p>
        </w:tc>
      </w:tr>
      <w:tr>
        <w:tblPrEx>
          <w:tblCellMar>
            <w:top w:w="0" w:type="dxa"/>
            <w:left w:w="108" w:type="dxa"/>
            <w:bottom w:w="0" w:type="dxa"/>
            <w:right w:w="108" w:type="dxa"/>
          </w:tblCellMar>
        </w:tblPrEx>
        <w:trPr>
          <w:trHeight w:val="7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75</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匾额</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1、木材品种 ：仿古杉板枋材</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2、雕刻纹样 ：阴雕刻块；     3、仿俞樾字体             4、尺寸1600*800</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块</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14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76</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定制组合柜</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1.名称:定制组合柜</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2.材料种类、规格:玻璃：8+8超</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白夹胶玻璃；定制金属收边，基</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面用定制钢板</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3.五金种类、规格:开启方式：电动旋出手动平移开启</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77</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仿清代家具</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1.仿古清代家具（含一砚台桌三张圈椅）</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套</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7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78</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沙画</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1.材料种类、规格:根据主题定位寻找素材资料、提炼主要信息点、中国美院国画系老师（副教授级别）进行初稿手绘创作</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79</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纱幔uv</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上方绳悬挂，纱幔uv，营造氛围</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9</w:t>
            </w:r>
          </w:p>
        </w:tc>
      </w:tr>
      <w:tr>
        <w:tblPrEx>
          <w:tblCellMar>
            <w:top w:w="0" w:type="dxa"/>
            <w:left w:w="108" w:type="dxa"/>
            <w:bottom w:w="0" w:type="dxa"/>
            <w:right w:w="108" w:type="dxa"/>
          </w:tblCellMar>
        </w:tblPrEx>
        <w:trPr>
          <w:trHeight w:val="7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80</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斜面看板</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定制冷钢板斜面看板（含支架），由专业厂家制作</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放置艺术雕刻字及书本</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81</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定制平柜</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1.定制组合平柜（木纹）</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2.材料种类、规格:1200*950展柜玻璃采用国产超白夹胶玻璃(6mm+1.52mm+6mm)，透光率&gt;95%以上</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w:t>
            </w: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82</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艺术雕刻字</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1.艺术雕刻字                                1.2厚不锈钢金属折边烤漆字</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2.字体规格:15*15*2cm</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3.固定方式:背面敷2cm厚PVC雕刻字</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20</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83</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书籍复制</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1.书籍纸张制作复制</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14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84</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创作画（放榜）</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1.创作画（放榜）                 2.材料种类、规格:根据主题定位寻找素材资料、提炼主要信息点、中国美院国画系老师（副教授级别）进行初稿手绘创作，色彩小样绘制确认、现场大图放样、着色、刻画、表面喷洒油画保护漆。</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幅</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85</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艺术半场景</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1.定制艺术假山半场景</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14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86</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42寸的触摸机，科举答题互动屏</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触控液晶屏；面板：IPS技术；屏幕分辨率：1920*1080；屏幕比例：16:9 、CPU I5、4G内存、储存128 G；触摸分辨率：4096*4096；扫描率：50scans/s；耐久性：承受超过八千万次以上单点触摸；触摸体&gt;5mm；音响系统：内置喇叭2*805W</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套</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19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87</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沙画视频播放器（42寸）</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1.分辨率:1920*1080</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2.屏幕比例:16:9</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3.面板:IPS技术</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4.屏幕刷新率:60Hz</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5.双核处理器</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6.内寸1G</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7.硬盘8G</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8.视频播放系统42寸播放器</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41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88</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交互程序</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1.资料收集整理、互动媒体的内容创意、内容大纲编写、详细资料，设计程序逻辑</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2.UI设计：UI界面设计制作，平面排版、内容整理、程序编排、特效制作</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3.程序开发：交互程序开发，多媒体内容架构，多片源组成的动态互动媒体数字内容结构搭建，图片处理，视频编辑、制作及后期处理制作，动态特效制作、内容收集美化制作</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4.软件内容制作：根据策划内容，设计制作图文</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套</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4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89</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液压支架</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1.专业定制维护支架；挂架材质:SPCC冷轧钢板；最大承重：55kg</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套</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p>
        </w:tc>
      </w:tr>
      <w:tr>
        <w:tblPrEx>
          <w:tblCellMar>
            <w:top w:w="0" w:type="dxa"/>
            <w:left w:w="108" w:type="dxa"/>
            <w:bottom w:w="0" w:type="dxa"/>
            <w:right w:w="108" w:type="dxa"/>
          </w:tblCellMar>
        </w:tblPrEx>
        <w:trPr>
          <w:trHeight w:val="33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90</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LED屏幕</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1.国产LED发光管2121共阴节能设计，国星铜线，点间距2mm，像素密度200000点/平米，白平衡亮度600nit，水平视角160°，垂直视角160°，2053驱动，颜色处理16bit，PFC高效超静音电源，模组像素点:128点列，64点行   2880*1600</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2.诺瓦 四进二出，HDMI*3,DVI*1,VGA*1,AV*2</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3.定制LED钢架</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4.强力巨彩 室内航插配电柜，定时开关，分步启动，电脑控制，提供:3C证书</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5.智能远程控制开关</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6.JBL RMA150 +JBL Control25 专用音箱系统设备，音箱50W-2台，功放150W-1台</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7.剪辑视频及特效制作 戏曲制作</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3.8</w:t>
            </w:r>
          </w:p>
        </w:tc>
      </w:tr>
      <w:tr>
        <w:tblPrEx>
          <w:tblCellMar>
            <w:top w:w="0" w:type="dxa"/>
            <w:left w:w="108" w:type="dxa"/>
            <w:bottom w:w="0" w:type="dxa"/>
            <w:right w:w="108" w:type="dxa"/>
          </w:tblCellMar>
        </w:tblPrEx>
        <w:trPr>
          <w:trHeight w:val="4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91</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LED钢架</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1.采用20*40  40*40的热镀锌方管制作，现场定制，尺寸标准。</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3.8</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92</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电源DC5V/200W</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1.电源DC5V/200W</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w:t>
            </w:r>
          </w:p>
        </w:tc>
      </w:tr>
      <w:tr>
        <w:tblPrEx>
          <w:tblCellMar>
            <w:top w:w="0" w:type="dxa"/>
            <w:left w:w="108" w:type="dxa"/>
            <w:bottom w:w="0" w:type="dxa"/>
            <w:right w:w="108" w:type="dxa"/>
          </w:tblCellMar>
        </w:tblPrEx>
        <w:trPr>
          <w:trHeight w:val="241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93</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视频处理器</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X6专业主控是针对LED显示屏工程应用领域的专业级控制系统和视频处理设备；具备丰富的视频信号接口，支持DVI、HDMI、SDI等高清数字接口，多路信号间无缝切换；支持广播级缩放及多画面显示。X6具备6个千兆网口输出，单机可支持最宽8192像素，或最高8192像素的LED显示屏。同时，X6还具备一系列丰富实用的功能，可以实现灵活的屏幕控制和高品质的图像显示，在LED显示屏工程应用领域具有显著优势。</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块</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19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94</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接收卡</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集成HUB75，无需再配转接板，更方便，成本更低；支持常规芯片实现高刷新、高灰度、高亮度；全新灰度引擎，低灰度表现更佳；细节处理更完美，可消除单元板设计引起的某行偏暗、低灰偏红、鬼影等细节问题；支持静态屏、1/2~1/32扫之间的任意扫描类型；支持DC 3.3V~6V超宽工作电压，有效减弱电压波动带来的影响</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块</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95</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拼接处理器</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1.卡莱特V8-8进-16出</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14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96</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音响</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1.低音单元 20cm PP mica cone高音单元 2.5cm 液态冷却 soft dome, swivel频率响应 50 Hz-28 kHz输入功率（额定/大） 140 W灵敏度 90 dB/2.83 V/1 m尺寸（宽 x 高 x 深） Φ283 x 120 mm装配深度 109 mm重量 1.9 kg/unit</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p>
        </w:tc>
      </w:tr>
      <w:tr>
        <w:tblPrEx>
          <w:tblCellMar>
            <w:top w:w="0" w:type="dxa"/>
            <w:left w:w="108" w:type="dxa"/>
            <w:bottom w:w="0" w:type="dxa"/>
            <w:right w:w="108" w:type="dxa"/>
          </w:tblCellMar>
        </w:tblPrEx>
        <w:trPr>
          <w:trHeight w:val="7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97</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内容策划</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1.资料收集整理、剧本（影片或互动媒体）影片或互动媒体的内容创意、内容大纲制作、详细分镜脚本制作、解说词编写</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套</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4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98</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素材收集、归纳</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素材收集、归纳甲供素材，规格处理，颜色调整等</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s</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60</w:t>
            </w:r>
          </w:p>
        </w:tc>
      </w:tr>
      <w:tr>
        <w:tblPrEx>
          <w:tblCellMar>
            <w:top w:w="0" w:type="dxa"/>
            <w:left w:w="108" w:type="dxa"/>
            <w:bottom w:w="0" w:type="dxa"/>
            <w:right w:w="108" w:type="dxa"/>
          </w:tblCellMar>
        </w:tblPrEx>
        <w:trPr>
          <w:trHeight w:val="121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99</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视频内容制作</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1.切入中控系统，可实现远程控制、循环播放、重要观众进入从头播放等功能</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2.视频剪辑与制作</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3.三维动画渲染12K分辨率VRay专业平台渲染、图形化动画制作及后期处理、建模，特效制作</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s</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60</w:t>
            </w:r>
          </w:p>
        </w:tc>
      </w:tr>
      <w:tr>
        <w:tblPrEx>
          <w:tblCellMar>
            <w:top w:w="0" w:type="dxa"/>
            <w:left w:w="108" w:type="dxa"/>
            <w:bottom w:w="0" w:type="dxa"/>
            <w:right w:w="108" w:type="dxa"/>
          </w:tblCellMar>
        </w:tblPrEx>
        <w:trPr>
          <w:trHeight w:val="4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100</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视频后期剪辑（12K）</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视频后期剪辑12K分辨率，内容编辑，影片节奏剪辑</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s</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60</w:t>
            </w:r>
          </w:p>
        </w:tc>
      </w:tr>
      <w:tr>
        <w:tblPrEx>
          <w:tblCellMar>
            <w:top w:w="0" w:type="dxa"/>
            <w:left w:w="108" w:type="dxa"/>
            <w:bottom w:w="0" w:type="dxa"/>
            <w:right w:w="108" w:type="dxa"/>
          </w:tblCellMar>
        </w:tblPrEx>
        <w:trPr>
          <w:trHeight w:val="4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101</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视频后期包装制作（12K）</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视频后期包装制作12K分辨率，尺寸调整、视频格式压缩、输出</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s</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60</w:t>
            </w:r>
          </w:p>
        </w:tc>
      </w:tr>
      <w:tr>
        <w:tblPrEx>
          <w:tblCellMar>
            <w:top w:w="0" w:type="dxa"/>
            <w:left w:w="108" w:type="dxa"/>
            <w:bottom w:w="0" w:type="dxa"/>
            <w:right w:w="108" w:type="dxa"/>
          </w:tblCellMar>
        </w:tblPrEx>
        <w:trPr>
          <w:trHeight w:val="4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102</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视频媒体格式化，输出</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视频媒体格式化，输出抬头、字幕、转场、合成，影片输出压缩</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s</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60</w:t>
            </w:r>
          </w:p>
        </w:tc>
      </w:tr>
      <w:tr>
        <w:tblPrEx>
          <w:tblCellMar>
            <w:top w:w="0" w:type="dxa"/>
            <w:left w:w="108" w:type="dxa"/>
            <w:bottom w:w="0" w:type="dxa"/>
            <w:right w:w="108" w:type="dxa"/>
          </w:tblCellMar>
        </w:tblPrEx>
        <w:trPr>
          <w:trHeight w:val="28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103</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投影机</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投影机特性高清投影机</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1、亮度≥5200lm（中心亮度），≥5000（ISO21118标准），分辨率≥1920X1200，兼容1920X1080，1024X768，对比度≥1,800:1静态;10,0000:1动态;300,0000:1，显示比例16:10兼容16:9,4:3。</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2、支持电动镜头位移功能</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3、整机功率：标准模式：350W+/-15%,节能模式230W+/-15%；待机功率：正常模式：≤0.2W，网络待机：≤0.5W；</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4、支持7*24小时不间断连续工作，光源使用寿命≥20000小时（正常模式）。</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7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104</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吊架</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1.名称:投影机吊架</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2.规格:承重50KG，可伸缩0.65-1米，材质：碳素钢</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105</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投影机镜头</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1.定制超短焦</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106</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图形计算机</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1.名称:图形计算机</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2.规格:主机:CPU: Intel 酷睿I7；内存:8GB；硬盘:120G固态硬盘；显卡：2G独显；电源:650w；机箱：工控机箱</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6463"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107</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扩声系统设备</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1.名称:功放</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2立体声输出功率8Ω：2x600W</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立体声输出功率 4Ω：2x900W</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立体声输出功率 2Ω：2x1200W</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桥接单声道输出8Ω：1800W</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桥接单声道输出4Ω：2400W</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频率响应：5-20K+/-0.5dB</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总谐波失真：&lt;0.05%@8Ω 1KHz 1/4Po</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信噪比：&gt;102dB</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瞬态响应：20V/u S</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阻尼系数：&gt;400</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串音：&gt;60dB@8Ω 1KHz</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输入阻抗：20KΩ(Balance)/10KΩ(Unbalance)</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输入灵敏度：1V</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高度：2U</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重量：26KG</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尺寸：575x570x158mm</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包装：纸箱保护</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5426" w:hRule="atLeast"/>
        </w:trPr>
        <w:tc>
          <w:tcPr>
            <w:tcW w:w="531" w:type="dxa"/>
            <w:tcBorders>
              <w:top w:val="single" w:color="000000" w:sz="8" w:space="0"/>
              <w:left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108</w:t>
            </w:r>
          </w:p>
        </w:tc>
        <w:tc>
          <w:tcPr>
            <w:tcW w:w="2173" w:type="dxa"/>
            <w:tcBorders>
              <w:top w:val="single" w:color="000000" w:sz="8" w:space="0"/>
              <w:left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扩声系统设备</w:t>
            </w:r>
          </w:p>
        </w:tc>
        <w:tc>
          <w:tcPr>
            <w:tcW w:w="4422" w:type="dxa"/>
            <w:tcBorders>
              <w:top w:val="single" w:color="000000" w:sz="8" w:space="0"/>
              <w:left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1.名称:8英寸无框天花扬声器</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 xml:space="preserve">2.规格:1、产品类型:8英寸无框天花扬声器 </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2、系统安全:CAPD II高频过载保护</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3、频率响应(-10 dB):69Hz-20kHz</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4、灵敏度(1W/1m):89 dB</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5、声压级(持续/峰值:112/118 dB</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6、额定系统功率:95W(RMS)</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峰值系统功率:380W(Peak)</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7、标称阻抗:8 Ohm</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8、定压选项:50W/25W/12.5W/6.25W/3.1W @70V/100V</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9、磁体类型;低音材质&gt;橡边PP盆，高音材质&gt;钛膜球顶</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低音数组:1 x 8" 代码CT4008KB</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高音数组:1 x 1" 代码DT4001M</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10、外观描述:面罩使用</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磁吸式无边框安装结构</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11、覆盖角度:90°H×90°V</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12、外部尺寸:275mm x 222mm</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开孔口径:245mm</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产品重量:3.05kg</w:t>
            </w:r>
          </w:p>
        </w:tc>
        <w:tc>
          <w:tcPr>
            <w:tcW w:w="974" w:type="dxa"/>
            <w:tcBorders>
              <w:top w:val="single" w:color="000000" w:sz="8" w:space="0"/>
              <w:left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ascii="仿宋" w:hAnsi="仿宋" w:eastAsia="仿宋" w:cs="仿宋"/>
                <w:color w:val="auto"/>
                <w:sz w:val="20"/>
                <w:szCs w:val="20"/>
                <w:highlight w:val="none"/>
              </w:rPr>
            </w:pP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情牵临平</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109</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定制单元说明牌</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1、40*40阻燃木方龙骨框架，12厚阻燃板基层，20厚铝型材框包边，展板金属挂件；</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2、3mm铝板uv饰面，文字图案编排、3厚亚克力雕刻字背面着色</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110</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定制小组说明牌</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1.定制小组说明牌</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w:t>
            </w:r>
          </w:p>
        </w:tc>
      </w:tr>
      <w:tr>
        <w:tblPrEx>
          <w:tblCellMar>
            <w:top w:w="0" w:type="dxa"/>
            <w:left w:w="108" w:type="dxa"/>
            <w:bottom w:w="0" w:type="dxa"/>
            <w:right w:w="108" w:type="dxa"/>
          </w:tblCellMar>
        </w:tblPrEx>
        <w:trPr>
          <w:trHeight w:val="90"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111</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展品说明牌</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1.展品说明牌</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112</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二级看板</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1.二级看板</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p>
        </w:tc>
      </w:tr>
      <w:tr>
        <w:tblPrEx>
          <w:tblCellMar>
            <w:top w:w="0" w:type="dxa"/>
            <w:left w:w="108" w:type="dxa"/>
            <w:bottom w:w="0" w:type="dxa"/>
            <w:right w:w="108" w:type="dxa"/>
          </w:tblCellMar>
        </w:tblPrEx>
        <w:trPr>
          <w:trHeight w:val="121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113</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图文展板</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1.40*40阻燃木方龙骨框架，12厚阻燃板基层，20厚铝型材框包边，展板金属挂件；</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2.面层材料品种、规格、颜色:雪绒布喷绘，背景合成图电分、扫描、修版、合成，背景合成喷专用防护油处理</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3.7</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114</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牌匾</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1.实木牌匾</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16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115</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进口油画布设计UV制作</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定制艺术油画布</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1、定制进口油画布UV，背景合成</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图电分、扫描、修版、合成及艺</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术创作，背景合成喷专用防护油</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处理；</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2、美术师级别：具有中级美术师</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及以上职称。</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10</w:t>
            </w: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116</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定制软膜灯箱</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1.名称:定制软膜</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2.基层材料种类:金属边框；铝合金龙骨+LED光源</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3.面层材料种类:UV软膜</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w:t>
            </w:r>
          </w:p>
        </w:tc>
      </w:tr>
      <w:tr>
        <w:tblPrEx>
          <w:tblCellMar>
            <w:top w:w="0" w:type="dxa"/>
            <w:left w:w="108" w:type="dxa"/>
            <w:bottom w:w="0" w:type="dxa"/>
            <w:right w:w="108" w:type="dxa"/>
          </w:tblCellMar>
        </w:tblPrEx>
        <w:trPr>
          <w:trHeight w:val="121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117</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风韵临平创作画</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1.材料种类、规格:根据主题定位寻找素材资料、提炼主要信息点、中国美院国画系老师（副教授级别）进行初稿手绘创作</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2.色彩小样绘制确认、现场大图放样、着色、刻画、表面喷洒油画保护漆。</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w:t>
            </w:r>
          </w:p>
        </w:tc>
      </w:tr>
      <w:tr>
        <w:tblPrEx>
          <w:tblCellMar>
            <w:top w:w="0" w:type="dxa"/>
            <w:left w:w="108" w:type="dxa"/>
            <w:bottom w:w="0" w:type="dxa"/>
            <w:right w:w="108" w:type="dxa"/>
          </w:tblCellMar>
        </w:tblPrEx>
        <w:trPr>
          <w:trHeight w:val="121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118</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俞越回临平创作画</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1.材料种类、规格:根据主题定位寻找素材资料、提炼主要信息点、中国美院国画系老师（副教授级别）进行初稿手绘创作</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2.色彩小样绘制确认、现场大图放样、着色、刻画、表面喷洒油画保护漆。</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119</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纱幔uv</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上方绳悬挂，纱幔uv，营造氛围</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6</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120</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实木格栅</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1.实木格栅</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2.5</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121</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定制艺术人物剪板</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钢板人物剪板造型</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7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122</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艺术雕刻字</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1.1.2厚不锈钢金属折边烤漆字</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2.字体规格:15*15*2cm</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3.固定方式:背面敷2cm厚PVC雕刻字</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20</w:t>
            </w:r>
          </w:p>
        </w:tc>
      </w:tr>
      <w:tr>
        <w:tblPrEx>
          <w:tblCellMar>
            <w:top w:w="0" w:type="dxa"/>
            <w:left w:w="108" w:type="dxa"/>
            <w:bottom w:w="0" w:type="dxa"/>
            <w:right w:w="108" w:type="dxa"/>
          </w:tblCellMar>
        </w:tblPrEx>
        <w:trPr>
          <w:trHeight w:val="14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123</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定制组合柜</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1.名称:定制组合柜</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2.材料种类、规格:玻璃：8+8超</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白夹胶玻璃；定制金属收边，基</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面用定制钢板</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3.五金种类、规格:开启方式：电动旋出手动平移开启</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124</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定制平柜</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1.定制组合平柜（木纹）</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2.材料种类、规格:1200*950展柜玻璃采用国产超白夹胶玻璃(6mm+1.52mm+6mm)，透光率&gt;95%以上</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125</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盆景架</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1.盆景架</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p>
        </w:tc>
      </w:tr>
      <w:tr>
        <w:tblPrEx>
          <w:tblCellMar>
            <w:top w:w="0" w:type="dxa"/>
            <w:left w:w="108" w:type="dxa"/>
            <w:bottom w:w="0" w:type="dxa"/>
            <w:right w:w="108" w:type="dxa"/>
          </w:tblCellMar>
        </w:tblPrEx>
        <w:trPr>
          <w:trHeight w:val="4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126</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余樾游览临平，电子沙盘</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材料种类：沙盘钢板烤漆包边，沙盘造型（含金属底座）</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w:t>
            </w:r>
          </w:p>
        </w:tc>
      </w:tr>
      <w:tr>
        <w:tblPrEx>
          <w:tblCellMar>
            <w:top w:w="0" w:type="dxa"/>
            <w:left w:w="108" w:type="dxa"/>
            <w:bottom w:w="0" w:type="dxa"/>
            <w:right w:w="108" w:type="dxa"/>
          </w:tblCellMar>
        </w:tblPrEx>
        <w:trPr>
          <w:trHeight w:val="28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127</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投影机</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投影机特性高清投影机</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1、亮度≥5200lm（中心亮度），≥5000（ISO21118标准），分辨率≥1920X1200，兼容1920X1080，1024X768，对比度≥1,800:1静态;10,0000:1动态;300,0000:1，显示比例16:10兼容16:9,4:3。</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2、支持电动镜头位移功能</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3、整机功率：标准模式：350W+/-15%,节能模式230W+/-15%；待机功率：正常模式：≤0.2W，网络待机：≤0.5W；</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4、支持7*24小时不间断连续工作，光源使用寿命≥20000小时（正常模式）。</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7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128</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吊架</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1.名称:投影机吊架</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2.规格:承重50KG，可伸缩0.65-1米，材质：碳素钢</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129</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投影机镜头</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1.定制超短焦</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130</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图形计算机</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1.名称:图形计算机</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2.规格:主机:CPU: Intel 酷睿I7；内存:8GB；硬盘:120G固态硬盘；显卡：2G独显；电源:650w；机箱：工控机箱</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43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131</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扩声系统设备</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1.名称:功放</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2立体声输出功率8Ω：2x600W</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立体声输出功率 4Ω：2x900W</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立体声输出功率 2Ω：2x1200W</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桥接单声道输出8Ω：1800W</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桥接单声道输出4Ω：2400W</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频率响应：5-20K+/-0.5dB</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总谐波失真：&lt;0.05%@8Ω 1KHz 1/4Po</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信噪比：&gt;102dB</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瞬态响应：20V/u S</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阻尼系数：&gt;400</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串音：&gt;60dB@8Ω 1KHz</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输入阻抗：20KΩ(Balance)/10KΩ(Unbalance)</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输入灵敏度：1V</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高度：2U</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重量：26KG</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尺寸：575x570x158mm</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包装：纸箱保护</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5426" w:hRule="atLeast"/>
        </w:trPr>
        <w:tc>
          <w:tcPr>
            <w:tcW w:w="531" w:type="dxa"/>
            <w:tcBorders>
              <w:top w:val="single" w:color="000000" w:sz="8" w:space="0"/>
              <w:left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132</w:t>
            </w:r>
          </w:p>
        </w:tc>
        <w:tc>
          <w:tcPr>
            <w:tcW w:w="2173" w:type="dxa"/>
            <w:tcBorders>
              <w:top w:val="single" w:color="000000" w:sz="8" w:space="0"/>
              <w:left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扩声系统设备</w:t>
            </w:r>
          </w:p>
        </w:tc>
        <w:tc>
          <w:tcPr>
            <w:tcW w:w="4422" w:type="dxa"/>
            <w:tcBorders>
              <w:top w:val="single" w:color="000000" w:sz="8" w:space="0"/>
              <w:left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1.名称:8英寸无框天花扬声器</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 xml:space="preserve">2.规格:1、产品类型:8英寸无框天花扬声器 </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2、系统安全:CAPD II高频过载保护</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3、频率响应(-10 dB):69Hz-20kHz</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4、灵敏度(1W/1m):89 dB</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5、声压级(持续/峰值:112/118 dB</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6、额定系统功率:95W(RMS)</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峰值系统功率:380W(Peak)</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7、标称阻抗:8 Ohm</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8、定压选项:50W/25W/12.5W/6.25W/3.1W @70V/100V</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9、磁体类型;低音材质&gt;橡边PP盆，高音材质&gt;钛膜球顶</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低音数组:1 x 8" 代码CT4008KB</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高音数组:1 x 1" 代码DT4001M</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10、外观描述:面罩使用</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磁吸式无边框安装结构</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11、覆盖角度:90°H×90°V</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12、外部尺寸:275mm x 222mm</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开孔口径:245mm</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产品重量:3.05kg</w:t>
            </w:r>
          </w:p>
        </w:tc>
        <w:tc>
          <w:tcPr>
            <w:tcW w:w="974" w:type="dxa"/>
            <w:tcBorders>
              <w:top w:val="single" w:color="000000" w:sz="8" w:space="0"/>
              <w:left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p>
        </w:tc>
      </w:tr>
      <w:tr>
        <w:tblPrEx>
          <w:tblCellMar>
            <w:top w:w="0" w:type="dxa"/>
            <w:left w:w="108" w:type="dxa"/>
            <w:bottom w:w="0" w:type="dxa"/>
            <w:right w:w="108" w:type="dxa"/>
          </w:tblCellMar>
        </w:tblPrEx>
        <w:trPr>
          <w:trHeight w:val="14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133</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沙盘交互影片</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1.高清影片制作，与电子沙盘联动，到哪个景点讲哪个景点的故事</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2.影片内容需有方案创意构思，根据客户需求，固定影片风格，拟定方向。</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3.多媒体内容脚本制作:根据策划拟定的方向进行影片内容、画面的文字性创作。</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秒</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60</w:t>
            </w:r>
          </w:p>
        </w:tc>
      </w:tr>
      <w:tr>
        <w:tblPrEx>
          <w:tblCellMar>
            <w:top w:w="0" w:type="dxa"/>
            <w:left w:w="108" w:type="dxa"/>
            <w:bottom w:w="0" w:type="dxa"/>
            <w:right w:w="108" w:type="dxa"/>
          </w:tblCellMar>
        </w:tblPrEx>
        <w:trPr>
          <w:trHeight w:val="14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134</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42寸触摸一体机，美食多点互动，制作流程</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1.触控液晶屏；面板:IPS技术；屏幕分辨率：1920*1080；屏幕比例：16:9 、CPU I5、4G内存、储存128 G；触摸分辨率：4096*4096；扫描率：50scans/s；耐久性：承受超过八千万次以上单点触摸；触摸体&gt;5mm；音响系统：内置喇叭2*805W</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4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135</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液压支架</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1.专业定制维护支架；挂架材质:SPCC冷轧钢板；最大承重：55kg</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套</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41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136</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交互程序</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1.资料收集整理、互动媒体的内容创意、内容大纲编写、详细资料，设计程序逻辑</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2.UI设计：UI界面设计制作，平面排版、内容整理、程序编排、特效制作</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3.程序开发：交互程序开发，多媒体内容架构，多片源组成的动态互动媒体数字内容结构搭建，图片处理，视频编辑、制作及后期处理制作，动态特效制作、内容收集美化制作</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4.软件内容制作：根据策划内容，设计制作图文</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ascii="仿宋" w:hAnsi="仿宋" w:eastAsia="仿宋" w:cs="仿宋"/>
                <w:color w:val="auto"/>
                <w:sz w:val="20"/>
                <w:szCs w:val="20"/>
                <w:highlight w:val="none"/>
              </w:rPr>
            </w:pP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第二部分儒林宗硕</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ascii="仿宋" w:hAnsi="仿宋" w:eastAsia="仿宋" w:cs="仿宋"/>
                <w:color w:val="auto"/>
                <w:sz w:val="20"/>
                <w:szCs w:val="20"/>
                <w:highlight w:val="none"/>
              </w:rPr>
            </w:pP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士林泰斗</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137</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定制部分说明牌</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1、40*40阻燃木方龙骨框架，12厚阻燃板基层，20厚铝型材框包边，展板金属挂件；</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2、3mm铝板uv饰面，文字图案编排、3厚亚克力雕刻字背面着色</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138</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定制单元说明牌</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1、40*40阻燃木方龙骨框架，12厚阻燃板基层，20厚铝型材框包边，展板金属挂件；</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2、3mm铝板uv饰面，文字图案编排、3厚亚克力雕刻字背面着色</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139</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定制小组说明牌</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1.定制小组说明牌</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140</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展品说明牌</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1.展品说明牌</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141</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二级看板</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1.二级看板</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142</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著作等身艺术装置</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1.定制艺术书本装置</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143</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艺术半场景</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1.定制艺术半场景</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w:t>
            </w:r>
          </w:p>
        </w:tc>
      </w:tr>
      <w:tr>
        <w:tblPrEx>
          <w:tblCellMar>
            <w:top w:w="0" w:type="dxa"/>
            <w:left w:w="108" w:type="dxa"/>
            <w:bottom w:w="0" w:type="dxa"/>
            <w:right w:w="108" w:type="dxa"/>
          </w:tblCellMar>
        </w:tblPrEx>
        <w:trPr>
          <w:trHeight w:val="121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144</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图文展板</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1.40*40阻燃木方龙骨框架，12厚阻燃板基层，20厚铝型材框包边，展板金属挂件；</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2.面层材料品种、规格、颜色:雪绒布喷绘，背景合成图电分、扫描、修版、合成，背景合成喷专用防护油处理</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15.2</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145</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镜面玻璃装饰板</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1.镜面玻璃装饰板</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w:t>
            </w: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146</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定制软膜灯箱</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1.名称:定制软膜</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2.基层材料种类:金属边框；铝合金龙骨+LED光源</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3.面层材料种类:UV软膜</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51.2</w:t>
            </w:r>
          </w:p>
        </w:tc>
      </w:tr>
      <w:tr>
        <w:tblPrEx>
          <w:tblCellMar>
            <w:top w:w="0" w:type="dxa"/>
            <w:left w:w="108" w:type="dxa"/>
            <w:bottom w:w="0" w:type="dxa"/>
            <w:right w:w="108" w:type="dxa"/>
          </w:tblCellMar>
        </w:tblPrEx>
        <w:trPr>
          <w:trHeight w:val="16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147</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进口油画布设计UV制作</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定制艺术油画布</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1、定制进口油画布UV，背景合成</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图电分、扫描、修版、合成及艺</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术创作，背景合成喷专用防护油</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处理；</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2、美术师级别：具有中级美术师</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及以上职称。</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31</w:t>
            </w: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148</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斜面看板</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1.名称:斜面看板</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2.材料种类、规格:雪绒布喷绘，背景合成图电分、扫描、修版、合成及艺术创作，背景合成喷专用防护油处理说明图文版面；</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3.6</w:t>
            </w:r>
          </w:p>
        </w:tc>
      </w:tr>
      <w:tr>
        <w:tblPrEx>
          <w:tblCellMar>
            <w:top w:w="0" w:type="dxa"/>
            <w:left w:w="108" w:type="dxa"/>
            <w:bottom w:w="0" w:type="dxa"/>
            <w:right w:w="108" w:type="dxa"/>
          </w:tblCellMar>
        </w:tblPrEx>
        <w:trPr>
          <w:trHeight w:val="7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149</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艺术雕刻字</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1.1.2厚不锈钢金属折边烤漆字</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2.字体规格:15*15*2cm</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3.固定方式:背面敷2cm厚PVC雕刻字</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30</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150</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实木格栅</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1.实木格栅</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w:t>
            </w: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151</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定制平柜</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1.定制组合平柜（木纹）</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2.材料种类、规格:1200*950展柜玻璃采用国产超白夹胶玻璃(6mm+1.52mm+6mm)，透光率&gt;95%以上</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w:t>
            </w:r>
          </w:p>
        </w:tc>
      </w:tr>
      <w:tr>
        <w:tblPrEx>
          <w:tblCellMar>
            <w:top w:w="0" w:type="dxa"/>
            <w:left w:w="108" w:type="dxa"/>
            <w:bottom w:w="0" w:type="dxa"/>
            <w:right w:w="108" w:type="dxa"/>
          </w:tblCellMar>
        </w:tblPrEx>
        <w:trPr>
          <w:trHeight w:val="14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152</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定制组合柜</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1.名称:定制组合柜</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2.材料种类、规格:玻璃：8+8超</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白夹胶玻璃；定制金属收边，基</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面用定制钢板</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3.五金种类、规格:开启方式：电动旋出手动平移开启</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p>
        </w:tc>
      </w:tr>
      <w:tr>
        <w:tblPrEx>
          <w:tblCellMar>
            <w:top w:w="0" w:type="dxa"/>
            <w:left w:w="108" w:type="dxa"/>
            <w:bottom w:w="0" w:type="dxa"/>
            <w:right w:w="108" w:type="dxa"/>
          </w:tblCellMar>
        </w:tblPrEx>
        <w:trPr>
          <w:trHeight w:val="28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153</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投影机</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投影机特性高清投影机</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1、亮度≥5200lm（中心亮度），≥5000（ISO21118标准），分辨率≥1920X1200，兼容1920X1080，1024X768，对比度≥1,800:1静态;10,0000:1动态;300,0000:1，显示比例16:10兼容16:9,4:3。</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2、支持电动镜头位移功能</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3、整机功率：标准模式：350W+/-15%,节能模式230W+/-15%；待机功率：正常模式：≤0.2W，网络待机：≤0.5W；</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4、支持7*24小时不间断连续工作，光源使用寿命≥20000小时（正常模式）。</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7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154</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吊架</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1.名称:投影机吊架</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2.规格:承重50KG，可伸缩0.65-1米，材质：碳素钢</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155</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投影机镜头</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1.定制超短焦</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156</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图形计算机</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1.名称:图形计算机</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2.规格:主机:CPU: Intel 酷睿I7；内存:8GB；硬盘:120G固态硬盘；显卡：2G独显；电源:650w；机箱：工控机箱</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43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157</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扩声系统设备</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1.名称:功放</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2立体声输出功率8Ω：2x600W</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立体声输出功率 4Ω：2x900W</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立体声输出功率 2Ω：2x1200W</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桥接单声道输出8Ω：1800W</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桥接单声道输出4Ω：2400W</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频率响应：5-20K+/-0.5dB</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总谐波失真：&lt;0.05%@8Ω 1KHz 1/4Po</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信噪比：&gt;102dB</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瞬态响应：20V/u S</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阻尼系数：&gt;400</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串音：&gt;60dB@8Ω 1KHz</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输入阻抗：20KΩ(Balance)/10KΩ(Unbalance)</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输入灵敏度：1V</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高度：2U</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重量：26KG</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尺寸：575x570x158mm</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包装：纸箱保护</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5426" w:hRule="atLeast"/>
        </w:trPr>
        <w:tc>
          <w:tcPr>
            <w:tcW w:w="531" w:type="dxa"/>
            <w:tcBorders>
              <w:top w:val="single" w:color="000000" w:sz="8" w:space="0"/>
              <w:left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158</w:t>
            </w:r>
          </w:p>
        </w:tc>
        <w:tc>
          <w:tcPr>
            <w:tcW w:w="2173" w:type="dxa"/>
            <w:tcBorders>
              <w:top w:val="single" w:color="000000" w:sz="8" w:space="0"/>
              <w:left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扩声系统设备</w:t>
            </w:r>
          </w:p>
        </w:tc>
        <w:tc>
          <w:tcPr>
            <w:tcW w:w="4422" w:type="dxa"/>
            <w:tcBorders>
              <w:top w:val="single" w:color="000000" w:sz="8" w:space="0"/>
              <w:left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1.名称:8英寸无框天花扬声器</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 xml:space="preserve">2.规格:1、产品类型:8英寸无框天花扬声器 </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2、系统安全:CAPD II高频过载保护</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3、频率响应(-10 dB):69Hz-20kHz</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4、灵敏度(1W/1m):89 dB</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5、声压级(持续/峰值:112/118 dB</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6、额定系统功率:95W(RMS)</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峰值系统功率:380W(Peak)</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7、标称阻抗:8 Ohm</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8、定压选项:50W/25W/12.5W/6.25W/3.1W @70V/100V</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9、磁体类型;低音材质&gt;橡边PP盆，高音材质&gt;钛膜球顶</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低音数组:1 x 8" 代码CT4008KB</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高音数组:1 x 1" 代码DT4001M</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10、外观描述:面罩使用</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磁吸式无边框安装结构</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11、覆盖角度:90°H×90°V</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12、外部尺寸:275mm x 222mm</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开孔口径:245mm</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产品重量:3.05kg</w:t>
            </w:r>
          </w:p>
        </w:tc>
        <w:tc>
          <w:tcPr>
            <w:tcW w:w="974" w:type="dxa"/>
            <w:tcBorders>
              <w:top w:val="single" w:color="000000" w:sz="8" w:space="0"/>
              <w:left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ascii="仿宋" w:hAnsi="仿宋" w:eastAsia="仿宋" w:cs="仿宋"/>
                <w:color w:val="auto"/>
                <w:sz w:val="20"/>
                <w:szCs w:val="20"/>
                <w:highlight w:val="none"/>
              </w:rPr>
            </w:pP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东鸣西应</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159</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定制部分说明牌</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1、40*40阻燃木方龙骨框架，12厚阻燃板基层，20厚铝型材框包边，展板金属挂件；</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2、3mm铝板uv饰面，文字图案编排、3厚亚克力雕刻字背面着色</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160</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定制单元说明牌</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1、40*40阻燃木方龙骨框架，12厚阻燃板基层，20厚铝型材框包边，展板金属挂件；</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2、3mm铝板uv饰面，文字图案编排、3厚亚克力雕刻字背面着色</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161</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定制小组说明牌</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1.定制小组说明牌</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162</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展品说明牌</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1.展品说明牌</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163</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定制软膜灯箱</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1.名称:定制软膜</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2.基层材料种类:金属边框；铝合金龙骨+LED光源</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3.面层材料种类:UV软膜</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6</w:t>
            </w:r>
          </w:p>
        </w:tc>
      </w:tr>
      <w:tr>
        <w:tblPrEx>
          <w:tblCellMar>
            <w:top w:w="0" w:type="dxa"/>
            <w:left w:w="108" w:type="dxa"/>
            <w:bottom w:w="0" w:type="dxa"/>
            <w:right w:w="108" w:type="dxa"/>
          </w:tblCellMar>
        </w:tblPrEx>
        <w:trPr>
          <w:trHeight w:val="7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164</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艺术雕刻字</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1.1.2厚不锈钢金属折边烤漆字</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2.字体规格:15*15*2cm</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3.固定方式:背面敷2cm厚PVC雕刻字</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w:t>
            </w: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165</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定制平柜</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1.定制组合平柜（木纹）</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2.材料种类、规格:1200*950展柜玻璃采用国产超白夹胶玻璃(6mm+1.52mm+6mm)，透光率&gt;95%以上</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16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166</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进口油画布设计UV制作</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定制艺术油画布</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1、定制进口油画布UV，背景合成</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图电分、扫描、修版、合成及艺</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术创作，背景合成喷专用防护油</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处理；</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2、美术师级别：具有中级美术师</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及以上职称。</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ascii="仿宋" w:hAnsi="仿宋" w:eastAsia="仿宋" w:cs="仿宋"/>
                <w:color w:val="auto"/>
                <w:sz w:val="20"/>
                <w:szCs w:val="20"/>
                <w:highlight w:val="none"/>
              </w:rPr>
            </w:pP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尾厅长留天地间</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167</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定制单元说明牌</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1、40*40阻燃木方龙骨框架，12厚阻燃板基层，20厚铝型材框包边，展板金属挂件；</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2、3mm铝板uv饰面，文字图案编排、3厚亚克力雕刻字背面着色</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121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168</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图文展板</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1.40*40阻燃木方龙骨框架，12厚阻燃板基层，20厚铝型材框包边，展板金属挂件；</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2.面层材料品种、规格、颜色:雪绒布喷绘，背景合成图电分、扫描、修版、合成，背景合成喷专用防护油处理</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2.1</w:t>
            </w:r>
          </w:p>
        </w:tc>
      </w:tr>
      <w:tr>
        <w:tblPrEx>
          <w:tblCellMar>
            <w:top w:w="0" w:type="dxa"/>
            <w:left w:w="108" w:type="dxa"/>
            <w:bottom w:w="0" w:type="dxa"/>
            <w:right w:w="108" w:type="dxa"/>
          </w:tblCellMar>
        </w:tblPrEx>
        <w:trPr>
          <w:trHeight w:val="7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169</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艺术雕刻字</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1.1.2厚不锈钢金属折边烤漆字</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2.字体规格:15*15*2cm</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3.固定方式:背面敷2cm厚PVC雕刻字</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8</w:t>
            </w:r>
          </w:p>
        </w:tc>
      </w:tr>
      <w:tr>
        <w:tblPrEx>
          <w:tblCellMar>
            <w:top w:w="0" w:type="dxa"/>
            <w:left w:w="108" w:type="dxa"/>
            <w:bottom w:w="0" w:type="dxa"/>
            <w:right w:w="108" w:type="dxa"/>
          </w:tblCellMar>
        </w:tblPrEx>
        <w:trPr>
          <w:trHeight w:val="16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170</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进口油画布设计UV制作</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定制艺术油画布</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1、定制进口油画布UV，背景合成</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图电分、扫描、修版、合成及艺</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术创作，背景合成喷专用防护油</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处理；</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2、美术师级别：具有中级美术师</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及以上职称。</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6</w:t>
            </w:r>
          </w:p>
        </w:tc>
      </w:tr>
      <w:tr>
        <w:tblPrEx>
          <w:tblCellMar>
            <w:top w:w="0" w:type="dxa"/>
            <w:left w:w="108" w:type="dxa"/>
            <w:bottom w:w="0" w:type="dxa"/>
            <w:right w:w="108" w:type="dxa"/>
          </w:tblCellMar>
        </w:tblPrEx>
        <w:trPr>
          <w:trHeight w:val="14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171</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42寸组合触摸一体机，留言墙</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触控液晶屏；面板：IPS技术；屏幕分辨率：1920*1080；屏幕比例：16:9 、CPU I5、4G内存、储存128 G；触摸分辨率：4096*4096；扫描率：50scans/s；耐久性：承受超过八千万次以上单点触摸；触摸体&gt;5mm；音响系统：内置喇叭2*805W</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6</w:t>
            </w:r>
          </w:p>
        </w:tc>
      </w:tr>
      <w:tr>
        <w:tblPrEx>
          <w:tblCellMar>
            <w:top w:w="0" w:type="dxa"/>
            <w:left w:w="108" w:type="dxa"/>
            <w:bottom w:w="0" w:type="dxa"/>
            <w:right w:w="108" w:type="dxa"/>
          </w:tblCellMar>
        </w:tblPrEx>
        <w:trPr>
          <w:trHeight w:val="241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172</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交互程序</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1.资料收集整理、互动媒体的内容创意、内容大纲编写、详细资料，设计程序逻辑</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2.UI设计：UI界面设计制作，平面排版、内容整理、程序编排、特效制作</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3.程序开发：交互程序开发，多媒体内容架构，多片源组成的动态互动媒体数字内容结构搭建，图片处理，视频编辑、制作及后期处理制作，动态特效制作、内容收集美化制作</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4.软件内容制作：根据策划内容，设计制作图文</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4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ascii="仿宋" w:hAnsi="仿宋" w:eastAsia="仿宋" w:cs="仿宋"/>
                <w:color w:val="auto"/>
                <w:sz w:val="20"/>
                <w:szCs w:val="20"/>
                <w:highlight w:val="none"/>
              </w:rPr>
            </w:pP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咖啡吧 城市书屋 多功能厅</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28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173</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多功能厅（投影机）投影机特性高清投影机</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1.多功能厅（投影机）投影机特性高清投影机</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2.亮度≥5200lm（中心亮度），≥5000（ISO21118标准），分辨率≥1920X1200，兼容1920X1080，1024X768，对比度≥1,800:1静态;10,0000:1动态;300,0000:1，显示比例16:10兼容16:9,4:3。</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3.支持电动镜头位移功能</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4.整机功率:标准模式：350W+/-15%,节能模式230W+/-15%；待机功率：正常模式：≤0.2W，网络待机：≤0.5W；</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5.支持7*24小时不间断连续工作，光源使用寿命≥20000小时（正常模式）。</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174</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投影机镜头</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1.定制超短焦镜头</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9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175</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图形计算机</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1.名称:图形计算机</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2.规格:主机:CPU: Intel 酷睿I7；内存:8GB；硬盘:120G固态硬盘；显卡：2G独显；电源:650w；机箱：工控机箱</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43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176</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扩声系统设备</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1.名称:功放</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2立体声输出功率8Ω：2x600W</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立体声输出功率 4Ω：2x900W</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立体声输出功率 2Ω：2x1200W</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桥接单声道输出8Ω：1800W</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桥接单声道输出4Ω：2400W</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频率响应：5-20K+/-0.5dB</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总谐波失真：&lt;0.05%@8Ω 1KHz 1/4Po</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信噪比：&gt;102dB</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瞬态响应：20V/u S</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阻尼系数：&gt;400</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串音：&gt;60dB@8Ω 1KHz</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输入阻抗：20KΩ(Balance)/10KΩ(Unbalance)</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输入灵敏度：1V</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高度：2U</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重量：26KG</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尺寸：575x570x158mm</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包装：纸箱保护</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5426" w:hRule="atLeast"/>
        </w:trPr>
        <w:tc>
          <w:tcPr>
            <w:tcW w:w="531" w:type="dxa"/>
            <w:tcBorders>
              <w:top w:val="single" w:color="000000" w:sz="8" w:space="0"/>
              <w:left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177</w:t>
            </w:r>
          </w:p>
        </w:tc>
        <w:tc>
          <w:tcPr>
            <w:tcW w:w="2173" w:type="dxa"/>
            <w:tcBorders>
              <w:top w:val="single" w:color="000000" w:sz="8" w:space="0"/>
              <w:left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扩声系统设备</w:t>
            </w:r>
          </w:p>
        </w:tc>
        <w:tc>
          <w:tcPr>
            <w:tcW w:w="4422" w:type="dxa"/>
            <w:tcBorders>
              <w:top w:val="single" w:color="000000" w:sz="8" w:space="0"/>
              <w:left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1.名称:8英寸无框天花扬声器</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 xml:space="preserve">2.规格:1、产品类型:8英寸无框天花扬声器 </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2、系统安全:CAPD II高频过载保护</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3、频率响应(-10 dB):69Hz-20kHz</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4、灵敏度(1W/1m):89 dB</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5、声压级(持续/峰值:112/118 dB</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6、额定系统功率:95W(RMS)</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峰值系统功率:380W(Peak)</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7、标称阻抗:8 Ohm</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8、定压选项:50W/25W/12.5W/6.25W/3.1W @70V/100V</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9、磁体类型;低音材质&gt;橡边PP盆，高音材质&gt;钛膜球顶</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低音数组:1 x 8" 代码CT4008KB</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高音数组:1 x 1" 代码DT4001M</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10、外观描述:面罩使用</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磁吸式无边框安装结构</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11、覆盖角度:90°H×90°V</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12、外部尺寸:275mm x 222mm</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开孔口径:245mm</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产品重量:3.05kg</w:t>
            </w:r>
          </w:p>
        </w:tc>
        <w:tc>
          <w:tcPr>
            <w:tcW w:w="974" w:type="dxa"/>
            <w:tcBorders>
              <w:top w:val="single" w:color="000000" w:sz="8" w:space="0"/>
              <w:left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7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178</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吊架</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1.名称:投影机吊架</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2.规格:承重50KG，可伸缩0.65-1米，材质：碳素钢</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121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179</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多功能厅（电脑一台）</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ind w:left="200" w:hanging="200" w:hangingChars="100"/>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1.台式电脑                               品牌: Intel/英特尔       内存容量: 16GB                  硬盘容量: 512GB           内存类型: DDR4                     显存容量: 12GB          显存位宽: 128bit</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14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180</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音响</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1.低音单元 20cm PP mica cone高音单元 2.5cm 液态冷却 soft dome, swivel频率响应 50 Hz-28 kHz输入功率（额定/大） 140 W灵敏度 90 dB/2.83 V/1 m尺寸（宽 x 高 x 深） Φ283 x 120 mm装配深度 109 mm重量 1.9 kg/unit</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181</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大理石服务台1.2m高</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1.大理石服务台1.2m高</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w:t>
            </w:r>
          </w:p>
        </w:tc>
      </w:tr>
      <w:tr>
        <w:tblPrEx>
          <w:tblCellMar>
            <w:top w:w="0" w:type="dxa"/>
            <w:left w:w="108" w:type="dxa"/>
            <w:bottom w:w="0" w:type="dxa"/>
            <w:right w:w="108" w:type="dxa"/>
          </w:tblCellMar>
        </w:tblPrEx>
        <w:trPr>
          <w:trHeight w:val="412"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182</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硬包（含基础）</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1.硬包（含基础）</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18</w:t>
            </w:r>
          </w:p>
        </w:tc>
      </w:tr>
      <w:tr>
        <w:tblPrEx>
          <w:tblCellMar>
            <w:top w:w="0" w:type="dxa"/>
            <w:left w:w="108" w:type="dxa"/>
            <w:bottom w:w="0" w:type="dxa"/>
            <w:right w:w="108" w:type="dxa"/>
          </w:tblCellMar>
        </w:tblPrEx>
        <w:trPr>
          <w:trHeight w:val="516"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183</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博古架</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pStyle w:val="82"/>
              <w:keepNext w:val="0"/>
              <w:keepLines w:val="0"/>
              <w:widowControl/>
              <w:suppressLineNumbers w:val="0"/>
              <w:spacing w:before="0" w:beforeAutospacing="0" w:after="0" w:afterAutospacing="0"/>
              <w:ind w:left="0" w:right="0" w:firstLine="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1.中式博古架1000*380*2000mm</w:t>
            </w:r>
          </w:p>
          <w:p>
            <w:pPr>
              <w:pStyle w:val="82"/>
              <w:keepNext w:val="0"/>
              <w:keepLines w:val="0"/>
              <w:widowControl/>
              <w:suppressLineNumbers w:val="0"/>
              <w:spacing w:before="0" w:beforeAutospacing="0" w:after="0" w:afterAutospacing="0"/>
              <w:ind w:left="0" w:right="0" w:firstLine="0"/>
              <w:jc w:val="both"/>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2.老榆木做黑胡桃色（环保水性漆工艺）</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kern w:val="0"/>
                <w:sz w:val="20"/>
                <w:szCs w:val="20"/>
                <w:highlight w:val="none"/>
                <w:lang w:eastAsia="zh-CN" w:bidi="ar"/>
              </w:rPr>
              <w:t>套</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hint="eastAsia"/>
                <w:color w:val="auto"/>
                <w:highlight w:val="none"/>
                <w:lang w:val="en-US" w:eastAsia="zh-CN"/>
              </w:rPr>
            </w:pPr>
            <w:r>
              <w:rPr>
                <w:rFonts w:hint="eastAsia" w:ascii="仿宋" w:hAnsi="仿宋" w:eastAsia="仿宋" w:cs="仿宋"/>
                <w:color w:val="auto"/>
                <w:sz w:val="20"/>
                <w:szCs w:val="20"/>
                <w:highlight w:val="none"/>
                <w:lang w:val="en-US" w:eastAsia="zh-CN"/>
              </w:rPr>
              <w:t>6</w:t>
            </w:r>
          </w:p>
        </w:tc>
      </w:tr>
      <w:tr>
        <w:tblPrEx>
          <w:tblCellMar>
            <w:top w:w="0" w:type="dxa"/>
            <w:left w:w="108" w:type="dxa"/>
            <w:bottom w:w="0" w:type="dxa"/>
            <w:right w:w="108" w:type="dxa"/>
          </w:tblCellMar>
        </w:tblPrEx>
        <w:trPr>
          <w:trHeight w:val="4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184</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电子阅读区</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电子阅读区（两台电脑含耳机两把椅子两把桌子）</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185</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咖啡吧隔墙</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1.75系列轻质隔墙、中间镂空</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186</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定制成品实木花格</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1.定制成品实木花格（刷防腐剂）</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21.2</w:t>
            </w:r>
          </w:p>
        </w:tc>
      </w:tr>
      <w:tr>
        <w:tblPrEx>
          <w:tblCellMar>
            <w:top w:w="0" w:type="dxa"/>
            <w:left w:w="108" w:type="dxa"/>
            <w:bottom w:w="0" w:type="dxa"/>
            <w:right w:w="108" w:type="dxa"/>
          </w:tblCellMar>
        </w:tblPrEx>
        <w:trPr>
          <w:trHeight w:val="717"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187</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hint="eastAsia" w:ascii="仿宋" w:hAnsi="仿宋" w:eastAsia="仿宋" w:cs="仿宋"/>
                <w:b/>
                <w:bCs/>
                <w:color w:val="auto"/>
                <w:kern w:val="0"/>
                <w:sz w:val="20"/>
                <w:szCs w:val="20"/>
                <w:highlight w:val="none"/>
                <w:lang w:eastAsia="zh-CN" w:bidi="ar"/>
              </w:rPr>
            </w:pPr>
            <w:r>
              <w:rPr>
                <w:rFonts w:hint="eastAsia" w:ascii="仿宋" w:hAnsi="仿宋" w:eastAsia="仿宋" w:cs="仿宋"/>
                <w:b w:val="0"/>
                <w:bCs w:val="0"/>
                <w:color w:val="auto"/>
                <w:kern w:val="0"/>
                <w:sz w:val="20"/>
                <w:szCs w:val="20"/>
                <w:highlight w:val="none"/>
                <w:lang w:eastAsia="zh-CN" w:bidi="ar"/>
              </w:rPr>
              <w:t>中式书画桌椅</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pStyle w:val="82"/>
              <w:keepNext w:val="0"/>
              <w:keepLines w:val="0"/>
              <w:widowControl/>
              <w:suppressLineNumbers w:val="0"/>
              <w:spacing w:before="0" w:beforeAutospacing="0" w:after="0" w:afterAutospacing="0"/>
              <w:ind w:left="0" w:right="0" w:firstLine="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1.书画桌椅2000*900mm（一桌一椅）</w:t>
            </w:r>
          </w:p>
          <w:p>
            <w:pPr>
              <w:pStyle w:val="82"/>
              <w:keepNext w:val="0"/>
              <w:keepLines w:val="0"/>
              <w:widowControl/>
              <w:suppressLineNumbers w:val="0"/>
              <w:spacing w:before="0" w:beforeAutospacing="0" w:after="0" w:afterAutospacing="0"/>
              <w:ind w:left="0" w:right="0" w:firstLine="0"/>
              <w:jc w:val="both"/>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2.老榆木材质，桌面宽板直拼</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套</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188</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hint="eastAsia" w:ascii="仿宋" w:hAnsi="仿宋" w:eastAsia="仿宋" w:cs="仿宋"/>
                <w:b w:val="0"/>
                <w:bCs w:val="0"/>
                <w:color w:val="auto"/>
                <w:kern w:val="0"/>
                <w:sz w:val="20"/>
                <w:szCs w:val="20"/>
                <w:highlight w:val="none"/>
                <w:lang w:eastAsia="zh-CN" w:bidi="ar"/>
              </w:rPr>
            </w:pPr>
            <w:r>
              <w:rPr>
                <w:rFonts w:hint="eastAsia" w:ascii="仿宋" w:hAnsi="仿宋" w:eastAsia="仿宋" w:cs="仿宋"/>
                <w:b w:val="0"/>
                <w:bCs w:val="0"/>
                <w:color w:val="auto"/>
                <w:kern w:val="0"/>
                <w:sz w:val="20"/>
                <w:szCs w:val="20"/>
                <w:highlight w:val="none"/>
                <w:lang w:eastAsia="zh-CN" w:bidi="ar"/>
              </w:rPr>
              <w:t>中式香案桌椅</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pStyle w:val="82"/>
              <w:keepNext w:val="0"/>
              <w:keepLines w:val="0"/>
              <w:widowControl/>
              <w:suppressLineNumbers w:val="0"/>
              <w:spacing w:before="0" w:beforeAutospacing="0" w:after="0" w:afterAutospacing="0"/>
              <w:ind w:left="0" w:right="0" w:firstLine="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1.1800*800mm胡桃色中式香案桌椅</w:t>
            </w:r>
          </w:p>
          <w:p>
            <w:pPr>
              <w:pStyle w:val="82"/>
              <w:keepNext w:val="0"/>
              <w:keepLines w:val="0"/>
              <w:widowControl/>
              <w:suppressLineNumbers w:val="0"/>
              <w:spacing w:before="0" w:beforeAutospacing="0" w:after="0" w:afterAutospacing="0"/>
              <w:ind w:left="0" w:right="0" w:firstLine="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2.榆木材质、卯榫结构</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套</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189</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hint="eastAsia" w:ascii="仿宋" w:hAnsi="仿宋" w:eastAsia="仿宋" w:cs="仿宋"/>
                <w:b w:val="0"/>
                <w:bCs w:val="0"/>
                <w:color w:val="auto"/>
                <w:kern w:val="0"/>
                <w:sz w:val="20"/>
                <w:szCs w:val="20"/>
                <w:highlight w:val="none"/>
                <w:lang w:eastAsia="zh-CN" w:bidi="ar"/>
              </w:rPr>
            </w:pPr>
            <w:r>
              <w:rPr>
                <w:rFonts w:hint="eastAsia" w:ascii="仿宋" w:hAnsi="仿宋" w:eastAsia="仿宋" w:cs="仿宋"/>
                <w:b w:val="0"/>
                <w:bCs w:val="0"/>
                <w:color w:val="auto"/>
                <w:kern w:val="0"/>
                <w:sz w:val="20"/>
                <w:szCs w:val="20"/>
                <w:highlight w:val="none"/>
                <w:lang w:eastAsia="zh-CN" w:bidi="ar"/>
              </w:rPr>
              <w:t>客用茶桌</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pStyle w:val="82"/>
              <w:keepNext w:val="0"/>
              <w:keepLines w:val="0"/>
              <w:widowControl/>
              <w:suppressLineNumbers w:val="0"/>
              <w:spacing w:before="0" w:beforeAutospacing="0" w:after="0" w:afterAutospacing="0"/>
              <w:ind w:left="0" w:right="0" w:firstLine="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1.中式矮茶桌茶几1800*800mm*550mm（一桌两椅）</w:t>
            </w:r>
          </w:p>
          <w:p>
            <w:pPr>
              <w:pStyle w:val="82"/>
              <w:keepNext w:val="0"/>
              <w:keepLines w:val="0"/>
              <w:widowControl/>
              <w:suppressLineNumbers w:val="0"/>
              <w:spacing w:before="0" w:beforeAutospacing="0" w:after="0" w:afterAutospacing="0"/>
              <w:ind w:left="0" w:right="0" w:firstLine="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2.榆木材质、卯榫结构</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套</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3</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190</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hint="eastAsia" w:ascii="仿宋" w:hAnsi="仿宋" w:eastAsia="仿宋" w:cs="仿宋"/>
                <w:b w:val="0"/>
                <w:bCs w:val="0"/>
                <w:color w:val="auto"/>
                <w:kern w:val="0"/>
                <w:sz w:val="20"/>
                <w:szCs w:val="20"/>
                <w:highlight w:val="none"/>
                <w:lang w:eastAsia="zh-CN" w:bidi="ar"/>
              </w:rPr>
            </w:pPr>
            <w:r>
              <w:rPr>
                <w:rFonts w:hint="eastAsia" w:ascii="仿宋" w:hAnsi="仿宋" w:eastAsia="仿宋" w:cs="仿宋"/>
                <w:b w:val="0"/>
                <w:bCs w:val="0"/>
                <w:color w:val="auto"/>
                <w:kern w:val="0"/>
                <w:sz w:val="20"/>
                <w:szCs w:val="20"/>
                <w:highlight w:val="none"/>
                <w:lang w:eastAsia="zh-CN" w:bidi="ar"/>
              </w:rPr>
              <w:t>会议桌</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pStyle w:val="82"/>
              <w:keepNext w:val="0"/>
              <w:keepLines w:val="0"/>
              <w:widowControl/>
              <w:suppressLineNumbers w:val="0"/>
              <w:spacing w:before="0" w:beforeAutospacing="0" w:after="0" w:afterAutospacing="0"/>
              <w:ind w:left="0" w:right="0" w:firstLine="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1.会议桌3000*1500*7500，椅子70*68*104（一桌七椅)</w:t>
            </w:r>
          </w:p>
          <w:p>
            <w:pPr>
              <w:pStyle w:val="82"/>
              <w:keepNext w:val="0"/>
              <w:keepLines w:val="0"/>
              <w:widowControl/>
              <w:suppressLineNumbers w:val="0"/>
              <w:spacing w:before="0" w:beforeAutospacing="0" w:after="0" w:afterAutospacing="0"/>
              <w:ind w:left="0" w:right="0" w:firstLine="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2.桌面:面层烤漆处理，椅面西皮饰面</w:t>
            </w:r>
          </w:p>
          <w:p>
            <w:pPr>
              <w:pStyle w:val="82"/>
              <w:keepNext w:val="0"/>
              <w:keepLines w:val="0"/>
              <w:widowControl/>
              <w:suppressLineNumbers w:val="0"/>
              <w:spacing w:before="0" w:beforeAutospacing="0" w:after="0" w:afterAutospacing="0"/>
              <w:ind w:left="0" w:right="0" w:firstLine="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3.材质尺寸:人工压缩E1级环保板材</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套</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191</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pStyle w:val="82"/>
              <w:keepNext w:val="0"/>
              <w:keepLines w:val="0"/>
              <w:widowControl/>
              <w:suppressLineNumbers w:val="0"/>
              <w:spacing w:before="0" w:beforeAutospacing="0" w:after="0" w:afterAutospacing="0"/>
              <w:ind w:left="0" w:right="0" w:firstLine="0"/>
              <w:rPr>
                <w:rFonts w:hint="eastAsia" w:ascii="仿宋" w:hAnsi="仿宋" w:eastAsia="仿宋" w:cs="仿宋"/>
                <w:b w:val="0"/>
                <w:bCs w:val="0"/>
                <w:color w:val="auto"/>
                <w:kern w:val="0"/>
                <w:sz w:val="20"/>
                <w:szCs w:val="20"/>
                <w:highlight w:val="none"/>
                <w:lang w:eastAsia="zh-CN" w:bidi="ar"/>
              </w:rPr>
            </w:pPr>
            <w:r>
              <w:rPr>
                <w:rFonts w:hint="eastAsia" w:ascii="仿宋" w:hAnsi="仿宋" w:eastAsia="仿宋" w:cs="仿宋"/>
                <w:b w:val="0"/>
                <w:bCs w:val="0"/>
                <w:color w:val="auto"/>
                <w:kern w:val="0"/>
                <w:sz w:val="20"/>
                <w:szCs w:val="20"/>
                <w:highlight w:val="none"/>
                <w:lang w:eastAsia="zh-CN" w:bidi="ar"/>
              </w:rPr>
              <w:t>琴桌</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pStyle w:val="82"/>
              <w:keepNext w:val="0"/>
              <w:keepLines w:val="0"/>
              <w:widowControl/>
              <w:suppressLineNumbers w:val="0"/>
              <w:spacing w:before="0" w:beforeAutospacing="0" w:after="0" w:afterAutospacing="0"/>
              <w:ind w:left="0" w:right="0" w:firstLine="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1.琴桌一套（琴桌+琴凳）</w:t>
            </w:r>
          </w:p>
          <w:p>
            <w:pPr>
              <w:pStyle w:val="82"/>
              <w:keepNext w:val="0"/>
              <w:keepLines w:val="0"/>
              <w:widowControl/>
              <w:suppressLineNumbers w:val="0"/>
              <w:spacing w:before="0" w:beforeAutospacing="0" w:after="0" w:afterAutospacing="0"/>
              <w:ind w:left="0" w:right="0" w:firstLine="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2.烧桐木仿古1000*370*680mm</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套</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16</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192</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hint="eastAsia" w:ascii="仿宋" w:hAnsi="仿宋" w:eastAsia="仿宋" w:cs="仿宋"/>
                <w:b w:val="0"/>
                <w:bCs w:val="0"/>
                <w:color w:val="auto"/>
                <w:kern w:val="0"/>
                <w:sz w:val="20"/>
                <w:szCs w:val="20"/>
                <w:highlight w:val="none"/>
                <w:lang w:eastAsia="zh-CN" w:bidi="ar"/>
              </w:rPr>
            </w:pPr>
            <w:r>
              <w:rPr>
                <w:rFonts w:hint="eastAsia" w:ascii="仿宋" w:hAnsi="仿宋" w:eastAsia="仿宋" w:cs="仿宋"/>
                <w:b w:val="0"/>
                <w:bCs w:val="0"/>
                <w:color w:val="auto"/>
                <w:kern w:val="0"/>
                <w:sz w:val="20"/>
                <w:szCs w:val="20"/>
                <w:highlight w:val="none"/>
                <w:lang w:eastAsia="zh-CN" w:bidi="ar"/>
              </w:rPr>
              <w:t>案几</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1.简约家用案几120*50*80原色</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套</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w:t>
            </w:r>
          </w:p>
        </w:tc>
      </w:tr>
      <w:tr>
        <w:tblPrEx>
          <w:tblCellMar>
            <w:top w:w="0" w:type="dxa"/>
            <w:left w:w="108" w:type="dxa"/>
            <w:bottom w:w="0" w:type="dxa"/>
            <w:right w:w="108" w:type="dxa"/>
          </w:tblCellMar>
        </w:tblPrEx>
        <w:trPr>
          <w:trHeight w:val="8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193</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hint="eastAsia" w:ascii="仿宋" w:hAnsi="仿宋" w:eastAsia="仿宋" w:cs="仿宋"/>
                <w:b w:val="0"/>
                <w:bCs w:val="0"/>
                <w:color w:val="auto"/>
                <w:kern w:val="0"/>
                <w:sz w:val="20"/>
                <w:szCs w:val="20"/>
                <w:highlight w:val="none"/>
                <w:lang w:eastAsia="zh-CN" w:bidi="ar"/>
              </w:rPr>
            </w:pPr>
            <w:r>
              <w:rPr>
                <w:rFonts w:hint="eastAsia" w:ascii="仿宋" w:hAnsi="仿宋" w:eastAsia="仿宋" w:cs="仿宋"/>
                <w:b w:val="0"/>
                <w:bCs w:val="0"/>
                <w:color w:val="auto"/>
                <w:kern w:val="0"/>
                <w:sz w:val="20"/>
                <w:szCs w:val="20"/>
                <w:highlight w:val="none"/>
                <w:lang w:eastAsia="zh-CN" w:bidi="ar"/>
              </w:rPr>
              <w:t>普通展示柜</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pStyle w:val="82"/>
              <w:keepNext w:val="0"/>
              <w:keepLines w:val="0"/>
              <w:widowControl/>
              <w:suppressLineNumbers w:val="0"/>
              <w:spacing w:before="0" w:beforeAutospacing="0" w:after="0" w:afterAutospacing="0"/>
              <w:ind w:left="0" w:right="0" w:firstLine="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1.延伸品展示柜带花120*40*90</w:t>
            </w:r>
          </w:p>
          <w:p>
            <w:pPr>
              <w:pStyle w:val="82"/>
              <w:keepNext w:val="0"/>
              <w:keepLines w:val="0"/>
              <w:widowControl/>
              <w:suppressLineNumbers w:val="0"/>
              <w:spacing w:before="0" w:beforeAutospacing="0" w:after="0" w:afterAutospacing="0"/>
              <w:ind w:left="0" w:right="0" w:firstLine="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2.材质特点:复古饰品、杉木材质、8毫米钢化玻璃</w:t>
            </w:r>
          </w:p>
          <w:p>
            <w:pPr>
              <w:pStyle w:val="82"/>
              <w:keepNext w:val="0"/>
              <w:keepLines w:val="0"/>
              <w:widowControl/>
              <w:suppressLineNumbers w:val="0"/>
              <w:spacing w:before="0" w:beforeAutospacing="0" w:after="0" w:afterAutospacing="0"/>
              <w:ind w:left="0" w:right="0" w:firstLine="0"/>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rPr>
              <w:t>3.LED灯带环绕</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套</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3</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ascii="仿宋" w:hAnsi="仿宋" w:eastAsia="仿宋" w:cs="仿宋"/>
                <w:color w:val="auto"/>
                <w:sz w:val="20"/>
                <w:szCs w:val="20"/>
                <w:highlight w:val="none"/>
              </w:rPr>
            </w:pP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监控、安保室</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262"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val="en-US" w:eastAsia="zh-CN" w:bidi="ar"/>
              </w:rPr>
              <w:t>194</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定制柜</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1.定制物品存放柜 高2200</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2.4</w:t>
            </w:r>
          </w:p>
        </w:tc>
      </w:tr>
      <w:tr>
        <w:tblPrEx>
          <w:tblCellMar>
            <w:top w:w="0" w:type="dxa"/>
            <w:left w:w="108" w:type="dxa"/>
            <w:bottom w:w="0" w:type="dxa"/>
            <w:right w:w="108" w:type="dxa"/>
          </w:tblCellMar>
        </w:tblPrEx>
        <w:trPr>
          <w:trHeight w:val="856"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val="en-US" w:eastAsia="zh-CN" w:bidi="ar"/>
              </w:rPr>
              <w:t>195</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55寸监控屏</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液晶监视器，工业级高清监视器显示屏，面板：IPS（LGD），类型：直面屏，响应时间：5ms，屏幕刷新率：60Hz，屏幕比例：16:9分辨率：1920*1080</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8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val="en-US" w:eastAsia="zh-CN" w:bidi="ar"/>
              </w:rPr>
              <w:t>196</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半球网络摄像头</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网络红外半球摄像机</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1.最高分辨率可达1920 × 1080 @25 fps，在该分辨率下可输出实时图像支持用户登录锁定机制，及密码复杂度提示支持背光补偿，3D数字降噪，数字宽动态，适应不同监控环境支持ROI感兴趣区域增强编码，可根据场景情况自适应调整码率分配，有效节省存储成本采用高效阵列红外灯，使用寿命长，红外照射距离最远可达30 m支持ONVIF（PROFILE S），ISAPI，SDGB28181协议，支持萤石平台接入内置1个麦克风，高清拾音符合IP66防尘防水设计，可靠性高</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14</w:t>
            </w:r>
          </w:p>
        </w:tc>
      </w:tr>
      <w:tr>
        <w:tblPrEx>
          <w:tblCellMar>
            <w:top w:w="0" w:type="dxa"/>
            <w:left w:w="108" w:type="dxa"/>
            <w:bottom w:w="0" w:type="dxa"/>
            <w:right w:w="108" w:type="dxa"/>
          </w:tblCellMar>
        </w:tblPrEx>
        <w:trPr>
          <w:trHeight w:val="28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val="en-US" w:eastAsia="zh-CN" w:bidi="ar"/>
              </w:rPr>
              <w:t>197</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监控控制主机</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a)支持64路摄像头；b)专为高分辨率相机接入所打造，最大支持800万相机接入；c)硬盘支持全面升级，支持满配12T硬盘，进一步延长录像时间；d)平台接入协议丰富，支持萤石、Ehome以及GB28181协议，轻松实现平台接入；e)接口一应俱全，满足各类外设接入需求；1.5U 标准机箱，支持机架安装；8盘位，最大支持12TB硬盘支持1个HDMI 4K输出 +1个VGA同源高清1080P输出支持8路1080P解码支持H.265、H.264混合解码，最大支持接入8MP高清IPC2个千兆网口自带16进4出报警口2个USB2.0接口+1个USB3.0接口</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7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val="en-US" w:eastAsia="zh-CN" w:bidi="ar"/>
              </w:rPr>
              <w:t>198</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专业监控硬盘</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1.ST6000NM0115 6T硬盘容量:6TB成色尺寸: 3.5英寸接口类型: SATA硬盘转速: 7200转缓存容量: 256MB适用机型: 监控</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块</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w:t>
            </w:r>
          </w:p>
        </w:tc>
      </w:tr>
      <w:tr>
        <w:tblPrEx>
          <w:tblCellMar>
            <w:top w:w="0" w:type="dxa"/>
            <w:left w:w="108" w:type="dxa"/>
            <w:bottom w:w="0" w:type="dxa"/>
            <w:right w:w="108" w:type="dxa"/>
          </w:tblCellMar>
        </w:tblPrEx>
        <w:trPr>
          <w:trHeight w:val="21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val="en-US" w:eastAsia="zh-CN" w:bidi="ar"/>
              </w:rPr>
              <w:t>199</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核心交换机</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1.24个10/100/1000Base-T RJ45端口（支持标准PoE+供电），4口1000Base-T电口，整机最大PoE供电功率为385W，单端口最大PoE供电功率为30W，符合IEEE 802.3af/at PoE供电标准，端口支持供电优先级 ，支持802.1Q VLAN、Port VLAN、QoS、带宽控制、风暴抑制 ，支持端口汇聚、端口镜像、端口监控、线缆检测、环回保护 ，支持Web管理、VLAN隔离、标准交换三种工作模式</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17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val="en-US" w:eastAsia="zh-CN" w:bidi="ar"/>
              </w:rPr>
              <w:t>200</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路由器</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1.名称:路由器                                                           5个千兆网口，1WAN+3WAN/LAN+1LAN</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2.内置AC功能，统一管理TP-LINK企业AP</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3.IPSec/PPTP/L2TP VPN，远程通信更安全</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4.Web认证、短信认证、PPPoE服务器</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5.上网行为管理（移动APP管控/桌面应用管控/网站过滤/行为审计）</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6.内外网ARP防护及常见攻击防护</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7.负载均衡、智能IP带宽管理及连接数限制</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19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val="en-US" w:eastAsia="zh-CN" w:bidi="ar"/>
              </w:rPr>
              <w:t>201</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网络POE交换机</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1.16个10/100/1000Base-T RJ45端口（支持标准PoE+供电），整机最大PoE供电功率为190W，单端口最大PoE供电功率为30W，符合IEEE 802.3af/at PoE供电标准，端口支持供电优先级 ，支持802.1Q VLAN、Port VLAN、QoS、带宽控制、风暴抑制 ，支持端口汇聚、端口镜像、端口监控、线缆检测、环回保护 ，支持Web管理、VLAN隔离、标准交换三种工作模式</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val="en-US" w:eastAsia="zh-CN" w:bidi="ar"/>
              </w:rPr>
              <w:t>202</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高清解码器</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1.拼接屏高清解码器、4进8出。</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7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203</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服务器</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1.名称:I7处理器</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2.8G内存</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3.1T硬盘 22寸显示器</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4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204</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辅材</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音频线、高清线、跳线，水晶头配管线等弱电辅材</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ascii="仿宋" w:hAnsi="仿宋" w:eastAsia="仿宋" w:cs="仿宋"/>
                <w:color w:val="auto"/>
                <w:sz w:val="20"/>
                <w:szCs w:val="20"/>
                <w:highlight w:val="none"/>
              </w:rPr>
            </w:pP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讲解休憩室</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121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205</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图文展板</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1.40*40阻燃木方龙骨框架，12厚阻燃板基层，20厚铝型材框包边，展板金属挂件；</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2.面层材料品种、规格、颜色:雪绒布喷绘，背景合成图电分、扫描、修版、合成，背景合成喷专用防护油处理</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m2</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2.2</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eastAsia" w:eastAsia="仿宋"/>
                <w:color w:val="auto"/>
                <w:highlight w:val="none"/>
                <w:lang w:val="en-US" w:eastAsia="zh-CN"/>
              </w:rPr>
            </w:pPr>
            <w:r>
              <w:rPr>
                <w:rFonts w:hint="eastAsia" w:ascii="仿宋" w:hAnsi="仿宋" w:eastAsia="仿宋" w:cs="仿宋"/>
                <w:color w:val="auto"/>
                <w:sz w:val="20"/>
                <w:szCs w:val="20"/>
                <w:highlight w:val="none"/>
              </w:rPr>
              <w:t>20</w:t>
            </w:r>
            <w:r>
              <w:rPr>
                <w:rFonts w:hint="eastAsia" w:ascii="仿宋" w:hAnsi="仿宋" w:eastAsia="仿宋" w:cs="仿宋"/>
                <w:color w:val="auto"/>
                <w:sz w:val="20"/>
                <w:szCs w:val="20"/>
                <w:highlight w:val="none"/>
                <w:lang w:val="en-US" w:eastAsia="zh-CN"/>
              </w:rPr>
              <w:t>6</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成品沙发</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1.成品现代简约沙发500宽*1500长</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套</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bidi="ar"/>
              </w:rPr>
              <w:t>20</w:t>
            </w:r>
            <w:r>
              <w:rPr>
                <w:rFonts w:hint="eastAsia" w:ascii="仿宋" w:hAnsi="仿宋" w:eastAsia="仿宋" w:cs="仿宋"/>
                <w:color w:val="auto"/>
                <w:kern w:val="0"/>
                <w:sz w:val="20"/>
                <w:szCs w:val="20"/>
                <w:highlight w:val="none"/>
                <w:lang w:val="en-US" w:eastAsia="zh-CN" w:bidi="ar"/>
              </w:rPr>
              <w:t>7</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定制柜</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1.定制物品存放柜 高2200</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1.2</w:t>
            </w:r>
          </w:p>
        </w:tc>
      </w:tr>
      <w:tr>
        <w:tblPrEx>
          <w:tblCellMar>
            <w:top w:w="0" w:type="dxa"/>
            <w:left w:w="108" w:type="dxa"/>
            <w:bottom w:w="0" w:type="dxa"/>
            <w:right w:w="108" w:type="dxa"/>
          </w:tblCellMar>
        </w:tblPrEx>
        <w:trPr>
          <w:trHeight w:val="121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bidi="ar"/>
              </w:rPr>
              <w:t>20</w:t>
            </w:r>
            <w:r>
              <w:rPr>
                <w:rFonts w:hint="eastAsia" w:ascii="仿宋" w:hAnsi="仿宋" w:eastAsia="仿宋" w:cs="仿宋"/>
                <w:color w:val="auto"/>
                <w:kern w:val="0"/>
                <w:sz w:val="20"/>
                <w:szCs w:val="20"/>
                <w:highlight w:val="none"/>
                <w:lang w:val="en-US" w:eastAsia="zh-CN" w:bidi="ar"/>
              </w:rPr>
              <w:t>8</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电脑</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1.台式电脑                        品牌: Intel/英特尔              内存容量: 16GB                  硬盘容量: 512GB                     内存类型: DDR4                     显存容量: 12GB                  显存位宽: 128bit</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ascii="仿宋" w:hAnsi="仿宋" w:eastAsia="仿宋" w:cs="仿宋"/>
                <w:color w:val="auto"/>
                <w:sz w:val="20"/>
                <w:szCs w:val="20"/>
                <w:highlight w:val="none"/>
              </w:rPr>
            </w:pP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安装工程</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bidi="ar"/>
              </w:rPr>
              <w:t>2</w:t>
            </w:r>
            <w:r>
              <w:rPr>
                <w:rFonts w:hint="eastAsia" w:ascii="仿宋" w:hAnsi="仿宋" w:eastAsia="仿宋" w:cs="仿宋"/>
                <w:color w:val="auto"/>
                <w:kern w:val="0"/>
                <w:sz w:val="20"/>
                <w:szCs w:val="20"/>
                <w:highlight w:val="none"/>
                <w:lang w:val="en-US" w:eastAsia="zh-CN" w:bidi="ar"/>
              </w:rPr>
              <w:t>09</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配电箱</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1.配电柜 含箱内元器件等，成套设备</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bidi="ar"/>
              </w:rPr>
              <w:t>2</w:t>
            </w:r>
            <w:r>
              <w:rPr>
                <w:rFonts w:hint="eastAsia" w:ascii="仿宋" w:hAnsi="仿宋" w:eastAsia="仿宋" w:cs="仿宋"/>
                <w:color w:val="auto"/>
                <w:kern w:val="0"/>
                <w:sz w:val="20"/>
                <w:szCs w:val="20"/>
                <w:highlight w:val="none"/>
                <w:lang w:val="en-US" w:eastAsia="zh-CN" w:bidi="ar"/>
              </w:rPr>
              <w:t>10</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插座</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单相明插座电流(A)≤30</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30</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bidi="ar"/>
              </w:rPr>
              <w:t>2</w:t>
            </w:r>
            <w:r>
              <w:rPr>
                <w:rFonts w:hint="eastAsia" w:ascii="仿宋" w:hAnsi="仿宋" w:eastAsia="仿宋" w:cs="仿宋"/>
                <w:color w:val="auto"/>
                <w:kern w:val="0"/>
                <w:sz w:val="20"/>
                <w:szCs w:val="20"/>
                <w:highlight w:val="none"/>
                <w:lang w:val="en-US" w:eastAsia="zh-CN" w:bidi="ar"/>
              </w:rPr>
              <w:t>11</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照明开关</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1位单控开关 10A</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w:t>
            </w:r>
          </w:p>
        </w:tc>
      </w:tr>
      <w:tr>
        <w:tblPrEx>
          <w:tblCellMar>
            <w:top w:w="0" w:type="dxa"/>
            <w:left w:w="108" w:type="dxa"/>
            <w:bottom w:w="0" w:type="dxa"/>
            <w:right w:w="108" w:type="dxa"/>
          </w:tblCellMar>
        </w:tblPrEx>
        <w:trPr>
          <w:trHeight w:val="4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bidi="ar"/>
              </w:rPr>
              <w:t>2</w:t>
            </w:r>
            <w:r>
              <w:rPr>
                <w:rFonts w:hint="eastAsia" w:ascii="仿宋" w:hAnsi="仿宋" w:eastAsia="仿宋" w:cs="仿宋"/>
                <w:color w:val="auto"/>
                <w:kern w:val="0"/>
                <w:sz w:val="20"/>
                <w:szCs w:val="20"/>
                <w:highlight w:val="none"/>
                <w:lang w:val="en-US" w:eastAsia="zh-CN" w:bidi="ar"/>
              </w:rPr>
              <w:t>12</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配管</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材质:砖、混凝土结构暗配钢管 JDG20（壁厚符合国标及设计规范要求）</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462</w:t>
            </w:r>
          </w:p>
        </w:tc>
      </w:tr>
      <w:tr>
        <w:tblPrEx>
          <w:tblCellMar>
            <w:top w:w="0" w:type="dxa"/>
            <w:left w:w="108" w:type="dxa"/>
            <w:bottom w:w="0" w:type="dxa"/>
            <w:right w:w="108" w:type="dxa"/>
          </w:tblCellMar>
        </w:tblPrEx>
        <w:trPr>
          <w:trHeight w:val="7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bidi="ar"/>
              </w:rPr>
              <w:t>2</w:t>
            </w:r>
            <w:r>
              <w:rPr>
                <w:rFonts w:hint="eastAsia" w:ascii="仿宋" w:hAnsi="仿宋" w:eastAsia="仿宋" w:cs="仿宋"/>
                <w:color w:val="auto"/>
                <w:kern w:val="0"/>
                <w:sz w:val="20"/>
                <w:szCs w:val="20"/>
                <w:highlight w:val="none"/>
                <w:lang w:val="en-US" w:eastAsia="zh-CN" w:bidi="ar"/>
              </w:rPr>
              <w:t>13</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配线</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1.型号:4mm2</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2.规格:BV</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3.材质:铜</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2460</w:t>
            </w:r>
          </w:p>
        </w:tc>
      </w:tr>
      <w:tr>
        <w:tblPrEx>
          <w:tblCellMar>
            <w:top w:w="0" w:type="dxa"/>
            <w:left w:w="108" w:type="dxa"/>
            <w:bottom w:w="0" w:type="dxa"/>
            <w:right w:w="108" w:type="dxa"/>
          </w:tblCellMar>
        </w:tblPrEx>
        <w:trPr>
          <w:trHeight w:val="7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bidi="ar"/>
              </w:rPr>
              <w:t>2</w:t>
            </w:r>
            <w:r>
              <w:rPr>
                <w:rFonts w:hint="eastAsia" w:ascii="仿宋" w:hAnsi="仿宋" w:eastAsia="仿宋" w:cs="仿宋"/>
                <w:color w:val="auto"/>
                <w:kern w:val="0"/>
                <w:sz w:val="20"/>
                <w:szCs w:val="20"/>
                <w:highlight w:val="none"/>
                <w:lang w:val="en-US" w:eastAsia="zh-CN" w:bidi="ar"/>
              </w:rPr>
              <w:t>14</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配线</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1.型号:2.5mm2</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2.规格:BV</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3.材质:铜</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2240</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bidi="ar"/>
              </w:rPr>
              <w:t>2</w:t>
            </w:r>
            <w:r>
              <w:rPr>
                <w:rFonts w:hint="eastAsia" w:ascii="仿宋" w:hAnsi="仿宋" w:eastAsia="仿宋" w:cs="仿宋"/>
                <w:color w:val="auto"/>
                <w:kern w:val="0"/>
                <w:sz w:val="20"/>
                <w:szCs w:val="20"/>
                <w:highlight w:val="none"/>
                <w:lang w:val="en-US" w:eastAsia="zh-CN" w:bidi="ar"/>
              </w:rPr>
              <w:t>15</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接线盒</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成品钢制接线盒</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个</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150</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bidi="ar"/>
              </w:rPr>
              <w:t>2</w:t>
            </w:r>
            <w:r>
              <w:rPr>
                <w:rFonts w:hint="eastAsia" w:ascii="仿宋" w:hAnsi="仿宋" w:eastAsia="仿宋" w:cs="仿宋"/>
                <w:color w:val="auto"/>
                <w:kern w:val="0"/>
                <w:sz w:val="20"/>
                <w:szCs w:val="20"/>
                <w:highlight w:val="none"/>
                <w:lang w:val="en-US" w:eastAsia="zh-CN" w:bidi="ar"/>
              </w:rPr>
              <w:t>16</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应急灯具</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应急照明灯 A型灯具，TY-BLJC系列</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121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bidi="ar"/>
              </w:rPr>
              <w:t>2</w:t>
            </w:r>
            <w:r>
              <w:rPr>
                <w:rFonts w:hint="eastAsia" w:ascii="仿宋" w:hAnsi="仿宋" w:eastAsia="仿宋" w:cs="仿宋"/>
                <w:color w:val="auto"/>
                <w:kern w:val="0"/>
                <w:sz w:val="20"/>
                <w:szCs w:val="20"/>
                <w:highlight w:val="none"/>
                <w:lang w:val="en-US" w:eastAsia="zh-CN" w:bidi="ar"/>
              </w:rPr>
              <w:t>17</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博物馆展览专用射灯滑轨</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1.名称:射灯滑轨</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2.规格:四线单回路轨道；</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3.要求:能直接安装主流国际、国内品牌的专业轨道射灯；</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4.安装方式:明装。</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38</w:t>
            </w:r>
          </w:p>
        </w:tc>
      </w:tr>
      <w:tr>
        <w:tblPrEx>
          <w:tblCellMar>
            <w:top w:w="0" w:type="dxa"/>
            <w:left w:w="108" w:type="dxa"/>
            <w:bottom w:w="0" w:type="dxa"/>
            <w:right w:w="108" w:type="dxa"/>
          </w:tblCellMar>
        </w:tblPrEx>
        <w:trPr>
          <w:trHeight w:val="31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bidi="ar"/>
              </w:rPr>
              <w:t>2</w:t>
            </w:r>
            <w:r>
              <w:rPr>
                <w:rFonts w:hint="eastAsia" w:ascii="仿宋" w:hAnsi="仿宋" w:eastAsia="仿宋" w:cs="仿宋"/>
                <w:color w:val="auto"/>
                <w:kern w:val="0"/>
                <w:sz w:val="20"/>
                <w:szCs w:val="20"/>
                <w:highlight w:val="none"/>
                <w:lang w:val="en-US" w:eastAsia="zh-CN" w:bidi="ar"/>
              </w:rPr>
              <w:t>18</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展览馆专业射灯18W</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光源: LED</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功率: 18W</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光型和角度:6°(极小角度)/10°/20°/30°/WW</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色温: 4000K</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显色指数: CRI＞95，R9＞85</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色容差: ＜3</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颜色: 黑色/白色</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材质: 灯体压铸铝材质</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调节: 水平360°旋转，垂直90°旋转</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控制模式: 单灯调光</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配件：带遮光板，蜂窝网</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防眩角度：＞40°</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套</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w:t>
            </w:r>
          </w:p>
        </w:tc>
      </w:tr>
      <w:tr>
        <w:tblPrEx>
          <w:tblCellMar>
            <w:top w:w="0" w:type="dxa"/>
            <w:left w:w="108" w:type="dxa"/>
            <w:bottom w:w="0" w:type="dxa"/>
            <w:right w:w="108" w:type="dxa"/>
          </w:tblCellMar>
        </w:tblPrEx>
        <w:trPr>
          <w:trHeight w:val="31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val="en-US" w:eastAsia="zh-CN" w:bidi="ar"/>
              </w:rPr>
              <w:t>219</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展览馆专业射灯15w</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光源: LED</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功率: 15W</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光型和角度:6°(极小角度)/10°/20°/30°/WW</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色温: 4000K</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显色指数: CRI＞95，R9＞85</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色容差: ＜3</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颜色: 黑色/白色</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材质: 灯体压铸铝材质</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调节: 水平360°旋转，垂直90°旋转</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控制模式: 单灯调光</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配件：带遮光板，蜂窝网</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防眩角度：＞40°</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套</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85</w:t>
            </w:r>
          </w:p>
        </w:tc>
      </w:tr>
      <w:tr>
        <w:tblPrEx>
          <w:tblCellMar>
            <w:top w:w="0" w:type="dxa"/>
            <w:left w:w="108" w:type="dxa"/>
            <w:bottom w:w="0" w:type="dxa"/>
            <w:right w:w="108" w:type="dxa"/>
          </w:tblCellMar>
        </w:tblPrEx>
        <w:trPr>
          <w:trHeight w:val="31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bidi="ar"/>
              </w:rPr>
              <w:t>2</w:t>
            </w:r>
            <w:r>
              <w:rPr>
                <w:rFonts w:hint="eastAsia" w:ascii="仿宋" w:hAnsi="仿宋" w:eastAsia="仿宋" w:cs="仿宋"/>
                <w:color w:val="auto"/>
                <w:kern w:val="0"/>
                <w:sz w:val="20"/>
                <w:szCs w:val="20"/>
                <w:highlight w:val="none"/>
                <w:lang w:val="en-US" w:eastAsia="zh-CN" w:bidi="ar"/>
              </w:rPr>
              <w:t>20</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展览馆专业射灯8w</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光源: LED</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功率: 8W</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光型和角度:6°(极小角度)/10°/20°/30°/WW</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色温: 4000K</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显色指数: CRI＞95，R9＞85</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色容差: ＜3</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颜色: 黑色/白色</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材质: 灯体压铸铝材质</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调节: 水平360°旋转，垂直90°旋转</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控制模式: 单灯调光</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配件：带遮光板，蜂窝网</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防眩角度：＞40°</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套</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45</w:t>
            </w:r>
          </w:p>
        </w:tc>
      </w:tr>
      <w:tr>
        <w:tblPrEx>
          <w:tblCellMar>
            <w:top w:w="0" w:type="dxa"/>
            <w:left w:w="108" w:type="dxa"/>
            <w:bottom w:w="0" w:type="dxa"/>
            <w:right w:w="108" w:type="dxa"/>
          </w:tblCellMar>
        </w:tblPrEx>
        <w:trPr>
          <w:trHeight w:val="14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bidi="ar"/>
              </w:rPr>
              <w:t>2</w:t>
            </w:r>
            <w:r>
              <w:rPr>
                <w:rFonts w:hint="eastAsia" w:ascii="仿宋" w:hAnsi="仿宋" w:eastAsia="仿宋" w:cs="仿宋"/>
                <w:color w:val="auto"/>
                <w:kern w:val="0"/>
                <w:sz w:val="20"/>
                <w:szCs w:val="20"/>
                <w:highlight w:val="none"/>
                <w:lang w:val="en-US" w:eastAsia="zh-CN" w:bidi="ar"/>
              </w:rPr>
              <w:t>21</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装饰灯</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1.名称:筒灯</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2.规格:18W；色温4000K；光束角：50度；材质：电镀白色；供电电压：220-240V、供电频率：50-60HZ；50000小时； CRI&gt;93,光通量：1800 lm；开孔：110MM、直径：130MM、光学配置：柔光反射器</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套</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22</w:t>
            </w:r>
          </w:p>
        </w:tc>
      </w:tr>
      <w:tr>
        <w:tblPrEx>
          <w:tblCellMar>
            <w:top w:w="0" w:type="dxa"/>
            <w:left w:w="108" w:type="dxa"/>
            <w:bottom w:w="0" w:type="dxa"/>
            <w:right w:w="108" w:type="dxa"/>
          </w:tblCellMar>
        </w:tblPrEx>
        <w:trPr>
          <w:trHeight w:val="121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bidi="ar"/>
              </w:rPr>
              <w:t>2</w:t>
            </w:r>
            <w:r>
              <w:rPr>
                <w:rFonts w:hint="eastAsia" w:ascii="仿宋" w:hAnsi="仿宋" w:eastAsia="仿宋" w:cs="仿宋"/>
                <w:color w:val="auto"/>
                <w:kern w:val="0"/>
                <w:sz w:val="20"/>
                <w:szCs w:val="20"/>
                <w:highlight w:val="none"/>
                <w:lang w:val="en-US" w:eastAsia="zh-CN" w:bidi="ar"/>
              </w:rPr>
              <w:t>22</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空调器（格力）</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1.名称:壁挂机</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2.型号:制冷量\制热量1.5p变频</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3.电源:220V</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4.安装形式:墙体安装</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5.包含配件、冷媒管橡塑保温及辅材</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p>
        </w:tc>
      </w:tr>
      <w:tr>
        <w:tblPrEx>
          <w:tblCellMar>
            <w:top w:w="0" w:type="dxa"/>
            <w:left w:w="108" w:type="dxa"/>
            <w:bottom w:w="0" w:type="dxa"/>
            <w:right w:w="108" w:type="dxa"/>
          </w:tblCellMar>
        </w:tblPrEx>
        <w:trPr>
          <w:trHeight w:val="121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bidi="ar"/>
              </w:rPr>
              <w:t>2</w:t>
            </w:r>
            <w:r>
              <w:rPr>
                <w:rFonts w:hint="eastAsia" w:ascii="仿宋" w:hAnsi="仿宋" w:eastAsia="仿宋" w:cs="仿宋"/>
                <w:color w:val="auto"/>
                <w:kern w:val="0"/>
                <w:sz w:val="20"/>
                <w:szCs w:val="20"/>
                <w:highlight w:val="none"/>
                <w:lang w:val="en-US" w:eastAsia="zh-CN" w:bidi="ar"/>
              </w:rPr>
              <w:t>23</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空调器（格力）</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1.名称:立柜式</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2.型号:制冷量\制热量3p变频</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3.电源:220V</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4.安装形式:墙体安装</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5.包含配件、冷媒管橡塑保温及辅材</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bidi="ar"/>
              </w:rPr>
              <w:t>2</w:t>
            </w:r>
            <w:r>
              <w:rPr>
                <w:rFonts w:hint="eastAsia" w:ascii="仿宋" w:hAnsi="仿宋" w:eastAsia="仿宋" w:cs="仿宋"/>
                <w:color w:val="auto"/>
                <w:kern w:val="0"/>
                <w:sz w:val="20"/>
                <w:szCs w:val="20"/>
                <w:highlight w:val="none"/>
                <w:lang w:val="en-US" w:eastAsia="zh-CN" w:bidi="ar"/>
              </w:rPr>
              <w:t>24</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电缆线</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1.YKV-3*10</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34</w:t>
            </w:r>
          </w:p>
        </w:tc>
      </w:tr>
      <w:tr>
        <w:tblPrEx>
          <w:tblCellMar>
            <w:top w:w="0" w:type="dxa"/>
            <w:left w:w="108" w:type="dxa"/>
            <w:bottom w:w="0" w:type="dxa"/>
            <w:right w:w="108" w:type="dxa"/>
          </w:tblCellMar>
        </w:tblPrEx>
        <w:trPr>
          <w:trHeight w:val="7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bidi="ar"/>
              </w:rPr>
              <w:t>2</w:t>
            </w:r>
            <w:r>
              <w:rPr>
                <w:rFonts w:hint="eastAsia" w:ascii="仿宋" w:hAnsi="仿宋" w:eastAsia="仿宋" w:cs="仿宋"/>
                <w:color w:val="auto"/>
                <w:kern w:val="0"/>
                <w:sz w:val="20"/>
                <w:szCs w:val="20"/>
                <w:highlight w:val="none"/>
                <w:lang w:val="en-US" w:eastAsia="zh-CN" w:bidi="ar"/>
              </w:rPr>
              <w:t>25</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不锈钢支架</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1.制冷量&gt;5000W的挂机安装支架</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2、安装支架包含有膨胀螺栓（10*100mm6-8个）</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副</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p>
        </w:tc>
      </w:tr>
      <w:tr>
        <w:tblPrEx>
          <w:tblCellMar>
            <w:top w:w="0" w:type="dxa"/>
            <w:left w:w="108" w:type="dxa"/>
            <w:bottom w:w="0" w:type="dxa"/>
            <w:right w:w="108" w:type="dxa"/>
          </w:tblCellMar>
        </w:tblPrEx>
        <w:trPr>
          <w:trHeight w:val="73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bidi="ar"/>
              </w:rPr>
              <w:t>22</w:t>
            </w:r>
            <w:r>
              <w:rPr>
                <w:rFonts w:hint="eastAsia" w:ascii="仿宋" w:hAnsi="仿宋" w:eastAsia="仿宋" w:cs="仿宋"/>
                <w:color w:val="auto"/>
                <w:kern w:val="0"/>
                <w:sz w:val="20"/>
                <w:szCs w:val="20"/>
                <w:highlight w:val="none"/>
                <w:lang w:val="en-US" w:eastAsia="zh-CN" w:bidi="ar"/>
              </w:rPr>
              <w:t>6</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不锈钢支架</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1.制冷量&gt;5000W的壁挂安装支架</w:t>
            </w:r>
          </w:p>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2、安装支架包含有膨胀螺栓（10*100mm6-8个）</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副</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bidi="ar"/>
              </w:rPr>
              <w:t>22</w:t>
            </w:r>
            <w:r>
              <w:rPr>
                <w:rFonts w:hint="eastAsia" w:ascii="仿宋" w:hAnsi="仿宋" w:eastAsia="仿宋" w:cs="仿宋"/>
                <w:color w:val="auto"/>
                <w:kern w:val="0"/>
                <w:sz w:val="20"/>
                <w:szCs w:val="20"/>
                <w:highlight w:val="none"/>
                <w:lang w:val="en-US" w:eastAsia="zh-CN" w:bidi="ar"/>
              </w:rPr>
              <w:t>7</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铜管</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1、铜管9.5</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m</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25</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bidi="ar"/>
              </w:rPr>
              <w:t>22</w:t>
            </w:r>
            <w:r>
              <w:rPr>
                <w:rFonts w:hint="eastAsia" w:ascii="仿宋" w:hAnsi="仿宋" w:eastAsia="仿宋" w:cs="仿宋"/>
                <w:color w:val="auto"/>
                <w:kern w:val="0"/>
                <w:sz w:val="20"/>
                <w:szCs w:val="20"/>
                <w:highlight w:val="none"/>
                <w:lang w:val="en-US" w:eastAsia="zh-CN" w:bidi="ar"/>
              </w:rPr>
              <w:t>8</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空调内外机安装人工费</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1.安装空调费用</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ascii="仿宋" w:hAnsi="仿宋" w:eastAsia="仿宋" w:cs="仿宋"/>
                <w:color w:val="auto"/>
                <w:sz w:val="20"/>
                <w:szCs w:val="20"/>
                <w:highlight w:val="none"/>
              </w:rPr>
            </w:pP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方案深化费</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bidi="ar"/>
              </w:rPr>
              <w:t>2</w:t>
            </w:r>
            <w:r>
              <w:rPr>
                <w:rFonts w:hint="eastAsia" w:ascii="仿宋" w:hAnsi="仿宋" w:eastAsia="仿宋" w:cs="仿宋"/>
                <w:color w:val="auto"/>
                <w:kern w:val="0"/>
                <w:sz w:val="20"/>
                <w:szCs w:val="20"/>
                <w:highlight w:val="none"/>
                <w:lang w:val="en-US" w:eastAsia="zh-CN" w:bidi="ar"/>
              </w:rPr>
              <w:t>29</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方案深化费</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1.设计费</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ascii="仿宋" w:hAnsi="仿宋" w:eastAsia="仿宋" w:cs="仿宋"/>
                <w:color w:val="auto"/>
                <w:sz w:val="20"/>
                <w:szCs w:val="20"/>
                <w:highlight w:val="none"/>
              </w:rPr>
            </w:pP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文物收集费</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bidi="ar"/>
              </w:rPr>
              <w:t>2</w:t>
            </w:r>
            <w:r>
              <w:rPr>
                <w:rFonts w:hint="eastAsia" w:ascii="仿宋" w:hAnsi="仿宋" w:eastAsia="仿宋" w:cs="仿宋"/>
                <w:color w:val="auto"/>
                <w:kern w:val="0"/>
                <w:sz w:val="20"/>
                <w:szCs w:val="20"/>
                <w:highlight w:val="none"/>
                <w:lang w:val="en-US" w:eastAsia="zh-CN" w:bidi="ar"/>
              </w:rPr>
              <w:t>30</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文物收集费</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1.文物收集费</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ascii="仿宋" w:hAnsi="仿宋" w:eastAsia="仿宋" w:cs="仿宋"/>
                <w:color w:val="auto"/>
                <w:sz w:val="20"/>
                <w:szCs w:val="20"/>
                <w:highlight w:val="none"/>
              </w:rPr>
            </w:pP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陈列布展费</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bidi="ar"/>
              </w:rPr>
              <w:t>2</w:t>
            </w:r>
            <w:r>
              <w:rPr>
                <w:rFonts w:hint="eastAsia" w:ascii="仿宋" w:hAnsi="仿宋" w:eastAsia="仿宋" w:cs="仿宋"/>
                <w:color w:val="auto"/>
                <w:kern w:val="0"/>
                <w:sz w:val="20"/>
                <w:szCs w:val="20"/>
                <w:highlight w:val="none"/>
                <w:lang w:val="en-US" w:eastAsia="zh-CN" w:bidi="ar"/>
              </w:rPr>
              <w:t>31</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陈列布展费</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1.陈列布展费</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r>
        <w:tblPrEx>
          <w:tblCellMar>
            <w:top w:w="0" w:type="dxa"/>
            <w:left w:w="108" w:type="dxa"/>
            <w:bottom w:w="0" w:type="dxa"/>
            <w:right w:w="108" w:type="dxa"/>
          </w:tblCellMar>
        </w:tblPrEx>
        <w:trPr>
          <w:trHeight w:val="25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ascii="仿宋" w:hAnsi="仿宋" w:eastAsia="仿宋" w:cs="仿宋"/>
                <w:color w:val="auto"/>
                <w:sz w:val="20"/>
                <w:szCs w:val="20"/>
                <w:highlight w:val="none"/>
              </w:rPr>
            </w:pP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文本大纲策划费</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left"/>
              <w:rPr>
                <w:rFonts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495" w:hRule="atLeast"/>
        </w:trPr>
        <w:tc>
          <w:tcPr>
            <w:tcW w:w="531"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bidi="ar"/>
              </w:rPr>
              <w:t>2</w:t>
            </w:r>
            <w:r>
              <w:rPr>
                <w:rFonts w:hint="eastAsia" w:ascii="仿宋" w:hAnsi="仿宋" w:eastAsia="仿宋" w:cs="仿宋"/>
                <w:color w:val="auto"/>
                <w:kern w:val="0"/>
                <w:sz w:val="20"/>
                <w:szCs w:val="20"/>
                <w:highlight w:val="none"/>
                <w:lang w:val="en-US" w:eastAsia="zh-CN" w:bidi="ar"/>
              </w:rPr>
              <w:t>32</w:t>
            </w:r>
          </w:p>
        </w:tc>
        <w:tc>
          <w:tcPr>
            <w:tcW w:w="2173"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文本大纲策划费（包括专家咨询费）</w:t>
            </w:r>
          </w:p>
        </w:tc>
        <w:tc>
          <w:tcPr>
            <w:tcW w:w="4422"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1.文本大纲策划费（包括专家咨询费）</w:t>
            </w:r>
          </w:p>
        </w:tc>
        <w:tc>
          <w:tcPr>
            <w:tcW w:w="974"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11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widowControl/>
              <w:jc w:val="righ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r>
    </w:tbl>
    <w:p>
      <w:pPr>
        <w:pStyle w:val="5"/>
        <w:rPr>
          <w:color w:val="auto"/>
          <w:highlight w:val="none"/>
        </w:rPr>
        <w:sectPr>
          <w:footerReference r:id="rId5" w:type="default"/>
          <w:pgSz w:w="11906" w:h="16838"/>
          <w:pgMar w:top="1440" w:right="1797" w:bottom="1440" w:left="1797" w:header="851" w:footer="992" w:gutter="0"/>
          <w:cols w:space="720" w:num="1"/>
          <w:docGrid w:linePitch="312" w:charSpace="0"/>
        </w:sectPr>
      </w:pPr>
    </w:p>
    <w:p>
      <w:pPr>
        <w:pStyle w:val="36"/>
        <w:spacing w:after="120" w:line="360" w:lineRule="auto"/>
        <w:ind w:left="0" w:leftChars="0" w:firstLine="0" w:firstLineChars="0"/>
        <w:jc w:val="center"/>
        <w:outlineLvl w:val="0"/>
        <w:rPr>
          <w:rFonts w:ascii="仿宋" w:hAnsi="仿宋" w:eastAsia="仿宋" w:cs="仿宋_GB2312"/>
          <w:b/>
          <w:bCs/>
          <w:color w:val="auto"/>
          <w:szCs w:val="36"/>
          <w:highlight w:val="none"/>
        </w:rPr>
      </w:pPr>
      <w:bookmarkStart w:id="181" w:name="_Toc24273"/>
      <w:r>
        <w:rPr>
          <w:rFonts w:hint="eastAsia" w:ascii="仿宋" w:hAnsi="仿宋" w:eastAsia="仿宋" w:cs="宋体"/>
          <w:b/>
          <w:bCs/>
          <w:color w:val="auto"/>
          <w:sz w:val="44"/>
          <w:highlight w:val="none"/>
        </w:rPr>
        <w:t xml:space="preserve">第四部分 </w:t>
      </w:r>
      <w:bookmarkStart w:id="182" w:name="_Toc184310322"/>
      <w:bookmarkEnd w:id="182"/>
      <w:bookmarkStart w:id="183" w:name="_Toc184312128"/>
      <w:bookmarkEnd w:id="183"/>
      <w:bookmarkStart w:id="184" w:name="_Toc184312132"/>
      <w:bookmarkEnd w:id="184"/>
      <w:bookmarkStart w:id="185" w:name="_Toc184312076"/>
      <w:bookmarkEnd w:id="185"/>
      <w:bookmarkStart w:id="186" w:name="_Toc184314423"/>
      <w:bookmarkEnd w:id="186"/>
      <w:bookmarkStart w:id="187" w:name="_Toc184313275"/>
      <w:bookmarkEnd w:id="187"/>
      <w:bookmarkStart w:id="188" w:name="_Toc184314464"/>
      <w:bookmarkEnd w:id="188"/>
      <w:bookmarkStart w:id="189" w:name="_Toc184310282"/>
      <w:bookmarkEnd w:id="189"/>
      <w:bookmarkStart w:id="190" w:name="_Toc184308050"/>
      <w:bookmarkEnd w:id="190"/>
      <w:bookmarkStart w:id="191" w:name="_Toc184308064"/>
      <w:bookmarkEnd w:id="191"/>
      <w:bookmarkStart w:id="192" w:name="_Toc184310315"/>
      <w:bookmarkEnd w:id="192"/>
      <w:bookmarkStart w:id="193" w:name="_Toc184310286"/>
      <w:bookmarkEnd w:id="193"/>
      <w:bookmarkStart w:id="194" w:name="_Toc184308051"/>
      <w:bookmarkEnd w:id="194"/>
      <w:bookmarkStart w:id="195" w:name="_Toc184310331"/>
      <w:bookmarkEnd w:id="195"/>
      <w:bookmarkStart w:id="196" w:name="_Toc184313239"/>
      <w:bookmarkEnd w:id="196"/>
      <w:bookmarkStart w:id="197" w:name="_Toc184314461"/>
      <w:bookmarkEnd w:id="197"/>
      <w:bookmarkStart w:id="198" w:name="_Toc184310279"/>
      <w:bookmarkEnd w:id="198"/>
      <w:bookmarkStart w:id="199" w:name="_Toc184310297"/>
      <w:bookmarkEnd w:id="199"/>
      <w:bookmarkStart w:id="200" w:name="_Toc184314424"/>
      <w:bookmarkEnd w:id="200"/>
      <w:bookmarkStart w:id="201" w:name="_Toc184313274"/>
      <w:bookmarkEnd w:id="201"/>
      <w:bookmarkStart w:id="202" w:name="_Toc184308106"/>
      <w:bookmarkEnd w:id="202"/>
      <w:bookmarkStart w:id="203" w:name="_Toc184314435"/>
      <w:bookmarkEnd w:id="203"/>
      <w:bookmarkStart w:id="204" w:name="_Toc184313286"/>
      <w:bookmarkEnd w:id="204"/>
      <w:bookmarkStart w:id="205" w:name="_Toc184314413"/>
      <w:bookmarkEnd w:id="205"/>
      <w:bookmarkStart w:id="206" w:name="_Toc184313249"/>
      <w:bookmarkEnd w:id="206"/>
      <w:bookmarkStart w:id="207" w:name="_Toc184314428"/>
      <w:bookmarkEnd w:id="207"/>
      <w:bookmarkStart w:id="208" w:name="_Toc184313250"/>
      <w:bookmarkEnd w:id="208"/>
      <w:bookmarkStart w:id="209" w:name="_Toc184313281"/>
      <w:bookmarkEnd w:id="209"/>
      <w:bookmarkStart w:id="210" w:name="_Toc184308100"/>
      <w:bookmarkEnd w:id="210"/>
      <w:bookmarkStart w:id="211" w:name="_Toc184312112"/>
      <w:bookmarkEnd w:id="211"/>
      <w:bookmarkStart w:id="212" w:name="_Toc184312108"/>
      <w:bookmarkEnd w:id="212"/>
      <w:bookmarkStart w:id="213" w:name="_Toc184310312"/>
      <w:bookmarkEnd w:id="213"/>
      <w:bookmarkStart w:id="214" w:name="_Toc184314448"/>
      <w:bookmarkEnd w:id="214"/>
      <w:bookmarkStart w:id="215" w:name="_Toc184313256"/>
      <w:bookmarkEnd w:id="215"/>
      <w:bookmarkStart w:id="216" w:name="_Toc184313243"/>
      <w:bookmarkEnd w:id="216"/>
      <w:bookmarkStart w:id="217" w:name="_Toc184313246"/>
      <w:bookmarkEnd w:id="217"/>
      <w:bookmarkStart w:id="218" w:name="_Toc184313310"/>
      <w:bookmarkEnd w:id="218"/>
      <w:bookmarkStart w:id="219" w:name="_Toc184313261"/>
      <w:bookmarkEnd w:id="219"/>
      <w:bookmarkStart w:id="220" w:name="_Toc184312104"/>
      <w:bookmarkEnd w:id="220"/>
      <w:bookmarkStart w:id="221" w:name="_Toc184308102"/>
      <w:bookmarkEnd w:id="221"/>
      <w:bookmarkStart w:id="222" w:name="_Toc184314455"/>
      <w:bookmarkEnd w:id="222"/>
      <w:bookmarkStart w:id="223" w:name="_Toc184308079"/>
      <w:bookmarkEnd w:id="223"/>
      <w:bookmarkStart w:id="224" w:name="_Toc184308081"/>
      <w:bookmarkEnd w:id="224"/>
      <w:bookmarkStart w:id="225" w:name="_Toc184308086"/>
      <w:bookmarkEnd w:id="225"/>
      <w:bookmarkStart w:id="226" w:name="_Toc184310284"/>
      <w:bookmarkEnd w:id="226"/>
      <w:bookmarkStart w:id="227" w:name="_Toc184312111"/>
      <w:bookmarkEnd w:id="227"/>
      <w:bookmarkStart w:id="228" w:name="_Toc184314436"/>
      <w:bookmarkEnd w:id="228"/>
      <w:bookmarkStart w:id="229" w:name="_Toc184314439"/>
      <w:bookmarkEnd w:id="229"/>
      <w:bookmarkStart w:id="230" w:name="_Toc184313276"/>
      <w:bookmarkEnd w:id="230"/>
      <w:bookmarkStart w:id="231" w:name="_Toc184312073"/>
      <w:bookmarkEnd w:id="231"/>
      <w:bookmarkStart w:id="232" w:name="_Toc184310281"/>
      <w:bookmarkEnd w:id="232"/>
      <w:bookmarkStart w:id="233" w:name="_Toc184312096"/>
      <w:bookmarkEnd w:id="233"/>
      <w:bookmarkStart w:id="234" w:name="_Toc184310324"/>
      <w:bookmarkEnd w:id="234"/>
      <w:bookmarkStart w:id="235" w:name="_Toc184314441"/>
      <w:bookmarkEnd w:id="235"/>
      <w:bookmarkStart w:id="236" w:name="_Toc184313301"/>
      <w:bookmarkEnd w:id="236"/>
      <w:bookmarkStart w:id="237" w:name="_Toc184308097"/>
      <w:bookmarkEnd w:id="237"/>
      <w:bookmarkStart w:id="238" w:name="_Toc184313244"/>
      <w:bookmarkEnd w:id="238"/>
      <w:bookmarkStart w:id="239" w:name="_Toc184314467"/>
      <w:bookmarkEnd w:id="239"/>
      <w:bookmarkStart w:id="240" w:name="_Toc184312071"/>
      <w:bookmarkEnd w:id="240"/>
      <w:bookmarkStart w:id="241" w:name="_Toc184308108"/>
      <w:bookmarkEnd w:id="241"/>
      <w:bookmarkStart w:id="242" w:name="_Toc184313300"/>
      <w:bookmarkEnd w:id="242"/>
      <w:bookmarkStart w:id="243" w:name="_Toc184312070"/>
      <w:bookmarkEnd w:id="243"/>
      <w:bookmarkStart w:id="244" w:name="_Toc184308056"/>
      <w:bookmarkEnd w:id="244"/>
      <w:bookmarkStart w:id="245" w:name="_Toc184314446"/>
      <w:bookmarkEnd w:id="245"/>
      <w:bookmarkStart w:id="246" w:name="_Toc184310290"/>
      <w:bookmarkEnd w:id="246"/>
      <w:bookmarkStart w:id="247" w:name="_Toc184308077"/>
      <w:bookmarkEnd w:id="247"/>
      <w:bookmarkStart w:id="248" w:name="_Toc184312123"/>
      <w:bookmarkEnd w:id="248"/>
      <w:bookmarkStart w:id="249" w:name="_Toc184308063"/>
      <w:bookmarkEnd w:id="249"/>
      <w:bookmarkStart w:id="250" w:name="_Toc184313265"/>
      <w:bookmarkEnd w:id="250"/>
      <w:bookmarkStart w:id="251" w:name="_Toc184308075"/>
      <w:bookmarkEnd w:id="251"/>
      <w:bookmarkStart w:id="252" w:name="_Toc184313257"/>
      <w:bookmarkEnd w:id="252"/>
      <w:bookmarkStart w:id="253" w:name="_Toc184310336"/>
      <w:bookmarkEnd w:id="253"/>
      <w:bookmarkStart w:id="254" w:name="_Toc184312121"/>
      <w:bookmarkEnd w:id="254"/>
      <w:bookmarkStart w:id="255" w:name="_Toc184308066"/>
      <w:bookmarkEnd w:id="255"/>
      <w:bookmarkStart w:id="256" w:name="_Toc184308061"/>
      <w:bookmarkEnd w:id="256"/>
      <w:bookmarkStart w:id="257" w:name="_Toc184312126"/>
      <w:bookmarkEnd w:id="257"/>
      <w:bookmarkStart w:id="258" w:name="_Toc184312117"/>
      <w:bookmarkEnd w:id="258"/>
      <w:bookmarkStart w:id="259" w:name="_Toc184313279"/>
      <w:bookmarkEnd w:id="259"/>
      <w:bookmarkStart w:id="260" w:name="_Toc184314420"/>
      <w:bookmarkEnd w:id="260"/>
      <w:bookmarkStart w:id="261" w:name="_Toc184310288"/>
      <w:bookmarkEnd w:id="261"/>
      <w:bookmarkStart w:id="262" w:name="_Toc184308059"/>
      <w:bookmarkEnd w:id="262"/>
      <w:bookmarkStart w:id="263" w:name="_Toc184312093"/>
      <w:bookmarkEnd w:id="263"/>
      <w:bookmarkStart w:id="264" w:name="_Toc184314426"/>
      <w:bookmarkEnd w:id="264"/>
      <w:bookmarkStart w:id="265" w:name="_Toc184308098"/>
      <w:bookmarkEnd w:id="265"/>
      <w:bookmarkStart w:id="266" w:name="_Toc184308107"/>
      <w:bookmarkEnd w:id="266"/>
      <w:bookmarkStart w:id="267" w:name="_Toc184308042"/>
      <w:bookmarkEnd w:id="267"/>
      <w:bookmarkStart w:id="268" w:name="_Toc184308060"/>
      <w:bookmarkEnd w:id="268"/>
      <w:bookmarkStart w:id="269" w:name="_Toc184314473"/>
      <w:bookmarkEnd w:id="269"/>
      <w:bookmarkStart w:id="270" w:name="_Toc184312127"/>
      <w:bookmarkEnd w:id="270"/>
      <w:bookmarkStart w:id="271" w:name="_Toc184310295"/>
      <w:bookmarkEnd w:id="271"/>
      <w:bookmarkStart w:id="272" w:name="_Toc184313305"/>
      <w:bookmarkEnd w:id="272"/>
      <w:bookmarkStart w:id="273" w:name="_Toc184314414"/>
      <w:bookmarkEnd w:id="273"/>
      <w:bookmarkStart w:id="274" w:name="_Toc184314474"/>
      <w:bookmarkEnd w:id="274"/>
      <w:bookmarkStart w:id="275" w:name="_Toc184312094"/>
      <w:bookmarkEnd w:id="275"/>
      <w:bookmarkStart w:id="276" w:name="_Toc184312139"/>
      <w:bookmarkEnd w:id="276"/>
      <w:bookmarkStart w:id="277" w:name="_Toc184313271"/>
      <w:bookmarkEnd w:id="277"/>
      <w:bookmarkStart w:id="278" w:name="_Toc184314417"/>
      <w:bookmarkEnd w:id="278"/>
      <w:bookmarkStart w:id="279" w:name="_Toc184310304"/>
      <w:bookmarkEnd w:id="279"/>
      <w:bookmarkStart w:id="280" w:name="_Toc184314412"/>
      <w:bookmarkEnd w:id="280"/>
      <w:bookmarkStart w:id="281" w:name="_Toc184308073"/>
      <w:bookmarkEnd w:id="281"/>
      <w:bookmarkStart w:id="282" w:name="_Toc184314434"/>
      <w:bookmarkEnd w:id="282"/>
      <w:bookmarkStart w:id="283" w:name="_Toc184312134"/>
      <w:bookmarkEnd w:id="283"/>
      <w:bookmarkStart w:id="284" w:name="_Toc184313291"/>
      <w:bookmarkEnd w:id="284"/>
      <w:bookmarkStart w:id="285" w:name="_Toc184310332"/>
      <w:bookmarkEnd w:id="285"/>
      <w:bookmarkStart w:id="286" w:name="_Toc184312078"/>
      <w:bookmarkEnd w:id="286"/>
      <w:bookmarkStart w:id="287" w:name="_Toc184308039"/>
      <w:bookmarkEnd w:id="287"/>
      <w:bookmarkStart w:id="288" w:name="_Toc184310333"/>
      <w:bookmarkEnd w:id="288"/>
      <w:bookmarkStart w:id="289" w:name="_Toc184310340"/>
      <w:bookmarkEnd w:id="289"/>
      <w:bookmarkStart w:id="290" w:name="_Toc184313242"/>
      <w:bookmarkEnd w:id="290"/>
      <w:bookmarkStart w:id="291" w:name="_Toc184308044"/>
      <w:bookmarkEnd w:id="291"/>
      <w:bookmarkStart w:id="292" w:name="_Toc184308049"/>
      <w:bookmarkEnd w:id="292"/>
      <w:bookmarkStart w:id="293" w:name="_Toc184313267"/>
      <w:bookmarkEnd w:id="293"/>
      <w:bookmarkStart w:id="294" w:name="_Toc184310318"/>
      <w:bookmarkEnd w:id="294"/>
      <w:bookmarkStart w:id="295" w:name="_Toc184312075"/>
      <w:bookmarkEnd w:id="295"/>
      <w:bookmarkStart w:id="296" w:name="_Toc184313299"/>
      <w:bookmarkEnd w:id="296"/>
      <w:bookmarkStart w:id="297" w:name="_Toc184310325"/>
      <w:bookmarkEnd w:id="297"/>
      <w:bookmarkStart w:id="298" w:name="_Toc184314415"/>
      <w:bookmarkEnd w:id="298"/>
      <w:bookmarkStart w:id="299" w:name="_Toc184314449"/>
      <w:bookmarkEnd w:id="299"/>
      <w:bookmarkStart w:id="300" w:name="_Toc184314452"/>
      <w:bookmarkEnd w:id="300"/>
      <w:bookmarkStart w:id="301" w:name="_Toc184313308"/>
      <w:bookmarkEnd w:id="301"/>
      <w:bookmarkStart w:id="302" w:name="_Toc184312080"/>
      <w:bookmarkEnd w:id="302"/>
      <w:bookmarkStart w:id="303" w:name="_Toc184310303"/>
      <w:bookmarkEnd w:id="303"/>
      <w:bookmarkStart w:id="304" w:name="_Toc184308053"/>
      <w:bookmarkEnd w:id="304"/>
      <w:bookmarkStart w:id="305" w:name="_Toc184310330"/>
      <w:bookmarkEnd w:id="305"/>
      <w:bookmarkStart w:id="306" w:name="_Toc184308052"/>
      <w:bookmarkEnd w:id="306"/>
      <w:bookmarkStart w:id="307" w:name="_Toc184314460"/>
      <w:bookmarkEnd w:id="307"/>
      <w:bookmarkStart w:id="308" w:name="_Toc184310280"/>
      <w:bookmarkEnd w:id="308"/>
      <w:bookmarkStart w:id="309" w:name="_Toc184313252"/>
      <w:bookmarkEnd w:id="309"/>
      <w:bookmarkStart w:id="310" w:name="_Toc184314453"/>
      <w:bookmarkEnd w:id="310"/>
      <w:bookmarkStart w:id="311" w:name="_Toc184313268"/>
      <w:bookmarkEnd w:id="311"/>
      <w:bookmarkStart w:id="312" w:name="_Toc184313253"/>
      <w:bookmarkEnd w:id="312"/>
      <w:bookmarkStart w:id="313" w:name="_Toc184313298"/>
      <w:bookmarkEnd w:id="313"/>
      <w:bookmarkStart w:id="314" w:name="_Toc184313262"/>
      <w:bookmarkEnd w:id="314"/>
      <w:bookmarkStart w:id="315" w:name="_Toc184308070"/>
      <w:bookmarkEnd w:id="315"/>
      <w:bookmarkStart w:id="316" w:name="_Toc184312116"/>
      <w:bookmarkEnd w:id="316"/>
      <w:bookmarkStart w:id="317" w:name="_Toc184314429"/>
      <w:bookmarkEnd w:id="317"/>
      <w:bookmarkStart w:id="318" w:name="_Toc184312109"/>
      <w:bookmarkEnd w:id="318"/>
      <w:bookmarkStart w:id="319" w:name="_Toc184310287"/>
      <w:bookmarkEnd w:id="319"/>
      <w:bookmarkStart w:id="320" w:name="_Toc184312101"/>
      <w:bookmarkEnd w:id="320"/>
      <w:bookmarkStart w:id="321" w:name="_Toc184314472"/>
      <w:bookmarkEnd w:id="321"/>
      <w:bookmarkStart w:id="322" w:name="_Toc184314422"/>
      <w:bookmarkEnd w:id="322"/>
      <w:bookmarkStart w:id="323" w:name="_Toc184310339"/>
      <w:bookmarkEnd w:id="323"/>
      <w:bookmarkStart w:id="324" w:name="_Toc184312124"/>
      <w:bookmarkEnd w:id="324"/>
      <w:bookmarkStart w:id="325" w:name="_Toc184308101"/>
      <w:bookmarkEnd w:id="325"/>
      <w:bookmarkStart w:id="326" w:name="_Toc184314480"/>
      <w:bookmarkEnd w:id="326"/>
      <w:bookmarkStart w:id="327" w:name="_Toc184312099"/>
      <w:bookmarkEnd w:id="327"/>
      <w:bookmarkStart w:id="328" w:name="_Toc184312131"/>
      <w:bookmarkEnd w:id="328"/>
      <w:bookmarkStart w:id="329" w:name="_Toc184313284"/>
      <w:bookmarkEnd w:id="329"/>
      <w:bookmarkStart w:id="330" w:name="_Toc184312120"/>
      <w:bookmarkEnd w:id="330"/>
      <w:bookmarkStart w:id="331" w:name="_Toc184308087"/>
      <w:bookmarkEnd w:id="331"/>
      <w:bookmarkStart w:id="332" w:name="_Toc184314444"/>
      <w:bookmarkEnd w:id="332"/>
      <w:bookmarkStart w:id="333" w:name="_Toc184310308"/>
      <w:bookmarkEnd w:id="333"/>
      <w:bookmarkStart w:id="334" w:name="_Toc184312105"/>
      <w:bookmarkEnd w:id="334"/>
      <w:bookmarkStart w:id="335" w:name="_Toc184310273"/>
      <w:bookmarkEnd w:id="335"/>
      <w:bookmarkStart w:id="336" w:name="_Toc184314479"/>
      <w:bookmarkEnd w:id="336"/>
      <w:bookmarkStart w:id="337" w:name="_Toc184308093"/>
      <w:bookmarkEnd w:id="337"/>
      <w:bookmarkStart w:id="338" w:name="_Toc184313260"/>
      <w:bookmarkEnd w:id="338"/>
      <w:bookmarkStart w:id="339" w:name="_Toc184308105"/>
      <w:bookmarkEnd w:id="339"/>
      <w:bookmarkStart w:id="340" w:name="_Toc184314477"/>
      <w:bookmarkEnd w:id="340"/>
      <w:bookmarkStart w:id="341" w:name="_Toc184313263"/>
      <w:bookmarkEnd w:id="341"/>
      <w:bookmarkStart w:id="342" w:name="_Toc184312089"/>
      <w:bookmarkEnd w:id="342"/>
      <w:bookmarkStart w:id="343" w:name="_Toc184313293"/>
      <w:bookmarkEnd w:id="343"/>
      <w:bookmarkStart w:id="344" w:name="_Toc184312067"/>
      <w:bookmarkEnd w:id="344"/>
      <w:bookmarkStart w:id="345" w:name="_Toc184313272"/>
      <w:bookmarkEnd w:id="345"/>
      <w:bookmarkStart w:id="346" w:name="_Toc184310343"/>
      <w:bookmarkEnd w:id="346"/>
      <w:bookmarkStart w:id="347" w:name="_Toc184310328"/>
      <w:bookmarkEnd w:id="347"/>
      <w:bookmarkStart w:id="348" w:name="_Toc184310278"/>
      <w:bookmarkEnd w:id="348"/>
      <w:bookmarkStart w:id="349" w:name="_Toc184314481"/>
      <w:bookmarkEnd w:id="349"/>
      <w:bookmarkStart w:id="350" w:name="_Toc184313303"/>
      <w:bookmarkEnd w:id="350"/>
      <w:bookmarkStart w:id="351" w:name="_Toc184314437"/>
      <w:bookmarkEnd w:id="351"/>
      <w:bookmarkStart w:id="352" w:name="_Toc184310323"/>
      <w:bookmarkEnd w:id="352"/>
      <w:bookmarkStart w:id="353" w:name="_Toc184313278"/>
      <w:bookmarkEnd w:id="353"/>
      <w:bookmarkStart w:id="354" w:name="_Toc184312077"/>
      <w:bookmarkEnd w:id="354"/>
      <w:bookmarkStart w:id="355" w:name="_Toc184310301"/>
      <w:bookmarkEnd w:id="355"/>
      <w:bookmarkStart w:id="356" w:name="_Toc184312125"/>
      <w:bookmarkEnd w:id="356"/>
      <w:bookmarkStart w:id="357" w:name="_Toc184308069"/>
      <w:bookmarkEnd w:id="357"/>
      <w:bookmarkStart w:id="358" w:name="_Toc184312138"/>
      <w:bookmarkEnd w:id="358"/>
      <w:bookmarkStart w:id="359" w:name="_Toc184314431"/>
      <w:bookmarkEnd w:id="359"/>
      <w:bookmarkStart w:id="360" w:name="_Toc184310317"/>
      <w:bookmarkEnd w:id="360"/>
      <w:bookmarkStart w:id="361" w:name="_Toc184314430"/>
      <w:bookmarkEnd w:id="361"/>
      <w:bookmarkStart w:id="362" w:name="_Toc184312098"/>
      <w:bookmarkEnd w:id="362"/>
      <w:bookmarkStart w:id="363" w:name="_Toc184314442"/>
      <w:bookmarkEnd w:id="363"/>
      <w:bookmarkStart w:id="364" w:name="_Toc184313307"/>
      <w:bookmarkEnd w:id="364"/>
      <w:bookmarkStart w:id="365" w:name="_Toc184310300"/>
      <w:bookmarkEnd w:id="365"/>
      <w:bookmarkStart w:id="366" w:name="_Toc184312130"/>
      <w:bookmarkEnd w:id="366"/>
      <w:bookmarkStart w:id="367" w:name="_Toc184308096"/>
      <w:bookmarkEnd w:id="367"/>
      <w:bookmarkStart w:id="368" w:name="_Toc184313294"/>
      <w:bookmarkEnd w:id="368"/>
      <w:bookmarkStart w:id="369" w:name="_Toc184314471"/>
      <w:bookmarkEnd w:id="369"/>
      <w:bookmarkStart w:id="370" w:name="_Toc184313283"/>
      <w:bookmarkEnd w:id="370"/>
      <w:bookmarkStart w:id="371" w:name="_Toc184310275"/>
      <w:bookmarkEnd w:id="371"/>
      <w:bookmarkStart w:id="372" w:name="_Toc184314482"/>
      <w:bookmarkEnd w:id="372"/>
      <w:bookmarkStart w:id="373" w:name="_Toc184314450"/>
      <w:bookmarkEnd w:id="373"/>
      <w:bookmarkStart w:id="374" w:name="_Toc184314425"/>
      <w:bookmarkEnd w:id="374"/>
      <w:bookmarkStart w:id="375" w:name="_Toc184310276"/>
      <w:bookmarkEnd w:id="375"/>
      <w:bookmarkStart w:id="376" w:name="_Toc184313289"/>
      <w:bookmarkEnd w:id="376"/>
      <w:bookmarkStart w:id="377" w:name="_Toc184313245"/>
      <w:bookmarkEnd w:id="377"/>
      <w:bookmarkStart w:id="378" w:name="_Toc184313306"/>
      <w:bookmarkEnd w:id="378"/>
      <w:bookmarkStart w:id="379" w:name="_Toc184312106"/>
      <w:bookmarkEnd w:id="379"/>
      <w:bookmarkStart w:id="380" w:name="_Toc184313296"/>
      <w:bookmarkEnd w:id="380"/>
      <w:bookmarkStart w:id="381" w:name="_Toc184313285"/>
      <w:bookmarkEnd w:id="381"/>
      <w:bookmarkStart w:id="382" w:name="_Toc184308080"/>
      <w:bookmarkEnd w:id="382"/>
      <w:bookmarkStart w:id="383" w:name="_Toc184313273"/>
      <w:bookmarkEnd w:id="383"/>
      <w:bookmarkStart w:id="384" w:name="_Toc184308089"/>
      <w:bookmarkEnd w:id="384"/>
      <w:bookmarkStart w:id="385" w:name="_Toc184314410"/>
      <w:bookmarkEnd w:id="385"/>
      <w:bookmarkStart w:id="386" w:name="_Toc184308037"/>
      <w:bookmarkEnd w:id="386"/>
      <w:bookmarkStart w:id="387" w:name="_Toc184312129"/>
      <w:bookmarkEnd w:id="387"/>
      <w:bookmarkStart w:id="388" w:name="_Toc184313295"/>
      <w:bookmarkEnd w:id="388"/>
      <w:bookmarkStart w:id="389" w:name="_Toc184314459"/>
      <w:bookmarkEnd w:id="389"/>
      <w:bookmarkStart w:id="390" w:name="_Toc184312136"/>
      <w:bookmarkEnd w:id="390"/>
      <w:bookmarkStart w:id="391" w:name="_Toc184313240"/>
      <w:bookmarkEnd w:id="391"/>
      <w:bookmarkStart w:id="392" w:name="_Toc184308045"/>
      <w:bookmarkEnd w:id="392"/>
      <w:bookmarkStart w:id="393" w:name="_Toc184313304"/>
      <w:bookmarkEnd w:id="393"/>
      <w:bookmarkStart w:id="394" w:name="_Toc184308103"/>
      <w:bookmarkEnd w:id="394"/>
      <w:bookmarkStart w:id="395" w:name="_Toc184310272"/>
      <w:bookmarkEnd w:id="395"/>
      <w:bookmarkStart w:id="396" w:name="_Toc184308076"/>
      <w:bookmarkEnd w:id="396"/>
      <w:bookmarkStart w:id="397" w:name="_Toc184310329"/>
      <w:bookmarkEnd w:id="397"/>
      <w:bookmarkStart w:id="398" w:name="_Toc184310335"/>
      <w:bookmarkEnd w:id="398"/>
      <w:bookmarkStart w:id="399" w:name="_Toc184310341"/>
      <w:bookmarkEnd w:id="399"/>
      <w:bookmarkStart w:id="400" w:name="_Toc184310321"/>
      <w:bookmarkEnd w:id="400"/>
      <w:bookmarkStart w:id="401" w:name="_Toc184313238"/>
      <w:bookmarkEnd w:id="401"/>
      <w:bookmarkStart w:id="402" w:name="_Toc184313247"/>
      <w:bookmarkEnd w:id="402"/>
      <w:bookmarkStart w:id="403" w:name="_Toc184312114"/>
      <w:bookmarkEnd w:id="403"/>
      <w:bookmarkStart w:id="404" w:name="_Toc184314469"/>
      <w:bookmarkEnd w:id="404"/>
      <w:bookmarkStart w:id="405" w:name="_Toc184312135"/>
      <w:bookmarkEnd w:id="405"/>
      <w:bookmarkStart w:id="406" w:name="_Toc184314419"/>
      <w:bookmarkEnd w:id="406"/>
      <w:bookmarkStart w:id="407" w:name="_Toc184310314"/>
      <w:bookmarkEnd w:id="407"/>
      <w:bookmarkStart w:id="408" w:name="_Toc184310293"/>
      <w:bookmarkEnd w:id="408"/>
      <w:bookmarkStart w:id="409" w:name="_Toc184314451"/>
      <w:bookmarkEnd w:id="409"/>
      <w:bookmarkStart w:id="410" w:name="_Toc184308062"/>
      <w:bookmarkEnd w:id="410"/>
      <w:bookmarkStart w:id="411" w:name="_Toc184312118"/>
      <w:bookmarkEnd w:id="411"/>
      <w:bookmarkStart w:id="412" w:name="_Toc184310338"/>
      <w:bookmarkEnd w:id="412"/>
      <w:bookmarkStart w:id="413" w:name="_Toc184312081"/>
      <w:bookmarkEnd w:id="413"/>
      <w:bookmarkStart w:id="414" w:name="_Toc184314433"/>
      <w:bookmarkEnd w:id="414"/>
      <w:bookmarkStart w:id="415" w:name="_Toc184314466"/>
      <w:bookmarkEnd w:id="415"/>
      <w:bookmarkStart w:id="416" w:name="_Toc184314470"/>
      <w:bookmarkEnd w:id="416"/>
      <w:bookmarkStart w:id="417" w:name="_Toc184312092"/>
      <w:bookmarkEnd w:id="417"/>
      <w:bookmarkStart w:id="418" w:name="_Toc184308058"/>
      <w:bookmarkEnd w:id="418"/>
      <w:bookmarkStart w:id="419" w:name="_Toc184313269"/>
      <w:bookmarkEnd w:id="419"/>
      <w:bookmarkStart w:id="420" w:name="_Toc184312137"/>
      <w:bookmarkEnd w:id="420"/>
      <w:bookmarkStart w:id="421" w:name="_Toc184314456"/>
      <w:bookmarkEnd w:id="421"/>
      <w:bookmarkStart w:id="422" w:name="_Toc184308065"/>
      <w:bookmarkEnd w:id="422"/>
      <w:bookmarkStart w:id="423" w:name="_Toc184313259"/>
      <w:bookmarkEnd w:id="423"/>
      <w:bookmarkStart w:id="424" w:name="_Toc184308088"/>
      <w:bookmarkEnd w:id="424"/>
      <w:bookmarkStart w:id="425" w:name="_Toc184314454"/>
      <w:bookmarkEnd w:id="425"/>
      <w:bookmarkStart w:id="426" w:name="_Toc184310313"/>
      <w:bookmarkEnd w:id="426"/>
      <w:bookmarkStart w:id="427" w:name="_Toc184308082"/>
      <w:bookmarkEnd w:id="427"/>
      <w:bookmarkStart w:id="428" w:name="_Toc184310337"/>
      <w:bookmarkEnd w:id="428"/>
      <w:bookmarkStart w:id="429" w:name="_Toc184308074"/>
      <w:bookmarkEnd w:id="429"/>
      <w:bookmarkStart w:id="430" w:name="_Toc184308071"/>
      <w:bookmarkEnd w:id="430"/>
      <w:bookmarkStart w:id="431" w:name="_Toc184314421"/>
      <w:bookmarkEnd w:id="431"/>
      <w:bookmarkStart w:id="432" w:name="_Toc184308040"/>
      <w:bookmarkEnd w:id="432"/>
      <w:bookmarkStart w:id="433" w:name="_Toc184314458"/>
      <w:bookmarkEnd w:id="433"/>
      <w:bookmarkStart w:id="434" w:name="_Toc184310302"/>
      <w:bookmarkEnd w:id="434"/>
      <w:bookmarkStart w:id="435" w:name="_Toc184313280"/>
      <w:bookmarkEnd w:id="435"/>
      <w:bookmarkStart w:id="436" w:name="_Toc184312090"/>
      <w:bookmarkEnd w:id="436"/>
      <w:bookmarkStart w:id="437" w:name="_Toc184314468"/>
      <w:bookmarkEnd w:id="437"/>
      <w:bookmarkStart w:id="438" w:name="_Toc184308043"/>
      <w:bookmarkEnd w:id="438"/>
      <w:bookmarkStart w:id="439" w:name="_Toc184312133"/>
      <w:bookmarkEnd w:id="439"/>
      <w:bookmarkStart w:id="440" w:name="_Toc184308057"/>
      <w:bookmarkEnd w:id="440"/>
      <w:bookmarkStart w:id="441" w:name="_Toc184308094"/>
      <w:bookmarkEnd w:id="441"/>
      <w:bookmarkStart w:id="442" w:name="_Toc184314463"/>
      <w:bookmarkEnd w:id="442"/>
      <w:bookmarkStart w:id="443" w:name="_Toc184310326"/>
      <w:bookmarkEnd w:id="443"/>
      <w:bookmarkStart w:id="444" w:name="_Toc184313241"/>
      <w:bookmarkEnd w:id="444"/>
      <w:bookmarkStart w:id="445" w:name="_Toc184310305"/>
      <w:bookmarkEnd w:id="445"/>
      <w:bookmarkStart w:id="446" w:name="_Toc184314462"/>
      <w:bookmarkEnd w:id="446"/>
      <w:bookmarkStart w:id="447" w:name="_Toc184312083"/>
      <w:bookmarkEnd w:id="447"/>
      <w:bookmarkStart w:id="448" w:name="_Toc184313309"/>
      <w:bookmarkEnd w:id="448"/>
      <w:bookmarkStart w:id="449" w:name="_Toc184308090"/>
      <w:bookmarkEnd w:id="449"/>
      <w:bookmarkStart w:id="450" w:name="_Toc184312102"/>
      <w:bookmarkEnd w:id="450"/>
      <w:bookmarkStart w:id="451" w:name="_Toc184314418"/>
      <w:bookmarkEnd w:id="451"/>
      <w:bookmarkStart w:id="452" w:name="_Toc184312086"/>
      <w:bookmarkEnd w:id="452"/>
      <w:bookmarkStart w:id="453" w:name="_Toc184313292"/>
      <w:bookmarkEnd w:id="453"/>
      <w:bookmarkStart w:id="454" w:name="_Toc184312103"/>
      <w:bookmarkEnd w:id="454"/>
      <w:bookmarkStart w:id="455" w:name="_Toc184308095"/>
      <w:bookmarkEnd w:id="455"/>
      <w:bookmarkStart w:id="456" w:name="_Toc184310320"/>
      <w:bookmarkEnd w:id="456"/>
      <w:bookmarkStart w:id="457" w:name="_Toc184308067"/>
      <w:bookmarkEnd w:id="457"/>
      <w:bookmarkStart w:id="458" w:name="_Toc184308091"/>
      <w:bookmarkEnd w:id="458"/>
      <w:bookmarkStart w:id="459" w:name="_Toc184314476"/>
      <w:bookmarkEnd w:id="459"/>
      <w:bookmarkStart w:id="460" w:name="_Toc184314465"/>
      <w:bookmarkEnd w:id="460"/>
      <w:bookmarkStart w:id="461" w:name="_Toc184308046"/>
      <w:bookmarkEnd w:id="461"/>
      <w:bookmarkStart w:id="462" w:name="_Toc184313248"/>
      <w:bookmarkEnd w:id="462"/>
      <w:bookmarkStart w:id="463" w:name="_Toc184308036"/>
      <w:bookmarkEnd w:id="463"/>
      <w:bookmarkStart w:id="464" w:name="_Toc184310342"/>
      <w:bookmarkEnd w:id="464"/>
      <w:bookmarkStart w:id="465" w:name="_Toc184314440"/>
      <w:bookmarkEnd w:id="465"/>
      <w:bookmarkStart w:id="466" w:name="_Toc184312069"/>
      <w:bookmarkEnd w:id="466"/>
      <w:bookmarkStart w:id="467" w:name="_Toc184314447"/>
      <w:bookmarkEnd w:id="467"/>
      <w:bookmarkStart w:id="468" w:name="_Toc184314457"/>
      <w:bookmarkEnd w:id="468"/>
      <w:bookmarkStart w:id="469" w:name="_Toc184310334"/>
      <w:bookmarkEnd w:id="469"/>
      <w:bookmarkStart w:id="470" w:name="_Toc184310307"/>
      <w:bookmarkEnd w:id="470"/>
      <w:bookmarkStart w:id="471" w:name="_Toc184310274"/>
      <w:bookmarkEnd w:id="471"/>
      <w:bookmarkStart w:id="472" w:name="_Toc184314416"/>
      <w:bookmarkEnd w:id="472"/>
      <w:bookmarkStart w:id="473" w:name="_Toc184312091"/>
      <w:bookmarkEnd w:id="473"/>
      <w:bookmarkStart w:id="474" w:name="_Toc184313282"/>
      <w:bookmarkEnd w:id="474"/>
      <w:bookmarkStart w:id="475" w:name="_Toc184310289"/>
      <w:bookmarkEnd w:id="475"/>
      <w:bookmarkStart w:id="476" w:name="_Toc184313287"/>
      <w:bookmarkEnd w:id="476"/>
      <w:bookmarkStart w:id="477" w:name="_Toc184314427"/>
      <w:bookmarkEnd w:id="477"/>
      <w:bookmarkStart w:id="478" w:name="_Toc184313258"/>
      <w:bookmarkEnd w:id="478"/>
      <w:bookmarkStart w:id="479" w:name="_Toc184312115"/>
      <w:bookmarkEnd w:id="479"/>
      <w:bookmarkStart w:id="480" w:name="_Toc184310309"/>
      <w:bookmarkEnd w:id="480"/>
      <w:bookmarkStart w:id="481" w:name="_Toc184313264"/>
      <w:bookmarkEnd w:id="481"/>
      <w:bookmarkStart w:id="482" w:name="_Toc184314445"/>
      <w:bookmarkEnd w:id="482"/>
      <w:bookmarkStart w:id="483" w:name="_Toc184313251"/>
      <w:bookmarkEnd w:id="483"/>
      <w:bookmarkStart w:id="484" w:name="_Toc184314443"/>
      <w:bookmarkEnd w:id="484"/>
      <w:bookmarkStart w:id="485" w:name="_Toc184313290"/>
      <w:bookmarkEnd w:id="485"/>
      <w:bookmarkStart w:id="486" w:name="_Toc184312074"/>
      <w:bookmarkEnd w:id="486"/>
      <w:bookmarkStart w:id="487" w:name="_Toc184314432"/>
      <w:bookmarkEnd w:id="487"/>
      <w:bookmarkStart w:id="488" w:name="_Toc184310296"/>
      <w:bookmarkEnd w:id="488"/>
      <w:bookmarkStart w:id="489" w:name="_Toc184312122"/>
      <w:bookmarkEnd w:id="489"/>
      <w:bookmarkStart w:id="490" w:name="_Toc184310292"/>
      <w:bookmarkEnd w:id="490"/>
      <w:bookmarkStart w:id="491" w:name="_Toc184308085"/>
      <w:bookmarkEnd w:id="491"/>
      <w:bookmarkStart w:id="492" w:name="_Toc184308084"/>
      <w:bookmarkEnd w:id="492"/>
      <w:bookmarkStart w:id="493" w:name="_Toc184314475"/>
      <w:bookmarkEnd w:id="493"/>
      <w:bookmarkStart w:id="494" w:name="_Toc184313302"/>
      <w:bookmarkEnd w:id="494"/>
      <w:bookmarkStart w:id="495" w:name="_Toc184310344"/>
      <w:bookmarkEnd w:id="495"/>
      <w:bookmarkStart w:id="496" w:name="_Toc184310311"/>
      <w:bookmarkEnd w:id="496"/>
      <w:bookmarkStart w:id="497" w:name="_Toc184313266"/>
      <w:bookmarkEnd w:id="497"/>
      <w:bookmarkStart w:id="498" w:name="_Toc184308068"/>
      <w:bookmarkEnd w:id="498"/>
      <w:bookmarkStart w:id="499" w:name="_Toc184310316"/>
      <w:bookmarkEnd w:id="499"/>
      <w:bookmarkStart w:id="500" w:name="_Toc184312079"/>
      <w:bookmarkEnd w:id="500"/>
      <w:bookmarkStart w:id="501" w:name="_Toc184308072"/>
      <w:bookmarkEnd w:id="501"/>
      <w:bookmarkStart w:id="502" w:name="_Toc184310299"/>
      <w:bookmarkEnd w:id="502"/>
      <w:bookmarkStart w:id="503" w:name="_Toc184312095"/>
      <w:bookmarkEnd w:id="503"/>
      <w:bookmarkStart w:id="504" w:name="_Toc184308078"/>
      <w:bookmarkEnd w:id="504"/>
      <w:bookmarkStart w:id="505" w:name="_Toc184312084"/>
      <w:bookmarkEnd w:id="505"/>
      <w:bookmarkStart w:id="506" w:name="_Toc184308047"/>
      <w:bookmarkEnd w:id="506"/>
      <w:bookmarkStart w:id="507" w:name="_Toc184308104"/>
      <w:bookmarkEnd w:id="507"/>
      <w:bookmarkStart w:id="508" w:name="_Toc184308041"/>
      <w:bookmarkEnd w:id="508"/>
      <w:bookmarkStart w:id="509" w:name="_Toc184310310"/>
      <w:bookmarkEnd w:id="509"/>
      <w:bookmarkStart w:id="510" w:name="_Toc184310291"/>
      <w:bookmarkEnd w:id="510"/>
      <w:bookmarkStart w:id="511" w:name="_Toc184313288"/>
      <w:bookmarkEnd w:id="511"/>
      <w:bookmarkStart w:id="512" w:name="_Toc184310298"/>
      <w:bookmarkEnd w:id="512"/>
      <w:bookmarkStart w:id="513" w:name="_Toc184312107"/>
      <w:bookmarkEnd w:id="513"/>
      <w:bookmarkStart w:id="514" w:name="_Toc184308048"/>
      <w:bookmarkEnd w:id="514"/>
      <w:bookmarkStart w:id="515" w:name="_Toc184310277"/>
      <w:bookmarkEnd w:id="515"/>
      <w:bookmarkStart w:id="516" w:name="_Toc184313254"/>
      <w:bookmarkEnd w:id="516"/>
      <w:bookmarkStart w:id="517" w:name="_Toc184312113"/>
      <w:bookmarkEnd w:id="517"/>
      <w:bookmarkStart w:id="518" w:name="_Toc184308038"/>
      <w:bookmarkEnd w:id="518"/>
      <w:bookmarkStart w:id="519" w:name="_Toc184312119"/>
      <w:bookmarkEnd w:id="519"/>
      <w:bookmarkStart w:id="520" w:name="_Toc184312088"/>
      <w:bookmarkEnd w:id="520"/>
      <w:bookmarkStart w:id="521" w:name="_Toc184310283"/>
      <w:bookmarkEnd w:id="521"/>
      <w:bookmarkStart w:id="522" w:name="_Toc184310294"/>
      <w:bookmarkEnd w:id="522"/>
      <w:bookmarkStart w:id="523" w:name="_Toc184312085"/>
      <w:bookmarkEnd w:id="523"/>
      <w:bookmarkStart w:id="524" w:name="_Toc184310319"/>
      <w:bookmarkEnd w:id="524"/>
      <w:bookmarkStart w:id="525" w:name="_Toc184310306"/>
      <w:bookmarkEnd w:id="525"/>
      <w:bookmarkStart w:id="526" w:name="_Toc184313255"/>
      <w:bookmarkEnd w:id="526"/>
      <w:bookmarkStart w:id="527" w:name="_Toc184313270"/>
      <w:bookmarkEnd w:id="527"/>
      <w:bookmarkStart w:id="528" w:name="_Toc184312110"/>
      <w:bookmarkEnd w:id="528"/>
      <w:bookmarkStart w:id="529" w:name="_Toc184312082"/>
      <w:bookmarkEnd w:id="529"/>
      <w:bookmarkStart w:id="530" w:name="_Toc184312087"/>
      <w:bookmarkEnd w:id="530"/>
      <w:bookmarkStart w:id="531" w:name="_Toc184313277"/>
      <w:bookmarkEnd w:id="531"/>
      <w:bookmarkStart w:id="532" w:name="_Toc184312097"/>
      <w:bookmarkEnd w:id="532"/>
      <w:bookmarkStart w:id="533" w:name="_Toc184308099"/>
      <w:bookmarkEnd w:id="533"/>
      <w:bookmarkStart w:id="534" w:name="_Toc184314438"/>
      <w:bookmarkEnd w:id="534"/>
      <w:bookmarkStart w:id="535" w:name="_Toc184308083"/>
      <w:bookmarkEnd w:id="535"/>
      <w:bookmarkStart w:id="536" w:name="_Toc184308092"/>
      <w:bookmarkEnd w:id="536"/>
      <w:bookmarkStart w:id="537" w:name="_Toc184308055"/>
      <w:bookmarkEnd w:id="537"/>
      <w:bookmarkStart w:id="538" w:name="_Toc184308054"/>
      <w:bookmarkEnd w:id="538"/>
      <w:bookmarkStart w:id="539" w:name="_Toc184312072"/>
      <w:bookmarkEnd w:id="539"/>
      <w:bookmarkStart w:id="540" w:name="_Toc184313297"/>
      <w:bookmarkEnd w:id="540"/>
      <w:bookmarkStart w:id="541" w:name="_Toc184310285"/>
      <w:bookmarkEnd w:id="541"/>
      <w:bookmarkStart w:id="542" w:name="_Toc184314411"/>
      <w:bookmarkEnd w:id="542"/>
      <w:bookmarkStart w:id="543" w:name="_Toc184310327"/>
      <w:bookmarkEnd w:id="543"/>
      <w:bookmarkStart w:id="544" w:name="_Toc184314478"/>
      <w:bookmarkEnd w:id="544"/>
      <w:bookmarkStart w:id="545" w:name="_Toc184312100"/>
      <w:bookmarkEnd w:id="545"/>
      <w:bookmarkStart w:id="546" w:name="_Toc184312068"/>
      <w:bookmarkEnd w:id="546"/>
      <w:r>
        <w:rPr>
          <w:rFonts w:hint="eastAsia" w:ascii="仿宋" w:hAnsi="仿宋" w:eastAsia="仿宋" w:cs="宋体"/>
          <w:b/>
          <w:bCs/>
          <w:color w:val="auto"/>
          <w:sz w:val="44"/>
          <w:highlight w:val="none"/>
        </w:rPr>
        <w:t>评标办法</w:t>
      </w:r>
      <w:bookmarkEnd w:id="172"/>
      <w:bookmarkEnd w:id="173"/>
      <w:bookmarkEnd w:id="174"/>
      <w:bookmarkEnd w:id="175"/>
      <w:bookmarkEnd w:id="176"/>
      <w:bookmarkEnd w:id="181"/>
    </w:p>
    <w:p>
      <w:pPr>
        <w:pStyle w:val="5"/>
        <w:jc w:val="center"/>
        <w:rPr>
          <w:rFonts w:ascii="仿宋" w:hAnsi="仿宋" w:eastAsia="仿宋"/>
          <w:color w:val="auto"/>
          <w:highlight w:val="none"/>
        </w:rPr>
      </w:pPr>
      <w:bookmarkStart w:id="547" w:name="_Toc14917"/>
      <w:bookmarkStart w:id="548" w:name="_Toc10534"/>
      <w:bookmarkStart w:id="549" w:name="_Toc1779877393"/>
      <w:bookmarkStart w:id="550" w:name="_Hlk95733559"/>
      <w:bookmarkStart w:id="551" w:name="_Toc880745451"/>
      <w:bookmarkStart w:id="552" w:name="_Toc95312984"/>
      <w:bookmarkStart w:id="553" w:name="_Toc2378"/>
      <w:bookmarkStart w:id="554" w:name="_Toc30992"/>
      <w:r>
        <w:rPr>
          <w:rFonts w:hint="eastAsia" w:ascii="仿宋" w:hAnsi="仿宋" w:eastAsia="仿宋"/>
          <w:color w:val="auto"/>
          <w:highlight w:val="none"/>
        </w:rPr>
        <w:t>评标办法前附表</w:t>
      </w:r>
      <w:bookmarkEnd w:id="547"/>
      <w:bookmarkEnd w:id="548"/>
      <w:bookmarkEnd w:id="549"/>
    </w:p>
    <w:tbl>
      <w:tblPr>
        <w:tblStyle w:val="88"/>
        <w:tblW w:w="8767" w:type="dxa"/>
        <w:tblInd w:w="-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047"/>
        <w:gridCol w:w="1235"/>
        <w:gridCol w:w="4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817" w:type="dxa"/>
            <w:tcBorders>
              <w:right w:val="single" w:color="auto" w:sz="4" w:space="0"/>
            </w:tcBorders>
          </w:tcPr>
          <w:p>
            <w:pPr>
              <w:spacing w:line="360" w:lineRule="auto"/>
              <w:jc w:val="center"/>
              <w:rPr>
                <w:rFonts w:ascii="仿宋" w:hAnsi="仿宋" w:eastAsia="仿宋"/>
                <w:bCs/>
                <w:color w:val="auto"/>
                <w:sz w:val="24"/>
                <w:highlight w:val="none"/>
              </w:rPr>
            </w:pPr>
            <w:r>
              <w:rPr>
                <w:rFonts w:hint="eastAsia" w:ascii="仿宋" w:hAnsi="仿宋" w:eastAsia="仿宋"/>
                <w:bCs/>
                <w:color w:val="auto"/>
                <w:sz w:val="24"/>
                <w:highlight w:val="none"/>
              </w:rPr>
              <w:t>序号</w:t>
            </w:r>
          </w:p>
        </w:tc>
        <w:tc>
          <w:tcPr>
            <w:tcW w:w="2047" w:type="dxa"/>
            <w:tcBorders>
              <w:left w:val="single" w:color="auto" w:sz="4" w:space="0"/>
            </w:tcBorders>
          </w:tcPr>
          <w:p>
            <w:pPr>
              <w:spacing w:line="360" w:lineRule="auto"/>
              <w:jc w:val="center"/>
              <w:rPr>
                <w:rFonts w:ascii="仿宋" w:hAnsi="仿宋" w:eastAsia="仿宋"/>
                <w:bCs/>
                <w:color w:val="auto"/>
                <w:sz w:val="24"/>
                <w:highlight w:val="none"/>
              </w:rPr>
            </w:pPr>
            <w:r>
              <w:rPr>
                <w:rFonts w:hint="eastAsia" w:ascii="仿宋" w:hAnsi="仿宋" w:eastAsia="仿宋"/>
                <w:bCs/>
                <w:color w:val="auto"/>
                <w:sz w:val="24"/>
                <w:highlight w:val="none"/>
              </w:rPr>
              <w:t>分项内容</w:t>
            </w:r>
          </w:p>
        </w:tc>
        <w:tc>
          <w:tcPr>
            <w:tcW w:w="1235" w:type="dxa"/>
          </w:tcPr>
          <w:p>
            <w:pPr>
              <w:spacing w:line="360" w:lineRule="auto"/>
              <w:jc w:val="center"/>
              <w:rPr>
                <w:rFonts w:ascii="仿宋" w:hAnsi="仿宋" w:eastAsia="仿宋"/>
                <w:bCs/>
                <w:color w:val="auto"/>
                <w:sz w:val="24"/>
                <w:highlight w:val="none"/>
              </w:rPr>
            </w:pPr>
            <w:r>
              <w:rPr>
                <w:rFonts w:hint="eastAsia" w:ascii="仿宋" w:hAnsi="仿宋" w:eastAsia="仿宋"/>
                <w:bCs/>
                <w:color w:val="auto"/>
                <w:sz w:val="24"/>
                <w:highlight w:val="none"/>
              </w:rPr>
              <w:t>分值范围</w:t>
            </w:r>
          </w:p>
        </w:tc>
        <w:tc>
          <w:tcPr>
            <w:tcW w:w="4668" w:type="dxa"/>
          </w:tcPr>
          <w:p>
            <w:pPr>
              <w:spacing w:line="360" w:lineRule="auto"/>
              <w:jc w:val="center"/>
              <w:rPr>
                <w:rFonts w:ascii="仿宋" w:hAnsi="仿宋" w:eastAsia="仿宋"/>
                <w:bCs/>
                <w:color w:val="auto"/>
                <w:sz w:val="24"/>
                <w:highlight w:val="none"/>
              </w:rPr>
            </w:pPr>
            <w:r>
              <w:rPr>
                <w:rFonts w:hint="eastAsia" w:ascii="仿宋" w:hAnsi="仿宋" w:eastAsia="仿宋"/>
                <w:bCs/>
                <w:color w:val="auto"/>
                <w:sz w:val="24"/>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817" w:type="dxa"/>
            <w:tcBorders>
              <w:right w:val="single" w:color="auto" w:sz="4" w:space="0"/>
            </w:tcBorders>
            <w:vAlign w:val="center"/>
          </w:tcPr>
          <w:p>
            <w:pPr>
              <w:spacing w:line="360" w:lineRule="auto"/>
              <w:jc w:val="center"/>
              <w:rPr>
                <w:rFonts w:ascii="仿宋" w:hAnsi="仿宋" w:eastAsia="仿宋"/>
                <w:bCs/>
                <w:color w:val="auto"/>
                <w:sz w:val="24"/>
                <w:highlight w:val="none"/>
              </w:rPr>
            </w:pPr>
            <w:r>
              <w:rPr>
                <w:rFonts w:hint="eastAsia" w:ascii="仿宋" w:hAnsi="仿宋" w:eastAsia="仿宋"/>
                <w:bCs/>
                <w:color w:val="auto"/>
                <w:sz w:val="24"/>
                <w:highlight w:val="none"/>
              </w:rPr>
              <w:t>1、报价</w:t>
            </w:r>
          </w:p>
        </w:tc>
        <w:tc>
          <w:tcPr>
            <w:tcW w:w="2047" w:type="dxa"/>
            <w:tcBorders>
              <w:left w:val="single" w:color="auto" w:sz="4" w:space="0"/>
            </w:tcBorders>
            <w:vAlign w:val="center"/>
          </w:tcPr>
          <w:p>
            <w:pPr>
              <w:spacing w:line="360" w:lineRule="auto"/>
              <w:jc w:val="center"/>
              <w:rPr>
                <w:rFonts w:ascii="仿宋" w:hAnsi="仿宋" w:eastAsia="仿宋"/>
                <w:bCs/>
                <w:color w:val="auto"/>
                <w:sz w:val="24"/>
                <w:highlight w:val="none"/>
              </w:rPr>
            </w:pPr>
            <w:r>
              <w:rPr>
                <w:rFonts w:hint="eastAsia" w:ascii="仿宋" w:hAnsi="仿宋" w:eastAsia="仿宋"/>
                <w:bCs/>
                <w:color w:val="auto"/>
                <w:sz w:val="24"/>
                <w:highlight w:val="none"/>
              </w:rPr>
              <w:t>报价得分</w:t>
            </w:r>
          </w:p>
        </w:tc>
        <w:tc>
          <w:tcPr>
            <w:tcW w:w="1235" w:type="dxa"/>
            <w:vAlign w:val="center"/>
          </w:tcPr>
          <w:p>
            <w:pPr>
              <w:spacing w:line="360" w:lineRule="auto"/>
              <w:jc w:val="center"/>
              <w:rPr>
                <w:rFonts w:ascii="仿宋" w:hAnsi="仿宋" w:eastAsia="仿宋"/>
                <w:bCs/>
                <w:color w:val="auto"/>
                <w:sz w:val="24"/>
                <w:highlight w:val="none"/>
              </w:rPr>
            </w:pPr>
            <w:r>
              <w:rPr>
                <w:rFonts w:ascii="仿宋" w:hAnsi="仿宋" w:eastAsia="仿宋"/>
                <w:bCs/>
                <w:color w:val="auto"/>
                <w:sz w:val="24"/>
                <w:highlight w:val="none"/>
              </w:rPr>
              <w:t>0</w:t>
            </w:r>
            <w:r>
              <w:rPr>
                <w:rFonts w:hint="eastAsia" w:ascii="仿宋" w:hAnsi="仿宋" w:eastAsia="仿宋"/>
                <w:bCs/>
                <w:color w:val="auto"/>
                <w:sz w:val="24"/>
                <w:highlight w:val="none"/>
              </w:rPr>
              <w:t>-1</w:t>
            </w:r>
            <w:r>
              <w:rPr>
                <w:rFonts w:ascii="仿宋" w:hAnsi="仿宋" w:eastAsia="仿宋"/>
                <w:bCs/>
                <w:color w:val="auto"/>
                <w:sz w:val="24"/>
                <w:highlight w:val="none"/>
              </w:rPr>
              <w:t>0</w:t>
            </w:r>
            <w:r>
              <w:rPr>
                <w:rFonts w:hint="eastAsia" w:ascii="仿宋" w:hAnsi="仿宋" w:eastAsia="仿宋"/>
                <w:bCs/>
                <w:color w:val="auto"/>
                <w:sz w:val="24"/>
                <w:highlight w:val="none"/>
              </w:rPr>
              <w:t>分</w:t>
            </w:r>
          </w:p>
        </w:tc>
        <w:tc>
          <w:tcPr>
            <w:tcW w:w="4668" w:type="dxa"/>
          </w:tcPr>
          <w:p>
            <w:pPr>
              <w:spacing w:line="360" w:lineRule="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有效投标报价的最低价作为评标基准价，其最低报价为满分；按［投标报价得分=（评标基准价/投标报价）*10］的计算公式计算。</w:t>
            </w:r>
          </w:p>
          <w:p>
            <w:pPr>
              <w:widowControl/>
              <w:shd w:val="clear" w:color="auto" w:fill="FFFFFF"/>
              <w:adjustRightInd/>
              <w:spacing w:after="225" w:line="360" w:lineRule="auto"/>
              <w:ind w:firstLine="420"/>
              <w:rPr>
                <w:rFonts w:ascii="仿宋" w:hAnsi="仿宋" w:eastAsia="仿宋" w:cs="仿宋_GB2312"/>
                <w:color w:val="auto"/>
                <w:sz w:val="24"/>
                <w:highlight w:val="none"/>
              </w:rPr>
            </w:pPr>
            <w:r>
              <w:rPr>
                <w:rFonts w:hint="eastAsia" w:ascii="仿宋" w:hAnsi="仿宋" w:eastAsia="仿宋" w:cs="仿宋_GB2312"/>
                <w:color w:val="auto"/>
                <w:sz w:val="24"/>
                <w:highlight w:val="none"/>
              </w:rPr>
              <w:t>评标过程中，不得去掉报价中的最高报价和最低报价。</w:t>
            </w:r>
          </w:p>
          <w:p>
            <w:pPr>
              <w:spacing w:line="360" w:lineRule="auto"/>
              <w:jc w:val="center"/>
              <w:rPr>
                <w:rFonts w:ascii="仿宋" w:hAnsi="仿宋" w:eastAsia="仿宋"/>
                <w:bCs/>
                <w:color w:val="auto"/>
                <w:sz w:val="24"/>
                <w:highlight w:val="none"/>
              </w:rPr>
            </w:pPr>
            <w:r>
              <w:rPr>
                <w:rFonts w:hint="eastAsia" w:ascii="仿宋" w:hAnsi="仿宋" w:eastAsia="仿宋" w:cs="仿宋_GB2312"/>
                <w:color w:val="auto"/>
                <w:sz w:val="24"/>
                <w:highlight w:val="none"/>
              </w:rPr>
              <w:t>因落实政府采购政策需要进行价格调整的，以调整后的价格计算评标基准价和投标报价。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817" w:type="dxa"/>
            <w:tcBorders>
              <w:right w:val="single" w:color="auto" w:sz="4" w:space="0"/>
            </w:tcBorders>
            <w:vAlign w:val="center"/>
          </w:tcPr>
          <w:p>
            <w:pPr>
              <w:spacing w:line="360" w:lineRule="auto"/>
              <w:jc w:val="center"/>
              <w:rPr>
                <w:rFonts w:ascii="仿宋" w:hAnsi="仿宋" w:eastAsia="仿宋"/>
                <w:bCs/>
                <w:color w:val="auto"/>
                <w:sz w:val="24"/>
                <w:highlight w:val="none"/>
              </w:rPr>
            </w:pPr>
            <w:r>
              <w:rPr>
                <w:rFonts w:ascii="仿宋" w:hAnsi="仿宋" w:eastAsia="仿宋"/>
                <w:bCs/>
                <w:color w:val="auto"/>
                <w:sz w:val="24"/>
                <w:highlight w:val="none"/>
              </w:rPr>
              <w:t>2</w:t>
            </w:r>
            <w:r>
              <w:rPr>
                <w:rFonts w:hint="eastAsia" w:ascii="仿宋" w:hAnsi="仿宋" w:eastAsia="仿宋"/>
                <w:bCs/>
                <w:color w:val="auto"/>
                <w:sz w:val="24"/>
                <w:highlight w:val="none"/>
              </w:rPr>
              <w:t>、技术参数（5分）</w:t>
            </w:r>
          </w:p>
        </w:tc>
        <w:tc>
          <w:tcPr>
            <w:tcW w:w="2047" w:type="dxa"/>
            <w:tcBorders>
              <w:left w:val="single" w:color="auto" w:sz="4" w:space="0"/>
            </w:tcBorders>
            <w:vAlign w:val="center"/>
          </w:tcPr>
          <w:p>
            <w:pPr>
              <w:spacing w:line="360" w:lineRule="auto"/>
              <w:jc w:val="center"/>
              <w:rPr>
                <w:rFonts w:ascii="仿宋" w:hAnsi="仿宋" w:eastAsia="仿宋"/>
                <w:bCs/>
                <w:color w:val="auto"/>
                <w:sz w:val="24"/>
                <w:highlight w:val="none"/>
              </w:rPr>
            </w:pPr>
            <w:r>
              <w:rPr>
                <w:rFonts w:hint="eastAsia" w:ascii="仿宋" w:hAnsi="仿宋" w:eastAsia="仿宋"/>
                <w:bCs/>
                <w:color w:val="auto"/>
                <w:sz w:val="24"/>
                <w:highlight w:val="none"/>
              </w:rPr>
              <w:t>技术参数</w:t>
            </w:r>
          </w:p>
        </w:tc>
        <w:tc>
          <w:tcPr>
            <w:tcW w:w="1235" w:type="dxa"/>
            <w:vAlign w:val="center"/>
          </w:tcPr>
          <w:p>
            <w:pPr>
              <w:spacing w:line="360" w:lineRule="auto"/>
              <w:jc w:val="center"/>
              <w:rPr>
                <w:rFonts w:ascii="仿宋" w:hAnsi="仿宋" w:eastAsia="仿宋"/>
                <w:bCs/>
                <w:color w:val="auto"/>
                <w:sz w:val="24"/>
                <w:highlight w:val="none"/>
              </w:rPr>
            </w:pPr>
            <w:r>
              <w:rPr>
                <w:rFonts w:hint="eastAsia" w:ascii="仿宋" w:hAnsi="仿宋" w:eastAsia="仿宋" w:cs="宋体"/>
                <w:color w:val="auto"/>
                <w:sz w:val="24"/>
                <w:highlight w:val="none"/>
              </w:rPr>
              <w:t>0-</w:t>
            </w:r>
            <w:r>
              <w:rPr>
                <w:rFonts w:ascii="仿宋" w:hAnsi="仿宋" w:eastAsia="仿宋" w:cs="宋体"/>
                <w:color w:val="auto"/>
                <w:sz w:val="24"/>
                <w:highlight w:val="none"/>
              </w:rPr>
              <w:t>5</w:t>
            </w:r>
            <w:r>
              <w:rPr>
                <w:rFonts w:hint="eastAsia" w:ascii="仿宋" w:hAnsi="仿宋" w:eastAsia="仿宋" w:cs="宋体"/>
                <w:color w:val="auto"/>
                <w:sz w:val="24"/>
                <w:highlight w:val="none"/>
              </w:rPr>
              <w:t>分</w:t>
            </w:r>
          </w:p>
        </w:tc>
        <w:tc>
          <w:tcPr>
            <w:tcW w:w="4668" w:type="dxa"/>
          </w:tcPr>
          <w:p>
            <w:pPr>
              <w:widowControl/>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提供设备满足采购文件的性能及技术指标要求，所有指标均满足采购文件技术参数等要求的，得基本分</w:t>
            </w:r>
            <w:r>
              <w:rPr>
                <w:rFonts w:ascii="仿宋" w:hAnsi="仿宋" w:eastAsia="仿宋" w:cs="仿宋"/>
                <w:color w:val="auto"/>
                <w:kern w:val="0"/>
                <w:sz w:val="24"/>
                <w:highlight w:val="none"/>
              </w:rPr>
              <w:t>5</w:t>
            </w:r>
            <w:r>
              <w:rPr>
                <w:rFonts w:hint="eastAsia" w:ascii="仿宋" w:hAnsi="仿宋" w:eastAsia="仿宋" w:cs="仿宋"/>
                <w:color w:val="auto"/>
                <w:kern w:val="0"/>
                <w:sz w:val="24"/>
                <w:highlight w:val="none"/>
              </w:rPr>
              <w:t>分；</w:t>
            </w:r>
          </w:p>
          <w:p>
            <w:pPr>
              <w:widowControl/>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技术参数如有一项不满足的，扣</w:t>
            </w: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分，扣完为止。</w:t>
            </w:r>
          </w:p>
          <w:p>
            <w:pPr>
              <w:spacing w:line="360" w:lineRule="auto"/>
              <w:outlineLvl w:val="0"/>
              <w:rPr>
                <w:rFonts w:ascii="仿宋" w:hAnsi="仿宋" w:eastAsia="仿宋" w:cs="仿宋_GB2312"/>
                <w:color w:val="auto"/>
                <w:sz w:val="24"/>
                <w:highlight w:val="none"/>
              </w:rPr>
            </w:pPr>
            <w:r>
              <w:rPr>
                <w:rFonts w:hint="eastAsia" w:ascii="仿宋" w:hAnsi="仿宋" w:eastAsia="仿宋" w:cs="仿宋"/>
                <w:b/>
                <w:bCs/>
                <w:color w:val="auto"/>
                <w:kern w:val="0"/>
                <w:highlight w:val="none"/>
              </w:rPr>
              <w:t>注：投标文件中提供采购清单中要求的相关证明材料，否则不得分。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817" w:type="dxa"/>
            <w:vMerge w:val="restart"/>
            <w:tcBorders>
              <w:right w:val="single" w:color="auto" w:sz="4" w:space="0"/>
            </w:tcBorders>
            <w:vAlign w:val="center"/>
          </w:tcPr>
          <w:p>
            <w:pPr>
              <w:spacing w:line="360" w:lineRule="auto"/>
              <w:jc w:val="center"/>
              <w:rPr>
                <w:rFonts w:ascii="仿宋" w:hAnsi="仿宋" w:eastAsia="仿宋"/>
                <w:caps/>
                <w:color w:val="auto"/>
                <w:sz w:val="24"/>
                <w:highlight w:val="none"/>
              </w:rPr>
            </w:pPr>
            <w:r>
              <w:rPr>
                <w:rFonts w:ascii="仿宋" w:hAnsi="仿宋" w:eastAsia="仿宋" w:cs="宋体"/>
                <w:b/>
                <w:bCs/>
                <w:color w:val="auto"/>
                <w:sz w:val="24"/>
                <w:highlight w:val="none"/>
              </w:rPr>
              <w:t>3</w:t>
            </w:r>
            <w:r>
              <w:rPr>
                <w:rFonts w:hint="eastAsia" w:ascii="仿宋" w:hAnsi="仿宋" w:eastAsia="仿宋" w:cs="宋体"/>
                <w:b/>
                <w:bCs/>
                <w:color w:val="auto"/>
                <w:sz w:val="24"/>
                <w:highlight w:val="none"/>
              </w:rPr>
              <w:t>、布展大纲撰写（10分）</w:t>
            </w:r>
          </w:p>
        </w:tc>
        <w:tc>
          <w:tcPr>
            <w:tcW w:w="2047" w:type="dxa"/>
            <w:tcBorders>
              <w:left w:val="single" w:color="auto" w:sz="4" w:space="0"/>
            </w:tcBorders>
            <w:vAlign w:val="center"/>
          </w:tcPr>
          <w:p>
            <w:pPr>
              <w:widowControl/>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（1）布展与陈列大纲内容理解和体现程度</w:t>
            </w:r>
          </w:p>
        </w:tc>
        <w:tc>
          <w:tcPr>
            <w:tcW w:w="1235" w:type="dxa"/>
            <w:vAlign w:val="center"/>
          </w:tcPr>
          <w:p>
            <w:pPr>
              <w:spacing w:line="360" w:lineRule="auto"/>
              <w:jc w:val="center"/>
              <w:rPr>
                <w:rFonts w:ascii="仿宋" w:hAnsi="仿宋" w:eastAsia="仿宋"/>
                <w:bCs/>
                <w:color w:val="auto"/>
                <w:sz w:val="24"/>
                <w:highlight w:val="none"/>
              </w:rPr>
            </w:pPr>
            <w:r>
              <w:rPr>
                <w:rFonts w:hint="eastAsia" w:ascii="仿宋" w:hAnsi="仿宋" w:eastAsia="仿宋" w:cs="宋体"/>
                <w:color w:val="auto"/>
                <w:sz w:val="24"/>
                <w:highlight w:val="none"/>
              </w:rPr>
              <w:t>0-5分</w:t>
            </w:r>
          </w:p>
        </w:tc>
        <w:tc>
          <w:tcPr>
            <w:tcW w:w="4668" w:type="dxa"/>
            <w:vAlign w:val="center"/>
          </w:tcPr>
          <w:p>
            <w:pPr>
              <w:spacing w:line="360" w:lineRule="auto"/>
              <w:jc w:val="left"/>
              <w:rPr>
                <w:rFonts w:ascii="仿宋" w:hAnsi="仿宋" w:eastAsia="仿宋" w:cs="宋体"/>
                <w:color w:val="auto"/>
                <w:kern w:val="0"/>
                <w:sz w:val="24"/>
                <w:highlight w:val="none"/>
                <w:lang w:bidi="ar"/>
              </w:rPr>
            </w:pPr>
            <w:r>
              <w:rPr>
                <w:rFonts w:hint="eastAsia" w:ascii="仿宋" w:hAnsi="仿宋" w:eastAsia="仿宋" w:cs="宋体"/>
                <w:color w:val="auto"/>
                <w:sz w:val="24"/>
                <w:highlight w:val="none"/>
              </w:rPr>
              <w:t>布展陈列大纲主题内容立意鲜明，能够体现俞樾纪念馆的特色，整体方案具有创意，策划理念符合展馆的总体定位，具有针对性、创新性、前瞻性</w:t>
            </w:r>
            <w:r>
              <w:rPr>
                <w:rFonts w:hint="eastAsia" w:ascii="仿宋" w:hAnsi="仿宋" w:eastAsia="仿宋" w:cs="宋体"/>
                <w:color w:val="auto"/>
                <w:kern w:val="0"/>
                <w:sz w:val="24"/>
                <w:highlight w:val="none"/>
                <w:lang w:bidi="ar"/>
              </w:rPr>
              <w:t>得</w:t>
            </w:r>
            <w:r>
              <w:rPr>
                <w:rFonts w:ascii="仿宋" w:hAnsi="仿宋" w:eastAsia="仿宋" w:cs="宋体"/>
                <w:color w:val="auto"/>
                <w:kern w:val="0"/>
                <w:sz w:val="24"/>
                <w:highlight w:val="none"/>
                <w:lang w:bidi="ar"/>
              </w:rPr>
              <w:t>5</w:t>
            </w:r>
            <w:r>
              <w:rPr>
                <w:rFonts w:hint="eastAsia" w:ascii="仿宋" w:hAnsi="仿宋" w:eastAsia="仿宋" w:cs="宋体"/>
                <w:color w:val="auto"/>
                <w:kern w:val="0"/>
                <w:sz w:val="24"/>
                <w:highlight w:val="none"/>
                <w:lang w:bidi="ar"/>
              </w:rPr>
              <w:t>分；</w:t>
            </w:r>
            <w:r>
              <w:rPr>
                <w:rFonts w:hint="eastAsia" w:ascii="仿宋" w:hAnsi="仿宋" w:eastAsia="仿宋" w:cs="宋体"/>
                <w:color w:val="auto"/>
                <w:sz w:val="24"/>
                <w:highlight w:val="none"/>
              </w:rPr>
              <w:t>整体方案较具有创意，策划理念较符合展馆的总体定位，较具有针对性、创新性、前瞻性</w:t>
            </w:r>
            <w:r>
              <w:rPr>
                <w:rFonts w:hint="eastAsia" w:ascii="仿宋" w:hAnsi="仿宋" w:eastAsia="仿宋" w:cs="宋体"/>
                <w:color w:val="auto"/>
                <w:kern w:val="0"/>
                <w:sz w:val="24"/>
                <w:highlight w:val="none"/>
                <w:lang w:bidi="ar"/>
              </w:rPr>
              <w:t>得</w:t>
            </w:r>
            <w:r>
              <w:rPr>
                <w:rFonts w:ascii="仿宋" w:hAnsi="仿宋" w:eastAsia="仿宋" w:cs="宋体"/>
                <w:color w:val="auto"/>
                <w:kern w:val="0"/>
                <w:sz w:val="24"/>
                <w:highlight w:val="none"/>
                <w:lang w:bidi="ar"/>
              </w:rPr>
              <w:t>3</w:t>
            </w:r>
            <w:r>
              <w:rPr>
                <w:rFonts w:hint="eastAsia" w:ascii="仿宋" w:hAnsi="仿宋" w:eastAsia="仿宋" w:cs="宋体"/>
                <w:color w:val="auto"/>
                <w:kern w:val="0"/>
                <w:sz w:val="24"/>
                <w:highlight w:val="none"/>
                <w:lang w:bidi="ar"/>
              </w:rPr>
              <w:t>分；</w:t>
            </w:r>
            <w:r>
              <w:rPr>
                <w:rFonts w:hint="eastAsia" w:ascii="仿宋" w:hAnsi="仿宋" w:eastAsia="仿宋" w:cs="宋体"/>
                <w:color w:val="auto"/>
                <w:sz w:val="24"/>
                <w:highlight w:val="none"/>
              </w:rPr>
              <w:t>整体方案具有一定创意，策划理念与展馆的总体定位有一定偏离，针对性、创新性、前瞻性有一定不足，需进一步完善</w:t>
            </w:r>
            <w:r>
              <w:rPr>
                <w:rFonts w:hint="eastAsia" w:ascii="仿宋" w:hAnsi="仿宋" w:eastAsia="仿宋" w:cs="宋体"/>
                <w:color w:val="auto"/>
                <w:kern w:val="0"/>
                <w:sz w:val="24"/>
                <w:highlight w:val="none"/>
                <w:lang w:bidi="ar"/>
              </w:rPr>
              <w:t>得</w:t>
            </w:r>
            <w:r>
              <w:rPr>
                <w:rFonts w:ascii="仿宋" w:hAnsi="仿宋" w:eastAsia="仿宋" w:cs="宋体"/>
                <w:color w:val="auto"/>
                <w:kern w:val="0"/>
                <w:sz w:val="24"/>
                <w:highlight w:val="none"/>
                <w:lang w:bidi="ar"/>
              </w:rPr>
              <w:t>1</w:t>
            </w:r>
            <w:r>
              <w:rPr>
                <w:rFonts w:hint="eastAsia" w:ascii="仿宋" w:hAnsi="仿宋" w:eastAsia="仿宋" w:cs="宋体"/>
                <w:color w:val="auto"/>
                <w:kern w:val="0"/>
                <w:sz w:val="24"/>
                <w:highlight w:val="none"/>
                <w:lang w:bidi="ar"/>
              </w:rPr>
              <w:t>分；方案不合理或未提供方案不得分。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817" w:type="dxa"/>
            <w:vMerge w:val="continue"/>
            <w:tcBorders>
              <w:bottom w:val="single" w:color="auto" w:sz="4" w:space="0"/>
              <w:right w:val="single" w:color="auto" w:sz="4" w:space="0"/>
            </w:tcBorders>
            <w:vAlign w:val="center"/>
          </w:tcPr>
          <w:p>
            <w:pPr>
              <w:spacing w:line="360" w:lineRule="auto"/>
              <w:jc w:val="center"/>
              <w:rPr>
                <w:rFonts w:ascii="仿宋" w:hAnsi="仿宋" w:eastAsia="仿宋" w:cs="宋体"/>
                <w:color w:val="auto"/>
                <w:sz w:val="24"/>
                <w:highlight w:val="none"/>
              </w:rPr>
            </w:pPr>
          </w:p>
        </w:tc>
        <w:tc>
          <w:tcPr>
            <w:tcW w:w="2047" w:type="dxa"/>
            <w:tcBorders>
              <w:left w:val="single" w:color="auto" w:sz="4" w:space="0"/>
            </w:tcBorders>
            <w:vAlign w:val="center"/>
          </w:tcPr>
          <w:p>
            <w:pPr>
              <w:widowControl/>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（2）布展大纲的整体解读、叙述逻辑的创新、大纲内容的设计深度</w:t>
            </w:r>
          </w:p>
        </w:tc>
        <w:tc>
          <w:tcPr>
            <w:tcW w:w="1235" w:type="dxa"/>
            <w:vAlign w:val="center"/>
          </w:tcPr>
          <w:p>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0-5分</w:t>
            </w:r>
          </w:p>
        </w:tc>
        <w:tc>
          <w:tcPr>
            <w:tcW w:w="4668" w:type="dxa"/>
          </w:tcPr>
          <w:p>
            <w:pPr>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对展陈大纲的解读和分析，全案展陈逻辑的梳理，设计理念、立意及构思的阐述，图片资料详实全面，内容具有系统性</w:t>
            </w:r>
            <w:r>
              <w:rPr>
                <w:rFonts w:hint="eastAsia" w:ascii="仿宋" w:hAnsi="仿宋" w:eastAsia="仿宋" w:cs="宋体"/>
                <w:color w:val="auto"/>
                <w:kern w:val="0"/>
                <w:sz w:val="24"/>
                <w:highlight w:val="none"/>
                <w:lang w:bidi="ar"/>
              </w:rPr>
              <w:t>得5分；</w:t>
            </w:r>
            <w:r>
              <w:rPr>
                <w:rFonts w:hint="eastAsia" w:ascii="仿宋" w:hAnsi="仿宋" w:eastAsia="仿宋" w:cs="宋体"/>
                <w:color w:val="auto"/>
                <w:sz w:val="24"/>
                <w:highlight w:val="none"/>
              </w:rPr>
              <w:t>对展陈大纲的解读和分析，全案展陈逻辑的梳理，设计理念、立意及构思的阐述，图片资料较为详实全面，内容较具有系统性</w:t>
            </w:r>
            <w:r>
              <w:rPr>
                <w:rFonts w:hint="eastAsia" w:ascii="仿宋" w:hAnsi="仿宋" w:eastAsia="仿宋" w:cs="宋体"/>
                <w:color w:val="auto"/>
                <w:kern w:val="0"/>
                <w:sz w:val="24"/>
                <w:highlight w:val="none"/>
                <w:lang w:bidi="ar"/>
              </w:rPr>
              <w:t>得</w:t>
            </w:r>
            <w:r>
              <w:rPr>
                <w:rFonts w:ascii="仿宋" w:hAnsi="仿宋" w:eastAsia="仿宋" w:cs="宋体"/>
                <w:color w:val="auto"/>
                <w:kern w:val="0"/>
                <w:sz w:val="24"/>
                <w:highlight w:val="none"/>
                <w:lang w:bidi="ar"/>
              </w:rPr>
              <w:t>3</w:t>
            </w:r>
            <w:r>
              <w:rPr>
                <w:rFonts w:hint="eastAsia" w:ascii="仿宋" w:hAnsi="仿宋" w:eastAsia="仿宋" w:cs="宋体"/>
                <w:color w:val="auto"/>
                <w:kern w:val="0"/>
                <w:sz w:val="24"/>
                <w:highlight w:val="none"/>
                <w:lang w:bidi="ar"/>
              </w:rPr>
              <w:t>分；</w:t>
            </w:r>
            <w:r>
              <w:rPr>
                <w:rFonts w:hint="eastAsia" w:ascii="仿宋" w:hAnsi="仿宋" w:eastAsia="仿宋" w:cs="宋体"/>
                <w:color w:val="auto"/>
                <w:sz w:val="24"/>
                <w:highlight w:val="none"/>
              </w:rPr>
              <w:t>对展陈大纲的解读和分析，全案展陈逻辑的梳理，设计理念、立意及构思的阐述，图片资料不够详实全面，内容系统性有一定不足</w:t>
            </w:r>
            <w:r>
              <w:rPr>
                <w:rFonts w:hint="eastAsia" w:ascii="仿宋" w:hAnsi="仿宋" w:eastAsia="仿宋" w:cs="宋体"/>
                <w:color w:val="auto"/>
                <w:kern w:val="0"/>
                <w:sz w:val="24"/>
                <w:highlight w:val="none"/>
                <w:lang w:bidi="ar"/>
              </w:rPr>
              <w:t>得</w:t>
            </w:r>
            <w:r>
              <w:rPr>
                <w:rFonts w:ascii="仿宋" w:hAnsi="仿宋" w:eastAsia="仿宋" w:cs="宋体"/>
                <w:color w:val="auto"/>
                <w:kern w:val="0"/>
                <w:sz w:val="24"/>
                <w:highlight w:val="none"/>
                <w:lang w:bidi="ar"/>
              </w:rPr>
              <w:t>1</w:t>
            </w:r>
            <w:r>
              <w:rPr>
                <w:rFonts w:hint="eastAsia" w:ascii="仿宋" w:hAnsi="仿宋" w:eastAsia="仿宋" w:cs="宋体"/>
                <w:color w:val="auto"/>
                <w:kern w:val="0"/>
                <w:sz w:val="24"/>
                <w:highlight w:val="none"/>
                <w:lang w:bidi="ar"/>
              </w:rPr>
              <w:t>分；方案不合理或未提供方案不得分。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817" w:type="dxa"/>
            <w:vMerge w:val="restart"/>
            <w:tcBorders>
              <w:top w:val="single" w:color="auto" w:sz="4" w:space="0"/>
              <w:right w:val="single" w:color="auto" w:sz="4" w:space="0"/>
            </w:tcBorders>
            <w:vAlign w:val="center"/>
          </w:tcPr>
          <w:p>
            <w:pPr>
              <w:widowControl/>
              <w:spacing w:line="360" w:lineRule="auto"/>
              <w:jc w:val="left"/>
              <w:rPr>
                <w:rFonts w:ascii="仿宋" w:hAnsi="仿宋" w:eastAsia="仿宋" w:cs="宋体"/>
                <w:color w:val="auto"/>
                <w:sz w:val="24"/>
                <w:highlight w:val="none"/>
              </w:rPr>
            </w:pPr>
            <w:r>
              <w:rPr>
                <w:rFonts w:ascii="仿宋" w:hAnsi="仿宋" w:eastAsia="仿宋" w:cs="宋体"/>
                <w:b/>
                <w:bCs/>
                <w:color w:val="auto"/>
                <w:sz w:val="24"/>
                <w:highlight w:val="none"/>
              </w:rPr>
              <w:t>4</w:t>
            </w:r>
            <w:r>
              <w:rPr>
                <w:rFonts w:hint="eastAsia" w:ascii="仿宋" w:hAnsi="仿宋" w:eastAsia="仿宋" w:cs="宋体"/>
                <w:b/>
                <w:bCs/>
                <w:color w:val="auto"/>
                <w:sz w:val="24"/>
                <w:highlight w:val="none"/>
              </w:rPr>
              <w:t>、技术分（60）</w:t>
            </w:r>
          </w:p>
        </w:tc>
        <w:tc>
          <w:tcPr>
            <w:tcW w:w="2047" w:type="dxa"/>
            <w:tcBorders>
              <w:left w:val="single" w:color="auto" w:sz="4" w:space="0"/>
            </w:tcBorders>
            <w:vAlign w:val="center"/>
          </w:tcPr>
          <w:p>
            <w:pPr>
              <w:widowControl/>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（1）总平面布局</w:t>
            </w:r>
          </w:p>
          <w:p>
            <w:pPr>
              <w:widowControl/>
              <w:spacing w:line="360" w:lineRule="auto"/>
              <w:jc w:val="left"/>
              <w:rPr>
                <w:rFonts w:ascii="仿宋" w:hAnsi="仿宋" w:eastAsia="仿宋" w:cs="宋体"/>
                <w:color w:val="auto"/>
                <w:sz w:val="24"/>
                <w:highlight w:val="none"/>
              </w:rPr>
            </w:pPr>
          </w:p>
        </w:tc>
        <w:tc>
          <w:tcPr>
            <w:tcW w:w="1235" w:type="dxa"/>
            <w:vAlign w:val="center"/>
          </w:tcPr>
          <w:p>
            <w:pPr>
              <w:spacing w:line="360" w:lineRule="auto"/>
              <w:jc w:val="center"/>
              <w:rPr>
                <w:rFonts w:ascii="仿宋" w:hAnsi="仿宋" w:eastAsia="仿宋"/>
                <w:bCs/>
                <w:color w:val="auto"/>
                <w:sz w:val="24"/>
                <w:highlight w:val="none"/>
              </w:rPr>
            </w:pPr>
            <w:r>
              <w:rPr>
                <w:rFonts w:hint="eastAsia" w:ascii="仿宋" w:hAnsi="仿宋" w:eastAsia="仿宋" w:cs="宋体"/>
                <w:color w:val="auto"/>
                <w:sz w:val="24"/>
                <w:highlight w:val="none"/>
              </w:rPr>
              <w:t>0-5分</w:t>
            </w:r>
          </w:p>
        </w:tc>
        <w:tc>
          <w:tcPr>
            <w:tcW w:w="4668" w:type="dxa"/>
          </w:tcPr>
          <w:p>
            <w:pPr>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展陈平面布局优化合理，很好的体现人性化的功能分区与展陈面积协调运用，参观路线的流畅性与节奏感强</w:t>
            </w:r>
            <w:r>
              <w:rPr>
                <w:rFonts w:hint="eastAsia" w:ascii="仿宋" w:hAnsi="仿宋" w:eastAsia="仿宋" w:cs="宋体"/>
                <w:color w:val="auto"/>
                <w:kern w:val="0"/>
                <w:sz w:val="24"/>
                <w:highlight w:val="none"/>
                <w:lang w:bidi="ar"/>
              </w:rPr>
              <w:t>得5分；</w:t>
            </w:r>
            <w:r>
              <w:rPr>
                <w:rFonts w:hint="eastAsia" w:ascii="仿宋" w:hAnsi="仿宋" w:eastAsia="仿宋" w:cs="宋体"/>
                <w:color w:val="auto"/>
                <w:sz w:val="24"/>
                <w:highlight w:val="none"/>
              </w:rPr>
              <w:t>展陈平面布局优化较为合理，较好的体现人性化的功能分区与展陈面积协调运用，参观路线的流畅性与节奏感较强</w:t>
            </w:r>
            <w:r>
              <w:rPr>
                <w:rFonts w:hint="eastAsia" w:ascii="仿宋" w:hAnsi="仿宋" w:eastAsia="仿宋" w:cs="宋体"/>
                <w:color w:val="auto"/>
                <w:kern w:val="0"/>
                <w:sz w:val="24"/>
                <w:highlight w:val="none"/>
                <w:lang w:bidi="ar"/>
              </w:rPr>
              <w:t>得</w:t>
            </w:r>
            <w:r>
              <w:rPr>
                <w:rFonts w:ascii="仿宋" w:hAnsi="仿宋" w:eastAsia="仿宋" w:cs="宋体"/>
                <w:color w:val="auto"/>
                <w:kern w:val="0"/>
                <w:sz w:val="24"/>
                <w:highlight w:val="none"/>
                <w:lang w:bidi="ar"/>
              </w:rPr>
              <w:t>3</w:t>
            </w:r>
            <w:r>
              <w:rPr>
                <w:rFonts w:hint="eastAsia" w:ascii="仿宋" w:hAnsi="仿宋" w:eastAsia="仿宋" w:cs="宋体"/>
                <w:color w:val="auto"/>
                <w:kern w:val="0"/>
                <w:sz w:val="24"/>
                <w:highlight w:val="none"/>
                <w:lang w:bidi="ar"/>
              </w:rPr>
              <w:t>分；</w:t>
            </w:r>
            <w:r>
              <w:rPr>
                <w:rFonts w:hint="eastAsia" w:ascii="仿宋" w:hAnsi="仿宋" w:eastAsia="仿宋" w:cs="宋体"/>
                <w:color w:val="auto"/>
                <w:sz w:val="24"/>
                <w:highlight w:val="none"/>
              </w:rPr>
              <w:t>展陈平面布局优化不够合理，不能完全体现人性化的功能分区与展陈面积协调运用，参观路线的流畅性与节奏感有一定缺陷</w:t>
            </w:r>
            <w:r>
              <w:rPr>
                <w:rFonts w:hint="eastAsia" w:ascii="仿宋" w:hAnsi="仿宋" w:eastAsia="仿宋" w:cs="宋体"/>
                <w:color w:val="auto"/>
                <w:kern w:val="0"/>
                <w:sz w:val="24"/>
                <w:highlight w:val="none"/>
                <w:lang w:bidi="ar"/>
              </w:rPr>
              <w:t>得</w:t>
            </w:r>
            <w:r>
              <w:rPr>
                <w:rFonts w:ascii="仿宋" w:hAnsi="仿宋" w:eastAsia="仿宋" w:cs="宋体"/>
                <w:color w:val="auto"/>
                <w:kern w:val="0"/>
                <w:sz w:val="24"/>
                <w:highlight w:val="none"/>
                <w:lang w:bidi="ar"/>
              </w:rPr>
              <w:t>1</w:t>
            </w:r>
            <w:r>
              <w:rPr>
                <w:rFonts w:hint="eastAsia" w:ascii="仿宋" w:hAnsi="仿宋" w:eastAsia="仿宋" w:cs="宋体"/>
                <w:color w:val="auto"/>
                <w:kern w:val="0"/>
                <w:sz w:val="24"/>
                <w:highlight w:val="none"/>
                <w:lang w:bidi="ar"/>
              </w:rPr>
              <w:t>分；方案不合理或未提供方案不得分。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817" w:type="dxa"/>
            <w:vMerge w:val="continue"/>
            <w:tcBorders>
              <w:right w:val="single" w:color="auto" w:sz="4" w:space="0"/>
            </w:tcBorders>
            <w:vAlign w:val="center"/>
          </w:tcPr>
          <w:p>
            <w:pPr>
              <w:widowControl/>
              <w:spacing w:line="360" w:lineRule="auto"/>
              <w:jc w:val="left"/>
              <w:rPr>
                <w:rFonts w:ascii="仿宋" w:hAnsi="仿宋" w:eastAsia="仿宋" w:cs="宋体"/>
                <w:b/>
                <w:bCs/>
                <w:color w:val="auto"/>
                <w:sz w:val="24"/>
                <w:highlight w:val="none"/>
              </w:rPr>
            </w:pPr>
          </w:p>
        </w:tc>
        <w:tc>
          <w:tcPr>
            <w:tcW w:w="2047" w:type="dxa"/>
            <w:tcBorders>
              <w:left w:val="single" w:color="auto" w:sz="4" w:space="0"/>
            </w:tcBorders>
            <w:vAlign w:val="center"/>
          </w:tcPr>
          <w:p>
            <w:pPr>
              <w:widowControl/>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（2）设计方案的创意、 立意及感染力</w:t>
            </w:r>
          </w:p>
        </w:tc>
        <w:tc>
          <w:tcPr>
            <w:tcW w:w="1235" w:type="dxa"/>
            <w:vAlign w:val="center"/>
          </w:tcPr>
          <w:p>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0-5分</w:t>
            </w:r>
          </w:p>
        </w:tc>
        <w:tc>
          <w:tcPr>
            <w:tcW w:w="4668" w:type="dxa"/>
          </w:tcPr>
          <w:p>
            <w:pPr>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整体方案效果图大气、</w:t>
            </w:r>
            <w:r>
              <w:rPr>
                <w:rFonts w:hint="eastAsia" w:ascii="仿宋" w:hAnsi="仿宋" w:eastAsia="仿宋" w:cs="宋体"/>
                <w:color w:val="auto"/>
                <w:kern w:val="0"/>
                <w:sz w:val="24"/>
                <w:highlight w:val="none"/>
                <w:lang w:bidi="ar"/>
              </w:rPr>
              <w:t>设计方案的创意好、 立意及感染力强得5分；</w:t>
            </w:r>
            <w:r>
              <w:rPr>
                <w:rFonts w:hint="eastAsia" w:ascii="仿宋" w:hAnsi="仿宋" w:eastAsia="仿宋" w:cs="宋体"/>
                <w:color w:val="auto"/>
                <w:sz w:val="24"/>
                <w:highlight w:val="none"/>
              </w:rPr>
              <w:t>整体方案效果图较为大气、</w:t>
            </w:r>
            <w:r>
              <w:rPr>
                <w:rFonts w:hint="eastAsia" w:ascii="仿宋" w:hAnsi="仿宋" w:eastAsia="仿宋" w:cs="宋体"/>
                <w:color w:val="auto"/>
                <w:kern w:val="0"/>
                <w:sz w:val="24"/>
                <w:highlight w:val="none"/>
                <w:lang w:bidi="ar"/>
              </w:rPr>
              <w:t>设计方案的创意较好、 立意及感染力较强得</w:t>
            </w:r>
            <w:r>
              <w:rPr>
                <w:rFonts w:ascii="仿宋" w:hAnsi="仿宋" w:eastAsia="仿宋" w:cs="宋体"/>
                <w:color w:val="auto"/>
                <w:kern w:val="0"/>
                <w:sz w:val="24"/>
                <w:highlight w:val="none"/>
                <w:lang w:bidi="ar"/>
              </w:rPr>
              <w:t>3</w:t>
            </w:r>
            <w:r>
              <w:rPr>
                <w:rFonts w:hint="eastAsia" w:ascii="仿宋" w:hAnsi="仿宋" w:eastAsia="仿宋" w:cs="宋体"/>
                <w:color w:val="auto"/>
                <w:kern w:val="0"/>
                <w:sz w:val="24"/>
                <w:highlight w:val="none"/>
                <w:lang w:bidi="ar"/>
              </w:rPr>
              <w:t>分；</w:t>
            </w:r>
            <w:r>
              <w:rPr>
                <w:rFonts w:hint="eastAsia" w:ascii="仿宋" w:hAnsi="仿宋" w:eastAsia="仿宋" w:cs="宋体"/>
                <w:color w:val="auto"/>
                <w:sz w:val="24"/>
                <w:highlight w:val="none"/>
              </w:rPr>
              <w:t>整体方案效果图有一定不足、</w:t>
            </w:r>
            <w:r>
              <w:rPr>
                <w:rFonts w:hint="eastAsia" w:ascii="仿宋" w:hAnsi="仿宋" w:eastAsia="仿宋" w:cs="宋体"/>
                <w:color w:val="auto"/>
                <w:kern w:val="0"/>
                <w:sz w:val="24"/>
                <w:highlight w:val="none"/>
                <w:lang w:bidi="ar"/>
              </w:rPr>
              <w:t>设计方案的创意、 立意及感染力不足得</w:t>
            </w:r>
            <w:r>
              <w:rPr>
                <w:rFonts w:ascii="仿宋" w:hAnsi="仿宋" w:eastAsia="仿宋" w:cs="宋体"/>
                <w:color w:val="auto"/>
                <w:kern w:val="0"/>
                <w:sz w:val="24"/>
                <w:highlight w:val="none"/>
                <w:lang w:bidi="ar"/>
              </w:rPr>
              <w:t>1</w:t>
            </w:r>
            <w:r>
              <w:rPr>
                <w:rFonts w:hint="eastAsia" w:ascii="仿宋" w:hAnsi="仿宋" w:eastAsia="仿宋" w:cs="宋体"/>
                <w:color w:val="auto"/>
                <w:kern w:val="0"/>
                <w:sz w:val="24"/>
                <w:highlight w:val="none"/>
                <w:lang w:bidi="ar"/>
              </w:rPr>
              <w:t>分；方案不合理或未提供方案不得分。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817" w:type="dxa"/>
            <w:vMerge w:val="continue"/>
            <w:tcBorders>
              <w:right w:val="single" w:color="auto" w:sz="4" w:space="0"/>
            </w:tcBorders>
            <w:vAlign w:val="center"/>
          </w:tcPr>
          <w:p>
            <w:pPr>
              <w:widowControl/>
              <w:spacing w:line="360" w:lineRule="auto"/>
              <w:jc w:val="left"/>
              <w:rPr>
                <w:rFonts w:ascii="仿宋" w:hAnsi="仿宋" w:eastAsia="仿宋" w:cs="宋体"/>
                <w:b/>
                <w:bCs/>
                <w:color w:val="auto"/>
                <w:sz w:val="24"/>
                <w:highlight w:val="none"/>
              </w:rPr>
            </w:pPr>
          </w:p>
        </w:tc>
        <w:tc>
          <w:tcPr>
            <w:tcW w:w="2047" w:type="dxa"/>
            <w:tcBorders>
              <w:left w:val="single" w:color="auto" w:sz="4" w:space="0"/>
            </w:tcBorders>
            <w:vAlign w:val="center"/>
          </w:tcPr>
          <w:p>
            <w:pPr>
              <w:widowControl/>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（3）设计深度</w:t>
            </w:r>
          </w:p>
        </w:tc>
        <w:tc>
          <w:tcPr>
            <w:tcW w:w="1235" w:type="dxa"/>
            <w:vAlign w:val="center"/>
          </w:tcPr>
          <w:p>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0-5分</w:t>
            </w:r>
          </w:p>
        </w:tc>
        <w:tc>
          <w:tcPr>
            <w:tcW w:w="4668" w:type="dxa"/>
          </w:tcPr>
          <w:p>
            <w:pPr>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整体设计方案深度、主题切合度高，符合项目性质，布局合理、展示手法创新，设计图纸表达完整</w:t>
            </w:r>
            <w:r>
              <w:rPr>
                <w:rFonts w:hint="eastAsia" w:ascii="仿宋" w:hAnsi="仿宋" w:eastAsia="仿宋" w:cs="宋体"/>
                <w:color w:val="auto"/>
                <w:kern w:val="0"/>
                <w:sz w:val="24"/>
                <w:highlight w:val="none"/>
                <w:lang w:bidi="ar"/>
              </w:rPr>
              <w:t>得5分；</w:t>
            </w:r>
            <w:r>
              <w:rPr>
                <w:rFonts w:hint="eastAsia" w:ascii="仿宋" w:hAnsi="仿宋" w:eastAsia="仿宋" w:cs="宋体"/>
                <w:color w:val="auto"/>
                <w:sz w:val="24"/>
                <w:highlight w:val="none"/>
              </w:rPr>
              <w:t>整体设计方案深度、主题切合度较高，较为符合项目性质，布局较为合理、展示手法较为创新，设计图纸表达较为完整</w:t>
            </w:r>
            <w:r>
              <w:rPr>
                <w:rFonts w:hint="eastAsia" w:ascii="仿宋" w:hAnsi="仿宋" w:eastAsia="仿宋" w:cs="宋体"/>
                <w:color w:val="auto"/>
                <w:kern w:val="0"/>
                <w:sz w:val="24"/>
                <w:highlight w:val="none"/>
                <w:lang w:bidi="ar"/>
              </w:rPr>
              <w:t>得</w:t>
            </w:r>
            <w:r>
              <w:rPr>
                <w:rFonts w:ascii="仿宋" w:hAnsi="仿宋" w:eastAsia="仿宋" w:cs="宋体"/>
                <w:color w:val="auto"/>
                <w:kern w:val="0"/>
                <w:sz w:val="24"/>
                <w:highlight w:val="none"/>
                <w:lang w:bidi="ar"/>
              </w:rPr>
              <w:t>3</w:t>
            </w:r>
            <w:r>
              <w:rPr>
                <w:rFonts w:hint="eastAsia" w:ascii="仿宋" w:hAnsi="仿宋" w:eastAsia="仿宋" w:cs="宋体"/>
                <w:color w:val="auto"/>
                <w:kern w:val="0"/>
                <w:sz w:val="24"/>
                <w:highlight w:val="none"/>
                <w:lang w:bidi="ar"/>
              </w:rPr>
              <w:t>分；</w:t>
            </w:r>
            <w:r>
              <w:rPr>
                <w:rFonts w:hint="eastAsia" w:ascii="仿宋" w:hAnsi="仿宋" w:eastAsia="仿宋" w:cs="宋体"/>
                <w:color w:val="auto"/>
                <w:sz w:val="24"/>
                <w:highlight w:val="none"/>
              </w:rPr>
              <w:t>整体设计方案深度、主题切合度有一定偏离，布局不够合理、展示手法创新不够，设计图纸表达不够完整</w:t>
            </w:r>
            <w:r>
              <w:rPr>
                <w:rFonts w:hint="eastAsia" w:ascii="仿宋" w:hAnsi="仿宋" w:eastAsia="仿宋" w:cs="宋体"/>
                <w:color w:val="auto"/>
                <w:kern w:val="0"/>
                <w:sz w:val="24"/>
                <w:highlight w:val="none"/>
                <w:lang w:bidi="ar"/>
              </w:rPr>
              <w:t>得</w:t>
            </w:r>
            <w:r>
              <w:rPr>
                <w:rFonts w:ascii="仿宋" w:hAnsi="仿宋" w:eastAsia="仿宋" w:cs="宋体"/>
                <w:color w:val="auto"/>
                <w:kern w:val="0"/>
                <w:sz w:val="24"/>
                <w:highlight w:val="none"/>
                <w:lang w:bidi="ar"/>
              </w:rPr>
              <w:t>1</w:t>
            </w:r>
            <w:r>
              <w:rPr>
                <w:rFonts w:hint="eastAsia" w:ascii="仿宋" w:hAnsi="仿宋" w:eastAsia="仿宋" w:cs="宋体"/>
                <w:color w:val="auto"/>
                <w:kern w:val="0"/>
                <w:sz w:val="24"/>
                <w:highlight w:val="none"/>
                <w:lang w:bidi="ar"/>
              </w:rPr>
              <w:t>分；方案不合理或未提供方案不得分。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817" w:type="dxa"/>
            <w:vMerge w:val="continue"/>
            <w:tcBorders>
              <w:right w:val="single" w:color="auto" w:sz="4" w:space="0"/>
            </w:tcBorders>
            <w:vAlign w:val="center"/>
          </w:tcPr>
          <w:p>
            <w:pPr>
              <w:spacing w:line="360" w:lineRule="auto"/>
              <w:jc w:val="center"/>
              <w:rPr>
                <w:rFonts w:ascii="仿宋" w:hAnsi="仿宋" w:eastAsia="仿宋" w:cs="宋体"/>
                <w:color w:val="auto"/>
                <w:sz w:val="24"/>
                <w:highlight w:val="none"/>
              </w:rPr>
            </w:pPr>
          </w:p>
        </w:tc>
        <w:tc>
          <w:tcPr>
            <w:tcW w:w="2047" w:type="dxa"/>
            <w:tcBorders>
              <w:left w:val="single" w:color="auto" w:sz="4" w:space="0"/>
            </w:tcBorders>
            <w:vAlign w:val="center"/>
          </w:tcPr>
          <w:p>
            <w:pPr>
              <w:widowControl/>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（4）施工图绘制</w:t>
            </w:r>
          </w:p>
        </w:tc>
        <w:tc>
          <w:tcPr>
            <w:tcW w:w="1235" w:type="dxa"/>
            <w:vAlign w:val="center"/>
          </w:tcPr>
          <w:p>
            <w:pPr>
              <w:spacing w:line="360" w:lineRule="auto"/>
              <w:jc w:val="center"/>
              <w:rPr>
                <w:rFonts w:ascii="仿宋" w:hAnsi="仿宋" w:eastAsia="仿宋"/>
                <w:bCs/>
                <w:color w:val="auto"/>
                <w:sz w:val="24"/>
                <w:highlight w:val="none"/>
              </w:rPr>
            </w:pPr>
            <w:r>
              <w:rPr>
                <w:rFonts w:hint="eastAsia" w:ascii="仿宋" w:hAnsi="仿宋" w:eastAsia="仿宋" w:cs="宋体"/>
                <w:color w:val="auto"/>
                <w:sz w:val="24"/>
                <w:highlight w:val="none"/>
              </w:rPr>
              <w:t>0-5分</w:t>
            </w:r>
          </w:p>
        </w:tc>
        <w:tc>
          <w:tcPr>
            <w:tcW w:w="4668" w:type="dxa"/>
            <w:vAlign w:val="center"/>
          </w:tcPr>
          <w:p>
            <w:pPr>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施工图设计方案合理，深度符合要求、工艺描述合理、材料运用符合项目要求，设计图纸表达完整</w:t>
            </w:r>
            <w:r>
              <w:rPr>
                <w:rFonts w:hint="eastAsia" w:ascii="仿宋" w:hAnsi="仿宋" w:eastAsia="仿宋" w:cs="宋体"/>
                <w:color w:val="auto"/>
                <w:kern w:val="0"/>
                <w:sz w:val="24"/>
                <w:highlight w:val="none"/>
                <w:lang w:bidi="ar"/>
              </w:rPr>
              <w:t>得</w:t>
            </w:r>
            <w:r>
              <w:rPr>
                <w:rFonts w:ascii="仿宋" w:hAnsi="仿宋" w:eastAsia="仿宋" w:cs="宋体"/>
                <w:color w:val="auto"/>
                <w:kern w:val="0"/>
                <w:sz w:val="24"/>
                <w:highlight w:val="none"/>
                <w:lang w:bidi="ar"/>
              </w:rPr>
              <w:t>5</w:t>
            </w:r>
            <w:r>
              <w:rPr>
                <w:rFonts w:hint="eastAsia" w:ascii="仿宋" w:hAnsi="仿宋" w:eastAsia="仿宋" w:cs="宋体"/>
                <w:color w:val="auto"/>
                <w:kern w:val="0"/>
                <w:sz w:val="24"/>
                <w:highlight w:val="none"/>
                <w:lang w:bidi="ar"/>
              </w:rPr>
              <w:t>分；</w:t>
            </w:r>
            <w:r>
              <w:rPr>
                <w:rFonts w:hint="eastAsia" w:ascii="仿宋" w:hAnsi="仿宋" w:eastAsia="仿宋" w:cs="宋体"/>
                <w:color w:val="auto"/>
                <w:sz w:val="24"/>
                <w:highlight w:val="none"/>
              </w:rPr>
              <w:t>施工图设计方案较为合理，深度较符合要求、工艺描述较为合理、材料运用基本符合项目要求，设计图纸表达较为完整</w:t>
            </w:r>
            <w:r>
              <w:rPr>
                <w:rFonts w:hint="eastAsia" w:ascii="仿宋" w:hAnsi="仿宋" w:eastAsia="仿宋" w:cs="宋体"/>
                <w:color w:val="auto"/>
                <w:kern w:val="0"/>
                <w:sz w:val="24"/>
                <w:highlight w:val="none"/>
                <w:lang w:bidi="ar"/>
              </w:rPr>
              <w:t>得</w:t>
            </w:r>
            <w:r>
              <w:rPr>
                <w:rFonts w:ascii="仿宋" w:hAnsi="仿宋" w:eastAsia="仿宋" w:cs="宋体"/>
                <w:color w:val="auto"/>
                <w:kern w:val="0"/>
                <w:sz w:val="24"/>
                <w:highlight w:val="none"/>
                <w:lang w:bidi="ar"/>
              </w:rPr>
              <w:t>3</w:t>
            </w:r>
            <w:r>
              <w:rPr>
                <w:rFonts w:hint="eastAsia" w:ascii="仿宋" w:hAnsi="仿宋" w:eastAsia="仿宋" w:cs="宋体"/>
                <w:color w:val="auto"/>
                <w:kern w:val="0"/>
                <w:sz w:val="24"/>
                <w:highlight w:val="none"/>
                <w:lang w:bidi="ar"/>
              </w:rPr>
              <w:t>分；</w:t>
            </w:r>
            <w:r>
              <w:rPr>
                <w:rFonts w:hint="eastAsia" w:ascii="仿宋" w:hAnsi="仿宋" w:eastAsia="仿宋" w:cs="宋体"/>
                <w:color w:val="auto"/>
                <w:sz w:val="24"/>
                <w:highlight w:val="none"/>
              </w:rPr>
              <w:t>施工图设计方案有一定不足，深度不足、工艺描述、材料运用与项目要求有一定偏离，设计图纸表达不够完整</w:t>
            </w:r>
            <w:r>
              <w:rPr>
                <w:rFonts w:hint="eastAsia" w:ascii="仿宋" w:hAnsi="仿宋" w:eastAsia="仿宋" w:cs="宋体"/>
                <w:color w:val="auto"/>
                <w:kern w:val="0"/>
                <w:sz w:val="24"/>
                <w:highlight w:val="none"/>
                <w:lang w:bidi="ar"/>
              </w:rPr>
              <w:t>得</w:t>
            </w:r>
            <w:r>
              <w:rPr>
                <w:rFonts w:ascii="仿宋" w:hAnsi="仿宋" w:eastAsia="仿宋" w:cs="宋体"/>
                <w:color w:val="auto"/>
                <w:kern w:val="0"/>
                <w:sz w:val="24"/>
                <w:highlight w:val="none"/>
                <w:lang w:bidi="ar"/>
              </w:rPr>
              <w:t>1</w:t>
            </w:r>
            <w:r>
              <w:rPr>
                <w:rFonts w:hint="eastAsia" w:ascii="仿宋" w:hAnsi="仿宋" w:eastAsia="仿宋" w:cs="宋体"/>
                <w:color w:val="auto"/>
                <w:kern w:val="0"/>
                <w:sz w:val="24"/>
                <w:highlight w:val="none"/>
                <w:lang w:bidi="ar"/>
              </w:rPr>
              <w:t>分；方案不合理或未提供方案不得分。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817" w:type="dxa"/>
            <w:vMerge w:val="continue"/>
            <w:tcBorders>
              <w:right w:val="single" w:color="auto" w:sz="4" w:space="0"/>
            </w:tcBorders>
            <w:vAlign w:val="center"/>
          </w:tcPr>
          <w:p>
            <w:pPr>
              <w:spacing w:line="360" w:lineRule="auto"/>
              <w:jc w:val="center"/>
              <w:rPr>
                <w:rFonts w:ascii="仿宋" w:hAnsi="仿宋" w:eastAsia="仿宋" w:cs="宋体"/>
                <w:color w:val="auto"/>
                <w:sz w:val="24"/>
                <w:highlight w:val="none"/>
              </w:rPr>
            </w:pPr>
          </w:p>
        </w:tc>
        <w:tc>
          <w:tcPr>
            <w:tcW w:w="2047" w:type="dxa"/>
            <w:tcBorders>
              <w:left w:val="single" w:color="auto" w:sz="4" w:space="0"/>
            </w:tcBorders>
            <w:vAlign w:val="center"/>
          </w:tcPr>
          <w:p>
            <w:pPr>
              <w:widowControl/>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（5）全立面深化设计</w:t>
            </w:r>
          </w:p>
          <w:p>
            <w:pPr>
              <w:widowControl/>
              <w:spacing w:line="360" w:lineRule="auto"/>
              <w:jc w:val="left"/>
              <w:rPr>
                <w:rFonts w:ascii="仿宋" w:hAnsi="仿宋" w:eastAsia="仿宋" w:cs="宋体"/>
                <w:color w:val="auto"/>
                <w:sz w:val="24"/>
                <w:highlight w:val="none"/>
              </w:rPr>
            </w:pPr>
          </w:p>
        </w:tc>
        <w:tc>
          <w:tcPr>
            <w:tcW w:w="1235" w:type="dxa"/>
            <w:vAlign w:val="center"/>
          </w:tcPr>
          <w:p>
            <w:pPr>
              <w:spacing w:line="360" w:lineRule="auto"/>
              <w:jc w:val="center"/>
              <w:rPr>
                <w:rFonts w:ascii="仿宋" w:hAnsi="仿宋" w:eastAsia="仿宋"/>
                <w:bCs/>
                <w:color w:val="auto"/>
                <w:sz w:val="24"/>
                <w:highlight w:val="none"/>
              </w:rPr>
            </w:pPr>
            <w:r>
              <w:rPr>
                <w:rFonts w:hint="eastAsia" w:ascii="仿宋" w:hAnsi="仿宋" w:eastAsia="仿宋"/>
                <w:bCs/>
                <w:color w:val="auto"/>
                <w:sz w:val="24"/>
                <w:highlight w:val="none"/>
              </w:rPr>
              <w:t>0</w:t>
            </w:r>
            <w:r>
              <w:rPr>
                <w:rFonts w:ascii="仿宋" w:hAnsi="仿宋" w:eastAsia="仿宋"/>
                <w:bCs/>
                <w:color w:val="auto"/>
                <w:sz w:val="24"/>
                <w:highlight w:val="none"/>
              </w:rPr>
              <w:t>-</w:t>
            </w:r>
            <w:r>
              <w:rPr>
                <w:rFonts w:hint="eastAsia" w:ascii="仿宋" w:hAnsi="仿宋" w:eastAsia="仿宋"/>
                <w:bCs/>
                <w:color w:val="auto"/>
                <w:sz w:val="24"/>
                <w:highlight w:val="none"/>
              </w:rPr>
              <w:t>5分</w:t>
            </w:r>
          </w:p>
        </w:tc>
        <w:tc>
          <w:tcPr>
            <w:tcW w:w="4668" w:type="dxa"/>
          </w:tcPr>
          <w:p>
            <w:pPr>
              <w:spacing w:line="360" w:lineRule="auto"/>
              <w:jc w:val="left"/>
              <w:rPr>
                <w:rFonts w:ascii="仿宋" w:hAnsi="仿宋" w:eastAsia="仿宋" w:cs="宋体"/>
                <w:color w:val="auto"/>
                <w:kern w:val="0"/>
                <w:sz w:val="24"/>
                <w:highlight w:val="none"/>
                <w:lang w:bidi="ar"/>
              </w:rPr>
            </w:pPr>
            <w:r>
              <w:rPr>
                <w:rFonts w:hint="eastAsia" w:ascii="仿宋" w:hAnsi="仿宋" w:eastAsia="仿宋" w:cs="宋体"/>
                <w:color w:val="auto"/>
                <w:sz w:val="24"/>
                <w:highlight w:val="none"/>
              </w:rPr>
              <w:t>全立面设计方案合理，深度符合要求、色彩关系、版面布局合理、展示手法创新，设计图纸表达完整</w:t>
            </w:r>
            <w:r>
              <w:rPr>
                <w:rFonts w:hint="eastAsia" w:ascii="仿宋" w:hAnsi="仿宋" w:eastAsia="仿宋" w:cs="宋体"/>
                <w:color w:val="auto"/>
                <w:kern w:val="0"/>
                <w:sz w:val="24"/>
                <w:highlight w:val="none"/>
                <w:lang w:bidi="ar"/>
              </w:rPr>
              <w:t>得5分;</w:t>
            </w:r>
            <w:r>
              <w:rPr>
                <w:rFonts w:hint="eastAsia" w:ascii="仿宋" w:hAnsi="仿宋" w:eastAsia="仿宋" w:cs="宋体"/>
                <w:color w:val="auto"/>
                <w:sz w:val="24"/>
                <w:highlight w:val="none"/>
              </w:rPr>
              <w:t xml:space="preserve"> 全立面设计方案较为合理，深度较符合要求、色彩关系、版面布局较为合理、展示手法较为创新，设计图纸表达较为完整</w:t>
            </w:r>
            <w:r>
              <w:rPr>
                <w:rFonts w:hint="eastAsia" w:ascii="仿宋" w:hAnsi="仿宋" w:eastAsia="仿宋" w:cs="宋体"/>
                <w:color w:val="auto"/>
                <w:kern w:val="0"/>
                <w:sz w:val="24"/>
                <w:highlight w:val="none"/>
                <w:lang w:bidi="ar"/>
              </w:rPr>
              <w:t>得</w:t>
            </w:r>
            <w:r>
              <w:rPr>
                <w:rFonts w:ascii="仿宋" w:hAnsi="仿宋" w:eastAsia="仿宋" w:cs="宋体"/>
                <w:color w:val="auto"/>
                <w:kern w:val="0"/>
                <w:sz w:val="24"/>
                <w:highlight w:val="none"/>
                <w:lang w:bidi="ar"/>
              </w:rPr>
              <w:t>3</w:t>
            </w:r>
            <w:r>
              <w:rPr>
                <w:rFonts w:hint="eastAsia" w:ascii="仿宋" w:hAnsi="仿宋" w:eastAsia="仿宋" w:cs="宋体"/>
                <w:color w:val="auto"/>
                <w:kern w:val="0"/>
                <w:sz w:val="24"/>
                <w:highlight w:val="none"/>
                <w:lang w:bidi="ar"/>
              </w:rPr>
              <w:t>分;</w:t>
            </w:r>
            <w:r>
              <w:rPr>
                <w:rFonts w:hint="eastAsia" w:ascii="仿宋" w:hAnsi="仿宋" w:eastAsia="仿宋" w:cs="宋体"/>
                <w:color w:val="auto"/>
                <w:sz w:val="24"/>
                <w:highlight w:val="none"/>
              </w:rPr>
              <w:t xml:space="preserve"> 全立面设计方案有一定不足，深度不足、色彩关系、版面布局不够合理、展示手法创新性有不足，设计图纸表达不够完整</w:t>
            </w:r>
            <w:r>
              <w:rPr>
                <w:rFonts w:hint="eastAsia" w:ascii="仿宋" w:hAnsi="仿宋" w:eastAsia="仿宋" w:cs="宋体"/>
                <w:color w:val="auto"/>
                <w:kern w:val="0"/>
                <w:sz w:val="24"/>
                <w:highlight w:val="none"/>
                <w:lang w:bidi="ar"/>
              </w:rPr>
              <w:t>得</w:t>
            </w:r>
            <w:r>
              <w:rPr>
                <w:rFonts w:ascii="仿宋" w:hAnsi="仿宋" w:eastAsia="仿宋" w:cs="宋体"/>
                <w:color w:val="auto"/>
                <w:kern w:val="0"/>
                <w:sz w:val="24"/>
                <w:highlight w:val="none"/>
                <w:lang w:bidi="ar"/>
              </w:rPr>
              <w:t>1</w:t>
            </w:r>
            <w:r>
              <w:rPr>
                <w:rFonts w:hint="eastAsia" w:ascii="仿宋" w:hAnsi="仿宋" w:eastAsia="仿宋" w:cs="宋体"/>
                <w:color w:val="auto"/>
                <w:kern w:val="0"/>
                <w:sz w:val="24"/>
                <w:highlight w:val="none"/>
                <w:lang w:bidi="ar"/>
              </w:rPr>
              <w:t>分; 方案不合理或未提供方案不得分。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trPr>
        <w:tc>
          <w:tcPr>
            <w:tcW w:w="817" w:type="dxa"/>
            <w:vMerge w:val="continue"/>
            <w:tcBorders>
              <w:right w:val="single" w:color="auto" w:sz="4" w:space="0"/>
            </w:tcBorders>
            <w:vAlign w:val="center"/>
          </w:tcPr>
          <w:p>
            <w:pPr>
              <w:spacing w:line="360" w:lineRule="auto"/>
              <w:jc w:val="center"/>
              <w:rPr>
                <w:rFonts w:ascii="仿宋" w:hAnsi="仿宋" w:eastAsia="仿宋" w:cs="宋体"/>
                <w:color w:val="auto"/>
                <w:sz w:val="24"/>
                <w:highlight w:val="none"/>
              </w:rPr>
            </w:pPr>
          </w:p>
        </w:tc>
        <w:tc>
          <w:tcPr>
            <w:tcW w:w="2047" w:type="dxa"/>
            <w:tcBorders>
              <w:left w:val="single" w:color="auto" w:sz="4" w:space="0"/>
            </w:tcBorders>
            <w:vAlign w:val="center"/>
          </w:tcPr>
          <w:p>
            <w:pPr>
              <w:widowControl/>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（6）沉浸式影院</w:t>
            </w:r>
          </w:p>
        </w:tc>
        <w:tc>
          <w:tcPr>
            <w:tcW w:w="1235" w:type="dxa"/>
            <w:vAlign w:val="center"/>
          </w:tcPr>
          <w:p>
            <w:pPr>
              <w:spacing w:line="360" w:lineRule="auto"/>
              <w:jc w:val="center"/>
              <w:rPr>
                <w:rFonts w:ascii="仿宋" w:hAnsi="仿宋" w:eastAsia="仿宋"/>
                <w:bCs/>
                <w:color w:val="auto"/>
                <w:sz w:val="24"/>
                <w:highlight w:val="none"/>
              </w:rPr>
            </w:pPr>
            <w:r>
              <w:rPr>
                <w:rFonts w:hint="eastAsia" w:ascii="仿宋" w:hAnsi="仿宋" w:eastAsia="仿宋"/>
                <w:bCs/>
                <w:color w:val="auto"/>
                <w:sz w:val="24"/>
                <w:highlight w:val="none"/>
              </w:rPr>
              <w:t>0</w:t>
            </w:r>
            <w:r>
              <w:rPr>
                <w:rFonts w:ascii="仿宋" w:hAnsi="仿宋" w:eastAsia="仿宋"/>
                <w:bCs/>
                <w:color w:val="auto"/>
                <w:sz w:val="24"/>
                <w:highlight w:val="none"/>
              </w:rPr>
              <w:t>-</w:t>
            </w:r>
            <w:r>
              <w:rPr>
                <w:rFonts w:hint="eastAsia" w:ascii="仿宋" w:hAnsi="仿宋" w:eastAsia="仿宋"/>
                <w:bCs/>
                <w:color w:val="auto"/>
                <w:sz w:val="24"/>
                <w:highlight w:val="none"/>
              </w:rPr>
              <w:t>5分</w:t>
            </w:r>
          </w:p>
        </w:tc>
        <w:tc>
          <w:tcPr>
            <w:tcW w:w="4668" w:type="dxa"/>
            <w:vAlign w:val="center"/>
          </w:tcPr>
          <w:p>
            <w:pPr>
              <w:spacing w:line="360" w:lineRule="auto"/>
              <w:jc w:val="left"/>
              <w:rPr>
                <w:rFonts w:ascii="仿宋" w:hAnsi="仿宋" w:eastAsia="仿宋"/>
                <w:bCs/>
                <w:color w:val="auto"/>
                <w:sz w:val="24"/>
                <w:highlight w:val="none"/>
              </w:rPr>
            </w:pPr>
            <w:r>
              <w:rPr>
                <w:rFonts w:hint="eastAsia" w:ascii="仿宋" w:hAnsi="仿宋" w:eastAsia="仿宋" w:cs="宋体"/>
                <w:color w:val="auto"/>
                <w:kern w:val="0"/>
                <w:sz w:val="24"/>
                <w:highlight w:val="none"/>
                <w:lang w:bidi="ar"/>
              </w:rPr>
              <w:t>充分利用声光电技术（如LED、投影等）对沉浸式影院进行方案设计。设计方案合理、可行，具有创新性，符合项目性质得5分；设计方案较为合理、可行，具有一定创新性，基本符合项目性质得</w:t>
            </w:r>
            <w:r>
              <w:rPr>
                <w:rFonts w:ascii="仿宋" w:hAnsi="仿宋" w:eastAsia="仿宋" w:cs="宋体"/>
                <w:color w:val="auto"/>
                <w:kern w:val="0"/>
                <w:sz w:val="24"/>
                <w:highlight w:val="none"/>
                <w:lang w:bidi="ar"/>
              </w:rPr>
              <w:t>3</w:t>
            </w:r>
            <w:r>
              <w:rPr>
                <w:rFonts w:hint="eastAsia" w:ascii="仿宋" w:hAnsi="仿宋" w:eastAsia="仿宋" w:cs="宋体"/>
                <w:color w:val="auto"/>
                <w:kern w:val="0"/>
                <w:sz w:val="24"/>
                <w:highlight w:val="none"/>
                <w:lang w:bidi="ar"/>
              </w:rPr>
              <w:t>分；设计方案有一定缺陷，创新性有一定不足，与项目性质有一定偏离得</w:t>
            </w:r>
            <w:r>
              <w:rPr>
                <w:rFonts w:ascii="仿宋" w:hAnsi="仿宋" w:eastAsia="仿宋" w:cs="宋体"/>
                <w:color w:val="auto"/>
                <w:kern w:val="0"/>
                <w:sz w:val="24"/>
                <w:highlight w:val="none"/>
                <w:lang w:bidi="ar"/>
              </w:rPr>
              <w:t>1</w:t>
            </w:r>
            <w:r>
              <w:rPr>
                <w:rFonts w:hint="eastAsia" w:ascii="仿宋" w:hAnsi="仿宋" w:eastAsia="仿宋" w:cs="宋体"/>
                <w:color w:val="auto"/>
                <w:kern w:val="0"/>
                <w:sz w:val="24"/>
                <w:highlight w:val="none"/>
                <w:lang w:bidi="ar"/>
              </w:rPr>
              <w:t>分；方案不合理或未提供方案不得分。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trPr>
        <w:tc>
          <w:tcPr>
            <w:tcW w:w="817" w:type="dxa"/>
            <w:vMerge w:val="continue"/>
            <w:tcBorders>
              <w:right w:val="single" w:color="auto" w:sz="4" w:space="0"/>
            </w:tcBorders>
            <w:vAlign w:val="center"/>
          </w:tcPr>
          <w:p>
            <w:pPr>
              <w:spacing w:line="360" w:lineRule="auto"/>
              <w:jc w:val="center"/>
              <w:rPr>
                <w:rFonts w:ascii="仿宋" w:hAnsi="仿宋" w:eastAsia="仿宋" w:cs="宋体"/>
                <w:color w:val="auto"/>
                <w:sz w:val="24"/>
                <w:highlight w:val="none"/>
              </w:rPr>
            </w:pPr>
          </w:p>
        </w:tc>
        <w:tc>
          <w:tcPr>
            <w:tcW w:w="2047" w:type="dxa"/>
            <w:tcBorders>
              <w:left w:val="single" w:color="auto" w:sz="4" w:space="0"/>
            </w:tcBorders>
            <w:vAlign w:val="center"/>
          </w:tcPr>
          <w:p>
            <w:pPr>
              <w:widowControl/>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（7）“史埭春灯”影视脚本编写</w:t>
            </w:r>
          </w:p>
        </w:tc>
        <w:tc>
          <w:tcPr>
            <w:tcW w:w="1235" w:type="dxa"/>
            <w:vAlign w:val="center"/>
          </w:tcPr>
          <w:p>
            <w:pPr>
              <w:spacing w:line="360" w:lineRule="auto"/>
              <w:jc w:val="center"/>
              <w:rPr>
                <w:rFonts w:ascii="仿宋" w:hAnsi="仿宋" w:eastAsia="仿宋"/>
                <w:bCs/>
                <w:color w:val="auto"/>
                <w:sz w:val="24"/>
                <w:highlight w:val="none"/>
              </w:rPr>
            </w:pPr>
            <w:r>
              <w:rPr>
                <w:rFonts w:hint="eastAsia" w:ascii="仿宋" w:hAnsi="仿宋" w:eastAsia="仿宋"/>
                <w:bCs/>
                <w:color w:val="auto"/>
                <w:sz w:val="24"/>
                <w:highlight w:val="none"/>
              </w:rPr>
              <w:t>0</w:t>
            </w:r>
            <w:r>
              <w:rPr>
                <w:rFonts w:ascii="仿宋" w:hAnsi="仿宋" w:eastAsia="仿宋"/>
                <w:bCs/>
                <w:color w:val="auto"/>
                <w:sz w:val="24"/>
                <w:highlight w:val="none"/>
              </w:rPr>
              <w:t>-</w:t>
            </w:r>
            <w:r>
              <w:rPr>
                <w:rFonts w:hint="eastAsia" w:ascii="仿宋" w:hAnsi="仿宋" w:eastAsia="仿宋"/>
                <w:bCs/>
                <w:color w:val="auto"/>
                <w:sz w:val="24"/>
                <w:highlight w:val="none"/>
              </w:rPr>
              <w:t>5分</w:t>
            </w:r>
          </w:p>
        </w:tc>
        <w:tc>
          <w:tcPr>
            <w:tcW w:w="4668" w:type="dxa"/>
            <w:vAlign w:val="center"/>
          </w:tcPr>
          <w:p>
            <w:pPr>
              <w:spacing w:line="360" w:lineRule="auto"/>
              <w:jc w:val="left"/>
              <w:rPr>
                <w:rFonts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对沉浸式影院播放内容以“史埭春灯”为主题进行方案策划（以文字、图片等形式说明）。策划方案合理、可行，具有创新性，符合项目性质得5分；策划方案较为合理、可行，具有一定创新性，基本符合项目性质得</w:t>
            </w:r>
            <w:r>
              <w:rPr>
                <w:rFonts w:ascii="仿宋" w:hAnsi="仿宋" w:eastAsia="仿宋" w:cs="宋体"/>
                <w:color w:val="auto"/>
                <w:kern w:val="0"/>
                <w:sz w:val="24"/>
                <w:highlight w:val="none"/>
                <w:lang w:bidi="ar"/>
              </w:rPr>
              <w:t>3</w:t>
            </w:r>
            <w:r>
              <w:rPr>
                <w:rFonts w:hint="eastAsia" w:ascii="仿宋" w:hAnsi="仿宋" w:eastAsia="仿宋" w:cs="宋体"/>
                <w:color w:val="auto"/>
                <w:kern w:val="0"/>
                <w:sz w:val="24"/>
                <w:highlight w:val="none"/>
                <w:lang w:bidi="ar"/>
              </w:rPr>
              <w:t>分；策划方案有一定缺陷，创新性有一定不足，与项目性质有一定偏离得</w:t>
            </w:r>
            <w:r>
              <w:rPr>
                <w:rFonts w:ascii="仿宋" w:hAnsi="仿宋" w:eastAsia="仿宋" w:cs="宋体"/>
                <w:color w:val="auto"/>
                <w:kern w:val="0"/>
                <w:sz w:val="24"/>
                <w:highlight w:val="none"/>
                <w:lang w:bidi="ar"/>
              </w:rPr>
              <w:t>1</w:t>
            </w:r>
            <w:r>
              <w:rPr>
                <w:rFonts w:hint="eastAsia" w:ascii="仿宋" w:hAnsi="仿宋" w:eastAsia="仿宋" w:cs="宋体"/>
                <w:color w:val="auto"/>
                <w:kern w:val="0"/>
                <w:sz w:val="24"/>
                <w:highlight w:val="none"/>
                <w:lang w:bidi="ar"/>
              </w:rPr>
              <w:t>分；方案不合理或未提供方案不得分。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817" w:type="dxa"/>
            <w:vMerge w:val="continue"/>
            <w:tcBorders>
              <w:right w:val="single" w:color="auto" w:sz="4" w:space="0"/>
            </w:tcBorders>
            <w:vAlign w:val="center"/>
          </w:tcPr>
          <w:p>
            <w:pPr>
              <w:spacing w:line="360" w:lineRule="auto"/>
              <w:jc w:val="center"/>
              <w:rPr>
                <w:rFonts w:ascii="仿宋" w:hAnsi="仿宋" w:eastAsia="仿宋" w:cs="宋体"/>
                <w:color w:val="auto"/>
                <w:sz w:val="24"/>
                <w:highlight w:val="none"/>
              </w:rPr>
            </w:pPr>
          </w:p>
        </w:tc>
        <w:tc>
          <w:tcPr>
            <w:tcW w:w="2047" w:type="dxa"/>
            <w:tcBorders>
              <w:left w:val="single" w:color="auto" w:sz="4" w:space="0"/>
              <w:bottom w:val="single" w:color="auto" w:sz="4" w:space="0"/>
            </w:tcBorders>
            <w:vAlign w:val="center"/>
          </w:tcPr>
          <w:p>
            <w:pPr>
              <w:widowControl/>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（8）智慧纪念馆展陈方法和手段</w:t>
            </w:r>
          </w:p>
        </w:tc>
        <w:tc>
          <w:tcPr>
            <w:tcW w:w="1235" w:type="dxa"/>
            <w:tcBorders>
              <w:bottom w:val="single" w:color="auto" w:sz="4" w:space="0"/>
            </w:tcBorders>
            <w:vAlign w:val="center"/>
          </w:tcPr>
          <w:p>
            <w:pPr>
              <w:spacing w:line="360" w:lineRule="auto"/>
              <w:jc w:val="center"/>
              <w:rPr>
                <w:rFonts w:ascii="仿宋" w:hAnsi="仿宋" w:eastAsia="仿宋"/>
                <w:bCs/>
                <w:color w:val="auto"/>
                <w:sz w:val="24"/>
                <w:highlight w:val="none"/>
              </w:rPr>
            </w:pPr>
            <w:r>
              <w:rPr>
                <w:rFonts w:hint="eastAsia" w:ascii="仿宋" w:hAnsi="仿宋" w:eastAsia="仿宋" w:cs="宋体"/>
                <w:color w:val="auto"/>
                <w:sz w:val="24"/>
                <w:highlight w:val="none"/>
              </w:rPr>
              <w:t>0-5分</w:t>
            </w:r>
          </w:p>
        </w:tc>
        <w:tc>
          <w:tcPr>
            <w:tcW w:w="4668" w:type="dxa"/>
            <w:tcBorders>
              <w:bottom w:val="single" w:color="auto" w:sz="4" w:space="0"/>
            </w:tcBorders>
          </w:tcPr>
          <w:p>
            <w:pPr>
              <w:spacing w:line="360" w:lineRule="auto"/>
              <w:jc w:val="left"/>
              <w:rPr>
                <w:rFonts w:ascii="仿宋" w:hAnsi="仿宋" w:eastAsia="仿宋"/>
                <w:bCs/>
                <w:color w:val="auto"/>
                <w:sz w:val="24"/>
                <w:highlight w:val="none"/>
              </w:rPr>
            </w:pPr>
            <w:r>
              <w:rPr>
                <w:rFonts w:hint="eastAsia" w:ascii="仿宋" w:hAnsi="仿宋" w:eastAsia="仿宋" w:cs="宋体"/>
                <w:color w:val="auto"/>
                <w:kern w:val="0"/>
                <w:sz w:val="24"/>
                <w:highlight w:val="none"/>
                <w:lang w:bidi="ar"/>
              </w:rPr>
              <w:t>设计中纪念馆智慧讲解系统、中控管理系统设计合理、完善得5分；设计中纪念馆智慧讲解系统、中控管理系统设计较合理、完善得3分；设计中纪念馆智慧讲解系统、中控管理系统设计有一定合理、不够完善得1分；方案不合理或未提供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817" w:type="dxa"/>
            <w:vMerge w:val="continue"/>
            <w:tcBorders>
              <w:right w:val="single" w:color="auto" w:sz="4" w:space="0"/>
            </w:tcBorders>
            <w:vAlign w:val="center"/>
          </w:tcPr>
          <w:p>
            <w:pPr>
              <w:spacing w:line="360" w:lineRule="auto"/>
              <w:jc w:val="center"/>
              <w:rPr>
                <w:rFonts w:ascii="仿宋" w:hAnsi="仿宋" w:eastAsia="仿宋" w:cs="宋体"/>
                <w:color w:val="auto"/>
                <w:sz w:val="24"/>
                <w:highlight w:val="none"/>
              </w:rPr>
            </w:pPr>
          </w:p>
        </w:tc>
        <w:tc>
          <w:tcPr>
            <w:tcW w:w="2047" w:type="dxa"/>
            <w:tcBorders>
              <w:top w:val="single" w:color="auto" w:sz="4" w:space="0"/>
              <w:left w:val="single" w:color="auto" w:sz="4" w:space="0"/>
              <w:bottom w:val="single" w:color="auto" w:sz="4" w:space="0"/>
            </w:tcBorders>
            <w:vAlign w:val="center"/>
          </w:tcPr>
          <w:p>
            <w:pPr>
              <w:widowControl/>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（9）建筑整体布局与运营设计</w:t>
            </w:r>
          </w:p>
        </w:tc>
        <w:tc>
          <w:tcPr>
            <w:tcW w:w="1235" w:type="dxa"/>
            <w:tcBorders>
              <w:top w:val="single" w:color="auto" w:sz="4" w:space="0"/>
              <w:bottom w:val="single" w:color="auto" w:sz="4" w:space="0"/>
            </w:tcBorders>
            <w:vAlign w:val="center"/>
          </w:tcPr>
          <w:p>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0-5分</w:t>
            </w:r>
          </w:p>
        </w:tc>
        <w:tc>
          <w:tcPr>
            <w:tcW w:w="4668" w:type="dxa"/>
            <w:tcBorders>
              <w:top w:val="single" w:color="auto" w:sz="4" w:space="0"/>
              <w:bottom w:val="single" w:color="auto" w:sz="4" w:space="0"/>
            </w:tcBorders>
          </w:tcPr>
          <w:p>
            <w:pPr>
              <w:spacing w:line="360" w:lineRule="auto"/>
              <w:jc w:val="left"/>
              <w:rPr>
                <w:rFonts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室外景观走廊设计方案理念创新、新颖，与室内布展设计内容具有连续性；纪念馆运营空间设计合理，运营性强得5分；室外景观走廊设计方案理念较好，与室内布展设计内容具有较好连续性；纪念馆运营空间设计较合理，运营性较强得3分；设计方案有一定的设计想法，运营空间设计有一定的合理性得1分；方案不合理或未提供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817" w:type="dxa"/>
            <w:vMerge w:val="continue"/>
            <w:tcBorders>
              <w:right w:val="single" w:color="auto" w:sz="4" w:space="0"/>
            </w:tcBorders>
            <w:vAlign w:val="center"/>
          </w:tcPr>
          <w:p>
            <w:pPr>
              <w:spacing w:line="360" w:lineRule="auto"/>
              <w:jc w:val="center"/>
              <w:rPr>
                <w:rFonts w:ascii="仿宋" w:hAnsi="仿宋" w:eastAsia="仿宋" w:cs="宋体"/>
                <w:color w:val="auto"/>
                <w:sz w:val="24"/>
                <w:highlight w:val="none"/>
              </w:rPr>
            </w:pPr>
          </w:p>
        </w:tc>
        <w:tc>
          <w:tcPr>
            <w:tcW w:w="2047" w:type="dxa"/>
            <w:tcBorders>
              <w:top w:val="single" w:color="auto" w:sz="4" w:space="0"/>
              <w:left w:val="single" w:color="auto" w:sz="4" w:space="0"/>
              <w:bottom w:val="single" w:color="auto" w:sz="4" w:space="0"/>
            </w:tcBorders>
            <w:vAlign w:val="center"/>
          </w:tcPr>
          <w:p>
            <w:pPr>
              <w:widowControl/>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（10）纪念馆场景方案展示设计</w:t>
            </w:r>
          </w:p>
        </w:tc>
        <w:tc>
          <w:tcPr>
            <w:tcW w:w="1235" w:type="dxa"/>
            <w:tcBorders>
              <w:top w:val="single" w:color="auto" w:sz="4" w:space="0"/>
              <w:bottom w:val="single" w:color="auto" w:sz="4" w:space="0"/>
            </w:tcBorders>
            <w:vAlign w:val="center"/>
          </w:tcPr>
          <w:p>
            <w:pPr>
              <w:spacing w:line="360" w:lineRule="auto"/>
              <w:jc w:val="center"/>
              <w:rPr>
                <w:rFonts w:ascii="仿宋" w:hAnsi="仿宋" w:eastAsia="仿宋"/>
                <w:bCs/>
                <w:color w:val="auto"/>
                <w:sz w:val="24"/>
                <w:highlight w:val="none"/>
              </w:rPr>
            </w:pPr>
            <w:r>
              <w:rPr>
                <w:rFonts w:hint="eastAsia" w:ascii="仿宋" w:hAnsi="仿宋" w:eastAsia="仿宋" w:cs="宋体"/>
                <w:color w:val="auto"/>
                <w:sz w:val="24"/>
                <w:highlight w:val="none"/>
              </w:rPr>
              <w:t>0-5分</w:t>
            </w:r>
          </w:p>
        </w:tc>
        <w:tc>
          <w:tcPr>
            <w:tcW w:w="4668" w:type="dxa"/>
            <w:tcBorders>
              <w:top w:val="single" w:color="auto" w:sz="4" w:space="0"/>
              <w:bottom w:val="single" w:color="auto" w:sz="4" w:space="0"/>
            </w:tcBorders>
          </w:tcPr>
          <w:p>
            <w:pPr>
              <w:spacing w:line="360" w:lineRule="auto"/>
              <w:jc w:val="left"/>
              <w:rPr>
                <w:rFonts w:ascii="仿宋" w:hAnsi="仿宋" w:eastAsia="仿宋" w:cs="宋体"/>
                <w:color w:val="auto"/>
                <w:kern w:val="0"/>
                <w:sz w:val="24"/>
                <w:highlight w:val="none"/>
                <w:lang w:bidi="ar"/>
              </w:rPr>
            </w:pPr>
            <w:r>
              <w:rPr>
                <w:rFonts w:hint="eastAsia" w:ascii="仿宋" w:hAnsi="仿宋" w:eastAsia="仿宋" w:cs="宋体"/>
                <w:color w:val="auto"/>
                <w:kern w:val="0"/>
                <w:sz w:val="24"/>
                <w:highlight w:val="none"/>
                <w:lang w:bidi="ar"/>
              </w:rPr>
              <w:t>构思立意准确，布局合理，实时特征明显，专业性强，工艺先进，艺术感染力强，设计深度符合要求得5分；构思立意较为准确，布局较为合理，实时特征明显，专业性较强，工艺较为先进，艺术感染力较强，设计深度基本符合要求得3分；构思立意基本准确，布局有一定不足，实时特征、专业性、工艺、艺术感染力有一定缺陷，设计深度不够得</w:t>
            </w:r>
            <w:r>
              <w:rPr>
                <w:rFonts w:ascii="仿宋" w:hAnsi="仿宋" w:eastAsia="仿宋" w:cs="宋体"/>
                <w:color w:val="auto"/>
                <w:kern w:val="0"/>
                <w:sz w:val="24"/>
                <w:highlight w:val="none"/>
                <w:lang w:bidi="ar"/>
              </w:rPr>
              <w:t>1</w:t>
            </w:r>
            <w:r>
              <w:rPr>
                <w:rFonts w:hint="eastAsia" w:ascii="仿宋" w:hAnsi="仿宋" w:eastAsia="仿宋" w:cs="宋体"/>
                <w:color w:val="auto"/>
                <w:kern w:val="0"/>
                <w:sz w:val="24"/>
                <w:highlight w:val="none"/>
                <w:lang w:bidi="ar"/>
              </w:rPr>
              <w:t>分；方案不合理或未提供方案不得分。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17" w:type="dxa"/>
            <w:vMerge w:val="continue"/>
            <w:tcBorders>
              <w:right w:val="single" w:color="auto" w:sz="4" w:space="0"/>
            </w:tcBorders>
            <w:vAlign w:val="center"/>
          </w:tcPr>
          <w:p>
            <w:pPr>
              <w:spacing w:line="360" w:lineRule="auto"/>
              <w:jc w:val="center"/>
              <w:rPr>
                <w:rFonts w:ascii="仿宋" w:hAnsi="仿宋" w:eastAsia="仿宋" w:cs="宋体"/>
                <w:color w:val="auto"/>
                <w:sz w:val="24"/>
                <w:highlight w:val="none"/>
              </w:rPr>
            </w:pPr>
          </w:p>
        </w:tc>
        <w:tc>
          <w:tcPr>
            <w:tcW w:w="2047" w:type="dxa"/>
            <w:tcBorders>
              <w:top w:val="single" w:color="auto" w:sz="4" w:space="0"/>
              <w:left w:val="single" w:color="auto" w:sz="4" w:space="0"/>
              <w:bottom w:val="single" w:color="auto" w:sz="4" w:space="0"/>
            </w:tcBorders>
            <w:vAlign w:val="center"/>
          </w:tcPr>
          <w:p>
            <w:pPr>
              <w:widowControl/>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（11）纪念馆声光电的运用</w:t>
            </w:r>
          </w:p>
        </w:tc>
        <w:tc>
          <w:tcPr>
            <w:tcW w:w="1235" w:type="dxa"/>
            <w:tcBorders>
              <w:top w:val="single" w:color="auto" w:sz="4" w:space="0"/>
              <w:bottom w:val="single" w:color="auto" w:sz="4" w:space="0"/>
            </w:tcBorders>
            <w:vAlign w:val="center"/>
          </w:tcPr>
          <w:p>
            <w:pPr>
              <w:spacing w:line="360" w:lineRule="auto"/>
              <w:jc w:val="center"/>
              <w:rPr>
                <w:rFonts w:ascii="仿宋" w:hAnsi="仿宋" w:eastAsia="仿宋"/>
                <w:bCs/>
                <w:color w:val="auto"/>
                <w:sz w:val="24"/>
                <w:highlight w:val="none"/>
              </w:rPr>
            </w:pPr>
            <w:r>
              <w:rPr>
                <w:rFonts w:hint="eastAsia" w:ascii="仿宋" w:hAnsi="仿宋" w:eastAsia="仿宋" w:cs="宋体"/>
                <w:color w:val="auto"/>
                <w:sz w:val="24"/>
                <w:highlight w:val="none"/>
              </w:rPr>
              <w:t>0-5分</w:t>
            </w:r>
          </w:p>
        </w:tc>
        <w:tc>
          <w:tcPr>
            <w:tcW w:w="4668" w:type="dxa"/>
            <w:tcBorders>
              <w:top w:val="single" w:color="auto" w:sz="4" w:space="0"/>
              <w:bottom w:val="single" w:color="auto" w:sz="4" w:space="0"/>
            </w:tcBorders>
          </w:tcPr>
          <w:p>
            <w:pPr>
              <w:spacing w:line="360" w:lineRule="auto"/>
              <w:jc w:val="left"/>
              <w:rPr>
                <w:rFonts w:ascii="仿宋" w:hAnsi="仿宋" w:eastAsia="仿宋" w:cs="宋体"/>
                <w:color w:val="auto"/>
                <w:sz w:val="24"/>
                <w:highlight w:val="none"/>
              </w:rPr>
            </w:pPr>
            <w:r>
              <w:rPr>
                <w:rFonts w:hint="eastAsia" w:ascii="仿宋" w:hAnsi="仿宋" w:eastAsia="仿宋" w:cs="宋体"/>
                <w:color w:val="auto"/>
                <w:kern w:val="0"/>
                <w:sz w:val="24"/>
                <w:highlight w:val="none"/>
                <w:lang w:bidi="ar"/>
              </w:rPr>
              <w:t>充分运用科技手段，构思立意准确，布局合理，实时特征明显，工艺先进，感染力强，互动性强，性能优，操作简便，易维护得5分；充分运用科技手段，构思立意较为准确，布局较为合理，实时特征较为明显，工艺较为先进，感染力较强，互动性较强，性能较优，操作较为简便，易维护得3分；运用一定科技手段，构思立意有一定偏离，布局不够合理，实时特征不够明显，工艺、感染力强，互动性、性能有一定不足，操作不够简便，维护不够简便得</w:t>
            </w:r>
            <w:r>
              <w:rPr>
                <w:rFonts w:ascii="仿宋" w:hAnsi="仿宋" w:eastAsia="仿宋" w:cs="宋体"/>
                <w:color w:val="auto"/>
                <w:kern w:val="0"/>
                <w:sz w:val="24"/>
                <w:highlight w:val="none"/>
                <w:lang w:bidi="ar"/>
              </w:rPr>
              <w:t>1</w:t>
            </w:r>
            <w:r>
              <w:rPr>
                <w:rFonts w:hint="eastAsia" w:ascii="仿宋" w:hAnsi="仿宋" w:eastAsia="仿宋" w:cs="宋体"/>
                <w:color w:val="auto"/>
                <w:kern w:val="0"/>
                <w:sz w:val="24"/>
                <w:highlight w:val="none"/>
                <w:lang w:bidi="ar"/>
              </w:rPr>
              <w:t>分；方案不合理或未提供方案不得分。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817" w:type="dxa"/>
            <w:vMerge w:val="continue"/>
            <w:tcBorders>
              <w:bottom w:val="single" w:color="auto" w:sz="4" w:space="0"/>
              <w:right w:val="single" w:color="auto" w:sz="4" w:space="0"/>
            </w:tcBorders>
            <w:vAlign w:val="center"/>
          </w:tcPr>
          <w:p>
            <w:pPr>
              <w:spacing w:line="360" w:lineRule="auto"/>
              <w:jc w:val="center"/>
              <w:rPr>
                <w:rFonts w:ascii="仿宋" w:hAnsi="仿宋" w:eastAsia="仿宋" w:cs="宋体"/>
                <w:color w:val="auto"/>
                <w:sz w:val="24"/>
                <w:highlight w:val="none"/>
              </w:rPr>
            </w:pPr>
          </w:p>
        </w:tc>
        <w:tc>
          <w:tcPr>
            <w:tcW w:w="2047" w:type="dxa"/>
            <w:tcBorders>
              <w:top w:val="single" w:color="auto" w:sz="4" w:space="0"/>
              <w:left w:val="single" w:color="auto" w:sz="4" w:space="0"/>
            </w:tcBorders>
            <w:vAlign w:val="center"/>
          </w:tcPr>
          <w:p>
            <w:pPr>
              <w:widowControl/>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（12）媒体演示文件</w:t>
            </w:r>
          </w:p>
        </w:tc>
        <w:tc>
          <w:tcPr>
            <w:tcW w:w="1235" w:type="dxa"/>
            <w:tcBorders>
              <w:top w:val="single" w:color="auto" w:sz="4" w:space="0"/>
              <w:bottom w:val="single" w:color="auto" w:sz="4" w:space="0"/>
            </w:tcBorders>
            <w:vAlign w:val="center"/>
          </w:tcPr>
          <w:p>
            <w:pPr>
              <w:spacing w:line="360" w:lineRule="auto"/>
              <w:jc w:val="center"/>
              <w:rPr>
                <w:rFonts w:ascii="仿宋" w:hAnsi="仿宋" w:eastAsia="仿宋"/>
                <w:bCs/>
                <w:color w:val="auto"/>
                <w:sz w:val="24"/>
                <w:highlight w:val="none"/>
              </w:rPr>
            </w:pPr>
            <w:r>
              <w:rPr>
                <w:rFonts w:hint="eastAsia" w:ascii="仿宋" w:hAnsi="仿宋" w:eastAsia="仿宋" w:cs="宋体"/>
                <w:color w:val="auto"/>
                <w:sz w:val="24"/>
                <w:highlight w:val="none"/>
              </w:rPr>
              <w:t>0-5分</w:t>
            </w:r>
          </w:p>
        </w:tc>
        <w:tc>
          <w:tcPr>
            <w:tcW w:w="4668" w:type="dxa"/>
            <w:tcBorders>
              <w:top w:val="single" w:color="auto" w:sz="4" w:space="0"/>
              <w:bottom w:val="single" w:color="auto" w:sz="4" w:space="0"/>
            </w:tcBorders>
          </w:tcPr>
          <w:p>
            <w:pPr>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多媒体演示文件的演示时间不超过10分钟（普通话口语），演示文件表达完整，体现投标人的展陈理念，创新能力好，专业水平高</w:t>
            </w:r>
            <w:r>
              <w:rPr>
                <w:rFonts w:hint="eastAsia" w:ascii="仿宋" w:hAnsi="仿宋" w:eastAsia="仿宋" w:cs="宋体"/>
                <w:color w:val="auto"/>
                <w:kern w:val="0"/>
                <w:sz w:val="24"/>
                <w:highlight w:val="none"/>
                <w:lang w:bidi="ar"/>
              </w:rPr>
              <w:t>得5分；</w:t>
            </w:r>
            <w:r>
              <w:rPr>
                <w:rFonts w:hint="eastAsia" w:ascii="仿宋" w:hAnsi="仿宋" w:eastAsia="仿宋" w:cs="宋体"/>
                <w:color w:val="auto"/>
                <w:sz w:val="24"/>
                <w:highlight w:val="none"/>
              </w:rPr>
              <w:t>演示文件表较为完整，基本体现投标人的展陈理念，创新能力较好，专业水平较高</w:t>
            </w:r>
            <w:r>
              <w:rPr>
                <w:rFonts w:hint="eastAsia" w:ascii="仿宋" w:hAnsi="仿宋" w:eastAsia="仿宋" w:cs="宋体"/>
                <w:color w:val="auto"/>
                <w:kern w:val="0"/>
                <w:sz w:val="24"/>
                <w:highlight w:val="none"/>
                <w:lang w:bidi="ar"/>
              </w:rPr>
              <w:t>得</w:t>
            </w:r>
            <w:r>
              <w:rPr>
                <w:rFonts w:ascii="仿宋" w:hAnsi="仿宋" w:eastAsia="仿宋" w:cs="宋体"/>
                <w:color w:val="auto"/>
                <w:kern w:val="0"/>
                <w:sz w:val="24"/>
                <w:highlight w:val="none"/>
                <w:lang w:bidi="ar"/>
              </w:rPr>
              <w:t>3</w:t>
            </w:r>
            <w:r>
              <w:rPr>
                <w:rFonts w:hint="eastAsia" w:ascii="仿宋" w:hAnsi="仿宋" w:eastAsia="仿宋" w:cs="宋体"/>
                <w:color w:val="auto"/>
                <w:kern w:val="0"/>
                <w:sz w:val="24"/>
                <w:highlight w:val="none"/>
                <w:lang w:bidi="ar"/>
              </w:rPr>
              <w:t>分；</w:t>
            </w:r>
            <w:r>
              <w:rPr>
                <w:rFonts w:hint="eastAsia" w:ascii="仿宋" w:hAnsi="仿宋" w:eastAsia="仿宋" w:cs="宋体"/>
                <w:color w:val="auto"/>
                <w:sz w:val="24"/>
                <w:highlight w:val="none"/>
              </w:rPr>
              <w:t>演示文件表达完整性不够，不能完全体现投标人的展陈理念，创新能力不足，专业水平不足</w:t>
            </w:r>
            <w:r>
              <w:rPr>
                <w:rFonts w:hint="eastAsia" w:ascii="仿宋" w:hAnsi="仿宋" w:eastAsia="仿宋" w:cs="宋体"/>
                <w:color w:val="auto"/>
                <w:kern w:val="0"/>
                <w:sz w:val="24"/>
                <w:highlight w:val="none"/>
                <w:lang w:bidi="ar"/>
              </w:rPr>
              <w:t>得</w:t>
            </w:r>
            <w:r>
              <w:rPr>
                <w:rFonts w:ascii="仿宋" w:hAnsi="仿宋" w:eastAsia="仿宋" w:cs="宋体"/>
                <w:color w:val="auto"/>
                <w:kern w:val="0"/>
                <w:sz w:val="24"/>
                <w:highlight w:val="none"/>
                <w:lang w:bidi="ar"/>
              </w:rPr>
              <w:t>1</w:t>
            </w:r>
            <w:r>
              <w:rPr>
                <w:rFonts w:hint="eastAsia" w:ascii="仿宋" w:hAnsi="仿宋" w:eastAsia="仿宋" w:cs="宋体"/>
                <w:color w:val="auto"/>
                <w:kern w:val="0"/>
                <w:sz w:val="24"/>
                <w:highlight w:val="none"/>
                <w:lang w:bidi="ar"/>
              </w:rPr>
              <w:t>分；方案不合理或未提供方案不得分。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2" w:hRule="atLeast"/>
        </w:trPr>
        <w:tc>
          <w:tcPr>
            <w:tcW w:w="817" w:type="dxa"/>
            <w:vMerge w:val="restart"/>
            <w:tcBorders>
              <w:right w:val="single" w:color="auto" w:sz="4" w:space="0"/>
            </w:tcBorders>
            <w:vAlign w:val="center"/>
          </w:tcPr>
          <w:p>
            <w:pPr>
              <w:spacing w:line="360" w:lineRule="auto"/>
              <w:jc w:val="center"/>
              <w:rPr>
                <w:rFonts w:ascii="仿宋" w:hAnsi="仿宋" w:eastAsia="仿宋" w:cs="宋体"/>
                <w:color w:val="auto"/>
                <w:sz w:val="24"/>
                <w:highlight w:val="none"/>
              </w:rPr>
            </w:pPr>
            <w:r>
              <w:rPr>
                <w:rFonts w:ascii="仿宋" w:hAnsi="仿宋" w:eastAsia="仿宋" w:cs="宋体"/>
                <w:b/>
                <w:bCs/>
                <w:color w:val="auto"/>
                <w:sz w:val="24"/>
                <w:highlight w:val="none"/>
              </w:rPr>
              <w:t>5</w:t>
            </w:r>
            <w:r>
              <w:rPr>
                <w:rFonts w:hint="eastAsia" w:ascii="仿宋" w:hAnsi="仿宋" w:eastAsia="仿宋" w:cs="宋体"/>
                <w:b/>
                <w:bCs/>
                <w:color w:val="auto"/>
                <w:sz w:val="24"/>
                <w:highlight w:val="none"/>
              </w:rPr>
              <w:t>、施工组织及措施（</w:t>
            </w:r>
            <w:r>
              <w:rPr>
                <w:rFonts w:ascii="仿宋" w:hAnsi="仿宋" w:eastAsia="仿宋" w:cs="宋体"/>
                <w:b/>
                <w:bCs/>
                <w:color w:val="auto"/>
                <w:sz w:val="24"/>
                <w:highlight w:val="none"/>
              </w:rPr>
              <w:t>4</w:t>
            </w:r>
            <w:r>
              <w:rPr>
                <w:rFonts w:hint="eastAsia" w:ascii="仿宋" w:hAnsi="仿宋" w:eastAsia="仿宋" w:cs="宋体"/>
                <w:b/>
                <w:bCs/>
                <w:color w:val="auto"/>
                <w:sz w:val="24"/>
                <w:highlight w:val="none"/>
              </w:rPr>
              <w:t>分）</w:t>
            </w:r>
          </w:p>
        </w:tc>
        <w:tc>
          <w:tcPr>
            <w:tcW w:w="2047" w:type="dxa"/>
            <w:tcBorders>
              <w:left w:val="single" w:color="auto" w:sz="4" w:space="0"/>
            </w:tcBorders>
            <w:vAlign w:val="center"/>
          </w:tcPr>
          <w:p>
            <w:pPr>
              <w:widowControl/>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（1）规范、安全保护措施</w:t>
            </w:r>
          </w:p>
        </w:tc>
        <w:tc>
          <w:tcPr>
            <w:tcW w:w="1235" w:type="dxa"/>
            <w:vAlign w:val="center"/>
          </w:tcPr>
          <w:p>
            <w:pPr>
              <w:spacing w:line="360" w:lineRule="auto"/>
              <w:jc w:val="center"/>
              <w:rPr>
                <w:rFonts w:ascii="仿宋" w:hAnsi="仿宋" w:eastAsia="仿宋"/>
                <w:bCs/>
                <w:color w:val="auto"/>
                <w:sz w:val="24"/>
                <w:highlight w:val="none"/>
              </w:rPr>
            </w:pPr>
            <w:r>
              <w:rPr>
                <w:rFonts w:hint="eastAsia" w:ascii="仿宋" w:hAnsi="仿宋" w:eastAsia="仿宋" w:cs="宋体"/>
                <w:color w:val="auto"/>
                <w:sz w:val="24"/>
                <w:highlight w:val="none"/>
              </w:rPr>
              <w:t>0-</w:t>
            </w:r>
            <w:r>
              <w:rPr>
                <w:rFonts w:ascii="仿宋" w:hAnsi="仿宋" w:eastAsia="仿宋" w:cs="宋体"/>
                <w:color w:val="auto"/>
                <w:sz w:val="24"/>
                <w:highlight w:val="none"/>
              </w:rPr>
              <w:t>1</w:t>
            </w:r>
            <w:r>
              <w:rPr>
                <w:rFonts w:hint="eastAsia" w:ascii="仿宋" w:hAnsi="仿宋" w:eastAsia="仿宋" w:cs="宋体"/>
                <w:color w:val="auto"/>
                <w:sz w:val="24"/>
                <w:highlight w:val="none"/>
              </w:rPr>
              <w:t>分</w:t>
            </w:r>
          </w:p>
        </w:tc>
        <w:tc>
          <w:tcPr>
            <w:tcW w:w="4668" w:type="dxa"/>
          </w:tcPr>
          <w:p>
            <w:pPr>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深刻理解、正确掌握各项规范要求，布局均衡，重点突出，选用材料均能符合安全、防火、环保、节能等要求得1分；不符合要求不得分。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Borders>
              <w:right w:val="single" w:color="auto" w:sz="4" w:space="0"/>
            </w:tcBorders>
            <w:vAlign w:val="center"/>
          </w:tcPr>
          <w:p>
            <w:pPr>
              <w:spacing w:line="360" w:lineRule="auto"/>
              <w:jc w:val="center"/>
              <w:rPr>
                <w:rFonts w:ascii="仿宋" w:hAnsi="仿宋" w:eastAsia="仿宋" w:cs="宋体"/>
                <w:color w:val="auto"/>
                <w:sz w:val="24"/>
                <w:highlight w:val="none"/>
              </w:rPr>
            </w:pPr>
          </w:p>
        </w:tc>
        <w:tc>
          <w:tcPr>
            <w:tcW w:w="2047" w:type="dxa"/>
            <w:tcBorders>
              <w:left w:val="single" w:color="auto" w:sz="4" w:space="0"/>
            </w:tcBorders>
            <w:vAlign w:val="center"/>
          </w:tcPr>
          <w:p>
            <w:pPr>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（2）施工方案、工序及关键部位的技术措施</w:t>
            </w:r>
          </w:p>
        </w:tc>
        <w:tc>
          <w:tcPr>
            <w:tcW w:w="1235" w:type="dxa"/>
            <w:vAlign w:val="center"/>
          </w:tcPr>
          <w:p>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0-</w:t>
            </w:r>
            <w:r>
              <w:rPr>
                <w:rFonts w:ascii="仿宋" w:hAnsi="仿宋" w:eastAsia="仿宋" w:cs="宋体"/>
                <w:color w:val="auto"/>
                <w:sz w:val="24"/>
                <w:highlight w:val="none"/>
              </w:rPr>
              <w:t>1</w:t>
            </w:r>
            <w:r>
              <w:rPr>
                <w:rFonts w:hint="eastAsia" w:ascii="仿宋" w:hAnsi="仿宋" w:eastAsia="仿宋" w:cs="宋体"/>
                <w:color w:val="auto"/>
                <w:sz w:val="24"/>
                <w:highlight w:val="none"/>
              </w:rPr>
              <w:t>分</w:t>
            </w:r>
          </w:p>
        </w:tc>
        <w:tc>
          <w:tcPr>
            <w:tcW w:w="4668" w:type="dxa"/>
            <w:vAlign w:val="center"/>
          </w:tcPr>
          <w:p>
            <w:pPr>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根据展陈施工方案、对关键工序、关键部位、难点部位等内容采取合理的技术措施得</w:t>
            </w:r>
            <w:r>
              <w:rPr>
                <w:rFonts w:ascii="仿宋" w:hAnsi="仿宋" w:eastAsia="仿宋" w:cs="宋体"/>
                <w:color w:val="auto"/>
                <w:sz w:val="24"/>
                <w:highlight w:val="none"/>
              </w:rPr>
              <w:t>1</w:t>
            </w:r>
            <w:r>
              <w:rPr>
                <w:rFonts w:hint="eastAsia" w:ascii="仿宋" w:hAnsi="仿宋" w:eastAsia="仿宋" w:cs="宋体"/>
                <w:color w:val="auto"/>
                <w:sz w:val="24"/>
                <w:highlight w:val="none"/>
              </w:rPr>
              <w:t>分；技术措施有一定不足得0</w:t>
            </w:r>
            <w:r>
              <w:rPr>
                <w:rFonts w:ascii="仿宋" w:hAnsi="仿宋" w:eastAsia="仿宋" w:cs="宋体"/>
                <w:color w:val="auto"/>
                <w:sz w:val="24"/>
                <w:highlight w:val="none"/>
              </w:rPr>
              <w:t>.5</w:t>
            </w:r>
            <w:r>
              <w:rPr>
                <w:rFonts w:hint="eastAsia" w:ascii="仿宋" w:hAnsi="仿宋" w:eastAsia="仿宋" w:cs="宋体"/>
                <w:color w:val="auto"/>
                <w:sz w:val="24"/>
                <w:highlight w:val="none"/>
              </w:rPr>
              <w:t>分；未提供不得分。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tcBorders>
              <w:right w:val="single" w:color="auto" w:sz="4" w:space="0"/>
            </w:tcBorders>
            <w:vAlign w:val="center"/>
          </w:tcPr>
          <w:p>
            <w:pPr>
              <w:spacing w:line="360" w:lineRule="auto"/>
              <w:jc w:val="center"/>
              <w:rPr>
                <w:rFonts w:ascii="仿宋" w:hAnsi="仿宋" w:eastAsia="仿宋" w:cs="宋体"/>
                <w:color w:val="auto"/>
                <w:sz w:val="24"/>
                <w:highlight w:val="none"/>
              </w:rPr>
            </w:pPr>
          </w:p>
        </w:tc>
        <w:tc>
          <w:tcPr>
            <w:tcW w:w="2047" w:type="dxa"/>
            <w:tcBorders>
              <w:left w:val="single" w:color="auto" w:sz="4" w:space="0"/>
            </w:tcBorders>
            <w:vAlign w:val="center"/>
          </w:tcPr>
          <w:p>
            <w:pPr>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（3）施工进度计划及保证措施</w:t>
            </w:r>
          </w:p>
        </w:tc>
        <w:tc>
          <w:tcPr>
            <w:tcW w:w="1235" w:type="dxa"/>
            <w:vAlign w:val="center"/>
          </w:tcPr>
          <w:p>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0-</w:t>
            </w:r>
            <w:r>
              <w:rPr>
                <w:rFonts w:ascii="仿宋" w:hAnsi="仿宋" w:eastAsia="仿宋" w:cs="宋体"/>
                <w:color w:val="auto"/>
                <w:sz w:val="24"/>
                <w:highlight w:val="none"/>
              </w:rPr>
              <w:t>1</w:t>
            </w:r>
            <w:r>
              <w:rPr>
                <w:rFonts w:hint="eastAsia" w:ascii="仿宋" w:hAnsi="仿宋" w:eastAsia="仿宋" w:cs="宋体"/>
                <w:color w:val="auto"/>
                <w:sz w:val="24"/>
                <w:highlight w:val="none"/>
              </w:rPr>
              <w:t>分</w:t>
            </w:r>
          </w:p>
        </w:tc>
        <w:tc>
          <w:tcPr>
            <w:tcW w:w="4668" w:type="dxa"/>
            <w:vAlign w:val="center"/>
          </w:tcPr>
          <w:p>
            <w:pPr>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展陈设计、施工进度计划，编制合理的保证措施到位、合理得</w:t>
            </w:r>
            <w:r>
              <w:rPr>
                <w:rFonts w:ascii="仿宋" w:hAnsi="仿宋" w:eastAsia="仿宋" w:cs="宋体"/>
                <w:color w:val="auto"/>
                <w:sz w:val="24"/>
                <w:highlight w:val="none"/>
              </w:rPr>
              <w:t>1</w:t>
            </w:r>
            <w:r>
              <w:rPr>
                <w:rFonts w:hint="eastAsia" w:ascii="仿宋" w:hAnsi="仿宋" w:eastAsia="仿宋" w:cs="宋体"/>
                <w:color w:val="auto"/>
                <w:sz w:val="24"/>
                <w:highlight w:val="none"/>
              </w:rPr>
              <w:t>分；保证措施有一定不足得</w:t>
            </w:r>
            <w:r>
              <w:rPr>
                <w:rFonts w:ascii="仿宋" w:hAnsi="仿宋" w:eastAsia="仿宋" w:cs="宋体"/>
                <w:color w:val="auto"/>
                <w:sz w:val="24"/>
                <w:highlight w:val="none"/>
              </w:rPr>
              <w:t>0.5</w:t>
            </w:r>
            <w:r>
              <w:rPr>
                <w:rFonts w:hint="eastAsia" w:ascii="仿宋" w:hAnsi="仿宋" w:eastAsia="仿宋" w:cs="宋体"/>
                <w:color w:val="auto"/>
                <w:sz w:val="24"/>
                <w:highlight w:val="none"/>
              </w:rPr>
              <w:t>分；未提供不得分。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817" w:type="dxa"/>
            <w:vMerge w:val="continue"/>
            <w:tcBorders>
              <w:right w:val="single" w:color="auto" w:sz="4" w:space="0"/>
            </w:tcBorders>
            <w:vAlign w:val="center"/>
          </w:tcPr>
          <w:p>
            <w:pPr>
              <w:spacing w:line="360" w:lineRule="auto"/>
              <w:jc w:val="center"/>
              <w:rPr>
                <w:rFonts w:ascii="仿宋" w:hAnsi="仿宋" w:eastAsia="仿宋" w:cs="宋体"/>
                <w:color w:val="auto"/>
                <w:sz w:val="24"/>
                <w:highlight w:val="none"/>
              </w:rPr>
            </w:pPr>
          </w:p>
        </w:tc>
        <w:tc>
          <w:tcPr>
            <w:tcW w:w="2047" w:type="dxa"/>
            <w:tcBorders>
              <w:left w:val="single" w:color="auto" w:sz="4" w:space="0"/>
            </w:tcBorders>
            <w:vAlign w:val="center"/>
          </w:tcPr>
          <w:p>
            <w:pPr>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（4）质量保证措施，安全、文明施工措施</w:t>
            </w:r>
          </w:p>
        </w:tc>
        <w:tc>
          <w:tcPr>
            <w:tcW w:w="1235" w:type="dxa"/>
            <w:vAlign w:val="center"/>
          </w:tcPr>
          <w:p>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0-</w:t>
            </w:r>
            <w:r>
              <w:rPr>
                <w:rFonts w:ascii="仿宋" w:hAnsi="仿宋" w:eastAsia="仿宋" w:cs="宋体"/>
                <w:color w:val="auto"/>
                <w:sz w:val="24"/>
                <w:highlight w:val="none"/>
              </w:rPr>
              <w:t>1</w:t>
            </w:r>
            <w:r>
              <w:rPr>
                <w:rFonts w:hint="eastAsia" w:ascii="仿宋" w:hAnsi="仿宋" w:eastAsia="仿宋" w:cs="宋体"/>
                <w:color w:val="auto"/>
                <w:sz w:val="24"/>
                <w:highlight w:val="none"/>
              </w:rPr>
              <w:t>分</w:t>
            </w:r>
          </w:p>
        </w:tc>
        <w:tc>
          <w:tcPr>
            <w:tcW w:w="4668" w:type="dxa"/>
            <w:vAlign w:val="center"/>
          </w:tcPr>
          <w:p>
            <w:pPr>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质量保证措施、安全、文明施工措施合理完善得</w:t>
            </w:r>
            <w:r>
              <w:rPr>
                <w:rFonts w:ascii="仿宋" w:hAnsi="仿宋" w:eastAsia="仿宋" w:cs="宋体"/>
                <w:color w:val="auto"/>
                <w:sz w:val="24"/>
                <w:highlight w:val="none"/>
              </w:rPr>
              <w:t>1</w:t>
            </w:r>
            <w:r>
              <w:rPr>
                <w:rFonts w:hint="eastAsia" w:ascii="仿宋" w:hAnsi="仿宋" w:eastAsia="仿宋" w:cs="宋体"/>
                <w:color w:val="auto"/>
                <w:sz w:val="24"/>
                <w:highlight w:val="none"/>
              </w:rPr>
              <w:t>分；质量保证措施、安全、文明施工措施不够合理完善得</w:t>
            </w:r>
            <w:r>
              <w:rPr>
                <w:rFonts w:ascii="仿宋" w:hAnsi="仿宋" w:eastAsia="仿宋" w:cs="宋体"/>
                <w:color w:val="auto"/>
                <w:sz w:val="24"/>
                <w:highlight w:val="none"/>
              </w:rPr>
              <w:t>0.5</w:t>
            </w:r>
            <w:r>
              <w:rPr>
                <w:rFonts w:hint="eastAsia" w:ascii="仿宋" w:hAnsi="仿宋" w:eastAsia="仿宋" w:cs="宋体"/>
                <w:color w:val="auto"/>
                <w:sz w:val="24"/>
                <w:highlight w:val="none"/>
              </w:rPr>
              <w:t>分；未提供不得分。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817" w:type="dxa"/>
            <w:tcBorders>
              <w:right w:val="single" w:color="auto" w:sz="4" w:space="0"/>
            </w:tcBorders>
            <w:vAlign w:val="center"/>
          </w:tcPr>
          <w:p>
            <w:pPr>
              <w:spacing w:line="360" w:lineRule="auto"/>
              <w:jc w:val="center"/>
              <w:rPr>
                <w:rFonts w:ascii="仿宋" w:hAnsi="仿宋" w:eastAsia="仿宋" w:cs="宋体"/>
                <w:b/>
                <w:bCs/>
                <w:color w:val="auto"/>
                <w:sz w:val="24"/>
                <w:highlight w:val="none"/>
              </w:rPr>
            </w:pPr>
            <w:r>
              <w:rPr>
                <w:rFonts w:ascii="仿宋" w:hAnsi="仿宋" w:eastAsia="仿宋" w:cs="宋体"/>
                <w:b/>
                <w:bCs/>
                <w:color w:val="auto"/>
                <w:sz w:val="24"/>
                <w:highlight w:val="none"/>
              </w:rPr>
              <w:t>6</w:t>
            </w:r>
            <w:r>
              <w:rPr>
                <w:rFonts w:hint="eastAsia" w:ascii="仿宋" w:hAnsi="仿宋" w:eastAsia="仿宋" w:cs="宋体"/>
                <w:b/>
                <w:bCs/>
                <w:color w:val="auto"/>
                <w:sz w:val="24"/>
                <w:highlight w:val="none"/>
              </w:rPr>
              <w:t>、项目人员配备（9分）</w:t>
            </w:r>
          </w:p>
        </w:tc>
        <w:tc>
          <w:tcPr>
            <w:tcW w:w="2047" w:type="dxa"/>
            <w:tcBorders>
              <w:left w:val="single" w:color="auto" w:sz="4" w:space="0"/>
            </w:tcBorders>
            <w:vAlign w:val="center"/>
          </w:tcPr>
          <w:p>
            <w:pPr>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1</w:t>
            </w:r>
            <w:r>
              <w:rPr>
                <w:rFonts w:hint="eastAsia" w:ascii="仿宋" w:hAnsi="仿宋" w:eastAsia="仿宋" w:cs="宋体"/>
                <w:color w:val="auto"/>
                <w:sz w:val="24"/>
                <w:highlight w:val="none"/>
              </w:rPr>
              <w:t>）拟派项目组人员配备</w:t>
            </w:r>
          </w:p>
        </w:tc>
        <w:tc>
          <w:tcPr>
            <w:tcW w:w="1235" w:type="dxa"/>
            <w:vAlign w:val="center"/>
          </w:tcPr>
          <w:p>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0-9分</w:t>
            </w:r>
          </w:p>
        </w:tc>
        <w:tc>
          <w:tcPr>
            <w:tcW w:w="4668" w:type="dxa"/>
            <w:vAlign w:val="center"/>
          </w:tcPr>
          <w:p>
            <w:pPr>
              <w:pStyle w:val="5"/>
              <w:tabs>
                <w:tab w:val="left" w:pos="706"/>
              </w:tabs>
              <w:ind w:left="106"/>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s="宋体"/>
                <w:color w:val="auto"/>
                <w:sz w:val="24"/>
                <w:szCs w:val="24"/>
                <w:highlight w:val="none"/>
              </w:rPr>
              <w:t>拟投入本项目的</w:t>
            </w:r>
            <w:bookmarkStart w:id="555" w:name="_Hlk120827933"/>
            <w:r>
              <w:rPr>
                <w:rFonts w:hint="eastAsia" w:ascii="仿宋" w:hAnsi="仿宋" w:eastAsia="仿宋" w:cs="宋体"/>
                <w:color w:val="auto"/>
                <w:sz w:val="24"/>
                <w:szCs w:val="24"/>
                <w:highlight w:val="none"/>
              </w:rPr>
              <w:t>项目负责人具有建筑工程专业贰级及以上建造师执业资格，同时具有</w:t>
            </w:r>
            <w:r>
              <w:rPr>
                <w:rFonts w:ascii="仿宋" w:hAnsi="仿宋" w:eastAsia="仿宋"/>
                <w:color w:val="auto"/>
                <w:sz w:val="24"/>
                <w:szCs w:val="24"/>
                <w:highlight w:val="none"/>
              </w:rPr>
              <w:t>“</w:t>
            </w:r>
            <w:r>
              <w:rPr>
                <w:rFonts w:hint="eastAsia" w:ascii="仿宋" w:hAnsi="仿宋" w:eastAsia="仿宋" w:cs="宋体"/>
                <w:color w:val="auto"/>
                <w:sz w:val="24"/>
                <w:szCs w:val="24"/>
                <w:highlight w:val="none"/>
              </w:rPr>
              <w:t>三类人员</w:t>
            </w:r>
            <w:r>
              <w:rPr>
                <w:rFonts w:ascii="仿宋" w:hAnsi="仿宋" w:eastAsia="仿宋"/>
                <w:color w:val="auto"/>
                <w:sz w:val="24"/>
                <w:szCs w:val="24"/>
                <w:highlight w:val="none"/>
              </w:rPr>
              <w:t>”</w:t>
            </w:r>
            <w:r>
              <w:rPr>
                <w:rFonts w:hint="eastAsia" w:ascii="仿宋" w:hAnsi="仿宋" w:eastAsia="仿宋"/>
                <w:color w:val="auto"/>
                <w:sz w:val="24"/>
                <w:szCs w:val="24"/>
                <w:highlight w:val="none"/>
              </w:rPr>
              <w:t>B</w:t>
            </w:r>
            <w:r>
              <w:rPr>
                <w:rFonts w:hint="eastAsia" w:ascii="仿宋" w:hAnsi="仿宋" w:eastAsia="仿宋" w:cs="宋体"/>
                <w:color w:val="auto"/>
                <w:sz w:val="24"/>
                <w:szCs w:val="24"/>
                <w:highlight w:val="none"/>
              </w:rPr>
              <w:t>类证书</w:t>
            </w:r>
            <w:bookmarkEnd w:id="555"/>
            <w:r>
              <w:rPr>
                <w:rFonts w:hint="eastAsia" w:ascii="仿宋" w:hAnsi="仿宋" w:eastAsia="仿宋" w:cs="宋体"/>
                <w:color w:val="auto"/>
                <w:sz w:val="24"/>
                <w:szCs w:val="24"/>
                <w:highlight w:val="none"/>
              </w:rPr>
              <w:t>的得</w:t>
            </w:r>
            <w:r>
              <w:rPr>
                <w:rFonts w:hint="eastAsia" w:ascii="仿宋" w:hAnsi="仿宋" w:eastAsia="仿宋" w:cs="宋体"/>
                <w:color w:val="auto"/>
                <w:sz w:val="24"/>
                <w:szCs w:val="24"/>
                <w:highlight w:val="none"/>
                <w:lang w:val="en-US"/>
              </w:rPr>
              <w:t>2</w:t>
            </w:r>
            <w:r>
              <w:rPr>
                <w:rFonts w:hint="eastAsia" w:ascii="仿宋" w:hAnsi="仿宋" w:eastAsia="仿宋" w:cs="宋体"/>
                <w:color w:val="auto"/>
                <w:sz w:val="24"/>
                <w:szCs w:val="24"/>
                <w:highlight w:val="none"/>
              </w:rPr>
              <w:t>分，本项最高得</w:t>
            </w:r>
            <w:r>
              <w:rPr>
                <w:rFonts w:hint="eastAsia" w:ascii="仿宋" w:hAnsi="仿宋" w:eastAsia="仿宋" w:cs="宋体"/>
                <w:color w:val="auto"/>
                <w:sz w:val="24"/>
                <w:szCs w:val="24"/>
                <w:highlight w:val="none"/>
                <w:lang w:val="en-US"/>
              </w:rPr>
              <w:t>2</w:t>
            </w:r>
            <w:r>
              <w:rPr>
                <w:rFonts w:hint="eastAsia" w:ascii="仿宋" w:hAnsi="仿宋" w:eastAsia="仿宋" w:cs="宋体"/>
                <w:color w:val="auto"/>
                <w:sz w:val="24"/>
                <w:szCs w:val="24"/>
                <w:highlight w:val="none"/>
              </w:rPr>
              <w:t>分；（在投标文件中提供建造师证书和</w:t>
            </w:r>
            <w:r>
              <w:rPr>
                <w:rFonts w:hint="eastAsia" w:ascii="仿宋" w:hAnsi="仿宋" w:eastAsia="仿宋"/>
                <w:color w:val="auto"/>
                <w:sz w:val="24"/>
                <w:szCs w:val="24"/>
                <w:highlight w:val="none"/>
              </w:rPr>
              <w:t>B</w:t>
            </w:r>
            <w:r>
              <w:rPr>
                <w:rFonts w:hint="eastAsia" w:ascii="仿宋" w:hAnsi="仿宋" w:eastAsia="仿宋" w:cs="宋体"/>
                <w:color w:val="auto"/>
                <w:sz w:val="24"/>
                <w:szCs w:val="24"/>
                <w:highlight w:val="none"/>
              </w:rPr>
              <w:t>证</w:t>
            </w:r>
            <w:r>
              <w:rPr>
                <w:rFonts w:hint="eastAsia" w:ascii="仿宋" w:hAnsi="仿宋" w:eastAsia="仿宋"/>
                <w:color w:val="auto"/>
                <w:sz w:val="24"/>
                <w:highlight w:val="none"/>
              </w:rPr>
              <w:t>、近三个月内任意一个月的社保缴纳证明，近一个月新成立的单位提供说明，</w:t>
            </w:r>
            <w:r>
              <w:rPr>
                <w:rFonts w:hint="eastAsia" w:ascii="仿宋" w:hAnsi="仿宋" w:eastAsia="仿宋" w:cs="宋体"/>
                <w:color w:val="auto"/>
                <w:sz w:val="24"/>
                <w:szCs w:val="24"/>
                <w:highlight w:val="none"/>
              </w:rPr>
              <w:t>复印件或扫描件，否则不得分）；</w:t>
            </w:r>
          </w:p>
          <w:p>
            <w:pPr>
              <w:pStyle w:val="5"/>
              <w:tabs>
                <w:tab w:val="left" w:pos="706"/>
              </w:tabs>
              <w:ind w:left="106"/>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s="宋体"/>
                <w:color w:val="auto"/>
                <w:sz w:val="24"/>
                <w:szCs w:val="24"/>
                <w:highlight w:val="none"/>
              </w:rPr>
              <w:t>拟投入本项目的</w:t>
            </w:r>
            <w:bookmarkStart w:id="556" w:name="_Hlk120827975"/>
            <w:r>
              <w:rPr>
                <w:rFonts w:hint="eastAsia" w:ascii="仿宋" w:hAnsi="仿宋" w:eastAsia="仿宋" w:cs="宋体"/>
                <w:color w:val="auto"/>
                <w:sz w:val="24"/>
                <w:szCs w:val="24"/>
                <w:highlight w:val="none"/>
              </w:rPr>
              <w:t>展陈负责人具有工艺美术师中级及以上职称</w:t>
            </w:r>
            <w:bookmarkEnd w:id="556"/>
            <w:r>
              <w:rPr>
                <w:rFonts w:hint="eastAsia" w:ascii="仿宋" w:hAnsi="仿宋" w:eastAsia="仿宋" w:cs="宋体"/>
                <w:color w:val="auto"/>
                <w:sz w:val="24"/>
                <w:szCs w:val="24"/>
                <w:highlight w:val="none"/>
              </w:rPr>
              <w:t>的得</w:t>
            </w:r>
            <w:r>
              <w:rPr>
                <w:rFonts w:hint="eastAsia" w:ascii="仿宋" w:hAnsi="仿宋" w:eastAsia="仿宋"/>
                <w:color w:val="auto"/>
                <w:sz w:val="24"/>
                <w:szCs w:val="24"/>
                <w:highlight w:val="none"/>
                <w:lang w:val="en-US"/>
              </w:rPr>
              <w:t>3</w:t>
            </w:r>
            <w:r>
              <w:rPr>
                <w:rFonts w:hint="eastAsia" w:ascii="仿宋" w:hAnsi="仿宋" w:eastAsia="仿宋" w:cs="宋体"/>
                <w:color w:val="auto"/>
                <w:sz w:val="24"/>
                <w:szCs w:val="24"/>
                <w:highlight w:val="none"/>
              </w:rPr>
              <w:t>分，助理工艺美术师的得</w:t>
            </w:r>
            <w:r>
              <w:rPr>
                <w:rFonts w:hint="eastAsia" w:ascii="仿宋" w:hAnsi="仿宋" w:eastAsia="仿宋" w:cs="宋体"/>
                <w:color w:val="auto"/>
                <w:sz w:val="24"/>
                <w:szCs w:val="24"/>
                <w:highlight w:val="none"/>
                <w:lang w:val="en-US"/>
              </w:rPr>
              <w:t>1分，没有不得分，</w:t>
            </w:r>
            <w:r>
              <w:rPr>
                <w:rFonts w:hint="eastAsia" w:ascii="仿宋" w:hAnsi="仿宋" w:eastAsia="仿宋" w:cs="宋体"/>
                <w:color w:val="auto"/>
                <w:sz w:val="24"/>
                <w:szCs w:val="24"/>
                <w:highlight w:val="none"/>
              </w:rPr>
              <w:t>本项最高得</w:t>
            </w:r>
            <w:r>
              <w:rPr>
                <w:rFonts w:hint="eastAsia" w:ascii="仿宋" w:hAnsi="仿宋" w:eastAsia="仿宋" w:cs="宋体"/>
                <w:color w:val="auto"/>
                <w:sz w:val="24"/>
                <w:szCs w:val="24"/>
                <w:highlight w:val="none"/>
                <w:lang w:val="en-US"/>
              </w:rPr>
              <w:t>3</w:t>
            </w:r>
            <w:r>
              <w:rPr>
                <w:rFonts w:hint="eastAsia" w:ascii="仿宋" w:hAnsi="仿宋" w:eastAsia="仿宋" w:cs="宋体"/>
                <w:color w:val="auto"/>
                <w:sz w:val="24"/>
                <w:szCs w:val="24"/>
                <w:highlight w:val="none"/>
              </w:rPr>
              <w:t>分；（在投标文件提供称职证书</w:t>
            </w:r>
            <w:r>
              <w:rPr>
                <w:rFonts w:hint="eastAsia" w:ascii="仿宋" w:hAnsi="仿宋" w:eastAsia="仿宋"/>
                <w:color w:val="auto"/>
                <w:sz w:val="24"/>
                <w:highlight w:val="none"/>
              </w:rPr>
              <w:t>、近三个月内任意一个月的社保缴纳证明，近一个月新成立的单位提供说明，</w:t>
            </w:r>
            <w:r>
              <w:rPr>
                <w:rFonts w:hint="eastAsia" w:ascii="仿宋" w:hAnsi="仿宋" w:eastAsia="仿宋" w:cs="宋体"/>
                <w:color w:val="auto"/>
                <w:sz w:val="24"/>
                <w:szCs w:val="24"/>
                <w:highlight w:val="none"/>
              </w:rPr>
              <w:t>复印件或扫描件，否则不得分）；</w:t>
            </w:r>
          </w:p>
          <w:p>
            <w:pPr>
              <w:pStyle w:val="5"/>
              <w:tabs>
                <w:tab w:val="left" w:pos="706"/>
              </w:tabs>
              <w:ind w:left="106"/>
              <w:rPr>
                <w:rFonts w:ascii="仿宋" w:hAnsi="仿宋" w:eastAsia="仿宋" w:cs="宋体"/>
                <w:color w:val="auto"/>
                <w:sz w:val="24"/>
                <w:szCs w:val="24"/>
                <w:highlight w:val="none"/>
              </w:rPr>
            </w:pPr>
            <w:r>
              <w:rPr>
                <w:rFonts w:hint="eastAsia" w:ascii="仿宋" w:hAnsi="仿宋" w:eastAsia="仿宋"/>
                <w:color w:val="auto"/>
                <w:sz w:val="24"/>
                <w:szCs w:val="24"/>
                <w:highlight w:val="none"/>
              </w:rPr>
              <w:t>3)</w:t>
            </w:r>
            <w:r>
              <w:rPr>
                <w:rFonts w:hint="eastAsia" w:ascii="仿宋" w:hAnsi="仿宋" w:eastAsia="仿宋" w:cs="宋体"/>
                <w:color w:val="auto"/>
                <w:sz w:val="24"/>
                <w:szCs w:val="24"/>
                <w:highlight w:val="none"/>
              </w:rPr>
              <w:t>拟投入本项目的</w:t>
            </w:r>
            <w:bookmarkStart w:id="557" w:name="_Hlk120828014"/>
            <w:r>
              <w:rPr>
                <w:rFonts w:hint="eastAsia" w:ascii="仿宋" w:hAnsi="仿宋" w:eastAsia="仿宋" w:cs="宋体"/>
                <w:color w:val="auto"/>
                <w:sz w:val="24"/>
                <w:szCs w:val="24"/>
                <w:highlight w:val="none"/>
              </w:rPr>
              <w:t>设计负责人具有建筑设计或环境艺术设计相关专业中级及以上工程师职称</w:t>
            </w:r>
            <w:bookmarkEnd w:id="557"/>
            <w:r>
              <w:rPr>
                <w:rFonts w:hint="eastAsia" w:ascii="仿宋" w:hAnsi="仿宋" w:eastAsia="仿宋" w:cs="宋体"/>
                <w:color w:val="auto"/>
                <w:sz w:val="24"/>
                <w:szCs w:val="24"/>
                <w:highlight w:val="none"/>
              </w:rPr>
              <w:t>的得</w:t>
            </w:r>
            <w:r>
              <w:rPr>
                <w:rFonts w:hint="eastAsia" w:ascii="仿宋" w:hAnsi="仿宋" w:eastAsia="仿宋"/>
                <w:color w:val="auto"/>
                <w:sz w:val="24"/>
                <w:szCs w:val="24"/>
                <w:highlight w:val="none"/>
                <w:lang w:val="en-US"/>
              </w:rPr>
              <w:t>2</w:t>
            </w:r>
            <w:r>
              <w:rPr>
                <w:rFonts w:hint="eastAsia" w:ascii="仿宋" w:hAnsi="仿宋" w:eastAsia="仿宋" w:cs="宋体"/>
                <w:color w:val="auto"/>
                <w:sz w:val="24"/>
                <w:szCs w:val="24"/>
                <w:highlight w:val="none"/>
              </w:rPr>
              <w:t>分；助理工程师职称得</w:t>
            </w:r>
            <w:r>
              <w:rPr>
                <w:rFonts w:hint="eastAsia" w:ascii="仿宋" w:hAnsi="仿宋" w:eastAsia="仿宋" w:cs="宋体"/>
                <w:color w:val="auto"/>
                <w:sz w:val="24"/>
                <w:szCs w:val="24"/>
                <w:highlight w:val="none"/>
                <w:lang w:val="en-US"/>
              </w:rPr>
              <w:t>1分，没有不得分，</w:t>
            </w:r>
            <w:r>
              <w:rPr>
                <w:rFonts w:hint="eastAsia" w:ascii="仿宋" w:hAnsi="仿宋" w:eastAsia="仿宋" w:cs="宋体"/>
                <w:color w:val="auto"/>
                <w:sz w:val="24"/>
                <w:szCs w:val="24"/>
                <w:highlight w:val="none"/>
              </w:rPr>
              <w:t>本项最高得</w:t>
            </w:r>
            <w:r>
              <w:rPr>
                <w:rFonts w:hint="eastAsia" w:ascii="仿宋" w:hAnsi="仿宋" w:eastAsia="仿宋"/>
                <w:color w:val="auto"/>
                <w:sz w:val="24"/>
                <w:szCs w:val="24"/>
                <w:highlight w:val="none"/>
                <w:lang w:val="en-US"/>
              </w:rPr>
              <w:t>2</w:t>
            </w:r>
            <w:r>
              <w:rPr>
                <w:rFonts w:hint="eastAsia" w:ascii="仿宋" w:hAnsi="仿宋" w:eastAsia="仿宋" w:cs="宋体"/>
                <w:color w:val="auto"/>
                <w:sz w:val="24"/>
                <w:szCs w:val="24"/>
                <w:highlight w:val="none"/>
              </w:rPr>
              <w:t>分；（在投标文件提供称职证书</w:t>
            </w:r>
            <w:r>
              <w:rPr>
                <w:rFonts w:hint="eastAsia" w:ascii="仿宋" w:hAnsi="仿宋" w:eastAsia="仿宋"/>
                <w:color w:val="auto"/>
                <w:sz w:val="24"/>
                <w:highlight w:val="none"/>
              </w:rPr>
              <w:t>、近三个月内任意一个月的社保缴纳证明，近一个月新成立的单位提供说明，</w:t>
            </w:r>
            <w:r>
              <w:rPr>
                <w:rFonts w:hint="eastAsia" w:ascii="仿宋" w:hAnsi="仿宋" w:eastAsia="仿宋" w:cs="宋体"/>
                <w:color w:val="auto"/>
                <w:sz w:val="24"/>
                <w:szCs w:val="24"/>
                <w:highlight w:val="none"/>
              </w:rPr>
              <w:t>复印件或扫描件，否则不得分）；</w:t>
            </w:r>
          </w:p>
          <w:p>
            <w:pPr>
              <w:spacing w:line="360" w:lineRule="auto"/>
              <w:jc w:val="left"/>
              <w:rPr>
                <w:rFonts w:ascii="仿宋" w:hAnsi="仿宋" w:eastAsia="仿宋" w:cs="宋体"/>
                <w:color w:val="auto"/>
                <w:sz w:val="24"/>
                <w:highlight w:val="none"/>
              </w:rPr>
            </w:pPr>
            <w:r>
              <w:rPr>
                <w:rFonts w:hint="eastAsia" w:ascii="仿宋" w:hAnsi="仿宋" w:eastAsia="仿宋"/>
                <w:color w:val="auto"/>
                <w:sz w:val="24"/>
                <w:highlight w:val="none"/>
              </w:rPr>
              <w:t>4</w:t>
            </w:r>
            <w:r>
              <w:rPr>
                <w:rFonts w:hint="eastAsia" w:ascii="仿宋" w:hAnsi="仿宋" w:eastAsia="仿宋" w:cs="宋体"/>
                <w:color w:val="auto"/>
                <w:sz w:val="24"/>
                <w:highlight w:val="none"/>
              </w:rPr>
              <w:t>）拟投入本项目的</w:t>
            </w:r>
            <w:bookmarkStart w:id="558" w:name="_Hlk120828044"/>
            <w:r>
              <w:rPr>
                <w:rFonts w:hint="eastAsia" w:ascii="仿宋" w:hAnsi="仿宋" w:eastAsia="仿宋" w:cs="宋体"/>
                <w:color w:val="auto"/>
                <w:sz w:val="24"/>
                <w:highlight w:val="none"/>
              </w:rPr>
              <w:t>施工负责人、技术负责人、现场管理人员都具有中级及以上工程师职称</w:t>
            </w:r>
            <w:bookmarkEnd w:id="558"/>
            <w:r>
              <w:rPr>
                <w:rFonts w:hint="eastAsia" w:ascii="仿宋" w:hAnsi="仿宋" w:eastAsia="仿宋" w:cs="宋体"/>
                <w:color w:val="auto"/>
                <w:sz w:val="24"/>
                <w:highlight w:val="none"/>
              </w:rPr>
              <w:t>的得2分；本项最高得2分；</w:t>
            </w:r>
            <w:r>
              <w:rPr>
                <w:rFonts w:hint="eastAsia" w:ascii="仿宋" w:hAnsi="仿宋" w:eastAsia="仿宋" w:cs="宋体"/>
                <w:b/>
                <w:bCs/>
                <w:color w:val="auto"/>
                <w:sz w:val="24"/>
                <w:highlight w:val="none"/>
              </w:rPr>
              <w:t>（在投标文件提供称职证书</w:t>
            </w:r>
            <w:r>
              <w:rPr>
                <w:rFonts w:hint="eastAsia" w:ascii="仿宋" w:hAnsi="仿宋" w:eastAsia="仿宋"/>
                <w:b/>
                <w:bCs/>
                <w:color w:val="auto"/>
                <w:sz w:val="24"/>
                <w:highlight w:val="none"/>
              </w:rPr>
              <w:t>、近三个月内任意一个月的社保缴纳证明，近一个月新成立的单位提供说明，</w:t>
            </w:r>
            <w:r>
              <w:rPr>
                <w:rFonts w:hint="eastAsia" w:ascii="仿宋" w:hAnsi="仿宋" w:eastAsia="仿宋" w:cs="宋体"/>
                <w:color w:val="auto"/>
                <w:sz w:val="24"/>
                <w:highlight w:val="none"/>
              </w:rPr>
              <w:t>复印件或扫描件，否则不得分）。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817" w:type="dxa"/>
            <w:vMerge w:val="restart"/>
            <w:tcBorders>
              <w:right w:val="single" w:color="auto" w:sz="4" w:space="0"/>
            </w:tcBorders>
            <w:vAlign w:val="center"/>
          </w:tcPr>
          <w:p>
            <w:pPr>
              <w:spacing w:line="360" w:lineRule="auto"/>
              <w:jc w:val="center"/>
              <w:rPr>
                <w:rFonts w:ascii="仿宋" w:hAnsi="仿宋" w:eastAsia="仿宋" w:cs="宋体"/>
                <w:b/>
                <w:bCs/>
                <w:color w:val="auto"/>
                <w:sz w:val="24"/>
                <w:highlight w:val="none"/>
              </w:rPr>
            </w:pPr>
            <w:r>
              <w:rPr>
                <w:rFonts w:ascii="仿宋" w:hAnsi="仿宋" w:eastAsia="仿宋" w:cs="宋体"/>
                <w:b/>
                <w:bCs/>
                <w:color w:val="auto"/>
                <w:sz w:val="24"/>
                <w:highlight w:val="none"/>
              </w:rPr>
              <w:t>7</w:t>
            </w:r>
            <w:r>
              <w:rPr>
                <w:rFonts w:hint="eastAsia" w:ascii="仿宋" w:hAnsi="仿宋" w:eastAsia="仿宋" w:cs="宋体"/>
                <w:b/>
                <w:bCs/>
                <w:color w:val="auto"/>
                <w:sz w:val="24"/>
                <w:highlight w:val="none"/>
              </w:rPr>
              <w:t>、商务分</w:t>
            </w:r>
          </w:p>
          <w:p>
            <w:pPr>
              <w:spacing w:line="360" w:lineRule="auto"/>
              <w:jc w:val="center"/>
              <w:rPr>
                <w:rFonts w:ascii="仿宋" w:hAnsi="仿宋" w:eastAsia="仿宋" w:cs="宋体"/>
                <w:color w:val="auto"/>
                <w:sz w:val="24"/>
                <w:highlight w:val="none"/>
              </w:rPr>
            </w:pPr>
            <w:r>
              <w:rPr>
                <w:rFonts w:hint="eastAsia" w:ascii="仿宋" w:hAnsi="仿宋" w:eastAsia="仿宋" w:cs="宋体"/>
                <w:b/>
                <w:bCs/>
                <w:color w:val="auto"/>
                <w:sz w:val="24"/>
                <w:highlight w:val="none"/>
              </w:rPr>
              <w:t>（</w:t>
            </w:r>
            <w:r>
              <w:rPr>
                <w:rFonts w:ascii="仿宋" w:hAnsi="仿宋" w:eastAsia="仿宋" w:cs="宋体"/>
                <w:b/>
                <w:bCs/>
                <w:color w:val="auto"/>
                <w:sz w:val="24"/>
                <w:highlight w:val="none"/>
              </w:rPr>
              <w:t>2</w:t>
            </w:r>
            <w:r>
              <w:rPr>
                <w:rFonts w:hint="eastAsia" w:ascii="仿宋" w:hAnsi="仿宋" w:eastAsia="仿宋" w:cs="宋体"/>
                <w:b/>
                <w:bCs/>
                <w:color w:val="auto"/>
                <w:sz w:val="24"/>
                <w:highlight w:val="none"/>
              </w:rPr>
              <w:t>分）</w:t>
            </w:r>
          </w:p>
        </w:tc>
        <w:tc>
          <w:tcPr>
            <w:tcW w:w="2047" w:type="dxa"/>
            <w:tcBorders>
              <w:left w:val="single" w:color="auto" w:sz="4" w:space="0"/>
            </w:tcBorders>
            <w:vAlign w:val="center"/>
          </w:tcPr>
          <w:p>
            <w:pPr>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（1）案例业绩</w:t>
            </w:r>
          </w:p>
        </w:tc>
        <w:tc>
          <w:tcPr>
            <w:tcW w:w="1235" w:type="dxa"/>
            <w:vAlign w:val="center"/>
          </w:tcPr>
          <w:p>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0-</w:t>
            </w:r>
            <w:r>
              <w:rPr>
                <w:rFonts w:ascii="仿宋" w:hAnsi="仿宋" w:eastAsia="仿宋" w:cs="宋体"/>
                <w:color w:val="auto"/>
                <w:sz w:val="24"/>
                <w:highlight w:val="none"/>
              </w:rPr>
              <w:t>1</w:t>
            </w:r>
            <w:r>
              <w:rPr>
                <w:rFonts w:hint="eastAsia" w:ascii="仿宋" w:hAnsi="仿宋" w:eastAsia="仿宋" w:cs="宋体"/>
                <w:color w:val="auto"/>
                <w:sz w:val="24"/>
                <w:highlight w:val="none"/>
              </w:rPr>
              <w:t>分</w:t>
            </w:r>
          </w:p>
        </w:tc>
        <w:tc>
          <w:tcPr>
            <w:tcW w:w="4668" w:type="dxa"/>
            <w:vAlign w:val="center"/>
          </w:tcPr>
          <w:p>
            <w:pPr>
              <w:pStyle w:val="35"/>
              <w:ind w:firstLine="0"/>
              <w:rPr>
                <w:rFonts w:ascii="仿宋" w:hAnsi="仿宋" w:eastAsia="仿宋" w:cs="宋体"/>
                <w:color w:val="auto"/>
                <w:highlight w:val="none"/>
              </w:rPr>
            </w:pPr>
            <w:r>
              <w:rPr>
                <w:rFonts w:hint="eastAsia" w:ascii="仿宋" w:hAnsi="仿宋" w:eastAsia="仿宋" w:cs="宋体"/>
                <w:color w:val="auto"/>
                <w:highlight w:val="none"/>
              </w:rPr>
              <w:t>自2017年1月1日（含）以来（以合同签订时间为准）承担过同类项目（文化布展设计施工一体化）成功案例的，</w:t>
            </w:r>
            <w:r>
              <w:rPr>
                <w:rFonts w:ascii="仿宋" w:hAnsi="仿宋" w:eastAsia="仿宋" w:cs="仿宋"/>
                <w:b/>
                <w:bCs/>
                <w:color w:val="auto"/>
                <w:kern w:val="3"/>
                <w:szCs w:val="21"/>
                <w:highlight w:val="none"/>
                <w:lang w:val="en-US"/>
              </w:rPr>
              <w:t>上述同类展陈项目（不含临时布展）：指档案馆、科技馆、博物馆、文物馆、展览馆、博览馆、主题馆</w:t>
            </w:r>
            <w:r>
              <w:rPr>
                <w:rFonts w:hint="eastAsia" w:ascii="仿宋" w:hAnsi="仿宋" w:cs="仿宋"/>
                <w:b/>
                <w:bCs/>
                <w:color w:val="auto"/>
                <w:kern w:val="3"/>
                <w:szCs w:val="21"/>
                <w:highlight w:val="none"/>
                <w:lang w:val="en-US"/>
              </w:rPr>
              <w:t>布展</w:t>
            </w:r>
            <w:r>
              <w:rPr>
                <w:rFonts w:ascii="仿宋" w:hAnsi="仿宋" w:eastAsia="仿宋" w:cs="仿宋"/>
                <w:b/>
                <w:bCs/>
                <w:color w:val="auto"/>
                <w:kern w:val="3"/>
                <w:szCs w:val="21"/>
                <w:highlight w:val="none"/>
                <w:lang w:val="en-US"/>
              </w:rPr>
              <w:t>（或设计</w:t>
            </w:r>
            <w:r>
              <w:rPr>
                <w:rFonts w:hint="eastAsia" w:ascii="仿宋" w:hAnsi="仿宋" w:cs="仿宋"/>
                <w:b/>
                <w:bCs/>
                <w:color w:val="auto"/>
                <w:kern w:val="3"/>
                <w:szCs w:val="21"/>
                <w:highlight w:val="none"/>
                <w:lang w:val="en-US"/>
              </w:rPr>
              <w:t>布展</w:t>
            </w:r>
            <w:r>
              <w:rPr>
                <w:rFonts w:ascii="仿宋" w:hAnsi="仿宋" w:eastAsia="仿宋" w:cs="仿宋"/>
                <w:b/>
                <w:bCs/>
                <w:color w:val="auto"/>
                <w:kern w:val="3"/>
                <w:szCs w:val="21"/>
                <w:highlight w:val="none"/>
                <w:lang w:val="en-US"/>
              </w:rPr>
              <w:t>一体化）的项目。</w:t>
            </w:r>
            <w:r>
              <w:rPr>
                <w:rFonts w:hint="eastAsia" w:ascii="仿宋" w:hAnsi="仿宋" w:eastAsia="仿宋" w:cs="宋体"/>
                <w:color w:val="auto"/>
                <w:highlight w:val="none"/>
              </w:rPr>
              <w:t>每个得</w:t>
            </w:r>
            <w:r>
              <w:rPr>
                <w:rFonts w:ascii="仿宋" w:hAnsi="仿宋" w:eastAsia="仿宋" w:cs="宋体"/>
                <w:color w:val="auto"/>
                <w:highlight w:val="none"/>
                <w:lang w:val="en-US"/>
              </w:rPr>
              <w:t>0.5</w:t>
            </w:r>
            <w:r>
              <w:rPr>
                <w:rFonts w:hint="eastAsia" w:ascii="仿宋" w:hAnsi="仿宋" w:eastAsia="仿宋" w:cs="宋体"/>
                <w:color w:val="auto"/>
                <w:highlight w:val="none"/>
              </w:rPr>
              <w:t>分，最高得</w:t>
            </w:r>
            <w:r>
              <w:rPr>
                <w:rFonts w:ascii="仿宋" w:hAnsi="仿宋" w:eastAsia="仿宋" w:cs="宋体"/>
                <w:color w:val="auto"/>
                <w:highlight w:val="none"/>
                <w:lang w:val="en-US"/>
              </w:rPr>
              <w:t>1</w:t>
            </w:r>
            <w:r>
              <w:rPr>
                <w:rFonts w:hint="eastAsia" w:ascii="仿宋" w:hAnsi="仿宋" w:eastAsia="仿宋" w:cs="宋体"/>
                <w:color w:val="auto"/>
                <w:highlight w:val="none"/>
              </w:rPr>
              <w:t>分。</w:t>
            </w:r>
            <w:r>
              <w:rPr>
                <w:rFonts w:hint="eastAsia" w:ascii="仿宋" w:hAnsi="仿宋" w:eastAsia="仿宋" w:cs="宋体"/>
                <w:b/>
                <w:bCs/>
                <w:color w:val="auto"/>
                <w:highlight w:val="none"/>
              </w:rPr>
              <w:t>（</w:t>
            </w:r>
            <w:r>
              <w:rPr>
                <w:rFonts w:hint="eastAsia" w:ascii="仿宋" w:hAnsi="仿宋" w:eastAsia="仿宋" w:cs="仿宋"/>
                <w:b/>
                <w:bCs/>
                <w:color w:val="auto"/>
                <w:szCs w:val="21"/>
                <w:highlight w:val="none"/>
              </w:rPr>
              <w:t>同时提供中标通知书、</w:t>
            </w:r>
            <w:r>
              <w:rPr>
                <w:rFonts w:hint="eastAsia" w:ascii="仿宋" w:hAnsi="仿宋" w:eastAsia="仿宋" w:cs="宋体"/>
                <w:b/>
                <w:bCs/>
                <w:color w:val="auto"/>
                <w:highlight w:val="none"/>
              </w:rPr>
              <w:t>合同扫描件</w:t>
            </w:r>
            <w:r>
              <w:rPr>
                <w:rFonts w:hint="eastAsia" w:ascii="仿宋" w:hAnsi="仿宋" w:eastAsia="仿宋" w:cs="仿宋"/>
                <w:b/>
                <w:bCs/>
                <w:color w:val="auto"/>
                <w:szCs w:val="21"/>
                <w:highlight w:val="none"/>
              </w:rPr>
              <w:t>，</w:t>
            </w:r>
            <w:r>
              <w:rPr>
                <w:rFonts w:hint="eastAsia" w:ascii="仿宋" w:hAnsi="仿宋" w:eastAsia="仿宋" w:cs="宋体"/>
                <w:b/>
                <w:bCs/>
                <w:color w:val="auto"/>
                <w:highlight w:val="none"/>
              </w:rPr>
              <w:t>加盖公章，未提供不得分）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817" w:type="dxa"/>
            <w:vMerge w:val="continue"/>
            <w:tcBorders>
              <w:right w:val="single" w:color="auto" w:sz="4" w:space="0"/>
            </w:tcBorders>
            <w:vAlign w:val="center"/>
          </w:tcPr>
          <w:p>
            <w:pPr>
              <w:spacing w:line="360" w:lineRule="auto"/>
              <w:jc w:val="center"/>
              <w:rPr>
                <w:rFonts w:ascii="仿宋" w:hAnsi="仿宋" w:eastAsia="仿宋" w:cs="宋体"/>
                <w:color w:val="auto"/>
                <w:sz w:val="24"/>
                <w:highlight w:val="none"/>
              </w:rPr>
            </w:pPr>
          </w:p>
        </w:tc>
        <w:tc>
          <w:tcPr>
            <w:tcW w:w="2047" w:type="dxa"/>
            <w:tcBorders>
              <w:left w:val="single" w:color="auto" w:sz="4" w:space="0"/>
            </w:tcBorders>
            <w:vAlign w:val="center"/>
          </w:tcPr>
          <w:p>
            <w:pPr>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2</w:t>
            </w:r>
            <w:r>
              <w:rPr>
                <w:rFonts w:hint="eastAsia" w:ascii="仿宋" w:hAnsi="仿宋" w:eastAsia="仿宋" w:cs="宋体"/>
                <w:color w:val="auto"/>
                <w:sz w:val="24"/>
                <w:highlight w:val="none"/>
              </w:rPr>
              <w:t>）售后服务情况</w:t>
            </w:r>
          </w:p>
        </w:tc>
        <w:tc>
          <w:tcPr>
            <w:tcW w:w="1235" w:type="dxa"/>
            <w:vAlign w:val="center"/>
          </w:tcPr>
          <w:p>
            <w:pPr>
              <w:spacing w:line="360" w:lineRule="auto"/>
              <w:jc w:val="center"/>
              <w:rPr>
                <w:rFonts w:ascii="仿宋" w:hAnsi="仿宋" w:eastAsia="仿宋" w:cs="宋体"/>
                <w:color w:val="auto"/>
                <w:sz w:val="24"/>
                <w:highlight w:val="none"/>
              </w:rPr>
            </w:pPr>
            <w:r>
              <w:rPr>
                <w:rFonts w:ascii="仿宋" w:hAnsi="仿宋" w:eastAsia="仿宋" w:cs="宋体"/>
                <w:color w:val="auto"/>
                <w:sz w:val="24"/>
                <w:highlight w:val="none"/>
              </w:rPr>
              <w:t>0</w:t>
            </w:r>
            <w:r>
              <w:rPr>
                <w:rFonts w:hint="eastAsia" w:ascii="仿宋" w:hAnsi="仿宋" w:eastAsia="仿宋" w:cs="宋体"/>
                <w:color w:val="auto"/>
                <w:sz w:val="24"/>
                <w:highlight w:val="none"/>
              </w:rPr>
              <w:t>-1分</w:t>
            </w:r>
          </w:p>
        </w:tc>
        <w:tc>
          <w:tcPr>
            <w:tcW w:w="4668" w:type="dxa"/>
            <w:vAlign w:val="center"/>
          </w:tcPr>
          <w:p>
            <w:pPr>
              <w:spacing w:line="360" w:lineRule="auto"/>
              <w:jc w:val="left"/>
              <w:rPr>
                <w:rFonts w:ascii="仿宋" w:hAnsi="仿宋" w:eastAsia="仿宋" w:cs="宋体"/>
                <w:color w:val="auto"/>
                <w:sz w:val="24"/>
                <w:highlight w:val="none"/>
              </w:rPr>
            </w:pPr>
            <w:r>
              <w:rPr>
                <w:rFonts w:hint="eastAsia" w:ascii="仿宋" w:hAnsi="仿宋" w:eastAsia="仿宋"/>
                <w:color w:val="auto"/>
                <w:sz w:val="24"/>
                <w:highlight w:val="none"/>
              </w:rPr>
              <w:t>投标人对项目售后服务方案：针对本项目及采购人实际需求提供明确、详细、具体、可行的服务方案得1分；针对本项目及采购人实际需求提供较为明确、详细、具体、可行的服务方案得0.5分；针对本项目及采购人实际需求提供的服务方案不够明确、详细、具体、可行得0.2分；方案不合理或未提供方案不得分。</w:t>
            </w:r>
          </w:p>
        </w:tc>
      </w:tr>
    </w:tbl>
    <w:p>
      <w:pPr>
        <w:rPr>
          <w:color w:val="auto"/>
          <w:highlight w:val="none"/>
        </w:rPr>
      </w:pPr>
    </w:p>
    <w:bookmarkEnd w:id="550"/>
    <w:p>
      <w:pPr>
        <w:pStyle w:val="5"/>
        <w:rPr>
          <w:rFonts w:ascii="仿宋" w:hAnsi="仿宋" w:eastAsia="仿宋"/>
          <w:color w:val="auto"/>
          <w:sz w:val="24"/>
          <w:szCs w:val="24"/>
          <w:highlight w:val="none"/>
        </w:rPr>
      </w:pPr>
      <w:bookmarkStart w:id="559" w:name="_Toc1093136946"/>
      <w:bookmarkStart w:id="560" w:name="_Toc31395"/>
      <w:bookmarkStart w:id="561" w:name="_Toc14521"/>
      <w:r>
        <w:rPr>
          <w:rFonts w:hint="eastAsia" w:ascii="仿宋" w:hAnsi="仿宋" w:eastAsia="仿宋"/>
          <w:color w:val="auto"/>
          <w:sz w:val="24"/>
          <w:szCs w:val="24"/>
          <w:highlight w:val="none"/>
        </w:rPr>
        <w:t>一、评标方法</w:t>
      </w:r>
      <w:bookmarkEnd w:id="551"/>
      <w:bookmarkEnd w:id="552"/>
      <w:bookmarkEnd w:id="553"/>
      <w:bookmarkEnd w:id="554"/>
      <w:bookmarkEnd w:id="559"/>
      <w:bookmarkEnd w:id="560"/>
      <w:bookmarkEnd w:id="561"/>
    </w:p>
    <w:p>
      <w:pPr>
        <w:snapToGrid w:val="0"/>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1.</w:t>
      </w:r>
      <w:r>
        <w:rPr>
          <w:rFonts w:hint="eastAsia" w:ascii="仿宋" w:hAnsi="仿宋" w:eastAsia="仿宋" w:cs="Arial"/>
          <w:b/>
          <w:color w:val="auto"/>
          <w:kern w:val="0"/>
          <w:sz w:val="24"/>
          <w:highlight w:val="none"/>
        </w:rPr>
        <w:t>本项目采用综合评分法。</w:t>
      </w:r>
      <w:r>
        <w:rPr>
          <w:rFonts w:hint="eastAsia" w:ascii="仿宋" w:hAnsi="仿宋" w:eastAsia="仿宋" w:cs="Arial"/>
          <w:color w:val="auto"/>
          <w:kern w:val="0"/>
          <w:sz w:val="24"/>
          <w:highlight w:val="none"/>
        </w:rPr>
        <w:t>综合评分法，是指投标文件满足采购文件全部实质性要求，且按照评审因素的量化指标评审得分最高的供应商为中标候选人的评标方法。</w:t>
      </w:r>
    </w:p>
    <w:p>
      <w:pPr>
        <w:pStyle w:val="5"/>
        <w:rPr>
          <w:rFonts w:ascii="仿宋" w:hAnsi="仿宋" w:eastAsia="仿宋"/>
          <w:color w:val="auto"/>
          <w:highlight w:val="none"/>
        </w:rPr>
      </w:pPr>
      <w:bookmarkStart w:id="562" w:name="_Toc31436"/>
      <w:bookmarkStart w:id="563" w:name="_Toc95312985"/>
      <w:bookmarkStart w:id="564" w:name="_Toc84016186"/>
      <w:bookmarkStart w:id="565" w:name="_Toc4348"/>
      <w:bookmarkStart w:id="566" w:name="_Toc1143"/>
      <w:bookmarkStart w:id="567" w:name="_Toc12617"/>
      <w:bookmarkStart w:id="568" w:name="_Toc832442476"/>
      <w:r>
        <w:rPr>
          <w:rFonts w:hint="eastAsia" w:ascii="仿宋" w:hAnsi="仿宋" w:eastAsia="仿宋"/>
          <w:color w:val="auto"/>
          <w:highlight w:val="none"/>
        </w:rPr>
        <w:t>二、评标标准</w:t>
      </w:r>
      <w:bookmarkEnd w:id="562"/>
      <w:bookmarkEnd w:id="563"/>
      <w:bookmarkEnd w:id="564"/>
      <w:bookmarkEnd w:id="565"/>
      <w:bookmarkEnd w:id="566"/>
      <w:bookmarkEnd w:id="567"/>
      <w:bookmarkEnd w:id="568"/>
    </w:p>
    <w:p>
      <w:pPr>
        <w:snapToGrid w:val="0"/>
        <w:spacing w:line="360" w:lineRule="auto"/>
        <w:ind w:firstLine="472" w:firstLineChars="196"/>
        <w:rPr>
          <w:rFonts w:ascii="仿宋" w:hAnsi="仿宋" w:eastAsia="仿宋" w:cs="仿宋_GB2312"/>
          <w:b/>
          <w:color w:val="auto"/>
          <w:sz w:val="24"/>
          <w:highlight w:val="none"/>
        </w:rPr>
      </w:pPr>
      <w:r>
        <w:rPr>
          <w:rFonts w:ascii="仿宋" w:hAnsi="仿宋" w:eastAsia="仿宋" w:cs="仿宋_GB2312"/>
          <w:b/>
          <w:color w:val="auto"/>
          <w:sz w:val="24"/>
          <w:highlight w:val="none"/>
        </w:rPr>
        <w:t>2.</w:t>
      </w:r>
      <w:r>
        <w:rPr>
          <w:rFonts w:ascii="仿宋" w:hAnsi="仿宋" w:eastAsia="仿宋"/>
          <w:color w:val="auto"/>
          <w:highlight w:val="none"/>
        </w:rPr>
        <w:t xml:space="preserve"> </w:t>
      </w:r>
      <w:r>
        <w:rPr>
          <w:rFonts w:hint="eastAsia" w:ascii="仿宋" w:hAnsi="仿宋" w:eastAsia="仿宋" w:cs="仿宋_GB2312"/>
          <w:b/>
          <w:color w:val="auto"/>
          <w:sz w:val="24"/>
          <w:highlight w:val="none"/>
        </w:rPr>
        <w:t>评标标准：</w:t>
      </w:r>
      <w:r>
        <w:rPr>
          <w:rFonts w:hint="eastAsia" w:ascii="仿宋" w:hAnsi="仿宋" w:eastAsia="仿宋" w:cs="Arial"/>
          <w:color w:val="auto"/>
          <w:kern w:val="0"/>
          <w:sz w:val="24"/>
          <w:highlight w:val="none"/>
        </w:rPr>
        <w:t>见评标办法前附表。</w:t>
      </w:r>
    </w:p>
    <w:p>
      <w:pPr>
        <w:pStyle w:val="5"/>
        <w:rPr>
          <w:rFonts w:ascii="仿宋" w:hAnsi="仿宋" w:eastAsia="仿宋"/>
          <w:color w:val="auto"/>
          <w:highlight w:val="none"/>
        </w:rPr>
      </w:pPr>
      <w:bookmarkStart w:id="569" w:name="_Toc9072"/>
      <w:bookmarkStart w:id="570" w:name="_Toc19750"/>
      <w:bookmarkStart w:id="571" w:name="_Toc5707"/>
      <w:bookmarkStart w:id="572" w:name="_Toc95312986"/>
      <w:bookmarkStart w:id="573" w:name="_Toc669"/>
      <w:bookmarkStart w:id="574" w:name="_Toc1163282023"/>
      <w:bookmarkStart w:id="575" w:name="_Toc2047553522"/>
      <w:r>
        <w:rPr>
          <w:rFonts w:hint="eastAsia" w:ascii="仿宋" w:hAnsi="仿宋" w:eastAsia="仿宋"/>
          <w:color w:val="auto"/>
          <w:highlight w:val="none"/>
        </w:rPr>
        <w:t>三、评标程序</w:t>
      </w:r>
      <w:bookmarkEnd w:id="569"/>
      <w:bookmarkEnd w:id="570"/>
      <w:bookmarkEnd w:id="571"/>
      <w:bookmarkEnd w:id="572"/>
      <w:bookmarkEnd w:id="573"/>
      <w:bookmarkEnd w:id="574"/>
      <w:bookmarkEnd w:id="575"/>
    </w:p>
    <w:p>
      <w:pPr>
        <w:snapToGrid w:val="0"/>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3.1符合性审查。</w:t>
      </w:r>
      <w:r>
        <w:rPr>
          <w:rFonts w:ascii="仿宋" w:hAnsi="仿宋" w:eastAsia="仿宋" w:cs="Arial"/>
          <w:color w:val="auto"/>
          <w:kern w:val="0"/>
          <w:sz w:val="24"/>
          <w:highlight w:val="none"/>
        </w:rPr>
        <w:t>评标委员会应当对符合资格的</w:t>
      </w:r>
      <w:r>
        <w:rPr>
          <w:rFonts w:hint="eastAsia" w:ascii="仿宋" w:hAnsi="仿宋" w:eastAsia="仿宋" w:cs="Arial"/>
          <w:color w:val="auto"/>
          <w:kern w:val="0"/>
          <w:sz w:val="24"/>
          <w:highlight w:val="none"/>
        </w:rPr>
        <w:t>投标人</w:t>
      </w:r>
      <w:r>
        <w:rPr>
          <w:rFonts w:ascii="仿宋" w:hAnsi="仿宋" w:eastAsia="仿宋" w:cs="Arial"/>
          <w:color w:val="auto"/>
          <w:kern w:val="0"/>
          <w:sz w:val="24"/>
          <w:highlight w:val="none"/>
        </w:rPr>
        <w:t>的投标文件进行符合性审查，以确定其是否满足采购文件的实质性要求。</w:t>
      </w:r>
      <w:r>
        <w:rPr>
          <w:rFonts w:hint="eastAsia" w:ascii="仿宋" w:hAnsi="仿宋" w:eastAsia="仿宋" w:cs="Arial"/>
          <w:color w:val="auto"/>
          <w:kern w:val="0"/>
          <w:sz w:val="24"/>
          <w:highlight w:val="none"/>
        </w:rPr>
        <w:t>不</w:t>
      </w:r>
      <w:r>
        <w:rPr>
          <w:rFonts w:ascii="仿宋" w:hAnsi="仿宋" w:eastAsia="仿宋" w:cs="Arial"/>
          <w:color w:val="auto"/>
          <w:kern w:val="0"/>
          <w:sz w:val="24"/>
          <w:highlight w:val="none"/>
        </w:rPr>
        <w:t>满足采购文件的实质性要求</w:t>
      </w:r>
      <w:r>
        <w:rPr>
          <w:rFonts w:hint="eastAsia" w:ascii="仿宋" w:hAnsi="仿宋" w:eastAsia="仿宋" w:cs="Arial"/>
          <w:color w:val="auto"/>
          <w:kern w:val="0"/>
          <w:sz w:val="24"/>
          <w:highlight w:val="none"/>
        </w:rPr>
        <w:t>的，投标无效。</w:t>
      </w:r>
    </w:p>
    <w:p>
      <w:pPr>
        <w:snapToGrid w:val="0"/>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 xml:space="preserve">3.2 </w:t>
      </w:r>
      <w:r>
        <w:rPr>
          <w:rFonts w:hint="eastAsia" w:ascii="仿宋" w:hAnsi="仿宋" w:eastAsia="仿宋" w:cs="Arial"/>
          <w:b/>
          <w:color w:val="auto"/>
          <w:kern w:val="0"/>
          <w:sz w:val="24"/>
          <w:highlight w:val="none"/>
        </w:rPr>
        <w:t>比较与评价。</w:t>
      </w:r>
      <w:r>
        <w:rPr>
          <w:rFonts w:ascii="仿宋" w:hAnsi="仿宋" w:eastAsia="仿宋" w:cs="Arial"/>
          <w:color w:val="auto"/>
          <w:kern w:val="0"/>
          <w:sz w:val="24"/>
          <w:highlight w:val="none"/>
        </w:rPr>
        <w:t>评标委员会应当按照采购文件中规定的评标方法和标准，对符合性审查合格的投标文件进行商务和技术评估，综合比较与评价。</w:t>
      </w:r>
    </w:p>
    <w:p>
      <w:pPr>
        <w:snapToGrid w:val="0"/>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3.3汇总商务技术得分。</w:t>
      </w:r>
      <w:r>
        <w:rPr>
          <w:rFonts w:hint="eastAsia" w:ascii="仿宋" w:hAnsi="仿宋" w:eastAsia="仿宋" w:cs="Arial"/>
          <w:color w:val="auto"/>
          <w:kern w:val="0"/>
          <w:sz w:val="24"/>
          <w:highlight w:val="none"/>
        </w:rPr>
        <w:t>评标委员会各成员应当独立对每个投标人的商务和技术文件进行评价，并汇总商务技术得分情况。</w:t>
      </w:r>
    </w:p>
    <w:p>
      <w:pPr>
        <w:snapToGrid w:val="0"/>
        <w:spacing w:line="360" w:lineRule="auto"/>
        <w:ind w:firstLine="472" w:firstLineChars="196"/>
        <w:rPr>
          <w:rFonts w:ascii="仿宋" w:hAnsi="仿宋" w:eastAsia="仿宋" w:cs="Arial"/>
          <w:b/>
          <w:color w:val="auto"/>
          <w:kern w:val="0"/>
          <w:sz w:val="24"/>
          <w:highlight w:val="none"/>
        </w:rPr>
      </w:pPr>
      <w:r>
        <w:rPr>
          <w:rFonts w:ascii="仿宋" w:hAnsi="仿宋" w:eastAsia="仿宋" w:cs="Arial"/>
          <w:b/>
          <w:color w:val="auto"/>
          <w:kern w:val="0"/>
          <w:sz w:val="24"/>
          <w:highlight w:val="none"/>
        </w:rPr>
        <w:t>3.4报价评审。</w:t>
      </w:r>
    </w:p>
    <w:p>
      <w:pPr>
        <w:pStyle w:val="111"/>
        <w:snapToGrid w:val="0"/>
        <w:spacing w:before="0"/>
        <w:ind w:firstLine="508" w:firstLineChars="212"/>
        <w:rPr>
          <w:rFonts w:ascii="仿宋" w:hAnsi="仿宋" w:eastAsia="仿宋" w:cs="Arial"/>
          <w:color w:val="auto"/>
          <w:kern w:val="0"/>
          <w:highlight w:val="none"/>
        </w:rPr>
      </w:pPr>
      <w:r>
        <w:rPr>
          <w:rFonts w:ascii="仿宋" w:hAnsi="仿宋" w:eastAsia="仿宋" w:cs="Arial"/>
          <w:color w:val="auto"/>
          <w:kern w:val="0"/>
          <w:highlight w:val="none"/>
        </w:rPr>
        <w:t>3.4.1投标文件报价出现前后不一致的，按照下列规定修正：</w:t>
      </w:r>
    </w:p>
    <w:p>
      <w:pPr>
        <w:pStyle w:val="11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w:t>
      </w:r>
      <w:r>
        <w:rPr>
          <w:rFonts w:hint="eastAsia" w:ascii="仿宋" w:hAnsi="仿宋" w:eastAsia="仿宋" w:cs="仿宋"/>
          <w:color w:val="auto"/>
          <w:kern w:val="0"/>
          <w:szCs w:val="24"/>
          <w:highlight w:val="none"/>
        </w:rPr>
        <w:t>投标文件中开标一览表（报价表）内容与投标文件中相应内容不一致的，以开标一览表（报价表）为准；</w:t>
      </w:r>
    </w:p>
    <w:p>
      <w:pPr>
        <w:pStyle w:val="11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11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11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r>
        <w:rPr>
          <w:rFonts w:hint="eastAsia" w:ascii="仿宋" w:hAnsi="仿宋" w:eastAsia="仿宋" w:cs="仿宋"/>
          <w:color w:val="auto"/>
          <w:kern w:val="0"/>
          <w:szCs w:val="24"/>
          <w:highlight w:val="none"/>
        </w:rPr>
        <w:t>：</w:t>
      </w:r>
    </w:p>
    <w:p>
      <w:pPr>
        <w:pStyle w:val="11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投标报价超过采购文件中规定的预算金额或者最高限价的，投标无效。</w:t>
      </w:r>
    </w:p>
    <w:p>
      <w:pPr>
        <w:pStyle w:val="11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w:t>
      </w:r>
      <w:r>
        <w:rPr>
          <w:rFonts w:hint="eastAsia" w:ascii="仿宋" w:hAnsi="仿宋" w:eastAsia="仿宋" w:cs="仿宋"/>
          <w:color w:val="auto"/>
          <w:kern w:val="0"/>
          <w:szCs w:val="24"/>
          <w:highlight w:val="none"/>
        </w:rPr>
        <w:t xml:space="preserve"> 投标人</w:t>
      </w:r>
      <w:r>
        <w:rPr>
          <w:rFonts w:ascii="仿宋" w:hAnsi="仿宋" w:eastAsia="仿宋" w:cs="仿宋"/>
          <w:color w:val="auto"/>
          <w:kern w:val="0"/>
          <w:szCs w:val="24"/>
          <w:highlight w:val="none"/>
        </w:rPr>
        <w:t>不能证明其报价合理性的，评标委员会应当将其作为无效投标处理。</w:t>
      </w:r>
    </w:p>
    <w:p>
      <w:pPr>
        <w:pStyle w:val="11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szCs w:val="24"/>
          <w:highlight w:val="none"/>
        </w:rPr>
        <w:t>20%的扣除，用扣除后的价格参与评审。接受大中型企业与小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30%以上的，对联合体或者大中型企业的报价给予6%的扣除，用扣除后的价格参加评审。组成联合体或者接受分包的小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napToGrid w:val="0"/>
        <w:spacing w:line="360" w:lineRule="auto"/>
        <w:ind w:firstLine="482" w:firstLineChars="200"/>
        <w:rPr>
          <w:rFonts w:ascii="仿宋" w:hAnsi="仿宋" w:eastAsia="仿宋" w:cs="Arial"/>
          <w:b/>
          <w:color w:val="auto"/>
          <w:kern w:val="0"/>
          <w:sz w:val="24"/>
          <w:highlight w:val="none"/>
        </w:rPr>
      </w:pPr>
      <w:r>
        <w:rPr>
          <w:rFonts w:ascii="仿宋" w:hAnsi="仿宋" w:eastAsia="仿宋" w:cs="Arial"/>
          <w:b/>
          <w:color w:val="auto"/>
          <w:kern w:val="0"/>
          <w:sz w:val="24"/>
          <w:highlight w:val="none"/>
        </w:rPr>
        <w:t>3.5</w:t>
      </w:r>
      <w:r>
        <w:rPr>
          <w:rFonts w:hint="eastAsia" w:ascii="仿宋" w:hAnsi="仿宋" w:eastAsia="仿宋" w:cs="Arial"/>
          <w:b/>
          <w:color w:val="auto"/>
          <w:kern w:val="0"/>
          <w:sz w:val="24"/>
          <w:highlight w:val="none"/>
        </w:rPr>
        <w:t>排序与推荐。</w:t>
      </w:r>
    </w:p>
    <w:p>
      <w:pPr>
        <w:snapToGrid w:val="0"/>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w:t>
      </w:r>
      <w:r>
        <w:rPr>
          <w:rFonts w:hint="eastAsia" w:ascii="仿宋" w:hAnsi="仿宋" w:eastAsia="仿宋" w:cs="仿宋"/>
          <w:color w:val="auto"/>
          <w:kern w:val="0"/>
          <w:highlight w:val="none"/>
        </w:rPr>
        <w:t>投标人</w:t>
      </w:r>
      <w:r>
        <w:rPr>
          <w:rFonts w:ascii="仿宋" w:hAnsi="仿宋" w:eastAsia="仿宋" w:cs="Arial"/>
          <w:color w:val="auto"/>
          <w:kern w:val="0"/>
          <w:sz w:val="24"/>
          <w:highlight w:val="none"/>
        </w:rPr>
        <w:t>为排名第一的中标候选人</w:t>
      </w:r>
      <w:r>
        <w:rPr>
          <w:rFonts w:hint="eastAsia" w:ascii="仿宋" w:hAnsi="仿宋" w:eastAsia="仿宋" w:cs="Arial"/>
          <w:color w:val="auto"/>
          <w:kern w:val="0"/>
          <w:sz w:val="24"/>
          <w:highlight w:val="none"/>
        </w:rPr>
        <w:t>。</w:t>
      </w:r>
    </w:p>
    <w:p>
      <w:pPr>
        <w:snapToGrid w:val="0"/>
        <w:spacing w:line="360" w:lineRule="auto"/>
        <w:ind w:firstLine="420"/>
        <w:rPr>
          <w:rFonts w:ascii="仿宋" w:hAnsi="仿宋" w:eastAsia="仿宋" w:cs="Arial"/>
          <w:b/>
          <w:color w:val="auto"/>
          <w:kern w:val="0"/>
          <w:sz w:val="24"/>
          <w:highlight w:val="none"/>
        </w:rPr>
      </w:pPr>
      <w:r>
        <w:rPr>
          <w:rFonts w:hint="eastAsia" w:ascii="仿宋" w:hAnsi="仿宋" w:eastAsia="仿宋"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line="360" w:lineRule="auto"/>
        <w:ind w:firstLine="472" w:firstLineChars="196"/>
        <w:rPr>
          <w:rFonts w:ascii="仿宋" w:hAnsi="仿宋" w:eastAsia="仿宋" w:cs="Arial"/>
          <w:b/>
          <w:color w:val="auto"/>
          <w:kern w:val="0"/>
          <w:sz w:val="24"/>
          <w:highlight w:val="none"/>
        </w:rPr>
      </w:pPr>
      <w:r>
        <w:rPr>
          <w:rFonts w:ascii="仿宋" w:hAnsi="仿宋" w:eastAsia="仿宋" w:cs="Arial"/>
          <w:b/>
          <w:color w:val="auto"/>
          <w:kern w:val="0"/>
          <w:sz w:val="24"/>
          <w:highlight w:val="none"/>
        </w:rPr>
        <w:t>3.6编写评标报告。</w:t>
      </w:r>
    </w:p>
    <w:p>
      <w:pPr>
        <w:snapToGrid w:val="0"/>
        <w:spacing w:line="360" w:lineRule="auto"/>
        <w:ind w:firstLine="470" w:firstLineChars="196"/>
        <w:rPr>
          <w:rFonts w:ascii="仿宋" w:hAnsi="仿宋" w:eastAsia="仿宋" w:cs="Arial"/>
          <w:color w:val="auto"/>
          <w:kern w:val="0"/>
          <w:sz w:val="24"/>
          <w:highlight w:val="none"/>
        </w:rPr>
      </w:pPr>
      <w:r>
        <w:rPr>
          <w:rFonts w:ascii="仿宋" w:hAnsi="仿宋" w:eastAsia="仿宋" w:cs="Arial"/>
          <w:color w:val="auto"/>
          <w:kern w:val="0"/>
          <w:sz w:val="24"/>
          <w:highlight w:val="none"/>
        </w:rPr>
        <w:t>评标委员会根据全体评标成员签字的原始评标记录和评标结果编写评标报告。</w:t>
      </w:r>
      <w:r>
        <w:rPr>
          <w:rFonts w:hint="eastAsia" w:ascii="仿宋" w:hAnsi="仿宋" w:eastAsia="仿宋"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Style w:val="5"/>
        <w:rPr>
          <w:rFonts w:ascii="仿宋" w:hAnsi="仿宋" w:eastAsia="仿宋"/>
          <w:color w:val="auto"/>
          <w:highlight w:val="none"/>
        </w:rPr>
      </w:pPr>
      <w:bookmarkStart w:id="576" w:name="_Toc589838273"/>
      <w:bookmarkStart w:id="577" w:name="_Toc27289"/>
      <w:bookmarkStart w:id="578" w:name="_Toc1208988281"/>
      <w:bookmarkStart w:id="579" w:name="_Toc3708"/>
      <w:bookmarkStart w:id="580" w:name="_Toc15316"/>
      <w:bookmarkStart w:id="581" w:name="_Toc27172"/>
      <w:bookmarkStart w:id="582" w:name="_Toc95312987"/>
      <w:r>
        <w:rPr>
          <w:rFonts w:hint="eastAsia" w:ascii="仿宋" w:hAnsi="仿宋" w:eastAsia="仿宋"/>
          <w:color w:val="auto"/>
          <w:highlight w:val="none"/>
        </w:rPr>
        <w:t>四、评标中的其他事项</w:t>
      </w:r>
      <w:bookmarkEnd w:id="576"/>
      <w:bookmarkEnd w:id="577"/>
      <w:bookmarkEnd w:id="578"/>
      <w:bookmarkEnd w:id="579"/>
      <w:bookmarkEnd w:id="580"/>
      <w:bookmarkEnd w:id="581"/>
      <w:bookmarkEnd w:id="582"/>
    </w:p>
    <w:p>
      <w:pPr>
        <w:pStyle w:val="111"/>
        <w:snapToGrid w:val="0"/>
        <w:spacing w:before="0"/>
        <w:ind w:firstLine="472" w:firstLineChars="196"/>
        <w:rPr>
          <w:rFonts w:ascii="仿宋" w:hAnsi="仿宋" w:eastAsia="仿宋" w:cs="Arial"/>
          <w:b/>
          <w:color w:val="auto"/>
          <w:kern w:val="0"/>
          <w:szCs w:val="24"/>
          <w:highlight w:val="none"/>
        </w:rPr>
      </w:pPr>
      <w:r>
        <w:rPr>
          <w:rFonts w:ascii="仿宋" w:hAnsi="仿宋" w:eastAsia="仿宋" w:cs="Arial"/>
          <w:b/>
          <w:color w:val="auto"/>
          <w:kern w:val="0"/>
          <w:szCs w:val="24"/>
          <w:highlight w:val="none"/>
        </w:rPr>
        <w:t>4.1</w:t>
      </w:r>
      <w:r>
        <w:rPr>
          <w:rFonts w:hint="eastAsia" w:ascii="仿宋" w:hAnsi="仿宋" w:eastAsia="仿宋" w:cs="Arial"/>
          <w:b/>
          <w:color w:val="auto"/>
          <w:kern w:val="0"/>
          <w:szCs w:val="24"/>
          <w:highlight w:val="none"/>
        </w:rPr>
        <w:t>投标人澄清、说明或者补正。</w:t>
      </w:r>
    </w:p>
    <w:p>
      <w:pPr>
        <w:pStyle w:val="111"/>
        <w:snapToGrid w:val="0"/>
        <w:spacing w:before="0"/>
        <w:ind w:firstLine="470" w:firstLineChars="196"/>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11"/>
        <w:snapToGrid w:val="0"/>
        <w:spacing w:before="0"/>
        <w:ind w:firstLine="472" w:firstLineChars="196"/>
        <w:rPr>
          <w:rFonts w:ascii="仿宋" w:hAnsi="仿宋" w:eastAsia="仿宋" w:cs="仿宋_GB2312"/>
          <w:color w:val="auto"/>
          <w:szCs w:val="21"/>
          <w:highlight w:val="none"/>
        </w:rPr>
      </w:pPr>
      <w:r>
        <w:rPr>
          <w:rFonts w:ascii="仿宋" w:hAnsi="仿宋" w:eastAsia="仿宋" w:cs="Arial"/>
          <w:b/>
          <w:color w:val="auto"/>
          <w:kern w:val="0"/>
          <w:highlight w:val="none"/>
        </w:rPr>
        <w:t>4.2投标无效。</w:t>
      </w:r>
      <w:r>
        <w:rPr>
          <w:rFonts w:hint="eastAsia" w:ascii="仿宋" w:hAnsi="仿宋" w:eastAsia="仿宋" w:cs="仿宋_GB2312"/>
          <w:color w:val="auto"/>
          <w:szCs w:val="21"/>
          <w:highlight w:val="none"/>
        </w:rPr>
        <w:t>有下列情况之一的，投标无效：</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不具备采购文件中规定的资格要求的（</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未提供有效的资格文件的，视为</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不具备采购文件中规定的资格要求）；</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4.2.2投标文件未按照采购文件要求签署、盖章的；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4.2.3采购人拟采购的产品属于政府强制采购的节能产品品目清单范围的，</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未按采购文件要求提供国家确定的认证机构出具的、处于有效期之内的节能产品认证证书</w:t>
      </w:r>
      <w:r>
        <w:rPr>
          <w:rFonts w:hint="eastAsia" w:ascii="仿宋" w:hAnsi="仿宋" w:eastAsia="仿宋" w:cs="Arial"/>
          <w:b/>
          <w:bCs/>
          <w:color w:val="auto"/>
          <w:kern w:val="0"/>
          <w:sz w:val="24"/>
          <w:highlight w:val="none"/>
        </w:rPr>
        <w:t>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4.2.4投标文件含有采购人不能接受的附加条件的；</w:t>
      </w:r>
    </w:p>
    <w:p>
      <w:pPr>
        <w:snapToGrid w:val="0"/>
        <w:spacing w:line="360" w:lineRule="auto"/>
        <w:ind w:firstLine="120" w:firstLineChars="50"/>
        <w:jc w:val="left"/>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  </w:t>
      </w:r>
      <w:r>
        <w:rPr>
          <w:rFonts w:hint="eastAsia" w:ascii="仿宋" w:hAnsi="仿宋" w:eastAsia="仿宋" w:cs="Arial"/>
          <w:b/>
          <w:bCs/>
          <w:color w:val="auto"/>
          <w:kern w:val="0"/>
          <w:sz w:val="24"/>
          <w:highlight w:val="none"/>
        </w:rPr>
        <w:t xml:space="preserve"> </w:t>
      </w:r>
      <w:r>
        <w:rPr>
          <w:rFonts w:ascii="仿宋" w:hAnsi="仿宋" w:eastAsia="仿宋" w:cs="Arial"/>
          <w:b/>
          <w:bCs/>
          <w:color w:val="auto"/>
          <w:kern w:val="0"/>
          <w:sz w:val="24"/>
          <w:highlight w:val="none"/>
        </w:rPr>
        <w:t>4.2.5投标文件出现不是唯一的、有选择性投标报价的;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4.2.6投标报价超过采购文件中规定的预算金额或者最高限价的;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4.2.7报价明显低于其他通过符合性审查</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的报价，有可能影响产品质量或者不能诚信履约的，未能按要求提供书面说明或者提交相关证明材料，不能证明其报价合理性的;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4.2.8</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对根据修正原则修正后的报价不确认的；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4.2.9</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提供虚假材料投标的；</w:t>
      </w:r>
    </w:p>
    <w:p>
      <w:pPr>
        <w:snapToGrid w:val="0"/>
        <w:spacing w:line="360" w:lineRule="auto"/>
        <w:ind w:firstLine="241" w:firstLineChars="1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  4.2.10</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有恶意串通、妨碍其他</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的竞争行为、损害采购人或者其他</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的合法权益情形的；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4.2.11</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仅提交备份投标文件，没有在电子交易平台传输递交投标文件的，投标无效；</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4.2.12 </w:t>
      </w:r>
      <w:r>
        <w:rPr>
          <w:rFonts w:hint="eastAsia" w:ascii="仿宋" w:hAnsi="仿宋" w:eastAsia="仿宋" w:cs="Arial"/>
          <w:b/>
          <w:bCs/>
          <w:color w:val="auto"/>
          <w:kern w:val="0"/>
          <w:sz w:val="24"/>
          <w:highlight w:val="none"/>
        </w:rPr>
        <w:t>投标文件不满足采购文件的其它实质性要求的；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4.2.13法律、法规、规章（适用本市的）及省级以上规范性文件（适用本市的）规定的其他无效情形。</w:t>
      </w:r>
    </w:p>
    <w:p>
      <w:pPr>
        <w:pStyle w:val="36"/>
        <w:numPr>
          <w:ilvl w:val="0"/>
          <w:numId w:val="19"/>
        </w:numPr>
        <w:snapToGrid w:val="0"/>
        <w:spacing w:line="360" w:lineRule="auto"/>
        <w:ind w:firstLine="472" w:firstLineChars="196"/>
        <w:rPr>
          <w:rFonts w:ascii="仿宋" w:hAnsi="仿宋" w:eastAsia="仿宋" w:cs="仿宋_GB2312"/>
          <w:b/>
          <w:color w:val="auto"/>
          <w:highlight w:val="none"/>
        </w:rPr>
      </w:pPr>
      <w:r>
        <w:rPr>
          <w:rFonts w:ascii="仿宋" w:hAnsi="仿宋" w:eastAsia="仿宋" w:cs="仿宋_GB2312"/>
          <w:b/>
          <w:color w:val="auto"/>
          <w:highlight w:val="none"/>
        </w:rPr>
        <w:t>废标。</w:t>
      </w:r>
    </w:p>
    <w:p>
      <w:pPr>
        <w:pStyle w:val="36"/>
        <w:snapToGrid w:val="0"/>
        <w:spacing w:line="360" w:lineRule="auto"/>
        <w:rPr>
          <w:rFonts w:ascii="仿宋" w:hAnsi="仿宋" w:eastAsia="仿宋" w:cs="仿宋_GB2312"/>
          <w:color w:val="auto"/>
          <w:highlight w:val="none"/>
        </w:rPr>
      </w:pPr>
      <w:r>
        <w:rPr>
          <w:rFonts w:hint="eastAsia" w:ascii="仿宋" w:hAnsi="仿宋" w:eastAsia="仿宋" w:cs="Arial"/>
          <w:color w:val="auto"/>
          <w:kern w:val="0"/>
          <w:highlight w:val="none"/>
        </w:rPr>
        <w:t>根据《中华人民共和国政府采购法》第三十六条之规定，在采购中，出现下列</w:t>
      </w:r>
      <w:r>
        <w:rPr>
          <w:rFonts w:hint="eastAsia" w:ascii="仿宋" w:hAnsi="仿宋" w:eastAsia="仿宋" w:cs="仿宋_GB2312"/>
          <w:color w:val="auto"/>
          <w:highlight w:val="none"/>
        </w:rPr>
        <w:t>情形之一的，应予废标：</w:t>
      </w:r>
    </w:p>
    <w:p>
      <w:pPr>
        <w:pStyle w:val="3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5.1符合专业条件的供应商或者对采购文件作实质响应的供应商不足3家的；</w:t>
      </w:r>
    </w:p>
    <w:p>
      <w:pPr>
        <w:pStyle w:val="3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5.2出现影响采购公正的违法、违规行为的；</w:t>
      </w:r>
    </w:p>
    <w:p>
      <w:pPr>
        <w:pStyle w:val="3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5.3供应商的报价均超过了采购预算，采购人不能支付的；</w:t>
      </w:r>
    </w:p>
    <w:p>
      <w:pPr>
        <w:pStyle w:val="3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5.4因重大变故，采购任务取消的。</w:t>
      </w:r>
    </w:p>
    <w:p>
      <w:pPr>
        <w:pStyle w:val="36"/>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废标后，采购代理机构应当将废标理由通知所有供应商。</w:t>
      </w:r>
    </w:p>
    <w:p>
      <w:pPr>
        <w:pStyle w:val="36"/>
        <w:numPr>
          <w:ilvl w:val="0"/>
          <w:numId w:val="19"/>
        </w:numPr>
        <w:snapToGrid w:val="0"/>
        <w:spacing w:line="360" w:lineRule="auto"/>
        <w:ind w:firstLine="472" w:firstLineChars="196"/>
        <w:rPr>
          <w:rFonts w:ascii="仿宋" w:hAnsi="仿宋" w:eastAsia="仿宋" w:cs="仿宋_GB2312"/>
          <w:b/>
          <w:color w:val="auto"/>
          <w:highlight w:val="none"/>
        </w:rPr>
      </w:pPr>
      <w:r>
        <w:rPr>
          <w:rFonts w:ascii="仿宋" w:hAnsi="仿宋" w:eastAsia="仿宋" w:cs="仿宋_GB2312"/>
          <w:b/>
          <w:color w:val="auto"/>
          <w:highlight w:val="none"/>
        </w:rPr>
        <w:t>修改采购文件，重新组织采购活动。</w:t>
      </w:r>
    </w:p>
    <w:p>
      <w:pPr>
        <w:pStyle w:val="36"/>
        <w:snapToGrid w:val="0"/>
        <w:spacing w:line="360" w:lineRule="auto"/>
        <w:ind w:left="652" w:leftChars="196" w:hanging="240" w:hangingChars="100"/>
        <w:rPr>
          <w:rFonts w:ascii="仿宋" w:hAnsi="仿宋" w:eastAsia="仿宋" w:cs="Arial"/>
          <w:color w:val="auto"/>
          <w:kern w:val="0"/>
          <w:highlight w:val="none"/>
        </w:rPr>
      </w:pPr>
      <w:r>
        <w:rPr>
          <w:rFonts w:hint="eastAsia" w:ascii="仿宋" w:hAnsi="仿宋" w:eastAsia="仿宋" w:cs="Arial"/>
          <w:color w:val="auto"/>
          <w:kern w:val="0"/>
          <w:highlight w:val="none"/>
        </w:rPr>
        <w:t>评标委员会发现采购文件存在歧义、重大缺陷导致评标工作无法进行，或</w:t>
      </w:r>
    </w:p>
    <w:p>
      <w:pPr>
        <w:pStyle w:val="36"/>
        <w:snapToGrid w:val="0"/>
        <w:spacing w:line="360" w:lineRule="auto"/>
        <w:ind w:firstLine="0" w:firstLineChars="0"/>
        <w:rPr>
          <w:rFonts w:ascii="仿宋" w:hAnsi="仿宋" w:eastAsia="仿宋" w:cs="Arial"/>
          <w:color w:val="auto"/>
          <w:kern w:val="0"/>
          <w:highlight w:val="none"/>
        </w:rPr>
      </w:pPr>
      <w:r>
        <w:rPr>
          <w:rFonts w:hint="eastAsia" w:ascii="仿宋" w:hAnsi="仿宋" w:eastAsia="仿宋" w:cs="Arial"/>
          <w:color w:val="auto"/>
          <w:kern w:val="0"/>
          <w:highlight w:val="none"/>
        </w:rPr>
        <w:t>者采购文件内容违反国家有关强制性规定的，将停止评标工作，并与采购人、采购代理机构沟通并作书面记录。采购人、采购代理机构确认后，将修改采购文件，重新组织采购活动。</w:t>
      </w:r>
    </w:p>
    <w:p>
      <w:pPr>
        <w:pStyle w:val="36"/>
        <w:numPr>
          <w:ilvl w:val="0"/>
          <w:numId w:val="19"/>
        </w:numPr>
        <w:snapToGrid w:val="0"/>
        <w:spacing w:line="360" w:lineRule="auto"/>
        <w:ind w:firstLine="472" w:firstLineChars="196"/>
        <w:rPr>
          <w:rFonts w:ascii="仿宋" w:hAnsi="仿宋" w:eastAsia="仿宋" w:cs="仿宋_GB2312"/>
          <w:b/>
          <w:color w:val="auto"/>
          <w:highlight w:val="none"/>
        </w:rPr>
      </w:pPr>
      <w:r>
        <w:rPr>
          <w:rFonts w:hint="eastAsia" w:ascii="仿宋" w:hAnsi="仿宋" w:eastAsia="仿宋" w:cs="仿宋_GB2312"/>
          <w:b/>
          <w:color w:val="auto"/>
          <w:highlight w:val="none"/>
        </w:rPr>
        <w:t>重新开展采购。</w:t>
      </w:r>
    </w:p>
    <w:p>
      <w:pPr>
        <w:pStyle w:val="36"/>
        <w:snapToGrid w:val="0"/>
        <w:spacing w:line="360" w:lineRule="auto"/>
        <w:ind w:left="412" w:leftChars="196" w:firstLine="0" w:firstLineChars="0"/>
        <w:rPr>
          <w:rFonts w:ascii="仿宋" w:hAnsi="仿宋" w:eastAsia="仿宋" w:cs="仿宋_GB2312"/>
          <w:color w:val="auto"/>
          <w:highlight w:val="none"/>
        </w:rPr>
      </w:pPr>
      <w:r>
        <w:rPr>
          <w:rFonts w:hint="eastAsia" w:ascii="仿宋" w:hAnsi="仿宋" w:eastAsia="仿宋" w:cs="仿宋_GB2312"/>
          <w:color w:val="auto"/>
          <w:highlight w:val="none"/>
        </w:rPr>
        <w:t>有政府采购法第七十一条、第七十二条规定的违法行为之一，影响或者可</w:t>
      </w:r>
    </w:p>
    <w:p>
      <w:pPr>
        <w:pStyle w:val="36"/>
        <w:snapToGrid w:val="0"/>
        <w:spacing w:line="360" w:lineRule="auto"/>
        <w:ind w:firstLine="0" w:firstLineChars="0"/>
        <w:rPr>
          <w:rFonts w:ascii="仿宋" w:hAnsi="仿宋" w:eastAsia="仿宋" w:cs="仿宋_GB2312"/>
          <w:color w:val="auto"/>
          <w:highlight w:val="none"/>
        </w:rPr>
      </w:pPr>
      <w:r>
        <w:rPr>
          <w:rFonts w:hint="eastAsia" w:ascii="仿宋" w:hAnsi="仿宋" w:eastAsia="仿宋" w:cs="仿宋_GB2312"/>
          <w:color w:val="auto"/>
          <w:highlight w:val="none"/>
        </w:rPr>
        <w:t>能影响中标、成交结果的，依照下列规定处理：</w:t>
      </w:r>
    </w:p>
    <w:p>
      <w:pPr>
        <w:pStyle w:val="36"/>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7.1未确定中标或者中标人的，终止本次政府采购活动，重新开展政府采购</w:t>
      </w:r>
      <w:r>
        <w:rPr>
          <w:rFonts w:hint="eastAsia" w:ascii="仿宋" w:hAnsi="仿宋" w:eastAsia="仿宋" w:cs="仿宋_GB2312"/>
          <w:color w:val="auto"/>
          <w:highlight w:val="none"/>
        </w:rPr>
        <w:t>活动。</w:t>
      </w:r>
    </w:p>
    <w:p>
      <w:pPr>
        <w:pStyle w:val="36"/>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6"/>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3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7.4政府采购合同已经履行，给采购人、供应</w:t>
      </w:r>
      <w:r>
        <w:rPr>
          <w:rFonts w:hint="eastAsia" w:ascii="仿宋" w:hAnsi="仿宋" w:eastAsia="仿宋" w:cs="仿宋_GB2312"/>
          <w:color w:val="auto"/>
          <w:highlight w:val="none"/>
        </w:rPr>
        <w:t>商造成损失的，由责任人承担赔偿责任。</w:t>
      </w:r>
    </w:p>
    <w:p>
      <w:pPr>
        <w:pStyle w:val="3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7.5政府采购当事人有其他违反政府采购</w:t>
      </w:r>
      <w:r>
        <w:rPr>
          <w:rFonts w:hint="eastAsia" w:ascii="仿宋" w:hAnsi="仿宋" w:eastAsia="仿宋" w:cs="仿宋_GB2312"/>
          <w:color w:val="auto"/>
          <w:highlight w:val="none"/>
        </w:rPr>
        <w:t>法</w:t>
      </w:r>
      <w:r>
        <w:rPr>
          <w:rFonts w:hint="eastAsia" w:ascii="仿宋" w:hAnsi="仿宋" w:eastAsia="仿宋" w:cs="Arial"/>
          <w:color w:val="auto"/>
          <w:kern w:val="0"/>
          <w:highlight w:val="none"/>
        </w:rPr>
        <w:t>或者政府采购法实施条例等法律法规规定</w:t>
      </w:r>
      <w:r>
        <w:rPr>
          <w:rFonts w:hint="eastAsia" w:ascii="仿宋" w:hAnsi="仿宋" w:eastAsia="仿宋" w:cs="仿宋_GB2312"/>
          <w:color w:val="auto"/>
          <w:highlight w:val="none"/>
        </w:rPr>
        <w:t>的行为，经改正后仍然影响或者可能影响中标、成交结果或者依法被认定为中标、成交无效的，依照</w:t>
      </w:r>
      <w:r>
        <w:rPr>
          <w:rFonts w:ascii="仿宋" w:hAnsi="仿宋" w:eastAsia="仿宋" w:cs="仿宋_GB2312"/>
          <w:color w:val="auto"/>
          <w:highlight w:val="none"/>
        </w:rPr>
        <w:t>7.1-7.4规定处理。</w:t>
      </w:r>
      <w:bookmarkEnd w:id="165"/>
    </w:p>
    <w:p>
      <w:pPr>
        <w:spacing w:line="360" w:lineRule="auto"/>
        <w:rPr>
          <w:rFonts w:ascii="仿宋" w:hAnsi="仿宋" w:eastAsia="仿宋"/>
          <w:color w:val="auto"/>
          <w:highlight w:val="none"/>
        </w:rPr>
      </w:pPr>
    </w:p>
    <w:p>
      <w:pPr>
        <w:pStyle w:val="4"/>
        <w:rPr>
          <w:rFonts w:ascii="仿宋" w:hAnsi="仿宋" w:eastAsia="仿宋"/>
          <w:color w:val="auto"/>
          <w:highlight w:val="none"/>
        </w:rPr>
      </w:pPr>
      <w:bookmarkStart w:id="583" w:name="_Toc16184"/>
      <w:bookmarkStart w:id="584" w:name="_Toc13721"/>
      <w:bookmarkStart w:id="585" w:name="_Toc1028"/>
      <w:bookmarkStart w:id="586" w:name="_Toc95312988"/>
      <w:bookmarkStart w:id="587" w:name="_Toc31065"/>
      <w:bookmarkStart w:id="588" w:name="_Toc627339759"/>
      <w:bookmarkStart w:id="589" w:name="第五部分"/>
      <w:bookmarkStart w:id="590" w:name="_Toc86217003"/>
    </w:p>
    <w:p>
      <w:pPr>
        <w:rPr>
          <w:rFonts w:ascii="仿宋" w:hAnsi="仿宋" w:eastAsia="仿宋"/>
          <w:color w:val="auto"/>
          <w:highlight w:val="none"/>
        </w:rPr>
      </w:pPr>
    </w:p>
    <w:p>
      <w:pPr>
        <w:pStyle w:val="2"/>
        <w:rPr>
          <w:rFonts w:ascii="仿宋" w:hAnsi="仿宋" w:eastAsia="仿宋"/>
          <w:color w:val="auto"/>
          <w:highlight w:val="none"/>
        </w:rPr>
      </w:pPr>
    </w:p>
    <w:p>
      <w:pPr>
        <w:rPr>
          <w:rFonts w:ascii="仿宋" w:hAnsi="仿宋" w:eastAsia="仿宋"/>
          <w:color w:val="auto"/>
          <w:highlight w:val="none"/>
        </w:rPr>
      </w:pPr>
    </w:p>
    <w:p>
      <w:pPr>
        <w:pStyle w:val="2"/>
        <w:rPr>
          <w:rFonts w:ascii="仿宋" w:hAnsi="仿宋" w:eastAsia="仿宋"/>
          <w:color w:val="auto"/>
          <w:highlight w:val="none"/>
        </w:rPr>
      </w:pPr>
    </w:p>
    <w:p>
      <w:pPr>
        <w:rPr>
          <w:rFonts w:ascii="仿宋" w:hAnsi="仿宋" w:eastAsia="仿宋"/>
          <w:color w:val="auto"/>
          <w:highlight w:val="none"/>
        </w:rPr>
      </w:pPr>
    </w:p>
    <w:p>
      <w:pPr>
        <w:pStyle w:val="2"/>
        <w:rPr>
          <w:rFonts w:ascii="仿宋" w:hAnsi="仿宋" w:eastAsia="仿宋"/>
          <w:color w:val="auto"/>
          <w:highlight w:val="none"/>
        </w:rPr>
      </w:pPr>
    </w:p>
    <w:p>
      <w:pPr>
        <w:rPr>
          <w:rFonts w:ascii="仿宋" w:hAnsi="仿宋" w:eastAsia="仿宋"/>
          <w:color w:val="auto"/>
          <w:highlight w:val="none"/>
        </w:rPr>
      </w:pPr>
    </w:p>
    <w:p>
      <w:pPr>
        <w:pStyle w:val="2"/>
        <w:rPr>
          <w:rFonts w:ascii="仿宋" w:hAnsi="仿宋" w:eastAsia="仿宋"/>
          <w:color w:val="auto"/>
          <w:highlight w:val="none"/>
        </w:rPr>
      </w:pPr>
    </w:p>
    <w:p>
      <w:pPr>
        <w:rPr>
          <w:rFonts w:ascii="仿宋" w:hAnsi="仿宋" w:eastAsia="仿宋"/>
          <w:color w:val="auto"/>
          <w:highlight w:val="none"/>
        </w:rPr>
      </w:pPr>
    </w:p>
    <w:p>
      <w:pPr>
        <w:pStyle w:val="2"/>
        <w:rPr>
          <w:rFonts w:ascii="仿宋" w:hAnsi="仿宋" w:eastAsia="仿宋"/>
          <w:color w:val="auto"/>
          <w:highlight w:val="none"/>
        </w:rPr>
      </w:pPr>
    </w:p>
    <w:p>
      <w:pPr>
        <w:rPr>
          <w:rFonts w:ascii="仿宋" w:hAnsi="仿宋" w:eastAsia="仿宋"/>
          <w:color w:val="auto"/>
          <w:highlight w:val="none"/>
        </w:rPr>
      </w:pPr>
    </w:p>
    <w:p>
      <w:pPr>
        <w:pStyle w:val="2"/>
        <w:rPr>
          <w:rFonts w:ascii="仿宋" w:hAnsi="仿宋" w:eastAsia="仿宋"/>
          <w:color w:val="auto"/>
          <w:highlight w:val="none"/>
        </w:rPr>
      </w:pPr>
    </w:p>
    <w:p>
      <w:pPr>
        <w:rPr>
          <w:rFonts w:ascii="仿宋" w:hAnsi="仿宋" w:eastAsia="仿宋"/>
          <w:color w:val="auto"/>
          <w:highlight w:val="none"/>
        </w:rPr>
      </w:pPr>
    </w:p>
    <w:p>
      <w:pPr>
        <w:pStyle w:val="2"/>
        <w:rPr>
          <w:rFonts w:ascii="仿宋" w:hAnsi="仿宋" w:eastAsia="仿宋"/>
          <w:color w:val="auto"/>
          <w:highlight w:val="none"/>
        </w:rPr>
      </w:pPr>
    </w:p>
    <w:p>
      <w:pPr>
        <w:rPr>
          <w:rFonts w:ascii="仿宋" w:hAnsi="仿宋" w:eastAsia="仿宋"/>
          <w:color w:val="auto"/>
          <w:highlight w:val="none"/>
        </w:rPr>
      </w:pPr>
    </w:p>
    <w:p>
      <w:pPr>
        <w:pStyle w:val="2"/>
        <w:rPr>
          <w:rFonts w:ascii="仿宋" w:hAnsi="仿宋" w:eastAsia="仿宋"/>
          <w:color w:val="auto"/>
          <w:highlight w:val="none"/>
        </w:rPr>
      </w:pPr>
    </w:p>
    <w:p>
      <w:pPr>
        <w:rPr>
          <w:rFonts w:ascii="仿宋" w:hAnsi="仿宋" w:eastAsia="仿宋"/>
          <w:color w:val="auto"/>
          <w:highlight w:val="none"/>
        </w:rPr>
      </w:pPr>
    </w:p>
    <w:p>
      <w:pPr>
        <w:pStyle w:val="2"/>
        <w:rPr>
          <w:rFonts w:ascii="仿宋" w:hAnsi="仿宋" w:eastAsia="仿宋"/>
          <w:color w:val="auto"/>
          <w:highlight w:val="none"/>
        </w:rPr>
      </w:pPr>
    </w:p>
    <w:p>
      <w:pPr>
        <w:rPr>
          <w:rFonts w:ascii="仿宋" w:hAnsi="仿宋" w:eastAsia="仿宋"/>
          <w:color w:val="auto"/>
          <w:highlight w:val="none"/>
        </w:rPr>
      </w:pPr>
    </w:p>
    <w:p>
      <w:pPr>
        <w:pStyle w:val="2"/>
        <w:rPr>
          <w:rFonts w:ascii="仿宋" w:hAnsi="仿宋" w:eastAsia="仿宋"/>
          <w:color w:val="auto"/>
          <w:highlight w:val="none"/>
        </w:rPr>
      </w:pPr>
    </w:p>
    <w:p>
      <w:pPr>
        <w:rPr>
          <w:rFonts w:ascii="仿宋" w:hAnsi="仿宋" w:eastAsia="仿宋"/>
          <w:color w:val="auto"/>
          <w:highlight w:val="none"/>
        </w:rPr>
      </w:pPr>
    </w:p>
    <w:p>
      <w:pPr>
        <w:pStyle w:val="2"/>
        <w:rPr>
          <w:rFonts w:ascii="仿宋" w:hAnsi="仿宋" w:eastAsia="仿宋"/>
          <w:color w:val="auto"/>
          <w:highlight w:val="none"/>
        </w:rPr>
      </w:pPr>
    </w:p>
    <w:p>
      <w:pPr>
        <w:rPr>
          <w:rFonts w:ascii="仿宋" w:hAnsi="仿宋" w:eastAsia="仿宋"/>
          <w:color w:val="auto"/>
          <w:highlight w:val="none"/>
        </w:rPr>
      </w:pPr>
    </w:p>
    <w:p>
      <w:pPr>
        <w:pStyle w:val="2"/>
        <w:rPr>
          <w:rFonts w:ascii="仿宋" w:hAnsi="仿宋" w:eastAsia="仿宋"/>
          <w:color w:val="auto"/>
          <w:highlight w:val="none"/>
        </w:rPr>
      </w:pPr>
    </w:p>
    <w:p>
      <w:pPr>
        <w:rPr>
          <w:rFonts w:ascii="仿宋" w:hAnsi="仿宋" w:eastAsia="仿宋"/>
          <w:color w:val="auto"/>
          <w:highlight w:val="none"/>
        </w:rPr>
      </w:pPr>
    </w:p>
    <w:p>
      <w:pPr>
        <w:pStyle w:val="2"/>
        <w:rPr>
          <w:rFonts w:ascii="仿宋" w:hAnsi="仿宋" w:eastAsia="仿宋"/>
          <w:color w:val="auto"/>
          <w:highlight w:val="none"/>
        </w:rPr>
      </w:pPr>
    </w:p>
    <w:p>
      <w:pPr>
        <w:rPr>
          <w:rFonts w:ascii="仿宋" w:hAnsi="仿宋" w:eastAsia="仿宋"/>
          <w:color w:val="auto"/>
          <w:highlight w:val="none"/>
        </w:rPr>
      </w:pPr>
    </w:p>
    <w:p>
      <w:pPr>
        <w:pStyle w:val="2"/>
        <w:rPr>
          <w:rFonts w:ascii="仿宋" w:hAnsi="仿宋" w:eastAsia="仿宋"/>
          <w:color w:val="auto"/>
          <w:highlight w:val="none"/>
        </w:rPr>
      </w:pPr>
    </w:p>
    <w:p>
      <w:pPr>
        <w:rPr>
          <w:rFonts w:ascii="仿宋" w:hAnsi="仿宋" w:eastAsia="仿宋"/>
          <w:color w:val="auto"/>
          <w:highlight w:val="none"/>
        </w:rPr>
      </w:pPr>
    </w:p>
    <w:p>
      <w:pPr>
        <w:pStyle w:val="2"/>
        <w:rPr>
          <w:rFonts w:ascii="仿宋" w:hAnsi="仿宋" w:eastAsia="仿宋"/>
          <w:color w:val="auto"/>
          <w:highlight w:val="none"/>
        </w:rPr>
      </w:pPr>
    </w:p>
    <w:p/>
    <w:p>
      <w:pPr>
        <w:pStyle w:val="4"/>
        <w:jc w:val="center"/>
        <w:rPr>
          <w:rFonts w:ascii="仿宋" w:hAnsi="仿宋" w:eastAsia="仿宋"/>
          <w:color w:val="auto"/>
          <w:highlight w:val="none"/>
        </w:rPr>
      </w:pPr>
      <w:r>
        <w:rPr>
          <w:rFonts w:hint="eastAsia" w:ascii="仿宋" w:hAnsi="仿宋" w:eastAsia="仿宋"/>
          <w:color w:val="auto"/>
          <w:highlight w:val="none"/>
        </w:rPr>
        <w:t>第五部分</w:t>
      </w:r>
      <w:r>
        <w:rPr>
          <w:rFonts w:ascii="仿宋" w:hAnsi="仿宋" w:eastAsia="仿宋"/>
          <w:color w:val="auto"/>
          <w:highlight w:val="none"/>
        </w:rPr>
        <w:t xml:space="preserve"> </w:t>
      </w:r>
      <w:r>
        <w:rPr>
          <w:rFonts w:hint="eastAsia" w:ascii="仿宋" w:hAnsi="仿宋" w:eastAsia="仿宋"/>
          <w:color w:val="auto"/>
          <w:highlight w:val="none"/>
        </w:rPr>
        <w:t>拟签订的合同文本</w:t>
      </w:r>
      <w:bookmarkEnd w:id="583"/>
      <w:bookmarkEnd w:id="584"/>
      <w:bookmarkEnd w:id="585"/>
      <w:bookmarkEnd w:id="586"/>
      <w:bookmarkEnd w:id="587"/>
      <w:bookmarkEnd w:id="588"/>
    </w:p>
    <w:p>
      <w:pPr>
        <w:spacing w:line="360" w:lineRule="auto"/>
        <w:rPr>
          <w:rFonts w:ascii="仿宋" w:hAnsi="仿宋" w:eastAsia="仿宋" w:cs="仿宋"/>
          <w:color w:val="auto"/>
          <w:sz w:val="24"/>
          <w:highlight w:val="none"/>
          <w:u w:val="single"/>
        </w:rPr>
      </w:pPr>
      <w:bookmarkStart w:id="591" w:name="_Toc1750"/>
      <w:bookmarkStart w:id="592" w:name="_Toc27118"/>
      <w:bookmarkStart w:id="593" w:name="_Toc95313008"/>
      <w:bookmarkStart w:id="594" w:name="_Toc25786"/>
      <w:bookmarkStart w:id="595" w:name="_Toc377774437"/>
      <w:r>
        <w:rPr>
          <w:rFonts w:hint="eastAsia" w:ascii="仿宋" w:hAnsi="仿宋" w:eastAsia="仿宋" w:cs="仿宋"/>
          <w:color w:val="auto"/>
          <w:sz w:val="24"/>
          <w:highlight w:val="none"/>
        </w:rPr>
        <w:t>合同编号：</w:t>
      </w:r>
    </w:p>
    <w:p>
      <w:pPr>
        <w:spacing w:line="360" w:lineRule="auto"/>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p>
    <w:p>
      <w:pPr>
        <w:spacing w:line="480" w:lineRule="auto"/>
        <w:jc w:val="center"/>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政府采购合同参考范本</w:t>
      </w:r>
    </w:p>
    <w:p>
      <w:pPr>
        <w:spacing w:line="480" w:lineRule="auto"/>
        <w:jc w:val="center"/>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（服务类）</w:t>
      </w:r>
    </w:p>
    <w:p>
      <w:pPr>
        <w:pStyle w:val="410"/>
        <w:spacing w:before="120"/>
        <w:ind w:firstLine="2843" w:firstLineChars="1180"/>
        <w:rPr>
          <w:rFonts w:ascii="仿宋" w:hAnsi="仿宋" w:eastAsia="仿宋" w:cs="宋体"/>
          <w:b/>
          <w:color w:val="auto"/>
          <w:szCs w:val="24"/>
          <w:highlight w:val="none"/>
        </w:rPr>
      </w:pPr>
      <w:r>
        <w:rPr>
          <w:rFonts w:hint="eastAsia" w:ascii="仿宋" w:hAnsi="仿宋" w:eastAsia="仿宋" w:cs="宋体"/>
          <w:b/>
          <w:color w:val="auto"/>
          <w:szCs w:val="24"/>
          <w:highlight w:val="none"/>
        </w:rPr>
        <w:t>第一部分 合同书</w:t>
      </w:r>
    </w:p>
    <w:p>
      <w:pPr>
        <w:spacing w:before="120" w:line="22" w:lineRule="atLeast"/>
        <w:rPr>
          <w:rFonts w:ascii="仿宋" w:hAnsi="仿宋" w:eastAsia="仿宋" w:cs="宋体"/>
          <w:color w:val="auto"/>
          <w:sz w:val="24"/>
          <w:highlight w:val="none"/>
        </w:rPr>
      </w:pPr>
    </w:p>
    <w:p>
      <w:pPr>
        <w:pStyle w:val="5"/>
        <w:rPr>
          <w:rFonts w:ascii="仿宋" w:hAnsi="仿宋" w:eastAsia="仿宋"/>
          <w:color w:val="auto"/>
          <w:highlight w:val="none"/>
        </w:rPr>
      </w:pPr>
    </w:p>
    <w:p>
      <w:pPr>
        <w:spacing w:before="120" w:line="22" w:lineRule="atLeast"/>
        <w:ind w:left="960"/>
        <w:rPr>
          <w:rFonts w:ascii="仿宋" w:hAnsi="仿宋" w:eastAsia="仿宋" w:cs="宋体"/>
          <w:color w:val="auto"/>
          <w:sz w:val="24"/>
          <w:highlight w:val="none"/>
        </w:rPr>
      </w:pPr>
      <w:r>
        <w:rPr>
          <w:rFonts w:hint="eastAsia" w:ascii="仿宋" w:hAnsi="仿宋" w:eastAsia="仿宋" w:cs="宋体"/>
          <w:color w:val="auto"/>
          <w:sz w:val="24"/>
          <w:highlight w:val="none"/>
        </w:rPr>
        <w:t>项目名称：</w:t>
      </w:r>
      <w:r>
        <w:rPr>
          <w:rFonts w:hint="eastAsia" w:ascii="仿宋" w:hAnsi="仿宋" w:eastAsia="仿宋" w:cs="宋体"/>
          <w:color w:val="auto"/>
          <w:sz w:val="24"/>
          <w:highlight w:val="none"/>
          <w:u w:val="single"/>
        </w:rPr>
        <w:t xml:space="preserve">                                   </w:t>
      </w:r>
    </w:p>
    <w:p>
      <w:pPr>
        <w:pStyle w:val="307"/>
        <w:spacing w:before="120" w:line="22" w:lineRule="atLeast"/>
        <w:rPr>
          <w:rFonts w:ascii="仿宋" w:hAnsi="仿宋" w:eastAsia="仿宋" w:cs="宋体"/>
          <w:color w:val="auto"/>
          <w:szCs w:val="24"/>
          <w:highlight w:val="none"/>
        </w:rPr>
      </w:pPr>
    </w:p>
    <w:p>
      <w:pPr>
        <w:pStyle w:val="307"/>
        <w:spacing w:before="120" w:line="22" w:lineRule="atLeast"/>
        <w:rPr>
          <w:rFonts w:ascii="仿宋" w:hAnsi="仿宋" w:eastAsia="仿宋" w:cs="宋体"/>
          <w:color w:val="auto"/>
          <w:szCs w:val="24"/>
          <w:highlight w:val="none"/>
        </w:rPr>
      </w:pPr>
    </w:p>
    <w:p>
      <w:pPr>
        <w:rPr>
          <w:rFonts w:ascii="仿宋" w:hAnsi="仿宋" w:eastAsia="仿宋" w:cs="宋体"/>
          <w:color w:val="auto"/>
          <w:sz w:val="24"/>
          <w:highlight w:val="none"/>
        </w:rPr>
      </w:pPr>
    </w:p>
    <w:p>
      <w:pPr>
        <w:spacing w:before="120" w:line="22" w:lineRule="atLeast"/>
        <w:ind w:left="960"/>
        <w:rPr>
          <w:rFonts w:ascii="仿宋" w:hAnsi="仿宋" w:eastAsia="仿宋" w:cs="宋体"/>
          <w:color w:val="auto"/>
          <w:sz w:val="24"/>
          <w:highlight w:val="none"/>
          <w:u w:val="single"/>
        </w:rPr>
      </w:pPr>
      <w:r>
        <w:rPr>
          <w:rFonts w:hint="eastAsia" w:ascii="仿宋" w:hAnsi="仿宋" w:eastAsia="仿宋" w:cs="宋体"/>
          <w:color w:val="auto"/>
          <w:sz w:val="24"/>
          <w:highlight w:val="none"/>
        </w:rPr>
        <w:t>甲方：</w:t>
      </w:r>
      <w:r>
        <w:rPr>
          <w:rFonts w:hint="eastAsia" w:ascii="仿宋" w:hAnsi="仿宋" w:eastAsia="仿宋" w:cs="宋体"/>
          <w:color w:val="auto"/>
          <w:sz w:val="24"/>
          <w:highlight w:val="none"/>
          <w:u w:val="single"/>
        </w:rPr>
        <w:t xml:space="preserve">                                       </w:t>
      </w:r>
    </w:p>
    <w:p>
      <w:pPr>
        <w:spacing w:before="120" w:line="22" w:lineRule="atLeast"/>
        <w:rPr>
          <w:rFonts w:ascii="仿宋" w:hAnsi="仿宋" w:eastAsia="仿宋" w:cs="宋体"/>
          <w:color w:val="auto"/>
          <w:sz w:val="24"/>
          <w:highlight w:val="none"/>
        </w:rPr>
      </w:pPr>
    </w:p>
    <w:p>
      <w:pPr>
        <w:spacing w:before="120" w:line="22" w:lineRule="atLeast"/>
        <w:ind w:left="960"/>
        <w:rPr>
          <w:rFonts w:ascii="仿宋" w:hAnsi="仿宋" w:eastAsia="仿宋" w:cs="宋体"/>
          <w:color w:val="auto"/>
          <w:sz w:val="24"/>
          <w:highlight w:val="none"/>
          <w:u w:val="single"/>
        </w:rPr>
      </w:pPr>
      <w:r>
        <w:rPr>
          <w:rFonts w:hint="eastAsia" w:ascii="仿宋" w:hAnsi="仿宋" w:eastAsia="仿宋" w:cs="宋体"/>
          <w:color w:val="auto"/>
          <w:sz w:val="24"/>
          <w:highlight w:val="none"/>
        </w:rPr>
        <w:t>乙方：</w:t>
      </w:r>
      <w:r>
        <w:rPr>
          <w:rFonts w:hint="eastAsia" w:ascii="仿宋" w:hAnsi="仿宋" w:eastAsia="仿宋" w:cs="宋体"/>
          <w:color w:val="auto"/>
          <w:sz w:val="24"/>
          <w:highlight w:val="none"/>
          <w:u w:val="single"/>
        </w:rPr>
        <w:t xml:space="preserve">                                       </w:t>
      </w:r>
    </w:p>
    <w:p>
      <w:pPr>
        <w:spacing w:before="120" w:line="22" w:lineRule="atLeast"/>
        <w:rPr>
          <w:rFonts w:ascii="仿宋" w:hAnsi="仿宋" w:eastAsia="仿宋" w:cs="宋体"/>
          <w:color w:val="auto"/>
          <w:sz w:val="24"/>
          <w:highlight w:val="none"/>
        </w:rPr>
      </w:pPr>
    </w:p>
    <w:p>
      <w:pPr>
        <w:spacing w:before="120" w:line="22" w:lineRule="atLeast"/>
        <w:ind w:firstLine="960" w:firstLineChars="400"/>
        <w:rPr>
          <w:rFonts w:ascii="仿宋" w:hAnsi="仿宋" w:eastAsia="仿宋" w:cs="宋体"/>
          <w:color w:val="auto"/>
          <w:sz w:val="24"/>
          <w:highlight w:val="none"/>
          <w:u w:val="single"/>
        </w:rPr>
      </w:pPr>
      <w:r>
        <w:rPr>
          <w:rFonts w:hint="eastAsia" w:ascii="仿宋" w:hAnsi="仿宋" w:eastAsia="仿宋" w:cs="宋体"/>
          <w:color w:val="auto"/>
          <w:sz w:val="24"/>
          <w:highlight w:val="none"/>
        </w:rPr>
        <w:t>签订地：</w:t>
      </w:r>
      <w:r>
        <w:rPr>
          <w:rFonts w:hint="eastAsia" w:ascii="仿宋" w:hAnsi="仿宋" w:eastAsia="仿宋" w:cs="宋体"/>
          <w:color w:val="auto"/>
          <w:sz w:val="24"/>
          <w:highlight w:val="none"/>
          <w:u w:val="single"/>
        </w:rPr>
        <w:t xml:space="preserve">                                     </w:t>
      </w:r>
    </w:p>
    <w:p>
      <w:pPr>
        <w:spacing w:before="120" w:line="22" w:lineRule="atLeast"/>
        <w:rPr>
          <w:rFonts w:ascii="仿宋" w:hAnsi="仿宋" w:eastAsia="仿宋" w:cs="宋体"/>
          <w:color w:val="auto"/>
          <w:sz w:val="24"/>
          <w:highlight w:val="none"/>
        </w:rPr>
      </w:pPr>
    </w:p>
    <w:p>
      <w:pPr>
        <w:spacing w:before="120" w:line="22" w:lineRule="atLeast"/>
        <w:ind w:firstLine="960" w:firstLineChars="400"/>
        <w:rPr>
          <w:rFonts w:ascii="仿宋" w:hAnsi="仿宋" w:eastAsia="仿宋" w:cs="宋体"/>
          <w:color w:val="auto"/>
          <w:sz w:val="24"/>
          <w:highlight w:val="none"/>
          <w:u w:val="single"/>
        </w:rPr>
      </w:pPr>
      <w:r>
        <w:rPr>
          <w:rFonts w:hint="eastAsia" w:ascii="仿宋" w:hAnsi="仿宋" w:eastAsia="仿宋" w:cs="宋体"/>
          <w:color w:val="auto"/>
          <w:sz w:val="24"/>
          <w:highlight w:val="none"/>
        </w:rPr>
        <w:t>签订日期：</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年</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月</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日</w:t>
      </w:r>
    </w:p>
    <w:p>
      <w:pPr>
        <w:widowControl/>
        <w:jc w:val="left"/>
        <w:rPr>
          <w:rFonts w:ascii="仿宋" w:hAnsi="仿宋" w:eastAsia="仿宋" w:cs="宋体"/>
          <w:color w:val="auto"/>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年</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月</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日</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（采购人名称）   </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ascii="仿宋" w:hAnsi="仿宋" w:eastAsia="仿宋"/>
          <w:color w:val="auto"/>
          <w:sz w:val="24"/>
          <w:highlight w:val="none"/>
          <w:u w:val="single"/>
        </w:rPr>
        <w:t xml:space="preserve">   （同前</w:t>
      </w:r>
      <w:r>
        <w:rPr>
          <w:rFonts w:hint="eastAsia" w:ascii="仿宋" w:hAnsi="仿宋" w:eastAsia="仿宋"/>
          <w:color w:val="auto"/>
          <w:sz w:val="24"/>
          <w:highlight w:val="none"/>
          <w:u w:val="single"/>
        </w:rPr>
        <w:t>页项目名称）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（中标供应商名称） </w:t>
      </w:r>
      <w:r>
        <w:rPr>
          <w:rFonts w:hint="eastAsia" w:ascii="仿宋" w:hAnsi="仿宋" w:eastAsia="仿宋"/>
          <w:color w:val="auto"/>
          <w:sz w:val="24"/>
          <w:highlight w:val="none"/>
        </w:rPr>
        <w:t>为该项目中标供应商。现于中标通知书发出之日起10个工作日内，按照采购文件确定的事项签订本合同。</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根据《中华人民共和国民法典》《中华人民共和国政府采购法》等相关法律法规之规定，按照平等、自愿、公平和诚实信用的原则，经</w:t>
      </w:r>
      <w:r>
        <w:rPr>
          <w:rFonts w:ascii="仿宋" w:hAnsi="仿宋" w:eastAsia="仿宋"/>
          <w:color w:val="auto"/>
          <w:sz w:val="24"/>
          <w:highlight w:val="none"/>
          <w:u w:val="single"/>
        </w:rPr>
        <w:t xml:space="preserve">   （采购人名称）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pPr>
        <w:spacing w:line="560" w:lineRule="exact"/>
        <w:ind w:firstLine="482" w:firstLineChars="200"/>
        <w:outlineLvl w:val="0"/>
        <w:rPr>
          <w:rFonts w:ascii="仿宋" w:hAnsi="仿宋" w:eastAsia="仿宋"/>
          <w:color w:val="auto"/>
          <w:sz w:val="24"/>
          <w:highlight w:val="none"/>
        </w:rPr>
      </w:pPr>
      <w:bookmarkStart w:id="596" w:name="_Toc15367"/>
      <w:bookmarkStart w:id="597" w:name="_Toc28855"/>
      <w:bookmarkStart w:id="598" w:name="_Toc19273"/>
      <w:bookmarkStart w:id="599" w:name="_Toc20421"/>
      <w:bookmarkStart w:id="600" w:name="_Toc22967"/>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bookmarkEnd w:id="596"/>
      <w:bookmarkEnd w:id="597"/>
      <w:bookmarkEnd w:id="598"/>
      <w:bookmarkEnd w:id="599"/>
      <w:bookmarkEnd w:id="600"/>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中标通知书；</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投标文件（含澄清或者说明文件）；</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1.1.4 </w:t>
      </w:r>
      <w:r>
        <w:rPr>
          <w:rFonts w:hint="eastAsia" w:ascii="仿宋" w:hAnsi="仿宋" w:eastAsia="仿宋"/>
          <w:color w:val="auto"/>
          <w:sz w:val="24"/>
          <w:highlight w:val="none"/>
        </w:rPr>
        <w:t>招标文件（含澄清或者修改文件）；</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1.1.5 </w:t>
      </w:r>
      <w:r>
        <w:rPr>
          <w:rFonts w:hint="eastAsia" w:ascii="仿宋" w:hAnsi="仿宋" w:eastAsia="仿宋"/>
          <w:color w:val="auto"/>
          <w:sz w:val="24"/>
          <w:highlight w:val="none"/>
        </w:rPr>
        <w:t>其他相关采购文件。</w:t>
      </w:r>
    </w:p>
    <w:p>
      <w:pPr>
        <w:spacing w:line="560" w:lineRule="exact"/>
        <w:ind w:firstLine="482" w:firstLineChars="200"/>
        <w:outlineLvl w:val="0"/>
        <w:rPr>
          <w:rFonts w:ascii="仿宋" w:hAnsi="仿宋" w:eastAsia="仿宋"/>
          <w:b/>
          <w:color w:val="auto"/>
          <w:sz w:val="24"/>
          <w:highlight w:val="none"/>
        </w:rPr>
      </w:pPr>
      <w:bookmarkStart w:id="601" w:name="_Toc22185"/>
      <w:bookmarkStart w:id="602" w:name="_Toc6311"/>
      <w:bookmarkStart w:id="603" w:name="_Toc18585"/>
      <w:bookmarkStart w:id="604" w:name="_Toc2918"/>
      <w:bookmarkStart w:id="605" w:name="_Toc6773"/>
      <w:r>
        <w:rPr>
          <w:rFonts w:ascii="仿宋" w:hAnsi="仿宋" w:eastAsia="仿宋"/>
          <w:b/>
          <w:color w:val="auto"/>
          <w:sz w:val="24"/>
          <w:highlight w:val="none"/>
        </w:rPr>
        <w:t xml:space="preserve">1.2 </w:t>
      </w:r>
      <w:r>
        <w:rPr>
          <w:rFonts w:hint="eastAsia" w:ascii="仿宋" w:hAnsi="仿宋" w:eastAsia="仿宋"/>
          <w:b/>
          <w:color w:val="auto"/>
          <w:sz w:val="24"/>
          <w:highlight w:val="none"/>
        </w:rPr>
        <w:t>标的</w:t>
      </w:r>
      <w:bookmarkEnd w:id="601"/>
      <w:bookmarkEnd w:id="602"/>
      <w:bookmarkEnd w:id="603"/>
      <w:bookmarkEnd w:id="604"/>
      <w:bookmarkEnd w:id="605"/>
    </w:p>
    <w:p>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1.2.1 </w:t>
      </w:r>
      <w:r>
        <w:rPr>
          <w:rFonts w:hint="eastAsia" w:ascii="仿宋" w:hAnsi="仿宋" w:eastAsia="仿宋"/>
          <w:color w:val="auto"/>
          <w:sz w:val="24"/>
          <w:highlight w:val="none"/>
        </w:rPr>
        <w:t>标的</w:t>
      </w:r>
      <w:r>
        <w:rPr>
          <w:rFonts w:ascii="仿宋" w:hAnsi="仿宋" w:eastAsia="仿宋"/>
          <w:color w:val="auto"/>
          <w:sz w:val="24"/>
          <w:highlight w:val="none"/>
        </w:rPr>
        <w:t>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1.2.2 </w:t>
      </w:r>
      <w:r>
        <w:rPr>
          <w:rFonts w:hint="eastAsia" w:ascii="仿宋" w:hAnsi="仿宋" w:eastAsia="仿宋"/>
          <w:color w:val="auto"/>
          <w:sz w:val="24"/>
          <w:highlight w:val="none"/>
        </w:rPr>
        <w:t>标的</w:t>
      </w:r>
      <w:r>
        <w:rPr>
          <w:rFonts w:ascii="仿宋" w:hAnsi="仿宋" w:eastAsia="仿宋"/>
          <w:color w:val="auto"/>
          <w:sz w:val="24"/>
          <w:highlight w:val="none"/>
        </w:rPr>
        <w:t>数量：</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1.2.3 </w:t>
      </w:r>
      <w:r>
        <w:rPr>
          <w:rFonts w:hint="eastAsia" w:ascii="仿宋" w:hAnsi="仿宋" w:eastAsia="仿宋"/>
          <w:color w:val="auto"/>
          <w:sz w:val="24"/>
          <w:highlight w:val="none"/>
        </w:rPr>
        <w:t>标的质量：</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pacing w:line="560" w:lineRule="exact"/>
        <w:ind w:firstLine="482" w:firstLineChars="200"/>
        <w:outlineLvl w:val="0"/>
        <w:rPr>
          <w:rFonts w:ascii="仿宋" w:hAnsi="仿宋" w:eastAsia="仿宋"/>
          <w:b/>
          <w:color w:val="auto"/>
          <w:sz w:val="24"/>
          <w:highlight w:val="none"/>
        </w:rPr>
      </w:pPr>
      <w:bookmarkStart w:id="606" w:name="_Toc13918"/>
      <w:bookmarkStart w:id="607" w:name="_Toc1386"/>
      <w:bookmarkStart w:id="608" w:name="_Toc4929"/>
      <w:bookmarkStart w:id="609" w:name="_Toc21124"/>
      <w:bookmarkStart w:id="610" w:name="_Toc5635"/>
      <w:r>
        <w:rPr>
          <w:rFonts w:ascii="仿宋" w:hAnsi="仿宋" w:eastAsia="仿宋"/>
          <w:b/>
          <w:color w:val="auto"/>
          <w:sz w:val="24"/>
          <w:highlight w:val="none"/>
        </w:rPr>
        <w:t>1.3 价款</w:t>
      </w:r>
      <w:bookmarkEnd w:id="606"/>
      <w:bookmarkEnd w:id="607"/>
      <w:bookmarkEnd w:id="608"/>
      <w:bookmarkEnd w:id="609"/>
      <w:bookmarkEnd w:id="610"/>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本合同总价为</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ascii="仿宋" w:hAnsi="仿宋" w:eastAsia="仿宋"/>
          <w:color w:val="auto"/>
          <w:sz w:val="24"/>
          <w:highlight w:val="none"/>
        </w:rPr>
        <w:t>元</w:t>
      </w:r>
      <w:r>
        <w:rPr>
          <w:rFonts w:hint="eastAsia" w:ascii="仿宋" w:hAnsi="仿宋" w:eastAsia="仿宋"/>
          <w:color w:val="auto"/>
          <w:sz w:val="24"/>
          <w:highlight w:val="none"/>
        </w:rPr>
        <w:t>（大写：</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r>
        <w:rPr>
          <w:rFonts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分项价格：</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30"/>
              <w:spacing w:line="560" w:lineRule="exact"/>
              <w:ind w:firstLine="480"/>
              <w:jc w:val="center"/>
              <w:rPr>
                <w:rFonts w:ascii="仿宋" w:hAnsi="仿宋" w:eastAsia="仿宋"/>
                <w:color w:val="auto"/>
                <w:sz w:val="24"/>
                <w:szCs w:val="24"/>
                <w:highlight w:val="none"/>
              </w:rPr>
            </w:pPr>
            <w:r>
              <w:rPr>
                <w:rFonts w:ascii="仿宋" w:hAnsi="仿宋" w:eastAsia="仿宋"/>
                <w:color w:val="auto"/>
                <w:sz w:val="24"/>
                <w:szCs w:val="24"/>
                <w:highlight w:val="none"/>
              </w:rPr>
              <w:t>序号</w:t>
            </w:r>
          </w:p>
        </w:tc>
        <w:tc>
          <w:tcPr>
            <w:tcW w:w="3402" w:type="dxa"/>
            <w:vAlign w:val="center"/>
          </w:tcPr>
          <w:p>
            <w:pPr>
              <w:pStyle w:val="130"/>
              <w:spacing w:line="560" w:lineRule="exact"/>
              <w:ind w:firstLine="48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分项名称</w:t>
            </w:r>
          </w:p>
        </w:tc>
        <w:tc>
          <w:tcPr>
            <w:tcW w:w="2552" w:type="dxa"/>
            <w:vAlign w:val="center"/>
          </w:tcPr>
          <w:p>
            <w:pPr>
              <w:pStyle w:val="130"/>
              <w:spacing w:line="560" w:lineRule="exact"/>
              <w:ind w:firstLine="480"/>
              <w:jc w:val="center"/>
              <w:rPr>
                <w:rFonts w:ascii="仿宋" w:hAnsi="仿宋" w:eastAsia="仿宋"/>
                <w:color w:val="auto"/>
                <w:sz w:val="24"/>
                <w:szCs w:val="24"/>
                <w:highlight w:val="none"/>
              </w:rPr>
            </w:pPr>
            <w:r>
              <w:rPr>
                <w:rFonts w:ascii="仿宋" w:hAnsi="仿宋" w:eastAsia="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30"/>
              <w:spacing w:line="560" w:lineRule="exact"/>
              <w:ind w:firstLine="480"/>
              <w:jc w:val="center"/>
              <w:rPr>
                <w:rFonts w:ascii="仿宋" w:hAnsi="仿宋" w:eastAsia="仿宋"/>
                <w:color w:val="auto"/>
                <w:sz w:val="24"/>
                <w:szCs w:val="24"/>
                <w:highlight w:val="none"/>
              </w:rPr>
            </w:pPr>
          </w:p>
        </w:tc>
        <w:tc>
          <w:tcPr>
            <w:tcW w:w="3402" w:type="dxa"/>
            <w:vAlign w:val="center"/>
          </w:tcPr>
          <w:p>
            <w:pPr>
              <w:pStyle w:val="130"/>
              <w:spacing w:line="560" w:lineRule="exact"/>
              <w:ind w:firstLine="480"/>
              <w:jc w:val="center"/>
              <w:rPr>
                <w:rFonts w:ascii="仿宋" w:hAnsi="仿宋" w:eastAsia="仿宋"/>
                <w:color w:val="auto"/>
                <w:sz w:val="24"/>
                <w:szCs w:val="24"/>
                <w:highlight w:val="none"/>
              </w:rPr>
            </w:pPr>
          </w:p>
        </w:tc>
        <w:tc>
          <w:tcPr>
            <w:tcW w:w="2552" w:type="dxa"/>
            <w:vAlign w:val="center"/>
          </w:tcPr>
          <w:p>
            <w:pPr>
              <w:pStyle w:val="130"/>
              <w:spacing w:line="560" w:lineRule="exact"/>
              <w:ind w:firstLine="48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30"/>
              <w:spacing w:line="560" w:lineRule="exact"/>
              <w:ind w:firstLine="480"/>
              <w:jc w:val="center"/>
              <w:rPr>
                <w:rFonts w:ascii="仿宋" w:hAnsi="仿宋" w:eastAsia="仿宋"/>
                <w:color w:val="auto"/>
                <w:sz w:val="24"/>
                <w:szCs w:val="24"/>
                <w:highlight w:val="none"/>
              </w:rPr>
            </w:pPr>
          </w:p>
        </w:tc>
        <w:tc>
          <w:tcPr>
            <w:tcW w:w="3402" w:type="dxa"/>
            <w:vAlign w:val="center"/>
          </w:tcPr>
          <w:p>
            <w:pPr>
              <w:pStyle w:val="130"/>
              <w:spacing w:line="560" w:lineRule="exact"/>
              <w:ind w:firstLine="480"/>
              <w:jc w:val="center"/>
              <w:rPr>
                <w:rFonts w:ascii="仿宋" w:hAnsi="仿宋" w:eastAsia="仿宋"/>
                <w:color w:val="auto"/>
                <w:sz w:val="24"/>
                <w:szCs w:val="24"/>
                <w:highlight w:val="none"/>
              </w:rPr>
            </w:pPr>
          </w:p>
        </w:tc>
        <w:tc>
          <w:tcPr>
            <w:tcW w:w="2552" w:type="dxa"/>
            <w:vAlign w:val="center"/>
          </w:tcPr>
          <w:p>
            <w:pPr>
              <w:pStyle w:val="130"/>
              <w:spacing w:line="560" w:lineRule="exact"/>
              <w:ind w:firstLine="48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30"/>
              <w:spacing w:line="560" w:lineRule="exact"/>
              <w:ind w:firstLine="480"/>
              <w:jc w:val="center"/>
              <w:rPr>
                <w:rFonts w:ascii="仿宋" w:hAnsi="仿宋" w:eastAsia="仿宋"/>
                <w:color w:val="auto"/>
                <w:sz w:val="24"/>
                <w:szCs w:val="24"/>
                <w:highlight w:val="none"/>
              </w:rPr>
            </w:pPr>
          </w:p>
        </w:tc>
        <w:tc>
          <w:tcPr>
            <w:tcW w:w="3402" w:type="dxa"/>
            <w:vAlign w:val="center"/>
          </w:tcPr>
          <w:p>
            <w:pPr>
              <w:pStyle w:val="130"/>
              <w:spacing w:line="560" w:lineRule="exact"/>
              <w:ind w:firstLine="480"/>
              <w:jc w:val="center"/>
              <w:rPr>
                <w:rFonts w:ascii="仿宋" w:hAnsi="仿宋" w:eastAsia="仿宋"/>
                <w:color w:val="auto"/>
                <w:sz w:val="24"/>
                <w:szCs w:val="24"/>
                <w:highlight w:val="none"/>
              </w:rPr>
            </w:pPr>
          </w:p>
        </w:tc>
        <w:tc>
          <w:tcPr>
            <w:tcW w:w="2552" w:type="dxa"/>
            <w:vAlign w:val="center"/>
          </w:tcPr>
          <w:p>
            <w:pPr>
              <w:pStyle w:val="130"/>
              <w:spacing w:line="560" w:lineRule="exact"/>
              <w:ind w:firstLine="48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30"/>
              <w:spacing w:line="560" w:lineRule="exact"/>
              <w:ind w:firstLine="480"/>
              <w:jc w:val="center"/>
              <w:rPr>
                <w:rFonts w:ascii="仿宋" w:hAnsi="仿宋" w:eastAsia="仿宋"/>
                <w:color w:val="auto"/>
                <w:sz w:val="24"/>
                <w:szCs w:val="24"/>
                <w:highlight w:val="none"/>
              </w:rPr>
            </w:pPr>
          </w:p>
        </w:tc>
        <w:tc>
          <w:tcPr>
            <w:tcW w:w="3402" w:type="dxa"/>
            <w:vAlign w:val="center"/>
          </w:tcPr>
          <w:p>
            <w:pPr>
              <w:pStyle w:val="130"/>
              <w:spacing w:line="560" w:lineRule="exact"/>
              <w:ind w:firstLine="480"/>
              <w:jc w:val="center"/>
              <w:rPr>
                <w:rFonts w:ascii="仿宋" w:hAnsi="仿宋" w:eastAsia="仿宋"/>
                <w:color w:val="auto"/>
                <w:sz w:val="24"/>
                <w:szCs w:val="24"/>
                <w:highlight w:val="none"/>
              </w:rPr>
            </w:pPr>
          </w:p>
        </w:tc>
        <w:tc>
          <w:tcPr>
            <w:tcW w:w="2552" w:type="dxa"/>
            <w:vAlign w:val="center"/>
          </w:tcPr>
          <w:p>
            <w:pPr>
              <w:pStyle w:val="130"/>
              <w:spacing w:line="560" w:lineRule="exact"/>
              <w:ind w:firstLine="48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30"/>
              <w:spacing w:line="560" w:lineRule="exact"/>
              <w:ind w:firstLine="48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2552" w:type="dxa"/>
            <w:vAlign w:val="center"/>
          </w:tcPr>
          <w:p>
            <w:pPr>
              <w:pStyle w:val="130"/>
              <w:spacing w:line="560" w:lineRule="exact"/>
              <w:ind w:firstLine="480"/>
              <w:jc w:val="center"/>
              <w:rPr>
                <w:rFonts w:ascii="仿宋" w:hAnsi="仿宋" w:eastAsia="仿宋"/>
                <w:color w:val="auto"/>
                <w:sz w:val="24"/>
                <w:szCs w:val="24"/>
                <w:highlight w:val="none"/>
              </w:rPr>
            </w:pPr>
          </w:p>
        </w:tc>
      </w:tr>
    </w:tbl>
    <w:p>
      <w:pPr>
        <w:spacing w:line="560" w:lineRule="exact"/>
        <w:ind w:firstLine="482" w:firstLineChars="200"/>
        <w:outlineLvl w:val="0"/>
        <w:rPr>
          <w:rFonts w:ascii="仿宋" w:hAnsi="仿宋" w:eastAsia="仿宋"/>
          <w:b/>
          <w:color w:val="auto"/>
          <w:sz w:val="24"/>
          <w:highlight w:val="none"/>
        </w:rPr>
      </w:pPr>
      <w:bookmarkStart w:id="611" w:name="_Toc26916"/>
      <w:bookmarkStart w:id="612" w:name="_Toc3654"/>
      <w:bookmarkStart w:id="613" w:name="_Toc30506"/>
      <w:bookmarkStart w:id="614" w:name="_Toc30158"/>
      <w:bookmarkStart w:id="615" w:name="_Toc14993"/>
      <w:r>
        <w:rPr>
          <w:rFonts w:ascii="仿宋" w:hAnsi="仿宋" w:eastAsia="仿宋"/>
          <w:b/>
          <w:color w:val="auto"/>
          <w:sz w:val="24"/>
          <w:highlight w:val="none"/>
        </w:rPr>
        <w:t>1.4 付款方式和发票开具方式</w:t>
      </w:r>
      <w:bookmarkEnd w:id="611"/>
      <w:bookmarkEnd w:id="612"/>
      <w:bookmarkEnd w:id="613"/>
      <w:bookmarkEnd w:id="614"/>
      <w:bookmarkEnd w:id="615"/>
    </w:p>
    <w:p>
      <w:pPr>
        <w:pStyle w:val="642"/>
        <w:spacing w:before="0" w:beforeAutospacing="0" w:after="0" w:afterAutospacing="0" w:line="360" w:lineRule="auto"/>
        <w:ind w:firstLine="480"/>
        <w:rPr>
          <w:rFonts w:ascii="仿宋" w:hAnsi="仿宋" w:eastAsia="仿宋" w:cs="Times New Roman"/>
          <w:color w:val="auto"/>
          <w:highlight w:val="none"/>
        </w:rPr>
      </w:pPr>
      <w:r>
        <w:rPr>
          <w:rFonts w:ascii="仿宋" w:hAnsi="仿宋" w:eastAsia="仿宋" w:cs="Times New Roman"/>
          <w:color w:val="auto"/>
          <w:highlight w:val="none"/>
        </w:rPr>
        <w:t>1.4.1</w:t>
      </w:r>
      <w:r>
        <w:rPr>
          <w:rFonts w:hint="eastAsia" w:ascii="仿宋" w:hAnsi="仿宋" w:eastAsia="仿宋" w:cs="Times New Roman"/>
          <w:color w:val="auto"/>
          <w:highlight w:val="none"/>
        </w:rPr>
        <w:t>甲方应严格履行合同，及时组织验收，验收合格后及时将合同款支付完毕。对于满足合同约定支付条件的，甲方自收到发票后</w:t>
      </w:r>
      <w:r>
        <w:rPr>
          <w:rFonts w:ascii="仿宋" w:hAnsi="仿宋" w:eastAsia="仿宋" w:cs="Times New Roman"/>
          <w:color w:val="auto"/>
          <w:highlight w:val="none"/>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1.4.2 </w:t>
      </w:r>
      <w:r>
        <w:rPr>
          <w:rFonts w:hint="eastAsia" w:ascii="仿宋" w:hAnsi="仿宋" w:eastAsia="仿宋"/>
          <w:color w:val="auto"/>
          <w:sz w:val="24"/>
          <w:highlight w:val="none"/>
        </w:rPr>
        <w:t>合同预付款比例为合同金额的</w:t>
      </w:r>
      <w:r>
        <w:rPr>
          <w:rFonts w:ascii="仿宋" w:hAnsi="仿宋" w:eastAsia="仿宋"/>
          <w:color w:val="auto"/>
          <w:sz w:val="24"/>
          <w:highlight w:val="none"/>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w:t>
      </w:r>
      <w:r>
        <w:rPr>
          <w:rFonts w:hint="eastAsia" w:ascii="仿宋" w:hAnsi="仿宋" w:eastAsia="仿宋"/>
          <w:color w:val="auto"/>
          <w:sz w:val="24"/>
          <w:highlight w:val="none"/>
        </w:rPr>
        <w:t>政府采购工程以及与工程建设有关的货物、服务，采用招标方式采购的，预付款从其相关规定。乙方可登录政采云前台大厅选择金融服务</w:t>
      </w:r>
      <w:r>
        <w:rPr>
          <w:rFonts w:ascii="仿宋" w:hAnsi="仿宋" w:eastAsia="仿宋"/>
          <w:color w:val="auto"/>
          <w:sz w:val="24"/>
          <w:highlight w:val="none"/>
        </w:rPr>
        <w:t xml:space="preserve"> - </w:t>
      </w:r>
      <w:r>
        <w:rPr>
          <w:rFonts w:hint="eastAsia" w:ascii="仿宋" w:hAnsi="仿宋" w:eastAsia="仿宋"/>
          <w:color w:val="auto"/>
          <w:sz w:val="24"/>
          <w:highlight w:val="none"/>
        </w:rPr>
        <w:t>【保函保险服务】出具预付款保函，具体步骤：选择产品—填写供应商信息—选择中标项目—确认信息—等待保险</w:t>
      </w:r>
      <w:r>
        <w:rPr>
          <w:rFonts w:ascii="仿宋" w:hAnsi="仿宋" w:eastAsia="仿宋"/>
          <w:color w:val="auto"/>
          <w:sz w:val="24"/>
          <w:highlight w:val="none"/>
        </w:rPr>
        <w:t>/保函受理—确认保单—支付保费—成功出单。政</w:t>
      </w:r>
      <w:r>
        <w:rPr>
          <w:rFonts w:hint="eastAsia" w:ascii="仿宋" w:hAnsi="仿宋" w:eastAsia="仿宋"/>
          <w:color w:val="auto"/>
          <w:sz w:val="24"/>
          <w:highlight w:val="none"/>
        </w:rPr>
        <w:t>采云金融专线</w:t>
      </w:r>
      <w:r>
        <w:rPr>
          <w:rFonts w:ascii="仿宋" w:hAnsi="仿宋" w:eastAsia="仿宋"/>
          <w:color w:val="auto"/>
          <w:sz w:val="24"/>
          <w:highlight w:val="none"/>
        </w:rPr>
        <w:t>400-903-9583。</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1.4.3</w:t>
      </w:r>
      <w:r>
        <w:rPr>
          <w:rFonts w:hint="eastAsia" w:ascii="仿宋" w:hAnsi="仿宋" w:eastAsia="仿宋"/>
          <w:color w:val="auto"/>
          <w:sz w:val="24"/>
          <w:highlight w:val="none"/>
        </w:rPr>
        <w:t>甲方迟延支付乙方款项的，向乙方支付逾期利息。双方可以在合同专用条款中约定逾期利率，约定利率不得低于合同订立时</w:t>
      </w:r>
      <w:r>
        <w:rPr>
          <w:rFonts w:ascii="仿宋" w:hAnsi="仿宋" w:eastAsia="仿宋"/>
          <w:color w:val="auto"/>
          <w:sz w:val="24"/>
          <w:highlight w:val="none"/>
        </w:rPr>
        <w:t>1年</w:t>
      </w:r>
      <w:r>
        <w:rPr>
          <w:rFonts w:hint="eastAsia" w:ascii="仿宋" w:hAnsi="仿宋" w:eastAsia="仿宋"/>
          <w:color w:val="auto"/>
          <w:sz w:val="24"/>
          <w:highlight w:val="none"/>
        </w:rPr>
        <w:t>期贷款市场报价利率；未作约定的，按照每日利率万分之五支付逾期利息。</w:t>
      </w:r>
    </w:p>
    <w:p>
      <w:pPr>
        <w:spacing w:line="560" w:lineRule="exact"/>
        <w:ind w:firstLine="480" w:firstLineChars="200"/>
        <w:outlineLvl w:val="0"/>
        <w:rPr>
          <w:rFonts w:ascii="仿宋" w:hAnsi="仿宋" w:eastAsia="仿宋"/>
          <w:color w:val="auto"/>
          <w:sz w:val="24"/>
          <w:highlight w:val="none"/>
        </w:rPr>
      </w:pPr>
      <w:r>
        <w:rPr>
          <w:rFonts w:ascii="仿宋" w:hAnsi="仿宋" w:eastAsia="仿宋"/>
          <w:color w:val="auto"/>
          <w:sz w:val="24"/>
          <w:highlight w:val="none"/>
        </w:rPr>
        <w:t>1.4.4资金支付的方式、时间和条件详见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560" w:lineRule="exact"/>
        <w:ind w:firstLine="480" w:firstLineChars="200"/>
        <w:outlineLvl w:val="0"/>
        <w:rPr>
          <w:rFonts w:ascii="仿宋" w:hAnsi="仿宋" w:eastAsia="仿宋"/>
          <w:color w:val="auto"/>
          <w:sz w:val="24"/>
          <w:highlight w:val="none"/>
        </w:rPr>
      </w:pPr>
      <w:r>
        <w:rPr>
          <w:rFonts w:ascii="仿宋" w:hAnsi="仿宋" w:eastAsia="仿宋"/>
          <w:color w:val="auto"/>
          <w:sz w:val="24"/>
          <w:highlight w:val="none"/>
        </w:rPr>
        <w:t>1.4.5</w:t>
      </w:r>
      <w:r>
        <w:rPr>
          <w:rFonts w:hint="eastAsia" w:ascii="仿宋" w:hAnsi="仿宋" w:eastAsia="仿宋"/>
          <w:color w:val="auto"/>
          <w:sz w:val="24"/>
          <w:highlight w:val="none"/>
        </w:rPr>
        <w:t>乙方</w:t>
      </w:r>
      <w:r>
        <w:rPr>
          <w:rFonts w:ascii="仿宋" w:hAnsi="仿宋" w:eastAsia="仿宋"/>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highlight w:val="none"/>
        </w:rPr>
        <w:t>杭财采监〔</w:t>
      </w:r>
      <w:r>
        <w:rPr>
          <w:rFonts w:ascii="仿宋" w:hAnsi="仿宋" w:eastAsia="仿宋"/>
          <w:color w:val="auto"/>
          <w:sz w:val="24"/>
          <w:highlight w:val="none"/>
        </w:rPr>
        <w:t>2021〕17号）。</w:t>
      </w:r>
    </w:p>
    <w:p>
      <w:pPr>
        <w:spacing w:line="560" w:lineRule="exact"/>
        <w:ind w:firstLine="482" w:firstLineChars="200"/>
        <w:outlineLvl w:val="0"/>
        <w:rPr>
          <w:rFonts w:ascii="仿宋" w:hAnsi="仿宋" w:eastAsia="仿宋"/>
          <w:b/>
          <w:color w:val="auto"/>
          <w:sz w:val="24"/>
          <w:highlight w:val="none"/>
        </w:rPr>
      </w:pPr>
      <w:bookmarkStart w:id="616" w:name="_Toc31421"/>
      <w:bookmarkStart w:id="617" w:name="_Toc3625"/>
      <w:bookmarkStart w:id="618" w:name="_Toc4760"/>
      <w:bookmarkStart w:id="619" w:name="_Toc8772"/>
      <w:bookmarkStart w:id="620" w:name="_Toc11108"/>
      <w:r>
        <w:rPr>
          <w:rFonts w:ascii="仿宋" w:hAnsi="仿宋" w:eastAsia="仿宋"/>
          <w:b/>
          <w:color w:val="auto"/>
          <w:sz w:val="24"/>
          <w:highlight w:val="none"/>
        </w:rPr>
        <w:t>1.5 履行期限</w:t>
      </w:r>
      <w:r>
        <w:rPr>
          <w:rFonts w:hint="eastAsia" w:ascii="仿宋" w:hAnsi="仿宋" w:eastAsia="仿宋"/>
          <w:b/>
          <w:color w:val="auto"/>
          <w:sz w:val="24"/>
          <w:highlight w:val="none"/>
        </w:rPr>
        <w:t>、地点和方式</w:t>
      </w:r>
      <w:bookmarkEnd w:id="616"/>
      <w:bookmarkEnd w:id="617"/>
      <w:bookmarkEnd w:id="618"/>
      <w:bookmarkEnd w:id="619"/>
      <w:bookmarkEnd w:id="620"/>
    </w:p>
    <w:p>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1.5.1 </w:t>
      </w:r>
      <w:r>
        <w:rPr>
          <w:rFonts w:hint="eastAsia" w:ascii="仿宋" w:hAnsi="仿宋" w:eastAsia="仿宋"/>
          <w:color w:val="auto"/>
          <w:sz w:val="24"/>
          <w:highlight w:val="none"/>
        </w:rPr>
        <w:t>履行期限</w:t>
      </w:r>
      <w:r>
        <w:rPr>
          <w:rFonts w:ascii="仿宋" w:hAnsi="仿宋" w:eastAsia="仿宋"/>
          <w:color w:val="auto"/>
          <w:sz w:val="24"/>
          <w:highlight w:val="none"/>
        </w:rPr>
        <w:t>：</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1.5.2 </w:t>
      </w:r>
      <w:r>
        <w:rPr>
          <w:rFonts w:hint="eastAsia" w:ascii="仿宋" w:hAnsi="仿宋" w:eastAsia="仿宋"/>
          <w:color w:val="auto"/>
          <w:sz w:val="24"/>
          <w:highlight w:val="none"/>
        </w:rPr>
        <w:t>履行地点</w:t>
      </w:r>
      <w:r>
        <w:rPr>
          <w:rFonts w:ascii="仿宋" w:hAnsi="仿宋" w:eastAsia="仿宋"/>
          <w:color w:val="auto"/>
          <w:sz w:val="24"/>
          <w:highlight w:val="none"/>
        </w:rPr>
        <w:t>：</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1.5.3 </w:t>
      </w:r>
      <w:r>
        <w:rPr>
          <w:rFonts w:hint="eastAsia" w:ascii="仿宋" w:hAnsi="仿宋" w:eastAsia="仿宋"/>
          <w:color w:val="auto"/>
          <w:sz w:val="24"/>
          <w:highlight w:val="none"/>
        </w:rPr>
        <w:t>履行方式：</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560" w:lineRule="exact"/>
        <w:ind w:firstLine="482" w:firstLineChars="200"/>
        <w:outlineLvl w:val="0"/>
        <w:rPr>
          <w:rFonts w:ascii="仿宋" w:hAnsi="仿宋" w:eastAsia="仿宋"/>
          <w:color w:val="auto"/>
          <w:sz w:val="24"/>
          <w:highlight w:val="none"/>
          <w:u w:val="single"/>
        </w:rPr>
      </w:pPr>
      <w:bookmarkStart w:id="621" w:name="_Toc24662"/>
      <w:bookmarkStart w:id="622" w:name="_Toc3079"/>
      <w:bookmarkStart w:id="623" w:name="_Toc2375"/>
      <w:bookmarkStart w:id="624" w:name="_Toc8586"/>
      <w:bookmarkStart w:id="625" w:name="_Toc5698"/>
      <w:r>
        <w:rPr>
          <w:rFonts w:ascii="仿宋" w:hAnsi="仿宋" w:eastAsia="仿宋"/>
          <w:b/>
          <w:color w:val="auto"/>
          <w:sz w:val="24"/>
          <w:highlight w:val="none"/>
        </w:rPr>
        <w:t xml:space="preserve">1.6 </w:t>
      </w:r>
      <w:r>
        <w:rPr>
          <w:rFonts w:hint="eastAsia" w:ascii="仿宋" w:hAnsi="仿宋" w:eastAsia="仿宋"/>
          <w:b/>
          <w:color w:val="auto"/>
          <w:sz w:val="24"/>
          <w:highlight w:val="none"/>
        </w:rPr>
        <w:t>违约责任</w:t>
      </w:r>
      <w:bookmarkEnd w:id="621"/>
      <w:bookmarkEnd w:id="622"/>
      <w:bookmarkEnd w:id="623"/>
      <w:bookmarkEnd w:id="624"/>
      <w:bookmarkEnd w:id="625"/>
    </w:p>
    <w:p>
      <w:pPr>
        <w:spacing w:line="560" w:lineRule="exact"/>
        <w:ind w:firstLine="480" w:firstLineChars="200"/>
        <w:rPr>
          <w:rFonts w:ascii="仿宋" w:hAnsi="仿宋" w:eastAsia="仿宋"/>
          <w:color w:val="auto"/>
          <w:sz w:val="24"/>
          <w:highlight w:val="none"/>
        </w:rPr>
      </w:pPr>
      <w:bookmarkStart w:id="626" w:name="_Hlk120831355"/>
      <w:r>
        <w:rPr>
          <w:rFonts w:ascii="仿宋" w:hAnsi="仿宋" w:eastAsia="仿宋"/>
          <w:color w:val="auto"/>
          <w:sz w:val="24"/>
          <w:highlight w:val="none"/>
        </w:rPr>
        <w:t>1.6.1 除不可抗力外，如果乙方没有按照本合同约定的期限</w:t>
      </w:r>
      <w:r>
        <w:rPr>
          <w:rFonts w:hint="eastAsia" w:ascii="仿宋" w:hAnsi="仿宋" w:eastAsia="仿宋"/>
          <w:color w:val="auto"/>
          <w:sz w:val="24"/>
          <w:highlight w:val="none"/>
        </w:rPr>
        <w:t>、</w:t>
      </w:r>
      <w:r>
        <w:rPr>
          <w:rFonts w:ascii="仿宋" w:hAnsi="仿宋" w:eastAsia="仿宋"/>
          <w:color w:val="auto"/>
          <w:sz w:val="24"/>
          <w:highlight w:val="none"/>
        </w:rPr>
        <w:t>地点和方式</w:t>
      </w:r>
      <w:r>
        <w:rPr>
          <w:rFonts w:hint="eastAsia" w:ascii="仿宋" w:hAnsi="仿宋" w:eastAsia="仿宋"/>
          <w:color w:val="auto"/>
          <w:sz w:val="24"/>
          <w:highlight w:val="none"/>
        </w:rPr>
        <w:t>履行</w:t>
      </w:r>
      <w:r>
        <w:rPr>
          <w:rFonts w:ascii="仿宋" w:hAnsi="仿宋" w:eastAsia="仿宋"/>
          <w:color w:val="auto"/>
          <w:sz w:val="24"/>
          <w:highlight w:val="none"/>
        </w:rPr>
        <w:t>，那么甲方可要求乙方支付违约金</w:t>
      </w:r>
      <w:r>
        <w:rPr>
          <w:rFonts w:hint="eastAsia" w:ascii="仿宋" w:hAnsi="仿宋" w:eastAsia="仿宋"/>
          <w:color w:val="auto"/>
          <w:sz w:val="24"/>
          <w:highlight w:val="none"/>
        </w:rPr>
        <w:t>，</w:t>
      </w:r>
      <w:r>
        <w:rPr>
          <w:rFonts w:ascii="仿宋" w:hAnsi="仿宋" w:eastAsia="仿宋"/>
          <w:color w:val="auto"/>
          <w:sz w:val="24"/>
          <w:highlight w:val="none"/>
        </w:rPr>
        <w:t>违约金按每迟延</w:t>
      </w:r>
      <w:r>
        <w:rPr>
          <w:rFonts w:hint="eastAsia" w:ascii="仿宋" w:hAnsi="仿宋" w:eastAsia="仿宋"/>
          <w:color w:val="auto"/>
          <w:sz w:val="24"/>
          <w:highlight w:val="none"/>
        </w:rPr>
        <w:t>履行</w:t>
      </w:r>
      <w:r>
        <w:rPr>
          <w:rFonts w:ascii="仿宋" w:hAnsi="仿宋" w:eastAsia="仿宋"/>
          <w:color w:val="auto"/>
          <w:sz w:val="24"/>
          <w:highlight w:val="none"/>
        </w:rPr>
        <w:t>一日的应提供而未</w:t>
      </w:r>
      <w:r>
        <w:rPr>
          <w:rFonts w:hint="eastAsia" w:ascii="仿宋" w:hAnsi="仿宋" w:eastAsia="仿宋"/>
          <w:color w:val="auto"/>
          <w:sz w:val="24"/>
          <w:highlight w:val="none"/>
        </w:rPr>
        <w:t>提供</w:t>
      </w:r>
      <w:r>
        <w:rPr>
          <w:rFonts w:ascii="仿宋" w:hAnsi="仿宋" w:eastAsia="仿宋"/>
          <w:color w:val="auto"/>
          <w:sz w:val="24"/>
          <w:highlight w:val="none"/>
        </w:rPr>
        <w:t>服务价格的</w:t>
      </w:r>
      <w:r>
        <w:rPr>
          <w:rFonts w:ascii="仿宋" w:hAnsi="仿宋" w:eastAsia="仿宋"/>
          <w:color w:val="auto"/>
          <w:sz w:val="24"/>
          <w:highlight w:val="none"/>
          <w:u w:val="single"/>
        </w:rPr>
        <w:t xml:space="preserve"> 0.05   </w:t>
      </w:r>
      <w:r>
        <w:rPr>
          <w:rFonts w:ascii="仿宋" w:hAnsi="仿宋" w:eastAsia="仿宋"/>
          <w:color w:val="auto"/>
          <w:sz w:val="24"/>
          <w:highlight w:val="none"/>
        </w:rPr>
        <w:t>%计算</w:t>
      </w:r>
      <w:r>
        <w:rPr>
          <w:rFonts w:hint="eastAsia" w:ascii="仿宋" w:hAnsi="仿宋" w:eastAsia="仿宋"/>
          <w:color w:val="auto"/>
          <w:sz w:val="24"/>
          <w:highlight w:val="none"/>
        </w:rPr>
        <w:t>，</w:t>
      </w:r>
      <w:r>
        <w:rPr>
          <w:rFonts w:ascii="仿宋" w:hAnsi="仿宋" w:eastAsia="仿宋"/>
          <w:color w:val="auto"/>
          <w:sz w:val="24"/>
          <w:highlight w:val="none"/>
        </w:rPr>
        <w:t>最高限额为</w:t>
      </w:r>
      <w:r>
        <w:rPr>
          <w:rFonts w:hint="eastAsia" w:ascii="仿宋" w:hAnsi="仿宋" w:eastAsia="仿宋"/>
          <w:color w:val="auto"/>
          <w:sz w:val="24"/>
          <w:highlight w:val="none"/>
        </w:rPr>
        <w:t>本</w:t>
      </w:r>
      <w:r>
        <w:rPr>
          <w:rFonts w:ascii="仿宋" w:hAnsi="仿宋" w:eastAsia="仿宋"/>
          <w:color w:val="auto"/>
          <w:sz w:val="24"/>
          <w:highlight w:val="none"/>
        </w:rPr>
        <w:t>合同总价的</w:t>
      </w:r>
      <w:r>
        <w:rPr>
          <w:rFonts w:ascii="仿宋" w:hAnsi="仿宋" w:eastAsia="仿宋"/>
          <w:color w:val="auto"/>
          <w:sz w:val="24"/>
          <w:highlight w:val="none"/>
          <w:u w:val="single"/>
        </w:rPr>
        <w:t xml:space="preserve">  20   </w:t>
      </w:r>
      <w:r>
        <w:rPr>
          <w:rFonts w:ascii="仿宋" w:hAnsi="仿宋" w:eastAsia="仿宋"/>
          <w:color w:val="auto"/>
          <w:sz w:val="24"/>
          <w:highlight w:val="none"/>
        </w:rPr>
        <w:t>%</w:t>
      </w:r>
      <w:r>
        <w:rPr>
          <w:rFonts w:hint="eastAsia" w:ascii="仿宋" w:hAnsi="仿宋" w:eastAsia="仿宋"/>
          <w:color w:val="auto"/>
          <w:sz w:val="24"/>
          <w:highlight w:val="none"/>
        </w:rPr>
        <w:t>；</w:t>
      </w:r>
      <w:r>
        <w:rPr>
          <w:rFonts w:ascii="仿宋" w:hAnsi="仿宋" w:eastAsia="仿宋"/>
          <w:color w:val="auto"/>
          <w:sz w:val="24"/>
          <w:highlight w:val="none"/>
        </w:rPr>
        <w:t>迟延</w:t>
      </w:r>
      <w:r>
        <w:rPr>
          <w:rFonts w:hint="eastAsia" w:ascii="仿宋" w:hAnsi="仿宋" w:eastAsia="仿宋"/>
          <w:color w:val="auto"/>
          <w:sz w:val="24"/>
          <w:highlight w:val="none"/>
        </w:rPr>
        <w:t>履行</w:t>
      </w:r>
      <w:r>
        <w:rPr>
          <w:rFonts w:ascii="仿宋" w:hAnsi="仿宋" w:eastAsia="仿宋"/>
          <w:color w:val="auto"/>
          <w:sz w:val="24"/>
          <w:highlight w:val="none"/>
        </w:rPr>
        <w:t>的违约金计算数额达到前述最高限额之日起</w:t>
      </w:r>
      <w:r>
        <w:rPr>
          <w:rFonts w:hint="eastAsia" w:ascii="仿宋" w:hAnsi="仿宋" w:eastAsia="仿宋"/>
          <w:color w:val="auto"/>
          <w:sz w:val="24"/>
          <w:highlight w:val="none"/>
        </w:rPr>
        <w:t>，</w:t>
      </w:r>
      <w:r>
        <w:rPr>
          <w:rFonts w:ascii="仿宋" w:hAnsi="仿宋" w:eastAsia="仿宋"/>
          <w:color w:val="auto"/>
          <w:sz w:val="24"/>
          <w:highlight w:val="none"/>
        </w:rPr>
        <w:t>甲方有权在要求乙方支付违约金的同时</w:t>
      </w:r>
      <w:r>
        <w:rPr>
          <w:rFonts w:hint="eastAsia" w:ascii="仿宋" w:hAnsi="仿宋" w:eastAsia="仿宋"/>
          <w:color w:val="auto"/>
          <w:sz w:val="24"/>
          <w:highlight w:val="none"/>
        </w:rPr>
        <w:t>，书面通知乙方</w:t>
      </w:r>
      <w:r>
        <w:rPr>
          <w:rFonts w:ascii="仿宋" w:hAnsi="仿宋" w:eastAsia="仿宋"/>
          <w:color w:val="auto"/>
          <w:sz w:val="24"/>
          <w:highlight w:val="none"/>
        </w:rPr>
        <w:t>解除本合同</w:t>
      </w:r>
      <w:r>
        <w:rPr>
          <w:rFonts w:hint="eastAsia"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1.6.2 除不可抗力外，如果甲方没有按照本合同约定的付款方式付款，那么乙方可要求甲方支付违约金</w:t>
      </w:r>
      <w:r>
        <w:rPr>
          <w:rFonts w:hint="eastAsia" w:ascii="仿宋" w:hAnsi="仿宋" w:eastAsia="仿宋"/>
          <w:color w:val="auto"/>
          <w:sz w:val="24"/>
          <w:highlight w:val="none"/>
        </w:rPr>
        <w:t>，</w:t>
      </w:r>
      <w:r>
        <w:rPr>
          <w:rFonts w:ascii="仿宋" w:hAnsi="仿宋" w:eastAsia="仿宋"/>
          <w:color w:val="auto"/>
          <w:sz w:val="24"/>
          <w:highlight w:val="none"/>
        </w:rPr>
        <w:t>违约金按每迟延</w:t>
      </w:r>
      <w:r>
        <w:rPr>
          <w:rFonts w:hint="eastAsia" w:ascii="仿宋" w:hAnsi="仿宋" w:eastAsia="仿宋"/>
          <w:color w:val="auto"/>
          <w:sz w:val="24"/>
          <w:highlight w:val="none"/>
        </w:rPr>
        <w:t>付款</w:t>
      </w:r>
      <w:r>
        <w:rPr>
          <w:rFonts w:ascii="仿宋" w:hAnsi="仿宋" w:eastAsia="仿宋"/>
          <w:color w:val="auto"/>
          <w:sz w:val="24"/>
          <w:highlight w:val="none"/>
        </w:rPr>
        <w:t>一日的应付而未付款的</w:t>
      </w:r>
      <w:r>
        <w:rPr>
          <w:rFonts w:ascii="仿宋" w:hAnsi="仿宋" w:eastAsia="仿宋"/>
          <w:color w:val="auto"/>
          <w:sz w:val="24"/>
          <w:highlight w:val="none"/>
          <w:u w:val="single"/>
        </w:rPr>
        <w:t xml:space="preserve"> 0.05   </w:t>
      </w:r>
      <w:r>
        <w:rPr>
          <w:rFonts w:ascii="仿宋" w:hAnsi="仿宋" w:eastAsia="仿宋"/>
          <w:color w:val="auto"/>
          <w:sz w:val="24"/>
          <w:highlight w:val="none"/>
        </w:rPr>
        <w:t>%计算</w:t>
      </w:r>
      <w:r>
        <w:rPr>
          <w:rFonts w:hint="eastAsia" w:ascii="仿宋" w:hAnsi="仿宋" w:eastAsia="仿宋"/>
          <w:color w:val="auto"/>
          <w:sz w:val="24"/>
          <w:highlight w:val="none"/>
        </w:rPr>
        <w:t>，</w:t>
      </w:r>
      <w:r>
        <w:rPr>
          <w:rFonts w:ascii="仿宋" w:hAnsi="仿宋" w:eastAsia="仿宋"/>
          <w:color w:val="auto"/>
          <w:sz w:val="24"/>
          <w:highlight w:val="none"/>
        </w:rPr>
        <w:t>最高限额为</w:t>
      </w:r>
      <w:r>
        <w:rPr>
          <w:rFonts w:hint="eastAsia" w:ascii="仿宋" w:hAnsi="仿宋" w:eastAsia="仿宋"/>
          <w:color w:val="auto"/>
          <w:sz w:val="24"/>
          <w:highlight w:val="none"/>
        </w:rPr>
        <w:t>本</w:t>
      </w:r>
      <w:r>
        <w:rPr>
          <w:rFonts w:ascii="仿宋" w:hAnsi="仿宋" w:eastAsia="仿宋"/>
          <w:color w:val="auto"/>
          <w:sz w:val="24"/>
          <w:highlight w:val="none"/>
        </w:rPr>
        <w:t>合同总价的</w:t>
      </w:r>
      <w:r>
        <w:rPr>
          <w:rFonts w:ascii="仿宋" w:hAnsi="仿宋" w:eastAsia="仿宋"/>
          <w:color w:val="auto"/>
          <w:sz w:val="24"/>
          <w:highlight w:val="none"/>
          <w:u w:val="single"/>
        </w:rPr>
        <w:t xml:space="preserve">  20   </w:t>
      </w:r>
      <w:r>
        <w:rPr>
          <w:rFonts w:ascii="仿宋" w:hAnsi="仿宋" w:eastAsia="仿宋"/>
          <w:color w:val="auto"/>
          <w:sz w:val="24"/>
          <w:highlight w:val="none"/>
        </w:rPr>
        <w:t>%</w:t>
      </w:r>
      <w:r>
        <w:rPr>
          <w:rFonts w:hint="eastAsia" w:ascii="仿宋" w:hAnsi="仿宋" w:eastAsia="仿宋"/>
          <w:color w:val="auto"/>
          <w:sz w:val="24"/>
          <w:highlight w:val="none"/>
        </w:rPr>
        <w:t>；</w:t>
      </w:r>
      <w:r>
        <w:rPr>
          <w:rFonts w:ascii="仿宋" w:hAnsi="仿宋" w:eastAsia="仿宋"/>
          <w:color w:val="auto"/>
          <w:sz w:val="24"/>
          <w:highlight w:val="none"/>
        </w:rPr>
        <w:t>迟延</w:t>
      </w:r>
      <w:r>
        <w:rPr>
          <w:rFonts w:hint="eastAsia" w:ascii="仿宋" w:hAnsi="仿宋" w:eastAsia="仿宋"/>
          <w:color w:val="auto"/>
          <w:sz w:val="24"/>
          <w:highlight w:val="none"/>
        </w:rPr>
        <w:t>付款</w:t>
      </w:r>
      <w:r>
        <w:rPr>
          <w:rFonts w:ascii="仿宋" w:hAnsi="仿宋" w:eastAsia="仿宋"/>
          <w:color w:val="auto"/>
          <w:sz w:val="24"/>
          <w:highlight w:val="none"/>
        </w:rPr>
        <w:t>的违约金计算数额达到前述最高限额之日起</w:t>
      </w:r>
      <w:r>
        <w:rPr>
          <w:rFonts w:hint="eastAsia" w:ascii="仿宋" w:hAnsi="仿宋" w:eastAsia="仿宋"/>
          <w:color w:val="auto"/>
          <w:sz w:val="24"/>
          <w:highlight w:val="none"/>
        </w:rPr>
        <w:t>，乙</w:t>
      </w:r>
      <w:r>
        <w:rPr>
          <w:rFonts w:ascii="仿宋" w:hAnsi="仿宋" w:eastAsia="仿宋"/>
          <w:color w:val="auto"/>
          <w:sz w:val="24"/>
          <w:highlight w:val="none"/>
        </w:rPr>
        <w:t>方有权在要求甲方支付违约金的同时</w:t>
      </w:r>
      <w:r>
        <w:rPr>
          <w:rFonts w:hint="eastAsia" w:ascii="仿宋" w:hAnsi="仿宋" w:eastAsia="仿宋"/>
          <w:color w:val="auto"/>
          <w:sz w:val="24"/>
          <w:highlight w:val="none"/>
        </w:rPr>
        <w:t>，书面通知甲方</w:t>
      </w:r>
      <w:r>
        <w:rPr>
          <w:rFonts w:ascii="仿宋" w:hAnsi="仿宋" w:eastAsia="仿宋"/>
          <w:color w:val="auto"/>
          <w:sz w:val="24"/>
          <w:highlight w:val="none"/>
        </w:rPr>
        <w:t>解除本合同</w:t>
      </w:r>
      <w:r>
        <w:rPr>
          <w:rFonts w:hint="eastAsia"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1.6.3 </w:t>
      </w:r>
      <w:r>
        <w:rPr>
          <w:rFonts w:hint="eastAsia" w:ascii="仿宋" w:hAnsi="仿宋" w:eastAsia="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1.6.4 </w:t>
      </w:r>
      <w:r>
        <w:rPr>
          <w:rFonts w:hint="eastAsia" w:ascii="仿宋" w:hAnsi="仿宋" w:eastAsia="仿宋"/>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1.6.5 </w:t>
      </w:r>
      <w:r>
        <w:rPr>
          <w:rFonts w:hint="eastAsia" w:ascii="仿宋" w:hAnsi="仿宋" w:eastAsia="仿宋"/>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1.6.6 </w:t>
      </w:r>
      <w:r>
        <w:rPr>
          <w:rFonts w:hint="eastAsia" w:ascii="仿宋" w:hAnsi="仿宋" w:eastAsia="仿宋"/>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bookmarkEnd w:id="626"/>
    <w:p>
      <w:pPr>
        <w:spacing w:line="560" w:lineRule="exact"/>
        <w:ind w:left="-420" w:leftChars="-200" w:right="-420" w:rightChars="-200" w:firstLine="720" w:firstLineChars="300"/>
        <w:rPr>
          <w:rFonts w:ascii="仿宋" w:hAnsi="仿宋" w:eastAsia="仿宋"/>
          <w:color w:val="auto"/>
          <w:highlight w:val="none"/>
        </w:rPr>
      </w:pPr>
      <w:r>
        <w:rPr>
          <w:rFonts w:ascii="仿宋" w:hAnsi="仿宋" w:eastAsia="仿宋"/>
          <w:color w:val="auto"/>
          <w:sz w:val="24"/>
          <w:highlight w:val="none"/>
        </w:rPr>
        <w:t>1.6.7违约责任</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另有约定的，从其约定。</w:t>
      </w:r>
    </w:p>
    <w:p>
      <w:pPr>
        <w:spacing w:line="560" w:lineRule="exact"/>
        <w:ind w:firstLine="482" w:firstLineChars="200"/>
        <w:outlineLvl w:val="0"/>
        <w:rPr>
          <w:rFonts w:ascii="仿宋" w:hAnsi="仿宋" w:eastAsia="仿宋"/>
          <w:b/>
          <w:color w:val="auto"/>
          <w:sz w:val="24"/>
          <w:highlight w:val="none"/>
        </w:rPr>
      </w:pPr>
      <w:bookmarkStart w:id="627" w:name="_Toc26807"/>
      <w:bookmarkStart w:id="628" w:name="_Toc32454"/>
      <w:bookmarkStart w:id="629" w:name="_Toc30329"/>
      <w:bookmarkStart w:id="630" w:name="_Toc18683"/>
      <w:bookmarkStart w:id="631" w:name="_Toc9497"/>
      <w:r>
        <w:rPr>
          <w:rFonts w:ascii="仿宋" w:hAnsi="仿宋" w:eastAsia="仿宋"/>
          <w:b/>
          <w:color w:val="auto"/>
          <w:sz w:val="24"/>
          <w:highlight w:val="none"/>
        </w:rPr>
        <w:t xml:space="preserve">1.7 </w:t>
      </w:r>
      <w:r>
        <w:rPr>
          <w:rFonts w:hint="eastAsia" w:ascii="仿宋" w:hAnsi="仿宋" w:eastAsia="仿宋"/>
          <w:b/>
          <w:color w:val="auto"/>
          <w:sz w:val="24"/>
          <w:highlight w:val="none"/>
        </w:rPr>
        <w:t>合同</w:t>
      </w:r>
      <w:r>
        <w:rPr>
          <w:rFonts w:ascii="仿宋" w:hAnsi="仿宋" w:eastAsia="仿宋"/>
          <w:b/>
          <w:color w:val="auto"/>
          <w:sz w:val="24"/>
          <w:highlight w:val="none"/>
        </w:rPr>
        <w:t>争议的解决</w:t>
      </w:r>
      <w:bookmarkEnd w:id="627"/>
      <w:bookmarkEnd w:id="628"/>
      <w:bookmarkEnd w:id="629"/>
      <w:bookmarkEnd w:id="630"/>
      <w:bookmarkEnd w:id="631"/>
    </w:p>
    <w:p>
      <w:pPr>
        <w:spacing w:line="560" w:lineRule="exact"/>
        <w:ind w:left="-61" w:leftChars="-29" w:right="-420" w:rightChars="-200" w:firstLine="240" w:firstLineChars="100"/>
        <w:rPr>
          <w:rFonts w:ascii="仿宋" w:hAnsi="仿宋" w:eastAsia="仿宋"/>
          <w:color w:val="auto"/>
          <w:sz w:val="24"/>
          <w:highlight w:val="none"/>
        </w:rPr>
      </w:pPr>
      <w:r>
        <w:rPr>
          <w:rFonts w:hint="eastAsia" w:ascii="仿宋" w:hAnsi="仿宋" w:eastAsia="仿宋"/>
          <w:color w:val="auto"/>
          <w:sz w:val="24"/>
          <w:highlight w:val="none"/>
        </w:rPr>
        <w:t>本合同履行过程中发生的任何争议，双方当事人均可通过和解或者调解解决；不愿和解、调解或者和解、调解不成的，可以选择以下第</w:t>
      </w:r>
      <w:r>
        <w:rPr>
          <w:rFonts w:ascii="仿宋" w:hAnsi="仿宋" w:eastAsia="仿宋"/>
          <w:b/>
          <w:i/>
          <w:color w:val="auto"/>
          <w:sz w:val="24"/>
          <w:highlight w:val="none"/>
          <w:u w:val="single"/>
        </w:rPr>
        <w:t xml:space="preserve"> 合同专用条款  </w:t>
      </w:r>
      <w:r>
        <w:rPr>
          <w:rFonts w:hint="eastAsia" w:ascii="仿宋" w:hAnsi="仿宋" w:eastAsia="仿宋"/>
          <w:color w:val="auto"/>
          <w:sz w:val="24"/>
          <w:highlight w:val="none"/>
        </w:rPr>
        <w:t>条款规定的方式解决：</w:t>
      </w:r>
    </w:p>
    <w:p>
      <w:pPr>
        <w:spacing w:line="560" w:lineRule="exact"/>
        <w:ind w:left="-420" w:leftChars="-200" w:right="-420" w:rightChars="-200" w:firstLine="600" w:firstLineChars="250"/>
        <w:rPr>
          <w:rFonts w:ascii="仿宋" w:hAnsi="仿宋" w:eastAsia="仿宋"/>
          <w:color w:val="auto"/>
          <w:sz w:val="24"/>
          <w:highlight w:val="none"/>
        </w:rPr>
      </w:pPr>
      <w:r>
        <w:rPr>
          <w:rFonts w:ascii="仿宋" w:hAnsi="仿宋" w:eastAsia="仿宋"/>
          <w:color w:val="auto"/>
          <w:sz w:val="24"/>
          <w:highlight w:val="none"/>
        </w:rPr>
        <w:t xml:space="preserve">1.7.1 </w:t>
      </w:r>
      <w:r>
        <w:rPr>
          <w:rFonts w:hint="eastAsia" w:ascii="仿宋" w:hAnsi="仿宋" w:eastAsia="仿宋"/>
          <w:color w:val="auto"/>
          <w:sz w:val="24"/>
          <w:highlight w:val="none"/>
        </w:rPr>
        <w:t>将争议提交</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仲裁委员会依申请仲裁时其现行有效的仲裁规则裁决；</w:t>
      </w:r>
    </w:p>
    <w:p>
      <w:pPr>
        <w:spacing w:line="560" w:lineRule="exact"/>
        <w:ind w:left="-420" w:leftChars="-200" w:right="-420" w:rightChars="-200" w:firstLine="600" w:firstLineChars="250"/>
        <w:rPr>
          <w:rFonts w:ascii="仿宋" w:hAnsi="仿宋" w:eastAsia="仿宋"/>
          <w:color w:val="auto"/>
          <w:sz w:val="24"/>
          <w:highlight w:val="none"/>
        </w:rPr>
      </w:pPr>
      <w:r>
        <w:rPr>
          <w:rFonts w:ascii="仿宋" w:hAnsi="仿宋" w:eastAsia="仿宋"/>
          <w:color w:val="auto"/>
          <w:sz w:val="24"/>
          <w:highlight w:val="none"/>
        </w:rPr>
        <w:t xml:space="preserve">1.7.2 </w:t>
      </w:r>
      <w:r>
        <w:rPr>
          <w:rFonts w:hint="eastAsia" w:ascii="仿宋" w:hAnsi="仿宋" w:eastAsia="仿宋"/>
          <w:color w:val="auto"/>
          <w:sz w:val="24"/>
          <w:highlight w:val="none"/>
        </w:rPr>
        <w:t>向</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人民法院起诉。</w:t>
      </w:r>
    </w:p>
    <w:p>
      <w:pPr>
        <w:spacing w:line="560" w:lineRule="exact"/>
        <w:ind w:firstLine="241" w:firstLineChars="100"/>
        <w:outlineLvl w:val="0"/>
        <w:rPr>
          <w:rFonts w:ascii="仿宋" w:hAnsi="仿宋" w:eastAsia="仿宋"/>
          <w:b/>
          <w:color w:val="auto"/>
          <w:sz w:val="24"/>
          <w:highlight w:val="none"/>
        </w:rPr>
      </w:pPr>
      <w:bookmarkStart w:id="632" w:name="_Toc12273"/>
      <w:bookmarkStart w:id="633" w:name="_Toc23784"/>
      <w:bookmarkStart w:id="634" w:name="_Toc26227"/>
      <w:bookmarkStart w:id="635" w:name="_Toc16417"/>
      <w:bookmarkStart w:id="636" w:name="_Toc15827"/>
      <w:r>
        <w:rPr>
          <w:rFonts w:ascii="仿宋" w:hAnsi="仿宋" w:eastAsia="仿宋"/>
          <w:b/>
          <w:color w:val="auto"/>
          <w:sz w:val="24"/>
          <w:highlight w:val="none"/>
        </w:rPr>
        <w:t>1.8 合同生效</w:t>
      </w:r>
      <w:bookmarkEnd w:id="632"/>
      <w:bookmarkEnd w:id="633"/>
      <w:bookmarkEnd w:id="634"/>
      <w:bookmarkEnd w:id="635"/>
      <w:bookmarkEnd w:id="636"/>
    </w:p>
    <w:p>
      <w:pPr>
        <w:spacing w:line="560" w:lineRule="exact"/>
        <w:ind w:firstLine="480" w:firstLineChars="200"/>
        <w:rPr>
          <w:rFonts w:ascii="仿宋" w:hAnsi="仿宋" w:eastAsia="仿宋"/>
          <w:b/>
          <w:color w:val="auto"/>
          <w:sz w:val="24"/>
          <w:highlight w:val="none"/>
        </w:rPr>
      </w:pPr>
      <w:r>
        <w:rPr>
          <w:rFonts w:ascii="仿宋" w:hAnsi="仿宋" w:eastAsia="仿宋"/>
          <w:color w:val="auto"/>
          <w:sz w:val="24"/>
          <w:highlight w:val="none"/>
        </w:rPr>
        <w:t>本合同自</w:t>
      </w:r>
      <w:r>
        <w:rPr>
          <w:rFonts w:hint="eastAsia" w:ascii="仿宋" w:hAnsi="仿宋" w:eastAsia="仿宋"/>
          <w:color w:val="auto"/>
          <w:sz w:val="24"/>
          <w:highlight w:val="none"/>
        </w:rPr>
        <w:t>双方当事人盖章或者签字时</w:t>
      </w:r>
      <w:r>
        <w:rPr>
          <w:rFonts w:ascii="仿宋" w:hAnsi="仿宋" w:eastAsia="仿宋"/>
          <w:color w:val="auto"/>
          <w:sz w:val="24"/>
          <w:highlight w:val="none"/>
        </w:rPr>
        <w:t>生效。</w:t>
      </w:r>
    </w:p>
    <w:p>
      <w:pPr>
        <w:autoSpaceDE w:val="0"/>
        <w:autoSpaceDN w:val="0"/>
        <w:spacing w:line="560" w:lineRule="exact"/>
        <w:rPr>
          <w:rFonts w:ascii="仿宋" w:hAnsi="仿宋" w:eastAsia="仿宋"/>
          <w:color w:val="auto"/>
          <w:sz w:val="24"/>
          <w:highlight w:val="none"/>
          <w:lang w:val="zh-CN"/>
        </w:rPr>
      </w:pP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b/>
          <w:color w:val="auto"/>
          <w:sz w:val="24"/>
          <w:highlight w:val="none"/>
          <w:lang w:val="zh-CN"/>
        </w:rPr>
        <w:t>甲方</w:t>
      </w:r>
      <w:r>
        <w:rPr>
          <w:rFonts w:hint="eastAsia" w:ascii="仿宋" w:hAnsi="仿宋" w:eastAsia="仿宋"/>
          <w:color w:val="auto"/>
          <w:sz w:val="24"/>
          <w:highlight w:val="none"/>
          <w:lang w:val="zh-CN"/>
        </w:rPr>
        <w:t>：</w:t>
      </w:r>
      <w:r>
        <w:rPr>
          <w:rFonts w:ascii="仿宋" w:hAnsi="仿宋" w:eastAsia="仿宋"/>
          <w:color w:val="auto"/>
          <w:sz w:val="24"/>
          <w:highlight w:val="none"/>
          <w:lang w:val="zh-CN"/>
        </w:rPr>
        <w:t xml:space="preserve">                             </w:t>
      </w:r>
      <w:r>
        <w:rPr>
          <w:rFonts w:ascii="仿宋" w:hAnsi="仿宋" w:eastAsia="仿宋"/>
          <w:b/>
          <w:color w:val="auto"/>
          <w:sz w:val="24"/>
          <w:highlight w:val="none"/>
          <w:lang w:val="zh-CN"/>
        </w:rPr>
        <w:t xml:space="preserve">      乙方</w:t>
      </w:r>
      <w:r>
        <w:rPr>
          <w:rFonts w:hint="eastAsia" w:ascii="仿宋" w:hAnsi="仿宋" w:eastAsia="仿宋"/>
          <w:color w:val="auto"/>
          <w:sz w:val="24"/>
          <w:highlight w:val="none"/>
          <w:lang w:val="zh-CN"/>
        </w:rPr>
        <w:t>：</w:t>
      </w: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统一社会信用代码：</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统一社会信用代码或身份证号码：</w:t>
      </w:r>
    </w:p>
    <w:p>
      <w:pPr>
        <w:autoSpaceDE w:val="0"/>
        <w:autoSpaceDN w:val="0"/>
        <w:spacing w:line="560" w:lineRule="exact"/>
        <w:rPr>
          <w:rFonts w:ascii="仿宋" w:hAnsi="仿宋" w:eastAsia="仿宋"/>
          <w:color w:val="auto"/>
          <w:sz w:val="24"/>
          <w:highlight w:val="none"/>
          <w:lang w:val="zh-CN"/>
        </w:rPr>
      </w:pP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住所：</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住所：</w:t>
      </w: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法定代表人或</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法定代表人或</w:t>
      </w: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授权代表（签字）：</w:t>
      </w:r>
      <w:r>
        <w:rPr>
          <w:rFonts w:ascii="仿宋" w:hAnsi="仿宋" w:eastAsia="仿宋"/>
          <w:color w:val="auto"/>
          <w:sz w:val="24"/>
          <w:highlight w:val="none"/>
          <w:lang w:val="zh-CN"/>
        </w:rPr>
        <w:t xml:space="preserve">                       授权代表（签字）: </w:t>
      </w: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联系人：</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联系人：</w:t>
      </w: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约定送达地址：</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约定送达地址：</w:t>
      </w: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邮政编码：</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邮政编码：</w:t>
      </w: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电话</w:t>
      </w:r>
      <w:r>
        <w:rPr>
          <w:rFonts w:ascii="仿宋" w:hAnsi="仿宋" w:eastAsia="仿宋"/>
          <w:color w:val="auto"/>
          <w:sz w:val="24"/>
          <w:highlight w:val="none"/>
          <w:lang w:val="zh-CN"/>
        </w:rPr>
        <w:t xml:space="preserve">:                                    电话: </w:t>
      </w: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w:t>
      </w:r>
    </w:p>
    <w:p>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lang w:val="zh-CN"/>
        </w:rPr>
        <w:t>电子邮箱：</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电子邮箱：</w:t>
      </w:r>
    </w:p>
    <w:p>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开户银行：</w:t>
      </w:r>
      <w:r>
        <w:rPr>
          <w:rFonts w:ascii="仿宋" w:hAnsi="仿宋" w:eastAsia="仿宋"/>
          <w:color w:val="auto"/>
          <w:sz w:val="24"/>
          <w:highlight w:val="none"/>
        </w:rPr>
        <w:t xml:space="preserve">                               开户银行： </w:t>
      </w:r>
    </w:p>
    <w:p>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开户名称：</w:t>
      </w:r>
      <w:r>
        <w:rPr>
          <w:rFonts w:ascii="仿宋" w:hAnsi="仿宋" w:eastAsia="仿宋"/>
          <w:color w:val="auto"/>
          <w:sz w:val="24"/>
          <w:highlight w:val="none"/>
        </w:rPr>
        <w:t xml:space="preserve">                               开户名称： </w:t>
      </w:r>
    </w:p>
    <w:p>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开户账号：</w:t>
      </w:r>
      <w:r>
        <w:rPr>
          <w:rFonts w:ascii="仿宋" w:hAnsi="仿宋" w:eastAsia="仿宋"/>
          <w:color w:val="auto"/>
          <w:sz w:val="24"/>
          <w:highlight w:val="none"/>
          <w:lang w:val="zh-CN"/>
        </w:rPr>
        <w:t xml:space="preserve">                               </w:t>
      </w:r>
      <w:r>
        <w:rPr>
          <w:rFonts w:hint="eastAsia" w:ascii="仿宋" w:hAnsi="仿宋" w:eastAsia="仿宋"/>
          <w:color w:val="auto"/>
          <w:sz w:val="24"/>
          <w:highlight w:val="none"/>
        </w:rPr>
        <w:t>开户账号：</w:t>
      </w:r>
    </w:p>
    <w:p>
      <w:pPr>
        <w:widowControl/>
        <w:spacing w:line="560" w:lineRule="exact"/>
        <w:jc w:val="left"/>
        <w:rPr>
          <w:rFonts w:ascii="仿宋" w:hAnsi="仿宋" w:eastAsia="仿宋"/>
          <w:b/>
          <w:color w:val="auto"/>
          <w:sz w:val="24"/>
          <w:highlight w:val="none"/>
        </w:rPr>
      </w:pPr>
    </w:p>
    <w:p>
      <w:pPr>
        <w:pStyle w:val="410"/>
        <w:spacing w:before="120" w:line="560" w:lineRule="exact"/>
        <w:ind w:firstLine="482"/>
        <w:jc w:val="center"/>
        <w:rPr>
          <w:rFonts w:ascii="仿宋" w:hAnsi="仿宋" w:eastAsia="仿宋"/>
          <w:b/>
          <w:color w:val="auto"/>
          <w:szCs w:val="24"/>
          <w:highlight w:val="none"/>
        </w:rPr>
      </w:pPr>
    </w:p>
    <w:p>
      <w:pPr>
        <w:pStyle w:val="410"/>
        <w:spacing w:before="120" w:line="560" w:lineRule="exact"/>
        <w:ind w:firstLine="482"/>
        <w:jc w:val="center"/>
        <w:rPr>
          <w:rFonts w:ascii="仿宋" w:hAnsi="仿宋" w:eastAsia="仿宋"/>
          <w:b/>
          <w:color w:val="auto"/>
          <w:szCs w:val="24"/>
          <w:highlight w:val="none"/>
        </w:rPr>
      </w:pPr>
    </w:p>
    <w:p>
      <w:pPr>
        <w:pStyle w:val="410"/>
        <w:spacing w:before="120" w:line="560" w:lineRule="exact"/>
        <w:ind w:firstLine="482"/>
        <w:jc w:val="center"/>
        <w:rPr>
          <w:rFonts w:ascii="仿宋" w:hAnsi="仿宋" w:eastAsia="仿宋"/>
          <w:b/>
          <w:color w:val="auto"/>
          <w:szCs w:val="24"/>
          <w:highlight w:val="none"/>
        </w:rPr>
      </w:pPr>
    </w:p>
    <w:p>
      <w:pPr>
        <w:pStyle w:val="410"/>
        <w:spacing w:before="120" w:line="560" w:lineRule="exact"/>
        <w:ind w:firstLine="482"/>
        <w:jc w:val="center"/>
        <w:rPr>
          <w:rFonts w:ascii="仿宋" w:hAnsi="仿宋" w:eastAsia="仿宋"/>
          <w:b/>
          <w:color w:val="auto"/>
          <w:szCs w:val="24"/>
          <w:highlight w:val="none"/>
        </w:rPr>
      </w:pPr>
      <w:r>
        <w:rPr>
          <w:rFonts w:hint="eastAsia" w:ascii="仿宋" w:hAnsi="仿宋" w:eastAsia="仿宋"/>
          <w:b/>
          <w:color w:val="auto"/>
          <w:szCs w:val="24"/>
          <w:highlight w:val="none"/>
        </w:rPr>
        <w:t>第二部分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合同一般条款</w:t>
      </w:r>
    </w:p>
    <w:p>
      <w:pPr>
        <w:spacing w:line="560" w:lineRule="exact"/>
        <w:ind w:firstLine="482" w:firstLineChars="200"/>
        <w:outlineLvl w:val="0"/>
        <w:rPr>
          <w:rFonts w:ascii="仿宋" w:hAnsi="仿宋" w:eastAsia="仿宋"/>
          <w:b/>
          <w:color w:val="auto"/>
          <w:sz w:val="24"/>
          <w:highlight w:val="none"/>
        </w:rPr>
      </w:pPr>
      <w:bookmarkStart w:id="637" w:name="_Toc31297"/>
      <w:bookmarkStart w:id="638" w:name="_Toc19680"/>
      <w:bookmarkStart w:id="639" w:name="_Toc5228"/>
      <w:bookmarkStart w:id="640" w:name="_Toc25079"/>
      <w:bookmarkStart w:id="641" w:name="_Toc14021"/>
      <w:r>
        <w:rPr>
          <w:rFonts w:ascii="仿宋" w:hAnsi="仿宋" w:eastAsia="仿宋"/>
          <w:b/>
          <w:color w:val="auto"/>
          <w:sz w:val="24"/>
          <w:highlight w:val="none"/>
        </w:rPr>
        <w:t>2.1 定义</w:t>
      </w:r>
      <w:bookmarkEnd w:id="637"/>
      <w:bookmarkEnd w:id="638"/>
      <w:bookmarkEnd w:id="639"/>
      <w:bookmarkEnd w:id="640"/>
      <w:bookmarkEnd w:id="641"/>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本合同中的下列</w:t>
      </w:r>
      <w:r>
        <w:rPr>
          <w:rFonts w:hint="eastAsia" w:ascii="仿宋" w:hAnsi="仿宋" w:eastAsia="仿宋"/>
          <w:color w:val="auto"/>
          <w:sz w:val="24"/>
          <w:highlight w:val="none"/>
        </w:rPr>
        <w:t>词</w:t>
      </w:r>
      <w:r>
        <w:rPr>
          <w:rFonts w:ascii="仿宋" w:hAnsi="仿宋" w:eastAsia="仿宋"/>
          <w:color w:val="auto"/>
          <w:sz w:val="24"/>
          <w:highlight w:val="none"/>
        </w:rPr>
        <w:t>语应</w:t>
      </w:r>
      <w:r>
        <w:rPr>
          <w:rFonts w:hint="eastAsia" w:ascii="仿宋" w:hAnsi="仿宋" w:eastAsia="仿宋"/>
          <w:color w:val="auto"/>
          <w:sz w:val="24"/>
          <w:highlight w:val="none"/>
        </w:rPr>
        <w:t>按以下内容进行</w:t>
      </w:r>
      <w:r>
        <w:rPr>
          <w:rFonts w:ascii="仿宋" w:hAnsi="仿宋" w:eastAsia="仿宋"/>
          <w:color w:val="auto"/>
          <w:sz w:val="24"/>
          <w:highlight w:val="none"/>
        </w:rPr>
        <w:t>解释：</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2.1.2 “合同价”系指根据合同约定，中标供应商在完全履行合同义务后</w:t>
      </w:r>
      <w:r>
        <w:rPr>
          <w:rFonts w:hint="eastAsia" w:ascii="仿宋" w:hAnsi="仿宋" w:eastAsia="仿宋"/>
          <w:color w:val="auto"/>
          <w:sz w:val="24"/>
          <w:highlight w:val="none"/>
        </w:rPr>
        <w:t>，</w:t>
      </w:r>
      <w:r>
        <w:rPr>
          <w:rFonts w:ascii="仿宋" w:hAnsi="仿宋" w:eastAsia="仿宋"/>
          <w:color w:val="auto"/>
          <w:sz w:val="24"/>
          <w:highlight w:val="none"/>
        </w:rPr>
        <w:t>采购人应支付给中标供应商的价格。</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2.1.3 “</w:t>
      </w:r>
      <w:r>
        <w:rPr>
          <w:rFonts w:hint="eastAsia" w:ascii="仿宋" w:hAnsi="仿宋" w:eastAsia="仿宋"/>
          <w:color w:val="auto"/>
          <w:sz w:val="24"/>
          <w:highlight w:val="none"/>
        </w:rPr>
        <w:t>服务</w:t>
      </w:r>
      <w:r>
        <w:rPr>
          <w:rFonts w:ascii="仿宋" w:hAnsi="仿宋" w:eastAsia="仿宋"/>
          <w:color w:val="auto"/>
          <w:sz w:val="24"/>
          <w:highlight w:val="none"/>
        </w:rPr>
        <w:t>”系指</w:t>
      </w:r>
      <w:r>
        <w:rPr>
          <w:rFonts w:hint="eastAsia" w:ascii="仿宋" w:hAnsi="仿宋" w:eastAsia="仿宋"/>
          <w:color w:val="auto"/>
          <w:sz w:val="24"/>
          <w:highlight w:val="none"/>
        </w:rPr>
        <w:t>中标供应商</w:t>
      </w:r>
      <w:r>
        <w:rPr>
          <w:rFonts w:ascii="仿宋" w:hAnsi="仿宋" w:eastAsia="仿宋"/>
          <w:color w:val="auto"/>
          <w:sz w:val="24"/>
          <w:highlight w:val="none"/>
        </w:rPr>
        <w:t>根据合同约定应向采购人</w:t>
      </w:r>
      <w:r>
        <w:rPr>
          <w:rFonts w:hint="eastAsia" w:ascii="仿宋" w:hAnsi="仿宋" w:eastAsia="仿宋"/>
          <w:color w:val="auto"/>
          <w:sz w:val="24"/>
          <w:highlight w:val="none"/>
        </w:rPr>
        <w:t>履行</w:t>
      </w:r>
      <w:r>
        <w:rPr>
          <w:rFonts w:ascii="仿宋" w:hAnsi="仿宋" w:eastAsia="仿宋"/>
          <w:color w:val="auto"/>
          <w:sz w:val="24"/>
          <w:highlight w:val="none"/>
        </w:rPr>
        <w:t>的</w:t>
      </w:r>
      <w:r>
        <w:rPr>
          <w:rFonts w:hint="eastAsia" w:ascii="仿宋" w:hAnsi="仿宋" w:eastAsia="仿宋"/>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2.1.4 “</w:t>
      </w:r>
      <w:r>
        <w:rPr>
          <w:rFonts w:hint="eastAsia" w:ascii="仿宋" w:hAnsi="仿宋" w:eastAsia="仿宋"/>
          <w:color w:val="auto"/>
          <w:sz w:val="24"/>
          <w:highlight w:val="none"/>
        </w:rPr>
        <w:t>甲方</w:t>
      </w:r>
      <w:r>
        <w:rPr>
          <w:rFonts w:ascii="仿宋" w:hAnsi="仿宋" w:eastAsia="仿宋"/>
          <w:color w:val="auto"/>
          <w:sz w:val="24"/>
          <w:highlight w:val="none"/>
        </w:rPr>
        <w:t>”系指与</w:t>
      </w:r>
      <w:r>
        <w:rPr>
          <w:rFonts w:hint="eastAsia" w:ascii="仿宋" w:hAnsi="仿宋" w:eastAsia="仿宋"/>
          <w:color w:val="auto"/>
          <w:sz w:val="24"/>
          <w:highlight w:val="none"/>
        </w:rPr>
        <w:t>中标供应商</w:t>
      </w:r>
      <w:r>
        <w:rPr>
          <w:rFonts w:ascii="仿宋" w:hAnsi="仿宋" w:eastAsia="仿宋"/>
          <w:color w:val="auto"/>
          <w:sz w:val="24"/>
          <w:highlight w:val="none"/>
        </w:rPr>
        <w:t>签署合同的采购人</w:t>
      </w:r>
      <w:r>
        <w:rPr>
          <w:rFonts w:hint="eastAsia" w:ascii="仿宋" w:hAnsi="仿宋" w:eastAsia="仿宋"/>
          <w:color w:val="auto"/>
          <w:sz w:val="24"/>
          <w:highlight w:val="none"/>
        </w:rPr>
        <w:t>；采购人委托采购代理机构代表其与乙方签订合同的，采购人的授权委托书作为合同附件。</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2.1.5 “乙方”系指根据合同约定提供服务的中标供应商</w:t>
      </w:r>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2.1.6 “现场”系指合同约定提供服务的地点。</w:t>
      </w:r>
    </w:p>
    <w:p>
      <w:pPr>
        <w:spacing w:line="560" w:lineRule="exact"/>
        <w:ind w:firstLine="482" w:firstLineChars="200"/>
        <w:outlineLvl w:val="0"/>
        <w:rPr>
          <w:rFonts w:ascii="仿宋" w:hAnsi="仿宋" w:eastAsia="仿宋"/>
          <w:b/>
          <w:color w:val="auto"/>
          <w:sz w:val="24"/>
          <w:highlight w:val="none"/>
        </w:rPr>
      </w:pPr>
      <w:bookmarkStart w:id="642" w:name="_Toc31402"/>
      <w:bookmarkStart w:id="643" w:name="_Toc16752"/>
      <w:bookmarkStart w:id="644" w:name="_Toc3769"/>
      <w:bookmarkStart w:id="645" w:name="_Toc19539"/>
      <w:bookmarkStart w:id="646" w:name="_Toc23289"/>
      <w:r>
        <w:rPr>
          <w:rFonts w:ascii="仿宋" w:hAnsi="仿宋" w:eastAsia="仿宋"/>
          <w:b/>
          <w:color w:val="auto"/>
          <w:sz w:val="24"/>
          <w:highlight w:val="none"/>
        </w:rPr>
        <w:t>2.2 技术规范</w:t>
      </w:r>
      <w:bookmarkEnd w:id="642"/>
      <w:bookmarkEnd w:id="643"/>
      <w:bookmarkEnd w:id="644"/>
      <w:bookmarkEnd w:id="645"/>
      <w:bookmarkEnd w:id="646"/>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服务</w:t>
      </w:r>
      <w:r>
        <w:rPr>
          <w:rFonts w:ascii="仿宋" w:hAnsi="仿宋" w:eastAsia="仿宋"/>
          <w:color w:val="auto"/>
          <w:sz w:val="24"/>
          <w:highlight w:val="none"/>
        </w:rPr>
        <w:t>所应遵守的技术规范应与采购文件规定的技术规范和技术规范附件(如果有的话)及其技术规范偏差表(如果被甲方接受的话)相一致</w:t>
      </w:r>
      <w:r>
        <w:rPr>
          <w:rFonts w:hint="eastAsia" w:ascii="仿宋" w:hAnsi="仿宋" w:eastAsia="仿宋"/>
          <w:color w:val="auto"/>
          <w:sz w:val="24"/>
          <w:highlight w:val="none"/>
        </w:rPr>
        <w:t>；</w:t>
      </w:r>
      <w:r>
        <w:rPr>
          <w:rFonts w:ascii="仿宋" w:hAnsi="仿宋" w:eastAsia="仿宋"/>
          <w:color w:val="auto"/>
          <w:sz w:val="24"/>
          <w:highlight w:val="none"/>
        </w:rPr>
        <w:t>如果采购文件中没有技术规范的相应说明，那么应以国家有关部门最新颁布的相应标准</w:t>
      </w:r>
      <w:r>
        <w:rPr>
          <w:rFonts w:hint="eastAsia" w:ascii="仿宋" w:hAnsi="仿宋" w:eastAsia="仿宋"/>
          <w:color w:val="auto"/>
          <w:sz w:val="24"/>
          <w:highlight w:val="none"/>
        </w:rPr>
        <w:t>和</w:t>
      </w:r>
      <w:r>
        <w:rPr>
          <w:rFonts w:ascii="仿宋" w:hAnsi="仿宋" w:eastAsia="仿宋"/>
          <w:color w:val="auto"/>
          <w:sz w:val="24"/>
          <w:highlight w:val="none"/>
        </w:rPr>
        <w:t>规范为准。</w:t>
      </w:r>
    </w:p>
    <w:p>
      <w:pPr>
        <w:spacing w:line="560" w:lineRule="exact"/>
        <w:ind w:firstLine="482" w:firstLineChars="200"/>
        <w:outlineLvl w:val="0"/>
        <w:rPr>
          <w:rFonts w:ascii="仿宋" w:hAnsi="仿宋" w:eastAsia="仿宋"/>
          <w:b/>
          <w:color w:val="auto"/>
          <w:sz w:val="24"/>
          <w:highlight w:val="none"/>
        </w:rPr>
      </w:pPr>
      <w:bookmarkStart w:id="647" w:name="_Toc27945"/>
      <w:bookmarkStart w:id="648" w:name="_Toc4133"/>
      <w:bookmarkStart w:id="649" w:name="_Toc13673"/>
      <w:bookmarkStart w:id="650" w:name="_Toc9161"/>
      <w:bookmarkStart w:id="651" w:name="_Toc12412"/>
      <w:r>
        <w:rPr>
          <w:rFonts w:ascii="仿宋" w:hAnsi="仿宋" w:eastAsia="仿宋"/>
          <w:b/>
          <w:color w:val="auto"/>
          <w:sz w:val="24"/>
          <w:highlight w:val="none"/>
        </w:rPr>
        <w:t>2.3 知识产权</w:t>
      </w:r>
      <w:bookmarkEnd w:id="647"/>
      <w:bookmarkEnd w:id="648"/>
      <w:bookmarkEnd w:id="649"/>
      <w:bookmarkEnd w:id="650"/>
      <w:bookmarkEnd w:id="651"/>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2.3.1 </w:t>
      </w:r>
      <w:r>
        <w:rPr>
          <w:rFonts w:hint="eastAsia" w:ascii="仿宋" w:hAnsi="仿宋" w:eastAsia="仿宋"/>
          <w:color w:val="auto"/>
          <w:sz w:val="24"/>
          <w:highlight w:val="none"/>
        </w:rPr>
        <w:t>乙</w:t>
      </w:r>
      <w:r>
        <w:rPr>
          <w:rFonts w:ascii="仿宋" w:hAnsi="仿宋" w:eastAsia="仿宋"/>
          <w:color w:val="auto"/>
          <w:sz w:val="24"/>
          <w:highlight w:val="none"/>
        </w:rPr>
        <w:t>方应保证</w:t>
      </w:r>
      <w:r>
        <w:rPr>
          <w:rFonts w:hint="eastAsia" w:ascii="仿宋" w:hAnsi="仿宋" w:eastAsia="仿宋"/>
          <w:color w:val="auto"/>
          <w:sz w:val="24"/>
          <w:highlight w:val="none"/>
        </w:rPr>
        <w:t>其提供的服务</w:t>
      </w:r>
      <w:r>
        <w:rPr>
          <w:rFonts w:ascii="仿宋" w:hAnsi="仿宋" w:eastAsia="仿宋"/>
          <w:color w:val="auto"/>
          <w:sz w:val="24"/>
          <w:highlight w:val="none"/>
        </w:rPr>
        <w:t>不受任何第三方提出的侵犯其著作权、商标权、专利权等知识产权方面的起诉</w:t>
      </w:r>
      <w:r>
        <w:rPr>
          <w:rFonts w:hint="eastAsia" w:ascii="仿宋" w:hAnsi="仿宋" w:eastAsia="仿宋"/>
          <w:color w:val="auto"/>
          <w:sz w:val="24"/>
          <w:highlight w:val="none"/>
        </w:rPr>
        <w:t>；</w:t>
      </w:r>
      <w:r>
        <w:rPr>
          <w:rFonts w:ascii="仿宋" w:hAnsi="仿宋" w:eastAsia="仿宋"/>
          <w:color w:val="auto"/>
          <w:sz w:val="24"/>
          <w:highlight w:val="none"/>
        </w:rPr>
        <w:t>如果任何第三方提出侵权</w:t>
      </w:r>
      <w:r>
        <w:rPr>
          <w:rFonts w:hint="eastAsia" w:ascii="仿宋" w:hAnsi="仿宋" w:eastAsia="仿宋"/>
          <w:color w:val="auto"/>
          <w:sz w:val="24"/>
          <w:highlight w:val="none"/>
        </w:rPr>
        <w:t>指控</w:t>
      </w:r>
      <w:r>
        <w:rPr>
          <w:rFonts w:ascii="仿宋" w:hAnsi="仿宋" w:eastAsia="仿宋"/>
          <w:color w:val="auto"/>
          <w:sz w:val="24"/>
          <w:highlight w:val="none"/>
        </w:rPr>
        <w:t>，那么乙方须与该第三方交涉并承担由此发生的一切责任、费用和赔偿</w:t>
      </w:r>
      <w:r>
        <w:rPr>
          <w:rFonts w:hint="eastAsia"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2.3.2 </w:t>
      </w:r>
      <w:r>
        <w:rPr>
          <w:rFonts w:hint="eastAsia" w:ascii="仿宋" w:hAnsi="仿宋" w:eastAsia="仿宋"/>
          <w:color w:val="auto"/>
          <w:sz w:val="24"/>
          <w:highlight w:val="none"/>
        </w:rPr>
        <w:t>合同涉及技术成果的归属和收益的分成办法的，</w:t>
      </w: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ascii="仿宋" w:hAnsi="仿宋" w:eastAsia="仿宋"/>
          <w:color w:val="auto"/>
          <w:sz w:val="24"/>
          <w:highlight w:val="none"/>
        </w:rPr>
        <w:t>。</w:t>
      </w:r>
    </w:p>
    <w:p>
      <w:pPr>
        <w:spacing w:line="560" w:lineRule="exact"/>
        <w:ind w:firstLine="482" w:firstLineChars="200"/>
        <w:rPr>
          <w:rFonts w:ascii="仿宋" w:hAnsi="仿宋" w:eastAsia="仿宋"/>
          <w:b/>
          <w:color w:val="auto"/>
          <w:sz w:val="24"/>
          <w:highlight w:val="none"/>
        </w:rPr>
      </w:pPr>
      <w:r>
        <w:rPr>
          <w:rFonts w:ascii="仿宋" w:hAnsi="仿宋" w:eastAsia="仿宋"/>
          <w:b/>
          <w:color w:val="auto"/>
          <w:sz w:val="24"/>
          <w:highlight w:val="none"/>
        </w:rPr>
        <w:t xml:space="preserve">2.4 </w:t>
      </w:r>
      <w:r>
        <w:rPr>
          <w:rFonts w:hint="eastAsia" w:ascii="仿宋" w:hAnsi="仿宋" w:eastAsia="仿宋"/>
          <w:b/>
          <w:color w:val="auto"/>
          <w:sz w:val="24"/>
          <w:highlight w:val="none"/>
        </w:rPr>
        <w:t>履约检查和问题反馈</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2.4.1甲方</w:t>
      </w:r>
      <w:r>
        <w:rPr>
          <w:rFonts w:hint="eastAsia" w:ascii="仿宋" w:hAnsi="仿宋" w:eastAsia="仿宋"/>
          <w:color w:val="auto"/>
          <w:sz w:val="24"/>
          <w:highlight w:val="none"/>
        </w:rPr>
        <w:t>有权</w:t>
      </w:r>
      <w:r>
        <w:rPr>
          <w:rFonts w:ascii="仿宋" w:hAnsi="仿宋" w:eastAsia="仿宋"/>
          <w:color w:val="auto"/>
          <w:sz w:val="24"/>
          <w:highlight w:val="none"/>
        </w:rPr>
        <w:t>在其认为必要时</w:t>
      </w:r>
      <w:r>
        <w:rPr>
          <w:rFonts w:hint="eastAsia" w:ascii="仿宋" w:hAnsi="仿宋" w:eastAsia="仿宋"/>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2.4.2 </w:t>
      </w:r>
      <w:r>
        <w:rPr>
          <w:rFonts w:hint="eastAsia" w:ascii="仿宋" w:hAnsi="仿宋" w:eastAsia="仿宋"/>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b/>
          <w:color w:val="auto"/>
          <w:sz w:val="24"/>
          <w:highlight w:val="none"/>
        </w:rPr>
      </w:pPr>
      <w:bookmarkStart w:id="652" w:name="_Toc15447"/>
      <w:bookmarkStart w:id="653" w:name="_Toc22011"/>
      <w:bookmarkStart w:id="654" w:name="_Toc32670"/>
      <w:bookmarkStart w:id="655" w:name="_Toc26555"/>
      <w:bookmarkStart w:id="656" w:name="_Toc31233"/>
      <w:r>
        <w:rPr>
          <w:rFonts w:ascii="仿宋" w:hAnsi="仿宋" w:eastAsia="仿宋"/>
          <w:b/>
          <w:color w:val="auto"/>
          <w:sz w:val="24"/>
          <w:highlight w:val="none"/>
        </w:rPr>
        <w:t>2.5 结算方式和付款条件</w:t>
      </w:r>
      <w:bookmarkEnd w:id="652"/>
      <w:bookmarkEnd w:id="653"/>
      <w:bookmarkEnd w:id="654"/>
      <w:bookmarkEnd w:id="655"/>
      <w:bookmarkEnd w:id="656"/>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ascii="仿宋" w:hAnsi="仿宋" w:eastAsia="仿宋"/>
          <w:color w:val="auto"/>
          <w:sz w:val="24"/>
          <w:highlight w:val="none"/>
        </w:rPr>
        <w:t>。</w:t>
      </w:r>
    </w:p>
    <w:p>
      <w:pPr>
        <w:spacing w:line="560" w:lineRule="exact"/>
        <w:ind w:firstLine="482" w:firstLineChars="200"/>
        <w:outlineLvl w:val="0"/>
        <w:rPr>
          <w:rFonts w:ascii="仿宋" w:hAnsi="仿宋" w:eastAsia="仿宋"/>
          <w:b/>
          <w:color w:val="auto"/>
          <w:sz w:val="24"/>
          <w:highlight w:val="none"/>
        </w:rPr>
      </w:pPr>
      <w:bookmarkStart w:id="657" w:name="_Toc13467"/>
      <w:bookmarkStart w:id="658" w:name="_Toc30507"/>
      <w:bookmarkStart w:id="659" w:name="_Toc18990"/>
      <w:bookmarkStart w:id="660" w:name="_Toc13154"/>
      <w:bookmarkStart w:id="661" w:name="_Toc16163"/>
      <w:r>
        <w:rPr>
          <w:rFonts w:ascii="仿宋" w:hAnsi="仿宋" w:eastAsia="仿宋"/>
          <w:b/>
          <w:color w:val="auto"/>
          <w:sz w:val="24"/>
          <w:highlight w:val="none"/>
        </w:rPr>
        <w:t>2.6 技术资料和保密义务</w:t>
      </w:r>
      <w:bookmarkEnd w:id="657"/>
      <w:bookmarkEnd w:id="658"/>
      <w:bookmarkEnd w:id="659"/>
      <w:bookmarkEnd w:id="660"/>
      <w:bookmarkEnd w:id="661"/>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2.6.2 </w:t>
      </w:r>
      <w:r>
        <w:rPr>
          <w:rFonts w:hint="eastAsia" w:ascii="仿宋" w:hAnsi="仿宋" w:eastAsia="仿宋"/>
          <w:color w:val="auto"/>
          <w:sz w:val="24"/>
          <w:highlight w:val="none"/>
        </w:rPr>
        <w:t>乙方有义务妥善保管和保护由甲方提供的前款信息和资料等；</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2.6.3 </w:t>
      </w:r>
      <w:r>
        <w:rPr>
          <w:rFonts w:hint="eastAsia" w:ascii="仿宋" w:hAnsi="仿宋" w:eastAsia="仿宋"/>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auto"/>
          <w:sz w:val="24"/>
          <w:highlight w:val="none"/>
        </w:rPr>
        <w:t>技术情报</w:t>
      </w:r>
      <w:r>
        <w:rPr>
          <w:rFonts w:hint="eastAsia" w:ascii="仿宋" w:hAnsi="仿宋" w:eastAsia="仿宋"/>
          <w:color w:val="auto"/>
          <w:sz w:val="24"/>
          <w:highlight w:val="none"/>
        </w:rPr>
        <w:t>、</w:t>
      </w:r>
      <w:r>
        <w:rPr>
          <w:rFonts w:ascii="仿宋" w:hAnsi="仿宋" w:eastAsia="仿宋"/>
          <w:color w:val="auto"/>
          <w:sz w:val="24"/>
          <w:highlight w:val="none"/>
        </w:rPr>
        <w:t>技术资料</w:t>
      </w:r>
      <w:r>
        <w:rPr>
          <w:rFonts w:hint="eastAsia" w:ascii="仿宋" w:hAnsi="仿宋" w:eastAsia="仿宋"/>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auto"/>
          <w:sz w:val="24"/>
          <w:highlight w:val="none"/>
        </w:rPr>
      </w:pPr>
      <w:bookmarkStart w:id="662" w:name="_Toc19069"/>
      <w:r>
        <w:rPr>
          <w:rFonts w:ascii="仿宋" w:hAnsi="仿宋" w:eastAsia="仿宋"/>
          <w:b/>
          <w:color w:val="auto"/>
          <w:sz w:val="24"/>
          <w:highlight w:val="none"/>
        </w:rPr>
        <w:t xml:space="preserve">2.7 </w:t>
      </w:r>
      <w:r>
        <w:rPr>
          <w:rFonts w:hint="eastAsia" w:ascii="仿宋" w:hAnsi="仿宋" w:eastAsia="仿宋"/>
          <w:b/>
          <w:color w:val="auto"/>
          <w:sz w:val="24"/>
          <w:highlight w:val="none"/>
        </w:rPr>
        <w:t>质量保证</w:t>
      </w:r>
      <w:bookmarkEnd w:id="662"/>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2.7.1 </w:t>
      </w:r>
      <w:r>
        <w:rPr>
          <w:rFonts w:hint="eastAsia" w:ascii="仿宋" w:hAnsi="仿宋" w:eastAsia="仿宋"/>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2.7.2 </w:t>
      </w:r>
      <w:r>
        <w:rPr>
          <w:rFonts w:hint="eastAsia" w:ascii="仿宋" w:hAnsi="仿宋" w:eastAsia="仿宋"/>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auto"/>
          <w:sz w:val="24"/>
          <w:highlight w:val="none"/>
        </w:rPr>
      </w:pPr>
      <w:bookmarkStart w:id="663" w:name="_Toc22267"/>
      <w:r>
        <w:rPr>
          <w:rFonts w:ascii="仿宋" w:hAnsi="仿宋" w:eastAsia="仿宋"/>
          <w:b/>
          <w:color w:val="auto"/>
          <w:sz w:val="24"/>
          <w:highlight w:val="none"/>
        </w:rPr>
        <w:t xml:space="preserve">2.8 </w:t>
      </w:r>
      <w:r>
        <w:rPr>
          <w:rFonts w:hint="eastAsia" w:ascii="仿宋" w:hAnsi="仿宋" w:eastAsia="仿宋"/>
          <w:b/>
          <w:color w:val="auto"/>
          <w:sz w:val="24"/>
          <w:highlight w:val="none"/>
        </w:rPr>
        <w:t>延迟履行</w:t>
      </w:r>
      <w:bookmarkEnd w:id="663"/>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在合同履行过程中，如果乙方遇到不能按时</w:t>
      </w:r>
      <w:r>
        <w:rPr>
          <w:rFonts w:hint="eastAsia" w:ascii="仿宋" w:hAnsi="仿宋" w:eastAsia="仿宋"/>
          <w:color w:val="auto"/>
          <w:sz w:val="24"/>
          <w:highlight w:val="none"/>
        </w:rPr>
        <w:t>提供服务</w:t>
      </w:r>
      <w:r>
        <w:rPr>
          <w:rFonts w:ascii="仿宋" w:hAnsi="仿宋" w:eastAsia="仿宋"/>
          <w:color w:val="auto"/>
          <w:sz w:val="24"/>
          <w:highlight w:val="none"/>
        </w:rPr>
        <w:t>的情况，应及时以书面形式将不能按时</w:t>
      </w:r>
      <w:r>
        <w:rPr>
          <w:rFonts w:hint="eastAsia" w:ascii="仿宋" w:hAnsi="仿宋" w:eastAsia="仿宋"/>
          <w:color w:val="auto"/>
          <w:sz w:val="24"/>
          <w:highlight w:val="none"/>
        </w:rPr>
        <w:t>提供服务</w:t>
      </w:r>
      <w:r>
        <w:rPr>
          <w:rFonts w:ascii="仿宋" w:hAnsi="仿宋" w:eastAsia="仿宋"/>
          <w:color w:val="auto"/>
          <w:sz w:val="24"/>
          <w:highlight w:val="none"/>
        </w:rPr>
        <w:t>的理由、预期延误时间通知甲方</w:t>
      </w:r>
      <w:r>
        <w:rPr>
          <w:rFonts w:hint="eastAsia" w:ascii="仿宋" w:hAnsi="仿宋" w:eastAsia="仿宋"/>
          <w:color w:val="auto"/>
          <w:sz w:val="24"/>
          <w:highlight w:val="none"/>
        </w:rPr>
        <w:t>；甲</w:t>
      </w:r>
      <w:r>
        <w:rPr>
          <w:rFonts w:ascii="仿宋" w:hAnsi="仿宋" w:eastAsia="仿宋"/>
          <w:color w:val="auto"/>
          <w:sz w:val="24"/>
          <w:highlight w:val="none"/>
        </w:rPr>
        <w:t>方收到乙方通知后，认为其理由正当的，可以书面形式酌情同意乙方可以延长</w:t>
      </w:r>
      <w:r>
        <w:rPr>
          <w:rFonts w:hint="eastAsia" w:ascii="仿宋" w:hAnsi="仿宋" w:eastAsia="仿宋"/>
          <w:color w:val="auto"/>
          <w:sz w:val="24"/>
          <w:highlight w:val="none"/>
        </w:rPr>
        <w:t>履行</w:t>
      </w:r>
      <w:r>
        <w:rPr>
          <w:rFonts w:ascii="仿宋" w:hAnsi="仿宋" w:eastAsia="仿宋"/>
          <w:color w:val="auto"/>
          <w:sz w:val="24"/>
          <w:highlight w:val="none"/>
        </w:rPr>
        <w:t>的具体时间。</w:t>
      </w:r>
    </w:p>
    <w:p>
      <w:pPr>
        <w:spacing w:line="560" w:lineRule="exact"/>
        <w:ind w:firstLine="482" w:firstLineChars="200"/>
        <w:outlineLvl w:val="0"/>
        <w:rPr>
          <w:rFonts w:ascii="仿宋" w:hAnsi="仿宋" w:eastAsia="仿宋"/>
          <w:b/>
          <w:color w:val="auto"/>
          <w:sz w:val="24"/>
          <w:highlight w:val="none"/>
        </w:rPr>
      </w:pPr>
      <w:bookmarkStart w:id="664" w:name="_Toc10611"/>
      <w:r>
        <w:rPr>
          <w:rFonts w:ascii="仿宋" w:hAnsi="仿宋" w:eastAsia="仿宋"/>
          <w:b/>
          <w:color w:val="auto"/>
          <w:sz w:val="24"/>
          <w:highlight w:val="none"/>
        </w:rPr>
        <w:t xml:space="preserve">2.9 </w:t>
      </w:r>
      <w:r>
        <w:rPr>
          <w:rFonts w:hint="eastAsia" w:ascii="仿宋" w:hAnsi="仿宋" w:eastAsia="仿宋"/>
          <w:b/>
          <w:color w:val="auto"/>
          <w:sz w:val="24"/>
          <w:highlight w:val="none"/>
        </w:rPr>
        <w:t>合同变更</w:t>
      </w:r>
      <w:bookmarkEnd w:id="664"/>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auto"/>
          <w:sz w:val="24"/>
          <w:highlight w:val="none"/>
        </w:rPr>
      </w:pPr>
      <w:bookmarkStart w:id="665" w:name="_Toc23368"/>
      <w:bookmarkStart w:id="666" w:name="_Toc42"/>
      <w:bookmarkStart w:id="667" w:name="_Toc26689"/>
      <w:bookmarkStart w:id="668" w:name="_Toc10663"/>
      <w:bookmarkStart w:id="669" w:name="_Toc21830"/>
      <w:r>
        <w:rPr>
          <w:rFonts w:ascii="仿宋" w:hAnsi="仿宋" w:eastAsia="仿宋"/>
          <w:b/>
          <w:color w:val="auto"/>
          <w:sz w:val="24"/>
          <w:highlight w:val="none"/>
        </w:rPr>
        <w:t>2.10 合同转让和分包</w:t>
      </w:r>
      <w:bookmarkEnd w:id="665"/>
      <w:bookmarkEnd w:id="666"/>
      <w:bookmarkEnd w:id="667"/>
      <w:bookmarkEnd w:id="668"/>
      <w:bookmarkEnd w:id="669"/>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合同的权利义务依法不</w:t>
      </w:r>
      <w:r>
        <w:rPr>
          <w:rFonts w:hint="eastAsia" w:ascii="仿宋" w:hAnsi="仿宋" w:eastAsia="仿宋"/>
          <w:color w:val="auto"/>
          <w:sz w:val="24"/>
          <w:highlight w:val="none"/>
        </w:rPr>
        <w:t>得</w:t>
      </w:r>
      <w:r>
        <w:rPr>
          <w:rFonts w:ascii="仿宋" w:hAnsi="仿宋" w:eastAsia="仿宋"/>
          <w:color w:val="auto"/>
          <w:sz w:val="24"/>
          <w:highlight w:val="none"/>
        </w:rPr>
        <w:t>转让</w:t>
      </w:r>
      <w:r>
        <w:rPr>
          <w:rFonts w:hint="eastAsia" w:ascii="仿宋" w:hAnsi="仿宋" w:eastAsia="仿宋"/>
          <w:color w:val="auto"/>
          <w:sz w:val="24"/>
          <w:highlight w:val="none"/>
        </w:rPr>
        <w:t>，</w:t>
      </w:r>
      <w:r>
        <w:rPr>
          <w:rFonts w:ascii="仿宋" w:hAnsi="仿宋" w:eastAsia="仿宋"/>
          <w:color w:val="auto"/>
          <w:sz w:val="24"/>
          <w:highlight w:val="none"/>
        </w:rPr>
        <w:t>但经甲方</w:t>
      </w:r>
      <w:r>
        <w:rPr>
          <w:rFonts w:hint="eastAsia" w:ascii="仿宋" w:hAnsi="仿宋" w:eastAsia="仿宋"/>
          <w:color w:val="auto"/>
          <w:sz w:val="24"/>
          <w:highlight w:val="none"/>
        </w:rPr>
        <w:t>同意，乙方可以依法采取分包方式履行合同，即：依法可以</w:t>
      </w:r>
      <w:r>
        <w:rPr>
          <w:rFonts w:ascii="仿宋" w:hAnsi="仿宋" w:eastAsia="仿宋"/>
          <w:color w:val="auto"/>
          <w:sz w:val="24"/>
          <w:highlight w:val="none"/>
        </w:rPr>
        <w:t>将合同项下的部分非主体、非关键性工作分包给他人完成</w:t>
      </w:r>
      <w:r>
        <w:rPr>
          <w:rFonts w:hint="eastAsia" w:ascii="仿宋" w:hAnsi="仿宋" w:eastAsia="仿宋"/>
          <w:color w:val="auto"/>
          <w:sz w:val="24"/>
          <w:highlight w:val="none"/>
        </w:rPr>
        <w:t>，</w:t>
      </w:r>
      <w:r>
        <w:rPr>
          <w:rFonts w:ascii="仿宋" w:hAnsi="仿宋" w:eastAsia="仿宋"/>
          <w:color w:val="auto"/>
          <w:sz w:val="24"/>
          <w:highlight w:val="none"/>
        </w:rPr>
        <w:t>接受分包的人应当具备相应的资格条件，并不得再次分包</w:t>
      </w:r>
      <w:r>
        <w:rPr>
          <w:rFonts w:hint="eastAsia" w:ascii="仿宋" w:hAnsi="仿宋" w:eastAsia="仿宋"/>
          <w:color w:val="auto"/>
          <w:sz w:val="24"/>
          <w:highlight w:val="none"/>
        </w:rPr>
        <w:t>，</w:t>
      </w:r>
      <w:r>
        <w:rPr>
          <w:rFonts w:ascii="仿宋" w:hAnsi="仿宋" w:eastAsia="仿宋"/>
          <w:color w:val="auto"/>
          <w:sz w:val="24"/>
          <w:highlight w:val="none"/>
        </w:rPr>
        <w:t>且乙方应就分包项目向甲方负责</w:t>
      </w:r>
      <w:r>
        <w:rPr>
          <w:rFonts w:hint="eastAsia" w:ascii="仿宋" w:hAnsi="仿宋" w:eastAsia="仿宋"/>
          <w:color w:val="auto"/>
          <w:sz w:val="24"/>
          <w:highlight w:val="none"/>
        </w:rPr>
        <w:t>，</w:t>
      </w:r>
      <w:r>
        <w:rPr>
          <w:rFonts w:ascii="仿宋" w:hAnsi="仿宋" w:eastAsia="仿宋"/>
          <w:color w:val="auto"/>
          <w:sz w:val="24"/>
          <w:highlight w:val="none"/>
        </w:rPr>
        <w:t>并</w:t>
      </w:r>
      <w:r>
        <w:rPr>
          <w:rFonts w:hint="eastAsia" w:ascii="仿宋" w:hAnsi="仿宋" w:eastAsia="仿宋"/>
          <w:color w:val="auto"/>
          <w:sz w:val="24"/>
          <w:highlight w:val="none"/>
        </w:rPr>
        <w:t>与分包供应商就分包项目向甲方承担连带责任。</w:t>
      </w:r>
    </w:p>
    <w:p>
      <w:pPr>
        <w:spacing w:line="560" w:lineRule="exact"/>
        <w:ind w:firstLine="482" w:firstLineChars="200"/>
        <w:outlineLvl w:val="0"/>
        <w:rPr>
          <w:rFonts w:ascii="仿宋" w:hAnsi="仿宋" w:eastAsia="仿宋"/>
          <w:b/>
          <w:color w:val="auto"/>
          <w:sz w:val="24"/>
          <w:highlight w:val="none"/>
        </w:rPr>
      </w:pPr>
      <w:bookmarkStart w:id="670" w:name="_Toc26633"/>
      <w:bookmarkStart w:id="671" w:name="_Toc25571"/>
      <w:bookmarkStart w:id="672" w:name="_Toc32494"/>
      <w:bookmarkStart w:id="673" w:name="_Toc4720"/>
      <w:bookmarkStart w:id="674" w:name="_Toc14371"/>
      <w:r>
        <w:rPr>
          <w:rFonts w:ascii="仿宋" w:hAnsi="仿宋" w:eastAsia="仿宋"/>
          <w:b/>
          <w:color w:val="auto"/>
          <w:sz w:val="24"/>
          <w:highlight w:val="none"/>
        </w:rPr>
        <w:t>2.11 不可抗力</w:t>
      </w:r>
      <w:bookmarkEnd w:id="670"/>
      <w:bookmarkEnd w:id="671"/>
      <w:bookmarkEnd w:id="672"/>
      <w:bookmarkEnd w:id="673"/>
      <w:bookmarkEnd w:id="674"/>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2.11.1如果任何一方遭遇法律规定的不可抗力，致使合同履行受阻时，履行合同的期限应予延长，延长的期限应相当于不可抗力所影响的时间</w:t>
      </w:r>
      <w:r>
        <w:rPr>
          <w:rFonts w:hint="eastAsia"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2.11.2 </w:t>
      </w:r>
      <w:r>
        <w:rPr>
          <w:rFonts w:hint="eastAsia" w:ascii="仿宋" w:hAnsi="仿宋" w:eastAsia="仿宋"/>
          <w:color w:val="auto"/>
          <w:sz w:val="24"/>
          <w:highlight w:val="none"/>
        </w:rPr>
        <w:t>因不可抗力致使不能实现合同目的的，当事人可以解除合同；</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2.11.3 </w:t>
      </w:r>
      <w:r>
        <w:rPr>
          <w:rFonts w:hint="eastAsia" w:ascii="仿宋" w:hAnsi="仿宋" w:eastAsia="仿宋"/>
          <w:color w:val="auto"/>
          <w:sz w:val="24"/>
          <w:highlight w:val="none"/>
        </w:rPr>
        <w:t>因</w:t>
      </w:r>
      <w:r>
        <w:rPr>
          <w:rFonts w:ascii="仿宋" w:hAnsi="仿宋" w:eastAsia="仿宋"/>
          <w:color w:val="auto"/>
          <w:sz w:val="24"/>
          <w:highlight w:val="none"/>
        </w:rPr>
        <w:t>不可抗力致使合同有变更必要的，双方当事人应在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约定时间内以书面形式变更合同</w:t>
      </w:r>
      <w:r>
        <w:rPr>
          <w:rFonts w:hint="eastAsia"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2.11.4受</w:t>
      </w:r>
      <w:r>
        <w:rPr>
          <w:rFonts w:hint="eastAsia" w:ascii="仿宋" w:hAnsi="仿宋" w:eastAsia="仿宋"/>
          <w:color w:val="auto"/>
          <w:sz w:val="24"/>
          <w:highlight w:val="none"/>
        </w:rPr>
        <w:t>不可抗力</w:t>
      </w:r>
      <w:r>
        <w:rPr>
          <w:rFonts w:ascii="仿宋" w:hAnsi="仿宋" w:eastAsia="仿宋"/>
          <w:color w:val="auto"/>
          <w:sz w:val="24"/>
          <w:highlight w:val="none"/>
        </w:rPr>
        <w:t>影响的一方在不可抗力发生后</w:t>
      </w:r>
      <w:r>
        <w:rPr>
          <w:rFonts w:hint="eastAsia" w:ascii="仿宋" w:hAnsi="仿宋" w:eastAsia="仿宋"/>
          <w:color w:val="auto"/>
          <w:sz w:val="24"/>
          <w:highlight w:val="none"/>
        </w:rPr>
        <w:t>，</w:t>
      </w:r>
      <w:r>
        <w:rPr>
          <w:rFonts w:ascii="仿宋" w:hAnsi="仿宋" w:eastAsia="仿宋"/>
          <w:color w:val="auto"/>
          <w:sz w:val="24"/>
          <w:highlight w:val="none"/>
        </w:rPr>
        <w:t>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约定时间内以书面形式通知</w:t>
      </w:r>
      <w:r>
        <w:rPr>
          <w:rFonts w:hint="eastAsia" w:ascii="仿宋" w:hAnsi="仿宋" w:eastAsia="仿宋"/>
          <w:color w:val="auto"/>
          <w:sz w:val="24"/>
          <w:highlight w:val="none"/>
        </w:rPr>
        <w:t>对</w:t>
      </w:r>
      <w:r>
        <w:rPr>
          <w:rFonts w:ascii="仿宋" w:hAnsi="仿宋" w:eastAsia="仿宋"/>
          <w:color w:val="auto"/>
          <w:sz w:val="24"/>
          <w:highlight w:val="none"/>
        </w:rPr>
        <w:t>方当事人，并在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约定时间内，将有关部门出具的证明文件送达</w:t>
      </w:r>
      <w:r>
        <w:rPr>
          <w:rFonts w:hint="eastAsia" w:ascii="仿宋" w:hAnsi="仿宋" w:eastAsia="仿宋"/>
          <w:color w:val="auto"/>
          <w:sz w:val="24"/>
          <w:highlight w:val="none"/>
        </w:rPr>
        <w:t>对方当事人</w:t>
      </w:r>
      <w:r>
        <w:rPr>
          <w:rFonts w:ascii="仿宋" w:hAnsi="仿宋" w:eastAsia="仿宋"/>
          <w:color w:val="auto"/>
          <w:sz w:val="24"/>
          <w:highlight w:val="none"/>
        </w:rPr>
        <w:t>。</w:t>
      </w:r>
    </w:p>
    <w:p>
      <w:pPr>
        <w:spacing w:line="560" w:lineRule="exact"/>
        <w:ind w:firstLine="482" w:firstLineChars="200"/>
        <w:outlineLvl w:val="0"/>
        <w:rPr>
          <w:rFonts w:ascii="仿宋" w:hAnsi="仿宋" w:eastAsia="仿宋"/>
          <w:b/>
          <w:color w:val="auto"/>
          <w:sz w:val="24"/>
          <w:highlight w:val="none"/>
        </w:rPr>
      </w:pPr>
      <w:bookmarkStart w:id="675" w:name="_Toc23854"/>
      <w:bookmarkStart w:id="676" w:name="_Toc14115"/>
      <w:bookmarkStart w:id="677" w:name="_Toc24465"/>
      <w:bookmarkStart w:id="678" w:name="_Toc3638"/>
      <w:bookmarkStart w:id="679" w:name="_Toc25783"/>
      <w:r>
        <w:rPr>
          <w:rFonts w:ascii="仿宋" w:hAnsi="仿宋" w:eastAsia="仿宋"/>
          <w:b/>
          <w:color w:val="auto"/>
          <w:sz w:val="24"/>
          <w:highlight w:val="none"/>
        </w:rPr>
        <w:t>2.12 税费</w:t>
      </w:r>
      <w:bookmarkEnd w:id="675"/>
      <w:bookmarkEnd w:id="676"/>
      <w:bookmarkEnd w:id="677"/>
      <w:bookmarkEnd w:id="678"/>
      <w:bookmarkEnd w:id="679"/>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与合同有关的一切税费</w:t>
      </w:r>
      <w:r>
        <w:rPr>
          <w:rFonts w:hint="eastAsia" w:ascii="仿宋" w:hAnsi="仿宋" w:eastAsia="仿宋"/>
          <w:color w:val="auto"/>
          <w:sz w:val="24"/>
          <w:highlight w:val="none"/>
        </w:rPr>
        <w:t>，</w:t>
      </w:r>
      <w:r>
        <w:rPr>
          <w:rFonts w:ascii="仿宋" w:hAnsi="仿宋" w:eastAsia="仿宋"/>
          <w:color w:val="auto"/>
          <w:sz w:val="24"/>
          <w:highlight w:val="none"/>
        </w:rPr>
        <w:t>均按照中华人民共和国法律的相关规定缴纳。</w:t>
      </w:r>
    </w:p>
    <w:p>
      <w:pPr>
        <w:spacing w:line="560" w:lineRule="exact"/>
        <w:ind w:firstLine="482" w:firstLineChars="200"/>
        <w:outlineLvl w:val="0"/>
        <w:rPr>
          <w:rFonts w:ascii="仿宋" w:hAnsi="仿宋" w:eastAsia="仿宋"/>
          <w:b/>
          <w:color w:val="auto"/>
          <w:sz w:val="24"/>
          <w:highlight w:val="none"/>
        </w:rPr>
      </w:pPr>
      <w:bookmarkStart w:id="680" w:name="_Toc7315"/>
      <w:bookmarkStart w:id="681" w:name="_Toc25525"/>
      <w:bookmarkStart w:id="682" w:name="_Toc30105"/>
      <w:bookmarkStart w:id="683" w:name="_Toc14814"/>
      <w:bookmarkStart w:id="684" w:name="_Toc26883"/>
      <w:r>
        <w:rPr>
          <w:rFonts w:ascii="仿宋" w:hAnsi="仿宋" w:eastAsia="仿宋"/>
          <w:b/>
          <w:color w:val="auto"/>
          <w:sz w:val="24"/>
          <w:highlight w:val="none"/>
        </w:rPr>
        <w:t>2.13 乙方破产</w:t>
      </w:r>
      <w:bookmarkEnd w:id="680"/>
      <w:bookmarkEnd w:id="681"/>
      <w:bookmarkEnd w:id="682"/>
      <w:bookmarkEnd w:id="683"/>
      <w:bookmarkEnd w:id="684"/>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如果乙方破产导致合同无法履行时，甲方可以书面形式通知乙方终止合同且不给予乙方任何补偿和赔偿</w:t>
      </w:r>
      <w:r>
        <w:rPr>
          <w:rFonts w:hint="eastAsia" w:ascii="仿宋" w:hAnsi="仿宋" w:eastAsia="仿宋"/>
          <w:color w:val="auto"/>
          <w:sz w:val="24"/>
          <w:highlight w:val="none"/>
        </w:rPr>
        <w:t>，但合同的</w:t>
      </w:r>
      <w:r>
        <w:rPr>
          <w:rFonts w:ascii="仿宋" w:hAnsi="仿宋" w:eastAsia="仿宋"/>
          <w:color w:val="auto"/>
          <w:sz w:val="24"/>
          <w:highlight w:val="none"/>
        </w:rPr>
        <w:t>终止不损害或不影响甲方已经采取或将要采取的任何要求乙方支付违约金</w:t>
      </w:r>
      <w:r>
        <w:rPr>
          <w:rFonts w:hint="eastAsia" w:ascii="仿宋" w:hAnsi="仿宋" w:eastAsia="仿宋"/>
          <w:color w:val="auto"/>
          <w:sz w:val="24"/>
          <w:highlight w:val="none"/>
        </w:rPr>
        <w:t>、</w:t>
      </w:r>
      <w:r>
        <w:rPr>
          <w:rFonts w:ascii="仿宋" w:hAnsi="仿宋" w:eastAsia="仿宋"/>
          <w:color w:val="auto"/>
          <w:sz w:val="24"/>
          <w:highlight w:val="none"/>
        </w:rPr>
        <w:t>赔偿损失等的行动或补救措施的权利</w:t>
      </w:r>
      <w:r>
        <w:rPr>
          <w:rFonts w:hint="eastAsia" w:ascii="仿宋" w:hAnsi="仿宋" w:eastAsia="仿宋"/>
          <w:color w:val="auto"/>
          <w:sz w:val="24"/>
          <w:highlight w:val="none"/>
        </w:rPr>
        <w:t>。</w:t>
      </w:r>
    </w:p>
    <w:p>
      <w:pPr>
        <w:spacing w:line="560" w:lineRule="exact"/>
        <w:ind w:firstLine="482" w:firstLineChars="200"/>
        <w:outlineLvl w:val="0"/>
        <w:rPr>
          <w:rFonts w:ascii="仿宋" w:hAnsi="仿宋" w:eastAsia="仿宋"/>
          <w:b/>
          <w:color w:val="auto"/>
          <w:sz w:val="24"/>
          <w:highlight w:val="none"/>
        </w:rPr>
      </w:pPr>
      <w:bookmarkStart w:id="685" w:name="_Toc2016"/>
      <w:bookmarkStart w:id="686" w:name="_Toc23323"/>
      <w:bookmarkStart w:id="687" w:name="_Toc1123"/>
      <w:r>
        <w:rPr>
          <w:rFonts w:ascii="仿宋" w:hAnsi="仿宋" w:eastAsia="仿宋"/>
          <w:b/>
          <w:color w:val="auto"/>
          <w:sz w:val="24"/>
          <w:highlight w:val="none"/>
        </w:rPr>
        <w:t>2.14 合同中止、终止</w:t>
      </w:r>
      <w:bookmarkEnd w:id="685"/>
      <w:bookmarkEnd w:id="686"/>
      <w:bookmarkEnd w:id="687"/>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2.14.1 </w:t>
      </w:r>
      <w:r>
        <w:rPr>
          <w:rFonts w:hint="eastAsia" w:ascii="仿宋" w:hAnsi="仿宋" w:eastAsia="仿宋"/>
          <w:color w:val="auto"/>
          <w:sz w:val="24"/>
          <w:highlight w:val="none"/>
        </w:rPr>
        <w:t>双方当事人不得擅自中止或者终止合同；</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auto"/>
          <w:sz w:val="24"/>
          <w:highlight w:val="none"/>
        </w:rPr>
      </w:pPr>
      <w:bookmarkStart w:id="688" w:name="_Toc14525"/>
      <w:bookmarkStart w:id="689" w:name="_Toc17363"/>
      <w:bookmarkStart w:id="690" w:name="_Toc1969"/>
      <w:r>
        <w:rPr>
          <w:rFonts w:ascii="仿宋" w:hAnsi="仿宋" w:eastAsia="仿宋"/>
          <w:b/>
          <w:color w:val="auto"/>
          <w:sz w:val="24"/>
          <w:highlight w:val="none"/>
        </w:rPr>
        <w:t>2.15 检验和验收</w:t>
      </w:r>
      <w:bookmarkEnd w:id="688"/>
      <w:bookmarkEnd w:id="689"/>
      <w:bookmarkEnd w:id="690"/>
    </w:p>
    <w:p>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2.15.1 </w:t>
      </w:r>
      <w:r>
        <w:rPr>
          <w:rFonts w:hint="eastAsia" w:ascii="仿宋" w:hAnsi="仿宋" w:eastAsia="仿宋"/>
          <w:color w:val="auto"/>
          <w:sz w:val="24"/>
          <w:highlight w:val="none"/>
        </w:rPr>
        <w:t>乙方按照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w:t>
      </w:r>
      <w:r>
        <w:rPr>
          <w:rFonts w:hint="eastAsia" w:ascii="仿宋" w:hAnsi="仿宋" w:eastAsia="仿宋"/>
          <w:color w:val="auto"/>
          <w:sz w:val="24"/>
          <w:highlight w:val="none"/>
        </w:rPr>
        <w:t>，</w:t>
      </w:r>
      <w:r>
        <w:rPr>
          <w:rFonts w:ascii="仿宋" w:hAnsi="仿宋" w:eastAsia="仿宋"/>
          <w:color w:val="auto"/>
          <w:sz w:val="24"/>
          <w:highlight w:val="none"/>
        </w:rPr>
        <w:t>定期提交服务报告</w:t>
      </w:r>
      <w:r>
        <w:rPr>
          <w:rFonts w:hint="eastAsia" w:ascii="仿宋" w:hAnsi="仿宋" w:eastAsia="仿宋"/>
          <w:color w:val="auto"/>
          <w:sz w:val="24"/>
          <w:highlight w:val="none"/>
        </w:rPr>
        <w:t>，甲方按照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的约定进行定期验收</w:t>
      </w:r>
      <w:r>
        <w:rPr>
          <w:rFonts w:hint="eastAsia" w:ascii="仿宋" w:hAnsi="仿宋" w:eastAsia="仿宋"/>
          <w:color w:val="auto"/>
          <w:sz w:val="24"/>
          <w:highlight w:val="none"/>
        </w:rPr>
        <w:t>；</w:t>
      </w:r>
    </w:p>
    <w:p>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2.15.2 </w:t>
      </w:r>
      <w:r>
        <w:rPr>
          <w:rFonts w:hint="eastAsia" w:ascii="仿宋" w:hAnsi="仿宋" w:eastAsia="仿宋"/>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2.15.3 </w:t>
      </w:r>
      <w:r>
        <w:rPr>
          <w:rFonts w:hint="eastAsia" w:ascii="仿宋" w:hAnsi="仿宋" w:eastAsia="仿宋"/>
          <w:color w:val="auto"/>
          <w:sz w:val="24"/>
          <w:highlight w:val="none"/>
        </w:rPr>
        <w:t>检验和验收标准、程序等具体内容以及前述验收书的效力详见</w:t>
      </w:r>
      <w:r>
        <w:rPr>
          <w:rFonts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p>
      <w:pPr>
        <w:spacing w:line="560" w:lineRule="exact"/>
        <w:ind w:firstLine="482" w:firstLineChars="200"/>
        <w:outlineLvl w:val="0"/>
        <w:rPr>
          <w:rFonts w:ascii="仿宋" w:hAnsi="仿宋" w:eastAsia="仿宋"/>
          <w:b/>
          <w:color w:val="auto"/>
          <w:sz w:val="24"/>
          <w:highlight w:val="none"/>
        </w:rPr>
      </w:pPr>
      <w:bookmarkStart w:id="691" w:name="_Toc12666"/>
      <w:bookmarkStart w:id="692" w:name="_Toc25198"/>
      <w:bookmarkStart w:id="693" w:name="_Toc31892"/>
      <w:bookmarkStart w:id="694" w:name="_Toc9808"/>
      <w:bookmarkStart w:id="695" w:name="_Toc2308"/>
      <w:r>
        <w:rPr>
          <w:rFonts w:ascii="仿宋" w:hAnsi="仿宋" w:eastAsia="仿宋"/>
          <w:b/>
          <w:color w:val="auto"/>
          <w:sz w:val="24"/>
          <w:highlight w:val="none"/>
        </w:rPr>
        <w:t>2.16 通知和送达</w:t>
      </w:r>
      <w:bookmarkEnd w:id="691"/>
      <w:bookmarkEnd w:id="692"/>
      <w:bookmarkEnd w:id="693"/>
      <w:bookmarkEnd w:id="694"/>
      <w:bookmarkEnd w:id="695"/>
    </w:p>
    <w:p>
      <w:pPr>
        <w:spacing w:line="560" w:lineRule="exact"/>
        <w:ind w:firstLine="480" w:firstLineChars="200"/>
        <w:rPr>
          <w:rFonts w:ascii="仿宋" w:hAnsi="仿宋" w:eastAsia="仿宋"/>
          <w:color w:val="auto"/>
          <w:sz w:val="24"/>
          <w:highlight w:val="none"/>
        </w:rPr>
      </w:pPr>
      <w:bookmarkStart w:id="696" w:name="_Toc27674"/>
      <w:bookmarkStart w:id="697" w:name="_Toc18401"/>
      <w:r>
        <w:rPr>
          <w:rFonts w:ascii="仿宋" w:hAnsi="仿宋" w:eastAsia="仿宋"/>
          <w:color w:val="auto"/>
          <w:sz w:val="24"/>
          <w:highlight w:val="none"/>
        </w:rPr>
        <w:t>2.17.1</w:t>
      </w:r>
      <w:r>
        <w:rPr>
          <w:rFonts w:hint="eastAsia" w:ascii="仿宋" w:hAnsi="仿宋" w:eastAsia="仿宋"/>
          <w:color w:val="auto"/>
          <w:sz w:val="24"/>
          <w:highlight w:val="none"/>
        </w:rPr>
        <w:t>任何一方因履行合同而以合同第一部分尾部所列明的传真或电子邮件</w:t>
      </w: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发出的所有通知、文件、材料，均视为已向对方当事人送达；任何一方变更上述送达方式或者地址的，应于</w:t>
      </w:r>
      <w:r>
        <w:rPr>
          <w:rFonts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bookmarkEnd w:id="696"/>
      <w:bookmarkEnd w:id="697"/>
    </w:p>
    <w:p>
      <w:pPr>
        <w:spacing w:line="560" w:lineRule="exact"/>
        <w:ind w:firstLine="482" w:firstLineChars="200"/>
        <w:outlineLvl w:val="0"/>
        <w:rPr>
          <w:rFonts w:ascii="仿宋" w:hAnsi="仿宋" w:eastAsia="仿宋"/>
          <w:b/>
          <w:color w:val="auto"/>
          <w:sz w:val="24"/>
          <w:highlight w:val="none"/>
        </w:rPr>
      </w:pPr>
      <w:bookmarkStart w:id="698" w:name="_Toc20808"/>
      <w:bookmarkStart w:id="699" w:name="_Toc5063"/>
      <w:bookmarkStart w:id="700" w:name="_Toc28906"/>
      <w:bookmarkStart w:id="701" w:name="_Toc12254"/>
      <w:bookmarkStart w:id="702" w:name="_Toc27644"/>
      <w:r>
        <w:rPr>
          <w:rFonts w:ascii="仿宋" w:hAnsi="仿宋" w:eastAsia="仿宋"/>
          <w:b/>
          <w:color w:val="auto"/>
          <w:sz w:val="24"/>
          <w:highlight w:val="none"/>
        </w:rPr>
        <w:t xml:space="preserve">2.17 </w:t>
      </w:r>
      <w:r>
        <w:rPr>
          <w:rFonts w:hint="eastAsia" w:ascii="仿宋" w:hAnsi="仿宋" w:eastAsia="仿宋"/>
          <w:b/>
          <w:color w:val="auto"/>
          <w:sz w:val="24"/>
          <w:highlight w:val="none"/>
        </w:rPr>
        <w:t>合同使用的文字和</w:t>
      </w:r>
      <w:r>
        <w:rPr>
          <w:rFonts w:ascii="仿宋" w:hAnsi="仿宋" w:eastAsia="仿宋"/>
          <w:b/>
          <w:color w:val="auto"/>
          <w:sz w:val="24"/>
          <w:highlight w:val="none"/>
        </w:rPr>
        <w:t>适用的法律</w:t>
      </w:r>
      <w:bookmarkEnd w:id="698"/>
      <w:bookmarkEnd w:id="699"/>
      <w:bookmarkEnd w:id="700"/>
      <w:bookmarkEnd w:id="701"/>
      <w:bookmarkEnd w:id="702"/>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2.17.1 合同使用汉语书就</w:t>
      </w:r>
      <w:r>
        <w:rPr>
          <w:rFonts w:hint="eastAsia" w:ascii="仿宋" w:hAnsi="仿宋" w:eastAsia="仿宋"/>
          <w:color w:val="auto"/>
          <w:sz w:val="24"/>
          <w:highlight w:val="none"/>
        </w:rPr>
        <w:t>、</w:t>
      </w:r>
      <w:r>
        <w:rPr>
          <w:rFonts w:ascii="仿宋" w:hAnsi="仿宋" w:eastAsia="仿宋"/>
          <w:color w:val="auto"/>
          <w:sz w:val="24"/>
          <w:highlight w:val="none"/>
        </w:rPr>
        <w:t>变更和解释</w:t>
      </w:r>
      <w:r>
        <w:rPr>
          <w:rFonts w:hint="eastAsia"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2.17.2 </w:t>
      </w:r>
      <w:r>
        <w:rPr>
          <w:rFonts w:hint="eastAsia" w:ascii="仿宋" w:hAnsi="仿宋" w:eastAsia="仿宋"/>
          <w:color w:val="auto"/>
          <w:sz w:val="24"/>
          <w:highlight w:val="none"/>
        </w:rPr>
        <w:t>合同适用</w:t>
      </w:r>
      <w:r>
        <w:rPr>
          <w:rFonts w:ascii="仿宋" w:hAnsi="仿宋" w:eastAsia="仿宋"/>
          <w:color w:val="auto"/>
          <w:sz w:val="24"/>
          <w:highlight w:val="none"/>
        </w:rPr>
        <w:t>中华人民共和国法律。</w:t>
      </w:r>
    </w:p>
    <w:p>
      <w:pPr>
        <w:spacing w:line="560" w:lineRule="exact"/>
        <w:ind w:firstLine="482" w:firstLineChars="200"/>
        <w:outlineLvl w:val="0"/>
        <w:rPr>
          <w:rFonts w:ascii="仿宋" w:hAnsi="仿宋" w:eastAsia="仿宋"/>
          <w:b/>
          <w:color w:val="auto"/>
          <w:sz w:val="24"/>
          <w:highlight w:val="none"/>
        </w:rPr>
      </w:pPr>
      <w:bookmarkStart w:id="703" w:name="_Toc30096"/>
      <w:bookmarkStart w:id="704" w:name="_Toc22266"/>
      <w:bookmarkStart w:id="705" w:name="_Toc27127"/>
      <w:bookmarkStart w:id="706" w:name="_Toc27403"/>
      <w:bookmarkStart w:id="707" w:name="_Toc1492"/>
      <w:r>
        <w:rPr>
          <w:rFonts w:ascii="仿宋" w:hAnsi="仿宋" w:eastAsia="仿宋"/>
          <w:b/>
          <w:color w:val="auto"/>
          <w:sz w:val="24"/>
          <w:highlight w:val="none"/>
        </w:rPr>
        <w:t>2.18 履约保证金</w:t>
      </w:r>
      <w:bookmarkEnd w:id="703"/>
      <w:bookmarkEnd w:id="704"/>
      <w:bookmarkEnd w:id="705"/>
      <w:bookmarkEnd w:id="706"/>
      <w:bookmarkEnd w:id="707"/>
    </w:p>
    <w:p>
      <w:pPr>
        <w:pStyle w:val="642"/>
        <w:spacing w:before="0" w:beforeAutospacing="0" w:after="0" w:afterAutospacing="0" w:line="360" w:lineRule="auto"/>
        <w:ind w:firstLine="420"/>
        <w:rPr>
          <w:rFonts w:ascii="仿宋" w:hAnsi="仿宋" w:eastAsia="仿宋"/>
          <w:color w:val="auto"/>
          <w:highlight w:val="none"/>
        </w:rPr>
      </w:pPr>
      <w:r>
        <w:rPr>
          <w:rFonts w:ascii="仿宋" w:hAnsi="仿宋" w:eastAsia="仿宋"/>
          <w:color w:val="auto"/>
          <w:highlight w:val="none"/>
        </w:rPr>
        <w:t xml:space="preserve">2.18.1 </w:t>
      </w:r>
      <w:r>
        <w:rPr>
          <w:rFonts w:hint="eastAsia" w:ascii="仿宋" w:hAnsi="仿宋" w:eastAsia="仿宋"/>
          <w:color w:val="auto"/>
          <w:highlight w:val="none"/>
        </w:rPr>
        <w:t>采购文件要求乙方提交履约保证金的，乙方应按</w:t>
      </w:r>
      <w:r>
        <w:rPr>
          <w:rFonts w:hint="eastAsia" w:ascii="仿宋" w:hAnsi="仿宋" w:eastAsia="仿宋"/>
          <w:b/>
          <w:i/>
          <w:color w:val="auto"/>
          <w:highlight w:val="none"/>
          <w:u w:val="single"/>
        </w:rPr>
        <w:t>合同专用条款</w:t>
      </w:r>
      <w:r>
        <w:rPr>
          <w:rFonts w:hint="eastAsia" w:ascii="仿宋" w:hAnsi="仿宋" w:eastAsia="仿宋"/>
          <w:color w:val="auto"/>
          <w:highlight w:val="none"/>
        </w:rPr>
        <w:t>约定的方式，以支票、汇票、本票或者金融机构、担保机构出具的保函等非现金形式，提交不超过合同金额</w:t>
      </w:r>
      <w:r>
        <w:rPr>
          <w:rFonts w:ascii="仿宋" w:hAnsi="仿宋" w:eastAsia="仿宋"/>
          <w:color w:val="auto"/>
          <w:highlight w:val="none"/>
        </w:rPr>
        <w:t>1%的履约保证金；鼓励和支持乙方以银行、保险公司出具的保函形式提供履约保证</w:t>
      </w:r>
      <w:r>
        <w:rPr>
          <w:rFonts w:hint="eastAsia" w:ascii="仿宋" w:hAnsi="仿宋" w:eastAsia="仿宋"/>
          <w:color w:val="auto"/>
          <w:highlight w:val="none"/>
        </w:rPr>
        <w:t>，乙方以银行、保险公司出具保函形式提交履约保证金的，甲方不得拒收。</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2.18.2  </w:t>
      </w:r>
      <w:r>
        <w:rPr>
          <w:rFonts w:hint="eastAsia" w:ascii="仿宋" w:hAnsi="仿宋" w:eastAsia="仿宋"/>
          <w:color w:val="auto"/>
          <w:sz w:val="24"/>
          <w:highlight w:val="none"/>
        </w:rPr>
        <w:t>甲方在项目验收结束后及时退还履约保证金。甲方在项目通过验收之日起</w:t>
      </w:r>
      <w:r>
        <w:rPr>
          <w:rFonts w:ascii="仿宋" w:hAnsi="仿宋" w:eastAsia="仿宋"/>
          <w:color w:val="auto"/>
          <w:sz w:val="24"/>
          <w:highlight w:val="none"/>
          <w:u w:val="single"/>
        </w:rPr>
        <w:t xml:space="preserve"> 5 </w:t>
      </w:r>
      <w:r>
        <w:rPr>
          <w:rFonts w:hint="eastAsia" w:ascii="仿宋" w:hAnsi="仿宋" w:eastAsia="仿宋"/>
          <w:color w:val="auto"/>
          <w:sz w:val="24"/>
          <w:highlight w:val="none"/>
        </w:rPr>
        <w:t>个工作日内，按</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约定的方式将履约保证金退还乙方，逾期退还的，乙方可要求甲方支付违约金，违约金按每迟延退还一日的应退还而未退还金额的</w:t>
      </w:r>
      <w:r>
        <w:rPr>
          <w:rFonts w:ascii="仿宋" w:hAnsi="仿宋" w:eastAsia="仿宋"/>
          <w:color w:val="auto"/>
          <w:sz w:val="24"/>
          <w:highlight w:val="none"/>
          <w:u w:val="single"/>
        </w:rPr>
        <w:t xml:space="preserve">  0.05  </w:t>
      </w:r>
      <w:r>
        <w:rPr>
          <w:rFonts w:ascii="仿宋" w:hAnsi="仿宋" w:eastAsia="仿宋"/>
          <w:color w:val="auto"/>
          <w:sz w:val="24"/>
          <w:highlight w:val="none"/>
        </w:rPr>
        <w:t>%计算，最高限额为本合同履约保证金的</w:t>
      </w:r>
      <w:r>
        <w:rPr>
          <w:rFonts w:ascii="仿宋" w:hAnsi="仿宋" w:eastAsia="仿宋"/>
          <w:color w:val="auto"/>
          <w:sz w:val="24"/>
          <w:highlight w:val="none"/>
          <w:u w:val="single"/>
        </w:rPr>
        <w:t xml:space="preserve">  20   </w:t>
      </w:r>
      <w:r>
        <w:rPr>
          <w:rFonts w:ascii="仿宋" w:hAnsi="仿宋" w:eastAsia="仿宋"/>
          <w:color w:val="auto"/>
          <w:sz w:val="24"/>
          <w:highlight w:val="none"/>
        </w:rPr>
        <w:t xml:space="preserve">%； </w:t>
      </w:r>
    </w:p>
    <w:p>
      <w:pPr>
        <w:spacing w:line="560" w:lineRule="exact"/>
        <w:ind w:firstLine="482" w:firstLineChars="200"/>
        <w:rPr>
          <w:rFonts w:ascii="仿宋" w:hAnsi="仿宋" w:eastAsia="仿宋"/>
          <w:color w:val="auto"/>
          <w:sz w:val="24"/>
          <w:highlight w:val="none"/>
        </w:rPr>
      </w:pPr>
      <w:r>
        <w:rPr>
          <w:rFonts w:ascii="仿宋" w:hAnsi="仿宋" w:eastAsia="仿宋"/>
          <w:b/>
          <w:bCs/>
          <w:color w:val="auto"/>
          <w:sz w:val="24"/>
          <w:highlight w:val="none"/>
        </w:rPr>
        <w:t>2.19</w:t>
      </w:r>
      <w:r>
        <w:rPr>
          <w:rFonts w:ascii="仿宋" w:hAnsi="仿宋" w:eastAsia="仿宋"/>
          <w:color w:val="auto"/>
          <w:sz w:val="24"/>
          <w:highlight w:val="none"/>
        </w:rPr>
        <w:t>对于因甲方原因导致变更、中止或者终止政府采购合同的，甲方应当依照合同约定对供应商受到的损失予以赔偿或者补偿</w:t>
      </w:r>
      <w:r>
        <w:rPr>
          <w:rFonts w:hint="eastAsia" w:ascii="仿宋" w:hAnsi="仿宋" w:eastAsia="仿宋"/>
          <w:color w:val="auto"/>
          <w:sz w:val="24"/>
          <w:highlight w:val="none"/>
        </w:rPr>
        <w:t>。</w:t>
      </w:r>
    </w:p>
    <w:p>
      <w:pPr>
        <w:spacing w:line="560" w:lineRule="exact"/>
        <w:ind w:firstLine="482" w:firstLineChars="200"/>
        <w:rPr>
          <w:rFonts w:ascii="仿宋" w:hAnsi="仿宋" w:eastAsia="仿宋"/>
          <w:b/>
          <w:color w:val="auto"/>
          <w:sz w:val="24"/>
          <w:highlight w:val="none"/>
        </w:rPr>
      </w:pPr>
      <w:r>
        <w:rPr>
          <w:rFonts w:ascii="仿宋" w:hAnsi="仿宋" w:eastAsia="仿宋"/>
          <w:b/>
          <w:color w:val="auto"/>
          <w:sz w:val="24"/>
          <w:highlight w:val="none"/>
        </w:rPr>
        <w:t>2.20合同份数</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合同份数按</w:t>
      </w:r>
      <w:r>
        <w:rPr>
          <w:rFonts w:ascii="仿宋" w:hAnsi="仿宋" w:eastAsia="仿宋"/>
          <w:b/>
          <w:i/>
          <w:color w:val="auto"/>
          <w:sz w:val="24"/>
          <w:highlight w:val="none"/>
          <w:u w:val="single"/>
        </w:rPr>
        <w:t>合同专用条款</w:t>
      </w:r>
      <w:r>
        <w:rPr>
          <w:rFonts w:ascii="仿宋" w:hAnsi="仿宋" w:eastAsia="仿宋"/>
          <w:color w:val="auto"/>
          <w:sz w:val="24"/>
          <w:highlight w:val="none"/>
        </w:rPr>
        <w:t>规定</w:t>
      </w:r>
      <w:r>
        <w:rPr>
          <w:rFonts w:hint="eastAsia" w:ascii="仿宋" w:hAnsi="仿宋" w:eastAsia="仿宋"/>
          <w:color w:val="auto"/>
          <w:sz w:val="24"/>
          <w:highlight w:val="none"/>
        </w:rPr>
        <w:t>，</w:t>
      </w:r>
      <w:r>
        <w:rPr>
          <w:rFonts w:ascii="仿宋" w:hAnsi="仿宋" w:eastAsia="仿宋"/>
          <w:color w:val="auto"/>
          <w:sz w:val="24"/>
          <w:highlight w:val="none"/>
        </w:rPr>
        <w:t>每份均具有同等法律效力</w:t>
      </w:r>
      <w:r>
        <w:rPr>
          <w:rFonts w:hint="eastAsia" w:ascii="仿宋" w:hAnsi="仿宋" w:eastAsia="仿宋"/>
          <w:color w:val="auto"/>
          <w:sz w:val="24"/>
          <w:highlight w:val="none"/>
        </w:rPr>
        <w:t>。</w:t>
      </w:r>
    </w:p>
    <w:p>
      <w:pPr>
        <w:spacing w:line="56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w:t>
      </w:r>
    </w:p>
    <w:p>
      <w:pPr>
        <w:pStyle w:val="410"/>
        <w:spacing w:before="120" w:line="560" w:lineRule="exact"/>
        <w:jc w:val="center"/>
        <w:rPr>
          <w:rFonts w:ascii="仿宋" w:hAnsi="仿宋" w:eastAsia="仿宋" w:cs="宋体"/>
          <w:b/>
          <w:color w:val="auto"/>
          <w:szCs w:val="24"/>
          <w:highlight w:val="none"/>
        </w:rPr>
      </w:pPr>
      <w:r>
        <w:rPr>
          <w:rFonts w:hint="eastAsia" w:ascii="仿宋" w:hAnsi="仿宋" w:eastAsia="仿宋" w:cs="宋体"/>
          <w:color w:val="auto"/>
          <w:kern w:val="0"/>
          <w:szCs w:val="24"/>
          <w:highlight w:val="none"/>
        </w:rPr>
        <w:br w:type="page"/>
      </w:r>
      <w:bookmarkStart w:id="708" w:name="_Toc331685784"/>
      <w:r>
        <w:rPr>
          <w:rFonts w:hint="eastAsia" w:ascii="仿宋" w:hAnsi="仿宋" w:eastAsia="仿宋" w:cs="宋体"/>
          <w:b/>
          <w:color w:val="auto"/>
          <w:szCs w:val="24"/>
          <w:highlight w:val="none"/>
        </w:rPr>
        <w:t xml:space="preserve"> </w:t>
      </w:r>
      <w:bookmarkEnd w:id="708"/>
      <w:r>
        <w:rPr>
          <w:rFonts w:hint="eastAsia" w:ascii="仿宋" w:hAnsi="仿宋" w:eastAsia="仿宋" w:cs="宋体"/>
          <w:b/>
          <w:color w:val="auto"/>
          <w:szCs w:val="24"/>
          <w:highlight w:val="none"/>
        </w:rPr>
        <w:t>第三部分  合同专用条款</w:t>
      </w:r>
    </w:p>
    <w:p>
      <w:pPr>
        <w:pStyle w:val="36"/>
        <w:ind w:left="1680"/>
        <w:rPr>
          <w:rFonts w:ascii="仿宋" w:hAnsi="仿宋" w:eastAsia="仿宋"/>
          <w:color w:val="auto"/>
          <w:highlight w:val="none"/>
        </w:rPr>
      </w:pPr>
    </w:p>
    <w:tbl>
      <w:tblPr>
        <w:tblStyle w:val="88"/>
        <w:tblW w:w="5000" w:type="pct"/>
        <w:tblInd w:w="17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80"/>
        <w:gridCol w:w="75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条款号</w:t>
            </w:r>
          </w:p>
        </w:tc>
        <w:tc>
          <w:tcPr>
            <w:tcW w:w="4533" w:type="pct"/>
            <w:vAlign w:val="center"/>
          </w:tcPr>
          <w:p>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1.4.4</w:t>
            </w:r>
          </w:p>
        </w:tc>
        <w:tc>
          <w:tcPr>
            <w:tcW w:w="4533" w:type="pct"/>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中标价 ：人民币</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w:t>
            </w:r>
          </w:p>
          <w:p>
            <w:pPr>
              <w:spacing w:before="179" w:line="360" w:lineRule="auto"/>
              <w:ind w:right="324" w:firstLine="520" w:firstLineChars="200"/>
              <w:rPr>
                <w:rFonts w:ascii="仿宋" w:hAnsi="仿宋" w:eastAsia="仿宋" w:cs="仿宋"/>
                <w:color w:val="auto"/>
                <w:spacing w:val="3"/>
                <w:sz w:val="24"/>
                <w:highlight w:val="none"/>
              </w:rPr>
            </w:pPr>
            <w:r>
              <w:rPr>
                <w:rFonts w:ascii="仿宋" w:hAnsi="仿宋" w:eastAsia="仿宋" w:cs="仿宋"/>
                <w:color w:val="auto"/>
                <w:spacing w:val="10"/>
                <w:sz w:val="24"/>
                <w:highlight w:val="none"/>
              </w:rPr>
              <w:t>合同生效</w:t>
            </w:r>
            <w:r>
              <w:rPr>
                <w:rFonts w:hint="eastAsia" w:ascii="仿宋" w:hAnsi="仿宋" w:eastAsia="仿宋" w:cs="仿宋"/>
                <w:color w:val="auto"/>
                <w:spacing w:val="10"/>
                <w:sz w:val="24"/>
                <w:highlight w:val="none"/>
              </w:rPr>
              <w:t>且项目安排进场施工</w:t>
            </w:r>
            <w:r>
              <w:rPr>
                <w:rFonts w:ascii="仿宋" w:hAnsi="仿宋" w:eastAsia="仿宋" w:cs="仿宋"/>
                <w:color w:val="auto"/>
                <w:spacing w:val="10"/>
                <w:sz w:val="24"/>
                <w:highlight w:val="none"/>
              </w:rPr>
              <w:t>后【</w:t>
            </w:r>
            <w:r>
              <w:rPr>
                <w:rFonts w:ascii="仿宋" w:hAnsi="仿宋" w:eastAsia="仿宋" w:cs="宋体"/>
                <w:color w:val="auto"/>
                <w:spacing w:val="10"/>
                <w:sz w:val="24"/>
                <w:highlight w:val="none"/>
              </w:rPr>
              <w:t>5</w:t>
            </w:r>
            <w:r>
              <w:rPr>
                <w:rFonts w:ascii="仿宋" w:hAnsi="仿宋" w:eastAsia="仿宋" w:cs="仿宋"/>
                <w:color w:val="auto"/>
                <w:spacing w:val="10"/>
                <w:sz w:val="24"/>
                <w:highlight w:val="none"/>
              </w:rPr>
              <w:t>】个工作日内，支付合同总价</w:t>
            </w:r>
            <w:r>
              <w:rPr>
                <w:rFonts w:ascii="仿宋" w:hAnsi="仿宋" w:eastAsia="仿宋" w:cs="仿宋"/>
                <w:color w:val="auto"/>
                <w:spacing w:val="6"/>
                <w:sz w:val="24"/>
                <w:highlight w:val="none"/>
              </w:rPr>
              <w:t>款</w:t>
            </w:r>
            <w:r>
              <w:rPr>
                <w:rFonts w:ascii="仿宋" w:hAnsi="仿宋" w:eastAsia="仿宋" w:cs="仿宋"/>
                <w:color w:val="auto"/>
                <w:spacing w:val="5"/>
                <w:sz w:val="24"/>
                <w:highlight w:val="none"/>
              </w:rPr>
              <w:t>的</w:t>
            </w:r>
            <w:r>
              <w:rPr>
                <w:rFonts w:ascii="仿宋" w:hAnsi="仿宋" w:eastAsia="仿宋" w:cs="仿宋"/>
                <w:color w:val="auto"/>
                <w:spacing w:val="3"/>
                <w:sz w:val="24"/>
                <w:highlight w:val="none"/>
              </w:rPr>
              <w:t>【</w:t>
            </w:r>
            <w:r>
              <w:rPr>
                <w:rFonts w:ascii="仿宋" w:hAnsi="仿宋" w:eastAsia="仿宋" w:cs="宋体"/>
                <w:color w:val="auto"/>
                <w:spacing w:val="3"/>
                <w:sz w:val="24"/>
                <w:highlight w:val="none"/>
              </w:rPr>
              <w:t>40%</w:t>
            </w:r>
            <w:r>
              <w:rPr>
                <w:rFonts w:ascii="仿宋" w:hAnsi="仿宋" w:eastAsia="仿宋" w:cs="仿宋"/>
                <w:color w:val="auto"/>
                <w:spacing w:val="3"/>
                <w:sz w:val="24"/>
                <w:highlight w:val="none"/>
              </w:rPr>
              <w:t>】；</w:t>
            </w:r>
          </w:p>
          <w:p>
            <w:pPr>
              <w:pStyle w:val="34"/>
              <w:rPr>
                <w:rFonts w:eastAsia="仿宋"/>
                <w:color w:val="auto"/>
                <w:highlight w:val="none"/>
                <w:lang w:val="en-US"/>
              </w:rPr>
            </w:pPr>
            <w:r>
              <w:rPr>
                <w:rFonts w:hint="eastAsia" w:ascii="仿宋" w:hAnsi="仿宋" w:eastAsia="仿宋" w:cs="仿宋"/>
                <w:color w:val="auto"/>
                <w:spacing w:val="3"/>
                <w:highlight w:val="none"/>
                <w:lang w:val="en-US"/>
              </w:rPr>
              <w:t xml:space="preserve">    项目完成工程量达到项目总工程量的80%时，经甲方确认后</w:t>
            </w:r>
            <w:r>
              <w:rPr>
                <w:rFonts w:ascii="仿宋" w:hAnsi="仿宋" w:eastAsia="仿宋" w:cs="仿宋"/>
                <w:color w:val="auto"/>
                <w:spacing w:val="7"/>
                <w:highlight w:val="none"/>
              </w:rPr>
              <w:t>【</w:t>
            </w:r>
            <w:r>
              <w:rPr>
                <w:rFonts w:ascii="仿宋" w:hAnsi="仿宋" w:eastAsia="仿宋" w:cs="宋体"/>
                <w:color w:val="auto"/>
                <w:spacing w:val="7"/>
                <w:highlight w:val="none"/>
              </w:rPr>
              <w:t>5</w:t>
            </w:r>
            <w:r>
              <w:rPr>
                <w:rFonts w:ascii="仿宋" w:hAnsi="仿宋" w:eastAsia="仿宋" w:cs="仿宋"/>
                <w:color w:val="auto"/>
                <w:spacing w:val="7"/>
                <w:highlight w:val="none"/>
              </w:rPr>
              <w:t>】个工作日内</w:t>
            </w:r>
            <w:r>
              <w:rPr>
                <w:rFonts w:hint="eastAsia" w:ascii="仿宋" w:hAnsi="仿宋" w:eastAsia="仿宋" w:cs="仿宋"/>
                <w:color w:val="auto"/>
                <w:spacing w:val="3"/>
                <w:highlight w:val="none"/>
                <w:lang w:val="en-US"/>
              </w:rPr>
              <w:t>支付至合同总金额的</w:t>
            </w:r>
            <w:r>
              <w:rPr>
                <w:rFonts w:ascii="仿宋" w:hAnsi="仿宋" w:eastAsia="仿宋" w:cs="仿宋"/>
                <w:color w:val="auto"/>
                <w:spacing w:val="7"/>
                <w:highlight w:val="none"/>
              </w:rPr>
              <w:t>【</w:t>
            </w:r>
            <w:r>
              <w:rPr>
                <w:rFonts w:hint="eastAsia" w:ascii="仿宋" w:hAnsi="仿宋" w:eastAsia="仿宋" w:cs="宋体"/>
                <w:color w:val="auto"/>
                <w:spacing w:val="7"/>
                <w:highlight w:val="none"/>
                <w:lang w:val="en-US"/>
              </w:rPr>
              <w:t>7</w:t>
            </w:r>
            <w:r>
              <w:rPr>
                <w:rFonts w:ascii="仿宋" w:hAnsi="仿宋" w:eastAsia="仿宋" w:cs="宋体"/>
                <w:color w:val="auto"/>
                <w:spacing w:val="7"/>
                <w:highlight w:val="none"/>
              </w:rPr>
              <w:t>0%</w:t>
            </w:r>
            <w:r>
              <w:rPr>
                <w:rFonts w:ascii="仿宋" w:hAnsi="仿宋" w:eastAsia="仿宋" w:cs="仿宋"/>
                <w:color w:val="auto"/>
                <w:spacing w:val="7"/>
                <w:highlight w:val="none"/>
              </w:rPr>
              <w:t>】</w:t>
            </w:r>
            <w:r>
              <w:rPr>
                <w:rFonts w:hint="eastAsia" w:ascii="仿宋" w:hAnsi="仿宋" w:eastAsia="仿宋" w:cs="仿宋"/>
                <w:color w:val="auto"/>
                <w:spacing w:val="7"/>
                <w:highlight w:val="none"/>
              </w:rPr>
              <w:t>；</w:t>
            </w:r>
          </w:p>
          <w:p>
            <w:pPr>
              <w:adjustRightInd/>
              <w:spacing w:line="360" w:lineRule="auto"/>
              <w:ind w:firstLine="520" w:firstLineChars="200"/>
              <w:rPr>
                <w:rFonts w:ascii="仿宋" w:hAnsi="仿宋" w:eastAsia="仿宋" w:cs="仿宋"/>
                <w:color w:val="auto"/>
                <w:sz w:val="24"/>
                <w:highlight w:val="none"/>
              </w:rPr>
            </w:pPr>
            <w:r>
              <w:rPr>
                <w:rFonts w:hint="eastAsia" w:ascii="仿宋" w:hAnsi="仿宋" w:eastAsia="仿宋" w:cs="仿宋"/>
                <w:color w:val="auto"/>
                <w:spacing w:val="10"/>
                <w:sz w:val="24"/>
                <w:highlight w:val="none"/>
              </w:rPr>
              <w:t>项目完成</w:t>
            </w:r>
            <w:r>
              <w:rPr>
                <w:rFonts w:ascii="仿宋" w:hAnsi="仿宋" w:eastAsia="仿宋" w:cs="仿宋"/>
                <w:color w:val="auto"/>
                <w:spacing w:val="7"/>
                <w:sz w:val="24"/>
                <w:highlight w:val="none"/>
              </w:rPr>
              <w:t>经甲方验收</w:t>
            </w:r>
            <w:r>
              <w:rPr>
                <w:rFonts w:ascii="仿宋" w:hAnsi="仿宋" w:eastAsia="仿宋" w:cs="仿宋"/>
                <w:color w:val="auto"/>
                <w:spacing w:val="14"/>
                <w:sz w:val="24"/>
                <w:highlight w:val="none"/>
              </w:rPr>
              <w:t>合格</w:t>
            </w:r>
            <w:r>
              <w:rPr>
                <w:rFonts w:ascii="仿宋" w:hAnsi="仿宋" w:eastAsia="仿宋" w:cs="仿宋"/>
                <w:color w:val="auto"/>
                <w:spacing w:val="7"/>
                <w:sz w:val="24"/>
                <w:highlight w:val="none"/>
              </w:rPr>
              <w:t>后【</w:t>
            </w:r>
            <w:r>
              <w:rPr>
                <w:rFonts w:ascii="仿宋" w:hAnsi="仿宋" w:eastAsia="仿宋" w:cs="宋体"/>
                <w:color w:val="auto"/>
                <w:spacing w:val="7"/>
                <w:sz w:val="24"/>
                <w:highlight w:val="none"/>
              </w:rPr>
              <w:t>5</w:t>
            </w:r>
            <w:r>
              <w:rPr>
                <w:rFonts w:ascii="仿宋" w:hAnsi="仿宋" w:eastAsia="仿宋" w:cs="仿宋"/>
                <w:color w:val="auto"/>
                <w:spacing w:val="7"/>
                <w:sz w:val="24"/>
                <w:highlight w:val="none"/>
              </w:rPr>
              <w:t>】个工作日内，支付</w:t>
            </w:r>
            <w:r>
              <w:rPr>
                <w:rFonts w:hint="eastAsia" w:ascii="仿宋" w:hAnsi="仿宋" w:eastAsia="仿宋" w:cs="仿宋"/>
                <w:color w:val="auto"/>
                <w:spacing w:val="7"/>
                <w:sz w:val="24"/>
                <w:highlight w:val="none"/>
              </w:rPr>
              <w:t>至</w:t>
            </w:r>
            <w:r>
              <w:rPr>
                <w:rFonts w:ascii="仿宋" w:hAnsi="仿宋" w:eastAsia="仿宋" w:cs="仿宋"/>
                <w:color w:val="auto"/>
                <w:spacing w:val="7"/>
                <w:sz w:val="24"/>
                <w:highlight w:val="none"/>
              </w:rPr>
              <w:t>合同总金额的【</w:t>
            </w:r>
            <w:r>
              <w:rPr>
                <w:rFonts w:hint="eastAsia" w:ascii="仿宋" w:hAnsi="仿宋" w:eastAsia="仿宋" w:cs="宋体"/>
                <w:color w:val="auto"/>
                <w:spacing w:val="7"/>
                <w:sz w:val="24"/>
                <w:highlight w:val="none"/>
              </w:rPr>
              <w:t>10</w:t>
            </w:r>
            <w:r>
              <w:rPr>
                <w:rFonts w:ascii="仿宋" w:hAnsi="仿宋" w:eastAsia="仿宋" w:cs="宋体"/>
                <w:color w:val="auto"/>
                <w:spacing w:val="7"/>
                <w:sz w:val="24"/>
                <w:highlight w:val="none"/>
              </w:rPr>
              <w:t>0%</w:t>
            </w:r>
            <w:r>
              <w:rPr>
                <w:rFonts w:ascii="仿宋" w:hAnsi="仿宋" w:eastAsia="仿宋" w:cs="仿宋"/>
                <w:color w:val="auto"/>
                <w:spacing w:val="7"/>
                <w:sz w:val="24"/>
                <w:highlight w:val="none"/>
              </w:rPr>
              <w:t>】；</w:t>
            </w:r>
            <w:r>
              <w:rPr>
                <w:rFonts w:hint="eastAsia" w:ascii="仿宋" w:hAnsi="仿宋" w:eastAsia="仿宋" w:cs="仿宋"/>
                <w:color w:val="auto"/>
                <w:sz w:val="24"/>
                <w:highlight w:val="none"/>
              </w:rPr>
              <w:t>最终费用按实际进行结算，但不得超过合同总价，如实际计算价格超过合同总价，按合同总价结算，乙方须无条件服从。</w:t>
            </w:r>
          </w:p>
          <w:p>
            <w:pPr>
              <w:spacing w:before="1" w:line="360" w:lineRule="auto"/>
              <w:ind w:right="70" w:firstLine="511"/>
              <w:rPr>
                <w:rFonts w:ascii="仿宋" w:hAnsi="仿宋" w:eastAsia="仿宋" w:cs="仿宋"/>
                <w:color w:val="auto"/>
                <w:sz w:val="24"/>
                <w:highlight w:val="none"/>
              </w:rPr>
            </w:pPr>
            <w:r>
              <w:rPr>
                <w:rFonts w:ascii="仿宋" w:hAnsi="仿宋" w:eastAsia="仿宋" w:cs="仿宋"/>
                <w:color w:val="auto"/>
                <w:spacing w:val="14"/>
                <w:sz w:val="24"/>
                <w:highlight w:val="none"/>
              </w:rPr>
              <w:t>甲</w:t>
            </w:r>
            <w:r>
              <w:rPr>
                <w:rFonts w:ascii="仿宋" w:hAnsi="仿宋" w:eastAsia="仿宋" w:cs="仿宋"/>
                <w:color w:val="auto"/>
                <w:spacing w:val="9"/>
                <w:sz w:val="24"/>
                <w:highlight w:val="none"/>
              </w:rPr>
              <w:t>方</w:t>
            </w:r>
            <w:r>
              <w:rPr>
                <w:rFonts w:ascii="仿宋" w:hAnsi="仿宋" w:eastAsia="仿宋" w:cs="仿宋"/>
                <w:color w:val="auto"/>
                <w:spacing w:val="7"/>
                <w:sz w:val="24"/>
                <w:highlight w:val="none"/>
              </w:rPr>
              <w:t>付款前，乙方须提供正规合法的等额发票，否则甲方有权拒绝付款，且不因此</w:t>
            </w:r>
            <w:r>
              <w:rPr>
                <w:rFonts w:ascii="仿宋" w:hAnsi="仿宋" w:eastAsia="仿宋" w:cs="仿宋"/>
                <w:color w:val="auto"/>
                <w:sz w:val="24"/>
                <w:highlight w:val="none"/>
              </w:rPr>
              <w:t xml:space="preserve"> </w:t>
            </w:r>
            <w:r>
              <w:rPr>
                <w:rFonts w:ascii="仿宋" w:hAnsi="仿宋" w:eastAsia="仿宋" w:cs="仿宋"/>
                <w:color w:val="auto"/>
                <w:spacing w:val="8"/>
                <w:sz w:val="24"/>
                <w:highlight w:val="none"/>
              </w:rPr>
              <w:t>承</w:t>
            </w:r>
            <w:r>
              <w:rPr>
                <w:rFonts w:ascii="仿宋" w:hAnsi="仿宋" w:eastAsia="仿宋" w:cs="仿宋"/>
                <w:color w:val="auto"/>
                <w:spacing w:val="7"/>
                <w:sz w:val="24"/>
                <w:highlight w:val="none"/>
              </w:rPr>
              <w:t>担任何违约责任。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1.5.1 </w:t>
            </w:r>
          </w:p>
        </w:tc>
        <w:tc>
          <w:tcPr>
            <w:tcW w:w="4533" w:type="pct"/>
            <w:vAlign w:val="center"/>
          </w:tcPr>
          <w:p>
            <w:pPr>
              <w:spacing w:line="360" w:lineRule="auto"/>
              <w:rPr>
                <w:rFonts w:ascii="仿宋" w:hAnsi="仿宋" w:eastAsia="仿宋" w:cs="宋体"/>
                <w:color w:val="auto"/>
                <w:sz w:val="24"/>
                <w:highlight w:val="none"/>
              </w:rPr>
            </w:pPr>
            <w:r>
              <w:rPr>
                <w:rFonts w:hint="eastAsia" w:ascii="仿宋" w:hAnsi="仿宋" w:eastAsia="仿宋" w:cs="Helvetica"/>
                <w:color w:val="auto"/>
                <w:kern w:val="0"/>
                <w:sz w:val="24"/>
                <w:highlight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1.5.2</w:t>
            </w:r>
          </w:p>
        </w:tc>
        <w:tc>
          <w:tcPr>
            <w:tcW w:w="4533" w:type="pct"/>
            <w:vAlign w:val="center"/>
          </w:tcPr>
          <w:p>
            <w:pPr>
              <w:spacing w:line="360" w:lineRule="auto"/>
              <w:rPr>
                <w:rFonts w:ascii="仿宋" w:hAnsi="仿宋" w:eastAsia="仿宋" w:cs="宋体"/>
                <w:color w:val="auto"/>
                <w:sz w:val="24"/>
                <w:highlight w:val="none"/>
                <w:lang w:eastAsia="zh-Hans"/>
              </w:rPr>
            </w:pPr>
            <w:r>
              <w:rPr>
                <w:rFonts w:hint="eastAsia" w:ascii="仿宋" w:hAnsi="仿宋" w:eastAsia="仿宋" w:cs="仿宋"/>
                <w:color w:val="auto"/>
                <w:spacing w:val="5"/>
                <w:sz w:val="24"/>
                <w:highlight w:val="none"/>
              </w:rPr>
              <w:t>布展场地位于桂芳桥社区缸甏弄2号、3号民居包括临平北大街104-106号营业房（原奥康门厅店）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1.5.3 </w:t>
            </w:r>
          </w:p>
        </w:tc>
        <w:tc>
          <w:tcPr>
            <w:tcW w:w="4533" w:type="pct"/>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设计施工一体化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1.6.7</w:t>
            </w:r>
          </w:p>
        </w:tc>
        <w:tc>
          <w:tcPr>
            <w:tcW w:w="4533" w:type="pct"/>
            <w:vAlign w:val="center"/>
          </w:tcPr>
          <w:p>
            <w:pPr>
              <w:spacing w:line="360" w:lineRule="auto"/>
              <w:ind w:firstLine="512" w:firstLineChars="200"/>
              <w:rPr>
                <w:rFonts w:ascii="仿宋" w:hAnsi="仿宋" w:eastAsia="仿宋" w:cs="宋体"/>
                <w:color w:val="auto"/>
                <w:sz w:val="24"/>
                <w:highlight w:val="none"/>
              </w:rPr>
            </w:pPr>
            <w:r>
              <w:rPr>
                <w:rFonts w:hint="eastAsia" w:ascii="仿宋" w:hAnsi="仿宋" w:eastAsia="仿宋" w:cs="仿宋"/>
                <w:color w:val="auto"/>
                <w:spacing w:val="8"/>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1.7</w:t>
            </w:r>
          </w:p>
        </w:tc>
        <w:tc>
          <w:tcPr>
            <w:tcW w:w="4533" w:type="pct"/>
            <w:vAlign w:val="center"/>
          </w:tcPr>
          <w:p>
            <w:pPr>
              <w:spacing w:line="360" w:lineRule="auto"/>
              <w:rPr>
                <w:rFonts w:ascii="仿宋" w:hAnsi="仿宋" w:eastAsia="仿宋"/>
                <w:color w:val="auto"/>
                <w:sz w:val="24"/>
                <w:highlight w:val="none"/>
              </w:rPr>
            </w:pPr>
            <w:bookmarkStart w:id="709" w:name="_Hlk120831429"/>
            <w:r>
              <w:rPr>
                <w:rFonts w:hint="eastAsia" w:ascii="仿宋" w:hAnsi="仿宋" w:eastAsia="仿宋"/>
                <w:color w:val="auto"/>
                <w:sz w:val="24"/>
                <w:highlight w:val="none"/>
              </w:rPr>
              <w:t>1．合同在履行过程中发生争议时，甲方与乙方及时协商解决。协商不成时，在甲方所在地的人民法院进行诉讼。</w:t>
            </w:r>
          </w:p>
          <w:p>
            <w:pPr>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2．对于因违反或终止合同而引起的损失、损害的赔偿，由甲方与乙方友好协商解决，经协商仍未能达成一致的，在甲方所地的人民法院进行诉讼。</w:t>
            </w:r>
            <w:bookmarkEnd w:id="70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1.7.1</w:t>
            </w:r>
          </w:p>
        </w:tc>
        <w:tc>
          <w:tcPr>
            <w:tcW w:w="4533" w:type="pct"/>
            <w:vAlign w:val="center"/>
          </w:tcPr>
          <w:p>
            <w:pPr>
              <w:spacing w:line="360" w:lineRule="auto"/>
              <w:rPr>
                <w:rFonts w:ascii="仿宋" w:hAnsi="仿宋" w:eastAsia="仿宋"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1.7.2</w:t>
            </w:r>
          </w:p>
        </w:tc>
        <w:tc>
          <w:tcPr>
            <w:tcW w:w="4533" w:type="pct"/>
            <w:vAlign w:val="center"/>
          </w:tcPr>
          <w:p>
            <w:pPr>
              <w:spacing w:line="360" w:lineRule="auto"/>
              <w:rPr>
                <w:rFonts w:ascii="仿宋" w:hAnsi="仿宋" w:eastAsia="仿宋"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2.3.2</w:t>
            </w:r>
          </w:p>
        </w:tc>
        <w:tc>
          <w:tcPr>
            <w:tcW w:w="4533" w:type="pct"/>
            <w:vAlign w:val="center"/>
          </w:tcPr>
          <w:p>
            <w:pPr>
              <w:spacing w:line="360" w:lineRule="auto"/>
              <w:ind w:left="-420" w:leftChars="-200" w:right="-420" w:rightChars="-200" w:firstLine="480" w:firstLineChars="200"/>
              <w:rPr>
                <w:rFonts w:ascii="仿宋" w:hAnsi="仿宋" w:eastAsia="仿宋"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5</w:t>
            </w:r>
          </w:p>
        </w:tc>
        <w:tc>
          <w:tcPr>
            <w:tcW w:w="4533" w:type="pct"/>
            <w:vAlign w:val="center"/>
          </w:tcPr>
          <w:p>
            <w:pPr>
              <w:spacing w:line="360" w:lineRule="auto"/>
              <w:ind w:left="185" w:leftChars="88" w:right="-420" w:rightChars="-200" w:firstLine="480" w:firstLineChars="200"/>
              <w:rPr>
                <w:rFonts w:ascii="仿宋" w:hAnsi="仿宋" w:eastAsia="仿宋"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11</w:t>
            </w:r>
            <w:r>
              <w:rPr>
                <w:rFonts w:hint="eastAsia" w:ascii="仿宋" w:hAnsi="仿宋" w:eastAsia="仿宋" w:cs="宋体"/>
                <w:color w:val="auto"/>
                <w:sz w:val="24"/>
                <w:highlight w:val="none"/>
              </w:rPr>
              <w:t>.</w:t>
            </w:r>
            <w:r>
              <w:rPr>
                <w:rFonts w:ascii="仿宋" w:hAnsi="仿宋" w:eastAsia="仿宋" w:cs="宋体"/>
                <w:color w:val="auto"/>
                <w:sz w:val="24"/>
                <w:highlight w:val="none"/>
              </w:rPr>
              <w:t>3</w:t>
            </w:r>
          </w:p>
        </w:tc>
        <w:tc>
          <w:tcPr>
            <w:tcW w:w="4533" w:type="pct"/>
            <w:vAlign w:val="center"/>
          </w:tcPr>
          <w:p>
            <w:pPr>
              <w:spacing w:before="178" w:line="360" w:lineRule="auto"/>
              <w:ind w:left="1" w:firstLine="488"/>
              <w:rPr>
                <w:rFonts w:ascii="仿宋" w:hAnsi="仿宋" w:eastAsia="仿宋" w:cs="仿宋"/>
                <w:color w:val="auto"/>
                <w:sz w:val="24"/>
                <w:highlight w:val="none"/>
              </w:rPr>
            </w:pPr>
            <w:r>
              <w:rPr>
                <w:rFonts w:ascii="仿宋" w:hAnsi="仿宋" w:eastAsia="仿宋" w:cs="仿宋"/>
                <w:color w:val="auto"/>
                <w:spacing w:val="8"/>
                <w:sz w:val="24"/>
                <w:highlight w:val="none"/>
              </w:rPr>
              <w:t>1.不可抗力是指不能预见、不能避免且不能克服的客观情况，包括但不限于地震</w:t>
            </w:r>
            <w:r>
              <w:rPr>
                <w:rFonts w:ascii="仿宋" w:hAnsi="仿宋" w:eastAsia="仿宋" w:cs="仿宋"/>
                <w:color w:val="auto"/>
                <w:spacing w:val="2"/>
                <w:sz w:val="24"/>
                <w:highlight w:val="none"/>
              </w:rPr>
              <w:t>、</w:t>
            </w:r>
            <w:r>
              <w:rPr>
                <w:rFonts w:ascii="仿宋" w:hAnsi="仿宋" w:eastAsia="仿宋" w:cs="仿宋"/>
                <w:color w:val="auto"/>
                <w:sz w:val="24"/>
                <w:highlight w:val="none"/>
              </w:rPr>
              <w:t xml:space="preserve"> </w:t>
            </w:r>
            <w:r>
              <w:rPr>
                <w:rFonts w:ascii="仿宋" w:hAnsi="仿宋" w:eastAsia="仿宋" w:cs="仿宋"/>
                <w:color w:val="auto"/>
                <w:spacing w:val="16"/>
                <w:sz w:val="24"/>
                <w:highlight w:val="none"/>
              </w:rPr>
              <w:t>台</w:t>
            </w:r>
            <w:r>
              <w:rPr>
                <w:rFonts w:ascii="仿宋" w:hAnsi="仿宋" w:eastAsia="仿宋" w:cs="仿宋"/>
                <w:color w:val="auto"/>
                <w:spacing w:val="12"/>
                <w:sz w:val="24"/>
                <w:highlight w:val="none"/>
              </w:rPr>
              <w:t>风</w:t>
            </w:r>
            <w:r>
              <w:rPr>
                <w:rFonts w:ascii="仿宋" w:hAnsi="仿宋" w:eastAsia="仿宋" w:cs="仿宋"/>
                <w:color w:val="auto"/>
                <w:spacing w:val="8"/>
                <w:sz w:val="24"/>
                <w:highlight w:val="none"/>
              </w:rPr>
              <w:t>、海啸、瘟疫、火灾、洪水、重大疫情、政府行为、战争、恐怖袭击、蓄意破坏等</w:t>
            </w:r>
            <w:r>
              <w:rPr>
                <w:rFonts w:ascii="仿宋" w:hAnsi="仿宋" w:eastAsia="仿宋" w:cs="仿宋"/>
                <w:color w:val="auto"/>
                <w:sz w:val="24"/>
                <w:highlight w:val="none"/>
              </w:rPr>
              <w:t xml:space="preserve"> </w:t>
            </w:r>
            <w:r>
              <w:rPr>
                <w:rFonts w:ascii="仿宋" w:hAnsi="仿宋" w:eastAsia="仿宋" w:cs="仿宋"/>
                <w:color w:val="auto"/>
                <w:spacing w:val="16"/>
                <w:sz w:val="24"/>
                <w:highlight w:val="none"/>
              </w:rPr>
              <w:t>客</w:t>
            </w:r>
            <w:r>
              <w:rPr>
                <w:rFonts w:ascii="仿宋" w:hAnsi="仿宋" w:eastAsia="仿宋" w:cs="仿宋"/>
                <w:color w:val="auto"/>
                <w:spacing w:val="10"/>
                <w:sz w:val="24"/>
                <w:highlight w:val="none"/>
              </w:rPr>
              <w:t>观</w:t>
            </w:r>
            <w:r>
              <w:rPr>
                <w:rFonts w:ascii="仿宋" w:hAnsi="仿宋" w:eastAsia="仿宋" w:cs="仿宋"/>
                <w:color w:val="auto"/>
                <w:spacing w:val="8"/>
                <w:sz w:val="24"/>
                <w:highlight w:val="none"/>
              </w:rPr>
              <w:t>情况。鉴于新型冠状病毒疫情在本合同签署时已经存在，并非不能预见事项。除非</w:t>
            </w:r>
            <w:r>
              <w:rPr>
                <w:rFonts w:ascii="仿宋" w:hAnsi="仿宋" w:eastAsia="仿宋" w:cs="仿宋"/>
                <w:color w:val="auto"/>
                <w:sz w:val="24"/>
                <w:highlight w:val="none"/>
              </w:rPr>
              <w:t xml:space="preserve"> </w:t>
            </w:r>
            <w:r>
              <w:rPr>
                <w:rFonts w:ascii="仿宋" w:hAnsi="仿宋" w:eastAsia="仿宋" w:cs="仿宋"/>
                <w:color w:val="auto"/>
                <w:spacing w:val="16"/>
                <w:sz w:val="24"/>
                <w:highlight w:val="none"/>
              </w:rPr>
              <w:t>在</w:t>
            </w:r>
            <w:r>
              <w:rPr>
                <w:rFonts w:ascii="仿宋" w:hAnsi="仿宋" w:eastAsia="仿宋" w:cs="仿宋"/>
                <w:color w:val="auto"/>
                <w:spacing w:val="10"/>
                <w:sz w:val="24"/>
                <w:highlight w:val="none"/>
              </w:rPr>
              <w:t>本</w:t>
            </w:r>
            <w:r>
              <w:rPr>
                <w:rFonts w:ascii="仿宋" w:hAnsi="仿宋" w:eastAsia="仿宋" w:cs="仿宋"/>
                <w:color w:val="auto"/>
                <w:spacing w:val="8"/>
                <w:sz w:val="24"/>
                <w:highlight w:val="none"/>
              </w:rPr>
              <w:t>合同履行过程中该疫情影响范围或严重程度进一步扩大，致使本合同无法履行，否</w:t>
            </w:r>
            <w:r>
              <w:rPr>
                <w:rFonts w:ascii="仿宋" w:hAnsi="仿宋" w:eastAsia="仿宋" w:cs="仿宋"/>
                <w:color w:val="auto"/>
                <w:sz w:val="24"/>
                <w:highlight w:val="none"/>
              </w:rPr>
              <w:t xml:space="preserve"> </w:t>
            </w:r>
            <w:r>
              <w:rPr>
                <w:rFonts w:ascii="仿宋" w:hAnsi="仿宋" w:eastAsia="仿宋" w:cs="仿宋"/>
                <w:color w:val="auto"/>
                <w:spacing w:val="16"/>
                <w:sz w:val="24"/>
                <w:highlight w:val="none"/>
              </w:rPr>
              <w:t>则</w:t>
            </w:r>
            <w:r>
              <w:rPr>
                <w:rFonts w:ascii="仿宋" w:hAnsi="仿宋" w:eastAsia="仿宋" w:cs="仿宋"/>
                <w:color w:val="auto"/>
                <w:spacing w:val="10"/>
                <w:sz w:val="24"/>
                <w:highlight w:val="none"/>
              </w:rPr>
              <w:t>乙</w:t>
            </w:r>
            <w:r>
              <w:rPr>
                <w:rFonts w:ascii="仿宋" w:hAnsi="仿宋" w:eastAsia="仿宋" w:cs="仿宋"/>
                <w:color w:val="auto"/>
                <w:spacing w:val="8"/>
                <w:sz w:val="24"/>
                <w:highlight w:val="none"/>
              </w:rPr>
              <w:t>方不得援引该疫情作为不可抗力因素。</w:t>
            </w:r>
          </w:p>
          <w:p>
            <w:pPr>
              <w:spacing w:before="2" w:line="360" w:lineRule="auto"/>
              <w:ind w:left="1" w:right="7" w:firstLine="473"/>
              <w:rPr>
                <w:rFonts w:ascii="仿宋" w:hAnsi="仿宋" w:eastAsia="仿宋" w:cs="仿宋"/>
                <w:color w:val="auto"/>
                <w:sz w:val="24"/>
                <w:highlight w:val="none"/>
              </w:rPr>
            </w:pPr>
            <w:r>
              <w:rPr>
                <w:rFonts w:ascii="仿宋" w:hAnsi="仿宋" w:eastAsia="仿宋" w:cs="仿宋"/>
                <w:color w:val="auto"/>
                <w:spacing w:val="28"/>
                <w:sz w:val="24"/>
                <w:highlight w:val="none"/>
              </w:rPr>
              <w:t>2</w:t>
            </w:r>
            <w:r>
              <w:rPr>
                <w:rFonts w:ascii="仿宋" w:hAnsi="仿宋" w:eastAsia="仿宋" w:cs="仿宋"/>
                <w:color w:val="auto"/>
                <w:spacing w:val="24"/>
                <w:sz w:val="24"/>
                <w:highlight w:val="none"/>
              </w:rPr>
              <w:t>.</w:t>
            </w:r>
            <w:r>
              <w:rPr>
                <w:rFonts w:ascii="仿宋" w:hAnsi="仿宋" w:eastAsia="仿宋" w:cs="仿宋"/>
                <w:color w:val="auto"/>
                <w:spacing w:val="14"/>
                <w:sz w:val="24"/>
                <w:highlight w:val="none"/>
              </w:rPr>
              <w:t>本合同项下任何一方对于因不可抗力致使本合同不能履行或不能全部履行而给</w:t>
            </w:r>
            <w:r>
              <w:rPr>
                <w:rFonts w:ascii="仿宋" w:hAnsi="仿宋" w:eastAsia="仿宋" w:cs="仿宋"/>
                <w:color w:val="auto"/>
                <w:sz w:val="24"/>
                <w:highlight w:val="none"/>
              </w:rPr>
              <w:t xml:space="preserve"> </w:t>
            </w:r>
            <w:r>
              <w:rPr>
                <w:rFonts w:ascii="仿宋" w:hAnsi="仿宋" w:eastAsia="仿宋" w:cs="仿宋"/>
                <w:color w:val="auto"/>
                <w:spacing w:val="14"/>
                <w:sz w:val="24"/>
                <w:highlight w:val="none"/>
              </w:rPr>
              <w:t>对</w:t>
            </w:r>
            <w:r>
              <w:rPr>
                <w:rFonts w:ascii="仿宋" w:hAnsi="仿宋" w:eastAsia="仿宋" w:cs="仿宋"/>
                <w:color w:val="auto"/>
                <w:spacing w:val="8"/>
                <w:sz w:val="24"/>
                <w:highlight w:val="none"/>
              </w:rPr>
              <w:t>方造成的任何损失不承担违约责任。</w:t>
            </w:r>
          </w:p>
          <w:p>
            <w:pPr>
              <w:spacing w:line="360" w:lineRule="auto"/>
              <w:ind w:left="5" w:right="7" w:firstLine="471"/>
              <w:rPr>
                <w:rFonts w:ascii="仿宋" w:hAnsi="仿宋" w:eastAsia="仿宋" w:cs="仿宋"/>
                <w:color w:val="auto"/>
                <w:sz w:val="24"/>
                <w:highlight w:val="none"/>
              </w:rPr>
            </w:pPr>
            <w:r>
              <w:rPr>
                <w:rFonts w:ascii="仿宋" w:hAnsi="仿宋" w:eastAsia="仿宋" w:cs="仿宋"/>
                <w:color w:val="auto"/>
                <w:spacing w:val="8"/>
                <w:sz w:val="24"/>
                <w:highlight w:val="none"/>
              </w:rPr>
              <w:t>3.如果发生不可抗力事件，则受影响的一方应采取积极有效的措施以减少因本合同</w:t>
            </w:r>
            <w:r>
              <w:rPr>
                <w:rFonts w:ascii="仿宋" w:hAnsi="仿宋" w:eastAsia="仿宋" w:cs="仿宋"/>
                <w:color w:val="auto"/>
                <w:sz w:val="24"/>
                <w:highlight w:val="none"/>
              </w:rPr>
              <w:t xml:space="preserve"> </w:t>
            </w:r>
            <w:r>
              <w:rPr>
                <w:rFonts w:ascii="仿宋" w:hAnsi="仿宋" w:eastAsia="仿宋" w:cs="仿宋"/>
                <w:color w:val="auto"/>
                <w:spacing w:val="11"/>
                <w:sz w:val="24"/>
                <w:highlight w:val="none"/>
              </w:rPr>
              <w:t>不</w:t>
            </w:r>
            <w:r>
              <w:rPr>
                <w:rFonts w:ascii="仿宋" w:hAnsi="仿宋" w:eastAsia="仿宋" w:cs="仿宋"/>
                <w:color w:val="auto"/>
                <w:spacing w:val="8"/>
                <w:sz w:val="24"/>
                <w:highlight w:val="none"/>
              </w:rPr>
              <w:t>能履行或不能全部履行而给对方造成的损失，并应在不可抗力事件发生后三个工作日</w:t>
            </w:r>
            <w:r>
              <w:rPr>
                <w:rFonts w:ascii="仿宋" w:hAnsi="仿宋" w:eastAsia="仿宋" w:cs="仿宋"/>
                <w:color w:val="auto"/>
                <w:sz w:val="24"/>
                <w:highlight w:val="none"/>
              </w:rPr>
              <w:t xml:space="preserve"> </w:t>
            </w:r>
            <w:r>
              <w:rPr>
                <w:rFonts w:ascii="仿宋" w:hAnsi="仿宋" w:eastAsia="仿宋" w:cs="仿宋"/>
                <w:color w:val="auto"/>
                <w:spacing w:val="16"/>
                <w:sz w:val="24"/>
                <w:highlight w:val="none"/>
              </w:rPr>
              <w:t>内</w:t>
            </w:r>
            <w:r>
              <w:rPr>
                <w:rFonts w:ascii="仿宋" w:hAnsi="仿宋" w:eastAsia="仿宋" w:cs="仿宋"/>
                <w:color w:val="auto"/>
                <w:spacing w:val="10"/>
                <w:sz w:val="24"/>
                <w:highlight w:val="none"/>
              </w:rPr>
              <w:t>通</w:t>
            </w:r>
            <w:r>
              <w:rPr>
                <w:rFonts w:ascii="仿宋" w:hAnsi="仿宋" w:eastAsia="仿宋" w:cs="仿宋"/>
                <w:color w:val="auto"/>
                <w:spacing w:val="8"/>
                <w:sz w:val="24"/>
                <w:highlight w:val="none"/>
              </w:rPr>
              <w:t>知对方，并在十五日内出具官方证明文件。</w:t>
            </w:r>
          </w:p>
          <w:p>
            <w:pPr>
              <w:spacing w:before="1" w:line="360" w:lineRule="auto"/>
              <w:ind w:left="1" w:right="4" w:firstLine="469"/>
              <w:rPr>
                <w:rFonts w:ascii="仿宋" w:hAnsi="仿宋" w:eastAsia="仿宋" w:cs="仿宋"/>
                <w:color w:val="auto"/>
                <w:sz w:val="24"/>
                <w:highlight w:val="none"/>
              </w:rPr>
            </w:pPr>
            <w:r>
              <w:rPr>
                <w:rFonts w:ascii="仿宋" w:hAnsi="仿宋" w:eastAsia="仿宋" w:cs="仿宋"/>
                <w:color w:val="auto"/>
                <w:spacing w:val="14"/>
                <w:sz w:val="24"/>
                <w:highlight w:val="none"/>
              </w:rPr>
              <w:t>4</w:t>
            </w:r>
            <w:r>
              <w:rPr>
                <w:rFonts w:ascii="仿宋" w:hAnsi="仿宋" w:eastAsia="仿宋" w:cs="仿宋"/>
                <w:color w:val="auto"/>
                <w:spacing w:val="8"/>
                <w:sz w:val="24"/>
                <w:highlight w:val="none"/>
              </w:rPr>
              <w:t>.不可抗力影响因素消失以后，双方应协商是否继续履行合同。如果不可抗力因素</w:t>
            </w:r>
            <w:r>
              <w:rPr>
                <w:rFonts w:ascii="仿宋" w:hAnsi="仿宋" w:eastAsia="仿宋" w:cs="仿宋"/>
                <w:color w:val="auto"/>
                <w:sz w:val="24"/>
                <w:highlight w:val="none"/>
              </w:rPr>
              <w:t xml:space="preserve"> </w:t>
            </w:r>
            <w:r>
              <w:rPr>
                <w:rFonts w:ascii="仿宋" w:hAnsi="仿宋" w:eastAsia="仿宋" w:cs="仿宋"/>
                <w:color w:val="auto"/>
                <w:spacing w:val="16"/>
                <w:sz w:val="24"/>
                <w:highlight w:val="none"/>
              </w:rPr>
              <w:t>对</w:t>
            </w:r>
            <w:r>
              <w:rPr>
                <w:rFonts w:ascii="仿宋" w:hAnsi="仿宋" w:eastAsia="仿宋" w:cs="仿宋"/>
                <w:color w:val="auto"/>
                <w:spacing w:val="10"/>
                <w:sz w:val="24"/>
                <w:highlight w:val="none"/>
              </w:rPr>
              <w:t>合</w:t>
            </w:r>
            <w:r>
              <w:rPr>
                <w:rFonts w:ascii="仿宋" w:hAnsi="仿宋" w:eastAsia="仿宋" w:cs="仿宋"/>
                <w:color w:val="auto"/>
                <w:spacing w:val="8"/>
                <w:sz w:val="24"/>
                <w:highlight w:val="none"/>
              </w:rPr>
              <w:t>同一方的义务产生实质性、无法补救的影响，导致合同已无法履行，双方应通过书</w:t>
            </w:r>
            <w:r>
              <w:rPr>
                <w:rFonts w:ascii="仿宋" w:hAnsi="仿宋" w:eastAsia="仿宋" w:cs="仿宋"/>
                <w:color w:val="auto"/>
                <w:sz w:val="24"/>
                <w:highlight w:val="none"/>
              </w:rPr>
              <w:t xml:space="preserve"> </w:t>
            </w:r>
            <w:r>
              <w:rPr>
                <w:rFonts w:ascii="仿宋" w:hAnsi="仿宋" w:eastAsia="仿宋" w:cs="仿宋"/>
                <w:color w:val="auto"/>
                <w:spacing w:val="7"/>
                <w:sz w:val="24"/>
                <w:highlight w:val="none"/>
              </w:rPr>
              <w:t>面形式终止本合同</w:t>
            </w:r>
            <w:r>
              <w:rPr>
                <w:rFonts w:ascii="仿宋" w:hAnsi="仿宋" w:eastAsia="仿宋" w:cs="仿宋"/>
                <w:color w:val="auto"/>
                <w:spacing w:val="6"/>
                <w:sz w:val="24"/>
                <w:highlight w:val="none"/>
              </w:rPr>
              <w:t>。</w:t>
            </w:r>
          </w:p>
          <w:p>
            <w:pPr>
              <w:spacing w:line="360" w:lineRule="auto"/>
              <w:ind w:left="1" w:right="4" w:firstLine="475"/>
              <w:rPr>
                <w:rFonts w:ascii="仿宋" w:hAnsi="仿宋" w:eastAsia="仿宋" w:cs="仿宋"/>
                <w:color w:val="auto"/>
                <w:sz w:val="24"/>
                <w:highlight w:val="none"/>
              </w:rPr>
            </w:pPr>
            <w:r>
              <w:rPr>
                <w:rFonts w:ascii="仿宋" w:hAnsi="仿宋" w:eastAsia="仿宋" w:cs="仿宋"/>
                <w:color w:val="auto"/>
                <w:spacing w:val="8"/>
                <w:sz w:val="24"/>
                <w:highlight w:val="none"/>
              </w:rPr>
              <w:t>5.如果因本条所述原因导致本合同被提前终止，则任何一方均无需继续履行其在本</w:t>
            </w:r>
            <w:r>
              <w:rPr>
                <w:rFonts w:ascii="仿宋" w:hAnsi="仿宋" w:eastAsia="仿宋" w:cs="仿宋"/>
                <w:color w:val="auto"/>
                <w:sz w:val="24"/>
                <w:highlight w:val="none"/>
              </w:rPr>
              <w:t xml:space="preserve"> </w:t>
            </w:r>
            <w:r>
              <w:rPr>
                <w:rFonts w:ascii="仿宋" w:hAnsi="仿宋" w:eastAsia="仿宋" w:cs="仿宋"/>
                <w:color w:val="auto"/>
                <w:spacing w:val="16"/>
                <w:sz w:val="24"/>
                <w:highlight w:val="none"/>
              </w:rPr>
              <w:t>合</w:t>
            </w:r>
            <w:r>
              <w:rPr>
                <w:rFonts w:ascii="仿宋" w:hAnsi="仿宋" w:eastAsia="仿宋" w:cs="仿宋"/>
                <w:color w:val="auto"/>
                <w:spacing w:val="10"/>
                <w:sz w:val="24"/>
                <w:highlight w:val="none"/>
              </w:rPr>
              <w:t>同</w:t>
            </w:r>
            <w:r>
              <w:rPr>
                <w:rFonts w:ascii="仿宋" w:hAnsi="仿宋" w:eastAsia="仿宋" w:cs="仿宋"/>
                <w:color w:val="auto"/>
                <w:spacing w:val="8"/>
                <w:sz w:val="24"/>
                <w:highlight w:val="none"/>
              </w:rPr>
              <w:t>项下的义务，也无需为此向另一方承担任何责任；但双方应根据诚实信用原则，合</w:t>
            </w:r>
            <w:r>
              <w:rPr>
                <w:rFonts w:ascii="仿宋" w:hAnsi="仿宋" w:eastAsia="仿宋" w:cs="仿宋"/>
                <w:color w:val="auto"/>
                <w:sz w:val="24"/>
                <w:highlight w:val="none"/>
              </w:rPr>
              <w:t xml:space="preserve"> </w:t>
            </w:r>
            <w:r>
              <w:rPr>
                <w:rFonts w:ascii="仿宋" w:hAnsi="仿宋" w:eastAsia="仿宋" w:cs="仿宋"/>
                <w:color w:val="auto"/>
                <w:spacing w:val="15"/>
                <w:sz w:val="24"/>
                <w:highlight w:val="none"/>
              </w:rPr>
              <w:t>理</w:t>
            </w:r>
            <w:r>
              <w:rPr>
                <w:rFonts w:ascii="仿宋" w:hAnsi="仿宋" w:eastAsia="仿宋" w:cs="仿宋"/>
                <w:color w:val="auto"/>
                <w:spacing w:val="8"/>
                <w:sz w:val="24"/>
                <w:highlight w:val="none"/>
              </w:rPr>
              <w:t>确定本合同终止前甲方基于本合同应当向乙方支付的费用，并进行相应的结算。但一</w:t>
            </w:r>
          </w:p>
          <w:p>
            <w:pPr>
              <w:spacing w:line="360" w:lineRule="auto"/>
              <w:ind w:left="5"/>
              <w:rPr>
                <w:rFonts w:ascii="仿宋" w:hAnsi="仿宋" w:eastAsia="仿宋" w:cs="仿宋"/>
                <w:color w:val="auto"/>
                <w:sz w:val="24"/>
                <w:highlight w:val="none"/>
              </w:rPr>
            </w:pPr>
            <w:r>
              <w:rPr>
                <w:rFonts w:ascii="仿宋" w:hAnsi="仿宋" w:eastAsia="仿宋" w:cs="仿宋"/>
                <w:color w:val="auto"/>
                <w:spacing w:val="16"/>
                <w:sz w:val="24"/>
                <w:highlight w:val="none"/>
              </w:rPr>
              <w:t>方延</w:t>
            </w:r>
            <w:r>
              <w:rPr>
                <w:rFonts w:ascii="仿宋" w:hAnsi="仿宋" w:eastAsia="仿宋" w:cs="仿宋"/>
                <w:color w:val="auto"/>
                <w:spacing w:val="8"/>
                <w:sz w:val="24"/>
                <w:highlight w:val="none"/>
              </w:rPr>
              <w:t>迟履行后发生不可抗力的，不能免除该方的责任。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11.4</w:t>
            </w:r>
            <w:r>
              <w:rPr>
                <w:rFonts w:hint="eastAsia" w:ascii="仿宋" w:hAnsi="仿宋" w:eastAsia="仿宋" w:cs="宋体"/>
                <w:color w:val="auto"/>
                <w:sz w:val="24"/>
                <w:highlight w:val="none"/>
              </w:rPr>
              <w:t xml:space="preserve"> </w:t>
            </w:r>
          </w:p>
        </w:tc>
        <w:tc>
          <w:tcPr>
            <w:tcW w:w="4533" w:type="pct"/>
          </w:tcPr>
          <w:p>
            <w:pPr>
              <w:spacing w:line="360" w:lineRule="auto"/>
              <w:rPr>
                <w:rFonts w:ascii="仿宋" w:hAnsi="仿宋" w:eastAsia="仿宋"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15</w:t>
            </w:r>
            <w:r>
              <w:rPr>
                <w:rFonts w:hint="eastAsia" w:ascii="仿宋" w:hAnsi="仿宋" w:eastAsia="仿宋" w:cs="宋体"/>
                <w:color w:val="auto"/>
                <w:sz w:val="24"/>
                <w:highlight w:val="none"/>
              </w:rPr>
              <w:t>.</w:t>
            </w:r>
            <w:r>
              <w:rPr>
                <w:rFonts w:ascii="仿宋" w:hAnsi="仿宋" w:eastAsia="仿宋" w:cs="宋体"/>
                <w:color w:val="auto"/>
                <w:sz w:val="24"/>
                <w:highlight w:val="none"/>
              </w:rPr>
              <w:t>1</w:t>
            </w:r>
          </w:p>
        </w:tc>
        <w:tc>
          <w:tcPr>
            <w:tcW w:w="4533" w:type="pct"/>
            <w:vAlign w:val="center"/>
          </w:tcPr>
          <w:p>
            <w:pPr>
              <w:tabs>
                <w:tab w:val="left" w:pos="0"/>
              </w:tabs>
              <w:adjustRightInd/>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 乙方提出验收申请后，甲方按照采购合同规定的技术、服务、标准以及 中标时的投标文件、本项目采购文件等要求，委托第三方对乙方履约情况进行验收， 乙方提请验收时需要提交的验收材料 (包括但不限于) ：验收申请表、材料 (设备) 合格证 (质保资料) 、最终版图纸、第三方检测机构出具的环境空气质量合格检测报告、 方案设计单位的效果监督服务报告、展厅试运行报告等。</w:t>
            </w:r>
          </w:p>
          <w:p>
            <w:pPr>
              <w:tabs>
                <w:tab w:val="left" w:pos="0"/>
              </w:tabs>
              <w:adjustRightInd/>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 验收流程：</w:t>
            </w:r>
          </w:p>
          <w:p>
            <w:pPr>
              <w:tabs>
                <w:tab w:val="left" w:pos="0"/>
              </w:tabs>
              <w:adjustRightInd/>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①乙方完成合同要求的内容后，须向甲方发出验收申请。</w:t>
            </w:r>
          </w:p>
          <w:p>
            <w:pPr>
              <w:tabs>
                <w:tab w:val="left" w:pos="0"/>
              </w:tabs>
              <w:adjustRightInd/>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②甲方收到乙方验收申请后，委托第三方验收。验收的结果为本项目付款依据。</w:t>
            </w:r>
          </w:p>
          <w:p>
            <w:pPr>
              <w:pStyle w:val="36"/>
              <w:spacing w:line="360" w:lineRule="auto"/>
              <w:ind w:firstLine="0" w:firstLineChars="0"/>
              <w:rPr>
                <w:rFonts w:ascii="仿宋" w:hAnsi="仿宋" w:eastAsia="仿宋" w:cs="宋体"/>
                <w:color w:val="auto"/>
                <w:highlight w:val="none"/>
              </w:rPr>
            </w:pPr>
            <w:r>
              <w:rPr>
                <w:color w:val="auto"/>
                <w:highlight w:val="none"/>
              </w:rPr>
              <w:t>(3)</w:t>
            </w:r>
            <w:r>
              <w:rPr>
                <w:rFonts w:hint="eastAsia" w:ascii="仿宋" w:hAnsi="仿宋" w:eastAsia="仿宋" w:cs="宋体"/>
                <w:color w:val="auto"/>
                <w:highlight w:val="none"/>
              </w:rPr>
              <w:t>履约验收内容</w:t>
            </w:r>
          </w:p>
          <w:p>
            <w:pPr>
              <w:pStyle w:val="645"/>
              <w:ind w:firstLine="199" w:firstLineChars="83"/>
              <w:rPr>
                <w:rFonts w:ascii="仿宋" w:hAnsi="仿宋" w:eastAsia="仿宋" w:cs="仿宋"/>
                <w:color w:val="auto"/>
                <w:highlight w:val="none"/>
              </w:rPr>
            </w:pPr>
            <w:r>
              <w:rPr>
                <w:rFonts w:hint="eastAsia" w:ascii="仿宋" w:hAnsi="仿宋" w:eastAsia="仿宋" w:cs="仿宋"/>
                <w:color w:val="auto"/>
                <w:highlight w:val="none"/>
              </w:rPr>
              <w:t>1）技术履约内容</w:t>
            </w:r>
          </w:p>
          <w:p>
            <w:pPr>
              <w:pStyle w:val="36"/>
              <w:spacing w:after="120"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①满足所有采购需求及响应文件承诺；</w:t>
            </w:r>
          </w:p>
          <w:p>
            <w:pPr>
              <w:pStyle w:val="36"/>
              <w:spacing w:after="120"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②</w:t>
            </w:r>
            <w:r>
              <w:rPr>
                <w:rFonts w:ascii="仿宋" w:hAnsi="仿宋" w:eastAsia="仿宋" w:cs="仿宋"/>
                <w:color w:val="auto"/>
                <w:highlight w:val="none"/>
              </w:rPr>
              <w:t>拟投服务团队人员全部到位，与</w:t>
            </w:r>
            <w:r>
              <w:rPr>
                <w:rFonts w:hint="eastAsia" w:ascii="仿宋" w:hAnsi="仿宋" w:eastAsia="仿宋" w:cs="仿宋"/>
                <w:color w:val="auto"/>
                <w:highlight w:val="none"/>
              </w:rPr>
              <w:t>响应</w:t>
            </w:r>
            <w:r>
              <w:rPr>
                <w:rFonts w:ascii="仿宋" w:hAnsi="仿宋" w:eastAsia="仿宋" w:cs="仿宋"/>
                <w:color w:val="auto"/>
                <w:highlight w:val="none"/>
              </w:rPr>
              <w:t>文件人员信息清单一致；</w:t>
            </w:r>
          </w:p>
          <w:p>
            <w:pPr>
              <w:pStyle w:val="645"/>
              <w:ind w:firstLine="0" w:firstLineChars="0"/>
              <w:rPr>
                <w:rFonts w:ascii="仿宋" w:hAnsi="仿宋" w:eastAsia="仿宋" w:cs="仿宋"/>
                <w:color w:val="auto"/>
                <w:highlight w:val="none"/>
              </w:rPr>
            </w:pPr>
            <w:r>
              <w:rPr>
                <w:rFonts w:hint="eastAsia" w:ascii="仿宋" w:hAnsi="仿宋" w:eastAsia="仿宋" w:cs="仿宋"/>
                <w:color w:val="auto"/>
                <w:highlight w:val="none"/>
              </w:rPr>
              <w:t>2）商务履约内容</w:t>
            </w:r>
          </w:p>
          <w:p>
            <w:pPr>
              <w:pStyle w:val="661"/>
              <w:spacing w:after="120" w:line="360" w:lineRule="auto"/>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①服务周期满足采购要求。</w:t>
            </w:r>
          </w:p>
          <w:p>
            <w:pPr>
              <w:tabs>
                <w:tab w:val="left" w:pos="0"/>
              </w:tabs>
              <w:adjustRightInd/>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4</w:t>
            </w:r>
            <w:r>
              <w:rPr>
                <w:rFonts w:hint="eastAsia" w:ascii="仿宋" w:hAnsi="仿宋" w:eastAsia="仿宋" w:cs="仿宋"/>
                <w:color w:val="auto"/>
                <w:sz w:val="24"/>
                <w:highlight w:val="none"/>
              </w:rPr>
              <w:t>) 验收标准：</w:t>
            </w:r>
          </w:p>
          <w:p>
            <w:pPr>
              <w:tabs>
                <w:tab w:val="left" w:pos="0"/>
              </w:tabs>
              <w:adjustRightInd/>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①满足需求“标准规范”中提到的相应国家相关标准、行业标准、地方标准；</w:t>
            </w:r>
          </w:p>
          <w:p>
            <w:pPr>
              <w:tabs>
                <w:tab w:val="left" w:pos="0"/>
              </w:tabs>
              <w:adjustRightInd/>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②展厅布展服务的深化设计：在规定时间内提供平面深化图、各类节点图、 灯具布置图、弱电管线图、强电管线图、展柜 (台) 的形式，灯具 (专业) 的形式及要求，异形展墙、普通展墙、定制金属展柜、独立金属展柜 、特殊展柜墙体、浮雕墙创作、油画类背景画创作、彩色立面图等，全尺寸建模、渲染效果图等深化设计图纸，设计深度达到施工图程度，能有效指导展厅搭设及布展，深化设计图纸符合原设计方案的设计理念和总体要求，并通过采购人确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15</w:t>
            </w:r>
            <w:r>
              <w:rPr>
                <w:rFonts w:hint="eastAsia" w:ascii="仿宋" w:hAnsi="仿宋" w:eastAsia="仿宋" w:cs="宋体"/>
                <w:color w:val="auto"/>
                <w:sz w:val="24"/>
                <w:highlight w:val="none"/>
              </w:rPr>
              <w:t>.</w:t>
            </w:r>
            <w:r>
              <w:rPr>
                <w:rFonts w:ascii="仿宋" w:hAnsi="仿宋" w:eastAsia="仿宋" w:cs="宋体"/>
                <w:color w:val="auto"/>
                <w:sz w:val="24"/>
                <w:highlight w:val="none"/>
              </w:rPr>
              <w:t>3</w:t>
            </w:r>
          </w:p>
        </w:tc>
        <w:tc>
          <w:tcPr>
            <w:tcW w:w="4533" w:type="pct"/>
            <w:vAlign w:val="center"/>
          </w:tcPr>
          <w:p>
            <w:pPr>
              <w:spacing w:line="360" w:lineRule="auto"/>
              <w:ind w:firstLine="480"/>
              <w:rPr>
                <w:rFonts w:ascii="仿宋" w:hAnsi="仿宋" w:eastAsia="仿宋" w:cs="Helvetica"/>
                <w:color w:val="auto"/>
                <w:kern w:val="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2.1</w:t>
            </w:r>
            <w:r>
              <w:rPr>
                <w:rFonts w:ascii="仿宋" w:hAnsi="仿宋" w:eastAsia="仿宋" w:cs="宋体"/>
                <w:color w:val="auto"/>
                <w:sz w:val="24"/>
                <w:highlight w:val="none"/>
              </w:rPr>
              <w:t>8</w:t>
            </w:r>
            <w:r>
              <w:rPr>
                <w:rFonts w:hint="eastAsia" w:ascii="仿宋" w:hAnsi="仿宋" w:eastAsia="仿宋" w:cs="宋体"/>
                <w:color w:val="auto"/>
                <w:sz w:val="24"/>
                <w:highlight w:val="none"/>
              </w:rPr>
              <w:t>.1</w:t>
            </w:r>
          </w:p>
        </w:tc>
        <w:tc>
          <w:tcPr>
            <w:tcW w:w="4533" w:type="pct"/>
            <w:vAlign w:val="center"/>
          </w:tcPr>
          <w:p>
            <w:pPr>
              <w:spacing w:line="360" w:lineRule="auto"/>
              <w:rPr>
                <w:rFonts w:ascii="仿宋" w:hAnsi="仿宋" w:eastAsia="仿宋" w:cs="宋体"/>
                <w:color w:val="auto"/>
                <w:sz w:val="24"/>
                <w:highlight w:val="none"/>
              </w:rPr>
            </w:pPr>
            <w:r>
              <w:rPr>
                <w:rFonts w:hint="eastAsia" w:ascii="仿宋" w:hAnsi="仿宋" w:eastAsia="仿宋"/>
                <w:color w:val="auto"/>
                <w:sz w:val="24"/>
                <w:highlight w:val="none"/>
              </w:rPr>
              <w:t>无需缴纳履约保证金。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2.1</w:t>
            </w:r>
            <w:r>
              <w:rPr>
                <w:rFonts w:ascii="仿宋" w:hAnsi="仿宋" w:eastAsia="仿宋" w:cs="宋体"/>
                <w:color w:val="auto"/>
                <w:sz w:val="24"/>
                <w:highlight w:val="none"/>
              </w:rPr>
              <w:t>8</w:t>
            </w:r>
            <w:r>
              <w:rPr>
                <w:rFonts w:hint="eastAsia" w:ascii="仿宋" w:hAnsi="仿宋" w:eastAsia="仿宋" w:cs="宋体"/>
                <w:color w:val="auto"/>
                <w:sz w:val="24"/>
                <w:highlight w:val="none"/>
              </w:rPr>
              <w:t>.</w:t>
            </w:r>
            <w:r>
              <w:rPr>
                <w:rFonts w:ascii="仿宋" w:hAnsi="仿宋" w:eastAsia="仿宋" w:cs="宋体"/>
                <w:color w:val="auto"/>
                <w:sz w:val="24"/>
                <w:highlight w:val="none"/>
              </w:rPr>
              <w:t>2</w:t>
            </w:r>
          </w:p>
        </w:tc>
        <w:tc>
          <w:tcPr>
            <w:tcW w:w="4533" w:type="pct"/>
            <w:vAlign w:val="center"/>
          </w:tcPr>
          <w:p>
            <w:pPr>
              <w:spacing w:line="360" w:lineRule="auto"/>
              <w:rPr>
                <w:rFonts w:ascii="仿宋" w:hAnsi="仿宋" w:eastAsia="仿宋" w:cs="宋体"/>
                <w:color w:val="auto"/>
                <w:sz w:val="24"/>
                <w:highlight w:val="none"/>
              </w:rPr>
            </w:pPr>
            <w:r>
              <w:rPr>
                <w:rFonts w:ascii="仿宋" w:hAnsi="仿宋" w:eastAsia="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2.20</w:t>
            </w:r>
          </w:p>
        </w:tc>
        <w:tc>
          <w:tcPr>
            <w:tcW w:w="4533" w:type="pct"/>
          </w:tcPr>
          <w:p>
            <w:pPr>
              <w:spacing w:line="360" w:lineRule="auto"/>
              <w:rPr>
                <w:rFonts w:ascii="仿宋" w:hAnsi="仿宋" w:eastAsia="仿宋" w:cs="宋体"/>
                <w:color w:val="auto"/>
                <w:sz w:val="24"/>
                <w:highlight w:val="none"/>
              </w:rPr>
            </w:pPr>
            <w:bookmarkStart w:id="710" w:name="_Hlk120831498"/>
            <w:r>
              <w:rPr>
                <w:rFonts w:hint="eastAsia" w:ascii="仿宋" w:hAnsi="仿宋" w:eastAsia="仿宋"/>
                <w:color w:val="auto"/>
                <w:sz w:val="24"/>
                <w:highlight w:val="none"/>
              </w:rPr>
              <w:t>本合同一式陆份，甲方执肆份、乙方执贰份。</w:t>
            </w:r>
            <w:bookmarkEnd w:id="710"/>
          </w:p>
        </w:tc>
      </w:tr>
    </w:tbl>
    <w:p>
      <w:pPr>
        <w:spacing w:line="360" w:lineRule="auto"/>
        <w:ind w:left="-420" w:leftChars="-200" w:right="-420" w:righ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rPr>
          <w:rFonts w:ascii="仿宋" w:hAnsi="仿宋" w:eastAsia="仿宋"/>
          <w:color w:val="auto"/>
          <w:highlight w:val="none"/>
        </w:rPr>
      </w:pPr>
    </w:p>
    <w:p>
      <w:pPr>
        <w:tabs>
          <w:tab w:val="left" w:pos="432"/>
        </w:tabs>
        <w:spacing w:line="360" w:lineRule="auto"/>
        <w:jc w:val="center"/>
        <w:rPr>
          <w:rFonts w:ascii="仿宋" w:hAnsi="仿宋" w:eastAsia="仿宋"/>
          <w:color w:val="auto"/>
          <w:highlight w:val="none"/>
        </w:rPr>
      </w:pPr>
    </w:p>
    <w:p>
      <w:pPr>
        <w:tabs>
          <w:tab w:val="left" w:pos="432"/>
        </w:tabs>
        <w:spacing w:line="360" w:lineRule="auto"/>
        <w:jc w:val="center"/>
        <w:rPr>
          <w:rFonts w:ascii="仿宋" w:hAnsi="仿宋" w:eastAsia="仿宋"/>
          <w:color w:val="auto"/>
          <w:highlight w:val="none"/>
        </w:rPr>
      </w:pPr>
    </w:p>
    <w:p>
      <w:pPr>
        <w:pStyle w:val="36"/>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36"/>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36"/>
        <w:spacing w:line="360" w:lineRule="auto"/>
        <w:rPr>
          <w:rFonts w:ascii="仿宋" w:hAnsi="仿宋" w:eastAsia="仿宋"/>
          <w:color w:val="auto"/>
          <w:highlight w:val="none"/>
        </w:rPr>
      </w:pPr>
    </w:p>
    <w:p>
      <w:pPr>
        <w:pStyle w:val="4"/>
        <w:jc w:val="center"/>
        <w:rPr>
          <w:rFonts w:ascii="仿宋" w:hAnsi="仿宋" w:eastAsia="仿宋"/>
          <w:color w:val="auto"/>
          <w:highlight w:val="none"/>
        </w:rPr>
      </w:pPr>
      <w:bookmarkStart w:id="711" w:name="_Toc17409"/>
      <w:r>
        <w:rPr>
          <w:rFonts w:hint="eastAsia" w:ascii="仿宋" w:hAnsi="仿宋" w:eastAsia="仿宋"/>
          <w:color w:val="auto"/>
          <w:highlight w:val="none"/>
        </w:rPr>
        <w:t>第六部分</w:t>
      </w:r>
      <w:bookmarkEnd w:id="589"/>
      <w:r>
        <w:rPr>
          <w:rFonts w:ascii="仿宋" w:hAnsi="仿宋" w:eastAsia="仿宋"/>
          <w:color w:val="auto"/>
          <w:highlight w:val="none"/>
        </w:rPr>
        <w:t xml:space="preserve"> </w:t>
      </w:r>
      <w:bookmarkEnd w:id="590"/>
      <w:r>
        <w:rPr>
          <w:rFonts w:hint="eastAsia" w:ascii="仿宋" w:hAnsi="仿宋" w:eastAsia="仿宋"/>
          <w:color w:val="auto"/>
          <w:highlight w:val="none"/>
        </w:rPr>
        <w:t>应提交的有关格式范例</w:t>
      </w:r>
      <w:bookmarkEnd w:id="591"/>
      <w:bookmarkEnd w:id="592"/>
      <w:bookmarkEnd w:id="593"/>
      <w:bookmarkEnd w:id="594"/>
      <w:bookmarkEnd w:id="595"/>
      <w:bookmarkEnd w:id="711"/>
    </w:p>
    <w:p>
      <w:pPr>
        <w:snapToGrid w:val="0"/>
        <w:spacing w:line="360" w:lineRule="auto"/>
        <w:jc w:val="center"/>
        <w:rPr>
          <w:rFonts w:ascii="仿宋" w:hAnsi="仿宋" w:eastAsia="仿宋" w:cs="仿宋_GB2312"/>
          <w:b/>
          <w:color w:val="auto"/>
          <w:kern w:val="0"/>
          <w:sz w:val="36"/>
          <w:szCs w:val="36"/>
          <w:highlight w:val="none"/>
        </w:rPr>
      </w:pPr>
    </w:p>
    <w:p>
      <w:pPr>
        <w:pStyle w:val="5"/>
        <w:jc w:val="center"/>
        <w:rPr>
          <w:rFonts w:ascii="仿宋" w:hAnsi="仿宋" w:eastAsia="仿宋"/>
          <w:color w:val="auto"/>
          <w:szCs w:val="28"/>
          <w:highlight w:val="none"/>
        </w:rPr>
      </w:pPr>
      <w:bookmarkStart w:id="712" w:name="_Toc1293302127"/>
      <w:bookmarkStart w:id="713" w:name="_Toc2036"/>
      <w:bookmarkStart w:id="714" w:name="_Toc95313009"/>
      <w:bookmarkStart w:id="715" w:name="_Toc8673"/>
      <w:bookmarkStart w:id="716" w:name="_Toc7821"/>
      <w:bookmarkStart w:id="717" w:name="_Toc21599"/>
      <w:r>
        <w:rPr>
          <w:rFonts w:hint="eastAsia" w:ascii="仿宋" w:hAnsi="仿宋" w:eastAsia="仿宋"/>
          <w:color w:val="auto"/>
          <w:szCs w:val="28"/>
          <w:highlight w:val="none"/>
        </w:rPr>
        <w:t>资格文件部分</w:t>
      </w:r>
      <w:bookmarkEnd w:id="712"/>
      <w:bookmarkEnd w:id="713"/>
      <w:bookmarkEnd w:id="714"/>
      <w:bookmarkEnd w:id="715"/>
      <w:bookmarkEnd w:id="716"/>
      <w:bookmarkEnd w:id="717"/>
    </w:p>
    <w:p>
      <w:pPr>
        <w:snapToGrid w:val="0"/>
        <w:spacing w:line="360" w:lineRule="auto"/>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napToGrid w:val="0"/>
        <w:spacing w:line="360" w:lineRule="auto"/>
        <w:jc w:val="center"/>
        <w:rPr>
          <w:rFonts w:ascii="仿宋" w:hAnsi="仿宋" w:eastAsia="仿宋" w:cs="仿宋_GB2312"/>
          <w:b/>
          <w:color w:val="auto"/>
          <w:kern w:val="0"/>
          <w:sz w:val="36"/>
          <w:szCs w:val="36"/>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1）符合参加政府采购活动应当具备的一般条件的承诺函……</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2）落实政府采购政策需满足的资格要求……</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3）本项目的特定资格要求……</w:t>
      </w:r>
      <w:r>
        <w:rPr>
          <w:rFonts w:hint="eastAsia" w:ascii="仿宋" w:hAnsi="仿宋" w:eastAsia="仿宋" w:cs="仿宋_GB2312"/>
          <w:color w:val="auto"/>
          <w:sz w:val="24"/>
          <w:highlight w:val="none"/>
        </w:rPr>
        <w:t>…………………………………………（页码）</w:t>
      </w:r>
    </w:p>
    <w:p>
      <w:pPr>
        <w:snapToGrid w:val="0"/>
        <w:spacing w:line="360" w:lineRule="auto"/>
        <w:ind w:firstLine="480" w:firstLineChars="200"/>
        <w:rPr>
          <w:rFonts w:ascii="仿宋" w:hAnsi="仿宋" w:eastAsia="仿宋" w:cs="仿宋_GB2312"/>
          <w:color w:val="auto"/>
          <w:sz w:val="24"/>
          <w:highlight w:val="none"/>
        </w:rPr>
      </w:pPr>
    </w:p>
    <w:p>
      <w:pPr>
        <w:snapToGrid w:val="0"/>
        <w:spacing w:line="360" w:lineRule="auto"/>
        <w:ind w:firstLine="480" w:firstLineChars="200"/>
        <w:rPr>
          <w:rFonts w:ascii="仿宋" w:hAnsi="仿宋" w:eastAsia="仿宋" w:cs="仿宋_GB2312"/>
          <w:color w:val="auto"/>
          <w:sz w:val="24"/>
          <w:highlight w:val="none"/>
        </w:rPr>
      </w:pPr>
    </w:p>
    <w:p>
      <w:pPr>
        <w:pStyle w:val="2"/>
        <w:tabs>
          <w:tab w:val="left" w:pos="432"/>
          <w:tab w:val="clear" w:pos="900"/>
        </w:tabs>
        <w:jc w:val="center"/>
        <w:rPr>
          <w:rStyle w:val="1100"/>
          <w:rFonts w:ascii="仿宋" w:hAnsi="仿宋" w:eastAsia="仿宋"/>
          <w:color w:val="auto"/>
          <w:highlight w:val="none"/>
        </w:rPr>
      </w:pPr>
      <w:r>
        <w:rPr>
          <w:rFonts w:ascii="仿宋" w:hAnsi="仿宋" w:eastAsia="仿宋" w:cs="仿宋_GB2312"/>
          <w:color w:val="auto"/>
          <w:kern w:val="0"/>
          <w:highlight w:val="none"/>
        </w:rPr>
        <w:br w:type="page"/>
      </w:r>
      <w:bookmarkStart w:id="718" w:name="_Toc2927"/>
      <w:bookmarkStart w:id="719" w:name="_Toc1955"/>
      <w:bookmarkStart w:id="720" w:name="_Toc16246"/>
      <w:bookmarkStart w:id="721" w:name="_Toc8296"/>
      <w:bookmarkStart w:id="722" w:name="_Toc1846857202"/>
      <w:bookmarkStart w:id="723" w:name="_Toc95313010"/>
      <w:r>
        <w:rPr>
          <w:rStyle w:val="1100"/>
          <w:rFonts w:ascii="仿宋" w:hAnsi="仿宋" w:eastAsia="仿宋"/>
          <w:color w:val="auto"/>
          <w:highlight w:val="none"/>
        </w:rPr>
        <w:t>一、符合参加政府采购活动应当具备的一般条件的承诺函</w:t>
      </w:r>
      <w:bookmarkEnd w:id="718"/>
      <w:bookmarkEnd w:id="719"/>
      <w:bookmarkEnd w:id="720"/>
      <w:bookmarkEnd w:id="721"/>
      <w:bookmarkEnd w:id="722"/>
      <w:bookmarkEnd w:id="723"/>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rPr>
        <w:t>杭州市临平区人民政府临平街道办事处 、杭州中瑞招标代理有限公司</w:t>
      </w:r>
      <w:r>
        <w:rPr>
          <w:rFonts w:hint="eastAsia" w:ascii="仿宋" w:hAnsi="仿宋" w:eastAsia="仿宋" w:cs="仿宋_GB2312"/>
          <w:color w:val="auto"/>
          <w:sz w:val="24"/>
          <w:highlight w:val="none"/>
        </w:rPr>
        <w:t>：</w:t>
      </w:r>
    </w:p>
    <w:p>
      <w:pPr>
        <w:snapToGrid w:val="0"/>
        <w:spacing w:line="360" w:lineRule="auto"/>
        <w:ind w:firstLine="42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我方参与“俞樾纪念馆”陈列布展服务</w:t>
      </w:r>
      <w:r>
        <w:rPr>
          <w:rFonts w:hint="eastAsia" w:ascii="仿宋" w:hAnsi="仿宋" w:eastAsia="仿宋"/>
          <w:color w:val="auto"/>
          <w:sz w:val="24"/>
          <w:highlight w:val="none"/>
        </w:rPr>
        <w:t>项目</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rPr>
        <w:t>HZZR-F221201N</w:t>
      </w:r>
      <w:r>
        <w:rPr>
          <w:rFonts w:hint="eastAsia" w:ascii="仿宋" w:hAnsi="仿宋" w:eastAsia="仿宋" w:cs="仿宋_GB2312"/>
          <w:color w:val="auto"/>
          <w:sz w:val="24"/>
          <w:highlight w:val="none"/>
        </w:rPr>
        <w:t>】政府采购活动，郑重承诺：</w:t>
      </w:r>
    </w:p>
    <w:p>
      <w:pPr>
        <w:snapToGrid w:val="0"/>
        <w:spacing w:line="360" w:lineRule="auto"/>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具有独立承担民事责任的能力；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 xml:space="preserve">具有良好的商业信誉和健全的财务会计制度；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具有履行合同所必需的设备和专业技术能力；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有依法缴纳税收和社会保障资金的良好记录；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参加政府采购活动前三年内，在经营活动中没有重大违法记录；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具有法律、行政法规规定的其他条件。</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（二）未被信用中国（</w:t>
      </w:r>
      <w:r>
        <w:rPr>
          <w:rFonts w:ascii="仿宋" w:hAnsi="仿宋" w:eastAsia="仿宋"/>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（三）不存在以下情况：</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为采购项目提供整体设计、规范编制或者项目管理、监理、检测等服务后再参加该采购项目的其他采购活动的。</w:t>
      </w:r>
    </w:p>
    <w:p>
      <w:pPr>
        <w:pStyle w:val="36"/>
        <w:snapToGrid w:val="0"/>
        <w:spacing w:line="360" w:lineRule="auto"/>
        <w:rPr>
          <w:rFonts w:ascii="仿宋" w:hAnsi="仿宋" w:eastAsia="仿宋" w:cs="仿宋_GB2312"/>
          <w:color w:val="auto"/>
          <w:highlight w:val="none"/>
        </w:rPr>
      </w:pPr>
    </w:p>
    <w:p>
      <w:pPr>
        <w:snapToGrid w:val="0"/>
        <w:spacing w:line="360" w:lineRule="auto"/>
        <w:rPr>
          <w:rFonts w:ascii="仿宋" w:hAnsi="仿宋" w:eastAsia="仿宋"/>
          <w:color w:val="auto"/>
          <w:highlight w:val="none"/>
        </w:rPr>
      </w:pPr>
    </w:p>
    <w:p>
      <w:pPr>
        <w:snapToGrid w:val="0"/>
        <w:spacing w:line="360" w:lineRule="auto"/>
        <w:ind w:firstLine="5520" w:firstLineChars="23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w:t>
      </w:r>
    </w:p>
    <w:p>
      <w:pPr>
        <w:spacing w:line="360" w:lineRule="auto"/>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pStyle w:val="2"/>
        <w:tabs>
          <w:tab w:val="left" w:pos="432"/>
          <w:tab w:val="clear" w:pos="900"/>
        </w:tabs>
        <w:jc w:val="center"/>
        <w:rPr>
          <w:rStyle w:val="1100"/>
          <w:rFonts w:ascii="仿宋" w:hAnsi="仿宋" w:eastAsia="仿宋"/>
          <w:color w:val="auto"/>
          <w:highlight w:val="none"/>
        </w:rPr>
      </w:pPr>
      <w:bookmarkStart w:id="724" w:name="_Toc95313011"/>
      <w:bookmarkStart w:id="725" w:name="_Toc7859"/>
      <w:bookmarkStart w:id="726" w:name="_Toc9229"/>
      <w:bookmarkStart w:id="727" w:name="_Toc11361"/>
      <w:bookmarkStart w:id="728" w:name="_Toc9961"/>
      <w:bookmarkStart w:id="729" w:name="_Toc400360276"/>
      <w:r>
        <w:rPr>
          <w:rStyle w:val="1100"/>
          <w:rFonts w:hint="eastAsia" w:ascii="仿宋" w:hAnsi="仿宋" w:eastAsia="仿宋"/>
          <w:color w:val="auto"/>
          <w:highlight w:val="none"/>
        </w:rPr>
        <w:t>二、落实政府采购政策需满足的资格要求</w:t>
      </w:r>
      <w:bookmarkEnd w:id="724"/>
      <w:bookmarkEnd w:id="725"/>
      <w:bookmarkEnd w:id="726"/>
      <w:bookmarkEnd w:id="727"/>
      <w:bookmarkEnd w:id="728"/>
      <w:bookmarkEnd w:id="729"/>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rPr>
        <w:t>（根据招标公告</w:t>
      </w:r>
      <w:r>
        <w:rPr>
          <w:rFonts w:hint="eastAsia" w:ascii="仿宋" w:hAnsi="仿宋" w:eastAsia="仿宋"/>
          <w:color w:val="auto"/>
          <w:sz w:val="24"/>
          <w:highlight w:val="none"/>
        </w:rPr>
        <w:t>落实政府采购政策需满足的资格要求选择提供相应的材料；未要求的，无需提供</w:t>
      </w:r>
      <w:r>
        <w:rPr>
          <w:rFonts w:hint="eastAsia" w:ascii="仿宋" w:hAnsi="仿宋" w:eastAsia="仿宋" w:cs="仿宋_GB2312"/>
          <w:color w:val="auto"/>
          <w:sz w:val="24"/>
          <w:highlight w:val="none"/>
        </w:rPr>
        <w:t>）</w:t>
      </w:r>
    </w:p>
    <w:p>
      <w:pPr>
        <w:snapToGrid w:val="0"/>
        <w:spacing w:line="360" w:lineRule="auto"/>
        <w:rPr>
          <w:rFonts w:ascii="仿宋" w:hAnsi="仿宋" w:eastAsia="仿宋" w:cs="宋体"/>
          <w:color w:val="auto"/>
          <w:sz w:val="24"/>
          <w:highlight w:val="none"/>
        </w:rPr>
      </w:pPr>
      <w:bookmarkStart w:id="730" w:name="_Hlk95268614"/>
      <w:r>
        <w:rPr>
          <w:rFonts w:hint="eastAsia" w:ascii="仿宋" w:hAnsi="仿宋" w:eastAsia="仿宋" w:cs="仿宋_GB2312"/>
          <w:snapToGrid w:val="0"/>
          <w:color w:val="auto"/>
          <w:kern w:val="28"/>
          <w:sz w:val="24"/>
          <w:szCs w:val="20"/>
          <w:highlight w:val="none"/>
        </w:rPr>
        <w:t>本项目专门面向小微企业，</w:t>
      </w:r>
      <w:r>
        <w:rPr>
          <w:rFonts w:ascii="仿宋" w:hAnsi="仿宋" w:eastAsia="仿宋" w:cs="宋体"/>
          <w:color w:val="auto"/>
          <w:sz w:val="24"/>
          <w:highlight w:val="none"/>
        </w:rPr>
        <w:t>本项目为服务项目，本项目服务属于【</w:t>
      </w:r>
      <w:r>
        <w:rPr>
          <w:rFonts w:hint="eastAsia" w:ascii="仿宋" w:hAnsi="仿宋" w:eastAsia="仿宋"/>
          <w:b/>
          <w:bCs/>
          <w:color w:val="auto"/>
          <w:sz w:val="24"/>
          <w:highlight w:val="none"/>
        </w:rPr>
        <w:t>其他未列明行业</w:t>
      </w:r>
      <w:r>
        <w:rPr>
          <w:rFonts w:ascii="仿宋" w:hAnsi="仿宋" w:eastAsia="仿宋" w:cs="宋体"/>
          <w:color w:val="auto"/>
          <w:sz w:val="24"/>
          <w:highlight w:val="none"/>
        </w:rPr>
        <w:t>】，要求服务全部由</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企业承接，即提供服务的人员为</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企业依照《中华人民共和国劳动合同法》订立劳动合同的从业人员。</w:t>
      </w:r>
      <w:r>
        <w:rPr>
          <w:rFonts w:hint="eastAsia" w:ascii="仿宋" w:hAnsi="仿宋" w:eastAsia="仿宋" w:cs="宋体"/>
          <w:color w:val="auto"/>
          <w:sz w:val="24"/>
          <w:highlight w:val="none"/>
        </w:rPr>
        <w:t>小微企业</w:t>
      </w:r>
      <w:r>
        <w:rPr>
          <w:rFonts w:ascii="仿宋" w:hAnsi="仿宋" w:eastAsia="仿宋" w:cs="宋体"/>
          <w:color w:val="auto"/>
          <w:sz w:val="24"/>
          <w:highlight w:val="none"/>
        </w:rPr>
        <w:t>是指满足《政府采购促进中小企业发展管理办法》（财库〔2020〕 46 号）第二条规定的企业，监狱企业、残疾人福利性单位视为</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w:t>
      </w:r>
      <w:r>
        <w:rPr>
          <w:rFonts w:hint="eastAsia" w:ascii="仿宋" w:hAnsi="仿宋" w:eastAsia="仿宋" w:cs="宋体"/>
          <w:color w:val="auto"/>
          <w:sz w:val="24"/>
          <w:highlight w:val="none"/>
        </w:rPr>
        <w:t>。</w:t>
      </w:r>
    </w:p>
    <w:bookmarkEnd w:id="730"/>
    <w:p>
      <w:pPr>
        <w:snapToGrid w:val="0"/>
        <w:spacing w:line="360" w:lineRule="auto"/>
        <w:ind w:firstLine="301" w:firstLineChars="100"/>
        <w:rPr>
          <w:rFonts w:ascii="仿宋" w:hAnsi="仿宋" w:eastAsia="仿宋" w:cs="仿宋_GB2312"/>
          <w:b/>
          <w:bCs/>
          <w:color w:val="auto"/>
          <w:sz w:val="30"/>
          <w:szCs w:val="30"/>
          <w:highlight w:val="none"/>
        </w:rPr>
      </w:pPr>
      <w:r>
        <w:rPr>
          <w:rFonts w:hint="eastAsia" w:ascii="仿宋" w:hAnsi="仿宋" w:eastAsia="仿宋" w:cs="仿宋_GB2312"/>
          <w:b/>
          <w:bCs/>
          <w:color w:val="auto"/>
          <w:sz w:val="30"/>
          <w:szCs w:val="30"/>
          <w:highlight w:val="none"/>
        </w:rPr>
        <w:t>注：投标人须提供相应的中小企业声明函（附件</w:t>
      </w:r>
      <w:r>
        <w:rPr>
          <w:rFonts w:ascii="仿宋" w:hAnsi="仿宋" w:eastAsia="仿宋" w:cs="仿宋_GB2312"/>
          <w:b/>
          <w:bCs/>
          <w:color w:val="auto"/>
          <w:sz w:val="30"/>
          <w:szCs w:val="30"/>
          <w:highlight w:val="none"/>
        </w:rPr>
        <w:t>5</w:t>
      </w:r>
      <w:r>
        <w:rPr>
          <w:rFonts w:hint="eastAsia" w:ascii="仿宋" w:hAnsi="仿宋" w:eastAsia="仿宋" w:cs="仿宋_GB2312"/>
          <w:b/>
          <w:bCs/>
          <w:color w:val="auto"/>
          <w:sz w:val="30"/>
          <w:szCs w:val="30"/>
          <w:highlight w:val="none"/>
        </w:rPr>
        <w:t>），未提供中小企业申明函或投标人不属于小微企业，资格审查不通过。如投标人提供的中小企业申明函与事实不符，</w:t>
      </w:r>
      <w:r>
        <w:rPr>
          <w:rFonts w:ascii="仿宋" w:hAnsi="仿宋" w:eastAsia="仿宋" w:cs="仿宋_GB2312"/>
          <w:b/>
          <w:bCs/>
          <w:color w:val="auto"/>
          <w:sz w:val="30"/>
          <w:szCs w:val="30"/>
          <w:highlight w:val="none"/>
        </w:rPr>
        <w:t>属于提供虚假材料谋取中标、成交，</w:t>
      </w:r>
      <w:r>
        <w:rPr>
          <w:rFonts w:hint="eastAsia" w:ascii="仿宋" w:hAnsi="仿宋" w:eastAsia="仿宋" w:cs="仿宋_GB2312"/>
          <w:b/>
          <w:bCs/>
          <w:color w:val="auto"/>
          <w:sz w:val="30"/>
          <w:szCs w:val="30"/>
          <w:highlight w:val="none"/>
        </w:rPr>
        <w:t>资格审查不通过，</w:t>
      </w:r>
      <w:r>
        <w:rPr>
          <w:rFonts w:ascii="仿宋" w:hAnsi="仿宋" w:eastAsia="仿宋" w:cs="仿宋_GB2312"/>
          <w:b/>
          <w:bCs/>
          <w:color w:val="auto"/>
          <w:sz w:val="30"/>
          <w:szCs w:val="30"/>
          <w:highlight w:val="none"/>
        </w:rPr>
        <w:t>依照《中华人民共和国政府采购法》等国家有关规定追究相应责任。</w:t>
      </w:r>
    </w:p>
    <w:p>
      <w:pPr>
        <w:snapToGrid w:val="0"/>
        <w:spacing w:line="360" w:lineRule="auto"/>
        <w:jc w:val="center"/>
        <w:rPr>
          <w:rFonts w:ascii="仿宋" w:hAnsi="仿宋" w:eastAsia="仿宋"/>
          <w:color w:val="auto"/>
          <w:sz w:val="24"/>
          <w:highlight w:val="none"/>
        </w:rPr>
      </w:pPr>
    </w:p>
    <w:p>
      <w:pPr>
        <w:pStyle w:val="125"/>
        <w:numPr>
          <w:ilvl w:val="0"/>
          <w:numId w:val="20"/>
        </w:numPr>
        <w:snapToGrid w:val="0"/>
        <w:spacing w:before="120" w:after="120"/>
        <w:ind w:firstLineChars="0"/>
        <w:rPr>
          <w:rFonts w:ascii="仿宋" w:hAnsi="仿宋" w:eastAsia="仿宋"/>
          <w:color w:val="auto"/>
          <w:highlight w:val="none"/>
        </w:rPr>
      </w:pPr>
      <w:r>
        <w:rPr>
          <w:rFonts w:ascii="仿宋" w:hAnsi="仿宋" w:eastAsia="仿宋" w:cs="仿宋_GB2312"/>
          <w:b/>
          <w:color w:val="auto"/>
          <w:kern w:val="0"/>
          <w:sz w:val="32"/>
          <w:szCs w:val="32"/>
          <w:highlight w:val="none"/>
        </w:rPr>
        <w:br w:type="page"/>
      </w:r>
      <w:r>
        <w:rPr>
          <w:rFonts w:hint="eastAsia" w:ascii="仿宋" w:hAnsi="仿宋" w:eastAsia="仿宋"/>
          <w:color w:val="auto"/>
          <w:highlight w:val="none"/>
        </w:rPr>
        <w:t>供应商以联合体形式投标的：提供联合协议。</w:t>
      </w:r>
    </w:p>
    <w:p>
      <w:pPr>
        <w:snapToGrid w:val="0"/>
        <w:spacing w:line="360" w:lineRule="auto"/>
        <w:jc w:val="center"/>
        <w:rPr>
          <w:rFonts w:ascii="仿宋" w:hAnsi="仿宋" w:eastAsia="仿宋"/>
          <w:color w:val="auto"/>
          <w:sz w:val="24"/>
          <w:highlight w:val="none"/>
        </w:rPr>
      </w:pPr>
    </w:p>
    <w:p>
      <w:pPr>
        <w:snapToGrid w:val="0"/>
        <w:spacing w:line="360" w:lineRule="auto"/>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联合协议</w:t>
      </w:r>
    </w:p>
    <w:p>
      <w:pPr>
        <w:snapToGrid w:val="0"/>
        <w:spacing w:line="360" w:lineRule="auto"/>
        <w:ind w:left="1740" w:hanging="1740" w:hangingChars="725"/>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（联合体所有成员名称）</w:t>
      </w:r>
      <w:r>
        <w:rPr>
          <w:rFonts w:hint="eastAsia" w:ascii="仿宋" w:hAnsi="仿宋" w:eastAsia="仿宋" w:cs="仿宋_GB2312"/>
          <w:color w:val="auto"/>
          <w:kern w:val="0"/>
          <w:sz w:val="24"/>
          <w:highlight w:val="none"/>
        </w:rPr>
        <w:t>自愿</w:t>
      </w:r>
      <w:r>
        <w:rPr>
          <w:rFonts w:hint="eastAsia" w:ascii="仿宋" w:hAnsi="仿宋" w:eastAsia="仿宋" w:cs="仿宋_GB2312"/>
          <w:color w:val="auto"/>
          <w:kern w:val="0"/>
          <w:sz w:val="24"/>
          <w:highlight w:val="none"/>
          <w:lang w:val="zh-CN"/>
        </w:rPr>
        <w:t>组成一个联合体，以一个供应商的身份</w:t>
      </w:r>
      <w:r>
        <w:rPr>
          <w:rFonts w:hint="eastAsia" w:ascii="仿宋" w:hAnsi="仿宋" w:eastAsia="仿宋" w:cs="仿宋_GB2312"/>
          <w:color w:val="auto"/>
          <w:kern w:val="0"/>
          <w:sz w:val="24"/>
          <w:highlight w:val="none"/>
        </w:rPr>
        <w:t>参加</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sz w:val="24"/>
          <w:highlight w:val="none"/>
        </w:rPr>
        <w:t>【招标编号：】</w:t>
      </w:r>
      <w:r>
        <w:rPr>
          <w:rFonts w:hint="eastAsia" w:ascii="仿宋" w:hAnsi="仿宋" w:eastAsia="仿宋" w:cs="仿宋_GB2312"/>
          <w:color w:val="auto"/>
          <w:kern w:val="0"/>
          <w:sz w:val="24"/>
          <w:highlight w:val="none"/>
          <w:lang w:val="zh-CN"/>
        </w:rPr>
        <w:t>投标。</w:t>
      </w:r>
      <w:r>
        <w:rPr>
          <w:rFonts w:ascii="仿宋" w:hAnsi="仿宋" w:eastAsia="仿宋" w:cs="仿宋_GB2312"/>
          <w:color w:val="auto"/>
          <w:kern w:val="0"/>
          <w:sz w:val="24"/>
          <w:highlight w:val="none"/>
          <w:lang w:val="zh-CN"/>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一、各方一致决定，</w:t>
      </w:r>
      <w:r>
        <w:rPr>
          <w:rFonts w:hint="eastAsia" w:ascii="仿宋" w:hAnsi="仿宋" w:eastAsia="仿宋" w:cs="仿宋_GB2312"/>
          <w:color w:val="auto"/>
          <w:kern w:val="0"/>
          <w:sz w:val="24"/>
          <w:highlight w:val="none"/>
          <w:u w:val="single"/>
        </w:rPr>
        <w:t>（某联合体成员名称）</w:t>
      </w:r>
      <w:r>
        <w:rPr>
          <w:rFonts w:hint="eastAsia" w:ascii="仿宋" w:hAnsi="仿宋" w:eastAsia="仿宋" w:cs="仿宋_GB2312"/>
          <w:color w:val="auto"/>
          <w:kern w:val="0"/>
          <w:sz w:val="24"/>
          <w:highlight w:val="none"/>
        </w:rPr>
        <w:t>为联合体</w:t>
      </w:r>
      <w:r>
        <w:rPr>
          <w:rFonts w:hint="eastAsia" w:ascii="仿宋" w:hAnsi="仿宋" w:eastAsia="仿宋" w:cs="仿宋_GB2312"/>
          <w:color w:val="auto"/>
          <w:kern w:val="0"/>
          <w:sz w:val="24"/>
          <w:highlight w:val="none"/>
          <w:lang w:val="zh-CN"/>
        </w:rPr>
        <w:t>牵头人，</w:t>
      </w:r>
      <w:r>
        <w:rPr>
          <w:rFonts w:hint="eastAsia" w:ascii="仿宋" w:hAnsi="仿宋" w:eastAsia="仿宋" w:cs="Arial"/>
          <w:color w:val="auto"/>
          <w:sz w:val="24"/>
          <w:highlight w:val="none"/>
        </w:rPr>
        <w:t>代表所有联合体成员负责投标和合同实施阶段的主办、协调工作</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w:t>
      </w:r>
      <w:r>
        <w:rPr>
          <w:rFonts w:hint="eastAsia" w:ascii="仿宋" w:hAnsi="仿宋" w:eastAsia="仿宋" w:cs="Arial"/>
          <w:color w:val="auto"/>
          <w:sz w:val="24"/>
          <w:highlight w:val="none"/>
        </w:rPr>
        <w:t>所有联合体成员各方签署授权书，授权书载明的</w:t>
      </w:r>
      <w:r>
        <w:rPr>
          <w:rFonts w:hint="eastAsia" w:ascii="仿宋" w:hAnsi="仿宋" w:eastAsia="仿宋" w:cs="仿宋_GB2312"/>
          <w:color w:val="auto"/>
          <w:kern w:val="0"/>
          <w:sz w:val="24"/>
          <w:highlight w:val="none"/>
          <w:lang w:val="zh-CN"/>
        </w:rPr>
        <w:t>授权代表根据采购文件规定及投标内容而对采购人、采购代理机构所作的任何合法承诺，包括书面澄清及相应等均对联合投标各方产生约束力。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三、本次联合投标中，分工如下：</w:t>
      </w:r>
      <w:r>
        <w:rPr>
          <w:rFonts w:hint="eastAsia" w:ascii="仿宋" w:hAnsi="仿宋" w:eastAsia="仿宋" w:cs="仿宋_GB2312"/>
          <w:color w:val="auto"/>
          <w:kern w:val="0"/>
          <w:sz w:val="24"/>
          <w:highlight w:val="none"/>
          <w:u w:val="single"/>
        </w:rPr>
        <w:t>（联合体其中一方成员名称）</w:t>
      </w:r>
      <w:r>
        <w:rPr>
          <w:rFonts w:hint="eastAsia" w:ascii="仿宋" w:hAnsi="仿宋" w:eastAsia="仿宋" w:cs="仿宋_GB2312"/>
          <w:color w:val="auto"/>
          <w:kern w:val="0"/>
          <w:sz w:val="24"/>
          <w:highlight w:val="none"/>
          <w:lang w:val="zh-CN"/>
        </w:rPr>
        <w:t>承担的工作和义务为：</w:t>
      </w:r>
      <w:r>
        <w:rPr>
          <w:rFonts w:ascii="仿宋" w:hAnsi="仿宋" w:eastAsia="仿宋"/>
          <w:color w:val="auto"/>
          <w:highlight w:val="none"/>
          <w:u w:val="single"/>
        </w:rPr>
        <w:t xml:space="preserve">             </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u w:val="single"/>
        </w:rPr>
        <w:t>（联合体其中一方成员名称）</w:t>
      </w:r>
      <w:r>
        <w:rPr>
          <w:rFonts w:hint="eastAsia" w:ascii="仿宋" w:hAnsi="仿宋" w:eastAsia="仿宋" w:cs="仿宋_GB2312"/>
          <w:color w:val="auto"/>
          <w:kern w:val="0"/>
          <w:sz w:val="24"/>
          <w:highlight w:val="none"/>
          <w:lang w:val="zh-CN"/>
        </w:rPr>
        <w:t>承担的工作和义务为：</w:t>
      </w:r>
      <w:r>
        <w:rPr>
          <w:rFonts w:ascii="仿宋" w:hAnsi="仿宋" w:eastAsia="仿宋"/>
          <w:color w:val="auto"/>
          <w:highlight w:val="none"/>
          <w:u w:val="single"/>
        </w:rPr>
        <w:t xml:space="preserve">            </w:t>
      </w:r>
      <w:r>
        <w:rPr>
          <w:rFonts w:ascii="仿宋" w:hAnsi="仿宋" w:eastAsia="仿宋" w:cs="仿宋_GB2312"/>
          <w:color w:val="auto"/>
          <w:kern w:val="0"/>
          <w:sz w:val="24"/>
          <w:highlight w:val="none"/>
          <w:lang w:val="zh-CN"/>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w:t>
      </w:r>
      <w:r>
        <w:rPr>
          <w:rFonts w:hint="eastAsia" w:ascii="仿宋" w:hAnsi="仿宋" w:eastAsia="仿宋"/>
          <w:color w:val="auto"/>
          <w:sz w:val="24"/>
          <w:highlight w:val="none"/>
        </w:rPr>
        <w:t>中小企业合同金额达到</w:t>
      </w:r>
      <w:r>
        <w:rPr>
          <w:rFonts w:ascii="仿宋" w:hAnsi="仿宋" w:eastAsia="仿宋"/>
          <w:color w:val="auto"/>
          <w:sz w:val="24"/>
          <w:highlight w:val="none"/>
          <w:u w:val="single"/>
        </w:rPr>
        <w:t xml:space="preserve">  </w:t>
      </w:r>
      <w:r>
        <w:rPr>
          <w:rFonts w:ascii="仿宋" w:hAnsi="仿宋" w:eastAsia="仿宋"/>
          <w:color w:val="auto"/>
          <w:sz w:val="24"/>
          <w:highlight w:val="none"/>
        </w:rPr>
        <w:t>%，小</w:t>
      </w:r>
      <w:r>
        <w:rPr>
          <w:rFonts w:hint="eastAsia" w:ascii="仿宋" w:hAnsi="仿宋" w:eastAsia="仿宋"/>
          <w:color w:val="auto"/>
          <w:sz w:val="24"/>
          <w:highlight w:val="none"/>
        </w:rPr>
        <w:t>微企业合同金额达到</w:t>
      </w:r>
      <w:r>
        <w:rPr>
          <w:rFonts w:ascii="仿宋" w:hAnsi="仿宋" w:eastAsia="仿宋"/>
          <w:color w:val="auto"/>
          <w:sz w:val="24"/>
          <w:highlight w:val="none"/>
          <w:u w:val="single"/>
        </w:rPr>
        <w:t xml:space="preserve"> </w:t>
      </w:r>
      <w:r>
        <w:rPr>
          <w:rFonts w:ascii="仿宋" w:hAnsi="仿宋" w:eastAsia="仿宋"/>
          <w:color w:val="auto"/>
          <w:sz w:val="24"/>
          <w:highlight w:val="none"/>
        </w:rPr>
        <w:t>%</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五、如果中标，</w:t>
      </w:r>
      <w:r>
        <w:rPr>
          <w:rFonts w:hint="eastAsia" w:ascii="仿宋" w:hAnsi="仿宋" w:eastAsia="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六、有关本次联合投标的其他事宜：</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1、联合体各方不再单独参加或者与其</w:t>
      </w:r>
      <w:r>
        <w:rPr>
          <w:rFonts w:hint="eastAsia" w:ascii="仿宋" w:hAnsi="仿宋" w:eastAsia="仿宋"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3、本协议提交采购人、采购代理机构后，联合体各方不得以任何形式对上述内容进行修改或撤销。</w:t>
      </w:r>
    </w:p>
    <w:p>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snapToGrid w:val="0"/>
        <w:spacing w:line="360" w:lineRule="auto"/>
        <w:rPr>
          <w:rFonts w:ascii="仿宋" w:hAnsi="仿宋" w:eastAsia="仿宋"/>
          <w:b/>
          <w:bCs/>
          <w:color w:val="auto"/>
          <w:sz w:val="24"/>
          <w:highlight w:val="none"/>
        </w:rPr>
      </w:pPr>
    </w:p>
    <w:p>
      <w:pPr>
        <w:snapToGrid w:val="0"/>
        <w:spacing w:line="360" w:lineRule="auto"/>
        <w:jc w:val="center"/>
        <w:rPr>
          <w:rFonts w:ascii="仿宋" w:hAnsi="仿宋" w:eastAsia="仿宋" w:cs="仿宋_GB2312"/>
          <w:b/>
          <w:color w:val="auto"/>
          <w:kern w:val="0"/>
          <w:sz w:val="32"/>
          <w:szCs w:val="32"/>
          <w:highlight w:val="none"/>
        </w:rPr>
      </w:pPr>
      <w:r>
        <w:rPr>
          <w:rFonts w:ascii="仿宋" w:hAnsi="仿宋" w:eastAsia="仿宋" w:cs="仿宋_GB2312"/>
          <w:b/>
          <w:color w:val="auto"/>
          <w:kern w:val="0"/>
          <w:sz w:val="32"/>
          <w:szCs w:val="32"/>
          <w:highlight w:val="none"/>
          <w:lang w:val="zh-CN"/>
        </w:rPr>
        <w:t xml:space="preserve"> </w:t>
      </w:r>
      <w:r>
        <w:rPr>
          <w:rFonts w:ascii="仿宋" w:hAnsi="仿宋" w:eastAsia="仿宋" w:cs="仿宋_GB2312"/>
          <w:b/>
          <w:color w:val="auto"/>
          <w:kern w:val="0"/>
          <w:sz w:val="32"/>
          <w:szCs w:val="32"/>
          <w:highlight w:val="none"/>
        </w:rPr>
        <w:t xml:space="preserve"> </w:t>
      </w:r>
    </w:p>
    <w:p>
      <w:pPr>
        <w:snapToGrid w:val="0"/>
        <w:spacing w:line="360" w:lineRule="auto"/>
        <w:jc w:val="center"/>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lang w:val="zh-CN"/>
        </w:rPr>
        <w:t>授权委托书（适用于联合体投标）</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u w:val="single"/>
        </w:rPr>
        <w:t>杭州市临平区人民政府临平街道办事处 、杭州中瑞招标代理有限公司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（姓名）为我方代理人（身份证号码：</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），以我方名义处理</w:t>
      </w:r>
      <w:r>
        <w:rPr>
          <w:rFonts w:hint="eastAsia" w:ascii="仿宋" w:hAnsi="仿宋" w:eastAsia="仿宋" w:cs="仿宋_GB2312"/>
          <w:color w:val="auto"/>
          <w:sz w:val="24"/>
          <w:highlight w:val="none"/>
        </w:rPr>
        <w:t>“俞樾纪念馆”陈列布展服务</w:t>
      </w:r>
      <w:r>
        <w:rPr>
          <w:rFonts w:hint="eastAsia" w:ascii="仿宋" w:hAnsi="仿宋" w:eastAsia="仿宋"/>
          <w:color w:val="auto"/>
          <w:sz w:val="24"/>
          <w:highlight w:val="none"/>
        </w:rPr>
        <w:t>项目</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rPr>
        <w:t>HZZR-F221201N</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日起至</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日止。</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特此告知。</w:t>
      </w:r>
    </w:p>
    <w:p>
      <w:pPr>
        <w:snapToGrid w:val="0"/>
        <w:spacing w:line="360" w:lineRule="auto"/>
        <w:rPr>
          <w:rFonts w:ascii="仿宋" w:hAnsi="仿宋" w:eastAsia="仿宋"/>
          <w:color w:val="auto"/>
          <w:highlight w:val="none"/>
        </w:rPr>
      </w:pP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日期：  年  月   日</w:t>
      </w: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pStyle w:val="36"/>
        <w:rPr>
          <w:color w:val="auto"/>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cs="仿宋_GB2312"/>
          <w:b/>
          <w:color w:val="auto"/>
          <w:kern w:val="0"/>
          <w:sz w:val="32"/>
          <w:szCs w:val="32"/>
          <w:highlight w:val="none"/>
          <w:lang w:val="zh-CN"/>
        </w:rPr>
      </w:pPr>
      <w:r>
        <w:rPr>
          <w:rFonts w:ascii="仿宋" w:hAnsi="仿宋" w:eastAsia="仿宋"/>
          <w:b/>
          <w:bCs/>
          <w:color w:val="auto"/>
          <w:sz w:val="24"/>
          <w:highlight w:val="none"/>
        </w:rPr>
        <w:t>B.</w:t>
      </w:r>
      <w:r>
        <w:rPr>
          <w:rFonts w:hint="eastAsia" w:ascii="仿宋" w:hAnsi="仿宋" w:eastAsia="仿宋"/>
          <w:color w:val="auto"/>
          <w:sz w:val="24"/>
          <w:highlight w:val="none"/>
        </w:rPr>
        <w:t>供应商以分包方式投标的：提供分包意向协议。</w:t>
      </w:r>
    </w:p>
    <w:p>
      <w:pPr>
        <w:snapToGrid w:val="0"/>
        <w:spacing w:line="360" w:lineRule="auto"/>
        <w:ind w:firstLine="3213" w:firstLineChars="1000"/>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分包意向协议</w:t>
      </w:r>
    </w:p>
    <w:p>
      <w:pPr>
        <w:widowControl/>
        <w:snapToGrid w:val="0"/>
        <w:spacing w:line="360" w:lineRule="auto"/>
        <w:ind w:firstLine="42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hint="eastAsia" w:ascii="仿宋" w:hAnsi="仿宋" w:eastAsia="仿宋" w:cs="仿宋_GB2312"/>
          <w:b/>
          <w:color w:val="auto"/>
          <w:sz w:val="24"/>
          <w:highlight w:val="none"/>
        </w:rPr>
        <w:t>中标后以分包方式履行合同的，提供分包意向协议；采购人不同意分包或者供应商中标后不以分包方式履行合同的，则不需要提供。</w:t>
      </w:r>
      <w:r>
        <w:rPr>
          <w:rFonts w:hint="eastAsia" w:ascii="仿宋" w:hAnsi="仿宋" w:eastAsia="仿宋" w:cs="仿宋_GB2312"/>
          <w:color w:val="auto"/>
          <w:sz w:val="24"/>
          <w:highlight w:val="none"/>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（供应商名称）</w:t>
      </w:r>
      <w:r>
        <w:rPr>
          <w:rFonts w:hint="eastAsia" w:ascii="仿宋" w:hAnsi="仿宋" w:eastAsia="仿宋" w:cs="仿宋_GB2312"/>
          <w:color w:val="auto"/>
          <w:kern w:val="0"/>
          <w:sz w:val="24"/>
          <w:highlight w:val="none"/>
          <w:lang w:val="zh-CN"/>
        </w:rPr>
        <w:t>若成为</w:t>
      </w: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u w:val="single"/>
        </w:rPr>
        <w:t>招标编号：</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的中标供应商，将依法采取分包方式履行合同。</w:t>
      </w:r>
      <w:r>
        <w:rPr>
          <w:rFonts w:hint="eastAsia" w:ascii="仿宋" w:hAnsi="仿宋" w:eastAsia="仿宋" w:cs="仿宋_GB2312"/>
          <w:color w:val="auto"/>
          <w:kern w:val="0"/>
          <w:sz w:val="24"/>
          <w:highlight w:val="none"/>
          <w:u w:val="single"/>
        </w:rPr>
        <w:t>（供应商名称）</w:t>
      </w:r>
      <w:r>
        <w:rPr>
          <w:rFonts w:hint="eastAsia" w:ascii="仿宋" w:hAnsi="仿宋" w:eastAsia="仿宋" w:cs="仿宋_GB2312"/>
          <w:color w:val="auto"/>
          <w:kern w:val="0"/>
          <w:sz w:val="24"/>
          <w:highlight w:val="none"/>
        </w:rPr>
        <w:t>与</w:t>
      </w:r>
      <w:r>
        <w:rPr>
          <w:rFonts w:hint="eastAsia" w:ascii="仿宋" w:hAnsi="仿宋" w:eastAsia="仿宋" w:cs="仿宋_GB2312"/>
          <w:color w:val="auto"/>
          <w:kern w:val="0"/>
          <w:sz w:val="24"/>
          <w:highlight w:val="none"/>
          <w:u w:val="single"/>
        </w:rPr>
        <w:t>（所有分包供应商名称）</w:t>
      </w:r>
      <w:r>
        <w:rPr>
          <w:rFonts w:hint="eastAsia" w:ascii="仿宋" w:hAnsi="仿宋" w:eastAsia="仿宋" w:cs="仿宋_GB2312"/>
          <w:color w:val="auto"/>
          <w:kern w:val="0"/>
          <w:sz w:val="24"/>
          <w:highlight w:val="none"/>
        </w:rPr>
        <w:t>达成分包意向协议</w:t>
      </w:r>
      <w:r>
        <w:rPr>
          <w:rFonts w:hint="eastAsia" w:ascii="仿宋" w:hAnsi="仿宋" w:eastAsia="仿宋" w:cs="仿宋_GB2312"/>
          <w:color w:val="auto"/>
          <w:kern w:val="0"/>
          <w:sz w:val="24"/>
          <w:highlight w:val="none"/>
          <w:lang w:val="zh-CN"/>
        </w:rPr>
        <w:t>。</w:t>
      </w:r>
      <w:r>
        <w:rPr>
          <w:rFonts w:ascii="仿宋" w:hAnsi="仿宋" w:eastAsia="仿宋" w:cs="仿宋_GB2312"/>
          <w:color w:val="auto"/>
          <w:kern w:val="0"/>
          <w:sz w:val="24"/>
          <w:highlight w:val="none"/>
          <w:lang w:val="zh-CN"/>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一、分包标的及数量</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（供应商名称）</w:t>
      </w:r>
      <w:r>
        <w:rPr>
          <w:rFonts w:hint="eastAsia" w:ascii="仿宋" w:hAnsi="仿宋" w:eastAsia="仿宋" w:cs="仿宋_GB2312"/>
          <w:color w:val="auto"/>
          <w:kern w:val="0"/>
          <w:sz w:val="24"/>
          <w:highlight w:val="none"/>
          <w:lang w:val="zh-CN"/>
        </w:rPr>
        <w:t>企业</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将</w:t>
      </w:r>
      <w:r>
        <w:rPr>
          <w:rFonts w:ascii="仿宋" w:hAnsi="仿宋" w:eastAsia="仿宋"/>
          <w:color w:val="auto"/>
          <w:highlight w:val="none"/>
          <w:u w:val="single"/>
        </w:rPr>
        <w:t xml:space="preserve">   XX工作内容   </w:t>
      </w:r>
      <w:r>
        <w:rPr>
          <w:rFonts w:hint="eastAsia" w:ascii="仿宋" w:hAnsi="仿宋" w:eastAsia="仿宋" w:cs="Arial"/>
          <w:color w:val="auto"/>
          <w:sz w:val="24"/>
          <w:highlight w:val="none"/>
        </w:rPr>
        <w:t>分包给</w:t>
      </w:r>
      <w:r>
        <w:rPr>
          <w:rFonts w:hint="eastAsia" w:ascii="仿宋" w:hAnsi="仿宋" w:eastAsia="仿宋" w:cs="仿宋_GB2312"/>
          <w:color w:val="auto"/>
          <w:kern w:val="0"/>
          <w:sz w:val="24"/>
          <w:highlight w:val="none"/>
          <w:u w:val="single"/>
        </w:rPr>
        <w:t>（某分包供应商名称）</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u w:val="single"/>
        </w:rPr>
        <w:t>（某分包供应商名称），</w:t>
      </w:r>
      <w:r>
        <w:rPr>
          <w:rFonts w:hint="eastAsia" w:ascii="仿宋" w:hAnsi="仿宋" w:eastAsia="仿宋" w:cs="仿宋_GB2312"/>
          <w:color w:val="auto"/>
          <w:kern w:val="0"/>
          <w:sz w:val="24"/>
          <w:highlight w:val="none"/>
          <w:lang w:val="zh-CN"/>
        </w:rPr>
        <w:t>具备承</w:t>
      </w:r>
      <w:r>
        <w:rPr>
          <w:rFonts w:hint="eastAsia" w:ascii="仿宋" w:hAnsi="仿宋" w:eastAsia="仿宋" w:cs="仿宋_GB2312"/>
          <w:color w:val="auto"/>
          <w:kern w:val="0"/>
          <w:sz w:val="24"/>
          <w:highlight w:val="none"/>
        </w:rPr>
        <w:t>担</w:t>
      </w:r>
      <w:r>
        <w:rPr>
          <w:rFonts w:ascii="仿宋" w:hAnsi="仿宋" w:eastAsia="仿宋" w:cs="仿宋_GB2312"/>
          <w:color w:val="auto"/>
          <w:kern w:val="0"/>
          <w:sz w:val="24"/>
          <w:highlight w:val="none"/>
          <w:u w:val="single"/>
          <w:lang w:val="zh-CN"/>
        </w:rPr>
        <w:t>XX工作内容</w:t>
      </w:r>
      <w:r>
        <w:rPr>
          <w:rFonts w:hint="eastAsia" w:ascii="仿宋" w:hAnsi="仿宋" w:eastAsia="仿宋" w:cs="仿宋_GB2312"/>
          <w:color w:val="auto"/>
          <w:kern w:val="0"/>
          <w:sz w:val="24"/>
          <w:highlight w:val="none"/>
          <w:lang w:val="zh-CN"/>
        </w:rPr>
        <w:t>相应资质条件且不得再次分包；</w:t>
      </w:r>
    </w:p>
    <w:p>
      <w:pPr>
        <w:tabs>
          <w:tab w:val="left" w:pos="432"/>
        </w:tabs>
        <w:snapToGrid w:val="0"/>
        <w:spacing w:line="360" w:lineRule="auto"/>
        <w:ind w:firstLine="228" w:firstLineChars="95"/>
        <w:rPr>
          <w:rFonts w:ascii="仿宋" w:hAnsi="仿宋" w:eastAsia="仿宋"/>
          <w:color w:val="auto"/>
          <w:highlight w:val="none"/>
        </w:rPr>
      </w:pPr>
      <w:r>
        <w:rPr>
          <w:rFonts w:hint="eastAsia" w:ascii="仿宋" w:hAnsi="仿宋" w:eastAsia="仿宋" w:cs="仿宋_GB2312"/>
          <w:color w:val="auto"/>
          <w:kern w:val="0"/>
          <w:sz w:val="24"/>
          <w:highlight w:val="none"/>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二、分包工作履行期限、地点、方式</w:t>
      </w:r>
    </w:p>
    <w:p>
      <w:pPr>
        <w:snapToGrid w:val="0"/>
        <w:spacing w:line="360" w:lineRule="auto"/>
        <w:ind w:firstLine="576"/>
        <w:rPr>
          <w:rFonts w:ascii="仿宋" w:hAnsi="仿宋" w:eastAsia="仿宋"/>
          <w:color w:val="auto"/>
          <w:highlight w:val="none"/>
          <w:u w:val="single"/>
        </w:rPr>
      </w:pPr>
      <w:r>
        <w:rPr>
          <w:rFonts w:ascii="仿宋" w:hAnsi="仿宋" w:eastAsia="仿宋"/>
          <w:color w:val="auto"/>
          <w:highlight w:val="none"/>
          <w:u w:val="single"/>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三、质量</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四、价款或者报酬</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360" w:lineRule="auto"/>
        <w:ind w:firstLine="566" w:firstLineChars="23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五、违约责任</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六、争议解决的办法</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七、其他</w:t>
      </w:r>
    </w:p>
    <w:p>
      <w:pPr>
        <w:snapToGrid w:val="0"/>
        <w:spacing w:line="360" w:lineRule="auto"/>
        <w:ind w:left="5040" w:hanging="5040" w:hangingChars="2100"/>
        <w:jc w:val="left"/>
        <w:rPr>
          <w:rFonts w:ascii="仿宋" w:hAnsi="仿宋" w:eastAsia="仿宋" w:cs="仿宋_GB2312"/>
          <w:color w:val="auto"/>
          <w:kern w:val="0"/>
          <w:sz w:val="24"/>
          <w:highlight w:val="none"/>
          <w:lang w:val="zh-CN"/>
        </w:rPr>
      </w:pPr>
      <w:r>
        <w:rPr>
          <w:rFonts w:ascii="仿宋" w:hAnsi="仿宋" w:eastAsia="仿宋"/>
          <w:color w:val="auto"/>
          <w:sz w:val="24"/>
          <w:highlight w:val="none"/>
        </w:rPr>
        <w:t>小</w:t>
      </w:r>
      <w:r>
        <w:rPr>
          <w:rFonts w:hint="eastAsia" w:ascii="仿宋" w:hAnsi="仿宋" w:eastAsia="仿宋"/>
          <w:color w:val="auto"/>
          <w:sz w:val="24"/>
          <w:highlight w:val="none"/>
        </w:rPr>
        <w:t xml:space="preserve">微企业合同金额达到 </w:t>
      </w: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ascii="仿宋" w:hAnsi="仿宋" w:eastAsia="仿宋"/>
          <w:color w:val="auto"/>
          <w:sz w:val="24"/>
          <w:highlight w:val="none"/>
        </w:rPr>
        <w:t>%</w:t>
      </w:r>
      <w:r>
        <w:rPr>
          <w:rFonts w:ascii="仿宋" w:hAnsi="仿宋" w:eastAsia="仿宋" w:cs="仿宋_GB2312"/>
          <w:color w:val="auto"/>
          <w:kern w:val="0"/>
          <w:sz w:val="24"/>
          <w:highlight w:val="none"/>
          <w:lang w:val="zh-CN"/>
        </w:rPr>
        <w:t xml:space="preserve">  。                                           投标人名称(电子签名)：</w:t>
      </w:r>
    </w:p>
    <w:p>
      <w:pPr>
        <w:snapToGrid w:val="0"/>
        <w:spacing w:line="360" w:lineRule="auto"/>
        <w:ind w:firstLine="3840" w:firstLineChars="16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分包供应商名称</w:t>
      </w:r>
      <w:r>
        <w:rPr>
          <w:rFonts w:ascii="仿宋" w:hAnsi="仿宋" w:eastAsia="仿宋" w:cs="仿宋_GB2312"/>
          <w:color w:val="auto"/>
          <w:kern w:val="0"/>
          <w:sz w:val="24"/>
          <w:highlight w:val="none"/>
          <w:lang w:val="zh-CN"/>
        </w:rPr>
        <w:t>(电子签名/公章)</w:t>
      </w:r>
      <w:r>
        <w:rPr>
          <w:rFonts w:hint="eastAsia" w:ascii="仿宋" w:hAnsi="仿宋" w:eastAsia="仿宋" w:cs="仿宋_GB2312"/>
          <w:color w:val="auto"/>
          <w:kern w:val="0"/>
          <w:sz w:val="24"/>
          <w:highlight w:val="none"/>
          <w:lang w:val="zh-CN"/>
        </w:rPr>
        <w:t>：</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pPr>
        <w:widowControl/>
        <w:adjustRightInd/>
        <w:snapToGrid w:val="0"/>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pStyle w:val="5"/>
        <w:rPr>
          <w:rFonts w:ascii="仿宋" w:hAnsi="仿宋" w:eastAsia="仿宋" w:cs="仿宋_GB2312"/>
          <w:color w:val="auto"/>
          <w:kern w:val="0"/>
          <w:sz w:val="24"/>
          <w:highlight w:val="none"/>
        </w:rPr>
      </w:pPr>
    </w:p>
    <w:p>
      <w:pPr>
        <w:rPr>
          <w:rFonts w:ascii="仿宋" w:hAnsi="仿宋" w:eastAsia="仿宋" w:cs="仿宋_GB2312"/>
          <w:color w:val="auto"/>
          <w:kern w:val="0"/>
          <w:sz w:val="24"/>
          <w:highlight w:val="none"/>
          <w:lang w:val="zh-CN"/>
        </w:rPr>
      </w:pPr>
    </w:p>
    <w:p>
      <w:pPr>
        <w:pStyle w:val="5"/>
        <w:rPr>
          <w:color w:val="auto"/>
          <w:highlight w:val="none"/>
        </w:rPr>
      </w:pPr>
    </w:p>
    <w:p>
      <w:pPr>
        <w:widowControl/>
        <w:numPr>
          <w:ilvl w:val="0"/>
          <w:numId w:val="21"/>
        </w:numPr>
        <w:snapToGrid w:val="0"/>
        <w:spacing w:line="360" w:lineRule="auto"/>
        <w:jc w:val="center"/>
        <w:outlineLvl w:val="1"/>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本项目的特定资格要求</w:t>
      </w:r>
    </w:p>
    <w:p>
      <w:pPr>
        <w:pStyle w:val="5"/>
        <w:jc w:val="center"/>
        <w:rPr>
          <w:rFonts w:ascii="仿宋" w:hAnsi="仿宋" w:eastAsia="仿宋"/>
          <w:color w:val="auto"/>
          <w:sz w:val="24"/>
          <w:highlight w:val="none"/>
        </w:rPr>
      </w:pPr>
      <w:bookmarkStart w:id="731" w:name="_Toc355252989"/>
      <w:bookmarkStart w:id="732" w:name="_Toc95313013"/>
      <w:bookmarkStart w:id="733" w:name="_Toc7510"/>
      <w:bookmarkStart w:id="734" w:name="_Toc1343"/>
      <w:bookmarkStart w:id="735" w:name="_Toc26670"/>
      <w:bookmarkStart w:id="736" w:name="_Toc5790"/>
      <w:r>
        <w:rPr>
          <w:rFonts w:hint="eastAsia" w:ascii="仿宋" w:hAnsi="仿宋" w:eastAsia="仿宋"/>
          <w:color w:val="auto"/>
          <w:sz w:val="24"/>
          <w:highlight w:val="none"/>
        </w:rPr>
        <w:t>建筑装饰工程设计专项乙级及以上资质、建筑装修装饰工程专业承包贰级及以上资质、企业安全生产许可证（扫描件）</w:t>
      </w:r>
    </w:p>
    <w:p>
      <w:pPr>
        <w:pStyle w:val="5"/>
        <w:jc w:val="center"/>
        <w:rPr>
          <w:rFonts w:ascii="仿宋" w:hAnsi="仿宋" w:eastAsia="仿宋"/>
          <w:color w:val="auto"/>
          <w:sz w:val="24"/>
          <w:highlight w:val="none"/>
        </w:rPr>
      </w:pPr>
    </w:p>
    <w:p>
      <w:pPr>
        <w:pStyle w:val="5"/>
        <w:jc w:val="center"/>
        <w:rPr>
          <w:rFonts w:ascii="仿宋" w:hAnsi="仿宋" w:eastAsia="仿宋"/>
          <w:color w:val="auto"/>
          <w:sz w:val="24"/>
          <w:highlight w:val="none"/>
        </w:rPr>
      </w:pPr>
    </w:p>
    <w:p>
      <w:pPr>
        <w:pStyle w:val="5"/>
        <w:jc w:val="center"/>
        <w:rPr>
          <w:rFonts w:ascii="仿宋" w:hAnsi="仿宋" w:eastAsia="仿宋"/>
          <w:color w:val="auto"/>
          <w:sz w:val="24"/>
          <w:highlight w:val="none"/>
        </w:rPr>
      </w:pPr>
    </w:p>
    <w:p>
      <w:pPr>
        <w:rPr>
          <w:rFonts w:ascii="仿宋" w:hAnsi="仿宋" w:eastAsia="仿宋"/>
          <w:color w:val="auto"/>
          <w:sz w:val="24"/>
          <w:highlight w:val="none"/>
        </w:rPr>
      </w:pPr>
    </w:p>
    <w:p>
      <w:pPr>
        <w:pStyle w:val="5"/>
        <w:rPr>
          <w:rFonts w:ascii="仿宋" w:hAnsi="仿宋" w:eastAsia="仿宋"/>
          <w:color w:val="auto"/>
          <w:sz w:val="24"/>
          <w:highlight w:val="none"/>
        </w:rPr>
      </w:pPr>
    </w:p>
    <w:p>
      <w:pPr>
        <w:rPr>
          <w:rFonts w:ascii="仿宋" w:hAnsi="仿宋" w:eastAsia="仿宋"/>
          <w:color w:val="auto"/>
          <w:sz w:val="24"/>
          <w:highlight w:val="none"/>
        </w:rPr>
      </w:pPr>
    </w:p>
    <w:p>
      <w:pPr>
        <w:pStyle w:val="5"/>
        <w:rPr>
          <w:rFonts w:ascii="仿宋" w:hAnsi="仿宋" w:eastAsia="仿宋"/>
          <w:color w:val="auto"/>
          <w:sz w:val="24"/>
          <w:highlight w:val="none"/>
        </w:rPr>
      </w:pPr>
    </w:p>
    <w:p>
      <w:pPr>
        <w:rPr>
          <w:rFonts w:ascii="仿宋" w:hAnsi="仿宋" w:eastAsia="仿宋"/>
          <w:color w:val="auto"/>
          <w:sz w:val="24"/>
          <w:highlight w:val="none"/>
        </w:rPr>
      </w:pPr>
    </w:p>
    <w:p>
      <w:pPr>
        <w:pStyle w:val="5"/>
        <w:rPr>
          <w:rFonts w:ascii="仿宋" w:hAnsi="仿宋" w:eastAsia="仿宋"/>
          <w:color w:val="auto"/>
          <w:sz w:val="24"/>
          <w:highlight w:val="none"/>
        </w:rPr>
      </w:pPr>
    </w:p>
    <w:p>
      <w:pPr>
        <w:rPr>
          <w:rFonts w:ascii="仿宋" w:hAnsi="仿宋" w:eastAsia="仿宋"/>
          <w:color w:val="auto"/>
          <w:sz w:val="24"/>
          <w:highlight w:val="none"/>
        </w:rPr>
      </w:pPr>
    </w:p>
    <w:p>
      <w:pPr>
        <w:pStyle w:val="5"/>
        <w:rPr>
          <w:rFonts w:ascii="仿宋" w:hAnsi="仿宋" w:eastAsia="仿宋"/>
          <w:color w:val="auto"/>
          <w:sz w:val="24"/>
          <w:highlight w:val="none"/>
        </w:rPr>
      </w:pPr>
    </w:p>
    <w:p>
      <w:pPr>
        <w:rPr>
          <w:rFonts w:ascii="仿宋" w:hAnsi="仿宋" w:eastAsia="仿宋"/>
          <w:color w:val="auto"/>
          <w:sz w:val="24"/>
          <w:highlight w:val="none"/>
        </w:rPr>
      </w:pPr>
    </w:p>
    <w:p>
      <w:pPr>
        <w:pStyle w:val="5"/>
        <w:rPr>
          <w:rFonts w:ascii="仿宋" w:hAnsi="仿宋" w:eastAsia="仿宋"/>
          <w:color w:val="auto"/>
          <w:sz w:val="24"/>
          <w:highlight w:val="none"/>
        </w:rPr>
      </w:pPr>
    </w:p>
    <w:p>
      <w:pPr>
        <w:rPr>
          <w:rFonts w:ascii="仿宋" w:hAnsi="仿宋" w:eastAsia="仿宋"/>
          <w:color w:val="auto"/>
          <w:sz w:val="24"/>
          <w:highlight w:val="none"/>
        </w:rPr>
      </w:pPr>
    </w:p>
    <w:p>
      <w:pPr>
        <w:pStyle w:val="5"/>
        <w:rPr>
          <w:rFonts w:ascii="仿宋" w:hAnsi="仿宋" w:eastAsia="仿宋"/>
          <w:color w:val="auto"/>
          <w:sz w:val="24"/>
          <w:highlight w:val="none"/>
        </w:rPr>
      </w:pPr>
    </w:p>
    <w:p>
      <w:pPr>
        <w:rPr>
          <w:rFonts w:ascii="仿宋" w:hAnsi="仿宋" w:eastAsia="仿宋"/>
          <w:color w:val="auto"/>
          <w:sz w:val="24"/>
          <w:highlight w:val="none"/>
        </w:rPr>
      </w:pPr>
    </w:p>
    <w:p>
      <w:pPr>
        <w:pStyle w:val="5"/>
        <w:rPr>
          <w:rFonts w:ascii="仿宋" w:hAnsi="仿宋" w:eastAsia="仿宋"/>
          <w:color w:val="auto"/>
          <w:sz w:val="24"/>
          <w:highlight w:val="none"/>
        </w:rPr>
      </w:pPr>
    </w:p>
    <w:p>
      <w:pPr>
        <w:rPr>
          <w:rFonts w:ascii="仿宋" w:hAnsi="仿宋" w:eastAsia="仿宋"/>
          <w:color w:val="auto"/>
          <w:sz w:val="24"/>
          <w:highlight w:val="none"/>
        </w:rPr>
      </w:pPr>
    </w:p>
    <w:p>
      <w:pPr>
        <w:pStyle w:val="5"/>
        <w:rPr>
          <w:rFonts w:ascii="仿宋" w:hAnsi="仿宋" w:eastAsia="仿宋"/>
          <w:color w:val="auto"/>
          <w:sz w:val="24"/>
          <w:highlight w:val="none"/>
        </w:rPr>
      </w:pPr>
    </w:p>
    <w:p>
      <w:pPr>
        <w:rPr>
          <w:rFonts w:ascii="仿宋" w:hAnsi="仿宋" w:eastAsia="仿宋"/>
          <w:color w:val="auto"/>
          <w:sz w:val="24"/>
          <w:highlight w:val="none"/>
        </w:rPr>
      </w:pPr>
    </w:p>
    <w:p>
      <w:pPr>
        <w:pStyle w:val="5"/>
        <w:rPr>
          <w:rFonts w:ascii="仿宋" w:hAnsi="仿宋" w:eastAsia="仿宋"/>
          <w:color w:val="auto"/>
          <w:sz w:val="24"/>
          <w:highlight w:val="none"/>
        </w:rPr>
      </w:pPr>
    </w:p>
    <w:p>
      <w:pPr>
        <w:rPr>
          <w:rFonts w:ascii="仿宋" w:hAnsi="仿宋" w:eastAsia="仿宋"/>
          <w:color w:val="auto"/>
          <w:sz w:val="24"/>
          <w:highlight w:val="none"/>
        </w:rPr>
      </w:pPr>
    </w:p>
    <w:p>
      <w:pPr>
        <w:pStyle w:val="5"/>
        <w:rPr>
          <w:rFonts w:ascii="仿宋" w:hAnsi="仿宋" w:eastAsia="仿宋"/>
          <w:color w:val="auto"/>
          <w:sz w:val="24"/>
          <w:highlight w:val="none"/>
        </w:rPr>
      </w:pPr>
    </w:p>
    <w:p>
      <w:pPr>
        <w:rPr>
          <w:rFonts w:ascii="仿宋" w:hAnsi="仿宋" w:eastAsia="仿宋"/>
          <w:color w:val="auto"/>
          <w:sz w:val="24"/>
          <w:highlight w:val="none"/>
        </w:rPr>
      </w:pPr>
    </w:p>
    <w:p>
      <w:pPr>
        <w:pStyle w:val="5"/>
        <w:rPr>
          <w:rFonts w:ascii="仿宋" w:hAnsi="仿宋" w:eastAsia="仿宋"/>
          <w:color w:val="auto"/>
          <w:sz w:val="24"/>
          <w:highlight w:val="none"/>
        </w:rPr>
      </w:pPr>
    </w:p>
    <w:p>
      <w:pPr>
        <w:rPr>
          <w:rFonts w:ascii="仿宋" w:hAnsi="仿宋" w:eastAsia="仿宋"/>
          <w:color w:val="auto"/>
          <w:sz w:val="24"/>
          <w:highlight w:val="none"/>
        </w:rPr>
      </w:pPr>
    </w:p>
    <w:p>
      <w:pPr>
        <w:pStyle w:val="5"/>
        <w:rPr>
          <w:rFonts w:ascii="仿宋" w:hAnsi="仿宋" w:eastAsia="仿宋"/>
          <w:color w:val="auto"/>
          <w:sz w:val="24"/>
          <w:highlight w:val="none"/>
        </w:rPr>
      </w:pPr>
    </w:p>
    <w:p>
      <w:pPr>
        <w:rPr>
          <w:rFonts w:ascii="仿宋" w:hAnsi="仿宋" w:eastAsia="仿宋"/>
          <w:color w:val="auto"/>
          <w:sz w:val="24"/>
          <w:highlight w:val="none"/>
        </w:rPr>
      </w:pPr>
    </w:p>
    <w:p>
      <w:pPr>
        <w:pStyle w:val="5"/>
        <w:rPr>
          <w:rFonts w:ascii="仿宋" w:hAnsi="仿宋" w:eastAsia="仿宋"/>
          <w:color w:val="auto"/>
          <w:sz w:val="24"/>
          <w:highlight w:val="none"/>
        </w:rPr>
      </w:pPr>
    </w:p>
    <w:p>
      <w:pPr>
        <w:rPr>
          <w:rFonts w:ascii="仿宋" w:hAnsi="仿宋" w:eastAsia="仿宋"/>
          <w:color w:val="auto"/>
          <w:sz w:val="24"/>
          <w:highlight w:val="none"/>
        </w:rPr>
      </w:pPr>
    </w:p>
    <w:p>
      <w:pPr>
        <w:pStyle w:val="5"/>
        <w:rPr>
          <w:rFonts w:ascii="仿宋" w:hAnsi="仿宋" w:eastAsia="仿宋"/>
          <w:color w:val="auto"/>
          <w:sz w:val="24"/>
          <w:highlight w:val="none"/>
        </w:rPr>
      </w:pPr>
    </w:p>
    <w:p>
      <w:pPr>
        <w:rPr>
          <w:rFonts w:ascii="仿宋" w:hAnsi="仿宋" w:eastAsia="仿宋"/>
          <w:color w:val="auto"/>
          <w:sz w:val="24"/>
          <w:highlight w:val="none"/>
        </w:rPr>
      </w:pPr>
    </w:p>
    <w:p>
      <w:pPr>
        <w:pStyle w:val="5"/>
        <w:rPr>
          <w:rFonts w:ascii="仿宋" w:hAnsi="仿宋" w:eastAsia="仿宋"/>
          <w:color w:val="auto"/>
          <w:sz w:val="24"/>
          <w:highlight w:val="none"/>
        </w:rPr>
      </w:pPr>
    </w:p>
    <w:p>
      <w:pPr>
        <w:rPr>
          <w:rFonts w:ascii="仿宋" w:hAnsi="仿宋" w:eastAsia="仿宋"/>
          <w:color w:val="auto"/>
          <w:sz w:val="24"/>
          <w:highlight w:val="none"/>
        </w:rPr>
      </w:pPr>
    </w:p>
    <w:p>
      <w:pPr>
        <w:pStyle w:val="5"/>
        <w:rPr>
          <w:rFonts w:ascii="仿宋" w:hAnsi="仿宋" w:eastAsia="仿宋"/>
          <w:color w:val="auto"/>
          <w:sz w:val="24"/>
          <w:highlight w:val="none"/>
        </w:rPr>
      </w:pPr>
    </w:p>
    <w:p>
      <w:pPr>
        <w:rPr>
          <w:rFonts w:ascii="仿宋" w:hAnsi="仿宋" w:eastAsia="仿宋"/>
          <w:color w:val="auto"/>
          <w:sz w:val="24"/>
          <w:highlight w:val="none"/>
        </w:rPr>
      </w:pPr>
    </w:p>
    <w:p>
      <w:pPr>
        <w:pStyle w:val="5"/>
        <w:rPr>
          <w:rFonts w:ascii="仿宋" w:hAnsi="仿宋" w:eastAsia="仿宋"/>
          <w:color w:val="auto"/>
          <w:sz w:val="24"/>
          <w:highlight w:val="none"/>
        </w:rPr>
      </w:pPr>
    </w:p>
    <w:p>
      <w:pPr>
        <w:rPr>
          <w:rFonts w:ascii="仿宋" w:hAnsi="仿宋" w:eastAsia="仿宋"/>
          <w:color w:val="auto"/>
          <w:sz w:val="24"/>
          <w:highlight w:val="none"/>
        </w:rPr>
      </w:pPr>
    </w:p>
    <w:p>
      <w:pPr>
        <w:pStyle w:val="5"/>
        <w:rPr>
          <w:color w:val="auto"/>
          <w:highlight w:val="none"/>
        </w:rPr>
      </w:pPr>
    </w:p>
    <w:p>
      <w:pPr>
        <w:pStyle w:val="5"/>
        <w:jc w:val="center"/>
        <w:rPr>
          <w:rFonts w:ascii="仿宋" w:hAnsi="仿宋" w:eastAsia="仿宋"/>
          <w:color w:val="auto"/>
          <w:sz w:val="24"/>
          <w:highlight w:val="none"/>
        </w:rPr>
      </w:pPr>
    </w:p>
    <w:p>
      <w:pPr>
        <w:pStyle w:val="5"/>
        <w:jc w:val="center"/>
        <w:rPr>
          <w:rFonts w:ascii="仿宋" w:hAnsi="仿宋" w:eastAsia="仿宋"/>
          <w:color w:val="auto"/>
          <w:szCs w:val="28"/>
          <w:highlight w:val="none"/>
        </w:rPr>
      </w:pPr>
      <w:r>
        <w:rPr>
          <w:rFonts w:hint="eastAsia" w:ascii="仿宋" w:hAnsi="仿宋" w:eastAsia="仿宋"/>
          <w:color w:val="auto"/>
          <w:szCs w:val="28"/>
          <w:highlight w:val="none"/>
        </w:rPr>
        <w:t>商务技术文件部分</w:t>
      </w:r>
      <w:bookmarkEnd w:id="731"/>
      <w:bookmarkEnd w:id="732"/>
      <w:bookmarkEnd w:id="733"/>
      <w:bookmarkEnd w:id="734"/>
      <w:bookmarkEnd w:id="735"/>
      <w:bookmarkEnd w:id="736"/>
    </w:p>
    <w:p>
      <w:pPr>
        <w:snapToGrid w:val="0"/>
        <w:spacing w:line="360" w:lineRule="auto"/>
        <w:jc w:val="center"/>
        <w:rPr>
          <w:rFonts w:ascii="仿宋" w:hAnsi="仿宋" w:eastAsia="仿宋" w:cs="仿宋_GB2312"/>
          <w:b/>
          <w:color w:val="auto"/>
          <w:kern w:val="0"/>
          <w:sz w:val="24"/>
          <w:highlight w:val="none"/>
        </w:rPr>
      </w:pPr>
    </w:p>
    <w:p>
      <w:pPr>
        <w:snapToGrid w:val="0"/>
        <w:spacing w:line="360" w:lineRule="auto"/>
        <w:jc w:val="center"/>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pPr>
        <w:spacing w:line="360" w:lineRule="auto"/>
        <w:rPr>
          <w:rFonts w:ascii="仿宋" w:hAnsi="仿宋" w:eastAsia="仿宋" w:cs="仿宋"/>
          <w:color w:val="auto"/>
          <w:sz w:val="24"/>
          <w:highlight w:val="none"/>
        </w:rPr>
      </w:pPr>
      <w:bookmarkStart w:id="737" w:name="_Toc19810"/>
      <w:r>
        <w:rPr>
          <w:rFonts w:hint="eastAsia" w:ascii="仿宋" w:hAnsi="仿宋" w:eastAsia="仿宋" w:cs="仿宋"/>
          <w:color w:val="auto"/>
          <w:sz w:val="24"/>
          <w:highlight w:val="none"/>
        </w:rPr>
        <w:t>（1）投标函………………………………………………………………（页码）</w:t>
      </w:r>
      <w:bookmarkEnd w:id="737"/>
    </w:p>
    <w:p>
      <w:pPr>
        <w:spacing w:line="360" w:lineRule="auto"/>
        <w:rPr>
          <w:rFonts w:ascii="仿宋" w:hAnsi="仿宋" w:eastAsia="仿宋" w:cs="仿宋"/>
          <w:color w:val="auto"/>
          <w:sz w:val="24"/>
          <w:highlight w:val="none"/>
        </w:rPr>
      </w:pPr>
      <w:bookmarkStart w:id="738" w:name="_Toc16208"/>
      <w:r>
        <w:rPr>
          <w:rFonts w:hint="eastAsia" w:ascii="仿宋" w:hAnsi="仿宋" w:eastAsia="仿宋" w:cs="仿宋"/>
          <w:color w:val="auto"/>
          <w:sz w:val="24"/>
          <w:highlight w:val="none"/>
        </w:rPr>
        <w:t>（2）授权委托书…………………………………………………………（页码）</w:t>
      </w:r>
      <w:bookmarkEnd w:id="738"/>
    </w:p>
    <w:p>
      <w:pPr>
        <w:spacing w:line="360" w:lineRule="auto"/>
        <w:rPr>
          <w:rFonts w:ascii="仿宋" w:hAnsi="仿宋" w:eastAsia="仿宋" w:cs="仿宋"/>
          <w:color w:val="auto"/>
          <w:sz w:val="24"/>
          <w:highlight w:val="none"/>
        </w:rPr>
      </w:pPr>
      <w:bookmarkStart w:id="739" w:name="_Toc4278"/>
      <w:r>
        <w:rPr>
          <w:rFonts w:hint="eastAsia" w:ascii="仿宋" w:hAnsi="仿宋" w:eastAsia="仿宋" w:cs="仿宋"/>
          <w:color w:val="auto"/>
          <w:sz w:val="24"/>
          <w:highlight w:val="none"/>
        </w:rPr>
        <w:t>（3）法定代表人和授权委托代表的有效身份证复印件………………（页码）</w:t>
      </w:r>
      <w:bookmarkEnd w:id="739"/>
    </w:p>
    <w:p>
      <w:pPr>
        <w:spacing w:line="360" w:lineRule="auto"/>
        <w:rPr>
          <w:rFonts w:ascii="仿宋" w:hAnsi="仿宋" w:eastAsia="仿宋" w:cs="仿宋"/>
          <w:color w:val="auto"/>
          <w:sz w:val="24"/>
          <w:highlight w:val="none"/>
        </w:rPr>
      </w:pPr>
      <w:bookmarkStart w:id="740" w:name="_Toc31015"/>
      <w:r>
        <w:rPr>
          <w:rFonts w:hint="eastAsia" w:ascii="仿宋" w:hAnsi="仿宋" w:eastAsia="仿宋" w:cs="仿宋"/>
          <w:color w:val="auto"/>
          <w:sz w:val="24"/>
          <w:highlight w:val="none"/>
        </w:rPr>
        <w:t>（4）公司情况介绍………………………………………………………（页码）</w:t>
      </w:r>
      <w:bookmarkEnd w:id="740"/>
    </w:p>
    <w:p>
      <w:pPr>
        <w:spacing w:line="360" w:lineRule="auto"/>
        <w:rPr>
          <w:rFonts w:ascii="仿宋" w:hAnsi="仿宋" w:eastAsia="仿宋" w:cs="仿宋"/>
          <w:color w:val="auto"/>
          <w:sz w:val="24"/>
          <w:highlight w:val="none"/>
        </w:rPr>
      </w:pPr>
      <w:bookmarkStart w:id="741" w:name="_Toc29529"/>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供应商成功案例</w:t>
      </w:r>
      <w:r>
        <w:rPr>
          <w:rFonts w:hint="eastAsia" w:ascii="仿宋" w:hAnsi="仿宋" w:eastAsia="仿宋" w:cs="仿宋"/>
          <w:color w:val="auto"/>
          <w:sz w:val="24"/>
          <w:highlight w:val="none"/>
        </w:rPr>
        <w:t>……………………………………………………（页码）</w:t>
      </w:r>
      <w:bookmarkEnd w:id="741"/>
    </w:p>
    <w:p>
      <w:pPr>
        <w:spacing w:line="360" w:lineRule="auto"/>
        <w:rPr>
          <w:rFonts w:ascii="仿宋" w:hAnsi="仿宋" w:eastAsia="仿宋" w:cs="仿宋"/>
          <w:color w:val="auto"/>
          <w:sz w:val="24"/>
          <w:highlight w:val="none"/>
        </w:rPr>
      </w:pPr>
      <w:bookmarkStart w:id="742" w:name="_Toc19938"/>
      <w:r>
        <w:rPr>
          <w:rFonts w:hint="eastAsia" w:ascii="仿宋" w:hAnsi="仿宋" w:eastAsia="仿宋" w:cs="仿宋"/>
          <w:color w:val="auto"/>
          <w:sz w:val="24"/>
          <w:highlight w:val="none"/>
        </w:rPr>
        <w:t>（6）相关资质文件（如有）……………………………………………（页码）</w:t>
      </w:r>
      <w:bookmarkEnd w:id="742"/>
    </w:p>
    <w:p>
      <w:pPr>
        <w:spacing w:line="360" w:lineRule="auto"/>
        <w:rPr>
          <w:rFonts w:ascii="仿宋" w:hAnsi="仿宋" w:eastAsia="仿宋" w:cs="仿宋"/>
          <w:color w:val="auto"/>
          <w:sz w:val="24"/>
          <w:highlight w:val="none"/>
        </w:rPr>
      </w:pPr>
      <w:bookmarkStart w:id="743" w:name="_Toc30678"/>
      <w:r>
        <w:rPr>
          <w:rFonts w:hint="eastAsia" w:ascii="仿宋" w:hAnsi="仿宋" w:eastAsia="仿宋" w:cs="仿宋"/>
          <w:color w:val="auto"/>
          <w:sz w:val="24"/>
          <w:highlight w:val="none"/>
        </w:rPr>
        <w:t>（7）供应商应提供针对项目的完整服务解决方案……………………（页码）</w:t>
      </w:r>
      <w:bookmarkEnd w:id="743"/>
    </w:p>
    <w:p>
      <w:pPr>
        <w:spacing w:line="360" w:lineRule="auto"/>
        <w:rPr>
          <w:rFonts w:ascii="仿宋" w:hAnsi="仿宋" w:eastAsia="仿宋" w:cs="仿宋"/>
          <w:color w:val="auto"/>
          <w:sz w:val="24"/>
          <w:highlight w:val="none"/>
        </w:rPr>
      </w:pPr>
      <w:bookmarkStart w:id="744" w:name="_Toc20096"/>
      <w:r>
        <w:rPr>
          <w:rFonts w:hint="eastAsia" w:ascii="仿宋" w:hAnsi="仿宋" w:eastAsia="仿宋" w:cs="仿宋"/>
          <w:color w:val="auto"/>
          <w:sz w:val="24"/>
          <w:highlight w:val="none"/>
        </w:rPr>
        <w:t>（8）项目组人员介绍、职责分配………………………………………（页码）</w:t>
      </w:r>
      <w:bookmarkEnd w:id="744"/>
    </w:p>
    <w:p>
      <w:pPr>
        <w:spacing w:line="360" w:lineRule="auto"/>
        <w:rPr>
          <w:rFonts w:ascii="仿宋" w:hAnsi="仿宋" w:eastAsia="仿宋" w:cs="仿宋"/>
          <w:color w:val="auto"/>
          <w:sz w:val="24"/>
          <w:highlight w:val="none"/>
        </w:rPr>
      </w:pPr>
      <w:bookmarkStart w:id="745" w:name="_Toc2403"/>
      <w:r>
        <w:rPr>
          <w:rFonts w:hint="eastAsia" w:ascii="仿宋" w:hAnsi="仿宋" w:eastAsia="仿宋" w:cs="仿宋"/>
          <w:color w:val="auto"/>
          <w:sz w:val="24"/>
          <w:highlight w:val="none"/>
        </w:rPr>
        <w:t>（9）商务技术偏离表……………………………………………………（页码）</w:t>
      </w:r>
      <w:bookmarkEnd w:id="745"/>
    </w:p>
    <w:p>
      <w:pPr>
        <w:spacing w:line="360" w:lineRule="auto"/>
        <w:rPr>
          <w:rFonts w:ascii="仿宋" w:hAnsi="仿宋" w:eastAsia="仿宋" w:cs="仿宋"/>
          <w:color w:val="auto"/>
          <w:sz w:val="24"/>
          <w:highlight w:val="none"/>
        </w:rPr>
      </w:pPr>
      <w:bookmarkStart w:id="746" w:name="_Toc1153"/>
      <w:r>
        <w:rPr>
          <w:rFonts w:hint="eastAsia" w:ascii="仿宋" w:hAnsi="仿宋" w:eastAsia="仿宋" w:cs="仿宋"/>
          <w:color w:val="auto"/>
          <w:sz w:val="24"/>
          <w:highlight w:val="none"/>
        </w:rPr>
        <w:t>（10）其他商务技术文件或说明………………………………………（页码）</w:t>
      </w:r>
      <w:bookmarkEnd w:id="746"/>
    </w:p>
    <w:p>
      <w:pPr>
        <w:spacing w:line="360" w:lineRule="auto"/>
        <w:rPr>
          <w:rFonts w:ascii="仿宋" w:hAnsi="仿宋" w:eastAsia="仿宋" w:cs="仿宋"/>
          <w:color w:val="auto"/>
          <w:sz w:val="24"/>
          <w:highlight w:val="none"/>
        </w:rPr>
      </w:pPr>
      <w:bookmarkStart w:id="747" w:name="_Toc10723"/>
      <w:r>
        <w:rPr>
          <w:rFonts w:hint="eastAsia" w:ascii="仿宋" w:hAnsi="仿宋" w:eastAsia="仿宋" w:cs="仿宋"/>
          <w:color w:val="auto"/>
          <w:sz w:val="24"/>
          <w:highlight w:val="none"/>
        </w:rPr>
        <w:t>（11）政府采购供应商廉洁自律承诺书………………………………（页码）</w:t>
      </w:r>
      <w:bookmarkEnd w:id="747"/>
    </w:p>
    <w:p>
      <w:pPr>
        <w:spacing w:line="360" w:lineRule="auto"/>
        <w:rPr>
          <w:rFonts w:ascii="仿宋" w:hAnsi="仿宋" w:eastAsia="仿宋" w:cs="仿宋"/>
          <w:color w:val="auto"/>
          <w:sz w:val="24"/>
          <w:highlight w:val="none"/>
        </w:rPr>
      </w:pPr>
    </w:p>
    <w:p>
      <w:pPr>
        <w:pStyle w:val="46"/>
        <w:snapToGrid w:val="0"/>
        <w:spacing w:line="360" w:lineRule="auto"/>
        <w:rPr>
          <w:rFonts w:ascii="仿宋" w:hAnsi="仿宋" w:eastAsia="仿宋" w:cs="宋体"/>
          <w:bCs/>
          <w:color w:val="auto"/>
          <w:kern w:val="0"/>
          <w:sz w:val="24"/>
          <w:szCs w:val="24"/>
          <w:highlight w:val="none"/>
        </w:rPr>
      </w:pPr>
    </w:p>
    <w:p>
      <w:pPr>
        <w:snapToGrid w:val="0"/>
        <w:spacing w:line="360" w:lineRule="auto"/>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pStyle w:val="5"/>
        <w:rPr>
          <w:rFonts w:ascii="仿宋" w:hAnsi="仿宋" w:eastAsia="仿宋" w:cs="仿宋_GB2312"/>
          <w:b/>
          <w:color w:val="auto"/>
          <w:kern w:val="0"/>
          <w:sz w:val="32"/>
          <w:highlight w:val="none"/>
        </w:rPr>
      </w:pPr>
    </w:p>
    <w:p>
      <w:pPr>
        <w:rPr>
          <w:rFonts w:ascii="仿宋" w:hAnsi="仿宋" w:eastAsia="仿宋" w:cs="仿宋_GB2312"/>
          <w:b/>
          <w:color w:val="auto"/>
          <w:kern w:val="0"/>
          <w:sz w:val="32"/>
          <w:szCs w:val="32"/>
          <w:highlight w:val="none"/>
          <w:lang w:val="zh-CN"/>
        </w:rPr>
      </w:pPr>
    </w:p>
    <w:p>
      <w:pPr>
        <w:pStyle w:val="5"/>
        <w:rPr>
          <w:rFonts w:ascii="仿宋" w:hAnsi="仿宋" w:eastAsia="仿宋" w:cs="仿宋_GB2312"/>
          <w:b/>
          <w:color w:val="auto"/>
          <w:kern w:val="0"/>
          <w:sz w:val="32"/>
          <w:highlight w:val="none"/>
        </w:rPr>
      </w:pPr>
    </w:p>
    <w:p>
      <w:pPr>
        <w:rPr>
          <w:rFonts w:ascii="仿宋" w:hAnsi="仿宋" w:eastAsia="仿宋" w:cs="仿宋_GB2312"/>
          <w:b/>
          <w:color w:val="auto"/>
          <w:kern w:val="0"/>
          <w:sz w:val="32"/>
          <w:szCs w:val="32"/>
          <w:highlight w:val="none"/>
          <w:lang w:val="zh-CN"/>
        </w:rPr>
      </w:pPr>
    </w:p>
    <w:p>
      <w:pPr>
        <w:pStyle w:val="5"/>
        <w:rPr>
          <w:rFonts w:ascii="仿宋" w:hAnsi="仿宋" w:eastAsia="仿宋" w:cs="仿宋_GB2312"/>
          <w:b/>
          <w:color w:val="auto"/>
          <w:kern w:val="0"/>
          <w:sz w:val="32"/>
          <w:highlight w:val="none"/>
        </w:rPr>
      </w:pPr>
    </w:p>
    <w:p>
      <w:pPr>
        <w:rPr>
          <w:rFonts w:ascii="仿宋" w:hAnsi="仿宋" w:eastAsia="仿宋" w:cs="仿宋_GB2312"/>
          <w:b/>
          <w:color w:val="auto"/>
          <w:kern w:val="0"/>
          <w:sz w:val="32"/>
          <w:szCs w:val="32"/>
          <w:highlight w:val="none"/>
          <w:lang w:val="zh-CN"/>
        </w:rPr>
      </w:pPr>
    </w:p>
    <w:p>
      <w:pPr>
        <w:pStyle w:val="5"/>
        <w:rPr>
          <w:color w:val="auto"/>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rPr>
          <w:rFonts w:ascii="仿宋" w:hAnsi="仿宋" w:eastAsia="仿宋"/>
          <w:color w:val="auto"/>
          <w:highlight w:val="none"/>
        </w:rPr>
      </w:pPr>
    </w:p>
    <w:p>
      <w:pPr>
        <w:spacing w:line="360" w:lineRule="auto"/>
        <w:jc w:val="center"/>
        <w:rPr>
          <w:rStyle w:val="1100"/>
          <w:rFonts w:ascii="仿宋" w:hAnsi="仿宋" w:eastAsia="仿宋"/>
          <w:b/>
          <w:bCs/>
          <w:color w:val="auto"/>
          <w:highlight w:val="none"/>
          <w:lang w:val="en-US"/>
        </w:rPr>
      </w:pPr>
      <w:bookmarkStart w:id="748" w:name="_Toc21925"/>
      <w:bookmarkStart w:id="749" w:name="_Toc14370"/>
      <w:bookmarkStart w:id="750" w:name="_Toc13297"/>
      <w:bookmarkStart w:id="751" w:name="_Toc18272"/>
      <w:bookmarkStart w:id="752" w:name="_Toc732447463"/>
      <w:bookmarkStart w:id="753" w:name="_Toc95313014"/>
      <w:r>
        <w:rPr>
          <w:rStyle w:val="1100"/>
          <w:rFonts w:hint="eastAsia" w:ascii="仿宋" w:hAnsi="仿宋" w:eastAsia="仿宋"/>
          <w:b/>
          <w:bCs/>
          <w:color w:val="auto"/>
          <w:highlight w:val="none"/>
          <w:lang w:val="en-US"/>
        </w:rPr>
        <w:t>一、投标函</w:t>
      </w:r>
      <w:bookmarkEnd w:id="748"/>
      <w:bookmarkEnd w:id="749"/>
      <w:bookmarkEnd w:id="750"/>
      <w:bookmarkEnd w:id="751"/>
      <w:bookmarkEnd w:id="752"/>
      <w:bookmarkEnd w:id="753"/>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rPr>
        <w:t>杭州市临平区人民政府临平街道办事处 、杭州中瑞招标代理有限公司</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我方参加你方组织的”俞樾纪念馆”陈列布展服务</w:t>
      </w:r>
      <w:r>
        <w:rPr>
          <w:rFonts w:hint="eastAsia" w:ascii="仿宋" w:hAnsi="仿宋" w:eastAsia="仿宋"/>
          <w:color w:val="auto"/>
          <w:sz w:val="24"/>
          <w:highlight w:val="none"/>
        </w:rPr>
        <w:t>项目</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rPr>
        <w:t>HZZR-F221201N</w:t>
      </w:r>
      <w:r>
        <w:rPr>
          <w:rFonts w:hint="eastAsia" w:ascii="仿宋" w:hAnsi="仿宋" w:eastAsia="仿宋" w:cs="仿宋_GB2312"/>
          <w:color w:val="auto"/>
          <w:sz w:val="24"/>
          <w:highlight w:val="none"/>
        </w:rPr>
        <w:t>】招标的有关活动，并对此项目进行投标。为此：</w:t>
      </w:r>
    </w:p>
    <w:p>
      <w:pPr>
        <w:snapToGrid w:val="0"/>
        <w:spacing w:line="360" w:lineRule="auto"/>
        <w:ind w:firstLine="420"/>
        <w:rPr>
          <w:rFonts w:ascii="仿宋" w:hAnsi="仿宋" w:eastAsia="仿宋" w:cs="仿宋_GB2312"/>
          <w:color w:val="auto"/>
          <w:sz w:val="24"/>
          <w:highlight w:val="none"/>
        </w:rPr>
      </w:pPr>
      <w:r>
        <w:rPr>
          <w:rFonts w:ascii="仿宋" w:hAnsi="仿宋" w:eastAsia="仿宋" w:cs="仿宋_GB2312"/>
          <w:color w:val="auto"/>
          <w:sz w:val="24"/>
          <w:highlight w:val="none"/>
        </w:rPr>
        <w:t>1、我方承诺投标有效期从提交投标文件的截止之日起</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天（不少于</w:t>
      </w:r>
      <w:r>
        <w:rPr>
          <w:rFonts w:ascii="仿宋" w:hAnsi="仿宋" w:eastAsia="仿宋" w:cs="仿宋_GB2312"/>
          <w:color w:val="auto"/>
          <w:sz w:val="24"/>
          <w:highlight w:val="none"/>
        </w:rPr>
        <w:t>90天）</w:t>
      </w:r>
      <w:r>
        <w:rPr>
          <w:rFonts w:hint="eastAsia" w:ascii="仿宋" w:hAnsi="仿宋" w:eastAsia="仿宋"/>
          <w:color w:val="auto"/>
          <w:highlight w:val="none"/>
        </w:rPr>
        <w:t>，</w:t>
      </w:r>
      <w:r>
        <w:rPr>
          <w:rFonts w:hint="eastAsia" w:ascii="仿宋" w:hAnsi="仿宋" w:eastAsia="仿宋" w:cs="仿宋_GB2312"/>
          <w:color w:val="auto"/>
          <w:sz w:val="24"/>
          <w:highlight w:val="none"/>
        </w:rPr>
        <w:t>本投标文件在投标有效期满之前均具有约束力。</w:t>
      </w:r>
    </w:p>
    <w:p>
      <w:pPr>
        <w:snapToGrid w:val="0"/>
        <w:spacing w:line="360" w:lineRule="auto"/>
        <w:ind w:firstLine="480" w:firstLineChars="200"/>
        <w:outlineLvl w:val="2"/>
        <w:rPr>
          <w:rFonts w:ascii="仿宋" w:hAnsi="仿宋" w:eastAsia="仿宋" w:cs="仿宋_GB2312"/>
          <w:color w:val="auto"/>
          <w:sz w:val="24"/>
          <w:highlight w:val="none"/>
        </w:rPr>
      </w:pPr>
      <w:r>
        <w:rPr>
          <w:rFonts w:ascii="仿宋" w:hAnsi="仿宋" w:eastAsia="仿宋" w:cs="仿宋_GB2312"/>
          <w:color w:val="auto"/>
          <w:sz w:val="24"/>
          <w:highlight w:val="none"/>
        </w:rPr>
        <w:t>2、我方的响应文件包括以下内容：</w:t>
      </w:r>
    </w:p>
    <w:p>
      <w:pPr>
        <w:snapToGrid w:val="0"/>
        <w:spacing w:line="360" w:lineRule="auto"/>
        <w:ind w:firstLine="480" w:firstLineChars="200"/>
        <w:outlineLvl w:val="3"/>
        <w:rPr>
          <w:rFonts w:ascii="仿宋" w:hAnsi="仿宋" w:eastAsia="仿宋" w:cs="仿宋_GB2312"/>
          <w:color w:val="auto"/>
          <w:sz w:val="24"/>
          <w:highlight w:val="none"/>
        </w:rPr>
      </w:pPr>
      <w:r>
        <w:rPr>
          <w:rFonts w:ascii="仿宋" w:hAnsi="仿宋" w:eastAsia="仿宋" w:cs="仿宋_GB2312"/>
          <w:color w:val="auto"/>
          <w:sz w:val="24"/>
          <w:highlight w:val="none"/>
        </w:rPr>
        <w:t>2.1资格文件：</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2.1.1</w:t>
      </w:r>
      <w:r>
        <w:rPr>
          <w:rFonts w:hint="eastAsia" w:ascii="仿宋" w:hAnsi="仿宋" w:eastAsia="仿宋" w:cs="仿宋_GB2312"/>
          <w:color w:val="auto"/>
          <w:sz w:val="24"/>
          <w:highlight w:val="none"/>
        </w:rPr>
        <w:t>承诺函；</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2.1.2落实政府采购政策需满足的资格要求</w:t>
      </w:r>
      <w:r>
        <w:rPr>
          <w:rFonts w:hint="eastAsia" w:ascii="仿宋" w:hAnsi="仿宋" w:eastAsia="仿宋" w:cs="仿宋_GB2312"/>
          <w:color w:val="auto"/>
          <w:sz w:val="24"/>
          <w:highlight w:val="none"/>
        </w:rPr>
        <w:t>（如果有）；</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2.1.3本项目的特定资格要求</w:t>
      </w:r>
      <w:r>
        <w:rPr>
          <w:rFonts w:hint="eastAsia" w:ascii="仿宋" w:hAnsi="仿宋" w:eastAsia="仿宋" w:cs="仿宋_GB2312"/>
          <w:color w:val="auto"/>
          <w:sz w:val="24"/>
          <w:highlight w:val="none"/>
        </w:rPr>
        <w:t>（如果有）。</w:t>
      </w:r>
    </w:p>
    <w:p>
      <w:pPr>
        <w:snapToGrid w:val="0"/>
        <w:spacing w:line="360" w:lineRule="auto"/>
        <w:ind w:firstLine="420"/>
        <w:rPr>
          <w:rFonts w:ascii="仿宋" w:hAnsi="仿宋" w:eastAsia="仿宋" w:cs="仿宋_GB2312"/>
          <w:color w:val="auto"/>
          <w:sz w:val="24"/>
          <w:highlight w:val="none"/>
          <w:lang w:val="zh-CN"/>
        </w:rPr>
      </w:pP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 xml:space="preserve"> </w:t>
      </w:r>
      <w:r>
        <w:rPr>
          <w:rFonts w:hint="eastAsia" w:ascii="仿宋" w:hAnsi="仿宋" w:eastAsia="仿宋" w:cs="仿宋_GB2312"/>
          <w:color w:val="auto"/>
          <w:sz w:val="24"/>
          <w:highlight w:val="none"/>
        </w:rPr>
        <w:t>商务技术</w:t>
      </w:r>
      <w:r>
        <w:rPr>
          <w:rFonts w:hint="eastAsia" w:ascii="仿宋" w:hAnsi="仿宋" w:eastAsia="仿宋" w:cs="仿宋_GB2312"/>
          <w:color w:val="auto"/>
          <w:sz w:val="24"/>
          <w:highlight w:val="none"/>
          <w:lang w:val="zh-CN"/>
        </w:rPr>
        <w:t>文件：</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2.2.1投标函；</w:t>
      </w:r>
      <w:r>
        <w:rPr>
          <w:rFonts w:ascii="仿宋" w:hAnsi="仿宋" w:eastAsia="仿宋" w:cs="仿宋_GB2312"/>
          <w:color w:val="auto"/>
          <w:sz w:val="24"/>
          <w:highlight w:val="none"/>
          <w:lang w:val="zh-CN"/>
        </w:rPr>
        <w:t xml:space="preserve">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2.2.2</w:t>
      </w:r>
      <w:r>
        <w:rPr>
          <w:rFonts w:hint="eastAsia" w:ascii="仿宋" w:hAnsi="仿宋" w:eastAsia="仿宋" w:cs="仿宋_GB2312"/>
          <w:color w:val="auto"/>
          <w:sz w:val="24"/>
          <w:highlight w:val="none"/>
        </w:rPr>
        <w:t>授权委托书；</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2.2.3</w:t>
      </w:r>
      <w:r>
        <w:rPr>
          <w:rFonts w:hint="eastAsia" w:ascii="仿宋" w:hAnsi="仿宋" w:eastAsia="仿宋" w:cs="仿宋_GB2312"/>
          <w:color w:val="auto"/>
          <w:sz w:val="24"/>
          <w:highlight w:val="none"/>
        </w:rPr>
        <w:t>法定代表人和授权委托代表的有效身份证复印件（法定代表人直接参加投标并对相应文件签字的，只需提供前者）；</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2.2.4</w:t>
      </w:r>
      <w:r>
        <w:rPr>
          <w:rFonts w:hint="eastAsia" w:ascii="仿宋" w:hAnsi="仿宋" w:eastAsia="仿宋" w:cs="仿宋_GB2312"/>
          <w:color w:val="auto"/>
          <w:sz w:val="24"/>
          <w:highlight w:val="none"/>
        </w:rPr>
        <w:t>公司情况介绍；</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2.2.5</w:t>
      </w:r>
      <w:r>
        <w:rPr>
          <w:rFonts w:hint="eastAsia" w:ascii="仿宋" w:hAnsi="仿宋" w:eastAsia="仿宋" w:cs="仿宋_GB2312"/>
          <w:color w:val="auto"/>
          <w:sz w:val="24"/>
          <w:highlight w:val="none"/>
          <w:lang w:val="zh-CN"/>
        </w:rPr>
        <w:t>供应商成功案例；</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2.2.6</w:t>
      </w:r>
      <w:r>
        <w:rPr>
          <w:rFonts w:hint="eastAsia" w:ascii="仿宋" w:hAnsi="仿宋" w:eastAsia="仿宋" w:cs="仿宋_GB2312"/>
          <w:color w:val="auto"/>
          <w:sz w:val="24"/>
          <w:highlight w:val="none"/>
        </w:rPr>
        <w:t>相关资质文件（如有）；</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2.2.7</w:t>
      </w:r>
      <w:r>
        <w:rPr>
          <w:rFonts w:hint="eastAsia" w:ascii="仿宋" w:hAnsi="仿宋" w:eastAsia="仿宋" w:cs="仿宋_GB2312"/>
          <w:color w:val="auto"/>
          <w:sz w:val="24"/>
          <w:highlight w:val="none"/>
        </w:rPr>
        <w:t>供应商应提供针对项目的完整服务解决方案；</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2.2.8</w:t>
      </w:r>
      <w:r>
        <w:rPr>
          <w:rFonts w:hint="eastAsia" w:ascii="仿宋" w:hAnsi="仿宋" w:eastAsia="仿宋" w:cs="仿宋_GB2312"/>
          <w:color w:val="auto"/>
          <w:sz w:val="24"/>
          <w:highlight w:val="none"/>
        </w:rPr>
        <w:t>项目组人员介绍、职责分配；</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2.2.9</w:t>
      </w:r>
      <w:r>
        <w:rPr>
          <w:rFonts w:hint="eastAsia" w:ascii="仿宋" w:hAnsi="仿宋" w:eastAsia="仿宋" w:cs="仿宋_GB2312"/>
          <w:color w:val="auto"/>
          <w:sz w:val="24"/>
          <w:highlight w:val="none"/>
        </w:rPr>
        <w:t>商务技术偏离表；</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w:t>
      </w:r>
      <w:r>
        <w:rPr>
          <w:rFonts w:hint="eastAsia" w:ascii="仿宋" w:hAnsi="仿宋" w:eastAsia="仿宋" w:cs="仿宋_GB2312"/>
          <w:color w:val="auto"/>
          <w:sz w:val="24"/>
          <w:highlight w:val="none"/>
        </w:rPr>
        <w:t>10其他商务技术文件或说明；</w:t>
      </w:r>
    </w:p>
    <w:p>
      <w:pPr>
        <w:snapToGrid w:val="0"/>
        <w:spacing w:line="360" w:lineRule="auto"/>
        <w:ind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rPr>
        <w:t>2.2.1</w:t>
      </w:r>
      <w:r>
        <w:rPr>
          <w:rFonts w:hint="eastAsia" w:ascii="仿宋" w:hAnsi="仿宋" w:eastAsia="仿宋" w:cs="仿宋_GB2312"/>
          <w:color w:val="auto"/>
          <w:sz w:val="24"/>
          <w:highlight w:val="none"/>
        </w:rPr>
        <w:t>1政府采购供应商廉洁自律承诺书。</w:t>
      </w:r>
    </w:p>
    <w:p>
      <w:pPr>
        <w:snapToGrid w:val="0"/>
        <w:spacing w:line="360" w:lineRule="auto"/>
        <w:ind w:firstLine="420"/>
        <w:rPr>
          <w:rFonts w:ascii="仿宋" w:hAnsi="仿宋" w:eastAsia="仿宋" w:cs="仿宋_GB2312"/>
          <w:color w:val="auto"/>
          <w:sz w:val="24"/>
          <w:highlight w:val="none"/>
        </w:rPr>
      </w:pPr>
      <w:r>
        <w:rPr>
          <w:rFonts w:ascii="仿宋" w:hAnsi="仿宋" w:eastAsia="仿宋" w:cs="仿宋_GB2312"/>
          <w:color w:val="auto"/>
          <w:sz w:val="24"/>
          <w:highlight w:val="none"/>
        </w:rPr>
        <w:t>2.3报价文件</w:t>
      </w:r>
    </w:p>
    <w:p>
      <w:pPr>
        <w:snapToGrid w:val="0"/>
        <w:spacing w:line="360" w:lineRule="auto"/>
        <w:ind w:firstLine="480" w:firstLineChars="200"/>
        <w:rPr>
          <w:rFonts w:ascii="仿宋" w:hAnsi="仿宋" w:eastAsia="仿宋" w:cs="宋体"/>
          <w:bCs/>
          <w:snapToGrid w:val="0"/>
          <w:color w:val="auto"/>
          <w:kern w:val="0"/>
          <w:sz w:val="24"/>
          <w:szCs w:val="21"/>
          <w:highlight w:val="none"/>
        </w:rPr>
      </w:pPr>
      <w:r>
        <w:rPr>
          <w:rFonts w:ascii="仿宋" w:hAnsi="仿宋" w:eastAsia="仿宋" w:cs="宋体"/>
          <w:bCs/>
          <w:snapToGrid w:val="0"/>
          <w:color w:val="auto"/>
          <w:kern w:val="0"/>
          <w:sz w:val="24"/>
          <w:szCs w:val="21"/>
          <w:highlight w:val="none"/>
        </w:rPr>
        <w:t>2.3.1开标一览表（报价表）</w:t>
      </w:r>
      <w:r>
        <w:rPr>
          <w:rFonts w:hint="eastAsia" w:ascii="仿宋" w:hAnsi="仿宋" w:eastAsia="仿宋" w:cs="宋体"/>
          <w:bCs/>
          <w:snapToGrid w:val="0"/>
          <w:color w:val="auto"/>
          <w:kern w:val="0"/>
          <w:sz w:val="24"/>
          <w:szCs w:val="21"/>
          <w:highlight w:val="none"/>
        </w:rPr>
        <w:t>。</w:t>
      </w:r>
    </w:p>
    <w:p>
      <w:pPr>
        <w:snapToGrid w:val="0"/>
        <w:spacing w:line="360" w:lineRule="auto"/>
        <w:ind w:firstLine="420"/>
        <w:rPr>
          <w:rFonts w:ascii="仿宋" w:hAnsi="仿宋" w:eastAsia="仿宋" w:cs="仿宋_GB2312"/>
          <w:color w:val="auto"/>
          <w:sz w:val="24"/>
          <w:highlight w:val="none"/>
        </w:rPr>
      </w:pPr>
      <w:r>
        <w:rPr>
          <w:rFonts w:ascii="仿宋" w:hAnsi="仿宋" w:eastAsia="仿宋" w:cs="仿宋_GB2312"/>
          <w:color w:val="auto"/>
          <w:sz w:val="24"/>
          <w:highlight w:val="none"/>
        </w:rPr>
        <w:t>3、我方承诺除商务技术偏离表列出的偏离外，我方响应采购文件的全部要求。</w:t>
      </w:r>
    </w:p>
    <w:p>
      <w:pPr>
        <w:snapToGrid w:val="0"/>
        <w:spacing w:line="360" w:lineRule="auto"/>
        <w:ind w:firstLine="420"/>
        <w:rPr>
          <w:rFonts w:ascii="仿宋" w:hAnsi="仿宋" w:eastAsia="仿宋" w:cs="仿宋_GB2312"/>
          <w:color w:val="auto"/>
          <w:sz w:val="24"/>
          <w:highlight w:val="none"/>
        </w:rPr>
      </w:pPr>
      <w:r>
        <w:rPr>
          <w:rFonts w:ascii="仿宋" w:hAnsi="仿宋" w:eastAsia="仿宋" w:cs="仿宋_GB2312"/>
          <w:color w:val="auto"/>
          <w:sz w:val="24"/>
          <w:highlight w:val="none"/>
        </w:rPr>
        <w:t>4、如我方中标，我方承诺：</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4.1在收到中标通知书后，在中标通知书规定的期限内与你方签订合同；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4.2在签订合同时不向你方提出附加条件；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4.3在合同约定的期限内完成合同规定的全部义务。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5、其他补充说明:</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w:t>
      </w:r>
    </w:p>
    <w:p>
      <w:pPr>
        <w:snapToGrid w:val="0"/>
        <w:spacing w:line="360" w:lineRule="auto"/>
        <w:ind w:firstLine="3600" w:firstLineChars="1500"/>
        <w:rPr>
          <w:rFonts w:ascii="仿宋" w:hAnsi="仿宋" w:eastAsia="仿宋" w:cs="仿宋_GB2312"/>
          <w:color w:val="auto"/>
          <w:sz w:val="24"/>
          <w:highlight w:val="none"/>
        </w:rPr>
      </w:pPr>
    </w:p>
    <w:p>
      <w:pPr>
        <w:snapToGrid w:val="0"/>
        <w:spacing w:line="360" w:lineRule="auto"/>
        <w:ind w:firstLine="3600" w:firstLineChars="1500"/>
        <w:rPr>
          <w:rFonts w:ascii="仿宋" w:hAnsi="仿宋" w:eastAsia="仿宋" w:cs="仿宋_GB2312"/>
          <w:color w:val="auto"/>
          <w:sz w:val="24"/>
          <w:highlight w:val="none"/>
        </w:rPr>
      </w:pPr>
      <w:r>
        <w:rPr>
          <w:rFonts w:ascii="仿宋" w:hAnsi="仿宋" w:eastAsia="仿宋" w:cs="仿宋_GB2312"/>
          <w:color w:val="auto"/>
          <w:sz w:val="24"/>
          <w:highlight w:val="none"/>
        </w:rPr>
        <w:t xml:space="preserve"> 投标人名称(电子签名)：                          </w:t>
      </w:r>
    </w:p>
    <w:p>
      <w:pPr>
        <w:snapToGrid w:val="0"/>
        <w:spacing w:line="360" w:lineRule="auto"/>
        <w:ind w:firstLine="420"/>
        <w:jc w:val="right"/>
        <w:rPr>
          <w:rFonts w:ascii="仿宋" w:hAnsi="仿宋" w:eastAsia="仿宋" w:cs="仿宋_GB2312"/>
          <w:color w:val="auto"/>
          <w:sz w:val="24"/>
          <w:highlight w:val="none"/>
          <w:lang w:val="zh-CN"/>
        </w:rPr>
      </w:pPr>
      <w:r>
        <w:rPr>
          <w:rFonts w:ascii="仿宋" w:hAnsi="仿宋" w:eastAsia="仿宋" w:cs="仿宋_GB2312"/>
          <w:color w:val="auto"/>
          <w:sz w:val="24"/>
          <w:highlight w:val="none"/>
        </w:rPr>
        <w:t xml:space="preserve">     日期：  年   月   日</w:t>
      </w:r>
    </w:p>
    <w:p>
      <w:pPr>
        <w:snapToGrid w:val="0"/>
        <w:spacing w:line="360" w:lineRule="auto"/>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br w:type="page"/>
      </w:r>
    </w:p>
    <w:p>
      <w:pPr>
        <w:pStyle w:val="2"/>
        <w:tabs>
          <w:tab w:val="left" w:pos="432"/>
          <w:tab w:val="clear" w:pos="900"/>
        </w:tabs>
        <w:jc w:val="center"/>
        <w:rPr>
          <w:rStyle w:val="1100"/>
          <w:rFonts w:ascii="仿宋" w:hAnsi="仿宋" w:eastAsia="仿宋"/>
          <w:color w:val="auto"/>
          <w:highlight w:val="none"/>
          <w:lang w:val="en-US"/>
        </w:rPr>
      </w:pPr>
      <w:bookmarkStart w:id="754" w:name="_Toc95313015"/>
      <w:bookmarkStart w:id="755" w:name="_Toc23890"/>
      <w:bookmarkStart w:id="756" w:name="_Toc15176"/>
      <w:bookmarkStart w:id="757" w:name="_Toc868246037"/>
      <w:bookmarkStart w:id="758" w:name="_Toc16025"/>
      <w:bookmarkStart w:id="759" w:name="_Toc23100"/>
      <w:r>
        <w:rPr>
          <w:rStyle w:val="1100"/>
          <w:rFonts w:hint="eastAsia" w:ascii="仿宋" w:hAnsi="仿宋" w:eastAsia="仿宋"/>
          <w:color w:val="auto"/>
          <w:highlight w:val="none"/>
          <w:lang w:val="en-US"/>
        </w:rPr>
        <w:t>二、授权委托书</w:t>
      </w:r>
      <w:bookmarkEnd w:id="754"/>
      <w:bookmarkEnd w:id="755"/>
      <w:bookmarkEnd w:id="756"/>
      <w:bookmarkEnd w:id="757"/>
      <w:bookmarkEnd w:id="758"/>
      <w:bookmarkEnd w:id="759"/>
    </w:p>
    <w:p>
      <w:pPr>
        <w:snapToGrid w:val="0"/>
        <w:spacing w:line="360" w:lineRule="auto"/>
        <w:rPr>
          <w:rFonts w:ascii="仿宋" w:hAnsi="仿宋" w:eastAsia="仿宋" w:cs="仿宋_GB2312"/>
          <w:color w:val="auto"/>
          <w:sz w:val="24"/>
          <w:highlight w:val="none"/>
        </w:rPr>
      </w:pPr>
      <w:r>
        <w:rPr>
          <w:rFonts w:ascii="仿宋" w:hAnsi="仿宋" w:eastAsia="仿宋" w:cs="仿宋_GB2312"/>
          <w:color w:val="auto"/>
          <w:sz w:val="24"/>
          <w:highlight w:val="none"/>
        </w:rPr>
        <w:t xml:space="preserve">                                </w:t>
      </w:r>
    </w:p>
    <w:p>
      <w:pPr>
        <w:snapToGrid w:val="0"/>
        <w:spacing w:line="360" w:lineRule="auto"/>
        <w:jc w:val="center"/>
        <w:rPr>
          <w:rFonts w:ascii="仿宋" w:hAnsi="仿宋" w:eastAsia="仿宋"/>
          <w:color w:val="auto"/>
          <w:sz w:val="28"/>
          <w:szCs w:val="28"/>
          <w:highlight w:val="none"/>
        </w:rPr>
      </w:pPr>
      <w:r>
        <w:rPr>
          <w:rFonts w:hint="eastAsia" w:ascii="仿宋" w:hAnsi="仿宋" w:eastAsia="仿宋" w:cs="仿宋_GB2312"/>
          <w:b/>
          <w:color w:val="auto"/>
          <w:kern w:val="0"/>
          <w:sz w:val="28"/>
          <w:szCs w:val="28"/>
          <w:highlight w:val="none"/>
          <w:lang w:val="zh-CN"/>
        </w:rPr>
        <w:t>授权委托书（适用于非联合体投标）</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杭州市临平区人民政府临平街道办事处 、杭州中瑞招标代理有限公司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（姓名）为我方代理人（身份证号码：</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），以我方名义处理</w:t>
      </w:r>
      <w:r>
        <w:rPr>
          <w:rFonts w:hint="eastAsia" w:ascii="仿宋" w:hAnsi="仿宋" w:eastAsia="仿宋" w:cs="仿宋_GB2312"/>
          <w:color w:val="auto"/>
          <w:sz w:val="24"/>
          <w:highlight w:val="none"/>
        </w:rPr>
        <w:t>”俞樾纪念馆”陈列布展服务</w:t>
      </w:r>
      <w:r>
        <w:rPr>
          <w:rFonts w:hint="eastAsia" w:ascii="仿宋" w:hAnsi="仿宋" w:eastAsia="仿宋"/>
          <w:color w:val="auto"/>
          <w:sz w:val="24"/>
          <w:highlight w:val="none"/>
        </w:rPr>
        <w:t>项目</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rPr>
        <w:t>HZZR-F221201N</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日起至</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日止。</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特此告知。</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lang w:val="zh-CN"/>
        </w:rPr>
        <w:t xml:space="preserve">                                              投标人名称(电子签名)：</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签发日期：  年  月   日</w:t>
      </w:r>
    </w:p>
    <w:p>
      <w:pPr>
        <w:snapToGrid w:val="0"/>
        <w:spacing w:line="360" w:lineRule="auto"/>
        <w:rPr>
          <w:rFonts w:ascii="仿宋" w:hAnsi="仿宋" w:eastAsia="仿宋" w:cs="仿宋_GB2312"/>
          <w:color w:val="auto"/>
          <w:sz w:val="24"/>
          <w:highlight w:val="none"/>
        </w:rPr>
      </w:pPr>
    </w:p>
    <w:p>
      <w:pPr>
        <w:snapToGrid w:val="0"/>
        <w:spacing w:line="360" w:lineRule="auto"/>
        <w:jc w:val="center"/>
        <w:rPr>
          <w:rFonts w:ascii="仿宋" w:hAnsi="仿宋" w:eastAsia="仿宋" w:cs="仿宋_GB2312"/>
          <w:b/>
          <w:color w:val="auto"/>
          <w:kern w:val="0"/>
          <w:sz w:val="28"/>
          <w:szCs w:val="28"/>
          <w:highlight w:val="none"/>
        </w:rPr>
      </w:pPr>
      <w:r>
        <w:rPr>
          <w:rFonts w:ascii="仿宋" w:hAnsi="仿宋" w:eastAsia="仿宋" w:cs="仿宋_GB2312"/>
          <w:b/>
          <w:color w:val="auto"/>
          <w:kern w:val="0"/>
          <w:sz w:val="32"/>
          <w:szCs w:val="32"/>
          <w:highlight w:val="none"/>
          <w:lang w:val="zh-CN"/>
        </w:rPr>
        <w:t xml:space="preserve">      </w:t>
      </w:r>
      <w:r>
        <w:rPr>
          <w:rFonts w:ascii="仿宋" w:hAnsi="仿宋" w:eastAsia="仿宋" w:cs="仿宋_GB2312"/>
          <w:b/>
          <w:color w:val="auto"/>
          <w:kern w:val="0"/>
          <w:sz w:val="32"/>
          <w:szCs w:val="32"/>
          <w:highlight w:val="none"/>
        </w:rPr>
        <w:t xml:space="preserve"> </w:t>
      </w:r>
      <w:r>
        <w:rPr>
          <w:rFonts w:hint="eastAsia" w:ascii="仿宋" w:hAnsi="仿宋" w:eastAsia="仿宋" w:cs="仿宋_GB2312"/>
          <w:b/>
          <w:color w:val="auto"/>
          <w:kern w:val="0"/>
          <w:sz w:val="28"/>
          <w:szCs w:val="28"/>
          <w:highlight w:val="none"/>
          <w:lang w:val="zh-CN"/>
        </w:rPr>
        <w:t>授权委托书（适用于联合体投标）</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杭州市临平区人民政府临平街道办事处 、杭州中瑞招标代理有限公司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（姓名）为我方代理人（身份证号码：</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），以我方名义处理</w:t>
      </w:r>
      <w:r>
        <w:rPr>
          <w:rFonts w:hint="eastAsia" w:ascii="仿宋" w:hAnsi="仿宋" w:eastAsia="仿宋" w:cs="仿宋_GB2312"/>
          <w:color w:val="auto"/>
          <w:sz w:val="24"/>
          <w:highlight w:val="none"/>
        </w:rPr>
        <w:t>”俞樾纪念馆”陈列布展服务</w:t>
      </w:r>
      <w:r>
        <w:rPr>
          <w:rFonts w:hint="eastAsia" w:ascii="仿宋" w:hAnsi="仿宋" w:eastAsia="仿宋"/>
          <w:color w:val="auto"/>
          <w:sz w:val="24"/>
          <w:highlight w:val="none"/>
        </w:rPr>
        <w:t>项目</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rPr>
        <w:t>HZZR-F221201N</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日起至</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日止。</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特此告知。</w:t>
      </w:r>
    </w:p>
    <w:p>
      <w:pPr>
        <w:snapToGrid w:val="0"/>
        <w:spacing w:line="360" w:lineRule="auto"/>
        <w:rPr>
          <w:rFonts w:ascii="仿宋" w:hAnsi="仿宋" w:eastAsia="仿宋"/>
          <w:color w:val="auto"/>
          <w:highlight w:val="none"/>
        </w:rPr>
      </w:pP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日期：  年  月   日</w:t>
      </w:r>
    </w:p>
    <w:p>
      <w:pPr>
        <w:snapToGrid w:val="0"/>
        <w:spacing w:line="360" w:lineRule="auto"/>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br w:type="page"/>
      </w:r>
    </w:p>
    <w:p>
      <w:pPr>
        <w:pStyle w:val="2"/>
        <w:tabs>
          <w:tab w:val="left" w:pos="432"/>
          <w:tab w:val="clear" w:pos="900"/>
        </w:tabs>
        <w:jc w:val="center"/>
        <w:rPr>
          <w:rStyle w:val="1100"/>
          <w:rFonts w:ascii="仿宋" w:hAnsi="仿宋" w:eastAsia="仿宋"/>
          <w:color w:val="auto"/>
          <w:highlight w:val="none"/>
          <w:lang w:val="en-US"/>
        </w:rPr>
      </w:pPr>
      <w:bookmarkStart w:id="760" w:name="_Toc459762494"/>
      <w:bookmarkStart w:id="761" w:name="_Toc25898"/>
      <w:bookmarkStart w:id="762" w:name="_Toc8294"/>
      <w:r>
        <w:rPr>
          <w:rStyle w:val="1100"/>
          <w:rFonts w:hint="eastAsia" w:ascii="仿宋" w:hAnsi="仿宋" w:eastAsia="仿宋"/>
          <w:color w:val="auto"/>
          <w:highlight w:val="none"/>
          <w:lang w:val="en-US"/>
        </w:rPr>
        <w:t>三、法定代表人和授权委托代表的有效身份证复印件</w:t>
      </w:r>
      <w:bookmarkEnd w:id="760"/>
      <w:bookmarkEnd w:id="761"/>
      <w:bookmarkEnd w:id="762"/>
    </w:p>
    <w:p>
      <w:pPr>
        <w:pStyle w:val="113"/>
        <w:adjustRightInd w:val="0"/>
        <w:snapToGrid w:val="0"/>
        <w:spacing w:line="360" w:lineRule="auto"/>
        <w:rPr>
          <w:rFonts w:ascii="仿宋" w:hAnsi="仿宋" w:eastAsia="仿宋"/>
          <w:bCs/>
          <w:color w:val="auto"/>
          <w:sz w:val="24"/>
          <w:szCs w:val="24"/>
          <w:highlight w:val="none"/>
        </w:rPr>
      </w:pPr>
      <w:r>
        <w:rPr>
          <w:rFonts w:hint="eastAsia" w:ascii="仿宋" w:hAnsi="仿宋" w:eastAsia="仿宋" w:cs="宋体"/>
          <w:color w:val="auto"/>
          <w:sz w:val="24"/>
          <w:highlight w:val="none"/>
          <w:lang w:val="zh-CN"/>
        </w:rPr>
        <w:t>法定代表人和授权委托代表的有效身份证扫描件</w:t>
      </w:r>
      <w:r>
        <w:rPr>
          <w:rFonts w:ascii="仿宋" w:hAnsi="仿宋" w:eastAsia="仿宋" w:cs="宋体"/>
          <w:color w:val="auto"/>
          <w:sz w:val="24"/>
          <w:highlight w:val="none"/>
          <w:lang w:val="zh-CN"/>
        </w:rPr>
        <w:t xml:space="preserve"> (法定代表人直接参加投标并对相应文件签字的，只需提供前者)</w:t>
      </w:r>
    </w:p>
    <w:tbl>
      <w:tblPr>
        <w:tblStyle w:val="8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13"/>
              <w:adjustRightInd w:val="0"/>
              <w:snapToGrid w:val="0"/>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正面：</w:t>
            </w:r>
            <w:r>
              <w:rPr>
                <w:rFonts w:ascii="仿宋" w:hAnsi="仿宋" w:eastAsia="仿宋"/>
                <w:bCs/>
                <w:color w:val="auto"/>
                <w:sz w:val="24"/>
                <w:highlight w:val="none"/>
              </w:rPr>
              <w:t xml:space="preserve">                                 </w:t>
            </w:r>
            <w:r>
              <w:rPr>
                <w:rFonts w:hint="eastAsia" w:ascii="仿宋" w:hAnsi="仿宋" w:eastAsia="仿宋"/>
                <w:bCs/>
                <w:color w:val="auto"/>
                <w:sz w:val="24"/>
                <w:highlight w:val="none"/>
              </w:rPr>
              <w:t>反面：</w:t>
            </w:r>
          </w:p>
          <w:p>
            <w:pPr>
              <w:pStyle w:val="113"/>
              <w:adjustRightInd w:val="0"/>
              <w:snapToGrid w:val="0"/>
              <w:spacing w:line="360" w:lineRule="auto"/>
              <w:rPr>
                <w:rFonts w:ascii="仿宋" w:hAnsi="仿宋" w:eastAsia="仿宋"/>
                <w:bCs/>
                <w:color w:val="auto"/>
                <w:sz w:val="24"/>
                <w:highlight w:val="none"/>
              </w:rPr>
            </w:pPr>
          </w:p>
        </w:tc>
      </w:tr>
    </w:tbl>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w:t>
      </w:r>
    </w:p>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投标人名称(电子签名)：                              </w:t>
      </w:r>
    </w:p>
    <w:p>
      <w:pPr>
        <w:snapToGrid w:val="0"/>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snapToGrid w:val="0"/>
        <w:spacing w:line="360" w:lineRule="auto"/>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snapToGrid w:val="0"/>
        <w:spacing w:line="360" w:lineRule="auto"/>
        <w:jc w:val="center"/>
        <w:outlineLvl w:val="1"/>
        <w:rPr>
          <w:rFonts w:ascii="仿宋" w:hAnsi="仿宋" w:eastAsia="仿宋" w:cs="宋体"/>
          <w:b/>
          <w:bCs/>
          <w:snapToGrid w:val="0"/>
          <w:color w:val="auto"/>
          <w:kern w:val="0"/>
          <w:sz w:val="32"/>
          <w:szCs w:val="32"/>
          <w:highlight w:val="none"/>
        </w:rPr>
      </w:pPr>
      <w:bookmarkStart w:id="763" w:name="_Toc29937"/>
      <w:bookmarkStart w:id="764" w:name="_Toc9974"/>
      <w:bookmarkStart w:id="765" w:name="_Toc582074752"/>
      <w:bookmarkStart w:id="766" w:name="_Toc95313016"/>
      <w:bookmarkStart w:id="767" w:name="_Toc97219797"/>
      <w:bookmarkStart w:id="768" w:name="_Toc95313021"/>
      <w:bookmarkStart w:id="769" w:name="_Toc18936"/>
      <w:bookmarkStart w:id="770" w:name="_Toc19138"/>
      <w:bookmarkStart w:id="771" w:name="_Toc1267903381"/>
      <w:bookmarkStart w:id="772" w:name="_Toc678566587"/>
      <w:bookmarkStart w:id="773" w:name="_Toc685"/>
      <w:bookmarkStart w:id="774" w:name="_Toc95313022"/>
      <w:bookmarkStart w:id="775" w:name="_Toc14486"/>
      <w:r>
        <w:rPr>
          <w:rFonts w:hint="eastAsia" w:ascii="仿宋" w:hAnsi="仿宋" w:eastAsia="仿宋" w:cs="宋体"/>
          <w:b/>
          <w:bCs/>
          <w:color w:val="auto"/>
          <w:sz w:val="32"/>
          <w:szCs w:val="32"/>
          <w:highlight w:val="none"/>
        </w:rPr>
        <w:t>四、</w:t>
      </w:r>
      <w:r>
        <w:rPr>
          <w:rFonts w:hint="eastAsia" w:ascii="仿宋" w:hAnsi="仿宋" w:eastAsia="仿宋" w:cs="宋体"/>
          <w:b/>
          <w:bCs/>
          <w:snapToGrid w:val="0"/>
          <w:color w:val="auto"/>
          <w:kern w:val="0"/>
          <w:sz w:val="32"/>
          <w:szCs w:val="32"/>
          <w:highlight w:val="none"/>
        </w:rPr>
        <w:t>公司情况介绍</w:t>
      </w:r>
      <w:bookmarkEnd w:id="763"/>
      <w:bookmarkEnd w:id="764"/>
      <w:bookmarkEnd w:id="765"/>
      <w:bookmarkEnd w:id="766"/>
      <w:bookmarkEnd w:id="767"/>
    </w:p>
    <w:p>
      <w:pPr>
        <w:snapToGrid w:val="0"/>
        <w:spacing w:line="360" w:lineRule="auto"/>
        <w:jc w:val="center"/>
        <w:outlineLvl w:val="1"/>
        <w:rPr>
          <w:rFonts w:ascii="仿宋" w:hAnsi="仿宋" w:eastAsia="仿宋" w:cs="宋体"/>
          <w:b/>
          <w:bCs/>
          <w:snapToGrid w:val="0"/>
          <w:color w:val="auto"/>
          <w:kern w:val="0"/>
          <w:sz w:val="32"/>
          <w:szCs w:val="32"/>
          <w:highlight w:val="none"/>
        </w:rPr>
      </w:pPr>
      <w:bookmarkStart w:id="776" w:name="_Toc16359"/>
      <w:bookmarkStart w:id="777" w:name="_Toc97219798"/>
      <w:bookmarkStart w:id="778" w:name="_Toc1142344779"/>
      <w:bookmarkStart w:id="779" w:name="_Toc95313017"/>
      <w:bookmarkStart w:id="780" w:name="_Toc15640"/>
      <w:r>
        <w:rPr>
          <w:rFonts w:hint="eastAsia" w:ascii="仿宋" w:hAnsi="仿宋" w:eastAsia="仿宋" w:cs="宋体"/>
          <w:b/>
          <w:bCs/>
          <w:color w:val="auto"/>
          <w:sz w:val="32"/>
          <w:szCs w:val="32"/>
          <w:highlight w:val="none"/>
        </w:rPr>
        <w:t>五、</w:t>
      </w:r>
      <w:r>
        <w:rPr>
          <w:rFonts w:hint="eastAsia" w:ascii="仿宋" w:hAnsi="仿宋" w:eastAsia="仿宋" w:cs="宋体"/>
          <w:b/>
          <w:bCs/>
          <w:snapToGrid w:val="0"/>
          <w:color w:val="auto"/>
          <w:kern w:val="0"/>
          <w:sz w:val="32"/>
          <w:szCs w:val="32"/>
          <w:highlight w:val="none"/>
          <w:lang w:val="zh-CN"/>
        </w:rPr>
        <w:t>投标人成功案例</w:t>
      </w:r>
      <w:bookmarkEnd w:id="776"/>
      <w:bookmarkEnd w:id="777"/>
      <w:bookmarkEnd w:id="778"/>
      <w:bookmarkEnd w:id="779"/>
      <w:bookmarkEnd w:id="780"/>
    </w:p>
    <w:p>
      <w:pPr>
        <w:snapToGrid w:val="0"/>
        <w:spacing w:line="360" w:lineRule="auto"/>
        <w:jc w:val="center"/>
        <w:outlineLvl w:val="1"/>
        <w:rPr>
          <w:rFonts w:ascii="仿宋" w:hAnsi="仿宋" w:eastAsia="仿宋" w:cs="宋体"/>
          <w:b/>
          <w:bCs/>
          <w:snapToGrid w:val="0"/>
          <w:color w:val="auto"/>
          <w:kern w:val="0"/>
          <w:sz w:val="32"/>
          <w:szCs w:val="32"/>
          <w:highlight w:val="none"/>
        </w:rPr>
      </w:pPr>
      <w:bookmarkStart w:id="781" w:name="_Toc9921"/>
      <w:bookmarkStart w:id="782" w:name="_Toc884896473"/>
      <w:bookmarkStart w:id="783" w:name="_Toc95313018"/>
      <w:bookmarkStart w:id="784" w:name="_Toc97219799"/>
      <w:bookmarkStart w:id="785" w:name="_Toc2706"/>
      <w:r>
        <w:rPr>
          <w:rFonts w:hint="eastAsia" w:ascii="仿宋" w:hAnsi="仿宋" w:eastAsia="仿宋" w:cs="宋体"/>
          <w:b/>
          <w:bCs/>
          <w:color w:val="auto"/>
          <w:sz w:val="32"/>
          <w:szCs w:val="32"/>
          <w:highlight w:val="none"/>
        </w:rPr>
        <w:t>六、</w:t>
      </w:r>
      <w:r>
        <w:rPr>
          <w:rFonts w:hint="eastAsia" w:ascii="仿宋" w:hAnsi="仿宋" w:eastAsia="仿宋" w:cs="宋体"/>
          <w:b/>
          <w:bCs/>
          <w:snapToGrid w:val="0"/>
          <w:color w:val="auto"/>
          <w:kern w:val="0"/>
          <w:sz w:val="32"/>
          <w:szCs w:val="32"/>
          <w:highlight w:val="none"/>
        </w:rPr>
        <w:t>相关资质文件（如有）</w:t>
      </w:r>
      <w:bookmarkEnd w:id="781"/>
      <w:bookmarkEnd w:id="782"/>
      <w:bookmarkEnd w:id="783"/>
      <w:bookmarkEnd w:id="784"/>
      <w:bookmarkEnd w:id="785"/>
    </w:p>
    <w:p>
      <w:pPr>
        <w:pStyle w:val="34"/>
        <w:snapToGrid w:val="0"/>
        <w:jc w:val="center"/>
        <w:outlineLvl w:val="1"/>
        <w:rPr>
          <w:rFonts w:ascii="仿宋" w:hAnsi="仿宋" w:eastAsia="仿宋"/>
          <w:color w:val="auto"/>
          <w:highlight w:val="none"/>
        </w:rPr>
      </w:pPr>
      <w:bookmarkStart w:id="786" w:name="_Toc95313019"/>
      <w:bookmarkStart w:id="787" w:name="_Toc1130766236"/>
      <w:bookmarkStart w:id="788" w:name="_Toc97219800"/>
      <w:bookmarkStart w:id="789" w:name="_Toc17051"/>
      <w:bookmarkStart w:id="790" w:name="_Toc11724"/>
      <w:r>
        <w:rPr>
          <w:rFonts w:hint="eastAsia" w:ascii="仿宋" w:hAnsi="仿宋" w:eastAsia="仿宋" w:cs="宋体"/>
          <w:b/>
          <w:bCs/>
          <w:color w:val="auto"/>
          <w:sz w:val="32"/>
          <w:szCs w:val="32"/>
          <w:highlight w:val="none"/>
        </w:rPr>
        <w:t>七、</w:t>
      </w:r>
      <w:r>
        <w:rPr>
          <w:rFonts w:hint="eastAsia" w:ascii="仿宋" w:hAnsi="仿宋" w:eastAsia="仿宋" w:cs="宋体"/>
          <w:b/>
          <w:bCs/>
          <w:color w:val="auto"/>
          <w:kern w:val="0"/>
          <w:sz w:val="32"/>
          <w:szCs w:val="32"/>
          <w:highlight w:val="none"/>
        </w:rPr>
        <w:t>投标人应提供针对项目的完整服务解决方案</w:t>
      </w:r>
      <w:bookmarkEnd w:id="786"/>
      <w:bookmarkEnd w:id="787"/>
      <w:bookmarkEnd w:id="788"/>
      <w:bookmarkEnd w:id="789"/>
      <w:bookmarkEnd w:id="790"/>
      <w:bookmarkStart w:id="791" w:name="_Toc95313020"/>
      <w:bookmarkStart w:id="792" w:name="_Toc12132"/>
      <w:bookmarkStart w:id="793" w:name="_Toc18170"/>
    </w:p>
    <w:p>
      <w:pPr>
        <w:pStyle w:val="46"/>
        <w:snapToGrid w:val="0"/>
        <w:spacing w:line="360" w:lineRule="auto"/>
        <w:jc w:val="center"/>
        <w:outlineLvl w:val="1"/>
        <w:rPr>
          <w:rFonts w:ascii="仿宋" w:hAnsi="仿宋" w:eastAsia="仿宋" w:cs="宋体"/>
          <w:b/>
          <w:bCs/>
          <w:color w:val="auto"/>
          <w:kern w:val="0"/>
          <w:sz w:val="32"/>
          <w:szCs w:val="32"/>
          <w:highlight w:val="none"/>
        </w:rPr>
      </w:pPr>
      <w:bookmarkStart w:id="794" w:name="_Toc97219801"/>
      <w:bookmarkStart w:id="795" w:name="_Toc1705336149"/>
      <w:r>
        <w:rPr>
          <w:rFonts w:hint="eastAsia" w:ascii="仿宋" w:hAnsi="仿宋" w:eastAsia="仿宋" w:cs="宋体"/>
          <w:b/>
          <w:bCs/>
          <w:color w:val="auto"/>
          <w:sz w:val="32"/>
          <w:szCs w:val="32"/>
          <w:highlight w:val="none"/>
        </w:rPr>
        <w:t>八、</w:t>
      </w:r>
      <w:r>
        <w:rPr>
          <w:rFonts w:hint="eastAsia" w:ascii="仿宋" w:hAnsi="仿宋" w:eastAsia="仿宋" w:cs="宋体"/>
          <w:b/>
          <w:bCs/>
          <w:color w:val="auto"/>
          <w:kern w:val="0"/>
          <w:sz w:val="32"/>
          <w:szCs w:val="32"/>
          <w:highlight w:val="none"/>
        </w:rPr>
        <w:t>项目组人员介绍、职责分配</w:t>
      </w:r>
      <w:bookmarkEnd w:id="791"/>
      <w:bookmarkEnd w:id="792"/>
      <w:bookmarkEnd w:id="793"/>
      <w:bookmarkEnd w:id="794"/>
      <w:bookmarkEnd w:id="795"/>
    </w:p>
    <w:p>
      <w:pPr>
        <w:pStyle w:val="34"/>
        <w:snapToGrid w:val="0"/>
        <w:ind w:left="1680" w:firstLine="643"/>
        <w:jc w:val="center"/>
        <w:rPr>
          <w:rFonts w:ascii="仿宋" w:hAnsi="仿宋" w:eastAsia="仿宋" w:cs="宋体"/>
          <w:b/>
          <w:bCs/>
          <w:color w:val="auto"/>
          <w:sz w:val="32"/>
          <w:szCs w:val="32"/>
          <w:highlight w:val="none"/>
          <w:lang w:val="en-US"/>
        </w:rPr>
      </w:pPr>
    </w:p>
    <w:p>
      <w:pPr>
        <w:pStyle w:val="34"/>
        <w:snapToGrid w:val="0"/>
        <w:jc w:val="center"/>
        <w:outlineLvl w:val="1"/>
        <w:rPr>
          <w:rFonts w:ascii="仿宋" w:hAnsi="仿宋" w:eastAsia="仿宋"/>
          <w:b/>
          <w:bCs/>
          <w:color w:val="auto"/>
          <w:highlight w:val="none"/>
        </w:rPr>
      </w:pPr>
      <w:r>
        <w:rPr>
          <w:rFonts w:hint="eastAsia" w:ascii="仿宋" w:hAnsi="仿宋" w:eastAsia="仿宋" w:cs="宋体"/>
          <w:b/>
          <w:bCs/>
          <w:color w:val="auto"/>
          <w:sz w:val="32"/>
          <w:szCs w:val="32"/>
          <w:highlight w:val="none"/>
          <w:lang w:val="en-US"/>
        </w:rPr>
        <w:t>九、商务技术偏离表</w:t>
      </w:r>
      <w:bookmarkEnd w:id="768"/>
      <w:bookmarkEnd w:id="769"/>
      <w:bookmarkEnd w:id="770"/>
      <w:bookmarkEnd w:id="771"/>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285"/>
        <w:gridCol w:w="3162"/>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 w:type="pct"/>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序号</w:t>
            </w:r>
          </w:p>
        </w:tc>
        <w:tc>
          <w:tcPr>
            <w:tcW w:w="1926" w:type="pct"/>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采购文件章节及具体内容</w:t>
            </w:r>
          </w:p>
        </w:tc>
        <w:tc>
          <w:tcPr>
            <w:tcW w:w="1854" w:type="pct"/>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投标文件章节及具体内容</w:t>
            </w:r>
          </w:p>
        </w:tc>
        <w:tc>
          <w:tcPr>
            <w:tcW w:w="720" w:type="pct"/>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 w:type="pct"/>
            <w:vAlign w:val="center"/>
          </w:tcPr>
          <w:p>
            <w:pPr>
              <w:snapToGrid w:val="0"/>
              <w:spacing w:line="360" w:lineRule="auto"/>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1</w:t>
            </w:r>
          </w:p>
        </w:tc>
        <w:tc>
          <w:tcPr>
            <w:tcW w:w="1926" w:type="pct"/>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1854" w:type="pct"/>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720" w:type="pct"/>
            <w:vAlign w:val="center"/>
          </w:tcPr>
          <w:p>
            <w:pPr>
              <w:snapToGrid w:val="0"/>
              <w:spacing w:line="360" w:lineRule="auto"/>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 w:type="pct"/>
            <w:vAlign w:val="center"/>
          </w:tcPr>
          <w:p>
            <w:pPr>
              <w:snapToGrid w:val="0"/>
              <w:spacing w:line="360" w:lineRule="auto"/>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2</w:t>
            </w:r>
          </w:p>
        </w:tc>
        <w:tc>
          <w:tcPr>
            <w:tcW w:w="1926" w:type="pct"/>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1854" w:type="pct"/>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720" w:type="pct"/>
            <w:vAlign w:val="center"/>
          </w:tcPr>
          <w:p>
            <w:pPr>
              <w:snapToGrid w:val="0"/>
              <w:spacing w:line="360" w:lineRule="auto"/>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 w:type="pct"/>
            <w:vAlign w:val="center"/>
          </w:tcPr>
          <w:p>
            <w:pPr>
              <w:snapToGrid w:val="0"/>
              <w:spacing w:line="360" w:lineRule="auto"/>
              <w:jc w:val="center"/>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p>
        </w:tc>
        <w:tc>
          <w:tcPr>
            <w:tcW w:w="1926" w:type="pct"/>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1854" w:type="pct"/>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720" w:type="pct"/>
            <w:vAlign w:val="center"/>
          </w:tcPr>
          <w:p>
            <w:pPr>
              <w:snapToGrid w:val="0"/>
              <w:spacing w:line="360" w:lineRule="auto"/>
              <w:jc w:val="center"/>
              <w:rPr>
                <w:rFonts w:ascii="仿宋" w:hAnsi="仿宋" w:eastAsia="仿宋" w:cs="仿宋_GB2312"/>
                <w:b/>
                <w:color w:val="auto"/>
                <w:kern w:val="0"/>
                <w:sz w:val="32"/>
                <w:szCs w:val="32"/>
                <w:highlight w:val="none"/>
              </w:rPr>
            </w:pPr>
          </w:p>
        </w:tc>
      </w:tr>
    </w:tbl>
    <w:p>
      <w:pPr>
        <w:snapToGrid w:val="0"/>
        <w:spacing w:line="360" w:lineRule="auto"/>
        <w:jc w:val="left"/>
        <w:outlineLvl w:val="2"/>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投标人保证：除商务技术偏离表列出的偏离外，投标人响应采购文件的全部要求</w:t>
      </w:r>
    </w:p>
    <w:p>
      <w:pPr>
        <w:pStyle w:val="46"/>
        <w:snapToGrid w:val="0"/>
        <w:spacing w:line="360" w:lineRule="auto"/>
        <w:rPr>
          <w:rFonts w:ascii="仿宋" w:hAnsi="仿宋" w:eastAsia="仿宋" w:cs="宋体"/>
          <w:b/>
          <w:bCs/>
          <w:color w:val="auto"/>
          <w:sz w:val="32"/>
          <w:szCs w:val="32"/>
          <w:highlight w:val="none"/>
        </w:rPr>
      </w:pPr>
    </w:p>
    <w:p>
      <w:pPr>
        <w:pStyle w:val="34"/>
        <w:snapToGrid w:val="0"/>
        <w:jc w:val="center"/>
        <w:outlineLvl w:val="1"/>
        <w:rPr>
          <w:rFonts w:ascii="仿宋" w:hAnsi="仿宋" w:eastAsia="仿宋" w:cs="宋体"/>
          <w:b/>
          <w:bCs/>
          <w:color w:val="auto"/>
          <w:sz w:val="32"/>
          <w:szCs w:val="32"/>
          <w:highlight w:val="none"/>
          <w:lang w:val="en-US"/>
        </w:rPr>
      </w:pPr>
      <w:bookmarkStart w:id="796" w:name="_Toc16369"/>
      <w:bookmarkStart w:id="797" w:name="_Toc171895286"/>
      <w:r>
        <w:rPr>
          <w:rFonts w:hint="eastAsia" w:ascii="仿宋" w:hAnsi="仿宋" w:eastAsia="仿宋" w:cs="宋体"/>
          <w:b/>
          <w:bCs/>
          <w:color w:val="auto"/>
          <w:sz w:val="32"/>
          <w:szCs w:val="32"/>
          <w:highlight w:val="none"/>
          <w:lang w:val="en-US"/>
        </w:rPr>
        <w:t>十、</w:t>
      </w:r>
      <w:bookmarkEnd w:id="796"/>
      <w:bookmarkEnd w:id="797"/>
      <w:r>
        <w:rPr>
          <w:rFonts w:hint="eastAsia" w:ascii="仿宋" w:hAnsi="仿宋" w:eastAsia="仿宋" w:cs="宋体"/>
          <w:b/>
          <w:bCs/>
          <w:color w:val="auto"/>
          <w:sz w:val="32"/>
          <w:szCs w:val="32"/>
          <w:highlight w:val="none"/>
          <w:lang w:val="en-US"/>
        </w:rPr>
        <w:t>其他商务技术文件或说明</w:t>
      </w:r>
    </w:p>
    <w:p>
      <w:pPr>
        <w:snapToGrid w:val="0"/>
        <w:spacing w:line="360" w:lineRule="auto"/>
        <w:rPr>
          <w:rFonts w:ascii="仿宋" w:hAnsi="仿宋" w:eastAsia="仿宋" w:cs="仿宋_GB2312"/>
          <w:b/>
          <w:color w:val="auto"/>
          <w:kern w:val="0"/>
          <w:sz w:val="32"/>
          <w:szCs w:val="32"/>
          <w:highlight w:val="none"/>
        </w:rPr>
      </w:pPr>
    </w:p>
    <w:p>
      <w:pPr>
        <w:snapToGrid w:val="0"/>
        <w:spacing w:line="360" w:lineRule="auto"/>
        <w:ind w:firstLine="1911" w:firstLineChars="595"/>
        <w:rPr>
          <w:rFonts w:ascii="仿宋" w:hAnsi="仿宋" w:eastAsia="仿宋" w:cs="仿宋_GB2312"/>
          <w:b/>
          <w:color w:val="auto"/>
          <w:kern w:val="0"/>
          <w:sz w:val="32"/>
          <w:szCs w:val="32"/>
          <w:highlight w:val="none"/>
        </w:rPr>
      </w:pPr>
    </w:p>
    <w:p>
      <w:pPr>
        <w:pStyle w:val="36"/>
        <w:rPr>
          <w:color w:val="auto"/>
          <w:highlight w:val="none"/>
        </w:rPr>
      </w:pPr>
    </w:p>
    <w:p>
      <w:pPr>
        <w:rPr>
          <w:color w:val="auto"/>
          <w:highlight w:val="none"/>
        </w:rPr>
      </w:pPr>
    </w:p>
    <w:p>
      <w:pPr>
        <w:pStyle w:val="36"/>
        <w:rPr>
          <w:color w:val="auto"/>
          <w:highlight w:val="none"/>
        </w:rPr>
      </w:pPr>
    </w:p>
    <w:p>
      <w:pPr>
        <w:rPr>
          <w:color w:val="auto"/>
          <w:highlight w:val="none"/>
        </w:rPr>
      </w:pPr>
    </w:p>
    <w:p>
      <w:pPr>
        <w:pStyle w:val="36"/>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36"/>
        <w:spacing w:line="360" w:lineRule="auto"/>
        <w:rPr>
          <w:rFonts w:ascii="仿宋" w:hAnsi="仿宋" w:eastAsia="仿宋"/>
          <w:color w:val="auto"/>
          <w:highlight w:val="none"/>
        </w:rPr>
      </w:pPr>
    </w:p>
    <w:p>
      <w:pPr>
        <w:pStyle w:val="2"/>
        <w:tabs>
          <w:tab w:val="left" w:pos="432"/>
          <w:tab w:val="clear" w:pos="900"/>
        </w:tabs>
        <w:jc w:val="center"/>
        <w:rPr>
          <w:rStyle w:val="1100"/>
          <w:rFonts w:ascii="仿宋" w:hAnsi="仿宋" w:eastAsia="仿宋"/>
          <w:color w:val="auto"/>
          <w:highlight w:val="none"/>
          <w:lang w:val="en-US"/>
        </w:rPr>
      </w:pPr>
      <w:bookmarkStart w:id="798" w:name="_Toc7937"/>
      <w:bookmarkStart w:id="799" w:name="_Toc9627"/>
      <w:r>
        <w:rPr>
          <w:rStyle w:val="1100"/>
          <w:rFonts w:hint="eastAsia" w:ascii="仿宋" w:hAnsi="仿宋" w:eastAsia="仿宋"/>
          <w:color w:val="auto"/>
          <w:highlight w:val="none"/>
          <w:lang w:val="en-US"/>
        </w:rPr>
        <w:t>十一、政府采购供应商廉洁自律承诺书</w:t>
      </w:r>
      <w:bookmarkEnd w:id="772"/>
      <w:bookmarkEnd w:id="773"/>
      <w:bookmarkEnd w:id="774"/>
      <w:bookmarkEnd w:id="775"/>
      <w:bookmarkEnd w:id="798"/>
      <w:bookmarkEnd w:id="799"/>
    </w:p>
    <w:p>
      <w:pPr>
        <w:snapToGrid w:val="0"/>
        <w:spacing w:line="360" w:lineRule="auto"/>
        <w:rPr>
          <w:rFonts w:ascii="仿宋" w:hAnsi="仿宋" w:eastAsia="仿宋" w:cs="仿宋_GB2312"/>
          <w:color w:val="auto"/>
          <w:sz w:val="24"/>
          <w:highlight w:val="none"/>
        </w:rPr>
      </w:pP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u w:val="single"/>
        </w:rPr>
        <w:t>杭州市临平区人民政府临平街道办事处 、杭州中瑞招标代理有限公司</w:t>
      </w:r>
      <w:r>
        <w:rPr>
          <w:rFonts w:hint="eastAsia" w:ascii="仿宋" w:hAnsi="仿宋" w:eastAsia="仿宋" w:cs="仿宋_GB2312"/>
          <w:color w:val="auto"/>
          <w:kern w:val="0"/>
          <w:sz w:val="24"/>
          <w:highlight w:val="none"/>
          <w:lang w:val="zh-CN"/>
        </w:rPr>
        <w:t>：</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我单位响应你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一、不向项目有关人员及部门赠送礼金礼物、有价证券、回扣以及中介费、介绍费、咨询费等好处费；</w:t>
      </w:r>
      <w:r>
        <w:rPr>
          <w:rFonts w:ascii="仿宋" w:hAnsi="仿宋" w:eastAsia="仿宋" w:cs="仿宋_GB2312"/>
          <w:color w:val="auto"/>
          <w:kern w:val="0"/>
          <w:sz w:val="24"/>
          <w:highlight w:val="none"/>
          <w:lang w:val="zh-CN"/>
        </w:rPr>
        <w:t xml:space="preserve"> </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二、不为项目有关人员及部门报销应由你方单位或个人支付的费用；</w:t>
      </w:r>
      <w:r>
        <w:rPr>
          <w:rFonts w:ascii="仿宋" w:hAnsi="仿宋" w:eastAsia="仿宋" w:cs="仿宋_GB2312"/>
          <w:color w:val="auto"/>
          <w:kern w:val="0"/>
          <w:sz w:val="24"/>
          <w:highlight w:val="none"/>
          <w:lang w:val="zh-CN"/>
        </w:rPr>
        <w:t xml:space="preserve"> </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三、不向项目有关人员及部门提供有可能影响公正的宴请和健身娱乐等活动；</w:t>
      </w:r>
      <w:r>
        <w:rPr>
          <w:rFonts w:ascii="仿宋" w:hAnsi="仿宋" w:eastAsia="仿宋" w:cs="仿宋_GB2312"/>
          <w:color w:val="auto"/>
          <w:kern w:val="0"/>
          <w:sz w:val="24"/>
          <w:highlight w:val="none"/>
          <w:lang w:val="zh-CN"/>
        </w:rPr>
        <w:t xml:space="preserve"> </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四、不为项目有关人员及部门出国（境）、旅游等提供方便；</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五、不为项目有关人员个人装修住房、婚丧嫁娶、配偶子女工作安排等提供好处；</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六、严格遵守《中华人民共和国政府采购法》《中华人民共和国招标投标</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法》《中华人民共和国民法典》等法律法规，诚实守信，合法经营，坚决抵制各种违法违纪行为。</w:t>
      </w:r>
      <w:r>
        <w:rPr>
          <w:rFonts w:ascii="仿宋" w:hAnsi="仿宋" w:eastAsia="仿宋" w:cs="仿宋_GB2312"/>
          <w:color w:val="auto"/>
          <w:kern w:val="0"/>
          <w:sz w:val="24"/>
          <w:highlight w:val="none"/>
          <w:lang w:val="zh-CN"/>
        </w:rPr>
        <w:t xml:space="preserve"> </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如违反上述承诺，你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进行项目建设或其他经营活动，并通报市财政局。由此引起的相应损失均由我单位承担。</w:t>
      </w:r>
    </w:p>
    <w:p>
      <w:pPr>
        <w:autoSpaceDE w:val="0"/>
        <w:autoSpaceDN w:val="0"/>
        <w:snapToGrid w:val="0"/>
        <w:spacing w:line="360" w:lineRule="auto"/>
        <w:jc w:val="left"/>
        <w:rPr>
          <w:rFonts w:ascii="仿宋" w:hAnsi="仿宋" w:eastAsia="仿宋" w:cs="仿宋_GB2312"/>
          <w:color w:val="auto"/>
          <w:kern w:val="0"/>
          <w:sz w:val="24"/>
          <w:highlight w:val="none"/>
          <w:lang w:val="zh-CN"/>
        </w:rPr>
      </w:pPr>
    </w:p>
    <w:p>
      <w:pPr>
        <w:autoSpaceDE w:val="0"/>
        <w:autoSpaceDN w:val="0"/>
        <w:snapToGrid w:val="0"/>
        <w:spacing w:line="360" w:lineRule="auto"/>
        <w:jc w:val="left"/>
        <w:rPr>
          <w:rFonts w:ascii="仿宋" w:hAnsi="仿宋" w:eastAsia="仿宋" w:cs="仿宋_GB2312"/>
          <w:color w:val="auto"/>
          <w:kern w:val="0"/>
          <w:sz w:val="24"/>
          <w:highlight w:val="none"/>
          <w:lang w:val="zh-CN"/>
        </w:rPr>
      </w:pPr>
    </w:p>
    <w:p>
      <w:pPr>
        <w:autoSpaceDE w:val="0"/>
        <w:autoSpaceDN w:val="0"/>
        <w:snapToGrid w:val="0"/>
        <w:spacing w:line="360" w:lineRule="auto"/>
        <w:jc w:val="left"/>
        <w:rPr>
          <w:rFonts w:ascii="仿宋" w:hAnsi="仿宋" w:eastAsia="仿宋" w:cs="仿宋_GB2312"/>
          <w:color w:val="auto"/>
          <w:kern w:val="0"/>
          <w:sz w:val="24"/>
          <w:highlight w:val="none"/>
          <w:lang w:val="zh-CN"/>
        </w:rPr>
      </w:pPr>
    </w:p>
    <w:p>
      <w:pPr>
        <w:autoSpaceDE w:val="0"/>
        <w:autoSpaceDN w:val="0"/>
        <w:snapToGrid w:val="0"/>
        <w:spacing w:line="360" w:lineRule="auto"/>
        <w:ind w:firstLine="5760" w:firstLineChars="24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投标人名称(电子签名)：</w:t>
      </w:r>
      <w:r>
        <w:rPr>
          <w:rFonts w:ascii="仿宋" w:hAnsi="仿宋" w:eastAsia="仿宋" w:cs="仿宋_GB2312"/>
          <w:color w:val="auto"/>
          <w:kern w:val="0"/>
          <w:sz w:val="24"/>
          <w:highlight w:val="none"/>
          <w:lang w:val="zh-CN"/>
        </w:rPr>
        <w:t xml:space="preserve">                                                                                                                                                                                                               </w:t>
      </w:r>
    </w:p>
    <w:p>
      <w:pPr>
        <w:snapToGrid w:val="0"/>
        <w:spacing w:line="360" w:lineRule="auto"/>
        <w:jc w:val="right"/>
        <w:rPr>
          <w:rFonts w:ascii="仿宋" w:hAnsi="仿宋" w:eastAsia="仿宋"/>
          <w:color w:val="auto"/>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lang w:val="zh-CN"/>
        </w:rPr>
        <w:t xml:space="preserve">   年   月   日</w:t>
      </w:r>
    </w:p>
    <w:p>
      <w:pPr>
        <w:snapToGrid w:val="0"/>
        <w:spacing w:line="360" w:lineRule="auto"/>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br w:type="page"/>
      </w:r>
    </w:p>
    <w:p>
      <w:pPr>
        <w:pStyle w:val="5"/>
        <w:jc w:val="center"/>
        <w:rPr>
          <w:rFonts w:ascii="仿宋" w:hAnsi="仿宋" w:eastAsia="仿宋"/>
          <w:color w:val="auto"/>
          <w:szCs w:val="28"/>
          <w:highlight w:val="none"/>
        </w:rPr>
      </w:pPr>
      <w:bookmarkStart w:id="800" w:name="_Toc95313023"/>
      <w:bookmarkStart w:id="801" w:name="_Toc13284"/>
      <w:bookmarkStart w:id="802" w:name="_Toc28502"/>
      <w:bookmarkStart w:id="803" w:name="_Toc1530462139"/>
      <w:bookmarkStart w:id="804" w:name="_Toc7258"/>
      <w:bookmarkStart w:id="805" w:name="_Toc10259"/>
      <w:r>
        <w:rPr>
          <w:rFonts w:hint="eastAsia" w:ascii="仿宋" w:hAnsi="仿宋" w:eastAsia="仿宋"/>
          <w:color w:val="auto"/>
          <w:szCs w:val="28"/>
          <w:highlight w:val="none"/>
        </w:rPr>
        <w:t>报价文件部分</w:t>
      </w:r>
      <w:bookmarkEnd w:id="800"/>
      <w:bookmarkEnd w:id="801"/>
      <w:bookmarkEnd w:id="802"/>
      <w:bookmarkEnd w:id="803"/>
      <w:bookmarkEnd w:id="804"/>
      <w:bookmarkEnd w:id="805"/>
    </w:p>
    <w:p>
      <w:pPr>
        <w:snapToGrid w:val="0"/>
        <w:spacing w:line="360" w:lineRule="auto"/>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napToGrid w:val="0"/>
        <w:spacing w:line="360" w:lineRule="auto"/>
        <w:jc w:val="center"/>
        <w:rPr>
          <w:rFonts w:ascii="仿宋" w:hAnsi="仿宋" w:eastAsia="仿宋" w:cs="仿宋_GB2312"/>
          <w:b/>
          <w:color w:val="auto"/>
          <w:kern w:val="0"/>
          <w:sz w:val="36"/>
          <w:szCs w:val="36"/>
          <w:highlight w:val="none"/>
        </w:rPr>
      </w:pPr>
    </w:p>
    <w:p>
      <w:pPr>
        <w:pStyle w:val="125"/>
        <w:snapToGrid w:val="0"/>
        <w:ind w:firstLine="0" w:firstLineChars="0"/>
        <w:rPr>
          <w:rFonts w:ascii="仿宋" w:hAnsi="仿宋" w:eastAsia="仿宋" w:cs="仿宋_GB2312"/>
          <w:color w:val="auto"/>
          <w:highlight w:val="none"/>
        </w:rPr>
      </w:pPr>
      <w:r>
        <w:rPr>
          <w:rFonts w:hint="eastAsia" w:ascii="仿宋" w:hAnsi="仿宋" w:eastAsia="仿宋" w:cs="仿宋_GB2312"/>
          <w:color w:val="auto"/>
          <w:highlight w:val="none"/>
        </w:rPr>
        <w:t>（</w:t>
      </w:r>
      <w:r>
        <w:rPr>
          <w:rFonts w:ascii="仿宋" w:hAnsi="仿宋" w:eastAsia="仿宋" w:cs="仿宋_GB2312"/>
          <w:color w:val="auto"/>
          <w:highlight w:val="none"/>
        </w:rPr>
        <w:t>1）开标一览表（报价表）……</w:t>
      </w:r>
      <w:r>
        <w:rPr>
          <w:rFonts w:hint="eastAsia" w:ascii="仿宋" w:hAnsi="仿宋" w:eastAsia="仿宋" w:cs="仿宋_GB2312"/>
          <w:color w:val="auto"/>
          <w:highlight w:val="none"/>
        </w:rPr>
        <w:t>……………………………………………（页码）</w:t>
      </w:r>
    </w:p>
    <w:p>
      <w:pPr>
        <w:pStyle w:val="125"/>
        <w:snapToGrid w:val="0"/>
        <w:ind w:firstLine="0" w:firstLineChars="0"/>
        <w:rPr>
          <w:rFonts w:ascii="仿宋" w:hAnsi="仿宋" w:eastAsia="仿宋" w:cs="仿宋_GB2312"/>
          <w:color w:val="auto"/>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pStyle w:val="401"/>
        <w:tabs>
          <w:tab w:val="clear" w:pos="720"/>
        </w:tabs>
        <w:snapToGrid w:val="0"/>
        <w:ind w:firstLine="643"/>
        <w:outlineLvl w:val="9"/>
        <w:rPr>
          <w:rFonts w:ascii="仿宋" w:hAnsi="仿宋" w:eastAsia="仿宋" w:cs="仿宋_GB2312"/>
          <w:color w:val="auto"/>
          <w:kern w:val="2"/>
          <w:sz w:val="32"/>
          <w:szCs w:val="32"/>
          <w:highlight w:val="none"/>
        </w:rPr>
        <w:sectPr>
          <w:footerReference r:id="rId6" w:type="default"/>
          <w:pgSz w:w="11906" w:h="16838"/>
          <w:pgMar w:top="1440" w:right="1797" w:bottom="1440" w:left="1797" w:header="851" w:footer="992" w:gutter="0"/>
          <w:cols w:space="720" w:num="1"/>
          <w:docGrid w:linePitch="312" w:charSpace="0"/>
        </w:sectPr>
      </w:pPr>
    </w:p>
    <w:p>
      <w:pPr>
        <w:pStyle w:val="2"/>
        <w:tabs>
          <w:tab w:val="left" w:pos="432"/>
          <w:tab w:val="clear" w:pos="900"/>
        </w:tabs>
        <w:jc w:val="center"/>
        <w:rPr>
          <w:rStyle w:val="1100"/>
          <w:rFonts w:ascii="仿宋" w:hAnsi="仿宋" w:eastAsia="仿宋"/>
          <w:color w:val="auto"/>
          <w:highlight w:val="none"/>
          <w:lang w:val="en-US"/>
        </w:rPr>
      </w:pPr>
      <w:bookmarkStart w:id="806" w:name="_Toc2065530054"/>
      <w:bookmarkStart w:id="807" w:name="_Toc25121"/>
      <w:bookmarkStart w:id="808" w:name="_Toc95313024"/>
      <w:bookmarkStart w:id="809" w:name="_Toc29369"/>
      <w:bookmarkStart w:id="810" w:name="_Toc22914"/>
      <w:bookmarkStart w:id="811" w:name="_Toc4493"/>
      <w:r>
        <w:rPr>
          <w:rStyle w:val="1100"/>
          <w:rFonts w:hint="eastAsia" w:ascii="仿宋" w:hAnsi="仿宋" w:eastAsia="仿宋"/>
          <w:color w:val="auto"/>
          <w:highlight w:val="none"/>
          <w:lang w:val="en-US"/>
        </w:rPr>
        <w:t>一、开标一览表（报价表）</w:t>
      </w:r>
      <w:bookmarkEnd w:id="806"/>
      <w:bookmarkEnd w:id="807"/>
      <w:bookmarkEnd w:id="808"/>
      <w:bookmarkEnd w:id="809"/>
      <w:bookmarkEnd w:id="810"/>
      <w:bookmarkEnd w:id="811"/>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u w:val="single"/>
        </w:rPr>
        <w:t>杭州市临平区人民政府临平街道办事处 、杭州中瑞招标代理有限公司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482"/>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按你方采购文件要求，我们，本投标文件签字方，谨此向你方发出要约如下：如你方接受本投标，我方承诺按照如下开标一览表（报价表）的价格完成</w:t>
      </w:r>
      <w:r>
        <w:rPr>
          <w:rFonts w:hint="eastAsia" w:ascii="仿宋" w:hAnsi="仿宋" w:eastAsia="仿宋" w:cs="仿宋_GB2312"/>
          <w:color w:val="auto"/>
          <w:sz w:val="24"/>
          <w:highlight w:val="none"/>
        </w:rPr>
        <w:t>“俞樾纪念馆”陈列布展服务项目</w:t>
      </w:r>
      <w:r>
        <w:rPr>
          <w:rFonts w:hint="eastAsia" w:ascii="仿宋" w:hAnsi="仿宋" w:eastAsia="仿宋" w:cs="仿宋_GB2312"/>
          <w:color w:val="auto"/>
          <w:kern w:val="0"/>
          <w:sz w:val="24"/>
          <w:highlight w:val="none"/>
          <w:lang w:val="zh-CN"/>
        </w:rPr>
        <w:t>【招标编号：</w:t>
      </w:r>
      <w:r>
        <w:rPr>
          <w:rFonts w:hint="eastAsia" w:ascii="仿宋" w:hAnsi="仿宋" w:eastAsia="仿宋"/>
          <w:color w:val="auto"/>
          <w:sz w:val="24"/>
          <w:highlight w:val="none"/>
        </w:rPr>
        <w:t>HZZR-F221201N</w:t>
      </w:r>
      <w:r>
        <w:rPr>
          <w:rFonts w:hint="eastAsia" w:ascii="仿宋" w:hAnsi="仿宋" w:eastAsia="仿宋" w:cs="仿宋_GB2312"/>
          <w:color w:val="auto"/>
          <w:sz w:val="24"/>
          <w:highlight w:val="none"/>
        </w:rPr>
        <w:t>】的实施</w:t>
      </w:r>
      <w:r>
        <w:rPr>
          <w:rFonts w:hint="eastAsia" w:ascii="仿宋" w:hAnsi="仿宋" w:eastAsia="仿宋" w:cs="仿宋_GB2312"/>
          <w:color w:val="auto"/>
          <w:kern w:val="0"/>
          <w:sz w:val="24"/>
          <w:highlight w:val="none"/>
          <w:lang w:val="zh-CN"/>
        </w:rPr>
        <w:t>。</w:t>
      </w:r>
    </w:p>
    <w:p>
      <w:pPr>
        <w:spacing w:line="360" w:lineRule="auto"/>
        <w:jc w:val="center"/>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开标一览表（报价表）</w:t>
      </w:r>
      <w:r>
        <w:rPr>
          <w:rFonts w:ascii="仿宋" w:hAnsi="仿宋" w:eastAsia="仿宋" w:cs="仿宋_GB2312"/>
          <w:b/>
          <w:color w:val="auto"/>
          <w:kern w:val="0"/>
          <w:sz w:val="24"/>
          <w:highlight w:val="none"/>
          <w:lang w:val="zh-CN"/>
        </w:rPr>
        <w:t>(单位均为人民币元)</w:t>
      </w:r>
    </w:p>
    <w:tbl>
      <w:tblPr>
        <w:tblStyle w:val="88"/>
        <w:tblW w:w="14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46"/>
        <w:gridCol w:w="6208"/>
        <w:gridCol w:w="993"/>
        <w:gridCol w:w="1559"/>
        <w:gridCol w:w="1984"/>
        <w:gridCol w:w="1380"/>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序号</w:t>
            </w:r>
          </w:p>
        </w:tc>
        <w:tc>
          <w:tcPr>
            <w:tcW w:w="1446"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名称</w:t>
            </w:r>
          </w:p>
        </w:tc>
        <w:tc>
          <w:tcPr>
            <w:tcW w:w="6208"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具体服务</w:t>
            </w:r>
          </w:p>
        </w:tc>
        <w:tc>
          <w:tcPr>
            <w:tcW w:w="993"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数量</w:t>
            </w:r>
          </w:p>
        </w:tc>
        <w:tc>
          <w:tcPr>
            <w:tcW w:w="1559"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单价</w:t>
            </w:r>
          </w:p>
        </w:tc>
        <w:tc>
          <w:tcPr>
            <w:tcW w:w="1984"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总价</w:t>
            </w:r>
          </w:p>
        </w:tc>
        <w:tc>
          <w:tcPr>
            <w:tcW w:w="1389" w:type="dxa"/>
            <w:gridSpan w:val="2"/>
            <w:vAlign w:val="center"/>
          </w:tcPr>
          <w:p>
            <w:pPr>
              <w:spacing w:line="360" w:lineRule="auto"/>
              <w:jc w:val="center"/>
              <w:rPr>
                <w:rFonts w:ascii="仿宋" w:hAnsi="仿宋" w:eastAsia="仿宋"/>
                <w:b/>
                <w:color w:val="auto"/>
                <w:sz w:val="24"/>
                <w:highlight w:val="none"/>
              </w:rPr>
            </w:pPr>
          </w:p>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服务期限</w:t>
            </w:r>
          </w:p>
          <w:p>
            <w:pPr>
              <w:spacing w:line="360" w:lineRule="auto"/>
              <w:jc w:val="center"/>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1446" w:type="dxa"/>
            <w:vAlign w:val="center"/>
          </w:tcPr>
          <w:p>
            <w:pPr>
              <w:snapToGrid w:val="0"/>
              <w:spacing w:line="360" w:lineRule="auto"/>
              <w:jc w:val="center"/>
              <w:rPr>
                <w:rFonts w:ascii="仿宋" w:hAnsi="仿宋" w:eastAsia="仿宋" w:cs="仿宋_GB2312"/>
                <w:color w:val="auto"/>
                <w:sz w:val="24"/>
                <w:highlight w:val="none"/>
              </w:rPr>
            </w:pPr>
          </w:p>
        </w:tc>
        <w:tc>
          <w:tcPr>
            <w:tcW w:w="6208" w:type="dxa"/>
            <w:vAlign w:val="center"/>
          </w:tcPr>
          <w:p>
            <w:pPr>
              <w:snapToGrid w:val="0"/>
              <w:spacing w:line="360" w:lineRule="auto"/>
              <w:jc w:val="center"/>
              <w:rPr>
                <w:rFonts w:ascii="仿宋" w:hAnsi="仿宋" w:eastAsia="仿宋" w:cs="仿宋_GB2312"/>
                <w:color w:val="auto"/>
                <w:sz w:val="24"/>
                <w:highlight w:val="none"/>
              </w:rPr>
            </w:pPr>
          </w:p>
        </w:tc>
        <w:tc>
          <w:tcPr>
            <w:tcW w:w="993" w:type="dxa"/>
            <w:vAlign w:val="center"/>
          </w:tcPr>
          <w:p>
            <w:pPr>
              <w:snapToGrid w:val="0"/>
              <w:spacing w:line="360" w:lineRule="auto"/>
              <w:jc w:val="center"/>
              <w:rPr>
                <w:rFonts w:ascii="仿宋" w:hAnsi="仿宋" w:eastAsia="仿宋" w:cs="仿宋_GB2312"/>
                <w:color w:val="auto"/>
                <w:sz w:val="24"/>
                <w:highlight w:val="none"/>
              </w:rPr>
            </w:pPr>
          </w:p>
        </w:tc>
        <w:tc>
          <w:tcPr>
            <w:tcW w:w="1559"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pacing w:line="360" w:lineRule="auto"/>
              <w:jc w:val="center"/>
              <w:rPr>
                <w:rFonts w:ascii="仿宋" w:hAnsi="仿宋" w:eastAsia="仿宋" w:cs="仿宋_GB2312"/>
                <w:color w:val="auto"/>
                <w:sz w:val="24"/>
                <w:highlight w:val="none"/>
              </w:rPr>
            </w:pPr>
          </w:p>
        </w:tc>
        <w:tc>
          <w:tcPr>
            <w:tcW w:w="1389" w:type="dxa"/>
            <w:gridSpan w:val="2"/>
            <w:vMerge w:val="restart"/>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响应采购文件要求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2</w:t>
            </w:r>
          </w:p>
        </w:tc>
        <w:tc>
          <w:tcPr>
            <w:tcW w:w="1446" w:type="dxa"/>
            <w:vAlign w:val="center"/>
          </w:tcPr>
          <w:p>
            <w:pPr>
              <w:snapToGrid w:val="0"/>
              <w:spacing w:line="360" w:lineRule="auto"/>
              <w:jc w:val="center"/>
              <w:rPr>
                <w:rFonts w:ascii="仿宋" w:hAnsi="仿宋" w:eastAsia="仿宋" w:cs="仿宋_GB2312"/>
                <w:color w:val="auto"/>
                <w:sz w:val="24"/>
                <w:highlight w:val="none"/>
              </w:rPr>
            </w:pPr>
          </w:p>
        </w:tc>
        <w:tc>
          <w:tcPr>
            <w:tcW w:w="6208" w:type="dxa"/>
            <w:vAlign w:val="center"/>
          </w:tcPr>
          <w:p>
            <w:pPr>
              <w:snapToGrid w:val="0"/>
              <w:spacing w:line="360" w:lineRule="auto"/>
              <w:jc w:val="center"/>
              <w:rPr>
                <w:rFonts w:ascii="仿宋" w:hAnsi="仿宋" w:eastAsia="仿宋" w:cs="仿宋_GB2312"/>
                <w:color w:val="auto"/>
                <w:sz w:val="24"/>
                <w:highlight w:val="none"/>
              </w:rPr>
            </w:pPr>
          </w:p>
        </w:tc>
        <w:tc>
          <w:tcPr>
            <w:tcW w:w="993" w:type="dxa"/>
            <w:vAlign w:val="center"/>
          </w:tcPr>
          <w:p>
            <w:pPr>
              <w:snapToGrid w:val="0"/>
              <w:spacing w:line="360" w:lineRule="auto"/>
              <w:jc w:val="center"/>
              <w:rPr>
                <w:rFonts w:ascii="仿宋" w:hAnsi="仿宋" w:eastAsia="仿宋" w:cs="仿宋_GB2312"/>
                <w:color w:val="auto"/>
                <w:sz w:val="24"/>
                <w:highlight w:val="none"/>
              </w:rPr>
            </w:pPr>
          </w:p>
        </w:tc>
        <w:tc>
          <w:tcPr>
            <w:tcW w:w="1559"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pacing w:line="360" w:lineRule="auto"/>
              <w:jc w:val="center"/>
              <w:rPr>
                <w:rFonts w:ascii="仿宋" w:hAnsi="仿宋" w:eastAsia="仿宋" w:cs="仿宋_GB2312"/>
                <w:color w:val="auto"/>
                <w:sz w:val="24"/>
                <w:highlight w:val="none"/>
              </w:rPr>
            </w:pPr>
          </w:p>
        </w:tc>
        <w:tc>
          <w:tcPr>
            <w:tcW w:w="1389" w:type="dxa"/>
            <w:gridSpan w:val="2"/>
            <w:vMerge w:val="continue"/>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p>
        </w:tc>
        <w:tc>
          <w:tcPr>
            <w:tcW w:w="1446" w:type="dxa"/>
            <w:vAlign w:val="center"/>
          </w:tcPr>
          <w:p>
            <w:pPr>
              <w:snapToGrid w:val="0"/>
              <w:spacing w:line="360" w:lineRule="auto"/>
              <w:jc w:val="center"/>
              <w:rPr>
                <w:rFonts w:ascii="仿宋" w:hAnsi="仿宋" w:eastAsia="仿宋" w:cs="仿宋_GB2312"/>
                <w:color w:val="auto"/>
                <w:sz w:val="24"/>
                <w:highlight w:val="none"/>
              </w:rPr>
            </w:pPr>
          </w:p>
        </w:tc>
        <w:tc>
          <w:tcPr>
            <w:tcW w:w="6208" w:type="dxa"/>
            <w:vAlign w:val="center"/>
          </w:tcPr>
          <w:p>
            <w:pPr>
              <w:snapToGrid w:val="0"/>
              <w:spacing w:line="360" w:lineRule="auto"/>
              <w:jc w:val="center"/>
              <w:rPr>
                <w:rFonts w:ascii="仿宋" w:hAnsi="仿宋" w:eastAsia="仿宋" w:cs="仿宋_GB2312"/>
                <w:color w:val="auto"/>
                <w:sz w:val="24"/>
                <w:highlight w:val="none"/>
              </w:rPr>
            </w:pPr>
          </w:p>
        </w:tc>
        <w:tc>
          <w:tcPr>
            <w:tcW w:w="993" w:type="dxa"/>
            <w:vAlign w:val="center"/>
          </w:tcPr>
          <w:p>
            <w:pPr>
              <w:snapToGrid w:val="0"/>
              <w:spacing w:line="360" w:lineRule="auto"/>
              <w:jc w:val="center"/>
              <w:rPr>
                <w:rFonts w:ascii="仿宋" w:hAnsi="仿宋" w:eastAsia="仿宋" w:cs="仿宋_GB2312"/>
                <w:color w:val="auto"/>
                <w:sz w:val="24"/>
                <w:highlight w:val="none"/>
              </w:rPr>
            </w:pPr>
          </w:p>
        </w:tc>
        <w:tc>
          <w:tcPr>
            <w:tcW w:w="1559"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pacing w:line="360" w:lineRule="auto"/>
              <w:jc w:val="center"/>
              <w:rPr>
                <w:rFonts w:ascii="仿宋" w:hAnsi="仿宋" w:eastAsia="仿宋" w:cs="仿宋_GB2312"/>
                <w:color w:val="auto"/>
                <w:sz w:val="24"/>
                <w:highlight w:val="none"/>
              </w:rPr>
            </w:pPr>
          </w:p>
        </w:tc>
        <w:tc>
          <w:tcPr>
            <w:tcW w:w="1389" w:type="dxa"/>
            <w:gridSpan w:val="2"/>
            <w:vMerge w:val="continue"/>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auto"/>
                <w:sz w:val="24"/>
                <w:highlight w:val="none"/>
              </w:rPr>
            </w:pPr>
          </w:p>
        </w:tc>
        <w:tc>
          <w:tcPr>
            <w:tcW w:w="1446" w:type="dxa"/>
            <w:vAlign w:val="center"/>
          </w:tcPr>
          <w:p>
            <w:pPr>
              <w:snapToGrid w:val="0"/>
              <w:spacing w:line="360" w:lineRule="auto"/>
              <w:jc w:val="center"/>
              <w:rPr>
                <w:rFonts w:ascii="仿宋" w:hAnsi="仿宋" w:eastAsia="仿宋" w:cs="仿宋_GB2312"/>
                <w:color w:val="auto"/>
                <w:sz w:val="24"/>
                <w:highlight w:val="none"/>
              </w:rPr>
            </w:pPr>
          </w:p>
        </w:tc>
        <w:tc>
          <w:tcPr>
            <w:tcW w:w="6208" w:type="dxa"/>
            <w:vAlign w:val="center"/>
          </w:tcPr>
          <w:p>
            <w:pPr>
              <w:snapToGrid w:val="0"/>
              <w:spacing w:line="360" w:lineRule="auto"/>
              <w:jc w:val="center"/>
              <w:rPr>
                <w:rFonts w:ascii="仿宋" w:hAnsi="仿宋" w:eastAsia="仿宋" w:cs="仿宋_GB2312"/>
                <w:color w:val="auto"/>
                <w:sz w:val="24"/>
                <w:highlight w:val="none"/>
              </w:rPr>
            </w:pPr>
          </w:p>
        </w:tc>
        <w:tc>
          <w:tcPr>
            <w:tcW w:w="993" w:type="dxa"/>
            <w:vAlign w:val="center"/>
          </w:tcPr>
          <w:p>
            <w:pPr>
              <w:snapToGrid w:val="0"/>
              <w:spacing w:line="360" w:lineRule="auto"/>
              <w:jc w:val="center"/>
              <w:rPr>
                <w:rFonts w:ascii="仿宋" w:hAnsi="仿宋" w:eastAsia="仿宋" w:cs="仿宋_GB2312"/>
                <w:color w:val="auto"/>
                <w:sz w:val="24"/>
                <w:highlight w:val="none"/>
              </w:rPr>
            </w:pPr>
          </w:p>
        </w:tc>
        <w:tc>
          <w:tcPr>
            <w:tcW w:w="1559"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pacing w:line="360" w:lineRule="auto"/>
              <w:jc w:val="center"/>
              <w:rPr>
                <w:rFonts w:ascii="仿宋" w:hAnsi="仿宋" w:eastAsia="仿宋" w:cs="仿宋_GB2312"/>
                <w:color w:val="auto"/>
                <w:sz w:val="24"/>
                <w:highlight w:val="none"/>
              </w:rPr>
            </w:pPr>
          </w:p>
        </w:tc>
        <w:tc>
          <w:tcPr>
            <w:tcW w:w="1389" w:type="dxa"/>
            <w:gridSpan w:val="2"/>
            <w:vMerge w:val="continue"/>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auto"/>
                <w:sz w:val="24"/>
                <w:highlight w:val="none"/>
              </w:rPr>
            </w:pPr>
          </w:p>
        </w:tc>
        <w:tc>
          <w:tcPr>
            <w:tcW w:w="1446" w:type="dxa"/>
            <w:vAlign w:val="center"/>
          </w:tcPr>
          <w:p>
            <w:pPr>
              <w:snapToGrid w:val="0"/>
              <w:spacing w:line="360" w:lineRule="auto"/>
              <w:jc w:val="center"/>
              <w:rPr>
                <w:rFonts w:ascii="仿宋" w:hAnsi="仿宋" w:eastAsia="仿宋" w:cs="仿宋_GB2312"/>
                <w:color w:val="auto"/>
                <w:sz w:val="24"/>
                <w:highlight w:val="none"/>
              </w:rPr>
            </w:pPr>
          </w:p>
        </w:tc>
        <w:tc>
          <w:tcPr>
            <w:tcW w:w="6208" w:type="dxa"/>
            <w:vAlign w:val="center"/>
          </w:tcPr>
          <w:p>
            <w:pPr>
              <w:snapToGrid w:val="0"/>
              <w:spacing w:line="360" w:lineRule="auto"/>
              <w:jc w:val="center"/>
              <w:rPr>
                <w:rFonts w:ascii="仿宋" w:hAnsi="仿宋" w:eastAsia="仿宋" w:cs="仿宋_GB2312"/>
                <w:color w:val="auto"/>
                <w:sz w:val="24"/>
                <w:highlight w:val="none"/>
              </w:rPr>
            </w:pPr>
          </w:p>
        </w:tc>
        <w:tc>
          <w:tcPr>
            <w:tcW w:w="993" w:type="dxa"/>
            <w:vAlign w:val="center"/>
          </w:tcPr>
          <w:p>
            <w:pPr>
              <w:snapToGrid w:val="0"/>
              <w:spacing w:line="360" w:lineRule="auto"/>
              <w:jc w:val="center"/>
              <w:rPr>
                <w:rFonts w:ascii="仿宋" w:hAnsi="仿宋" w:eastAsia="仿宋" w:cs="仿宋_GB2312"/>
                <w:color w:val="auto"/>
                <w:sz w:val="24"/>
                <w:highlight w:val="none"/>
              </w:rPr>
            </w:pPr>
          </w:p>
        </w:tc>
        <w:tc>
          <w:tcPr>
            <w:tcW w:w="1559"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pacing w:line="360" w:lineRule="auto"/>
              <w:jc w:val="center"/>
              <w:rPr>
                <w:rFonts w:ascii="仿宋" w:hAnsi="仿宋" w:eastAsia="仿宋" w:cs="仿宋_GB2312"/>
                <w:color w:val="auto"/>
                <w:sz w:val="24"/>
                <w:highlight w:val="none"/>
              </w:rPr>
            </w:pPr>
          </w:p>
        </w:tc>
        <w:tc>
          <w:tcPr>
            <w:tcW w:w="1389" w:type="dxa"/>
            <w:gridSpan w:val="2"/>
            <w:vMerge w:val="continue"/>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59" w:hRule="atLeast"/>
        </w:trPr>
        <w:tc>
          <w:tcPr>
            <w:tcW w:w="8188" w:type="dxa"/>
            <w:gridSpan w:val="3"/>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投标报价（小写）</w:t>
            </w:r>
          </w:p>
        </w:tc>
        <w:tc>
          <w:tcPr>
            <w:tcW w:w="5916" w:type="dxa"/>
            <w:gridSpan w:val="4"/>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97" w:hRule="atLeast"/>
        </w:trPr>
        <w:tc>
          <w:tcPr>
            <w:tcW w:w="8188" w:type="dxa"/>
            <w:gridSpan w:val="3"/>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投标报价（大写）</w:t>
            </w:r>
          </w:p>
        </w:tc>
        <w:tc>
          <w:tcPr>
            <w:tcW w:w="5916" w:type="dxa"/>
            <w:gridSpan w:val="4"/>
            <w:vAlign w:val="center"/>
          </w:tcPr>
          <w:p>
            <w:pPr>
              <w:spacing w:line="360" w:lineRule="auto"/>
              <w:jc w:val="center"/>
              <w:rPr>
                <w:rFonts w:ascii="仿宋" w:hAnsi="仿宋" w:eastAsia="仿宋" w:cs="仿宋_GB2312"/>
                <w:color w:val="auto"/>
                <w:sz w:val="24"/>
                <w:highlight w:val="none"/>
              </w:rPr>
            </w:pPr>
          </w:p>
        </w:tc>
      </w:tr>
    </w:tbl>
    <w:p>
      <w:pPr>
        <w:spacing w:line="360" w:lineRule="auto"/>
        <w:ind w:left="-2" w:leftChars="-1"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1、投标人需按本表格式填写，不得自行更改。</w:t>
      </w:r>
    </w:p>
    <w:p>
      <w:pPr>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2、有关本项目实施所涉及的一切费用均计入报价。</w:t>
      </w:r>
      <w:r>
        <w:rPr>
          <w:rFonts w:hint="eastAsia" w:ascii="仿宋" w:hAnsi="仿宋" w:eastAsia="仿宋"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_GB2312"/>
          <w:color w:val="auto"/>
          <w:kern w:val="0"/>
          <w:sz w:val="24"/>
          <w:highlight w:val="none"/>
          <w:lang w:val="zh-CN"/>
        </w:rPr>
        <w:t>，</w:t>
      </w:r>
      <w:r>
        <w:rPr>
          <w:rFonts w:hint="eastAsia" w:ascii="仿宋" w:hAnsi="仿宋" w:eastAsia="仿宋" w:cs="仿宋_GB2312"/>
          <w:b/>
          <w:color w:val="auto"/>
          <w:kern w:val="0"/>
          <w:sz w:val="24"/>
          <w:highlight w:val="none"/>
          <w:lang w:val="zh-CN"/>
        </w:rPr>
        <w:t>不得出现“</w:t>
      </w:r>
      <w:r>
        <w:rPr>
          <w:rFonts w:ascii="仿宋" w:hAnsi="仿宋" w:eastAsia="仿宋" w:cs="仿宋_GB2312"/>
          <w:b/>
          <w:color w:val="auto"/>
          <w:kern w:val="0"/>
          <w:sz w:val="24"/>
          <w:highlight w:val="none"/>
          <w:lang w:val="zh-CN"/>
        </w:rPr>
        <w:t>0元”“免费赠送”等形式的无偿报价</w:t>
      </w:r>
      <w:r>
        <w:rPr>
          <w:rFonts w:hint="eastAsia" w:ascii="仿宋" w:hAnsi="仿宋" w:eastAsia="仿宋" w:cs="仿宋_GB2312"/>
          <w:b/>
          <w:color w:val="auto"/>
          <w:kern w:val="0"/>
          <w:sz w:val="24"/>
          <w:highlight w:val="none"/>
          <w:lang w:val="zh-CN"/>
        </w:rPr>
        <w:t>，</w:t>
      </w:r>
      <w:r>
        <w:rPr>
          <w:rFonts w:hint="eastAsia" w:ascii="仿宋" w:hAnsi="仿宋" w:eastAsia="仿宋" w:cs="仿宋_GB2312"/>
          <w:b/>
          <w:color w:val="auto"/>
          <w:kern w:val="0"/>
          <w:sz w:val="24"/>
          <w:highlight w:val="none"/>
        </w:rPr>
        <w:t>否则视为</w:t>
      </w:r>
      <w:r>
        <w:rPr>
          <w:rFonts w:hint="eastAsia" w:ascii="仿宋" w:hAnsi="仿宋" w:eastAsia="仿宋"/>
          <w:b/>
          <w:color w:val="auto"/>
          <w:sz w:val="24"/>
          <w:highlight w:val="none"/>
        </w:rPr>
        <w:t>投标文件含有采购人不能接受的附加条件的，投标无效</w:t>
      </w:r>
      <w:r>
        <w:rPr>
          <w:rFonts w:hint="eastAsia" w:ascii="仿宋" w:hAnsi="仿宋" w:eastAsia="仿宋" w:cs="仿宋_GB2312"/>
          <w:b/>
          <w:color w:val="auto"/>
          <w:kern w:val="0"/>
          <w:sz w:val="24"/>
          <w:highlight w:val="none"/>
          <w:lang w:val="zh-CN"/>
        </w:rPr>
        <w:t>。</w:t>
      </w:r>
    </w:p>
    <w:p>
      <w:pPr>
        <w:snapToGrid w:val="0"/>
        <w:spacing w:line="360" w:lineRule="auto"/>
        <w:ind w:firstLine="480" w:firstLineChars="200"/>
        <w:jc w:val="left"/>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3、以上表格要求细分项目及报价，服务类项目填写具体服务。</w:t>
      </w:r>
    </w:p>
    <w:p>
      <w:pPr>
        <w:snapToGrid w:val="0"/>
        <w:spacing w:line="360" w:lineRule="auto"/>
        <w:ind w:firstLine="480" w:firstLineChars="200"/>
        <w:jc w:val="left"/>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4、特别提示：采购机构将对项目名称和项目编号，中标供应商名称、地址和中标金额，主要中标标的</w:t>
      </w:r>
      <w:r>
        <w:rPr>
          <w:rFonts w:hint="eastAsia" w:ascii="仿宋" w:hAnsi="仿宋" w:eastAsia="仿宋" w:cs="仿宋_GB2312"/>
          <w:color w:val="auto"/>
          <w:kern w:val="0"/>
          <w:sz w:val="24"/>
          <w:highlight w:val="none"/>
          <w:lang w:val="zh-CN"/>
        </w:rPr>
        <w:t>的名称数量、单价、服务要求等予以公示。</w:t>
      </w:r>
    </w:p>
    <w:p>
      <w:pPr>
        <w:autoSpaceDE w:val="0"/>
        <w:autoSpaceDN w:val="0"/>
        <w:snapToGrid w:val="0"/>
        <w:spacing w:line="360" w:lineRule="auto"/>
        <w:ind w:firstLine="5160" w:firstLineChars="215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投标人名称(电子签名)：</w:t>
      </w:r>
    </w:p>
    <w:p>
      <w:pPr>
        <w:autoSpaceDE w:val="0"/>
        <w:autoSpaceDN w:val="0"/>
        <w:snapToGrid w:val="0"/>
        <w:spacing w:line="360" w:lineRule="auto"/>
        <w:ind w:firstLine="5160" w:firstLineChars="21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 年  月   日</w:t>
      </w:r>
    </w:p>
    <w:p>
      <w:pPr>
        <w:pStyle w:val="401"/>
        <w:tabs>
          <w:tab w:val="clear" w:pos="720"/>
        </w:tabs>
        <w:snapToGrid w:val="0"/>
        <w:ind w:firstLine="643"/>
        <w:outlineLvl w:val="9"/>
        <w:rPr>
          <w:rFonts w:ascii="仿宋" w:hAnsi="仿宋" w:eastAsia="仿宋" w:cs="仿宋_GB2312"/>
          <w:color w:val="auto"/>
          <w:kern w:val="2"/>
          <w:sz w:val="32"/>
          <w:szCs w:val="32"/>
          <w:highlight w:val="none"/>
        </w:rPr>
        <w:sectPr>
          <w:headerReference r:id="rId8" w:type="first"/>
          <w:footerReference r:id="rId11" w:type="first"/>
          <w:headerReference r:id="rId7" w:type="default"/>
          <w:footerReference r:id="rId9" w:type="default"/>
          <w:footerReference r:id="rId10" w:type="even"/>
          <w:pgSz w:w="16838" w:h="11906" w:orient="landscape"/>
          <w:pgMar w:top="1797" w:right="1440" w:bottom="1797" w:left="1440" w:header="851" w:footer="992" w:gutter="0"/>
          <w:cols w:space="720" w:num="1"/>
          <w:titlePg/>
          <w:docGrid w:linePitch="312" w:charSpace="0"/>
        </w:sectPr>
      </w:pPr>
    </w:p>
    <w:p>
      <w:pPr>
        <w:pStyle w:val="4"/>
        <w:jc w:val="center"/>
        <w:rPr>
          <w:rFonts w:ascii="仿宋" w:hAnsi="仿宋" w:eastAsia="仿宋"/>
          <w:color w:val="auto"/>
          <w:highlight w:val="none"/>
        </w:rPr>
      </w:pPr>
      <w:bookmarkStart w:id="812" w:name="_Toc1629831275"/>
      <w:bookmarkStart w:id="813" w:name="_Toc3941"/>
      <w:bookmarkStart w:id="814" w:name="_Toc30388"/>
      <w:bookmarkStart w:id="815" w:name="_Toc7477"/>
      <w:bookmarkStart w:id="816" w:name="_Toc95313028"/>
      <w:bookmarkStart w:id="817" w:name="_Toc18250"/>
      <w:r>
        <w:rPr>
          <w:rFonts w:hint="eastAsia" w:ascii="仿宋" w:hAnsi="仿宋" w:eastAsia="仿宋"/>
          <w:color w:val="auto"/>
          <w:highlight w:val="none"/>
        </w:rPr>
        <w:t>政府采购支持中小企业信用融资相关事项通知</w:t>
      </w:r>
      <w:bookmarkEnd w:id="812"/>
      <w:bookmarkEnd w:id="813"/>
      <w:bookmarkEnd w:id="814"/>
      <w:bookmarkEnd w:id="815"/>
      <w:bookmarkEnd w:id="816"/>
      <w:bookmarkEnd w:id="817"/>
    </w:p>
    <w:p>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中国银保监会浙江监管局、杭州市地方金融监督管理局、杭州市经济和信息化局制定《杭州市政府采购支持中小企业信用融资管理办法》。相关事项通知如下：</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三、政府采购信用融资操作流程：</w:t>
      </w:r>
    </w:p>
    <w:p>
      <w:pPr>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tabs>
          <w:tab w:val="left" w:pos="432"/>
        </w:tabs>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（三）杭州e融平台申请融资</w:t>
      </w:r>
    </w:p>
    <w:p>
      <w:pPr>
        <w:tabs>
          <w:tab w:val="left" w:pos="432"/>
        </w:tabs>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供应商通过杭州e融平台政采贷专区，自行选择金融产品，按规定手续办理贷款流程。</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 w:hAnsi="仿宋" w:eastAsia="仿宋" w:cs="仿宋_GB2312"/>
          <w:color w:val="auto"/>
          <w:sz w:val="24"/>
          <w:highlight w:val="none"/>
        </w:rPr>
        <w:t>。</w:t>
      </w:r>
    </w:p>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br w:type="page"/>
      </w:r>
    </w:p>
    <w:p>
      <w:pPr>
        <w:pStyle w:val="4"/>
        <w:jc w:val="left"/>
        <w:rPr>
          <w:rFonts w:ascii="仿宋" w:hAnsi="仿宋" w:eastAsia="仿宋"/>
          <w:color w:val="auto"/>
          <w:sz w:val="32"/>
          <w:szCs w:val="32"/>
          <w:highlight w:val="none"/>
        </w:rPr>
      </w:pPr>
      <w:bookmarkStart w:id="818" w:name="_Toc28957"/>
      <w:r>
        <w:rPr>
          <w:rFonts w:hint="eastAsia" w:ascii="仿宋" w:hAnsi="仿宋" w:eastAsia="仿宋"/>
          <w:color w:val="auto"/>
          <w:sz w:val="32"/>
          <w:szCs w:val="32"/>
          <w:highlight w:val="none"/>
        </w:rPr>
        <w:t>附件1：</w:t>
      </w:r>
      <w:bookmarkEnd w:id="818"/>
    </w:p>
    <w:p>
      <w:pPr>
        <w:pStyle w:val="4"/>
        <w:jc w:val="center"/>
        <w:rPr>
          <w:rFonts w:ascii="仿宋" w:hAnsi="仿宋" w:eastAsia="仿宋"/>
          <w:color w:val="auto"/>
          <w:sz w:val="32"/>
          <w:szCs w:val="32"/>
          <w:highlight w:val="none"/>
        </w:rPr>
      </w:pPr>
      <w:bookmarkStart w:id="819" w:name="_Toc23554"/>
      <w:bookmarkStart w:id="820" w:name="OLE_LINK14"/>
      <w:bookmarkStart w:id="821" w:name="OLE_LINK13"/>
      <w:r>
        <w:rPr>
          <w:rFonts w:hint="eastAsia" w:ascii="仿宋" w:hAnsi="仿宋" w:eastAsia="仿宋"/>
          <w:color w:val="auto"/>
          <w:sz w:val="32"/>
          <w:szCs w:val="32"/>
          <w:highlight w:val="none"/>
        </w:rPr>
        <w:t>残疾人福利性单位声明函</w:t>
      </w:r>
      <w:bookmarkEnd w:id="819"/>
      <w:bookmarkEnd w:id="820"/>
      <w:bookmarkEnd w:id="821"/>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本单位郑重声明，根据《财政部</w:t>
      </w:r>
      <w:r>
        <w:rPr>
          <w:rFonts w:ascii="仿宋" w:hAnsi="仿宋" w:eastAsia="仿宋" w:cs="仿宋_GB2312"/>
          <w:color w:val="auto"/>
          <w:sz w:val="24"/>
          <w:highlight w:val="none"/>
        </w:rPr>
        <w:t xml:space="preserve"> </w:t>
      </w:r>
      <w:r>
        <w:rPr>
          <w:rFonts w:hint="eastAsia" w:ascii="仿宋" w:hAnsi="仿宋" w:eastAsia="仿宋" w:cs="仿宋_GB2312"/>
          <w:color w:val="auto"/>
          <w:sz w:val="24"/>
          <w:highlight w:val="none"/>
        </w:rPr>
        <w:t>民政部</w:t>
      </w:r>
      <w:r>
        <w:rPr>
          <w:rFonts w:ascii="仿宋" w:hAnsi="仿宋" w:eastAsia="仿宋" w:cs="仿宋_GB2312"/>
          <w:color w:val="auto"/>
          <w:sz w:val="24"/>
          <w:highlight w:val="none"/>
        </w:rPr>
        <w:t xml:space="preserve"> </w:t>
      </w:r>
      <w:r>
        <w:rPr>
          <w:rFonts w:hint="eastAsia" w:ascii="仿宋" w:hAnsi="仿宋" w:eastAsia="仿宋" w:cs="仿宋_GB2312"/>
          <w:color w:val="auto"/>
          <w:sz w:val="24"/>
          <w:highlight w:val="none"/>
        </w:rPr>
        <w:t>中国残疾人联合会关于促进残疾人就业政府采购政策的通知》（财库〔</w:t>
      </w:r>
      <w:r>
        <w:rPr>
          <w:rFonts w:ascii="仿宋" w:hAnsi="仿宋" w:eastAsia="仿宋"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本单位对上述声明的真实性负责。如有虚假，将依法承担相应责任。</w:t>
      </w:r>
    </w:p>
    <w:p>
      <w:pPr>
        <w:snapToGrid w:val="0"/>
        <w:spacing w:line="360" w:lineRule="auto"/>
        <w:ind w:firstLine="480" w:firstLineChars="200"/>
        <w:rPr>
          <w:rFonts w:ascii="仿宋" w:hAnsi="仿宋" w:eastAsia="仿宋" w:cs="仿宋_GB2312"/>
          <w:color w:val="auto"/>
          <w:sz w:val="24"/>
          <w:highlight w:val="none"/>
        </w:rPr>
      </w:pPr>
    </w:p>
    <w:p>
      <w:pPr>
        <w:snapToGrid w:val="0"/>
        <w:spacing w:line="360" w:lineRule="auto"/>
        <w:ind w:firstLine="480" w:firstLineChars="200"/>
        <w:rPr>
          <w:rFonts w:ascii="仿宋" w:hAnsi="仿宋" w:eastAsia="仿宋" w:cs="仿宋_GB2312"/>
          <w:color w:val="auto"/>
          <w:sz w:val="24"/>
          <w:highlight w:val="none"/>
        </w:rPr>
      </w:pPr>
    </w:p>
    <w:p>
      <w:pPr>
        <w:tabs>
          <w:tab w:val="left" w:pos="4860"/>
        </w:tabs>
        <w:snapToGrid w:val="0"/>
        <w:spacing w:line="360" w:lineRule="auto"/>
        <w:ind w:firstLine="480" w:firstLineChars="200"/>
        <w:jc w:val="center"/>
        <w:rPr>
          <w:rFonts w:ascii="仿宋" w:hAnsi="仿宋" w:eastAsia="仿宋" w:cs="仿宋_GB2312"/>
          <w:color w:val="auto"/>
          <w:sz w:val="24"/>
          <w:highlight w:val="none"/>
        </w:rPr>
      </w:pPr>
      <w:r>
        <w:rPr>
          <w:rFonts w:ascii="仿宋" w:hAnsi="仿宋" w:eastAsia="仿宋" w:cs="仿宋_GB2312"/>
          <w:color w:val="auto"/>
          <w:sz w:val="24"/>
          <w:highlight w:val="none"/>
        </w:rPr>
        <w:t xml:space="preserve">               </w:t>
      </w:r>
      <w:r>
        <w:rPr>
          <w:rFonts w:hint="eastAsia" w:ascii="仿宋" w:hAnsi="仿宋" w:eastAsia="仿宋" w:cs="仿宋_GB2312"/>
          <w:color w:val="auto"/>
          <w:kern w:val="0"/>
          <w:sz w:val="24"/>
          <w:highlight w:val="none"/>
          <w:lang w:val="zh-CN"/>
        </w:rPr>
        <w:t xml:space="preserve"> 投标人名称(电子签名)</w:t>
      </w:r>
      <w:r>
        <w:rPr>
          <w:rFonts w:hint="eastAsia" w:ascii="仿宋" w:hAnsi="仿宋" w:eastAsia="仿宋" w:cs="仿宋_GB2312"/>
          <w:color w:val="auto"/>
          <w:sz w:val="24"/>
          <w:highlight w:val="none"/>
        </w:rPr>
        <w:t>：</w:t>
      </w:r>
    </w:p>
    <w:p>
      <w:pPr>
        <w:tabs>
          <w:tab w:val="left" w:pos="4860"/>
        </w:tabs>
        <w:snapToGrid w:val="0"/>
        <w:spacing w:line="360" w:lineRule="auto"/>
        <w:ind w:firstLine="480" w:firstLineChars="200"/>
        <w:jc w:val="center"/>
        <w:rPr>
          <w:rFonts w:ascii="仿宋" w:hAnsi="仿宋" w:eastAsia="仿宋" w:cs="仿宋_GB2312"/>
          <w:color w:val="auto"/>
          <w:sz w:val="24"/>
          <w:highlight w:val="none"/>
        </w:rPr>
      </w:pPr>
      <w:r>
        <w:rPr>
          <w:rFonts w:ascii="仿宋" w:hAnsi="仿宋" w:eastAsia="仿宋" w:cs="仿宋_GB2312"/>
          <w:color w:val="auto"/>
          <w:sz w:val="24"/>
          <w:highlight w:val="none"/>
        </w:rPr>
        <w:t xml:space="preserve">       日  期：</w:t>
      </w:r>
    </w:p>
    <w:p>
      <w:pPr>
        <w:snapToGrid w:val="0"/>
        <w:spacing w:line="360" w:lineRule="auto"/>
        <w:ind w:firstLine="480" w:firstLineChars="200"/>
        <w:rPr>
          <w:rFonts w:ascii="仿宋" w:hAnsi="仿宋" w:eastAsia="仿宋" w:cs="仿宋_GB2312"/>
          <w:color w:val="auto"/>
          <w:sz w:val="24"/>
          <w:highlight w:val="none"/>
        </w:rPr>
      </w:pPr>
    </w:p>
    <w:p>
      <w:pPr>
        <w:snapToGrid w:val="0"/>
        <w:spacing w:line="360" w:lineRule="auto"/>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pStyle w:val="4"/>
        <w:jc w:val="left"/>
        <w:rPr>
          <w:rFonts w:ascii="仿宋" w:hAnsi="仿宋" w:eastAsia="仿宋"/>
          <w:color w:val="auto"/>
          <w:sz w:val="32"/>
          <w:szCs w:val="32"/>
          <w:highlight w:val="none"/>
        </w:rPr>
      </w:pPr>
      <w:bookmarkStart w:id="822" w:name="_Toc23705"/>
      <w:r>
        <w:rPr>
          <w:rFonts w:hint="eastAsia" w:ascii="仿宋" w:hAnsi="仿宋" w:eastAsia="仿宋"/>
          <w:color w:val="auto"/>
          <w:sz w:val="32"/>
          <w:szCs w:val="32"/>
          <w:highlight w:val="none"/>
        </w:rPr>
        <w:t>附件2：质疑函范本及制作说明</w:t>
      </w:r>
      <w:bookmarkEnd w:id="822"/>
    </w:p>
    <w:p>
      <w:pPr>
        <w:snapToGrid w:val="0"/>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质疑函范本</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ascii="仿宋" w:hAnsi="仿宋" w:eastAsia="仿宋" w:cs="仿宋"/>
          <w:color w:val="auto"/>
          <w:sz w:val="24"/>
          <w:highlight w:val="none"/>
          <w:u w:val="dotted"/>
        </w:rPr>
        <w:t xml:space="preserve">                                           </w:t>
      </w:r>
      <w:r>
        <w:rPr>
          <w:rFonts w:ascii="仿宋" w:hAnsi="仿宋" w:eastAsia="仿宋" w:cs="仿宋"/>
          <w:color w:val="auto"/>
          <w:sz w:val="24"/>
          <w:highlight w:val="non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ascii="仿宋" w:hAnsi="仿宋" w:eastAsia="仿宋" w:cs="仿宋"/>
          <w:color w:val="auto"/>
          <w:sz w:val="24"/>
          <w:highlight w:val="none"/>
        </w:rPr>
        <w:t xml:space="preserve"> </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1：</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r>
        <w:rPr>
          <w:rFonts w:ascii="仿宋" w:hAnsi="仿宋" w:eastAsia="仿宋"/>
          <w:color w:val="auto"/>
          <w:sz w:val="24"/>
          <w:highlight w:val="none"/>
        </w:rPr>
        <w:t xml:space="preserve">    </w:t>
      </w:r>
    </w:p>
    <w:p>
      <w:pPr>
        <w:snapToGrid w:val="0"/>
        <w:spacing w:line="360" w:lineRule="auto"/>
        <w:jc w:val="center"/>
        <w:rPr>
          <w:rFonts w:ascii="仿宋" w:hAnsi="仿宋" w:eastAsia="仿宋" w:cs="仿宋"/>
          <w:b/>
          <w:bCs/>
          <w:color w:val="auto"/>
          <w:sz w:val="24"/>
          <w:highlight w:val="none"/>
        </w:rPr>
      </w:pP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质疑函制作说明：</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1.供应商提出质疑时，应提交质疑函和必要的证明材料。</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2.质疑供应商若委托代理人进行质疑的，</w:t>
      </w:r>
      <w:r>
        <w:rPr>
          <w:rFonts w:hint="eastAsia" w:ascii="仿宋" w:hAnsi="仿宋" w:eastAsia="仿宋"/>
          <w:color w:val="auto"/>
          <w:sz w:val="24"/>
          <w:highlight w:val="none"/>
        </w:rPr>
        <w:t>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3.质疑供应商若对项目的某一分包进行质疑，质疑函中应列明具体分包号。</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4.质疑函的质疑事项应具体、明确，并有必要的事实依据和法律依据。</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5.质疑函的质疑请求应与质疑事项相关。</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6.质疑供应商为自然人的，</w:t>
      </w:r>
      <w:r>
        <w:rPr>
          <w:rFonts w:hint="eastAsia" w:ascii="仿宋" w:hAnsi="仿宋" w:eastAsia="仿宋"/>
          <w:color w:val="auto"/>
          <w:sz w:val="24"/>
          <w:highlight w:val="none"/>
        </w:rPr>
        <w:t>质疑函应由本人签字；质疑供应商为法人或者其他组织的，质疑函应由法定代表人、主要负责人，或者其授权代表签字或者盖章，并加盖公章。</w:t>
      </w:r>
    </w:p>
    <w:p>
      <w:pPr>
        <w:widowControl/>
        <w:snapToGrid w:val="0"/>
        <w:spacing w:line="360" w:lineRule="auto"/>
        <w:ind w:firstLine="600" w:firstLineChars="200"/>
        <w:jc w:val="left"/>
        <w:rPr>
          <w:rFonts w:ascii="仿宋" w:hAnsi="仿宋" w:eastAsia="仿宋"/>
          <w:color w:val="auto"/>
          <w:sz w:val="30"/>
          <w:szCs w:val="30"/>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left"/>
        <w:rPr>
          <w:rFonts w:ascii="仿宋" w:hAnsi="仿宋" w:eastAsia="仿宋"/>
          <w:b/>
          <w:color w:val="auto"/>
          <w:spacing w:val="6"/>
          <w:sz w:val="32"/>
          <w:szCs w:val="32"/>
          <w:highlight w:val="none"/>
        </w:rPr>
      </w:pPr>
    </w:p>
    <w:p>
      <w:pPr>
        <w:tabs>
          <w:tab w:val="left" w:pos="432"/>
        </w:tabs>
        <w:spacing w:line="360" w:lineRule="auto"/>
        <w:jc w:val="left"/>
        <w:rPr>
          <w:rFonts w:ascii="仿宋" w:hAnsi="仿宋" w:eastAsia="仿宋"/>
          <w:color w:val="auto"/>
          <w:sz w:val="32"/>
          <w:szCs w:val="32"/>
          <w:highlight w:val="none"/>
        </w:rPr>
      </w:pPr>
    </w:p>
    <w:p>
      <w:pPr>
        <w:pStyle w:val="4"/>
        <w:jc w:val="left"/>
        <w:rPr>
          <w:rFonts w:ascii="仿宋" w:hAnsi="仿宋" w:eastAsia="仿宋"/>
          <w:color w:val="auto"/>
          <w:sz w:val="32"/>
          <w:szCs w:val="32"/>
          <w:highlight w:val="none"/>
        </w:rPr>
      </w:pPr>
      <w:bookmarkStart w:id="823" w:name="_Toc687"/>
      <w:r>
        <w:rPr>
          <w:rFonts w:hint="eastAsia" w:ascii="仿宋" w:hAnsi="仿宋" w:eastAsia="仿宋"/>
          <w:color w:val="auto"/>
          <w:sz w:val="32"/>
          <w:szCs w:val="32"/>
          <w:highlight w:val="none"/>
        </w:rPr>
        <w:t>附件3：投诉书范本及制作说明</w:t>
      </w:r>
      <w:bookmarkEnd w:id="823"/>
    </w:p>
    <w:p>
      <w:pPr>
        <w:snapToGrid w:val="0"/>
        <w:spacing w:line="360" w:lineRule="auto"/>
        <w:jc w:val="center"/>
        <w:rPr>
          <w:rFonts w:ascii="仿宋" w:hAnsi="仿宋" w:eastAsia="仿宋"/>
          <w:b/>
          <w:color w:val="auto"/>
          <w:sz w:val="24"/>
          <w:highlight w:val="none"/>
        </w:rPr>
      </w:pPr>
    </w:p>
    <w:p>
      <w:pPr>
        <w:snapToGrid w:val="0"/>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投诉书范本</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一、投诉相关主体基本情况</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投诉人：</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tabs>
          <w:tab w:val="left" w:pos="6510"/>
        </w:tabs>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法定代表人</w:t>
      </w:r>
      <w:r>
        <w:rPr>
          <w:rFonts w:ascii="仿宋" w:hAnsi="仿宋" w:eastAsia="仿宋"/>
          <w:color w:val="auto"/>
          <w:sz w:val="24"/>
          <w:highlight w:val="none"/>
        </w:rPr>
        <w:t>/主要负责人：</w:t>
      </w: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pPr>
        <w:tabs>
          <w:tab w:val="left" w:pos="6510"/>
        </w:tabs>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授权代表：</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hint="eastAsia" w:ascii="仿宋" w:hAnsi="仿宋" w:eastAsia="仿宋"/>
          <w:color w:val="auto"/>
          <w:sz w:val="24"/>
          <w:highlight w:val="none"/>
          <w:u w:val="dotted"/>
        </w:rPr>
        <w:t>：</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被投诉人</w:t>
      </w:r>
      <w:r>
        <w:rPr>
          <w:rFonts w:ascii="仿宋" w:hAnsi="仿宋" w:eastAsia="仿宋"/>
          <w:color w:val="auto"/>
          <w:sz w:val="24"/>
          <w:highlight w:val="none"/>
        </w:rPr>
        <w:t>1：</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被投诉人</w:t>
      </w:r>
      <w:r>
        <w:rPr>
          <w:rFonts w:ascii="仿宋" w:hAnsi="仿宋" w:eastAsia="仿宋"/>
          <w:color w:val="auto"/>
          <w:sz w:val="24"/>
          <w:highlight w:val="none"/>
        </w:rPr>
        <w:t>2</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相关供应商：</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二、投诉项目基本情况</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采购项目名称：</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采购项目编号：</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包号：</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采购人名称：</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代理机构名称：</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采购文件公告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采购结果公告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三、质疑基本情况</w:t>
      </w:r>
    </w:p>
    <w:p>
      <w:pPr>
        <w:snapToGrid w:val="0"/>
        <w:spacing w:line="360" w:lineRule="auto"/>
        <w:ind w:firstLine="480" w:firstLineChars="200"/>
        <w:rPr>
          <w:rFonts w:ascii="仿宋" w:hAnsi="仿宋" w:eastAsia="仿宋"/>
          <w:color w:val="auto"/>
          <w:sz w:val="24"/>
          <w:highlight w:val="none"/>
          <w:u w:val="dotted"/>
        </w:rPr>
      </w:pPr>
      <w:r>
        <w:rPr>
          <w:rFonts w:hint="eastAsia" w:ascii="仿宋" w:hAnsi="仿宋" w:eastAsia="仿宋"/>
          <w:color w:val="auto"/>
          <w:sz w:val="24"/>
          <w:highlight w:val="none"/>
        </w:rPr>
        <w:t>投诉人于</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年</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月</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日</w:t>
      </w:r>
      <w:r>
        <w:rPr>
          <w:rFonts w:ascii="仿宋" w:hAnsi="仿宋" w:eastAsia="仿宋"/>
          <w:color w:val="auto"/>
          <w:sz w:val="24"/>
          <w:highlight w:val="none"/>
        </w:rPr>
        <w:t>,向</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提出质疑，质疑事项为：</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pPr>
        <w:snapToGrid w:val="0"/>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u w:val="dotted"/>
        </w:rPr>
        <w:t>采购人</w:t>
      </w:r>
      <w:r>
        <w:rPr>
          <w:rFonts w:ascii="仿宋" w:hAnsi="仿宋" w:eastAsia="仿宋"/>
          <w:color w:val="auto"/>
          <w:sz w:val="24"/>
          <w:highlight w:val="none"/>
          <w:u w:val="dotted"/>
        </w:rPr>
        <w:t>/代理机构</w:t>
      </w:r>
      <w:r>
        <w:rPr>
          <w:rFonts w:hint="eastAsia" w:ascii="仿宋" w:hAnsi="仿宋" w:eastAsia="仿宋"/>
          <w:color w:val="auto"/>
          <w:sz w:val="24"/>
          <w:highlight w:val="none"/>
        </w:rPr>
        <w:t>于</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年</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月</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日</w:t>
      </w:r>
      <w:r>
        <w:rPr>
          <w:rFonts w:ascii="仿宋" w:hAnsi="仿宋" w:eastAsia="仿宋"/>
          <w:color w:val="auto"/>
          <w:sz w:val="24"/>
          <w:highlight w:val="none"/>
        </w:rPr>
        <w:t>,就质疑事项</w:t>
      </w:r>
      <w:r>
        <w:rPr>
          <w:rFonts w:hint="eastAsia" w:ascii="仿宋" w:hAnsi="仿宋" w:eastAsia="仿宋"/>
          <w:color w:val="auto"/>
          <w:sz w:val="24"/>
          <w:highlight w:val="none"/>
        </w:rPr>
        <w:t>作出了答复</w:t>
      </w:r>
      <w:r>
        <w:rPr>
          <w:rFonts w:ascii="仿宋" w:hAnsi="仿宋" w:eastAsia="仿宋"/>
          <w:color w:val="auto"/>
          <w:sz w:val="24"/>
          <w:highlight w:val="none"/>
        </w:rPr>
        <w:t>/没有在法定期限内</w:t>
      </w:r>
      <w:r>
        <w:rPr>
          <w:rFonts w:hint="eastAsia" w:ascii="仿宋" w:hAnsi="仿宋" w:eastAsia="仿宋"/>
          <w:color w:val="auto"/>
          <w:sz w:val="24"/>
          <w:highlight w:val="none"/>
        </w:rPr>
        <w:t>作出答复。</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四、投诉事项具体内容</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投诉事项</w:t>
      </w:r>
      <w:r>
        <w:rPr>
          <w:rFonts w:ascii="仿宋" w:hAnsi="仿宋" w:eastAsia="仿宋"/>
          <w:color w:val="auto"/>
          <w:sz w:val="24"/>
          <w:highlight w:val="none"/>
        </w:rPr>
        <w:t xml:space="preserve"> 1：</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事实依据：</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法律依据：</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投诉事项</w:t>
      </w:r>
      <w:r>
        <w:rPr>
          <w:rFonts w:ascii="仿宋" w:hAnsi="仿宋" w:eastAsia="仿宋"/>
          <w:color w:val="auto"/>
          <w:sz w:val="24"/>
          <w:highlight w:val="none"/>
        </w:rPr>
        <w:t>2</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五、与投诉事项相关的投诉请求</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请求：</w:t>
      </w: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pPr>
        <w:snapToGrid w:val="0"/>
        <w:spacing w:line="360" w:lineRule="auto"/>
        <w:rPr>
          <w:rFonts w:ascii="仿宋" w:hAnsi="仿宋" w:eastAsia="仿宋"/>
          <w:color w:val="auto"/>
          <w:sz w:val="24"/>
          <w:highlight w:val="none"/>
          <w:u w:val="single"/>
        </w:rPr>
      </w:pPr>
      <w:r>
        <w:rPr>
          <w:rFonts w:ascii="仿宋" w:hAnsi="仿宋" w:eastAsia="仿宋"/>
          <w:color w:val="auto"/>
          <w:sz w:val="24"/>
          <w:highlight w:val="none"/>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r>
        <w:rPr>
          <w:rFonts w:ascii="仿宋" w:hAnsi="仿宋" w:eastAsia="仿宋"/>
          <w:color w:val="auto"/>
          <w:sz w:val="24"/>
          <w:highlight w:val="none"/>
        </w:rPr>
        <w:t xml:space="preserve">    </w:t>
      </w: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投诉书制作说明：</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color w:val="auto"/>
          <w:sz w:val="24"/>
          <w:highlight w:val="none"/>
        </w:rPr>
        <w:t>1.投诉人提起投诉时，应当提交投诉书和必要的证明材料，并按照被投诉人和与投诉事项有关的供应商数量提供投诉书副本。</w:t>
      </w:r>
    </w:p>
    <w:p>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3.投诉人若对项目的某一分包进行投诉，投诉书应列明具体分包号。</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4.投诉书应简要列明质疑事项，质疑函、质疑答复等作为附件材料提供。</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5.投诉书的投诉事项应具体、明确，并有必要的事实依据和法律依据。</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6.投诉书的投诉请求应与投诉事项相关。</w:t>
      </w:r>
    </w:p>
    <w:p>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7.投诉人为自然人的，投诉书应当由本人签字；投诉人为法人或者其他组织的，投诉书应当由法定代表人、主要负责人，或者其授权代表签字或者盖章，并加盖公章。</w:t>
      </w:r>
    </w:p>
    <w:p>
      <w:pPr>
        <w:tabs>
          <w:tab w:val="left" w:pos="432"/>
        </w:tabs>
        <w:spacing w:line="360" w:lineRule="auto"/>
        <w:rPr>
          <w:rFonts w:ascii="仿宋" w:hAnsi="仿宋" w:eastAsia="仿宋"/>
          <w:color w:val="auto"/>
          <w:sz w:val="32"/>
          <w:szCs w:val="32"/>
          <w:highlight w:val="none"/>
        </w:rPr>
      </w:pPr>
    </w:p>
    <w:p>
      <w:pPr>
        <w:pStyle w:val="4"/>
        <w:jc w:val="center"/>
        <w:rPr>
          <w:rFonts w:ascii="仿宋" w:hAnsi="仿宋" w:eastAsia="仿宋"/>
          <w:color w:val="auto"/>
          <w:sz w:val="32"/>
          <w:szCs w:val="32"/>
          <w:highlight w:val="none"/>
        </w:rPr>
      </w:pPr>
      <w:bookmarkStart w:id="824" w:name="_Toc5582"/>
      <w:r>
        <w:rPr>
          <w:rFonts w:hint="eastAsia" w:ascii="仿宋" w:hAnsi="仿宋" w:eastAsia="仿宋"/>
          <w:color w:val="auto"/>
          <w:sz w:val="32"/>
          <w:szCs w:val="32"/>
          <w:highlight w:val="none"/>
        </w:rPr>
        <w:t>附件4：业务专用章使用说明函</w:t>
      </w:r>
      <w:bookmarkEnd w:id="824"/>
    </w:p>
    <w:p>
      <w:pPr>
        <w:snapToGrid w:val="0"/>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杭州市临平区人民政府临平街道办事处 、杭州中瑞招标代理有限公司</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投标人</w:t>
      </w:r>
      <w:r>
        <w:rPr>
          <w:rFonts w:ascii="仿宋" w:hAnsi="仿宋" w:eastAsia="仿宋" w:cs="仿宋_GB2312"/>
          <w:color w:val="auto"/>
          <w:sz w:val="24"/>
          <w:highlight w:val="none"/>
        </w:rPr>
        <w:t>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你方组织的“俞樾纪念馆”陈列布展服务项目【招标编号：HZZR-F221201N</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napToGrid w:val="0"/>
        <w:spacing w:line="360" w:lineRule="auto"/>
        <w:ind w:firstLine="494"/>
        <w:rPr>
          <w:rFonts w:ascii="仿宋" w:hAnsi="仿宋" w:eastAsia="仿宋" w:cs="宋体"/>
          <w:color w:val="auto"/>
          <w:sz w:val="24"/>
          <w:highlight w:val="none"/>
        </w:rPr>
      </w:pPr>
    </w:p>
    <w:p>
      <w:pPr>
        <w:snapToGrid w:val="0"/>
        <w:spacing w:line="360" w:lineRule="auto"/>
        <w:ind w:firstLine="494"/>
        <w:rPr>
          <w:rFonts w:ascii="仿宋" w:hAnsi="仿宋" w:eastAsia="仿宋" w:cs="宋体"/>
          <w:color w:val="auto"/>
          <w:sz w:val="24"/>
          <w:highlight w:val="none"/>
        </w:rPr>
      </w:pPr>
    </w:p>
    <w:p>
      <w:pPr>
        <w:snapToGrid w:val="0"/>
        <w:spacing w:line="360" w:lineRule="auto"/>
        <w:ind w:firstLine="494"/>
        <w:rPr>
          <w:rFonts w:ascii="仿宋" w:hAnsi="仿宋" w:eastAsia="仿宋" w:cs="宋体"/>
          <w:color w:val="auto"/>
          <w:sz w:val="24"/>
          <w:highlight w:val="none"/>
        </w:rPr>
      </w:pPr>
    </w:p>
    <w:p>
      <w:pPr>
        <w:snapToGrid w:val="0"/>
        <w:spacing w:line="360" w:lineRule="auto"/>
        <w:ind w:firstLine="494"/>
        <w:rPr>
          <w:rFonts w:ascii="仿宋" w:hAnsi="仿宋" w:eastAsia="仿宋" w:cs="宋体"/>
          <w:color w:val="auto"/>
          <w:sz w:val="24"/>
          <w:highlight w:val="none"/>
        </w:rPr>
      </w:pPr>
    </w:p>
    <w:p>
      <w:pPr>
        <w:snapToGrid w:val="0"/>
        <w:spacing w:line="360" w:lineRule="auto"/>
        <w:ind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snapToGrid w:val="0"/>
        <w:spacing w:line="360" w:lineRule="auto"/>
        <w:ind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snapToGrid w:val="0"/>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napToGrid w:val="0"/>
        <w:spacing w:line="360" w:lineRule="auto"/>
        <w:rPr>
          <w:rFonts w:ascii="仿宋" w:hAnsi="仿宋" w:eastAsia="仿宋"/>
          <w:bCs/>
          <w:color w:val="auto"/>
          <w:sz w:val="24"/>
          <w:highlight w:val="none"/>
        </w:rPr>
      </w:pPr>
      <w:r>
        <w:rPr>
          <w:rFonts w:ascii="仿宋" w:hAnsi="仿宋" w:eastAsia="仿宋"/>
          <w:color w:val="auto"/>
          <w:highlight w:val="none"/>
        </w:rPr>
        <mc:AlternateContent>
          <mc:Choice Requires="wps">
            <w:drawing>
              <wp:anchor distT="0" distB="0" distL="114300" distR="114300" simplePos="0" relativeHeight="25166540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矩形 2"/>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238.9pt;margin-top:28.05pt;height:177.45pt;width:212.95pt;z-index:-25165107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z/jB2AAAAAoBAAAPAAAAAAAAAAEAIAAAACIAAABkcnMvZG93bnJldi54&#10;bWxQSwECFAAUAAAACACHTuJAOusx0foBAAAfBAAADgAAAAAAAAABACAAAAAnAQAAZHJzL2Uyb0Rv&#10;Yy54bWxQSwUGAAAAAAYABgBZAQAAkwUAAAAA&#10;">
                <v:fill on="t" focussize="0,0"/>
                <v:stroke color="#000000" joinstyle="miter"/>
                <v:imagedata o:title=""/>
                <o:lock v:ext="edit" aspectratio="f"/>
              </v:rect>
            </w:pict>
          </mc:Fallback>
        </mc:AlternateContent>
      </w:r>
      <w:r>
        <w:rPr>
          <w:rFonts w:ascii="仿宋" w:hAnsi="仿宋" w:eastAsia="仿宋"/>
          <w:color w:val="auto"/>
          <w:highlight w:val="none"/>
        </w:rPr>
        <mc:AlternateContent>
          <mc:Choice Requires="wps">
            <w:drawing>
              <wp:anchor distT="0" distB="0" distL="114300" distR="114300" simplePos="0" relativeHeight="251667456" behindDoc="1" locked="0" layoutInCell="1" allowOverlap="1">
                <wp:simplePos x="0" y="0"/>
                <wp:positionH relativeFrom="column">
                  <wp:posOffset>-88265</wp:posOffset>
                </wp:positionH>
                <wp:positionV relativeFrom="paragraph">
                  <wp:posOffset>384810</wp:posOffset>
                </wp:positionV>
                <wp:extent cx="2647950" cy="2253615"/>
                <wp:effectExtent l="5080" t="4445" r="13970" b="8890"/>
                <wp:wrapNone/>
                <wp:docPr id="2" name="矩形 1"/>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 o:spid="_x0000_s1026" o:spt="1" style="position:absolute;left:0pt;margin-left:-6.95pt;margin-top:30.3pt;height:177.45pt;width:208.5pt;z-index:-251649024;mso-width-relative:page;mso-height-relative:page;" fillcolor="#FFFFFF" filled="t" stroked="t" coordsize="21600,21600" o:gfxdata="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K7wjH2QAAAAoBAAAPAAAAAAAAAAEAIAAAACIAAABkcnMvZG93bnJldi54&#10;bWxQSwECFAAUAAAACACHTuJAJgI4f/kBAAAfBAAADgAAAAAAAAABACAAAAAoAQAAZHJzL2Uyb0Rv&#10;Yy54bWxQSwUGAAAAAAYABgBZAQAAkwUAAAAA&#10;">
                <v:fill on="t" focussize="0,0"/>
                <v:stroke color="#000000"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snapToGrid w:val="0"/>
        <w:spacing w:line="360" w:lineRule="auto"/>
        <w:jc w:val="center"/>
        <w:rPr>
          <w:rFonts w:ascii="仿宋" w:hAnsi="仿宋" w:eastAsia="仿宋"/>
          <w:b/>
          <w:color w:val="auto"/>
          <w:spacing w:val="6"/>
          <w:sz w:val="32"/>
          <w:szCs w:val="32"/>
          <w:highlight w:val="none"/>
        </w:rPr>
      </w:pPr>
    </w:p>
    <w:p>
      <w:pPr>
        <w:autoSpaceDE w:val="0"/>
        <w:autoSpaceDN w:val="0"/>
        <w:snapToGrid w:val="0"/>
        <w:spacing w:line="360" w:lineRule="auto"/>
        <w:jc w:val="center"/>
        <w:rPr>
          <w:rFonts w:ascii="仿宋" w:hAnsi="仿宋" w:eastAsia="仿宋"/>
          <w:b/>
          <w:color w:val="auto"/>
          <w:spacing w:val="6"/>
          <w:sz w:val="32"/>
          <w:szCs w:val="32"/>
          <w:highlight w:val="none"/>
        </w:rPr>
      </w:pPr>
    </w:p>
    <w:p>
      <w:pPr>
        <w:autoSpaceDE w:val="0"/>
        <w:autoSpaceDN w:val="0"/>
        <w:snapToGrid w:val="0"/>
        <w:spacing w:line="360" w:lineRule="auto"/>
        <w:jc w:val="center"/>
        <w:rPr>
          <w:rFonts w:ascii="仿宋" w:hAnsi="仿宋" w:eastAsia="仿宋"/>
          <w:b/>
          <w:color w:val="auto"/>
          <w:spacing w:val="6"/>
          <w:sz w:val="32"/>
          <w:szCs w:val="32"/>
          <w:highlight w:val="none"/>
        </w:rPr>
      </w:pPr>
    </w:p>
    <w:p>
      <w:pPr>
        <w:autoSpaceDE w:val="0"/>
        <w:autoSpaceDN w:val="0"/>
        <w:snapToGrid w:val="0"/>
        <w:spacing w:line="360" w:lineRule="auto"/>
        <w:jc w:val="center"/>
        <w:rPr>
          <w:rFonts w:ascii="仿宋" w:hAnsi="仿宋" w:eastAsia="仿宋"/>
          <w:b/>
          <w:color w:val="auto"/>
          <w:spacing w:val="6"/>
          <w:sz w:val="32"/>
          <w:szCs w:val="32"/>
          <w:highlight w:val="none"/>
        </w:rPr>
      </w:pPr>
    </w:p>
    <w:p>
      <w:pPr>
        <w:pStyle w:val="4"/>
        <w:rPr>
          <w:rFonts w:ascii="仿宋" w:hAnsi="仿宋" w:eastAsia="仿宋"/>
          <w:color w:val="auto"/>
          <w:sz w:val="32"/>
          <w:szCs w:val="32"/>
          <w:highlight w:val="none"/>
        </w:rPr>
      </w:pPr>
      <w:r>
        <w:rPr>
          <w:rFonts w:hint="eastAsia" w:ascii="仿宋" w:hAnsi="仿宋" w:eastAsia="仿宋"/>
          <w:color w:val="auto"/>
          <w:spacing w:val="6"/>
          <w:sz w:val="32"/>
          <w:szCs w:val="32"/>
          <w:highlight w:val="none"/>
        </w:rPr>
        <w:br w:type="page"/>
      </w:r>
      <w:bookmarkStart w:id="825" w:name="_Toc5504"/>
      <w:r>
        <w:rPr>
          <w:rFonts w:hint="eastAsia" w:ascii="仿宋" w:hAnsi="仿宋" w:eastAsia="仿宋"/>
          <w:color w:val="auto"/>
          <w:sz w:val="32"/>
          <w:szCs w:val="32"/>
          <w:highlight w:val="none"/>
        </w:rPr>
        <w:t>附件5：中小企业声明函</w:t>
      </w:r>
      <w:bookmarkEnd w:id="825"/>
    </w:p>
    <w:p>
      <w:pPr>
        <w:autoSpaceDE w:val="0"/>
        <w:autoSpaceDN w:val="0"/>
        <w:spacing w:before="480" w:beforeLines="200" w:after="480" w:afterLines="200" w:line="360" w:lineRule="auto"/>
        <w:jc w:val="center"/>
        <w:rPr>
          <w:rFonts w:ascii="仿宋" w:hAnsi="仿宋" w:eastAsia="仿宋" w:cs="宋体"/>
          <w:color w:val="auto"/>
          <w:kern w:val="0"/>
          <w:sz w:val="24"/>
          <w:highlight w:val="none"/>
        </w:rPr>
      </w:pPr>
      <w:bookmarkStart w:id="826" w:name="_Hlk61009793"/>
      <w:r>
        <w:rPr>
          <w:rFonts w:hint="eastAsia" w:ascii="仿宋" w:hAnsi="仿宋" w:eastAsia="仿宋" w:cs="宋体"/>
          <w:b/>
          <w:color w:val="auto"/>
          <w:kern w:val="0"/>
          <w:sz w:val="24"/>
          <w:highlight w:val="none"/>
        </w:rPr>
        <w:t>中小企业声明函（货物</w:t>
      </w:r>
      <w:r>
        <w:rPr>
          <w:rFonts w:hint="eastAsia" w:ascii="仿宋" w:hAnsi="仿宋" w:eastAsia="仿宋" w:cs="宋体"/>
          <w:color w:val="auto"/>
          <w:kern w:val="0"/>
          <w:sz w:val="24"/>
          <w:highlight w:val="none"/>
        </w:rPr>
        <w:t>）</w:t>
      </w:r>
    </w:p>
    <w:bookmarkEnd w:id="826"/>
    <w:p>
      <w:pPr>
        <w:snapToGrid w:val="0"/>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（服务）</w:t>
      </w:r>
    </w:p>
    <w:p>
      <w:pPr>
        <w:snapToGrid w:val="0"/>
        <w:spacing w:line="360" w:lineRule="auto"/>
        <w:rPr>
          <w:rFonts w:ascii="仿宋" w:hAnsi="仿宋" w:eastAsia="仿宋"/>
          <w:color w:val="auto"/>
          <w:highlight w:val="none"/>
        </w:rPr>
      </w:pPr>
    </w:p>
    <w:p>
      <w:pPr>
        <w:snapToGrid w:val="0"/>
        <w:spacing w:line="360" w:lineRule="auto"/>
        <w:ind w:firstLine="360" w:firstLineChars="15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 xml:space="preserve">2020﹞46 </w:t>
      </w:r>
      <w:r>
        <w:rPr>
          <w:rFonts w:hint="eastAsia" w:ascii="仿宋" w:hAnsi="仿宋" w:eastAsia="仿宋"/>
          <w:color w:val="auto"/>
          <w:sz w:val="24"/>
          <w:highlight w:val="none"/>
        </w:rPr>
        <w:t>号）的规定，本公司（联合体）参加</w:t>
      </w:r>
      <w:r>
        <w:rPr>
          <w:rFonts w:ascii="仿宋" w:hAnsi="仿宋" w:eastAsia="仿宋"/>
          <w:color w:val="auto"/>
          <w:sz w:val="24"/>
          <w:highlight w:val="none"/>
        </w:rPr>
        <w:t xml:space="preserve"> </w:t>
      </w:r>
      <w:r>
        <w:rPr>
          <w:rFonts w:hint="eastAsia" w:ascii="仿宋" w:hAnsi="仿宋" w:eastAsia="仿宋"/>
          <w:color w:val="auto"/>
          <w:sz w:val="24"/>
          <w:highlight w:val="none"/>
        </w:rPr>
        <w:t>（单位名称）</w:t>
      </w:r>
      <w:r>
        <w:rPr>
          <w:rFonts w:ascii="仿宋" w:hAnsi="仿宋" w:eastAsia="仿宋"/>
          <w:color w:val="auto"/>
          <w:sz w:val="24"/>
          <w:highlight w:val="none"/>
        </w:rPr>
        <w:t xml:space="preserve"> </w:t>
      </w:r>
      <w:r>
        <w:rPr>
          <w:rFonts w:hint="eastAsia" w:ascii="仿宋" w:hAnsi="仿宋" w:eastAsia="仿宋"/>
          <w:color w:val="auto"/>
          <w:sz w:val="24"/>
          <w:highlight w:val="none"/>
        </w:rPr>
        <w:t>的</w:t>
      </w:r>
      <w:r>
        <w:rPr>
          <w:rFonts w:ascii="仿宋" w:hAnsi="仿宋" w:eastAsia="仿宋"/>
          <w:color w:val="auto"/>
          <w:sz w:val="24"/>
          <w:highlight w:val="none"/>
        </w:rPr>
        <w:t xml:space="preserve"> </w:t>
      </w:r>
      <w:r>
        <w:rPr>
          <w:rFonts w:hint="eastAsia" w:ascii="仿宋" w:hAnsi="仿宋" w:eastAsia="仿宋" w:cs="仿宋_GB2312"/>
          <w:color w:val="auto"/>
          <w:sz w:val="24"/>
          <w:highlight w:val="none"/>
        </w:rPr>
        <w:t>“俞樾纪念馆”陈列布展服务项目</w:t>
      </w:r>
      <w:r>
        <w:rPr>
          <w:rFonts w:hint="eastAsia" w:ascii="仿宋" w:hAnsi="仿宋" w:eastAsia="仿宋"/>
          <w:color w:val="auto"/>
          <w:sz w:val="24"/>
          <w:highlight w:val="none"/>
        </w:rPr>
        <w:t>采购活动，服务全部由符合政策要求的中小企业承接。相关企业（含联合体中的中小企业、签订分包意向协议的中小企业）的具体情况如下：</w:t>
      </w:r>
    </w:p>
    <w:p>
      <w:pPr>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ascii="仿宋" w:hAnsi="仿宋" w:eastAsia="仿宋"/>
          <w:color w:val="auto"/>
          <w:highlight w:val="none"/>
        </w:rPr>
        <w:t xml:space="preserve"> </w:t>
      </w:r>
      <w:r>
        <w:rPr>
          <w:rFonts w:hint="eastAsia" w:ascii="仿宋" w:hAnsi="仿宋" w:eastAsia="仿宋" w:cs="仿宋_GB2312"/>
          <w:color w:val="auto"/>
          <w:sz w:val="24"/>
          <w:highlight w:val="none"/>
          <w:u w:val="single"/>
        </w:rPr>
        <w:t>“俞樾纪念馆”陈列布展服务项目</w:t>
      </w:r>
      <w:r>
        <w:rPr>
          <w:rFonts w:hint="eastAsia" w:ascii="仿宋" w:hAnsi="仿宋" w:eastAsia="仿宋"/>
          <w:color w:val="auto"/>
          <w:sz w:val="24"/>
          <w:highlight w:val="none"/>
        </w:rPr>
        <w:t>，属于</w:t>
      </w:r>
      <w:r>
        <w:rPr>
          <w:rFonts w:ascii="仿宋" w:hAnsi="仿宋" w:eastAsia="仿宋"/>
          <w:color w:val="auto"/>
          <w:sz w:val="24"/>
          <w:highlight w:val="none"/>
        </w:rPr>
        <w:t xml:space="preserve"> </w:t>
      </w:r>
      <w:r>
        <w:rPr>
          <w:rFonts w:hint="eastAsia" w:ascii="仿宋" w:hAnsi="仿宋" w:eastAsia="仿宋"/>
          <w:color w:val="auto"/>
          <w:sz w:val="24"/>
          <w:highlight w:val="none"/>
          <w:u w:val="single"/>
        </w:rPr>
        <w:t>其他未列明行业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ascii="仿宋" w:hAnsi="仿宋" w:eastAsia="仿宋"/>
          <w:color w:val="auto"/>
          <w:highlight w:val="none"/>
        </w:rPr>
        <w:t xml:space="preserve"> </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ascii="仿宋" w:hAnsi="仿宋" w:eastAsia="仿宋"/>
          <w:color w:val="auto"/>
          <w:sz w:val="24"/>
          <w:highlight w:val="none"/>
        </w:rPr>
        <w:t xml:space="preserve"> </w:t>
      </w:r>
      <w:r>
        <w:rPr>
          <w:rFonts w:hint="eastAsia" w:ascii="仿宋" w:hAnsi="仿宋" w:eastAsia="仿宋"/>
          <w:color w:val="auto"/>
          <w:sz w:val="24"/>
          <w:highlight w:val="none"/>
          <w:u w:val="single"/>
        </w:rPr>
        <w:t>（</w:t>
      </w:r>
      <w:r>
        <w:rPr>
          <w:rFonts w:hint="eastAsia" w:ascii="仿宋" w:hAnsi="仿宋" w:eastAsia="仿宋" w:cs="Arial"/>
          <w:color w:val="auto"/>
          <w:kern w:val="0"/>
          <w:sz w:val="24"/>
          <w:highlight w:val="none"/>
          <w:u w:val="single"/>
        </w:rPr>
        <w:t>其他未列明</w:t>
      </w:r>
      <w:r>
        <w:rPr>
          <w:rFonts w:hint="eastAsia" w:ascii="仿宋" w:hAnsi="仿宋" w:eastAsia="仿宋"/>
          <w:color w:val="auto"/>
          <w:sz w:val="24"/>
          <w:highlight w:val="none"/>
          <w:u w:val="single"/>
        </w:rPr>
        <w:t>）行业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snapToGrid w:val="0"/>
        <w:spacing w:line="360" w:lineRule="auto"/>
        <w:jc w:val="right"/>
        <w:rPr>
          <w:rFonts w:ascii="仿宋" w:hAnsi="仿宋" w:eastAsia="仿宋"/>
          <w:color w:val="auto"/>
          <w:sz w:val="24"/>
          <w:highlight w:val="none"/>
        </w:rPr>
      </w:pPr>
      <w:r>
        <w:rPr>
          <w:rFonts w:hint="eastAsia" w:ascii="仿宋" w:hAnsi="仿宋" w:eastAsia="仿宋" w:cs="仿宋_GB2312"/>
          <w:color w:val="auto"/>
          <w:sz w:val="24"/>
          <w:highlight w:val="none"/>
        </w:rPr>
        <w:t xml:space="preserve"> 投标人名称(电子签名)</w:t>
      </w:r>
      <w:r>
        <w:rPr>
          <w:rFonts w:hint="eastAsia" w:ascii="仿宋" w:hAnsi="仿宋" w:eastAsia="仿宋"/>
          <w:color w:val="auto"/>
          <w:sz w:val="24"/>
          <w:highlight w:val="none"/>
        </w:rPr>
        <w:t>：</w:t>
      </w:r>
    </w:p>
    <w:p>
      <w:pPr>
        <w:snapToGrid w:val="0"/>
        <w:spacing w:line="360" w:lineRule="auto"/>
        <w:ind w:firstLine="6600" w:firstLineChars="2750"/>
        <w:rPr>
          <w:rFonts w:ascii="仿宋" w:hAnsi="仿宋" w:eastAsia="仿宋"/>
          <w:color w:val="auto"/>
          <w:sz w:val="24"/>
          <w:highlight w:val="none"/>
        </w:rPr>
      </w:pPr>
      <w:r>
        <w:rPr>
          <w:rFonts w:hint="eastAsia" w:ascii="仿宋" w:hAnsi="仿宋" w:eastAsia="仿宋"/>
          <w:color w:val="auto"/>
          <w:sz w:val="24"/>
          <w:highlight w:val="none"/>
        </w:rPr>
        <w:t>日</w:t>
      </w:r>
      <w:r>
        <w:rPr>
          <w:rFonts w:ascii="仿宋" w:hAnsi="仿宋" w:eastAsia="仿宋"/>
          <w:color w:val="auto"/>
          <w:sz w:val="24"/>
          <w:highlight w:val="none"/>
        </w:rPr>
        <w:t xml:space="preserve"> </w:t>
      </w:r>
      <w:r>
        <w:rPr>
          <w:rFonts w:hint="eastAsia" w:ascii="仿宋" w:hAnsi="仿宋" w:eastAsia="仿宋"/>
          <w:color w:val="auto"/>
          <w:sz w:val="24"/>
          <w:highlight w:val="none"/>
        </w:rPr>
        <w:t>期：</w:t>
      </w:r>
    </w:p>
    <w:p>
      <w:pPr>
        <w:spacing w:line="360" w:lineRule="auto"/>
        <w:ind w:right="420"/>
        <w:rPr>
          <w:rFonts w:ascii="仿宋" w:hAnsi="仿宋" w:eastAsia="仿宋" w:cs="宋体"/>
          <w:bCs/>
          <w:color w:val="auto"/>
          <w:sz w:val="24"/>
          <w:highlight w:val="none"/>
        </w:rPr>
      </w:pPr>
    </w:p>
    <w:p>
      <w:pPr>
        <w:spacing w:line="360" w:lineRule="auto"/>
        <w:ind w:right="420"/>
        <w:rPr>
          <w:rFonts w:ascii="仿宋" w:hAnsi="仿宋" w:eastAsia="仿宋" w:cs="宋体"/>
          <w:b/>
          <w:bCs/>
          <w:color w:val="auto"/>
          <w:sz w:val="24"/>
          <w:highlight w:val="none"/>
        </w:rPr>
      </w:pPr>
      <w:r>
        <w:rPr>
          <w:rFonts w:hint="eastAsia" w:ascii="仿宋" w:hAnsi="仿宋" w:eastAsia="仿宋" w:cs="宋体"/>
          <w:b/>
          <w:bCs/>
          <w:color w:val="auto"/>
          <w:sz w:val="24"/>
          <w:highlight w:val="none"/>
        </w:rPr>
        <w:t>注：</w:t>
      </w:r>
      <w:r>
        <w:rPr>
          <w:rFonts w:ascii="仿宋" w:hAnsi="仿宋" w:eastAsia="仿宋" w:cs="宋体"/>
          <w:b/>
          <w:bCs/>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2" w:firstLineChars="200"/>
        <w:rPr>
          <w:rFonts w:ascii="仿宋" w:hAnsi="仿宋" w:eastAsia="仿宋" w:cs="宋体"/>
          <w:b/>
          <w:bCs/>
          <w:color w:val="auto"/>
          <w:sz w:val="24"/>
          <w:highlight w:val="none"/>
        </w:rPr>
      </w:pPr>
      <w:r>
        <w:rPr>
          <w:rFonts w:ascii="仿宋" w:hAnsi="仿宋" w:eastAsia="仿宋" w:cs="宋体"/>
          <w:b/>
          <w:bCs/>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ascii="仿宋" w:hAnsi="仿宋" w:eastAsia="仿宋" w:cs="仿宋"/>
          <w:b/>
          <w:color w:val="auto"/>
          <w:highlight w:val="none"/>
        </w:rPr>
      </w:pPr>
    </w:p>
    <w:p>
      <w:pPr>
        <w:snapToGrid w:val="0"/>
        <w:spacing w:line="360" w:lineRule="auto"/>
        <w:rPr>
          <w:rFonts w:ascii="仿宋" w:hAnsi="仿宋" w:eastAsia="仿宋"/>
          <w:bCs/>
          <w:color w:val="auto"/>
          <w:sz w:val="24"/>
          <w:highlight w:val="none"/>
        </w:rPr>
      </w:pPr>
    </w:p>
    <w:p>
      <w:pPr>
        <w:spacing w:line="360" w:lineRule="auto"/>
        <w:rPr>
          <w:rFonts w:ascii="仿宋" w:hAnsi="仿宋" w:eastAsia="仿宋"/>
          <w:color w:val="auto"/>
          <w:highlight w:val="none"/>
        </w:rPr>
      </w:pPr>
    </w:p>
    <w:p>
      <w:pPr>
        <w:pStyle w:val="36"/>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36"/>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36"/>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36"/>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36"/>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36"/>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36"/>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36"/>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36"/>
        <w:spacing w:line="360" w:lineRule="auto"/>
        <w:rPr>
          <w:rFonts w:ascii="仿宋" w:hAnsi="仿宋" w:eastAsia="仿宋"/>
          <w:color w:val="auto"/>
          <w:highlight w:val="none"/>
        </w:rPr>
      </w:pPr>
    </w:p>
    <w:p>
      <w:pPr>
        <w:rPr>
          <w:color w:val="auto"/>
          <w:highlight w:val="none"/>
        </w:rPr>
      </w:pPr>
    </w:p>
    <w:sectPr>
      <w:headerReference r:id="rId13" w:type="first"/>
      <w:footerReference r:id="rId16" w:type="first"/>
      <w:headerReference r:id="rId12" w:type="default"/>
      <w:footerReference r:id="rId14" w:type="default"/>
      <w:footerReference r:id="rId15" w:type="even"/>
      <w:pgSz w:w="11906" w:h="16838"/>
      <w:pgMar w:top="1440" w:right="179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Microsoft Sans Serif">
    <w:panose1 w:val="020B0604020202020204"/>
    <w:charset w:val="00"/>
    <w:family w:val="swiss"/>
    <w:pitch w:val="default"/>
    <w:sig w:usb0="E5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86"/>
    <w:family w:val="roman"/>
    <w:pitch w:val="default"/>
    <w:sig w:usb0="00000000" w:usb1="00000000" w:usb2="0000001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6"/>
                    </w:pPr>
                    <w:r>
                      <w:fldChar w:fldCharType="begin"/>
                    </w:r>
                    <w:r>
                      <w:instrText xml:space="preserve"> PAGE  \* MERGEFORMAT </w:instrText>
                    </w:r>
                    <w:r>
                      <w:fldChar w:fldCharType="separate"/>
                    </w:r>
                    <w:r>
                      <w:t>3</w:t>
                    </w:r>
                    <w:r>
                      <w:fldChar w:fldCharType="end"/>
                    </w:r>
                  </w:p>
                </w:txbxContent>
              </v:textbox>
            </v:shape>
          </w:pict>
        </mc:Fallback>
      </mc:AlternateContent>
    </w:r>
  </w:p>
  <w:p>
    <w:pPr>
      <w:pStyle w:val="5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6"/>
                          </w:pPr>
                          <w:r>
                            <w:fldChar w:fldCharType="begin"/>
                          </w:r>
                          <w:r>
                            <w:instrText xml:space="preserve"> PAGE  \* MERGEFORMAT </w:instrText>
                          </w:r>
                          <w:r>
                            <w:fldChar w:fldCharType="separate"/>
                          </w:r>
                          <w:r>
                            <w:t>73</w:t>
                          </w:r>
                          <w:r>
                            <w:fldChar w:fldCharType="end"/>
                          </w:r>
                        </w:p>
                      </w:txbxContent>
                    </wps:txbx>
                    <wps:bodyPr wrap="none" lIns="0" tIns="0" rIns="0" bIns="0" upright="1">
                      <a:spAutoFit/>
                    </wps:bodyPr>
                  </wps:wsp>
                </a:graphicData>
              </a:graphic>
            </wp:anchor>
          </w:drawing>
        </mc:Choice>
        <mc:Fallback>
          <w:pict>
            <v:rect id="文本框 28"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TIZyPEAQAAkAMAAA4AAAAAAAAAAQAgAAAAHwEAAGRycy9lMm9Eb2MueG1s&#10;UEsFBgAAAAAGAAYAWQEAAFUFAAAAAA==&#10;">
              <v:fill on="f" focussize="0,0"/>
              <v:stroke on="f"/>
              <v:imagedata o:title=""/>
              <o:lock v:ext="edit" aspectratio="f"/>
              <v:textbox inset="0mm,0mm,0mm,0mm" style="mso-fit-shape-to-text:t;">
                <w:txbxContent>
                  <w:p>
                    <w:pPr>
                      <w:pStyle w:val="56"/>
                    </w:pPr>
                    <w:r>
                      <w:fldChar w:fldCharType="begin"/>
                    </w:r>
                    <w:r>
                      <w:instrText xml:space="preserve"> PAGE  \* MERGEFORMAT </w:instrText>
                    </w:r>
                    <w:r>
                      <w:fldChar w:fldCharType="separate"/>
                    </w:r>
                    <w:r>
                      <w:t>73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w:rPr>
        <w:rFonts w:hint="eastAsia"/>
      </w:rPr>
      <w:t>99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56"/>
                    </w:pPr>
                    <w:r>
                      <w:fldChar w:fldCharType="begin"/>
                    </w:r>
                    <w:r>
                      <w:instrText xml:space="preserve"> PAGE  \* MERGEFORMAT </w:instrText>
                    </w:r>
                    <w:r>
                      <w:fldChar w:fldCharType="separate"/>
                    </w:r>
                    <w:r>
                      <w:t>28</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KIuTArEAQAAkAMAAA4AAAAAAAAAAQAgAAAAHwEAAGRycy9lMm9Eb2MueG1s&#10;UEsFBgAAAAAGAAYAWQEAAFUFAAAAAA==&#10;">
              <v:fill on="f" focussize="0,0"/>
              <v:stroke on="f"/>
              <v:imagedata o:title=""/>
              <o:lock v:ext="edit" aspectratio="f"/>
              <v:textbox inset="0mm,0mm,0mm,0mm" style="mso-fit-shape-to-text:t;">
                <w:txbxContent>
                  <w:p/>
                </w:txbxContent>
              </v:textbox>
            </v:rect>
          </w:pict>
        </mc:Fallback>
      </mc:AlternateContent>
    </w:r>
  </w:p>
  <w:p>
    <w:pPr>
      <w:rPr>
        <w:rFonts w:ascii="仿宋_GB2312" w:eastAsia="仿宋_GB2312"/>
      </w:rP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6"/>
                            <w:jc w:val="center"/>
                          </w:pPr>
                          <w:r>
                            <w:fldChar w:fldCharType="begin"/>
                          </w:r>
                          <w:r>
                            <w:instrText xml:space="preserve">PAGE   \* MERGEFORMAT</w:instrText>
                          </w:r>
                          <w:r>
                            <w:fldChar w:fldCharType="separate"/>
                          </w:r>
                          <w:r>
                            <w:rPr>
                              <w:lang w:val="zh-CN"/>
                            </w:rPr>
                            <w:t>48</w:t>
                          </w:r>
                          <w:r>
                            <w:fldChar w:fldCharType="end"/>
                          </w:r>
                        </w:p>
                        <w:p>
                          <w:pPr>
                            <w:pStyle w:val="36"/>
                          </w:pPr>
                        </w:p>
                      </w:txbxContent>
                    </wps:txbx>
                    <wps:bodyPr wrap="none" lIns="0" tIns="0" rIns="0" bIns="0"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DCUQ/EAQAAjwMAAA4AAAAAAAAAAQAgAAAAHwEAAGRycy9lMm9Eb2MueG1s&#10;UEsFBgAAAAAGAAYAWQEAAFUFAAAAAA==&#10;">
              <v:fill on="f" focussize="0,0"/>
              <v:stroke on="f"/>
              <v:imagedata o:title=""/>
              <o:lock v:ext="edit" aspectratio="f"/>
              <v:textbox inset="0mm,0mm,0mm,0mm" style="mso-fit-shape-to-text:t;">
                <w:txbxContent>
                  <w:p>
                    <w:pPr>
                      <w:pStyle w:val="56"/>
                      <w:jc w:val="center"/>
                    </w:pPr>
                    <w:r>
                      <w:fldChar w:fldCharType="begin"/>
                    </w:r>
                    <w:r>
                      <w:instrText xml:space="preserve">PAGE   \* MERGEFORMAT</w:instrText>
                    </w:r>
                    <w:r>
                      <w:fldChar w:fldCharType="separate"/>
                    </w:r>
                    <w:r>
                      <w:rPr>
                        <w:lang w:val="zh-CN"/>
                      </w:rPr>
                      <w:t>48</w:t>
                    </w:r>
                    <w:r>
                      <w:fldChar w:fldCharType="end"/>
                    </w:r>
                  </w:p>
                  <w:p>
                    <w:pPr>
                      <w:pStyle w:val="36"/>
                    </w:pPr>
                  </w:p>
                </w:txbxContent>
              </v:textbox>
            </v:rect>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6"/>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right" w:y="1"/>
      <w:rPr>
        <w:rStyle w:val="98"/>
      </w:rPr>
    </w:pPr>
    <w:r>
      <w:fldChar w:fldCharType="begin"/>
    </w:r>
    <w:r>
      <w:rPr>
        <w:rStyle w:val="98"/>
      </w:rPr>
      <w:instrText xml:space="preserve">PAGE  </w:instrText>
    </w:r>
    <w:r>
      <w:fldChar w:fldCharType="end"/>
    </w:r>
  </w:p>
  <w:p>
    <w:pPr>
      <w:pStyle w:val="5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827" w:name="_Toc36110187"/>
                          <w:bookmarkStart w:id="828" w:name="_Toc131845147"/>
                          <w:bookmarkStart w:id="829" w:name="_Toc91899912"/>
                          <w:bookmarkStart w:id="830" w:name="_Toc164085800"/>
                          <w:r>
                            <w:rPr>
                              <w:rFonts w:hint="eastAsia" w:ascii="仿宋_GB2312" w:eastAsia="仿宋_GB2312"/>
                              <w:kern w:val="0"/>
                              <w:szCs w:val="21"/>
                            </w:rPr>
                            <w:t xml:space="preserve"> 页</w:t>
                          </w:r>
                          <w:bookmarkEnd w:id="827"/>
                          <w:bookmarkEnd w:id="828"/>
                          <w:bookmarkEnd w:id="829"/>
                          <w:bookmarkEnd w:id="830"/>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56"/>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827" w:name="_Toc36110187"/>
                    <w:bookmarkStart w:id="828" w:name="_Toc131845147"/>
                    <w:bookmarkStart w:id="829" w:name="_Toc91899912"/>
                    <w:bookmarkStart w:id="830" w:name="_Toc164085800"/>
                    <w:r>
                      <w:rPr>
                        <w:rFonts w:hint="eastAsia" w:ascii="仿宋_GB2312" w:eastAsia="仿宋_GB2312"/>
                        <w:kern w:val="0"/>
                        <w:szCs w:val="21"/>
                      </w:rPr>
                      <w:t xml:space="preserve"> 页</w:t>
                    </w:r>
                    <w:bookmarkEnd w:id="827"/>
                    <w:bookmarkEnd w:id="828"/>
                    <w:bookmarkEnd w:id="829"/>
                    <w:bookmarkEnd w:id="830"/>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6"/>
                          </w:pPr>
                          <w:r>
                            <w:fldChar w:fldCharType="begin"/>
                          </w:r>
                          <w:r>
                            <w:instrText xml:space="preserve"> PAGE  \* MERGEFORMAT </w:instrText>
                          </w:r>
                          <w:r>
                            <w:fldChar w:fldCharType="separate"/>
                          </w:r>
                          <w:r>
                            <w:t>82</w:t>
                          </w:r>
                          <w:r>
                            <w:fldChar w:fldCharType="end"/>
                          </w:r>
                        </w:p>
                      </w:txbxContent>
                    </wps:txbx>
                    <wps:bodyPr wrap="none" lIns="0" tIns="0" rIns="0" bIns="0" upright="1">
                      <a:spAutoFit/>
                    </wps:bodyPr>
                  </wps:wsp>
                </a:graphicData>
              </a:graphic>
            </wp:anchor>
          </w:drawing>
        </mc:Choice>
        <mc:Fallback>
          <w:pict>
            <v:rect id="文本框 27"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MsfGaxQEAAJADAAAOAAAAAAAAAAEAIAAAAB8BAABkcnMvZTJvRG9jLnht&#10;bFBLBQYAAAAABgAGAFkBAABWBQAAAAA=&#10;">
              <v:fill on="f" focussize="0,0"/>
              <v:stroke on="f"/>
              <v:imagedata o:title=""/>
              <o:lock v:ext="edit" aspectratio="f"/>
              <v:textbox inset="0mm,0mm,0mm,0mm" style="mso-fit-shape-to-text:t;">
                <w:txbxContent>
                  <w:p>
                    <w:pPr>
                      <w:pStyle w:val="56"/>
                    </w:pPr>
                    <w:r>
                      <w:fldChar w:fldCharType="begin"/>
                    </w:r>
                    <w:r>
                      <w:instrText xml:space="preserve"> PAGE  \* MERGEFORMAT </w:instrText>
                    </w:r>
                    <w:r>
                      <w:fldChar w:fldCharType="separate"/>
                    </w:r>
                    <w:r>
                      <w:t>82</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right" w:y="1"/>
      <w:rPr>
        <w:rStyle w:val="98"/>
      </w:rPr>
    </w:pPr>
    <w:r>
      <w:fldChar w:fldCharType="begin"/>
    </w:r>
    <w:r>
      <w:rPr>
        <w:rStyle w:val="98"/>
      </w:rPr>
      <w:instrText xml:space="preserve">PAGE  </w:instrText>
    </w:r>
    <w:r>
      <w:fldChar w:fldCharType="end"/>
    </w:r>
  </w:p>
  <w:p>
    <w:pPr>
      <w:pStyle w:val="5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5"/>
      <w:ind w:firstLine="180" w:firstLineChars="100"/>
      <w:jc w:val="both"/>
      <w:rPr>
        <w:rFonts w:ascii="仿宋_GB2312" w:eastAsia="仿宋_GB2312"/>
        <w:b w:val="0"/>
        <w:i/>
        <w:iCs/>
        <w:sz w:val="18"/>
        <w:szCs w:val="18"/>
        <w:u w:val="single"/>
      </w:rPr>
    </w:pPr>
    <w:r>
      <w:rPr>
        <w:rFonts w:hint="eastAsia" w:eastAsia="仿宋_GB2312"/>
        <w:b w:val="0"/>
        <w:i/>
        <w:iCs/>
        <w:sz w:val="18"/>
        <w:szCs w:val="18"/>
        <w:u w:val="single"/>
      </w:rPr>
      <w:t xml:space="preserve">                                                                      杭州市政府采购竞争性磋商文件</w:t>
    </w:r>
    <w:r>
      <w:rPr>
        <w:rFonts w:hint="eastAsia"/>
        <w:b w:val="0"/>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right"/>
      <w:rPr>
        <w:rFonts w:ascii="仿宋_GB2312" w:eastAsia="仿宋_GB2312"/>
        <w:b/>
        <w:i/>
        <w:iCs/>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5EB9D"/>
    <w:multiLevelType w:val="singleLevel"/>
    <w:tmpl w:val="8125EB9D"/>
    <w:lvl w:ilvl="0" w:tentative="0">
      <w:start w:val="5"/>
      <w:numFmt w:val="decimal"/>
      <w:lvlText w:val="%1."/>
      <w:lvlJc w:val="left"/>
      <w:pPr>
        <w:tabs>
          <w:tab w:val="left" w:pos="312"/>
        </w:tabs>
      </w:p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CDB3996B"/>
    <w:multiLevelType w:val="multilevel"/>
    <w:tmpl w:val="CDB3996B"/>
    <w:lvl w:ilvl="0" w:tentative="0">
      <w:start w:val="1"/>
      <w:numFmt w:val="decimal"/>
      <w:suff w:val="nothing"/>
      <w:lvlText w:val="%1、"/>
      <w:lvlJc w:val="left"/>
      <w:pPr>
        <w:ind w:left="420" w:firstLine="0"/>
      </w:p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D9EC99C5"/>
    <w:multiLevelType w:val="singleLevel"/>
    <w:tmpl w:val="D9EC99C5"/>
    <w:lvl w:ilvl="0" w:tentative="0">
      <w:start w:val="1"/>
      <w:numFmt w:val="decimal"/>
      <w:pStyle w:val="24"/>
      <w:lvlText w:val="(%1)"/>
      <w:lvlJc w:val="left"/>
      <w:pPr>
        <w:ind w:left="425" w:hanging="425"/>
      </w:pPr>
      <w:rPr>
        <w:rFonts w:hint="default"/>
      </w:rPr>
    </w:lvl>
  </w:abstractNum>
  <w:abstractNum w:abstractNumId="4">
    <w:nsid w:val="FFFFFF7C"/>
    <w:multiLevelType w:val="singleLevel"/>
    <w:tmpl w:val="FFFFFF7C"/>
    <w:lvl w:ilvl="0" w:tentative="0">
      <w:start w:val="1"/>
      <w:numFmt w:val="decimal"/>
      <w:pStyle w:val="714"/>
      <w:lvlText w:val="%1."/>
      <w:lvlJc w:val="left"/>
      <w:pPr>
        <w:tabs>
          <w:tab w:val="left" w:pos="2040"/>
        </w:tabs>
        <w:ind w:left="2040" w:leftChars="800" w:hanging="360" w:hangingChars="200"/>
      </w:pPr>
    </w:lvl>
  </w:abstractNum>
  <w:abstractNum w:abstractNumId="5">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6">
    <w:nsid w:val="FFFFFF7F"/>
    <w:multiLevelType w:val="singleLevel"/>
    <w:tmpl w:val="FFFFFF7F"/>
    <w:lvl w:ilvl="0" w:tentative="0">
      <w:start w:val="1"/>
      <w:numFmt w:val="decimal"/>
      <w:pStyle w:val="47"/>
      <w:lvlText w:val="%1."/>
      <w:lvlJc w:val="left"/>
      <w:pPr>
        <w:tabs>
          <w:tab w:val="left" w:pos="780"/>
        </w:tabs>
        <w:ind w:left="780" w:leftChars="200" w:hanging="360" w:hangingChars="200"/>
      </w:pPr>
    </w:lvl>
  </w:abstractNum>
  <w:abstractNum w:abstractNumId="7">
    <w:nsid w:val="0C6A744B"/>
    <w:multiLevelType w:val="multilevel"/>
    <w:tmpl w:val="0C6A744B"/>
    <w:lvl w:ilvl="0" w:tentative="0">
      <w:start w:val="1"/>
      <w:numFmt w:val="chineseCountingThousand"/>
      <w:pStyle w:val="670"/>
      <w:suff w:val="nothing"/>
      <w:lvlText w:val="第%1章"/>
      <w:lvlJc w:val="left"/>
      <w:pPr>
        <w:ind w:left="0" w:firstLine="0"/>
      </w:pPr>
      <w:rPr>
        <w:rFonts w:hint="eastAsia"/>
      </w:rPr>
    </w:lvl>
    <w:lvl w:ilvl="1" w:tentative="0">
      <w:start w:val="1"/>
      <w:numFmt w:val="decimal"/>
      <w:pStyle w:val="663"/>
      <w:isLgl/>
      <w:suff w:val="nothing"/>
      <w:lvlText w:val="%1.%2."/>
      <w:lvlJc w:val="left"/>
      <w:pPr>
        <w:ind w:left="568" w:firstLine="0"/>
      </w:pPr>
      <w:rPr>
        <w:rFonts w:hint="eastAsia"/>
      </w:rPr>
    </w:lvl>
    <w:lvl w:ilvl="2" w:tentative="0">
      <w:start w:val="1"/>
      <w:numFmt w:val="decimal"/>
      <w:pStyle w:val="671"/>
      <w:isLgl/>
      <w:suff w:val="nothing"/>
      <w:lvlText w:val="%1.%2.%3."/>
      <w:lvlJc w:val="left"/>
      <w:pPr>
        <w:ind w:left="0" w:firstLine="0"/>
      </w:pPr>
      <w:rPr>
        <w:rFonts w:hint="eastAsia"/>
      </w:rPr>
    </w:lvl>
    <w:lvl w:ilvl="3" w:tentative="0">
      <w:start w:val="1"/>
      <w:numFmt w:val="decimal"/>
      <w:pStyle w:val="664"/>
      <w:isLgl/>
      <w:suff w:val="nothing"/>
      <w:lvlText w:val="%1.%2.%3.%4."/>
      <w:lvlJc w:val="left"/>
      <w:pPr>
        <w:ind w:left="0" w:firstLine="0"/>
      </w:pPr>
      <w:rPr>
        <w:rFonts w:hint="eastAsia"/>
      </w:rPr>
    </w:lvl>
    <w:lvl w:ilvl="4" w:tentative="0">
      <w:start w:val="1"/>
      <w:numFmt w:val="decimal"/>
      <w:pStyle w:val="665"/>
      <w:isLgl/>
      <w:suff w:val="nothing"/>
      <w:lvlText w:val="%1.%2.%3.%4.%5."/>
      <w:lvlJc w:val="left"/>
      <w:pPr>
        <w:ind w:left="0" w:firstLine="0"/>
      </w:pPr>
      <w:rPr>
        <w:rFonts w:hint="eastAsia"/>
      </w:rPr>
    </w:lvl>
    <w:lvl w:ilvl="5" w:tentative="0">
      <w:start w:val="1"/>
      <w:numFmt w:val="decimal"/>
      <w:pStyle w:val="666"/>
      <w:isLgl/>
      <w:suff w:val="nothing"/>
      <w:lvlText w:val="%1.%2.%3.%4.%5.%6."/>
      <w:lvlJc w:val="left"/>
      <w:pPr>
        <w:ind w:left="0" w:firstLine="0"/>
      </w:pPr>
      <w:rPr>
        <w:rFonts w:hint="eastAsia"/>
      </w:rPr>
    </w:lvl>
    <w:lvl w:ilvl="6" w:tentative="0">
      <w:start w:val="1"/>
      <w:numFmt w:val="decimal"/>
      <w:pStyle w:val="667"/>
      <w:isLgl/>
      <w:suff w:val="nothing"/>
      <w:lvlText w:val="%1.%2.%3.%4.%5.%6.%7."/>
      <w:lvlJc w:val="left"/>
      <w:pPr>
        <w:ind w:left="0" w:firstLine="0"/>
      </w:pPr>
      <w:rPr>
        <w:rFonts w:hint="eastAsia"/>
      </w:rPr>
    </w:lvl>
    <w:lvl w:ilvl="7" w:tentative="0">
      <w:start w:val="1"/>
      <w:numFmt w:val="decimal"/>
      <w:pStyle w:val="668"/>
      <w:isLgl/>
      <w:suff w:val="nothing"/>
      <w:lvlText w:val="%1.%2.%3.%4.%5.%6.%7.%8."/>
      <w:lvlJc w:val="left"/>
      <w:pPr>
        <w:ind w:left="0" w:firstLine="0"/>
      </w:pPr>
      <w:rPr>
        <w:rFonts w:hint="eastAsia"/>
      </w:rPr>
    </w:lvl>
    <w:lvl w:ilvl="8" w:tentative="0">
      <w:start w:val="1"/>
      <w:numFmt w:val="decimal"/>
      <w:pStyle w:val="669"/>
      <w:isLgl/>
      <w:suff w:val="nothing"/>
      <w:lvlText w:val="%1.%2.%3.%4.%5.%6.%7.%8.%9."/>
      <w:lvlJc w:val="left"/>
      <w:pPr>
        <w:ind w:left="0" w:firstLine="0"/>
      </w:pPr>
      <w:rPr>
        <w:rFonts w:hint="eastAsia"/>
      </w:rPr>
    </w:lvl>
  </w:abstractNum>
  <w:abstractNum w:abstractNumId="8">
    <w:nsid w:val="169A5F74"/>
    <w:multiLevelType w:val="singleLevel"/>
    <w:tmpl w:val="169A5F74"/>
    <w:lvl w:ilvl="0" w:tentative="0">
      <w:start w:val="3"/>
      <w:numFmt w:val="decimal"/>
      <w:lvlText w:val="%1."/>
      <w:lvlJc w:val="left"/>
      <w:pPr>
        <w:tabs>
          <w:tab w:val="left" w:pos="312"/>
        </w:tabs>
        <w:ind w:left="480" w:firstLine="0"/>
      </w:pPr>
    </w:lvl>
  </w:abstractNum>
  <w:abstractNum w:abstractNumId="9">
    <w:nsid w:val="1D447743"/>
    <w:multiLevelType w:val="multilevel"/>
    <w:tmpl w:val="1D447743"/>
    <w:lvl w:ilvl="0" w:tentative="0">
      <w:start w:val="1"/>
      <w:numFmt w:val="chineseCountingThousand"/>
      <w:lvlText w:val="%1."/>
      <w:lvlJc w:val="left"/>
      <w:pPr>
        <w:ind w:left="420" w:hanging="420"/>
      </w:pPr>
      <w:rPr>
        <w:rFonts w:hint="eastAsia"/>
        <w:sz w:val="36"/>
        <w:szCs w:val="36"/>
      </w:rPr>
    </w:lvl>
    <w:lvl w:ilvl="1" w:tentative="0">
      <w:start w:val="1"/>
      <w:numFmt w:val="decimal"/>
      <w:isLgl/>
      <w:lvlText w:val="%1.%2"/>
      <w:lvlJc w:val="left"/>
      <w:pPr>
        <w:ind w:left="840" w:hanging="840"/>
      </w:pPr>
      <w:rPr>
        <w:rFonts w:hint="eastAsia"/>
      </w:rPr>
    </w:lvl>
    <w:lvl w:ilvl="2" w:tentative="0">
      <w:start w:val="1"/>
      <w:numFmt w:val="decimal"/>
      <w:isLgl/>
      <w:lvlText w:val="%1.%2.%3"/>
      <w:lvlJc w:val="left"/>
      <w:pPr>
        <w:ind w:left="420" w:hanging="420"/>
      </w:pPr>
      <w:rPr>
        <w:rFonts w:hint="eastAsia"/>
      </w:rPr>
    </w:lvl>
    <w:lvl w:ilvl="3" w:tentative="0">
      <w:start w:val="1"/>
      <w:numFmt w:val="decimal"/>
      <w:isLgl/>
      <w:lvlText w:val="%1.%2.%3.%4"/>
      <w:lvlJc w:val="left"/>
      <w:pPr>
        <w:ind w:left="420" w:hanging="420"/>
      </w:pPr>
      <w:rPr>
        <w:rFonts w:hint="eastAsia"/>
      </w:rPr>
    </w:lvl>
    <w:lvl w:ilvl="4" w:tentative="0">
      <w:start w:val="1"/>
      <w:numFmt w:val="lowerLetter"/>
      <w:pStyle w:val="716"/>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36D5CFE4"/>
    <w:multiLevelType w:val="singleLevel"/>
    <w:tmpl w:val="36D5CFE4"/>
    <w:lvl w:ilvl="0" w:tentative="0">
      <w:start w:val="12"/>
      <w:numFmt w:val="chineseCounting"/>
      <w:suff w:val="nothing"/>
      <w:lvlText w:val="%1、"/>
      <w:lvlJc w:val="left"/>
      <w:rPr>
        <w:rFonts w:hint="eastAsia"/>
      </w:rPr>
    </w:lvl>
  </w:abstractNum>
  <w:abstractNum w:abstractNumId="11">
    <w:nsid w:val="3C275181"/>
    <w:multiLevelType w:val="multilevel"/>
    <w:tmpl w:val="3C275181"/>
    <w:lvl w:ilvl="0" w:tentative="0">
      <w:start w:val="1"/>
      <w:numFmt w:val="decimal"/>
      <w:lvlText w:val="%1、"/>
      <w:lvlJc w:val="left"/>
      <w:pPr>
        <w:tabs>
          <w:tab w:val="left" w:pos="780"/>
        </w:tabs>
        <w:ind w:left="780" w:hanging="360"/>
      </w:pPr>
      <w:rPr>
        <w:rFonts w:hint="default"/>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3235266"/>
    <w:multiLevelType w:val="multilevel"/>
    <w:tmpl w:val="43235266"/>
    <w:lvl w:ilvl="0" w:tentative="0">
      <w:start w:val="1"/>
      <w:numFmt w:val="bullet"/>
      <w:pStyle w:val="696"/>
      <w:lvlText w:val=""/>
      <w:lvlJc w:val="left"/>
      <w:pPr>
        <w:tabs>
          <w:tab w:val="left" w:pos="1123"/>
        </w:tabs>
        <w:ind w:left="1123" w:hanging="375"/>
      </w:pPr>
      <w:rPr>
        <w:rFonts w:hint="default" w:ascii="Wingdings" w:hAnsi="Wingdings" w:cs="Times New Roman"/>
      </w:rPr>
    </w:lvl>
    <w:lvl w:ilvl="1" w:tentative="0">
      <w:start w:val="1"/>
      <w:numFmt w:val="bullet"/>
      <w:lvlText w:val=""/>
      <w:lvlJc w:val="left"/>
      <w:pPr>
        <w:tabs>
          <w:tab w:val="left" w:pos="840"/>
        </w:tabs>
        <w:ind w:left="840" w:hanging="420"/>
      </w:pPr>
      <w:rPr>
        <w:rFonts w:hint="default" w:ascii="Wingdings" w:hAnsi="Wingdings" w:cs="Times New Roman"/>
      </w:rPr>
    </w:lvl>
    <w:lvl w:ilvl="2" w:tentative="0">
      <w:start w:val="1"/>
      <w:numFmt w:val="bullet"/>
      <w:lvlText w:val=""/>
      <w:lvlJc w:val="left"/>
      <w:pPr>
        <w:tabs>
          <w:tab w:val="left" w:pos="1260"/>
        </w:tabs>
        <w:ind w:left="1260" w:hanging="420"/>
      </w:pPr>
      <w:rPr>
        <w:rFonts w:hint="default" w:ascii="Wingdings" w:hAnsi="Wingdings" w:cs="Times New Roman"/>
      </w:rPr>
    </w:lvl>
    <w:lvl w:ilvl="3" w:tentative="0">
      <w:start w:val="1"/>
      <w:numFmt w:val="bullet"/>
      <w:pStyle w:val="693"/>
      <w:lvlText w:val=""/>
      <w:lvlJc w:val="left"/>
      <w:pPr>
        <w:tabs>
          <w:tab w:val="left" w:pos="1680"/>
        </w:tabs>
        <w:ind w:left="1680" w:hanging="420"/>
      </w:pPr>
      <w:rPr>
        <w:rFonts w:hint="default" w:ascii="Wingdings" w:hAnsi="Wingdings" w:cs="Times New Roman"/>
      </w:rPr>
    </w:lvl>
    <w:lvl w:ilvl="4" w:tentative="0">
      <w:start w:val="1"/>
      <w:numFmt w:val="bullet"/>
      <w:lvlText w:val=""/>
      <w:lvlJc w:val="left"/>
      <w:pPr>
        <w:tabs>
          <w:tab w:val="left" w:pos="2100"/>
        </w:tabs>
        <w:ind w:left="2100" w:hanging="420"/>
      </w:pPr>
      <w:rPr>
        <w:rFonts w:hint="default" w:ascii="Wingdings" w:hAnsi="Wingdings" w:cs="Times New Roman"/>
      </w:rPr>
    </w:lvl>
    <w:lvl w:ilvl="5" w:tentative="0">
      <w:start w:val="1"/>
      <w:numFmt w:val="bullet"/>
      <w:lvlText w:val=""/>
      <w:lvlJc w:val="left"/>
      <w:pPr>
        <w:tabs>
          <w:tab w:val="left" w:pos="2520"/>
        </w:tabs>
        <w:ind w:left="2520" w:hanging="420"/>
      </w:pPr>
      <w:rPr>
        <w:rFonts w:hint="default" w:ascii="Wingdings" w:hAnsi="Wingdings" w:cs="Times New Roman"/>
      </w:rPr>
    </w:lvl>
    <w:lvl w:ilvl="6" w:tentative="0">
      <w:start w:val="1"/>
      <w:numFmt w:val="bullet"/>
      <w:lvlText w:val=""/>
      <w:lvlJc w:val="left"/>
      <w:pPr>
        <w:tabs>
          <w:tab w:val="left" w:pos="2940"/>
        </w:tabs>
        <w:ind w:left="2940" w:hanging="420"/>
      </w:pPr>
      <w:rPr>
        <w:rFonts w:hint="default" w:ascii="Wingdings" w:hAnsi="Wingdings" w:cs="Times New Roman"/>
      </w:rPr>
    </w:lvl>
    <w:lvl w:ilvl="7" w:tentative="0">
      <w:start w:val="1"/>
      <w:numFmt w:val="bullet"/>
      <w:lvlText w:val=""/>
      <w:lvlJc w:val="left"/>
      <w:pPr>
        <w:tabs>
          <w:tab w:val="left" w:pos="3360"/>
        </w:tabs>
        <w:ind w:left="3360" w:hanging="420"/>
      </w:pPr>
      <w:rPr>
        <w:rFonts w:hint="default" w:ascii="Wingdings" w:hAnsi="Wingdings" w:cs="Times New Roman"/>
      </w:rPr>
    </w:lvl>
    <w:lvl w:ilvl="8" w:tentative="0">
      <w:start w:val="1"/>
      <w:numFmt w:val="bullet"/>
      <w:lvlText w:val=""/>
      <w:lvlJc w:val="left"/>
      <w:pPr>
        <w:tabs>
          <w:tab w:val="left" w:pos="3780"/>
        </w:tabs>
        <w:ind w:left="3780" w:hanging="420"/>
      </w:pPr>
      <w:rPr>
        <w:rFonts w:hint="default" w:ascii="Wingdings" w:hAnsi="Wingdings" w:cs="Times New Roman"/>
      </w:rPr>
    </w:lvl>
  </w:abstractNum>
  <w:abstractNum w:abstractNumId="13">
    <w:nsid w:val="4E7107F0"/>
    <w:multiLevelType w:val="multilevel"/>
    <w:tmpl w:val="4E7107F0"/>
    <w:lvl w:ilvl="0" w:tentative="0">
      <w:start w:val="1"/>
      <w:numFmt w:val="bullet"/>
      <w:lvlText w:val=""/>
      <w:lvlJc w:val="left"/>
      <w:pPr>
        <w:tabs>
          <w:tab w:val="left" w:pos="-860"/>
        </w:tabs>
        <w:ind w:left="-860" w:hanging="420"/>
      </w:pPr>
      <w:rPr>
        <w:rFonts w:hint="default" w:ascii="Wingdings" w:hAnsi="Wingdings"/>
      </w:rPr>
    </w:lvl>
    <w:lvl w:ilvl="1" w:tentative="0">
      <w:start w:val="1"/>
      <w:numFmt w:val="decimal"/>
      <w:suff w:val="nothing"/>
      <w:lvlText w:val="%2.%1 "/>
      <w:lvlJc w:val="left"/>
      <w:pPr>
        <w:tabs>
          <w:tab w:val="left" w:pos="0"/>
        </w:tabs>
        <w:ind w:left="-960" w:firstLine="0"/>
      </w:pPr>
      <w:rPr>
        <w:rFonts w:hint="eastAsia"/>
      </w:rPr>
    </w:lvl>
    <w:lvl w:ilvl="2" w:tentative="0">
      <w:start w:val="1"/>
      <w:numFmt w:val="decimal"/>
      <w:suff w:val="nothing"/>
      <w:lvlText w:val="%1.%2.%3 "/>
      <w:lvlJc w:val="left"/>
      <w:pPr>
        <w:tabs>
          <w:tab w:val="left" w:pos="0"/>
        </w:tabs>
        <w:ind w:left="-960" w:firstLine="0"/>
      </w:pPr>
      <w:rPr>
        <w:rFonts w:hint="eastAsia"/>
      </w:rPr>
    </w:lvl>
    <w:lvl w:ilvl="3" w:tentative="0">
      <w:start w:val="1"/>
      <w:numFmt w:val="decimal"/>
      <w:suff w:val="nothing"/>
      <w:lvlText w:val="%1.%2.%3.%4 "/>
      <w:lvlJc w:val="left"/>
      <w:pPr>
        <w:tabs>
          <w:tab w:val="left" w:pos="0"/>
        </w:tabs>
        <w:ind w:left="-960" w:firstLine="0"/>
      </w:pPr>
      <w:rPr>
        <w:rFonts w:hint="eastAsia"/>
      </w:rPr>
    </w:lvl>
    <w:lvl w:ilvl="4" w:tentative="0">
      <w:start w:val="1"/>
      <w:numFmt w:val="decimal"/>
      <w:suff w:val="nothing"/>
      <w:lvlText w:val="%1.%2.%3.%4.%5 "/>
      <w:lvlJc w:val="left"/>
      <w:pPr>
        <w:tabs>
          <w:tab w:val="left" w:pos="0"/>
        </w:tabs>
        <w:ind w:left="-960" w:firstLine="0"/>
      </w:pPr>
      <w:rPr>
        <w:rFonts w:hint="eastAsia"/>
      </w:rPr>
    </w:lvl>
    <w:lvl w:ilvl="5" w:tentative="0">
      <w:start w:val="1"/>
      <w:numFmt w:val="decimal"/>
      <w:suff w:val="nothing"/>
      <w:lvlText w:val="%1.%2.%3.%4.%5.%6 "/>
      <w:lvlJc w:val="left"/>
      <w:pPr>
        <w:tabs>
          <w:tab w:val="left" w:pos="0"/>
        </w:tabs>
        <w:ind w:left="-960" w:firstLine="0"/>
      </w:pPr>
      <w:rPr>
        <w:rFonts w:hint="eastAsia"/>
      </w:rPr>
    </w:lvl>
    <w:lvl w:ilvl="6" w:tentative="0">
      <w:start w:val="1"/>
      <w:numFmt w:val="decimal"/>
      <w:suff w:val="nothing"/>
      <w:lvlText w:val="%7."/>
      <w:lvlJc w:val="left"/>
      <w:pPr>
        <w:tabs>
          <w:tab w:val="left" w:pos="0"/>
        </w:tabs>
        <w:ind w:left="-960" w:firstLine="0"/>
      </w:pPr>
      <w:rPr>
        <w:rFonts w:hint="eastAsia"/>
      </w:rPr>
    </w:lvl>
    <w:lvl w:ilvl="7" w:tentative="0">
      <w:start w:val="1"/>
      <w:numFmt w:val="none"/>
      <w:suff w:val="nothing"/>
      <w:lvlText w:val=""/>
      <w:lvlJc w:val="left"/>
      <w:pPr>
        <w:tabs>
          <w:tab w:val="left" w:pos="0"/>
        </w:tabs>
        <w:ind w:left="-960" w:firstLine="0"/>
      </w:pPr>
      <w:rPr>
        <w:rFonts w:hint="eastAsia"/>
      </w:rPr>
    </w:lvl>
    <w:lvl w:ilvl="8" w:tentative="0">
      <w:start w:val="1"/>
      <w:numFmt w:val="none"/>
      <w:suff w:val="nothing"/>
      <w:lvlText w:val=""/>
      <w:lvlJc w:val="left"/>
      <w:pPr>
        <w:tabs>
          <w:tab w:val="left" w:pos="0"/>
        </w:tabs>
        <w:ind w:left="-960" w:firstLine="0"/>
      </w:pPr>
      <w:rPr>
        <w:rFonts w:hint="eastAsia"/>
      </w:rPr>
    </w:lvl>
  </w:abstractNum>
  <w:abstractNum w:abstractNumId="14">
    <w:nsid w:val="51E91DB7"/>
    <w:multiLevelType w:val="multilevel"/>
    <w:tmpl w:val="51E91DB7"/>
    <w:lvl w:ilvl="0" w:tentative="0">
      <w:start w:val="1"/>
      <w:numFmt w:val="decimal"/>
      <w:pStyle w:val="683"/>
      <w:lvlText w:val="(%1)"/>
      <w:lvlJc w:val="left"/>
      <w:rPr>
        <w:rFonts w:hint="eastAsia" w:ascii="Times New Roman" w:hAnsi="Times New Roman" w:cs="Times New Roman"/>
        <w:b w:val="0"/>
        <w:bCs w:val="0"/>
        <w:i w:val="0"/>
        <w:iCs w:val="0"/>
        <w:caps w:val="0"/>
        <w:smallCaps w:val="0"/>
        <w:strike w:val="0"/>
        <w:dstrike w:val="0"/>
        <w:snapToGrid w:val="0"/>
        <w:color w:val="000000"/>
        <w:spacing w:val="0"/>
        <w:w w:val="0"/>
        <w:kern w:val="0"/>
        <w:position w:val="0"/>
        <w:sz w:val="16"/>
        <w:szCs w:val="16"/>
        <w:u w:val="none" w:color="000000"/>
        <w:shd w:val="clear" w:color="000000" w:fill="000000"/>
      </w:rPr>
    </w:lvl>
    <w:lvl w:ilvl="1" w:tentative="0">
      <w:start w:val="1"/>
      <w:numFmt w:val="decimalEnclosedCircle"/>
      <w:lvlText w:val="%2"/>
      <w:lvlJc w:val="left"/>
      <w:pPr>
        <w:tabs>
          <w:tab w:val="left" w:pos="2070"/>
        </w:tabs>
        <w:ind w:left="2070" w:hanging="840"/>
      </w:pPr>
      <w:rPr>
        <w:rFonts w:hint="default" w:ascii="仿宋_GB2312"/>
      </w:rPr>
    </w:lvl>
    <w:lvl w:ilvl="2" w:tentative="0">
      <w:start w:val="1"/>
      <w:numFmt w:val="lowerRoman"/>
      <w:lvlText w:val="%3."/>
      <w:lvlJc w:val="right"/>
      <w:pPr>
        <w:tabs>
          <w:tab w:val="left" w:pos="2070"/>
        </w:tabs>
        <w:ind w:left="2070" w:hanging="420"/>
      </w:pPr>
    </w:lvl>
    <w:lvl w:ilvl="3" w:tentative="0">
      <w:start w:val="1"/>
      <w:numFmt w:val="decimal"/>
      <w:lvlText w:val="%4."/>
      <w:lvlJc w:val="left"/>
      <w:pPr>
        <w:tabs>
          <w:tab w:val="left" w:pos="2490"/>
        </w:tabs>
        <w:ind w:left="2490" w:hanging="420"/>
      </w:pPr>
    </w:lvl>
    <w:lvl w:ilvl="4" w:tentative="0">
      <w:start w:val="1"/>
      <w:numFmt w:val="lowerLetter"/>
      <w:lvlText w:val="%5)"/>
      <w:lvlJc w:val="left"/>
      <w:pPr>
        <w:tabs>
          <w:tab w:val="left" w:pos="2910"/>
        </w:tabs>
        <w:ind w:left="2910" w:hanging="420"/>
      </w:pPr>
    </w:lvl>
    <w:lvl w:ilvl="5" w:tentative="0">
      <w:start w:val="1"/>
      <w:numFmt w:val="lowerRoman"/>
      <w:lvlText w:val="%6."/>
      <w:lvlJc w:val="right"/>
      <w:pPr>
        <w:tabs>
          <w:tab w:val="left" w:pos="3330"/>
        </w:tabs>
        <w:ind w:left="3330" w:hanging="420"/>
      </w:pPr>
    </w:lvl>
    <w:lvl w:ilvl="6" w:tentative="0">
      <w:start w:val="1"/>
      <w:numFmt w:val="decimal"/>
      <w:lvlText w:val="%7."/>
      <w:lvlJc w:val="left"/>
      <w:pPr>
        <w:tabs>
          <w:tab w:val="left" w:pos="3750"/>
        </w:tabs>
        <w:ind w:left="3750" w:hanging="420"/>
      </w:pPr>
    </w:lvl>
    <w:lvl w:ilvl="7" w:tentative="0">
      <w:start w:val="1"/>
      <w:numFmt w:val="lowerLetter"/>
      <w:lvlText w:val="%8)"/>
      <w:lvlJc w:val="left"/>
      <w:pPr>
        <w:tabs>
          <w:tab w:val="left" w:pos="4170"/>
        </w:tabs>
        <w:ind w:left="4170" w:hanging="420"/>
      </w:pPr>
    </w:lvl>
    <w:lvl w:ilvl="8" w:tentative="0">
      <w:start w:val="1"/>
      <w:numFmt w:val="lowerRoman"/>
      <w:lvlText w:val="%9."/>
      <w:lvlJc w:val="right"/>
      <w:pPr>
        <w:tabs>
          <w:tab w:val="left" w:pos="4590"/>
        </w:tabs>
        <w:ind w:left="4590" w:hanging="420"/>
      </w:pPr>
    </w:lvl>
  </w:abstractNum>
  <w:abstractNum w:abstractNumId="15">
    <w:nsid w:val="605B608A"/>
    <w:multiLevelType w:val="singleLevel"/>
    <w:tmpl w:val="605B608A"/>
    <w:lvl w:ilvl="0" w:tentative="0">
      <w:start w:val="3"/>
      <w:numFmt w:val="chineseCounting"/>
      <w:suff w:val="nothing"/>
      <w:lvlText w:val="%1、"/>
      <w:lvlJc w:val="left"/>
      <w:rPr>
        <w:rFonts w:hint="eastAsia"/>
      </w:rPr>
    </w:lvl>
  </w:abstractNum>
  <w:abstractNum w:abstractNumId="16">
    <w:nsid w:val="64D75899"/>
    <w:multiLevelType w:val="multilevel"/>
    <w:tmpl w:val="64D75899"/>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BF72FE4"/>
    <w:multiLevelType w:val="multilevel"/>
    <w:tmpl w:val="6BF72FE4"/>
    <w:lvl w:ilvl="0" w:tentative="0">
      <w:start w:val="1"/>
      <w:numFmt w:val="decimal"/>
      <w:pStyle w:val="720"/>
      <w:suff w:val="nothing"/>
      <w:lvlText w:val="（%1）"/>
      <w:lvlJc w:val="left"/>
      <w:pPr>
        <w:tabs>
          <w:tab w:val="left" w:pos="0"/>
        </w:tabs>
        <w:ind w:left="482" w:hanging="28"/>
      </w:pPr>
      <w:rPr>
        <w:rFonts w:hint="eastAsia"/>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18">
    <w:nsid w:val="70914521"/>
    <w:multiLevelType w:val="multilevel"/>
    <w:tmpl w:val="70914521"/>
    <w:lvl w:ilvl="0" w:tentative="0">
      <w:start w:val="1"/>
      <w:numFmt w:val="chineseCountingThousand"/>
      <w:lvlText w:val="%1、"/>
      <w:lvlJc w:val="left"/>
      <w:pPr>
        <w:tabs>
          <w:tab w:val="left" w:pos="570"/>
        </w:tabs>
        <w:ind w:left="210" w:firstLine="0"/>
      </w:pPr>
      <w:rPr>
        <w:rFonts w:hint="default" w:eastAsia="黑体"/>
        <w:b/>
        <w:i w:val="0"/>
        <w:sz w:val="44"/>
      </w:rPr>
    </w:lvl>
    <w:lvl w:ilvl="1" w:tentative="0">
      <w:start w:val="1"/>
      <w:numFmt w:val="decimal"/>
      <w:lvlText w:val="%1.%2."/>
      <w:lvlJc w:val="left"/>
      <w:pPr>
        <w:tabs>
          <w:tab w:val="left" w:pos="930"/>
        </w:tabs>
        <w:ind w:left="777" w:hanging="567"/>
      </w:pPr>
    </w:lvl>
    <w:lvl w:ilvl="2" w:tentative="0">
      <w:start w:val="1"/>
      <w:numFmt w:val="decimal"/>
      <w:lvlText w:val="%1.%2.%3."/>
      <w:lvlJc w:val="left"/>
      <w:pPr>
        <w:tabs>
          <w:tab w:val="left" w:pos="919"/>
        </w:tabs>
        <w:ind w:left="919" w:hanging="709"/>
      </w:pPr>
    </w:lvl>
    <w:lvl w:ilvl="3" w:tentative="0">
      <w:start w:val="1"/>
      <w:numFmt w:val="decimal"/>
      <w:lvlText w:val="%1.%2.%3.%4."/>
      <w:lvlJc w:val="left"/>
      <w:pPr>
        <w:tabs>
          <w:tab w:val="left" w:pos="1061"/>
        </w:tabs>
        <w:ind w:left="1061" w:hanging="851"/>
      </w:pPr>
      <w:rPr>
        <w:rFonts w:hint="default" w:ascii="宋体" w:hAnsi="宋体" w:eastAsia="宋体" w:cs="Tahoma"/>
        <w:b/>
        <w:sz w:val="21"/>
        <w:szCs w:val="21"/>
      </w:rPr>
    </w:lvl>
    <w:lvl w:ilvl="4" w:tentative="0">
      <w:start w:val="1"/>
      <w:numFmt w:val="decimal"/>
      <w:pStyle w:val="695"/>
      <w:lvlText w:val="%1.%2.%3.%4.%5."/>
      <w:lvlJc w:val="left"/>
      <w:pPr>
        <w:tabs>
          <w:tab w:val="left" w:pos="1202"/>
        </w:tabs>
        <w:ind w:left="1202" w:hanging="992"/>
      </w:pPr>
    </w:lvl>
    <w:lvl w:ilvl="5" w:tentative="0">
      <w:start w:val="1"/>
      <w:numFmt w:val="decimal"/>
      <w:pStyle w:val="689"/>
      <w:lvlText w:val="%1.%2.%3.%4.%5.%6."/>
      <w:lvlJc w:val="left"/>
      <w:pPr>
        <w:tabs>
          <w:tab w:val="left" w:pos="1344"/>
        </w:tabs>
        <w:ind w:left="1344" w:hanging="1134"/>
      </w:pPr>
    </w:lvl>
    <w:lvl w:ilvl="6" w:tentative="0">
      <w:start w:val="1"/>
      <w:numFmt w:val="decimal"/>
      <w:lvlText w:val="%1.%2.%3.%4.%5.%6.%7."/>
      <w:lvlJc w:val="left"/>
      <w:pPr>
        <w:tabs>
          <w:tab w:val="left" w:pos="1486"/>
        </w:tabs>
        <w:ind w:left="1486" w:hanging="1276"/>
      </w:pPr>
    </w:lvl>
    <w:lvl w:ilvl="7" w:tentative="0">
      <w:start w:val="1"/>
      <w:numFmt w:val="decimal"/>
      <w:lvlText w:val="%1.%2.%3.%4.%5.%6.%7.%8."/>
      <w:lvlJc w:val="left"/>
      <w:pPr>
        <w:tabs>
          <w:tab w:val="left" w:pos="1628"/>
        </w:tabs>
        <w:ind w:left="1628" w:hanging="1418"/>
      </w:pPr>
    </w:lvl>
    <w:lvl w:ilvl="8" w:tentative="0">
      <w:start w:val="1"/>
      <w:numFmt w:val="decimal"/>
      <w:lvlText w:val="%1.%2.%3.%4.%5.%6.%7.%8.%9."/>
      <w:lvlJc w:val="left"/>
      <w:pPr>
        <w:tabs>
          <w:tab w:val="left" w:pos="1769"/>
        </w:tabs>
        <w:ind w:left="1769" w:hanging="1559"/>
      </w:pPr>
    </w:lvl>
  </w:abstractNum>
  <w:abstractNum w:abstractNumId="19">
    <w:nsid w:val="765316F3"/>
    <w:multiLevelType w:val="multilevel"/>
    <w:tmpl w:val="765316F3"/>
    <w:lvl w:ilvl="0" w:tentative="0">
      <w:start w:val="1"/>
      <w:numFmt w:val="chineseCountingThousand"/>
      <w:pStyle w:val="1173"/>
      <w:lvlText w:val="%1、"/>
      <w:lvlJc w:val="left"/>
      <w:rPr>
        <w:rFonts w:ascii="??" w:hAnsi="??" w:eastAsia="??"/>
        <w:b/>
        <w:i w:val="0"/>
        <w:iCs w:val="0"/>
        <w:caps w:val="0"/>
        <w:smallCaps w:val="0"/>
        <w:strike w:val="0"/>
        <w:dstrike w:val="0"/>
        <w:vanish w:val="0"/>
        <w:color w:val="000000"/>
        <w:position w:val="0"/>
        <w:sz w:val="21"/>
        <w:szCs w:val="21"/>
      </w:rPr>
    </w:lvl>
    <w:lvl w:ilvl="1" w:tentative="0">
      <w:start w:val="1"/>
      <w:numFmt w:val="lowerLetter"/>
      <w:lvlText w:val="%1)"/>
      <w:lvlJc w:val="left"/>
      <w:pPr>
        <w:tabs>
          <w:tab w:val="left" w:pos="1149"/>
        </w:tabs>
        <w:ind w:left="1149" w:hanging="420"/>
        <w:textAlignment w:val="baseline"/>
      </w:pPr>
    </w:lvl>
    <w:lvl w:ilvl="2" w:tentative="0">
      <w:start w:val="2"/>
      <w:numFmt w:val="japaneseCounting"/>
      <w:lvlText w:val="(%1)"/>
      <w:lvlJc w:val="left"/>
      <w:pPr>
        <w:tabs>
          <w:tab w:val="left" w:pos="1569"/>
        </w:tabs>
        <w:ind w:left="1569" w:hanging="420"/>
        <w:textAlignment w:val="baseline"/>
      </w:pPr>
    </w:lvl>
    <w:lvl w:ilvl="3" w:tentative="0">
      <w:start w:val="1"/>
      <w:numFmt w:val="japaneseCounting"/>
      <w:lvlText w:val="（%1）"/>
      <w:lvlJc w:val="left"/>
      <w:pPr>
        <w:tabs>
          <w:tab w:val="left" w:pos="2289"/>
        </w:tabs>
        <w:ind w:left="2289" w:hanging="720"/>
        <w:textAlignment w:val="baseline"/>
      </w:pPr>
    </w:lvl>
    <w:lvl w:ilvl="4" w:tentative="0">
      <w:start w:val="3"/>
      <w:numFmt w:val="japaneseCounting"/>
      <w:lvlText w:val="%1、"/>
      <w:lvlJc w:val="left"/>
      <w:pPr>
        <w:tabs>
          <w:tab w:val="left" w:pos="2409"/>
        </w:tabs>
        <w:ind w:left="2409" w:hanging="420"/>
        <w:textAlignment w:val="baseline"/>
      </w:pPr>
    </w:lvl>
    <w:lvl w:ilvl="5" w:tentative="0">
      <w:start w:val="1"/>
      <w:numFmt w:val="decimal"/>
      <w:lvlText w:val="%1、"/>
      <w:lvlJc w:val="left"/>
      <w:pPr>
        <w:tabs>
          <w:tab w:val="left" w:pos="3144"/>
        </w:tabs>
        <w:ind w:left="3144" w:hanging="735"/>
        <w:textAlignment w:val="baseline"/>
      </w:pPr>
      <w:rPr>
        <w:rFonts w:ascii="Times New Roman" w:hAnsi="Times New Roman" w:eastAsia="宋体"/>
      </w:rPr>
    </w:lvl>
    <w:lvl w:ilvl="6" w:tentative="0">
      <w:start w:val="1"/>
      <w:numFmt w:val="decimal"/>
      <w:lvlText w:val="%1."/>
      <w:lvlJc w:val="left"/>
      <w:pPr>
        <w:tabs>
          <w:tab w:val="left" w:pos="3249"/>
        </w:tabs>
        <w:ind w:left="3249" w:hanging="420"/>
        <w:textAlignment w:val="baseline"/>
      </w:pPr>
    </w:lvl>
    <w:lvl w:ilvl="7" w:tentative="0">
      <w:start w:val="1"/>
      <w:numFmt w:val="lowerLetter"/>
      <w:lvlText w:val="%1)"/>
      <w:lvlJc w:val="left"/>
      <w:pPr>
        <w:tabs>
          <w:tab w:val="left" w:pos="3669"/>
        </w:tabs>
        <w:ind w:left="3669" w:hanging="420"/>
        <w:textAlignment w:val="baseline"/>
      </w:pPr>
    </w:lvl>
    <w:lvl w:ilvl="8" w:tentative="0">
      <w:start w:val="1"/>
      <w:numFmt w:val="lowerRoman"/>
      <w:lvlText w:val="%1."/>
      <w:lvlJc w:val="right"/>
      <w:pPr>
        <w:tabs>
          <w:tab w:val="left" w:pos="4089"/>
        </w:tabs>
        <w:ind w:left="4089" w:hanging="420"/>
        <w:textAlignment w:val="baseline"/>
      </w:pPr>
    </w:lvl>
  </w:abstractNum>
  <w:abstractNum w:abstractNumId="20">
    <w:nsid w:val="79EB7B22"/>
    <w:multiLevelType w:val="multilevel"/>
    <w:tmpl w:val="79EB7B22"/>
    <w:lvl w:ilvl="0" w:tentative="0">
      <w:start w:val="1"/>
      <w:numFmt w:val="bullet"/>
      <w:lvlText w:val=""/>
      <w:lvlJc w:val="left"/>
      <w:pPr>
        <w:tabs>
          <w:tab w:val="left" w:pos="700"/>
        </w:tabs>
        <w:ind w:left="700" w:hanging="420"/>
      </w:pPr>
      <w:rPr>
        <w:rFonts w:hint="default" w:ascii="Wingdings" w:hAnsi="Wingdings"/>
      </w:rPr>
    </w:lvl>
    <w:lvl w:ilvl="1" w:tentative="0">
      <w:start w:val="1"/>
      <w:numFmt w:val="bullet"/>
      <w:lvlText w:val=""/>
      <w:lvlJc w:val="left"/>
      <w:pPr>
        <w:tabs>
          <w:tab w:val="left" w:pos="1120"/>
        </w:tabs>
        <w:ind w:left="1120" w:hanging="420"/>
      </w:pPr>
      <w:rPr>
        <w:rFonts w:hint="default" w:ascii="Wingdings" w:hAnsi="Wingdings"/>
      </w:rPr>
    </w:lvl>
    <w:lvl w:ilvl="2" w:tentative="0">
      <w:start w:val="1"/>
      <w:numFmt w:val="bullet"/>
      <w:lvlText w:val=""/>
      <w:lvlJc w:val="left"/>
      <w:pPr>
        <w:tabs>
          <w:tab w:val="left" w:pos="1540"/>
        </w:tabs>
        <w:ind w:left="1540" w:hanging="420"/>
      </w:pPr>
      <w:rPr>
        <w:rFonts w:hint="default" w:ascii="Wingdings" w:hAnsi="Wingdings"/>
      </w:rPr>
    </w:lvl>
    <w:lvl w:ilvl="3" w:tentative="0">
      <w:start w:val="1"/>
      <w:numFmt w:val="bullet"/>
      <w:lvlText w:val=""/>
      <w:lvlJc w:val="left"/>
      <w:pPr>
        <w:tabs>
          <w:tab w:val="left" w:pos="1960"/>
        </w:tabs>
        <w:ind w:left="1960" w:hanging="420"/>
      </w:pPr>
      <w:rPr>
        <w:rFonts w:hint="default" w:ascii="Wingdings" w:hAnsi="Wingdings"/>
      </w:rPr>
    </w:lvl>
    <w:lvl w:ilvl="4" w:tentative="0">
      <w:start w:val="1"/>
      <w:numFmt w:val="bullet"/>
      <w:pStyle w:val="646"/>
      <w:lvlText w:val=""/>
      <w:lvlJc w:val="left"/>
      <w:pPr>
        <w:tabs>
          <w:tab w:val="left" w:pos="2380"/>
        </w:tabs>
        <w:ind w:left="2380" w:hanging="420"/>
      </w:pPr>
      <w:rPr>
        <w:rFonts w:hint="default" w:ascii="Wingdings" w:hAnsi="Wingdings"/>
      </w:rPr>
    </w:lvl>
    <w:lvl w:ilvl="5" w:tentative="0">
      <w:start w:val="1"/>
      <w:numFmt w:val="bullet"/>
      <w:lvlText w:val=""/>
      <w:lvlJc w:val="left"/>
      <w:pPr>
        <w:tabs>
          <w:tab w:val="left" w:pos="2800"/>
        </w:tabs>
        <w:ind w:left="2800" w:hanging="420"/>
      </w:pPr>
      <w:rPr>
        <w:rFonts w:hint="default" w:ascii="Wingdings" w:hAnsi="Wingdings"/>
      </w:rPr>
    </w:lvl>
    <w:lvl w:ilvl="6" w:tentative="0">
      <w:start w:val="1"/>
      <w:numFmt w:val="bullet"/>
      <w:lvlText w:val=""/>
      <w:lvlJc w:val="left"/>
      <w:pPr>
        <w:tabs>
          <w:tab w:val="left" w:pos="3220"/>
        </w:tabs>
        <w:ind w:left="3220" w:hanging="420"/>
      </w:pPr>
      <w:rPr>
        <w:rFonts w:hint="default" w:ascii="Wingdings" w:hAnsi="Wingdings"/>
      </w:rPr>
    </w:lvl>
    <w:lvl w:ilvl="7" w:tentative="0">
      <w:start w:val="1"/>
      <w:numFmt w:val="bullet"/>
      <w:lvlText w:val=""/>
      <w:lvlJc w:val="left"/>
      <w:pPr>
        <w:tabs>
          <w:tab w:val="left" w:pos="3640"/>
        </w:tabs>
        <w:ind w:left="3640" w:hanging="420"/>
      </w:pPr>
      <w:rPr>
        <w:rFonts w:hint="default" w:ascii="Wingdings" w:hAnsi="Wingdings"/>
      </w:rPr>
    </w:lvl>
    <w:lvl w:ilvl="8" w:tentative="0">
      <w:start w:val="1"/>
      <w:numFmt w:val="bullet"/>
      <w:lvlText w:val=""/>
      <w:lvlJc w:val="left"/>
      <w:pPr>
        <w:tabs>
          <w:tab w:val="left" w:pos="4060"/>
        </w:tabs>
        <w:ind w:left="4060" w:hanging="420"/>
      </w:pPr>
      <w:rPr>
        <w:rFonts w:hint="default" w:ascii="Wingdings" w:hAnsi="Wingdings"/>
      </w:rPr>
    </w:lvl>
  </w:abstractNum>
  <w:num w:numId="1">
    <w:abstractNumId w:val="3"/>
  </w:num>
  <w:num w:numId="2">
    <w:abstractNumId w:val="6"/>
  </w:num>
  <w:num w:numId="3">
    <w:abstractNumId w:val="5"/>
  </w:num>
  <w:num w:numId="4">
    <w:abstractNumId w:val="20"/>
  </w:num>
  <w:num w:numId="5">
    <w:abstractNumId w:val="7"/>
  </w:num>
  <w:num w:numId="6">
    <w:abstractNumId w:val="14"/>
  </w:num>
  <w:num w:numId="7">
    <w:abstractNumId w:val="18"/>
  </w:num>
  <w:num w:numId="8">
    <w:abstractNumId w:val="12"/>
  </w:num>
  <w:num w:numId="9">
    <w:abstractNumId w:val="4"/>
  </w:num>
  <w:num w:numId="10">
    <w:abstractNumId w:val="9"/>
  </w:num>
  <w:num w:numId="11">
    <w:abstractNumId w:val="17"/>
  </w:num>
  <w:num w:numId="12">
    <w:abstractNumId w:val="13"/>
  </w:num>
  <w:num w:numId="13">
    <w:abstractNumId w:val="19"/>
    <w:lvlOverride w:ilvl="0">
      <w:startOverride w:val="1"/>
    </w:lvlOverride>
    <w:lvlOverride w:ilvl="1">
      <w:startOverride w:val="1"/>
    </w:lvlOverride>
    <w:lvlOverride w:ilvl="2">
      <w:startOverride w:val="2"/>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
  </w:num>
  <w:num w:numId="16">
    <w:abstractNumId w:val="2"/>
  </w:num>
  <w:num w:numId="17">
    <w:abstractNumId w:val="11"/>
  </w:num>
  <w:num w:numId="18">
    <w:abstractNumId w:val="10"/>
  </w:num>
  <w:num w:numId="19">
    <w:abstractNumId w:val="0"/>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0"/>
  <w:defaultTabStop w:val="420"/>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MTQyZTBmYWEwMGI0OWI5YTYxODM0NWU1ZmJhMzkifQ=="/>
  </w:docVars>
  <w:rsids>
    <w:rsidRoot w:val="00172A27"/>
    <w:rsid w:val="00000451"/>
    <w:rsid w:val="00000D59"/>
    <w:rsid w:val="0000108B"/>
    <w:rsid w:val="0000133D"/>
    <w:rsid w:val="00001509"/>
    <w:rsid w:val="000032B2"/>
    <w:rsid w:val="0000363B"/>
    <w:rsid w:val="00004767"/>
    <w:rsid w:val="00004895"/>
    <w:rsid w:val="000058BD"/>
    <w:rsid w:val="00006109"/>
    <w:rsid w:val="00006150"/>
    <w:rsid w:val="00006316"/>
    <w:rsid w:val="000063E8"/>
    <w:rsid w:val="00006725"/>
    <w:rsid w:val="0000675E"/>
    <w:rsid w:val="00007CAA"/>
    <w:rsid w:val="000104C7"/>
    <w:rsid w:val="00010CA2"/>
    <w:rsid w:val="00010FE9"/>
    <w:rsid w:val="0001122F"/>
    <w:rsid w:val="00011A4B"/>
    <w:rsid w:val="00012251"/>
    <w:rsid w:val="0001337C"/>
    <w:rsid w:val="000138C4"/>
    <w:rsid w:val="00013C1F"/>
    <w:rsid w:val="00013F31"/>
    <w:rsid w:val="000140D8"/>
    <w:rsid w:val="00014530"/>
    <w:rsid w:val="00014BBC"/>
    <w:rsid w:val="00014DE7"/>
    <w:rsid w:val="000150EE"/>
    <w:rsid w:val="00015D12"/>
    <w:rsid w:val="000168D8"/>
    <w:rsid w:val="000170C8"/>
    <w:rsid w:val="000173F4"/>
    <w:rsid w:val="00017A1E"/>
    <w:rsid w:val="00020287"/>
    <w:rsid w:val="000202FE"/>
    <w:rsid w:val="00020B5F"/>
    <w:rsid w:val="000211BC"/>
    <w:rsid w:val="0002159A"/>
    <w:rsid w:val="0002177F"/>
    <w:rsid w:val="00021CC1"/>
    <w:rsid w:val="0002207B"/>
    <w:rsid w:val="00022FB3"/>
    <w:rsid w:val="000232FD"/>
    <w:rsid w:val="00023323"/>
    <w:rsid w:val="000233E4"/>
    <w:rsid w:val="00023495"/>
    <w:rsid w:val="00023777"/>
    <w:rsid w:val="00023B06"/>
    <w:rsid w:val="000240D6"/>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DDF"/>
    <w:rsid w:val="00032EA0"/>
    <w:rsid w:val="000331B0"/>
    <w:rsid w:val="000336D4"/>
    <w:rsid w:val="00034FA7"/>
    <w:rsid w:val="0003533D"/>
    <w:rsid w:val="000357E4"/>
    <w:rsid w:val="00035ACA"/>
    <w:rsid w:val="00035C05"/>
    <w:rsid w:val="00040065"/>
    <w:rsid w:val="00040447"/>
    <w:rsid w:val="00040494"/>
    <w:rsid w:val="000407A2"/>
    <w:rsid w:val="00040B70"/>
    <w:rsid w:val="000419B8"/>
    <w:rsid w:val="00042441"/>
    <w:rsid w:val="00042533"/>
    <w:rsid w:val="00042DBB"/>
    <w:rsid w:val="00042E65"/>
    <w:rsid w:val="0004347C"/>
    <w:rsid w:val="00043907"/>
    <w:rsid w:val="0004431B"/>
    <w:rsid w:val="00044F48"/>
    <w:rsid w:val="00046537"/>
    <w:rsid w:val="000470C0"/>
    <w:rsid w:val="00047354"/>
    <w:rsid w:val="00050656"/>
    <w:rsid w:val="00050A19"/>
    <w:rsid w:val="00050B5D"/>
    <w:rsid w:val="000511B6"/>
    <w:rsid w:val="00051B00"/>
    <w:rsid w:val="00051C72"/>
    <w:rsid w:val="00052192"/>
    <w:rsid w:val="0005238F"/>
    <w:rsid w:val="00052787"/>
    <w:rsid w:val="00052BB8"/>
    <w:rsid w:val="00053C0F"/>
    <w:rsid w:val="0005417A"/>
    <w:rsid w:val="00054D39"/>
    <w:rsid w:val="0005501B"/>
    <w:rsid w:val="000550F5"/>
    <w:rsid w:val="00055337"/>
    <w:rsid w:val="000554C7"/>
    <w:rsid w:val="00056145"/>
    <w:rsid w:val="00056376"/>
    <w:rsid w:val="00056402"/>
    <w:rsid w:val="00056791"/>
    <w:rsid w:val="00056868"/>
    <w:rsid w:val="00056876"/>
    <w:rsid w:val="000568DF"/>
    <w:rsid w:val="000578A3"/>
    <w:rsid w:val="00057D4C"/>
    <w:rsid w:val="00057FB8"/>
    <w:rsid w:val="00060C48"/>
    <w:rsid w:val="00061A3C"/>
    <w:rsid w:val="00061C48"/>
    <w:rsid w:val="00064278"/>
    <w:rsid w:val="000646CA"/>
    <w:rsid w:val="0006501D"/>
    <w:rsid w:val="000665C4"/>
    <w:rsid w:val="00067625"/>
    <w:rsid w:val="00067821"/>
    <w:rsid w:val="0006785E"/>
    <w:rsid w:val="00067DE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85"/>
    <w:rsid w:val="0007568F"/>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15F"/>
    <w:rsid w:val="00082684"/>
    <w:rsid w:val="00082AD4"/>
    <w:rsid w:val="00083E07"/>
    <w:rsid w:val="00084D27"/>
    <w:rsid w:val="00084ED6"/>
    <w:rsid w:val="0008580E"/>
    <w:rsid w:val="0008586C"/>
    <w:rsid w:val="00085A0E"/>
    <w:rsid w:val="00085C4F"/>
    <w:rsid w:val="00086EFD"/>
    <w:rsid w:val="00086F8A"/>
    <w:rsid w:val="00087031"/>
    <w:rsid w:val="00090243"/>
    <w:rsid w:val="000903F8"/>
    <w:rsid w:val="000904F6"/>
    <w:rsid w:val="00090918"/>
    <w:rsid w:val="00090ED8"/>
    <w:rsid w:val="00090F9F"/>
    <w:rsid w:val="0009145F"/>
    <w:rsid w:val="0009184E"/>
    <w:rsid w:val="00091B4E"/>
    <w:rsid w:val="000921F4"/>
    <w:rsid w:val="00092467"/>
    <w:rsid w:val="000927CF"/>
    <w:rsid w:val="00092FE9"/>
    <w:rsid w:val="00093081"/>
    <w:rsid w:val="00093458"/>
    <w:rsid w:val="000936BF"/>
    <w:rsid w:val="0009382F"/>
    <w:rsid w:val="00093A30"/>
    <w:rsid w:val="00094314"/>
    <w:rsid w:val="00094342"/>
    <w:rsid w:val="000945BA"/>
    <w:rsid w:val="00095954"/>
    <w:rsid w:val="000960BA"/>
    <w:rsid w:val="0009662A"/>
    <w:rsid w:val="0009690D"/>
    <w:rsid w:val="00096C1D"/>
    <w:rsid w:val="00096DFF"/>
    <w:rsid w:val="000A0729"/>
    <w:rsid w:val="000A0E69"/>
    <w:rsid w:val="000A1A52"/>
    <w:rsid w:val="000A1B44"/>
    <w:rsid w:val="000A1F98"/>
    <w:rsid w:val="000A200F"/>
    <w:rsid w:val="000A28F2"/>
    <w:rsid w:val="000A37B4"/>
    <w:rsid w:val="000A3D58"/>
    <w:rsid w:val="000A3FE3"/>
    <w:rsid w:val="000A47B0"/>
    <w:rsid w:val="000A4851"/>
    <w:rsid w:val="000A49BB"/>
    <w:rsid w:val="000A4F22"/>
    <w:rsid w:val="000A5674"/>
    <w:rsid w:val="000A5A46"/>
    <w:rsid w:val="000A5DC3"/>
    <w:rsid w:val="000A7299"/>
    <w:rsid w:val="000A752E"/>
    <w:rsid w:val="000B0E04"/>
    <w:rsid w:val="000B1309"/>
    <w:rsid w:val="000B2663"/>
    <w:rsid w:val="000B268D"/>
    <w:rsid w:val="000B291B"/>
    <w:rsid w:val="000B456C"/>
    <w:rsid w:val="000B45B9"/>
    <w:rsid w:val="000B47CE"/>
    <w:rsid w:val="000B4B56"/>
    <w:rsid w:val="000B4C62"/>
    <w:rsid w:val="000B541D"/>
    <w:rsid w:val="000B54C1"/>
    <w:rsid w:val="000B5553"/>
    <w:rsid w:val="000B5FE8"/>
    <w:rsid w:val="000B666E"/>
    <w:rsid w:val="000C033C"/>
    <w:rsid w:val="000C06EC"/>
    <w:rsid w:val="000C0A43"/>
    <w:rsid w:val="000C0CB1"/>
    <w:rsid w:val="000C1411"/>
    <w:rsid w:val="000C1ADE"/>
    <w:rsid w:val="000C1C38"/>
    <w:rsid w:val="000C21DC"/>
    <w:rsid w:val="000C2264"/>
    <w:rsid w:val="000C256B"/>
    <w:rsid w:val="000C3125"/>
    <w:rsid w:val="000C3970"/>
    <w:rsid w:val="000C3B1A"/>
    <w:rsid w:val="000C3FA3"/>
    <w:rsid w:val="000C4727"/>
    <w:rsid w:val="000C47AE"/>
    <w:rsid w:val="000C51AD"/>
    <w:rsid w:val="000C5374"/>
    <w:rsid w:val="000C5EC0"/>
    <w:rsid w:val="000C6162"/>
    <w:rsid w:val="000C64CC"/>
    <w:rsid w:val="000C6688"/>
    <w:rsid w:val="000C692E"/>
    <w:rsid w:val="000C6B28"/>
    <w:rsid w:val="000C7BEB"/>
    <w:rsid w:val="000D00D6"/>
    <w:rsid w:val="000D0124"/>
    <w:rsid w:val="000D08F8"/>
    <w:rsid w:val="000D11E5"/>
    <w:rsid w:val="000D19E8"/>
    <w:rsid w:val="000D1FA1"/>
    <w:rsid w:val="000D208A"/>
    <w:rsid w:val="000D225B"/>
    <w:rsid w:val="000D2834"/>
    <w:rsid w:val="000D2CAC"/>
    <w:rsid w:val="000D34C8"/>
    <w:rsid w:val="000D34FD"/>
    <w:rsid w:val="000D3932"/>
    <w:rsid w:val="000D3BE5"/>
    <w:rsid w:val="000D3C37"/>
    <w:rsid w:val="000D453A"/>
    <w:rsid w:val="000D4AFA"/>
    <w:rsid w:val="000D5240"/>
    <w:rsid w:val="000D5EA6"/>
    <w:rsid w:val="000D5F00"/>
    <w:rsid w:val="000D6C9F"/>
    <w:rsid w:val="000D6E3B"/>
    <w:rsid w:val="000D6F30"/>
    <w:rsid w:val="000D74E4"/>
    <w:rsid w:val="000D7C9D"/>
    <w:rsid w:val="000D7CE0"/>
    <w:rsid w:val="000E1444"/>
    <w:rsid w:val="000E2785"/>
    <w:rsid w:val="000E27BB"/>
    <w:rsid w:val="000E3153"/>
    <w:rsid w:val="000E3484"/>
    <w:rsid w:val="000E386F"/>
    <w:rsid w:val="000E4051"/>
    <w:rsid w:val="000E4139"/>
    <w:rsid w:val="000E4765"/>
    <w:rsid w:val="000E5433"/>
    <w:rsid w:val="000E5661"/>
    <w:rsid w:val="000E5B7E"/>
    <w:rsid w:val="000E5BB8"/>
    <w:rsid w:val="000E5FF9"/>
    <w:rsid w:val="000E6AE1"/>
    <w:rsid w:val="000E7142"/>
    <w:rsid w:val="000E7189"/>
    <w:rsid w:val="000E7236"/>
    <w:rsid w:val="000E7632"/>
    <w:rsid w:val="000E7737"/>
    <w:rsid w:val="000E7739"/>
    <w:rsid w:val="000E77EE"/>
    <w:rsid w:val="000F1604"/>
    <w:rsid w:val="000F2798"/>
    <w:rsid w:val="000F287A"/>
    <w:rsid w:val="000F2940"/>
    <w:rsid w:val="000F2AB3"/>
    <w:rsid w:val="000F3C29"/>
    <w:rsid w:val="000F3D08"/>
    <w:rsid w:val="000F439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4AE"/>
    <w:rsid w:val="001015F8"/>
    <w:rsid w:val="00101967"/>
    <w:rsid w:val="001024BA"/>
    <w:rsid w:val="00103251"/>
    <w:rsid w:val="00103509"/>
    <w:rsid w:val="00103709"/>
    <w:rsid w:val="0010393D"/>
    <w:rsid w:val="00103D66"/>
    <w:rsid w:val="00103EBD"/>
    <w:rsid w:val="00104699"/>
    <w:rsid w:val="00104E5B"/>
    <w:rsid w:val="00104EEC"/>
    <w:rsid w:val="001050DC"/>
    <w:rsid w:val="00105482"/>
    <w:rsid w:val="001056A5"/>
    <w:rsid w:val="00105BA9"/>
    <w:rsid w:val="00105BF2"/>
    <w:rsid w:val="00105FE1"/>
    <w:rsid w:val="001066EF"/>
    <w:rsid w:val="00106AAA"/>
    <w:rsid w:val="00106E0E"/>
    <w:rsid w:val="00107127"/>
    <w:rsid w:val="001078A5"/>
    <w:rsid w:val="00107BBD"/>
    <w:rsid w:val="00107BC7"/>
    <w:rsid w:val="00110033"/>
    <w:rsid w:val="001102B5"/>
    <w:rsid w:val="00110E34"/>
    <w:rsid w:val="00111C7D"/>
    <w:rsid w:val="00112038"/>
    <w:rsid w:val="001127FF"/>
    <w:rsid w:val="00112B0B"/>
    <w:rsid w:val="00112EB5"/>
    <w:rsid w:val="0011383E"/>
    <w:rsid w:val="00113EE3"/>
    <w:rsid w:val="001140CC"/>
    <w:rsid w:val="00114847"/>
    <w:rsid w:val="00114C4D"/>
    <w:rsid w:val="0011585B"/>
    <w:rsid w:val="00115B1A"/>
    <w:rsid w:val="001160FF"/>
    <w:rsid w:val="001164F4"/>
    <w:rsid w:val="001168F8"/>
    <w:rsid w:val="001176FF"/>
    <w:rsid w:val="0012030E"/>
    <w:rsid w:val="0012153F"/>
    <w:rsid w:val="0012159D"/>
    <w:rsid w:val="00121804"/>
    <w:rsid w:val="0012196B"/>
    <w:rsid w:val="00121EC9"/>
    <w:rsid w:val="001224FE"/>
    <w:rsid w:val="001231D3"/>
    <w:rsid w:val="001232A7"/>
    <w:rsid w:val="00123F7C"/>
    <w:rsid w:val="0012419E"/>
    <w:rsid w:val="001248EF"/>
    <w:rsid w:val="00124AC0"/>
    <w:rsid w:val="00124FC4"/>
    <w:rsid w:val="001253AB"/>
    <w:rsid w:val="0012574C"/>
    <w:rsid w:val="001259B8"/>
    <w:rsid w:val="0012601D"/>
    <w:rsid w:val="001264B9"/>
    <w:rsid w:val="0012693E"/>
    <w:rsid w:val="00126A3A"/>
    <w:rsid w:val="00127060"/>
    <w:rsid w:val="00127B83"/>
    <w:rsid w:val="00130429"/>
    <w:rsid w:val="00131C2D"/>
    <w:rsid w:val="0013202C"/>
    <w:rsid w:val="00132704"/>
    <w:rsid w:val="00132CBF"/>
    <w:rsid w:val="00133707"/>
    <w:rsid w:val="00133742"/>
    <w:rsid w:val="00133B70"/>
    <w:rsid w:val="00133E97"/>
    <w:rsid w:val="00134823"/>
    <w:rsid w:val="00134BE9"/>
    <w:rsid w:val="001350F7"/>
    <w:rsid w:val="00135769"/>
    <w:rsid w:val="00135BE9"/>
    <w:rsid w:val="00135E1E"/>
    <w:rsid w:val="00135E5C"/>
    <w:rsid w:val="00135F56"/>
    <w:rsid w:val="001363FF"/>
    <w:rsid w:val="00136692"/>
    <w:rsid w:val="00136762"/>
    <w:rsid w:val="00136E33"/>
    <w:rsid w:val="00136E9D"/>
    <w:rsid w:val="0013773D"/>
    <w:rsid w:val="00140319"/>
    <w:rsid w:val="0014042F"/>
    <w:rsid w:val="00140693"/>
    <w:rsid w:val="00140D7A"/>
    <w:rsid w:val="0014148C"/>
    <w:rsid w:val="00141D28"/>
    <w:rsid w:val="00141DFE"/>
    <w:rsid w:val="00142185"/>
    <w:rsid w:val="001422E2"/>
    <w:rsid w:val="00142C26"/>
    <w:rsid w:val="001433BC"/>
    <w:rsid w:val="001435ED"/>
    <w:rsid w:val="00143872"/>
    <w:rsid w:val="00143A85"/>
    <w:rsid w:val="00144649"/>
    <w:rsid w:val="00145022"/>
    <w:rsid w:val="00145662"/>
    <w:rsid w:val="00145C6D"/>
    <w:rsid w:val="001460FC"/>
    <w:rsid w:val="00146151"/>
    <w:rsid w:val="00146326"/>
    <w:rsid w:val="00147032"/>
    <w:rsid w:val="0014763D"/>
    <w:rsid w:val="001479FD"/>
    <w:rsid w:val="00147EA7"/>
    <w:rsid w:val="00151170"/>
    <w:rsid w:val="00151820"/>
    <w:rsid w:val="00151B2F"/>
    <w:rsid w:val="001524DC"/>
    <w:rsid w:val="001525E5"/>
    <w:rsid w:val="00152F90"/>
    <w:rsid w:val="00153117"/>
    <w:rsid w:val="00153859"/>
    <w:rsid w:val="00153915"/>
    <w:rsid w:val="001539F0"/>
    <w:rsid w:val="00153C3F"/>
    <w:rsid w:val="0015419D"/>
    <w:rsid w:val="0015498C"/>
    <w:rsid w:val="00154BBA"/>
    <w:rsid w:val="00155B95"/>
    <w:rsid w:val="00156853"/>
    <w:rsid w:val="00157432"/>
    <w:rsid w:val="001603D9"/>
    <w:rsid w:val="00161185"/>
    <w:rsid w:val="001614F0"/>
    <w:rsid w:val="001620BA"/>
    <w:rsid w:val="001623AC"/>
    <w:rsid w:val="00162BAA"/>
    <w:rsid w:val="00163C40"/>
    <w:rsid w:val="0016488B"/>
    <w:rsid w:val="00165758"/>
    <w:rsid w:val="00165A65"/>
    <w:rsid w:val="00165F10"/>
    <w:rsid w:val="001661DE"/>
    <w:rsid w:val="00166317"/>
    <w:rsid w:val="00166424"/>
    <w:rsid w:val="00167478"/>
    <w:rsid w:val="00167594"/>
    <w:rsid w:val="001701A4"/>
    <w:rsid w:val="001702BE"/>
    <w:rsid w:val="001703AB"/>
    <w:rsid w:val="001704B3"/>
    <w:rsid w:val="0017059C"/>
    <w:rsid w:val="00170805"/>
    <w:rsid w:val="0017098F"/>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570"/>
    <w:rsid w:val="00180A47"/>
    <w:rsid w:val="00180FC0"/>
    <w:rsid w:val="001827B7"/>
    <w:rsid w:val="001827EF"/>
    <w:rsid w:val="00182982"/>
    <w:rsid w:val="001829BC"/>
    <w:rsid w:val="00182D68"/>
    <w:rsid w:val="00182FEB"/>
    <w:rsid w:val="00183031"/>
    <w:rsid w:val="00183468"/>
    <w:rsid w:val="0018397E"/>
    <w:rsid w:val="0018413B"/>
    <w:rsid w:val="0018416F"/>
    <w:rsid w:val="00184220"/>
    <w:rsid w:val="00184466"/>
    <w:rsid w:val="00184DBF"/>
    <w:rsid w:val="001850D2"/>
    <w:rsid w:val="001852A8"/>
    <w:rsid w:val="0018620A"/>
    <w:rsid w:val="00186C1E"/>
    <w:rsid w:val="00186EB0"/>
    <w:rsid w:val="00187121"/>
    <w:rsid w:val="00187243"/>
    <w:rsid w:val="00187C29"/>
    <w:rsid w:val="00187D13"/>
    <w:rsid w:val="00190555"/>
    <w:rsid w:val="00190782"/>
    <w:rsid w:val="00190860"/>
    <w:rsid w:val="00190942"/>
    <w:rsid w:val="001909A7"/>
    <w:rsid w:val="001909C3"/>
    <w:rsid w:val="00191459"/>
    <w:rsid w:val="00191603"/>
    <w:rsid w:val="0019173E"/>
    <w:rsid w:val="0019174E"/>
    <w:rsid w:val="0019196B"/>
    <w:rsid w:val="00191CFA"/>
    <w:rsid w:val="001923D5"/>
    <w:rsid w:val="00192991"/>
    <w:rsid w:val="00193470"/>
    <w:rsid w:val="00193B94"/>
    <w:rsid w:val="001940A7"/>
    <w:rsid w:val="00194A71"/>
    <w:rsid w:val="00194BB1"/>
    <w:rsid w:val="00194BC6"/>
    <w:rsid w:val="00195070"/>
    <w:rsid w:val="00195245"/>
    <w:rsid w:val="0019526D"/>
    <w:rsid w:val="0019553F"/>
    <w:rsid w:val="001956BE"/>
    <w:rsid w:val="00195E24"/>
    <w:rsid w:val="0019602C"/>
    <w:rsid w:val="001969F2"/>
    <w:rsid w:val="00196CD6"/>
    <w:rsid w:val="0019756A"/>
    <w:rsid w:val="001A0496"/>
    <w:rsid w:val="001A06B5"/>
    <w:rsid w:val="001A07F8"/>
    <w:rsid w:val="001A0A23"/>
    <w:rsid w:val="001A0C98"/>
    <w:rsid w:val="001A128B"/>
    <w:rsid w:val="001A1475"/>
    <w:rsid w:val="001A16FB"/>
    <w:rsid w:val="001A1F0E"/>
    <w:rsid w:val="001A3335"/>
    <w:rsid w:val="001A3CB9"/>
    <w:rsid w:val="001A473A"/>
    <w:rsid w:val="001A4ED9"/>
    <w:rsid w:val="001A5785"/>
    <w:rsid w:val="001A5FD7"/>
    <w:rsid w:val="001A63C9"/>
    <w:rsid w:val="001A66A6"/>
    <w:rsid w:val="001A6BAF"/>
    <w:rsid w:val="001A6BBB"/>
    <w:rsid w:val="001A6CEE"/>
    <w:rsid w:val="001A7314"/>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55C"/>
    <w:rsid w:val="001B7A15"/>
    <w:rsid w:val="001B7B69"/>
    <w:rsid w:val="001B7B9A"/>
    <w:rsid w:val="001B7DC1"/>
    <w:rsid w:val="001C08BB"/>
    <w:rsid w:val="001C08DB"/>
    <w:rsid w:val="001C0E6F"/>
    <w:rsid w:val="001C0FF7"/>
    <w:rsid w:val="001C10BD"/>
    <w:rsid w:val="001C1F01"/>
    <w:rsid w:val="001C2092"/>
    <w:rsid w:val="001C232F"/>
    <w:rsid w:val="001C2544"/>
    <w:rsid w:val="001C2A17"/>
    <w:rsid w:val="001C31F5"/>
    <w:rsid w:val="001C4A57"/>
    <w:rsid w:val="001C6047"/>
    <w:rsid w:val="001C6698"/>
    <w:rsid w:val="001C6C1C"/>
    <w:rsid w:val="001C6C5B"/>
    <w:rsid w:val="001C7399"/>
    <w:rsid w:val="001C7CE0"/>
    <w:rsid w:val="001D005B"/>
    <w:rsid w:val="001D0947"/>
    <w:rsid w:val="001D16F5"/>
    <w:rsid w:val="001D1970"/>
    <w:rsid w:val="001D1D55"/>
    <w:rsid w:val="001D1EDB"/>
    <w:rsid w:val="001D21EF"/>
    <w:rsid w:val="001D29A4"/>
    <w:rsid w:val="001D2AED"/>
    <w:rsid w:val="001D2B73"/>
    <w:rsid w:val="001D2BB4"/>
    <w:rsid w:val="001D3136"/>
    <w:rsid w:val="001D330D"/>
    <w:rsid w:val="001D4AB6"/>
    <w:rsid w:val="001D4AD3"/>
    <w:rsid w:val="001D4DCF"/>
    <w:rsid w:val="001D5281"/>
    <w:rsid w:val="001E11BD"/>
    <w:rsid w:val="001E17E3"/>
    <w:rsid w:val="001E2052"/>
    <w:rsid w:val="001E2492"/>
    <w:rsid w:val="001E257C"/>
    <w:rsid w:val="001E286C"/>
    <w:rsid w:val="001E2CE8"/>
    <w:rsid w:val="001E2F34"/>
    <w:rsid w:val="001E35EE"/>
    <w:rsid w:val="001E4B2C"/>
    <w:rsid w:val="001E507F"/>
    <w:rsid w:val="001E56C2"/>
    <w:rsid w:val="001E59FB"/>
    <w:rsid w:val="001E65E4"/>
    <w:rsid w:val="001E7F81"/>
    <w:rsid w:val="001F0FD1"/>
    <w:rsid w:val="001F1526"/>
    <w:rsid w:val="001F19D1"/>
    <w:rsid w:val="001F1CB9"/>
    <w:rsid w:val="001F1F18"/>
    <w:rsid w:val="001F2C9D"/>
    <w:rsid w:val="001F2F92"/>
    <w:rsid w:val="001F50E3"/>
    <w:rsid w:val="001F53B8"/>
    <w:rsid w:val="001F5DA1"/>
    <w:rsid w:val="001F612E"/>
    <w:rsid w:val="001F6A92"/>
    <w:rsid w:val="001F77E8"/>
    <w:rsid w:val="001F7A8E"/>
    <w:rsid w:val="00201A0C"/>
    <w:rsid w:val="00201B0F"/>
    <w:rsid w:val="0020255A"/>
    <w:rsid w:val="002026D0"/>
    <w:rsid w:val="00202800"/>
    <w:rsid w:val="00202A6E"/>
    <w:rsid w:val="00202D33"/>
    <w:rsid w:val="00202E58"/>
    <w:rsid w:val="00202F99"/>
    <w:rsid w:val="00203C85"/>
    <w:rsid w:val="0020449A"/>
    <w:rsid w:val="00204E9B"/>
    <w:rsid w:val="00205214"/>
    <w:rsid w:val="00205298"/>
    <w:rsid w:val="002055C0"/>
    <w:rsid w:val="0020569E"/>
    <w:rsid w:val="002064F7"/>
    <w:rsid w:val="00206698"/>
    <w:rsid w:val="002066F9"/>
    <w:rsid w:val="00206736"/>
    <w:rsid w:val="00206C88"/>
    <w:rsid w:val="00210B9C"/>
    <w:rsid w:val="00211000"/>
    <w:rsid w:val="00211185"/>
    <w:rsid w:val="00211A94"/>
    <w:rsid w:val="002126F2"/>
    <w:rsid w:val="00213478"/>
    <w:rsid w:val="002136C3"/>
    <w:rsid w:val="00214028"/>
    <w:rsid w:val="002141C3"/>
    <w:rsid w:val="002141DC"/>
    <w:rsid w:val="0021440C"/>
    <w:rsid w:val="00214479"/>
    <w:rsid w:val="002144F3"/>
    <w:rsid w:val="002146C3"/>
    <w:rsid w:val="00214C61"/>
    <w:rsid w:val="00215334"/>
    <w:rsid w:val="00215514"/>
    <w:rsid w:val="002158FC"/>
    <w:rsid w:val="00215A2A"/>
    <w:rsid w:val="00215A3F"/>
    <w:rsid w:val="00215D21"/>
    <w:rsid w:val="0021636B"/>
    <w:rsid w:val="00216387"/>
    <w:rsid w:val="00216E7B"/>
    <w:rsid w:val="00217E1F"/>
    <w:rsid w:val="0022015D"/>
    <w:rsid w:val="002202D2"/>
    <w:rsid w:val="002204BC"/>
    <w:rsid w:val="00220F7B"/>
    <w:rsid w:val="0022127E"/>
    <w:rsid w:val="002213CE"/>
    <w:rsid w:val="0022165F"/>
    <w:rsid w:val="00221AF7"/>
    <w:rsid w:val="00222494"/>
    <w:rsid w:val="00222718"/>
    <w:rsid w:val="00222775"/>
    <w:rsid w:val="00222A31"/>
    <w:rsid w:val="00222C37"/>
    <w:rsid w:val="00222CF6"/>
    <w:rsid w:val="00223A2C"/>
    <w:rsid w:val="00224037"/>
    <w:rsid w:val="002244E4"/>
    <w:rsid w:val="00224D2A"/>
    <w:rsid w:val="00224D8D"/>
    <w:rsid w:val="0022513A"/>
    <w:rsid w:val="0022555A"/>
    <w:rsid w:val="0022565F"/>
    <w:rsid w:val="00225B52"/>
    <w:rsid w:val="00227214"/>
    <w:rsid w:val="00227D86"/>
    <w:rsid w:val="00227DDC"/>
    <w:rsid w:val="0023079F"/>
    <w:rsid w:val="00230FDD"/>
    <w:rsid w:val="00231135"/>
    <w:rsid w:val="002314B1"/>
    <w:rsid w:val="002317A1"/>
    <w:rsid w:val="00231B0B"/>
    <w:rsid w:val="00232555"/>
    <w:rsid w:val="00233538"/>
    <w:rsid w:val="00233A43"/>
    <w:rsid w:val="00234248"/>
    <w:rsid w:val="00234362"/>
    <w:rsid w:val="0023449F"/>
    <w:rsid w:val="002344F5"/>
    <w:rsid w:val="0023454D"/>
    <w:rsid w:val="00234679"/>
    <w:rsid w:val="002359FC"/>
    <w:rsid w:val="002361C8"/>
    <w:rsid w:val="002362A6"/>
    <w:rsid w:val="00236690"/>
    <w:rsid w:val="0023669D"/>
    <w:rsid w:val="00237EAE"/>
    <w:rsid w:val="00237FA2"/>
    <w:rsid w:val="002403D5"/>
    <w:rsid w:val="00240C1F"/>
    <w:rsid w:val="00240F55"/>
    <w:rsid w:val="00240F67"/>
    <w:rsid w:val="00241144"/>
    <w:rsid w:val="00241C7B"/>
    <w:rsid w:val="00242510"/>
    <w:rsid w:val="00242F79"/>
    <w:rsid w:val="00243118"/>
    <w:rsid w:val="0024415B"/>
    <w:rsid w:val="00245565"/>
    <w:rsid w:val="002458C1"/>
    <w:rsid w:val="00245E62"/>
    <w:rsid w:val="002460D0"/>
    <w:rsid w:val="00246357"/>
    <w:rsid w:val="00247422"/>
    <w:rsid w:val="00247BA2"/>
    <w:rsid w:val="00247BE2"/>
    <w:rsid w:val="00250870"/>
    <w:rsid w:val="00250CA4"/>
    <w:rsid w:val="00250D6D"/>
    <w:rsid w:val="0025151C"/>
    <w:rsid w:val="0025184F"/>
    <w:rsid w:val="00251967"/>
    <w:rsid w:val="002521B2"/>
    <w:rsid w:val="002527CC"/>
    <w:rsid w:val="00252F48"/>
    <w:rsid w:val="002530C0"/>
    <w:rsid w:val="00253586"/>
    <w:rsid w:val="002537FC"/>
    <w:rsid w:val="002542F8"/>
    <w:rsid w:val="002543EF"/>
    <w:rsid w:val="00254F2A"/>
    <w:rsid w:val="002552F4"/>
    <w:rsid w:val="002553ED"/>
    <w:rsid w:val="00255530"/>
    <w:rsid w:val="00255784"/>
    <w:rsid w:val="00255A29"/>
    <w:rsid w:val="0025631F"/>
    <w:rsid w:val="00256986"/>
    <w:rsid w:val="00256D61"/>
    <w:rsid w:val="00256E23"/>
    <w:rsid w:val="00257246"/>
    <w:rsid w:val="00257438"/>
    <w:rsid w:val="00257B6A"/>
    <w:rsid w:val="002609E9"/>
    <w:rsid w:val="0026119C"/>
    <w:rsid w:val="00261AFE"/>
    <w:rsid w:val="0026212A"/>
    <w:rsid w:val="002621D7"/>
    <w:rsid w:val="00262996"/>
    <w:rsid w:val="00263044"/>
    <w:rsid w:val="00263759"/>
    <w:rsid w:val="002638BD"/>
    <w:rsid w:val="00263A58"/>
    <w:rsid w:val="0026470B"/>
    <w:rsid w:val="0026486D"/>
    <w:rsid w:val="00264C4B"/>
    <w:rsid w:val="00264ED0"/>
    <w:rsid w:val="00265346"/>
    <w:rsid w:val="00266045"/>
    <w:rsid w:val="002660C3"/>
    <w:rsid w:val="00266ACF"/>
    <w:rsid w:val="00266C21"/>
    <w:rsid w:val="00266DE1"/>
    <w:rsid w:val="00266E95"/>
    <w:rsid w:val="00267408"/>
    <w:rsid w:val="00267720"/>
    <w:rsid w:val="00267A92"/>
    <w:rsid w:val="00267E43"/>
    <w:rsid w:val="00270282"/>
    <w:rsid w:val="00270780"/>
    <w:rsid w:val="00270CF6"/>
    <w:rsid w:val="00271097"/>
    <w:rsid w:val="0027131F"/>
    <w:rsid w:val="00271C53"/>
    <w:rsid w:val="00272066"/>
    <w:rsid w:val="0027244F"/>
    <w:rsid w:val="00273052"/>
    <w:rsid w:val="002739CE"/>
    <w:rsid w:val="00273C5F"/>
    <w:rsid w:val="002741D4"/>
    <w:rsid w:val="002743AC"/>
    <w:rsid w:val="002747F9"/>
    <w:rsid w:val="0027499D"/>
    <w:rsid w:val="002751CA"/>
    <w:rsid w:val="0027544D"/>
    <w:rsid w:val="00277196"/>
    <w:rsid w:val="002775ED"/>
    <w:rsid w:val="002778AB"/>
    <w:rsid w:val="0027798D"/>
    <w:rsid w:val="002802A5"/>
    <w:rsid w:val="002803CC"/>
    <w:rsid w:val="00280CFB"/>
    <w:rsid w:val="00280D24"/>
    <w:rsid w:val="002815C4"/>
    <w:rsid w:val="00281BCB"/>
    <w:rsid w:val="00281C76"/>
    <w:rsid w:val="00281D7F"/>
    <w:rsid w:val="00282A88"/>
    <w:rsid w:val="0028316D"/>
    <w:rsid w:val="00283296"/>
    <w:rsid w:val="00283C0A"/>
    <w:rsid w:val="002855FC"/>
    <w:rsid w:val="0028583E"/>
    <w:rsid w:val="00285853"/>
    <w:rsid w:val="00285B1A"/>
    <w:rsid w:val="00285F3F"/>
    <w:rsid w:val="00285FF3"/>
    <w:rsid w:val="002866EC"/>
    <w:rsid w:val="0028744E"/>
    <w:rsid w:val="002876D2"/>
    <w:rsid w:val="00287936"/>
    <w:rsid w:val="00287BB0"/>
    <w:rsid w:val="00287BB7"/>
    <w:rsid w:val="002903C5"/>
    <w:rsid w:val="0029041B"/>
    <w:rsid w:val="00290A99"/>
    <w:rsid w:val="00290EAF"/>
    <w:rsid w:val="0029159A"/>
    <w:rsid w:val="00291CF1"/>
    <w:rsid w:val="00291EEA"/>
    <w:rsid w:val="00292AA1"/>
    <w:rsid w:val="00293871"/>
    <w:rsid w:val="002939CD"/>
    <w:rsid w:val="00294012"/>
    <w:rsid w:val="002944E7"/>
    <w:rsid w:val="002945B0"/>
    <w:rsid w:val="0029499D"/>
    <w:rsid w:val="00294A13"/>
    <w:rsid w:val="00294B10"/>
    <w:rsid w:val="00294DF9"/>
    <w:rsid w:val="00295073"/>
    <w:rsid w:val="00295468"/>
    <w:rsid w:val="0029612B"/>
    <w:rsid w:val="00296819"/>
    <w:rsid w:val="00296C32"/>
    <w:rsid w:val="002977CE"/>
    <w:rsid w:val="00297AF5"/>
    <w:rsid w:val="00297F13"/>
    <w:rsid w:val="002A01C1"/>
    <w:rsid w:val="002A02D6"/>
    <w:rsid w:val="002A03ED"/>
    <w:rsid w:val="002A07C4"/>
    <w:rsid w:val="002A0921"/>
    <w:rsid w:val="002A0B04"/>
    <w:rsid w:val="002A0CB3"/>
    <w:rsid w:val="002A1887"/>
    <w:rsid w:val="002A2001"/>
    <w:rsid w:val="002A3450"/>
    <w:rsid w:val="002A4060"/>
    <w:rsid w:val="002A4868"/>
    <w:rsid w:val="002A4A05"/>
    <w:rsid w:val="002A4EB3"/>
    <w:rsid w:val="002A51D9"/>
    <w:rsid w:val="002A525A"/>
    <w:rsid w:val="002A5968"/>
    <w:rsid w:val="002A5C82"/>
    <w:rsid w:val="002A5CAB"/>
    <w:rsid w:val="002A5D40"/>
    <w:rsid w:val="002A622E"/>
    <w:rsid w:val="002A6424"/>
    <w:rsid w:val="002A64E7"/>
    <w:rsid w:val="002A706B"/>
    <w:rsid w:val="002A734F"/>
    <w:rsid w:val="002A7748"/>
    <w:rsid w:val="002A7ED3"/>
    <w:rsid w:val="002A7FB1"/>
    <w:rsid w:val="002A7FC9"/>
    <w:rsid w:val="002B139C"/>
    <w:rsid w:val="002B1881"/>
    <w:rsid w:val="002B1F61"/>
    <w:rsid w:val="002B2070"/>
    <w:rsid w:val="002B227D"/>
    <w:rsid w:val="002B2906"/>
    <w:rsid w:val="002B2C66"/>
    <w:rsid w:val="002B3216"/>
    <w:rsid w:val="002B34E3"/>
    <w:rsid w:val="002B3EF8"/>
    <w:rsid w:val="002B4B5C"/>
    <w:rsid w:val="002B51B6"/>
    <w:rsid w:val="002B5AEE"/>
    <w:rsid w:val="002B6177"/>
    <w:rsid w:val="002B650C"/>
    <w:rsid w:val="002B68E6"/>
    <w:rsid w:val="002B6985"/>
    <w:rsid w:val="002B6BD4"/>
    <w:rsid w:val="002B6D7A"/>
    <w:rsid w:val="002B72AE"/>
    <w:rsid w:val="002C02BA"/>
    <w:rsid w:val="002C0301"/>
    <w:rsid w:val="002C0326"/>
    <w:rsid w:val="002C077E"/>
    <w:rsid w:val="002C07B2"/>
    <w:rsid w:val="002C0A9F"/>
    <w:rsid w:val="002C1AB3"/>
    <w:rsid w:val="002C1BB7"/>
    <w:rsid w:val="002C1F0E"/>
    <w:rsid w:val="002C1FB3"/>
    <w:rsid w:val="002C2665"/>
    <w:rsid w:val="002C28E1"/>
    <w:rsid w:val="002C327D"/>
    <w:rsid w:val="002C3607"/>
    <w:rsid w:val="002C3890"/>
    <w:rsid w:val="002C3AD9"/>
    <w:rsid w:val="002C3B82"/>
    <w:rsid w:val="002C4286"/>
    <w:rsid w:val="002C43FC"/>
    <w:rsid w:val="002C45C3"/>
    <w:rsid w:val="002C483B"/>
    <w:rsid w:val="002C4DFE"/>
    <w:rsid w:val="002C519E"/>
    <w:rsid w:val="002C5D5E"/>
    <w:rsid w:val="002C6116"/>
    <w:rsid w:val="002C643D"/>
    <w:rsid w:val="002C66B8"/>
    <w:rsid w:val="002C70E7"/>
    <w:rsid w:val="002D016F"/>
    <w:rsid w:val="002D0404"/>
    <w:rsid w:val="002D0C27"/>
    <w:rsid w:val="002D0E88"/>
    <w:rsid w:val="002D0EA7"/>
    <w:rsid w:val="002D0F31"/>
    <w:rsid w:val="002D1593"/>
    <w:rsid w:val="002D1A1E"/>
    <w:rsid w:val="002D22A6"/>
    <w:rsid w:val="002D2819"/>
    <w:rsid w:val="002D2CD6"/>
    <w:rsid w:val="002D2F81"/>
    <w:rsid w:val="002D330B"/>
    <w:rsid w:val="002D38A3"/>
    <w:rsid w:val="002D39A9"/>
    <w:rsid w:val="002D3BA3"/>
    <w:rsid w:val="002D43EE"/>
    <w:rsid w:val="002D4892"/>
    <w:rsid w:val="002D4D06"/>
    <w:rsid w:val="002D4DDE"/>
    <w:rsid w:val="002D4EE7"/>
    <w:rsid w:val="002D4EED"/>
    <w:rsid w:val="002D51D2"/>
    <w:rsid w:val="002D5AAD"/>
    <w:rsid w:val="002D5DA3"/>
    <w:rsid w:val="002D6097"/>
    <w:rsid w:val="002D648D"/>
    <w:rsid w:val="002D65AD"/>
    <w:rsid w:val="002D6782"/>
    <w:rsid w:val="002D68CC"/>
    <w:rsid w:val="002D6E4D"/>
    <w:rsid w:val="002D74A4"/>
    <w:rsid w:val="002D788E"/>
    <w:rsid w:val="002D7C3D"/>
    <w:rsid w:val="002D7DB2"/>
    <w:rsid w:val="002D7DBD"/>
    <w:rsid w:val="002D7EA8"/>
    <w:rsid w:val="002E00E1"/>
    <w:rsid w:val="002E0102"/>
    <w:rsid w:val="002E03AE"/>
    <w:rsid w:val="002E0542"/>
    <w:rsid w:val="002E05F2"/>
    <w:rsid w:val="002E0E87"/>
    <w:rsid w:val="002E12FA"/>
    <w:rsid w:val="002E13CF"/>
    <w:rsid w:val="002E1A42"/>
    <w:rsid w:val="002E1D14"/>
    <w:rsid w:val="002E201C"/>
    <w:rsid w:val="002E22CA"/>
    <w:rsid w:val="002E236F"/>
    <w:rsid w:val="002E2A3C"/>
    <w:rsid w:val="002E2A90"/>
    <w:rsid w:val="002E3294"/>
    <w:rsid w:val="002E36EE"/>
    <w:rsid w:val="002E37C5"/>
    <w:rsid w:val="002E3956"/>
    <w:rsid w:val="002E3C08"/>
    <w:rsid w:val="002E3CF2"/>
    <w:rsid w:val="002E469E"/>
    <w:rsid w:val="002E4C01"/>
    <w:rsid w:val="002E4D50"/>
    <w:rsid w:val="002E4F8E"/>
    <w:rsid w:val="002E51C3"/>
    <w:rsid w:val="002E55FF"/>
    <w:rsid w:val="002E587E"/>
    <w:rsid w:val="002E63ED"/>
    <w:rsid w:val="002E672A"/>
    <w:rsid w:val="002E6853"/>
    <w:rsid w:val="002E70B3"/>
    <w:rsid w:val="002E7EC1"/>
    <w:rsid w:val="002E7EE5"/>
    <w:rsid w:val="002F0323"/>
    <w:rsid w:val="002F0DFB"/>
    <w:rsid w:val="002F134F"/>
    <w:rsid w:val="002F1D0B"/>
    <w:rsid w:val="002F1E1D"/>
    <w:rsid w:val="002F1F02"/>
    <w:rsid w:val="002F27E5"/>
    <w:rsid w:val="002F2D81"/>
    <w:rsid w:val="002F2F66"/>
    <w:rsid w:val="002F3128"/>
    <w:rsid w:val="002F339A"/>
    <w:rsid w:val="002F39D4"/>
    <w:rsid w:val="002F4A71"/>
    <w:rsid w:val="002F4BA9"/>
    <w:rsid w:val="002F541B"/>
    <w:rsid w:val="002F5ACF"/>
    <w:rsid w:val="002F5BFE"/>
    <w:rsid w:val="002F5DA5"/>
    <w:rsid w:val="002F5E17"/>
    <w:rsid w:val="002F6371"/>
    <w:rsid w:val="002F647C"/>
    <w:rsid w:val="002F6C6B"/>
    <w:rsid w:val="002F6CB0"/>
    <w:rsid w:val="002F6EFF"/>
    <w:rsid w:val="002F7DF0"/>
    <w:rsid w:val="002F7FAF"/>
    <w:rsid w:val="00300573"/>
    <w:rsid w:val="00302077"/>
    <w:rsid w:val="003025FE"/>
    <w:rsid w:val="00302A27"/>
    <w:rsid w:val="00303AB6"/>
    <w:rsid w:val="00303E6E"/>
    <w:rsid w:val="00303EC4"/>
    <w:rsid w:val="00304640"/>
    <w:rsid w:val="00304AC1"/>
    <w:rsid w:val="00305090"/>
    <w:rsid w:val="00305454"/>
    <w:rsid w:val="00305B9F"/>
    <w:rsid w:val="00305E21"/>
    <w:rsid w:val="003066C6"/>
    <w:rsid w:val="003066FA"/>
    <w:rsid w:val="00306AD6"/>
    <w:rsid w:val="003076AD"/>
    <w:rsid w:val="003077F4"/>
    <w:rsid w:val="00307DC7"/>
    <w:rsid w:val="00307FF2"/>
    <w:rsid w:val="00310EDB"/>
    <w:rsid w:val="00311C51"/>
    <w:rsid w:val="00311D56"/>
    <w:rsid w:val="00312016"/>
    <w:rsid w:val="00312340"/>
    <w:rsid w:val="00312C8B"/>
    <w:rsid w:val="00312DFC"/>
    <w:rsid w:val="0031318C"/>
    <w:rsid w:val="00313C9D"/>
    <w:rsid w:val="0031430C"/>
    <w:rsid w:val="00314919"/>
    <w:rsid w:val="00314C43"/>
    <w:rsid w:val="00314C5A"/>
    <w:rsid w:val="0031507A"/>
    <w:rsid w:val="0031531A"/>
    <w:rsid w:val="00315394"/>
    <w:rsid w:val="00315764"/>
    <w:rsid w:val="00315C7E"/>
    <w:rsid w:val="00315D77"/>
    <w:rsid w:val="00315D8E"/>
    <w:rsid w:val="00316002"/>
    <w:rsid w:val="0031677D"/>
    <w:rsid w:val="00316901"/>
    <w:rsid w:val="00316CDE"/>
    <w:rsid w:val="0031752D"/>
    <w:rsid w:val="00317709"/>
    <w:rsid w:val="00317E32"/>
    <w:rsid w:val="00320688"/>
    <w:rsid w:val="00320B75"/>
    <w:rsid w:val="00321DB7"/>
    <w:rsid w:val="00321E7A"/>
    <w:rsid w:val="0032226D"/>
    <w:rsid w:val="003235E6"/>
    <w:rsid w:val="0032361E"/>
    <w:rsid w:val="00323B95"/>
    <w:rsid w:val="00324038"/>
    <w:rsid w:val="00324507"/>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87A"/>
    <w:rsid w:val="00332D52"/>
    <w:rsid w:val="00333337"/>
    <w:rsid w:val="00333A28"/>
    <w:rsid w:val="00333B6C"/>
    <w:rsid w:val="00334927"/>
    <w:rsid w:val="00335A52"/>
    <w:rsid w:val="00335E84"/>
    <w:rsid w:val="003360AD"/>
    <w:rsid w:val="0033631D"/>
    <w:rsid w:val="003369C7"/>
    <w:rsid w:val="003373A6"/>
    <w:rsid w:val="00337409"/>
    <w:rsid w:val="00337E18"/>
    <w:rsid w:val="003405AF"/>
    <w:rsid w:val="0034088F"/>
    <w:rsid w:val="00340B3E"/>
    <w:rsid w:val="00341350"/>
    <w:rsid w:val="003413D2"/>
    <w:rsid w:val="00341525"/>
    <w:rsid w:val="0034257E"/>
    <w:rsid w:val="003429A1"/>
    <w:rsid w:val="003429FC"/>
    <w:rsid w:val="00343079"/>
    <w:rsid w:val="00343127"/>
    <w:rsid w:val="00343320"/>
    <w:rsid w:val="00343BED"/>
    <w:rsid w:val="00344066"/>
    <w:rsid w:val="00344BBF"/>
    <w:rsid w:val="0034509B"/>
    <w:rsid w:val="003452E8"/>
    <w:rsid w:val="00345644"/>
    <w:rsid w:val="00345D0E"/>
    <w:rsid w:val="00345D7A"/>
    <w:rsid w:val="0034607E"/>
    <w:rsid w:val="00346A96"/>
    <w:rsid w:val="00346B6D"/>
    <w:rsid w:val="00346BA3"/>
    <w:rsid w:val="00346C69"/>
    <w:rsid w:val="00346C82"/>
    <w:rsid w:val="00347356"/>
    <w:rsid w:val="0035005C"/>
    <w:rsid w:val="003507E8"/>
    <w:rsid w:val="00350896"/>
    <w:rsid w:val="00350C31"/>
    <w:rsid w:val="00350C9F"/>
    <w:rsid w:val="00351391"/>
    <w:rsid w:val="003519CD"/>
    <w:rsid w:val="00351A3A"/>
    <w:rsid w:val="00351BA5"/>
    <w:rsid w:val="003522B8"/>
    <w:rsid w:val="0035452D"/>
    <w:rsid w:val="0035455F"/>
    <w:rsid w:val="00355D75"/>
    <w:rsid w:val="00355D8F"/>
    <w:rsid w:val="00355DD8"/>
    <w:rsid w:val="00356A73"/>
    <w:rsid w:val="00356FF0"/>
    <w:rsid w:val="003577EF"/>
    <w:rsid w:val="00357A60"/>
    <w:rsid w:val="00360304"/>
    <w:rsid w:val="00360A78"/>
    <w:rsid w:val="00361750"/>
    <w:rsid w:val="00361CDF"/>
    <w:rsid w:val="00362B21"/>
    <w:rsid w:val="00363894"/>
    <w:rsid w:val="00363B2A"/>
    <w:rsid w:val="00363BF1"/>
    <w:rsid w:val="0036516F"/>
    <w:rsid w:val="00365627"/>
    <w:rsid w:val="00365DC5"/>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4DC5"/>
    <w:rsid w:val="0037510C"/>
    <w:rsid w:val="00375850"/>
    <w:rsid w:val="0037632F"/>
    <w:rsid w:val="003777A8"/>
    <w:rsid w:val="00377B26"/>
    <w:rsid w:val="00381014"/>
    <w:rsid w:val="00381604"/>
    <w:rsid w:val="00381C68"/>
    <w:rsid w:val="00381F60"/>
    <w:rsid w:val="00382693"/>
    <w:rsid w:val="00382738"/>
    <w:rsid w:val="00382F11"/>
    <w:rsid w:val="00383204"/>
    <w:rsid w:val="00383AB0"/>
    <w:rsid w:val="003847BB"/>
    <w:rsid w:val="00384814"/>
    <w:rsid w:val="00384C0A"/>
    <w:rsid w:val="003857F9"/>
    <w:rsid w:val="00385B16"/>
    <w:rsid w:val="00385B96"/>
    <w:rsid w:val="0038637D"/>
    <w:rsid w:val="003865C3"/>
    <w:rsid w:val="003868F6"/>
    <w:rsid w:val="003869DC"/>
    <w:rsid w:val="00386C07"/>
    <w:rsid w:val="00386F58"/>
    <w:rsid w:val="0038700D"/>
    <w:rsid w:val="003879CE"/>
    <w:rsid w:val="00387B88"/>
    <w:rsid w:val="00390AD5"/>
    <w:rsid w:val="00390B8F"/>
    <w:rsid w:val="00390C0D"/>
    <w:rsid w:val="00390C79"/>
    <w:rsid w:val="00391447"/>
    <w:rsid w:val="003919D9"/>
    <w:rsid w:val="00391BDD"/>
    <w:rsid w:val="003922DE"/>
    <w:rsid w:val="00392E35"/>
    <w:rsid w:val="00393247"/>
    <w:rsid w:val="00393285"/>
    <w:rsid w:val="00393551"/>
    <w:rsid w:val="00393816"/>
    <w:rsid w:val="003939E9"/>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123"/>
    <w:rsid w:val="003A218C"/>
    <w:rsid w:val="003A24CC"/>
    <w:rsid w:val="003A2512"/>
    <w:rsid w:val="003A2A53"/>
    <w:rsid w:val="003A2EE8"/>
    <w:rsid w:val="003A363A"/>
    <w:rsid w:val="003A373C"/>
    <w:rsid w:val="003A5378"/>
    <w:rsid w:val="003A553C"/>
    <w:rsid w:val="003A56DF"/>
    <w:rsid w:val="003A6008"/>
    <w:rsid w:val="003A703F"/>
    <w:rsid w:val="003A7433"/>
    <w:rsid w:val="003A7E2B"/>
    <w:rsid w:val="003A7E40"/>
    <w:rsid w:val="003B0336"/>
    <w:rsid w:val="003B07A8"/>
    <w:rsid w:val="003B0A3A"/>
    <w:rsid w:val="003B0D79"/>
    <w:rsid w:val="003B2930"/>
    <w:rsid w:val="003B31A7"/>
    <w:rsid w:val="003B4587"/>
    <w:rsid w:val="003B4B51"/>
    <w:rsid w:val="003B4FE1"/>
    <w:rsid w:val="003B514E"/>
    <w:rsid w:val="003B5531"/>
    <w:rsid w:val="003B6238"/>
    <w:rsid w:val="003B636A"/>
    <w:rsid w:val="003B69CE"/>
    <w:rsid w:val="003B71B0"/>
    <w:rsid w:val="003B7403"/>
    <w:rsid w:val="003B79BD"/>
    <w:rsid w:val="003B7BDE"/>
    <w:rsid w:val="003C011C"/>
    <w:rsid w:val="003C0E32"/>
    <w:rsid w:val="003C11D7"/>
    <w:rsid w:val="003C16CB"/>
    <w:rsid w:val="003C1B97"/>
    <w:rsid w:val="003C247B"/>
    <w:rsid w:val="003C2945"/>
    <w:rsid w:val="003C3292"/>
    <w:rsid w:val="003C3C1E"/>
    <w:rsid w:val="003C3D88"/>
    <w:rsid w:val="003C4134"/>
    <w:rsid w:val="003C435B"/>
    <w:rsid w:val="003C4EBE"/>
    <w:rsid w:val="003C62EC"/>
    <w:rsid w:val="003C685A"/>
    <w:rsid w:val="003C6ABD"/>
    <w:rsid w:val="003C6E9C"/>
    <w:rsid w:val="003C746F"/>
    <w:rsid w:val="003C7570"/>
    <w:rsid w:val="003C765A"/>
    <w:rsid w:val="003C76E6"/>
    <w:rsid w:val="003C77A5"/>
    <w:rsid w:val="003C7E59"/>
    <w:rsid w:val="003C7F12"/>
    <w:rsid w:val="003D03D6"/>
    <w:rsid w:val="003D075D"/>
    <w:rsid w:val="003D0EE2"/>
    <w:rsid w:val="003D1283"/>
    <w:rsid w:val="003D14C8"/>
    <w:rsid w:val="003D1517"/>
    <w:rsid w:val="003D16C5"/>
    <w:rsid w:val="003D1CA9"/>
    <w:rsid w:val="003D2CDA"/>
    <w:rsid w:val="003D2DA0"/>
    <w:rsid w:val="003D34C3"/>
    <w:rsid w:val="003D3B4D"/>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BE0"/>
    <w:rsid w:val="003E1ED6"/>
    <w:rsid w:val="003E20F7"/>
    <w:rsid w:val="003E336A"/>
    <w:rsid w:val="003E3E2F"/>
    <w:rsid w:val="003E4048"/>
    <w:rsid w:val="003E4CE5"/>
    <w:rsid w:val="003E604C"/>
    <w:rsid w:val="003E60DA"/>
    <w:rsid w:val="003E6E00"/>
    <w:rsid w:val="003E7111"/>
    <w:rsid w:val="003E77D8"/>
    <w:rsid w:val="003E7940"/>
    <w:rsid w:val="003F01BD"/>
    <w:rsid w:val="003F01EE"/>
    <w:rsid w:val="003F0486"/>
    <w:rsid w:val="003F048E"/>
    <w:rsid w:val="003F09FA"/>
    <w:rsid w:val="003F0AFF"/>
    <w:rsid w:val="003F0DE2"/>
    <w:rsid w:val="003F1AA2"/>
    <w:rsid w:val="003F1B81"/>
    <w:rsid w:val="003F1ED6"/>
    <w:rsid w:val="003F26DC"/>
    <w:rsid w:val="003F2E19"/>
    <w:rsid w:val="003F2E2F"/>
    <w:rsid w:val="003F42FF"/>
    <w:rsid w:val="003F4747"/>
    <w:rsid w:val="003F4B48"/>
    <w:rsid w:val="003F4DDC"/>
    <w:rsid w:val="003F53CB"/>
    <w:rsid w:val="003F54DD"/>
    <w:rsid w:val="003F56B8"/>
    <w:rsid w:val="003F5F1A"/>
    <w:rsid w:val="003F6327"/>
    <w:rsid w:val="003F6958"/>
    <w:rsid w:val="003F7425"/>
    <w:rsid w:val="003F765B"/>
    <w:rsid w:val="003F7CB8"/>
    <w:rsid w:val="00400BD6"/>
    <w:rsid w:val="00400CB4"/>
    <w:rsid w:val="00401386"/>
    <w:rsid w:val="004013E6"/>
    <w:rsid w:val="004018D2"/>
    <w:rsid w:val="00401A49"/>
    <w:rsid w:val="00401E31"/>
    <w:rsid w:val="0040234D"/>
    <w:rsid w:val="00402BBA"/>
    <w:rsid w:val="00402F96"/>
    <w:rsid w:val="00403538"/>
    <w:rsid w:val="004035D0"/>
    <w:rsid w:val="0040361D"/>
    <w:rsid w:val="00403795"/>
    <w:rsid w:val="004041FB"/>
    <w:rsid w:val="0040443E"/>
    <w:rsid w:val="004056B6"/>
    <w:rsid w:val="00405764"/>
    <w:rsid w:val="00406745"/>
    <w:rsid w:val="0040674B"/>
    <w:rsid w:val="00406B32"/>
    <w:rsid w:val="004074FA"/>
    <w:rsid w:val="00407A56"/>
    <w:rsid w:val="00407FCC"/>
    <w:rsid w:val="00410301"/>
    <w:rsid w:val="0041035A"/>
    <w:rsid w:val="00410E76"/>
    <w:rsid w:val="004112D1"/>
    <w:rsid w:val="004113C9"/>
    <w:rsid w:val="004114CB"/>
    <w:rsid w:val="00411D1E"/>
    <w:rsid w:val="00411DF2"/>
    <w:rsid w:val="004120DF"/>
    <w:rsid w:val="004123BE"/>
    <w:rsid w:val="004126B5"/>
    <w:rsid w:val="00414039"/>
    <w:rsid w:val="00414359"/>
    <w:rsid w:val="00414477"/>
    <w:rsid w:val="00414909"/>
    <w:rsid w:val="00414BD5"/>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2CA"/>
    <w:rsid w:val="00422907"/>
    <w:rsid w:val="00422CCE"/>
    <w:rsid w:val="00423125"/>
    <w:rsid w:val="00423256"/>
    <w:rsid w:val="00423309"/>
    <w:rsid w:val="004233AD"/>
    <w:rsid w:val="00424446"/>
    <w:rsid w:val="00424585"/>
    <w:rsid w:val="00424867"/>
    <w:rsid w:val="00425154"/>
    <w:rsid w:val="00425341"/>
    <w:rsid w:val="004255FE"/>
    <w:rsid w:val="00425674"/>
    <w:rsid w:val="00425A82"/>
    <w:rsid w:val="00425C60"/>
    <w:rsid w:val="00425F97"/>
    <w:rsid w:val="00426B2C"/>
    <w:rsid w:val="00427FA8"/>
    <w:rsid w:val="0043009D"/>
    <w:rsid w:val="0043026B"/>
    <w:rsid w:val="00430299"/>
    <w:rsid w:val="004306D4"/>
    <w:rsid w:val="00430E92"/>
    <w:rsid w:val="00431433"/>
    <w:rsid w:val="00431A2A"/>
    <w:rsid w:val="00431F6D"/>
    <w:rsid w:val="00432ECA"/>
    <w:rsid w:val="004336E7"/>
    <w:rsid w:val="004342E5"/>
    <w:rsid w:val="00434CDB"/>
    <w:rsid w:val="0043554E"/>
    <w:rsid w:val="004355D4"/>
    <w:rsid w:val="004357B1"/>
    <w:rsid w:val="00435821"/>
    <w:rsid w:val="0043583E"/>
    <w:rsid w:val="00435BC0"/>
    <w:rsid w:val="00436CCE"/>
    <w:rsid w:val="00436EAD"/>
    <w:rsid w:val="004375E1"/>
    <w:rsid w:val="004379D4"/>
    <w:rsid w:val="00437A2F"/>
    <w:rsid w:val="00437FCE"/>
    <w:rsid w:val="00440262"/>
    <w:rsid w:val="004406BF"/>
    <w:rsid w:val="00440814"/>
    <w:rsid w:val="0044105D"/>
    <w:rsid w:val="004411C1"/>
    <w:rsid w:val="004412D7"/>
    <w:rsid w:val="00441424"/>
    <w:rsid w:val="00442731"/>
    <w:rsid w:val="00442C12"/>
    <w:rsid w:val="004434DF"/>
    <w:rsid w:val="0044354B"/>
    <w:rsid w:val="004439F4"/>
    <w:rsid w:val="00443E0C"/>
    <w:rsid w:val="00444273"/>
    <w:rsid w:val="0044493E"/>
    <w:rsid w:val="00444A1F"/>
    <w:rsid w:val="00444FC6"/>
    <w:rsid w:val="00445874"/>
    <w:rsid w:val="00445C38"/>
    <w:rsid w:val="0044686B"/>
    <w:rsid w:val="004475F7"/>
    <w:rsid w:val="0045057B"/>
    <w:rsid w:val="0045069B"/>
    <w:rsid w:val="00450B22"/>
    <w:rsid w:val="004515F7"/>
    <w:rsid w:val="00451709"/>
    <w:rsid w:val="004518FA"/>
    <w:rsid w:val="00451A02"/>
    <w:rsid w:val="0045277C"/>
    <w:rsid w:val="00453232"/>
    <w:rsid w:val="00453507"/>
    <w:rsid w:val="00453592"/>
    <w:rsid w:val="004541C7"/>
    <w:rsid w:val="004543AB"/>
    <w:rsid w:val="0045442F"/>
    <w:rsid w:val="004545EC"/>
    <w:rsid w:val="00455385"/>
    <w:rsid w:val="00455967"/>
    <w:rsid w:val="00455C14"/>
    <w:rsid w:val="00455F71"/>
    <w:rsid w:val="00456272"/>
    <w:rsid w:val="0045675A"/>
    <w:rsid w:val="004570EF"/>
    <w:rsid w:val="00457517"/>
    <w:rsid w:val="00457CF7"/>
    <w:rsid w:val="00457D37"/>
    <w:rsid w:val="0046028A"/>
    <w:rsid w:val="004604BB"/>
    <w:rsid w:val="00460E3A"/>
    <w:rsid w:val="00460E68"/>
    <w:rsid w:val="00461014"/>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6B08"/>
    <w:rsid w:val="00466CA6"/>
    <w:rsid w:val="004672E3"/>
    <w:rsid w:val="0046775D"/>
    <w:rsid w:val="00467823"/>
    <w:rsid w:val="004705FA"/>
    <w:rsid w:val="004708AC"/>
    <w:rsid w:val="00471387"/>
    <w:rsid w:val="0047146C"/>
    <w:rsid w:val="0047149F"/>
    <w:rsid w:val="00471963"/>
    <w:rsid w:val="00471D8D"/>
    <w:rsid w:val="004724B8"/>
    <w:rsid w:val="004728FB"/>
    <w:rsid w:val="00472952"/>
    <w:rsid w:val="004729AD"/>
    <w:rsid w:val="00472CA7"/>
    <w:rsid w:val="00472CEC"/>
    <w:rsid w:val="00472F0D"/>
    <w:rsid w:val="00473308"/>
    <w:rsid w:val="00473313"/>
    <w:rsid w:val="0047377C"/>
    <w:rsid w:val="0047471E"/>
    <w:rsid w:val="004749DA"/>
    <w:rsid w:val="00474DEF"/>
    <w:rsid w:val="004750E3"/>
    <w:rsid w:val="00475729"/>
    <w:rsid w:val="004758E7"/>
    <w:rsid w:val="00475AFF"/>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2E4A"/>
    <w:rsid w:val="00483091"/>
    <w:rsid w:val="00483140"/>
    <w:rsid w:val="0048360C"/>
    <w:rsid w:val="00483984"/>
    <w:rsid w:val="00483BB3"/>
    <w:rsid w:val="00483BC7"/>
    <w:rsid w:val="00483CF0"/>
    <w:rsid w:val="00484B6A"/>
    <w:rsid w:val="00484D4D"/>
    <w:rsid w:val="00486516"/>
    <w:rsid w:val="0048664F"/>
    <w:rsid w:val="004868AD"/>
    <w:rsid w:val="00486D00"/>
    <w:rsid w:val="00487FE1"/>
    <w:rsid w:val="0049007D"/>
    <w:rsid w:val="00490707"/>
    <w:rsid w:val="004907EF"/>
    <w:rsid w:val="00490815"/>
    <w:rsid w:val="0049117E"/>
    <w:rsid w:val="00492503"/>
    <w:rsid w:val="004925C8"/>
    <w:rsid w:val="00492AF9"/>
    <w:rsid w:val="00492B76"/>
    <w:rsid w:val="00492BA0"/>
    <w:rsid w:val="0049333E"/>
    <w:rsid w:val="0049418F"/>
    <w:rsid w:val="0049570D"/>
    <w:rsid w:val="00495C48"/>
    <w:rsid w:val="00495DC6"/>
    <w:rsid w:val="00495FFB"/>
    <w:rsid w:val="004967B9"/>
    <w:rsid w:val="00496A82"/>
    <w:rsid w:val="00496CCE"/>
    <w:rsid w:val="004978C1"/>
    <w:rsid w:val="00497AAD"/>
    <w:rsid w:val="00497BD7"/>
    <w:rsid w:val="00497D1A"/>
    <w:rsid w:val="004A00C9"/>
    <w:rsid w:val="004A03D0"/>
    <w:rsid w:val="004A1049"/>
    <w:rsid w:val="004A1AFA"/>
    <w:rsid w:val="004A1EA7"/>
    <w:rsid w:val="004A21EA"/>
    <w:rsid w:val="004A26F5"/>
    <w:rsid w:val="004A2EF8"/>
    <w:rsid w:val="004A3A21"/>
    <w:rsid w:val="004A407A"/>
    <w:rsid w:val="004A4AFB"/>
    <w:rsid w:val="004A4E3B"/>
    <w:rsid w:val="004A6110"/>
    <w:rsid w:val="004A61B8"/>
    <w:rsid w:val="004A6415"/>
    <w:rsid w:val="004A64F9"/>
    <w:rsid w:val="004A65F4"/>
    <w:rsid w:val="004A6D2C"/>
    <w:rsid w:val="004A7C04"/>
    <w:rsid w:val="004B026C"/>
    <w:rsid w:val="004B0271"/>
    <w:rsid w:val="004B0BE8"/>
    <w:rsid w:val="004B0E4A"/>
    <w:rsid w:val="004B12D0"/>
    <w:rsid w:val="004B18F4"/>
    <w:rsid w:val="004B1A98"/>
    <w:rsid w:val="004B2463"/>
    <w:rsid w:val="004B2532"/>
    <w:rsid w:val="004B2E9D"/>
    <w:rsid w:val="004B305F"/>
    <w:rsid w:val="004B3066"/>
    <w:rsid w:val="004B34C4"/>
    <w:rsid w:val="004B34E8"/>
    <w:rsid w:val="004B3981"/>
    <w:rsid w:val="004B3A03"/>
    <w:rsid w:val="004B4104"/>
    <w:rsid w:val="004B419F"/>
    <w:rsid w:val="004B4EA9"/>
    <w:rsid w:val="004B5376"/>
    <w:rsid w:val="004B53CB"/>
    <w:rsid w:val="004B5C96"/>
    <w:rsid w:val="004B6124"/>
    <w:rsid w:val="004B64B2"/>
    <w:rsid w:val="004B676F"/>
    <w:rsid w:val="004B6E50"/>
    <w:rsid w:val="004B6EA7"/>
    <w:rsid w:val="004B728F"/>
    <w:rsid w:val="004B7317"/>
    <w:rsid w:val="004B75B2"/>
    <w:rsid w:val="004B75C6"/>
    <w:rsid w:val="004C02C5"/>
    <w:rsid w:val="004C0BF0"/>
    <w:rsid w:val="004C0D40"/>
    <w:rsid w:val="004C114F"/>
    <w:rsid w:val="004C11A9"/>
    <w:rsid w:val="004C1FE0"/>
    <w:rsid w:val="004C27CF"/>
    <w:rsid w:val="004C2CA7"/>
    <w:rsid w:val="004C3592"/>
    <w:rsid w:val="004C45C8"/>
    <w:rsid w:val="004C4620"/>
    <w:rsid w:val="004C4F8F"/>
    <w:rsid w:val="004C50A0"/>
    <w:rsid w:val="004C5C18"/>
    <w:rsid w:val="004C5F4B"/>
    <w:rsid w:val="004C612E"/>
    <w:rsid w:val="004C61B8"/>
    <w:rsid w:val="004C69FE"/>
    <w:rsid w:val="004C6C0A"/>
    <w:rsid w:val="004C6C6D"/>
    <w:rsid w:val="004C77FF"/>
    <w:rsid w:val="004C7DB0"/>
    <w:rsid w:val="004C7DFB"/>
    <w:rsid w:val="004C7FFC"/>
    <w:rsid w:val="004D0223"/>
    <w:rsid w:val="004D0C4C"/>
    <w:rsid w:val="004D16A3"/>
    <w:rsid w:val="004D1934"/>
    <w:rsid w:val="004D1E41"/>
    <w:rsid w:val="004D2017"/>
    <w:rsid w:val="004D2326"/>
    <w:rsid w:val="004D261E"/>
    <w:rsid w:val="004D2E11"/>
    <w:rsid w:val="004D3108"/>
    <w:rsid w:val="004D329C"/>
    <w:rsid w:val="004D34D1"/>
    <w:rsid w:val="004D3FB8"/>
    <w:rsid w:val="004D4523"/>
    <w:rsid w:val="004D4990"/>
    <w:rsid w:val="004D51D6"/>
    <w:rsid w:val="004D6BF2"/>
    <w:rsid w:val="004D6F29"/>
    <w:rsid w:val="004D7A42"/>
    <w:rsid w:val="004D7BF5"/>
    <w:rsid w:val="004D7F9C"/>
    <w:rsid w:val="004E03F4"/>
    <w:rsid w:val="004E068F"/>
    <w:rsid w:val="004E0860"/>
    <w:rsid w:val="004E09CF"/>
    <w:rsid w:val="004E0B75"/>
    <w:rsid w:val="004E0C29"/>
    <w:rsid w:val="004E0DC4"/>
    <w:rsid w:val="004E109C"/>
    <w:rsid w:val="004E1248"/>
    <w:rsid w:val="004E1D6F"/>
    <w:rsid w:val="004E1DF3"/>
    <w:rsid w:val="004E2393"/>
    <w:rsid w:val="004E3117"/>
    <w:rsid w:val="004E3349"/>
    <w:rsid w:val="004E3A2A"/>
    <w:rsid w:val="004E3AB1"/>
    <w:rsid w:val="004E4003"/>
    <w:rsid w:val="004E4626"/>
    <w:rsid w:val="004E4984"/>
    <w:rsid w:val="004E5101"/>
    <w:rsid w:val="004E5380"/>
    <w:rsid w:val="004E6746"/>
    <w:rsid w:val="004E675C"/>
    <w:rsid w:val="004E6CAC"/>
    <w:rsid w:val="004E6F69"/>
    <w:rsid w:val="004E74F2"/>
    <w:rsid w:val="004E75C1"/>
    <w:rsid w:val="004E777F"/>
    <w:rsid w:val="004E7E66"/>
    <w:rsid w:val="004F07F2"/>
    <w:rsid w:val="004F07F9"/>
    <w:rsid w:val="004F0A50"/>
    <w:rsid w:val="004F0A51"/>
    <w:rsid w:val="004F0D1F"/>
    <w:rsid w:val="004F0E82"/>
    <w:rsid w:val="004F1468"/>
    <w:rsid w:val="004F1523"/>
    <w:rsid w:val="004F1847"/>
    <w:rsid w:val="004F1CE1"/>
    <w:rsid w:val="004F1F9E"/>
    <w:rsid w:val="004F2491"/>
    <w:rsid w:val="004F2CB6"/>
    <w:rsid w:val="004F2E6E"/>
    <w:rsid w:val="004F3015"/>
    <w:rsid w:val="004F313F"/>
    <w:rsid w:val="004F367F"/>
    <w:rsid w:val="004F3A3B"/>
    <w:rsid w:val="004F3EEF"/>
    <w:rsid w:val="004F43A7"/>
    <w:rsid w:val="004F447B"/>
    <w:rsid w:val="004F497C"/>
    <w:rsid w:val="004F4FAC"/>
    <w:rsid w:val="004F4FE8"/>
    <w:rsid w:val="004F531B"/>
    <w:rsid w:val="004F560C"/>
    <w:rsid w:val="004F5DBB"/>
    <w:rsid w:val="004F60B4"/>
    <w:rsid w:val="004F61A3"/>
    <w:rsid w:val="004F6874"/>
    <w:rsid w:val="004F6F71"/>
    <w:rsid w:val="004F7254"/>
    <w:rsid w:val="004F73BD"/>
    <w:rsid w:val="004F7922"/>
    <w:rsid w:val="004F7A1F"/>
    <w:rsid w:val="004F7B47"/>
    <w:rsid w:val="0050079C"/>
    <w:rsid w:val="0050106A"/>
    <w:rsid w:val="005010BC"/>
    <w:rsid w:val="005010BE"/>
    <w:rsid w:val="00501848"/>
    <w:rsid w:val="0050258A"/>
    <w:rsid w:val="00502B31"/>
    <w:rsid w:val="00502D09"/>
    <w:rsid w:val="0050434C"/>
    <w:rsid w:val="0050537D"/>
    <w:rsid w:val="0050591C"/>
    <w:rsid w:val="005059BD"/>
    <w:rsid w:val="005060AE"/>
    <w:rsid w:val="005064BF"/>
    <w:rsid w:val="0050790B"/>
    <w:rsid w:val="00507C05"/>
    <w:rsid w:val="00507FDF"/>
    <w:rsid w:val="0051037C"/>
    <w:rsid w:val="0051050F"/>
    <w:rsid w:val="0051058B"/>
    <w:rsid w:val="00510DDC"/>
    <w:rsid w:val="00511166"/>
    <w:rsid w:val="00512217"/>
    <w:rsid w:val="00512459"/>
    <w:rsid w:val="00512787"/>
    <w:rsid w:val="005131A2"/>
    <w:rsid w:val="005137E4"/>
    <w:rsid w:val="00513BB9"/>
    <w:rsid w:val="0051440E"/>
    <w:rsid w:val="00514480"/>
    <w:rsid w:val="005148CD"/>
    <w:rsid w:val="00514FB2"/>
    <w:rsid w:val="00515180"/>
    <w:rsid w:val="00515973"/>
    <w:rsid w:val="00516069"/>
    <w:rsid w:val="005164A7"/>
    <w:rsid w:val="005175F0"/>
    <w:rsid w:val="00517AC8"/>
    <w:rsid w:val="00517C3E"/>
    <w:rsid w:val="005207D8"/>
    <w:rsid w:val="0052091D"/>
    <w:rsid w:val="005212F4"/>
    <w:rsid w:val="00521908"/>
    <w:rsid w:val="00521BCC"/>
    <w:rsid w:val="005224BC"/>
    <w:rsid w:val="00522928"/>
    <w:rsid w:val="00522FF1"/>
    <w:rsid w:val="005230E1"/>
    <w:rsid w:val="005231CD"/>
    <w:rsid w:val="00523946"/>
    <w:rsid w:val="0052397A"/>
    <w:rsid w:val="00524125"/>
    <w:rsid w:val="005243FC"/>
    <w:rsid w:val="005256D6"/>
    <w:rsid w:val="00525AD8"/>
    <w:rsid w:val="00526429"/>
    <w:rsid w:val="005266C1"/>
    <w:rsid w:val="005267F4"/>
    <w:rsid w:val="005269D3"/>
    <w:rsid w:val="00527317"/>
    <w:rsid w:val="005278FA"/>
    <w:rsid w:val="00527ED6"/>
    <w:rsid w:val="0053024F"/>
    <w:rsid w:val="00531064"/>
    <w:rsid w:val="005312CB"/>
    <w:rsid w:val="005313B2"/>
    <w:rsid w:val="005317BA"/>
    <w:rsid w:val="00531911"/>
    <w:rsid w:val="00531E92"/>
    <w:rsid w:val="005324D7"/>
    <w:rsid w:val="005326F0"/>
    <w:rsid w:val="0053275F"/>
    <w:rsid w:val="00532764"/>
    <w:rsid w:val="00532AA5"/>
    <w:rsid w:val="00532C5F"/>
    <w:rsid w:val="00533233"/>
    <w:rsid w:val="005333D2"/>
    <w:rsid w:val="005335A2"/>
    <w:rsid w:val="00533D13"/>
    <w:rsid w:val="00533DEC"/>
    <w:rsid w:val="00534026"/>
    <w:rsid w:val="00534D55"/>
    <w:rsid w:val="005358F6"/>
    <w:rsid w:val="00535B53"/>
    <w:rsid w:val="00536392"/>
    <w:rsid w:val="00536B03"/>
    <w:rsid w:val="00537456"/>
    <w:rsid w:val="00537708"/>
    <w:rsid w:val="0053790C"/>
    <w:rsid w:val="00537B3D"/>
    <w:rsid w:val="00540401"/>
    <w:rsid w:val="005405B2"/>
    <w:rsid w:val="0054076A"/>
    <w:rsid w:val="00540D47"/>
    <w:rsid w:val="00540EE7"/>
    <w:rsid w:val="00541651"/>
    <w:rsid w:val="0054191A"/>
    <w:rsid w:val="00541A22"/>
    <w:rsid w:val="00541EAD"/>
    <w:rsid w:val="005424C2"/>
    <w:rsid w:val="005426B2"/>
    <w:rsid w:val="00542C0E"/>
    <w:rsid w:val="00543519"/>
    <w:rsid w:val="00543640"/>
    <w:rsid w:val="00544019"/>
    <w:rsid w:val="005444C6"/>
    <w:rsid w:val="00544BF9"/>
    <w:rsid w:val="00544F05"/>
    <w:rsid w:val="00544FCC"/>
    <w:rsid w:val="005454B8"/>
    <w:rsid w:val="00545ACB"/>
    <w:rsid w:val="00545DB9"/>
    <w:rsid w:val="005462ED"/>
    <w:rsid w:val="00546585"/>
    <w:rsid w:val="0054680A"/>
    <w:rsid w:val="00546AC1"/>
    <w:rsid w:val="00546BF8"/>
    <w:rsid w:val="00547BA2"/>
    <w:rsid w:val="005503B7"/>
    <w:rsid w:val="00550AC5"/>
    <w:rsid w:val="00550B7E"/>
    <w:rsid w:val="00551052"/>
    <w:rsid w:val="005524ED"/>
    <w:rsid w:val="00552D8C"/>
    <w:rsid w:val="005539D9"/>
    <w:rsid w:val="00553F91"/>
    <w:rsid w:val="00554007"/>
    <w:rsid w:val="00554C03"/>
    <w:rsid w:val="00554C58"/>
    <w:rsid w:val="00554D5D"/>
    <w:rsid w:val="005550F9"/>
    <w:rsid w:val="00556338"/>
    <w:rsid w:val="00556441"/>
    <w:rsid w:val="0055693B"/>
    <w:rsid w:val="00557031"/>
    <w:rsid w:val="00557F87"/>
    <w:rsid w:val="00560FCB"/>
    <w:rsid w:val="00561001"/>
    <w:rsid w:val="0056111C"/>
    <w:rsid w:val="00561140"/>
    <w:rsid w:val="005612B1"/>
    <w:rsid w:val="00561412"/>
    <w:rsid w:val="005614DB"/>
    <w:rsid w:val="00561903"/>
    <w:rsid w:val="00561A9B"/>
    <w:rsid w:val="00561E54"/>
    <w:rsid w:val="00561F73"/>
    <w:rsid w:val="005621F7"/>
    <w:rsid w:val="005624C4"/>
    <w:rsid w:val="00562694"/>
    <w:rsid w:val="0056278F"/>
    <w:rsid w:val="00562FB1"/>
    <w:rsid w:val="00563068"/>
    <w:rsid w:val="0056376A"/>
    <w:rsid w:val="00563B3C"/>
    <w:rsid w:val="00563FC9"/>
    <w:rsid w:val="0056419C"/>
    <w:rsid w:val="00564C77"/>
    <w:rsid w:val="00564D70"/>
    <w:rsid w:val="00564DA7"/>
    <w:rsid w:val="00565204"/>
    <w:rsid w:val="00565473"/>
    <w:rsid w:val="00565AB1"/>
    <w:rsid w:val="00565AF9"/>
    <w:rsid w:val="00565DAC"/>
    <w:rsid w:val="00565F0D"/>
    <w:rsid w:val="005662DC"/>
    <w:rsid w:val="00566329"/>
    <w:rsid w:val="005668B9"/>
    <w:rsid w:val="00566AD4"/>
    <w:rsid w:val="00566E39"/>
    <w:rsid w:val="0056704E"/>
    <w:rsid w:val="00567623"/>
    <w:rsid w:val="005701C2"/>
    <w:rsid w:val="00570763"/>
    <w:rsid w:val="00570EBB"/>
    <w:rsid w:val="00571CDF"/>
    <w:rsid w:val="0057200B"/>
    <w:rsid w:val="00572297"/>
    <w:rsid w:val="0057345D"/>
    <w:rsid w:val="0057347D"/>
    <w:rsid w:val="00573560"/>
    <w:rsid w:val="00573564"/>
    <w:rsid w:val="00573CE6"/>
    <w:rsid w:val="00574E7B"/>
    <w:rsid w:val="00574F36"/>
    <w:rsid w:val="00576B5C"/>
    <w:rsid w:val="005770CC"/>
    <w:rsid w:val="005802F9"/>
    <w:rsid w:val="005806D5"/>
    <w:rsid w:val="00580DFC"/>
    <w:rsid w:val="0058134C"/>
    <w:rsid w:val="00581359"/>
    <w:rsid w:val="005815CD"/>
    <w:rsid w:val="005827A7"/>
    <w:rsid w:val="00583D43"/>
    <w:rsid w:val="005841FB"/>
    <w:rsid w:val="005846C3"/>
    <w:rsid w:val="00584F04"/>
    <w:rsid w:val="0058544C"/>
    <w:rsid w:val="00585623"/>
    <w:rsid w:val="005857F7"/>
    <w:rsid w:val="00585D9D"/>
    <w:rsid w:val="005865E9"/>
    <w:rsid w:val="00586810"/>
    <w:rsid w:val="005868FD"/>
    <w:rsid w:val="00587D7B"/>
    <w:rsid w:val="005904DB"/>
    <w:rsid w:val="005905ED"/>
    <w:rsid w:val="00590D11"/>
    <w:rsid w:val="0059180B"/>
    <w:rsid w:val="00591911"/>
    <w:rsid w:val="00591BA6"/>
    <w:rsid w:val="005924F2"/>
    <w:rsid w:val="00592825"/>
    <w:rsid w:val="00593488"/>
    <w:rsid w:val="00593DC7"/>
    <w:rsid w:val="00594393"/>
    <w:rsid w:val="00594437"/>
    <w:rsid w:val="005948D8"/>
    <w:rsid w:val="00594B70"/>
    <w:rsid w:val="0059567A"/>
    <w:rsid w:val="00595870"/>
    <w:rsid w:val="00596CFA"/>
    <w:rsid w:val="00596EC6"/>
    <w:rsid w:val="005975CE"/>
    <w:rsid w:val="005A0088"/>
    <w:rsid w:val="005A04F6"/>
    <w:rsid w:val="005A14F0"/>
    <w:rsid w:val="005A1861"/>
    <w:rsid w:val="005A1A31"/>
    <w:rsid w:val="005A22D4"/>
    <w:rsid w:val="005A361D"/>
    <w:rsid w:val="005A36C2"/>
    <w:rsid w:val="005A3719"/>
    <w:rsid w:val="005A38BE"/>
    <w:rsid w:val="005A3DD7"/>
    <w:rsid w:val="005A40FA"/>
    <w:rsid w:val="005A4AC9"/>
    <w:rsid w:val="005A4C20"/>
    <w:rsid w:val="005A4F48"/>
    <w:rsid w:val="005A54F1"/>
    <w:rsid w:val="005A57B8"/>
    <w:rsid w:val="005A5DDE"/>
    <w:rsid w:val="005A5DFC"/>
    <w:rsid w:val="005A64A8"/>
    <w:rsid w:val="005A65C5"/>
    <w:rsid w:val="005A6875"/>
    <w:rsid w:val="005A6C15"/>
    <w:rsid w:val="005A6F0B"/>
    <w:rsid w:val="005A7016"/>
    <w:rsid w:val="005A7A32"/>
    <w:rsid w:val="005A7F85"/>
    <w:rsid w:val="005B00DD"/>
    <w:rsid w:val="005B03B1"/>
    <w:rsid w:val="005B07D5"/>
    <w:rsid w:val="005B0A5E"/>
    <w:rsid w:val="005B1A8A"/>
    <w:rsid w:val="005B1AAB"/>
    <w:rsid w:val="005B2578"/>
    <w:rsid w:val="005B2930"/>
    <w:rsid w:val="005B2B87"/>
    <w:rsid w:val="005B2FAA"/>
    <w:rsid w:val="005B33C8"/>
    <w:rsid w:val="005B387B"/>
    <w:rsid w:val="005B3B01"/>
    <w:rsid w:val="005B4333"/>
    <w:rsid w:val="005B48BE"/>
    <w:rsid w:val="005B54D3"/>
    <w:rsid w:val="005B58F7"/>
    <w:rsid w:val="005B5981"/>
    <w:rsid w:val="005B5994"/>
    <w:rsid w:val="005B6474"/>
    <w:rsid w:val="005B666D"/>
    <w:rsid w:val="005B667A"/>
    <w:rsid w:val="005B6865"/>
    <w:rsid w:val="005B78F8"/>
    <w:rsid w:val="005B7ABC"/>
    <w:rsid w:val="005C039B"/>
    <w:rsid w:val="005C059F"/>
    <w:rsid w:val="005C07CE"/>
    <w:rsid w:val="005C0B8F"/>
    <w:rsid w:val="005C160D"/>
    <w:rsid w:val="005C161E"/>
    <w:rsid w:val="005C194E"/>
    <w:rsid w:val="005C1C83"/>
    <w:rsid w:val="005C1DB1"/>
    <w:rsid w:val="005C226F"/>
    <w:rsid w:val="005C2294"/>
    <w:rsid w:val="005C2E48"/>
    <w:rsid w:val="005C31AD"/>
    <w:rsid w:val="005C3344"/>
    <w:rsid w:val="005C4E4D"/>
    <w:rsid w:val="005C58F2"/>
    <w:rsid w:val="005C5A97"/>
    <w:rsid w:val="005C5F77"/>
    <w:rsid w:val="005C6AAB"/>
    <w:rsid w:val="005C6D5D"/>
    <w:rsid w:val="005C6FD0"/>
    <w:rsid w:val="005C73CC"/>
    <w:rsid w:val="005D01C3"/>
    <w:rsid w:val="005D05FF"/>
    <w:rsid w:val="005D0FB4"/>
    <w:rsid w:val="005D1176"/>
    <w:rsid w:val="005D1747"/>
    <w:rsid w:val="005D1FDB"/>
    <w:rsid w:val="005D2226"/>
    <w:rsid w:val="005D2397"/>
    <w:rsid w:val="005D266D"/>
    <w:rsid w:val="005D306D"/>
    <w:rsid w:val="005D3327"/>
    <w:rsid w:val="005D3D6B"/>
    <w:rsid w:val="005D4854"/>
    <w:rsid w:val="005D5BCF"/>
    <w:rsid w:val="005D65BF"/>
    <w:rsid w:val="005D6D84"/>
    <w:rsid w:val="005D70A1"/>
    <w:rsid w:val="005D79F2"/>
    <w:rsid w:val="005D7C91"/>
    <w:rsid w:val="005D7CB1"/>
    <w:rsid w:val="005D7F57"/>
    <w:rsid w:val="005E0067"/>
    <w:rsid w:val="005E0141"/>
    <w:rsid w:val="005E09CA"/>
    <w:rsid w:val="005E1AB4"/>
    <w:rsid w:val="005E222B"/>
    <w:rsid w:val="005E255B"/>
    <w:rsid w:val="005E2CF7"/>
    <w:rsid w:val="005E4543"/>
    <w:rsid w:val="005E4A1C"/>
    <w:rsid w:val="005E56C9"/>
    <w:rsid w:val="005E5CF7"/>
    <w:rsid w:val="005E5FF0"/>
    <w:rsid w:val="005E642A"/>
    <w:rsid w:val="005E65A7"/>
    <w:rsid w:val="005E6E5A"/>
    <w:rsid w:val="005E721E"/>
    <w:rsid w:val="005E7C92"/>
    <w:rsid w:val="005F0857"/>
    <w:rsid w:val="005F0B15"/>
    <w:rsid w:val="005F1470"/>
    <w:rsid w:val="005F15A9"/>
    <w:rsid w:val="005F2807"/>
    <w:rsid w:val="005F2CD5"/>
    <w:rsid w:val="005F32A1"/>
    <w:rsid w:val="005F3382"/>
    <w:rsid w:val="005F3720"/>
    <w:rsid w:val="005F516D"/>
    <w:rsid w:val="005F5506"/>
    <w:rsid w:val="005F5A0D"/>
    <w:rsid w:val="005F60DF"/>
    <w:rsid w:val="005F615B"/>
    <w:rsid w:val="005F61DF"/>
    <w:rsid w:val="005F663B"/>
    <w:rsid w:val="005F680A"/>
    <w:rsid w:val="005F6880"/>
    <w:rsid w:val="005F6B3E"/>
    <w:rsid w:val="005F6ED2"/>
    <w:rsid w:val="005F745B"/>
    <w:rsid w:val="005F77F8"/>
    <w:rsid w:val="005F7CA8"/>
    <w:rsid w:val="00600B8B"/>
    <w:rsid w:val="00600DE1"/>
    <w:rsid w:val="00601506"/>
    <w:rsid w:val="00601596"/>
    <w:rsid w:val="00601A38"/>
    <w:rsid w:val="00601C92"/>
    <w:rsid w:val="00601F66"/>
    <w:rsid w:val="00602764"/>
    <w:rsid w:val="00602B29"/>
    <w:rsid w:val="00602DAD"/>
    <w:rsid w:val="006030E9"/>
    <w:rsid w:val="00603373"/>
    <w:rsid w:val="006036D0"/>
    <w:rsid w:val="00603B1C"/>
    <w:rsid w:val="006042CD"/>
    <w:rsid w:val="00604375"/>
    <w:rsid w:val="00605217"/>
    <w:rsid w:val="006054A5"/>
    <w:rsid w:val="006059E4"/>
    <w:rsid w:val="00605D60"/>
    <w:rsid w:val="006062A0"/>
    <w:rsid w:val="00607015"/>
    <w:rsid w:val="0061098D"/>
    <w:rsid w:val="00610B78"/>
    <w:rsid w:val="00610F80"/>
    <w:rsid w:val="00611992"/>
    <w:rsid w:val="00611B59"/>
    <w:rsid w:val="00611FBA"/>
    <w:rsid w:val="00612098"/>
    <w:rsid w:val="0061272A"/>
    <w:rsid w:val="00612BF8"/>
    <w:rsid w:val="006130D0"/>
    <w:rsid w:val="0061355D"/>
    <w:rsid w:val="006139F7"/>
    <w:rsid w:val="00613AA2"/>
    <w:rsid w:val="00614542"/>
    <w:rsid w:val="00614906"/>
    <w:rsid w:val="0061517F"/>
    <w:rsid w:val="00615276"/>
    <w:rsid w:val="006155F1"/>
    <w:rsid w:val="00615846"/>
    <w:rsid w:val="006160F0"/>
    <w:rsid w:val="0061618F"/>
    <w:rsid w:val="0061624B"/>
    <w:rsid w:val="00616400"/>
    <w:rsid w:val="006166AD"/>
    <w:rsid w:val="00616812"/>
    <w:rsid w:val="00616C1E"/>
    <w:rsid w:val="00617EFC"/>
    <w:rsid w:val="00620055"/>
    <w:rsid w:val="00620336"/>
    <w:rsid w:val="006204B3"/>
    <w:rsid w:val="006204C2"/>
    <w:rsid w:val="006212D3"/>
    <w:rsid w:val="00621639"/>
    <w:rsid w:val="00622B22"/>
    <w:rsid w:val="00622F67"/>
    <w:rsid w:val="00623571"/>
    <w:rsid w:val="00623A5E"/>
    <w:rsid w:val="00624B9F"/>
    <w:rsid w:val="00625008"/>
    <w:rsid w:val="006252EE"/>
    <w:rsid w:val="0062548B"/>
    <w:rsid w:val="00626710"/>
    <w:rsid w:val="00626930"/>
    <w:rsid w:val="00626AD3"/>
    <w:rsid w:val="00626BAC"/>
    <w:rsid w:val="006271C3"/>
    <w:rsid w:val="00627976"/>
    <w:rsid w:val="00627B14"/>
    <w:rsid w:val="0063001E"/>
    <w:rsid w:val="00630023"/>
    <w:rsid w:val="006308EE"/>
    <w:rsid w:val="00630C70"/>
    <w:rsid w:val="00630D67"/>
    <w:rsid w:val="00631005"/>
    <w:rsid w:val="00631C79"/>
    <w:rsid w:val="00631FFE"/>
    <w:rsid w:val="00632284"/>
    <w:rsid w:val="00632727"/>
    <w:rsid w:val="0063283D"/>
    <w:rsid w:val="00633769"/>
    <w:rsid w:val="00633FE3"/>
    <w:rsid w:val="00634276"/>
    <w:rsid w:val="00634570"/>
    <w:rsid w:val="0063487C"/>
    <w:rsid w:val="00635B73"/>
    <w:rsid w:val="00635BB7"/>
    <w:rsid w:val="00636CC7"/>
    <w:rsid w:val="0063727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5F2B"/>
    <w:rsid w:val="00646084"/>
    <w:rsid w:val="006468ED"/>
    <w:rsid w:val="00646DA2"/>
    <w:rsid w:val="00646E7A"/>
    <w:rsid w:val="00646EA6"/>
    <w:rsid w:val="00647272"/>
    <w:rsid w:val="00647664"/>
    <w:rsid w:val="00650D19"/>
    <w:rsid w:val="00651268"/>
    <w:rsid w:val="006521D7"/>
    <w:rsid w:val="00652CF5"/>
    <w:rsid w:val="0065343E"/>
    <w:rsid w:val="006536BB"/>
    <w:rsid w:val="0065398F"/>
    <w:rsid w:val="00653C7C"/>
    <w:rsid w:val="00654252"/>
    <w:rsid w:val="006543B7"/>
    <w:rsid w:val="00654EA5"/>
    <w:rsid w:val="0065587E"/>
    <w:rsid w:val="006558CD"/>
    <w:rsid w:val="0065592E"/>
    <w:rsid w:val="00655C26"/>
    <w:rsid w:val="0065637A"/>
    <w:rsid w:val="00656998"/>
    <w:rsid w:val="00656E4D"/>
    <w:rsid w:val="006576BA"/>
    <w:rsid w:val="00657CBB"/>
    <w:rsid w:val="006600BF"/>
    <w:rsid w:val="00660AF7"/>
    <w:rsid w:val="00660D3E"/>
    <w:rsid w:val="0066136C"/>
    <w:rsid w:val="00661691"/>
    <w:rsid w:val="00662D3D"/>
    <w:rsid w:val="00662F1F"/>
    <w:rsid w:val="00663D15"/>
    <w:rsid w:val="00665030"/>
    <w:rsid w:val="00665670"/>
    <w:rsid w:val="006659EA"/>
    <w:rsid w:val="00665F27"/>
    <w:rsid w:val="006661E8"/>
    <w:rsid w:val="00666424"/>
    <w:rsid w:val="006664DF"/>
    <w:rsid w:val="0066676C"/>
    <w:rsid w:val="006673B9"/>
    <w:rsid w:val="0066790C"/>
    <w:rsid w:val="00667FF0"/>
    <w:rsid w:val="00670319"/>
    <w:rsid w:val="00670BE1"/>
    <w:rsid w:val="00670C7C"/>
    <w:rsid w:val="00671480"/>
    <w:rsid w:val="006717E7"/>
    <w:rsid w:val="00671FD5"/>
    <w:rsid w:val="006720BC"/>
    <w:rsid w:val="006722B0"/>
    <w:rsid w:val="00672906"/>
    <w:rsid w:val="00672C73"/>
    <w:rsid w:val="00673B64"/>
    <w:rsid w:val="006753AC"/>
    <w:rsid w:val="00675430"/>
    <w:rsid w:val="006755F0"/>
    <w:rsid w:val="00675749"/>
    <w:rsid w:val="006759FE"/>
    <w:rsid w:val="00675C59"/>
    <w:rsid w:val="0067736F"/>
    <w:rsid w:val="00677382"/>
    <w:rsid w:val="006776F6"/>
    <w:rsid w:val="0067772D"/>
    <w:rsid w:val="00677991"/>
    <w:rsid w:val="00677AD2"/>
    <w:rsid w:val="00680326"/>
    <w:rsid w:val="00680714"/>
    <w:rsid w:val="0068071D"/>
    <w:rsid w:val="00680C6B"/>
    <w:rsid w:val="006811F3"/>
    <w:rsid w:val="00681240"/>
    <w:rsid w:val="0068139A"/>
    <w:rsid w:val="00681A77"/>
    <w:rsid w:val="0068270E"/>
    <w:rsid w:val="00683068"/>
    <w:rsid w:val="00683DAD"/>
    <w:rsid w:val="00684592"/>
    <w:rsid w:val="00684963"/>
    <w:rsid w:val="00685033"/>
    <w:rsid w:val="0068517F"/>
    <w:rsid w:val="0068564B"/>
    <w:rsid w:val="00685C15"/>
    <w:rsid w:val="00685D65"/>
    <w:rsid w:val="00685FC8"/>
    <w:rsid w:val="00686E80"/>
    <w:rsid w:val="0068790B"/>
    <w:rsid w:val="00687AF2"/>
    <w:rsid w:val="006901AC"/>
    <w:rsid w:val="00690C8D"/>
    <w:rsid w:val="00691890"/>
    <w:rsid w:val="00691AAD"/>
    <w:rsid w:val="00691DFC"/>
    <w:rsid w:val="00692416"/>
    <w:rsid w:val="00692A22"/>
    <w:rsid w:val="00692AFF"/>
    <w:rsid w:val="00692D2D"/>
    <w:rsid w:val="00692D66"/>
    <w:rsid w:val="0069346A"/>
    <w:rsid w:val="00693B73"/>
    <w:rsid w:val="00693F11"/>
    <w:rsid w:val="006945A1"/>
    <w:rsid w:val="00694A53"/>
    <w:rsid w:val="006952DE"/>
    <w:rsid w:val="00695985"/>
    <w:rsid w:val="00695C78"/>
    <w:rsid w:val="00695E6C"/>
    <w:rsid w:val="00695EAC"/>
    <w:rsid w:val="00696904"/>
    <w:rsid w:val="00696C79"/>
    <w:rsid w:val="00696CB8"/>
    <w:rsid w:val="00697068"/>
    <w:rsid w:val="006977DE"/>
    <w:rsid w:val="00697907"/>
    <w:rsid w:val="00697D5F"/>
    <w:rsid w:val="006A035B"/>
    <w:rsid w:val="006A0582"/>
    <w:rsid w:val="006A060C"/>
    <w:rsid w:val="006A06F8"/>
    <w:rsid w:val="006A071C"/>
    <w:rsid w:val="006A0D23"/>
    <w:rsid w:val="006A0DC7"/>
    <w:rsid w:val="006A150D"/>
    <w:rsid w:val="006A1B00"/>
    <w:rsid w:val="006A2766"/>
    <w:rsid w:val="006A394B"/>
    <w:rsid w:val="006A39D0"/>
    <w:rsid w:val="006A3E91"/>
    <w:rsid w:val="006A4321"/>
    <w:rsid w:val="006A4E20"/>
    <w:rsid w:val="006A4F11"/>
    <w:rsid w:val="006A5474"/>
    <w:rsid w:val="006A5497"/>
    <w:rsid w:val="006A563C"/>
    <w:rsid w:val="006A5782"/>
    <w:rsid w:val="006A5A6F"/>
    <w:rsid w:val="006A5F7E"/>
    <w:rsid w:val="006A6786"/>
    <w:rsid w:val="006A7C29"/>
    <w:rsid w:val="006B0580"/>
    <w:rsid w:val="006B0DA2"/>
    <w:rsid w:val="006B0F70"/>
    <w:rsid w:val="006B1486"/>
    <w:rsid w:val="006B169F"/>
    <w:rsid w:val="006B1BEB"/>
    <w:rsid w:val="006B1D06"/>
    <w:rsid w:val="006B2823"/>
    <w:rsid w:val="006B29DC"/>
    <w:rsid w:val="006B2B21"/>
    <w:rsid w:val="006B2F60"/>
    <w:rsid w:val="006B33DB"/>
    <w:rsid w:val="006B3669"/>
    <w:rsid w:val="006B36E5"/>
    <w:rsid w:val="006B3C07"/>
    <w:rsid w:val="006B3CDF"/>
    <w:rsid w:val="006B3D00"/>
    <w:rsid w:val="006B4CF8"/>
    <w:rsid w:val="006B506B"/>
    <w:rsid w:val="006B54E8"/>
    <w:rsid w:val="006B5FBC"/>
    <w:rsid w:val="006B6ED2"/>
    <w:rsid w:val="006B70D5"/>
    <w:rsid w:val="006B7F74"/>
    <w:rsid w:val="006C0230"/>
    <w:rsid w:val="006C05C7"/>
    <w:rsid w:val="006C0E68"/>
    <w:rsid w:val="006C1F31"/>
    <w:rsid w:val="006C25AB"/>
    <w:rsid w:val="006C2DA6"/>
    <w:rsid w:val="006C3581"/>
    <w:rsid w:val="006C3737"/>
    <w:rsid w:val="006C38AB"/>
    <w:rsid w:val="006C39A0"/>
    <w:rsid w:val="006C3EFE"/>
    <w:rsid w:val="006C4282"/>
    <w:rsid w:val="006C46C7"/>
    <w:rsid w:val="006C4767"/>
    <w:rsid w:val="006C4A1A"/>
    <w:rsid w:val="006C4D02"/>
    <w:rsid w:val="006C53A4"/>
    <w:rsid w:val="006C54DF"/>
    <w:rsid w:val="006C5D5D"/>
    <w:rsid w:val="006C627E"/>
    <w:rsid w:val="006C6303"/>
    <w:rsid w:val="006C63ED"/>
    <w:rsid w:val="006C669B"/>
    <w:rsid w:val="006C6A51"/>
    <w:rsid w:val="006C6EBD"/>
    <w:rsid w:val="006C7E04"/>
    <w:rsid w:val="006C7F79"/>
    <w:rsid w:val="006C7FB4"/>
    <w:rsid w:val="006D0004"/>
    <w:rsid w:val="006D015F"/>
    <w:rsid w:val="006D060E"/>
    <w:rsid w:val="006D0681"/>
    <w:rsid w:val="006D0A80"/>
    <w:rsid w:val="006D0AE8"/>
    <w:rsid w:val="006D135C"/>
    <w:rsid w:val="006D16F6"/>
    <w:rsid w:val="006D2AD1"/>
    <w:rsid w:val="006D2F72"/>
    <w:rsid w:val="006D43C1"/>
    <w:rsid w:val="006D4955"/>
    <w:rsid w:val="006D4BE9"/>
    <w:rsid w:val="006D5442"/>
    <w:rsid w:val="006D6921"/>
    <w:rsid w:val="006D6E4E"/>
    <w:rsid w:val="006D7A7B"/>
    <w:rsid w:val="006D7A8E"/>
    <w:rsid w:val="006D7C59"/>
    <w:rsid w:val="006E00E3"/>
    <w:rsid w:val="006E045C"/>
    <w:rsid w:val="006E0569"/>
    <w:rsid w:val="006E065E"/>
    <w:rsid w:val="006E082D"/>
    <w:rsid w:val="006E0849"/>
    <w:rsid w:val="006E11D6"/>
    <w:rsid w:val="006E17AC"/>
    <w:rsid w:val="006E189B"/>
    <w:rsid w:val="006E20D9"/>
    <w:rsid w:val="006E25C1"/>
    <w:rsid w:val="006E27DC"/>
    <w:rsid w:val="006E2902"/>
    <w:rsid w:val="006E2F9D"/>
    <w:rsid w:val="006E3670"/>
    <w:rsid w:val="006E37C6"/>
    <w:rsid w:val="006E3CF3"/>
    <w:rsid w:val="006E405B"/>
    <w:rsid w:val="006E41ED"/>
    <w:rsid w:val="006E4667"/>
    <w:rsid w:val="006E46B7"/>
    <w:rsid w:val="006E475A"/>
    <w:rsid w:val="006E486D"/>
    <w:rsid w:val="006E4880"/>
    <w:rsid w:val="006E48BB"/>
    <w:rsid w:val="006E5462"/>
    <w:rsid w:val="006E618C"/>
    <w:rsid w:val="006E641A"/>
    <w:rsid w:val="006E65D6"/>
    <w:rsid w:val="006E727B"/>
    <w:rsid w:val="006E73B4"/>
    <w:rsid w:val="006E76C8"/>
    <w:rsid w:val="006E7A92"/>
    <w:rsid w:val="006F01FF"/>
    <w:rsid w:val="006F0C11"/>
    <w:rsid w:val="006F0CB2"/>
    <w:rsid w:val="006F1DE9"/>
    <w:rsid w:val="006F2046"/>
    <w:rsid w:val="006F2555"/>
    <w:rsid w:val="006F2F59"/>
    <w:rsid w:val="006F30CA"/>
    <w:rsid w:val="006F311E"/>
    <w:rsid w:val="006F3442"/>
    <w:rsid w:val="006F36A5"/>
    <w:rsid w:val="006F39F5"/>
    <w:rsid w:val="006F41F4"/>
    <w:rsid w:val="006F442B"/>
    <w:rsid w:val="006F4576"/>
    <w:rsid w:val="006F5813"/>
    <w:rsid w:val="006F59A8"/>
    <w:rsid w:val="006F5A1D"/>
    <w:rsid w:val="006F64DC"/>
    <w:rsid w:val="006F71A6"/>
    <w:rsid w:val="006F7974"/>
    <w:rsid w:val="006F7C2C"/>
    <w:rsid w:val="006F7FD5"/>
    <w:rsid w:val="00700405"/>
    <w:rsid w:val="0070061F"/>
    <w:rsid w:val="00700D18"/>
    <w:rsid w:val="0070168D"/>
    <w:rsid w:val="00701C36"/>
    <w:rsid w:val="00701D7B"/>
    <w:rsid w:val="00702DF3"/>
    <w:rsid w:val="00702F2D"/>
    <w:rsid w:val="00702F3D"/>
    <w:rsid w:val="0070353F"/>
    <w:rsid w:val="00703A99"/>
    <w:rsid w:val="0070415E"/>
    <w:rsid w:val="00704631"/>
    <w:rsid w:val="00704B79"/>
    <w:rsid w:val="00704E7D"/>
    <w:rsid w:val="00705060"/>
    <w:rsid w:val="00705351"/>
    <w:rsid w:val="00705619"/>
    <w:rsid w:val="00705E93"/>
    <w:rsid w:val="007062AF"/>
    <w:rsid w:val="007069AE"/>
    <w:rsid w:val="007069D4"/>
    <w:rsid w:val="00706C89"/>
    <w:rsid w:val="0070744A"/>
    <w:rsid w:val="00707967"/>
    <w:rsid w:val="00707E24"/>
    <w:rsid w:val="00710224"/>
    <w:rsid w:val="00710257"/>
    <w:rsid w:val="00710587"/>
    <w:rsid w:val="007107D5"/>
    <w:rsid w:val="007119DC"/>
    <w:rsid w:val="00711CC7"/>
    <w:rsid w:val="0071230A"/>
    <w:rsid w:val="0071281A"/>
    <w:rsid w:val="00712930"/>
    <w:rsid w:val="0071294A"/>
    <w:rsid w:val="00712BDD"/>
    <w:rsid w:val="00712E1E"/>
    <w:rsid w:val="00712F37"/>
    <w:rsid w:val="00713A6B"/>
    <w:rsid w:val="00713CB5"/>
    <w:rsid w:val="0071499C"/>
    <w:rsid w:val="00714F9D"/>
    <w:rsid w:val="00715141"/>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5F5"/>
    <w:rsid w:val="0072388C"/>
    <w:rsid w:val="0072454E"/>
    <w:rsid w:val="007249D1"/>
    <w:rsid w:val="00724FE4"/>
    <w:rsid w:val="00725829"/>
    <w:rsid w:val="00725D6A"/>
    <w:rsid w:val="007263A2"/>
    <w:rsid w:val="007266B9"/>
    <w:rsid w:val="00727235"/>
    <w:rsid w:val="00727351"/>
    <w:rsid w:val="00727821"/>
    <w:rsid w:val="00727AC5"/>
    <w:rsid w:val="00727C65"/>
    <w:rsid w:val="007300F0"/>
    <w:rsid w:val="00730904"/>
    <w:rsid w:val="00731D13"/>
    <w:rsid w:val="00731DEB"/>
    <w:rsid w:val="00731EDE"/>
    <w:rsid w:val="0073245C"/>
    <w:rsid w:val="00732493"/>
    <w:rsid w:val="00732FE9"/>
    <w:rsid w:val="00733772"/>
    <w:rsid w:val="00733A43"/>
    <w:rsid w:val="00733AE4"/>
    <w:rsid w:val="00733D5F"/>
    <w:rsid w:val="00734932"/>
    <w:rsid w:val="00735D53"/>
    <w:rsid w:val="0073618A"/>
    <w:rsid w:val="007364A3"/>
    <w:rsid w:val="00736740"/>
    <w:rsid w:val="007376A3"/>
    <w:rsid w:val="007378FD"/>
    <w:rsid w:val="007379E8"/>
    <w:rsid w:val="007403FE"/>
    <w:rsid w:val="00740422"/>
    <w:rsid w:val="00740495"/>
    <w:rsid w:val="007405ED"/>
    <w:rsid w:val="00740AA6"/>
    <w:rsid w:val="00740FB6"/>
    <w:rsid w:val="007413EB"/>
    <w:rsid w:val="007413FB"/>
    <w:rsid w:val="00742D32"/>
    <w:rsid w:val="00742E9B"/>
    <w:rsid w:val="0074310F"/>
    <w:rsid w:val="007444E6"/>
    <w:rsid w:val="00745184"/>
    <w:rsid w:val="0074592C"/>
    <w:rsid w:val="00745C91"/>
    <w:rsid w:val="00746098"/>
    <w:rsid w:val="007461EA"/>
    <w:rsid w:val="00746D58"/>
    <w:rsid w:val="00747578"/>
    <w:rsid w:val="0074795D"/>
    <w:rsid w:val="00750D12"/>
    <w:rsid w:val="00751073"/>
    <w:rsid w:val="007517B3"/>
    <w:rsid w:val="0075191B"/>
    <w:rsid w:val="00751AF2"/>
    <w:rsid w:val="00751B1A"/>
    <w:rsid w:val="00751BD2"/>
    <w:rsid w:val="00751C69"/>
    <w:rsid w:val="00751CE5"/>
    <w:rsid w:val="00752034"/>
    <w:rsid w:val="00752188"/>
    <w:rsid w:val="00752859"/>
    <w:rsid w:val="00752CC6"/>
    <w:rsid w:val="00752CEB"/>
    <w:rsid w:val="0075307A"/>
    <w:rsid w:val="00753938"/>
    <w:rsid w:val="00753A57"/>
    <w:rsid w:val="0075418B"/>
    <w:rsid w:val="007543CE"/>
    <w:rsid w:val="0075497E"/>
    <w:rsid w:val="00754A29"/>
    <w:rsid w:val="00754CB9"/>
    <w:rsid w:val="00755B6F"/>
    <w:rsid w:val="00755BCF"/>
    <w:rsid w:val="00756C5F"/>
    <w:rsid w:val="00756D69"/>
    <w:rsid w:val="0075700D"/>
    <w:rsid w:val="00757029"/>
    <w:rsid w:val="007571FD"/>
    <w:rsid w:val="0075723D"/>
    <w:rsid w:val="007602D4"/>
    <w:rsid w:val="007606A3"/>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5C3"/>
    <w:rsid w:val="0076497F"/>
    <w:rsid w:val="007660EC"/>
    <w:rsid w:val="007662C7"/>
    <w:rsid w:val="00766862"/>
    <w:rsid w:val="007675DD"/>
    <w:rsid w:val="007702BF"/>
    <w:rsid w:val="007705F0"/>
    <w:rsid w:val="00771CAC"/>
    <w:rsid w:val="00772036"/>
    <w:rsid w:val="00773098"/>
    <w:rsid w:val="00773610"/>
    <w:rsid w:val="007739A3"/>
    <w:rsid w:val="00773BD9"/>
    <w:rsid w:val="00773CB0"/>
    <w:rsid w:val="00773D71"/>
    <w:rsid w:val="007745E1"/>
    <w:rsid w:val="00775526"/>
    <w:rsid w:val="00775651"/>
    <w:rsid w:val="00775F3F"/>
    <w:rsid w:val="007767B1"/>
    <w:rsid w:val="0077710B"/>
    <w:rsid w:val="0077765A"/>
    <w:rsid w:val="00780032"/>
    <w:rsid w:val="00780636"/>
    <w:rsid w:val="00780E86"/>
    <w:rsid w:val="0078108C"/>
    <w:rsid w:val="00781727"/>
    <w:rsid w:val="007823E8"/>
    <w:rsid w:val="00782411"/>
    <w:rsid w:val="00782CF3"/>
    <w:rsid w:val="007838BA"/>
    <w:rsid w:val="00783959"/>
    <w:rsid w:val="00783BA5"/>
    <w:rsid w:val="007843D8"/>
    <w:rsid w:val="007844A9"/>
    <w:rsid w:val="00785091"/>
    <w:rsid w:val="007856A6"/>
    <w:rsid w:val="0078638C"/>
    <w:rsid w:val="0078681A"/>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4E4F"/>
    <w:rsid w:val="007952DE"/>
    <w:rsid w:val="00795479"/>
    <w:rsid w:val="007959DB"/>
    <w:rsid w:val="00796292"/>
    <w:rsid w:val="007965D9"/>
    <w:rsid w:val="00796BA2"/>
    <w:rsid w:val="007972D5"/>
    <w:rsid w:val="0079778D"/>
    <w:rsid w:val="00797927"/>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029"/>
    <w:rsid w:val="007A54F6"/>
    <w:rsid w:val="007A55FE"/>
    <w:rsid w:val="007A582C"/>
    <w:rsid w:val="007A5950"/>
    <w:rsid w:val="007A6850"/>
    <w:rsid w:val="007A6D91"/>
    <w:rsid w:val="007A7618"/>
    <w:rsid w:val="007B00C9"/>
    <w:rsid w:val="007B02C7"/>
    <w:rsid w:val="007B0306"/>
    <w:rsid w:val="007B084C"/>
    <w:rsid w:val="007B08E4"/>
    <w:rsid w:val="007B0D86"/>
    <w:rsid w:val="007B270F"/>
    <w:rsid w:val="007B28C3"/>
    <w:rsid w:val="007B305E"/>
    <w:rsid w:val="007B3A8E"/>
    <w:rsid w:val="007B3C9B"/>
    <w:rsid w:val="007B4271"/>
    <w:rsid w:val="007B457C"/>
    <w:rsid w:val="007B497D"/>
    <w:rsid w:val="007B4EE9"/>
    <w:rsid w:val="007B5234"/>
    <w:rsid w:val="007B54C7"/>
    <w:rsid w:val="007B5637"/>
    <w:rsid w:val="007B5DC5"/>
    <w:rsid w:val="007B5F32"/>
    <w:rsid w:val="007B63FC"/>
    <w:rsid w:val="007B6708"/>
    <w:rsid w:val="007B6C20"/>
    <w:rsid w:val="007B6E8D"/>
    <w:rsid w:val="007B7ECE"/>
    <w:rsid w:val="007C029E"/>
    <w:rsid w:val="007C0636"/>
    <w:rsid w:val="007C10E4"/>
    <w:rsid w:val="007C159F"/>
    <w:rsid w:val="007C17B4"/>
    <w:rsid w:val="007C1952"/>
    <w:rsid w:val="007C19F6"/>
    <w:rsid w:val="007C20F8"/>
    <w:rsid w:val="007C21C5"/>
    <w:rsid w:val="007C2229"/>
    <w:rsid w:val="007C2267"/>
    <w:rsid w:val="007C2313"/>
    <w:rsid w:val="007C2423"/>
    <w:rsid w:val="007C25C1"/>
    <w:rsid w:val="007C3590"/>
    <w:rsid w:val="007C387A"/>
    <w:rsid w:val="007C3A0D"/>
    <w:rsid w:val="007C3EB0"/>
    <w:rsid w:val="007C43D6"/>
    <w:rsid w:val="007C44FE"/>
    <w:rsid w:val="007C47FF"/>
    <w:rsid w:val="007C60A8"/>
    <w:rsid w:val="007C660F"/>
    <w:rsid w:val="007C6664"/>
    <w:rsid w:val="007C66FF"/>
    <w:rsid w:val="007C69AE"/>
    <w:rsid w:val="007C6A25"/>
    <w:rsid w:val="007C6E15"/>
    <w:rsid w:val="007C6FE9"/>
    <w:rsid w:val="007C7688"/>
    <w:rsid w:val="007C76E3"/>
    <w:rsid w:val="007C76F3"/>
    <w:rsid w:val="007C7DD9"/>
    <w:rsid w:val="007D03BC"/>
    <w:rsid w:val="007D0DC9"/>
    <w:rsid w:val="007D0ECD"/>
    <w:rsid w:val="007D1374"/>
    <w:rsid w:val="007D1ACB"/>
    <w:rsid w:val="007D2882"/>
    <w:rsid w:val="007D296C"/>
    <w:rsid w:val="007D2C31"/>
    <w:rsid w:val="007D2E50"/>
    <w:rsid w:val="007D3D74"/>
    <w:rsid w:val="007D445F"/>
    <w:rsid w:val="007D4DED"/>
    <w:rsid w:val="007D5B91"/>
    <w:rsid w:val="007D5BA2"/>
    <w:rsid w:val="007D5ED3"/>
    <w:rsid w:val="007D682F"/>
    <w:rsid w:val="007D6FB9"/>
    <w:rsid w:val="007D7211"/>
    <w:rsid w:val="007E0595"/>
    <w:rsid w:val="007E0820"/>
    <w:rsid w:val="007E0A63"/>
    <w:rsid w:val="007E0B6C"/>
    <w:rsid w:val="007E0C63"/>
    <w:rsid w:val="007E0E05"/>
    <w:rsid w:val="007E0F5D"/>
    <w:rsid w:val="007E1D2C"/>
    <w:rsid w:val="007E23A1"/>
    <w:rsid w:val="007E259F"/>
    <w:rsid w:val="007E2E09"/>
    <w:rsid w:val="007E347E"/>
    <w:rsid w:val="007E3A1A"/>
    <w:rsid w:val="007E41A4"/>
    <w:rsid w:val="007E43E3"/>
    <w:rsid w:val="007E54B8"/>
    <w:rsid w:val="007E56FB"/>
    <w:rsid w:val="007E5D12"/>
    <w:rsid w:val="007E6420"/>
    <w:rsid w:val="007E677F"/>
    <w:rsid w:val="007E6B25"/>
    <w:rsid w:val="007E6E06"/>
    <w:rsid w:val="007E6F4A"/>
    <w:rsid w:val="007E79CC"/>
    <w:rsid w:val="007E7DAE"/>
    <w:rsid w:val="007F1124"/>
    <w:rsid w:val="007F152D"/>
    <w:rsid w:val="007F20C4"/>
    <w:rsid w:val="007F20EE"/>
    <w:rsid w:val="007F23D8"/>
    <w:rsid w:val="007F267E"/>
    <w:rsid w:val="007F307A"/>
    <w:rsid w:val="007F30C6"/>
    <w:rsid w:val="007F3561"/>
    <w:rsid w:val="007F38FD"/>
    <w:rsid w:val="007F3C18"/>
    <w:rsid w:val="007F4318"/>
    <w:rsid w:val="007F4709"/>
    <w:rsid w:val="007F47DA"/>
    <w:rsid w:val="007F4E52"/>
    <w:rsid w:val="007F4F18"/>
    <w:rsid w:val="007F4F84"/>
    <w:rsid w:val="007F5382"/>
    <w:rsid w:val="007F55A4"/>
    <w:rsid w:val="007F5D28"/>
    <w:rsid w:val="007F6260"/>
    <w:rsid w:val="007F631D"/>
    <w:rsid w:val="007F6370"/>
    <w:rsid w:val="007F6466"/>
    <w:rsid w:val="007F682B"/>
    <w:rsid w:val="007F78E8"/>
    <w:rsid w:val="007F7EB8"/>
    <w:rsid w:val="007F7F8F"/>
    <w:rsid w:val="00800509"/>
    <w:rsid w:val="0080078E"/>
    <w:rsid w:val="00800B7F"/>
    <w:rsid w:val="008012B1"/>
    <w:rsid w:val="0080133B"/>
    <w:rsid w:val="00801D63"/>
    <w:rsid w:val="0080348B"/>
    <w:rsid w:val="00803632"/>
    <w:rsid w:val="00803B3C"/>
    <w:rsid w:val="00803D82"/>
    <w:rsid w:val="00803D98"/>
    <w:rsid w:val="00804BD2"/>
    <w:rsid w:val="008052CE"/>
    <w:rsid w:val="008058D0"/>
    <w:rsid w:val="0080621C"/>
    <w:rsid w:val="00806446"/>
    <w:rsid w:val="00806A4C"/>
    <w:rsid w:val="0080705B"/>
    <w:rsid w:val="00807196"/>
    <w:rsid w:val="0080723C"/>
    <w:rsid w:val="00807604"/>
    <w:rsid w:val="00807F71"/>
    <w:rsid w:val="0081000F"/>
    <w:rsid w:val="00811ABF"/>
    <w:rsid w:val="00812657"/>
    <w:rsid w:val="00812960"/>
    <w:rsid w:val="00812A1A"/>
    <w:rsid w:val="00812DFF"/>
    <w:rsid w:val="0081362F"/>
    <w:rsid w:val="0081383A"/>
    <w:rsid w:val="00813EC2"/>
    <w:rsid w:val="008147EA"/>
    <w:rsid w:val="0081497F"/>
    <w:rsid w:val="00814B90"/>
    <w:rsid w:val="00814E9C"/>
    <w:rsid w:val="00814FC7"/>
    <w:rsid w:val="0081660C"/>
    <w:rsid w:val="00817195"/>
    <w:rsid w:val="00817416"/>
    <w:rsid w:val="00817658"/>
    <w:rsid w:val="00817CFF"/>
    <w:rsid w:val="00817DFB"/>
    <w:rsid w:val="008206AE"/>
    <w:rsid w:val="00821271"/>
    <w:rsid w:val="00821306"/>
    <w:rsid w:val="008213D9"/>
    <w:rsid w:val="008216CE"/>
    <w:rsid w:val="00821827"/>
    <w:rsid w:val="008218AE"/>
    <w:rsid w:val="00821D85"/>
    <w:rsid w:val="00821E47"/>
    <w:rsid w:val="008220F6"/>
    <w:rsid w:val="00822456"/>
    <w:rsid w:val="00823819"/>
    <w:rsid w:val="00823C4B"/>
    <w:rsid w:val="0082427D"/>
    <w:rsid w:val="00825441"/>
    <w:rsid w:val="00826855"/>
    <w:rsid w:val="008268D5"/>
    <w:rsid w:val="00826D38"/>
    <w:rsid w:val="00830052"/>
    <w:rsid w:val="008300D0"/>
    <w:rsid w:val="008308D8"/>
    <w:rsid w:val="0083150E"/>
    <w:rsid w:val="008320D2"/>
    <w:rsid w:val="008321CE"/>
    <w:rsid w:val="0083257C"/>
    <w:rsid w:val="0083261B"/>
    <w:rsid w:val="00832B44"/>
    <w:rsid w:val="00832EC9"/>
    <w:rsid w:val="00833307"/>
    <w:rsid w:val="00833583"/>
    <w:rsid w:val="00833B5B"/>
    <w:rsid w:val="00833E9A"/>
    <w:rsid w:val="00833F52"/>
    <w:rsid w:val="0083445C"/>
    <w:rsid w:val="00834FEF"/>
    <w:rsid w:val="00836323"/>
    <w:rsid w:val="00837D3D"/>
    <w:rsid w:val="00837E9B"/>
    <w:rsid w:val="008404AA"/>
    <w:rsid w:val="008406D7"/>
    <w:rsid w:val="0084074F"/>
    <w:rsid w:val="008407BA"/>
    <w:rsid w:val="00840A70"/>
    <w:rsid w:val="00840AA3"/>
    <w:rsid w:val="00840AAC"/>
    <w:rsid w:val="0084101C"/>
    <w:rsid w:val="0084181B"/>
    <w:rsid w:val="00841F29"/>
    <w:rsid w:val="008425CC"/>
    <w:rsid w:val="00842DC2"/>
    <w:rsid w:val="0084357B"/>
    <w:rsid w:val="0084568C"/>
    <w:rsid w:val="008462D6"/>
    <w:rsid w:val="008465B4"/>
    <w:rsid w:val="00846D25"/>
    <w:rsid w:val="00847907"/>
    <w:rsid w:val="00850013"/>
    <w:rsid w:val="008500DD"/>
    <w:rsid w:val="00850A0A"/>
    <w:rsid w:val="00850A94"/>
    <w:rsid w:val="00851E96"/>
    <w:rsid w:val="00851F1C"/>
    <w:rsid w:val="00852FA5"/>
    <w:rsid w:val="00853114"/>
    <w:rsid w:val="00853208"/>
    <w:rsid w:val="008535AE"/>
    <w:rsid w:val="00853DE9"/>
    <w:rsid w:val="00853F7D"/>
    <w:rsid w:val="0085517F"/>
    <w:rsid w:val="0085562D"/>
    <w:rsid w:val="00855A78"/>
    <w:rsid w:val="00856154"/>
    <w:rsid w:val="00856286"/>
    <w:rsid w:val="0085657E"/>
    <w:rsid w:val="00856D63"/>
    <w:rsid w:val="00856E98"/>
    <w:rsid w:val="00856F0E"/>
    <w:rsid w:val="008573AF"/>
    <w:rsid w:val="008576B0"/>
    <w:rsid w:val="00860296"/>
    <w:rsid w:val="008602E3"/>
    <w:rsid w:val="00860DA4"/>
    <w:rsid w:val="00861146"/>
    <w:rsid w:val="00861948"/>
    <w:rsid w:val="00862011"/>
    <w:rsid w:val="00862A15"/>
    <w:rsid w:val="00862AAE"/>
    <w:rsid w:val="00862CC9"/>
    <w:rsid w:val="00862D8E"/>
    <w:rsid w:val="00862EF2"/>
    <w:rsid w:val="00863509"/>
    <w:rsid w:val="00863D33"/>
    <w:rsid w:val="00863D80"/>
    <w:rsid w:val="00864FB3"/>
    <w:rsid w:val="0086598A"/>
    <w:rsid w:val="00865C3D"/>
    <w:rsid w:val="00865F4C"/>
    <w:rsid w:val="00866453"/>
    <w:rsid w:val="0086707F"/>
    <w:rsid w:val="00867501"/>
    <w:rsid w:val="00867D8E"/>
    <w:rsid w:val="008700C0"/>
    <w:rsid w:val="0087058B"/>
    <w:rsid w:val="0087063B"/>
    <w:rsid w:val="0087099A"/>
    <w:rsid w:val="00870D79"/>
    <w:rsid w:val="00871333"/>
    <w:rsid w:val="00871952"/>
    <w:rsid w:val="00872006"/>
    <w:rsid w:val="00872386"/>
    <w:rsid w:val="008726D7"/>
    <w:rsid w:val="00873128"/>
    <w:rsid w:val="008735BC"/>
    <w:rsid w:val="0087363E"/>
    <w:rsid w:val="00873897"/>
    <w:rsid w:val="00873AAC"/>
    <w:rsid w:val="00873C61"/>
    <w:rsid w:val="00873DFD"/>
    <w:rsid w:val="008749BF"/>
    <w:rsid w:val="00875542"/>
    <w:rsid w:val="00875E14"/>
    <w:rsid w:val="0087677E"/>
    <w:rsid w:val="0087712C"/>
    <w:rsid w:val="008776E7"/>
    <w:rsid w:val="00877746"/>
    <w:rsid w:val="00877C5D"/>
    <w:rsid w:val="00880354"/>
    <w:rsid w:val="00880611"/>
    <w:rsid w:val="0088093C"/>
    <w:rsid w:val="00880BC0"/>
    <w:rsid w:val="0088127A"/>
    <w:rsid w:val="00881D59"/>
    <w:rsid w:val="00881ED4"/>
    <w:rsid w:val="00882991"/>
    <w:rsid w:val="00882EC1"/>
    <w:rsid w:val="0088324E"/>
    <w:rsid w:val="0088434F"/>
    <w:rsid w:val="00884371"/>
    <w:rsid w:val="008848E2"/>
    <w:rsid w:val="00884B7A"/>
    <w:rsid w:val="00884D47"/>
    <w:rsid w:val="008856C5"/>
    <w:rsid w:val="00886112"/>
    <w:rsid w:val="00886B7E"/>
    <w:rsid w:val="008870B9"/>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3AB"/>
    <w:rsid w:val="00895963"/>
    <w:rsid w:val="00896C63"/>
    <w:rsid w:val="00896F55"/>
    <w:rsid w:val="008972B6"/>
    <w:rsid w:val="00897339"/>
    <w:rsid w:val="00897697"/>
    <w:rsid w:val="008977E1"/>
    <w:rsid w:val="00897BFA"/>
    <w:rsid w:val="00897D19"/>
    <w:rsid w:val="008A0044"/>
    <w:rsid w:val="008A0BFE"/>
    <w:rsid w:val="008A1932"/>
    <w:rsid w:val="008A1E83"/>
    <w:rsid w:val="008A21D9"/>
    <w:rsid w:val="008A232D"/>
    <w:rsid w:val="008A2D78"/>
    <w:rsid w:val="008A3182"/>
    <w:rsid w:val="008A3C76"/>
    <w:rsid w:val="008A3D54"/>
    <w:rsid w:val="008A3E10"/>
    <w:rsid w:val="008A411C"/>
    <w:rsid w:val="008A4630"/>
    <w:rsid w:val="008A47CE"/>
    <w:rsid w:val="008A4DFA"/>
    <w:rsid w:val="008A58C7"/>
    <w:rsid w:val="008A5DCA"/>
    <w:rsid w:val="008A5F2F"/>
    <w:rsid w:val="008A64B7"/>
    <w:rsid w:val="008A6BAE"/>
    <w:rsid w:val="008A7350"/>
    <w:rsid w:val="008A7A72"/>
    <w:rsid w:val="008B09F3"/>
    <w:rsid w:val="008B111A"/>
    <w:rsid w:val="008B16E6"/>
    <w:rsid w:val="008B1AB2"/>
    <w:rsid w:val="008B1B17"/>
    <w:rsid w:val="008B1D9B"/>
    <w:rsid w:val="008B2042"/>
    <w:rsid w:val="008B25F1"/>
    <w:rsid w:val="008B2C8F"/>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107"/>
    <w:rsid w:val="008B770C"/>
    <w:rsid w:val="008B7D3F"/>
    <w:rsid w:val="008C0325"/>
    <w:rsid w:val="008C094A"/>
    <w:rsid w:val="008C0A61"/>
    <w:rsid w:val="008C1570"/>
    <w:rsid w:val="008C1792"/>
    <w:rsid w:val="008C17B2"/>
    <w:rsid w:val="008C1E3E"/>
    <w:rsid w:val="008C2059"/>
    <w:rsid w:val="008C21D0"/>
    <w:rsid w:val="008C2DBC"/>
    <w:rsid w:val="008C3A4E"/>
    <w:rsid w:val="008C4104"/>
    <w:rsid w:val="008C4A37"/>
    <w:rsid w:val="008C5371"/>
    <w:rsid w:val="008C623D"/>
    <w:rsid w:val="008C65F4"/>
    <w:rsid w:val="008C6683"/>
    <w:rsid w:val="008C6E0C"/>
    <w:rsid w:val="008C7273"/>
    <w:rsid w:val="008C78F8"/>
    <w:rsid w:val="008D05DF"/>
    <w:rsid w:val="008D09E8"/>
    <w:rsid w:val="008D0E65"/>
    <w:rsid w:val="008D0F4B"/>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4E8C"/>
    <w:rsid w:val="008D5432"/>
    <w:rsid w:val="008D54C0"/>
    <w:rsid w:val="008D5558"/>
    <w:rsid w:val="008D5806"/>
    <w:rsid w:val="008D5ED9"/>
    <w:rsid w:val="008D6857"/>
    <w:rsid w:val="008D69BC"/>
    <w:rsid w:val="008D7247"/>
    <w:rsid w:val="008D7567"/>
    <w:rsid w:val="008E0464"/>
    <w:rsid w:val="008E092F"/>
    <w:rsid w:val="008E0EE4"/>
    <w:rsid w:val="008E1074"/>
    <w:rsid w:val="008E12BE"/>
    <w:rsid w:val="008E13FD"/>
    <w:rsid w:val="008E17D5"/>
    <w:rsid w:val="008E1BBD"/>
    <w:rsid w:val="008E1C24"/>
    <w:rsid w:val="008E2626"/>
    <w:rsid w:val="008E27A9"/>
    <w:rsid w:val="008E295D"/>
    <w:rsid w:val="008E323C"/>
    <w:rsid w:val="008E32E0"/>
    <w:rsid w:val="008E35A6"/>
    <w:rsid w:val="008E36D9"/>
    <w:rsid w:val="008E3A5C"/>
    <w:rsid w:val="008E3A9A"/>
    <w:rsid w:val="008E429E"/>
    <w:rsid w:val="008E4885"/>
    <w:rsid w:val="008E58A3"/>
    <w:rsid w:val="008E5938"/>
    <w:rsid w:val="008E6109"/>
    <w:rsid w:val="008E6A39"/>
    <w:rsid w:val="008E76BB"/>
    <w:rsid w:val="008F1312"/>
    <w:rsid w:val="008F1764"/>
    <w:rsid w:val="008F1E3D"/>
    <w:rsid w:val="008F235C"/>
    <w:rsid w:val="008F290B"/>
    <w:rsid w:val="008F2F11"/>
    <w:rsid w:val="008F3369"/>
    <w:rsid w:val="008F33A6"/>
    <w:rsid w:val="008F35EC"/>
    <w:rsid w:val="008F4A31"/>
    <w:rsid w:val="008F4FE8"/>
    <w:rsid w:val="008F4FED"/>
    <w:rsid w:val="008F583A"/>
    <w:rsid w:val="008F5D5A"/>
    <w:rsid w:val="008F6032"/>
    <w:rsid w:val="008F6200"/>
    <w:rsid w:val="008F62F8"/>
    <w:rsid w:val="008F6893"/>
    <w:rsid w:val="008F70CC"/>
    <w:rsid w:val="008F7292"/>
    <w:rsid w:val="008F76C0"/>
    <w:rsid w:val="009000F2"/>
    <w:rsid w:val="0090079D"/>
    <w:rsid w:val="0090086A"/>
    <w:rsid w:val="00900D2C"/>
    <w:rsid w:val="00901807"/>
    <w:rsid w:val="00901BF9"/>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4F6"/>
    <w:rsid w:val="00906EA2"/>
    <w:rsid w:val="00907278"/>
    <w:rsid w:val="00910041"/>
    <w:rsid w:val="0091112B"/>
    <w:rsid w:val="00911D61"/>
    <w:rsid w:val="00912349"/>
    <w:rsid w:val="00912850"/>
    <w:rsid w:val="009128B8"/>
    <w:rsid w:val="00912BCD"/>
    <w:rsid w:val="00912CAF"/>
    <w:rsid w:val="00913E1B"/>
    <w:rsid w:val="0091472C"/>
    <w:rsid w:val="00914DC9"/>
    <w:rsid w:val="00915351"/>
    <w:rsid w:val="00915679"/>
    <w:rsid w:val="009159C2"/>
    <w:rsid w:val="0091627F"/>
    <w:rsid w:val="00916E45"/>
    <w:rsid w:val="0092077A"/>
    <w:rsid w:val="00920DC0"/>
    <w:rsid w:val="00920E2F"/>
    <w:rsid w:val="00921419"/>
    <w:rsid w:val="009219F3"/>
    <w:rsid w:val="00921FA5"/>
    <w:rsid w:val="009221CB"/>
    <w:rsid w:val="009222D1"/>
    <w:rsid w:val="00922320"/>
    <w:rsid w:val="00922ECC"/>
    <w:rsid w:val="00923643"/>
    <w:rsid w:val="0092371D"/>
    <w:rsid w:val="00923E1A"/>
    <w:rsid w:val="009245CC"/>
    <w:rsid w:val="0092490A"/>
    <w:rsid w:val="00925A3E"/>
    <w:rsid w:val="009261DB"/>
    <w:rsid w:val="00926939"/>
    <w:rsid w:val="00926E06"/>
    <w:rsid w:val="00926F4C"/>
    <w:rsid w:val="00927330"/>
    <w:rsid w:val="00927710"/>
    <w:rsid w:val="009279F9"/>
    <w:rsid w:val="00927B47"/>
    <w:rsid w:val="009307CA"/>
    <w:rsid w:val="0093115F"/>
    <w:rsid w:val="009312F9"/>
    <w:rsid w:val="00931445"/>
    <w:rsid w:val="00931AB8"/>
    <w:rsid w:val="00931C19"/>
    <w:rsid w:val="00931C63"/>
    <w:rsid w:val="00931D10"/>
    <w:rsid w:val="0093218A"/>
    <w:rsid w:val="0093386D"/>
    <w:rsid w:val="00934C8E"/>
    <w:rsid w:val="00935194"/>
    <w:rsid w:val="00936E71"/>
    <w:rsid w:val="00936EA5"/>
    <w:rsid w:val="00937114"/>
    <w:rsid w:val="009400A3"/>
    <w:rsid w:val="0094015D"/>
    <w:rsid w:val="00940461"/>
    <w:rsid w:val="00940916"/>
    <w:rsid w:val="0094129E"/>
    <w:rsid w:val="009412B7"/>
    <w:rsid w:val="00941B13"/>
    <w:rsid w:val="00941F94"/>
    <w:rsid w:val="0094215C"/>
    <w:rsid w:val="00942F8E"/>
    <w:rsid w:val="00943543"/>
    <w:rsid w:val="009441DB"/>
    <w:rsid w:val="00944834"/>
    <w:rsid w:val="00946128"/>
    <w:rsid w:val="0094633F"/>
    <w:rsid w:val="00946E09"/>
    <w:rsid w:val="00947BA5"/>
    <w:rsid w:val="00950805"/>
    <w:rsid w:val="009517E4"/>
    <w:rsid w:val="009517FD"/>
    <w:rsid w:val="009518D4"/>
    <w:rsid w:val="009520BC"/>
    <w:rsid w:val="009521D2"/>
    <w:rsid w:val="00952403"/>
    <w:rsid w:val="00952589"/>
    <w:rsid w:val="00952BD8"/>
    <w:rsid w:val="00953573"/>
    <w:rsid w:val="009537C0"/>
    <w:rsid w:val="009557A9"/>
    <w:rsid w:val="00956647"/>
    <w:rsid w:val="00957380"/>
    <w:rsid w:val="00957409"/>
    <w:rsid w:val="00957499"/>
    <w:rsid w:val="00957AE1"/>
    <w:rsid w:val="00957ED2"/>
    <w:rsid w:val="009604AE"/>
    <w:rsid w:val="009609AF"/>
    <w:rsid w:val="00960DE4"/>
    <w:rsid w:val="00960E27"/>
    <w:rsid w:val="009610C7"/>
    <w:rsid w:val="00961164"/>
    <w:rsid w:val="00961867"/>
    <w:rsid w:val="00961A4F"/>
    <w:rsid w:val="009625B7"/>
    <w:rsid w:val="00962FB8"/>
    <w:rsid w:val="00963183"/>
    <w:rsid w:val="00963591"/>
    <w:rsid w:val="0096373F"/>
    <w:rsid w:val="00964007"/>
    <w:rsid w:val="00964283"/>
    <w:rsid w:val="009642A4"/>
    <w:rsid w:val="009643F4"/>
    <w:rsid w:val="009645A6"/>
    <w:rsid w:val="00964677"/>
    <w:rsid w:val="009648FE"/>
    <w:rsid w:val="009649B0"/>
    <w:rsid w:val="00964F5A"/>
    <w:rsid w:val="0096527F"/>
    <w:rsid w:val="009653ED"/>
    <w:rsid w:val="00966957"/>
    <w:rsid w:val="00966A21"/>
    <w:rsid w:val="00966AD2"/>
    <w:rsid w:val="009673A2"/>
    <w:rsid w:val="00970A5C"/>
    <w:rsid w:val="00971415"/>
    <w:rsid w:val="009716D8"/>
    <w:rsid w:val="00971F54"/>
    <w:rsid w:val="00972057"/>
    <w:rsid w:val="0097227B"/>
    <w:rsid w:val="0097262E"/>
    <w:rsid w:val="0097293F"/>
    <w:rsid w:val="00973103"/>
    <w:rsid w:val="0097337B"/>
    <w:rsid w:val="0097340F"/>
    <w:rsid w:val="009736EF"/>
    <w:rsid w:val="00974022"/>
    <w:rsid w:val="009743E8"/>
    <w:rsid w:val="009745D8"/>
    <w:rsid w:val="009748EA"/>
    <w:rsid w:val="00974F3B"/>
    <w:rsid w:val="0097552A"/>
    <w:rsid w:val="0097564A"/>
    <w:rsid w:val="00975974"/>
    <w:rsid w:val="00975D06"/>
    <w:rsid w:val="00975D63"/>
    <w:rsid w:val="00975DAE"/>
    <w:rsid w:val="00976BBE"/>
    <w:rsid w:val="0097774B"/>
    <w:rsid w:val="00980516"/>
    <w:rsid w:val="0098055B"/>
    <w:rsid w:val="00980992"/>
    <w:rsid w:val="00980B30"/>
    <w:rsid w:val="009810BE"/>
    <w:rsid w:val="00981601"/>
    <w:rsid w:val="009817BC"/>
    <w:rsid w:val="009818D8"/>
    <w:rsid w:val="009819A7"/>
    <w:rsid w:val="0098220A"/>
    <w:rsid w:val="0098285E"/>
    <w:rsid w:val="00982E75"/>
    <w:rsid w:val="00983337"/>
    <w:rsid w:val="009836AA"/>
    <w:rsid w:val="0098450E"/>
    <w:rsid w:val="009846BF"/>
    <w:rsid w:val="00984FCA"/>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E0C"/>
    <w:rsid w:val="00992141"/>
    <w:rsid w:val="009921DB"/>
    <w:rsid w:val="00992C67"/>
    <w:rsid w:val="00992D5B"/>
    <w:rsid w:val="00993135"/>
    <w:rsid w:val="00993AC7"/>
    <w:rsid w:val="00993BAD"/>
    <w:rsid w:val="00993E49"/>
    <w:rsid w:val="00994120"/>
    <w:rsid w:val="009942F5"/>
    <w:rsid w:val="00994568"/>
    <w:rsid w:val="00994602"/>
    <w:rsid w:val="00995B01"/>
    <w:rsid w:val="00995C43"/>
    <w:rsid w:val="00996055"/>
    <w:rsid w:val="00996EF4"/>
    <w:rsid w:val="00997044"/>
    <w:rsid w:val="00997BC9"/>
    <w:rsid w:val="009A07FD"/>
    <w:rsid w:val="009A0C26"/>
    <w:rsid w:val="009A113D"/>
    <w:rsid w:val="009A1ECA"/>
    <w:rsid w:val="009A2671"/>
    <w:rsid w:val="009A2BE9"/>
    <w:rsid w:val="009A2BF3"/>
    <w:rsid w:val="009A3688"/>
    <w:rsid w:val="009A3713"/>
    <w:rsid w:val="009A3C3E"/>
    <w:rsid w:val="009A4153"/>
    <w:rsid w:val="009A4C2C"/>
    <w:rsid w:val="009A4CAB"/>
    <w:rsid w:val="009A59B3"/>
    <w:rsid w:val="009A5C28"/>
    <w:rsid w:val="009A5FAE"/>
    <w:rsid w:val="009A67DA"/>
    <w:rsid w:val="009A6B3A"/>
    <w:rsid w:val="009A70A3"/>
    <w:rsid w:val="009A7E7C"/>
    <w:rsid w:val="009B00E9"/>
    <w:rsid w:val="009B036C"/>
    <w:rsid w:val="009B05D2"/>
    <w:rsid w:val="009B152B"/>
    <w:rsid w:val="009B2731"/>
    <w:rsid w:val="009B2AFB"/>
    <w:rsid w:val="009B2DCF"/>
    <w:rsid w:val="009B312A"/>
    <w:rsid w:val="009B31B6"/>
    <w:rsid w:val="009B39D8"/>
    <w:rsid w:val="009B3D38"/>
    <w:rsid w:val="009B4368"/>
    <w:rsid w:val="009B4A6E"/>
    <w:rsid w:val="009B4D4C"/>
    <w:rsid w:val="009B63AE"/>
    <w:rsid w:val="009B66F5"/>
    <w:rsid w:val="009B7505"/>
    <w:rsid w:val="009C0020"/>
    <w:rsid w:val="009C03F7"/>
    <w:rsid w:val="009C0CE9"/>
    <w:rsid w:val="009C1029"/>
    <w:rsid w:val="009C10DA"/>
    <w:rsid w:val="009C19FC"/>
    <w:rsid w:val="009C27F7"/>
    <w:rsid w:val="009C354B"/>
    <w:rsid w:val="009C3BC4"/>
    <w:rsid w:val="009C3C93"/>
    <w:rsid w:val="009C3E97"/>
    <w:rsid w:val="009C4017"/>
    <w:rsid w:val="009C424E"/>
    <w:rsid w:val="009C4708"/>
    <w:rsid w:val="009C4870"/>
    <w:rsid w:val="009C4904"/>
    <w:rsid w:val="009C4C4E"/>
    <w:rsid w:val="009C4D37"/>
    <w:rsid w:val="009C55D5"/>
    <w:rsid w:val="009C574C"/>
    <w:rsid w:val="009C5753"/>
    <w:rsid w:val="009C5E42"/>
    <w:rsid w:val="009C5F35"/>
    <w:rsid w:val="009C620F"/>
    <w:rsid w:val="009C657D"/>
    <w:rsid w:val="009C724B"/>
    <w:rsid w:val="009C7266"/>
    <w:rsid w:val="009C748A"/>
    <w:rsid w:val="009C7D85"/>
    <w:rsid w:val="009D03B7"/>
    <w:rsid w:val="009D07AD"/>
    <w:rsid w:val="009D0824"/>
    <w:rsid w:val="009D1172"/>
    <w:rsid w:val="009D13CC"/>
    <w:rsid w:val="009D1654"/>
    <w:rsid w:val="009D1AAC"/>
    <w:rsid w:val="009D1BDB"/>
    <w:rsid w:val="009D2082"/>
    <w:rsid w:val="009D298F"/>
    <w:rsid w:val="009D29B9"/>
    <w:rsid w:val="009D2F9C"/>
    <w:rsid w:val="009D4207"/>
    <w:rsid w:val="009D4DDC"/>
    <w:rsid w:val="009D4DED"/>
    <w:rsid w:val="009D4E4A"/>
    <w:rsid w:val="009D5130"/>
    <w:rsid w:val="009D53D1"/>
    <w:rsid w:val="009D53FB"/>
    <w:rsid w:val="009D56A4"/>
    <w:rsid w:val="009D5FA0"/>
    <w:rsid w:val="009D6081"/>
    <w:rsid w:val="009D678C"/>
    <w:rsid w:val="009D6B8D"/>
    <w:rsid w:val="009D6B9A"/>
    <w:rsid w:val="009D6D30"/>
    <w:rsid w:val="009D7523"/>
    <w:rsid w:val="009D76B5"/>
    <w:rsid w:val="009D7AF1"/>
    <w:rsid w:val="009D7B88"/>
    <w:rsid w:val="009D7BC7"/>
    <w:rsid w:val="009D7FAC"/>
    <w:rsid w:val="009E0109"/>
    <w:rsid w:val="009E0342"/>
    <w:rsid w:val="009E098B"/>
    <w:rsid w:val="009E09AB"/>
    <w:rsid w:val="009E0D7D"/>
    <w:rsid w:val="009E0DAF"/>
    <w:rsid w:val="009E108C"/>
    <w:rsid w:val="009E196D"/>
    <w:rsid w:val="009E19BB"/>
    <w:rsid w:val="009E1C47"/>
    <w:rsid w:val="009E2A08"/>
    <w:rsid w:val="009E38D1"/>
    <w:rsid w:val="009E3DF1"/>
    <w:rsid w:val="009E441F"/>
    <w:rsid w:val="009E458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FC1"/>
    <w:rsid w:val="009F4550"/>
    <w:rsid w:val="009F4AED"/>
    <w:rsid w:val="009F56C0"/>
    <w:rsid w:val="009F5C76"/>
    <w:rsid w:val="009F7317"/>
    <w:rsid w:val="009F76A9"/>
    <w:rsid w:val="00A000C5"/>
    <w:rsid w:val="00A007B4"/>
    <w:rsid w:val="00A00930"/>
    <w:rsid w:val="00A00CA0"/>
    <w:rsid w:val="00A00E00"/>
    <w:rsid w:val="00A01221"/>
    <w:rsid w:val="00A012A8"/>
    <w:rsid w:val="00A012F1"/>
    <w:rsid w:val="00A016FF"/>
    <w:rsid w:val="00A01886"/>
    <w:rsid w:val="00A01E4E"/>
    <w:rsid w:val="00A0207F"/>
    <w:rsid w:val="00A021AF"/>
    <w:rsid w:val="00A02689"/>
    <w:rsid w:val="00A027B1"/>
    <w:rsid w:val="00A0307A"/>
    <w:rsid w:val="00A03A7C"/>
    <w:rsid w:val="00A044AA"/>
    <w:rsid w:val="00A046B7"/>
    <w:rsid w:val="00A04D5E"/>
    <w:rsid w:val="00A0618C"/>
    <w:rsid w:val="00A06275"/>
    <w:rsid w:val="00A0700C"/>
    <w:rsid w:val="00A07FCF"/>
    <w:rsid w:val="00A102F8"/>
    <w:rsid w:val="00A107C0"/>
    <w:rsid w:val="00A10A20"/>
    <w:rsid w:val="00A117D5"/>
    <w:rsid w:val="00A11836"/>
    <w:rsid w:val="00A11C11"/>
    <w:rsid w:val="00A11DB3"/>
    <w:rsid w:val="00A12720"/>
    <w:rsid w:val="00A12ED1"/>
    <w:rsid w:val="00A13121"/>
    <w:rsid w:val="00A131F5"/>
    <w:rsid w:val="00A133C1"/>
    <w:rsid w:val="00A13414"/>
    <w:rsid w:val="00A13675"/>
    <w:rsid w:val="00A138B7"/>
    <w:rsid w:val="00A13DC4"/>
    <w:rsid w:val="00A13F2D"/>
    <w:rsid w:val="00A14153"/>
    <w:rsid w:val="00A148A0"/>
    <w:rsid w:val="00A14AA8"/>
    <w:rsid w:val="00A14F81"/>
    <w:rsid w:val="00A1535F"/>
    <w:rsid w:val="00A15CB1"/>
    <w:rsid w:val="00A15DCC"/>
    <w:rsid w:val="00A15E7D"/>
    <w:rsid w:val="00A15E84"/>
    <w:rsid w:val="00A16021"/>
    <w:rsid w:val="00A165D7"/>
    <w:rsid w:val="00A16961"/>
    <w:rsid w:val="00A175E3"/>
    <w:rsid w:val="00A176DD"/>
    <w:rsid w:val="00A21838"/>
    <w:rsid w:val="00A21F6C"/>
    <w:rsid w:val="00A22C3E"/>
    <w:rsid w:val="00A22C4D"/>
    <w:rsid w:val="00A2334E"/>
    <w:rsid w:val="00A23442"/>
    <w:rsid w:val="00A249D2"/>
    <w:rsid w:val="00A25375"/>
    <w:rsid w:val="00A254AB"/>
    <w:rsid w:val="00A259F2"/>
    <w:rsid w:val="00A25F15"/>
    <w:rsid w:val="00A266CC"/>
    <w:rsid w:val="00A266E8"/>
    <w:rsid w:val="00A26DB4"/>
    <w:rsid w:val="00A2737F"/>
    <w:rsid w:val="00A27425"/>
    <w:rsid w:val="00A300D0"/>
    <w:rsid w:val="00A3023E"/>
    <w:rsid w:val="00A305C5"/>
    <w:rsid w:val="00A30919"/>
    <w:rsid w:val="00A31B08"/>
    <w:rsid w:val="00A31F05"/>
    <w:rsid w:val="00A31FD2"/>
    <w:rsid w:val="00A32CE8"/>
    <w:rsid w:val="00A3404D"/>
    <w:rsid w:val="00A341AB"/>
    <w:rsid w:val="00A34290"/>
    <w:rsid w:val="00A353A1"/>
    <w:rsid w:val="00A3547B"/>
    <w:rsid w:val="00A355F9"/>
    <w:rsid w:val="00A357D3"/>
    <w:rsid w:val="00A35AA9"/>
    <w:rsid w:val="00A35F3C"/>
    <w:rsid w:val="00A36201"/>
    <w:rsid w:val="00A365C8"/>
    <w:rsid w:val="00A36CF6"/>
    <w:rsid w:val="00A37309"/>
    <w:rsid w:val="00A37329"/>
    <w:rsid w:val="00A37558"/>
    <w:rsid w:val="00A3786A"/>
    <w:rsid w:val="00A4008C"/>
    <w:rsid w:val="00A402A8"/>
    <w:rsid w:val="00A40685"/>
    <w:rsid w:val="00A40E2F"/>
    <w:rsid w:val="00A41819"/>
    <w:rsid w:val="00A41A55"/>
    <w:rsid w:val="00A41C9A"/>
    <w:rsid w:val="00A41D73"/>
    <w:rsid w:val="00A42406"/>
    <w:rsid w:val="00A43173"/>
    <w:rsid w:val="00A433E8"/>
    <w:rsid w:val="00A43A1D"/>
    <w:rsid w:val="00A43AB0"/>
    <w:rsid w:val="00A44854"/>
    <w:rsid w:val="00A44A45"/>
    <w:rsid w:val="00A45ECA"/>
    <w:rsid w:val="00A45F2C"/>
    <w:rsid w:val="00A4665D"/>
    <w:rsid w:val="00A46859"/>
    <w:rsid w:val="00A46D39"/>
    <w:rsid w:val="00A46DA6"/>
    <w:rsid w:val="00A47019"/>
    <w:rsid w:val="00A472B8"/>
    <w:rsid w:val="00A5004A"/>
    <w:rsid w:val="00A5017C"/>
    <w:rsid w:val="00A502D6"/>
    <w:rsid w:val="00A502F5"/>
    <w:rsid w:val="00A504F4"/>
    <w:rsid w:val="00A507C4"/>
    <w:rsid w:val="00A508AA"/>
    <w:rsid w:val="00A50D24"/>
    <w:rsid w:val="00A50EE7"/>
    <w:rsid w:val="00A526CE"/>
    <w:rsid w:val="00A52B9F"/>
    <w:rsid w:val="00A52D19"/>
    <w:rsid w:val="00A5325E"/>
    <w:rsid w:val="00A5338D"/>
    <w:rsid w:val="00A535C4"/>
    <w:rsid w:val="00A54909"/>
    <w:rsid w:val="00A54DC0"/>
    <w:rsid w:val="00A550C9"/>
    <w:rsid w:val="00A55228"/>
    <w:rsid w:val="00A55410"/>
    <w:rsid w:val="00A55A04"/>
    <w:rsid w:val="00A55F4B"/>
    <w:rsid w:val="00A564DE"/>
    <w:rsid w:val="00A57500"/>
    <w:rsid w:val="00A57CDE"/>
    <w:rsid w:val="00A6054E"/>
    <w:rsid w:val="00A60799"/>
    <w:rsid w:val="00A6170B"/>
    <w:rsid w:val="00A61991"/>
    <w:rsid w:val="00A619E9"/>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2FB"/>
    <w:rsid w:val="00A70590"/>
    <w:rsid w:val="00A7062E"/>
    <w:rsid w:val="00A70834"/>
    <w:rsid w:val="00A71079"/>
    <w:rsid w:val="00A71542"/>
    <w:rsid w:val="00A7171F"/>
    <w:rsid w:val="00A71FA0"/>
    <w:rsid w:val="00A71FBD"/>
    <w:rsid w:val="00A72727"/>
    <w:rsid w:val="00A727D8"/>
    <w:rsid w:val="00A72832"/>
    <w:rsid w:val="00A72C1A"/>
    <w:rsid w:val="00A732FB"/>
    <w:rsid w:val="00A7463E"/>
    <w:rsid w:val="00A753F8"/>
    <w:rsid w:val="00A758E2"/>
    <w:rsid w:val="00A765B1"/>
    <w:rsid w:val="00A772F2"/>
    <w:rsid w:val="00A77828"/>
    <w:rsid w:val="00A77BAA"/>
    <w:rsid w:val="00A77DEE"/>
    <w:rsid w:val="00A800F9"/>
    <w:rsid w:val="00A803A6"/>
    <w:rsid w:val="00A8073D"/>
    <w:rsid w:val="00A80B0E"/>
    <w:rsid w:val="00A80D02"/>
    <w:rsid w:val="00A812DD"/>
    <w:rsid w:val="00A815FB"/>
    <w:rsid w:val="00A81AEB"/>
    <w:rsid w:val="00A82D32"/>
    <w:rsid w:val="00A82EAE"/>
    <w:rsid w:val="00A82FC7"/>
    <w:rsid w:val="00A8323C"/>
    <w:rsid w:val="00A847F9"/>
    <w:rsid w:val="00A84F27"/>
    <w:rsid w:val="00A8519C"/>
    <w:rsid w:val="00A855EE"/>
    <w:rsid w:val="00A856E1"/>
    <w:rsid w:val="00A8597A"/>
    <w:rsid w:val="00A85B87"/>
    <w:rsid w:val="00A85CE4"/>
    <w:rsid w:val="00A85F83"/>
    <w:rsid w:val="00A86019"/>
    <w:rsid w:val="00A86EED"/>
    <w:rsid w:val="00A8733A"/>
    <w:rsid w:val="00A90434"/>
    <w:rsid w:val="00A90629"/>
    <w:rsid w:val="00A90766"/>
    <w:rsid w:val="00A90C4D"/>
    <w:rsid w:val="00A91340"/>
    <w:rsid w:val="00A9151F"/>
    <w:rsid w:val="00A9196B"/>
    <w:rsid w:val="00A91BB5"/>
    <w:rsid w:val="00A91BEE"/>
    <w:rsid w:val="00A91D4B"/>
    <w:rsid w:val="00A920B2"/>
    <w:rsid w:val="00A92604"/>
    <w:rsid w:val="00A92A96"/>
    <w:rsid w:val="00A92AF0"/>
    <w:rsid w:val="00A933FE"/>
    <w:rsid w:val="00A937D5"/>
    <w:rsid w:val="00A93C70"/>
    <w:rsid w:val="00A94A32"/>
    <w:rsid w:val="00A94AC5"/>
    <w:rsid w:val="00A94AFC"/>
    <w:rsid w:val="00A94BF5"/>
    <w:rsid w:val="00A9686A"/>
    <w:rsid w:val="00A968BF"/>
    <w:rsid w:val="00A96B4A"/>
    <w:rsid w:val="00A97BDA"/>
    <w:rsid w:val="00AA043A"/>
    <w:rsid w:val="00AA0779"/>
    <w:rsid w:val="00AA08F3"/>
    <w:rsid w:val="00AA0A7E"/>
    <w:rsid w:val="00AA0F23"/>
    <w:rsid w:val="00AA1067"/>
    <w:rsid w:val="00AA1163"/>
    <w:rsid w:val="00AA1732"/>
    <w:rsid w:val="00AA1DA8"/>
    <w:rsid w:val="00AA218C"/>
    <w:rsid w:val="00AA222C"/>
    <w:rsid w:val="00AA2264"/>
    <w:rsid w:val="00AA238E"/>
    <w:rsid w:val="00AA2483"/>
    <w:rsid w:val="00AA253B"/>
    <w:rsid w:val="00AA26C8"/>
    <w:rsid w:val="00AA29F8"/>
    <w:rsid w:val="00AA2EB4"/>
    <w:rsid w:val="00AA31AC"/>
    <w:rsid w:val="00AA3243"/>
    <w:rsid w:val="00AA3252"/>
    <w:rsid w:val="00AA350C"/>
    <w:rsid w:val="00AA388F"/>
    <w:rsid w:val="00AA395A"/>
    <w:rsid w:val="00AA3C4C"/>
    <w:rsid w:val="00AA408E"/>
    <w:rsid w:val="00AA4DA9"/>
    <w:rsid w:val="00AA4F6D"/>
    <w:rsid w:val="00AA50CE"/>
    <w:rsid w:val="00AA536B"/>
    <w:rsid w:val="00AA55E5"/>
    <w:rsid w:val="00AA57C9"/>
    <w:rsid w:val="00AA5A5C"/>
    <w:rsid w:val="00AA5A6F"/>
    <w:rsid w:val="00AA5B46"/>
    <w:rsid w:val="00AA634D"/>
    <w:rsid w:val="00AA6F6C"/>
    <w:rsid w:val="00AA721D"/>
    <w:rsid w:val="00AA7519"/>
    <w:rsid w:val="00AA759D"/>
    <w:rsid w:val="00AA790A"/>
    <w:rsid w:val="00AB02EA"/>
    <w:rsid w:val="00AB05EE"/>
    <w:rsid w:val="00AB110C"/>
    <w:rsid w:val="00AB227A"/>
    <w:rsid w:val="00AB22BF"/>
    <w:rsid w:val="00AB256E"/>
    <w:rsid w:val="00AB3466"/>
    <w:rsid w:val="00AB38B2"/>
    <w:rsid w:val="00AB39EF"/>
    <w:rsid w:val="00AB3BBB"/>
    <w:rsid w:val="00AB408C"/>
    <w:rsid w:val="00AB43AF"/>
    <w:rsid w:val="00AB4E41"/>
    <w:rsid w:val="00AB5EB1"/>
    <w:rsid w:val="00AB6003"/>
    <w:rsid w:val="00AB6718"/>
    <w:rsid w:val="00AB6B4E"/>
    <w:rsid w:val="00AB7396"/>
    <w:rsid w:val="00AB73BE"/>
    <w:rsid w:val="00AB759A"/>
    <w:rsid w:val="00AB7B06"/>
    <w:rsid w:val="00AB7EAA"/>
    <w:rsid w:val="00AC0432"/>
    <w:rsid w:val="00AC0770"/>
    <w:rsid w:val="00AC1683"/>
    <w:rsid w:val="00AC1BB9"/>
    <w:rsid w:val="00AC1D82"/>
    <w:rsid w:val="00AC2D5F"/>
    <w:rsid w:val="00AC320F"/>
    <w:rsid w:val="00AC3B5D"/>
    <w:rsid w:val="00AC4094"/>
    <w:rsid w:val="00AC42B6"/>
    <w:rsid w:val="00AC4AB7"/>
    <w:rsid w:val="00AC51E0"/>
    <w:rsid w:val="00AC6D24"/>
    <w:rsid w:val="00AC6E18"/>
    <w:rsid w:val="00AC7F64"/>
    <w:rsid w:val="00AD1065"/>
    <w:rsid w:val="00AD1098"/>
    <w:rsid w:val="00AD159E"/>
    <w:rsid w:val="00AD170C"/>
    <w:rsid w:val="00AD2AB1"/>
    <w:rsid w:val="00AD3132"/>
    <w:rsid w:val="00AD3CEB"/>
    <w:rsid w:val="00AD3DA6"/>
    <w:rsid w:val="00AD3F3C"/>
    <w:rsid w:val="00AD43B7"/>
    <w:rsid w:val="00AD447E"/>
    <w:rsid w:val="00AD4B2F"/>
    <w:rsid w:val="00AD4C13"/>
    <w:rsid w:val="00AD52FC"/>
    <w:rsid w:val="00AD5F0A"/>
    <w:rsid w:val="00AD6A5B"/>
    <w:rsid w:val="00AD6A6B"/>
    <w:rsid w:val="00AD6B4F"/>
    <w:rsid w:val="00AD6D19"/>
    <w:rsid w:val="00AD73D4"/>
    <w:rsid w:val="00AD7812"/>
    <w:rsid w:val="00AD7C42"/>
    <w:rsid w:val="00AD7CFA"/>
    <w:rsid w:val="00AE06B0"/>
    <w:rsid w:val="00AE0BD6"/>
    <w:rsid w:val="00AE11C1"/>
    <w:rsid w:val="00AE163D"/>
    <w:rsid w:val="00AE1A42"/>
    <w:rsid w:val="00AE1C5C"/>
    <w:rsid w:val="00AE2146"/>
    <w:rsid w:val="00AE2814"/>
    <w:rsid w:val="00AE315E"/>
    <w:rsid w:val="00AE319F"/>
    <w:rsid w:val="00AE31D9"/>
    <w:rsid w:val="00AE3CF0"/>
    <w:rsid w:val="00AE4546"/>
    <w:rsid w:val="00AE4997"/>
    <w:rsid w:val="00AE6575"/>
    <w:rsid w:val="00AE71EE"/>
    <w:rsid w:val="00AF03CF"/>
    <w:rsid w:val="00AF0A0A"/>
    <w:rsid w:val="00AF14FC"/>
    <w:rsid w:val="00AF1ED2"/>
    <w:rsid w:val="00AF1F4E"/>
    <w:rsid w:val="00AF2302"/>
    <w:rsid w:val="00AF262A"/>
    <w:rsid w:val="00AF2B44"/>
    <w:rsid w:val="00AF3557"/>
    <w:rsid w:val="00AF3DBB"/>
    <w:rsid w:val="00AF3F86"/>
    <w:rsid w:val="00AF42D4"/>
    <w:rsid w:val="00AF4407"/>
    <w:rsid w:val="00AF4CEE"/>
    <w:rsid w:val="00AF4F4A"/>
    <w:rsid w:val="00AF584C"/>
    <w:rsid w:val="00AF5D84"/>
    <w:rsid w:val="00AF6476"/>
    <w:rsid w:val="00AF669D"/>
    <w:rsid w:val="00AF672C"/>
    <w:rsid w:val="00AF673E"/>
    <w:rsid w:val="00AF6ABE"/>
    <w:rsid w:val="00AF7389"/>
    <w:rsid w:val="00AF79DF"/>
    <w:rsid w:val="00AF7C37"/>
    <w:rsid w:val="00B00378"/>
    <w:rsid w:val="00B007F1"/>
    <w:rsid w:val="00B00A80"/>
    <w:rsid w:val="00B00D91"/>
    <w:rsid w:val="00B00E84"/>
    <w:rsid w:val="00B011FB"/>
    <w:rsid w:val="00B01DD9"/>
    <w:rsid w:val="00B01F0E"/>
    <w:rsid w:val="00B038F1"/>
    <w:rsid w:val="00B03C1B"/>
    <w:rsid w:val="00B04232"/>
    <w:rsid w:val="00B04678"/>
    <w:rsid w:val="00B047C9"/>
    <w:rsid w:val="00B04A04"/>
    <w:rsid w:val="00B04B78"/>
    <w:rsid w:val="00B04C37"/>
    <w:rsid w:val="00B04F00"/>
    <w:rsid w:val="00B05BA6"/>
    <w:rsid w:val="00B066FE"/>
    <w:rsid w:val="00B06912"/>
    <w:rsid w:val="00B06E19"/>
    <w:rsid w:val="00B07316"/>
    <w:rsid w:val="00B07F74"/>
    <w:rsid w:val="00B10618"/>
    <w:rsid w:val="00B10B04"/>
    <w:rsid w:val="00B10CC6"/>
    <w:rsid w:val="00B10FEA"/>
    <w:rsid w:val="00B11932"/>
    <w:rsid w:val="00B11A61"/>
    <w:rsid w:val="00B12082"/>
    <w:rsid w:val="00B12648"/>
    <w:rsid w:val="00B1270C"/>
    <w:rsid w:val="00B12710"/>
    <w:rsid w:val="00B130B3"/>
    <w:rsid w:val="00B13389"/>
    <w:rsid w:val="00B1364C"/>
    <w:rsid w:val="00B137C9"/>
    <w:rsid w:val="00B13EDB"/>
    <w:rsid w:val="00B141A5"/>
    <w:rsid w:val="00B142B6"/>
    <w:rsid w:val="00B14F47"/>
    <w:rsid w:val="00B15282"/>
    <w:rsid w:val="00B15286"/>
    <w:rsid w:val="00B1539F"/>
    <w:rsid w:val="00B1550D"/>
    <w:rsid w:val="00B15A0E"/>
    <w:rsid w:val="00B15F6C"/>
    <w:rsid w:val="00B163E8"/>
    <w:rsid w:val="00B1767E"/>
    <w:rsid w:val="00B2044D"/>
    <w:rsid w:val="00B20760"/>
    <w:rsid w:val="00B20E73"/>
    <w:rsid w:val="00B2125C"/>
    <w:rsid w:val="00B21676"/>
    <w:rsid w:val="00B219E1"/>
    <w:rsid w:val="00B21ECF"/>
    <w:rsid w:val="00B22150"/>
    <w:rsid w:val="00B22466"/>
    <w:rsid w:val="00B226DE"/>
    <w:rsid w:val="00B22FB5"/>
    <w:rsid w:val="00B23192"/>
    <w:rsid w:val="00B2358C"/>
    <w:rsid w:val="00B23FB7"/>
    <w:rsid w:val="00B241D5"/>
    <w:rsid w:val="00B24BE9"/>
    <w:rsid w:val="00B2551D"/>
    <w:rsid w:val="00B25F8C"/>
    <w:rsid w:val="00B260BE"/>
    <w:rsid w:val="00B2658F"/>
    <w:rsid w:val="00B26677"/>
    <w:rsid w:val="00B26A96"/>
    <w:rsid w:val="00B274E3"/>
    <w:rsid w:val="00B2765C"/>
    <w:rsid w:val="00B27C4B"/>
    <w:rsid w:val="00B30563"/>
    <w:rsid w:val="00B3069E"/>
    <w:rsid w:val="00B30A76"/>
    <w:rsid w:val="00B30FC6"/>
    <w:rsid w:val="00B31158"/>
    <w:rsid w:val="00B31246"/>
    <w:rsid w:val="00B31F6E"/>
    <w:rsid w:val="00B32295"/>
    <w:rsid w:val="00B329E1"/>
    <w:rsid w:val="00B32DEF"/>
    <w:rsid w:val="00B3341F"/>
    <w:rsid w:val="00B33788"/>
    <w:rsid w:val="00B33AB5"/>
    <w:rsid w:val="00B3412E"/>
    <w:rsid w:val="00B343E0"/>
    <w:rsid w:val="00B35B6D"/>
    <w:rsid w:val="00B35D53"/>
    <w:rsid w:val="00B365B6"/>
    <w:rsid w:val="00B367C4"/>
    <w:rsid w:val="00B36D3E"/>
    <w:rsid w:val="00B37B8E"/>
    <w:rsid w:val="00B401D6"/>
    <w:rsid w:val="00B40222"/>
    <w:rsid w:val="00B404C3"/>
    <w:rsid w:val="00B40C8E"/>
    <w:rsid w:val="00B41125"/>
    <w:rsid w:val="00B41A04"/>
    <w:rsid w:val="00B42538"/>
    <w:rsid w:val="00B42743"/>
    <w:rsid w:val="00B430E9"/>
    <w:rsid w:val="00B4311F"/>
    <w:rsid w:val="00B431AE"/>
    <w:rsid w:val="00B44288"/>
    <w:rsid w:val="00B44603"/>
    <w:rsid w:val="00B448BF"/>
    <w:rsid w:val="00B45A59"/>
    <w:rsid w:val="00B45F9F"/>
    <w:rsid w:val="00B4627C"/>
    <w:rsid w:val="00B4641F"/>
    <w:rsid w:val="00B46793"/>
    <w:rsid w:val="00B46953"/>
    <w:rsid w:val="00B46B9F"/>
    <w:rsid w:val="00B4704F"/>
    <w:rsid w:val="00B47455"/>
    <w:rsid w:val="00B47979"/>
    <w:rsid w:val="00B47A59"/>
    <w:rsid w:val="00B47ECD"/>
    <w:rsid w:val="00B47FF3"/>
    <w:rsid w:val="00B503D6"/>
    <w:rsid w:val="00B509E1"/>
    <w:rsid w:val="00B50D2D"/>
    <w:rsid w:val="00B51520"/>
    <w:rsid w:val="00B515C3"/>
    <w:rsid w:val="00B517C2"/>
    <w:rsid w:val="00B518CE"/>
    <w:rsid w:val="00B51F56"/>
    <w:rsid w:val="00B52234"/>
    <w:rsid w:val="00B53623"/>
    <w:rsid w:val="00B53D1D"/>
    <w:rsid w:val="00B53E98"/>
    <w:rsid w:val="00B53F9B"/>
    <w:rsid w:val="00B5417F"/>
    <w:rsid w:val="00B545C7"/>
    <w:rsid w:val="00B54B19"/>
    <w:rsid w:val="00B55F64"/>
    <w:rsid w:val="00B56ECA"/>
    <w:rsid w:val="00B57093"/>
    <w:rsid w:val="00B57B5D"/>
    <w:rsid w:val="00B601B2"/>
    <w:rsid w:val="00B60613"/>
    <w:rsid w:val="00B60B8F"/>
    <w:rsid w:val="00B61AEC"/>
    <w:rsid w:val="00B6244C"/>
    <w:rsid w:val="00B625B1"/>
    <w:rsid w:val="00B62A2F"/>
    <w:rsid w:val="00B62B7B"/>
    <w:rsid w:val="00B62F0A"/>
    <w:rsid w:val="00B63484"/>
    <w:rsid w:val="00B634B7"/>
    <w:rsid w:val="00B634F1"/>
    <w:rsid w:val="00B637EF"/>
    <w:rsid w:val="00B63EF6"/>
    <w:rsid w:val="00B6440A"/>
    <w:rsid w:val="00B65788"/>
    <w:rsid w:val="00B65844"/>
    <w:rsid w:val="00B66054"/>
    <w:rsid w:val="00B6677F"/>
    <w:rsid w:val="00B667A3"/>
    <w:rsid w:val="00B66C7A"/>
    <w:rsid w:val="00B672EA"/>
    <w:rsid w:val="00B6747B"/>
    <w:rsid w:val="00B70200"/>
    <w:rsid w:val="00B702D7"/>
    <w:rsid w:val="00B70389"/>
    <w:rsid w:val="00B70E01"/>
    <w:rsid w:val="00B718C5"/>
    <w:rsid w:val="00B71CCD"/>
    <w:rsid w:val="00B72CF0"/>
    <w:rsid w:val="00B7380E"/>
    <w:rsid w:val="00B740F6"/>
    <w:rsid w:val="00B74615"/>
    <w:rsid w:val="00B74789"/>
    <w:rsid w:val="00B755B6"/>
    <w:rsid w:val="00B75884"/>
    <w:rsid w:val="00B75977"/>
    <w:rsid w:val="00B75A48"/>
    <w:rsid w:val="00B75CC0"/>
    <w:rsid w:val="00B76021"/>
    <w:rsid w:val="00B7659D"/>
    <w:rsid w:val="00B76FCD"/>
    <w:rsid w:val="00B7764D"/>
    <w:rsid w:val="00B802CE"/>
    <w:rsid w:val="00B804F8"/>
    <w:rsid w:val="00B8095A"/>
    <w:rsid w:val="00B80E1F"/>
    <w:rsid w:val="00B80F65"/>
    <w:rsid w:val="00B81274"/>
    <w:rsid w:val="00B815D3"/>
    <w:rsid w:val="00B816A9"/>
    <w:rsid w:val="00B81742"/>
    <w:rsid w:val="00B817B5"/>
    <w:rsid w:val="00B823A6"/>
    <w:rsid w:val="00B83E76"/>
    <w:rsid w:val="00B83FA0"/>
    <w:rsid w:val="00B84156"/>
    <w:rsid w:val="00B846E6"/>
    <w:rsid w:val="00B8537B"/>
    <w:rsid w:val="00B85586"/>
    <w:rsid w:val="00B85B6E"/>
    <w:rsid w:val="00B86289"/>
    <w:rsid w:val="00B863B3"/>
    <w:rsid w:val="00B869D3"/>
    <w:rsid w:val="00B86CF8"/>
    <w:rsid w:val="00B86E44"/>
    <w:rsid w:val="00B87359"/>
    <w:rsid w:val="00B87446"/>
    <w:rsid w:val="00B87F1C"/>
    <w:rsid w:val="00B90BFD"/>
    <w:rsid w:val="00B90D8D"/>
    <w:rsid w:val="00B91263"/>
    <w:rsid w:val="00B91B61"/>
    <w:rsid w:val="00B93849"/>
    <w:rsid w:val="00B938BD"/>
    <w:rsid w:val="00B93CF3"/>
    <w:rsid w:val="00B9407F"/>
    <w:rsid w:val="00B944C4"/>
    <w:rsid w:val="00B944E9"/>
    <w:rsid w:val="00B945D7"/>
    <w:rsid w:val="00B94612"/>
    <w:rsid w:val="00B94896"/>
    <w:rsid w:val="00B94BDD"/>
    <w:rsid w:val="00B94CDD"/>
    <w:rsid w:val="00B94DA7"/>
    <w:rsid w:val="00B95163"/>
    <w:rsid w:val="00B954D0"/>
    <w:rsid w:val="00B96D60"/>
    <w:rsid w:val="00B96DD9"/>
    <w:rsid w:val="00B96EA6"/>
    <w:rsid w:val="00B97353"/>
    <w:rsid w:val="00B975EA"/>
    <w:rsid w:val="00B9789D"/>
    <w:rsid w:val="00B978EA"/>
    <w:rsid w:val="00B97A4C"/>
    <w:rsid w:val="00BA050E"/>
    <w:rsid w:val="00BA0A1C"/>
    <w:rsid w:val="00BA1289"/>
    <w:rsid w:val="00BA14B2"/>
    <w:rsid w:val="00BA15DC"/>
    <w:rsid w:val="00BA1E2F"/>
    <w:rsid w:val="00BA1EB8"/>
    <w:rsid w:val="00BA1F48"/>
    <w:rsid w:val="00BA23D6"/>
    <w:rsid w:val="00BA2C82"/>
    <w:rsid w:val="00BA3869"/>
    <w:rsid w:val="00BA4399"/>
    <w:rsid w:val="00BA4452"/>
    <w:rsid w:val="00BA4503"/>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941"/>
    <w:rsid w:val="00BB0D5E"/>
    <w:rsid w:val="00BB0D8C"/>
    <w:rsid w:val="00BB1688"/>
    <w:rsid w:val="00BB1EFB"/>
    <w:rsid w:val="00BB269F"/>
    <w:rsid w:val="00BB27CC"/>
    <w:rsid w:val="00BB2ACE"/>
    <w:rsid w:val="00BB2E4E"/>
    <w:rsid w:val="00BB2E62"/>
    <w:rsid w:val="00BB3586"/>
    <w:rsid w:val="00BB36C9"/>
    <w:rsid w:val="00BB3A66"/>
    <w:rsid w:val="00BB3FD8"/>
    <w:rsid w:val="00BB40D1"/>
    <w:rsid w:val="00BB6188"/>
    <w:rsid w:val="00BB777D"/>
    <w:rsid w:val="00BB7EC0"/>
    <w:rsid w:val="00BB7F88"/>
    <w:rsid w:val="00BC0207"/>
    <w:rsid w:val="00BC089F"/>
    <w:rsid w:val="00BC0A0C"/>
    <w:rsid w:val="00BC0A5A"/>
    <w:rsid w:val="00BC0E64"/>
    <w:rsid w:val="00BC1F60"/>
    <w:rsid w:val="00BC25D1"/>
    <w:rsid w:val="00BC2DBD"/>
    <w:rsid w:val="00BC2F1A"/>
    <w:rsid w:val="00BC35B8"/>
    <w:rsid w:val="00BC3BCB"/>
    <w:rsid w:val="00BC3CF1"/>
    <w:rsid w:val="00BC428A"/>
    <w:rsid w:val="00BC4885"/>
    <w:rsid w:val="00BC4C40"/>
    <w:rsid w:val="00BC5A29"/>
    <w:rsid w:val="00BC5AE3"/>
    <w:rsid w:val="00BC5BAD"/>
    <w:rsid w:val="00BC692A"/>
    <w:rsid w:val="00BC76C5"/>
    <w:rsid w:val="00BC7F94"/>
    <w:rsid w:val="00BD036E"/>
    <w:rsid w:val="00BD0B37"/>
    <w:rsid w:val="00BD0F07"/>
    <w:rsid w:val="00BD1039"/>
    <w:rsid w:val="00BD10B7"/>
    <w:rsid w:val="00BD138A"/>
    <w:rsid w:val="00BD164A"/>
    <w:rsid w:val="00BD1742"/>
    <w:rsid w:val="00BD1BD1"/>
    <w:rsid w:val="00BD1BDD"/>
    <w:rsid w:val="00BD1D7D"/>
    <w:rsid w:val="00BD1E27"/>
    <w:rsid w:val="00BD2B4D"/>
    <w:rsid w:val="00BD2F08"/>
    <w:rsid w:val="00BD2FB9"/>
    <w:rsid w:val="00BD31C2"/>
    <w:rsid w:val="00BD3683"/>
    <w:rsid w:val="00BD4310"/>
    <w:rsid w:val="00BD450A"/>
    <w:rsid w:val="00BD4717"/>
    <w:rsid w:val="00BD48EA"/>
    <w:rsid w:val="00BD4BA8"/>
    <w:rsid w:val="00BD52FD"/>
    <w:rsid w:val="00BD5624"/>
    <w:rsid w:val="00BD62E6"/>
    <w:rsid w:val="00BD6B0E"/>
    <w:rsid w:val="00BD734D"/>
    <w:rsid w:val="00BD749D"/>
    <w:rsid w:val="00BD7941"/>
    <w:rsid w:val="00BE0591"/>
    <w:rsid w:val="00BE0C55"/>
    <w:rsid w:val="00BE0F03"/>
    <w:rsid w:val="00BE11A2"/>
    <w:rsid w:val="00BE1EF0"/>
    <w:rsid w:val="00BE246C"/>
    <w:rsid w:val="00BE2657"/>
    <w:rsid w:val="00BE2FD2"/>
    <w:rsid w:val="00BE3698"/>
    <w:rsid w:val="00BE377A"/>
    <w:rsid w:val="00BE37AE"/>
    <w:rsid w:val="00BE3B14"/>
    <w:rsid w:val="00BE3C65"/>
    <w:rsid w:val="00BE4222"/>
    <w:rsid w:val="00BE4717"/>
    <w:rsid w:val="00BE472D"/>
    <w:rsid w:val="00BE4C03"/>
    <w:rsid w:val="00BE4D64"/>
    <w:rsid w:val="00BE5B55"/>
    <w:rsid w:val="00BE6218"/>
    <w:rsid w:val="00BE7149"/>
    <w:rsid w:val="00BE774C"/>
    <w:rsid w:val="00BE7F4D"/>
    <w:rsid w:val="00BF01AC"/>
    <w:rsid w:val="00BF03C0"/>
    <w:rsid w:val="00BF0EBF"/>
    <w:rsid w:val="00BF1534"/>
    <w:rsid w:val="00BF2021"/>
    <w:rsid w:val="00BF21D4"/>
    <w:rsid w:val="00BF2CAB"/>
    <w:rsid w:val="00BF2DDC"/>
    <w:rsid w:val="00BF3118"/>
    <w:rsid w:val="00BF32DE"/>
    <w:rsid w:val="00BF4A15"/>
    <w:rsid w:val="00BF4B53"/>
    <w:rsid w:val="00BF4E0E"/>
    <w:rsid w:val="00BF4E27"/>
    <w:rsid w:val="00BF4F7C"/>
    <w:rsid w:val="00BF537B"/>
    <w:rsid w:val="00BF58DC"/>
    <w:rsid w:val="00BF5901"/>
    <w:rsid w:val="00BF626A"/>
    <w:rsid w:val="00BF6644"/>
    <w:rsid w:val="00BF688E"/>
    <w:rsid w:val="00BF6D77"/>
    <w:rsid w:val="00BF739A"/>
    <w:rsid w:val="00BF7EF5"/>
    <w:rsid w:val="00C00BF6"/>
    <w:rsid w:val="00C00D16"/>
    <w:rsid w:val="00C016EE"/>
    <w:rsid w:val="00C01C1C"/>
    <w:rsid w:val="00C0234A"/>
    <w:rsid w:val="00C0247B"/>
    <w:rsid w:val="00C0378E"/>
    <w:rsid w:val="00C04314"/>
    <w:rsid w:val="00C04BD0"/>
    <w:rsid w:val="00C05730"/>
    <w:rsid w:val="00C05AF4"/>
    <w:rsid w:val="00C05AFD"/>
    <w:rsid w:val="00C05DDE"/>
    <w:rsid w:val="00C063BB"/>
    <w:rsid w:val="00C0661C"/>
    <w:rsid w:val="00C0675F"/>
    <w:rsid w:val="00C0702A"/>
    <w:rsid w:val="00C0724C"/>
    <w:rsid w:val="00C07C11"/>
    <w:rsid w:val="00C07E10"/>
    <w:rsid w:val="00C07F34"/>
    <w:rsid w:val="00C10015"/>
    <w:rsid w:val="00C107B5"/>
    <w:rsid w:val="00C1110A"/>
    <w:rsid w:val="00C11689"/>
    <w:rsid w:val="00C12414"/>
    <w:rsid w:val="00C1256E"/>
    <w:rsid w:val="00C12ECB"/>
    <w:rsid w:val="00C138F8"/>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8C4"/>
    <w:rsid w:val="00C20B6C"/>
    <w:rsid w:val="00C20B86"/>
    <w:rsid w:val="00C21145"/>
    <w:rsid w:val="00C215ED"/>
    <w:rsid w:val="00C22350"/>
    <w:rsid w:val="00C22B6F"/>
    <w:rsid w:val="00C22FBD"/>
    <w:rsid w:val="00C23615"/>
    <w:rsid w:val="00C2397E"/>
    <w:rsid w:val="00C23A83"/>
    <w:rsid w:val="00C24381"/>
    <w:rsid w:val="00C24801"/>
    <w:rsid w:val="00C24C2E"/>
    <w:rsid w:val="00C24C7A"/>
    <w:rsid w:val="00C24FFB"/>
    <w:rsid w:val="00C25500"/>
    <w:rsid w:val="00C25A3D"/>
    <w:rsid w:val="00C25BD2"/>
    <w:rsid w:val="00C25CFF"/>
    <w:rsid w:val="00C25EA6"/>
    <w:rsid w:val="00C26164"/>
    <w:rsid w:val="00C261C1"/>
    <w:rsid w:val="00C26574"/>
    <w:rsid w:val="00C26DBF"/>
    <w:rsid w:val="00C27199"/>
    <w:rsid w:val="00C27204"/>
    <w:rsid w:val="00C276D4"/>
    <w:rsid w:val="00C27731"/>
    <w:rsid w:val="00C304E9"/>
    <w:rsid w:val="00C30B0B"/>
    <w:rsid w:val="00C30ED5"/>
    <w:rsid w:val="00C31320"/>
    <w:rsid w:val="00C316B4"/>
    <w:rsid w:val="00C328D3"/>
    <w:rsid w:val="00C332D4"/>
    <w:rsid w:val="00C33399"/>
    <w:rsid w:val="00C33A66"/>
    <w:rsid w:val="00C33E51"/>
    <w:rsid w:val="00C34C45"/>
    <w:rsid w:val="00C34C47"/>
    <w:rsid w:val="00C34FCE"/>
    <w:rsid w:val="00C35207"/>
    <w:rsid w:val="00C35411"/>
    <w:rsid w:val="00C35EED"/>
    <w:rsid w:val="00C3661D"/>
    <w:rsid w:val="00C36B2C"/>
    <w:rsid w:val="00C3701A"/>
    <w:rsid w:val="00C37075"/>
    <w:rsid w:val="00C379EF"/>
    <w:rsid w:val="00C405C8"/>
    <w:rsid w:val="00C407A8"/>
    <w:rsid w:val="00C40C2F"/>
    <w:rsid w:val="00C415AC"/>
    <w:rsid w:val="00C4297A"/>
    <w:rsid w:val="00C4360C"/>
    <w:rsid w:val="00C439B8"/>
    <w:rsid w:val="00C43A0B"/>
    <w:rsid w:val="00C43EDA"/>
    <w:rsid w:val="00C43FEC"/>
    <w:rsid w:val="00C4414C"/>
    <w:rsid w:val="00C45512"/>
    <w:rsid w:val="00C45A9E"/>
    <w:rsid w:val="00C4602B"/>
    <w:rsid w:val="00C46564"/>
    <w:rsid w:val="00C466F3"/>
    <w:rsid w:val="00C46BFA"/>
    <w:rsid w:val="00C46DDF"/>
    <w:rsid w:val="00C500A1"/>
    <w:rsid w:val="00C50A02"/>
    <w:rsid w:val="00C51149"/>
    <w:rsid w:val="00C5117E"/>
    <w:rsid w:val="00C512D1"/>
    <w:rsid w:val="00C51856"/>
    <w:rsid w:val="00C51B04"/>
    <w:rsid w:val="00C51DB5"/>
    <w:rsid w:val="00C52576"/>
    <w:rsid w:val="00C53CE9"/>
    <w:rsid w:val="00C545C5"/>
    <w:rsid w:val="00C54FC1"/>
    <w:rsid w:val="00C5531B"/>
    <w:rsid w:val="00C55375"/>
    <w:rsid w:val="00C5570F"/>
    <w:rsid w:val="00C55F63"/>
    <w:rsid w:val="00C563C5"/>
    <w:rsid w:val="00C56C98"/>
    <w:rsid w:val="00C56DE1"/>
    <w:rsid w:val="00C56DEE"/>
    <w:rsid w:val="00C57120"/>
    <w:rsid w:val="00C571D5"/>
    <w:rsid w:val="00C57393"/>
    <w:rsid w:val="00C575D4"/>
    <w:rsid w:val="00C61223"/>
    <w:rsid w:val="00C61246"/>
    <w:rsid w:val="00C613C7"/>
    <w:rsid w:val="00C618A8"/>
    <w:rsid w:val="00C61A78"/>
    <w:rsid w:val="00C61CBD"/>
    <w:rsid w:val="00C62483"/>
    <w:rsid w:val="00C629F3"/>
    <w:rsid w:val="00C62B88"/>
    <w:rsid w:val="00C62CD3"/>
    <w:rsid w:val="00C634F9"/>
    <w:rsid w:val="00C63CDE"/>
    <w:rsid w:val="00C64147"/>
    <w:rsid w:val="00C643ED"/>
    <w:rsid w:val="00C64534"/>
    <w:rsid w:val="00C64D93"/>
    <w:rsid w:val="00C64F49"/>
    <w:rsid w:val="00C64F71"/>
    <w:rsid w:val="00C650E3"/>
    <w:rsid w:val="00C65200"/>
    <w:rsid w:val="00C6522D"/>
    <w:rsid w:val="00C65898"/>
    <w:rsid w:val="00C65BD3"/>
    <w:rsid w:val="00C664FB"/>
    <w:rsid w:val="00C665DE"/>
    <w:rsid w:val="00C66695"/>
    <w:rsid w:val="00C667C3"/>
    <w:rsid w:val="00C6728B"/>
    <w:rsid w:val="00C70718"/>
    <w:rsid w:val="00C70B25"/>
    <w:rsid w:val="00C70CC2"/>
    <w:rsid w:val="00C71528"/>
    <w:rsid w:val="00C717E4"/>
    <w:rsid w:val="00C7191B"/>
    <w:rsid w:val="00C71F09"/>
    <w:rsid w:val="00C71FA3"/>
    <w:rsid w:val="00C72588"/>
    <w:rsid w:val="00C727B9"/>
    <w:rsid w:val="00C72C1D"/>
    <w:rsid w:val="00C72F44"/>
    <w:rsid w:val="00C72F67"/>
    <w:rsid w:val="00C73670"/>
    <w:rsid w:val="00C737D1"/>
    <w:rsid w:val="00C738A0"/>
    <w:rsid w:val="00C73DE0"/>
    <w:rsid w:val="00C73E9F"/>
    <w:rsid w:val="00C74609"/>
    <w:rsid w:val="00C749AB"/>
    <w:rsid w:val="00C74DCF"/>
    <w:rsid w:val="00C75A8F"/>
    <w:rsid w:val="00C76129"/>
    <w:rsid w:val="00C76C0C"/>
    <w:rsid w:val="00C76FFC"/>
    <w:rsid w:val="00C774E0"/>
    <w:rsid w:val="00C776BA"/>
    <w:rsid w:val="00C7791E"/>
    <w:rsid w:val="00C81716"/>
    <w:rsid w:val="00C82672"/>
    <w:rsid w:val="00C832CB"/>
    <w:rsid w:val="00C83885"/>
    <w:rsid w:val="00C84085"/>
    <w:rsid w:val="00C852DC"/>
    <w:rsid w:val="00C854A8"/>
    <w:rsid w:val="00C85677"/>
    <w:rsid w:val="00C85E17"/>
    <w:rsid w:val="00C85FD7"/>
    <w:rsid w:val="00C8660B"/>
    <w:rsid w:val="00C868A7"/>
    <w:rsid w:val="00C868CE"/>
    <w:rsid w:val="00C86ABA"/>
    <w:rsid w:val="00C86BF7"/>
    <w:rsid w:val="00C87164"/>
    <w:rsid w:val="00C8786A"/>
    <w:rsid w:val="00C87BBA"/>
    <w:rsid w:val="00C87BD0"/>
    <w:rsid w:val="00C905E5"/>
    <w:rsid w:val="00C90754"/>
    <w:rsid w:val="00C90B95"/>
    <w:rsid w:val="00C90BC4"/>
    <w:rsid w:val="00C90C33"/>
    <w:rsid w:val="00C90CA9"/>
    <w:rsid w:val="00C91802"/>
    <w:rsid w:val="00C91FB9"/>
    <w:rsid w:val="00C927C3"/>
    <w:rsid w:val="00C92E41"/>
    <w:rsid w:val="00C92F62"/>
    <w:rsid w:val="00C93097"/>
    <w:rsid w:val="00C93B40"/>
    <w:rsid w:val="00C93DB5"/>
    <w:rsid w:val="00C94133"/>
    <w:rsid w:val="00C94CB9"/>
    <w:rsid w:val="00C95853"/>
    <w:rsid w:val="00C95C2F"/>
    <w:rsid w:val="00C95F87"/>
    <w:rsid w:val="00C96035"/>
    <w:rsid w:val="00C968EF"/>
    <w:rsid w:val="00C972CE"/>
    <w:rsid w:val="00CA0492"/>
    <w:rsid w:val="00CA05B0"/>
    <w:rsid w:val="00CA0632"/>
    <w:rsid w:val="00CA0A04"/>
    <w:rsid w:val="00CA2512"/>
    <w:rsid w:val="00CA2528"/>
    <w:rsid w:val="00CA3CAB"/>
    <w:rsid w:val="00CA3FC0"/>
    <w:rsid w:val="00CA5685"/>
    <w:rsid w:val="00CA6A2E"/>
    <w:rsid w:val="00CA6B56"/>
    <w:rsid w:val="00CA77C6"/>
    <w:rsid w:val="00CA7D3E"/>
    <w:rsid w:val="00CB0317"/>
    <w:rsid w:val="00CB0662"/>
    <w:rsid w:val="00CB0A82"/>
    <w:rsid w:val="00CB0F2F"/>
    <w:rsid w:val="00CB1556"/>
    <w:rsid w:val="00CB210B"/>
    <w:rsid w:val="00CB2913"/>
    <w:rsid w:val="00CB3218"/>
    <w:rsid w:val="00CB3970"/>
    <w:rsid w:val="00CB42B9"/>
    <w:rsid w:val="00CB4550"/>
    <w:rsid w:val="00CB4F39"/>
    <w:rsid w:val="00CB523A"/>
    <w:rsid w:val="00CB52A4"/>
    <w:rsid w:val="00CB537C"/>
    <w:rsid w:val="00CB5A26"/>
    <w:rsid w:val="00CB645B"/>
    <w:rsid w:val="00CB6A93"/>
    <w:rsid w:val="00CB6C79"/>
    <w:rsid w:val="00CB70D3"/>
    <w:rsid w:val="00CB77C3"/>
    <w:rsid w:val="00CB7E9C"/>
    <w:rsid w:val="00CC0072"/>
    <w:rsid w:val="00CC018D"/>
    <w:rsid w:val="00CC027A"/>
    <w:rsid w:val="00CC0915"/>
    <w:rsid w:val="00CC1398"/>
    <w:rsid w:val="00CC1AF5"/>
    <w:rsid w:val="00CC1B74"/>
    <w:rsid w:val="00CC245E"/>
    <w:rsid w:val="00CC291E"/>
    <w:rsid w:val="00CC2D03"/>
    <w:rsid w:val="00CC2EB0"/>
    <w:rsid w:val="00CC3BDC"/>
    <w:rsid w:val="00CC4701"/>
    <w:rsid w:val="00CC56B4"/>
    <w:rsid w:val="00CC5C82"/>
    <w:rsid w:val="00CC5F95"/>
    <w:rsid w:val="00CC642A"/>
    <w:rsid w:val="00CC6872"/>
    <w:rsid w:val="00CC6AC7"/>
    <w:rsid w:val="00CC6D73"/>
    <w:rsid w:val="00CC733D"/>
    <w:rsid w:val="00CC7617"/>
    <w:rsid w:val="00CC796B"/>
    <w:rsid w:val="00CC7A80"/>
    <w:rsid w:val="00CC7E0D"/>
    <w:rsid w:val="00CC7E97"/>
    <w:rsid w:val="00CD00EB"/>
    <w:rsid w:val="00CD1255"/>
    <w:rsid w:val="00CD1484"/>
    <w:rsid w:val="00CD1892"/>
    <w:rsid w:val="00CD1C01"/>
    <w:rsid w:val="00CD1D00"/>
    <w:rsid w:val="00CD2009"/>
    <w:rsid w:val="00CD27AC"/>
    <w:rsid w:val="00CD2A82"/>
    <w:rsid w:val="00CD3B66"/>
    <w:rsid w:val="00CD3CAB"/>
    <w:rsid w:val="00CD40D3"/>
    <w:rsid w:val="00CD44FF"/>
    <w:rsid w:val="00CD46A7"/>
    <w:rsid w:val="00CD47BC"/>
    <w:rsid w:val="00CD4A21"/>
    <w:rsid w:val="00CD4E50"/>
    <w:rsid w:val="00CD57CB"/>
    <w:rsid w:val="00CD614B"/>
    <w:rsid w:val="00CD64E1"/>
    <w:rsid w:val="00CD66BA"/>
    <w:rsid w:val="00CD670F"/>
    <w:rsid w:val="00CD699D"/>
    <w:rsid w:val="00CD6BA3"/>
    <w:rsid w:val="00CD70DB"/>
    <w:rsid w:val="00CD7544"/>
    <w:rsid w:val="00CD78D4"/>
    <w:rsid w:val="00CE00CF"/>
    <w:rsid w:val="00CE0697"/>
    <w:rsid w:val="00CE0B91"/>
    <w:rsid w:val="00CE14CB"/>
    <w:rsid w:val="00CE2E2E"/>
    <w:rsid w:val="00CE3A51"/>
    <w:rsid w:val="00CE41F9"/>
    <w:rsid w:val="00CE44A1"/>
    <w:rsid w:val="00CE4B2C"/>
    <w:rsid w:val="00CE59F6"/>
    <w:rsid w:val="00CE66CD"/>
    <w:rsid w:val="00CE6A96"/>
    <w:rsid w:val="00CE6BA9"/>
    <w:rsid w:val="00CE71C3"/>
    <w:rsid w:val="00CE7271"/>
    <w:rsid w:val="00CE727A"/>
    <w:rsid w:val="00CE756F"/>
    <w:rsid w:val="00CE7BEE"/>
    <w:rsid w:val="00CE7EB8"/>
    <w:rsid w:val="00CF029C"/>
    <w:rsid w:val="00CF0AF0"/>
    <w:rsid w:val="00CF157E"/>
    <w:rsid w:val="00CF1631"/>
    <w:rsid w:val="00CF1834"/>
    <w:rsid w:val="00CF1AAA"/>
    <w:rsid w:val="00CF1EC2"/>
    <w:rsid w:val="00CF2ACF"/>
    <w:rsid w:val="00CF2D4C"/>
    <w:rsid w:val="00CF345B"/>
    <w:rsid w:val="00CF475F"/>
    <w:rsid w:val="00CF5008"/>
    <w:rsid w:val="00CF5069"/>
    <w:rsid w:val="00CF5A38"/>
    <w:rsid w:val="00CF5E34"/>
    <w:rsid w:val="00CF6707"/>
    <w:rsid w:val="00CF7101"/>
    <w:rsid w:val="00CF7327"/>
    <w:rsid w:val="00CF7385"/>
    <w:rsid w:val="00CF7539"/>
    <w:rsid w:val="00CF75C6"/>
    <w:rsid w:val="00CF7B77"/>
    <w:rsid w:val="00CF7DF5"/>
    <w:rsid w:val="00D001D2"/>
    <w:rsid w:val="00D003AF"/>
    <w:rsid w:val="00D0091F"/>
    <w:rsid w:val="00D02A80"/>
    <w:rsid w:val="00D0352D"/>
    <w:rsid w:val="00D04F01"/>
    <w:rsid w:val="00D04F8B"/>
    <w:rsid w:val="00D051F3"/>
    <w:rsid w:val="00D054EF"/>
    <w:rsid w:val="00D05637"/>
    <w:rsid w:val="00D05697"/>
    <w:rsid w:val="00D05BA9"/>
    <w:rsid w:val="00D05CF2"/>
    <w:rsid w:val="00D05EB1"/>
    <w:rsid w:val="00D064CB"/>
    <w:rsid w:val="00D0650B"/>
    <w:rsid w:val="00D068AA"/>
    <w:rsid w:val="00D06E71"/>
    <w:rsid w:val="00D06E9C"/>
    <w:rsid w:val="00D0714B"/>
    <w:rsid w:val="00D0764E"/>
    <w:rsid w:val="00D07D82"/>
    <w:rsid w:val="00D102F6"/>
    <w:rsid w:val="00D10327"/>
    <w:rsid w:val="00D103C9"/>
    <w:rsid w:val="00D10BE1"/>
    <w:rsid w:val="00D11FE3"/>
    <w:rsid w:val="00D12393"/>
    <w:rsid w:val="00D12945"/>
    <w:rsid w:val="00D12A49"/>
    <w:rsid w:val="00D12CC0"/>
    <w:rsid w:val="00D12DA1"/>
    <w:rsid w:val="00D130C0"/>
    <w:rsid w:val="00D1343A"/>
    <w:rsid w:val="00D13D50"/>
    <w:rsid w:val="00D14101"/>
    <w:rsid w:val="00D144D8"/>
    <w:rsid w:val="00D14919"/>
    <w:rsid w:val="00D14E25"/>
    <w:rsid w:val="00D15470"/>
    <w:rsid w:val="00D15682"/>
    <w:rsid w:val="00D158EF"/>
    <w:rsid w:val="00D15AE3"/>
    <w:rsid w:val="00D160C4"/>
    <w:rsid w:val="00D165D8"/>
    <w:rsid w:val="00D16DCB"/>
    <w:rsid w:val="00D1724E"/>
    <w:rsid w:val="00D17C26"/>
    <w:rsid w:val="00D17E08"/>
    <w:rsid w:val="00D17FBE"/>
    <w:rsid w:val="00D206F6"/>
    <w:rsid w:val="00D20FD1"/>
    <w:rsid w:val="00D2115C"/>
    <w:rsid w:val="00D214D4"/>
    <w:rsid w:val="00D21AAA"/>
    <w:rsid w:val="00D21E6F"/>
    <w:rsid w:val="00D2218A"/>
    <w:rsid w:val="00D22B13"/>
    <w:rsid w:val="00D2371E"/>
    <w:rsid w:val="00D237E0"/>
    <w:rsid w:val="00D23A17"/>
    <w:rsid w:val="00D2416C"/>
    <w:rsid w:val="00D24D4E"/>
    <w:rsid w:val="00D25676"/>
    <w:rsid w:val="00D2579F"/>
    <w:rsid w:val="00D2580E"/>
    <w:rsid w:val="00D25BA4"/>
    <w:rsid w:val="00D264E4"/>
    <w:rsid w:val="00D265A7"/>
    <w:rsid w:val="00D2690C"/>
    <w:rsid w:val="00D26A8F"/>
    <w:rsid w:val="00D27129"/>
    <w:rsid w:val="00D279E7"/>
    <w:rsid w:val="00D27F75"/>
    <w:rsid w:val="00D303F6"/>
    <w:rsid w:val="00D3046D"/>
    <w:rsid w:val="00D30497"/>
    <w:rsid w:val="00D30C4D"/>
    <w:rsid w:val="00D30D15"/>
    <w:rsid w:val="00D30F5F"/>
    <w:rsid w:val="00D31243"/>
    <w:rsid w:val="00D316D9"/>
    <w:rsid w:val="00D31B07"/>
    <w:rsid w:val="00D31B9D"/>
    <w:rsid w:val="00D31DC2"/>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266"/>
    <w:rsid w:val="00D43DEF"/>
    <w:rsid w:val="00D44259"/>
    <w:rsid w:val="00D45C61"/>
    <w:rsid w:val="00D45DDC"/>
    <w:rsid w:val="00D4603D"/>
    <w:rsid w:val="00D46210"/>
    <w:rsid w:val="00D462C4"/>
    <w:rsid w:val="00D46CE1"/>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932"/>
    <w:rsid w:val="00D57F1F"/>
    <w:rsid w:val="00D60065"/>
    <w:rsid w:val="00D60270"/>
    <w:rsid w:val="00D605C2"/>
    <w:rsid w:val="00D60733"/>
    <w:rsid w:val="00D608B2"/>
    <w:rsid w:val="00D60C60"/>
    <w:rsid w:val="00D61E1D"/>
    <w:rsid w:val="00D629A4"/>
    <w:rsid w:val="00D62A55"/>
    <w:rsid w:val="00D62BDF"/>
    <w:rsid w:val="00D62EEE"/>
    <w:rsid w:val="00D64F1C"/>
    <w:rsid w:val="00D6570C"/>
    <w:rsid w:val="00D659EA"/>
    <w:rsid w:val="00D65A89"/>
    <w:rsid w:val="00D65E85"/>
    <w:rsid w:val="00D6611C"/>
    <w:rsid w:val="00D67077"/>
    <w:rsid w:val="00D671C7"/>
    <w:rsid w:val="00D675B0"/>
    <w:rsid w:val="00D675DE"/>
    <w:rsid w:val="00D678BB"/>
    <w:rsid w:val="00D67D81"/>
    <w:rsid w:val="00D67EB4"/>
    <w:rsid w:val="00D70170"/>
    <w:rsid w:val="00D702E8"/>
    <w:rsid w:val="00D70552"/>
    <w:rsid w:val="00D70D42"/>
    <w:rsid w:val="00D71285"/>
    <w:rsid w:val="00D71ABC"/>
    <w:rsid w:val="00D721C5"/>
    <w:rsid w:val="00D72454"/>
    <w:rsid w:val="00D72687"/>
    <w:rsid w:val="00D729A7"/>
    <w:rsid w:val="00D72A5B"/>
    <w:rsid w:val="00D73991"/>
    <w:rsid w:val="00D73B4C"/>
    <w:rsid w:val="00D73CD4"/>
    <w:rsid w:val="00D73F06"/>
    <w:rsid w:val="00D740B2"/>
    <w:rsid w:val="00D74247"/>
    <w:rsid w:val="00D743F1"/>
    <w:rsid w:val="00D744CF"/>
    <w:rsid w:val="00D7456E"/>
    <w:rsid w:val="00D74AAA"/>
    <w:rsid w:val="00D751CC"/>
    <w:rsid w:val="00D753A9"/>
    <w:rsid w:val="00D755F7"/>
    <w:rsid w:val="00D75DDB"/>
    <w:rsid w:val="00D75E4B"/>
    <w:rsid w:val="00D76E97"/>
    <w:rsid w:val="00D774F4"/>
    <w:rsid w:val="00D77687"/>
    <w:rsid w:val="00D77AF6"/>
    <w:rsid w:val="00D77FDF"/>
    <w:rsid w:val="00D804C5"/>
    <w:rsid w:val="00D815E6"/>
    <w:rsid w:val="00D81A28"/>
    <w:rsid w:val="00D81BDE"/>
    <w:rsid w:val="00D8201D"/>
    <w:rsid w:val="00D82B00"/>
    <w:rsid w:val="00D82B04"/>
    <w:rsid w:val="00D82BE4"/>
    <w:rsid w:val="00D82E05"/>
    <w:rsid w:val="00D83462"/>
    <w:rsid w:val="00D83C0D"/>
    <w:rsid w:val="00D83C80"/>
    <w:rsid w:val="00D83F5B"/>
    <w:rsid w:val="00D84879"/>
    <w:rsid w:val="00D84AAD"/>
    <w:rsid w:val="00D85FDE"/>
    <w:rsid w:val="00D8665E"/>
    <w:rsid w:val="00D869C1"/>
    <w:rsid w:val="00D86EC6"/>
    <w:rsid w:val="00D87329"/>
    <w:rsid w:val="00D87418"/>
    <w:rsid w:val="00D87A39"/>
    <w:rsid w:val="00D87C77"/>
    <w:rsid w:val="00D87FE6"/>
    <w:rsid w:val="00D90ACA"/>
    <w:rsid w:val="00D90BC3"/>
    <w:rsid w:val="00D90C93"/>
    <w:rsid w:val="00D90DB9"/>
    <w:rsid w:val="00D91001"/>
    <w:rsid w:val="00D910FF"/>
    <w:rsid w:val="00D91337"/>
    <w:rsid w:val="00D914BD"/>
    <w:rsid w:val="00D914FF"/>
    <w:rsid w:val="00D915C9"/>
    <w:rsid w:val="00D918DA"/>
    <w:rsid w:val="00D9198F"/>
    <w:rsid w:val="00D92078"/>
    <w:rsid w:val="00D9223F"/>
    <w:rsid w:val="00D926F0"/>
    <w:rsid w:val="00D92A87"/>
    <w:rsid w:val="00D9384E"/>
    <w:rsid w:val="00D93AEE"/>
    <w:rsid w:val="00D9413E"/>
    <w:rsid w:val="00D94819"/>
    <w:rsid w:val="00D94C8D"/>
    <w:rsid w:val="00D9537A"/>
    <w:rsid w:val="00D95F88"/>
    <w:rsid w:val="00D96698"/>
    <w:rsid w:val="00D96876"/>
    <w:rsid w:val="00D96940"/>
    <w:rsid w:val="00D96B12"/>
    <w:rsid w:val="00D96B91"/>
    <w:rsid w:val="00D96F59"/>
    <w:rsid w:val="00D9722A"/>
    <w:rsid w:val="00DA0175"/>
    <w:rsid w:val="00DA099C"/>
    <w:rsid w:val="00DA0F18"/>
    <w:rsid w:val="00DA2125"/>
    <w:rsid w:val="00DA21EC"/>
    <w:rsid w:val="00DA24DE"/>
    <w:rsid w:val="00DA270C"/>
    <w:rsid w:val="00DA281F"/>
    <w:rsid w:val="00DA30B7"/>
    <w:rsid w:val="00DA36F9"/>
    <w:rsid w:val="00DA3C5B"/>
    <w:rsid w:val="00DA3D23"/>
    <w:rsid w:val="00DA489D"/>
    <w:rsid w:val="00DA4A61"/>
    <w:rsid w:val="00DA5AFE"/>
    <w:rsid w:val="00DA61AB"/>
    <w:rsid w:val="00DA61CD"/>
    <w:rsid w:val="00DA6EE2"/>
    <w:rsid w:val="00DA718A"/>
    <w:rsid w:val="00DA78CF"/>
    <w:rsid w:val="00DA78D5"/>
    <w:rsid w:val="00DA7A89"/>
    <w:rsid w:val="00DA7BF4"/>
    <w:rsid w:val="00DB052F"/>
    <w:rsid w:val="00DB0FD6"/>
    <w:rsid w:val="00DB14D3"/>
    <w:rsid w:val="00DB154B"/>
    <w:rsid w:val="00DB16AE"/>
    <w:rsid w:val="00DB1BDC"/>
    <w:rsid w:val="00DB3490"/>
    <w:rsid w:val="00DB3593"/>
    <w:rsid w:val="00DB362A"/>
    <w:rsid w:val="00DB4064"/>
    <w:rsid w:val="00DB42D7"/>
    <w:rsid w:val="00DB440B"/>
    <w:rsid w:val="00DB4426"/>
    <w:rsid w:val="00DB4522"/>
    <w:rsid w:val="00DB4B40"/>
    <w:rsid w:val="00DB4F12"/>
    <w:rsid w:val="00DB4F21"/>
    <w:rsid w:val="00DB4F42"/>
    <w:rsid w:val="00DB540C"/>
    <w:rsid w:val="00DB6F96"/>
    <w:rsid w:val="00DB71B9"/>
    <w:rsid w:val="00DB7662"/>
    <w:rsid w:val="00DB7B62"/>
    <w:rsid w:val="00DB7E46"/>
    <w:rsid w:val="00DC0271"/>
    <w:rsid w:val="00DC0BBA"/>
    <w:rsid w:val="00DC1395"/>
    <w:rsid w:val="00DC2834"/>
    <w:rsid w:val="00DC32FC"/>
    <w:rsid w:val="00DC3D89"/>
    <w:rsid w:val="00DC42E9"/>
    <w:rsid w:val="00DC4567"/>
    <w:rsid w:val="00DC45B1"/>
    <w:rsid w:val="00DC48A8"/>
    <w:rsid w:val="00DC4D6C"/>
    <w:rsid w:val="00DC4F47"/>
    <w:rsid w:val="00DC5059"/>
    <w:rsid w:val="00DC54A7"/>
    <w:rsid w:val="00DC5860"/>
    <w:rsid w:val="00DC5BD0"/>
    <w:rsid w:val="00DC5BE2"/>
    <w:rsid w:val="00DC6284"/>
    <w:rsid w:val="00DC628E"/>
    <w:rsid w:val="00DC6723"/>
    <w:rsid w:val="00DC6747"/>
    <w:rsid w:val="00DC689C"/>
    <w:rsid w:val="00DC6AF3"/>
    <w:rsid w:val="00DC7608"/>
    <w:rsid w:val="00DC761E"/>
    <w:rsid w:val="00DC7B3B"/>
    <w:rsid w:val="00DC7CFC"/>
    <w:rsid w:val="00DC7DF1"/>
    <w:rsid w:val="00DD09F2"/>
    <w:rsid w:val="00DD0DEE"/>
    <w:rsid w:val="00DD1205"/>
    <w:rsid w:val="00DD1633"/>
    <w:rsid w:val="00DD17A0"/>
    <w:rsid w:val="00DD1B97"/>
    <w:rsid w:val="00DD259F"/>
    <w:rsid w:val="00DD2831"/>
    <w:rsid w:val="00DD2A6D"/>
    <w:rsid w:val="00DD2E17"/>
    <w:rsid w:val="00DD42DE"/>
    <w:rsid w:val="00DD4309"/>
    <w:rsid w:val="00DD4344"/>
    <w:rsid w:val="00DD4357"/>
    <w:rsid w:val="00DD4DDD"/>
    <w:rsid w:val="00DD5303"/>
    <w:rsid w:val="00DD573B"/>
    <w:rsid w:val="00DD57E7"/>
    <w:rsid w:val="00DD5A1E"/>
    <w:rsid w:val="00DD5B8C"/>
    <w:rsid w:val="00DD5DFA"/>
    <w:rsid w:val="00DD5E91"/>
    <w:rsid w:val="00DD6CE2"/>
    <w:rsid w:val="00DD6F39"/>
    <w:rsid w:val="00DD720D"/>
    <w:rsid w:val="00DE0229"/>
    <w:rsid w:val="00DE04E0"/>
    <w:rsid w:val="00DE0C46"/>
    <w:rsid w:val="00DE12F1"/>
    <w:rsid w:val="00DE1A9D"/>
    <w:rsid w:val="00DE1CB1"/>
    <w:rsid w:val="00DE2073"/>
    <w:rsid w:val="00DE28C9"/>
    <w:rsid w:val="00DE2926"/>
    <w:rsid w:val="00DE30AC"/>
    <w:rsid w:val="00DE38D1"/>
    <w:rsid w:val="00DE4106"/>
    <w:rsid w:val="00DE466B"/>
    <w:rsid w:val="00DE48F4"/>
    <w:rsid w:val="00DE5563"/>
    <w:rsid w:val="00DE5C19"/>
    <w:rsid w:val="00DE5D48"/>
    <w:rsid w:val="00DE6130"/>
    <w:rsid w:val="00DE6A1D"/>
    <w:rsid w:val="00DE6E4D"/>
    <w:rsid w:val="00DE7498"/>
    <w:rsid w:val="00DE75EF"/>
    <w:rsid w:val="00DE7611"/>
    <w:rsid w:val="00DE7D19"/>
    <w:rsid w:val="00DF00D6"/>
    <w:rsid w:val="00DF0505"/>
    <w:rsid w:val="00DF05A0"/>
    <w:rsid w:val="00DF1162"/>
    <w:rsid w:val="00DF1BA8"/>
    <w:rsid w:val="00DF1F63"/>
    <w:rsid w:val="00DF248E"/>
    <w:rsid w:val="00DF28F2"/>
    <w:rsid w:val="00DF2BFF"/>
    <w:rsid w:val="00DF3016"/>
    <w:rsid w:val="00DF3498"/>
    <w:rsid w:val="00DF3798"/>
    <w:rsid w:val="00DF42A6"/>
    <w:rsid w:val="00DF4F54"/>
    <w:rsid w:val="00DF4FF1"/>
    <w:rsid w:val="00DF55A2"/>
    <w:rsid w:val="00DF56A3"/>
    <w:rsid w:val="00DF5B33"/>
    <w:rsid w:val="00DF6144"/>
    <w:rsid w:val="00DF6ACD"/>
    <w:rsid w:val="00DF6FD2"/>
    <w:rsid w:val="00DF72EF"/>
    <w:rsid w:val="00DF743D"/>
    <w:rsid w:val="00DF7724"/>
    <w:rsid w:val="00E000D8"/>
    <w:rsid w:val="00E00C1E"/>
    <w:rsid w:val="00E00F5F"/>
    <w:rsid w:val="00E010E6"/>
    <w:rsid w:val="00E01377"/>
    <w:rsid w:val="00E014E7"/>
    <w:rsid w:val="00E0150F"/>
    <w:rsid w:val="00E0232F"/>
    <w:rsid w:val="00E026A9"/>
    <w:rsid w:val="00E0356F"/>
    <w:rsid w:val="00E03B42"/>
    <w:rsid w:val="00E03C10"/>
    <w:rsid w:val="00E0479F"/>
    <w:rsid w:val="00E04816"/>
    <w:rsid w:val="00E04982"/>
    <w:rsid w:val="00E04D6A"/>
    <w:rsid w:val="00E05741"/>
    <w:rsid w:val="00E0579D"/>
    <w:rsid w:val="00E058DB"/>
    <w:rsid w:val="00E05950"/>
    <w:rsid w:val="00E05CD4"/>
    <w:rsid w:val="00E05DE8"/>
    <w:rsid w:val="00E06100"/>
    <w:rsid w:val="00E0614E"/>
    <w:rsid w:val="00E06B40"/>
    <w:rsid w:val="00E06E97"/>
    <w:rsid w:val="00E07B8F"/>
    <w:rsid w:val="00E10712"/>
    <w:rsid w:val="00E10DD1"/>
    <w:rsid w:val="00E1113C"/>
    <w:rsid w:val="00E1224C"/>
    <w:rsid w:val="00E1254C"/>
    <w:rsid w:val="00E12BDF"/>
    <w:rsid w:val="00E13326"/>
    <w:rsid w:val="00E13D07"/>
    <w:rsid w:val="00E14356"/>
    <w:rsid w:val="00E14961"/>
    <w:rsid w:val="00E14B91"/>
    <w:rsid w:val="00E14D76"/>
    <w:rsid w:val="00E15183"/>
    <w:rsid w:val="00E15D6C"/>
    <w:rsid w:val="00E161CE"/>
    <w:rsid w:val="00E167CE"/>
    <w:rsid w:val="00E1720B"/>
    <w:rsid w:val="00E203DE"/>
    <w:rsid w:val="00E20CE7"/>
    <w:rsid w:val="00E215C4"/>
    <w:rsid w:val="00E217B1"/>
    <w:rsid w:val="00E222FA"/>
    <w:rsid w:val="00E22700"/>
    <w:rsid w:val="00E229CE"/>
    <w:rsid w:val="00E22B4A"/>
    <w:rsid w:val="00E2449B"/>
    <w:rsid w:val="00E24A62"/>
    <w:rsid w:val="00E24F52"/>
    <w:rsid w:val="00E255CC"/>
    <w:rsid w:val="00E25636"/>
    <w:rsid w:val="00E25755"/>
    <w:rsid w:val="00E25F90"/>
    <w:rsid w:val="00E26001"/>
    <w:rsid w:val="00E266DD"/>
    <w:rsid w:val="00E26B3B"/>
    <w:rsid w:val="00E26D2E"/>
    <w:rsid w:val="00E26F7E"/>
    <w:rsid w:val="00E27235"/>
    <w:rsid w:val="00E279B2"/>
    <w:rsid w:val="00E303C0"/>
    <w:rsid w:val="00E3055B"/>
    <w:rsid w:val="00E30C8F"/>
    <w:rsid w:val="00E31687"/>
    <w:rsid w:val="00E31699"/>
    <w:rsid w:val="00E31761"/>
    <w:rsid w:val="00E31812"/>
    <w:rsid w:val="00E31889"/>
    <w:rsid w:val="00E31CE7"/>
    <w:rsid w:val="00E32F10"/>
    <w:rsid w:val="00E333D5"/>
    <w:rsid w:val="00E3394F"/>
    <w:rsid w:val="00E33A0B"/>
    <w:rsid w:val="00E34A2F"/>
    <w:rsid w:val="00E35901"/>
    <w:rsid w:val="00E35A45"/>
    <w:rsid w:val="00E35F7F"/>
    <w:rsid w:val="00E36392"/>
    <w:rsid w:val="00E36B32"/>
    <w:rsid w:val="00E37254"/>
    <w:rsid w:val="00E37A6F"/>
    <w:rsid w:val="00E37A9C"/>
    <w:rsid w:val="00E40222"/>
    <w:rsid w:val="00E40406"/>
    <w:rsid w:val="00E4082B"/>
    <w:rsid w:val="00E40835"/>
    <w:rsid w:val="00E408EC"/>
    <w:rsid w:val="00E409B5"/>
    <w:rsid w:val="00E40BCB"/>
    <w:rsid w:val="00E40F8A"/>
    <w:rsid w:val="00E40FD7"/>
    <w:rsid w:val="00E4165D"/>
    <w:rsid w:val="00E4208F"/>
    <w:rsid w:val="00E4282A"/>
    <w:rsid w:val="00E42E94"/>
    <w:rsid w:val="00E42F27"/>
    <w:rsid w:val="00E43006"/>
    <w:rsid w:val="00E4312A"/>
    <w:rsid w:val="00E4331B"/>
    <w:rsid w:val="00E43551"/>
    <w:rsid w:val="00E437FA"/>
    <w:rsid w:val="00E449B5"/>
    <w:rsid w:val="00E449CF"/>
    <w:rsid w:val="00E44E4D"/>
    <w:rsid w:val="00E45A2C"/>
    <w:rsid w:val="00E46A6B"/>
    <w:rsid w:val="00E46A9C"/>
    <w:rsid w:val="00E46C3D"/>
    <w:rsid w:val="00E470E2"/>
    <w:rsid w:val="00E47DB1"/>
    <w:rsid w:val="00E50BDD"/>
    <w:rsid w:val="00E510CF"/>
    <w:rsid w:val="00E513D7"/>
    <w:rsid w:val="00E519FE"/>
    <w:rsid w:val="00E5206C"/>
    <w:rsid w:val="00E52AAB"/>
    <w:rsid w:val="00E53556"/>
    <w:rsid w:val="00E5448E"/>
    <w:rsid w:val="00E547D6"/>
    <w:rsid w:val="00E54E0D"/>
    <w:rsid w:val="00E55247"/>
    <w:rsid w:val="00E558E5"/>
    <w:rsid w:val="00E55B3C"/>
    <w:rsid w:val="00E5647B"/>
    <w:rsid w:val="00E56795"/>
    <w:rsid w:val="00E56B67"/>
    <w:rsid w:val="00E57932"/>
    <w:rsid w:val="00E60466"/>
    <w:rsid w:val="00E606C4"/>
    <w:rsid w:val="00E60811"/>
    <w:rsid w:val="00E60AB8"/>
    <w:rsid w:val="00E60DF7"/>
    <w:rsid w:val="00E6103E"/>
    <w:rsid w:val="00E6185F"/>
    <w:rsid w:val="00E61D32"/>
    <w:rsid w:val="00E62451"/>
    <w:rsid w:val="00E625D9"/>
    <w:rsid w:val="00E63C60"/>
    <w:rsid w:val="00E63D2E"/>
    <w:rsid w:val="00E64050"/>
    <w:rsid w:val="00E64B7B"/>
    <w:rsid w:val="00E6514D"/>
    <w:rsid w:val="00E65161"/>
    <w:rsid w:val="00E651DE"/>
    <w:rsid w:val="00E652C9"/>
    <w:rsid w:val="00E6593B"/>
    <w:rsid w:val="00E65D74"/>
    <w:rsid w:val="00E667B9"/>
    <w:rsid w:val="00E66E11"/>
    <w:rsid w:val="00E672C6"/>
    <w:rsid w:val="00E67366"/>
    <w:rsid w:val="00E70192"/>
    <w:rsid w:val="00E70963"/>
    <w:rsid w:val="00E70C55"/>
    <w:rsid w:val="00E70E34"/>
    <w:rsid w:val="00E713F8"/>
    <w:rsid w:val="00E71809"/>
    <w:rsid w:val="00E71D1E"/>
    <w:rsid w:val="00E726F2"/>
    <w:rsid w:val="00E728E2"/>
    <w:rsid w:val="00E738FA"/>
    <w:rsid w:val="00E739B6"/>
    <w:rsid w:val="00E74A2B"/>
    <w:rsid w:val="00E75667"/>
    <w:rsid w:val="00E756D3"/>
    <w:rsid w:val="00E75985"/>
    <w:rsid w:val="00E75A5A"/>
    <w:rsid w:val="00E75D84"/>
    <w:rsid w:val="00E76004"/>
    <w:rsid w:val="00E7608F"/>
    <w:rsid w:val="00E760D7"/>
    <w:rsid w:val="00E769CC"/>
    <w:rsid w:val="00E77124"/>
    <w:rsid w:val="00E77341"/>
    <w:rsid w:val="00E7783E"/>
    <w:rsid w:val="00E778B8"/>
    <w:rsid w:val="00E8003F"/>
    <w:rsid w:val="00E801C7"/>
    <w:rsid w:val="00E80AF8"/>
    <w:rsid w:val="00E80BED"/>
    <w:rsid w:val="00E816E8"/>
    <w:rsid w:val="00E82592"/>
    <w:rsid w:val="00E825ED"/>
    <w:rsid w:val="00E827BB"/>
    <w:rsid w:val="00E82D24"/>
    <w:rsid w:val="00E8357D"/>
    <w:rsid w:val="00E83B8A"/>
    <w:rsid w:val="00E83C4F"/>
    <w:rsid w:val="00E84212"/>
    <w:rsid w:val="00E84C04"/>
    <w:rsid w:val="00E84F72"/>
    <w:rsid w:val="00E850B7"/>
    <w:rsid w:val="00E85516"/>
    <w:rsid w:val="00E856A2"/>
    <w:rsid w:val="00E8572B"/>
    <w:rsid w:val="00E8575B"/>
    <w:rsid w:val="00E85929"/>
    <w:rsid w:val="00E85AD2"/>
    <w:rsid w:val="00E87A37"/>
    <w:rsid w:val="00E87CF7"/>
    <w:rsid w:val="00E9036E"/>
    <w:rsid w:val="00E9078A"/>
    <w:rsid w:val="00E90A2E"/>
    <w:rsid w:val="00E912FD"/>
    <w:rsid w:val="00E913EF"/>
    <w:rsid w:val="00E91B26"/>
    <w:rsid w:val="00E92C6E"/>
    <w:rsid w:val="00E92D0B"/>
    <w:rsid w:val="00E92FFF"/>
    <w:rsid w:val="00E93195"/>
    <w:rsid w:val="00E93637"/>
    <w:rsid w:val="00E936A1"/>
    <w:rsid w:val="00E9391C"/>
    <w:rsid w:val="00E93D05"/>
    <w:rsid w:val="00E93D99"/>
    <w:rsid w:val="00E94525"/>
    <w:rsid w:val="00E946AB"/>
    <w:rsid w:val="00E94900"/>
    <w:rsid w:val="00E951D8"/>
    <w:rsid w:val="00E95C2A"/>
    <w:rsid w:val="00E95E3D"/>
    <w:rsid w:val="00E961CB"/>
    <w:rsid w:val="00E963BC"/>
    <w:rsid w:val="00E96505"/>
    <w:rsid w:val="00E966A6"/>
    <w:rsid w:val="00E96E91"/>
    <w:rsid w:val="00E9751D"/>
    <w:rsid w:val="00E97DC6"/>
    <w:rsid w:val="00E97DF6"/>
    <w:rsid w:val="00E97F7A"/>
    <w:rsid w:val="00EA0010"/>
    <w:rsid w:val="00EA0143"/>
    <w:rsid w:val="00EA040F"/>
    <w:rsid w:val="00EA089B"/>
    <w:rsid w:val="00EA0AD2"/>
    <w:rsid w:val="00EA1113"/>
    <w:rsid w:val="00EA1782"/>
    <w:rsid w:val="00EA1ACC"/>
    <w:rsid w:val="00EA1B7F"/>
    <w:rsid w:val="00EA275C"/>
    <w:rsid w:val="00EA2E21"/>
    <w:rsid w:val="00EA2EAA"/>
    <w:rsid w:val="00EA380C"/>
    <w:rsid w:val="00EA5F3B"/>
    <w:rsid w:val="00EA60B1"/>
    <w:rsid w:val="00EA613D"/>
    <w:rsid w:val="00EA6744"/>
    <w:rsid w:val="00EA7308"/>
    <w:rsid w:val="00EA7474"/>
    <w:rsid w:val="00EA74D4"/>
    <w:rsid w:val="00EA799E"/>
    <w:rsid w:val="00EB0674"/>
    <w:rsid w:val="00EB0831"/>
    <w:rsid w:val="00EB089C"/>
    <w:rsid w:val="00EB0AA8"/>
    <w:rsid w:val="00EB0B65"/>
    <w:rsid w:val="00EB0C65"/>
    <w:rsid w:val="00EB1624"/>
    <w:rsid w:val="00EB169F"/>
    <w:rsid w:val="00EB2635"/>
    <w:rsid w:val="00EB2961"/>
    <w:rsid w:val="00EB2E1A"/>
    <w:rsid w:val="00EB2F8A"/>
    <w:rsid w:val="00EB304D"/>
    <w:rsid w:val="00EB3268"/>
    <w:rsid w:val="00EB3298"/>
    <w:rsid w:val="00EB3939"/>
    <w:rsid w:val="00EB3CE6"/>
    <w:rsid w:val="00EB3E92"/>
    <w:rsid w:val="00EB4D4E"/>
    <w:rsid w:val="00EB53CE"/>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4D3A"/>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4DA6"/>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29B"/>
    <w:rsid w:val="00EE499F"/>
    <w:rsid w:val="00EE56E2"/>
    <w:rsid w:val="00EE5D5F"/>
    <w:rsid w:val="00EE5FCD"/>
    <w:rsid w:val="00EE63BF"/>
    <w:rsid w:val="00EE6D45"/>
    <w:rsid w:val="00EE6E89"/>
    <w:rsid w:val="00EF03E7"/>
    <w:rsid w:val="00EF0D4B"/>
    <w:rsid w:val="00EF0FE6"/>
    <w:rsid w:val="00EF1130"/>
    <w:rsid w:val="00EF11E0"/>
    <w:rsid w:val="00EF132E"/>
    <w:rsid w:val="00EF1432"/>
    <w:rsid w:val="00EF1511"/>
    <w:rsid w:val="00EF1F01"/>
    <w:rsid w:val="00EF2C39"/>
    <w:rsid w:val="00EF2C5F"/>
    <w:rsid w:val="00EF3811"/>
    <w:rsid w:val="00EF3AC4"/>
    <w:rsid w:val="00EF3FF9"/>
    <w:rsid w:val="00EF41AF"/>
    <w:rsid w:val="00EF47BA"/>
    <w:rsid w:val="00EF4DB4"/>
    <w:rsid w:val="00EF5234"/>
    <w:rsid w:val="00EF55E9"/>
    <w:rsid w:val="00EF5B41"/>
    <w:rsid w:val="00EF611C"/>
    <w:rsid w:val="00EF625F"/>
    <w:rsid w:val="00EF62C0"/>
    <w:rsid w:val="00EF66B0"/>
    <w:rsid w:val="00EF6D39"/>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F52"/>
    <w:rsid w:val="00F06340"/>
    <w:rsid w:val="00F0665D"/>
    <w:rsid w:val="00F06D42"/>
    <w:rsid w:val="00F07134"/>
    <w:rsid w:val="00F0724D"/>
    <w:rsid w:val="00F07355"/>
    <w:rsid w:val="00F07378"/>
    <w:rsid w:val="00F106A2"/>
    <w:rsid w:val="00F10A1F"/>
    <w:rsid w:val="00F10B81"/>
    <w:rsid w:val="00F10BC9"/>
    <w:rsid w:val="00F10D3C"/>
    <w:rsid w:val="00F111E8"/>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6A"/>
    <w:rsid w:val="00F20C9E"/>
    <w:rsid w:val="00F213D8"/>
    <w:rsid w:val="00F21A5D"/>
    <w:rsid w:val="00F21C13"/>
    <w:rsid w:val="00F22362"/>
    <w:rsid w:val="00F22796"/>
    <w:rsid w:val="00F2296A"/>
    <w:rsid w:val="00F234A4"/>
    <w:rsid w:val="00F2363A"/>
    <w:rsid w:val="00F238F7"/>
    <w:rsid w:val="00F23BA0"/>
    <w:rsid w:val="00F2420C"/>
    <w:rsid w:val="00F24BC2"/>
    <w:rsid w:val="00F24C28"/>
    <w:rsid w:val="00F25277"/>
    <w:rsid w:val="00F254C4"/>
    <w:rsid w:val="00F25641"/>
    <w:rsid w:val="00F256D8"/>
    <w:rsid w:val="00F25824"/>
    <w:rsid w:val="00F25E8C"/>
    <w:rsid w:val="00F26065"/>
    <w:rsid w:val="00F266E3"/>
    <w:rsid w:val="00F2689C"/>
    <w:rsid w:val="00F271C4"/>
    <w:rsid w:val="00F274F2"/>
    <w:rsid w:val="00F27E44"/>
    <w:rsid w:val="00F30313"/>
    <w:rsid w:val="00F303BC"/>
    <w:rsid w:val="00F30472"/>
    <w:rsid w:val="00F31052"/>
    <w:rsid w:val="00F313E8"/>
    <w:rsid w:val="00F318A1"/>
    <w:rsid w:val="00F31CF5"/>
    <w:rsid w:val="00F3265C"/>
    <w:rsid w:val="00F32C4A"/>
    <w:rsid w:val="00F33262"/>
    <w:rsid w:val="00F33958"/>
    <w:rsid w:val="00F343EE"/>
    <w:rsid w:val="00F353F4"/>
    <w:rsid w:val="00F35412"/>
    <w:rsid w:val="00F35494"/>
    <w:rsid w:val="00F35607"/>
    <w:rsid w:val="00F357A0"/>
    <w:rsid w:val="00F359AB"/>
    <w:rsid w:val="00F35DBA"/>
    <w:rsid w:val="00F35E72"/>
    <w:rsid w:val="00F3619D"/>
    <w:rsid w:val="00F36DDE"/>
    <w:rsid w:val="00F3722A"/>
    <w:rsid w:val="00F37366"/>
    <w:rsid w:val="00F37C99"/>
    <w:rsid w:val="00F37FCC"/>
    <w:rsid w:val="00F419B8"/>
    <w:rsid w:val="00F41C0F"/>
    <w:rsid w:val="00F42856"/>
    <w:rsid w:val="00F42BF8"/>
    <w:rsid w:val="00F42ED7"/>
    <w:rsid w:val="00F43777"/>
    <w:rsid w:val="00F4482B"/>
    <w:rsid w:val="00F44F02"/>
    <w:rsid w:val="00F45039"/>
    <w:rsid w:val="00F45041"/>
    <w:rsid w:val="00F4526B"/>
    <w:rsid w:val="00F45298"/>
    <w:rsid w:val="00F45417"/>
    <w:rsid w:val="00F45F64"/>
    <w:rsid w:val="00F462DF"/>
    <w:rsid w:val="00F46534"/>
    <w:rsid w:val="00F4662D"/>
    <w:rsid w:val="00F467BA"/>
    <w:rsid w:val="00F467C1"/>
    <w:rsid w:val="00F4689E"/>
    <w:rsid w:val="00F468AC"/>
    <w:rsid w:val="00F4696F"/>
    <w:rsid w:val="00F469E5"/>
    <w:rsid w:val="00F46A5F"/>
    <w:rsid w:val="00F46BB0"/>
    <w:rsid w:val="00F46C9A"/>
    <w:rsid w:val="00F47316"/>
    <w:rsid w:val="00F47507"/>
    <w:rsid w:val="00F47A01"/>
    <w:rsid w:val="00F47CEE"/>
    <w:rsid w:val="00F5040A"/>
    <w:rsid w:val="00F5052D"/>
    <w:rsid w:val="00F51A82"/>
    <w:rsid w:val="00F51B78"/>
    <w:rsid w:val="00F51BDD"/>
    <w:rsid w:val="00F52065"/>
    <w:rsid w:val="00F521CE"/>
    <w:rsid w:val="00F5253E"/>
    <w:rsid w:val="00F5254B"/>
    <w:rsid w:val="00F526C9"/>
    <w:rsid w:val="00F52CB7"/>
    <w:rsid w:val="00F53A44"/>
    <w:rsid w:val="00F54E5E"/>
    <w:rsid w:val="00F551DB"/>
    <w:rsid w:val="00F55810"/>
    <w:rsid w:val="00F559BE"/>
    <w:rsid w:val="00F55EC2"/>
    <w:rsid w:val="00F56F7E"/>
    <w:rsid w:val="00F56FEF"/>
    <w:rsid w:val="00F57521"/>
    <w:rsid w:val="00F57859"/>
    <w:rsid w:val="00F579EF"/>
    <w:rsid w:val="00F60938"/>
    <w:rsid w:val="00F60982"/>
    <w:rsid w:val="00F60C7E"/>
    <w:rsid w:val="00F60E0A"/>
    <w:rsid w:val="00F61207"/>
    <w:rsid w:val="00F61606"/>
    <w:rsid w:val="00F61918"/>
    <w:rsid w:val="00F620E4"/>
    <w:rsid w:val="00F62151"/>
    <w:rsid w:val="00F62CA8"/>
    <w:rsid w:val="00F62F92"/>
    <w:rsid w:val="00F630B4"/>
    <w:rsid w:val="00F635EF"/>
    <w:rsid w:val="00F63BF4"/>
    <w:rsid w:val="00F63C55"/>
    <w:rsid w:val="00F63C60"/>
    <w:rsid w:val="00F64991"/>
    <w:rsid w:val="00F65693"/>
    <w:rsid w:val="00F65A63"/>
    <w:rsid w:val="00F65BA9"/>
    <w:rsid w:val="00F65BC8"/>
    <w:rsid w:val="00F65EEA"/>
    <w:rsid w:val="00F66205"/>
    <w:rsid w:val="00F6630F"/>
    <w:rsid w:val="00F66419"/>
    <w:rsid w:val="00F6697B"/>
    <w:rsid w:val="00F67079"/>
    <w:rsid w:val="00F67B58"/>
    <w:rsid w:val="00F67E81"/>
    <w:rsid w:val="00F7044B"/>
    <w:rsid w:val="00F70AF8"/>
    <w:rsid w:val="00F70FD4"/>
    <w:rsid w:val="00F71342"/>
    <w:rsid w:val="00F71C68"/>
    <w:rsid w:val="00F724E2"/>
    <w:rsid w:val="00F72840"/>
    <w:rsid w:val="00F72F74"/>
    <w:rsid w:val="00F73BB0"/>
    <w:rsid w:val="00F74103"/>
    <w:rsid w:val="00F7410A"/>
    <w:rsid w:val="00F745A4"/>
    <w:rsid w:val="00F74C0C"/>
    <w:rsid w:val="00F74E0A"/>
    <w:rsid w:val="00F758E1"/>
    <w:rsid w:val="00F75BB5"/>
    <w:rsid w:val="00F75FD5"/>
    <w:rsid w:val="00F7604C"/>
    <w:rsid w:val="00F763B6"/>
    <w:rsid w:val="00F76677"/>
    <w:rsid w:val="00F768CF"/>
    <w:rsid w:val="00F773A9"/>
    <w:rsid w:val="00F77C09"/>
    <w:rsid w:val="00F8056E"/>
    <w:rsid w:val="00F805B7"/>
    <w:rsid w:val="00F810C1"/>
    <w:rsid w:val="00F81623"/>
    <w:rsid w:val="00F81D25"/>
    <w:rsid w:val="00F8245C"/>
    <w:rsid w:val="00F82928"/>
    <w:rsid w:val="00F829B9"/>
    <w:rsid w:val="00F83045"/>
    <w:rsid w:val="00F83615"/>
    <w:rsid w:val="00F83EC7"/>
    <w:rsid w:val="00F84086"/>
    <w:rsid w:val="00F84112"/>
    <w:rsid w:val="00F8421D"/>
    <w:rsid w:val="00F8438A"/>
    <w:rsid w:val="00F85188"/>
    <w:rsid w:val="00F85329"/>
    <w:rsid w:val="00F85683"/>
    <w:rsid w:val="00F857A0"/>
    <w:rsid w:val="00F85841"/>
    <w:rsid w:val="00F85ADA"/>
    <w:rsid w:val="00F86079"/>
    <w:rsid w:val="00F8610A"/>
    <w:rsid w:val="00F864F6"/>
    <w:rsid w:val="00F87282"/>
    <w:rsid w:val="00F878CD"/>
    <w:rsid w:val="00F87905"/>
    <w:rsid w:val="00F87A66"/>
    <w:rsid w:val="00F87A80"/>
    <w:rsid w:val="00F90C1F"/>
    <w:rsid w:val="00F912D9"/>
    <w:rsid w:val="00F91A44"/>
    <w:rsid w:val="00F91BFA"/>
    <w:rsid w:val="00F91F8F"/>
    <w:rsid w:val="00F9217B"/>
    <w:rsid w:val="00F9581C"/>
    <w:rsid w:val="00F97A34"/>
    <w:rsid w:val="00F97E4A"/>
    <w:rsid w:val="00F97EA1"/>
    <w:rsid w:val="00FA003A"/>
    <w:rsid w:val="00FA05C8"/>
    <w:rsid w:val="00FA0678"/>
    <w:rsid w:val="00FA0936"/>
    <w:rsid w:val="00FA0DB6"/>
    <w:rsid w:val="00FA23F7"/>
    <w:rsid w:val="00FA27EB"/>
    <w:rsid w:val="00FA2A29"/>
    <w:rsid w:val="00FA2C82"/>
    <w:rsid w:val="00FA35B6"/>
    <w:rsid w:val="00FA3EBC"/>
    <w:rsid w:val="00FA423C"/>
    <w:rsid w:val="00FA44D0"/>
    <w:rsid w:val="00FA4590"/>
    <w:rsid w:val="00FA49F7"/>
    <w:rsid w:val="00FA4A07"/>
    <w:rsid w:val="00FA53EA"/>
    <w:rsid w:val="00FA55A2"/>
    <w:rsid w:val="00FA672F"/>
    <w:rsid w:val="00FA67C8"/>
    <w:rsid w:val="00FA7472"/>
    <w:rsid w:val="00FA775E"/>
    <w:rsid w:val="00FA7792"/>
    <w:rsid w:val="00FA7AA8"/>
    <w:rsid w:val="00FA7F1D"/>
    <w:rsid w:val="00FB011C"/>
    <w:rsid w:val="00FB0D60"/>
    <w:rsid w:val="00FB18FD"/>
    <w:rsid w:val="00FB2BF5"/>
    <w:rsid w:val="00FB2F8E"/>
    <w:rsid w:val="00FB30BE"/>
    <w:rsid w:val="00FB30C3"/>
    <w:rsid w:val="00FB3693"/>
    <w:rsid w:val="00FB39B0"/>
    <w:rsid w:val="00FB5138"/>
    <w:rsid w:val="00FB547F"/>
    <w:rsid w:val="00FB56D5"/>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35C"/>
    <w:rsid w:val="00FC444A"/>
    <w:rsid w:val="00FC453D"/>
    <w:rsid w:val="00FC4A89"/>
    <w:rsid w:val="00FC619B"/>
    <w:rsid w:val="00FC665F"/>
    <w:rsid w:val="00FC68E8"/>
    <w:rsid w:val="00FC6C35"/>
    <w:rsid w:val="00FC6D59"/>
    <w:rsid w:val="00FC7561"/>
    <w:rsid w:val="00FC78CB"/>
    <w:rsid w:val="00FC78F5"/>
    <w:rsid w:val="00FC7ACA"/>
    <w:rsid w:val="00FC7AD2"/>
    <w:rsid w:val="00FC7C08"/>
    <w:rsid w:val="00FD10B3"/>
    <w:rsid w:val="00FD115D"/>
    <w:rsid w:val="00FD11C3"/>
    <w:rsid w:val="00FD154E"/>
    <w:rsid w:val="00FD1715"/>
    <w:rsid w:val="00FD24D7"/>
    <w:rsid w:val="00FD28B0"/>
    <w:rsid w:val="00FD2996"/>
    <w:rsid w:val="00FD29CE"/>
    <w:rsid w:val="00FD3AE2"/>
    <w:rsid w:val="00FD3E41"/>
    <w:rsid w:val="00FD3EFA"/>
    <w:rsid w:val="00FD400A"/>
    <w:rsid w:val="00FD4D2B"/>
    <w:rsid w:val="00FD54A8"/>
    <w:rsid w:val="00FD564D"/>
    <w:rsid w:val="00FD5AE4"/>
    <w:rsid w:val="00FD5F25"/>
    <w:rsid w:val="00FD60BE"/>
    <w:rsid w:val="00FD674B"/>
    <w:rsid w:val="00FD6894"/>
    <w:rsid w:val="00FD6AF0"/>
    <w:rsid w:val="00FD6BBB"/>
    <w:rsid w:val="00FD704D"/>
    <w:rsid w:val="00FD7249"/>
    <w:rsid w:val="00FD735E"/>
    <w:rsid w:val="00FD74EF"/>
    <w:rsid w:val="00FD79B8"/>
    <w:rsid w:val="00FD79F6"/>
    <w:rsid w:val="00FE033F"/>
    <w:rsid w:val="00FE07A8"/>
    <w:rsid w:val="00FE0AD1"/>
    <w:rsid w:val="00FE0CC0"/>
    <w:rsid w:val="00FE1852"/>
    <w:rsid w:val="00FE1963"/>
    <w:rsid w:val="00FE1981"/>
    <w:rsid w:val="00FE1BF1"/>
    <w:rsid w:val="00FE1C21"/>
    <w:rsid w:val="00FE33DB"/>
    <w:rsid w:val="00FE33F5"/>
    <w:rsid w:val="00FE352A"/>
    <w:rsid w:val="00FE37DD"/>
    <w:rsid w:val="00FE3C31"/>
    <w:rsid w:val="00FE3F01"/>
    <w:rsid w:val="00FE4015"/>
    <w:rsid w:val="00FE44F5"/>
    <w:rsid w:val="00FE4783"/>
    <w:rsid w:val="00FE480D"/>
    <w:rsid w:val="00FE4A0F"/>
    <w:rsid w:val="00FE4ACC"/>
    <w:rsid w:val="00FE4F80"/>
    <w:rsid w:val="00FE570E"/>
    <w:rsid w:val="00FE594D"/>
    <w:rsid w:val="00FE6870"/>
    <w:rsid w:val="00FE713E"/>
    <w:rsid w:val="00FE7877"/>
    <w:rsid w:val="00FE7DD1"/>
    <w:rsid w:val="00FF0B4F"/>
    <w:rsid w:val="00FF0F58"/>
    <w:rsid w:val="00FF150B"/>
    <w:rsid w:val="00FF183C"/>
    <w:rsid w:val="00FF1A06"/>
    <w:rsid w:val="00FF1AD3"/>
    <w:rsid w:val="00FF1B46"/>
    <w:rsid w:val="00FF219D"/>
    <w:rsid w:val="00FF2A7B"/>
    <w:rsid w:val="00FF3D2B"/>
    <w:rsid w:val="00FF427E"/>
    <w:rsid w:val="00FF49B4"/>
    <w:rsid w:val="00FF49D6"/>
    <w:rsid w:val="00FF49F4"/>
    <w:rsid w:val="00FF5781"/>
    <w:rsid w:val="00FF5897"/>
    <w:rsid w:val="00FF5C6A"/>
    <w:rsid w:val="00FF651D"/>
    <w:rsid w:val="00FF6843"/>
    <w:rsid w:val="00FF6C25"/>
    <w:rsid w:val="010651D9"/>
    <w:rsid w:val="010D2991"/>
    <w:rsid w:val="011F6449"/>
    <w:rsid w:val="01236AFB"/>
    <w:rsid w:val="01890039"/>
    <w:rsid w:val="019F7441"/>
    <w:rsid w:val="01B37585"/>
    <w:rsid w:val="01D55165"/>
    <w:rsid w:val="01DF6BF8"/>
    <w:rsid w:val="01EC2C57"/>
    <w:rsid w:val="0202596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735C68"/>
    <w:rsid w:val="048B0EE3"/>
    <w:rsid w:val="048F763B"/>
    <w:rsid w:val="049F330E"/>
    <w:rsid w:val="04AA775C"/>
    <w:rsid w:val="04AF1889"/>
    <w:rsid w:val="04F66F48"/>
    <w:rsid w:val="05120775"/>
    <w:rsid w:val="05251E14"/>
    <w:rsid w:val="05946033"/>
    <w:rsid w:val="05A16594"/>
    <w:rsid w:val="05A7762D"/>
    <w:rsid w:val="060E5941"/>
    <w:rsid w:val="06100207"/>
    <w:rsid w:val="06110FAF"/>
    <w:rsid w:val="062C51A3"/>
    <w:rsid w:val="062F2CAA"/>
    <w:rsid w:val="06493CA7"/>
    <w:rsid w:val="065A6178"/>
    <w:rsid w:val="06642AFE"/>
    <w:rsid w:val="066F1CF3"/>
    <w:rsid w:val="06930BB8"/>
    <w:rsid w:val="06B234A2"/>
    <w:rsid w:val="06BE0C23"/>
    <w:rsid w:val="07245D42"/>
    <w:rsid w:val="07264C62"/>
    <w:rsid w:val="0779354C"/>
    <w:rsid w:val="07A41E5B"/>
    <w:rsid w:val="07EE1963"/>
    <w:rsid w:val="08061376"/>
    <w:rsid w:val="0808579C"/>
    <w:rsid w:val="08163E65"/>
    <w:rsid w:val="08452D77"/>
    <w:rsid w:val="0861033C"/>
    <w:rsid w:val="086401F8"/>
    <w:rsid w:val="08751CAA"/>
    <w:rsid w:val="087E4C40"/>
    <w:rsid w:val="0886507F"/>
    <w:rsid w:val="08D66AD6"/>
    <w:rsid w:val="08DA33A3"/>
    <w:rsid w:val="08E80F13"/>
    <w:rsid w:val="092E1A8D"/>
    <w:rsid w:val="09335624"/>
    <w:rsid w:val="0944690F"/>
    <w:rsid w:val="09535675"/>
    <w:rsid w:val="095F057D"/>
    <w:rsid w:val="09642282"/>
    <w:rsid w:val="09733572"/>
    <w:rsid w:val="09772C16"/>
    <w:rsid w:val="098353B5"/>
    <w:rsid w:val="09A92330"/>
    <w:rsid w:val="09B06B87"/>
    <w:rsid w:val="09C13146"/>
    <w:rsid w:val="09E04166"/>
    <w:rsid w:val="0A1C0718"/>
    <w:rsid w:val="0A303069"/>
    <w:rsid w:val="0A317207"/>
    <w:rsid w:val="0A3E7710"/>
    <w:rsid w:val="0A5B7E63"/>
    <w:rsid w:val="0AA16DFC"/>
    <w:rsid w:val="0AA374A5"/>
    <w:rsid w:val="0AAB7649"/>
    <w:rsid w:val="0ABC5606"/>
    <w:rsid w:val="0AF90439"/>
    <w:rsid w:val="0B0A0458"/>
    <w:rsid w:val="0B30404E"/>
    <w:rsid w:val="0B4C6C14"/>
    <w:rsid w:val="0B5F1DB6"/>
    <w:rsid w:val="0B631A88"/>
    <w:rsid w:val="0B683D45"/>
    <w:rsid w:val="0B7F3F11"/>
    <w:rsid w:val="0B884417"/>
    <w:rsid w:val="0BDD0E19"/>
    <w:rsid w:val="0BF507B6"/>
    <w:rsid w:val="0BF6188C"/>
    <w:rsid w:val="0BF73C91"/>
    <w:rsid w:val="0C170175"/>
    <w:rsid w:val="0C571A41"/>
    <w:rsid w:val="0C5C1171"/>
    <w:rsid w:val="0C5E1CBC"/>
    <w:rsid w:val="0C615B50"/>
    <w:rsid w:val="0C8445DA"/>
    <w:rsid w:val="0C87121B"/>
    <w:rsid w:val="0CB669DB"/>
    <w:rsid w:val="0CC007F7"/>
    <w:rsid w:val="0CF673BD"/>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9403A"/>
    <w:rsid w:val="0E1B245B"/>
    <w:rsid w:val="0E5604B2"/>
    <w:rsid w:val="0E6D5D79"/>
    <w:rsid w:val="0E9D0089"/>
    <w:rsid w:val="0EB803EE"/>
    <w:rsid w:val="0EF94D4B"/>
    <w:rsid w:val="0F4958DC"/>
    <w:rsid w:val="0F4C0664"/>
    <w:rsid w:val="0F515DF7"/>
    <w:rsid w:val="0F596BA8"/>
    <w:rsid w:val="0F6248D2"/>
    <w:rsid w:val="0F693536"/>
    <w:rsid w:val="0F7B0511"/>
    <w:rsid w:val="0F7B76D9"/>
    <w:rsid w:val="0F816ACD"/>
    <w:rsid w:val="0F9832DB"/>
    <w:rsid w:val="0FB413AF"/>
    <w:rsid w:val="0FBF3FD2"/>
    <w:rsid w:val="0FBF7FF3"/>
    <w:rsid w:val="102F7D69"/>
    <w:rsid w:val="10646583"/>
    <w:rsid w:val="106B69D5"/>
    <w:rsid w:val="107D4B15"/>
    <w:rsid w:val="10855341"/>
    <w:rsid w:val="108A3C80"/>
    <w:rsid w:val="10987513"/>
    <w:rsid w:val="10C26171"/>
    <w:rsid w:val="10F33360"/>
    <w:rsid w:val="10FC16EA"/>
    <w:rsid w:val="110F1D40"/>
    <w:rsid w:val="111B199F"/>
    <w:rsid w:val="11266F33"/>
    <w:rsid w:val="118963A1"/>
    <w:rsid w:val="11C6522A"/>
    <w:rsid w:val="11E104CC"/>
    <w:rsid w:val="11E20309"/>
    <w:rsid w:val="12255233"/>
    <w:rsid w:val="12530213"/>
    <w:rsid w:val="126D04F8"/>
    <w:rsid w:val="127723A9"/>
    <w:rsid w:val="12862074"/>
    <w:rsid w:val="12883966"/>
    <w:rsid w:val="129E45B4"/>
    <w:rsid w:val="12D81596"/>
    <w:rsid w:val="13072A44"/>
    <w:rsid w:val="130A061A"/>
    <w:rsid w:val="1319085D"/>
    <w:rsid w:val="135F4BE2"/>
    <w:rsid w:val="139B1A0A"/>
    <w:rsid w:val="139D25C7"/>
    <w:rsid w:val="13BF3CE4"/>
    <w:rsid w:val="141008D8"/>
    <w:rsid w:val="14125FE6"/>
    <w:rsid w:val="146D271E"/>
    <w:rsid w:val="14982588"/>
    <w:rsid w:val="149A5AD9"/>
    <w:rsid w:val="14A7619D"/>
    <w:rsid w:val="150536C3"/>
    <w:rsid w:val="150C1963"/>
    <w:rsid w:val="151447A0"/>
    <w:rsid w:val="153D4CD7"/>
    <w:rsid w:val="154A6454"/>
    <w:rsid w:val="155862F9"/>
    <w:rsid w:val="15762120"/>
    <w:rsid w:val="15B6173D"/>
    <w:rsid w:val="16A456DC"/>
    <w:rsid w:val="16A8729C"/>
    <w:rsid w:val="16B33777"/>
    <w:rsid w:val="16BC70A7"/>
    <w:rsid w:val="16C6339E"/>
    <w:rsid w:val="172F2D79"/>
    <w:rsid w:val="17557BEF"/>
    <w:rsid w:val="17750F77"/>
    <w:rsid w:val="17BA1532"/>
    <w:rsid w:val="17C64912"/>
    <w:rsid w:val="17D349C1"/>
    <w:rsid w:val="17FF73F0"/>
    <w:rsid w:val="18286B86"/>
    <w:rsid w:val="1830729E"/>
    <w:rsid w:val="1870062C"/>
    <w:rsid w:val="18817102"/>
    <w:rsid w:val="18830A15"/>
    <w:rsid w:val="18852B28"/>
    <w:rsid w:val="188B5321"/>
    <w:rsid w:val="19932372"/>
    <w:rsid w:val="19A20DD5"/>
    <w:rsid w:val="19AE03F1"/>
    <w:rsid w:val="19DE01EC"/>
    <w:rsid w:val="19F7198E"/>
    <w:rsid w:val="1A071A03"/>
    <w:rsid w:val="1A1F16AE"/>
    <w:rsid w:val="1A3B5C77"/>
    <w:rsid w:val="1A984BAD"/>
    <w:rsid w:val="1A9A2283"/>
    <w:rsid w:val="1AB8220E"/>
    <w:rsid w:val="1AE4166C"/>
    <w:rsid w:val="1AF06CFB"/>
    <w:rsid w:val="1AF11B8D"/>
    <w:rsid w:val="1B11359C"/>
    <w:rsid w:val="1B2A271F"/>
    <w:rsid w:val="1B530544"/>
    <w:rsid w:val="1B713184"/>
    <w:rsid w:val="1BA209CF"/>
    <w:rsid w:val="1BB4777D"/>
    <w:rsid w:val="1BD75AB8"/>
    <w:rsid w:val="1C0459C2"/>
    <w:rsid w:val="1C1B3B4A"/>
    <w:rsid w:val="1C1B7A4A"/>
    <w:rsid w:val="1C88086E"/>
    <w:rsid w:val="1CA81A08"/>
    <w:rsid w:val="1D266CE1"/>
    <w:rsid w:val="1D3963AF"/>
    <w:rsid w:val="1D6A673C"/>
    <w:rsid w:val="1D7E5E8C"/>
    <w:rsid w:val="1D9247AE"/>
    <w:rsid w:val="1D937669"/>
    <w:rsid w:val="1DB567EC"/>
    <w:rsid w:val="1DF51A98"/>
    <w:rsid w:val="1E307AA3"/>
    <w:rsid w:val="1E3D060F"/>
    <w:rsid w:val="1E3F7D2E"/>
    <w:rsid w:val="1E4134E4"/>
    <w:rsid w:val="1E5062B3"/>
    <w:rsid w:val="1E523514"/>
    <w:rsid w:val="1E714A66"/>
    <w:rsid w:val="1E802593"/>
    <w:rsid w:val="1EA06883"/>
    <w:rsid w:val="1EA703CC"/>
    <w:rsid w:val="1EB7330C"/>
    <w:rsid w:val="1F0A0FF3"/>
    <w:rsid w:val="1F5771FF"/>
    <w:rsid w:val="1F6E06FC"/>
    <w:rsid w:val="1F87003E"/>
    <w:rsid w:val="1FE868A9"/>
    <w:rsid w:val="1FFF5DA9"/>
    <w:rsid w:val="20034907"/>
    <w:rsid w:val="20173E4B"/>
    <w:rsid w:val="204E48BC"/>
    <w:rsid w:val="208921B3"/>
    <w:rsid w:val="20973DEB"/>
    <w:rsid w:val="20B26522"/>
    <w:rsid w:val="20B44310"/>
    <w:rsid w:val="211116EB"/>
    <w:rsid w:val="214D3572"/>
    <w:rsid w:val="216133FC"/>
    <w:rsid w:val="21D56769"/>
    <w:rsid w:val="21E52EF3"/>
    <w:rsid w:val="21FB5D7B"/>
    <w:rsid w:val="220B1C3D"/>
    <w:rsid w:val="221D1D20"/>
    <w:rsid w:val="22334A87"/>
    <w:rsid w:val="22A42BBD"/>
    <w:rsid w:val="22BE6801"/>
    <w:rsid w:val="230E380E"/>
    <w:rsid w:val="233500BF"/>
    <w:rsid w:val="23377FF7"/>
    <w:rsid w:val="234D3200"/>
    <w:rsid w:val="236B425F"/>
    <w:rsid w:val="236D1AE9"/>
    <w:rsid w:val="23836192"/>
    <w:rsid w:val="23901F29"/>
    <w:rsid w:val="239C0061"/>
    <w:rsid w:val="23B908A4"/>
    <w:rsid w:val="23E95BEF"/>
    <w:rsid w:val="23FD0064"/>
    <w:rsid w:val="245375B0"/>
    <w:rsid w:val="24642C0A"/>
    <w:rsid w:val="249B17F7"/>
    <w:rsid w:val="24B22173"/>
    <w:rsid w:val="24B95AD9"/>
    <w:rsid w:val="24BE24DA"/>
    <w:rsid w:val="24CF5825"/>
    <w:rsid w:val="24D663E6"/>
    <w:rsid w:val="24D77F2B"/>
    <w:rsid w:val="24F33E9A"/>
    <w:rsid w:val="251C31E3"/>
    <w:rsid w:val="258B00E2"/>
    <w:rsid w:val="25A917A6"/>
    <w:rsid w:val="25BE27CC"/>
    <w:rsid w:val="25F74A5C"/>
    <w:rsid w:val="2628662C"/>
    <w:rsid w:val="262A7858"/>
    <w:rsid w:val="262D45DE"/>
    <w:rsid w:val="26A53EF9"/>
    <w:rsid w:val="26A94201"/>
    <w:rsid w:val="26AC274F"/>
    <w:rsid w:val="27044A29"/>
    <w:rsid w:val="271D34C8"/>
    <w:rsid w:val="276142BF"/>
    <w:rsid w:val="27783712"/>
    <w:rsid w:val="27907362"/>
    <w:rsid w:val="27A73950"/>
    <w:rsid w:val="27FD5FE2"/>
    <w:rsid w:val="28333E1D"/>
    <w:rsid w:val="28454BD6"/>
    <w:rsid w:val="28455253"/>
    <w:rsid w:val="28551971"/>
    <w:rsid w:val="285B1C53"/>
    <w:rsid w:val="286D2667"/>
    <w:rsid w:val="289F7086"/>
    <w:rsid w:val="28C32028"/>
    <w:rsid w:val="28CC490F"/>
    <w:rsid w:val="28DE40AA"/>
    <w:rsid w:val="29297B19"/>
    <w:rsid w:val="29345E77"/>
    <w:rsid w:val="294C65AD"/>
    <w:rsid w:val="29806583"/>
    <w:rsid w:val="298B3C4C"/>
    <w:rsid w:val="29AD2CCD"/>
    <w:rsid w:val="29EC34A5"/>
    <w:rsid w:val="29F26D24"/>
    <w:rsid w:val="2A15033F"/>
    <w:rsid w:val="2A1662C1"/>
    <w:rsid w:val="2A1C7367"/>
    <w:rsid w:val="2A2815FA"/>
    <w:rsid w:val="2A4E45E1"/>
    <w:rsid w:val="2A6D6092"/>
    <w:rsid w:val="2A7D76B4"/>
    <w:rsid w:val="2ACE0CCA"/>
    <w:rsid w:val="2B2629E5"/>
    <w:rsid w:val="2B437463"/>
    <w:rsid w:val="2B7807EE"/>
    <w:rsid w:val="2B8B3764"/>
    <w:rsid w:val="2BBF00EC"/>
    <w:rsid w:val="2BC37CFD"/>
    <w:rsid w:val="2BD5237F"/>
    <w:rsid w:val="2BDB6BA0"/>
    <w:rsid w:val="2BDF1F09"/>
    <w:rsid w:val="2BE536CE"/>
    <w:rsid w:val="2BE758D9"/>
    <w:rsid w:val="2C09049E"/>
    <w:rsid w:val="2C0A653C"/>
    <w:rsid w:val="2C191F85"/>
    <w:rsid w:val="2C29770E"/>
    <w:rsid w:val="2C6748DC"/>
    <w:rsid w:val="2C9A62E3"/>
    <w:rsid w:val="2CE82D6F"/>
    <w:rsid w:val="2D343236"/>
    <w:rsid w:val="2DC8E022"/>
    <w:rsid w:val="2DD15014"/>
    <w:rsid w:val="2DF72DE4"/>
    <w:rsid w:val="2E0220AF"/>
    <w:rsid w:val="2E4B082A"/>
    <w:rsid w:val="2E5D4E86"/>
    <w:rsid w:val="2E5D790B"/>
    <w:rsid w:val="2E9A3C18"/>
    <w:rsid w:val="2EBB0FEE"/>
    <w:rsid w:val="2EC63002"/>
    <w:rsid w:val="2EF012F9"/>
    <w:rsid w:val="2F0814E2"/>
    <w:rsid w:val="2F0A6B38"/>
    <w:rsid w:val="2F1E646B"/>
    <w:rsid w:val="2F946CCB"/>
    <w:rsid w:val="2FCE6F45"/>
    <w:rsid w:val="2FD25781"/>
    <w:rsid w:val="2FE36661"/>
    <w:rsid w:val="2FFD7934"/>
    <w:rsid w:val="30733ACD"/>
    <w:rsid w:val="30895216"/>
    <w:rsid w:val="308C3862"/>
    <w:rsid w:val="309379D8"/>
    <w:rsid w:val="30A270F7"/>
    <w:rsid w:val="30DF1478"/>
    <w:rsid w:val="30EC586F"/>
    <w:rsid w:val="31066D6A"/>
    <w:rsid w:val="31315B2B"/>
    <w:rsid w:val="319C6071"/>
    <w:rsid w:val="31AC537E"/>
    <w:rsid w:val="31D5367B"/>
    <w:rsid w:val="31E3679B"/>
    <w:rsid w:val="31E732FD"/>
    <w:rsid w:val="31F33E31"/>
    <w:rsid w:val="322D17D7"/>
    <w:rsid w:val="32517576"/>
    <w:rsid w:val="32A83FF7"/>
    <w:rsid w:val="32BE5C2C"/>
    <w:rsid w:val="32FB6478"/>
    <w:rsid w:val="33263B3F"/>
    <w:rsid w:val="336963EB"/>
    <w:rsid w:val="33816EEB"/>
    <w:rsid w:val="33EB55CD"/>
    <w:rsid w:val="33EC4C02"/>
    <w:rsid w:val="33EF143A"/>
    <w:rsid w:val="340D2360"/>
    <w:rsid w:val="3410665D"/>
    <w:rsid w:val="34211214"/>
    <w:rsid w:val="342E63AB"/>
    <w:rsid w:val="343520A9"/>
    <w:rsid w:val="345C5FDB"/>
    <w:rsid w:val="34627162"/>
    <w:rsid w:val="34897199"/>
    <w:rsid w:val="34950E68"/>
    <w:rsid w:val="34986E94"/>
    <w:rsid w:val="34AF62C9"/>
    <w:rsid w:val="34BD6E42"/>
    <w:rsid w:val="34CB4388"/>
    <w:rsid w:val="34D3006E"/>
    <w:rsid w:val="34FA6E12"/>
    <w:rsid w:val="358D5588"/>
    <w:rsid w:val="35F9691B"/>
    <w:rsid w:val="362278C0"/>
    <w:rsid w:val="363A3B40"/>
    <w:rsid w:val="365302AE"/>
    <w:rsid w:val="36607A0A"/>
    <w:rsid w:val="366E227C"/>
    <w:rsid w:val="366F2E0D"/>
    <w:rsid w:val="367B6A5C"/>
    <w:rsid w:val="36A74ADA"/>
    <w:rsid w:val="36AD60D5"/>
    <w:rsid w:val="36B224F9"/>
    <w:rsid w:val="36E13A87"/>
    <w:rsid w:val="36EC0CC9"/>
    <w:rsid w:val="373F410B"/>
    <w:rsid w:val="37920DA3"/>
    <w:rsid w:val="37EE7094"/>
    <w:rsid w:val="37F92C99"/>
    <w:rsid w:val="38296C89"/>
    <w:rsid w:val="383002EB"/>
    <w:rsid w:val="38586797"/>
    <w:rsid w:val="38BC0149"/>
    <w:rsid w:val="38D87D1C"/>
    <w:rsid w:val="39636459"/>
    <w:rsid w:val="396B7F6C"/>
    <w:rsid w:val="3976752B"/>
    <w:rsid w:val="39B417A9"/>
    <w:rsid w:val="39BF1980"/>
    <w:rsid w:val="39C90037"/>
    <w:rsid w:val="39FC5695"/>
    <w:rsid w:val="3A006D8E"/>
    <w:rsid w:val="3A2B7D1D"/>
    <w:rsid w:val="3A3651E5"/>
    <w:rsid w:val="3A741703"/>
    <w:rsid w:val="3A744481"/>
    <w:rsid w:val="3A8C7BEF"/>
    <w:rsid w:val="3A906246"/>
    <w:rsid w:val="3B2349B7"/>
    <w:rsid w:val="3B2B751A"/>
    <w:rsid w:val="3B616CFF"/>
    <w:rsid w:val="3B6259F6"/>
    <w:rsid w:val="3B6C7456"/>
    <w:rsid w:val="3B976654"/>
    <w:rsid w:val="3BBEE7F0"/>
    <w:rsid w:val="3BC01EFC"/>
    <w:rsid w:val="3BCA786A"/>
    <w:rsid w:val="3BD31E2F"/>
    <w:rsid w:val="3BF15831"/>
    <w:rsid w:val="3C105946"/>
    <w:rsid w:val="3C471448"/>
    <w:rsid w:val="3C5F759A"/>
    <w:rsid w:val="3C6C525A"/>
    <w:rsid w:val="3CBB5DCB"/>
    <w:rsid w:val="3CCE23CB"/>
    <w:rsid w:val="3CD17D17"/>
    <w:rsid w:val="3D3C7F39"/>
    <w:rsid w:val="3D440F09"/>
    <w:rsid w:val="3D4504A0"/>
    <w:rsid w:val="3D67B1D9"/>
    <w:rsid w:val="3D8734BB"/>
    <w:rsid w:val="3D9A11D4"/>
    <w:rsid w:val="3DA16D89"/>
    <w:rsid w:val="3DA364BE"/>
    <w:rsid w:val="3DE041CB"/>
    <w:rsid w:val="3E0D48F6"/>
    <w:rsid w:val="3E1868B4"/>
    <w:rsid w:val="3E377251"/>
    <w:rsid w:val="3E42664B"/>
    <w:rsid w:val="3E453DFC"/>
    <w:rsid w:val="3E5A7334"/>
    <w:rsid w:val="3E7B5D6B"/>
    <w:rsid w:val="3E843E66"/>
    <w:rsid w:val="3E8F51FE"/>
    <w:rsid w:val="3E926F87"/>
    <w:rsid w:val="3E9A59DE"/>
    <w:rsid w:val="3E9F7AC9"/>
    <w:rsid w:val="3EAF4836"/>
    <w:rsid w:val="3EC33DFA"/>
    <w:rsid w:val="3F060E16"/>
    <w:rsid w:val="3F1D1096"/>
    <w:rsid w:val="3F2F0234"/>
    <w:rsid w:val="3F3336EB"/>
    <w:rsid w:val="3F6363FE"/>
    <w:rsid w:val="3F6A5E19"/>
    <w:rsid w:val="3F756B8F"/>
    <w:rsid w:val="3F95482B"/>
    <w:rsid w:val="3FBFFE11"/>
    <w:rsid w:val="3FF7FBE4"/>
    <w:rsid w:val="4019356B"/>
    <w:rsid w:val="40592157"/>
    <w:rsid w:val="406E1CAE"/>
    <w:rsid w:val="40A0133A"/>
    <w:rsid w:val="40C31A53"/>
    <w:rsid w:val="40FF545D"/>
    <w:rsid w:val="410067C8"/>
    <w:rsid w:val="410F0A26"/>
    <w:rsid w:val="413E78FA"/>
    <w:rsid w:val="418F0D2A"/>
    <w:rsid w:val="41BE52A2"/>
    <w:rsid w:val="41D01505"/>
    <w:rsid w:val="41E433F4"/>
    <w:rsid w:val="42474939"/>
    <w:rsid w:val="424C3C57"/>
    <w:rsid w:val="42613FF3"/>
    <w:rsid w:val="42660D96"/>
    <w:rsid w:val="428667D2"/>
    <w:rsid w:val="429F6EF8"/>
    <w:rsid w:val="42CD1CE0"/>
    <w:rsid w:val="42D326B7"/>
    <w:rsid w:val="42E1381E"/>
    <w:rsid w:val="42ED6459"/>
    <w:rsid w:val="42FE58DD"/>
    <w:rsid w:val="43174B3D"/>
    <w:rsid w:val="431F542F"/>
    <w:rsid w:val="43487E33"/>
    <w:rsid w:val="434B790E"/>
    <w:rsid w:val="4360274F"/>
    <w:rsid w:val="43977AB6"/>
    <w:rsid w:val="43A3342B"/>
    <w:rsid w:val="43BA3820"/>
    <w:rsid w:val="43C77C27"/>
    <w:rsid w:val="43DE09EE"/>
    <w:rsid w:val="44002FAD"/>
    <w:rsid w:val="44066811"/>
    <w:rsid w:val="445F0B62"/>
    <w:rsid w:val="4462171E"/>
    <w:rsid w:val="44765407"/>
    <w:rsid w:val="449101DD"/>
    <w:rsid w:val="44DE1391"/>
    <w:rsid w:val="451B225C"/>
    <w:rsid w:val="452410C9"/>
    <w:rsid w:val="45317DFB"/>
    <w:rsid w:val="456D3CE4"/>
    <w:rsid w:val="4579042C"/>
    <w:rsid w:val="457F0571"/>
    <w:rsid w:val="45851176"/>
    <w:rsid w:val="45B47BFC"/>
    <w:rsid w:val="45C63B94"/>
    <w:rsid w:val="45C85647"/>
    <w:rsid w:val="460E7DA5"/>
    <w:rsid w:val="464222BD"/>
    <w:rsid w:val="46422483"/>
    <w:rsid w:val="4659254A"/>
    <w:rsid w:val="465B0637"/>
    <w:rsid w:val="465E3F0D"/>
    <w:rsid w:val="466A16E6"/>
    <w:rsid w:val="46893F2B"/>
    <w:rsid w:val="46C4686E"/>
    <w:rsid w:val="474B392C"/>
    <w:rsid w:val="477B778F"/>
    <w:rsid w:val="478203EC"/>
    <w:rsid w:val="47B025FA"/>
    <w:rsid w:val="47C14C76"/>
    <w:rsid w:val="47ED10C3"/>
    <w:rsid w:val="4809698F"/>
    <w:rsid w:val="4811697D"/>
    <w:rsid w:val="487A3E25"/>
    <w:rsid w:val="488717E9"/>
    <w:rsid w:val="488B5503"/>
    <w:rsid w:val="48937E21"/>
    <w:rsid w:val="489A0361"/>
    <w:rsid w:val="48B94FF3"/>
    <w:rsid w:val="48BC481F"/>
    <w:rsid w:val="48C91E9C"/>
    <w:rsid w:val="48E37AAB"/>
    <w:rsid w:val="48FD4B4C"/>
    <w:rsid w:val="490A68E0"/>
    <w:rsid w:val="491055FE"/>
    <w:rsid w:val="494B4C51"/>
    <w:rsid w:val="495F5B3E"/>
    <w:rsid w:val="496F77D7"/>
    <w:rsid w:val="497654FD"/>
    <w:rsid w:val="4983261A"/>
    <w:rsid w:val="4994413B"/>
    <w:rsid w:val="499B5CD3"/>
    <w:rsid w:val="49B64211"/>
    <w:rsid w:val="49F6167F"/>
    <w:rsid w:val="4A064FA0"/>
    <w:rsid w:val="4A16615C"/>
    <w:rsid w:val="4A4424D7"/>
    <w:rsid w:val="4A69564B"/>
    <w:rsid w:val="4AB82D0F"/>
    <w:rsid w:val="4AEB7664"/>
    <w:rsid w:val="4AFD7C19"/>
    <w:rsid w:val="4B0567D1"/>
    <w:rsid w:val="4B236AAE"/>
    <w:rsid w:val="4B3B40FA"/>
    <w:rsid w:val="4B632DA9"/>
    <w:rsid w:val="4B707271"/>
    <w:rsid w:val="4B836777"/>
    <w:rsid w:val="4B9739F7"/>
    <w:rsid w:val="4BB23021"/>
    <w:rsid w:val="4BC7459F"/>
    <w:rsid w:val="4BEE2503"/>
    <w:rsid w:val="4C245A30"/>
    <w:rsid w:val="4C5916EF"/>
    <w:rsid w:val="4CA455B7"/>
    <w:rsid w:val="4CB6685F"/>
    <w:rsid w:val="4CC367FE"/>
    <w:rsid w:val="4CD10C88"/>
    <w:rsid w:val="4D005368"/>
    <w:rsid w:val="4D077F3C"/>
    <w:rsid w:val="4D0B7988"/>
    <w:rsid w:val="4D123355"/>
    <w:rsid w:val="4D2A3B31"/>
    <w:rsid w:val="4D312C52"/>
    <w:rsid w:val="4D905305"/>
    <w:rsid w:val="4D964A72"/>
    <w:rsid w:val="4D9C1254"/>
    <w:rsid w:val="4DE131FF"/>
    <w:rsid w:val="4E615B84"/>
    <w:rsid w:val="4E793892"/>
    <w:rsid w:val="4E800872"/>
    <w:rsid w:val="4EC569ED"/>
    <w:rsid w:val="4EC959E7"/>
    <w:rsid w:val="4ED50EA1"/>
    <w:rsid w:val="4EE80B08"/>
    <w:rsid w:val="4EEC050C"/>
    <w:rsid w:val="4F104EC3"/>
    <w:rsid w:val="4F47354A"/>
    <w:rsid w:val="4F911C54"/>
    <w:rsid w:val="4FE625E0"/>
    <w:rsid w:val="50084580"/>
    <w:rsid w:val="5021480F"/>
    <w:rsid w:val="503F6BB0"/>
    <w:rsid w:val="504F44D2"/>
    <w:rsid w:val="505A77E4"/>
    <w:rsid w:val="50962ECB"/>
    <w:rsid w:val="50A42E38"/>
    <w:rsid w:val="50A4577F"/>
    <w:rsid w:val="50B213CE"/>
    <w:rsid w:val="50B73D1F"/>
    <w:rsid w:val="50BD5BC9"/>
    <w:rsid w:val="50C11EEE"/>
    <w:rsid w:val="50E97CFC"/>
    <w:rsid w:val="50FA4028"/>
    <w:rsid w:val="510D65B7"/>
    <w:rsid w:val="511157AB"/>
    <w:rsid w:val="5142540C"/>
    <w:rsid w:val="5177735F"/>
    <w:rsid w:val="518832C8"/>
    <w:rsid w:val="51A0432A"/>
    <w:rsid w:val="51A86090"/>
    <w:rsid w:val="51B7396D"/>
    <w:rsid w:val="522E4CC3"/>
    <w:rsid w:val="52383B54"/>
    <w:rsid w:val="5244713B"/>
    <w:rsid w:val="52615633"/>
    <w:rsid w:val="52977FD4"/>
    <w:rsid w:val="52A25790"/>
    <w:rsid w:val="52A96B6F"/>
    <w:rsid w:val="52B45975"/>
    <w:rsid w:val="52D94AA4"/>
    <w:rsid w:val="52EA3A62"/>
    <w:rsid w:val="52F50BB8"/>
    <w:rsid w:val="53097272"/>
    <w:rsid w:val="53544462"/>
    <w:rsid w:val="5397158E"/>
    <w:rsid w:val="53DB585D"/>
    <w:rsid w:val="53F74B50"/>
    <w:rsid w:val="54013861"/>
    <w:rsid w:val="54487265"/>
    <w:rsid w:val="544D6070"/>
    <w:rsid w:val="54605E1E"/>
    <w:rsid w:val="54B3506A"/>
    <w:rsid w:val="54CA0D16"/>
    <w:rsid w:val="54DD4057"/>
    <w:rsid w:val="54E7490F"/>
    <w:rsid w:val="54F16968"/>
    <w:rsid w:val="550764A4"/>
    <w:rsid w:val="550B2BF6"/>
    <w:rsid w:val="55214EB5"/>
    <w:rsid w:val="55364EFD"/>
    <w:rsid w:val="55534144"/>
    <w:rsid w:val="555D4828"/>
    <w:rsid w:val="557A4C8B"/>
    <w:rsid w:val="558931E1"/>
    <w:rsid w:val="55923347"/>
    <w:rsid w:val="55925180"/>
    <w:rsid w:val="55983B1B"/>
    <w:rsid w:val="55A8376B"/>
    <w:rsid w:val="55DC29B6"/>
    <w:rsid w:val="55DD4241"/>
    <w:rsid w:val="566B6D1E"/>
    <w:rsid w:val="56CC2F32"/>
    <w:rsid w:val="57032A2C"/>
    <w:rsid w:val="570F5219"/>
    <w:rsid w:val="57297951"/>
    <w:rsid w:val="575D12B5"/>
    <w:rsid w:val="57610A87"/>
    <w:rsid w:val="577B1140"/>
    <w:rsid w:val="577B7F21"/>
    <w:rsid w:val="577F181B"/>
    <w:rsid w:val="577FE0ED"/>
    <w:rsid w:val="57921984"/>
    <w:rsid w:val="579737F0"/>
    <w:rsid w:val="57A95129"/>
    <w:rsid w:val="57AB7B30"/>
    <w:rsid w:val="57AF5251"/>
    <w:rsid w:val="57B26373"/>
    <w:rsid w:val="57B63F04"/>
    <w:rsid w:val="57CD20C2"/>
    <w:rsid w:val="57D675AB"/>
    <w:rsid w:val="57D95FDD"/>
    <w:rsid w:val="57E66F6F"/>
    <w:rsid w:val="58917D2F"/>
    <w:rsid w:val="5894085C"/>
    <w:rsid w:val="58AE4F0C"/>
    <w:rsid w:val="58B85899"/>
    <w:rsid w:val="58E363A9"/>
    <w:rsid w:val="59170D31"/>
    <w:rsid w:val="595E1678"/>
    <w:rsid w:val="596D5BD4"/>
    <w:rsid w:val="597E3DD8"/>
    <w:rsid w:val="59F80043"/>
    <w:rsid w:val="5A09252F"/>
    <w:rsid w:val="5A0B2778"/>
    <w:rsid w:val="5A2A7C7B"/>
    <w:rsid w:val="5A3E2560"/>
    <w:rsid w:val="5A584D94"/>
    <w:rsid w:val="5A5D3B6E"/>
    <w:rsid w:val="5A637A76"/>
    <w:rsid w:val="5A6D33BA"/>
    <w:rsid w:val="5A792B1F"/>
    <w:rsid w:val="5A874767"/>
    <w:rsid w:val="5AAD6F28"/>
    <w:rsid w:val="5AD63A24"/>
    <w:rsid w:val="5B2E1A1D"/>
    <w:rsid w:val="5B843A1C"/>
    <w:rsid w:val="5B873E3F"/>
    <w:rsid w:val="5BD1436C"/>
    <w:rsid w:val="5BFBF5EC"/>
    <w:rsid w:val="5C02690E"/>
    <w:rsid w:val="5C0F20B2"/>
    <w:rsid w:val="5C196DA7"/>
    <w:rsid w:val="5C2A048C"/>
    <w:rsid w:val="5C80234E"/>
    <w:rsid w:val="5C8A680C"/>
    <w:rsid w:val="5D0C4701"/>
    <w:rsid w:val="5D0F0395"/>
    <w:rsid w:val="5D1230C5"/>
    <w:rsid w:val="5D1A6C78"/>
    <w:rsid w:val="5D221076"/>
    <w:rsid w:val="5D397964"/>
    <w:rsid w:val="5D5A391C"/>
    <w:rsid w:val="5D5F10C0"/>
    <w:rsid w:val="5D891B7B"/>
    <w:rsid w:val="5DAD38EE"/>
    <w:rsid w:val="5E006862"/>
    <w:rsid w:val="5E0207B9"/>
    <w:rsid w:val="5E030FF6"/>
    <w:rsid w:val="5E1834A1"/>
    <w:rsid w:val="5E261785"/>
    <w:rsid w:val="5E4A7017"/>
    <w:rsid w:val="5E552BBA"/>
    <w:rsid w:val="5E611C10"/>
    <w:rsid w:val="5EFC7377"/>
    <w:rsid w:val="5EFF2CA6"/>
    <w:rsid w:val="5F06174D"/>
    <w:rsid w:val="5F3A3602"/>
    <w:rsid w:val="5F6277C6"/>
    <w:rsid w:val="5F6D0B1D"/>
    <w:rsid w:val="5F8D0B82"/>
    <w:rsid w:val="5FCC5339"/>
    <w:rsid w:val="5FE34A5B"/>
    <w:rsid w:val="5FEDD6E9"/>
    <w:rsid w:val="5FFE1E36"/>
    <w:rsid w:val="60232584"/>
    <w:rsid w:val="607330CE"/>
    <w:rsid w:val="607B7A2E"/>
    <w:rsid w:val="60825176"/>
    <w:rsid w:val="609F2AC4"/>
    <w:rsid w:val="60FA2EE8"/>
    <w:rsid w:val="61054A27"/>
    <w:rsid w:val="610A52BC"/>
    <w:rsid w:val="61154AB0"/>
    <w:rsid w:val="611D2366"/>
    <w:rsid w:val="61421856"/>
    <w:rsid w:val="615227C4"/>
    <w:rsid w:val="61654E3F"/>
    <w:rsid w:val="6182292A"/>
    <w:rsid w:val="61907695"/>
    <w:rsid w:val="619F7F92"/>
    <w:rsid w:val="61F94C26"/>
    <w:rsid w:val="62000E56"/>
    <w:rsid w:val="620505DD"/>
    <w:rsid w:val="621C6A35"/>
    <w:rsid w:val="624F3E49"/>
    <w:rsid w:val="62632286"/>
    <w:rsid w:val="62885958"/>
    <w:rsid w:val="62F40B65"/>
    <w:rsid w:val="62FC2CFE"/>
    <w:rsid w:val="63024505"/>
    <w:rsid w:val="6354586C"/>
    <w:rsid w:val="635B1DB5"/>
    <w:rsid w:val="63711FED"/>
    <w:rsid w:val="63880DDC"/>
    <w:rsid w:val="638D750D"/>
    <w:rsid w:val="63AC6CC0"/>
    <w:rsid w:val="63B609B6"/>
    <w:rsid w:val="64055776"/>
    <w:rsid w:val="64240056"/>
    <w:rsid w:val="642751DF"/>
    <w:rsid w:val="643E143A"/>
    <w:rsid w:val="648B6EEF"/>
    <w:rsid w:val="64C158BF"/>
    <w:rsid w:val="64CE2EAA"/>
    <w:rsid w:val="653C3090"/>
    <w:rsid w:val="65744634"/>
    <w:rsid w:val="65854376"/>
    <w:rsid w:val="658767BE"/>
    <w:rsid w:val="65892531"/>
    <w:rsid w:val="65CA293B"/>
    <w:rsid w:val="66195831"/>
    <w:rsid w:val="662A5CF4"/>
    <w:rsid w:val="662E75B1"/>
    <w:rsid w:val="662F710B"/>
    <w:rsid w:val="66342C2E"/>
    <w:rsid w:val="663E784C"/>
    <w:rsid w:val="668B6A45"/>
    <w:rsid w:val="668F4233"/>
    <w:rsid w:val="672F3F24"/>
    <w:rsid w:val="673861F6"/>
    <w:rsid w:val="673E055F"/>
    <w:rsid w:val="67551CE3"/>
    <w:rsid w:val="67A22552"/>
    <w:rsid w:val="67B22DCC"/>
    <w:rsid w:val="67BE71AA"/>
    <w:rsid w:val="67D90273"/>
    <w:rsid w:val="67DE5875"/>
    <w:rsid w:val="67E55852"/>
    <w:rsid w:val="67EB1AB4"/>
    <w:rsid w:val="67EE3DB1"/>
    <w:rsid w:val="67F58F01"/>
    <w:rsid w:val="67FA1285"/>
    <w:rsid w:val="685228CA"/>
    <w:rsid w:val="68551F4F"/>
    <w:rsid w:val="687C10C9"/>
    <w:rsid w:val="68840C16"/>
    <w:rsid w:val="68876EFB"/>
    <w:rsid w:val="68884654"/>
    <w:rsid w:val="689F444F"/>
    <w:rsid w:val="68B96DBB"/>
    <w:rsid w:val="68CA2805"/>
    <w:rsid w:val="68E937A3"/>
    <w:rsid w:val="68EB0086"/>
    <w:rsid w:val="690507DD"/>
    <w:rsid w:val="690A41D9"/>
    <w:rsid w:val="693E15D3"/>
    <w:rsid w:val="69627681"/>
    <w:rsid w:val="6977531D"/>
    <w:rsid w:val="698A6457"/>
    <w:rsid w:val="69CC2BFF"/>
    <w:rsid w:val="69FD55B8"/>
    <w:rsid w:val="6A0B1C62"/>
    <w:rsid w:val="6A2406C8"/>
    <w:rsid w:val="6A4441E0"/>
    <w:rsid w:val="6A8412C2"/>
    <w:rsid w:val="6AD9F682"/>
    <w:rsid w:val="6ADE0BD1"/>
    <w:rsid w:val="6AE96859"/>
    <w:rsid w:val="6B147746"/>
    <w:rsid w:val="6B160AEE"/>
    <w:rsid w:val="6B206D4C"/>
    <w:rsid w:val="6B24787C"/>
    <w:rsid w:val="6B573233"/>
    <w:rsid w:val="6B5B6274"/>
    <w:rsid w:val="6B935D53"/>
    <w:rsid w:val="6BEBD284"/>
    <w:rsid w:val="6C196F71"/>
    <w:rsid w:val="6C226FCB"/>
    <w:rsid w:val="6C31226F"/>
    <w:rsid w:val="6C552F0B"/>
    <w:rsid w:val="6C8C67B7"/>
    <w:rsid w:val="6C9D744C"/>
    <w:rsid w:val="6D167928"/>
    <w:rsid w:val="6D26299B"/>
    <w:rsid w:val="6D4772EC"/>
    <w:rsid w:val="6D4E1F3D"/>
    <w:rsid w:val="6D9078AF"/>
    <w:rsid w:val="6DAA3FEF"/>
    <w:rsid w:val="6DC0172B"/>
    <w:rsid w:val="6DCB690C"/>
    <w:rsid w:val="6DD41A5B"/>
    <w:rsid w:val="6DF43C2E"/>
    <w:rsid w:val="6DF51CA3"/>
    <w:rsid w:val="6DFD66C2"/>
    <w:rsid w:val="6E8335BD"/>
    <w:rsid w:val="6E8E12EF"/>
    <w:rsid w:val="6E972936"/>
    <w:rsid w:val="6ED446C5"/>
    <w:rsid w:val="6EFF182A"/>
    <w:rsid w:val="6F2A7D94"/>
    <w:rsid w:val="6F365C3D"/>
    <w:rsid w:val="6F7B5355"/>
    <w:rsid w:val="6F8331F1"/>
    <w:rsid w:val="6FAE1A09"/>
    <w:rsid w:val="6FD75BF8"/>
    <w:rsid w:val="6FF05881"/>
    <w:rsid w:val="706D5D74"/>
    <w:rsid w:val="707723D0"/>
    <w:rsid w:val="70F5661B"/>
    <w:rsid w:val="71360107"/>
    <w:rsid w:val="713B688E"/>
    <w:rsid w:val="71D43752"/>
    <w:rsid w:val="71F1796A"/>
    <w:rsid w:val="71F633B8"/>
    <w:rsid w:val="72154626"/>
    <w:rsid w:val="72262B5D"/>
    <w:rsid w:val="72283FF7"/>
    <w:rsid w:val="722E7212"/>
    <w:rsid w:val="723A0474"/>
    <w:rsid w:val="725923E4"/>
    <w:rsid w:val="72864BF7"/>
    <w:rsid w:val="728C5DC3"/>
    <w:rsid w:val="729023FC"/>
    <w:rsid w:val="72BB5591"/>
    <w:rsid w:val="72D60117"/>
    <w:rsid w:val="73517180"/>
    <w:rsid w:val="737A1A89"/>
    <w:rsid w:val="73C0646E"/>
    <w:rsid w:val="742222F5"/>
    <w:rsid w:val="74476126"/>
    <w:rsid w:val="74706664"/>
    <w:rsid w:val="747F3682"/>
    <w:rsid w:val="749C4185"/>
    <w:rsid w:val="75067759"/>
    <w:rsid w:val="752E6DCD"/>
    <w:rsid w:val="7551380D"/>
    <w:rsid w:val="75600BE5"/>
    <w:rsid w:val="7564475C"/>
    <w:rsid w:val="756A22C6"/>
    <w:rsid w:val="7583797F"/>
    <w:rsid w:val="75D20F1D"/>
    <w:rsid w:val="75DA2C18"/>
    <w:rsid w:val="75F54412"/>
    <w:rsid w:val="75FF6AB4"/>
    <w:rsid w:val="761D08E0"/>
    <w:rsid w:val="765D347C"/>
    <w:rsid w:val="76826699"/>
    <w:rsid w:val="768A0A0F"/>
    <w:rsid w:val="76C87133"/>
    <w:rsid w:val="76CD08D5"/>
    <w:rsid w:val="76DB4B92"/>
    <w:rsid w:val="77052AA4"/>
    <w:rsid w:val="77136511"/>
    <w:rsid w:val="77340A39"/>
    <w:rsid w:val="77351FD0"/>
    <w:rsid w:val="77472422"/>
    <w:rsid w:val="77754D7F"/>
    <w:rsid w:val="777F31F2"/>
    <w:rsid w:val="77D1700D"/>
    <w:rsid w:val="77EC04CC"/>
    <w:rsid w:val="77F7B105"/>
    <w:rsid w:val="78344A7C"/>
    <w:rsid w:val="78534F43"/>
    <w:rsid w:val="78775729"/>
    <w:rsid w:val="78902FBA"/>
    <w:rsid w:val="78A42DB0"/>
    <w:rsid w:val="78A656AB"/>
    <w:rsid w:val="78AE26DA"/>
    <w:rsid w:val="78B2245C"/>
    <w:rsid w:val="78E172CC"/>
    <w:rsid w:val="78EA1D1F"/>
    <w:rsid w:val="78FA7D52"/>
    <w:rsid w:val="7904172F"/>
    <w:rsid w:val="790F7E27"/>
    <w:rsid w:val="791A69E7"/>
    <w:rsid w:val="792A231A"/>
    <w:rsid w:val="79316829"/>
    <w:rsid w:val="797E66A9"/>
    <w:rsid w:val="79A97383"/>
    <w:rsid w:val="79E27E8B"/>
    <w:rsid w:val="79F76D98"/>
    <w:rsid w:val="79F850CE"/>
    <w:rsid w:val="79FD443C"/>
    <w:rsid w:val="7A1D1975"/>
    <w:rsid w:val="7A3E5150"/>
    <w:rsid w:val="7A4670D6"/>
    <w:rsid w:val="7A534B63"/>
    <w:rsid w:val="7A615382"/>
    <w:rsid w:val="7A67303B"/>
    <w:rsid w:val="7A684727"/>
    <w:rsid w:val="7AAB1D04"/>
    <w:rsid w:val="7ABA4368"/>
    <w:rsid w:val="7AD05746"/>
    <w:rsid w:val="7AED2E7F"/>
    <w:rsid w:val="7B257FFD"/>
    <w:rsid w:val="7B343476"/>
    <w:rsid w:val="7B5A2978"/>
    <w:rsid w:val="7B5A7E4C"/>
    <w:rsid w:val="7B667AF9"/>
    <w:rsid w:val="7B7468F8"/>
    <w:rsid w:val="7B7D2454"/>
    <w:rsid w:val="7B911309"/>
    <w:rsid w:val="7BEE0103"/>
    <w:rsid w:val="7C0A0FE4"/>
    <w:rsid w:val="7C254906"/>
    <w:rsid w:val="7C590818"/>
    <w:rsid w:val="7C7C10F6"/>
    <w:rsid w:val="7C853BEA"/>
    <w:rsid w:val="7C881368"/>
    <w:rsid w:val="7CE27788"/>
    <w:rsid w:val="7D0C32F1"/>
    <w:rsid w:val="7D0F408D"/>
    <w:rsid w:val="7D3F6BF9"/>
    <w:rsid w:val="7D491C6C"/>
    <w:rsid w:val="7D5429C0"/>
    <w:rsid w:val="7D6E6D43"/>
    <w:rsid w:val="7DB57A34"/>
    <w:rsid w:val="7DE60973"/>
    <w:rsid w:val="7DEF0916"/>
    <w:rsid w:val="7E1E5218"/>
    <w:rsid w:val="7E480746"/>
    <w:rsid w:val="7E6A07B7"/>
    <w:rsid w:val="7E9A4E1F"/>
    <w:rsid w:val="7EA7723A"/>
    <w:rsid w:val="7ED10C1A"/>
    <w:rsid w:val="7EF56FBB"/>
    <w:rsid w:val="7EF7152C"/>
    <w:rsid w:val="7F0768EB"/>
    <w:rsid w:val="7F0B7D77"/>
    <w:rsid w:val="7F143BEC"/>
    <w:rsid w:val="7F715AF2"/>
    <w:rsid w:val="7F7D0FA6"/>
    <w:rsid w:val="7F886E69"/>
    <w:rsid w:val="7FBF0504"/>
    <w:rsid w:val="A7EF7B11"/>
    <w:rsid w:val="A7FF18CA"/>
    <w:rsid w:val="B37FFD45"/>
    <w:rsid w:val="B7FA3098"/>
    <w:rsid w:val="B9FD19F7"/>
    <w:rsid w:val="BB7FA927"/>
    <w:rsid w:val="C3B749F9"/>
    <w:rsid w:val="D49D3BF1"/>
    <w:rsid w:val="EDC7265A"/>
    <w:rsid w:val="EFC75B07"/>
    <w:rsid w:val="F5FFD31F"/>
    <w:rsid w:val="FEFFB8F9"/>
    <w:rsid w:val="FF4F40A6"/>
    <w:rsid w:val="FF8F69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iPriority="99" w:semiHidden="0" w:name="index 2"/>
    <w:lsdException w:qFormat="1" w:uiPriority="99" w:semiHidden="0" w:name="index 3"/>
    <w:lsdException w:qFormat="1" w:uiPriority="99" w:semiHidden="0" w:name="index 4"/>
    <w:lsdException w:qFormat="1" w:unhideWhenUsed="0" w:uiPriority="99" w:semiHidden="0" w:name="index 5"/>
    <w:lsdException w:qFormat="1" w:uiPriority="99" w:semiHidden="0" w:name="index 6"/>
    <w:lsdException w:qFormat="1" w:uiPriority="99" w:semiHidden="0" w:name="index 7"/>
    <w:lsdException w:qFormat="1"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iPriority="99"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iPriority="99" w:semiHidden="0" w:name="table of authorities"/>
    <w:lsdException w:qFormat="1" w:uiPriority="99" w:semiHidden="0" w:name="macro"/>
    <w:lsdException w:qFormat="1"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iPriority="99" w:semiHidden="0" w:name="List 3"/>
    <w:lsdException w:qFormat="1" w:uiPriority="99" w:semiHidden="0" w:name="List 4"/>
    <w:lsdException w:qFormat="1" w:unhideWhenUsed="0" w:uiPriority="99" w:semiHidden="0" w:name="List 5"/>
    <w:lsdException w:qFormat="1" w:unhideWhenUsed="0" w:uiPriority="99" w:semiHidden="0" w:name="List Bullet 2"/>
    <w:lsdException w:qFormat="1" w:uiPriority="99" w:semiHidden="0" w:name="List Bullet 3"/>
    <w:lsdException w:qFormat="1" w:uiPriority="0" w:semiHidden="0" w:name="List Bullet 4"/>
    <w:lsdException w:qFormat="1"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qFormat="1" w:uiPriority="99" w:semiHidden="0" w:name="Closing"/>
    <w:lsdException w:qFormat="1" w:unhideWhenUsed="0" w:uiPriority="99"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nhideWhenUsed="0"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iPriority="99" w:semiHidden="0" w:name="E-mail Signature"/>
    <w:lsdException w:qFormat="1" w:unhideWhenUsed="0" w:uiPriority="0"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52"/>
    <w:qFormat/>
    <w:uiPriority w:val="9"/>
    <w:pPr>
      <w:keepNext/>
      <w:keepLines/>
      <w:tabs>
        <w:tab w:val="left" w:pos="432"/>
      </w:tabs>
      <w:snapToGrid w:val="0"/>
      <w:spacing w:line="360" w:lineRule="auto"/>
      <w:outlineLvl w:val="0"/>
    </w:pPr>
    <w:rPr>
      <w:b/>
      <w:bCs/>
      <w:kern w:val="44"/>
      <w:sz w:val="36"/>
      <w:szCs w:val="44"/>
    </w:rPr>
  </w:style>
  <w:style w:type="paragraph" w:styleId="5">
    <w:name w:val="heading 2"/>
    <w:basedOn w:val="1"/>
    <w:next w:val="1"/>
    <w:link w:val="1100"/>
    <w:qFormat/>
    <w:uiPriority w:val="0"/>
    <w:pPr>
      <w:tabs>
        <w:tab w:val="left" w:pos="432"/>
      </w:tabs>
      <w:jc w:val="left"/>
      <w:outlineLvl w:val="1"/>
    </w:pPr>
    <w:rPr>
      <w:rFonts w:ascii="仿宋_GB2312" w:hAnsi="仿宋_GB2312"/>
      <w:sz w:val="28"/>
      <w:szCs w:val="32"/>
      <w:lang w:val="zh-CN"/>
    </w:rPr>
  </w:style>
  <w:style w:type="paragraph" w:styleId="2">
    <w:name w:val="heading 3"/>
    <w:basedOn w:val="1"/>
    <w:next w:val="1"/>
    <w:link w:val="1099"/>
    <w:qFormat/>
    <w:uiPriority w:val="0"/>
    <w:pPr>
      <w:keepNext/>
      <w:keepLines/>
      <w:tabs>
        <w:tab w:val="left" w:pos="900"/>
      </w:tabs>
      <w:snapToGrid w:val="0"/>
      <w:spacing w:line="360" w:lineRule="auto"/>
      <w:outlineLvl w:val="2"/>
    </w:pPr>
    <w:rPr>
      <w:b/>
      <w:bCs/>
      <w:sz w:val="24"/>
      <w:szCs w:val="32"/>
    </w:rPr>
  </w:style>
  <w:style w:type="paragraph" w:styleId="6">
    <w:name w:val="heading 4"/>
    <w:basedOn w:val="1"/>
    <w:next w:val="1"/>
    <w:link w:val="75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755"/>
    <w:qFormat/>
    <w:uiPriority w:val="0"/>
    <w:pPr>
      <w:keepNext/>
      <w:keepLines/>
      <w:tabs>
        <w:tab w:val="left" w:pos="1008"/>
      </w:tabs>
      <w:snapToGrid w:val="0"/>
      <w:spacing w:line="360" w:lineRule="auto"/>
      <w:outlineLvl w:val="4"/>
    </w:pPr>
    <w:rPr>
      <w:b/>
      <w:bCs/>
      <w:sz w:val="28"/>
      <w:szCs w:val="28"/>
    </w:rPr>
  </w:style>
  <w:style w:type="paragraph" w:styleId="8">
    <w:name w:val="heading 6"/>
    <w:basedOn w:val="1"/>
    <w:next w:val="1"/>
    <w:link w:val="756"/>
    <w:qFormat/>
    <w:uiPriority w:val="0"/>
    <w:pPr>
      <w:keepNext/>
      <w:keepLines/>
      <w:tabs>
        <w:tab w:val="left" w:pos="1152"/>
      </w:tabs>
      <w:snapToGrid w:val="0"/>
      <w:spacing w:line="360" w:lineRule="auto"/>
      <w:outlineLvl w:val="5"/>
    </w:pPr>
    <w:rPr>
      <w:rFonts w:ascii="Arial" w:hAnsi="Arial" w:eastAsia="黑体"/>
      <w:b/>
      <w:bCs/>
      <w:sz w:val="24"/>
    </w:rPr>
  </w:style>
  <w:style w:type="paragraph" w:styleId="9">
    <w:name w:val="heading 7"/>
    <w:basedOn w:val="1"/>
    <w:next w:val="1"/>
    <w:link w:val="757"/>
    <w:qFormat/>
    <w:uiPriority w:val="0"/>
    <w:pPr>
      <w:keepNext/>
      <w:keepLines/>
      <w:tabs>
        <w:tab w:val="left" w:pos="1296"/>
      </w:tabs>
      <w:snapToGrid w:val="0"/>
      <w:spacing w:line="360" w:lineRule="auto"/>
      <w:outlineLvl w:val="6"/>
    </w:pPr>
    <w:rPr>
      <w:b/>
      <w:bCs/>
      <w:sz w:val="28"/>
    </w:rPr>
  </w:style>
  <w:style w:type="paragraph" w:styleId="10">
    <w:name w:val="heading 8"/>
    <w:basedOn w:val="1"/>
    <w:next w:val="1"/>
    <w:link w:val="7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5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95">
    <w:name w:val="Default Paragraph Font"/>
    <w:semiHidden/>
    <w:unhideWhenUsed/>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3">
    <w:name w:val="macro"/>
    <w:link w:val="1118"/>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unhideWhenUsed/>
    <w:qFormat/>
    <w:uiPriority w:val="99"/>
    <w:pPr>
      <w:adjustRightInd/>
      <w:spacing w:line="360" w:lineRule="auto"/>
      <w:ind w:left="100" w:leftChars="400" w:hanging="200" w:hangingChars="200"/>
      <w:contextualSpacing/>
    </w:pPr>
    <w:rPr>
      <w:rFonts w:ascii="Calibri" w:hAnsi="Calibri"/>
      <w:sz w:val="28"/>
      <w:szCs w:val="20"/>
    </w:rPr>
  </w:style>
  <w:style w:type="paragraph" w:styleId="13">
    <w:name w:val="toc 7"/>
    <w:basedOn w:val="1"/>
    <w:next w:val="1"/>
    <w:qFormat/>
    <w:uiPriority w:val="39"/>
    <w:pPr>
      <w:ind w:left="2520" w:leftChars="1200"/>
    </w:pPr>
  </w:style>
  <w:style w:type="paragraph" w:styleId="14">
    <w:name w:val="List Number 2"/>
    <w:basedOn w:val="1"/>
    <w:qFormat/>
    <w:uiPriority w:val="99"/>
    <w:pPr>
      <w:widowControl/>
      <w:tabs>
        <w:tab w:val="left" w:pos="1697"/>
      </w:tabs>
      <w:adjustRightInd/>
      <w:spacing w:after="156" w:afterLines="50"/>
      <w:ind w:left="1697" w:hanging="420"/>
      <w:jc w:val="left"/>
    </w:pPr>
    <w:rPr>
      <w:kern w:val="0"/>
      <w:sz w:val="24"/>
      <w:szCs w:val="20"/>
    </w:rPr>
  </w:style>
  <w:style w:type="paragraph" w:styleId="15">
    <w:name w:val="table of authorities"/>
    <w:basedOn w:val="1"/>
    <w:next w:val="1"/>
    <w:unhideWhenUsed/>
    <w:qFormat/>
    <w:uiPriority w:val="99"/>
    <w:pPr>
      <w:adjustRightInd/>
      <w:spacing w:line="360" w:lineRule="auto"/>
      <w:ind w:left="420" w:leftChars="200"/>
    </w:pPr>
    <w:rPr>
      <w:rFonts w:ascii="Calibri" w:hAnsi="Calibri"/>
      <w:sz w:val="28"/>
      <w:szCs w:val="20"/>
    </w:rPr>
  </w:style>
  <w:style w:type="paragraph" w:styleId="16">
    <w:name w:val="Note Heading"/>
    <w:basedOn w:val="1"/>
    <w:next w:val="1"/>
    <w:link w:val="1119"/>
    <w:unhideWhenUsed/>
    <w:qFormat/>
    <w:uiPriority w:val="99"/>
    <w:pPr>
      <w:adjustRightInd/>
      <w:spacing w:line="360" w:lineRule="auto"/>
      <w:jc w:val="center"/>
    </w:pPr>
    <w:rPr>
      <w:rFonts w:ascii="Calibri" w:hAnsi="Calibri"/>
      <w:sz w:val="28"/>
      <w:szCs w:val="20"/>
    </w:rPr>
  </w:style>
  <w:style w:type="paragraph" w:styleId="17">
    <w:name w:val="List Bullet 4"/>
    <w:basedOn w:val="1"/>
    <w:unhideWhenUsed/>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index 8"/>
    <w:basedOn w:val="1"/>
    <w:next w:val="1"/>
    <w:unhideWhenUsed/>
    <w:qFormat/>
    <w:uiPriority w:val="99"/>
    <w:pPr>
      <w:adjustRightInd/>
      <w:spacing w:line="360" w:lineRule="auto"/>
      <w:ind w:left="1400" w:leftChars="1400"/>
    </w:pPr>
    <w:rPr>
      <w:rFonts w:ascii="Calibri" w:hAnsi="Calibri"/>
      <w:sz w:val="28"/>
      <w:szCs w:val="20"/>
    </w:rPr>
  </w:style>
  <w:style w:type="paragraph" w:styleId="19">
    <w:name w:val="E-mail Signature"/>
    <w:basedOn w:val="1"/>
    <w:link w:val="1120"/>
    <w:unhideWhenUsed/>
    <w:qFormat/>
    <w:uiPriority w:val="99"/>
    <w:pPr>
      <w:adjustRightInd/>
      <w:spacing w:line="360" w:lineRule="auto"/>
    </w:pPr>
    <w:rPr>
      <w:rFonts w:ascii="Calibri" w:hAnsi="Calibri"/>
      <w:sz w:val="28"/>
      <w:szCs w:val="20"/>
    </w:rPr>
  </w:style>
  <w:style w:type="paragraph" w:styleId="20">
    <w:name w:val="List Number"/>
    <w:basedOn w:val="1"/>
    <w:qFormat/>
    <w:uiPriority w:val="99"/>
    <w:pPr>
      <w:widowControl/>
      <w:tabs>
        <w:tab w:val="left" w:pos="390"/>
        <w:tab w:val="left" w:pos="454"/>
      </w:tabs>
      <w:adjustRightInd/>
      <w:spacing w:after="156" w:afterLines="50"/>
      <w:ind w:left="454" w:hanging="284"/>
      <w:jc w:val="left"/>
    </w:pPr>
    <w:rPr>
      <w:kern w:val="0"/>
      <w:sz w:val="24"/>
      <w:szCs w:val="20"/>
    </w:rPr>
  </w:style>
  <w:style w:type="paragraph" w:styleId="21">
    <w:name w:val="Normal Indent"/>
    <w:basedOn w:val="1"/>
    <w:link w:val="753"/>
    <w:qFormat/>
    <w:uiPriority w:val="0"/>
    <w:pPr>
      <w:widowControl/>
      <w:snapToGrid w:val="0"/>
      <w:spacing w:line="480" w:lineRule="exact"/>
      <w:ind w:firstLine="567"/>
    </w:pPr>
    <w:rPr>
      <w:rFonts w:ascii="宋体"/>
      <w:snapToGrid w:val="0"/>
      <w:color w:val="000000"/>
      <w:kern w:val="28"/>
      <w:sz w:val="28"/>
      <w:szCs w:val="20"/>
    </w:rPr>
  </w:style>
  <w:style w:type="paragraph" w:styleId="22">
    <w:name w:val="caption"/>
    <w:basedOn w:val="1"/>
    <w:next w:val="1"/>
    <w:link w:val="760"/>
    <w:qFormat/>
    <w:uiPriority w:val="35"/>
    <w:rPr>
      <w:b/>
      <w:sz w:val="28"/>
      <w:szCs w:val="20"/>
    </w:rPr>
  </w:style>
  <w:style w:type="paragraph" w:styleId="23">
    <w:name w:val="index 5"/>
    <w:basedOn w:val="1"/>
    <w:next w:val="1"/>
    <w:qFormat/>
    <w:uiPriority w:val="99"/>
    <w:pPr>
      <w:adjustRightInd/>
      <w:ind w:left="800" w:leftChars="800" w:firstLine="200" w:firstLineChars="200"/>
    </w:pPr>
  </w:style>
  <w:style w:type="paragraph" w:styleId="24">
    <w:name w:val="List Bullet"/>
    <w:basedOn w:val="1"/>
    <w:qFormat/>
    <w:uiPriority w:val="99"/>
    <w:pPr>
      <w:numPr>
        <w:ilvl w:val="0"/>
        <w:numId w:val="1"/>
      </w:numPr>
      <w:tabs>
        <w:tab w:val="left" w:pos="360"/>
      </w:tabs>
      <w:adjustRightInd/>
      <w:spacing w:line="360" w:lineRule="auto"/>
    </w:pPr>
    <w:rPr>
      <w:kern w:val="0"/>
      <w:sz w:val="24"/>
      <w:szCs w:val="20"/>
    </w:rPr>
  </w:style>
  <w:style w:type="paragraph" w:styleId="25">
    <w:name w:val="envelope address"/>
    <w:basedOn w:val="1"/>
    <w:unhideWhenUsed/>
    <w:qFormat/>
    <w:uiPriority w:val="99"/>
    <w:pPr>
      <w:framePr w:w="7920" w:h="1980" w:hRule="exact" w:hSpace="180" w:wrap="around" w:vAnchor="margin" w:hAnchor="page" w:xAlign="center" w:yAlign="bottom"/>
      <w:adjustRightInd/>
      <w:snapToGrid w:val="0"/>
      <w:spacing w:line="360" w:lineRule="auto"/>
      <w:ind w:left="100" w:leftChars="1400"/>
    </w:pPr>
    <w:rPr>
      <w:rFonts w:ascii="等线 Light" w:hAnsi="等线 Light" w:eastAsia="等线 Light"/>
      <w:sz w:val="24"/>
    </w:rPr>
  </w:style>
  <w:style w:type="paragraph" w:styleId="26">
    <w:name w:val="Document Map"/>
    <w:basedOn w:val="1"/>
    <w:link w:val="761"/>
    <w:qFormat/>
    <w:uiPriority w:val="0"/>
    <w:pPr>
      <w:shd w:val="clear" w:color="auto" w:fill="000080"/>
    </w:pPr>
  </w:style>
  <w:style w:type="paragraph" w:styleId="27">
    <w:name w:val="toa heading"/>
    <w:basedOn w:val="1"/>
    <w:next w:val="1"/>
    <w:unhideWhenUsed/>
    <w:qFormat/>
    <w:uiPriority w:val="99"/>
    <w:pPr>
      <w:adjustRightInd/>
      <w:spacing w:before="120" w:line="360" w:lineRule="auto"/>
    </w:pPr>
    <w:rPr>
      <w:rFonts w:ascii="等线 Light" w:hAnsi="等线 Light" w:eastAsia="等线 Light"/>
      <w:sz w:val="24"/>
    </w:rPr>
  </w:style>
  <w:style w:type="paragraph" w:styleId="28">
    <w:name w:val="annotation text"/>
    <w:basedOn w:val="1"/>
    <w:link w:val="762"/>
    <w:qFormat/>
    <w:uiPriority w:val="0"/>
    <w:pPr>
      <w:jc w:val="left"/>
    </w:pPr>
  </w:style>
  <w:style w:type="paragraph" w:styleId="29">
    <w:name w:val="index 6"/>
    <w:basedOn w:val="1"/>
    <w:next w:val="1"/>
    <w:unhideWhenUsed/>
    <w:qFormat/>
    <w:uiPriority w:val="99"/>
    <w:pPr>
      <w:adjustRightInd/>
      <w:spacing w:line="360" w:lineRule="auto"/>
      <w:ind w:left="1000" w:leftChars="1000"/>
    </w:pPr>
    <w:rPr>
      <w:rFonts w:ascii="Calibri" w:hAnsi="Calibri"/>
      <w:sz w:val="28"/>
      <w:szCs w:val="20"/>
    </w:rPr>
  </w:style>
  <w:style w:type="paragraph" w:styleId="30">
    <w:name w:val="Salutation"/>
    <w:basedOn w:val="1"/>
    <w:next w:val="1"/>
    <w:link w:val="763"/>
    <w:qFormat/>
    <w:uiPriority w:val="99"/>
    <w:rPr>
      <w:rFonts w:ascii="仿宋_GB2312" w:eastAsia="仿宋_GB2312"/>
      <w:sz w:val="28"/>
      <w:szCs w:val="20"/>
    </w:rPr>
  </w:style>
  <w:style w:type="paragraph" w:styleId="31">
    <w:name w:val="Body Text 3"/>
    <w:basedOn w:val="1"/>
    <w:link w:val="764"/>
    <w:qFormat/>
    <w:uiPriority w:val="99"/>
    <w:pPr>
      <w:jc w:val="center"/>
    </w:pPr>
    <w:rPr>
      <w:szCs w:val="20"/>
    </w:rPr>
  </w:style>
  <w:style w:type="paragraph" w:styleId="32">
    <w:name w:val="Closing"/>
    <w:basedOn w:val="1"/>
    <w:link w:val="1121"/>
    <w:unhideWhenUsed/>
    <w:qFormat/>
    <w:uiPriority w:val="99"/>
    <w:pPr>
      <w:adjustRightInd/>
      <w:spacing w:line="360" w:lineRule="auto"/>
      <w:ind w:left="100" w:leftChars="2100"/>
    </w:pPr>
    <w:rPr>
      <w:rFonts w:ascii="Calibri" w:hAnsi="Calibri"/>
      <w:sz w:val="28"/>
      <w:szCs w:val="20"/>
    </w:rPr>
  </w:style>
  <w:style w:type="paragraph" w:styleId="33">
    <w:name w:val="List Bullet 3"/>
    <w:basedOn w:val="1"/>
    <w:unhideWhenUsed/>
    <w:qFormat/>
    <w:uiPriority w:val="99"/>
    <w:pPr>
      <w:snapToGrid w:val="0"/>
      <w:spacing w:line="360" w:lineRule="auto"/>
      <w:ind w:left="360" w:right="238" w:hanging="360"/>
      <w:contextualSpacing/>
    </w:pPr>
    <w:rPr>
      <w:sz w:val="24"/>
    </w:rPr>
  </w:style>
  <w:style w:type="paragraph" w:styleId="34">
    <w:name w:val="Body Text"/>
    <w:basedOn w:val="1"/>
    <w:next w:val="35"/>
    <w:link w:val="765"/>
    <w:qFormat/>
    <w:uiPriority w:val="0"/>
    <w:pPr>
      <w:autoSpaceDE w:val="0"/>
      <w:autoSpaceDN w:val="0"/>
      <w:spacing w:line="360" w:lineRule="auto"/>
    </w:pPr>
    <w:rPr>
      <w:rFonts w:ascii="宋体" w:hAnsi="Arial" w:cs="Arial"/>
      <w:snapToGrid w:val="0"/>
      <w:sz w:val="24"/>
      <w:szCs w:val="21"/>
      <w:lang w:val="zh-CN"/>
    </w:rPr>
  </w:style>
  <w:style w:type="paragraph" w:styleId="35">
    <w:name w:val="Body Text First Indent"/>
    <w:basedOn w:val="34"/>
    <w:next w:val="1"/>
    <w:link w:val="783"/>
    <w:qFormat/>
    <w:uiPriority w:val="0"/>
    <w:pPr>
      <w:ind w:firstLine="420"/>
    </w:pPr>
    <w:rPr>
      <w:rFonts w:hAnsi="Calibri" w:cs="Times New Roman"/>
      <w:szCs w:val="20"/>
    </w:rPr>
  </w:style>
  <w:style w:type="paragraph" w:styleId="36">
    <w:name w:val="Body Text Indent"/>
    <w:basedOn w:val="1"/>
    <w:next w:val="1"/>
    <w:link w:val="766"/>
    <w:qFormat/>
    <w:uiPriority w:val="0"/>
    <w:pPr>
      <w:spacing w:line="480" w:lineRule="exact"/>
      <w:ind w:firstLine="480" w:firstLineChars="200"/>
    </w:pPr>
    <w:rPr>
      <w:rFonts w:ascii="宋体" w:hAnsi="宋体"/>
      <w:sz w:val="24"/>
    </w:rPr>
  </w:style>
  <w:style w:type="paragraph" w:styleId="37">
    <w:name w:val="List Number 3"/>
    <w:basedOn w:val="1"/>
    <w:qFormat/>
    <w:uiPriority w:val="99"/>
    <w:pPr>
      <w:widowControl/>
      <w:tabs>
        <w:tab w:val="left" w:pos="360"/>
        <w:tab w:val="left" w:pos="482"/>
      </w:tabs>
      <w:adjustRightInd/>
      <w:spacing w:after="156" w:afterLines="50"/>
      <w:ind w:left="482" w:hanging="340"/>
      <w:jc w:val="left"/>
    </w:pPr>
    <w:rPr>
      <w:kern w:val="0"/>
      <w:sz w:val="24"/>
      <w:szCs w:val="20"/>
    </w:rPr>
  </w:style>
  <w:style w:type="paragraph" w:styleId="38">
    <w:name w:val="List 2"/>
    <w:basedOn w:val="1"/>
    <w:qFormat/>
    <w:uiPriority w:val="99"/>
    <w:pPr>
      <w:adjustRightInd/>
      <w:spacing w:line="360" w:lineRule="auto"/>
      <w:ind w:left="100" w:leftChars="200" w:hanging="200" w:hangingChars="200"/>
    </w:pPr>
    <w:rPr>
      <w:rFonts w:eastAsia="微软雅黑"/>
    </w:rPr>
  </w:style>
  <w:style w:type="paragraph" w:styleId="39">
    <w:name w:val="List Continue"/>
    <w:basedOn w:val="1"/>
    <w:unhideWhenUsed/>
    <w:qFormat/>
    <w:uiPriority w:val="99"/>
    <w:pPr>
      <w:adjustRightInd/>
      <w:spacing w:after="120" w:line="360" w:lineRule="auto"/>
      <w:ind w:left="420" w:leftChars="200"/>
      <w:contextualSpacing/>
    </w:pPr>
    <w:rPr>
      <w:rFonts w:ascii="Calibri" w:hAnsi="Calibri"/>
      <w:sz w:val="28"/>
      <w:szCs w:val="20"/>
    </w:rPr>
  </w:style>
  <w:style w:type="paragraph" w:styleId="40">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41">
    <w:name w:val="List Bullet 2"/>
    <w:basedOn w:val="1"/>
    <w:qFormat/>
    <w:uiPriority w:val="99"/>
    <w:pPr>
      <w:autoSpaceDE w:val="0"/>
      <w:autoSpaceDN w:val="0"/>
      <w:ind w:left="420"/>
      <w:jc w:val="left"/>
    </w:pPr>
    <w:rPr>
      <w:rFonts w:ascii="宋体" w:hAnsi="宋体"/>
      <w:color w:val="000000"/>
      <w:kern w:val="0"/>
      <w:sz w:val="24"/>
      <w:szCs w:val="20"/>
    </w:rPr>
  </w:style>
  <w:style w:type="paragraph" w:styleId="42">
    <w:name w:val="HTML Address"/>
    <w:basedOn w:val="1"/>
    <w:link w:val="767"/>
    <w:qFormat/>
    <w:uiPriority w:val="99"/>
    <w:pPr>
      <w:widowControl/>
      <w:adjustRightInd/>
      <w:ind w:firstLine="200" w:firstLineChars="200"/>
      <w:jc w:val="left"/>
    </w:pPr>
    <w:rPr>
      <w:rFonts w:ascii="宋体" w:hAnsi="宋体"/>
      <w:i/>
      <w:iCs/>
      <w:kern w:val="0"/>
      <w:sz w:val="24"/>
    </w:rPr>
  </w:style>
  <w:style w:type="paragraph" w:styleId="43">
    <w:name w:val="index 4"/>
    <w:basedOn w:val="1"/>
    <w:next w:val="1"/>
    <w:unhideWhenUsed/>
    <w:qFormat/>
    <w:uiPriority w:val="99"/>
    <w:pPr>
      <w:adjustRightInd/>
      <w:spacing w:line="360" w:lineRule="auto"/>
      <w:ind w:left="600" w:leftChars="600"/>
    </w:pPr>
    <w:rPr>
      <w:rFonts w:ascii="Calibri" w:hAnsi="Calibri"/>
      <w:sz w:val="28"/>
      <w:szCs w:val="20"/>
    </w:rPr>
  </w:style>
  <w:style w:type="paragraph" w:styleId="44">
    <w:name w:val="toc 5"/>
    <w:basedOn w:val="1"/>
    <w:next w:val="1"/>
    <w:qFormat/>
    <w:uiPriority w:val="39"/>
    <w:pPr>
      <w:ind w:left="1680" w:leftChars="800"/>
    </w:pPr>
  </w:style>
  <w:style w:type="paragraph" w:styleId="45">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46">
    <w:name w:val="Plain Text"/>
    <w:basedOn w:val="1"/>
    <w:link w:val="768"/>
    <w:qFormat/>
    <w:uiPriority w:val="0"/>
    <w:rPr>
      <w:rFonts w:ascii="宋体" w:hAnsi="Courier New" w:cs="Arial"/>
      <w:snapToGrid w:val="0"/>
      <w:szCs w:val="21"/>
    </w:rPr>
  </w:style>
  <w:style w:type="paragraph" w:styleId="47">
    <w:name w:val="List Bullet 5"/>
    <w:basedOn w:val="1"/>
    <w:unhideWhenUsed/>
    <w:qFormat/>
    <w:uiPriority w:val="99"/>
    <w:pPr>
      <w:numPr>
        <w:ilvl w:val="0"/>
        <w:numId w:val="2"/>
      </w:numPr>
      <w:tabs>
        <w:tab w:val="left" w:pos="2040"/>
        <w:tab w:val="clear" w:pos="780"/>
      </w:tabs>
      <w:adjustRightInd/>
      <w:spacing w:line="360" w:lineRule="auto"/>
      <w:ind w:left="2040" w:leftChars="800"/>
      <w:contextualSpacing/>
    </w:pPr>
    <w:rPr>
      <w:rFonts w:ascii="Calibri" w:hAnsi="Calibri"/>
      <w:sz w:val="28"/>
      <w:szCs w:val="20"/>
    </w:rPr>
  </w:style>
  <w:style w:type="paragraph" w:styleId="48">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49">
    <w:name w:val="toc 8"/>
    <w:basedOn w:val="1"/>
    <w:next w:val="1"/>
    <w:qFormat/>
    <w:uiPriority w:val="39"/>
    <w:pPr>
      <w:ind w:left="2940" w:leftChars="1400"/>
    </w:pPr>
  </w:style>
  <w:style w:type="paragraph" w:styleId="50">
    <w:name w:val="index 3"/>
    <w:basedOn w:val="1"/>
    <w:next w:val="1"/>
    <w:unhideWhenUsed/>
    <w:qFormat/>
    <w:uiPriority w:val="99"/>
    <w:pPr>
      <w:adjustRightInd/>
      <w:spacing w:line="360" w:lineRule="auto"/>
      <w:ind w:left="400" w:leftChars="400"/>
    </w:pPr>
    <w:rPr>
      <w:rFonts w:ascii="Calibri" w:hAnsi="Calibri"/>
      <w:sz w:val="28"/>
      <w:szCs w:val="20"/>
    </w:rPr>
  </w:style>
  <w:style w:type="paragraph" w:styleId="51">
    <w:name w:val="Date"/>
    <w:basedOn w:val="1"/>
    <w:next w:val="1"/>
    <w:link w:val="769"/>
    <w:qFormat/>
    <w:uiPriority w:val="99"/>
    <w:pPr>
      <w:ind w:left="100" w:leftChars="2500"/>
    </w:pPr>
    <w:rPr>
      <w:rFonts w:ascii="宋体"/>
      <w:sz w:val="24"/>
      <w:szCs w:val="21"/>
      <w:lang w:val="zh-CN"/>
    </w:rPr>
  </w:style>
  <w:style w:type="paragraph" w:styleId="52">
    <w:name w:val="Body Text Indent 2"/>
    <w:basedOn w:val="1"/>
    <w:link w:val="770"/>
    <w:qFormat/>
    <w:uiPriority w:val="99"/>
    <w:pPr>
      <w:spacing w:line="360" w:lineRule="auto"/>
      <w:ind w:firstLine="601"/>
      <w:textAlignment w:val="baseline"/>
    </w:pPr>
    <w:rPr>
      <w:rFonts w:ascii="宋体"/>
      <w:kern w:val="0"/>
      <w:sz w:val="28"/>
      <w:szCs w:val="20"/>
    </w:rPr>
  </w:style>
  <w:style w:type="paragraph" w:styleId="53">
    <w:name w:val="endnote text"/>
    <w:basedOn w:val="1"/>
    <w:link w:val="771"/>
    <w:qFormat/>
    <w:uiPriority w:val="99"/>
    <w:rPr>
      <w:lang w:val="zh-CN"/>
    </w:rPr>
  </w:style>
  <w:style w:type="paragraph" w:styleId="54">
    <w:name w:val="List Continue 5"/>
    <w:basedOn w:val="1"/>
    <w:unhideWhenUsed/>
    <w:qFormat/>
    <w:uiPriority w:val="99"/>
    <w:pPr>
      <w:adjustRightInd/>
      <w:spacing w:after="120" w:line="360" w:lineRule="auto"/>
      <w:ind w:left="2100" w:leftChars="1000"/>
      <w:contextualSpacing/>
    </w:pPr>
    <w:rPr>
      <w:rFonts w:ascii="Calibri" w:hAnsi="Calibri"/>
      <w:sz w:val="28"/>
      <w:szCs w:val="20"/>
    </w:rPr>
  </w:style>
  <w:style w:type="paragraph" w:styleId="55">
    <w:name w:val="Balloon Text"/>
    <w:basedOn w:val="1"/>
    <w:link w:val="772"/>
    <w:qFormat/>
    <w:uiPriority w:val="0"/>
    <w:rPr>
      <w:sz w:val="18"/>
      <w:szCs w:val="18"/>
    </w:rPr>
  </w:style>
  <w:style w:type="paragraph" w:styleId="56">
    <w:name w:val="footer"/>
    <w:basedOn w:val="1"/>
    <w:link w:val="773"/>
    <w:qFormat/>
    <w:uiPriority w:val="0"/>
    <w:pPr>
      <w:tabs>
        <w:tab w:val="center" w:pos="4153"/>
        <w:tab w:val="right" w:pos="8306"/>
      </w:tabs>
      <w:snapToGrid w:val="0"/>
      <w:jc w:val="left"/>
    </w:pPr>
    <w:rPr>
      <w:sz w:val="18"/>
      <w:szCs w:val="18"/>
    </w:rPr>
  </w:style>
  <w:style w:type="paragraph" w:styleId="57">
    <w:name w:val="envelope return"/>
    <w:basedOn w:val="1"/>
    <w:unhideWhenUsed/>
    <w:qFormat/>
    <w:uiPriority w:val="99"/>
    <w:pPr>
      <w:adjustRightInd/>
      <w:snapToGrid w:val="0"/>
      <w:spacing w:line="360" w:lineRule="auto"/>
    </w:pPr>
    <w:rPr>
      <w:rFonts w:ascii="等线 Light" w:hAnsi="等线 Light" w:eastAsia="等线 Light"/>
      <w:sz w:val="28"/>
      <w:szCs w:val="20"/>
    </w:rPr>
  </w:style>
  <w:style w:type="paragraph" w:styleId="58">
    <w:name w:val="header"/>
    <w:basedOn w:val="1"/>
    <w:link w:val="774"/>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link w:val="775"/>
    <w:qFormat/>
    <w:uiPriority w:val="99"/>
    <w:pPr>
      <w:spacing w:after="600" w:line="312" w:lineRule="atLeast"/>
      <w:jc w:val="center"/>
      <w:textAlignment w:val="baseline"/>
    </w:pPr>
    <w:rPr>
      <w:rFonts w:eastAsia="仿宋_GB2312"/>
      <w:kern w:val="0"/>
      <w:sz w:val="24"/>
      <w:szCs w:val="20"/>
    </w:rPr>
  </w:style>
  <w:style w:type="paragraph" w:styleId="60">
    <w:name w:val="toc 1"/>
    <w:basedOn w:val="1"/>
    <w:next w:val="1"/>
    <w:qFormat/>
    <w:uiPriority w:val="39"/>
  </w:style>
  <w:style w:type="paragraph" w:styleId="61">
    <w:name w:val="List Continue 4"/>
    <w:basedOn w:val="1"/>
    <w:qFormat/>
    <w:uiPriority w:val="99"/>
    <w:pPr>
      <w:spacing w:after="120"/>
      <w:ind w:left="1680" w:leftChars="800"/>
      <w:contextualSpacing/>
    </w:pPr>
  </w:style>
  <w:style w:type="paragraph" w:styleId="62">
    <w:name w:val="toc 4"/>
    <w:basedOn w:val="1"/>
    <w:next w:val="1"/>
    <w:qFormat/>
    <w:uiPriority w:val="39"/>
    <w:pPr>
      <w:ind w:left="1260" w:leftChars="600"/>
    </w:pPr>
  </w:style>
  <w:style w:type="paragraph" w:styleId="63">
    <w:name w:val="index heading"/>
    <w:basedOn w:val="1"/>
    <w:next w:val="64"/>
    <w:qFormat/>
    <w:uiPriority w:val="99"/>
    <w:pPr>
      <w:adjustRightInd/>
      <w:ind w:firstLine="200" w:firstLineChars="200"/>
    </w:pPr>
  </w:style>
  <w:style w:type="paragraph" w:styleId="64">
    <w:name w:val="index 1"/>
    <w:basedOn w:val="1"/>
    <w:next w:val="1"/>
    <w:qFormat/>
    <w:uiPriority w:val="99"/>
    <w:pPr>
      <w:adjustRightInd/>
      <w:spacing w:line="360" w:lineRule="auto"/>
      <w:ind w:firstLine="200" w:firstLineChars="200"/>
      <w:jc w:val="center"/>
    </w:pPr>
    <w:rPr>
      <w:sz w:val="24"/>
      <w:szCs w:val="20"/>
    </w:rPr>
  </w:style>
  <w:style w:type="paragraph" w:styleId="65">
    <w:name w:val="Subtitle"/>
    <w:link w:val="776"/>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66">
    <w:name w:val="List Number 5"/>
    <w:basedOn w:val="1"/>
    <w:qFormat/>
    <w:uiPriority w:val="99"/>
    <w:pPr>
      <w:tabs>
        <w:tab w:val="left" w:pos="902"/>
      </w:tabs>
      <w:adjustRightInd/>
      <w:spacing w:line="400" w:lineRule="exact"/>
      <w:ind w:left="902" w:hanging="420"/>
    </w:pPr>
    <w:rPr>
      <w:sz w:val="24"/>
      <w:szCs w:val="20"/>
    </w:rPr>
  </w:style>
  <w:style w:type="paragraph" w:styleId="67">
    <w:name w:val="List"/>
    <w:basedOn w:val="1"/>
    <w:qFormat/>
    <w:uiPriority w:val="99"/>
    <w:pPr>
      <w:ind w:left="200" w:hanging="200" w:hangingChars="200"/>
    </w:pPr>
  </w:style>
  <w:style w:type="paragraph" w:styleId="68">
    <w:name w:val="footnote text"/>
    <w:basedOn w:val="21"/>
    <w:link w:val="777"/>
    <w:qFormat/>
    <w:uiPriority w:val="0"/>
    <w:pPr>
      <w:adjustRightInd/>
      <w:snapToGrid/>
      <w:spacing w:before="60" w:after="60" w:line="300" w:lineRule="exact"/>
      <w:ind w:firstLine="0"/>
    </w:pPr>
    <w:rPr>
      <w:rFonts w:ascii="Calibri"/>
      <w:color w:val="0000FF"/>
      <w:kern w:val="0"/>
      <w:sz w:val="21"/>
    </w:rPr>
  </w:style>
  <w:style w:type="paragraph" w:styleId="69">
    <w:name w:val="toc 6"/>
    <w:basedOn w:val="1"/>
    <w:next w:val="1"/>
    <w:qFormat/>
    <w:uiPriority w:val="39"/>
    <w:pPr>
      <w:ind w:left="2100" w:leftChars="1000"/>
    </w:pPr>
  </w:style>
  <w:style w:type="paragraph" w:styleId="70">
    <w:name w:val="List 5"/>
    <w:basedOn w:val="1"/>
    <w:qFormat/>
    <w:uiPriority w:val="99"/>
    <w:pPr>
      <w:adjustRightInd/>
      <w:ind w:left="100" w:leftChars="800" w:hanging="200" w:hangingChars="200"/>
    </w:pPr>
  </w:style>
  <w:style w:type="paragraph" w:styleId="71">
    <w:name w:val="Body Text Indent 3"/>
    <w:basedOn w:val="1"/>
    <w:link w:val="778"/>
    <w:qFormat/>
    <w:uiPriority w:val="99"/>
    <w:pPr>
      <w:spacing w:line="360" w:lineRule="auto"/>
      <w:ind w:firstLine="420"/>
    </w:pPr>
    <w:rPr>
      <w:sz w:val="24"/>
      <w:szCs w:val="20"/>
    </w:rPr>
  </w:style>
  <w:style w:type="paragraph" w:styleId="72">
    <w:name w:val="index 7"/>
    <w:basedOn w:val="1"/>
    <w:next w:val="1"/>
    <w:unhideWhenUsed/>
    <w:qFormat/>
    <w:uiPriority w:val="99"/>
    <w:pPr>
      <w:adjustRightInd/>
      <w:spacing w:line="360" w:lineRule="auto"/>
      <w:ind w:left="1200" w:leftChars="1200"/>
    </w:pPr>
    <w:rPr>
      <w:rFonts w:ascii="Calibri" w:hAnsi="Calibri"/>
      <w:sz w:val="28"/>
      <w:szCs w:val="20"/>
    </w:rPr>
  </w:style>
  <w:style w:type="paragraph" w:styleId="73">
    <w:name w:val="index 9"/>
    <w:basedOn w:val="1"/>
    <w:next w:val="1"/>
    <w:qFormat/>
    <w:uiPriority w:val="99"/>
    <w:pPr>
      <w:widowControl/>
      <w:adjustRightInd/>
      <w:spacing w:line="360" w:lineRule="auto"/>
      <w:ind w:left="1600" w:leftChars="1600" w:firstLine="560" w:firstLineChars="200"/>
      <w:jc w:val="left"/>
    </w:pPr>
    <w:rPr>
      <w:rFonts w:ascii="Calibri" w:hAnsi="Calibri" w:cs="Arial"/>
      <w:bCs/>
      <w:kern w:val="0"/>
      <w:sz w:val="24"/>
      <w:szCs w:val="28"/>
      <w:lang w:bidi="en-US"/>
    </w:rPr>
  </w:style>
  <w:style w:type="paragraph" w:styleId="74">
    <w:name w:val="table of figures"/>
    <w:basedOn w:val="1"/>
    <w:next w:val="1"/>
    <w:qFormat/>
    <w:uiPriority w:val="99"/>
    <w:pPr>
      <w:adjustRightInd/>
      <w:spacing w:line="360" w:lineRule="auto"/>
      <w:ind w:left="200" w:hanging="200" w:hangingChars="200"/>
    </w:pPr>
    <w:rPr>
      <w:rFonts w:ascii="宋体" w:hAnsi="宋体" w:cs="宋体"/>
      <w:szCs w:val="21"/>
    </w:rPr>
  </w:style>
  <w:style w:type="paragraph" w:styleId="75">
    <w:name w:val="toc 2"/>
    <w:basedOn w:val="1"/>
    <w:next w:val="1"/>
    <w:qFormat/>
    <w:uiPriority w:val="39"/>
    <w:pPr>
      <w:ind w:left="420" w:leftChars="200"/>
    </w:pPr>
  </w:style>
  <w:style w:type="paragraph" w:styleId="76">
    <w:name w:val="toc 9"/>
    <w:basedOn w:val="1"/>
    <w:next w:val="1"/>
    <w:qFormat/>
    <w:uiPriority w:val="39"/>
    <w:pPr>
      <w:ind w:left="3360" w:leftChars="1600"/>
    </w:pPr>
  </w:style>
  <w:style w:type="paragraph" w:styleId="77">
    <w:name w:val="Body Text 2"/>
    <w:basedOn w:val="1"/>
    <w:link w:val="779"/>
    <w:qFormat/>
    <w:uiPriority w:val="99"/>
    <w:pPr>
      <w:spacing w:after="120" w:line="480" w:lineRule="auto"/>
    </w:pPr>
  </w:style>
  <w:style w:type="paragraph" w:styleId="78">
    <w:name w:val="List 4"/>
    <w:basedOn w:val="1"/>
    <w:unhideWhenUsed/>
    <w:qFormat/>
    <w:uiPriority w:val="99"/>
    <w:pPr>
      <w:adjustRightInd/>
      <w:spacing w:line="360" w:lineRule="auto"/>
      <w:ind w:left="100" w:leftChars="600" w:hanging="200" w:hangingChars="200"/>
      <w:contextualSpacing/>
    </w:pPr>
    <w:rPr>
      <w:rFonts w:ascii="Calibri" w:hAnsi="Calibri"/>
      <w:sz w:val="28"/>
      <w:szCs w:val="20"/>
    </w:rPr>
  </w:style>
  <w:style w:type="paragraph" w:styleId="79">
    <w:name w:val="List Continue 2"/>
    <w:basedOn w:val="1"/>
    <w:unhideWhenUsed/>
    <w:qFormat/>
    <w:uiPriority w:val="99"/>
    <w:pPr>
      <w:adjustRightInd/>
      <w:spacing w:after="120" w:line="360" w:lineRule="auto"/>
      <w:ind w:left="840" w:leftChars="400"/>
      <w:contextualSpacing/>
    </w:pPr>
    <w:rPr>
      <w:rFonts w:ascii="Calibri" w:hAnsi="Calibri"/>
      <w:sz w:val="28"/>
      <w:szCs w:val="20"/>
    </w:rPr>
  </w:style>
  <w:style w:type="paragraph" w:styleId="80">
    <w:name w:val="Message Header"/>
    <w:basedOn w:val="1"/>
    <w:link w:val="1122"/>
    <w:unhideWhenUsed/>
    <w:qFormat/>
    <w:uiPriority w:val="99"/>
    <w:pPr>
      <w:numPr>
        <w:ilvl w:val="0"/>
        <w:numId w:val="3"/>
      </w:numPr>
      <w:pBdr>
        <w:top w:val="single" w:color="auto" w:sz="6" w:space="1"/>
        <w:left w:val="single" w:color="auto" w:sz="6" w:space="1"/>
        <w:bottom w:val="single" w:color="auto" w:sz="6" w:space="1"/>
        <w:right w:val="single" w:color="auto" w:sz="6" w:space="1"/>
      </w:pBdr>
      <w:shd w:val="pct20" w:color="auto" w:fill="auto"/>
      <w:adjustRightInd/>
      <w:spacing w:line="360" w:lineRule="auto"/>
      <w:ind w:left="1080" w:leftChars="500" w:hanging="1080" w:hangingChars="500"/>
    </w:pPr>
    <w:rPr>
      <w:rFonts w:ascii="等线 Light" w:hAnsi="等线 Light" w:eastAsia="等线 Light"/>
      <w:sz w:val="24"/>
    </w:rPr>
  </w:style>
  <w:style w:type="paragraph" w:styleId="81">
    <w:name w:val="HTML Preformatted"/>
    <w:basedOn w:val="1"/>
    <w:link w:val="7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82">
    <w:name w:val="Normal (Web)"/>
    <w:basedOn w:val="1"/>
    <w:link w:val="1132"/>
    <w:qFormat/>
    <w:uiPriority w:val="0"/>
    <w:pPr>
      <w:widowControl/>
      <w:spacing w:before="100" w:beforeAutospacing="1" w:after="100" w:afterAutospacing="1"/>
      <w:jc w:val="left"/>
    </w:pPr>
    <w:rPr>
      <w:rFonts w:ascii="宋体" w:hAnsi="宋体"/>
      <w:kern w:val="0"/>
      <w:sz w:val="24"/>
    </w:rPr>
  </w:style>
  <w:style w:type="paragraph" w:styleId="83">
    <w:name w:val="List Continue 3"/>
    <w:basedOn w:val="1"/>
    <w:unhideWhenUsed/>
    <w:qFormat/>
    <w:uiPriority w:val="99"/>
    <w:pPr>
      <w:adjustRightInd/>
      <w:spacing w:after="120" w:line="360" w:lineRule="auto"/>
      <w:ind w:left="1260" w:leftChars="600"/>
      <w:contextualSpacing/>
    </w:pPr>
    <w:rPr>
      <w:rFonts w:ascii="Calibri" w:hAnsi="Calibri"/>
      <w:sz w:val="28"/>
      <w:szCs w:val="20"/>
    </w:rPr>
  </w:style>
  <w:style w:type="paragraph" w:styleId="84">
    <w:name w:val="index 2"/>
    <w:basedOn w:val="1"/>
    <w:next w:val="1"/>
    <w:unhideWhenUsed/>
    <w:qFormat/>
    <w:uiPriority w:val="99"/>
    <w:pPr>
      <w:adjustRightInd/>
      <w:spacing w:line="360" w:lineRule="auto"/>
      <w:ind w:left="200" w:leftChars="200"/>
    </w:pPr>
    <w:rPr>
      <w:rFonts w:ascii="Calibri" w:hAnsi="Calibri"/>
      <w:sz w:val="28"/>
      <w:szCs w:val="20"/>
    </w:rPr>
  </w:style>
  <w:style w:type="paragraph" w:styleId="85">
    <w:name w:val="Title"/>
    <w:basedOn w:val="1"/>
    <w:link w:val="781"/>
    <w:qFormat/>
    <w:uiPriority w:val="0"/>
    <w:pPr>
      <w:widowControl/>
      <w:overflowPunct w:val="0"/>
      <w:autoSpaceDE w:val="0"/>
      <w:autoSpaceDN w:val="0"/>
      <w:jc w:val="center"/>
      <w:textAlignment w:val="baseline"/>
    </w:pPr>
    <w:rPr>
      <w:b/>
      <w:kern w:val="0"/>
      <w:sz w:val="24"/>
      <w:szCs w:val="20"/>
    </w:rPr>
  </w:style>
  <w:style w:type="paragraph" w:styleId="86">
    <w:name w:val="annotation subject"/>
    <w:basedOn w:val="28"/>
    <w:next w:val="28"/>
    <w:link w:val="782"/>
    <w:qFormat/>
    <w:uiPriority w:val="0"/>
    <w:rPr>
      <w:b/>
      <w:bCs/>
    </w:rPr>
  </w:style>
  <w:style w:type="paragraph" w:styleId="87">
    <w:name w:val="Body Text First Indent 2"/>
    <w:basedOn w:val="36"/>
    <w:link w:val="784"/>
    <w:qFormat/>
    <w:uiPriority w:val="0"/>
    <w:pPr>
      <w:adjustRightInd/>
      <w:spacing w:after="120" w:line="240" w:lineRule="auto"/>
      <w:ind w:left="420" w:leftChars="200" w:firstLine="210"/>
    </w:pPr>
    <w:rPr>
      <w:sz w:val="21"/>
    </w:rPr>
  </w:style>
  <w:style w:type="table" w:styleId="89">
    <w:name w:val="Table Grid"/>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Elegant"/>
    <w:basedOn w:val="8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2">
    <w:name w:val="Table Grid 5"/>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8"/>
    <w:basedOn w:val="8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94">
    <w:name w:val="Table Professional"/>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96">
    <w:name w:val="Strong"/>
    <w:qFormat/>
    <w:uiPriority w:val="0"/>
    <w:rPr>
      <w:b/>
      <w:bCs/>
    </w:rPr>
  </w:style>
  <w:style w:type="character" w:styleId="97">
    <w:name w:val="endnote reference"/>
    <w:qFormat/>
    <w:uiPriority w:val="0"/>
    <w:rPr>
      <w:vertAlign w:val="superscript"/>
    </w:rPr>
  </w:style>
  <w:style w:type="character" w:styleId="98">
    <w:name w:val="page number"/>
    <w:qFormat/>
    <w:uiPriority w:val="0"/>
    <w:rPr>
      <w:rFonts w:ascii="Arial" w:hAnsi="Arial" w:eastAsia="黑体" w:cs="Arial"/>
      <w:snapToGrid w:val="0"/>
      <w:kern w:val="0"/>
      <w:szCs w:val="21"/>
    </w:rPr>
  </w:style>
  <w:style w:type="character" w:styleId="99">
    <w:name w:val="FollowedHyperlink"/>
    <w:qFormat/>
    <w:uiPriority w:val="99"/>
    <w:rPr>
      <w:rFonts w:ascii="Arial" w:hAnsi="Arial" w:eastAsia="黑体" w:cs="Arial"/>
      <w:snapToGrid w:val="0"/>
      <w:color w:val="000000"/>
      <w:kern w:val="0"/>
      <w:sz w:val="18"/>
      <w:szCs w:val="18"/>
      <w:u w:val="none"/>
    </w:rPr>
  </w:style>
  <w:style w:type="character" w:styleId="100">
    <w:name w:val="Emphasis"/>
    <w:qFormat/>
    <w:uiPriority w:val="20"/>
    <w:rPr>
      <w:color w:val="CC0033"/>
    </w:rPr>
  </w:style>
  <w:style w:type="character" w:styleId="101">
    <w:name w:val="line number"/>
    <w:qFormat/>
    <w:uiPriority w:val="0"/>
    <w:rPr>
      <w:rFonts w:ascii="Arial" w:hAnsi="Arial" w:eastAsia="黑体" w:cs="Arial"/>
      <w:snapToGrid w:val="0"/>
      <w:kern w:val="0"/>
      <w:szCs w:val="21"/>
    </w:rPr>
  </w:style>
  <w:style w:type="character" w:styleId="102">
    <w:name w:val="Hyperlink"/>
    <w:qFormat/>
    <w:uiPriority w:val="99"/>
    <w:rPr>
      <w:rFonts w:ascii="Arial" w:hAnsi="Arial" w:eastAsia="黑体" w:cs="Arial"/>
      <w:snapToGrid w:val="0"/>
      <w:color w:val="000000"/>
      <w:kern w:val="0"/>
      <w:sz w:val="18"/>
      <w:szCs w:val="18"/>
      <w:u w:val="none"/>
    </w:rPr>
  </w:style>
  <w:style w:type="character" w:styleId="103">
    <w:name w:val="HTML Code"/>
    <w:qFormat/>
    <w:uiPriority w:val="0"/>
    <w:rPr>
      <w:rFonts w:ascii="黑体" w:hAnsi="Courier New" w:eastAsia="黑体" w:cs="楷体_GB2312"/>
      <w:sz w:val="20"/>
      <w:szCs w:val="20"/>
    </w:rPr>
  </w:style>
  <w:style w:type="character" w:styleId="104">
    <w:name w:val="annotation reference"/>
    <w:qFormat/>
    <w:uiPriority w:val="0"/>
    <w:rPr>
      <w:sz w:val="21"/>
      <w:szCs w:val="21"/>
    </w:rPr>
  </w:style>
  <w:style w:type="paragraph" w:customStyle="1" w:styleId="105">
    <w:name w:val="Default"/>
    <w:link w:val="78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6">
    <w:name w:val="表格非标题文字"/>
    <w:link w:val="786"/>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07">
    <w:name w:val="*正文"/>
    <w:basedOn w:val="1"/>
    <w:link w:val="787"/>
    <w:qFormat/>
    <w:uiPriority w:val="0"/>
    <w:pPr>
      <w:spacing w:line="360" w:lineRule="auto"/>
      <w:ind w:firstLine="420"/>
    </w:pPr>
    <w:rPr>
      <w:rFonts w:ascii="仿宋" w:hAnsi="仿宋" w:eastAsia="仿宋"/>
      <w:sz w:val="24"/>
    </w:rPr>
  </w:style>
  <w:style w:type="paragraph" w:customStyle="1" w:styleId="108">
    <w:name w:val="U_正文"/>
    <w:basedOn w:val="1"/>
    <w:link w:val="795"/>
    <w:qFormat/>
    <w:uiPriority w:val="0"/>
    <w:pPr>
      <w:adjustRightInd/>
      <w:spacing w:beforeLines="20" w:afterLines="20" w:line="300" w:lineRule="auto"/>
      <w:ind w:firstLine="200" w:firstLineChars="200"/>
    </w:pPr>
    <w:rPr>
      <w:kern w:val="0"/>
      <w:sz w:val="24"/>
    </w:rPr>
  </w:style>
  <w:style w:type="paragraph" w:customStyle="1" w:styleId="109">
    <w:name w:val="哈哈正文"/>
    <w:basedOn w:val="1"/>
    <w:link w:val="801"/>
    <w:qFormat/>
    <w:uiPriority w:val="0"/>
    <w:pPr>
      <w:adjustRightInd/>
      <w:spacing w:line="360" w:lineRule="auto"/>
      <w:ind w:firstLine="200" w:firstLineChars="200"/>
    </w:pPr>
    <w:rPr>
      <w:rFonts w:ascii="宋体" w:hAnsi="宋体"/>
      <w:sz w:val="24"/>
      <w:szCs w:val="20"/>
    </w:rPr>
  </w:style>
  <w:style w:type="paragraph" w:customStyle="1" w:styleId="110">
    <w:name w:val="5正文"/>
    <w:basedOn w:val="1"/>
    <w:link w:val="81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11">
    <w:name w:val="正文2"/>
    <w:basedOn w:val="1"/>
    <w:link w:val="825"/>
    <w:qFormat/>
    <w:uiPriority w:val="0"/>
    <w:pPr>
      <w:spacing w:before="156" w:line="360" w:lineRule="auto"/>
      <w:ind w:firstLine="510" w:firstLineChars="200"/>
    </w:pPr>
    <w:rPr>
      <w:sz w:val="24"/>
      <w:szCs w:val="20"/>
    </w:rPr>
  </w:style>
  <w:style w:type="paragraph" w:customStyle="1" w:styleId="112">
    <w:name w:val="无间隔1"/>
    <w:link w:val="832"/>
    <w:qFormat/>
    <w:uiPriority w:val="0"/>
    <w:rPr>
      <w:rFonts w:ascii="Times New Roman" w:hAnsi="Times New Roman" w:eastAsia="宋体" w:cs="Times New Roman"/>
      <w:sz w:val="22"/>
      <w:szCs w:val="22"/>
      <w:lang w:val="en-US" w:eastAsia="zh-CN" w:bidi="ar-SA"/>
    </w:rPr>
  </w:style>
  <w:style w:type="paragraph" w:customStyle="1" w:styleId="113">
    <w:name w:val="纯文本_0_0"/>
    <w:basedOn w:val="114"/>
    <w:link w:val="839"/>
    <w:qFormat/>
    <w:uiPriority w:val="0"/>
    <w:rPr>
      <w:rFonts w:ascii="宋体" w:hAnsi="Courier New"/>
      <w:szCs w:val="21"/>
    </w:rPr>
  </w:style>
  <w:style w:type="paragraph" w:customStyle="1" w:styleId="11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正文（绿盟科技）"/>
    <w:link w:val="849"/>
    <w:qFormat/>
    <w:uiPriority w:val="0"/>
    <w:pPr>
      <w:spacing w:line="300" w:lineRule="auto"/>
    </w:pPr>
    <w:rPr>
      <w:rFonts w:ascii="Arial" w:hAnsi="Arial" w:eastAsia="宋体" w:cs="Times New Roman"/>
      <w:sz w:val="21"/>
      <w:szCs w:val="21"/>
      <w:lang w:val="en-US" w:eastAsia="zh-CN" w:bidi="ar-SA"/>
    </w:rPr>
  </w:style>
  <w:style w:type="paragraph" w:customStyle="1" w:styleId="116">
    <w:name w:val="表格名称"/>
    <w:basedOn w:val="5"/>
    <w:link w:val="858"/>
    <w:qFormat/>
    <w:uiPriority w:val="0"/>
    <w:pPr>
      <w:spacing w:before="240" w:after="240"/>
      <w:jc w:val="center"/>
    </w:pPr>
    <w:rPr>
      <w:rFonts w:ascii="Calibri" w:hAnsi="Calibri"/>
      <w:kern w:val="0"/>
      <w:szCs w:val="20"/>
    </w:rPr>
  </w:style>
  <w:style w:type="paragraph" w:customStyle="1" w:styleId="117">
    <w:name w:val="my正文"/>
    <w:basedOn w:val="1"/>
    <w:link w:val="875"/>
    <w:qFormat/>
    <w:uiPriority w:val="0"/>
    <w:pPr>
      <w:adjustRightInd/>
      <w:spacing w:line="360" w:lineRule="auto"/>
      <w:ind w:firstLine="480" w:firstLineChars="200"/>
    </w:pPr>
    <w:rPr>
      <w:rFonts w:ascii="Tahoma" w:hAnsi="Tahoma"/>
      <w:kern w:val="0"/>
      <w:sz w:val="24"/>
    </w:rPr>
  </w:style>
  <w:style w:type="paragraph" w:customStyle="1" w:styleId="118">
    <w:name w:val="3级"/>
    <w:basedOn w:val="119"/>
    <w:link w:val="880"/>
    <w:qFormat/>
    <w:uiPriority w:val="0"/>
    <w:pPr>
      <w:ind w:left="0" w:right="466" w:firstLine="288"/>
    </w:pPr>
    <w:rPr>
      <w:rFonts w:hAnsi="宋体"/>
    </w:rPr>
  </w:style>
  <w:style w:type="paragraph" w:customStyle="1" w:styleId="119">
    <w:name w:val="样式 标题 3h33rd level3BOD 0H3l3CTHeading 3 - oldLevel 3 He..."/>
    <w:basedOn w:val="2"/>
    <w:qFormat/>
    <w:uiPriority w:val="99"/>
    <w:pPr>
      <w:widowControl/>
      <w:tabs>
        <w:tab w:val="clear" w:pos="900"/>
      </w:tabs>
      <w:adjustRightInd/>
      <w:spacing w:before="240" w:after="240"/>
      <w:ind w:left="851" w:right="407" w:rightChars="194" w:hanging="851"/>
      <w:jc w:val="left"/>
    </w:pPr>
    <w:rPr>
      <w:rFonts w:ascii="宋体" w:hAnsi="Arial"/>
      <w:snapToGrid w:val="0"/>
      <w:kern w:val="0"/>
      <w:sz w:val="28"/>
      <w:szCs w:val="20"/>
    </w:rPr>
  </w:style>
  <w:style w:type="paragraph" w:customStyle="1" w:styleId="120">
    <w:name w:val="标题4-dyf"/>
    <w:basedOn w:val="6"/>
    <w:link w:val="89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21">
    <w:name w:val="冯"/>
    <w:basedOn w:val="1"/>
    <w:link w:val="901"/>
    <w:qFormat/>
    <w:uiPriority w:val="0"/>
    <w:pPr>
      <w:widowControl/>
      <w:adjustRightInd/>
      <w:spacing w:line="360" w:lineRule="auto"/>
      <w:ind w:firstLine="480" w:firstLineChars="200"/>
    </w:pPr>
    <w:rPr>
      <w:rFonts w:ascii="宋体" w:hAnsi="宋体"/>
      <w:color w:val="000000"/>
      <w:kern w:val="0"/>
      <w:sz w:val="24"/>
    </w:rPr>
  </w:style>
  <w:style w:type="paragraph" w:customStyle="1" w:styleId="122">
    <w:name w:val="正文样式"/>
    <w:basedOn w:val="1"/>
    <w:link w:val="917"/>
    <w:qFormat/>
    <w:uiPriority w:val="0"/>
    <w:pPr>
      <w:adjustRightInd/>
      <w:spacing w:line="360" w:lineRule="auto"/>
      <w:ind w:firstLine="480" w:firstLineChars="200"/>
    </w:pPr>
    <w:rPr>
      <w:kern w:val="0"/>
      <w:sz w:val="24"/>
    </w:rPr>
  </w:style>
  <w:style w:type="paragraph" w:customStyle="1" w:styleId="123">
    <w:name w:val="gf正文1"/>
    <w:basedOn w:val="1"/>
    <w:link w:val="92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24">
    <w:name w:val="列表1"/>
    <w:basedOn w:val="1"/>
    <w:next w:val="125"/>
    <w:link w:val="92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25">
    <w:name w:val="列表段落1"/>
    <w:basedOn w:val="1"/>
    <w:link w:val="927"/>
    <w:qFormat/>
    <w:uiPriority w:val="99"/>
    <w:pPr>
      <w:spacing w:line="360" w:lineRule="auto"/>
      <w:ind w:firstLine="200" w:firstLineChars="200"/>
    </w:pPr>
    <w:rPr>
      <w:rFonts w:eastAsia="楷体_GB2312" w:cs="Lucida Sans"/>
      <w:sz w:val="24"/>
    </w:rPr>
  </w:style>
  <w:style w:type="paragraph" w:customStyle="1" w:styleId="126">
    <w:name w:val="此正文"/>
    <w:basedOn w:val="1"/>
    <w:link w:val="948"/>
    <w:qFormat/>
    <w:uiPriority w:val="0"/>
    <w:pPr>
      <w:adjustRightInd/>
      <w:spacing w:line="360" w:lineRule="auto"/>
      <w:ind w:firstLine="200" w:firstLineChars="200"/>
    </w:pPr>
    <w:rPr>
      <w:sz w:val="24"/>
    </w:rPr>
  </w:style>
  <w:style w:type="paragraph" w:customStyle="1" w:styleId="127">
    <w:name w:val="样式 样式 标题 4h4H4Fab-4T5Ref Heading 1rh1Heading sqlsect 1.2.3.... +..."/>
    <w:basedOn w:val="128"/>
    <w:link w:val="964"/>
    <w:qFormat/>
    <w:uiPriority w:val="0"/>
    <w:pPr>
      <w:tabs>
        <w:tab w:val="left" w:pos="2356"/>
      </w:tabs>
    </w:pPr>
  </w:style>
  <w:style w:type="paragraph" w:customStyle="1" w:styleId="128">
    <w:name w:val="样式 标题 4h4H4Fab-4T5Ref Heading 1rh1Heading sqlsect 1.2.3...."/>
    <w:basedOn w:val="6"/>
    <w:link w:val="96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29">
    <w:name w:val="Item List"/>
    <w:link w:val="97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30">
    <w:name w:val="纯文本1"/>
    <w:basedOn w:val="1"/>
    <w:link w:val="975"/>
    <w:qFormat/>
    <w:uiPriority w:val="0"/>
    <w:pPr>
      <w:adjustRightInd/>
    </w:pPr>
    <w:rPr>
      <w:rFonts w:ascii="宋体" w:hAnsi="Courier New"/>
      <w:kern w:val="0"/>
      <w:sz w:val="20"/>
      <w:szCs w:val="20"/>
    </w:rPr>
  </w:style>
  <w:style w:type="paragraph" w:customStyle="1" w:styleId="131">
    <w:name w:val="正文说明"/>
    <w:basedOn w:val="1"/>
    <w:link w:val="984"/>
    <w:qFormat/>
    <w:uiPriority w:val="0"/>
    <w:pPr>
      <w:adjustRightInd/>
      <w:spacing w:line="360" w:lineRule="auto"/>
    </w:pPr>
    <w:rPr>
      <w:kern w:val="0"/>
      <w:sz w:val="24"/>
    </w:rPr>
  </w:style>
  <w:style w:type="paragraph" w:customStyle="1" w:styleId="132">
    <w:name w:val="Table Text"/>
    <w:basedOn w:val="1"/>
    <w:link w:val="990"/>
    <w:qFormat/>
    <w:uiPriority w:val="0"/>
    <w:pPr>
      <w:widowControl/>
      <w:spacing w:before="60" w:after="60"/>
      <w:jc w:val="left"/>
    </w:pPr>
    <w:rPr>
      <w:kern w:val="0"/>
      <w:sz w:val="24"/>
    </w:rPr>
  </w:style>
  <w:style w:type="paragraph" w:customStyle="1" w:styleId="133">
    <w:name w:val="公文正文"/>
    <w:basedOn w:val="1"/>
    <w:link w:val="1000"/>
    <w:qFormat/>
    <w:uiPriority w:val="0"/>
    <w:pPr>
      <w:adjustRightInd/>
      <w:spacing w:before="156" w:line="360" w:lineRule="auto"/>
      <w:ind w:firstLine="360" w:firstLineChars="200"/>
    </w:pPr>
    <w:rPr>
      <w:rFonts w:ascii="仿宋_GB2312" w:eastAsia="仿宋_GB2312"/>
      <w:sz w:val="24"/>
    </w:rPr>
  </w:style>
  <w:style w:type="paragraph" w:customStyle="1" w:styleId="134">
    <w:name w:val="正文（缩进2汉字）"/>
    <w:basedOn w:val="1"/>
    <w:link w:val="100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35">
    <w:name w:val="b11_01b"/>
    <w:basedOn w:val="1"/>
    <w:next w:val="1"/>
    <w:link w:val="102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36">
    <w:name w:val="段落"/>
    <w:basedOn w:val="1"/>
    <w:link w:val="1030"/>
    <w:qFormat/>
    <w:uiPriority w:val="0"/>
    <w:pPr>
      <w:adjustRightInd/>
      <w:spacing w:line="360" w:lineRule="auto"/>
      <w:ind w:firstLine="480" w:firstLineChars="200"/>
    </w:pPr>
    <w:rPr>
      <w:rFonts w:ascii="宋体" w:hAnsi="宋体"/>
      <w:kern w:val="0"/>
      <w:sz w:val="24"/>
      <w:szCs w:val="20"/>
    </w:rPr>
  </w:style>
  <w:style w:type="paragraph" w:customStyle="1" w:styleId="137">
    <w:name w:val="正文段"/>
    <w:basedOn w:val="1"/>
    <w:link w:val="1036"/>
    <w:qFormat/>
    <w:uiPriority w:val="0"/>
    <w:pPr>
      <w:widowControl/>
      <w:snapToGrid w:val="0"/>
      <w:spacing w:after="156" w:afterLines="50"/>
      <w:ind w:firstLine="200" w:firstLineChars="200"/>
    </w:pPr>
    <w:rPr>
      <w:kern w:val="0"/>
      <w:sz w:val="24"/>
      <w:szCs w:val="20"/>
    </w:rPr>
  </w:style>
  <w:style w:type="paragraph" w:customStyle="1" w:styleId="138">
    <w:name w:val="冯广丽"/>
    <w:basedOn w:val="1"/>
    <w:link w:val="1039"/>
    <w:qFormat/>
    <w:uiPriority w:val="0"/>
    <w:pPr>
      <w:adjustRightInd/>
      <w:spacing w:line="360" w:lineRule="auto"/>
      <w:ind w:firstLine="480" w:firstLineChars="200"/>
    </w:pPr>
    <w:rPr>
      <w:rFonts w:ascii="宋体" w:hAnsi="宋体"/>
      <w:sz w:val="24"/>
      <w:szCs w:val="22"/>
    </w:rPr>
  </w:style>
  <w:style w:type="paragraph" w:customStyle="1" w:styleId="139">
    <w:name w:val="编号，小四"/>
    <w:basedOn w:val="1"/>
    <w:link w:val="1045"/>
    <w:qFormat/>
    <w:uiPriority w:val="0"/>
    <w:pPr>
      <w:tabs>
        <w:tab w:val="left" w:pos="432"/>
      </w:tabs>
      <w:adjustRightInd/>
      <w:spacing w:line="360" w:lineRule="auto"/>
      <w:ind w:left="432" w:hanging="432"/>
    </w:pPr>
    <w:rPr>
      <w:rFonts w:ascii="Arial" w:hAnsi="Arial"/>
      <w:kern w:val="0"/>
      <w:sz w:val="24"/>
      <w:szCs w:val="20"/>
    </w:rPr>
  </w:style>
  <w:style w:type="paragraph" w:customStyle="1" w:styleId="140">
    <w:name w:val="仿宋正文"/>
    <w:basedOn w:val="1"/>
    <w:link w:val="1051"/>
    <w:qFormat/>
    <w:uiPriority w:val="0"/>
    <w:pPr>
      <w:adjustRightInd/>
      <w:spacing w:line="360" w:lineRule="auto"/>
      <w:ind w:firstLine="480" w:firstLineChars="200"/>
    </w:pPr>
    <w:rPr>
      <w:rFonts w:ascii="仿宋_GB2312" w:eastAsia="仿宋_GB2312"/>
      <w:sz w:val="24"/>
      <w:szCs w:val="20"/>
    </w:rPr>
  </w:style>
  <w:style w:type="paragraph" w:customStyle="1" w:styleId="141">
    <w:name w:val="样式 正文缩进 + 首行缩进:  2 字符"/>
    <w:basedOn w:val="21"/>
    <w:link w:val="106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42">
    <w:name w:val="样式 正文文本缩进 + 左侧:  2 字符 首行缩进:  2 字符"/>
    <w:basedOn w:val="3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4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4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4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4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4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4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49">
    <w:name w:val="标题4_自定义"/>
    <w:basedOn w:val="6"/>
    <w:qFormat/>
    <w:uiPriority w:val="0"/>
    <w:pPr>
      <w:adjustRightInd/>
      <w:spacing w:before="0" w:after="0" w:line="360" w:lineRule="auto"/>
    </w:pPr>
    <w:rPr>
      <w:rFonts w:ascii="Verdana" w:eastAsia="Verdana"/>
      <w:sz w:val="21"/>
      <w:lang w:val="en-US"/>
    </w:rPr>
  </w:style>
  <w:style w:type="paragraph" w:customStyle="1" w:styleId="150">
    <w:name w:val="正文 内标 序号标"/>
    <w:basedOn w:val="151"/>
    <w:qFormat/>
    <w:uiPriority w:val="0"/>
    <w:pPr>
      <w:tabs>
        <w:tab w:val="left" w:pos="0"/>
      </w:tabs>
      <w:adjustRightInd/>
      <w:spacing w:before="0"/>
      <w:ind w:firstLine="482"/>
    </w:pPr>
    <w:rPr>
      <w:rFonts w:ascii="微软雅黑" w:hAnsi="微软雅黑"/>
      <w:sz w:val="24"/>
      <w:szCs w:val="24"/>
    </w:rPr>
  </w:style>
  <w:style w:type="paragraph" w:customStyle="1" w:styleId="151">
    <w:name w:val="My正文"/>
    <w:basedOn w:val="1"/>
    <w:qFormat/>
    <w:uiPriority w:val="0"/>
    <w:pPr>
      <w:spacing w:before="120" w:line="360" w:lineRule="auto"/>
      <w:ind w:firstLine="567"/>
    </w:pPr>
    <w:rPr>
      <w:rFonts w:ascii="Arial" w:hAnsi="Arial"/>
      <w:sz w:val="20"/>
      <w:szCs w:val="20"/>
    </w:rPr>
  </w:style>
  <w:style w:type="paragraph" w:customStyle="1" w:styleId="1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5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5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55">
    <w:name w:val="修订2"/>
    <w:qFormat/>
    <w:uiPriority w:val="99"/>
    <w:rPr>
      <w:rFonts w:ascii="Times New Roman" w:hAnsi="Times New Roman" w:eastAsia="宋体" w:cs="Times New Roman"/>
      <w:kern w:val="2"/>
      <w:sz w:val="21"/>
      <w:lang w:val="en-US" w:eastAsia="zh-CN" w:bidi="ar-SA"/>
    </w:rPr>
  </w:style>
  <w:style w:type="paragraph" w:customStyle="1" w:styleId="15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文章标题"/>
    <w:next w:val="15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59">
    <w:name w:val="封面公司名"/>
    <w:qFormat/>
    <w:uiPriority w:val="0"/>
    <w:pPr>
      <w:jc w:val="center"/>
    </w:pPr>
    <w:rPr>
      <w:rFonts w:ascii="Arial" w:hAnsi="Arial" w:eastAsia="楷体_GB2312" w:cs="宋体"/>
      <w:bCs/>
      <w:kern w:val="2"/>
      <w:sz w:val="28"/>
      <w:lang w:val="en-US" w:eastAsia="zh-CN" w:bidi="ar-SA"/>
    </w:rPr>
  </w:style>
  <w:style w:type="paragraph" w:customStyle="1" w:styleId="160">
    <w:name w:val="Char1 Char Char Char5"/>
    <w:basedOn w:val="1"/>
    <w:qFormat/>
    <w:uiPriority w:val="0"/>
    <w:pPr>
      <w:adjustRightInd/>
      <w:ind w:firstLine="200" w:firstLineChars="200"/>
    </w:pPr>
    <w:rPr>
      <w:rFonts w:ascii="Tahoma" w:hAnsi="Tahoma"/>
      <w:sz w:val="24"/>
      <w:szCs w:val="20"/>
    </w:rPr>
  </w:style>
  <w:style w:type="paragraph" w:customStyle="1" w:styleId="1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6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63">
    <w:name w:val="Char Char Char Char Char Char Char Char"/>
    <w:basedOn w:val="1"/>
    <w:qFormat/>
    <w:uiPriority w:val="0"/>
    <w:pPr>
      <w:tabs>
        <w:tab w:val="left" w:pos="360"/>
      </w:tabs>
    </w:pPr>
    <w:rPr>
      <w:sz w:val="24"/>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16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67">
    <w:name w:val="样式3"/>
    <w:basedOn w:val="168"/>
    <w:qFormat/>
    <w:uiPriority w:val="0"/>
    <w:pPr>
      <w:tabs>
        <w:tab w:val="left" w:pos="2790"/>
        <w:tab w:val="left" w:pos="4230"/>
      </w:tabs>
      <w:ind w:firstLine="482" w:firstLineChars="200"/>
      <w:jc w:val="left"/>
    </w:pPr>
    <w:rPr>
      <w:rFonts w:hAnsi="仿宋_GB2312" w:eastAsia="宋体"/>
      <w:sz w:val="24"/>
    </w:rPr>
  </w:style>
  <w:style w:type="paragraph" w:customStyle="1" w:styleId="16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69">
    <w:name w:val="Char Char1 Char Char1 Char Char1"/>
    <w:basedOn w:val="1"/>
    <w:qFormat/>
    <w:uiPriority w:val="0"/>
    <w:pPr>
      <w:tabs>
        <w:tab w:val="left" w:pos="840"/>
      </w:tabs>
      <w:ind w:left="840" w:hanging="420"/>
    </w:pPr>
    <w:rPr>
      <w:rFonts w:ascii="Tahoma" w:hAnsi="Tahoma"/>
      <w:sz w:val="24"/>
    </w:rPr>
  </w:style>
  <w:style w:type="paragraph" w:customStyle="1" w:styleId="1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71">
    <w:name w:val="标书标题2"/>
    <w:basedOn w:val="5"/>
    <w:qFormat/>
    <w:uiPriority w:val="0"/>
    <w:pPr>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17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73">
    <w:name w:val="正文21"/>
    <w:basedOn w:val="1"/>
    <w:qFormat/>
    <w:uiPriority w:val="0"/>
    <w:pPr>
      <w:adjustRightInd/>
      <w:spacing w:before="156" w:line="360" w:lineRule="auto"/>
      <w:ind w:firstLine="510" w:firstLineChars="200"/>
    </w:pPr>
    <w:rPr>
      <w:sz w:val="24"/>
      <w:szCs w:val="20"/>
    </w:rPr>
  </w:style>
  <w:style w:type="paragraph" w:customStyle="1" w:styleId="174">
    <w:name w:val="Test2"/>
    <w:basedOn w:val="5"/>
    <w:qFormat/>
    <w:uiPriority w:val="0"/>
    <w:pPr>
      <w:widowControl/>
      <w:spacing w:before="360" w:after="360" w:line="240" w:lineRule="atLeast"/>
    </w:pPr>
    <w:rPr>
      <w:rFonts w:ascii="宋体" w:hAnsi="Arial"/>
      <w:snapToGrid w:val="0"/>
      <w:kern w:val="0"/>
      <w:lang w:val="en-US"/>
    </w:rPr>
  </w:style>
  <w:style w:type="paragraph" w:customStyle="1" w:styleId="17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76">
    <w:name w:val="Char1"/>
    <w:basedOn w:val="1"/>
    <w:qFormat/>
    <w:uiPriority w:val="0"/>
    <w:rPr>
      <w:rFonts w:ascii="仿宋_GB2312" w:eastAsia="仿宋_GB2312"/>
      <w:b/>
      <w:sz w:val="32"/>
      <w:szCs w:val="32"/>
    </w:rPr>
  </w:style>
  <w:style w:type="paragraph" w:customStyle="1" w:styleId="17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7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7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8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81">
    <w:name w:val="6级标题"/>
    <w:basedOn w:val="182"/>
    <w:qFormat/>
    <w:uiPriority w:val="0"/>
    <w:pPr>
      <w:keepNext/>
      <w:tabs>
        <w:tab w:val="left" w:pos="360"/>
      </w:tabs>
      <w:spacing w:before="0" w:after="0"/>
      <w:outlineLvl w:val="5"/>
    </w:pPr>
  </w:style>
  <w:style w:type="paragraph" w:customStyle="1" w:styleId="182">
    <w:name w:val="5级标题"/>
    <w:basedOn w:val="183"/>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83">
    <w:name w:val="4级标题"/>
    <w:basedOn w:val="12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84">
    <w:name w:val="样式 正文文本缩进 + 段前: 2 字符"/>
    <w:basedOn w:val="1"/>
    <w:qFormat/>
    <w:uiPriority w:val="0"/>
    <w:pPr>
      <w:adjustRightInd/>
      <w:ind w:left="420" w:leftChars="200"/>
      <w:jc w:val="left"/>
    </w:pPr>
    <w:rPr>
      <w:sz w:val="28"/>
      <w:szCs w:val="20"/>
      <w:lang w:eastAsia="zh-TW"/>
    </w:rPr>
  </w:style>
  <w:style w:type="paragraph" w:customStyle="1" w:styleId="185">
    <w:name w:val="Char2 Char Char"/>
    <w:basedOn w:val="1"/>
    <w:qFormat/>
    <w:uiPriority w:val="0"/>
    <w:pPr>
      <w:adjustRightInd/>
    </w:pPr>
    <w:rPr>
      <w:rFonts w:ascii="Tahoma" w:hAnsi="Tahoma"/>
      <w:sz w:val="24"/>
      <w:szCs w:val="20"/>
    </w:rPr>
  </w:style>
  <w:style w:type="paragraph" w:customStyle="1" w:styleId="186">
    <w:name w:val="_Style 11"/>
    <w:basedOn w:val="1"/>
    <w:qFormat/>
    <w:uiPriority w:val="34"/>
    <w:pPr>
      <w:adjustRightInd/>
      <w:ind w:firstLine="420" w:firstLineChars="200"/>
    </w:pPr>
    <w:rPr>
      <w:rFonts w:eastAsia="仿宋_GB2312"/>
      <w:sz w:val="28"/>
    </w:rPr>
  </w:style>
  <w:style w:type="paragraph" w:customStyle="1" w:styleId="18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88">
    <w:name w:val="Char Char Char"/>
    <w:basedOn w:val="1"/>
    <w:qFormat/>
    <w:uiPriority w:val="0"/>
    <w:rPr>
      <w:rFonts w:ascii="Tahoma" w:hAnsi="Tahoma"/>
      <w:sz w:val="24"/>
      <w:szCs w:val="20"/>
    </w:rPr>
  </w:style>
  <w:style w:type="paragraph" w:customStyle="1" w:styleId="189">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9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91">
    <w:name w:val="无间隔2"/>
    <w:basedOn w:val="1"/>
    <w:link w:val="1067"/>
    <w:qFormat/>
    <w:uiPriority w:val="99"/>
    <w:rPr>
      <w:szCs w:val="22"/>
    </w:rPr>
  </w:style>
  <w:style w:type="paragraph" w:customStyle="1" w:styleId="19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93">
    <w:name w:val="Char Char Char Char Char Char Char Char Char Char Char Char1 Char1"/>
    <w:basedOn w:val="1"/>
    <w:qFormat/>
    <w:uiPriority w:val="6"/>
    <w:rPr>
      <w:rFonts w:ascii="Tahoma" w:hAnsi="Tahoma" w:cs="仿宋_GB2312"/>
      <w:sz w:val="24"/>
      <w:szCs w:val="20"/>
    </w:rPr>
  </w:style>
  <w:style w:type="paragraph" w:customStyle="1" w:styleId="19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9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97">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98">
    <w:name w:val="五级无标题条"/>
    <w:basedOn w:val="1"/>
    <w:qFormat/>
    <w:uiPriority w:val="0"/>
    <w:pPr>
      <w:adjustRightInd/>
    </w:pPr>
  </w:style>
  <w:style w:type="paragraph" w:customStyle="1" w:styleId="199">
    <w:name w:val="Char5"/>
    <w:basedOn w:val="1"/>
    <w:qFormat/>
    <w:uiPriority w:val="0"/>
    <w:rPr>
      <w:rFonts w:ascii="仿宋_GB2312" w:eastAsia="仿宋_GB2312"/>
      <w:b/>
      <w:sz w:val="32"/>
      <w:szCs w:val="32"/>
    </w:rPr>
  </w:style>
  <w:style w:type="paragraph" w:customStyle="1" w:styleId="200">
    <w:name w:val="TOC 标题1"/>
    <w:basedOn w:val="4"/>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01">
    <w:name w:val="彩色列表 - 强调文字颜色 12"/>
    <w:basedOn w:val="1"/>
    <w:qFormat/>
    <w:uiPriority w:val="0"/>
    <w:pPr>
      <w:adjustRightInd/>
      <w:ind w:firstLine="420" w:firstLineChars="200"/>
    </w:pPr>
    <w:rPr>
      <w:rFonts w:ascii="Calibri" w:hAnsi="Calibri"/>
      <w:szCs w:val="22"/>
    </w:rPr>
  </w:style>
  <w:style w:type="paragraph" w:customStyle="1" w:styleId="20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03">
    <w:name w:val="Char2"/>
    <w:basedOn w:val="1"/>
    <w:qFormat/>
    <w:uiPriority w:val="0"/>
    <w:rPr>
      <w:rFonts w:ascii="仿宋_GB2312" w:eastAsia="仿宋_GB2312"/>
      <w:b/>
      <w:sz w:val="32"/>
      <w:szCs w:val="32"/>
    </w:rPr>
  </w:style>
  <w:style w:type="paragraph" w:customStyle="1" w:styleId="204">
    <w:name w:val="数字标题3"/>
    <w:basedOn w:val="2"/>
    <w:next w:val="1"/>
    <w:qFormat/>
    <w:uiPriority w:val="0"/>
    <w:pPr>
      <w:spacing w:line="240" w:lineRule="auto"/>
    </w:pPr>
    <w:rPr>
      <w:sz w:val="28"/>
      <w:szCs w:val="28"/>
    </w:rPr>
  </w:style>
  <w:style w:type="paragraph" w:customStyle="1" w:styleId="205">
    <w:name w:val="FA正文"/>
    <w:basedOn w:val="1"/>
    <w:qFormat/>
    <w:uiPriority w:val="0"/>
    <w:pPr>
      <w:spacing w:line="360" w:lineRule="auto"/>
      <w:ind w:firstLine="480" w:firstLineChars="200"/>
    </w:pPr>
    <w:rPr>
      <w:rFonts w:hAnsi="宋体"/>
      <w:sz w:val="24"/>
      <w:szCs w:val="20"/>
    </w:rPr>
  </w:style>
  <w:style w:type="paragraph" w:customStyle="1" w:styleId="206">
    <w:name w:val="MM Topic 5"/>
    <w:basedOn w:val="7"/>
    <w:qFormat/>
    <w:uiPriority w:val="0"/>
    <w:pPr>
      <w:tabs>
        <w:tab w:val="left" w:pos="2520"/>
        <w:tab w:val="clear" w:pos="1008"/>
      </w:tabs>
      <w:adjustRightInd/>
      <w:ind w:left="2520" w:hanging="420"/>
    </w:pPr>
  </w:style>
  <w:style w:type="paragraph" w:customStyle="1" w:styleId="207">
    <w:name w:val="Char Char Char Char Char Char Char Char Char Char1"/>
    <w:basedOn w:val="1"/>
    <w:qFormat/>
    <w:uiPriority w:val="0"/>
    <w:rPr>
      <w:rFonts w:ascii="仿宋_GB2312" w:eastAsia="仿宋_GB2312"/>
      <w:b/>
      <w:sz w:val="32"/>
      <w:szCs w:val="32"/>
    </w:rPr>
  </w:style>
  <w:style w:type="paragraph" w:customStyle="1" w:styleId="20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09">
    <w:name w:val="修订1"/>
    <w:qFormat/>
    <w:uiPriority w:val="99"/>
    <w:rPr>
      <w:rFonts w:ascii="Times New Roman" w:hAnsi="Times New Roman" w:eastAsia="宋体" w:cs="Times New Roman"/>
      <w:color w:val="000000"/>
      <w:kern w:val="1"/>
      <w:sz w:val="21"/>
      <w:lang w:val="en-US" w:eastAsia="zh-CN" w:bidi="ar-SA"/>
    </w:rPr>
  </w:style>
  <w:style w:type="paragraph" w:customStyle="1" w:styleId="210">
    <w:name w:val="Char2 Char Char Char"/>
    <w:basedOn w:val="1"/>
    <w:qFormat/>
    <w:uiPriority w:val="0"/>
    <w:rPr>
      <w:rFonts w:ascii="仿宋_GB2312" w:eastAsia="仿宋_GB2312"/>
      <w:b/>
      <w:sz w:val="32"/>
      <w:szCs w:val="32"/>
    </w:rPr>
  </w:style>
  <w:style w:type="paragraph" w:customStyle="1" w:styleId="211">
    <w:name w:val="Char2 Char Char Char1"/>
    <w:basedOn w:val="1"/>
    <w:qFormat/>
    <w:uiPriority w:val="6"/>
    <w:rPr>
      <w:rFonts w:ascii="仿宋_GB2312" w:eastAsia="仿宋_GB2312"/>
      <w:b/>
      <w:sz w:val="32"/>
      <w:szCs w:val="32"/>
    </w:rPr>
  </w:style>
  <w:style w:type="paragraph" w:customStyle="1" w:styleId="212">
    <w:name w:val="默认段落样式"/>
    <w:basedOn w:val="111"/>
    <w:qFormat/>
    <w:uiPriority w:val="0"/>
    <w:pPr>
      <w:spacing w:before="0"/>
      <w:ind w:firstLine="480"/>
      <w:outlineLvl w:val="2"/>
    </w:pPr>
    <w:rPr>
      <w:rFonts w:ascii="仿宋_GB2312" w:hAnsi="宋体" w:eastAsia="仿宋_GB2312"/>
      <w:color w:val="000000"/>
      <w:szCs w:val="24"/>
    </w:rPr>
  </w:style>
  <w:style w:type="paragraph" w:customStyle="1" w:styleId="213">
    <w:name w:val="图中文字"/>
    <w:basedOn w:val="1"/>
    <w:qFormat/>
    <w:uiPriority w:val="0"/>
    <w:pPr>
      <w:snapToGrid w:val="0"/>
      <w:spacing w:line="0" w:lineRule="atLeast"/>
      <w:ind w:firstLine="200" w:firstLineChars="200"/>
      <w:jc w:val="center"/>
    </w:pPr>
    <w:rPr>
      <w:sz w:val="24"/>
      <w:szCs w:val="20"/>
    </w:rPr>
  </w:style>
  <w:style w:type="paragraph" w:customStyle="1" w:styleId="21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5">
    <w:name w:val="MM Topic 3"/>
    <w:basedOn w:val="2"/>
    <w:qFormat/>
    <w:uiPriority w:val="0"/>
    <w:pPr>
      <w:tabs>
        <w:tab w:val="left" w:pos="1680"/>
        <w:tab w:val="clear" w:pos="900"/>
      </w:tabs>
      <w:adjustRightInd/>
      <w:ind w:left="1680" w:hanging="420"/>
    </w:pPr>
  </w:style>
  <w:style w:type="paragraph" w:customStyle="1" w:styleId="216">
    <w:name w:val="标准小四"/>
    <w:basedOn w:val="1"/>
    <w:qFormat/>
    <w:uiPriority w:val="0"/>
    <w:pPr>
      <w:spacing w:line="360" w:lineRule="auto"/>
      <w:ind w:firstLine="480" w:firstLineChars="200"/>
    </w:pPr>
    <w:rPr>
      <w:rFonts w:ascii="Arial" w:hAnsi="Arial"/>
      <w:sz w:val="24"/>
      <w:szCs w:val="21"/>
    </w:rPr>
  </w:style>
  <w:style w:type="paragraph" w:customStyle="1" w:styleId="21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218">
    <w:name w:val="表格（小）"/>
    <w:basedOn w:val="1"/>
    <w:qFormat/>
    <w:uiPriority w:val="0"/>
    <w:pPr>
      <w:adjustRightInd/>
      <w:snapToGrid w:val="0"/>
      <w:spacing w:line="300" w:lineRule="auto"/>
    </w:pPr>
    <w:rPr>
      <w:rFonts w:eastAsia="仿宋"/>
      <w:szCs w:val="21"/>
    </w:rPr>
  </w:style>
  <w:style w:type="paragraph" w:customStyle="1" w:styleId="21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0">
    <w:name w:val="Char2 Char Char1"/>
    <w:basedOn w:val="1"/>
    <w:qFormat/>
    <w:uiPriority w:val="6"/>
    <w:pPr>
      <w:adjustRightInd/>
    </w:pPr>
    <w:rPr>
      <w:rFonts w:ascii="Tahoma" w:hAnsi="Tahoma"/>
      <w:sz w:val="24"/>
      <w:szCs w:val="20"/>
    </w:rPr>
  </w:style>
  <w:style w:type="paragraph" w:customStyle="1" w:styleId="221">
    <w:name w:val="列出段落5"/>
    <w:basedOn w:val="1"/>
    <w:qFormat/>
    <w:uiPriority w:val="0"/>
    <w:pPr>
      <w:spacing w:line="360" w:lineRule="auto"/>
      <w:ind w:firstLine="200" w:firstLineChars="200"/>
    </w:pPr>
    <w:rPr>
      <w:rFonts w:eastAsia="楷体_GB2312" w:cs="Lucida Sans"/>
      <w:sz w:val="24"/>
    </w:rPr>
  </w:style>
  <w:style w:type="paragraph" w:customStyle="1" w:styleId="22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23">
    <w:name w:val="表格文字"/>
    <w:basedOn w:val="1"/>
    <w:next w:val="21"/>
    <w:qFormat/>
    <w:uiPriority w:val="0"/>
    <w:pPr>
      <w:adjustRightInd/>
      <w:ind w:firstLine="200" w:firstLineChars="200"/>
    </w:pPr>
    <w:rPr>
      <w:rFonts w:ascii="Arial" w:hAnsi="Arial"/>
      <w:spacing w:val="-5"/>
      <w:kern w:val="0"/>
      <w:sz w:val="24"/>
      <w:szCs w:val="20"/>
    </w:rPr>
  </w:style>
  <w:style w:type="paragraph" w:customStyle="1" w:styleId="22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25">
    <w:name w:val="TOC 标题111"/>
    <w:basedOn w:val="4"/>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2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2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2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9">
    <w:name w:val="_Style 3"/>
    <w:basedOn w:val="1"/>
    <w:qFormat/>
    <w:uiPriority w:val="1"/>
    <w:pPr>
      <w:adjustRightInd/>
      <w:ind w:firstLine="420" w:firstLineChars="200"/>
    </w:pPr>
    <w:rPr>
      <w:rFonts w:eastAsia="仿宋_GB2312"/>
      <w:sz w:val="28"/>
    </w:rPr>
  </w:style>
  <w:style w:type="paragraph" w:customStyle="1" w:styleId="23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Bulleting First Indent 1"/>
    <w:basedOn w:val="3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32">
    <w:name w:val="左对齐表格文字"/>
    <w:basedOn w:val="1"/>
    <w:qFormat/>
    <w:uiPriority w:val="0"/>
    <w:pPr>
      <w:adjustRightInd/>
      <w:ind w:firstLine="200" w:firstLineChars="200"/>
      <w:jc w:val="right"/>
    </w:pPr>
  </w:style>
  <w:style w:type="paragraph" w:customStyle="1" w:styleId="233">
    <w:name w:val="Char Char11 Char Char Char Char Char Char Char Char Char"/>
    <w:basedOn w:val="1"/>
    <w:qFormat/>
    <w:uiPriority w:val="0"/>
    <w:pPr>
      <w:spacing w:line="360" w:lineRule="auto"/>
    </w:pPr>
    <w:rPr>
      <w:szCs w:val="20"/>
    </w:rPr>
  </w:style>
  <w:style w:type="paragraph" w:customStyle="1" w:styleId="234">
    <w:name w:val="正文1.25"/>
    <w:basedOn w:val="1"/>
    <w:qFormat/>
    <w:uiPriority w:val="0"/>
    <w:pPr>
      <w:adjustRightInd/>
      <w:spacing w:line="300" w:lineRule="auto"/>
      <w:ind w:firstLine="480" w:firstLineChars="200"/>
    </w:pPr>
    <w:rPr>
      <w:sz w:val="24"/>
      <w:szCs w:val="20"/>
    </w:rPr>
  </w:style>
  <w:style w:type="paragraph" w:customStyle="1" w:styleId="23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3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3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 Char Char Char1"/>
    <w:basedOn w:val="1"/>
    <w:qFormat/>
    <w:uiPriority w:val="6"/>
    <w:rPr>
      <w:rFonts w:ascii="仿宋_GB2312" w:eastAsia="仿宋_GB2312"/>
      <w:b/>
      <w:sz w:val="32"/>
      <w:szCs w:val="20"/>
    </w:rPr>
  </w:style>
  <w:style w:type="paragraph" w:customStyle="1" w:styleId="239">
    <w:name w:val="列出段落2"/>
    <w:basedOn w:val="1"/>
    <w:qFormat/>
    <w:uiPriority w:val="0"/>
    <w:pPr>
      <w:adjustRightInd/>
      <w:ind w:firstLine="420" w:firstLineChars="200"/>
    </w:pPr>
    <w:rPr>
      <w:rFonts w:ascii="宋体" w:hAnsi="宋体"/>
      <w:sz w:val="24"/>
    </w:rPr>
  </w:style>
  <w:style w:type="paragraph" w:customStyle="1" w:styleId="240">
    <w:name w:val="默认段落字体 Para Char Char Char Char Char Char Char"/>
    <w:basedOn w:val="1"/>
    <w:qFormat/>
    <w:uiPriority w:val="0"/>
    <w:rPr>
      <w:rFonts w:eastAsia="仿宋_GB2312"/>
      <w:sz w:val="28"/>
      <w:szCs w:val="20"/>
    </w:rPr>
  </w:style>
  <w:style w:type="paragraph" w:customStyle="1" w:styleId="24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42">
    <w:name w:val="样式 标题 4PIM 4H4h4bulletblbbH41H42H43H44H45H46H47H48...1"/>
    <w:basedOn w:val="6"/>
    <w:qFormat/>
    <w:uiPriority w:val="0"/>
    <w:pPr>
      <w:widowControl/>
      <w:jc w:val="left"/>
    </w:pPr>
    <w:rPr>
      <w:rFonts w:cs="宋体"/>
      <w:sz w:val="24"/>
      <w:szCs w:val="20"/>
    </w:rPr>
  </w:style>
  <w:style w:type="paragraph" w:customStyle="1" w:styleId="243">
    <w:name w:val="彩色列表 - 强调文字颜色 11"/>
    <w:basedOn w:val="1"/>
    <w:qFormat/>
    <w:uiPriority w:val="0"/>
    <w:pPr>
      <w:adjustRightInd/>
      <w:ind w:firstLine="420" w:firstLineChars="200"/>
    </w:pPr>
    <w:rPr>
      <w:rFonts w:ascii="Calibri" w:hAnsi="Calibri"/>
      <w:szCs w:val="22"/>
    </w:rPr>
  </w:style>
  <w:style w:type="paragraph" w:customStyle="1" w:styleId="24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4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4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47">
    <w:name w:val="Char Char Char1 Char1"/>
    <w:basedOn w:val="1"/>
    <w:qFormat/>
    <w:uiPriority w:val="6"/>
    <w:rPr>
      <w:szCs w:val="20"/>
    </w:rPr>
  </w:style>
  <w:style w:type="paragraph" w:customStyle="1" w:styleId="24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49">
    <w:name w:val="样式 标题 2 + 宋体 左侧:  1.76 厘米 首行缩进:  0 厘米"/>
    <w:basedOn w:val="5"/>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25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5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5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53">
    <w:name w:val="CM14"/>
    <w:basedOn w:val="105"/>
    <w:next w:val="105"/>
    <w:qFormat/>
    <w:uiPriority w:val="0"/>
    <w:pPr>
      <w:spacing w:after="68"/>
    </w:pPr>
    <w:rPr>
      <w:rFonts w:ascii="FHLHE E+ Futura Bk" w:eastAsia="FHLHE E+ Futura Bk" w:cs="Times New Roman"/>
      <w:color w:val="auto"/>
    </w:rPr>
  </w:style>
  <w:style w:type="paragraph" w:customStyle="1" w:styleId="25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5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57">
    <w:name w:val="正文文字 2"/>
    <w:basedOn w:val="105"/>
    <w:next w:val="105"/>
    <w:qFormat/>
    <w:uiPriority w:val="0"/>
    <w:rPr>
      <w:rFonts w:ascii="宋体" w:eastAsia="宋体" w:cs="Times New Roman"/>
      <w:color w:val="auto"/>
    </w:rPr>
  </w:style>
  <w:style w:type="paragraph" w:customStyle="1" w:styleId="25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59">
    <w:name w:val="Char Char1 Char"/>
    <w:basedOn w:val="1"/>
    <w:qFormat/>
    <w:uiPriority w:val="0"/>
    <w:rPr>
      <w:rFonts w:ascii="仿宋_GB2312" w:eastAsia="仿宋_GB2312"/>
      <w:b/>
      <w:sz w:val="32"/>
      <w:szCs w:val="32"/>
    </w:rPr>
  </w:style>
  <w:style w:type="paragraph" w:customStyle="1" w:styleId="26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6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62">
    <w:name w:val="Char Char111"/>
    <w:basedOn w:val="1"/>
    <w:qFormat/>
    <w:uiPriority w:val="0"/>
    <w:pPr>
      <w:spacing w:line="360" w:lineRule="auto"/>
    </w:pPr>
    <w:rPr>
      <w:szCs w:val="20"/>
    </w:rPr>
  </w:style>
  <w:style w:type="paragraph" w:customStyle="1" w:styleId="263">
    <w:name w:val="Char"/>
    <w:basedOn w:val="1"/>
    <w:qFormat/>
    <w:uiPriority w:val="0"/>
    <w:rPr>
      <w:rFonts w:ascii="仿宋_GB2312" w:eastAsia="仿宋_GB2312"/>
      <w:b/>
      <w:sz w:val="32"/>
      <w:szCs w:val="32"/>
    </w:rPr>
  </w:style>
  <w:style w:type="paragraph" w:customStyle="1" w:styleId="26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6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6">
    <w:name w:val="Char Char Char1 Char"/>
    <w:basedOn w:val="1"/>
    <w:qFormat/>
    <w:uiPriority w:val="0"/>
    <w:rPr>
      <w:szCs w:val="20"/>
    </w:rPr>
  </w:style>
  <w:style w:type="paragraph" w:customStyle="1" w:styleId="267">
    <w:name w:val="正文标准"/>
    <w:basedOn w:val="1"/>
    <w:qFormat/>
    <w:uiPriority w:val="0"/>
    <w:pPr>
      <w:adjustRightInd/>
      <w:spacing w:line="360" w:lineRule="auto"/>
      <w:ind w:firstLine="200" w:firstLineChars="200"/>
    </w:pPr>
    <w:rPr>
      <w:rFonts w:ascii="宋体" w:hAnsi="Calibri"/>
      <w:sz w:val="24"/>
    </w:rPr>
  </w:style>
  <w:style w:type="paragraph" w:customStyle="1" w:styleId="26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6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7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7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7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7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79">
    <w:name w:val="标准有序列表（L1）"/>
    <w:basedOn w:val="21"/>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80">
    <w:name w:val="Char Char Char Char Char Char Char Char Char Char"/>
    <w:basedOn w:val="1"/>
    <w:qFormat/>
    <w:uiPriority w:val="0"/>
    <w:rPr>
      <w:rFonts w:ascii="仿宋_GB2312" w:eastAsia="仿宋_GB2312"/>
      <w:b/>
      <w:sz w:val="32"/>
      <w:szCs w:val="32"/>
    </w:rPr>
  </w:style>
  <w:style w:type="paragraph" w:customStyle="1" w:styleId="28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82">
    <w:name w:val="_正文段落"/>
    <w:basedOn w:val="1"/>
    <w:qFormat/>
    <w:uiPriority w:val="0"/>
    <w:pPr>
      <w:adjustRightInd/>
      <w:ind w:firstLine="560"/>
    </w:pPr>
    <w:rPr>
      <w:rFonts w:ascii="仿宋_GB2312" w:hAnsi="仿宋" w:eastAsia="仿宋_GB2312"/>
      <w:kern w:val="0"/>
      <w:sz w:val="28"/>
      <w:szCs w:val="28"/>
    </w:rPr>
  </w:style>
  <w:style w:type="paragraph" w:customStyle="1" w:styleId="28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8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5">
    <w:name w:val="正文（首行缩进）"/>
    <w:basedOn w:val="3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8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8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89">
    <w:name w:val="Char Char Char1 Char2"/>
    <w:basedOn w:val="1"/>
    <w:qFormat/>
    <w:uiPriority w:val="0"/>
    <w:rPr>
      <w:szCs w:val="20"/>
    </w:rPr>
  </w:style>
  <w:style w:type="paragraph" w:customStyle="1" w:styleId="29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91">
    <w:name w:val="默认段落字体 Para Char"/>
    <w:basedOn w:val="1"/>
    <w:qFormat/>
    <w:uiPriority w:val="0"/>
    <w:rPr>
      <w:rFonts w:ascii="Tahoma" w:hAnsi="Tahoma"/>
      <w:sz w:val="24"/>
      <w:szCs w:val="20"/>
    </w:rPr>
  </w:style>
  <w:style w:type="paragraph" w:customStyle="1" w:styleId="292">
    <w:name w:val="标题五"/>
    <w:basedOn w:val="1"/>
    <w:qFormat/>
    <w:uiPriority w:val="0"/>
    <w:pPr>
      <w:adjustRightInd/>
      <w:spacing w:before="156" w:beforeLines="50" w:line="360" w:lineRule="auto"/>
    </w:pPr>
    <w:rPr>
      <w:b/>
      <w:sz w:val="24"/>
    </w:rPr>
  </w:style>
  <w:style w:type="paragraph" w:customStyle="1" w:styleId="293">
    <w:name w:val="Char Char1101"/>
    <w:basedOn w:val="1"/>
    <w:qFormat/>
    <w:uiPriority w:val="0"/>
    <w:pPr>
      <w:spacing w:line="360" w:lineRule="auto"/>
    </w:pPr>
    <w:rPr>
      <w:rFonts w:ascii="Tahoma" w:hAnsi="Tahoma"/>
      <w:sz w:val="24"/>
      <w:szCs w:val="20"/>
    </w:rPr>
  </w:style>
  <w:style w:type="paragraph" w:customStyle="1" w:styleId="294">
    <w:name w:val="Char Char Char Char Char Char Char Char1"/>
    <w:basedOn w:val="1"/>
    <w:qFormat/>
    <w:uiPriority w:val="0"/>
    <w:pPr>
      <w:tabs>
        <w:tab w:val="left" w:pos="360"/>
      </w:tabs>
    </w:pPr>
    <w:rPr>
      <w:sz w:val="24"/>
      <w:szCs w:val="20"/>
    </w:rPr>
  </w:style>
  <w:style w:type="paragraph" w:customStyle="1" w:styleId="295">
    <w:name w:val="Char Char Char 字元 字元"/>
    <w:basedOn w:val="1"/>
    <w:qFormat/>
    <w:uiPriority w:val="0"/>
    <w:pPr>
      <w:adjustRightInd/>
      <w:spacing w:line="360" w:lineRule="auto"/>
      <w:ind w:firstLine="200" w:firstLineChars="200"/>
    </w:pPr>
    <w:rPr>
      <w:szCs w:val="20"/>
    </w:rPr>
  </w:style>
  <w:style w:type="paragraph" w:customStyle="1" w:styleId="29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7">
    <w:name w:val="Char Char Char Char Char Char Char"/>
    <w:basedOn w:val="1"/>
    <w:qFormat/>
    <w:uiPriority w:val="0"/>
    <w:rPr>
      <w:rFonts w:ascii="仿宋_GB2312" w:eastAsia="仿宋_GB2312"/>
      <w:b/>
      <w:sz w:val="32"/>
      <w:szCs w:val="32"/>
    </w:rPr>
  </w:style>
  <w:style w:type="paragraph" w:customStyle="1" w:styleId="29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9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301">
    <w:name w:val="样式6"/>
    <w:basedOn w:val="46"/>
    <w:qFormat/>
    <w:uiPriority w:val="0"/>
    <w:pPr>
      <w:spacing w:line="460" w:lineRule="exact"/>
      <w:outlineLvl w:val="2"/>
    </w:pPr>
    <w:rPr>
      <w:rFonts w:ascii="仿宋_GB2312" w:hAnsi="宋体" w:eastAsia="仿宋_GB2312"/>
      <w:b/>
      <w:bCs/>
      <w:sz w:val="24"/>
      <w:szCs w:val="24"/>
    </w:rPr>
  </w:style>
  <w:style w:type="paragraph" w:customStyle="1" w:styleId="302">
    <w:name w:val="批注框文本 Char Char"/>
    <w:basedOn w:val="1"/>
    <w:qFormat/>
    <w:uiPriority w:val="0"/>
    <w:pPr>
      <w:adjustRightInd/>
    </w:pPr>
    <w:rPr>
      <w:sz w:val="18"/>
      <w:szCs w:val="20"/>
    </w:rPr>
  </w:style>
  <w:style w:type="paragraph" w:customStyle="1" w:styleId="30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0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0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307">
    <w:name w:val="索引 11"/>
    <w:basedOn w:val="1"/>
    <w:next w:val="1"/>
    <w:qFormat/>
    <w:uiPriority w:val="99"/>
    <w:pPr>
      <w:adjustRightInd/>
      <w:spacing w:line="360" w:lineRule="auto"/>
    </w:pPr>
    <w:rPr>
      <w:rFonts w:ascii="仿宋_GB2312" w:eastAsia="仿宋_GB2312"/>
      <w:sz w:val="24"/>
      <w:szCs w:val="20"/>
    </w:rPr>
  </w:style>
  <w:style w:type="paragraph" w:customStyle="1" w:styleId="30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10">
    <w:name w:val="正文文字缩进项目"/>
    <w:basedOn w:val="3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11">
    <w:name w:val="文档正文"/>
    <w:basedOn w:val="1"/>
    <w:qFormat/>
    <w:uiPriority w:val="0"/>
    <w:pPr>
      <w:spacing w:line="480" w:lineRule="atLeast"/>
      <w:ind w:firstLine="567"/>
      <w:textAlignment w:val="baseline"/>
    </w:pPr>
    <w:rPr>
      <w:kern w:val="0"/>
      <w:sz w:val="24"/>
      <w:szCs w:val="20"/>
    </w:rPr>
  </w:style>
  <w:style w:type="paragraph" w:customStyle="1" w:styleId="312">
    <w:name w:val="正文文字表格居中"/>
    <w:basedOn w:val="1"/>
    <w:next w:val="77"/>
    <w:qFormat/>
    <w:uiPriority w:val="0"/>
    <w:pPr>
      <w:snapToGrid w:val="0"/>
      <w:spacing w:line="360" w:lineRule="auto"/>
    </w:pPr>
    <w:rPr>
      <w:rFonts w:ascii="宋体"/>
      <w:b/>
      <w:sz w:val="24"/>
      <w:szCs w:val="20"/>
    </w:rPr>
  </w:style>
  <w:style w:type="paragraph" w:customStyle="1" w:styleId="31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314">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15">
    <w:name w:val="Plain Text1"/>
    <w:basedOn w:val="1"/>
    <w:qFormat/>
    <w:uiPriority w:val="7"/>
    <w:pPr>
      <w:adjustRightInd/>
    </w:pPr>
    <w:rPr>
      <w:rFonts w:ascii="宋体" w:hAnsi="Courier New"/>
    </w:rPr>
  </w:style>
  <w:style w:type="paragraph" w:customStyle="1" w:styleId="316">
    <w:name w:val="Char3"/>
    <w:basedOn w:val="1"/>
    <w:qFormat/>
    <w:uiPriority w:val="0"/>
    <w:pPr>
      <w:adjustRightInd/>
    </w:pPr>
    <w:rPr>
      <w:rFonts w:ascii="仿宋_GB2312" w:eastAsia="仿宋_GB2312"/>
      <w:b/>
      <w:sz w:val="32"/>
      <w:szCs w:val="32"/>
    </w:rPr>
  </w:style>
  <w:style w:type="paragraph" w:customStyle="1" w:styleId="31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19">
    <w:name w:val="标题2"/>
    <w:basedOn w:val="5"/>
    <w:next w:val="1"/>
    <w:qFormat/>
    <w:uiPriority w:val="0"/>
    <w:pPr>
      <w:tabs>
        <w:tab w:val="left" w:pos="578"/>
        <w:tab w:val="left" w:pos="900"/>
        <w:tab w:val="left" w:pos="1440"/>
        <w:tab w:val="clear" w:pos="432"/>
      </w:tabs>
      <w:ind w:left="1440" w:hanging="360"/>
    </w:pPr>
    <w:rPr>
      <w:rFonts w:ascii="仿宋" w:eastAsia="仿宋" w:cs="宋体"/>
      <w:szCs w:val="28"/>
    </w:rPr>
  </w:style>
  <w:style w:type="paragraph" w:customStyle="1" w:styleId="320">
    <w:name w:val="List Paragraph1"/>
    <w:basedOn w:val="1"/>
    <w:qFormat/>
    <w:uiPriority w:val="34"/>
    <w:pPr>
      <w:spacing w:line="360" w:lineRule="auto"/>
      <w:ind w:firstLine="200" w:firstLineChars="200"/>
    </w:pPr>
    <w:rPr>
      <w:rFonts w:eastAsia="楷体_GB2312" w:cs="Lucida Sans"/>
      <w:sz w:val="24"/>
    </w:rPr>
  </w:style>
  <w:style w:type="paragraph" w:customStyle="1" w:styleId="321">
    <w:name w:val="样式 标题 3标题 3 Char第二层条h33Bold Headbh章标题1小标题level_3PIM 3..."/>
    <w:basedOn w:val="2"/>
    <w:qFormat/>
    <w:uiPriority w:val="0"/>
    <w:rPr>
      <w:rFonts w:ascii="黑体" w:hAnsi="宋体" w:eastAsia="黑体" w:cs="宋体"/>
      <w:b w:val="0"/>
      <w:bCs w:val="0"/>
      <w:color w:val="000000"/>
      <w:kern w:val="0"/>
      <w:sz w:val="28"/>
      <w:szCs w:val="20"/>
    </w:rPr>
  </w:style>
  <w:style w:type="paragraph" w:customStyle="1" w:styleId="32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2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24">
    <w:name w:val="Char3 Char Char Char"/>
    <w:basedOn w:val="1"/>
    <w:qFormat/>
    <w:uiPriority w:val="0"/>
    <w:pPr>
      <w:widowControl/>
      <w:adjustRightInd/>
      <w:spacing w:after="160" w:line="240" w:lineRule="exact"/>
      <w:jc w:val="left"/>
    </w:pPr>
    <w:rPr>
      <w:szCs w:val="20"/>
    </w:rPr>
  </w:style>
  <w:style w:type="paragraph" w:customStyle="1" w:styleId="325">
    <w:name w:val="表格标题2"/>
    <w:basedOn w:val="326"/>
    <w:qFormat/>
    <w:uiPriority w:val="0"/>
    <w:rPr>
      <w:b/>
    </w:rPr>
  </w:style>
  <w:style w:type="paragraph" w:customStyle="1" w:styleId="326">
    <w:name w:val="表格内文"/>
    <w:basedOn w:val="1"/>
    <w:qFormat/>
    <w:uiPriority w:val="0"/>
    <w:pPr>
      <w:adjustRightInd/>
      <w:spacing w:line="360" w:lineRule="auto"/>
    </w:pPr>
    <w:rPr>
      <w:rFonts w:ascii="宋体" w:hAnsi="宋体" w:cs="宋体"/>
      <w:color w:val="000000"/>
      <w:szCs w:val="20"/>
    </w:rPr>
  </w:style>
  <w:style w:type="paragraph" w:customStyle="1" w:styleId="327">
    <w:name w:val="Char Char Char Char Char Char Char Char Char Char2"/>
    <w:basedOn w:val="1"/>
    <w:qFormat/>
    <w:uiPriority w:val="0"/>
    <w:rPr>
      <w:rFonts w:ascii="仿宋_GB2312" w:eastAsia="仿宋_GB2312"/>
      <w:b/>
      <w:sz w:val="32"/>
      <w:szCs w:val="32"/>
    </w:rPr>
  </w:style>
  <w:style w:type="paragraph" w:customStyle="1" w:styleId="32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2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30">
    <w:name w:val="Char Char11 Char Char Char Char Char Char Char Char Char11"/>
    <w:basedOn w:val="1"/>
    <w:qFormat/>
    <w:uiPriority w:val="0"/>
    <w:pPr>
      <w:spacing w:line="360" w:lineRule="auto"/>
    </w:pPr>
    <w:rPr>
      <w:szCs w:val="20"/>
    </w:rPr>
  </w:style>
  <w:style w:type="paragraph" w:customStyle="1" w:styleId="33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3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33">
    <w:name w:val="MM Topic 1"/>
    <w:basedOn w:val="4"/>
    <w:qFormat/>
    <w:uiPriority w:val="0"/>
    <w:pPr>
      <w:tabs>
        <w:tab w:val="left" w:pos="840"/>
        <w:tab w:val="clear" w:pos="432"/>
      </w:tabs>
      <w:adjustRightInd/>
      <w:ind w:left="840" w:hanging="420"/>
    </w:pPr>
  </w:style>
  <w:style w:type="paragraph" w:customStyle="1" w:styleId="334">
    <w:name w:val="样式 标题 2标题2H2Heading 2 HiddenHeading 2 CCBSheading 22nd lev..."/>
    <w:basedOn w:val="5"/>
    <w:qFormat/>
    <w:uiPriority w:val="0"/>
    <w:pPr>
      <w:widowControl/>
      <w:spacing w:before="260" w:after="260" w:line="416" w:lineRule="auto"/>
    </w:pPr>
    <w:rPr>
      <w:rFonts w:ascii="Arial" w:hAnsi="Arial" w:eastAsia="黑体"/>
      <w:sz w:val="30"/>
      <w:szCs w:val="21"/>
    </w:rPr>
  </w:style>
  <w:style w:type="paragraph" w:customStyle="1" w:styleId="335">
    <w:name w:val="文本正文 Char"/>
    <w:basedOn w:val="1"/>
    <w:qFormat/>
    <w:uiPriority w:val="0"/>
    <w:pPr>
      <w:spacing w:line="360" w:lineRule="auto"/>
      <w:ind w:firstLine="200" w:firstLineChars="200"/>
    </w:pPr>
    <w:rPr>
      <w:kern w:val="0"/>
      <w:sz w:val="24"/>
      <w:szCs w:val="20"/>
    </w:rPr>
  </w:style>
  <w:style w:type="paragraph" w:customStyle="1" w:styleId="336">
    <w:name w:val="表格"/>
    <w:basedOn w:val="1"/>
    <w:qFormat/>
    <w:uiPriority w:val="0"/>
    <w:pPr>
      <w:snapToGrid w:val="0"/>
      <w:ind w:firstLine="42" w:firstLineChars="21"/>
    </w:pPr>
    <w:rPr>
      <w:rFonts w:ascii="宋体" w:hAnsi="宋体"/>
      <w:kern w:val="0"/>
      <w:sz w:val="20"/>
      <w:szCs w:val="20"/>
    </w:rPr>
  </w:style>
  <w:style w:type="paragraph" w:customStyle="1" w:styleId="337">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3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3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40">
    <w:name w:val="表格项目符号 2"/>
    <w:basedOn w:val="4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41">
    <w:name w:val="EB_表格"/>
    <w:basedOn w:val="1"/>
    <w:qFormat/>
    <w:uiPriority w:val="0"/>
    <w:pPr>
      <w:adjustRightInd/>
      <w:spacing w:line="300" w:lineRule="auto"/>
      <w:jc w:val="center"/>
    </w:pPr>
  </w:style>
  <w:style w:type="paragraph" w:customStyle="1" w:styleId="342">
    <w:name w:val="_Style 6"/>
    <w:basedOn w:val="1"/>
    <w:qFormat/>
    <w:uiPriority w:val="34"/>
    <w:pPr>
      <w:adjustRightInd/>
      <w:ind w:firstLine="420" w:firstLineChars="200"/>
    </w:pPr>
    <w:rPr>
      <w:rFonts w:eastAsia="仿宋_GB2312"/>
      <w:sz w:val="28"/>
    </w:rPr>
  </w:style>
  <w:style w:type="paragraph" w:customStyle="1" w:styleId="34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4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4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46">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7">
    <w:name w:val="正文表标题"/>
    <w:next w:val="34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48">
    <w:name w:val="段"/>
    <w:link w:val="113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50">
    <w:name w:val="trademark"/>
    <w:qFormat/>
    <w:uiPriority w:val="0"/>
    <w:pPr>
      <w:spacing w:after="60"/>
    </w:pPr>
    <w:rPr>
      <w:rFonts w:ascii="Futura Bk" w:hAnsi="Futura Bk" w:eastAsia="宋体" w:cs="Times New Roman"/>
      <w:sz w:val="15"/>
      <w:lang w:val="en-US" w:eastAsia="en-US" w:bidi="ar-SA"/>
    </w:rPr>
  </w:style>
  <w:style w:type="paragraph" w:customStyle="1" w:styleId="35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52">
    <w:name w:val="Char Char1 Char Char Char Char Char Char1"/>
    <w:basedOn w:val="1"/>
    <w:qFormat/>
    <w:uiPriority w:val="0"/>
    <w:rPr>
      <w:rFonts w:ascii="仿宋_GB2312" w:eastAsia="仿宋_GB2312"/>
      <w:b/>
      <w:sz w:val="32"/>
      <w:szCs w:val="20"/>
    </w:rPr>
  </w:style>
  <w:style w:type="paragraph" w:customStyle="1" w:styleId="35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54">
    <w:name w:val="Char1 Char Char Char1"/>
    <w:basedOn w:val="1"/>
    <w:qFormat/>
    <w:uiPriority w:val="0"/>
    <w:pPr>
      <w:adjustRightInd/>
      <w:ind w:firstLine="200" w:firstLineChars="200"/>
    </w:pPr>
    <w:rPr>
      <w:rFonts w:ascii="Tahoma" w:hAnsi="Tahoma"/>
      <w:sz w:val="24"/>
      <w:szCs w:val="20"/>
    </w:rPr>
  </w:style>
  <w:style w:type="paragraph" w:customStyle="1" w:styleId="355">
    <w:name w:val="a1"/>
    <w:basedOn w:val="1"/>
    <w:qFormat/>
    <w:uiPriority w:val="0"/>
    <w:pPr>
      <w:widowControl/>
      <w:spacing w:line="300" w:lineRule="atLeast"/>
      <w:jc w:val="left"/>
    </w:pPr>
    <w:rPr>
      <w:rFonts w:ascii="宋体" w:hAnsi="宋体"/>
      <w:kern w:val="0"/>
      <w:sz w:val="18"/>
      <w:szCs w:val="20"/>
    </w:rPr>
  </w:style>
  <w:style w:type="paragraph" w:customStyle="1" w:styleId="356">
    <w:name w:val="样式7"/>
    <w:basedOn w:val="357"/>
    <w:next w:val="1"/>
    <w:qFormat/>
    <w:uiPriority w:val="0"/>
    <w:pPr>
      <w:spacing w:after="156" w:afterLines="50"/>
      <w:jc w:val="left"/>
      <w:outlineLvl w:val="3"/>
    </w:pPr>
    <w:rPr>
      <w:sz w:val="24"/>
      <w:szCs w:val="24"/>
    </w:rPr>
  </w:style>
  <w:style w:type="paragraph" w:customStyle="1" w:styleId="35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60">
    <w:name w:val="样式 样式2 + 左侧:  1 字符 右侧:  1 字符"/>
    <w:basedOn w:val="16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61">
    <w:name w:val="Char2 Char Char2"/>
    <w:basedOn w:val="1"/>
    <w:qFormat/>
    <w:uiPriority w:val="0"/>
    <w:pPr>
      <w:adjustRightInd/>
    </w:pPr>
    <w:rPr>
      <w:rFonts w:ascii="Tahoma" w:hAnsi="Tahoma"/>
      <w:sz w:val="24"/>
      <w:szCs w:val="20"/>
    </w:rPr>
  </w:style>
  <w:style w:type="paragraph" w:customStyle="1" w:styleId="36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3">
    <w:name w:val="三级条标题"/>
    <w:basedOn w:val="364"/>
    <w:next w:val="348"/>
    <w:qFormat/>
    <w:uiPriority w:val="0"/>
    <w:pPr>
      <w:tabs>
        <w:tab w:val="left" w:pos="1260"/>
        <w:tab w:val="left" w:pos="1680"/>
        <w:tab w:val="left" w:pos="2100"/>
        <w:tab w:val="left" w:pos="2520"/>
      </w:tabs>
      <w:ind w:left="2520"/>
      <w:outlineLvl w:val="4"/>
    </w:pPr>
  </w:style>
  <w:style w:type="paragraph" w:customStyle="1" w:styleId="364">
    <w:name w:val="二级条标题"/>
    <w:basedOn w:val="365"/>
    <w:next w:val="348"/>
    <w:qFormat/>
    <w:uiPriority w:val="0"/>
    <w:pPr>
      <w:tabs>
        <w:tab w:val="left" w:pos="1260"/>
        <w:tab w:val="left" w:pos="1680"/>
        <w:tab w:val="left" w:pos="2100"/>
      </w:tabs>
      <w:ind w:left="0"/>
      <w:outlineLvl w:val="3"/>
    </w:pPr>
  </w:style>
  <w:style w:type="paragraph" w:customStyle="1" w:styleId="365">
    <w:name w:val="一级条标题"/>
    <w:basedOn w:val="366"/>
    <w:next w:val="348"/>
    <w:link w:val="1102"/>
    <w:qFormat/>
    <w:uiPriority w:val="0"/>
    <w:pPr>
      <w:tabs>
        <w:tab w:val="left" w:pos="1260"/>
        <w:tab w:val="left" w:pos="1680"/>
      </w:tabs>
      <w:spacing w:before="0" w:beforeLines="0" w:after="0" w:afterLines="0"/>
      <w:ind w:left="1680"/>
      <w:outlineLvl w:val="2"/>
    </w:pPr>
  </w:style>
  <w:style w:type="paragraph" w:customStyle="1" w:styleId="366">
    <w:name w:val="章标题"/>
    <w:next w:val="34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67">
    <w:name w:val="数字标题2"/>
    <w:basedOn w:val="5"/>
    <w:next w:val="1"/>
    <w:qFormat/>
    <w:uiPriority w:val="0"/>
    <w:pPr>
      <w:tabs>
        <w:tab w:val="left" w:pos="480"/>
        <w:tab w:val="clear" w:pos="432"/>
      </w:tabs>
      <w:ind w:left="480" w:hanging="480"/>
    </w:pPr>
    <w:rPr>
      <w:rFonts w:ascii="Times New Roman"/>
      <w:i/>
      <w:sz w:val="36"/>
      <w:szCs w:val="36"/>
      <w:lang w:val="en-US"/>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样式 标题 1Level 1 HeadPIM 1Section Headh1l11Heading 0Datash..."/>
    <w:basedOn w:val="4"/>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7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71">
    <w:name w:val="样式 标题 1章节第一层h1H"/>
    <w:basedOn w:val="4"/>
    <w:qFormat/>
    <w:uiPriority w:val="0"/>
    <w:pPr>
      <w:autoSpaceDE w:val="0"/>
      <w:autoSpaceDN w:val="0"/>
      <w:spacing w:line="240" w:lineRule="auto"/>
      <w:jc w:val="left"/>
      <w:outlineLvl w:val="9"/>
    </w:pPr>
    <w:rPr>
      <w:kern w:val="0"/>
      <w:sz w:val="52"/>
      <w:szCs w:val="52"/>
      <w:lang w:val="zh-CN"/>
    </w:rPr>
  </w:style>
  <w:style w:type="paragraph" w:customStyle="1" w:styleId="37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73">
    <w:name w:val="正文 项目2"/>
    <w:basedOn w:val="374"/>
    <w:qFormat/>
    <w:uiPriority w:val="0"/>
    <w:pPr>
      <w:tabs>
        <w:tab w:val="left" w:pos="840"/>
      </w:tabs>
      <w:spacing w:after="0"/>
      <w:ind w:left="900"/>
    </w:pPr>
  </w:style>
  <w:style w:type="paragraph" w:customStyle="1" w:styleId="37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5">
    <w:name w:val="Body Text 2*"/>
    <w:basedOn w:val="1"/>
    <w:qFormat/>
    <w:uiPriority w:val="6"/>
    <w:pPr>
      <w:widowControl/>
      <w:adjustRightInd/>
      <w:ind w:left="720" w:hanging="720"/>
    </w:pPr>
    <w:rPr>
      <w:color w:val="000000"/>
      <w:kern w:val="0"/>
      <w:sz w:val="24"/>
      <w:szCs w:val="20"/>
    </w:rPr>
  </w:style>
  <w:style w:type="paragraph" w:customStyle="1" w:styleId="376">
    <w:name w:val="表1"/>
    <w:basedOn w:val="1"/>
    <w:qFormat/>
    <w:uiPriority w:val="0"/>
    <w:pPr>
      <w:tabs>
        <w:tab w:val="left" w:pos="703"/>
      </w:tabs>
      <w:adjustRightInd/>
      <w:spacing w:line="360" w:lineRule="auto"/>
      <w:ind w:left="703"/>
      <w:jc w:val="center"/>
    </w:pPr>
  </w:style>
  <w:style w:type="paragraph" w:customStyle="1" w:styleId="37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7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80">
    <w:name w:val="2级标题"/>
    <w:basedOn w:val="381"/>
    <w:qFormat/>
    <w:uiPriority w:val="0"/>
    <w:pPr>
      <w:jc w:val="left"/>
      <w:outlineLvl w:val="1"/>
    </w:pPr>
    <w:rPr>
      <w:rFonts w:ascii="Times New Roman" w:hAnsi="Times New Roman" w:eastAsia="仿宋"/>
      <w:sz w:val="30"/>
    </w:rPr>
  </w:style>
  <w:style w:type="paragraph" w:customStyle="1" w:styleId="38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8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8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bullet"/>
    <w:basedOn w:val="1"/>
    <w:qFormat/>
    <w:uiPriority w:val="0"/>
    <w:pPr>
      <w:tabs>
        <w:tab w:val="left" w:pos="840"/>
      </w:tabs>
      <w:adjustRightInd/>
      <w:ind w:left="840" w:hanging="420"/>
    </w:pPr>
  </w:style>
  <w:style w:type="paragraph" w:customStyle="1" w:styleId="3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8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9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9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9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9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94">
    <w:name w:val="MM Topic 4"/>
    <w:basedOn w:val="6"/>
    <w:qFormat/>
    <w:uiPriority w:val="0"/>
    <w:pPr>
      <w:tabs>
        <w:tab w:val="left" w:pos="2100"/>
        <w:tab w:val="clear" w:pos="864"/>
      </w:tabs>
      <w:adjustRightInd/>
      <w:ind w:left="2100" w:hanging="420"/>
    </w:pPr>
    <w:rPr>
      <w:lang w:val="en-US"/>
    </w:rPr>
  </w:style>
  <w:style w:type="paragraph" w:customStyle="1" w:styleId="39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9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397">
    <w:name w:val="Char Char11 Char Char Char Char Char Char Char Char Char1"/>
    <w:basedOn w:val="1"/>
    <w:qFormat/>
    <w:uiPriority w:val="6"/>
    <w:pPr>
      <w:spacing w:line="360" w:lineRule="auto"/>
    </w:pPr>
    <w:rPr>
      <w:szCs w:val="20"/>
    </w:rPr>
  </w:style>
  <w:style w:type="paragraph" w:customStyle="1" w:styleId="39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9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00">
    <w:name w:val="body text bold"/>
    <w:basedOn w:val="3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40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0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0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0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7">
    <w:name w:val="单元格居中"/>
    <w:basedOn w:val="1"/>
    <w:qFormat/>
    <w:uiPriority w:val="0"/>
    <w:pPr>
      <w:adjustRightInd/>
      <w:spacing w:line="360" w:lineRule="auto"/>
      <w:jc w:val="center"/>
    </w:pPr>
    <w:rPr>
      <w:sz w:val="24"/>
    </w:rPr>
  </w:style>
  <w:style w:type="paragraph" w:customStyle="1" w:styleId="40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9">
    <w:name w:val="Char Char Char Char Char Char Char1"/>
    <w:basedOn w:val="1"/>
    <w:qFormat/>
    <w:uiPriority w:val="6"/>
    <w:rPr>
      <w:rFonts w:ascii="仿宋_GB2312" w:eastAsia="仿宋_GB2312"/>
      <w:b/>
      <w:sz w:val="32"/>
      <w:szCs w:val="32"/>
    </w:rPr>
  </w:style>
  <w:style w:type="paragraph" w:customStyle="1" w:styleId="410">
    <w:name w:val="正文缩进1"/>
    <w:basedOn w:val="1"/>
    <w:next w:val="3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1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12">
    <w:name w:val="Char3 Char Char Char11"/>
    <w:basedOn w:val="1"/>
    <w:qFormat/>
    <w:uiPriority w:val="0"/>
    <w:pPr>
      <w:widowControl/>
      <w:adjustRightInd/>
      <w:spacing w:after="160" w:line="240" w:lineRule="exact"/>
      <w:jc w:val="left"/>
    </w:pPr>
    <w:rPr>
      <w:szCs w:val="20"/>
    </w:rPr>
  </w:style>
  <w:style w:type="paragraph" w:customStyle="1" w:styleId="413">
    <w:name w:val="Char Char1121"/>
    <w:basedOn w:val="1"/>
    <w:qFormat/>
    <w:uiPriority w:val="0"/>
    <w:pPr>
      <w:spacing w:line="360" w:lineRule="auto"/>
    </w:pPr>
    <w:rPr>
      <w:szCs w:val="20"/>
    </w:rPr>
  </w:style>
  <w:style w:type="paragraph" w:customStyle="1" w:styleId="4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1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416">
    <w:name w:val="Normal0"/>
    <w:qFormat/>
    <w:uiPriority w:val="0"/>
    <w:rPr>
      <w:rFonts w:ascii="Times New Roman" w:hAnsi="Times New Roman" w:eastAsia="宋体" w:cs="Times New Roman"/>
      <w:lang w:val="en-US" w:eastAsia="en-US" w:bidi="ar-SA"/>
    </w:rPr>
  </w:style>
  <w:style w:type="paragraph" w:customStyle="1" w:styleId="417">
    <w:name w:val="带编号样式"/>
    <w:basedOn w:val="335"/>
    <w:qFormat/>
    <w:uiPriority w:val="0"/>
    <w:pPr>
      <w:tabs>
        <w:tab w:val="left" w:pos="840"/>
      </w:tabs>
      <w:snapToGrid w:val="0"/>
      <w:ind w:left="840" w:hanging="420" w:firstLineChars="0"/>
    </w:pPr>
    <w:rPr>
      <w:rFonts w:ascii="仿宋_GB2312" w:eastAsia="仿宋_GB2312"/>
      <w:color w:val="000000"/>
    </w:rPr>
  </w:style>
  <w:style w:type="paragraph" w:customStyle="1" w:styleId="41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0">
    <w:name w:val="封面"/>
    <w:basedOn w:val="1"/>
    <w:qFormat/>
    <w:uiPriority w:val="0"/>
    <w:pPr>
      <w:spacing w:line="360" w:lineRule="atLeast"/>
      <w:jc w:val="right"/>
      <w:textAlignment w:val="baseline"/>
    </w:pPr>
    <w:rPr>
      <w:rFonts w:ascii="Symbol" w:hAnsi="Symbol"/>
      <w:kern w:val="0"/>
      <w:szCs w:val="20"/>
    </w:rPr>
  </w:style>
  <w:style w:type="paragraph" w:customStyle="1" w:styleId="42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2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23">
    <w:name w:val="默认段落字体 Para Char Char Char1 Char"/>
    <w:basedOn w:val="1"/>
    <w:qFormat/>
    <w:uiPriority w:val="0"/>
    <w:pPr>
      <w:spacing w:line="240" w:lineRule="atLeast"/>
      <w:ind w:left="420" w:firstLine="420"/>
    </w:pPr>
    <w:rPr>
      <w:sz w:val="24"/>
    </w:rPr>
  </w:style>
  <w:style w:type="paragraph" w:customStyle="1" w:styleId="424">
    <w:name w:val="WW-正文文字缩进 2"/>
    <w:basedOn w:val="1"/>
    <w:qFormat/>
    <w:uiPriority w:val="0"/>
    <w:pPr>
      <w:suppressAutoHyphens/>
      <w:adjustRightInd/>
      <w:ind w:firstLine="420"/>
    </w:pPr>
    <w:rPr>
      <w:kern w:val="1"/>
      <w:szCs w:val="20"/>
    </w:rPr>
  </w:style>
  <w:style w:type="paragraph" w:customStyle="1" w:styleId="42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26">
    <w:name w:val="样式 标题 2 + 四号"/>
    <w:basedOn w:val="5"/>
    <w:qFormat/>
    <w:uiPriority w:val="0"/>
    <w:pPr>
      <w:spacing w:before="120" w:after="120"/>
      <w:jc w:val="both"/>
    </w:pPr>
    <w:rPr>
      <w:rFonts w:ascii="宋体" w:hAnsi="Arial"/>
      <w:lang w:val="en-US"/>
    </w:rPr>
  </w:style>
  <w:style w:type="paragraph" w:customStyle="1" w:styleId="427">
    <w:name w:val="有符号正文"/>
    <w:basedOn w:val="1"/>
    <w:qFormat/>
    <w:uiPriority w:val="0"/>
    <w:pPr>
      <w:adjustRightInd/>
      <w:spacing w:line="400" w:lineRule="exact"/>
      <w:ind w:firstLine="200" w:firstLineChars="200"/>
    </w:pPr>
    <w:rPr>
      <w:rFonts w:ascii="Arial" w:hAnsi="Arial"/>
    </w:rPr>
  </w:style>
  <w:style w:type="paragraph" w:customStyle="1" w:styleId="42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30">
    <w:name w:val="4"/>
    <w:basedOn w:val="1"/>
    <w:next w:val="52"/>
    <w:qFormat/>
    <w:uiPriority w:val="0"/>
    <w:pPr>
      <w:spacing w:after="120" w:line="480" w:lineRule="auto"/>
      <w:ind w:left="420" w:leftChars="200"/>
    </w:pPr>
    <w:rPr>
      <w:sz w:val="24"/>
      <w:szCs w:val="20"/>
    </w:rPr>
  </w:style>
  <w:style w:type="paragraph" w:customStyle="1" w:styleId="43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1"/>
    <w:basedOn w:val="1"/>
    <w:link w:val="1098"/>
    <w:qFormat/>
    <w:uiPriority w:val="0"/>
    <w:pPr>
      <w:widowControl/>
      <w:tabs>
        <w:tab w:val="left" w:pos="1212"/>
        <w:tab w:val="left" w:pos="3888"/>
      </w:tabs>
      <w:snapToGrid w:val="0"/>
      <w:spacing w:line="360" w:lineRule="auto"/>
      <w:jc w:val="left"/>
    </w:pPr>
    <w:rPr>
      <w:rFonts w:ascii="宋体" w:hAnsi="宋体"/>
      <w:b/>
      <w:kern w:val="0"/>
      <w:sz w:val="24"/>
      <w:szCs w:val="20"/>
    </w:rPr>
  </w:style>
  <w:style w:type="paragraph" w:customStyle="1" w:styleId="433">
    <w:name w:val="样式 标题 3H3 + 两端对齐"/>
    <w:basedOn w:val="2"/>
    <w:qFormat/>
    <w:uiPriority w:val="0"/>
    <w:pPr>
      <w:spacing w:line="240" w:lineRule="auto"/>
      <w:jc w:val="left"/>
    </w:pPr>
    <w:rPr>
      <w:rFonts w:cs="宋体"/>
      <w:sz w:val="21"/>
      <w:szCs w:val="20"/>
    </w:rPr>
  </w:style>
  <w:style w:type="paragraph" w:customStyle="1" w:styleId="4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9">
    <w:name w:val="Char Char1 Char Char Char"/>
    <w:basedOn w:val="1"/>
    <w:qFormat/>
    <w:uiPriority w:val="0"/>
    <w:rPr>
      <w:rFonts w:ascii="仿宋_GB2312" w:eastAsia="仿宋_GB2312"/>
      <w:b/>
      <w:sz w:val="32"/>
      <w:szCs w:val="20"/>
    </w:rPr>
  </w:style>
  <w:style w:type="paragraph" w:customStyle="1" w:styleId="44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2">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43">
    <w:name w:val="Char Char1 Char Char Char2"/>
    <w:basedOn w:val="1"/>
    <w:qFormat/>
    <w:uiPriority w:val="0"/>
    <w:rPr>
      <w:rFonts w:ascii="仿宋_GB2312" w:eastAsia="仿宋_GB2312"/>
      <w:b/>
      <w:sz w:val="32"/>
      <w:szCs w:val="32"/>
    </w:rPr>
  </w:style>
  <w:style w:type="paragraph" w:customStyle="1" w:styleId="444">
    <w:name w:val="Char3 Char Char Char1"/>
    <w:basedOn w:val="1"/>
    <w:qFormat/>
    <w:uiPriority w:val="6"/>
    <w:pPr>
      <w:widowControl/>
      <w:adjustRightInd/>
      <w:spacing w:after="160" w:line="240" w:lineRule="exact"/>
      <w:jc w:val="left"/>
    </w:pPr>
    <w:rPr>
      <w:szCs w:val="20"/>
    </w:rPr>
  </w:style>
  <w:style w:type="paragraph" w:customStyle="1" w:styleId="445">
    <w:name w:val="Char1 Char Char Char21"/>
    <w:basedOn w:val="1"/>
    <w:qFormat/>
    <w:uiPriority w:val="0"/>
    <w:rPr>
      <w:rFonts w:ascii="Tahoma" w:hAnsi="Tahoma"/>
      <w:sz w:val="24"/>
      <w:szCs w:val="20"/>
    </w:rPr>
  </w:style>
  <w:style w:type="paragraph" w:customStyle="1" w:styleId="4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7">
    <w:name w:val="正文（标题三）"/>
    <w:basedOn w:val="1"/>
    <w:qFormat/>
    <w:uiPriority w:val="0"/>
    <w:pPr>
      <w:spacing w:line="360" w:lineRule="auto"/>
      <w:ind w:firstLine="200" w:firstLineChars="200"/>
    </w:pPr>
    <w:rPr>
      <w:sz w:val="24"/>
    </w:rPr>
  </w:style>
  <w:style w:type="paragraph" w:customStyle="1" w:styleId="448">
    <w:name w:val="样式 正1 + 首行缩进:  2 字符"/>
    <w:basedOn w:val="1"/>
    <w:link w:val="1101"/>
    <w:qFormat/>
    <w:uiPriority w:val="0"/>
    <w:pPr>
      <w:adjustRightInd/>
      <w:spacing w:line="360" w:lineRule="auto"/>
      <w:ind w:firstLine="480" w:firstLineChars="200"/>
    </w:pPr>
    <w:rPr>
      <w:rFonts w:ascii="仿宋_GB2312" w:eastAsia="仿宋_GB2312"/>
      <w:sz w:val="24"/>
    </w:rPr>
  </w:style>
  <w:style w:type="paragraph" w:customStyle="1" w:styleId="4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51">
    <w:name w:val="Default Text"/>
    <w:basedOn w:val="1"/>
    <w:link w:val="1145"/>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53">
    <w:name w:val="Char1 Char Char Char4"/>
    <w:basedOn w:val="1"/>
    <w:qFormat/>
    <w:uiPriority w:val="0"/>
    <w:pPr>
      <w:adjustRightInd/>
      <w:ind w:firstLine="200" w:firstLineChars="200"/>
    </w:pPr>
    <w:rPr>
      <w:rFonts w:ascii="Tahoma" w:hAnsi="Tahoma"/>
      <w:sz w:val="24"/>
      <w:szCs w:val="20"/>
    </w:rPr>
  </w:style>
  <w:style w:type="paragraph" w:customStyle="1" w:styleId="454">
    <w:name w:val="_标题2"/>
    <w:basedOn w:val="421"/>
    <w:next w:val="42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55">
    <w:name w:val="样式1 + (中宋体"/>
    <w:basedOn w:val="432"/>
    <w:qFormat/>
    <w:uiPriority w:val="0"/>
    <w:pPr>
      <w:widowControl w:val="0"/>
      <w:tabs>
        <w:tab w:val="left" w:pos="1200"/>
        <w:tab w:val="clear" w:pos="1212"/>
        <w:tab w:val="clear" w:pos="3888"/>
      </w:tabs>
      <w:adjustRightInd/>
      <w:snapToGrid/>
      <w:ind w:left="1200" w:hanging="360" w:firstLineChars="200"/>
      <w:jc w:val="both"/>
    </w:pPr>
    <w:rPr>
      <w:kern w:val="2"/>
      <w:szCs w:val="24"/>
    </w:rPr>
  </w:style>
  <w:style w:type="paragraph" w:customStyle="1" w:styleId="4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9">
    <w:name w:val="四号　首行缩进"/>
    <w:basedOn w:val="1"/>
    <w:qFormat/>
    <w:uiPriority w:val="0"/>
    <w:pPr>
      <w:adjustRightInd/>
      <w:spacing w:line="360" w:lineRule="auto"/>
    </w:pPr>
    <w:rPr>
      <w:rFonts w:ascii="宋体" w:hAnsi="宋体"/>
      <w:szCs w:val="20"/>
    </w:rPr>
  </w:style>
  <w:style w:type="paragraph" w:customStyle="1" w:styleId="4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1">
    <w:name w:val="Char Char Char Char Char Char Char Char Char Char Char1 Char"/>
    <w:basedOn w:val="1"/>
    <w:qFormat/>
    <w:uiPriority w:val="0"/>
    <w:pPr>
      <w:adjustRightInd/>
    </w:pPr>
    <w:rPr>
      <w:rFonts w:ascii="Tahoma" w:hAnsi="Tahoma"/>
      <w:sz w:val="24"/>
    </w:rPr>
  </w:style>
  <w:style w:type="paragraph" w:customStyle="1" w:styleId="462">
    <w:name w:val="Char Char Char Char11"/>
    <w:basedOn w:val="1"/>
    <w:qFormat/>
    <w:uiPriority w:val="0"/>
    <w:rPr>
      <w:rFonts w:ascii="Tahoma" w:hAnsi="Tahoma"/>
      <w:sz w:val="24"/>
      <w:szCs w:val="20"/>
    </w:rPr>
  </w:style>
  <w:style w:type="paragraph" w:customStyle="1" w:styleId="4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64">
    <w:name w:val="Char Char Char Char"/>
    <w:basedOn w:val="1"/>
    <w:qFormat/>
    <w:uiPriority w:val="0"/>
    <w:rPr>
      <w:rFonts w:ascii="Tahoma" w:hAnsi="Tahoma"/>
      <w:sz w:val="24"/>
      <w:szCs w:val="20"/>
    </w:rPr>
  </w:style>
  <w:style w:type="paragraph" w:customStyle="1" w:styleId="46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66">
    <w:name w:val="Char19"/>
    <w:basedOn w:val="1"/>
    <w:qFormat/>
    <w:uiPriority w:val="0"/>
    <w:pPr>
      <w:adjustRightInd/>
    </w:pPr>
    <w:rPr>
      <w:szCs w:val="20"/>
    </w:rPr>
  </w:style>
  <w:style w:type="paragraph" w:customStyle="1" w:styleId="46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69">
    <w:name w:val="_Style 5"/>
    <w:basedOn w:val="1"/>
    <w:qFormat/>
    <w:uiPriority w:val="34"/>
    <w:pPr>
      <w:adjustRightInd/>
      <w:ind w:firstLine="420" w:firstLineChars="200"/>
    </w:pPr>
    <w:rPr>
      <w:rFonts w:eastAsia="仿宋_GB2312"/>
      <w:sz w:val="28"/>
    </w:rPr>
  </w:style>
  <w:style w:type="paragraph" w:customStyle="1" w:styleId="47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73">
    <w:name w:val="标书表格字体格式"/>
    <w:next w:val="467"/>
    <w:qFormat/>
    <w:uiPriority w:val="0"/>
    <w:rPr>
      <w:rFonts w:ascii="Times New Roman" w:hAnsi="Times New Roman" w:eastAsia="宋体" w:cs="Times New Roman"/>
      <w:kern w:val="2"/>
      <w:sz w:val="21"/>
      <w:szCs w:val="24"/>
      <w:lang w:val="en-US" w:eastAsia="zh-CN" w:bidi="ar-SA"/>
    </w:rPr>
  </w:style>
  <w:style w:type="paragraph" w:customStyle="1" w:styleId="47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7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6">
    <w:name w:val="修订3"/>
    <w:qFormat/>
    <w:uiPriority w:val="99"/>
    <w:rPr>
      <w:rFonts w:ascii="Times New Roman" w:hAnsi="Times New Roman" w:eastAsia="宋体" w:cs="Times New Roman"/>
      <w:kern w:val="2"/>
      <w:sz w:val="21"/>
      <w:lang w:val="en-US" w:eastAsia="zh-CN" w:bidi="ar-SA"/>
    </w:rPr>
  </w:style>
  <w:style w:type="paragraph" w:customStyle="1" w:styleId="477">
    <w:name w:val="CSS1级正文 Char"/>
    <w:basedOn w:val="34"/>
    <w:qFormat/>
    <w:uiPriority w:val="0"/>
    <w:pPr>
      <w:snapToGrid w:val="0"/>
      <w:ind w:firstLine="480" w:firstLineChars="200"/>
    </w:pPr>
    <w:rPr>
      <w:rFonts w:ascii="Times New Roman"/>
      <w:szCs w:val="24"/>
      <w:lang w:val="en-US"/>
    </w:rPr>
  </w:style>
  <w:style w:type="paragraph" w:customStyle="1" w:styleId="47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9">
    <w:name w:val="表文字"/>
    <w:qFormat/>
    <w:uiPriority w:val="0"/>
    <w:rPr>
      <w:rFonts w:ascii="宋体" w:hAnsi="Times New Roman" w:eastAsia="宋体" w:cs="Times New Roman"/>
      <w:kern w:val="2"/>
      <w:lang w:val="en-US" w:eastAsia="zh-CN" w:bidi="ar-SA"/>
    </w:rPr>
  </w:style>
  <w:style w:type="paragraph" w:customStyle="1" w:styleId="480">
    <w:name w:val="MM Title"/>
    <w:basedOn w:val="85"/>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8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8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83">
    <w:name w:val="Char Char Char Char Char Char Char Char2"/>
    <w:basedOn w:val="1"/>
    <w:qFormat/>
    <w:uiPriority w:val="0"/>
    <w:pPr>
      <w:tabs>
        <w:tab w:val="left" w:pos="360"/>
      </w:tabs>
    </w:pPr>
    <w:rPr>
      <w:sz w:val="24"/>
      <w:szCs w:val="20"/>
    </w:rPr>
  </w:style>
  <w:style w:type="paragraph" w:customStyle="1" w:styleId="48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8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86">
    <w:name w:val="中文标题 3"/>
    <w:basedOn w:val="3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9">
    <w:name w:val="正文－恩普"/>
    <w:basedOn w:val="21"/>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9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9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92">
    <w:name w:val="p0"/>
    <w:basedOn w:val="1"/>
    <w:qFormat/>
    <w:uiPriority w:val="0"/>
    <w:pPr>
      <w:widowControl/>
      <w:adjustRightInd/>
    </w:pPr>
    <w:rPr>
      <w:kern w:val="0"/>
      <w:szCs w:val="21"/>
    </w:rPr>
  </w:style>
  <w:style w:type="paragraph" w:customStyle="1" w:styleId="493">
    <w:name w:val="Char6"/>
    <w:basedOn w:val="1"/>
    <w:qFormat/>
    <w:uiPriority w:val="0"/>
    <w:rPr>
      <w:rFonts w:ascii="仿宋_GB2312" w:eastAsia="仿宋_GB2312"/>
      <w:b/>
      <w:sz w:val="32"/>
      <w:szCs w:val="32"/>
    </w:rPr>
  </w:style>
  <w:style w:type="paragraph" w:customStyle="1" w:styleId="494">
    <w:name w:val="Char111"/>
    <w:basedOn w:val="1"/>
    <w:qFormat/>
    <w:uiPriority w:val="0"/>
    <w:rPr>
      <w:rFonts w:ascii="仿宋_GB2312" w:eastAsia="仿宋_GB2312"/>
      <w:b/>
      <w:sz w:val="32"/>
      <w:szCs w:val="32"/>
    </w:rPr>
  </w:style>
  <w:style w:type="paragraph" w:customStyle="1" w:styleId="495">
    <w:name w:val="标题3"/>
    <w:basedOn w:val="2"/>
    <w:next w:val="71"/>
    <w:qFormat/>
    <w:uiPriority w:val="0"/>
    <w:pPr>
      <w:tabs>
        <w:tab w:val="clear" w:pos="900"/>
      </w:tabs>
    </w:pPr>
    <w:rPr>
      <w:rFonts w:ascii="仿宋" w:hAnsi="仿宋" w:eastAsia="仿宋" w:cs="仿宋"/>
    </w:rPr>
  </w:style>
  <w:style w:type="paragraph" w:customStyle="1" w:styleId="49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98">
    <w:name w:val="Char1 Char Char Char2"/>
    <w:basedOn w:val="1"/>
    <w:qFormat/>
    <w:uiPriority w:val="0"/>
    <w:pPr>
      <w:adjustRightInd/>
      <w:ind w:firstLine="200" w:firstLineChars="200"/>
    </w:pPr>
    <w:rPr>
      <w:rFonts w:ascii="Tahoma" w:hAnsi="Tahoma"/>
      <w:sz w:val="24"/>
      <w:szCs w:val="20"/>
    </w:rPr>
  </w:style>
  <w:style w:type="paragraph" w:customStyle="1" w:styleId="49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500">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jc w:val="center"/>
    </w:pPr>
    <w:rPr>
      <w:rFonts w:ascii="黑体" w:hAnsi="黑体" w:eastAsia="黑体" w:cs="Arial"/>
      <w:caps/>
      <w:color w:val="FFFFFF"/>
      <w:kern w:val="2"/>
      <w:sz w:val="30"/>
      <w:szCs w:val="20"/>
    </w:rPr>
  </w:style>
  <w:style w:type="paragraph" w:customStyle="1" w:styleId="501">
    <w:name w:val="Char Char Char Char Char Char Char2"/>
    <w:basedOn w:val="1"/>
    <w:qFormat/>
    <w:uiPriority w:val="0"/>
    <w:rPr>
      <w:rFonts w:ascii="仿宋_GB2312" w:eastAsia="仿宋_GB2312"/>
      <w:b/>
      <w:sz w:val="32"/>
      <w:szCs w:val="32"/>
    </w:rPr>
  </w:style>
  <w:style w:type="paragraph" w:customStyle="1" w:styleId="502">
    <w:name w:val="五级条标题"/>
    <w:basedOn w:val="503"/>
    <w:next w:val="348"/>
    <w:qFormat/>
    <w:uiPriority w:val="0"/>
    <w:pPr>
      <w:tabs>
        <w:tab w:val="left" w:pos="1260"/>
        <w:tab w:val="left" w:pos="1680"/>
        <w:tab w:val="left" w:pos="2100"/>
        <w:tab w:val="left" w:pos="2940"/>
        <w:tab w:val="left" w:pos="3360"/>
      </w:tabs>
      <w:ind w:left="3360"/>
      <w:outlineLvl w:val="6"/>
    </w:pPr>
  </w:style>
  <w:style w:type="paragraph" w:customStyle="1" w:styleId="503">
    <w:name w:val="四级条标题"/>
    <w:basedOn w:val="363"/>
    <w:next w:val="348"/>
    <w:qFormat/>
    <w:uiPriority w:val="0"/>
    <w:pPr>
      <w:tabs>
        <w:tab w:val="left" w:pos="2940"/>
        <w:tab w:val="clear" w:pos="1260"/>
        <w:tab w:val="clear" w:pos="1680"/>
        <w:tab w:val="clear" w:pos="2100"/>
        <w:tab w:val="clear" w:pos="2520"/>
      </w:tabs>
      <w:ind w:left="2940"/>
      <w:outlineLvl w:val="5"/>
    </w:pPr>
  </w:style>
  <w:style w:type="paragraph" w:customStyle="1" w:styleId="50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5">
    <w:name w:val="Char23"/>
    <w:basedOn w:val="1"/>
    <w:qFormat/>
    <w:uiPriority w:val="0"/>
    <w:rPr>
      <w:rFonts w:ascii="仿宋_GB2312" w:eastAsia="仿宋_GB2312"/>
      <w:b/>
      <w:sz w:val="32"/>
      <w:szCs w:val="32"/>
    </w:rPr>
  </w:style>
  <w:style w:type="paragraph" w:customStyle="1" w:styleId="50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08">
    <w:name w:val="首行缩进"/>
    <w:basedOn w:val="1"/>
    <w:qFormat/>
    <w:uiPriority w:val="99"/>
    <w:pPr>
      <w:spacing w:line="360" w:lineRule="auto"/>
      <w:ind w:firstLine="480" w:firstLineChars="200"/>
    </w:pPr>
    <w:rPr>
      <w:rFonts w:ascii="宋体"/>
      <w:sz w:val="24"/>
      <w:szCs w:val="20"/>
    </w:rPr>
  </w:style>
  <w:style w:type="paragraph" w:customStyle="1" w:styleId="50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10">
    <w:name w:val="单元格左对齐"/>
    <w:basedOn w:val="1"/>
    <w:qFormat/>
    <w:uiPriority w:val="0"/>
    <w:pPr>
      <w:adjustRightInd/>
      <w:spacing w:line="360" w:lineRule="auto"/>
    </w:pPr>
    <w:rPr>
      <w:sz w:val="24"/>
    </w:rPr>
  </w:style>
  <w:style w:type="paragraph" w:customStyle="1" w:styleId="511">
    <w:name w:val="正文主体"/>
    <w:basedOn w:val="332"/>
    <w:qFormat/>
    <w:uiPriority w:val="0"/>
  </w:style>
  <w:style w:type="paragraph" w:customStyle="1" w:styleId="51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1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1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15">
    <w:name w:val="正文（首行缩进2字符）"/>
    <w:basedOn w:val="1"/>
    <w:qFormat/>
    <w:uiPriority w:val="0"/>
    <w:pPr>
      <w:adjustRightInd/>
      <w:spacing w:line="360" w:lineRule="auto"/>
      <w:ind w:firstLine="480" w:firstLineChars="200"/>
    </w:pPr>
    <w:rPr>
      <w:sz w:val="24"/>
      <w:szCs w:val="20"/>
    </w:rPr>
  </w:style>
  <w:style w:type="paragraph" w:customStyle="1" w:styleId="516">
    <w:name w:val="P1"/>
    <w:basedOn w:val="1"/>
    <w:qFormat/>
    <w:uiPriority w:val="0"/>
    <w:pPr>
      <w:adjustRightInd/>
      <w:spacing w:line="288" w:lineRule="auto"/>
      <w:ind w:firstLine="425" w:firstLineChars="200"/>
    </w:pPr>
  </w:style>
  <w:style w:type="paragraph" w:customStyle="1" w:styleId="517">
    <w:name w:val="列表内容"/>
    <w:basedOn w:val="1"/>
    <w:next w:val="1"/>
    <w:qFormat/>
    <w:uiPriority w:val="0"/>
    <w:pPr>
      <w:widowControl/>
      <w:tabs>
        <w:tab w:val="left" w:pos="840"/>
      </w:tabs>
      <w:ind w:left="840" w:hanging="420"/>
      <w:jc w:val="left"/>
    </w:pPr>
    <w:rPr>
      <w:kern w:val="0"/>
      <w:sz w:val="18"/>
    </w:rPr>
  </w:style>
  <w:style w:type="paragraph" w:customStyle="1" w:styleId="518">
    <w:name w:val="Char Char11 Char Char Char1"/>
    <w:basedOn w:val="1"/>
    <w:qFormat/>
    <w:uiPriority w:val="6"/>
    <w:pPr>
      <w:spacing w:line="360" w:lineRule="auto"/>
    </w:pPr>
    <w:rPr>
      <w:szCs w:val="20"/>
    </w:rPr>
  </w:style>
  <w:style w:type="paragraph" w:customStyle="1" w:styleId="51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2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23">
    <w:name w:val="正文文字缩进2字"/>
    <w:basedOn w:val="34"/>
    <w:qFormat/>
    <w:uiPriority w:val="0"/>
    <w:pPr>
      <w:adjustRightInd/>
      <w:spacing w:before="60" w:after="60"/>
      <w:ind w:firstLine="200" w:firstLineChars="200"/>
    </w:pPr>
    <w:rPr>
      <w:rFonts w:ascii="Times New Roman"/>
      <w:szCs w:val="20"/>
      <w:lang w:val="en-US"/>
    </w:rPr>
  </w:style>
  <w:style w:type="paragraph" w:customStyle="1" w:styleId="524">
    <w:name w:val="默认段落字体 Para Char Char Char Char"/>
    <w:basedOn w:val="1"/>
    <w:qFormat/>
    <w:uiPriority w:val="0"/>
    <w:pPr>
      <w:spacing w:line="360" w:lineRule="auto"/>
    </w:pPr>
    <w:rPr>
      <w:szCs w:val="20"/>
    </w:rPr>
  </w:style>
  <w:style w:type="paragraph" w:customStyle="1" w:styleId="52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2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7">
    <w:name w:val="Char2 Char Char Char2"/>
    <w:basedOn w:val="1"/>
    <w:qFormat/>
    <w:uiPriority w:val="0"/>
    <w:rPr>
      <w:rFonts w:ascii="仿宋_GB2312" w:eastAsia="仿宋_GB2312"/>
      <w:b/>
      <w:sz w:val="32"/>
      <w:szCs w:val="32"/>
    </w:rPr>
  </w:style>
  <w:style w:type="paragraph" w:customStyle="1" w:styleId="52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30">
    <w:name w:val="正文 首行缩进:  2 字符 Char"/>
    <w:basedOn w:val="1"/>
    <w:qFormat/>
    <w:uiPriority w:val="0"/>
    <w:pPr>
      <w:adjustRightInd/>
      <w:spacing w:line="360" w:lineRule="auto"/>
      <w:ind w:firstLine="480"/>
    </w:pPr>
    <w:rPr>
      <w:rFonts w:cs="宋体"/>
      <w:sz w:val="24"/>
      <w:szCs w:val="20"/>
    </w:rPr>
  </w:style>
  <w:style w:type="paragraph" w:customStyle="1" w:styleId="531">
    <w:name w:val="Char Char4 Char Char"/>
    <w:basedOn w:val="1"/>
    <w:qFormat/>
    <w:uiPriority w:val="0"/>
    <w:pPr>
      <w:widowControl/>
      <w:adjustRightInd/>
      <w:spacing w:after="160" w:line="240" w:lineRule="exact"/>
      <w:jc w:val="left"/>
    </w:pPr>
  </w:style>
  <w:style w:type="paragraph" w:customStyle="1" w:styleId="53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3">
    <w:name w:val="Char Char11 Char Char Char2"/>
    <w:basedOn w:val="1"/>
    <w:qFormat/>
    <w:uiPriority w:val="0"/>
    <w:pPr>
      <w:spacing w:line="360" w:lineRule="auto"/>
    </w:pPr>
    <w:rPr>
      <w:szCs w:val="20"/>
    </w:rPr>
  </w:style>
  <w:style w:type="paragraph" w:customStyle="1" w:styleId="53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3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40">
    <w:name w:val="Char311"/>
    <w:basedOn w:val="1"/>
    <w:qFormat/>
    <w:uiPriority w:val="0"/>
    <w:pPr>
      <w:adjustRightInd/>
      <w:ind w:firstLine="200" w:firstLineChars="200"/>
    </w:pPr>
    <w:rPr>
      <w:rFonts w:ascii="Tahoma" w:hAnsi="Tahoma"/>
      <w:sz w:val="24"/>
      <w:szCs w:val="20"/>
    </w:rPr>
  </w:style>
  <w:style w:type="paragraph" w:customStyle="1" w:styleId="54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4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43">
    <w:name w:val="正文 内标"/>
    <w:basedOn w:val="458"/>
    <w:qFormat/>
    <w:uiPriority w:val="0"/>
    <w:pPr>
      <w:tabs>
        <w:tab w:val="left" w:pos="0"/>
      </w:tabs>
      <w:ind w:left="900" w:firstLine="0" w:firstLineChars="0"/>
    </w:pPr>
  </w:style>
  <w:style w:type="paragraph" w:customStyle="1" w:styleId="544">
    <w:name w:val="Bulleted List"/>
    <w:basedOn w:val="1"/>
    <w:qFormat/>
    <w:uiPriority w:val="0"/>
    <w:pPr>
      <w:tabs>
        <w:tab w:val="left" w:pos="1260"/>
      </w:tabs>
      <w:adjustRightInd/>
      <w:ind w:left="1260" w:hanging="420"/>
    </w:pPr>
  </w:style>
  <w:style w:type="paragraph" w:customStyle="1" w:styleId="545">
    <w:name w:val="样式 正文文本缩进 2 + 仿宋_GB2312 黑色 行距: 1.5 倍行距"/>
    <w:basedOn w:val="52"/>
    <w:qFormat/>
    <w:uiPriority w:val="0"/>
    <w:pPr>
      <w:adjustRightInd/>
      <w:ind w:firstLine="560" w:firstLineChars="200"/>
      <w:textAlignment w:val="auto"/>
    </w:pPr>
    <w:rPr>
      <w:rFonts w:hAnsi="宋体" w:cs="宋体"/>
      <w:color w:val="000000"/>
      <w:kern w:val="2"/>
      <w:sz w:val="24"/>
    </w:rPr>
  </w:style>
  <w:style w:type="paragraph" w:customStyle="1" w:styleId="546">
    <w:name w:val="样式 左侧:  0.85 厘米"/>
    <w:basedOn w:val="1"/>
    <w:qFormat/>
    <w:uiPriority w:val="2"/>
    <w:pPr>
      <w:adjustRightInd/>
      <w:spacing w:line="360" w:lineRule="auto"/>
    </w:pPr>
    <w:rPr>
      <w:rFonts w:cs="宋体"/>
      <w:sz w:val="24"/>
      <w:szCs w:val="20"/>
    </w:rPr>
  </w:style>
  <w:style w:type="paragraph" w:customStyle="1" w:styleId="547">
    <w:name w:val="Char Char Char Char Char Char Char Char Char Char Char Char1 Char"/>
    <w:basedOn w:val="1"/>
    <w:qFormat/>
    <w:uiPriority w:val="0"/>
    <w:rPr>
      <w:rFonts w:ascii="Tahoma" w:hAnsi="Tahoma" w:cs="仿宋_GB2312"/>
      <w:sz w:val="24"/>
      <w:szCs w:val="20"/>
    </w:rPr>
  </w:style>
  <w:style w:type="paragraph" w:customStyle="1" w:styleId="548">
    <w:name w:val="正文1"/>
    <w:basedOn w:val="45"/>
    <w:qFormat/>
    <w:uiPriority w:val="0"/>
    <w:pPr>
      <w:ind w:left="0" w:leftChars="0" w:firstLine="480" w:firstLineChars="200"/>
    </w:pPr>
    <w:rPr>
      <w:rFonts w:ascii="仿宋_GB2312" w:hAnsi="Courier New" w:eastAsia="仿宋_GB2312"/>
      <w:kern w:val="28"/>
      <w:sz w:val="24"/>
    </w:rPr>
  </w:style>
  <w:style w:type="paragraph" w:customStyle="1" w:styleId="54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5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模板普通正文"/>
    <w:basedOn w:val="3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52">
    <w:name w:val="Char Char1 Char Char Char Char Char Char"/>
    <w:basedOn w:val="1"/>
    <w:qFormat/>
    <w:uiPriority w:val="0"/>
    <w:rPr>
      <w:rFonts w:ascii="仿宋_GB2312" w:eastAsia="仿宋_GB2312"/>
      <w:b/>
      <w:sz w:val="32"/>
      <w:szCs w:val="20"/>
    </w:rPr>
  </w:style>
  <w:style w:type="paragraph" w:customStyle="1" w:styleId="55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54">
    <w:name w:val="Char Char1 Char Char Char Char Char Char2"/>
    <w:basedOn w:val="1"/>
    <w:qFormat/>
    <w:uiPriority w:val="0"/>
    <w:rPr>
      <w:rFonts w:ascii="仿宋_GB2312" w:eastAsia="仿宋_GB2312"/>
      <w:b/>
      <w:sz w:val="32"/>
      <w:szCs w:val="20"/>
    </w:rPr>
  </w:style>
  <w:style w:type="paragraph" w:customStyle="1" w:styleId="55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5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5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6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6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6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4">
    <w:name w:val="Char31"/>
    <w:basedOn w:val="1"/>
    <w:qFormat/>
    <w:uiPriority w:val="0"/>
    <w:pPr>
      <w:adjustRightInd/>
    </w:pPr>
    <w:rPr>
      <w:rFonts w:ascii="仿宋_GB2312" w:eastAsia="仿宋_GB2312"/>
      <w:b/>
      <w:sz w:val="32"/>
      <w:szCs w:val="32"/>
    </w:rPr>
  </w:style>
  <w:style w:type="paragraph" w:customStyle="1" w:styleId="565">
    <w:name w:val="样式 标题 3h33rd level3Heading 3 - oldH3l3CTheading 3Headin..."/>
    <w:basedOn w:val="2"/>
    <w:qFormat/>
    <w:uiPriority w:val="0"/>
    <w:pPr>
      <w:jc w:val="left"/>
    </w:pPr>
    <w:rPr>
      <w:rFonts w:eastAsia="黑体" w:cs="宋体"/>
      <w:sz w:val="28"/>
      <w:szCs w:val="20"/>
    </w:rPr>
  </w:style>
  <w:style w:type="paragraph" w:customStyle="1" w:styleId="56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8">
    <w:name w:val="Char Char1"/>
    <w:basedOn w:val="1"/>
    <w:qFormat/>
    <w:uiPriority w:val="0"/>
    <w:pPr>
      <w:widowControl/>
      <w:spacing w:after="160" w:line="240" w:lineRule="exact"/>
      <w:jc w:val="left"/>
    </w:pPr>
    <w:rPr>
      <w:rFonts w:eastAsia="仿宋_GB2312"/>
      <w:sz w:val="28"/>
    </w:rPr>
  </w:style>
  <w:style w:type="paragraph" w:customStyle="1" w:styleId="569">
    <w:name w:val="Char21"/>
    <w:basedOn w:val="1"/>
    <w:qFormat/>
    <w:uiPriority w:val="0"/>
    <w:pPr>
      <w:adjustRightInd/>
      <w:ind w:firstLine="200" w:firstLineChars="200"/>
    </w:pPr>
    <w:rPr>
      <w:rFonts w:ascii="仿宋_GB2312" w:eastAsia="仿宋_GB2312"/>
      <w:b/>
      <w:sz w:val="32"/>
      <w:szCs w:val="32"/>
    </w:rPr>
  </w:style>
  <w:style w:type="paragraph" w:customStyle="1" w:styleId="570">
    <w:name w:val="列表段落11"/>
    <w:basedOn w:val="1"/>
    <w:qFormat/>
    <w:uiPriority w:val="34"/>
    <w:pPr>
      <w:adjustRightInd/>
      <w:ind w:right="238" w:firstLine="420"/>
    </w:pPr>
    <w:rPr>
      <w:rFonts w:ascii="Calibri" w:hAnsi="Calibri"/>
      <w:sz w:val="24"/>
    </w:rPr>
  </w:style>
  <w:style w:type="paragraph" w:customStyle="1" w:styleId="571">
    <w:name w:val="Char Char110"/>
    <w:basedOn w:val="1"/>
    <w:qFormat/>
    <w:uiPriority w:val="6"/>
    <w:pPr>
      <w:spacing w:line="360" w:lineRule="auto"/>
    </w:pPr>
    <w:rPr>
      <w:rFonts w:ascii="Tahoma" w:hAnsi="Tahoma"/>
      <w:sz w:val="24"/>
      <w:szCs w:val="20"/>
    </w:rPr>
  </w:style>
  <w:style w:type="paragraph" w:customStyle="1" w:styleId="57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7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7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7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76">
    <w:name w:val="Char Char Char Char Char Char Char Char Char Char Char Char1 Char2"/>
    <w:basedOn w:val="1"/>
    <w:qFormat/>
    <w:uiPriority w:val="0"/>
    <w:rPr>
      <w:rFonts w:ascii="Tahoma" w:hAnsi="Tahoma" w:cs="仿宋_GB2312"/>
      <w:sz w:val="24"/>
      <w:szCs w:val="20"/>
    </w:rPr>
  </w:style>
  <w:style w:type="paragraph" w:customStyle="1" w:styleId="57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9">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58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81">
    <w:name w:val="_Style 12"/>
    <w:basedOn w:val="26"/>
    <w:qFormat/>
    <w:uiPriority w:val="0"/>
    <w:pPr>
      <w:snapToGrid w:val="0"/>
      <w:spacing w:line="360" w:lineRule="auto"/>
    </w:pPr>
  </w:style>
  <w:style w:type="paragraph" w:customStyle="1" w:styleId="58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8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84">
    <w:name w:val="_Style 94"/>
    <w:basedOn w:val="1"/>
    <w:next w:val="125"/>
    <w:qFormat/>
    <w:uiPriority w:val="34"/>
    <w:pPr>
      <w:adjustRightInd/>
      <w:spacing w:line="360" w:lineRule="auto"/>
      <w:ind w:firstLine="200" w:firstLineChars="200"/>
    </w:pPr>
    <w:rPr>
      <w:rFonts w:ascii="Calibri" w:hAnsi="Calibri"/>
      <w:sz w:val="28"/>
      <w:szCs w:val="20"/>
    </w:rPr>
  </w:style>
  <w:style w:type="paragraph" w:customStyle="1" w:styleId="5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6">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58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8">
    <w:name w:val="3级标题"/>
    <w:basedOn w:val="380"/>
    <w:qFormat/>
    <w:uiPriority w:val="0"/>
    <w:pPr>
      <w:outlineLvl w:val="2"/>
    </w:pPr>
  </w:style>
  <w:style w:type="paragraph" w:customStyle="1" w:styleId="58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0">
    <w:name w:val="Char1 Char Char Char3"/>
    <w:basedOn w:val="1"/>
    <w:qFormat/>
    <w:uiPriority w:val="0"/>
    <w:pPr>
      <w:adjustRightInd/>
      <w:ind w:firstLine="200" w:firstLineChars="200"/>
    </w:pPr>
    <w:rPr>
      <w:rFonts w:ascii="Tahoma" w:hAnsi="Tahoma"/>
      <w:sz w:val="24"/>
      <w:szCs w:val="20"/>
    </w:rPr>
  </w:style>
  <w:style w:type="paragraph" w:customStyle="1" w:styleId="59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92">
    <w:name w:val="MM Empty"/>
    <w:basedOn w:val="1"/>
    <w:qFormat/>
    <w:uiPriority w:val="0"/>
    <w:pPr>
      <w:adjustRightInd/>
    </w:pPr>
  </w:style>
  <w:style w:type="paragraph" w:customStyle="1" w:styleId="593">
    <w:name w:val="Char24"/>
    <w:basedOn w:val="1"/>
    <w:qFormat/>
    <w:uiPriority w:val="0"/>
    <w:rPr>
      <w:rFonts w:ascii="仿宋_GB2312" w:eastAsia="仿宋_GB2312"/>
      <w:b/>
      <w:sz w:val="32"/>
      <w:szCs w:val="32"/>
    </w:rPr>
  </w:style>
  <w:style w:type="paragraph" w:customStyle="1" w:styleId="594">
    <w:name w:val="正文箭头"/>
    <w:basedOn w:val="246"/>
    <w:qFormat/>
    <w:uiPriority w:val="0"/>
  </w:style>
  <w:style w:type="paragraph" w:customStyle="1" w:styleId="595">
    <w:name w:val="U_编号2"/>
    <w:basedOn w:val="1"/>
    <w:qFormat/>
    <w:uiPriority w:val="0"/>
    <w:pPr>
      <w:tabs>
        <w:tab w:val="left" w:pos="785"/>
      </w:tabs>
      <w:adjustRightInd/>
      <w:spacing w:beforeLines="10" w:afterLines="10" w:line="300" w:lineRule="auto"/>
    </w:pPr>
    <w:rPr>
      <w:sz w:val="24"/>
    </w:rPr>
  </w:style>
  <w:style w:type="paragraph" w:customStyle="1" w:styleId="59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标书标题3"/>
    <w:basedOn w:val="2"/>
    <w:qFormat/>
    <w:uiPriority w:val="0"/>
    <w:pPr>
      <w:widowControl/>
      <w:spacing w:before="120" w:after="60" w:line="300" w:lineRule="auto"/>
      <w:jc w:val="left"/>
    </w:pPr>
    <w:rPr>
      <w:rFonts w:ascii="Arial Narrow" w:hAnsi="Arial Narrow" w:eastAsia="仿宋_GB2312"/>
      <w:b w:val="0"/>
      <w:bCs w:val="0"/>
      <w:color w:val="000000"/>
      <w:kern w:val="0"/>
      <w:sz w:val="28"/>
    </w:rPr>
  </w:style>
  <w:style w:type="paragraph" w:customStyle="1" w:styleId="599">
    <w:name w:val="TOC 标题11"/>
    <w:basedOn w:val="4"/>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600">
    <w:name w:val="_Style 1"/>
    <w:basedOn w:val="1"/>
    <w:qFormat/>
    <w:uiPriority w:val="34"/>
    <w:pPr>
      <w:adjustRightInd/>
      <w:ind w:firstLine="420" w:firstLineChars="200"/>
    </w:pPr>
    <w:rPr>
      <w:rFonts w:eastAsia="仿宋_GB2312"/>
      <w:sz w:val="28"/>
    </w:rPr>
  </w:style>
  <w:style w:type="paragraph" w:customStyle="1" w:styleId="601">
    <w:name w:val="表格 内容"/>
    <w:basedOn w:val="437"/>
    <w:qFormat/>
    <w:uiPriority w:val="0"/>
    <w:rPr>
      <w:b w:val="0"/>
      <w:sz w:val="20"/>
    </w:rPr>
  </w:style>
  <w:style w:type="paragraph" w:customStyle="1" w:styleId="602">
    <w:name w:val="正文首行缩进1"/>
    <w:basedOn w:val="3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60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4">
    <w:name w:val="数字标题5"/>
    <w:basedOn w:val="7"/>
    <w:next w:val="1"/>
    <w:qFormat/>
    <w:uiPriority w:val="0"/>
    <w:pPr>
      <w:tabs>
        <w:tab w:val="left" w:pos="1080"/>
        <w:tab w:val="clear" w:pos="1008"/>
      </w:tabs>
      <w:ind w:left="1080" w:hanging="1080"/>
    </w:pPr>
  </w:style>
  <w:style w:type="paragraph" w:customStyle="1" w:styleId="605">
    <w:name w:val="数字标题1"/>
    <w:basedOn w:val="4"/>
    <w:next w:val="1"/>
    <w:qFormat/>
    <w:uiPriority w:val="0"/>
    <w:pPr>
      <w:tabs>
        <w:tab w:val="left" w:pos="480"/>
        <w:tab w:val="clear" w:pos="432"/>
      </w:tabs>
      <w:ind w:left="480" w:hanging="480"/>
    </w:pPr>
  </w:style>
  <w:style w:type="paragraph" w:customStyle="1" w:styleId="60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0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1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1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12">
    <w:name w:val="0"/>
    <w:basedOn w:val="1"/>
    <w:qFormat/>
    <w:uiPriority w:val="0"/>
    <w:pPr>
      <w:widowControl/>
    </w:pPr>
    <w:rPr>
      <w:kern w:val="0"/>
      <w:sz w:val="24"/>
      <w:szCs w:val="20"/>
    </w:rPr>
  </w:style>
  <w:style w:type="paragraph" w:customStyle="1" w:styleId="613">
    <w:name w:val="Char Char113"/>
    <w:basedOn w:val="1"/>
    <w:qFormat/>
    <w:uiPriority w:val="0"/>
    <w:pPr>
      <w:widowControl/>
      <w:spacing w:after="160" w:line="240" w:lineRule="exact"/>
      <w:jc w:val="left"/>
    </w:pPr>
    <w:rPr>
      <w:rFonts w:eastAsia="仿宋_GB2312"/>
      <w:sz w:val="28"/>
    </w:rPr>
  </w:style>
  <w:style w:type="paragraph" w:customStyle="1" w:styleId="61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15">
    <w:name w:val="_Style 8"/>
    <w:basedOn w:val="1"/>
    <w:qFormat/>
    <w:uiPriority w:val="34"/>
    <w:pPr>
      <w:adjustRightInd/>
      <w:ind w:firstLine="420" w:firstLineChars="200"/>
    </w:pPr>
    <w:rPr>
      <w:rFonts w:eastAsia="仿宋_GB2312"/>
      <w:sz w:val="28"/>
    </w:rPr>
  </w:style>
  <w:style w:type="paragraph" w:customStyle="1" w:styleId="61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1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1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2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21">
    <w:name w:val="Char Char112"/>
    <w:basedOn w:val="1"/>
    <w:qFormat/>
    <w:uiPriority w:val="6"/>
    <w:pPr>
      <w:widowControl/>
      <w:spacing w:after="160" w:line="240" w:lineRule="exact"/>
      <w:jc w:val="left"/>
    </w:pPr>
    <w:rPr>
      <w:rFonts w:eastAsia="仿宋_GB2312"/>
      <w:sz w:val="28"/>
    </w:rPr>
  </w:style>
  <w:style w:type="paragraph" w:customStyle="1" w:styleId="622">
    <w:name w:val="正文 图"/>
    <w:basedOn w:val="151"/>
    <w:qFormat/>
    <w:uiPriority w:val="0"/>
    <w:pPr>
      <w:adjustRightInd/>
      <w:spacing w:before="0"/>
      <w:ind w:firstLine="0"/>
      <w:jc w:val="center"/>
    </w:pPr>
    <w:rPr>
      <w:rFonts w:ascii="微软雅黑" w:hAnsi="微软雅黑"/>
    </w:rPr>
  </w:style>
  <w:style w:type="paragraph" w:customStyle="1" w:styleId="62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25">
    <w:name w:val="Thf"/>
    <w:basedOn w:val="270"/>
    <w:qFormat/>
    <w:uiPriority w:val="0"/>
    <w:pPr>
      <w:ind w:left="0"/>
    </w:pPr>
  </w:style>
  <w:style w:type="paragraph" w:customStyle="1" w:styleId="62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2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8">
    <w:name w:val="注释"/>
    <w:basedOn w:val="1"/>
    <w:qFormat/>
    <w:uiPriority w:val="0"/>
    <w:pPr>
      <w:adjustRightInd/>
      <w:spacing w:line="360" w:lineRule="auto"/>
      <w:ind w:firstLine="480"/>
    </w:pPr>
    <w:rPr>
      <w:sz w:val="24"/>
    </w:rPr>
  </w:style>
  <w:style w:type="paragraph" w:customStyle="1" w:styleId="629">
    <w:name w:val="列出段落111"/>
    <w:basedOn w:val="1"/>
    <w:qFormat/>
    <w:uiPriority w:val="34"/>
    <w:pPr>
      <w:ind w:firstLine="420" w:firstLineChars="200"/>
    </w:pPr>
  </w:style>
  <w:style w:type="paragraph" w:customStyle="1" w:styleId="630">
    <w:name w:val="标准文本"/>
    <w:basedOn w:val="1"/>
    <w:link w:val="1072"/>
    <w:qFormat/>
    <w:uiPriority w:val="0"/>
    <w:pPr>
      <w:adjustRightInd/>
      <w:spacing w:line="360" w:lineRule="auto"/>
      <w:ind w:firstLine="480" w:firstLineChars="200"/>
    </w:pPr>
    <w:rPr>
      <w:rFonts w:cs="宋体"/>
      <w:sz w:val="24"/>
      <w:szCs w:val="20"/>
    </w:rPr>
  </w:style>
  <w:style w:type="paragraph" w:customStyle="1" w:styleId="631">
    <w:name w:val="_Style 947"/>
    <w:basedOn w:val="1"/>
    <w:next w:val="125"/>
    <w:qFormat/>
    <w:uiPriority w:val="34"/>
    <w:pPr>
      <w:adjustRightInd/>
      <w:ind w:firstLine="420" w:firstLineChars="200"/>
    </w:pPr>
  </w:style>
  <w:style w:type="paragraph" w:customStyle="1" w:styleId="63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33">
    <w:name w:val="纯文本2"/>
    <w:basedOn w:val="1"/>
    <w:qFormat/>
    <w:uiPriority w:val="0"/>
    <w:pPr>
      <w:adjustRightInd/>
      <w:snapToGrid w:val="0"/>
      <w:jc w:val="left"/>
    </w:pPr>
    <w:rPr>
      <w:rFonts w:ascii="Century Gothic" w:hAnsi="楷体_GB2312" w:eastAsia="Century Gothic"/>
      <w:szCs w:val="20"/>
    </w:rPr>
  </w:style>
  <w:style w:type="paragraph" w:customStyle="1" w:styleId="63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3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36">
    <w:name w:val="节"/>
    <w:basedOn w:val="5"/>
    <w:qFormat/>
    <w:uiPriority w:val="0"/>
    <w:pPr>
      <w:tabs>
        <w:tab w:val="clear" w:pos="432"/>
      </w:tabs>
      <w:spacing w:before="160" w:after="160" w:line="720" w:lineRule="exact"/>
      <w:jc w:val="center"/>
    </w:pPr>
    <w:rPr>
      <w:rFonts w:ascii="Arial" w:hAnsi="Arial" w:eastAsia="楷体"/>
      <w:color w:val="000000"/>
      <w:spacing w:val="14"/>
      <w:kern w:val="24"/>
      <w:szCs w:val="20"/>
      <w:lang w:val="en-US"/>
    </w:rPr>
  </w:style>
  <w:style w:type="paragraph" w:customStyle="1" w:styleId="637">
    <w:name w:val="Blockquote"/>
    <w:basedOn w:val="1"/>
    <w:qFormat/>
    <w:uiPriority w:val="0"/>
    <w:pPr>
      <w:autoSpaceDE w:val="0"/>
      <w:autoSpaceDN w:val="0"/>
      <w:spacing w:before="100" w:after="100"/>
      <w:ind w:left="360" w:right="360"/>
      <w:jc w:val="left"/>
    </w:pPr>
    <w:rPr>
      <w:kern w:val="0"/>
      <w:sz w:val="24"/>
      <w:szCs w:val="20"/>
    </w:rPr>
  </w:style>
  <w:style w:type="paragraph" w:customStyle="1" w:styleId="638">
    <w:name w:val="p1"/>
    <w:basedOn w:val="1"/>
    <w:qFormat/>
    <w:uiPriority w:val="0"/>
    <w:pPr>
      <w:widowControl/>
      <w:adjustRightInd/>
      <w:jc w:val="left"/>
    </w:pPr>
    <w:rPr>
      <w:rFonts w:ascii=".PingFang SC" w:eastAsia=".PingFang SC"/>
      <w:color w:val="454545"/>
      <w:kern w:val="0"/>
      <w:sz w:val="18"/>
      <w:szCs w:val="18"/>
    </w:rPr>
  </w:style>
  <w:style w:type="paragraph" w:customStyle="1" w:styleId="639">
    <w:name w:val="Table Paragraph"/>
    <w:basedOn w:val="1"/>
    <w:qFormat/>
    <w:uiPriority w:val="1"/>
    <w:pPr>
      <w:adjustRightInd/>
      <w:jc w:val="left"/>
    </w:pPr>
    <w:rPr>
      <w:rFonts w:ascii="Calibri" w:hAnsi="Calibri"/>
      <w:kern w:val="0"/>
      <w:sz w:val="22"/>
      <w:szCs w:val="22"/>
      <w:lang w:eastAsia="en-US"/>
    </w:rPr>
  </w:style>
  <w:style w:type="paragraph" w:customStyle="1" w:styleId="64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4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4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43">
    <w:name w:val="[Normal]"/>
    <w:qFormat/>
    <w:uiPriority w:val="0"/>
    <w:rPr>
      <w:rFonts w:ascii="宋体" w:hAnsi="宋体" w:eastAsia="宋体" w:cs="Times New Roman"/>
      <w:sz w:val="24"/>
      <w:szCs w:val="22"/>
      <w:lang w:val="zh-CN" w:eastAsia="zh-CN" w:bidi="ar-SA"/>
    </w:rPr>
  </w:style>
  <w:style w:type="paragraph" w:customStyle="1" w:styleId="644">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645">
    <w:name w:val="_正文"/>
    <w:basedOn w:val="1"/>
    <w:link w:val="1090"/>
    <w:qFormat/>
    <w:uiPriority w:val="0"/>
    <w:pPr>
      <w:tabs>
        <w:tab w:val="left" w:pos="840"/>
      </w:tabs>
      <w:adjustRightInd/>
      <w:spacing w:line="360" w:lineRule="auto"/>
      <w:ind w:firstLine="200" w:firstLineChars="200"/>
    </w:pPr>
    <w:rPr>
      <w:sz w:val="24"/>
    </w:rPr>
  </w:style>
  <w:style w:type="paragraph" w:customStyle="1" w:styleId="646">
    <w:name w:val="亚运 5级标题"/>
    <w:basedOn w:val="7"/>
    <w:link w:val="1091"/>
    <w:qFormat/>
    <w:uiPriority w:val="0"/>
    <w:pPr>
      <w:numPr>
        <w:ilvl w:val="4"/>
        <w:numId w:val="4"/>
      </w:numPr>
      <w:tabs>
        <w:tab w:val="left" w:pos="700"/>
        <w:tab w:val="left" w:pos="840"/>
        <w:tab w:val="clear" w:pos="1008"/>
      </w:tabs>
      <w:textAlignment w:val="baseline"/>
    </w:pPr>
    <w:rPr>
      <w:rFonts w:ascii="宋体" w:hAnsi="宋体"/>
      <w:color w:val="000000"/>
      <w:sz w:val="24"/>
    </w:rPr>
  </w:style>
  <w:style w:type="paragraph" w:customStyle="1" w:styleId="647">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648">
    <w:name w:val="修订5"/>
    <w:semiHidden/>
    <w:qFormat/>
    <w:uiPriority w:val="99"/>
    <w:rPr>
      <w:rFonts w:ascii="Times New Roman" w:hAnsi="Times New Roman" w:eastAsia="宋体" w:cs="Times New Roman"/>
      <w:kern w:val="2"/>
      <w:sz w:val="21"/>
      <w:szCs w:val="24"/>
      <w:lang w:val="en-US" w:eastAsia="zh-CN" w:bidi="ar-SA"/>
    </w:rPr>
  </w:style>
  <w:style w:type="paragraph" w:customStyle="1" w:styleId="649">
    <w:name w:val="正文缩"/>
    <w:basedOn w:val="1"/>
    <w:link w:val="1092"/>
    <w:qFormat/>
    <w:uiPriority w:val="0"/>
    <w:pPr>
      <w:adjustRightInd/>
      <w:spacing w:line="360" w:lineRule="auto"/>
      <w:ind w:firstLine="200" w:firstLineChars="200"/>
    </w:pPr>
    <w:rPr>
      <w:rFonts w:eastAsia="楷体_GB2312"/>
      <w:sz w:val="24"/>
    </w:rPr>
  </w:style>
  <w:style w:type="paragraph" w:customStyle="1" w:styleId="650">
    <w:name w:val="亚运3级标题"/>
    <w:basedOn w:val="1"/>
    <w:link w:val="1094"/>
    <w:qFormat/>
    <w:uiPriority w:val="0"/>
    <w:pPr>
      <w:keepNext/>
      <w:keepLines/>
      <w:tabs>
        <w:tab w:val="left" w:pos="720"/>
        <w:tab w:val="left" w:pos="840"/>
      </w:tabs>
      <w:snapToGrid w:val="0"/>
      <w:spacing w:line="360" w:lineRule="auto"/>
      <w:outlineLvl w:val="2"/>
    </w:pPr>
    <w:rPr>
      <w:rFonts w:ascii="黑体" w:hAnsi="黑体" w:eastAsia="仿宋" w:cs="Arial"/>
      <w:bCs/>
      <w:sz w:val="30"/>
      <w:szCs w:val="30"/>
    </w:rPr>
  </w:style>
  <w:style w:type="paragraph" w:customStyle="1" w:styleId="651">
    <w:name w:val="亚运 4级标题"/>
    <w:basedOn w:val="6"/>
    <w:link w:val="1095"/>
    <w:qFormat/>
    <w:uiPriority w:val="0"/>
    <w:pPr>
      <w:tabs>
        <w:tab w:val="left" w:pos="840"/>
        <w:tab w:val="clear" w:pos="864"/>
      </w:tabs>
      <w:snapToGrid w:val="0"/>
      <w:spacing w:before="0" w:after="0" w:line="360" w:lineRule="auto"/>
      <w:ind w:left="0" w:firstLine="0"/>
      <w:textAlignment w:val="baseline"/>
    </w:pPr>
    <w:rPr>
      <w:rFonts w:ascii="黑体" w:hAnsi="黑体" w:eastAsia="仿宋"/>
      <w:b w:val="0"/>
      <w:color w:val="000000"/>
      <w:kern w:val="0"/>
      <w:sz w:val="30"/>
      <w:szCs w:val="30"/>
      <w:lang w:val="en-US"/>
    </w:rPr>
  </w:style>
  <w:style w:type="paragraph" w:customStyle="1" w:styleId="652">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53">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654">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655">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656">
    <w:name w:val="列表段落2"/>
    <w:basedOn w:val="1"/>
    <w:qFormat/>
    <w:uiPriority w:val="0"/>
    <w:pPr>
      <w:ind w:firstLine="420" w:firstLineChars="200"/>
    </w:pPr>
  </w:style>
  <w:style w:type="paragraph" w:customStyle="1" w:styleId="657">
    <w:name w:val="表格正文"/>
    <w:qFormat/>
    <w:uiPriority w:val="0"/>
    <w:pPr>
      <w:widowControl w:val="0"/>
      <w:adjustRightInd w:val="0"/>
      <w:snapToGrid w:val="0"/>
      <w:jc w:val="center"/>
      <w:textAlignment w:val="baseline"/>
    </w:pPr>
    <w:rPr>
      <w:rFonts w:ascii="宋体" w:hAnsi="Arial" w:eastAsia="宋体" w:cs="宋体"/>
      <w:szCs w:val="18"/>
      <w:lang w:val="en-US" w:eastAsia="zh-CN" w:bidi="ar-SA"/>
    </w:rPr>
  </w:style>
  <w:style w:type="paragraph" w:customStyle="1" w:styleId="658">
    <w:name w:val="修订10"/>
    <w:hidden/>
    <w:semiHidden/>
    <w:qFormat/>
    <w:uiPriority w:val="99"/>
    <w:rPr>
      <w:rFonts w:ascii="Times New Roman" w:hAnsi="Times New Roman" w:eastAsia="宋体" w:cs="Times New Roman"/>
      <w:kern w:val="2"/>
      <w:sz w:val="21"/>
      <w:szCs w:val="24"/>
      <w:lang w:val="en-US" w:eastAsia="zh-CN" w:bidi="ar-SA"/>
    </w:rPr>
  </w:style>
  <w:style w:type="paragraph" w:customStyle="1" w:styleId="659">
    <w:name w:val="修订11"/>
    <w:hidden/>
    <w:qFormat/>
    <w:uiPriority w:val="0"/>
    <w:rPr>
      <w:rFonts w:ascii="Times New Roman" w:hAnsi="Times New Roman" w:eastAsia="宋体" w:cs="Times New Roman"/>
      <w:kern w:val="2"/>
      <w:sz w:val="21"/>
      <w:szCs w:val="24"/>
      <w:lang w:val="en-US" w:eastAsia="zh-CN" w:bidi="ar-SA"/>
    </w:rPr>
  </w:style>
  <w:style w:type="paragraph" w:customStyle="1" w:styleId="660">
    <w:name w:val="修订12"/>
    <w:hidden/>
    <w:semiHidden/>
    <w:qFormat/>
    <w:uiPriority w:val="99"/>
    <w:rPr>
      <w:rFonts w:ascii="Times New Roman" w:hAnsi="Times New Roman" w:eastAsia="宋体" w:cs="Times New Roman"/>
      <w:kern w:val="2"/>
      <w:sz w:val="21"/>
      <w:szCs w:val="24"/>
      <w:lang w:val="en-US" w:eastAsia="zh-CN" w:bidi="ar-SA"/>
    </w:rPr>
  </w:style>
  <w:style w:type="paragraph" w:customStyle="1" w:styleId="661">
    <w:name w:val="正文（上会）"/>
    <w:basedOn w:val="1"/>
    <w:link w:val="1106"/>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662">
    <w:name w:val="样式 宋体 小四 行距: 1.5 倍行距 首行缩进:  2 字符"/>
    <w:basedOn w:val="1"/>
    <w:qFormat/>
    <w:uiPriority w:val="0"/>
    <w:pPr>
      <w:adjustRightInd/>
      <w:spacing w:line="360" w:lineRule="auto"/>
      <w:ind w:firstLine="200" w:firstLineChars="200"/>
    </w:pPr>
    <w:rPr>
      <w:rFonts w:ascii="宋体" w:hAnsi="宋体" w:cs="宋体"/>
      <w:sz w:val="24"/>
    </w:rPr>
  </w:style>
  <w:style w:type="paragraph" w:customStyle="1" w:styleId="663">
    <w:name w:val="二级标题"/>
    <w:basedOn w:val="5"/>
    <w:link w:val="1110"/>
    <w:qFormat/>
    <w:uiPriority w:val="0"/>
    <w:pPr>
      <w:numPr>
        <w:ilvl w:val="1"/>
        <w:numId w:val="5"/>
      </w:numPr>
      <w:tabs>
        <w:tab w:val="clear" w:pos="432"/>
      </w:tabs>
      <w:adjustRightInd/>
      <w:ind w:left="0"/>
    </w:pPr>
    <w:rPr>
      <w:rFonts w:ascii="Arial" w:hAnsi="Arial" w:cs="宋体"/>
      <w:sz w:val="30"/>
      <w:lang w:val="en-US"/>
    </w:rPr>
  </w:style>
  <w:style w:type="paragraph" w:customStyle="1" w:styleId="664">
    <w:name w:val="四级标题"/>
    <w:basedOn w:val="6"/>
    <w:link w:val="1111"/>
    <w:qFormat/>
    <w:uiPriority w:val="0"/>
    <w:pPr>
      <w:numPr>
        <w:ilvl w:val="3"/>
        <w:numId w:val="5"/>
      </w:numPr>
      <w:tabs>
        <w:tab w:val="clear" w:pos="864"/>
      </w:tabs>
      <w:adjustRightInd/>
      <w:spacing w:before="0" w:after="0" w:line="360" w:lineRule="auto"/>
      <w:jc w:val="left"/>
    </w:pPr>
    <w:rPr>
      <w:rFonts w:eastAsia="宋体" w:cs="宋体"/>
      <w:lang w:val="en-US"/>
    </w:rPr>
  </w:style>
  <w:style w:type="paragraph" w:customStyle="1" w:styleId="665">
    <w:name w:val="五级标题"/>
    <w:basedOn w:val="7"/>
    <w:link w:val="1112"/>
    <w:qFormat/>
    <w:uiPriority w:val="0"/>
    <w:pPr>
      <w:numPr>
        <w:ilvl w:val="4"/>
        <w:numId w:val="5"/>
      </w:numPr>
      <w:tabs>
        <w:tab w:val="clear" w:pos="1008"/>
      </w:tabs>
      <w:adjustRightInd/>
      <w:snapToGrid/>
    </w:pPr>
    <w:rPr>
      <w:rFonts w:ascii="Arial" w:hAnsi="Arial" w:cs="宋体"/>
      <w:kern w:val="0"/>
    </w:rPr>
  </w:style>
  <w:style w:type="paragraph" w:customStyle="1" w:styleId="666">
    <w:name w:val="六级标题"/>
    <w:basedOn w:val="8"/>
    <w:link w:val="1113"/>
    <w:qFormat/>
    <w:uiPriority w:val="0"/>
    <w:pPr>
      <w:numPr>
        <w:ilvl w:val="5"/>
        <w:numId w:val="5"/>
      </w:numPr>
      <w:tabs>
        <w:tab w:val="clear" w:pos="1152"/>
      </w:tabs>
      <w:adjustRightInd/>
      <w:snapToGrid/>
    </w:pPr>
    <w:rPr>
      <w:rFonts w:eastAsia="宋体" w:cs="宋体"/>
      <w:sz w:val="28"/>
    </w:rPr>
  </w:style>
  <w:style w:type="paragraph" w:customStyle="1" w:styleId="667">
    <w:name w:val="七级标题"/>
    <w:basedOn w:val="9"/>
    <w:qFormat/>
    <w:uiPriority w:val="0"/>
    <w:pPr>
      <w:numPr>
        <w:ilvl w:val="6"/>
        <w:numId w:val="5"/>
      </w:numPr>
      <w:tabs>
        <w:tab w:val="clear" w:pos="1296"/>
      </w:tabs>
      <w:adjustRightInd/>
      <w:snapToGrid/>
    </w:pPr>
    <w:rPr>
      <w:rFonts w:ascii="Arial" w:hAnsi="Arial" w:cs="宋体"/>
      <w:kern w:val="0"/>
    </w:rPr>
  </w:style>
  <w:style w:type="paragraph" w:customStyle="1" w:styleId="668">
    <w:name w:val="八级标题"/>
    <w:basedOn w:val="10"/>
    <w:qFormat/>
    <w:uiPriority w:val="0"/>
    <w:pPr>
      <w:numPr>
        <w:ilvl w:val="7"/>
        <w:numId w:val="5"/>
      </w:numPr>
      <w:tabs>
        <w:tab w:val="clear" w:pos="1440"/>
      </w:tabs>
      <w:adjustRightInd/>
      <w:spacing w:before="0" w:after="0" w:line="360" w:lineRule="auto"/>
      <w:jc w:val="left"/>
    </w:pPr>
    <w:rPr>
      <w:rFonts w:eastAsia="宋体" w:cs="宋体"/>
      <w:b/>
      <w:kern w:val="0"/>
      <w:sz w:val="28"/>
    </w:rPr>
  </w:style>
  <w:style w:type="paragraph" w:customStyle="1" w:styleId="669">
    <w:name w:val="九级标题"/>
    <w:basedOn w:val="11"/>
    <w:qFormat/>
    <w:uiPriority w:val="0"/>
    <w:pPr>
      <w:numPr>
        <w:ilvl w:val="8"/>
        <w:numId w:val="5"/>
      </w:numPr>
      <w:tabs>
        <w:tab w:val="clear" w:pos="1584"/>
      </w:tabs>
      <w:adjustRightInd/>
      <w:spacing w:before="0" w:after="0" w:line="360" w:lineRule="auto"/>
    </w:pPr>
    <w:rPr>
      <w:rFonts w:eastAsia="宋体" w:cs="宋体"/>
      <w:b/>
      <w:kern w:val="0"/>
      <w:sz w:val="28"/>
    </w:rPr>
  </w:style>
  <w:style w:type="paragraph" w:customStyle="1" w:styleId="670">
    <w:name w:val="一级标题"/>
    <w:basedOn w:val="663"/>
    <w:qFormat/>
    <w:uiPriority w:val="0"/>
    <w:pPr>
      <w:numPr>
        <w:ilvl w:val="0"/>
      </w:numPr>
      <w:tabs>
        <w:tab w:val="left" w:pos="360"/>
      </w:tabs>
      <w:outlineLvl w:val="0"/>
    </w:pPr>
  </w:style>
  <w:style w:type="paragraph" w:customStyle="1" w:styleId="671">
    <w:name w:val="三级标题正式"/>
    <w:qFormat/>
    <w:uiPriority w:val="0"/>
    <w:pPr>
      <w:numPr>
        <w:ilvl w:val="2"/>
        <w:numId w:val="5"/>
      </w:numPr>
      <w:spacing w:line="360" w:lineRule="auto"/>
      <w:outlineLvl w:val="2"/>
    </w:pPr>
    <w:rPr>
      <w:rFonts w:ascii="Arial" w:hAnsi="Arial" w:eastAsia="宋体" w:cs="Times New Roman"/>
      <w:b/>
      <w:kern w:val="2"/>
      <w:sz w:val="28"/>
      <w:szCs w:val="24"/>
      <w:lang w:val="en-US" w:eastAsia="zh-CN" w:bidi="ar-SA"/>
    </w:rPr>
  </w:style>
  <w:style w:type="paragraph" w:customStyle="1" w:styleId="672">
    <w:name w:val="正文（缩进）"/>
    <w:basedOn w:val="1"/>
    <w:link w:val="1116"/>
    <w:qFormat/>
    <w:uiPriority w:val="0"/>
    <w:pPr>
      <w:widowControl/>
      <w:adjustRightInd/>
      <w:spacing w:line="360" w:lineRule="auto"/>
      <w:ind w:left="-34" w:leftChars="-14" w:firstLine="480" w:firstLineChars="200"/>
      <w:jc w:val="left"/>
    </w:pPr>
    <w:rPr>
      <w:rFonts w:ascii="宋体" w:hAnsi="宋体"/>
      <w:kern w:val="0"/>
      <w:sz w:val="24"/>
    </w:rPr>
  </w:style>
  <w:style w:type="paragraph" w:customStyle="1" w:styleId="673">
    <w:name w:val="编号1"/>
    <w:basedOn w:val="1"/>
    <w:next w:val="1"/>
    <w:link w:val="1130"/>
    <w:qFormat/>
    <w:uiPriority w:val="0"/>
    <w:pPr>
      <w:tabs>
        <w:tab w:val="left" w:pos="256"/>
      </w:tabs>
      <w:adjustRightInd/>
    </w:pPr>
    <w:rPr>
      <w:rFonts w:eastAsia="仿宋_GB2312"/>
      <w:sz w:val="28"/>
    </w:rPr>
  </w:style>
  <w:style w:type="paragraph" w:customStyle="1" w:styleId="674">
    <w:name w:val="正文ll"/>
    <w:basedOn w:val="1"/>
    <w:link w:val="1117"/>
    <w:qFormat/>
    <w:uiPriority w:val="0"/>
    <w:pPr>
      <w:adjustRightInd/>
      <w:spacing w:line="360" w:lineRule="auto"/>
      <w:ind w:firstLine="480" w:firstLineChars="200"/>
    </w:pPr>
    <w:rPr>
      <w:sz w:val="24"/>
    </w:rPr>
  </w:style>
  <w:style w:type="paragraph" w:customStyle="1" w:styleId="675">
    <w:name w:val="正文-段落"/>
    <w:link w:val="1123"/>
    <w:qFormat/>
    <w:uiPriority w:val="0"/>
    <w:pPr>
      <w:spacing w:line="360" w:lineRule="auto"/>
      <w:ind w:firstLine="200" w:firstLineChars="200"/>
    </w:pPr>
    <w:rPr>
      <w:rFonts w:ascii="Times New Roman" w:hAnsi="Times New Roman" w:eastAsia="宋体" w:cs="Times New Roman"/>
      <w:sz w:val="24"/>
      <w:szCs w:val="24"/>
      <w:lang w:val="en-US" w:eastAsia="zh-CN" w:bidi="ar-SA"/>
    </w:rPr>
  </w:style>
  <w:style w:type="paragraph" w:customStyle="1" w:styleId="676">
    <w:name w:val="图片"/>
    <w:basedOn w:val="1"/>
    <w:link w:val="1126"/>
    <w:qFormat/>
    <w:uiPriority w:val="0"/>
    <w:pPr>
      <w:adjustRightInd/>
      <w:spacing w:line="360" w:lineRule="auto"/>
      <w:jc w:val="center"/>
    </w:pPr>
    <w:rPr>
      <w:rFonts w:ascii="仿宋" w:hAnsi="仿宋" w:eastAsia="仿宋"/>
      <w:sz w:val="28"/>
    </w:rPr>
  </w:style>
  <w:style w:type="paragraph" w:customStyle="1" w:styleId="677">
    <w:name w:val="正缩"/>
    <w:basedOn w:val="1"/>
    <w:link w:val="1127"/>
    <w:qFormat/>
    <w:uiPriority w:val="0"/>
    <w:pPr>
      <w:adjustRightInd/>
      <w:spacing w:line="360" w:lineRule="auto"/>
      <w:ind w:firstLine="480" w:firstLineChars="200"/>
    </w:pPr>
    <w:rPr>
      <w:rFonts w:ascii="宋体" w:hAnsi="宋体"/>
      <w:sz w:val="24"/>
    </w:rPr>
  </w:style>
  <w:style w:type="paragraph" w:customStyle="1" w:styleId="678">
    <w:name w:val="标题4级"/>
    <w:basedOn w:val="6"/>
    <w:link w:val="1128"/>
    <w:qFormat/>
    <w:uiPriority w:val="0"/>
    <w:pPr>
      <w:tabs>
        <w:tab w:val="left" w:pos="284"/>
        <w:tab w:val="left" w:pos="426"/>
        <w:tab w:val="left" w:pos="840"/>
        <w:tab w:val="clear" w:pos="864"/>
      </w:tabs>
      <w:adjustRightInd/>
      <w:spacing w:before="120" w:after="120"/>
      <w:ind w:left="284" w:hanging="284"/>
    </w:pPr>
    <w:rPr>
      <w:rFonts w:ascii="宋体" w:hAnsi="宋体" w:eastAsia="宋体" w:cs="宋体"/>
      <w:snapToGrid w:val="0"/>
    </w:rPr>
  </w:style>
  <w:style w:type="paragraph" w:customStyle="1" w:styleId="679">
    <w:name w:val="图片2"/>
    <w:basedOn w:val="1"/>
    <w:link w:val="1134"/>
    <w:qFormat/>
    <w:uiPriority w:val="0"/>
    <w:pPr>
      <w:widowControl/>
      <w:adjustRightInd/>
      <w:spacing w:line="360" w:lineRule="auto"/>
      <w:jc w:val="center"/>
    </w:pPr>
    <w:rPr>
      <w:rFonts w:eastAsia="仿宋"/>
      <w:kern w:val="0"/>
      <w:sz w:val="32"/>
      <w:shd w:val="clear" w:color="auto" w:fill="FFFFFF"/>
    </w:rPr>
  </w:style>
  <w:style w:type="paragraph" w:customStyle="1" w:styleId="680">
    <w:name w:val="中等深浅底纹 1 - 着色 11"/>
    <w:link w:val="1135"/>
    <w:qFormat/>
    <w:uiPriority w:val="1"/>
    <w:rPr>
      <w:rFonts w:ascii="Times New Roman" w:hAnsi="Times New Roman" w:eastAsia="宋体" w:cs="Times New Roman"/>
      <w:sz w:val="22"/>
      <w:szCs w:val="22"/>
      <w:lang w:val="en-US" w:eastAsia="zh-CN" w:bidi="ar-SA"/>
    </w:rPr>
  </w:style>
  <w:style w:type="paragraph" w:customStyle="1" w:styleId="681">
    <w:name w:val="题注1"/>
    <w:basedOn w:val="1"/>
    <w:next w:val="1"/>
    <w:link w:val="1137"/>
    <w:qFormat/>
    <w:uiPriority w:val="0"/>
    <w:pPr>
      <w:adjustRightInd/>
      <w:jc w:val="center"/>
    </w:pPr>
    <w:rPr>
      <w:rFonts w:ascii="Arial" w:hAnsi="Arial" w:eastAsia="黑体" w:cs="宋体"/>
      <w:szCs w:val="20"/>
    </w:rPr>
  </w:style>
  <w:style w:type="paragraph" w:customStyle="1" w:styleId="682">
    <w:name w:val="图表标题"/>
    <w:basedOn w:val="1"/>
    <w:link w:val="1138"/>
    <w:qFormat/>
    <w:uiPriority w:val="0"/>
    <w:pPr>
      <w:adjustRightInd/>
      <w:spacing w:line="360" w:lineRule="auto"/>
      <w:jc w:val="center"/>
    </w:pPr>
    <w:rPr>
      <w:rFonts w:ascii="黑体" w:hAnsi="黑体" w:eastAsia="黑体"/>
      <w:b/>
      <w:kern w:val="0"/>
      <w:sz w:val="20"/>
      <w:szCs w:val="21"/>
    </w:rPr>
  </w:style>
  <w:style w:type="paragraph" w:customStyle="1" w:styleId="683">
    <w:name w:val="编号2"/>
    <w:basedOn w:val="1"/>
    <w:next w:val="1"/>
    <w:link w:val="1139"/>
    <w:qFormat/>
    <w:uiPriority w:val="0"/>
    <w:pPr>
      <w:numPr>
        <w:ilvl w:val="0"/>
        <w:numId w:val="6"/>
      </w:numPr>
      <w:tabs>
        <w:tab w:val="left" w:pos="397"/>
      </w:tabs>
      <w:adjustRightInd/>
    </w:pPr>
    <w:rPr>
      <w:rFonts w:ascii="宋体" w:hAnsi="宋体" w:eastAsia="仿宋_GB2312" w:cs="宋体"/>
      <w:sz w:val="28"/>
    </w:rPr>
  </w:style>
  <w:style w:type="paragraph" w:customStyle="1" w:styleId="684">
    <w:name w:val="样式 正文文本缩进 + 左  0 字符"/>
    <w:basedOn w:val="36"/>
    <w:link w:val="1144"/>
    <w:qFormat/>
    <w:uiPriority w:val="0"/>
    <w:pPr>
      <w:adjustRightInd/>
      <w:spacing w:line="360" w:lineRule="auto"/>
      <w:ind w:firstLine="250" w:firstLineChars="250"/>
    </w:pPr>
    <w:rPr>
      <w:rFonts w:ascii="Times New Roman" w:hAnsi="Times New Roman"/>
      <w:kern w:val="0"/>
      <w:szCs w:val="20"/>
      <w:lang w:eastAsia="en-US"/>
    </w:rPr>
  </w:style>
  <w:style w:type="paragraph" w:customStyle="1" w:styleId="685">
    <w:name w:val="中等深浅网格 1 - 着色 21"/>
    <w:basedOn w:val="1"/>
    <w:qFormat/>
    <w:uiPriority w:val="0"/>
    <w:pPr>
      <w:adjustRightInd/>
      <w:ind w:firstLine="420" w:firstLineChars="200"/>
    </w:pPr>
    <w:rPr>
      <w:rFonts w:ascii="Calibri" w:hAnsi="Calibri" w:cs="宋体"/>
      <w:szCs w:val="22"/>
    </w:rPr>
  </w:style>
  <w:style w:type="paragraph" w:customStyle="1" w:styleId="686">
    <w:name w:val="A_表格正文（加黑）"/>
    <w:basedOn w:val="687"/>
    <w:qFormat/>
    <w:uiPriority w:val="0"/>
    <w:rPr>
      <w:b/>
      <w:color w:val="000000"/>
    </w:rPr>
  </w:style>
  <w:style w:type="paragraph" w:customStyle="1" w:styleId="687">
    <w:name w:val="A_表格正文（居中）"/>
    <w:basedOn w:val="1"/>
    <w:qFormat/>
    <w:uiPriority w:val="0"/>
    <w:pPr>
      <w:adjustRightInd/>
      <w:jc w:val="center"/>
    </w:pPr>
    <w:rPr>
      <w:rFonts w:eastAsia="仿宋"/>
      <w:kern w:val="0"/>
      <w:szCs w:val="20"/>
    </w:rPr>
  </w:style>
  <w:style w:type="paragraph" w:customStyle="1" w:styleId="688">
    <w:name w:val="Bullet List"/>
    <w:basedOn w:val="1"/>
    <w:next w:val="656"/>
    <w:qFormat/>
    <w:uiPriority w:val="34"/>
    <w:pPr>
      <w:adjustRightInd/>
      <w:spacing w:line="360" w:lineRule="auto"/>
      <w:ind w:firstLine="200" w:firstLineChars="200"/>
    </w:pPr>
    <w:rPr>
      <w:rFonts w:ascii="宋体" w:hAnsi="宋体"/>
      <w:sz w:val="24"/>
    </w:rPr>
  </w:style>
  <w:style w:type="paragraph" w:customStyle="1" w:styleId="689">
    <w:name w:val="可研－正文"/>
    <w:basedOn w:val="1"/>
    <w:qFormat/>
    <w:uiPriority w:val="0"/>
    <w:pPr>
      <w:numPr>
        <w:ilvl w:val="5"/>
        <w:numId w:val="7"/>
      </w:numPr>
      <w:tabs>
        <w:tab w:val="left" w:pos="570"/>
        <w:tab w:val="clear" w:pos="1344"/>
      </w:tabs>
      <w:autoSpaceDE w:val="0"/>
      <w:autoSpaceDN w:val="0"/>
      <w:adjustRightInd/>
      <w:spacing w:line="360" w:lineRule="auto"/>
      <w:ind w:left="0" w:firstLine="200" w:firstLineChars="200"/>
      <w:jc w:val="left"/>
    </w:pPr>
    <w:rPr>
      <w:rFonts w:ascii="仿宋" w:hAnsi="仿宋" w:eastAsia="仿宋" w:cs="宋体"/>
      <w:color w:val="000000"/>
      <w:kern w:val="0"/>
      <w:sz w:val="32"/>
      <w:szCs w:val="32"/>
      <w:lang w:val="zh-CN" w:bidi="zh-CN"/>
    </w:rPr>
  </w:style>
  <w:style w:type="paragraph" w:customStyle="1" w:styleId="690">
    <w:name w:val="插图居中"/>
    <w:next w:val="1"/>
    <w:qFormat/>
    <w:uiPriority w:val="0"/>
    <w:pPr>
      <w:spacing w:before="156" w:beforeLines="50" w:after="156"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691">
    <w:name w:val="图形位置"/>
    <w:basedOn w:val="1"/>
    <w:next w:val="1"/>
    <w:qFormat/>
    <w:uiPriority w:val="0"/>
    <w:pPr>
      <w:adjustRightInd/>
    </w:pPr>
    <w:rPr>
      <w:rFonts w:ascii="宋体" w:hAnsi="宋体" w:eastAsia="仿宋_GB2312" w:cs="宋体"/>
      <w:sz w:val="28"/>
    </w:rPr>
  </w:style>
  <w:style w:type="paragraph" w:customStyle="1" w:styleId="692">
    <w:name w:val="A_表格头"/>
    <w:basedOn w:val="1"/>
    <w:qFormat/>
    <w:uiPriority w:val="0"/>
    <w:pPr>
      <w:adjustRightInd/>
      <w:jc w:val="center"/>
    </w:pPr>
    <w:rPr>
      <w:rFonts w:eastAsia="黑体"/>
      <w:bCs/>
      <w:kern w:val="0"/>
      <w:szCs w:val="20"/>
    </w:rPr>
  </w:style>
  <w:style w:type="paragraph" w:customStyle="1" w:styleId="693">
    <w:name w:val="GP标题4"/>
    <w:basedOn w:val="1"/>
    <w:next w:val="1"/>
    <w:qFormat/>
    <w:uiPriority w:val="0"/>
    <w:pPr>
      <w:numPr>
        <w:ilvl w:val="3"/>
        <w:numId w:val="8"/>
      </w:numPr>
      <w:tabs>
        <w:tab w:val="left" w:pos="1123"/>
      </w:tabs>
      <w:adjustRightInd/>
      <w:spacing w:beforeLines="50" w:afterLines="50" w:line="360" w:lineRule="auto"/>
      <w:jc w:val="left"/>
      <w:outlineLvl w:val="3"/>
    </w:pPr>
    <w:rPr>
      <w:rFonts w:ascii="华文细黑" w:hAnsi="华文细黑" w:cs="宋体"/>
      <w:b/>
      <w:sz w:val="24"/>
      <w:szCs w:val="21"/>
    </w:rPr>
  </w:style>
  <w:style w:type="paragraph" w:customStyle="1" w:styleId="694">
    <w:name w:val="标题（6级）"/>
    <w:basedOn w:val="8"/>
    <w:qFormat/>
    <w:uiPriority w:val="0"/>
    <w:pPr>
      <w:tabs>
        <w:tab w:val="left" w:pos="840"/>
        <w:tab w:val="left" w:pos="2040"/>
        <w:tab w:val="clear" w:pos="1152"/>
      </w:tabs>
      <w:adjustRightInd/>
      <w:snapToGrid/>
      <w:spacing w:before="240" w:after="64" w:line="320" w:lineRule="auto"/>
      <w:ind w:left="2040" w:leftChars="800" w:hanging="360" w:hangingChars="200"/>
    </w:pPr>
    <w:rPr>
      <w:rFonts w:ascii="Cambria" w:hAnsi="Cambria" w:eastAsia="宋体" w:cs="宋体"/>
    </w:rPr>
  </w:style>
  <w:style w:type="paragraph" w:customStyle="1" w:styleId="695">
    <w:name w:val="样式 样式 仿宋_GB2312 四号 + 首行缩进:  2 字符"/>
    <w:basedOn w:val="1"/>
    <w:qFormat/>
    <w:uiPriority w:val="0"/>
    <w:pPr>
      <w:numPr>
        <w:ilvl w:val="4"/>
        <w:numId w:val="7"/>
      </w:numPr>
      <w:tabs>
        <w:tab w:val="left" w:pos="570"/>
        <w:tab w:val="clear" w:pos="1202"/>
      </w:tabs>
      <w:adjustRightInd/>
      <w:spacing w:line="440" w:lineRule="exact"/>
      <w:ind w:left="0" w:firstLine="560" w:firstLineChars="200"/>
    </w:pPr>
    <w:rPr>
      <w:rFonts w:ascii="仿宋_GB2312" w:hAnsi="宋体" w:eastAsia="仿宋_GB2312" w:cs="宋体"/>
      <w:sz w:val="24"/>
      <w:szCs w:val="20"/>
    </w:rPr>
  </w:style>
  <w:style w:type="paragraph" w:customStyle="1" w:styleId="696">
    <w:name w:val="GP标题1"/>
    <w:basedOn w:val="1"/>
    <w:next w:val="1"/>
    <w:qFormat/>
    <w:uiPriority w:val="0"/>
    <w:pPr>
      <w:numPr>
        <w:ilvl w:val="0"/>
        <w:numId w:val="8"/>
      </w:numPr>
      <w:adjustRightInd/>
      <w:spacing w:before="100" w:beforeLines="100" w:after="100" w:afterLines="100" w:line="360" w:lineRule="auto"/>
      <w:jc w:val="left"/>
      <w:outlineLvl w:val="0"/>
    </w:pPr>
    <w:rPr>
      <w:rFonts w:ascii="黑体" w:hAnsi="黑体" w:cs="宋体"/>
      <w:b/>
      <w:sz w:val="44"/>
      <w:szCs w:val="21"/>
    </w:rPr>
  </w:style>
  <w:style w:type="paragraph" w:customStyle="1" w:styleId="697">
    <w:name w:val="我的表格文字"/>
    <w:basedOn w:val="1"/>
    <w:qFormat/>
    <w:uiPriority w:val="0"/>
    <w:pPr>
      <w:widowControl/>
      <w:autoSpaceDE w:val="0"/>
      <w:autoSpaceDN w:val="0"/>
      <w:adjustRightInd/>
      <w:jc w:val="left"/>
    </w:pPr>
    <w:rPr>
      <w:rFonts w:ascii="Arial" w:hAnsi="Arial" w:cs="Microsoft Sans Serif"/>
      <w:kern w:val="0"/>
      <w:sz w:val="24"/>
      <w:szCs w:val="18"/>
    </w:rPr>
  </w:style>
  <w:style w:type="paragraph" w:customStyle="1" w:styleId="698">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宋体" w:hAnsi="宋体" w:cs="宋体"/>
      <w:color w:val="000000"/>
      <w:kern w:val="0"/>
      <w:szCs w:val="21"/>
    </w:rPr>
  </w:style>
  <w:style w:type="paragraph" w:customStyle="1" w:styleId="699">
    <w:name w:val="GP标题3"/>
    <w:basedOn w:val="1"/>
    <w:next w:val="1"/>
    <w:qFormat/>
    <w:uiPriority w:val="0"/>
    <w:pPr>
      <w:adjustRightInd/>
      <w:spacing w:beforeLines="50" w:afterLines="50" w:line="360" w:lineRule="auto"/>
      <w:jc w:val="left"/>
      <w:outlineLvl w:val="2"/>
    </w:pPr>
    <w:rPr>
      <w:rFonts w:ascii="华文细黑" w:hAnsi="华文细黑" w:eastAsia="仿宋" w:cs="宋体"/>
      <w:b/>
      <w:sz w:val="32"/>
      <w:szCs w:val="21"/>
    </w:rPr>
  </w:style>
  <w:style w:type="paragraph" w:customStyle="1" w:styleId="700">
    <w:name w:val="正文（首行缩进两字） Char"/>
    <w:basedOn w:val="1"/>
    <w:next w:val="82"/>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1">
    <w:name w:val="标题5级"/>
    <w:basedOn w:val="7"/>
    <w:qFormat/>
    <w:uiPriority w:val="0"/>
    <w:pPr>
      <w:tabs>
        <w:tab w:val="left" w:pos="840"/>
        <w:tab w:val="left" w:pos="2040"/>
        <w:tab w:val="clear" w:pos="1008"/>
      </w:tabs>
      <w:adjustRightInd/>
      <w:snapToGrid/>
      <w:spacing w:before="280" w:after="290" w:line="376" w:lineRule="auto"/>
      <w:ind w:left="2040" w:leftChars="800" w:hanging="360" w:hangingChars="200"/>
    </w:pPr>
    <w:rPr>
      <w:rFonts w:ascii="Calibri" w:hAnsi="Calibri" w:cs="宋体"/>
    </w:rPr>
  </w:style>
  <w:style w:type="paragraph" w:customStyle="1" w:styleId="702">
    <w:name w:val="网格表 5 深色 - 着色 11"/>
    <w:basedOn w:val="4"/>
    <w:next w:val="1"/>
    <w:unhideWhenUsed/>
    <w:qFormat/>
    <w:uiPriority w:val="39"/>
    <w:pPr>
      <w:widowControl/>
      <w:tabs>
        <w:tab w:val="left" w:pos="840"/>
        <w:tab w:val="clear" w:pos="432"/>
      </w:tabs>
      <w:adjustRightInd/>
      <w:snapToGrid/>
      <w:spacing w:before="480" w:line="276" w:lineRule="auto"/>
      <w:ind w:left="431" w:hanging="431"/>
      <w:jc w:val="left"/>
      <w:outlineLvl w:val="9"/>
    </w:pPr>
    <w:rPr>
      <w:rFonts w:ascii="Cambria" w:hAnsi="Cambria" w:cs="宋体"/>
      <w:snapToGrid w:val="0"/>
      <w:color w:val="365F91"/>
      <w:kern w:val="0"/>
      <w:sz w:val="28"/>
      <w:szCs w:val="28"/>
    </w:rPr>
  </w:style>
  <w:style w:type="paragraph" w:customStyle="1" w:styleId="703">
    <w:name w:val="数据字典"/>
    <w:basedOn w:val="1"/>
    <w:qFormat/>
    <w:uiPriority w:val="0"/>
    <w:pPr>
      <w:spacing w:after="20" w:line="260" w:lineRule="exact"/>
      <w:ind w:firstLine="425"/>
      <w:jc w:val="center"/>
      <w:textAlignment w:val="baseline"/>
    </w:pPr>
    <w:rPr>
      <w:rFonts w:ascii="宋体" w:hAnsi="宋体" w:cs="宋体"/>
      <w:kern w:val="0"/>
      <w:sz w:val="18"/>
      <w:szCs w:val="20"/>
    </w:rPr>
  </w:style>
  <w:style w:type="paragraph" w:customStyle="1" w:styleId="704">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705">
    <w:name w:val="彩色列表 - 着色 11"/>
    <w:basedOn w:val="1"/>
    <w:qFormat/>
    <w:uiPriority w:val="34"/>
    <w:pPr>
      <w:widowControl/>
      <w:adjustRightInd/>
      <w:ind w:firstLine="420" w:firstLineChars="200"/>
      <w:jc w:val="left"/>
    </w:pPr>
    <w:rPr>
      <w:rFonts w:ascii="Calibri" w:hAnsi="Calibri" w:eastAsia="等线"/>
      <w:kern w:val="0"/>
      <w:sz w:val="24"/>
    </w:rPr>
  </w:style>
  <w:style w:type="paragraph" w:customStyle="1" w:styleId="706">
    <w:name w:val="GP标题2"/>
    <w:basedOn w:val="1"/>
    <w:next w:val="1"/>
    <w:qFormat/>
    <w:uiPriority w:val="0"/>
    <w:pPr>
      <w:adjustRightInd/>
      <w:spacing w:beforeLines="50" w:afterLines="50" w:line="360" w:lineRule="auto"/>
      <w:jc w:val="left"/>
      <w:outlineLvl w:val="1"/>
    </w:pPr>
    <w:rPr>
      <w:rFonts w:ascii="华文细黑" w:hAnsi="华文细黑" w:cs="宋体"/>
      <w:b/>
      <w:sz w:val="32"/>
      <w:szCs w:val="21"/>
    </w:rPr>
  </w:style>
  <w:style w:type="paragraph" w:customStyle="1" w:styleId="707">
    <w:name w:val="GP标题5"/>
    <w:basedOn w:val="1"/>
    <w:next w:val="1"/>
    <w:qFormat/>
    <w:uiPriority w:val="0"/>
    <w:pPr>
      <w:adjustRightInd/>
      <w:spacing w:beforeLines="50" w:afterLines="50" w:line="360" w:lineRule="auto"/>
      <w:jc w:val="left"/>
      <w:outlineLvl w:val="4"/>
    </w:pPr>
    <w:rPr>
      <w:rFonts w:ascii="华文细黑" w:hAnsi="华文细黑" w:eastAsia="华文细黑" w:cs="宋体"/>
      <w:b/>
      <w:sz w:val="24"/>
      <w:szCs w:val="21"/>
    </w:rPr>
  </w:style>
  <w:style w:type="paragraph" w:customStyle="1" w:styleId="708">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adjustRightInd/>
      <w:spacing w:before="100" w:beforeAutospacing="1" w:after="100" w:afterAutospacing="1"/>
      <w:jc w:val="center"/>
    </w:pPr>
    <w:rPr>
      <w:rFonts w:ascii="宋体" w:hAnsi="宋体" w:cs="宋体"/>
      <w:color w:val="000000"/>
      <w:kern w:val="0"/>
      <w:szCs w:val="21"/>
    </w:rPr>
  </w:style>
  <w:style w:type="paragraph" w:customStyle="1" w:styleId="709">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0">
    <w:name w:val="发布部门"/>
    <w:next w:val="348"/>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11">
    <w:name w:val="一级无标题条"/>
    <w:basedOn w:val="1"/>
    <w:qFormat/>
    <w:uiPriority w:val="0"/>
    <w:pPr>
      <w:tabs>
        <w:tab w:val="left" w:pos="1200"/>
      </w:tabs>
      <w:adjustRightInd/>
      <w:spacing w:line="360" w:lineRule="auto"/>
      <w:ind w:left="1200" w:leftChars="400" w:hanging="360" w:hangingChars="200"/>
    </w:pPr>
    <w:rPr>
      <w:rFonts w:ascii="宋体" w:hAnsi="宋体"/>
      <w:sz w:val="24"/>
    </w:rPr>
  </w:style>
  <w:style w:type="paragraph" w:customStyle="1" w:styleId="712">
    <w:name w:val="A_正文_黑"/>
    <w:basedOn w:val="1"/>
    <w:qFormat/>
    <w:uiPriority w:val="0"/>
    <w:pPr>
      <w:tabs>
        <w:tab w:val="left" w:pos="1547"/>
      </w:tabs>
      <w:adjustRightInd/>
      <w:spacing w:line="360" w:lineRule="auto"/>
      <w:ind w:firstLine="600" w:firstLineChars="200"/>
    </w:pPr>
    <w:rPr>
      <w:rFonts w:eastAsia="仿宋"/>
      <w:color w:val="000000"/>
      <w:sz w:val="30"/>
      <w:szCs w:val="22"/>
    </w:rPr>
  </w:style>
  <w:style w:type="paragraph" w:customStyle="1" w:styleId="713">
    <w:name w:val="A_正文_注释"/>
    <w:basedOn w:val="1"/>
    <w:qFormat/>
    <w:uiPriority w:val="0"/>
    <w:pPr>
      <w:tabs>
        <w:tab w:val="left" w:pos="1547"/>
      </w:tabs>
      <w:adjustRightInd/>
      <w:spacing w:line="360" w:lineRule="auto"/>
      <w:ind w:firstLine="600" w:firstLineChars="200"/>
    </w:pPr>
    <w:rPr>
      <w:rFonts w:eastAsia="仿宋"/>
      <w:color w:val="0070C0"/>
      <w:sz w:val="30"/>
      <w:szCs w:val="22"/>
    </w:rPr>
  </w:style>
  <w:style w:type="paragraph" w:customStyle="1" w:styleId="714">
    <w:name w:val="一级要点"/>
    <w:basedOn w:val="1"/>
    <w:qFormat/>
    <w:uiPriority w:val="0"/>
    <w:pPr>
      <w:widowControl/>
      <w:numPr>
        <w:ilvl w:val="0"/>
        <w:numId w:val="9"/>
      </w:numPr>
      <w:adjustRightInd/>
      <w:spacing w:line="360" w:lineRule="auto"/>
      <w:ind w:left="902" w:leftChars="200" w:firstLine="0"/>
    </w:pPr>
    <w:rPr>
      <w:rFonts w:ascii="Calibri" w:hAnsi="Calibri"/>
      <w:kern w:val="0"/>
      <w:sz w:val="28"/>
      <w:szCs w:val="28"/>
      <w:lang w:eastAsia="en-US" w:bidi="en-US"/>
    </w:rPr>
  </w:style>
  <w:style w:type="paragraph" w:customStyle="1" w:styleId="715">
    <w:name w:val="公文标题"/>
    <w:basedOn w:val="1"/>
    <w:qFormat/>
    <w:uiPriority w:val="0"/>
    <w:pPr>
      <w:adjustRightInd/>
      <w:jc w:val="center"/>
    </w:pPr>
    <w:rPr>
      <w:rFonts w:eastAsia="仿宋_GB2312"/>
      <w:sz w:val="44"/>
      <w:szCs w:val="20"/>
    </w:rPr>
  </w:style>
  <w:style w:type="paragraph" w:customStyle="1" w:styleId="716">
    <w:name w:val="标题5"/>
    <w:basedOn w:val="7"/>
    <w:qFormat/>
    <w:uiPriority w:val="0"/>
    <w:pPr>
      <w:numPr>
        <w:ilvl w:val="4"/>
        <w:numId w:val="10"/>
      </w:numPr>
      <w:tabs>
        <w:tab w:val="left" w:pos="840"/>
        <w:tab w:val="clear" w:pos="1008"/>
      </w:tabs>
      <w:snapToGrid/>
      <w:textAlignment w:val="baseline"/>
    </w:pPr>
    <w:rPr>
      <w:rFonts w:ascii="宋体" w:hAnsi="宋体" w:cs="宋体"/>
      <w:bCs w:val="0"/>
      <w:sz w:val="30"/>
      <w:szCs w:val="30"/>
    </w:rPr>
  </w:style>
  <w:style w:type="paragraph" w:customStyle="1" w:styleId="717">
    <w:name w:val="示例"/>
    <w:next w:val="348"/>
    <w:qFormat/>
    <w:uiPriority w:val="0"/>
    <w:pPr>
      <w:tabs>
        <w:tab w:val="left" w:pos="1200"/>
      </w:tabs>
      <w:ind w:left="1200" w:leftChars="400" w:hanging="360" w:hangingChars="200"/>
      <w:jc w:val="both"/>
    </w:pPr>
    <w:rPr>
      <w:rFonts w:ascii="宋体" w:hAnsi="Times New Roman" w:eastAsia="宋体" w:cs="Times New Roman"/>
      <w:sz w:val="18"/>
      <w:lang w:val="en-US" w:eastAsia="zh-CN" w:bidi="ar-SA"/>
    </w:rPr>
  </w:style>
  <w:style w:type="paragraph" w:customStyle="1" w:styleId="718">
    <w:name w:val="条文脚注"/>
    <w:basedOn w:val="68"/>
    <w:qFormat/>
    <w:uiPriority w:val="0"/>
    <w:pPr>
      <w:widowControl w:val="0"/>
      <w:tabs>
        <w:tab w:val="left" w:pos="840"/>
        <w:tab w:val="left" w:pos="1200"/>
      </w:tabs>
      <w:snapToGrid w:val="0"/>
      <w:spacing w:before="0" w:after="0" w:line="360" w:lineRule="auto"/>
      <w:ind w:left="431" w:leftChars="400" w:hanging="431" w:hangingChars="200"/>
    </w:pPr>
    <w:rPr>
      <w:rFonts w:ascii="宋体"/>
      <w:color w:val="auto"/>
      <w:kern w:val="2"/>
      <w:sz w:val="18"/>
      <w:szCs w:val="18"/>
    </w:rPr>
  </w:style>
  <w:style w:type="paragraph" w:customStyle="1" w:styleId="719">
    <w:name w:val="实施方案_通篇正文"/>
    <w:basedOn w:val="1"/>
    <w:qFormat/>
    <w:uiPriority w:val="0"/>
    <w:pPr>
      <w:widowControl/>
      <w:adjustRightInd/>
      <w:spacing w:before="160"/>
      <w:ind w:firstLine="200" w:firstLineChars="200"/>
      <w:jc w:val="left"/>
    </w:pPr>
    <w:rPr>
      <w:rFonts w:ascii="宋体" w:hAnsi="宋体" w:cs="宋体"/>
      <w:sz w:val="24"/>
      <w:szCs w:val="21"/>
    </w:rPr>
  </w:style>
  <w:style w:type="paragraph" w:customStyle="1" w:styleId="720">
    <w:name w:val="p15"/>
    <w:basedOn w:val="1"/>
    <w:qFormat/>
    <w:uiPriority w:val="0"/>
    <w:pPr>
      <w:widowControl/>
      <w:numPr>
        <w:ilvl w:val="0"/>
        <w:numId w:val="11"/>
      </w:numPr>
      <w:adjustRightInd/>
      <w:spacing w:line="360" w:lineRule="auto"/>
      <w:ind w:left="0" w:firstLine="200" w:firstLineChars="200"/>
    </w:pPr>
    <w:rPr>
      <w:rFonts w:cs="宋体"/>
      <w:kern w:val="0"/>
      <w:sz w:val="28"/>
    </w:rPr>
  </w:style>
  <w:style w:type="paragraph" w:customStyle="1" w:styleId="721">
    <w:name w:val="TOC 标题2"/>
    <w:basedOn w:val="4"/>
    <w:next w:val="1"/>
    <w:qFormat/>
    <w:uiPriority w:val="0"/>
    <w:pPr>
      <w:widowControl/>
      <w:tabs>
        <w:tab w:val="left" w:pos="0"/>
        <w:tab w:val="clear" w:pos="432"/>
      </w:tabs>
      <w:adjustRightInd/>
      <w:snapToGrid/>
      <w:spacing w:before="240" w:line="259" w:lineRule="auto"/>
      <w:jc w:val="left"/>
      <w:outlineLvl w:val="9"/>
    </w:pPr>
    <w:rPr>
      <w:rFonts w:ascii="Calibri Light" w:hAnsi="Calibri Light"/>
      <w:b w:val="0"/>
      <w:bCs w:val="0"/>
      <w:color w:val="2E74B5"/>
      <w:kern w:val="0"/>
      <w:sz w:val="32"/>
      <w:szCs w:val="32"/>
    </w:rPr>
  </w:style>
  <w:style w:type="paragraph" w:customStyle="1" w:styleId="722">
    <w:name w:val="xl95"/>
    <w:basedOn w:val="1"/>
    <w:qFormat/>
    <w:uiPriority w:val="0"/>
    <w:pPr>
      <w:widowControl/>
      <w:pBdr>
        <w:top w:val="single" w:color="000000" w:sz="8" w:space="0"/>
        <w:left w:val="single" w:color="000000" w:sz="8" w:space="0"/>
      </w:pBdr>
      <w:shd w:val="clear" w:color="000000" w:fill="FFFFFF"/>
      <w:adjustRightInd/>
      <w:spacing w:before="100" w:beforeAutospacing="1" w:after="100" w:afterAutospacing="1"/>
      <w:jc w:val="center"/>
    </w:pPr>
    <w:rPr>
      <w:rFonts w:ascii="仿宋" w:hAnsi="仿宋" w:eastAsia="仿宋" w:cs="宋体"/>
      <w:b/>
      <w:bCs/>
      <w:color w:val="000000"/>
      <w:kern w:val="0"/>
      <w:sz w:val="24"/>
    </w:rPr>
  </w:style>
  <w:style w:type="paragraph" w:customStyle="1" w:styleId="723">
    <w:name w:val="xl96"/>
    <w:basedOn w:val="1"/>
    <w:qFormat/>
    <w:uiPriority w:val="0"/>
    <w:pPr>
      <w:widowControl/>
      <w:pBdr>
        <w:top w:val="single" w:color="000000" w:sz="8" w:space="0"/>
        <w:right w:val="single" w:color="000000" w:sz="8" w:space="0"/>
      </w:pBdr>
      <w:shd w:val="clear" w:color="000000" w:fill="FFFFFF"/>
      <w:adjustRightInd/>
      <w:spacing w:before="100" w:beforeAutospacing="1" w:after="100" w:afterAutospacing="1"/>
      <w:jc w:val="center"/>
    </w:pPr>
    <w:rPr>
      <w:rFonts w:ascii="仿宋" w:hAnsi="仿宋" w:eastAsia="仿宋" w:cs="宋体"/>
      <w:b/>
      <w:bCs/>
      <w:color w:val="000000"/>
      <w:kern w:val="0"/>
      <w:sz w:val="24"/>
    </w:rPr>
  </w:style>
  <w:style w:type="paragraph" w:customStyle="1" w:styleId="724">
    <w:name w:val="xl97"/>
    <w:basedOn w:val="1"/>
    <w:qFormat/>
    <w:uiPriority w:val="0"/>
    <w:pPr>
      <w:widowControl/>
      <w:pBdr>
        <w:left w:val="single" w:color="000000" w:sz="8" w:space="0"/>
        <w:bottom w:val="single" w:color="000000" w:sz="8" w:space="0"/>
      </w:pBdr>
      <w:shd w:val="clear" w:color="000000" w:fill="FFFFFF"/>
      <w:adjustRightInd/>
      <w:spacing w:before="100" w:beforeAutospacing="1" w:after="100" w:afterAutospacing="1"/>
      <w:jc w:val="center"/>
    </w:pPr>
    <w:rPr>
      <w:rFonts w:ascii="仿宋" w:hAnsi="仿宋" w:eastAsia="仿宋" w:cs="宋体"/>
      <w:b/>
      <w:bCs/>
      <w:color w:val="000000"/>
      <w:kern w:val="0"/>
      <w:sz w:val="24"/>
    </w:rPr>
  </w:style>
  <w:style w:type="paragraph" w:customStyle="1" w:styleId="725">
    <w:name w:val="xl98"/>
    <w:basedOn w:val="1"/>
    <w:qFormat/>
    <w:uiPriority w:val="0"/>
    <w:pPr>
      <w:widowControl/>
      <w:pBdr>
        <w:top w:val="single" w:color="000000" w:sz="8" w:space="0"/>
        <w:left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26">
    <w:name w:val="xl99"/>
    <w:basedOn w:val="1"/>
    <w:qFormat/>
    <w:uiPriority w:val="0"/>
    <w:pPr>
      <w:widowControl/>
      <w:pBdr>
        <w:top w:val="single" w:color="000000" w:sz="8" w:space="0"/>
        <w:right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27">
    <w:name w:val="xl100"/>
    <w:basedOn w:val="1"/>
    <w:qFormat/>
    <w:uiPriority w:val="0"/>
    <w:pPr>
      <w:widowControl/>
      <w:pBdr>
        <w:left w:val="single" w:color="000000" w:sz="8" w:space="0"/>
        <w:bottom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28">
    <w:name w:val="xl101"/>
    <w:basedOn w:val="1"/>
    <w:qFormat/>
    <w:uiPriority w:val="0"/>
    <w:pPr>
      <w:widowControl/>
      <w:pBdr>
        <w:top w:val="single" w:color="000000" w:sz="8" w:space="0"/>
        <w:left w:val="single" w:color="000000" w:sz="8" w:space="0"/>
        <w:right w:val="single" w:color="000000" w:sz="8" w:space="0"/>
      </w:pBdr>
      <w:shd w:val="clear" w:color="000000" w:fill="FFFFFF"/>
      <w:adjustRightInd/>
      <w:spacing w:before="100" w:beforeAutospacing="1" w:after="100" w:afterAutospacing="1"/>
      <w:jc w:val="left"/>
    </w:pPr>
    <w:rPr>
      <w:rFonts w:ascii="仿宋" w:hAnsi="仿宋" w:eastAsia="仿宋" w:cs="宋体"/>
      <w:color w:val="000000"/>
      <w:kern w:val="0"/>
      <w:sz w:val="24"/>
    </w:rPr>
  </w:style>
  <w:style w:type="paragraph" w:customStyle="1" w:styleId="729">
    <w:name w:val="xl102"/>
    <w:basedOn w:val="1"/>
    <w:qFormat/>
    <w:uiPriority w:val="0"/>
    <w:pPr>
      <w:widowControl/>
      <w:pBdr>
        <w:left w:val="single" w:color="000000" w:sz="8" w:space="0"/>
        <w:right w:val="single" w:color="000000" w:sz="8" w:space="0"/>
      </w:pBdr>
      <w:shd w:val="clear" w:color="000000" w:fill="FFFFFF"/>
      <w:adjustRightInd/>
      <w:spacing w:before="100" w:beforeAutospacing="1" w:after="100" w:afterAutospacing="1"/>
      <w:jc w:val="left"/>
    </w:pPr>
    <w:rPr>
      <w:rFonts w:ascii="仿宋" w:hAnsi="仿宋" w:eastAsia="仿宋" w:cs="宋体"/>
      <w:color w:val="000000"/>
      <w:kern w:val="0"/>
      <w:sz w:val="24"/>
    </w:rPr>
  </w:style>
  <w:style w:type="paragraph" w:customStyle="1" w:styleId="730">
    <w:name w:val="xl103"/>
    <w:basedOn w:val="1"/>
    <w:qFormat/>
    <w:uiPriority w:val="0"/>
    <w:pPr>
      <w:widowControl/>
      <w:pBdr>
        <w:left w:val="single" w:color="000000" w:sz="8" w:space="0"/>
        <w:bottom w:val="single" w:color="000000" w:sz="8" w:space="0"/>
        <w:right w:val="single" w:color="000000" w:sz="8" w:space="0"/>
      </w:pBdr>
      <w:shd w:val="clear" w:color="000000" w:fill="FFFFFF"/>
      <w:adjustRightInd/>
      <w:spacing w:before="100" w:beforeAutospacing="1" w:after="100" w:afterAutospacing="1"/>
      <w:jc w:val="left"/>
    </w:pPr>
    <w:rPr>
      <w:rFonts w:ascii="仿宋" w:hAnsi="仿宋" w:eastAsia="仿宋" w:cs="宋体"/>
      <w:color w:val="000000"/>
      <w:kern w:val="0"/>
      <w:sz w:val="24"/>
    </w:rPr>
  </w:style>
  <w:style w:type="paragraph" w:customStyle="1" w:styleId="731">
    <w:name w:val="xl104"/>
    <w:basedOn w:val="1"/>
    <w:qFormat/>
    <w:uiPriority w:val="0"/>
    <w:pPr>
      <w:widowControl/>
      <w:pBdr>
        <w:top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32">
    <w:name w:val="xl105"/>
    <w:basedOn w:val="1"/>
    <w:qFormat/>
    <w:uiPriority w:val="0"/>
    <w:pPr>
      <w:widowControl/>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33">
    <w:name w:val="xl106"/>
    <w:basedOn w:val="1"/>
    <w:qFormat/>
    <w:uiPriority w:val="0"/>
    <w:pPr>
      <w:widowControl/>
      <w:pBdr>
        <w:bottom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34">
    <w:name w:val="xl107"/>
    <w:basedOn w:val="1"/>
    <w:qFormat/>
    <w:uiPriority w:val="0"/>
    <w:pPr>
      <w:widowControl/>
      <w:pBdr>
        <w:top w:val="single" w:color="000000" w:sz="8" w:space="0"/>
        <w:left w:val="single" w:color="000000" w:sz="8" w:space="0"/>
        <w:bottom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35">
    <w:name w:val="xl108"/>
    <w:basedOn w:val="1"/>
    <w:qFormat/>
    <w:uiPriority w:val="0"/>
    <w:pPr>
      <w:widowControl/>
      <w:pBdr>
        <w:top w:val="single" w:color="000000" w:sz="8" w:space="0"/>
        <w:bottom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36">
    <w:name w:val="xl109"/>
    <w:basedOn w:val="1"/>
    <w:qFormat/>
    <w:uiPriority w:val="0"/>
    <w:pPr>
      <w:widowControl/>
      <w:pBdr>
        <w:top w:val="single" w:color="000000" w:sz="8" w:space="0"/>
        <w:bottom w:val="single" w:color="000000" w:sz="8" w:space="0"/>
        <w:right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37">
    <w:name w:val="xl110"/>
    <w:basedOn w:val="1"/>
    <w:qFormat/>
    <w:uiPriority w:val="0"/>
    <w:pPr>
      <w:widowControl/>
      <w:pBdr>
        <w:top w:val="single" w:color="000000" w:sz="8" w:space="0"/>
        <w:right w:val="single" w:color="auto"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38">
    <w:name w:val="xl111"/>
    <w:basedOn w:val="1"/>
    <w:qFormat/>
    <w:uiPriority w:val="0"/>
    <w:pPr>
      <w:widowControl/>
      <w:pBdr>
        <w:right w:val="single" w:color="auto"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39">
    <w:name w:val="xl112"/>
    <w:basedOn w:val="1"/>
    <w:qFormat/>
    <w:uiPriority w:val="0"/>
    <w:pPr>
      <w:widowControl/>
      <w:pBdr>
        <w:top w:val="single" w:color="000000" w:sz="8" w:space="0"/>
        <w:left w:val="single" w:color="auto" w:sz="8" w:space="0"/>
        <w:right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40">
    <w:name w:val="xl113"/>
    <w:basedOn w:val="1"/>
    <w:qFormat/>
    <w:uiPriority w:val="0"/>
    <w:pPr>
      <w:widowControl/>
      <w:pBdr>
        <w:left w:val="single" w:color="auto" w:sz="8" w:space="0"/>
        <w:right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41">
    <w:name w:val="xl114"/>
    <w:basedOn w:val="1"/>
    <w:qFormat/>
    <w:uiPriority w:val="0"/>
    <w:pPr>
      <w:widowControl/>
      <w:pBdr>
        <w:left w:val="single" w:color="auto" w:sz="8" w:space="0"/>
        <w:bottom w:val="single" w:color="000000" w:sz="8" w:space="0"/>
        <w:right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42">
    <w:name w:val="xl115"/>
    <w:basedOn w:val="1"/>
    <w:qFormat/>
    <w:uiPriority w:val="0"/>
    <w:pPr>
      <w:widowControl/>
      <w:pBdr>
        <w:bottom w:val="single" w:color="000000" w:sz="8" w:space="0"/>
        <w:right w:val="single" w:color="auto"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43">
    <w:name w:val="TOC 标题3"/>
    <w:basedOn w:val="4"/>
    <w:next w:val="1"/>
    <w:unhideWhenUsed/>
    <w:qFormat/>
    <w:uiPriority w:val="39"/>
    <w:pPr>
      <w:tabs>
        <w:tab w:val="clear" w:pos="432"/>
      </w:tabs>
      <w:adjustRightInd/>
      <w:snapToGrid/>
      <w:spacing w:before="340" w:after="330" w:line="578" w:lineRule="auto"/>
      <w:outlineLvl w:val="9"/>
    </w:pPr>
    <w:rPr>
      <w:rFonts w:ascii="Calibri" w:hAnsi="Calibri"/>
      <w:sz w:val="44"/>
    </w:rPr>
  </w:style>
  <w:style w:type="paragraph" w:customStyle="1" w:styleId="744">
    <w:name w:val="明显引用1"/>
    <w:basedOn w:val="1"/>
    <w:next w:val="1"/>
    <w:link w:val="1150"/>
    <w:qFormat/>
    <w:uiPriority w:val="99"/>
    <w:pPr>
      <w:pBdr>
        <w:top w:val="single" w:color="4472C4" w:sz="4" w:space="10"/>
        <w:bottom w:val="single" w:color="4472C4" w:sz="4" w:space="10"/>
      </w:pBdr>
      <w:adjustRightInd/>
      <w:spacing w:before="360" w:after="360" w:line="360" w:lineRule="auto"/>
      <w:ind w:left="864" w:right="864"/>
      <w:jc w:val="center"/>
    </w:pPr>
    <w:rPr>
      <w:rFonts w:ascii="Calibri" w:hAnsi="Calibri"/>
      <w:i/>
      <w:iCs/>
      <w:color w:val="4472C4"/>
      <w:sz w:val="28"/>
      <w:szCs w:val="20"/>
    </w:rPr>
  </w:style>
  <w:style w:type="paragraph" w:customStyle="1" w:styleId="745">
    <w:name w:val="书目1"/>
    <w:basedOn w:val="1"/>
    <w:next w:val="1"/>
    <w:unhideWhenUsed/>
    <w:qFormat/>
    <w:uiPriority w:val="37"/>
    <w:pPr>
      <w:adjustRightInd/>
      <w:spacing w:line="360" w:lineRule="auto"/>
    </w:pPr>
    <w:rPr>
      <w:rFonts w:ascii="Calibri" w:hAnsi="Calibri"/>
      <w:sz w:val="28"/>
      <w:szCs w:val="20"/>
    </w:rPr>
  </w:style>
  <w:style w:type="paragraph" w:customStyle="1" w:styleId="746">
    <w:name w:val="无间隔3"/>
    <w:qFormat/>
    <w:uiPriority w:val="99"/>
    <w:pPr>
      <w:widowControl w:val="0"/>
      <w:jc w:val="both"/>
    </w:pPr>
    <w:rPr>
      <w:rFonts w:ascii="Calibri" w:hAnsi="Calibri" w:eastAsia="宋体" w:cs="Times New Roman"/>
      <w:kern w:val="2"/>
      <w:sz w:val="28"/>
      <w:lang w:val="en-US" w:eastAsia="zh-CN" w:bidi="ar-SA"/>
    </w:rPr>
  </w:style>
  <w:style w:type="paragraph" w:customStyle="1" w:styleId="747">
    <w:name w:val="引用1"/>
    <w:basedOn w:val="1"/>
    <w:next w:val="1"/>
    <w:link w:val="1151"/>
    <w:qFormat/>
    <w:uiPriority w:val="99"/>
    <w:pPr>
      <w:adjustRightInd/>
      <w:spacing w:before="200" w:after="160" w:line="360" w:lineRule="auto"/>
      <w:ind w:left="864" w:right="864"/>
      <w:jc w:val="center"/>
    </w:pPr>
    <w:rPr>
      <w:rFonts w:ascii="Calibri" w:hAnsi="Calibri"/>
      <w:i/>
      <w:iCs/>
      <w:color w:val="404040"/>
      <w:sz w:val="28"/>
      <w:szCs w:val="20"/>
    </w:rPr>
  </w:style>
  <w:style w:type="paragraph" w:customStyle="1" w:styleId="748">
    <w:name w:val="TOC 标题4"/>
    <w:basedOn w:val="4"/>
    <w:next w:val="1"/>
    <w:unhideWhenUsed/>
    <w:qFormat/>
    <w:uiPriority w:val="39"/>
    <w:pPr>
      <w:widowControl/>
      <w:tabs>
        <w:tab w:val="clear" w:pos="432"/>
      </w:tabs>
      <w:adjustRightInd/>
      <w:snapToGrid/>
      <w:spacing w:before="240" w:line="259" w:lineRule="auto"/>
      <w:jc w:val="left"/>
      <w:outlineLvl w:val="9"/>
    </w:pPr>
    <w:rPr>
      <w:rFonts w:ascii="等线 Light" w:hAnsi="等线 Light" w:eastAsia="等线 Light"/>
      <w:b w:val="0"/>
      <w:bCs w:val="0"/>
      <w:color w:val="2F5496"/>
      <w:kern w:val="0"/>
      <w:sz w:val="32"/>
      <w:szCs w:val="32"/>
    </w:rPr>
  </w:style>
  <w:style w:type="paragraph" w:customStyle="1" w:styleId="749">
    <w:name w:val="修订13"/>
    <w:hidden/>
    <w:unhideWhenUsed/>
    <w:qFormat/>
    <w:uiPriority w:val="99"/>
    <w:rPr>
      <w:rFonts w:ascii="宋体" w:hAnsi="宋体" w:eastAsia="宋体" w:cs="宋体"/>
      <w:sz w:val="24"/>
      <w:szCs w:val="24"/>
      <w:lang w:val="en-US" w:eastAsia="zh-CN" w:bidi="ar-SA"/>
    </w:rPr>
  </w:style>
  <w:style w:type="character" w:customStyle="1" w:styleId="750">
    <w:name w:val="标题 2 Char"/>
    <w:qFormat/>
    <w:uiPriority w:val="0"/>
    <w:rPr>
      <w:rFonts w:ascii="Arial" w:hAnsi="Arial" w:eastAsia="黑体"/>
      <w:b/>
      <w:kern w:val="2"/>
      <w:sz w:val="32"/>
      <w:lang w:val="en-US" w:eastAsia="zh-CN"/>
    </w:rPr>
  </w:style>
  <w:style w:type="character" w:customStyle="1" w:styleId="751">
    <w:name w:val="标题 3 字符"/>
    <w:qFormat/>
    <w:uiPriority w:val="9"/>
    <w:rPr>
      <w:b/>
      <w:bCs/>
      <w:kern w:val="2"/>
      <w:sz w:val="32"/>
      <w:szCs w:val="32"/>
    </w:rPr>
  </w:style>
  <w:style w:type="character" w:customStyle="1" w:styleId="752">
    <w:name w:val="标题 1 字符1"/>
    <w:link w:val="4"/>
    <w:qFormat/>
    <w:uiPriority w:val="9"/>
    <w:rPr>
      <w:rFonts w:eastAsia="宋体"/>
      <w:b/>
      <w:bCs/>
      <w:kern w:val="44"/>
      <w:sz w:val="36"/>
      <w:szCs w:val="44"/>
    </w:rPr>
  </w:style>
  <w:style w:type="character" w:customStyle="1" w:styleId="753">
    <w:name w:val="正文缩进 字符2"/>
    <w:link w:val="21"/>
    <w:qFormat/>
    <w:uiPriority w:val="0"/>
    <w:rPr>
      <w:rFonts w:ascii="宋体" w:eastAsia="宋体"/>
      <w:snapToGrid w:val="0"/>
      <w:color w:val="000000"/>
      <w:kern w:val="28"/>
      <w:sz w:val="28"/>
      <w:lang w:val="en-US" w:eastAsia="zh-CN" w:bidi="ar-SA"/>
    </w:rPr>
  </w:style>
  <w:style w:type="character" w:customStyle="1" w:styleId="754">
    <w:name w:val="标题 4 字符1"/>
    <w:link w:val="6"/>
    <w:qFormat/>
    <w:uiPriority w:val="0"/>
    <w:rPr>
      <w:rFonts w:ascii="Arial" w:hAnsi="Arial" w:eastAsia="黑体"/>
      <w:b/>
      <w:bCs/>
      <w:kern w:val="2"/>
      <w:sz w:val="28"/>
      <w:szCs w:val="28"/>
      <w:lang w:val="zh-CN"/>
    </w:rPr>
  </w:style>
  <w:style w:type="character" w:customStyle="1" w:styleId="755">
    <w:name w:val="标题 5 字符"/>
    <w:link w:val="7"/>
    <w:qFormat/>
    <w:uiPriority w:val="0"/>
    <w:rPr>
      <w:rFonts w:eastAsia="宋体"/>
      <w:b/>
      <w:bCs/>
      <w:kern w:val="2"/>
      <w:sz w:val="28"/>
      <w:szCs w:val="28"/>
    </w:rPr>
  </w:style>
  <w:style w:type="character" w:customStyle="1" w:styleId="756">
    <w:name w:val="标题 6 字符"/>
    <w:link w:val="8"/>
    <w:qFormat/>
    <w:uiPriority w:val="0"/>
    <w:rPr>
      <w:rFonts w:ascii="Arial" w:hAnsi="Arial" w:eastAsia="黑体"/>
      <w:b/>
      <w:bCs/>
      <w:kern w:val="2"/>
      <w:sz w:val="24"/>
      <w:szCs w:val="24"/>
    </w:rPr>
  </w:style>
  <w:style w:type="character" w:customStyle="1" w:styleId="757">
    <w:name w:val="标题 7 字符"/>
    <w:link w:val="9"/>
    <w:qFormat/>
    <w:uiPriority w:val="0"/>
    <w:rPr>
      <w:rFonts w:eastAsia="宋体"/>
      <w:b/>
      <w:bCs/>
      <w:kern w:val="2"/>
      <w:sz w:val="28"/>
      <w:szCs w:val="24"/>
    </w:rPr>
  </w:style>
  <w:style w:type="character" w:customStyle="1" w:styleId="758">
    <w:name w:val="标题 8 字符"/>
    <w:link w:val="10"/>
    <w:qFormat/>
    <w:uiPriority w:val="0"/>
    <w:rPr>
      <w:rFonts w:ascii="Arial" w:hAnsi="Arial" w:eastAsia="黑体"/>
      <w:kern w:val="2"/>
      <w:sz w:val="24"/>
      <w:szCs w:val="24"/>
    </w:rPr>
  </w:style>
  <w:style w:type="character" w:customStyle="1" w:styleId="759">
    <w:name w:val="标题 9 字符"/>
    <w:link w:val="11"/>
    <w:qFormat/>
    <w:uiPriority w:val="0"/>
    <w:rPr>
      <w:rFonts w:ascii="Arial" w:hAnsi="Arial" w:eastAsia="黑体"/>
      <w:kern w:val="2"/>
      <w:sz w:val="21"/>
      <w:szCs w:val="21"/>
    </w:rPr>
  </w:style>
  <w:style w:type="character" w:customStyle="1" w:styleId="760">
    <w:name w:val="题注 字符"/>
    <w:link w:val="22"/>
    <w:qFormat/>
    <w:uiPriority w:val="0"/>
    <w:rPr>
      <w:b/>
      <w:kern w:val="2"/>
      <w:sz w:val="28"/>
    </w:rPr>
  </w:style>
  <w:style w:type="character" w:customStyle="1" w:styleId="761">
    <w:name w:val="文档结构图 字符"/>
    <w:link w:val="26"/>
    <w:qFormat/>
    <w:uiPriority w:val="0"/>
    <w:rPr>
      <w:kern w:val="2"/>
      <w:sz w:val="21"/>
      <w:szCs w:val="24"/>
      <w:shd w:val="clear" w:color="auto" w:fill="000080"/>
    </w:rPr>
  </w:style>
  <w:style w:type="character" w:customStyle="1" w:styleId="762">
    <w:name w:val="批注文字 字符1"/>
    <w:link w:val="28"/>
    <w:qFormat/>
    <w:uiPriority w:val="0"/>
    <w:rPr>
      <w:kern w:val="2"/>
      <w:sz w:val="21"/>
      <w:szCs w:val="24"/>
    </w:rPr>
  </w:style>
  <w:style w:type="character" w:customStyle="1" w:styleId="763">
    <w:name w:val="称呼 字符"/>
    <w:link w:val="30"/>
    <w:qFormat/>
    <w:uiPriority w:val="99"/>
    <w:rPr>
      <w:rFonts w:ascii="仿宋_GB2312" w:eastAsia="仿宋_GB2312"/>
      <w:kern w:val="2"/>
      <w:sz w:val="28"/>
    </w:rPr>
  </w:style>
  <w:style w:type="character" w:customStyle="1" w:styleId="764">
    <w:name w:val="正文文本 3 字符"/>
    <w:link w:val="31"/>
    <w:qFormat/>
    <w:uiPriority w:val="99"/>
    <w:rPr>
      <w:kern w:val="2"/>
      <w:sz w:val="21"/>
    </w:rPr>
  </w:style>
  <w:style w:type="character" w:customStyle="1" w:styleId="765">
    <w:name w:val="正文文本 字符"/>
    <w:link w:val="34"/>
    <w:qFormat/>
    <w:uiPriority w:val="0"/>
    <w:rPr>
      <w:rFonts w:ascii="宋体" w:hAnsi="Arial" w:eastAsia="宋体" w:cs="Arial"/>
      <w:snapToGrid w:val="0"/>
      <w:kern w:val="2"/>
      <w:sz w:val="24"/>
      <w:szCs w:val="21"/>
      <w:lang w:val="zh-CN" w:eastAsia="zh-CN" w:bidi="ar-SA"/>
    </w:rPr>
  </w:style>
  <w:style w:type="character" w:customStyle="1" w:styleId="766">
    <w:name w:val="正文文本缩进 字符1"/>
    <w:link w:val="36"/>
    <w:qFormat/>
    <w:uiPriority w:val="0"/>
    <w:rPr>
      <w:rFonts w:ascii="宋体" w:hAnsi="宋体"/>
      <w:kern w:val="2"/>
      <w:sz w:val="24"/>
      <w:szCs w:val="24"/>
    </w:rPr>
  </w:style>
  <w:style w:type="character" w:customStyle="1" w:styleId="767">
    <w:name w:val="HTML 地址 字符"/>
    <w:link w:val="42"/>
    <w:qFormat/>
    <w:uiPriority w:val="99"/>
    <w:rPr>
      <w:rFonts w:ascii="宋体" w:hAnsi="宋体"/>
      <w:i/>
      <w:iCs/>
      <w:sz w:val="24"/>
      <w:szCs w:val="24"/>
    </w:rPr>
  </w:style>
  <w:style w:type="character" w:customStyle="1" w:styleId="768">
    <w:name w:val="纯文本 字符1"/>
    <w:link w:val="46"/>
    <w:qFormat/>
    <w:uiPriority w:val="0"/>
    <w:rPr>
      <w:rFonts w:ascii="宋体" w:hAnsi="Courier New" w:eastAsia="宋体" w:cs="Arial"/>
      <w:snapToGrid w:val="0"/>
      <w:kern w:val="2"/>
      <w:sz w:val="21"/>
      <w:szCs w:val="21"/>
      <w:lang w:val="en-US" w:eastAsia="zh-CN" w:bidi="ar-SA"/>
    </w:rPr>
  </w:style>
  <w:style w:type="character" w:customStyle="1" w:styleId="769">
    <w:name w:val="日期 字符"/>
    <w:link w:val="51"/>
    <w:qFormat/>
    <w:uiPriority w:val="99"/>
    <w:rPr>
      <w:rFonts w:ascii="宋体"/>
      <w:kern w:val="2"/>
      <w:sz w:val="24"/>
      <w:szCs w:val="21"/>
      <w:lang w:val="zh-CN"/>
    </w:rPr>
  </w:style>
  <w:style w:type="character" w:customStyle="1" w:styleId="770">
    <w:name w:val="正文文本缩进 2 字符"/>
    <w:link w:val="52"/>
    <w:qFormat/>
    <w:uiPriority w:val="99"/>
    <w:rPr>
      <w:rFonts w:ascii="宋体"/>
      <w:sz w:val="28"/>
    </w:rPr>
  </w:style>
  <w:style w:type="character" w:customStyle="1" w:styleId="771">
    <w:name w:val="尾注文本 字符"/>
    <w:link w:val="53"/>
    <w:qFormat/>
    <w:uiPriority w:val="99"/>
    <w:rPr>
      <w:kern w:val="2"/>
      <w:sz w:val="21"/>
      <w:szCs w:val="24"/>
      <w:lang w:val="zh-CN"/>
    </w:rPr>
  </w:style>
  <w:style w:type="character" w:customStyle="1" w:styleId="772">
    <w:name w:val="批注框文本 字符1"/>
    <w:link w:val="55"/>
    <w:qFormat/>
    <w:uiPriority w:val="99"/>
    <w:rPr>
      <w:kern w:val="2"/>
      <w:sz w:val="18"/>
      <w:szCs w:val="18"/>
    </w:rPr>
  </w:style>
  <w:style w:type="character" w:customStyle="1" w:styleId="773">
    <w:name w:val="页脚 字符2"/>
    <w:link w:val="56"/>
    <w:qFormat/>
    <w:locked/>
    <w:uiPriority w:val="99"/>
    <w:rPr>
      <w:kern w:val="2"/>
      <w:sz w:val="18"/>
      <w:szCs w:val="18"/>
    </w:rPr>
  </w:style>
  <w:style w:type="character" w:customStyle="1" w:styleId="774">
    <w:name w:val="页眉 字符2"/>
    <w:link w:val="58"/>
    <w:qFormat/>
    <w:uiPriority w:val="99"/>
    <w:rPr>
      <w:kern w:val="2"/>
      <w:sz w:val="18"/>
      <w:szCs w:val="18"/>
    </w:rPr>
  </w:style>
  <w:style w:type="character" w:customStyle="1" w:styleId="775">
    <w:name w:val="签名 字符"/>
    <w:link w:val="59"/>
    <w:qFormat/>
    <w:uiPriority w:val="99"/>
    <w:rPr>
      <w:rFonts w:eastAsia="仿宋_GB2312"/>
      <w:sz w:val="24"/>
    </w:rPr>
  </w:style>
  <w:style w:type="character" w:customStyle="1" w:styleId="776">
    <w:name w:val="副标题 字符"/>
    <w:link w:val="65"/>
    <w:qFormat/>
    <w:uiPriority w:val="11"/>
    <w:rPr>
      <w:rFonts w:ascii="Arial" w:hAnsi="Arial" w:eastAsia="隶书"/>
      <w:b/>
      <w:bCs/>
      <w:kern w:val="28"/>
      <w:sz w:val="44"/>
      <w:szCs w:val="32"/>
      <w:lang w:val="en-US" w:eastAsia="zh-CN" w:bidi="ar-SA"/>
    </w:rPr>
  </w:style>
  <w:style w:type="character" w:customStyle="1" w:styleId="777">
    <w:name w:val="脚注文本 字符"/>
    <w:link w:val="68"/>
    <w:qFormat/>
    <w:uiPriority w:val="0"/>
    <w:rPr>
      <w:color w:val="0000FF"/>
      <w:sz w:val="21"/>
    </w:rPr>
  </w:style>
  <w:style w:type="character" w:customStyle="1" w:styleId="778">
    <w:name w:val="正文文本缩进 3 字符"/>
    <w:link w:val="71"/>
    <w:qFormat/>
    <w:uiPriority w:val="99"/>
    <w:rPr>
      <w:kern w:val="2"/>
      <w:sz w:val="24"/>
    </w:rPr>
  </w:style>
  <w:style w:type="character" w:customStyle="1" w:styleId="779">
    <w:name w:val="正文文本 2 字符1"/>
    <w:link w:val="77"/>
    <w:qFormat/>
    <w:uiPriority w:val="0"/>
    <w:rPr>
      <w:kern w:val="2"/>
      <w:sz w:val="21"/>
      <w:szCs w:val="24"/>
    </w:rPr>
  </w:style>
  <w:style w:type="character" w:customStyle="1" w:styleId="780">
    <w:name w:val="HTML 预设格式 字符"/>
    <w:link w:val="81"/>
    <w:qFormat/>
    <w:uiPriority w:val="0"/>
    <w:rPr>
      <w:rFonts w:ascii="黑体" w:hAnsi="Courier New" w:eastAsia="黑体"/>
    </w:rPr>
  </w:style>
  <w:style w:type="character" w:customStyle="1" w:styleId="781">
    <w:name w:val="标题 字符"/>
    <w:link w:val="85"/>
    <w:qFormat/>
    <w:uiPriority w:val="10"/>
    <w:rPr>
      <w:b/>
      <w:sz w:val="24"/>
    </w:rPr>
  </w:style>
  <w:style w:type="character" w:customStyle="1" w:styleId="782">
    <w:name w:val="批注主题 字符"/>
    <w:link w:val="86"/>
    <w:qFormat/>
    <w:uiPriority w:val="0"/>
    <w:rPr>
      <w:b/>
      <w:bCs/>
      <w:kern w:val="2"/>
      <w:sz w:val="21"/>
      <w:szCs w:val="24"/>
    </w:rPr>
  </w:style>
  <w:style w:type="character" w:customStyle="1" w:styleId="783">
    <w:name w:val="正文文本首行缩进 字符"/>
    <w:link w:val="35"/>
    <w:qFormat/>
    <w:uiPriority w:val="0"/>
    <w:rPr>
      <w:rFonts w:ascii="宋体"/>
      <w:kern w:val="2"/>
      <w:sz w:val="24"/>
      <w:lang w:val="zh-CN"/>
    </w:rPr>
  </w:style>
  <w:style w:type="character" w:customStyle="1" w:styleId="784">
    <w:name w:val="正文文本首行缩进 2 字符"/>
    <w:link w:val="87"/>
    <w:qFormat/>
    <w:uiPriority w:val="0"/>
    <w:rPr>
      <w:rFonts w:ascii="宋体" w:hAnsi="宋体"/>
      <w:kern w:val="2"/>
      <w:sz w:val="21"/>
      <w:szCs w:val="24"/>
    </w:rPr>
  </w:style>
  <w:style w:type="character" w:customStyle="1" w:styleId="785">
    <w:name w:val="Default Char"/>
    <w:link w:val="105"/>
    <w:qFormat/>
    <w:uiPriority w:val="0"/>
    <w:rPr>
      <w:rFonts w:ascii="仿宋_GB2312" w:eastAsia="仿宋_GB2312" w:cs="仿宋_GB2312"/>
      <w:color w:val="000000"/>
      <w:sz w:val="24"/>
      <w:szCs w:val="24"/>
      <w:lang w:val="en-US" w:eastAsia="zh-CN" w:bidi="ar-SA"/>
    </w:rPr>
  </w:style>
  <w:style w:type="character" w:customStyle="1" w:styleId="786">
    <w:name w:val="表格非标题文字 Char"/>
    <w:link w:val="106"/>
    <w:qFormat/>
    <w:uiPriority w:val="0"/>
    <w:rPr>
      <w:rFonts w:ascii="Futura Bk" w:hAnsi="Futura Bk"/>
      <w:kern w:val="2"/>
      <w:sz w:val="18"/>
      <w:szCs w:val="21"/>
      <w:lang w:val="en-US" w:eastAsia="zh-CN" w:bidi="ar-SA"/>
    </w:rPr>
  </w:style>
  <w:style w:type="character" w:customStyle="1" w:styleId="787">
    <w:name w:val="*正文 Char"/>
    <w:link w:val="107"/>
    <w:qFormat/>
    <w:locked/>
    <w:uiPriority w:val="0"/>
    <w:rPr>
      <w:rFonts w:ascii="仿宋" w:hAnsi="仿宋" w:eastAsia="仿宋"/>
      <w:kern w:val="2"/>
      <w:sz w:val="24"/>
      <w:szCs w:val="24"/>
    </w:rPr>
  </w:style>
  <w:style w:type="character" w:customStyle="1" w:styleId="788">
    <w:name w:val="Char Char71"/>
    <w:semiHidden/>
    <w:qFormat/>
    <w:uiPriority w:val="0"/>
    <w:rPr>
      <w:rFonts w:eastAsia="宋体"/>
      <w:kern w:val="2"/>
      <w:sz w:val="21"/>
      <w:szCs w:val="24"/>
      <w:lang w:val="en-US" w:eastAsia="zh-CN" w:bidi="ar-SA"/>
    </w:rPr>
  </w:style>
  <w:style w:type="character" w:customStyle="1" w:styleId="789">
    <w:name w:val="Char Char6"/>
    <w:qFormat/>
    <w:uiPriority w:val="0"/>
    <w:rPr>
      <w:rFonts w:eastAsia="宋体"/>
      <w:kern w:val="2"/>
      <w:sz w:val="21"/>
      <w:szCs w:val="24"/>
      <w:lang w:val="en-US" w:eastAsia="zh-CN" w:bidi="ar-SA"/>
    </w:rPr>
  </w:style>
  <w:style w:type="character" w:customStyle="1" w:styleId="790">
    <w:name w:val="正文缩进 Char"/>
    <w:qFormat/>
    <w:uiPriority w:val="0"/>
    <w:rPr>
      <w:rFonts w:eastAsia="宋体"/>
      <w:kern w:val="2"/>
      <w:sz w:val="21"/>
      <w:lang w:val="en-US" w:eastAsia="zh-CN"/>
    </w:rPr>
  </w:style>
  <w:style w:type="character" w:customStyle="1" w:styleId="791">
    <w:name w:val="正文首行缩进 Char1"/>
    <w:qFormat/>
    <w:uiPriority w:val="0"/>
    <w:rPr>
      <w:rFonts w:ascii="宋体" w:hAnsi="Times New Roman" w:eastAsia="宋体" w:cs="Times New Roman"/>
      <w:snapToGrid w:val="0"/>
      <w:kern w:val="2"/>
      <w:sz w:val="24"/>
      <w:szCs w:val="21"/>
      <w:lang w:val="zh-CN"/>
    </w:rPr>
  </w:style>
  <w:style w:type="character" w:customStyle="1" w:styleId="792">
    <w:name w:val="Char Char28"/>
    <w:qFormat/>
    <w:uiPriority w:val="6"/>
    <w:rPr>
      <w:rFonts w:ascii="仿宋_GB2312" w:hAnsi="仿宋_GB2312" w:eastAsia="仿宋_GB2312"/>
      <w:kern w:val="1"/>
      <w:sz w:val="28"/>
    </w:rPr>
  </w:style>
  <w:style w:type="character" w:customStyle="1" w:styleId="7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794">
    <w:name w:val="Heading 1 Char"/>
    <w:qFormat/>
    <w:uiPriority w:val="6"/>
    <w:rPr>
      <w:rFonts w:ascii="Times New Roman" w:hAnsi="Times New Roman" w:eastAsia="黑体" w:cs="Times New Roman"/>
      <w:b/>
      <w:kern w:val="0"/>
      <w:sz w:val="24"/>
      <w:szCs w:val="24"/>
    </w:rPr>
  </w:style>
  <w:style w:type="character" w:customStyle="1" w:styleId="795">
    <w:name w:val="U_正文 Char"/>
    <w:link w:val="108"/>
    <w:qFormat/>
    <w:uiPriority w:val="0"/>
    <w:rPr>
      <w:sz w:val="24"/>
      <w:szCs w:val="24"/>
    </w:rPr>
  </w:style>
  <w:style w:type="character" w:customStyle="1" w:styleId="796">
    <w:name w:val="HTML 地址 Char1"/>
    <w:qFormat/>
    <w:uiPriority w:val="0"/>
    <w:rPr>
      <w:rFonts w:ascii="Times New Roman" w:hAnsi="Times New Roman" w:eastAsia="宋体" w:cs="Times New Roman"/>
      <w:i/>
      <w:iCs/>
      <w:szCs w:val="24"/>
    </w:rPr>
  </w:style>
  <w:style w:type="character" w:customStyle="1" w:styleId="797">
    <w:name w:val="Char Char51"/>
    <w:qFormat/>
    <w:uiPriority w:val="0"/>
    <w:rPr>
      <w:rFonts w:ascii="宋体" w:hAnsi="Courier New" w:eastAsia="宋体"/>
      <w:kern w:val="2"/>
      <w:sz w:val="21"/>
      <w:lang w:val="en-US" w:eastAsia="zh-CN"/>
    </w:rPr>
  </w:style>
  <w:style w:type="character" w:customStyle="1" w:styleId="798">
    <w:name w:val="表正文 Char"/>
    <w:qFormat/>
    <w:uiPriority w:val="0"/>
    <w:rPr>
      <w:rFonts w:ascii="宋体" w:eastAsia="宋体"/>
      <w:snapToGrid w:val="0"/>
      <w:color w:val="000000"/>
      <w:kern w:val="28"/>
      <w:sz w:val="28"/>
      <w:lang w:val="en-US" w:eastAsia="zh-CN" w:bidi="ar-SA"/>
    </w:rPr>
  </w:style>
  <w:style w:type="character" w:customStyle="1" w:styleId="799">
    <w:name w:val="Char Char34"/>
    <w:qFormat/>
    <w:uiPriority w:val="6"/>
    <w:rPr>
      <w:b/>
      <w:kern w:val="1"/>
      <w:sz w:val="28"/>
      <w:szCs w:val="28"/>
    </w:rPr>
  </w:style>
  <w:style w:type="character" w:customStyle="1" w:styleId="8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801">
    <w:name w:val="哈哈正文 Char"/>
    <w:link w:val="109"/>
    <w:qFormat/>
    <w:uiPriority w:val="0"/>
    <w:rPr>
      <w:rFonts w:ascii="宋体" w:hAnsi="宋体" w:eastAsia="宋体"/>
      <w:kern w:val="2"/>
      <w:sz w:val="24"/>
      <w:lang w:bidi="ar-SA"/>
    </w:rPr>
  </w:style>
  <w:style w:type="character" w:customStyle="1" w:styleId="802">
    <w:name w:val="未处理的提及1"/>
    <w:qFormat/>
    <w:uiPriority w:val="99"/>
    <w:rPr>
      <w:color w:val="808080"/>
      <w:shd w:val="clear" w:color="auto" w:fill="E6E6E6"/>
    </w:rPr>
  </w:style>
  <w:style w:type="character" w:customStyle="1" w:styleId="803">
    <w:name w:val="txt"/>
    <w:qFormat/>
    <w:uiPriority w:val="0"/>
    <w:rPr>
      <w:rFonts w:ascii="仿宋_GB2312" w:eastAsia="微软雅黑"/>
      <w:b/>
      <w:kern w:val="2"/>
      <w:sz w:val="32"/>
      <w:szCs w:val="32"/>
      <w:lang w:val="en-US" w:eastAsia="zh-CN" w:bidi="ar-SA"/>
    </w:rPr>
  </w:style>
  <w:style w:type="character" w:customStyle="1" w:styleId="804">
    <w:name w:val="二级标题 Char Char"/>
    <w:qFormat/>
    <w:uiPriority w:val="0"/>
    <w:rPr>
      <w:rFonts w:ascii="宋体" w:hAnsi="宋体" w:eastAsia="宋体"/>
      <w:b/>
      <w:snapToGrid w:val="0"/>
      <w:kern w:val="2"/>
      <w:sz w:val="24"/>
      <w:szCs w:val="24"/>
      <w:lang w:val="en-US" w:eastAsia="zh-CN" w:bidi="ar-SA"/>
    </w:rPr>
  </w:style>
  <w:style w:type="character" w:customStyle="1" w:styleId="805">
    <w:name w:val="Char Char32"/>
    <w:qFormat/>
    <w:uiPriority w:val="6"/>
    <w:rPr>
      <w:b/>
      <w:kern w:val="1"/>
      <w:sz w:val="24"/>
      <w:szCs w:val="24"/>
    </w:rPr>
  </w:style>
  <w:style w:type="character" w:customStyle="1" w:styleId="806">
    <w:name w:val="PI Char1"/>
    <w:qFormat/>
    <w:uiPriority w:val="0"/>
    <w:rPr>
      <w:rFonts w:ascii="宋体" w:hAnsi="宋体"/>
      <w:kern w:val="2"/>
      <w:sz w:val="24"/>
      <w:szCs w:val="24"/>
    </w:rPr>
  </w:style>
  <w:style w:type="character" w:customStyle="1" w:styleId="807">
    <w:name w:val="tw4winTerm"/>
    <w:qFormat/>
    <w:uiPriority w:val="0"/>
    <w:rPr>
      <w:color w:val="0000FF"/>
    </w:rPr>
  </w:style>
  <w:style w:type="character" w:customStyle="1" w:styleId="808">
    <w:name w:val="Footer Char"/>
    <w:qFormat/>
    <w:locked/>
    <w:uiPriority w:val="0"/>
    <w:rPr>
      <w:rFonts w:eastAsia="宋体"/>
      <w:kern w:val="2"/>
      <w:sz w:val="18"/>
      <w:lang w:val="en-US" w:eastAsia="zh-CN" w:bidi="ar-SA"/>
    </w:rPr>
  </w:style>
  <w:style w:type="character" w:customStyle="1" w:styleId="809">
    <w:name w:val="普通文字 Char Char1"/>
    <w:qFormat/>
    <w:uiPriority w:val="0"/>
    <w:rPr>
      <w:rFonts w:ascii="宋体" w:hAnsi="Courier New"/>
      <w:kern w:val="2"/>
      <w:sz w:val="21"/>
    </w:rPr>
  </w:style>
  <w:style w:type="character" w:customStyle="1" w:styleId="810">
    <w:name w:val="Char Char101"/>
    <w:qFormat/>
    <w:uiPriority w:val="6"/>
    <w:rPr>
      <w:rFonts w:ascii="宋体" w:hAnsi="宋体"/>
      <w:kern w:val="2"/>
      <w:sz w:val="21"/>
      <w:szCs w:val="24"/>
      <w:lang w:val="en-US" w:eastAsia="zh-CN"/>
    </w:rPr>
  </w:style>
  <w:style w:type="character" w:customStyle="1" w:styleId="811">
    <w:name w:val="标题 4 Char"/>
    <w:qFormat/>
    <w:uiPriority w:val="0"/>
    <w:rPr>
      <w:rFonts w:ascii="Arial" w:hAnsi="Arial" w:eastAsia="黑体"/>
      <w:b/>
      <w:kern w:val="2"/>
      <w:sz w:val="28"/>
    </w:rPr>
  </w:style>
  <w:style w:type="character" w:customStyle="1" w:styleId="812">
    <w:name w:val="链接"/>
    <w:qFormat/>
    <w:uiPriority w:val="0"/>
    <w:rPr>
      <w:color w:val="0000FF"/>
      <w:sz w:val="21"/>
      <w:szCs w:val="21"/>
      <w:u w:val="single"/>
    </w:rPr>
  </w:style>
  <w:style w:type="character" w:customStyle="1" w:styleId="813">
    <w:name w:val="h4 Char"/>
    <w:qFormat/>
    <w:uiPriority w:val="0"/>
    <w:rPr>
      <w:rFonts w:ascii="Arial" w:hAnsi="Arial" w:eastAsia="黑体"/>
      <w:b/>
      <w:bCs/>
      <w:kern w:val="2"/>
      <w:sz w:val="28"/>
      <w:szCs w:val="28"/>
      <w:lang w:val="zh-CN" w:eastAsia="zh-CN" w:bidi="ar-SA"/>
    </w:rPr>
  </w:style>
  <w:style w:type="character" w:customStyle="1" w:styleId="814">
    <w:name w:val="5正文 Char"/>
    <w:link w:val="110"/>
    <w:qFormat/>
    <w:uiPriority w:val="0"/>
    <w:rPr>
      <w:rFonts w:ascii="仿宋_GB2312" w:hAnsi="微软雅黑" w:eastAsia="仿宋_GB2312"/>
      <w:sz w:val="28"/>
      <w:szCs w:val="21"/>
    </w:rPr>
  </w:style>
  <w:style w:type="character" w:customStyle="1" w:styleId="815">
    <w:name w:val="样式6 Char"/>
    <w:qFormat/>
    <w:uiPriority w:val="0"/>
    <w:rPr>
      <w:rFonts w:ascii="仿宋_GB2312" w:hAnsi="宋体" w:eastAsia="仿宋_GB2312"/>
      <w:b/>
      <w:bCs/>
      <w:kern w:val="2"/>
      <w:sz w:val="24"/>
      <w:szCs w:val="24"/>
      <w:lang w:val="en-US" w:eastAsia="zh-CN" w:bidi="ar-SA"/>
    </w:rPr>
  </w:style>
  <w:style w:type="character" w:customStyle="1" w:styleId="816">
    <w:name w:val="Char Char14"/>
    <w:qFormat/>
    <w:uiPriority w:val="6"/>
    <w:rPr>
      <w:rFonts w:ascii="黑体" w:hAnsi="黑体" w:eastAsia="黑体"/>
    </w:rPr>
  </w:style>
  <w:style w:type="character" w:customStyle="1" w:styleId="817">
    <w:name w:val="Heading 2 Hidden Char"/>
    <w:qFormat/>
    <w:uiPriority w:val="0"/>
    <w:rPr>
      <w:rFonts w:ascii="仿宋_GB2312" w:eastAsia="仿宋_GB2312"/>
      <w:b/>
      <w:bCs/>
      <w:kern w:val="2"/>
      <w:sz w:val="24"/>
      <w:szCs w:val="24"/>
      <w:lang w:val="zh-CN" w:eastAsia="zh-CN" w:bidi="ar-SA"/>
    </w:rPr>
  </w:style>
  <w:style w:type="character" w:customStyle="1" w:styleId="818">
    <w:name w:val="font11"/>
    <w:qFormat/>
    <w:uiPriority w:val="0"/>
    <w:rPr>
      <w:rFonts w:hint="default" w:ascii="Times New Roman" w:hAnsi="Times New Roman" w:cs="Times New Roman"/>
      <w:color w:val="000000"/>
      <w:sz w:val="22"/>
      <w:szCs w:val="22"/>
      <w:u w:val="none"/>
    </w:rPr>
  </w:style>
  <w:style w:type="character" w:customStyle="1" w:styleId="819">
    <w:name w:val="表正文 Char1"/>
    <w:qFormat/>
    <w:uiPriority w:val="0"/>
    <w:rPr>
      <w:rFonts w:ascii="宋体" w:eastAsia="宋体"/>
      <w:snapToGrid w:val="0"/>
      <w:color w:val="000000"/>
      <w:kern w:val="28"/>
      <w:sz w:val="28"/>
    </w:rPr>
  </w:style>
  <w:style w:type="character" w:customStyle="1" w:styleId="820">
    <w:name w:val="blue1"/>
    <w:qFormat/>
    <w:uiPriority w:val="0"/>
    <w:rPr>
      <w:rFonts w:ascii="Arial" w:hAnsi="Arial" w:eastAsia="黑体" w:cs="Arial"/>
      <w:snapToGrid w:val="0"/>
      <w:kern w:val="0"/>
      <w:szCs w:val="21"/>
    </w:rPr>
  </w:style>
  <w:style w:type="character" w:customStyle="1" w:styleId="821">
    <w:name w:val="标书1 Char"/>
    <w:qFormat/>
    <w:uiPriority w:val="0"/>
    <w:rPr>
      <w:rFonts w:eastAsia="宋体"/>
      <w:b/>
      <w:bCs/>
      <w:kern w:val="44"/>
      <w:sz w:val="44"/>
      <w:szCs w:val="44"/>
      <w:lang w:val="en-US" w:eastAsia="zh-CN" w:bidi="ar-SA"/>
    </w:rPr>
  </w:style>
  <w:style w:type="character" w:customStyle="1" w:styleId="822">
    <w:name w:val="样式5 Char"/>
    <w:qFormat/>
    <w:uiPriority w:val="0"/>
    <w:rPr>
      <w:rFonts w:ascii="仿宋_GB2312" w:hAnsi="仿宋" w:eastAsia="仿宋_GB2312"/>
      <w:kern w:val="2"/>
      <w:sz w:val="24"/>
      <w:szCs w:val="24"/>
    </w:rPr>
  </w:style>
  <w:style w:type="character" w:customStyle="1" w:styleId="823">
    <w:name w:val="样式4 Char"/>
    <w:qFormat/>
    <w:uiPriority w:val="0"/>
    <w:rPr>
      <w:rFonts w:ascii="仿宋_GB2312" w:hAnsi="仿宋" w:eastAsia="仿宋_GB2312"/>
      <w:b/>
      <w:kern w:val="2"/>
      <w:sz w:val="32"/>
      <w:szCs w:val="32"/>
      <w:lang w:bidi="ar-SA"/>
    </w:rPr>
  </w:style>
  <w:style w:type="character" w:customStyle="1" w:styleId="824">
    <w:name w:val="插图说明 Char"/>
    <w:qFormat/>
    <w:uiPriority w:val="0"/>
    <w:rPr>
      <w:rFonts w:eastAsia="黑体"/>
      <w:sz w:val="24"/>
      <w:lang w:val="en-US" w:eastAsia="zh-CN"/>
    </w:rPr>
  </w:style>
  <w:style w:type="character" w:customStyle="1" w:styleId="825">
    <w:name w:val="正文2 Char Char"/>
    <w:link w:val="111"/>
    <w:qFormat/>
    <w:uiPriority w:val="0"/>
    <w:rPr>
      <w:rFonts w:eastAsia="宋体"/>
      <w:kern w:val="2"/>
      <w:sz w:val="24"/>
      <w:lang w:val="en-US" w:eastAsia="zh-CN" w:bidi="ar-SA"/>
    </w:rPr>
  </w:style>
  <w:style w:type="character" w:customStyle="1" w:styleId="826">
    <w:name w:val="Char Char24"/>
    <w:qFormat/>
    <w:uiPriority w:val="6"/>
    <w:rPr>
      <w:kern w:val="1"/>
      <w:sz w:val="21"/>
    </w:rPr>
  </w:style>
  <w:style w:type="character" w:customStyle="1" w:styleId="827">
    <w:name w:val="普通文字 Char1 Char"/>
    <w:qFormat/>
    <w:uiPriority w:val="0"/>
    <w:rPr>
      <w:rFonts w:ascii="宋体" w:hAnsi="Courier New" w:eastAsia="宋体"/>
      <w:kern w:val="2"/>
      <w:sz w:val="21"/>
      <w:szCs w:val="24"/>
      <w:lang w:val="en-US" w:eastAsia="zh-CN" w:bidi="ar-SA"/>
    </w:rPr>
  </w:style>
  <w:style w:type="character" w:customStyle="1" w:styleId="828">
    <w:name w:val="h3 Char1"/>
    <w:qFormat/>
    <w:uiPriority w:val="0"/>
    <w:rPr>
      <w:rFonts w:eastAsia="宋体"/>
      <w:b/>
      <w:bCs/>
      <w:kern w:val="2"/>
      <w:sz w:val="32"/>
      <w:szCs w:val="32"/>
      <w:lang w:bidi="ar-SA"/>
    </w:rPr>
  </w:style>
  <w:style w:type="character" w:customStyle="1" w:styleId="829">
    <w:name w:val="标题 Char1"/>
    <w:qFormat/>
    <w:uiPriority w:val="0"/>
    <w:rPr>
      <w:rFonts w:ascii="Cambria" w:hAnsi="Cambria" w:eastAsia="宋体" w:cs="Times New Roman"/>
      <w:b/>
      <w:bCs/>
      <w:sz w:val="32"/>
      <w:szCs w:val="32"/>
      <w:lang w:bidi="ar-SA"/>
    </w:rPr>
  </w:style>
  <w:style w:type="character" w:customStyle="1" w:styleId="830">
    <w:name w:val="gf正文1 Char"/>
    <w:qFormat/>
    <w:uiPriority w:val="0"/>
    <w:rPr>
      <w:rFonts w:ascii="宋体" w:hAnsi="宋体" w:eastAsia="宋体" w:cs="宋体"/>
      <w:kern w:val="2"/>
      <w:sz w:val="24"/>
      <w:szCs w:val="24"/>
      <w:lang w:val="en-US" w:eastAsia="zh-CN" w:bidi="ar-SA"/>
    </w:rPr>
  </w:style>
  <w:style w:type="character" w:customStyle="1" w:styleId="831">
    <w:name w:val="正文文本缩进 Char1"/>
    <w:qFormat/>
    <w:uiPriority w:val="0"/>
    <w:rPr>
      <w:rFonts w:ascii="Calibri" w:hAnsi="Calibri"/>
      <w:sz w:val="28"/>
    </w:rPr>
  </w:style>
  <w:style w:type="character" w:customStyle="1" w:styleId="832">
    <w:name w:val="No Spacing Char"/>
    <w:link w:val="112"/>
    <w:qFormat/>
    <w:uiPriority w:val="1"/>
    <w:rPr>
      <w:sz w:val="22"/>
      <w:szCs w:val="22"/>
      <w:lang w:val="en-US" w:eastAsia="zh-CN" w:bidi="ar-SA"/>
    </w:rPr>
  </w:style>
  <w:style w:type="character" w:customStyle="1" w:styleId="833">
    <w:name w:val="样式7 Char"/>
    <w:qFormat/>
    <w:uiPriority w:val="0"/>
    <w:rPr>
      <w:rFonts w:ascii="仿宋_GB2312" w:hAnsi="仿宋" w:eastAsia="仿宋_GB2312"/>
      <w:b/>
      <w:kern w:val="2"/>
      <w:sz w:val="24"/>
      <w:szCs w:val="24"/>
    </w:rPr>
  </w:style>
  <w:style w:type="character" w:customStyle="1" w:styleId="834">
    <w:name w:val="font12gray1"/>
    <w:qFormat/>
    <w:uiPriority w:val="0"/>
    <w:rPr>
      <w:rFonts w:ascii="仿宋_GB2312" w:eastAsia="微软雅黑"/>
      <w:b/>
      <w:spacing w:val="300"/>
      <w:kern w:val="2"/>
      <w:sz w:val="18"/>
      <w:szCs w:val="18"/>
      <w:lang w:val="en-US" w:eastAsia="zh-CN" w:bidi="ar-SA"/>
    </w:rPr>
  </w:style>
  <w:style w:type="character" w:customStyle="1" w:styleId="835">
    <w:name w:val="Char Char7"/>
    <w:semiHidden/>
    <w:qFormat/>
    <w:uiPriority w:val="0"/>
    <w:rPr>
      <w:rFonts w:eastAsia="宋体"/>
      <w:kern w:val="2"/>
      <w:sz w:val="21"/>
      <w:szCs w:val="24"/>
      <w:lang w:val="en-US" w:eastAsia="zh-CN" w:bidi="ar-SA"/>
    </w:rPr>
  </w:style>
  <w:style w:type="character" w:customStyle="1" w:styleId="836">
    <w:name w:val="表名 Char"/>
    <w:qFormat/>
    <w:uiPriority w:val="0"/>
    <w:rPr>
      <w:rFonts w:eastAsia="宋体"/>
      <w:b/>
      <w:bCs/>
      <w:kern w:val="2"/>
      <w:sz w:val="24"/>
      <w:szCs w:val="24"/>
      <w:lang w:val="en-US" w:eastAsia="zh-CN" w:bidi="ar-SA"/>
    </w:rPr>
  </w:style>
  <w:style w:type="character" w:customStyle="1" w:styleId="837">
    <w:name w:val="Document Map Char"/>
    <w:qFormat/>
    <w:locked/>
    <w:uiPriority w:val="0"/>
    <w:rPr>
      <w:rFonts w:eastAsia="宋体"/>
      <w:kern w:val="2"/>
      <w:sz w:val="21"/>
      <w:szCs w:val="24"/>
      <w:lang w:val="en-US" w:eastAsia="zh-CN" w:bidi="ar-SA"/>
    </w:rPr>
  </w:style>
  <w:style w:type="character" w:customStyle="1" w:styleId="838">
    <w:name w:val="font41"/>
    <w:qFormat/>
    <w:uiPriority w:val="0"/>
    <w:rPr>
      <w:rFonts w:hint="eastAsia" w:ascii="仿宋_GB2312" w:eastAsia="仿宋_GB2312" w:cs="仿宋_GB2312"/>
      <w:color w:val="000000"/>
      <w:sz w:val="22"/>
      <w:szCs w:val="22"/>
      <w:u w:val="none"/>
    </w:rPr>
  </w:style>
  <w:style w:type="character" w:customStyle="1" w:styleId="839">
    <w:name w:val="纯文本 Char_0"/>
    <w:link w:val="113"/>
    <w:qFormat/>
    <w:uiPriority w:val="0"/>
    <w:rPr>
      <w:rFonts w:ascii="宋体" w:hAnsi="Courier New"/>
      <w:kern w:val="2"/>
      <w:sz w:val="21"/>
      <w:szCs w:val="21"/>
      <w:lang w:val="en-US" w:eastAsia="zh-CN"/>
    </w:rPr>
  </w:style>
  <w:style w:type="character" w:customStyle="1" w:styleId="840">
    <w:name w:val="Balloon Text Char"/>
    <w:qFormat/>
    <w:locked/>
    <w:uiPriority w:val="0"/>
    <w:rPr>
      <w:rFonts w:eastAsia="宋体"/>
      <w:kern w:val="2"/>
      <w:sz w:val="18"/>
      <w:szCs w:val="18"/>
      <w:lang w:val="en-US" w:eastAsia="zh-CN" w:bidi="ar-SA"/>
    </w:rPr>
  </w:style>
  <w:style w:type="character" w:customStyle="1" w:styleId="841">
    <w:name w:val="正文 项目2 Char"/>
    <w:qFormat/>
    <w:uiPriority w:val="0"/>
    <w:rPr>
      <w:rFonts w:ascii="仿宋_GB2312" w:hAnsi="仿宋_GB2312" w:eastAsia="仿宋_GB2312"/>
      <w:kern w:val="2"/>
      <w:sz w:val="24"/>
      <w:lang w:bidi="ar-SA"/>
    </w:rPr>
  </w:style>
  <w:style w:type="character" w:customStyle="1" w:styleId="842">
    <w:name w:val="正文 项目 Char"/>
    <w:qFormat/>
    <w:uiPriority w:val="0"/>
    <w:rPr>
      <w:rFonts w:ascii="仿宋_GB2312" w:hAnsi="仿宋_GB2312" w:eastAsia="仿宋_GB2312"/>
      <w:kern w:val="2"/>
      <w:sz w:val="24"/>
      <w:lang w:bidi="ar-SA"/>
    </w:rPr>
  </w:style>
  <w:style w:type="character" w:customStyle="1" w:styleId="843">
    <w:name w:val="h Char Char1"/>
    <w:qFormat/>
    <w:uiPriority w:val="0"/>
    <w:rPr>
      <w:rFonts w:eastAsia="宋体"/>
      <w:kern w:val="2"/>
      <w:sz w:val="18"/>
      <w:szCs w:val="18"/>
      <w:lang w:val="en-US" w:eastAsia="zh-CN" w:bidi="ar-SA"/>
    </w:rPr>
  </w:style>
  <w:style w:type="character" w:customStyle="1" w:styleId="844">
    <w:name w:val="Char Char27"/>
    <w:qFormat/>
    <w:uiPriority w:val="6"/>
    <w:rPr>
      <w:rFonts w:ascii="宋体" w:hAnsi="宋体" w:eastAsia="宋体"/>
      <w:color w:val="000000"/>
      <w:kern w:val="1"/>
      <w:sz w:val="28"/>
      <w:lang w:val="en-US" w:eastAsia="zh-CN" w:bidi="ar-SA"/>
    </w:rPr>
  </w:style>
  <w:style w:type="character" w:customStyle="1" w:styleId="845">
    <w:name w:val="px14"/>
    <w:qFormat/>
    <w:uiPriority w:val="0"/>
    <w:rPr>
      <w:rFonts w:ascii="仿宋_GB2312" w:eastAsia="微软雅黑" w:cs="Times New Roman"/>
      <w:b/>
      <w:kern w:val="2"/>
      <w:sz w:val="32"/>
      <w:szCs w:val="32"/>
      <w:lang w:val="en-US" w:eastAsia="zh-CN" w:bidi="ar-SA"/>
    </w:rPr>
  </w:style>
  <w:style w:type="character" w:customStyle="1" w:styleId="846">
    <w:name w:val="HTML 预设格式 Char1"/>
    <w:qFormat/>
    <w:uiPriority w:val="0"/>
    <w:rPr>
      <w:rFonts w:ascii="Courier New" w:hAnsi="Courier New" w:eastAsia="宋体" w:cs="Courier New"/>
      <w:sz w:val="20"/>
      <w:szCs w:val="20"/>
    </w:rPr>
  </w:style>
  <w:style w:type="character" w:customStyle="1" w:styleId="847">
    <w:name w:val="普通文字 Char1"/>
    <w:qFormat/>
    <w:uiPriority w:val="0"/>
    <w:rPr>
      <w:rFonts w:ascii="宋体" w:hAnsi="Courier New" w:eastAsia="宋体"/>
      <w:kern w:val="2"/>
      <w:sz w:val="21"/>
      <w:lang w:val="en-US" w:eastAsia="zh-CN"/>
    </w:rPr>
  </w:style>
  <w:style w:type="character" w:customStyle="1" w:styleId="848">
    <w:name w:val="hei16b1"/>
    <w:qFormat/>
    <w:uiPriority w:val="0"/>
    <w:rPr>
      <w:rFonts w:hint="default" w:ascii="Arial" w:hAnsi="Arial" w:cs="Arial"/>
      <w:b/>
      <w:bCs/>
      <w:color w:val="000000"/>
      <w:sz w:val="24"/>
      <w:szCs w:val="24"/>
    </w:rPr>
  </w:style>
  <w:style w:type="character" w:customStyle="1" w:styleId="849">
    <w:name w:val="正文（绿盟科技） Char"/>
    <w:link w:val="115"/>
    <w:qFormat/>
    <w:uiPriority w:val="0"/>
    <w:rPr>
      <w:rFonts w:ascii="Arial" w:hAnsi="Arial"/>
      <w:sz w:val="21"/>
      <w:szCs w:val="21"/>
    </w:rPr>
  </w:style>
  <w:style w:type="character" w:customStyle="1" w:styleId="850">
    <w:name w:val="Char Char19"/>
    <w:qFormat/>
    <w:uiPriority w:val="6"/>
    <w:rPr>
      <w:rFonts w:ascii="宋体" w:hAnsi="宋体"/>
      <w:i/>
      <w:sz w:val="24"/>
      <w:szCs w:val="24"/>
    </w:rPr>
  </w:style>
  <w:style w:type="character" w:customStyle="1" w:styleId="851">
    <w:name w:val="页脚 Char"/>
    <w:qFormat/>
    <w:uiPriority w:val="0"/>
    <w:rPr>
      <w:rFonts w:eastAsia="仿宋_GB2312"/>
      <w:kern w:val="2"/>
      <w:sz w:val="18"/>
      <w:lang w:val="en-US" w:eastAsia="zh-CN"/>
    </w:rPr>
  </w:style>
  <w:style w:type="character" w:customStyle="1" w:styleId="852">
    <w:name w:val="批注主题 Char"/>
    <w:qFormat/>
    <w:uiPriority w:val="0"/>
    <w:rPr>
      <w:rFonts w:eastAsia="宋体"/>
      <w:b/>
      <w:bCs/>
      <w:kern w:val="2"/>
      <w:sz w:val="21"/>
      <w:szCs w:val="24"/>
      <w:lang w:val="en-US" w:eastAsia="zh-CN" w:bidi="ar-SA"/>
    </w:rPr>
  </w:style>
  <w:style w:type="character" w:customStyle="1" w:styleId="853">
    <w:name w:val="Comment Text Char"/>
    <w:qFormat/>
    <w:locked/>
    <w:uiPriority w:val="0"/>
    <w:rPr>
      <w:rFonts w:ascii="宋体" w:hAnsi="宋体" w:eastAsia="宋体"/>
      <w:kern w:val="2"/>
      <w:sz w:val="24"/>
      <w:lang w:val="en-US" w:eastAsia="zh-CN" w:bidi="ar-SA"/>
    </w:rPr>
  </w:style>
  <w:style w:type="character" w:customStyle="1" w:styleId="854">
    <w:name w:val="标题 2 字符"/>
    <w:qFormat/>
    <w:uiPriority w:val="0"/>
    <w:rPr>
      <w:rFonts w:ascii="仿宋_GB2312" w:hAnsi="Times New Roman" w:eastAsia="仿宋_GB2312" w:cs="Times New Roman"/>
      <w:b/>
      <w:kern w:val="2"/>
      <w:sz w:val="24"/>
      <w:lang w:val="zh-CN"/>
    </w:rPr>
  </w:style>
  <w:style w:type="character" w:customStyle="1" w:styleId="855">
    <w:name w:val="Char Char72"/>
    <w:qFormat/>
    <w:uiPriority w:val="0"/>
    <w:rPr>
      <w:rFonts w:eastAsia="宋体"/>
      <w:kern w:val="2"/>
      <w:sz w:val="21"/>
      <w:szCs w:val="24"/>
      <w:lang w:val="en-US" w:eastAsia="zh-CN" w:bidi="ar-SA"/>
    </w:rPr>
  </w:style>
  <w:style w:type="character" w:customStyle="1" w:styleId="856">
    <w:name w:val="正文文本缩进 Char2"/>
    <w:qFormat/>
    <w:uiPriority w:val="0"/>
    <w:rPr>
      <w:rFonts w:ascii="Times New Roman" w:hAnsi="Times New Roman" w:eastAsia="宋体" w:cs="Times New Roman"/>
      <w:snapToGrid w:val="0"/>
      <w:kern w:val="0"/>
      <w:szCs w:val="24"/>
    </w:rPr>
  </w:style>
  <w:style w:type="character" w:customStyle="1" w:styleId="857">
    <w:name w:val="样式2 Char"/>
    <w:qFormat/>
    <w:uiPriority w:val="0"/>
    <w:rPr>
      <w:rFonts w:ascii="仿宋_GB2312" w:hAnsi="仿宋" w:eastAsia="仿宋_GB2312" w:cs="仿宋_GB2312"/>
      <w:b/>
      <w:bCs/>
      <w:sz w:val="32"/>
      <w:szCs w:val="30"/>
      <w:lang w:val="zh-CN"/>
    </w:rPr>
  </w:style>
  <w:style w:type="character" w:customStyle="1" w:styleId="858">
    <w:name w:val="表格名称[858D7CFB-ED40-4347-BF05-701D383B685F]"/>
    <w:link w:val="116"/>
    <w:qFormat/>
    <w:uiPriority w:val="0"/>
    <w:rPr>
      <w:sz w:val="32"/>
    </w:rPr>
  </w:style>
  <w:style w:type="character" w:customStyle="1" w:styleId="859">
    <w:name w:val="Char Char4"/>
    <w:qFormat/>
    <w:uiPriority w:val="0"/>
    <w:rPr>
      <w:rFonts w:eastAsia="宋体"/>
      <w:b/>
      <w:sz w:val="24"/>
      <w:lang w:eastAsia="zh-CN" w:bidi="ar-SA"/>
    </w:rPr>
  </w:style>
  <w:style w:type="character" w:customStyle="1" w:styleId="860">
    <w:name w:val="c7 style3"/>
    <w:qFormat/>
    <w:uiPriority w:val="0"/>
  </w:style>
  <w:style w:type="character" w:customStyle="1" w:styleId="861">
    <w:name w:val="正文文本 3 Char1"/>
    <w:semiHidden/>
    <w:qFormat/>
    <w:uiPriority w:val="99"/>
    <w:rPr>
      <w:rFonts w:ascii="Times New Roman" w:hAnsi="Times New Roman" w:eastAsia="宋体" w:cs="Times New Roman"/>
      <w:sz w:val="16"/>
      <w:szCs w:val="16"/>
    </w:rPr>
  </w:style>
  <w:style w:type="character" w:customStyle="1" w:styleId="862">
    <w:name w:val="tw4winInternal"/>
    <w:qFormat/>
    <w:uiPriority w:val="0"/>
    <w:rPr>
      <w:rFonts w:ascii="Courier New" w:hAnsi="Courier New" w:cs="Courier New"/>
      <w:color w:val="FF0000"/>
      <w:lang w:val="en-US" w:eastAsia="zh-CN"/>
    </w:rPr>
  </w:style>
  <w:style w:type="character" w:customStyle="1" w:styleId="863">
    <w:name w:val="Char Char10"/>
    <w:semiHidden/>
    <w:qFormat/>
    <w:uiPriority w:val="0"/>
    <w:rPr>
      <w:rFonts w:ascii="宋体" w:hAnsi="宋体"/>
      <w:kern w:val="2"/>
      <w:sz w:val="21"/>
      <w:szCs w:val="24"/>
      <w:lang w:val="en-US" w:eastAsia="zh-CN"/>
    </w:rPr>
  </w:style>
  <w:style w:type="character" w:customStyle="1" w:styleId="864">
    <w:name w:val="shadow11"/>
    <w:qFormat/>
    <w:uiPriority w:val="0"/>
    <w:rPr>
      <w:color w:val="000000"/>
      <w:sz w:val="21"/>
    </w:rPr>
  </w:style>
  <w:style w:type="character" w:customStyle="1" w:styleId="865">
    <w:name w:val="正文非缩进 Char3"/>
    <w:qFormat/>
    <w:uiPriority w:val="0"/>
    <w:rPr>
      <w:rFonts w:ascii="宋体" w:eastAsia="宋体"/>
      <w:snapToGrid w:val="0"/>
      <w:color w:val="000000"/>
      <w:kern w:val="28"/>
      <w:sz w:val="28"/>
      <w:lang w:val="en-US" w:eastAsia="zh-CN" w:bidi="ar-SA"/>
    </w:rPr>
  </w:style>
  <w:style w:type="character" w:customStyle="1" w:styleId="866">
    <w:name w:val="Char Char"/>
    <w:qFormat/>
    <w:uiPriority w:val="0"/>
    <w:rPr>
      <w:rFonts w:ascii="宋体" w:hAnsi="Courier New" w:eastAsia="宋体"/>
      <w:kern w:val="2"/>
      <w:sz w:val="21"/>
      <w:lang w:val="en-US" w:eastAsia="zh-CN" w:bidi="ar-SA"/>
    </w:rPr>
  </w:style>
  <w:style w:type="character" w:customStyle="1" w:styleId="867">
    <w:name w:val="签名 Char1"/>
    <w:qFormat/>
    <w:uiPriority w:val="0"/>
    <w:rPr>
      <w:rFonts w:ascii="Times New Roman" w:hAnsi="Times New Roman" w:eastAsia="宋体" w:cs="Times New Roman"/>
      <w:szCs w:val="24"/>
    </w:rPr>
  </w:style>
  <w:style w:type="character" w:customStyle="1" w:styleId="868">
    <w:name w:val="Char Char18"/>
    <w:qFormat/>
    <w:uiPriority w:val="6"/>
    <w:rPr>
      <w:rFonts w:ascii="宋体" w:hAnsi="宋体"/>
      <w:sz w:val="28"/>
    </w:rPr>
  </w:style>
  <w:style w:type="character" w:customStyle="1" w:styleId="869">
    <w:name w:val="批注文字 Char"/>
    <w:qFormat/>
    <w:uiPriority w:val="99"/>
    <w:rPr>
      <w:kern w:val="2"/>
      <w:sz w:val="21"/>
      <w:szCs w:val="24"/>
    </w:rPr>
  </w:style>
  <w:style w:type="character" w:customStyle="1" w:styleId="870">
    <w:name w:val="Char Char22"/>
    <w:qFormat/>
    <w:uiPriority w:val="6"/>
    <w:rPr>
      <w:rFonts w:ascii="宋体" w:hAnsi="宋体"/>
      <w:kern w:val="1"/>
      <w:sz w:val="24"/>
      <w:szCs w:val="24"/>
    </w:rPr>
  </w:style>
  <w:style w:type="character" w:customStyle="1" w:styleId="871">
    <w:name w:val="pt141"/>
    <w:qFormat/>
    <w:uiPriority w:val="0"/>
    <w:rPr>
      <w:color w:val="330066"/>
      <w:sz w:val="22"/>
      <w:szCs w:val="22"/>
    </w:rPr>
  </w:style>
  <w:style w:type="character" w:customStyle="1" w:styleId="872">
    <w:name w:val="正文文本缩进 2 Char1"/>
    <w:semiHidden/>
    <w:qFormat/>
    <w:uiPriority w:val="99"/>
    <w:rPr>
      <w:rFonts w:ascii="Times New Roman" w:hAnsi="Times New Roman" w:eastAsia="宋体" w:cs="Times New Roman"/>
      <w:szCs w:val="24"/>
    </w:rPr>
  </w:style>
  <w:style w:type="character" w:customStyle="1" w:styleId="873">
    <w:name w:val="Char Char611"/>
    <w:qFormat/>
    <w:uiPriority w:val="0"/>
    <w:rPr>
      <w:rFonts w:eastAsia="宋体"/>
      <w:kern w:val="2"/>
      <w:sz w:val="21"/>
      <w:szCs w:val="24"/>
      <w:lang w:val="en-US" w:eastAsia="zh-CN" w:bidi="ar-SA"/>
    </w:rPr>
  </w:style>
  <w:style w:type="character" w:customStyle="1" w:styleId="874">
    <w:name w:val="highlight1"/>
    <w:qFormat/>
    <w:uiPriority w:val="0"/>
    <w:rPr>
      <w:rFonts w:ascii="仿宋_GB2312" w:eastAsia="微软雅黑"/>
      <w:b/>
      <w:kern w:val="2"/>
      <w:sz w:val="23"/>
      <w:szCs w:val="23"/>
      <w:lang w:val="en-US" w:eastAsia="zh-CN" w:bidi="ar-SA"/>
    </w:rPr>
  </w:style>
  <w:style w:type="character" w:customStyle="1" w:styleId="875">
    <w:name w:val="my正文 Char"/>
    <w:link w:val="117"/>
    <w:qFormat/>
    <w:locked/>
    <w:uiPriority w:val="0"/>
    <w:rPr>
      <w:rFonts w:ascii="Tahoma" w:hAnsi="Tahoma"/>
      <w:sz w:val="24"/>
      <w:szCs w:val="24"/>
    </w:rPr>
  </w:style>
  <w:style w:type="character" w:customStyle="1" w:styleId="876">
    <w:name w:val="Used by Word for text of Help footnotes Char Char1"/>
    <w:qFormat/>
    <w:uiPriority w:val="0"/>
    <w:rPr>
      <w:color w:val="0000FF"/>
      <w:sz w:val="21"/>
    </w:rPr>
  </w:style>
  <w:style w:type="character" w:customStyle="1" w:styleId="877">
    <w:name w:val="页眉 Char"/>
    <w:qFormat/>
    <w:uiPriority w:val="0"/>
    <w:rPr>
      <w:rFonts w:eastAsia="仿宋_GB2312"/>
      <w:kern w:val="2"/>
      <w:sz w:val="18"/>
      <w:lang w:val="en-US" w:eastAsia="zh-CN"/>
    </w:rPr>
  </w:style>
  <w:style w:type="character" w:customStyle="1" w:styleId="878">
    <w:name w:val="FA正文 Char Char"/>
    <w:qFormat/>
    <w:uiPriority w:val="0"/>
    <w:rPr>
      <w:rFonts w:hAnsi="宋体"/>
      <w:kern w:val="2"/>
      <w:sz w:val="24"/>
      <w:lang w:bidi="ar-SA"/>
    </w:rPr>
  </w:style>
  <w:style w:type="character" w:customStyle="1" w:styleId="879">
    <w:name w:val="纯文本 字符"/>
    <w:qFormat/>
    <w:uiPriority w:val="0"/>
    <w:rPr>
      <w:rFonts w:ascii="宋体" w:hAnsi="Courier New" w:eastAsia="宋体" w:cs="Arial"/>
      <w:snapToGrid w:val="0"/>
      <w:kern w:val="2"/>
      <w:sz w:val="21"/>
      <w:szCs w:val="21"/>
      <w:lang w:val="en-US" w:eastAsia="zh-CN" w:bidi="ar-SA"/>
    </w:rPr>
  </w:style>
  <w:style w:type="character" w:customStyle="1" w:styleId="880">
    <w:name w:val="3级 Char"/>
    <w:link w:val="118"/>
    <w:qFormat/>
    <w:uiPriority w:val="0"/>
    <w:rPr>
      <w:rFonts w:ascii="宋体" w:hAnsi="宋体"/>
      <w:b/>
      <w:bCs/>
      <w:sz w:val="28"/>
    </w:rPr>
  </w:style>
  <w:style w:type="character" w:customStyle="1" w:styleId="881">
    <w:name w:val="myp11"/>
    <w:qFormat/>
    <w:uiPriority w:val="0"/>
    <w:rPr>
      <w:rFonts w:ascii="仿宋_GB2312" w:eastAsia="微软雅黑"/>
      <w:b/>
      <w:kern w:val="2"/>
      <w:sz w:val="32"/>
      <w:szCs w:val="32"/>
      <w:lang w:val="en-US" w:eastAsia="zh-CN" w:bidi="ar-SA"/>
    </w:rPr>
  </w:style>
  <w:style w:type="character" w:customStyle="1" w:styleId="882">
    <w:name w:val="H6 Char"/>
    <w:qFormat/>
    <w:uiPriority w:val="0"/>
    <w:rPr>
      <w:rFonts w:ascii="Arial" w:hAnsi="Arial" w:eastAsia="黑体"/>
      <w:b/>
      <w:bCs/>
      <w:kern w:val="2"/>
      <w:sz w:val="24"/>
      <w:szCs w:val="24"/>
    </w:rPr>
  </w:style>
  <w:style w:type="character" w:customStyle="1" w:styleId="883">
    <w:name w:val="Char Char91"/>
    <w:qFormat/>
    <w:uiPriority w:val="0"/>
    <w:rPr>
      <w:rFonts w:eastAsia="宋体"/>
      <w:kern w:val="2"/>
      <w:sz w:val="18"/>
      <w:szCs w:val="18"/>
      <w:lang w:val="en-US" w:eastAsia="zh-CN" w:bidi="ar-SA"/>
    </w:rPr>
  </w:style>
  <w:style w:type="character" w:customStyle="1" w:styleId="884">
    <w:name w:val="副标题 Char1"/>
    <w:qFormat/>
    <w:uiPriority w:val="0"/>
    <w:rPr>
      <w:rFonts w:ascii="Cambria" w:hAnsi="Cambria" w:eastAsia="宋体" w:cs="Times New Roman"/>
      <w:b/>
      <w:bCs/>
      <w:snapToGrid w:val="0"/>
      <w:kern w:val="28"/>
      <w:sz w:val="32"/>
      <w:szCs w:val="32"/>
    </w:rPr>
  </w:style>
  <w:style w:type="character" w:customStyle="1" w:styleId="885">
    <w:name w:val="font61"/>
    <w:qFormat/>
    <w:uiPriority w:val="0"/>
    <w:rPr>
      <w:rFonts w:hint="eastAsia" w:ascii="仿宋" w:hAnsi="仿宋" w:eastAsia="仿宋" w:cs="仿宋"/>
      <w:color w:val="000000"/>
      <w:sz w:val="20"/>
      <w:szCs w:val="20"/>
      <w:u w:val="none"/>
    </w:rPr>
  </w:style>
  <w:style w:type="character" w:customStyle="1" w:styleId="88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887">
    <w:name w:val="Char Char211"/>
    <w:qFormat/>
    <w:uiPriority w:val="0"/>
    <w:rPr>
      <w:rFonts w:eastAsia="宋体"/>
      <w:b/>
      <w:bCs/>
      <w:kern w:val="2"/>
      <w:sz w:val="21"/>
      <w:szCs w:val="24"/>
      <w:lang w:val="en-US" w:eastAsia="zh-CN" w:bidi="ar-SA"/>
    </w:rPr>
  </w:style>
  <w:style w:type="character" w:customStyle="1" w:styleId="888">
    <w:name w:val="maywed421"/>
    <w:qFormat/>
    <w:uiPriority w:val="0"/>
    <w:rPr>
      <w:color w:val="366FB6"/>
      <w:u w:val="none"/>
    </w:rPr>
  </w:style>
  <w:style w:type="character" w:customStyle="1" w:styleId="889">
    <w:name w:val="正文文本缩进 Char"/>
    <w:qFormat/>
    <w:uiPriority w:val="0"/>
    <w:rPr>
      <w:rFonts w:ascii="宋体" w:hAnsi="宋体"/>
      <w:kern w:val="2"/>
      <w:sz w:val="24"/>
      <w:szCs w:val="24"/>
    </w:rPr>
  </w:style>
  <w:style w:type="character" w:customStyle="1" w:styleId="890">
    <w:name w:val="Char Char102"/>
    <w:semiHidden/>
    <w:qFormat/>
    <w:uiPriority w:val="0"/>
    <w:rPr>
      <w:rFonts w:ascii="宋体" w:hAnsi="宋体"/>
      <w:kern w:val="2"/>
      <w:sz w:val="21"/>
      <w:szCs w:val="24"/>
      <w:lang w:val="en-US" w:eastAsia="zh-CN"/>
    </w:rPr>
  </w:style>
  <w:style w:type="character" w:customStyle="1" w:styleId="891">
    <w:name w:val="页眉 Char1"/>
    <w:qFormat/>
    <w:uiPriority w:val="0"/>
    <w:rPr>
      <w:rFonts w:eastAsia="宋体"/>
      <w:kern w:val="2"/>
      <w:sz w:val="18"/>
      <w:szCs w:val="18"/>
      <w:lang w:val="en-US" w:eastAsia="zh-CN" w:bidi="ar-SA"/>
    </w:rPr>
  </w:style>
  <w:style w:type="character" w:customStyle="1" w:styleId="892">
    <w:name w:val="md"/>
    <w:qFormat/>
    <w:uiPriority w:val="0"/>
    <w:rPr>
      <w:rFonts w:ascii="Arial" w:hAnsi="Arial" w:eastAsia="黑体" w:cs="Arial"/>
      <w:snapToGrid w:val="0"/>
      <w:kern w:val="0"/>
      <w:szCs w:val="21"/>
    </w:rPr>
  </w:style>
  <w:style w:type="character" w:customStyle="1" w:styleId="893">
    <w:name w:val="big1"/>
    <w:qFormat/>
    <w:uiPriority w:val="0"/>
    <w:rPr>
      <w:rFonts w:hint="eastAsia" w:ascii="宋体" w:hAnsi="宋体" w:eastAsia="宋体"/>
      <w:color w:val="333333"/>
      <w:sz w:val="22"/>
      <w:szCs w:val="22"/>
    </w:rPr>
  </w:style>
  <w:style w:type="character" w:customStyle="1" w:styleId="894">
    <w:name w:val="Char Char311"/>
    <w:qFormat/>
    <w:uiPriority w:val="0"/>
    <w:rPr>
      <w:rFonts w:eastAsia="宋体"/>
      <w:kern w:val="2"/>
      <w:sz w:val="21"/>
      <w:szCs w:val="24"/>
      <w:lang w:val="en-US" w:eastAsia="zh-CN" w:bidi="ar-SA"/>
    </w:rPr>
  </w:style>
  <w:style w:type="character" w:customStyle="1" w:styleId="895">
    <w:name w:val="Char Char81"/>
    <w:qFormat/>
    <w:uiPriority w:val="6"/>
    <w:rPr>
      <w:rFonts w:eastAsia="宋体"/>
      <w:b/>
      <w:sz w:val="24"/>
      <w:lang w:eastAsia="zh-CN"/>
    </w:rPr>
  </w:style>
  <w:style w:type="character" w:customStyle="1" w:styleId="896">
    <w:name w:val="样式3 Char"/>
    <w:qFormat/>
    <w:uiPriority w:val="0"/>
    <w:rPr>
      <w:rFonts w:ascii="仿宋_GB2312" w:hAnsi="仿宋" w:eastAsia="仿宋_GB2312" w:cs="仿宋_GB2312"/>
      <w:sz w:val="32"/>
      <w:szCs w:val="30"/>
      <w:lang w:val="zh-CN"/>
    </w:rPr>
  </w:style>
  <w:style w:type="character" w:customStyle="1" w:styleId="897">
    <w:name w:val="正文首行缩进 2 Char1"/>
    <w:qFormat/>
    <w:uiPriority w:val="0"/>
    <w:rPr>
      <w:rFonts w:ascii="Times New Roman" w:hAnsi="Times New Roman" w:eastAsia="宋体" w:cs="Times New Roman"/>
      <w:kern w:val="2"/>
      <w:sz w:val="24"/>
      <w:szCs w:val="24"/>
    </w:rPr>
  </w:style>
  <w:style w:type="character" w:customStyle="1" w:styleId="898">
    <w:name w:val="副标题 Char2"/>
    <w:qFormat/>
    <w:uiPriority w:val="0"/>
    <w:rPr>
      <w:rFonts w:ascii="Cambria" w:hAnsi="Cambria" w:eastAsia="宋体" w:cs="Times New Roman"/>
      <w:b/>
      <w:bCs/>
      <w:snapToGrid w:val="0"/>
      <w:kern w:val="28"/>
      <w:sz w:val="32"/>
      <w:szCs w:val="32"/>
    </w:rPr>
  </w:style>
  <w:style w:type="character" w:customStyle="1" w:styleId="899">
    <w:name w:val="标题4-dyf Char"/>
    <w:link w:val="120"/>
    <w:qFormat/>
    <w:uiPriority w:val="0"/>
    <w:rPr>
      <w:rFonts w:ascii="Cambria" w:hAnsi="Cambria"/>
      <w:b/>
      <w:bCs/>
      <w:color w:val="000000"/>
      <w:kern w:val="2"/>
      <w:sz w:val="21"/>
      <w:szCs w:val="21"/>
    </w:rPr>
  </w:style>
  <w:style w:type="character" w:customStyle="1" w:styleId="900">
    <w:name w:val="dectext1"/>
    <w:qFormat/>
    <w:uiPriority w:val="0"/>
    <w:rPr>
      <w:rFonts w:ascii="宋体" w:hAnsi="宋体" w:eastAsia="宋体"/>
      <w:color w:val="333333"/>
      <w:sz w:val="21"/>
      <w:szCs w:val="21"/>
      <w:u w:val="none"/>
    </w:rPr>
  </w:style>
  <w:style w:type="character" w:customStyle="1" w:styleId="901">
    <w:name w:val="冯 Char"/>
    <w:link w:val="121"/>
    <w:qFormat/>
    <w:uiPriority w:val="0"/>
    <w:rPr>
      <w:rFonts w:ascii="宋体" w:hAnsi="宋体"/>
      <w:color w:val="000000"/>
      <w:sz w:val="24"/>
      <w:szCs w:val="24"/>
    </w:rPr>
  </w:style>
  <w:style w:type="character" w:customStyle="1" w:styleId="902">
    <w:name w:val="Header Char"/>
    <w:qFormat/>
    <w:locked/>
    <w:uiPriority w:val="0"/>
    <w:rPr>
      <w:rFonts w:eastAsia="宋体"/>
      <w:kern w:val="2"/>
      <w:sz w:val="18"/>
      <w:szCs w:val="18"/>
      <w:lang w:val="en-US" w:eastAsia="zh-CN" w:bidi="ar-SA"/>
    </w:rPr>
  </w:style>
  <w:style w:type="character" w:customStyle="1" w:styleId="903">
    <w:name w:val="Char Char12"/>
    <w:qFormat/>
    <w:uiPriority w:val="0"/>
    <w:rPr>
      <w:rFonts w:ascii="仿宋_GB2312" w:eastAsia="仿宋_GB2312"/>
      <w:b/>
      <w:bCs/>
      <w:kern w:val="2"/>
      <w:sz w:val="24"/>
      <w:szCs w:val="24"/>
      <w:lang w:val="zh-CN" w:eastAsia="zh-CN" w:bidi="ar-SA"/>
    </w:rPr>
  </w:style>
  <w:style w:type="character" w:customStyle="1" w:styleId="904">
    <w:name w:val="普通文字 Char3"/>
    <w:qFormat/>
    <w:uiPriority w:val="0"/>
    <w:rPr>
      <w:rFonts w:ascii="宋体" w:hAnsi="Courier New" w:eastAsia="宋体"/>
      <w:kern w:val="2"/>
      <w:sz w:val="21"/>
      <w:lang w:val="en-US" w:eastAsia="zh-CN" w:bidi="ar-SA"/>
    </w:rPr>
  </w:style>
  <w:style w:type="character" w:customStyle="1" w:styleId="905">
    <w:name w:val="公文正文 Char"/>
    <w:qFormat/>
    <w:uiPriority w:val="0"/>
    <w:rPr>
      <w:rFonts w:ascii="仿宋_GB2312" w:eastAsia="仿宋_GB2312"/>
      <w:kern w:val="2"/>
      <w:sz w:val="24"/>
      <w:szCs w:val="24"/>
      <w:lang w:val="en-US" w:eastAsia="zh-CN" w:bidi="ar-SA"/>
    </w:rPr>
  </w:style>
  <w:style w:type="character" w:customStyle="1" w:styleId="906">
    <w:name w:val="正文首行缩进 Char Char Char Char Char"/>
    <w:qFormat/>
    <w:uiPriority w:val="0"/>
    <w:rPr>
      <w:rFonts w:ascii="宋体"/>
      <w:kern w:val="2"/>
      <w:sz w:val="24"/>
      <w:lang w:val="zh-CN"/>
    </w:rPr>
  </w:style>
  <w:style w:type="character" w:customStyle="1" w:styleId="907">
    <w:name w:val="PI Char"/>
    <w:qFormat/>
    <w:uiPriority w:val="0"/>
    <w:rPr>
      <w:rFonts w:ascii="宋体" w:hAnsi="宋体" w:eastAsia="宋体"/>
      <w:kern w:val="2"/>
      <w:sz w:val="24"/>
      <w:szCs w:val="24"/>
      <w:lang w:val="en-US" w:eastAsia="zh-CN" w:bidi="ar-SA"/>
    </w:rPr>
  </w:style>
  <w:style w:type="character" w:customStyle="1" w:styleId="908">
    <w:name w:val="style91"/>
    <w:qFormat/>
    <w:uiPriority w:val="0"/>
    <w:rPr>
      <w:color w:val="333333"/>
    </w:rPr>
  </w:style>
  <w:style w:type="character" w:customStyle="1" w:styleId="909">
    <w:name w:val="列出段落 Char2"/>
    <w:qFormat/>
    <w:uiPriority w:val="34"/>
    <w:rPr>
      <w:rFonts w:ascii="Calibri" w:hAnsi="Calibri"/>
      <w:kern w:val="2"/>
      <w:sz w:val="28"/>
    </w:rPr>
  </w:style>
  <w:style w:type="character" w:customStyle="1" w:styleId="910">
    <w:name w:val="mdeck"/>
    <w:qFormat/>
    <w:uiPriority w:val="0"/>
    <w:rPr>
      <w:rFonts w:ascii="仿宋_GB2312" w:eastAsia="微软雅黑"/>
      <w:b/>
      <w:kern w:val="2"/>
      <w:sz w:val="32"/>
      <w:szCs w:val="32"/>
      <w:lang w:val="en-US" w:eastAsia="zh-CN" w:bidi="ar-SA"/>
    </w:rPr>
  </w:style>
  <w:style w:type="character" w:customStyle="1" w:styleId="911">
    <w:name w:val="unnamed11"/>
    <w:qFormat/>
    <w:uiPriority w:val="0"/>
    <w:rPr>
      <w:sz w:val="20"/>
      <w:szCs w:val="20"/>
    </w:rPr>
  </w:style>
  <w:style w:type="character" w:customStyle="1" w:styleId="912">
    <w:name w:val="正文文本 Char2"/>
    <w:semiHidden/>
    <w:qFormat/>
    <w:uiPriority w:val="99"/>
    <w:rPr>
      <w:rFonts w:ascii="Times New Roman" w:hAnsi="Times New Roman" w:eastAsia="宋体" w:cs="Times New Roman"/>
      <w:snapToGrid w:val="0"/>
      <w:kern w:val="0"/>
      <w:szCs w:val="24"/>
    </w:rPr>
  </w:style>
  <w:style w:type="character" w:customStyle="1" w:styleId="913">
    <w:name w:val="标书正文格式 Char"/>
    <w:qFormat/>
    <w:uiPriority w:val="0"/>
    <w:rPr>
      <w:rFonts w:eastAsia="楷体_GB2312"/>
      <w:kern w:val="2"/>
      <w:sz w:val="24"/>
      <w:szCs w:val="24"/>
      <w:lang w:bidi="ar-SA"/>
    </w:rPr>
  </w:style>
  <w:style w:type="character" w:customStyle="1" w:styleId="914">
    <w:name w:val="Char Char11"/>
    <w:qFormat/>
    <w:locked/>
    <w:uiPriority w:val="0"/>
    <w:rPr>
      <w:rFonts w:ascii="宋体" w:hAnsi="宋体" w:eastAsia="宋体"/>
      <w:b/>
      <w:kern w:val="2"/>
      <w:sz w:val="24"/>
      <w:szCs w:val="24"/>
      <w:lang w:val="en-US" w:eastAsia="zh-CN" w:bidi="ar-SA"/>
    </w:rPr>
  </w:style>
  <w:style w:type="character" w:customStyle="1" w:styleId="915">
    <w:name w:val="ca-131"/>
    <w:qFormat/>
    <w:uiPriority w:val="0"/>
    <w:rPr>
      <w:rFonts w:hint="eastAsia" w:ascii="仿宋_GB2312" w:eastAsia="仿宋_GB2312"/>
      <w:b/>
      <w:bCs/>
      <w:color w:val="000000"/>
      <w:spacing w:val="-20"/>
      <w:sz w:val="24"/>
      <w:szCs w:val="24"/>
    </w:rPr>
  </w:style>
  <w:style w:type="character" w:customStyle="1" w:styleId="916">
    <w:name w:val="tw4winMark"/>
    <w:qFormat/>
    <w:uiPriority w:val="0"/>
    <w:rPr>
      <w:rFonts w:ascii="Courier New" w:hAnsi="Courier New" w:cs="Courier New"/>
      <w:vanish/>
      <w:color w:val="800080"/>
      <w:sz w:val="24"/>
      <w:szCs w:val="24"/>
      <w:vertAlign w:val="subscript"/>
    </w:rPr>
  </w:style>
  <w:style w:type="character" w:customStyle="1" w:styleId="917">
    <w:name w:val="正文样式 Char"/>
    <w:link w:val="122"/>
    <w:qFormat/>
    <w:uiPriority w:val="0"/>
    <w:rPr>
      <w:rFonts w:ascii="Calibri" w:hAnsi="Calibri"/>
      <w:sz w:val="24"/>
      <w:szCs w:val="24"/>
    </w:rPr>
  </w:style>
  <w:style w:type="character" w:customStyle="1" w:styleId="918">
    <w:name w:val="表正文 Char3"/>
    <w:qFormat/>
    <w:uiPriority w:val="0"/>
    <w:rPr>
      <w:rFonts w:eastAsia="宋体"/>
    </w:rPr>
  </w:style>
  <w:style w:type="character" w:customStyle="1" w:styleId="919">
    <w:name w:val="H5 Char"/>
    <w:qFormat/>
    <w:uiPriority w:val="0"/>
    <w:rPr>
      <w:b/>
      <w:bCs/>
      <w:kern w:val="2"/>
      <w:sz w:val="28"/>
      <w:szCs w:val="28"/>
    </w:rPr>
  </w:style>
  <w:style w:type="character" w:customStyle="1" w:styleId="920">
    <w:name w:val="Char Char3"/>
    <w:qFormat/>
    <w:uiPriority w:val="0"/>
    <w:rPr>
      <w:rFonts w:eastAsia="宋体"/>
      <w:kern w:val="2"/>
      <w:sz w:val="21"/>
      <w:szCs w:val="24"/>
      <w:lang w:val="en-US" w:eastAsia="zh-CN" w:bidi="ar-SA"/>
    </w:rPr>
  </w:style>
  <w:style w:type="character" w:customStyle="1" w:styleId="921">
    <w:name w:val="正文 编号 Char"/>
    <w:qFormat/>
    <w:uiPriority w:val="0"/>
    <w:rPr>
      <w:rFonts w:ascii="仿宋_GB2312" w:hAnsi="仿宋_GB2312" w:eastAsia="仿宋_GB2312"/>
      <w:kern w:val="2"/>
      <w:sz w:val="24"/>
      <w:lang w:bidi="ar-SA"/>
    </w:rPr>
  </w:style>
  <w:style w:type="character" w:customStyle="1" w:styleId="922">
    <w:name w:val="question-title2"/>
    <w:qFormat/>
    <w:uiPriority w:val="6"/>
    <w:rPr>
      <w:rFonts w:ascii="Arial" w:hAnsi="Arial" w:eastAsia="黑体" w:cs="Arial"/>
      <w:snapToGrid w:val="0"/>
      <w:kern w:val="0"/>
      <w:szCs w:val="21"/>
    </w:rPr>
  </w:style>
  <w:style w:type="character" w:customStyle="1" w:styleId="923">
    <w:name w:val="gf正文1 Char Char"/>
    <w:link w:val="123"/>
    <w:qFormat/>
    <w:uiPriority w:val="0"/>
    <w:rPr>
      <w:rFonts w:ascii="宋体" w:hAnsi="宋体" w:cs="宋体"/>
      <w:kern w:val="2"/>
      <w:sz w:val="24"/>
      <w:szCs w:val="24"/>
    </w:rPr>
  </w:style>
  <w:style w:type="character" w:customStyle="1" w:styleId="924">
    <w:name w:val="Char Char15"/>
    <w:qFormat/>
    <w:uiPriority w:val="6"/>
    <w:rPr>
      <w:rFonts w:ascii="宋体" w:hAnsi="宋体"/>
      <w:kern w:val="1"/>
      <w:sz w:val="21"/>
    </w:rPr>
  </w:style>
  <w:style w:type="character" w:customStyle="1" w:styleId="925">
    <w:name w:val="正文缩进 Char3"/>
    <w:qFormat/>
    <w:uiPriority w:val="0"/>
    <w:rPr>
      <w:rFonts w:ascii="宋体" w:eastAsia="宋体"/>
      <w:snapToGrid w:val="0"/>
      <w:color w:val="000000"/>
      <w:kern w:val="28"/>
      <w:sz w:val="28"/>
      <w:lang w:val="en-US" w:eastAsia="zh-CN" w:bidi="ar-SA"/>
    </w:rPr>
  </w:style>
  <w:style w:type="character" w:customStyle="1" w:styleId="926">
    <w:name w:val="列出段落 Char1"/>
    <w:link w:val="124"/>
    <w:qFormat/>
    <w:uiPriority w:val="0"/>
    <w:rPr>
      <w:rFonts w:ascii="Calibri" w:hAnsi="Calibri"/>
      <w:sz w:val="24"/>
      <w:lang w:eastAsia="en-US"/>
    </w:rPr>
  </w:style>
  <w:style w:type="character" w:customStyle="1" w:styleId="927">
    <w:name w:val="列表段落 字符1"/>
    <w:link w:val="125"/>
    <w:qFormat/>
    <w:locked/>
    <w:uiPriority w:val="34"/>
    <w:rPr>
      <w:rFonts w:eastAsia="楷体_GB2312" w:cs="Lucida Sans"/>
      <w:kern w:val="2"/>
      <w:sz w:val="24"/>
      <w:szCs w:val="24"/>
    </w:rPr>
  </w:style>
  <w:style w:type="character" w:customStyle="1" w:styleId="928">
    <w:name w:val="Char Char8"/>
    <w:qFormat/>
    <w:uiPriority w:val="0"/>
    <w:rPr>
      <w:rFonts w:eastAsia="宋体"/>
      <w:b/>
      <w:sz w:val="24"/>
      <w:lang w:eastAsia="zh-CN"/>
    </w:rPr>
  </w:style>
  <w:style w:type="character" w:customStyle="1" w:styleId="929">
    <w:name w:val="Normal Indent Char Char"/>
    <w:qFormat/>
    <w:uiPriority w:val="0"/>
    <w:rPr>
      <w:rFonts w:eastAsia="宋体"/>
      <w:kern w:val="2"/>
      <w:sz w:val="21"/>
      <w:lang w:val="en-US" w:eastAsia="zh-CN" w:bidi="ar-SA"/>
    </w:rPr>
  </w:style>
  <w:style w:type="character" w:customStyle="1" w:styleId="930">
    <w:name w:val="列表段落 字符"/>
    <w:qFormat/>
    <w:uiPriority w:val="0"/>
  </w:style>
  <w:style w:type="character" w:customStyle="1" w:styleId="931">
    <w:name w:val="Ò³Ã¼ Char Char1"/>
    <w:qFormat/>
    <w:uiPriority w:val="0"/>
    <w:rPr>
      <w:rFonts w:eastAsia="宋体"/>
      <w:kern w:val="2"/>
      <w:sz w:val="18"/>
      <w:szCs w:val="18"/>
      <w:lang w:val="en-US" w:eastAsia="zh-CN" w:bidi="ar-SA"/>
    </w:rPr>
  </w:style>
  <w:style w:type="character" w:customStyle="1" w:styleId="932">
    <w:name w:val="方案正文 Char"/>
    <w:qFormat/>
    <w:uiPriority w:val="0"/>
    <w:rPr>
      <w:rFonts w:ascii="仿宋_GB2312" w:eastAsia="仿宋_GB2312"/>
      <w:b/>
      <w:color w:val="000000"/>
      <w:kern w:val="2"/>
      <w:sz w:val="24"/>
      <w:lang w:val="en-US" w:eastAsia="zh-CN" w:bidi="ar-SA"/>
    </w:rPr>
  </w:style>
  <w:style w:type="character" w:customStyle="1" w:styleId="933">
    <w:name w:val="Char Char30"/>
    <w:qFormat/>
    <w:uiPriority w:val="6"/>
    <w:rPr>
      <w:rFonts w:ascii="Arial" w:hAnsi="Arial" w:eastAsia="黑体"/>
      <w:kern w:val="1"/>
      <w:sz w:val="21"/>
      <w:szCs w:val="21"/>
    </w:rPr>
  </w:style>
  <w:style w:type="character" w:customStyle="1" w:styleId="934">
    <w:name w:val="font01"/>
    <w:qFormat/>
    <w:uiPriority w:val="0"/>
    <w:rPr>
      <w:rFonts w:hint="eastAsia" w:ascii="微软雅黑" w:hAnsi="微软雅黑" w:eastAsia="微软雅黑" w:cs="微软雅黑"/>
      <w:color w:val="000000"/>
      <w:sz w:val="20"/>
      <w:szCs w:val="20"/>
      <w:u w:val="none"/>
    </w:rPr>
  </w:style>
  <w:style w:type="character" w:customStyle="1" w:styleId="935">
    <w:name w:val="Char Char20"/>
    <w:qFormat/>
    <w:uiPriority w:val="6"/>
    <w:rPr>
      <w:kern w:val="1"/>
      <w:sz w:val="24"/>
    </w:rPr>
  </w:style>
  <w:style w:type="character" w:customStyle="1" w:styleId="936">
    <w:name w:val="tw4winExternal"/>
    <w:qFormat/>
    <w:uiPriority w:val="0"/>
    <w:rPr>
      <w:rFonts w:ascii="Courier New" w:hAnsi="Courier New" w:cs="Courier New"/>
      <w:color w:val="808080"/>
      <w:lang w:val="en-US" w:eastAsia="zh-CN"/>
    </w:rPr>
  </w:style>
  <w:style w:type="character" w:customStyle="1" w:styleId="937">
    <w:name w:val="标题 4 Char1"/>
    <w:qFormat/>
    <w:uiPriority w:val="9"/>
    <w:rPr>
      <w:rFonts w:ascii="Cambria" w:hAnsi="Cambria" w:eastAsia="宋体" w:cs="Times New Roman"/>
      <w:b/>
      <w:bCs/>
      <w:kern w:val="2"/>
      <w:sz w:val="28"/>
      <w:szCs w:val="28"/>
    </w:rPr>
  </w:style>
  <w:style w:type="character" w:customStyle="1" w:styleId="938">
    <w:name w:val="批注文字 Char2"/>
    <w:qFormat/>
    <w:uiPriority w:val="99"/>
    <w:rPr>
      <w:rFonts w:ascii="Times New Roman" w:hAnsi="Times New Roman" w:eastAsia="宋体" w:cs="Times New Roman"/>
      <w:snapToGrid w:val="0"/>
      <w:kern w:val="0"/>
      <w:szCs w:val="24"/>
    </w:rPr>
  </w:style>
  <w:style w:type="character" w:customStyle="1" w:styleId="939">
    <w:name w:val="正文文本 2 Char"/>
    <w:qFormat/>
    <w:uiPriority w:val="0"/>
    <w:rPr>
      <w:rFonts w:eastAsia="宋体"/>
      <w:kern w:val="2"/>
      <w:sz w:val="21"/>
      <w:szCs w:val="24"/>
      <w:lang w:val="en-US" w:eastAsia="zh-CN" w:bidi="ar-SA"/>
    </w:rPr>
  </w:style>
  <w:style w:type="character" w:customStyle="1" w:styleId="940">
    <w:name w:val="Ò³Ã¼ Char Char"/>
    <w:qFormat/>
    <w:uiPriority w:val="0"/>
    <w:rPr>
      <w:rFonts w:eastAsia="宋体"/>
      <w:kern w:val="2"/>
      <w:sz w:val="18"/>
      <w:lang w:val="en-US" w:eastAsia="zh-CN" w:bidi="ar-SA"/>
    </w:rPr>
  </w:style>
  <w:style w:type="character" w:customStyle="1" w:styleId="941">
    <w:name w:val="message1"/>
    <w:qFormat/>
    <w:uiPriority w:val="0"/>
    <w:rPr>
      <w:rFonts w:hint="default" w:ascii="Tahoma" w:hAnsi="Tahoma" w:cs="Tahoma"/>
      <w:sz w:val="18"/>
      <w:szCs w:val="18"/>
    </w:rPr>
  </w:style>
  <w:style w:type="character" w:customStyle="1" w:styleId="942">
    <w:name w:val="Char Char23"/>
    <w:qFormat/>
    <w:uiPriority w:val="6"/>
    <w:rPr>
      <w:color w:val="0000FF"/>
      <w:sz w:val="21"/>
    </w:rPr>
  </w:style>
  <w:style w:type="character" w:customStyle="1" w:styleId="943">
    <w:name w:val="批注框文本 字符"/>
    <w:qFormat/>
    <w:uiPriority w:val="0"/>
    <w:rPr>
      <w:rFonts w:ascii="Arial" w:hAnsi="Arial" w:eastAsia="黑体" w:cs="Arial"/>
      <w:snapToGrid w:val="0"/>
      <w:kern w:val="0"/>
      <w:sz w:val="18"/>
      <w:szCs w:val="18"/>
    </w:rPr>
  </w:style>
  <w:style w:type="character" w:customStyle="1" w:styleId="944">
    <w:name w:val="纯文本 Char2"/>
    <w:semiHidden/>
    <w:qFormat/>
    <w:uiPriority w:val="99"/>
    <w:rPr>
      <w:rFonts w:ascii="宋体" w:hAnsi="Courier New" w:eastAsia="宋体" w:cs="Courier New"/>
    </w:rPr>
  </w:style>
  <w:style w:type="character" w:customStyle="1" w:styleId="945">
    <w:name w:val="Char Char25"/>
    <w:qFormat/>
    <w:uiPriority w:val="6"/>
    <w:rPr>
      <w:rFonts w:ascii="宋体" w:hAnsi="宋体"/>
      <w:kern w:val="1"/>
      <w:sz w:val="24"/>
      <w:lang w:val="zh-CN"/>
    </w:rPr>
  </w:style>
  <w:style w:type="character" w:customStyle="1" w:styleId="946">
    <w:name w:val="Char Char411"/>
    <w:qFormat/>
    <w:uiPriority w:val="0"/>
    <w:rPr>
      <w:rFonts w:eastAsia="宋体"/>
      <w:b/>
      <w:sz w:val="24"/>
      <w:lang w:eastAsia="zh-CN" w:bidi="ar-SA"/>
    </w:rPr>
  </w:style>
  <w:style w:type="character" w:customStyle="1" w:styleId="947">
    <w:name w:val="Heading 7 Char"/>
    <w:qFormat/>
    <w:locked/>
    <w:uiPriority w:val="0"/>
    <w:rPr>
      <w:rFonts w:ascii="宋体" w:hAnsi="宋体" w:eastAsia="宋体"/>
      <w:b/>
      <w:bCs/>
      <w:kern w:val="2"/>
      <w:sz w:val="24"/>
      <w:szCs w:val="24"/>
      <w:lang w:val="en-US" w:eastAsia="zh-CN" w:bidi="ar-SA"/>
    </w:rPr>
  </w:style>
  <w:style w:type="character" w:customStyle="1" w:styleId="948">
    <w:name w:val="此正文 Char"/>
    <w:link w:val="126"/>
    <w:qFormat/>
    <w:uiPriority w:val="0"/>
    <w:rPr>
      <w:kern w:val="2"/>
      <w:sz w:val="24"/>
      <w:szCs w:val="24"/>
    </w:rPr>
  </w:style>
  <w:style w:type="character" w:customStyle="1" w:styleId="949">
    <w:name w:val="Char Char2"/>
    <w:qFormat/>
    <w:uiPriority w:val="0"/>
    <w:rPr>
      <w:rFonts w:eastAsia="宋体"/>
      <w:b/>
      <w:bCs/>
      <w:kern w:val="2"/>
      <w:sz w:val="21"/>
      <w:szCs w:val="24"/>
      <w:lang w:val="en-US" w:eastAsia="zh-CN" w:bidi="ar-SA"/>
    </w:rPr>
  </w:style>
  <w:style w:type="character" w:customStyle="1" w:styleId="950">
    <w:name w:val="Footer-Even Char1"/>
    <w:qFormat/>
    <w:uiPriority w:val="0"/>
    <w:rPr>
      <w:rFonts w:eastAsia="宋体"/>
      <w:kern w:val="2"/>
      <w:sz w:val="18"/>
      <w:szCs w:val="18"/>
      <w:lang w:val="en-US" w:eastAsia="zh-CN" w:bidi="ar-SA"/>
    </w:rPr>
  </w:style>
  <w:style w:type="character" w:customStyle="1" w:styleId="951">
    <w:name w:val="Char Char29"/>
    <w:qFormat/>
    <w:uiPriority w:val="6"/>
    <w:rPr>
      <w:rFonts w:ascii="Arial" w:hAnsi="Arial" w:eastAsia="微软雅黑"/>
      <w:b/>
      <w:kern w:val="1"/>
      <w:sz w:val="44"/>
      <w:szCs w:val="32"/>
      <w:lang w:val="en-US" w:eastAsia="zh-CN" w:bidi="ar-SA"/>
    </w:rPr>
  </w:style>
  <w:style w:type="character" w:customStyle="1" w:styleId="952">
    <w:name w:val="font81"/>
    <w:qFormat/>
    <w:uiPriority w:val="0"/>
    <w:rPr>
      <w:rFonts w:ascii="微软雅黑" w:hAnsi="微软雅黑" w:eastAsia="微软雅黑" w:cs="微软雅黑"/>
      <w:color w:val="000000"/>
      <w:sz w:val="20"/>
      <w:szCs w:val="20"/>
      <w:u w:val="none"/>
    </w:rPr>
  </w:style>
  <w:style w:type="character" w:customStyle="1" w:styleId="953">
    <w:name w:val="Char Char312"/>
    <w:qFormat/>
    <w:uiPriority w:val="0"/>
    <w:rPr>
      <w:rFonts w:ascii="Times New Roman" w:hAnsi="Times New Roman" w:eastAsia="宋体" w:cs="Times New Roman"/>
      <w:b/>
      <w:kern w:val="2"/>
      <w:sz w:val="32"/>
      <w:szCs w:val="24"/>
      <w:lang w:val="en-US" w:eastAsia="zh-CN" w:bidi="ar-SA"/>
    </w:rPr>
  </w:style>
  <w:style w:type="character" w:customStyle="1" w:styleId="954">
    <w:name w:val="t21"/>
    <w:qFormat/>
    <w:uiPriority w:val="0"/>
    <w:rPr>
      <w:rFonts w:ascii="仿宋_GB2312" w:eastAsia="微软雅黑"/>
      <w:b/>
      <w:kern w:val="2"/>
      <w:sz w:val="23"/>
      <w:szCs w:val="23"/>
      <w:lang w:val="en-US" w:eastAsia="zh-CN" w:bidi="ar-SA"/>
    </w:rPr>
  </w:style>
  <w:style w:type="character" w:customStyle="1" w:styleId="955">
    <w:name w:val="样式8 Char"/>
    <w:qFormat/>
    <w:uiPriority w:val="0"/>
    <w:rPr>
      <w:rFonts w:ascii="仿宋_GB2312" w:hAnsi="宋体" w:eastAsia="仿宋_GB2312"/>
      <w:b/>
      <w:bCs/>
      <w:kern w:val="2"/>
      <w:sz w:val="24"/>
      <w:szCs w:val="24"/>
    </w:rPr>
  </w:style>
  <w:style w:type="character" w:customStyle="1" w:styleId="956">
    <w:name w:val="表格 Char Char"/>
    <w:qFormat/>
    <w:uiPriority w:val="0"/>
    <w:rPr>
      <w:rFonts w:ascii="宋体" w:hAnsi="宋体" w:eastAsia="宋体"/>
      <w:lang w:bidi="ar-SA"/>
    </w:rPr>
  </w:style>
  <w:style w:type="character" w:customStyle="1" w:styleId="957">
    <w:name w:val="正文文本 字符1"/>
    <w:qFormat/>
    <w:uiPriority w:val="99"/>
    <w:rPr>
      <w:rFonts w:ascii="Calibri" w:hAnsi="Calibri" w:eastAsia="黑体" w:cs="Arial"/>
      <w:snapToGrid w:val="0"/>
      <w:kern w:val="2"/>
      <w:sz w:val="28"/>
      <w:szCs w:val="21"/>
    </w:rPr>
  </w:style>
  <w:style w:type="character" w:customStyle="1" w:styleId="958">
    <w:name w:val="标题 6 Char1"/>
    <w:qFormat/>
    <w:uiPriority w:val="0"/>
    <w:rPr>
      <w:rFonts w:ascii="Arial" w:hAnsi="Arial" w:eastAsia="黑体" w:cs="Times New Roman"/>
      <w:b/>
      <w:sz w:val="24"/>
      <w:szCs w:val="20"/>
      <w:lang w:bidi="ar-SA"/>
    </w:rPr>
  </w:style>
  <w:style w:type="character" w:customStyle="1" w:styleId="959">
    <w:name w:val="带编号样式 Char"/>
    <w:qFormat/>
    <w:uiPriority w:val="0"/>
    <w:rPr>
      <w:rFonts w:ascii="仿宋_GB2312" w:eastAsia="仿宋_GB2312"/>
      <w:color w:val="000000"/>
      <w:sz w:val="24"/>
      <w:lang w:bidi="ar-SA"/>
    </w:rPr>
  </w:style>
  <w:style w:type="character" w:customStyle="1" w:styleId="960">
    <w:name w:val="unnamed31"/>
    <w:qFormat/>
    <w:uiPriority w:val="0"/>
    <w:rPr>
      <w:rFonts w:ascii="Tahoma" w:hAnsi="Tahoma" w:eastAsia="宋体"/>
      <w:b/>
      <w:kern w:val="2"/>
      <w:sz w:val="24"/>
      <w:szCs w:val="32"/>
      <w:u w:val="none"/>
      <w:lang w:val="en-US" w:eastAsia="zh-CN" w:bidi="ar-SA"/>
    </w:rPr>
  </w:style>
  <w:style w:type="character" w:customStyle="1" w:styleId="961">
    <w:name w:val="正文首行缩进 Char Char Char Char Char Char1"/>
    <w:qFormat/>
    <w:uiPriority w:val="0"/>
    <w:rPr>
      <w:rFonts w:ascii="宋体" w:eastAsia="宋体"/>
      <w:kern w:val="2"/>
      <w:sz w:val="24"/>
      <w:szCs w:val="24"/>
      <w:lang w:val="zh-CN" w:bidi="ar-SA"/>
    </w:rPr>
  </w:style>
  <w:style w:type="character" w:customStyle="1" w:styleId="962">
    <w:name w:val="文本正文 Char Char"/>
    <w:qFormat/>
    <w:locked/>
    <w:uiPriority w:val="0"/>
    <w:rPr>
      <w:sz w:val="24"/>
      <w:lang w:bidi="ar-SA"/>
    </w:rPr>
  </w:style>
  <w:style w:type="character" w:customStyle="1" w:styleId="963">
    <w:name w:val="正文缩进 字符"/>
    <w:qFormat/>
    <w:uiPriority w:val="0"/>
    <w:rPr>
      <w:rFonts w:ascii="宋体" w:eastAsia="宋体"/>
      <w:snapToGrid w:val="0"/>
      <w:color w:val="000000"/>
      <w:kern w:val="28"/>
      <w:sz w:val="28"/>
      <w:lang w:val="en-US" w:eastAsia="zh-CN" w:bidi="ar-SA"/>
    </w:rPr>
  </w:style>
  <w:style w:type="character" w:customStyle="1" w:styleId="964">
    <w:name w:val="样式 样式 标题 4h4H4Fab-4T5Ref Heading 1rh1Heading sqlsect 1.2.3.... +... Char"/>
    <w:link w:val="127"/>
    <w:qFormat/>
    <w:uiPriority w:val="0"/>
    <w:rPr>
      <w:rFonts w:ascii="微软雅黑" w:hAnsi="微软雅黑" w:eastAsia="微软雅黑"/>
      <w:b/>
      <w:bCs/>
      <w:kern w:val="2"/>
      <w:sz w:val="24"/>
      <w:szCs w:val="28"/>
    </w:rPr>
  </w:style>
  <w:style w:type="character" w:customStyle="1" w:styleId="965">
    <w:name w:val="样式 标题 4h4H4Fab-4T5Ref Heading 1rh1Heading sqlsect 1.2.3.... Char"/>
    <w:link w:val="128"/>
    <w:qFormat/>
    <w:uiPriority w:val="0"/>
    <w:rPr>
      <w:rFonts w:ascii="微软雅黑" w:hAnsi="微软雅黑" w:eastAsia="微软雅黑"/>
      <w:b/>
      <w:bCs/>
      <w:kern w:val="2"/>
      <w:sz w:val="24"/>
      <w:szCs w:val="28"/>
    </w:rPr>
  </w:style>
  <w:style w:type="character" w:customStyle="1" w:styleId="966">
    <w:name w:val="正文非缩进 Char"/>
    <w:qFormat/>
    <w:uiPriority w:val="0"/>
    <w:rPr>
      <w:rFonts w:ascii="宋体" w:eastAsia="宋体"/>
      <w:snapToGrid w:val="0"/>
      <w:color w:val="000000"/>
      <w:kern w:val="28"/>
      <w:sz w:val="28"/>
      <w:lang w:val="en-US" w:eastAsia="zh-CN" w:bidi="ar-SA"/>
    </w:rPr>
  </w:style>
  <w:style w:type="character" w:customStyle="1" w:styleId="967">
    <w:name w:val="Char Char5"/>
    <w:qFormat/>
    <w:uiPriority w:val="0"/>
    <w:rPr>
      <w:rFonts w:ascii="宋体" w:hAnsi="Courier New" w:eastAsia="宋体"/>
      <w:kern w:val="2"/>
      <w:sz w:val="21"/>
      <w:lang w:val="en-US" w:eastAsia="zh-CN"/>
    </w:rPr>
  </w:style>
  <w:style w:type="character" w:customStyle="1" w:styleId="968">
    <w:name w:val="称呼 Char1"/>
    <w:qFormat/>
    <w:uiPriority w:val="0"/>
    <w:rPr>
      <w:rFonts w:ascii="Times New Roman" w:hAnsi="Times New Roman" w:eastAsia="宋体" w:cs="Times New Roman"/>
      <w:szCs w:val="24"/>
    </w:rPr>
  </w:style>
  <w:style w:type="character" w:customStyle="1" w:styleId="969">
    <w:name w:val="正文1 Char"/>
    <w:qFormat/>
    <w:uiPriority w:val="0"/>
    <w:rPr>
      <w:rFonts w:ascii="宋体" w:eastAsia="宋体"/>
      <w:snapToGrid w:val="0"/>
      <w:color w:val="000000"/>
      <w:kern w:val="28"/>
      <w:sz w:val="28"/>
      <w:lang w:val="en-US" w:eastAsia="zh-CN" w:bidi="ar-SA"/>
    </w:rPr>
  </w:style>
  <w:style w:type="character" w:customStyle="1" w:styleId="970">
    <w:name w:val="正文缩进 Char1"/>
    <w:qFormat/>
    <w:uiPriority w:val="0"/>
    <w:rPr>
      <w:rFonts w:ascii="宋体" w:eastAsia="宋体"/>
      <w:snapToGrid w:val="0"/>
      <w:color w:val="000000"/>
      <w:kern w:val="28"/>
      <w:sz w:val="28"/>
      <w:lang w:val="en-US" w:eastAsia="zh-CN" w:bidi="ar-SA"/>
    </w:rPr>
  </w:style>
  <w:style w:type="character" w:customStyle="1" w:styleId="971">
    <w:name w:val="font21"/>
    <w:qFormat/>
    <w:uiPriority w:val="0"/>
    <w:rPr>
      <w:rFonts w:hint="eastAsia" w:ascii="宋体" w:hAnsi="宋体" w:eastAsia="宋体"/>
      <w:kern w:val="2"/>
      <w:sz w:val="28"/>
      <w:szCs w:val="28"/>
      <w:lang w:val="en-US" w:eastAsia="zh-CN" w:bidi="ar-SA"/>
    </w:rPr>
  </w:style>
  <w:style w:type="character" w:customStyle="1" w:styleId="972">
    <w:name w:val="Char Char26"/>
    <w:qFormat/>
    <w:uiPriority w:val="6"/>
    <w:rPr>
      <w:kern w:val="1"/>
      <w:sz w:val="21"/>
      <w:szCs w:val="24"/>
    </w:rPr>
  </w:style>
  <w:style w:type="character" w:customStyle="1" w:styleId="973">
    <w:name w:val="Item List Char"/>
    <w:link w:val="129"/>
    <w:qFormat/>
    <w:uiPriority w:val="0"/>
    <w:rPr>
      <w:rFonts w:ascii="Arial"/>
      <w:bCs/>
      <w:sz w:val="21"/>
      <w:szCs w:val="21"/>
      <w:lang w:val="en-US" w:eastAsia="zh-CN" w:bidi="ar-SA"/>
    </w:rPr>
  </w:style>
  <w:style w:type="character" w:customStyle="1" w:styleId="974">
    <w:name w:val="批注框文本 Char1"/>
    <w:qFormat/>
    <w:uiPriority w:val="0"/>
    <w:rPr>
      <w:rFonts w:ascii="Times New Roman" w:hAnsi="Times New Roman" w:eastAsia="宋体" w:cs="Times New Roman"/>
      <w:sz w:val="18"/>
      <w:szCs w:val="18"/>
    </w:rPr>
  </w:style>
  <w:style w:type="character" w:customStyle="1" w:styleId="975">
    <w:name w:val="纯文本 Char1"/>
    <w:link w:val="130"/>
    <w:qFormat/>
    <w:uiPriority w:val="0"/>
    <w:rPr>
      <w:rFonts w:ascii="宋体" w:hAnsi="Courier New"/>
    </w:rPr>
  </w:style>
  <w:style w:type="character" w:customStyle="1" w:styleId="976">
    <w:name w:val="h3 Char"/>
    <w:qFormat/>
    <w:uiPriority w:val="0"/>
    <w:rPr>
      <w:rFonts w:eastAsia="宋体"/>
      <w:b/>
      <w:kern w:val="2"/>
      <w:sz w:val="32"/>
      <w:lang w:val="en-US" w:eastAsia="zh-CN" w:bidi="ar-SA"/>
    </w:rPr>
  </w:style>
  <w:style w:type="character" w:customStyle="1" w:styleId="977">
    <w:name w:val="dandyren_title1"/>
    <w:qFormat/>
    <w:uiPriority w:val="0"/>
    <w:rPr>
      <w:b/>
      <w:bCs/>
      <w:color w:val="FF6633"/>
      <w:sz w:val="18"/>
      <w:szCs w:val="18"/>
    </w:rPr>
  </w:style>
  <w:style w:type="character" w:customStyle="1" w:styleId="978">
    <w:name w:val="Char Char31"/>
    <w:qFormat/>
    <w:uiPriority w:val="6"/>
    <w:rPr>
      <w:rFonts w:ascii="Arial" w:hAnsi="Arial" w:eastAsia="黑体"/>
      <w:kern w:val="1"/>
      <w:sz w:val="24"/>
      <w:szCs w:val="24"/>
    </w:rPr>
  </w:style>
  <w:style w:type="character" w:customStyle="1" w:styleId="979">
    <w:name w:val="h Char1"/>
    <w:qFormat/>
    <w:uiPriority w:val="0"/>
    <w:rPr>
      <w:sz w:val="18"/>
      <w:szCs w:val="18"/>
    </w:rPr>
  </w:style>
  <w:style w:type="character" w:customStyle="1" w:styleId="980">
    <w:name w:val="solutionfonts"/>
    <w:qFormat/>
    <w:uiPriority w:val="0"/>
  </w:style>
  <w:style w:type="character" w:customStyle="1" w:styleId="981">
    <w:name w:val="首行缩进 Char"/>
    <w:qFormat/>
    <w:uiPriority w:val="0"/>
    <w:rPr>
      <w:rFonts w:ascii="宋体" w:eastAsia="宋体"/>
      <w:kern w:val="2"/>
      <w:sz w:val="24"/>
      <w:lang w:val="en-US" w:eastAsia="zh-CN" w:bidi="ar-SA"/>
    </w:rPr>
  </w:style>
  <w:style w:type="character" w:customStyle="1" w:styleId="982">
    <w:name w:val="Char Char52"/>
    <w:qFormat/>
    <w:uiPriority w:val="0"/>
    <w:rPr>
      <w:rFonts w:ascii="宋体" w:hAnsi="Courier New" w:eastAsia="宋体"/>
      <w:kern w:val="2"/>
      <w:sz w:val="21"/>
      <w:lang w:val="en-US" w:eastAsia="zh-CN"/>
    </w:rPr>
  </w:style>
  <w:style w:type="character" w:customStyle="1" w:styleId="983">
    <w:name w:val="font31"/>
    <w:qFormat/>
    <w:uiPriority w:val="0"/>
    <w:rPr>
      <w:rFonts w:hint="eastAsia" w:ascii="仿宋" w:hAnsi="仿宋" w:eastAsia="仿宋" w:cs="仿宋"/>
      <w:color w:val="000000"/>
      <w:sz w:val="20"/>
      <w:szCs w:val="20"/>
      <w:u w:val="none"/>
    </w:rPr>
  </w:style>
  <w:style w:type="character" w:customStyle="1" w:styleId="984">
    <w:name w:val="正文说明 Char"/>
    <w:link w:val="131"/>
    <w:qFormat/>
    <w:uiPriority w:val="0"/>
    <w:rPr>
      <w:sz w:val="24"/>
      <w:szCs w:val="24"/>
    </w:rPr>
  </w:style>
  <w:style w:type="character" w:customStyle="1" w:styleId="985">
    <w:name w:val="脚注文本 Char1"/>
    <w:qFormat/>
    <w:uiPriority w:val="0"/>
    <w:rPr>
      <w:rFonts w:ascii="Times New Roman" w:hAnsi="Times New Roman" w:eastAsia="宋体" w:cs="Times New Roman"/>
      <w:sz w:val="18"/>
      <w:szCs w:val="18"/>
    </w:rPr>
  </w:style>
  <w:style w:type="character" w:customStyle="1" w:styleId="986">
    <w:name w:val="Char Char1211"/>
    <w:qFormat/>
    <w:uiPriority w:val="0"/>
    <w:rPr>
      <w:rFonts w:ascii="仿宋_GB2312" w:eastAsia="仿宋_GB2312"/>
      <w:b/>
      <w:bCs/>
      <w:kern w:val="2"/>
      <w:sz w:val="24"/>
      <w:szCs w:val="24"/>
      <w:lang w:val="zh-CN" w:eastAsia="zh-CN" w:bidi="ar-SA"/>
    </w:rPr>
  </w:style>
  <w:style w:type="character" w:customStyle="1" w:styleId="987">
    <w:name w:val="标题 Char"/>
    <w:qFormat/>
    <w:uiPriority w:val="0"/>
    <w:rPr>
      <w:rFonts w:eastAsia="宋体"/>
      <w:b/>
      <w:sz w:val="24"/>
      <w:lang w:eastAsia="zh-CN" w:bidi="ar-SA"/>
    </w:rPr>
  </w:style>
  <w:style w:type="character" w:customStyle="1" w:styleId="988">
    <w:name w:val="Char Char35"/>
    <w:qFormat/>
    <w:uiPriority w:val="6"/>
    <w:rPr>
      <w:rFonts w:ascii="Arial" w:hAnsi="Arial" w:eastAsia="黑体"/>
      <w:b/>
      <w:kern w:val="1"/>
      <w:sz w:val="28"/>
      <w:szCs w:val="28"/>
      <w:lang w:val="zh-CN"/>
    </w:rPr>
  </w:style>
  <w:style w:type="character" w:customStyle="1" w:styleId="989">
    <w:name w:val="纯文本 Char Char Char"/>
    <w:qFormat/>
    <w:uiPriority w:val="0"/>
    <w:rPr>
      <w:rFonts w:ascii="宋体" w:hAnsi="Courier New" w:eastAsia="宋体"/>
      <w:kern w:val="2"/>
      <w:sz w:val="21"/>
      <w:lang w:val="en-US" w:eastAsia="zh-CN" w:bidi="ar-SA"/>
    </w:rPr>
  </w:style>
  <w:style w:type="character" w:customStyle="1" w:styleId="990">
    <w:name w:val="Table Text Char"/>
    <w:link w:val="132"/>
    <w:qFormat/>
    <w:uiPriority w:val="0"/>
    <w:rPr>
      <w:sz w:val="24"/>
      <w:szCs w:val="24"/>
    </w:rPr>
  </w:style>
  <w:style w:type="character" w:customStyle="1" w:styleId="991">
    <w:name w:val="正文1 Char1"/>
    <w:qFormat/>
    <w:uiPriority w:val="0"/>
    <w:rPr>
      <w:rFonts w:ascii="仿宋_GB2312" w:hAnsi="Courier New" w:eastAsia="仿宋_GB2312"/>
      <w:kern w:val="28"/>
      <w:sz w:val="24"/>
      <w:szCs w:val="24"/>
      <w:lang w:val="en-US" w:eastAsia="zh-CN"/>
    </w:rPr>
  </w:style>
  <w:style w:type="character" w:customStyle="1" w:styleId="992">
    <w:name w:val="页脚 Char1"/>
    <w:qFormat/>
    <w:uiPriority w:val="0"/>
    <w:rPr>
      <w:rFonts w:eastAsia="宋体"/>
      <w:kern w:val="2"/>
      <w:sz w:val="18"/>
      <w:szCs w:val="18"/>
      <w:lang w:val="en-US" w:eastAsia="zh-CN" w:bidi="ar-SA"/>
    </w:rPr>
  </w:style>
  <w:style w:type="character" w:customStyle="1" w:styleId="993">
    <w:name w:val="Bold"/>
    <w:qFormat/>
    <w:uiPriority w:val="0"/>
    <w:rPr>
      <w:rFonts w:ascii="Arial" w:hAnsi="Arial" w:eastAsia="黑体" w:cs="Times New Roman"/>
      <w:b/>
      <w:kern w:val="2"/>
      <w:sz w:val="32"/>
      <w:szCs w:val="32"/>
      <w:lang w:val="en-US" w:eastAsia="zh-CN" w:bidi="ar-SA"/>
    </w:rPr>
  </w:style>
  <w:style w:type="character" w:customStyle="1" w:styleId="994">
    <w:name w:val="hui3"/>
    <w:qFormat/>
    <w:uiPriority w:val="0"/>
    <w:rPr>
      <w:color w:val="333333"/>
    </w:rPr>
  </w:style>
  <w:style w:type="character" w:customStyle="1" w:styleId="995">
    <w:name w:val="Char Char17"/>
    <w:qFormat/>
    <w:uiPriority w:val="6"/>
    <w:rPr>
      <w:rFonts w:eastAsia="仿宋_GB2312"/>
      <w:sz w:val="24"/>
    </w:rPr>
  </w:style>
  <w:style w:type="character" w:customStyle="1" w:styleId="996">
    <w:name w:val="标题 4 字符"/>
    <w:qFormat/>
    <w:uiPriority w:val="0"/>
    <w:rPr>
      <w:rFonts w:ascii="等线 Light" w:hAnsi="等线 Light" w:eastAsia="等线 Light" w:cs="Times New Roman"/>
      <w:b/>
      <w:bCs/>
      <w:snapToGrid w:val="0"/>
      <w:kern w:val="0"/>
      <w:sz w:val="28"/>
      <w:szCs w:val="28"/>
    </w:rPr>
  </w:style>
  <w:style w:type="character" w:customStyle="1" w:styleId="997">
    <w:name w:val="Char Char37"/>
    <w:qFormat/>
    <w:uiPriority w:val="6"/>
    <w:rPr>
      <w:b/>
      <w:kern w:val="1"/>
      <w:sz w:val="44"/>
      <w:szCs w:val="44"/>
    </w:rPr>
  </w:style>
  <w:style w:type="character" w:customStyle="1" w:styleId="998">
    <w:name w:val="列出段落 Char"/>
    <w:qFormat/>
    <w:uiPriority w:val="34"/>
    <w:rPr>
      <w:rFonts w:eastAsia="楷体_GB2312" w:cs="Lucida Sans"/>
      <w:kern w:val="2"/>
      <w:sz w:val="24"/>
      <w:szCs w:val="24"/>
      <w:lang w:val="en-US" w:eastAsia="zh-CN" w:bidi="ar-SA"/>
    </w:rPr>
  </w:style>
  <w:style w:type="character" w:customStyle="1" w:styleId="999">
    <w:name w:val="正文文本缩进 3 Char1"/>
    <w:semiHidden/>
    <w:qFormat/>
    <w:uiPriority w:val="99"/>
    <w:rPr>
      <w:rFonts w:ascii="Times New Roman" w:hAnsi="Times New Roman" w:eastAsia="宋体" w:cs="Times New Roman"/>
      <w:sz w:val="16"/>
      <w:szCs w:val="16"/>
    </w:rPr>
  </w:style>
  <w:style w:type="character" w:customStyle="1" w:styleId="1000">
    <w:name w:val="公文正文 Char Char"/>
    <w:link w:val="133"/>
    <w:qFormat/>
    <w:uiPriority w:val="0"/>
    <w:rPr>
      <w:rFonts w:ascii="仿宋_GB2312" w:eastAsia="仿宋_GB2312"/>
      <w:kern w:val="2"/>
      <w:sz w:val="24"/>
      <w:szCs w:val="24"/>
    </w:rPr>
  </w:style>
  <w:style w:type="character" w:customStyle="1" w:styleId="1001">
    <w:name w:val="Table Text Char1"/>
    <w:qFormat/>
    <w:uiPriority w:val="0"/>
    <w:rPr>
      <w:rFonts w:eastAsia="宋体"/>
      <w:sz w:val="24"/>
      <w:szCs w:val="24"/>
      <w:lang w:val="en-US" w:eastAsia="zh-CN" w:bidi="ar-SA"/>
    </w:rPr>
  </w:style>
  <w:style w:type="character" w:customStyle="1" w:styleId="1002">
    <w:name w:val="标题 1 Char Char"/>
    <w:qFormat/>
    <w:uiPriority w:val="0"/>
    <w:rPr>
      <w:rFonts w:hint="eastAsia" w:ascii="宋体" w:hAnsi="宋体" w:eastAsia="宋体"/>
      <w:b/>
      <w:spacing w:val="-2"/>
      <w:sz w:val="24"/>
      <w:lang w:val="en-US" w:eastAsia="zh-CN" w:bidi="ar-SA"/>
    </w:rPr>
  </w:style>
  <w:style w:type="character" w:customStyle="1" w:styleId="1003">
    <w:name w:val="正文（缩进2汉字） Char"/>
    <w:link w:val="134"/>
    <w:qFormat/>
    <w:uiPriority w:val="0"/>
    <w:rPr>
      <w:rFonts w:ascii="宋体"/>
    </w:rPr>
  </w:style>
  <w:style w:type="character" w:customStyle="1" w:styleId="1004">
    <w:name w:val="标书表格字体格式 Char"/>
    <w:qFormat/>
    <w:uiPriority w:val="0"/>
    <w:rPr>
      <w:kern w:val="2"/>
      <w:sz w:val="21"/>
      <w:szCs w:val="24"/>
      <w:lang w:bidi="ar-SA"/>
    </w:rPr>
  </w:style>
  <w:style w:type="character" w:customStyle="1" w:styleId="1005">
    <w:name w:val="tw4winError"/>
    <w:qFormat/>
    <w:uiPriority w:val="0"/>
    <w:rPr>
      <w:rFonts w:ascii="Courier New" w:hAnsi="Courier New" w:cs="Courier New"/>
      <w:color w:val="00FF00"/>
      <w:sz w:val="40"/>
      <w:szCs w:val="40"/>
    </w:rPr>
  </w:style>
  <w:style w:type="character" w:customStyle="1" w:styleId="1006">
    <w:name w:val="Body Text(ch) Char Char"/>
    <w:qFormat/>
    <w:uiPriority w:val="0"/>
    <w:rPr>
      <w:rFonts w:ascii="宋体"/>
      <w:kern w:val="2"/>
      <w:sz w:val="24"/>
      <w:szCs w:val="21"/>
      <w:lang w:val="zh-CN"/>
    </w:rPr>
  </w:style>
  <w:style w:type="character" w:customStyle="1" w:styleId="1007">
    <w:name w:val="正文首行缩进两字 Char"/>
    <w:qFormat/>
    <w:uiPriority w:val="0"/>
    <w:rPr>
      <w:sz w:val="24"/>
      <w:szCs w:val="24"/>
      <w:lang w:val="en-US" w:eastAsia="zh-CN" w:bidi="ar-SA"/>
    </w:rPr>
  </w:style>
  <w:style w:type="character" w:customStyle="1" w:styleId="1008">
    <w:name w:val="正文文本 Char"/>
    <w:qFormat/>
    <w:uiPriority w:val="0"/>
    <w:rPr>
      <w:rFonts w:eastAsia="宋体"/>
      <w:kern w:val="2"/>
      <w:sz w:val="24"/>
      <w:szCs w:val="24"/>
      <w:lang w:val="en-US" w:eastAsia="zh-CN" w:bidi="ar-SA"/>
    </w:rPr>
  </w:style>
  <w:style w:type="character" w:customStyle="1" w:styleId="1009">
    <w:name w:val="文档结构图 字符1"/>
    <w:qFormat/>
    <w:uiPriority w:val="99"/>
    <w:rPr>
      <w:rFonts w:ascii="宋体" w:hAnsi="Calibri" w:eastAsia="黑体" w:cs="Arial"/>
      <w:snapToGrid w:val="0"/>
      <w:kern w:val="2"/>
      <w:sz w:val="18"/>
      <w:szCs w:val="18"/>
    </w:rPr>
  </w:style>
  <w:style w:type="character" w:customStyle="1" w:styleId="1010">
    <w:name w:val="content"/>
    <w:qFormat/>
    <w:uiPriority w:val="0"/>
  </w:style>
  <w:style w:type="character" w:customStyle="1" w:styleId="1011">
    <w:name w:val="tw4winPopup"/>
    <w:qFormat/>
    <w:uiPriority w:val="0"/>
    <w:rPr>
      <w:rFonts w:ascii="Courier New" w:hAnsi="Courier New" w:cs="Courier New"/>
      <w:color w:val="008000"/>
      <w:lang w:val="en-US" w:eastAsia="zh-CN"/>
    </w:rPr>
  </w:style>
  <w:style w:type="character" w:customStyle="1" w:styleId="1012">
    <w:name w:val="param-name"/>
    <w:qFormat/>
    <w:uiPriority w:val="99"/>
    <w:rPr>
      <w:rFonts w:ascii="Arial" w:hAnsi="Arial" w:eastAsia="黑体" w:cs="Arial"/>
      <w:snapToGrid w:val="0"/>
      <w:kern w:val="0"/>
      <w:szCs w:val="21"/>
    </w:rPr>
  </w:style>
  <w:style w:type="character" w:customStyle="1" w:styleId="1013">
    <w:name w:val="标准正文格式 Char"/>
    <w:qFormat/>
    <w:uiPriority w:val="0"/>
    <w:rPr>
      <w:rFonts w:ascii="宋体" w:eastAsia="仿宋_GB2312" w:cs="宋体"/>
      <w:color w:val="000000"/>
      <w:sz w:val="24"/>
      <w:lang w:val="en-US" w:eastAsia="zh-CN" w:bidi="ar-SA"/>
    </w:rPr>
  </w:style>
  <w:style w:type="character" w:customStyle="1" w:styleId="1014">
    <w:name w:val="Char Char212"/>
    <w:qFormat/>
    <w:uiPriority w:val="0"/>
    <w:rPr>
      <w:rFonts w:eastAsia="宋体"/>
      <w:b/>
      <w:bCs/>
      <w:kern w:val="2"/>
      <w:sz w:val="21"/>
      <w:szCs w:val="24"/>
      <w:lang w:val="en-US" w:eastAsia="zh-CN" w:bidi="ar-SA"/>
    </w:rPr>
  </w:style>
  <w:style w:type="character" w:customStyle="1" w:styleId="1015">
    <w:name w:val="文档结构图 Char"/>
    <w:qFormat/>
    <w:uiPriority w:val="0"/>
    <w:rPr>
      <w:rFonts w:eastAsia="宋体"/>
      <w:kern w:val="2"/>
      <w:sz w:val="21"/>
      <w:szCs w:val="24"/>
      <w:lang w:val="en-US" w:eastAsia="zh-CN" w:bidi="ar-SA"/>
    </w:rPr>
  </w:style>
  <w:style w:type="character" w:customStyle="1" w:styleId="1016">
    <w:name w:val="zbggmain style9"/>
    <w:qFormat/>
    <w:uiPriority w:val="0"/>
  </w:style>
  <w:style w:type="character" w:customStyle="1" w:styleId="1017">
    <w:name w:val="Char Char16"/>
    <w:qFormat/>
    <w:uiPriority w:val="6"/>
    <w:rPr>
      <w:kern w:val="1"/>
      <w:sz w:val="18"/>
      <w:szCs w:val="18"/>
    </w:rPr>
  </w:style>
  <w:style w:type="character" w:customStyle="1" w:styleId="1018">
    <w:name w:val="font51"/>
    <w:qFormat/>
    <w:uiPriority w:val="0"/>
    <w:rPr>
      <w:rFonts w:hint="eastAsia" w:ascii="仿宋" w:hAnsi="仿宋" w:eastAsia="仿宋" w:cs="仿宋"/>
      <w:color w:val="000000"/>
      <w:sz w:val="20"/>
      <w:szCs w:val="20"/>
      <w:u w:val="none"/>
    </w:rPr>
  </w:style>
  <w:style w:type="character" w:customStyle="1" w:styleId="1019">
    <w:name w:val="Char Char82"/>
    <w:qFormat/>
    <w:uiPriority w:val="0"/>
    <w:rPr>
      <w:rFonts w:eastAsia="宋体"/>
      <w:b/>
      <w:sz w:val="24"/>
      <w:lang w:eastAsia="zh-CN"/>
    </w:rPr>
  </w:style>
  <w:style w:type="character" w:customStyle="1" w:styleId="1020">
    <w:name w:val="日期 Char1"/>
    <w:semiHidden/>
    <w:qFormat/>
    <w:uiPriority w:val="99"/>
    <w:rPr>
      <w:rFonts w:ascii="Times New Roman" w:hAnsi="Times New Roman" w:eastAsia="宋体" w:cs="Times New Roman"/>
      <w:szCs w:val="24"/>
    </w:rPr>
  </w:style>
  <w:style w:type="character" w:customStyle="1" w:styleId="1021">
    <w:name w:val="页眉 字符"/>
    <w:qFormat/>
    <w:uiPriority w:val="0"/>
    <w:rPr>
      <w:kern w:val="2"/>
      <w:sz w:val="18"/>
      <w:szCs w:val="18"/>
    </w:rPr>
  </w:style>
  <w:style w:type="character" w:customStyle="1" w:styleId="1022">
    <w:name w:val="Char Char33"/>
    <w:qFormat/>
    <w:uiPriority w:val="6"/>
    <w:rPr>
      <w:rFonts w:ascii="Arial" w:hAnsi="Arial" w:eastAsia="黑体"/>
      <w:b/>
      <w:kern w:val="1"/>
      <w:sz w:val="24"/>
      <w:szCs w:val="24"/>
    </w:rPr>
  </w:style>
  <w:style w:type="character" w:customStyle="1" w:styleId="1023">
    <w:name w:val="b11_01b Char"/>
    <w:link w:val="135"/>
    <w:qFormat/>
    <w:uiPriority w:val="0"/>
    <w:rPr>
      <w:rFonts w:ascii="Verdana" w:hAnsi="Verdana"/>
      <w:b/>
      <w:bCs/>
      <w:color w:val="4A82CA"/>
      <w:sz w:val="17"/>
      <w:szCs w:val="17"/>
    </w:rPr>
  </w:style>
  <w:style w:type="character" w:customStyle="1" w:styleId="1024">
    <w:name w:val="Char Char121"/>
    <w:qFormat/>
    <w:uiPriority w:val="6"/>
    <w:rPr>
      <w:rFonts w:ascii="仿宋_GB2312" w:eastAsia="仿宋_GB2312"/>
      <w:b/>
      <w:bCs/>
      <w:kern w:val="2"/>
      <w:sz w:val="24"/>
      <w:szCs w:val="24"/>
      <w:lang w:val="zh-CN" w:eastAsia="zh-CN" w:bidi="ar-SA"/>
    </w:rPr>
  </w:style>
  <w:style w:type="character" w:customStyle="1" w:styleId="1025">
    <w:name w:val="Footer-Even Char"/>
    <w:qFormat/>
    <w:uiPriority w:val="0"/>
    <w:rPr>
      <w:rFonts w:eastAsia="宋体"/>
      <w:kern w:val="2"/>
      <w:sz w:val="18"/>
      <w:lang w:val="en-US" w:eastAsia="zh-CN" w:bidi="ar-SA"/>
    </w:rPr>
  </w:style>
  <w:style w:type="character" w:customStyle="1" w:styleId="1026">
    <w:name w:val="Char Char36"/>
    <w:qFormat/>
    <w:uiPriority w:val="6"/>
    <w:rPr>
      <w:rFonts w:ascii="仿宋_GB2312" w:hAnsi="仿宋_GB2312" w:eastAsia="仿宋_GB2312" w:cs="Arial"/>
      <w:b/>
      <w:kern w:val="1"/>
      <w:sz w:val="32"/>
      <w:szCs w:val="32"/>
      <w:lang w:val="zh-CN" w:eastAsia="zh-CN" w:bidi="ar-SA"/>
    </w:rPr>
  </w:style>
  <w:style w:type="character" w:customStyle="1" w:styleId="1027">
    <w:name w:val="Char Char61"/>
    <w:qFormat/>
    <w:uiPriority w:val="6"/>
    <w:rPr>
      <w:rFonts w:eastAsia="宋体"/>
      <w:kern w:val="2"/>
      <w:sz w:val="21"/>
      <w:szCs w:val="24"/>
      <w:lang w:val="en-US" w:eastAsia="zh-CN" w:bidi="ar-SA"/>
    </w:rPr>
  </w:style>
  <w:style w:type="character" w:customStyle="1" w:styleId="1028">
    <w:name w:val="正文文字缩进 2 Char Char"/>
    <w:qFormat/>
    <w:uiPriority w:val="0"/>
    <w:rPr>
      <w:rFonts w:ascii="宋体"/>
      <w:sz w:val="28"/>
    </w:rPr>
  </w:style>
  <w:style w:type="character" w:customStyle="1" w:styleId="1029">
    <w:name w:val="f141"/>
    <w:qFormat/>
    <w:uiPriority w:val="0"/>
    <w:rPr>
      <w:rFonts w:ascii="Tahoma" w:hAnsi="Tahoma" w:eastAsia="宋体"/>
      <w:b/>
      <w:kern w:val="2"/>
      <w:sz w:val="21"/>
      <w:szCs w:val="21"/>
      <w:lang w:val="en-US" w:eastAsia="zh-CN" w:bidi="ar-SA"/>
    </w:rPr>
  </w:style>
  <w:style w:type="character" w:customStyle="1" w:styleId="1030">
    <w:name w:val="段落 Char Char"/>
    <w:link w:val="136"/>
    <w:qFormat/>
    <w:uiPriority w:val="0"/>
    <w:rPr>
      <w:rFonts w:ascii="宋体" w:hAnsi="宋体"/>
      <w:sz w:val="24"/>
    </w:rPr>
  </w:style>
  <w:style w:type="character" w:customStyle="1" w:styleId="1031">
    <w:name w:val="标题 3 Char2"/>
    <w:qFormat/>
    <w:uiPriority w:val="0"/>
    <w:rPr>
      <w:rFonts w:eastAsia="宋体"/>
      <w:b/>
      <w:bCs/>
      <w:kern w:val="2"/>
      <w:sz w:val="32"/>
      <w:szCs w:val="32"/>
      <w:lang w:val="en-US" w:eastAsia="zh-CN" w:bidi="ar-SA"/>
    </w:rPr>
  </w:style>
  <w:style w:type="character" w:customStyle="1" w:styleId="1032">
    <w:name w:val="apple-converted-space"/>
    <w:qFormat/>
    <w:uiPriority w:val="0"/>
  </w:style>
  <w:style w:type="character" w:customStyle="1" w:styleId="1033">
    <w:name w:val="Char Char9"/>
    <w:qFormat/>
    <w:uiPriority w:val="0"/>
    <w:rPr>
      <w:rFonts w:eastAsia="宋体"/>
      <w:kern w:val="2"/>
      <w:sz w:val="18"/>
      <w:szCs w:val="18"/>
      <w:lang w:val="en-US" w:eastAsia="zh-CN" w:bidi="ar-SA"/>
    </w:rPr>
  </w:style>
  <w:style w:type="character" w:customStyle="1" w:styleId="1034">
    <w:name w:val="Char Char41"/>
    <w:qFormat/>
    <w:uiPriority w:val="0"/>
    <w:rPr>
      <w:rFonts w:eastAsia="宋体"/>
      <w:b/>
      <w:sz w:val="24"/>
      <w:lang w:eastAsia="zh-CN" w:bidi="ar-SA"/>
    </w:rPr>
  </w:style>
  <w:style w:type="character" w:customStyle="1" w:styleId="1035">
    <w:name w:val="large1"/>
    <w:qFormat/>
    <w:uiPriority w:val="0"/>
    <w:rPr>
      <w:rFonts w:hint="eastAsia" w:ascii="宋体" w:hAnsi="宋体" w:eastAsia="宋体"/>
      <w:sz w:val="21"/>
      <w:szCs w:val="21"/>
    </w:rPr>
  </w:style>
  <w:style w:type="character" w:customStyle="1" w:styleId="1036">
    <w:name w:val="正文段 Char"/>
    <w:link w:val="137"/>
    <w:qFormat/>
    <w:uiPriority w:val="0"/>
    <w:rPr>
      <w:sz w:val="24"/>
    </w:rPr>
  </w:style>
  <w:style w:type="character" w:customStyle="1" w:styleId="1037">
    <w:name w:val="Char Char13"/>
    <w:qFormat/>
    <w:uiPriority w:val="6"/>
    <w:rPr>
      <w:rFonts w:ascii="宋体" w:hAnsi="宋体"/>
      <w:kern w:val="1"/>
      <w:sz w:val="21"/>
      <w:szCs w:val="24"/>
    </w:rPr>
  </w:style>
  <w:style w:type="character" w:customStyle="1" w:styleId="103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039">
    <w:name w:val="冯广丽 Char"/>
    <w:link w:val="138"/>
    <w:qFormat/>
    <w:uiPriority w:val="0"/>
    <w:rPr>
      <w:rFonts w:ascii="宋体" w:hAnsi="宋体"/>
      <w:kern w:val="2"/>
      <w:sz w:val="24"/>
      <w:szCs w:val="22"/>
    </w:rPr>
  </w:style>
  <w:style w:type="character" w:customStyle="1" w:styleId="1040">
    <w:name w:val="批注文字 字符"/>
    <w:qFormat/>
    <w:uiPriority w:val="0"/>
    <w:rPr>
      <w:rFonts w:ascii="Arial" w:hAnsi="Arial" w:eastAsia="黑体" w:cs="Arial"/>
      <w:snapToGrid w:val="0"/>
      <w:kern w:val="0"/>
      <w:szCs w:val="21"/>
    </w:rPr>
  </w:style>
  <w:style w:type="character" w:customStyle="1" w:styleId="1041">
    <w:name w:val="Char Char161"/>
    <w:qFormat/>
    <w:uiPriority w:val="0"/>
    <w:rPr>
      <w:rFonts w:eastAsia="宋体"/>
      <w:b/>
      <w:kern w:val="2"/>
      <w:sz w:val="32"/>
      <w:lang w:val="en-US" w:eastAsia="zh-CN"/>
    </w:rPr>
  </w:style>
  <w:style w:type="character" w:customStyle="1" w:styleId="1042">
    <w:name w:val="javascript"/>
    <w:qFormat/>
    <w:uiPriority w:val="0"/>
  </w:style>
  <w:style w:type="character" w:customStyle="1" w:styleId="1043">
    <w:name w:val="图名 Char"/>
    <w:qFormat/>
    <w:uiPriority w:val="0"/>
    <w:rPr>
      <w:rFonts w:ascii="Arial" w:hAnsi="Arial" w:eastAsia="黑体"/>
      <w:kern w:val="2"/>
      <w:sz w:val="24"/>
      <w:szCs w:val="24"/>
      <w:lang w:val="en-US" w:eastAsia="zh-CN" w:bidi="ar-SA"/>
    </w:rPr>
  </w:style>
  <w:style w:type="character" w:customStyle="1" w:styleId="1044">
    <w:name w:val="Used by Word for text of Help footnotes Char Char"/>
    <w:qFormat/>
    <w:uiPriority w:val="0"/>
    <w:rPr>
      <w:rFonts w:ascii="Times New Roman" w:hAnsi="Times New Roman" w:eastAsia="宋体" w:cs="Times New Roman"/>
      <w:sz w:val="20"/>
      <w:szCs w:val="20"/>
    </w:rPr>
  </w:style>
  <w:style w:type="character" w:customStyle="1" w:styleId="1045">
    <w:name w:val="编号，小四 Char"/>
    <w:link w:val="139"/>
    <w:qFormat/>
    <w:uiPriority w:val="0"/>
    <w:rPr>
      <w:rFonts w:ascii="Arial" w:hAnsi="Arial"/>
      <w:sz w:val="24"/>
    </w:rPr>
  </w:style>
  <w:style w:type="character" w:customStyle="1" w:styleId="1046">
    <w:name w:val="Font Style82"/>
    <w:qFormat/>
    <w:uiPriority w:val="99"/>
    <w:rPr>
      <w:rFonts w:ascii="宋体" w:eastAsia="宋体" w:cs="宋体"/>
      <w:color w:val="000000"/>
      <w:sz w:val="14"/>
      <w:szCs w:val="14"/>
    </w:rPr>
  </w:style>
  <w:style w:type="character" w:customStyle="1" w:styleId="1047">
    <w:name w:val="标题 2 Char Char"/>
    <w:qFormat/>
    <w:uiPriority w:val="0"/>
    <w:rPr>
      <w:rFonts w:ascii="楷体_GB2312" w:hAnsi="Arial" w:eastAsia="楷体_GB2312"/>
      <w:b/>
      <w:bCs/>
      <w:kern w:val="2"/>
      <w:sz w:val="24"/>
      <w:szCs w:val="32"/>
      <w:lang w:val="en-US" w:eastAsia="zh-CN" w:bidi="ar-SA"/>
    </w:rPr>
  </w:style>
  <w:style w:type="character" w:customStyle="1" w:styleId="1048">
    <w:name w:val="未用 Char"/>
    <w:qFormat/>
    <w:uiPriority w:val="0"/>
    <w:rPr>
      <w:rFonts w:ascii="Arial" w:hAnsi="Arial" w:eastAsia="黑体"/>
      <w:kern w:val="2"/>
      <w:sz w:val="21"/>
      <w:szCs w:val="21"/>
      <w:lang w:val="en-US" w:eastAsia="zh-CN" w:bidi="ar-SA"/>
    </w:rPr>
  </w:style>
  <w:style w:type="character" w:customStyle="1" w:styleId="1049">
    <w:name w:val="myp1111"/>
    <w:qFormat/>
    <w:uiPriority w:val="0"/>
    <w:rPr>
      <w:rFonts w:hint="default" w:ascii="ˎ̥" w:hAnsi="ˎ̥"/>
      <w:color w:val="000000"/>
      <w:sz w:val="20"/>
      <w:szCs w:val="20"/>
      <w:u w:val="none"/>
    </w:rPr>
  </w:style>
  <w:style w:type="character" w:customStyle="1" w:styleId="1050">
    <w:name w:val="h Char Char"/>
    <w:qFormat/>
    <w:uiPriority w:val="0"/>
    <w:rPr>
      <w:rFonts w:eastAsia="宋体"/>
      <w:kern w:val="2"/>
      <w:sz w:val="18"/>
      <w:lang w:val="en-US" w:eastAsia="zh-CN" w:bidi="ar-SA"/>
    </w:rPr>
  </w:style>
  <w:style w:type="character" w:customStyle="1" w:styleId="1051">
    <w:name w:val="仿宋正文 Char"/>
    <w:link w:val="140"/>
    <w:qFormat/>
    <w:uiPriority w:val="0"/>
    <w:rPr>
      <w:rFonts w:ascii="仿宋_GB2312" w:eastAsia="仿宋_GB2312"/>
      <w:kern w:val="2"/>
      <w:sz w:val="24"/>
      <w:lang w:val="en-US" w:eastAsia="zh-CN" w:bidi="ar-SA"/>
    </w:rPr>
  </w:style>
  <w:style w:type="character" w:customStyle="1" w:styleId="1052">
    <w:name w:val="正文首行缩进 Char Char Char Char Char Char"/>
    <w:qFormat/>
    <w:uiPriority w:val="0"/>
    <w:rPr>
      <w:rFonts w:ascii="宋体" w:eastAsia="宋体"/>
      <w:kern w:val="2"/>
      <w:sz w:val="24"/>
      <w:lang w:val="zh-CN" w:bidi="ar-SA"/>
    </w:rPr>
  </w:style>
  <w:style w:type="character" w:customStyle="1" w:styleId="1053">
    <w:name w:val="样式 宋体"/>
    <w:qFormat/>
    <w:uiPriority w:val="0"/>
    <w:rPr>
      <w:rFonts w:ascii="宋体" w:hAnsi="宋体"/>
      <w:sz w:val="24"/>
    </w:rPr>
  </w:style>
  <w:style w:type="character" w:customStyle="1" w:styleId="1054">
    <w:name w:val="tw4winJump"/>
    <w:qFormat/>
    <w:uiPriority w:val="0"/>
    <w:rPr>
      <w:rFonts w:ascii="Courier New" w:hAnsi="Courier New" w:cs="Courier New"/>
      <w:color w:val="008080"/>
      <w:lang w:val="en-US" w:eastAsia="zh-CN"/>
    </w:rPr>
  </w:style>
  <w:style w:type="character" w:customStyle="1" w:styleId="1055">
    <w:name w:val="标题 1 字符"/>
    <w:qFormat/>
    <w:uiPriority w:val="9"/>
    <w:rPr>
      <w:rFonts w:ascii="Arial" w:hAnsi="Arial" w:eastAsia="黑体" w:cs="Arial"/>
      <w:b/>
      <w:bCs/>
      <w:snapToGrid w:val="0"/>
      <w:kern w:val="44"/>
      <w:sz w:val="44"/>
      <w:szCs w:val="44"/>
    </w:rPr>
  </w:style>
  <w:style w:type="character" w:customStyle="1" w:styleId="1056">
    <w:name w:val="style36"/>
    <w:qFormat/>
    <w:uiPriority w:val="0"/>
    <w:rPr>
      <w:rFonts w:ascii="Arial" w:hAnsi="Arial" w:eastAsia="黑体" w:cs="Arial"/>
      <w:snapToGrid w:val="0"/>
      <w:kern w:val="0"/>
      <w:szCs w:val="21"/>
    </w:rPr>
  </w:style>
  <w:style w:type="character" w:customStyle="1" w:styleId="1057">
    <w:name w:val="pt9"/>
    <w:qFormat/>
    <w:uiPriority w:val="0"/>
    <w:rPr>
      <w:rFonts w:ascii="仿宋_GB2312" w:eastAsia="微软雅黑"/>
      <w:b/>
      <w:kern w:val="2"/>
      <w:sz w:val="32"/>
      <w:szCs w:val="32"/>
      <w:lang w:val="en-US" w:eastAsia="zh-CN" w:bidi="ar-SA"/>
    </w:rPr>
  </w:style>
  <w:style w:type="character" w:customStyle="1" w:styleId="1058">
    <w:name w:val="DO_NOT_TRANSLATE"/>
    <w:qFormat/>
    <w:uiPriority w:val="0"/>
    <w:rPr>
      <w:rFonts w:ascii="Courier New" w:hAnsi="Courier New" w:cs="Courier New"/>
      <w:color w:val="800000"/>
      <w:lang w:val="en-US" w:eastAsia="zh-CN"/>
    </w:rPr>
  </w:style>
  <w:style w:type="character" w:customStyle="1" w:styleId="1059">
    <w:name w:val="标书1 Char1"/>
    <w:qFormat/>
    <w:uiPriority w:val="0"/>
    <w:rPr>
      <w:rFonts w:eastAsia="宋体"/>
      <w:b/>
      <w:bCs/>
      <w:kern w:val="44"/>
      <w:sz w:val="44"/>
      <w:szCs w:val="44"/>
      <w:lang w:val="en-US" w:eastAsia="zh-CN" w:bidi="ar-SA"/>
    </w:rPr>
  </w:style>
  <w:style w:type="character" w:customStyle="1" w:styleId="1060">
    <w:name w:val="页脚 字符"/>
    <w:qFormat/>
    <w:uiPriority w:val="99"/>
    <w:rPr>
      <w:kern w:val="2"/>
      <w:sz w:val="18"/>
      <w:szCs w:val="18"/>
    </w:rPr>
  </w:style>
  <w:style w:type="character" w:customStyle="1" w:styleId="1061">
    <w:name w:val="正文2 Char"/>
    <w:qFormat/>
    <w:uiPriority w:val="0"/>
    <w:rPr>
      <w:rFonts w:eastAsia="宋体"/>
      <w:kern w:val="2"/>
      <w:sz w:val="24"/>
      <w:lang w:val="en-US" w:eastAsia="zh-CN" w:bidi="ar-SA"/>
    </w:rPr>
  </w:style>
  <w:style w:type="character" w:customStyle="1" w:styleId="1062">
    <w:name w:val="Char Char21"/>
    <w:qFormat/>
    <w:uiPriority w:val="6"/>
    <w:rPr>
      <w:rFonts w:ascii="宋体" w:hAnsi="宋体"/>
      <w:kern w:val="1"/>
      <w:sz w:val="24"/>
      <w:szCs w:val="21"/>
      <w:lang w:val="zh-CN"/>
    </w:rPr>
  </w:style>
  <w:style w:type="character" w:customStyle="1" w:styleId="1063">
    <w:name w:val="样式 正文缩进 + 首行缩进:  2 字符 Char Char"/>
    <w:link w:val="141"/>
    <w:qFormat/>
    <w:uiPriority w:val="0"/>
    <w:rPr>
      <w:rFonts w:cs="宋体"/>
      <w:kern w:val="2"/>
      <w:sz w:val="24"/>
    </w:rPr>
  </w:style>
  <w:style w:type="character" w:customStyle="1" w:styleId="1064">
    <w:name w:val="gray6"/>
    <w:qFormat/>
    <w:uiPriority w:val="0"/>
    <w:rPr>
      <w:rFonts w:ascii="Arial" w:hAnsi="Arial" w:eastAsia="黑体" w:cs="Arial"/>
      <w:snapToGrid w:val="0"/>
      <w:kern w:val="0"/>
      <w:szCs w:val="21"/>
    </w:rPr>
  </w:style>
  <w:style w:type="character" w:customStyle="1" w:styleId="1065">
    <w:name w:val="hui"/>
    <w:qFormat/>
    <w:uiPriority w:val="0"/>
    <w:rPr>
      <w:rFonts w:ascii="Arial" w:hAnsi="Arial" w:eastAsia="黑体" w:cs="Arial"/>
      <w:snapToGrid w:val="0"/>
      <w:kern w:val="0"/>
      <w:szCs w:val="21"/>
    </w:rPr>
  </w:style>
  <w:style w:type="character" w:customStyle="1" w:styleId="1066">
    <w:name w:val="哈哈正文 Char Char"/>
    <w:qFormat/>
    <w:uiPriority w:val="0"/>
    <w:rPr>
      <w:rFonts w:ascii="宋体" w:hAnsi="宋体" w:eastAsia="宋体" w:cs="宋体"/>
      <w:kern w:val="2"/>
      <w:sz w:val="24"/>
      <w:lang w:val="en-US" w:eastAsia="zh-CN" w:bidi="ar-SA"/>
    </w:rPr>
  </w:style>
  <w:style w:type="character" w:customStyle="1" w:styleId="1067">
    <w:name w:val="无间隔 字符"/>
    <w:link w:val="191"/>
    <w:qFormat/>
    <w:uiPriority w:val="99"/>
    <w:rPr>
      <w:kern w:val="2"/>
      <w:sz w:val="21"/>
      <w:szCs w:val="22"/>
    </w:rPr>
  </w:style>
  <w:style w:type="character" w:customStyle="1" w:styleId="1068">
    <w:name w:val="交叉引用"/>
    <w:qFormat/>
    <w:uiPriority w:val="1"/>
    <w:rPr>
      <w:rFonts w:ascii="Arial" w:hAnsi="Arial" w:eastAsia="黑体"/>
      <w:snapToGrid w:val="0"/>
      <w:color w:val="0000FF"/>
      <w:kern w:val="0"/>
      <w:sz w:val="20"/>
      <w:szCs w:val="21"/>
      <w:u w:val="single"/>
      <w:lang w:val="en-US" w:eastAsia="zh-CN"/>
    </w:rPr>
  </w:style>
  <w:style w:type="character" w:customStyle="1" w:styleId="1069">
    <w:name w:val="正文缩进 字符1"/>
    <w:qFormat/>
    <w:uiPriority w:val="0"/>
    <w:rPr>
      <w:rFonts w:ascii="宋体" w:eastAsia="宋体"/>
      <w:snapToGrid w:val="0"/>
      <w:color w:val="000000"/>
      <w:kern w:val="28"/>
      <w:sz w:val="28"/>
      <w:lang w:val="en-US" w:eastAsia="zh-CN" w:bidi="ar-SA"/>
    </w:rPr>
  </w:style>
  <w:style w:type="character" w:customStyle="1" w:styleId="1070">
    <w:name w:val="页脚 字符1"/>
    <w:qFormat/>
    <w:locked/>
    <w:uiPriority w:val="99"/>
    <w:rPr>
      <w:kern w:val="2"/>
      <w:sz w:val="18"/>
      <w:szCs w:val="18"/>
    </w:rPr>
  </w:style>
  <w:style w:type="character" w:customStyle="1" w:styleId="1071">
    <w:name w:val="页眉 字符1"/>
    <w:qFormat/>
    <w:uiPriority w:val="99"/>
    <w:rPr>
      <w:kern w:val="2"/>
      <w:sz w:val="18"/>
      <w:szCs w:val="18"/>
    </w:rPr>
  </w:style>
  <w:style w:type="character" w:customStyle="1" w:styleId="1072">
    <w:name w:val="标准文本 Char Char"/>
    <w:link w:val="630"/>
    <w:qFormat/>
    <w:uiPriority w:val="0"/>
    <w:rPr>
      <w:rFonts w:cs="宋体"/>
      <w:kern w:val="2"/>
      <w:sz w:val="24"/>
    </w:rPr>
  </w:style>
  <w:style w:type="character" w:customStyle="1" w:styleId="1073">
    <w:name w:val="Char Char213"/>
    <w:qFormat/>
    <w:uiPriority w:val="0"/>
    <w:rPr>
      <w:rFonts w:eastAsia="Century Gothic"/>
      <w:b/>
      <w:bCs/>
      <w:kern w:val="44"/>
      <w:sz w:val="32"/>
      <w:szCs w:val="44"/>
      <w:lang w:val="en-US" w:eastAsia="zh-CN" w:bidi="ar-SA"/>
    </w:rPr>
  </w:style>
  <w:style w:type="character" w:customStyle="1" w:styleId="1074">
    <w:name w:val="apple-style-span"/>
    <w:qFormat/>
    <w:uiPriority w:val="0"/>
    <w:rPr>
      <w:rFonts w:ascii="Arial" w:hAnsi="Arial" w:eastAsia="黑体" w:cs="Arial"/>
      <w:snapToGrid w:val="0"/>
      <w:kern w:val="0"/>
      <w:szCs w:val="21"/>
    </w:rPr>
  </w:style>
  <w:style w:type="character" w:customStyle="1" w:styleId="1075">
    <w:name w:val="15"/>
    <w:qFormat/>
    <w:uiPriority w:val="0"/>
    <w:rPr>
      <w:rFonts w:hint="default" w:ascii="Calibri" w:hAnsi="Calibri"/>
      <w:color w:val="0000FF"/>
      <w:u w:val="single"/>
    </w:rPr>
  </w:style>
  <w:style w:type="character" w:customStyle="1" w:styleId="1076">
    <w:name w:val="16"/>
    <w:qFormat/>
    <w:uiPriority w:val="0"/>
    <w:rPr>
      <w:rFonts w:hint="eastAsia" w:ascii="宋体" w:hAnsi="宋体" w:eastAsia="宋体"/>
      <w:color w:val="000000"/>
      <w:sz w:val="20"/>
      <w:szCs w:val="20"/>
    </w:rPr>
  </w:style>
  <w:style w:type="character" w:customStyle="1" w:styleId="1077">
    <w:name w:val="edui-unclickable"/>
    <w:qFormat/>
    <w:uiPriority w:val="0"/>
    <w:rPr>
      <w:color w:val="808080"/>
    </w:rPr>
  </w:style>
  <w:style w:type="character" w:customStyle="1" w:styleId="1078">
    <w:name w:val="tpc_content1"/>
    <w:qFormat/>
    <w:uiPriority w:val="0"/>
    <w:rPr>
      <w:sz w:val="20"/>
      <w:szCs w:val="20"/>
    </w:rPr>
  </w:style>
  <w:style w:type="character" w:customStyle="1" w:styleId="1079">
    <w:name w:val="正文文本缩进 字符"/>
    <w:qFormat/>
    <w:uiPriority w:val="0"/>
    <w:rPr>
      <w:rFonts w:ascii="Century Gothic" w:hAnsi="Century Gothic" w:eastAsia="Century Gothic"/>
      <w:kern w:val="2"/>
      <w:sz w:val="24"/>
      <w:lang w:val="en-US" w:eastAsia="zh-CN" w:bidi="ar-SA"/>
    </w:rPr>
  </w:style>
  <w:style w:type="character" w:customStyle="1" w:styleId="1080">
    <w:name w:val="正文文本 2 字符"/>
    <w:qFormat/>
    <w:uiPriority w:val="99"/>
    <w:rPr>
      <w:rFonts w:ascii="Arial" w:hAnsi="Arial" w:eastAsia="宋体"/>
      <w:kern w:val="2"/>
      <w:sz w:val="24"/>
      <w:szCs w:val="24"/>
      <w:lang w:val="en-US" w:eastAsia="zh-CN" w:bidi="ar-SA"/>
    </w:rPr>
  </w:style>
  <w:style w:type="character" w:customStyle="1" w:styleId="1081">
    <w:name w:val="edui-clickable2"/>
    <w:qFormat/>
    <w:uiPriority w:val="0"/>
    <w:rPr>
      <w:color w:val="0000FF"/>
      <w:u w:val="single"/>
    </w:rPr>
  </w:style>
  <w:style w:type="character" w:customStyle="1" w:styleId="1082">
    <w:name w:val="style1"/>
    <w:qFormat/>
    <w:uiPriority w:val="0"/>
    <w:rPr>
      <w:rFonts w:ascii="Arial" w:hAnsi="Arial" w:eastAsia="黑体" w:cs="Arial"/>
      <w:snapToGrid w:val="0"/>
      <w:kern w:val="0"/>
      <w:szCs w:val="21"/>
    </w:rPr>
  </w:style>
  <w:style w:type="character" w:customStyle="1" w:styleId="1083">
    <w:name w:val="zbggtop11 style5"/>
    <w:qFormat/>
    <w:uiPriority w:val="0"/>
    <w:rPr>
      <w:rFonts w:ascii="Arial" w:hAnsi="Arial" w:eastAsia="黑体" w:cs="Arial"/>
      <w:snapToGrid w:val="0"/>
      <w:kern w:val="0"/>
      <w:szCs w:val="21"/>
    </w:rPr>
  </w:style>
  <w:style w:type="character" w:customStyle="1" w:styleId="108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1085">
    <w:name w:val="bulletintext1"/>
    <w:qFormat/>
    <w:uiPriority w:val="0"/>
    <w:rPr>
      <w:color w:val="000000"/>
      <w:sz w:val="18"/>
    </w:rPr>
  </w:style>
  <w:style w:type="character" w:customStyle="1" w:styleId="1086">
    <w:name w:val="ksfind_class_select1"/>
    <w:qFormat/>
    <w:uiPriority w:val="0"/>
    <w:rPr>
      <w:color w:val="000000"/>
      <w:shd w:val="clear" w:color="auto" w:fill="EFD200"/>
    </w:rPr>
  </w:style>
  <w:style w:type="character" w:customStyle="1" w:styleId="1087">
    <w:name w:val="font71"/>
    <w:qFormat/>
    <w:uiPriority w:val="0"/>
    <w:rPr>
      <w:rFonts w:hint="eastAsia" w:ascii="宋体" w:hAnsi="宋体" w:eastAsia="宋体" w:cs="宋体"/>
      <w:color w:val="000000"/>
      <w:sz w:val="22"/>
      <w:szCs w:val="22"/>
      <w:u w:val="none"/>
    </w:rPr>
  </w:style>
  <w:style w:type="character" w:customStyle="1" w:styleId="1088">
    <w:name w:val="font91"/>
    <w:qFormat/>
    <w:uiPriority w:val="0"/>
    <w:rPr>
      <w:rFonts w:hint="eastAsia" w:ascii="仿宋" w:hAnsi="仿宋" w:eastAsia="仿宋" w:cs="仿宋"/>
      <w:color w:val="000000"/>
      <w:sz w:val="22"/>
      <w:szCs w:val="22"/>
      <w:u w:val="none"/>
    </w:rPr>
  </w:style>
  <w:style w:type="character" w:customStyle="1" w:styleId="1089">
    <w:name w:val="未处理的提及2"/>
    <w:unhideWhenUsed/>
    <w:qFormat/>
    <w:uiPriority w:val="99"/>
    <w:rPr>
      <w:color w:val="605E5C"/>
      <w:shd w:val="clear" w:color="auto" w:fill="E1DFDD"/>
    </w:rPr>
  </w:style>
  <w:style w:type="character" w:customStyle="1" w:styleId="1090">
    <w:name w:val="_正文 Char"/>
    <w:link w:val="645"/>
    <w:qFormat/>
    <w:uiPriority w:val="0"/>
    <w:rPr>
      <w:rFonts w:eastAsia="宋体" w:cs="Times New Roman"/>
      <w:kern w:val="2"/>
      <w:sz w:val="24"/>
      <w:szCs w:val="24"/>
    </w:rPr>
  </w:style>
  <w:style w:type="character" w:customStyle="1" w:styleId="1091">
    <w:name w:val="亚运 5级标题 字符"/>
    <w:link w:val="646"/>
    <w:qFormat/>
    <w:uiPriority w:val="0"/>
    <w:rPr>
      <w:rFonts w:ascii="宋体" w:hAnsi="宋体"/>
      <w:color w:val="000000"/>
      <w:kern w:val="2"/>
      <w:sz w:val="24"/>
      <w:szCs w:val="28"/>
    </w:rPr>
  </w:style>
  <w:style w:type="character" w:customStyle="1" w:styleId="1092">
    <w:name w:val="正文缩 Char"/>
    <w:link w:val="649"/>
    <w:qFormat/>
    <w:uiPriority w:val="0"/>
    <w:rPr>
      <w:rFonts w:eastAsia="楷体_GB2312"/>
      <w:kern w:val="2"/>
      <w:sz w:val="24"/>
      <w:szCs w:val="24"/>
    </w:rPr>
  </w:style>
  <w:style w:type="character" w:customStyle="1" w:styleId="1093">
    <w:name w:val="未处理的提及3"/>
    <w:unhideWhenUsed/>
    <w:qFormat/>
    <w:uiPriority w:val="99"/>
    <w:rPr>
      <w:color w:val="605E5C"/>
      <w:shd w:val="clear" w:color="auto" w:fill="E1DFDD"/>
    </w:rPr>
  </w:style>
  <w:style w:type="character" w:customStyle="1" w:styleId="1094">
    <w:name w:val="亚运3级标题 字符"/>
    <w:link w:val="650"/>
    <w:qFormat/>
    <w:uiPriority w:val="0"/>
    <w:rPr>
      <w:rFonts w:ascii="黑体" w:hAnsi="黑体" w:eastAsia="仿宋" w:cs="Arial"/>
      <w:bCs/>
      <w:kern w:val="2"/>
      <w:sz w:val="30"/>
      <w:szCs w:val="30"/>
    </w:rPr>
  </w:style>
  <w:style w:type="character" w:customStyle="1" w:styleId="1095">
    <w:name w:val="亚运 4级标题 字符"/>
    <w:link w:val="651"/>
    <w:qFormat/>
    <w:uiPriority w:val="0"/>
    <w:rPr>
      <w:rFonts w:ascii="黑体" w:hAnsi="黑体" w:eastAsia="仿宋" w:cs="Times New Roman"/>
      <w:color w:val="000000"/>
      <w:kern w:val="0"/>
      <w:sz w:val="30"/>
      <w:szCs w:val="30"/>
    </w:rPr>
  </w:style>
  <w:style w:type="character" w:customStyle="1" w:styleId="1096">
    <w:name w:val="未处理的提及4"/>
    <w:basedOn w:val="95"/>
    <w:unhideWhenUsed/>
    <w:qFormat/>
    <w:uiPriority w:val="99"/>
    <w:rPr>
      <w:color w:val="605E5C"/>
      <w:shd w:val="clear" w:color="auto" w:fill="E1DFDD"/>
    </w:rPr>
  </w:style>
  <w:style w:type="character" w:customStyle="1" w:styleId="1097">
    <w:name w:val="未处理的提及5"/>
    <w:basedOn w:val="95"/>
    <w:unhideWhenUsed/>
    <w:qFormat/>
    <w:uiPriority w:val="99"/>
    <w:rPr>
      <w:color w:val="605E5C"/>
      <w:shd w:val="clear" w:color="auto" w:fill="E1DFDD"/>
    </w:rPr>
  </w:style>
  <w:style w:type="character" w:customStyle="1" w:styleId="1098">
    <w:name w:val="样式1 Char"/>
    <w:link w:val="432"/>
    <w:qFormat/>
    <w:uiPriority w:val="0"/>
    <w:rPr>
      <w:rFonts w:ascii="宋体" w:hAnsi="宋体"/>
      <w:b/>
      <w:kern w:val="0"/>
      <w:sz w:val="24"/>
      <w:szCs w:val="20"/>
    </w:rPr>
  </w:style>
  <w:style w:type="character" w:customStyle="1" w:styleId="1099">
    <w:name w:val="标题 3 字符1"/>
    <w:link w:val="2"/>
    <w:qFormat/>
    <w:uiPriority w:val="0"/>
    <w:rPr>
      <w:rFonts w:eastAsia="宋体"/>
      <w:b/>
      <w:bCs/>
      <w:sz w:val="24"/>
      <w:szCs w:val="32"/>
    </w:rPr>
  </w:style>
  <w:style w:type="character" w:customStyle="1" w:styleId="1100">
    <w:name w:val="标题 2 字符1"/>
    <w:link w:val="5"/>
    <w:qFormat/>
    <w:uiPriority w:val="0"/>
    <w:rPr>
      <w:rFonts w:ascii="仿宋_GB2312" w:hAnsi="仿宋_GB2312" w:eastAsia="宋体"/>
      <w:sz w:val="28"/>
      <w:szCs w:val="32"/>
      <w:lang w:val="zh-CN"/>
    </w:rPr>
  </w:style>
  <w:style w:type="character" w:customStyle="1" w:styleId="1101">
    <w:name w:val="样式 正1 + 首行缩进:  2 字符 Char"/>
    <w:link w:val="448"/>
    <w:qFormat/>
    <w:uiPriority w:val="0"/>
    <w:rPr>
      <w:rFonts w:ascii="仿宋_GB2312" w:eastAsia="仿宋_GB2312"/>
      <w:sz w:val="24"/>
    </w:rPr>
  </w:style>
  <w:style w:type="character" w:customStyle="1" w:styleId="1102">
    <w:name w:val="一级条标题 Char"/>
    <w:link w:val="365"/>
    <w:qFormat/>
    <w:uiPriority w:val="0"/>
  </w:style>
  <w:style w:type="character" w:customStyle="1" w:styleId="1103">
    <w:name w:val="未处理的提及6"/>
    <w:basedOn w:val="95"/>
    <w:unhideWhenUsed/>
    <w:qFormat/>
    <w:uiPriority w:val="99"/>
    <w:rPr>
      <w:color w:val="605E5C"/>
      <w:shd w:val="clear" w:color="auto" w:fill="E1DFDD"/>
    </w:rPr>
  </w:style>
  <w:style w:type="character" w:customStyle="1" w:styleId="1104">
    <w:name w:val="未处理的提及7"/>
    <w:basedOn w:val="95"/>
    <w:unhideWhenUsed/>
    <w:qFormat/>
    <w:uiPriority w:val="99"/>
    <w:rPr>
      <w:color w:val="605E5C"/>
      <w:shd w:val="clear" w:color="auto" w:fill="E1DFDD"/>
    </w:rPr>
  </w:style>
  <w:style w:type="character" w:customStyle="1" w:styleId="1105">
    <w:name w:val="bookmark-item"/>
    <w:basedOn w:val="95"/>
    <w:qFormat/>
    <w:uiPriority w:val="0"/>
  </w:style>
  <w:style w:type="character" w:customStyle="1" w:styleId="1106">
    <w:name w:val="正文（上会） 字符"/>
    <w:basedOn w:val="95"/>
    <w:link w:val="661"/>
    <w:qFormat/>
    <w:uiPriority w:val="0"/>
    <w:rPr>
      <w:rFonts w:ascii="仿宋_GB2312" w:hAnsi="仿宋_GB2312" w:eastAsia="仿宋_GB2312" w:cs="仿宋_GB2312"/>
      <w:kern w:val="2"/>
      <w:sz w:val="32"/>
      <w:szCs w:val="32"/>
    </w:rPr>
  </w:style>
  <w:style w:type="character" w:customStyle="1" w:styleId="1107">
    <w:name w:val="未处理的提及8"/>
    <w:basedOn w:val="95"/>
    <w:unhideWhenUsed/>
    <w:qFormat/>
    <w:uiPriority w:val="99"/>
    <w:rPr>
      <w:color w:val="605E5C"/>
      <w:shd w:val="clear" w:color="auto" w:fill="E1DFDD"/>
    </w:rPr>
  </w:style>
  <w:style w:type="character" w:customStyle="1" w:styleId="1108">
    <w:name w:val="未处理的提及9"/>
    <w:basedOn w:val="95"/>
    <w:unhideWhenUsed/>
    <w:qFormat/>
    <w:uiPriority w:val="99"/>
    <w:rPr>
      <w:color w:val="605E5C"/>
      <w:shd w:val="clear" w:color="auto" w:fill="E1DFDD"/>
    </w:rPr>
  </w:style>
  <w:style w:type="character" w:customStyle="1" w:styleId="1109">
    <w:name w:val="未处理的提及10"/>
    <w:basedOn w:val="95"/>
    <w:unhideWhenUsed/>
    <w:qFormat/>
    <w:uiPriority w:val="99"/>
    <w:rPr>
      <w:color w:val="605E5C"/>
      <w:shd w:val="clear" w:color="auto" w:fill="E1DFDD"/>
    </w:rPr>
  </w:style>
  <w:style w:type="character" w:customStyle="1" w:styleId="1110">
    <w:name w:val="二级标题 字符"/>
    <w:link w:val="663"/>
    <w:qFormat/>
    <w:uiPriority w:val="0"/>
    <w:rPr>
      <w:rFonts w:ascii="Arial" w:hAnsi="Arial" w:cs="宋体"/>
      <w:b/>
      <w:bCs/>
      <w:kern w:val="2"/>
      <w:sz w:val="30"/>
      <w:szCs w:val="32"/>
    </w:rPr>
  </w:style>
  <w:style w:type="character" w:customStyle="1" w:styleId="1111">
    <w:name w:val="四级标题 字符"/>
    <w:link w:val="664"/>
    <w:qFormat/>
    <w:uiPriority w:val="0"/>
    <w:rPr>
      <w:rFonts w:ascii="Arial" w:hAnsi="Arial" w:cs="宋体"/>
      <w:b/>
      <w:bCs/>
      <w:kern w:val="2"/>
      <w:sz w:val="28"/>
      <w:szCs w:val="28"/>
    </w:rPr>
  </w:style>
  <w:style w:type="character" w:customStyle="1" w:styleId="1112">
    <w:name w:val="五级标题 字符"/>
    <w:link w:val="665"/>
    <w:qFormat/>
    <w:uiPriority w:val="0"/>
    <w:rPr>
      <w:rFonts w:ascii="Arial" w:hAnsi="Arial" w:cs="宋体"/>
      <w:b/>
      <w:bCs/>
      <w:sz w:val="28"/>
      <w:szCs w:val="28"/>
    </w:rPr>
  </w:style>
  <w:style w:type="character" w:customStyle="1" w:styleId="1113">
    <w:name w:val="六级标题 字符"/>
    <w:link w:val="666"/>
    <w:qFormat/>
    <w:uiPriority w:val="0"/>
    <w:rPr>
      <w:rFonts w:ascii="Arial" w:hAnsi="Arial" w:cs="宋体"/>
      <w:b/>
      <w:bCs/>
      <w:kern w:val="2"/>
      <w:sz w:val="28"/>
      <w:szCs w:val="24"/>
    </w:rPr>
  </w:style>
  <w:style w:type="character" w:customStyle="1" w:styleId="1114">
    <w:name w:val="未处理的提及11"/>
    <w:basedOn w:val="95"/>
    <w:unhideWhenUsed/>
    <w:qFormat/>
    <w:uiPriority w:val="0"/>
    <w:rPr>
      <w:color w:val="605E5C"/>
      <w:shd w:val="clear" w:color="auto" w:fill="E1DFDD"/>
    </w:rPr>
  </w:style>
  <w:style w:type="character" w:customStyle="1" w:styleId="1115">
    <w:name w:val="未处理的提及12"/>
    <w:basedOn w:val="95"/>
    <w:unhideWhenUsed/>
    <w:qFormat/>
    <w:uiPriority w:val="99"/>
    <w:rPr>
      <w:color w:val="605E5C"/>
      <w:shd w:val="clear" w:color="auto" w:fill="E1DFDD"/>
    </w:rPr>
  </w:style>
  <w:style w:type="character" w:customStyle="1" w:styleId="1116">
    <w:name w:val="正文（缩进） 字符"/>
    <w:link w:val="672"/>
    <w:qFormat/>
    <w:uiPriority w:val="0"/>
    <w:rPr>
      <w:rFonts w:ascii="宋体" w:hAnsi="宋体"/>
      <w:sz w:val="24"/>
      <w:szCs w:val="24"/>
    </w:rPr>
  </w:style>
  <w:style w:type="character" w:customStyle="1" w:styleId="1117">
    <w:name w:val="正文ll Char"/>
    <w:link w:val="674"/>
    <w:qFormat/>
    <w:uiPriority w:val="0"/>
    <w:rPr>
      <w:kern w:val="2"/>
      <w:sz w:val="24"/>
      <w:szCs w:val="24"/>
    </w:rPr>
  </w:style>
  <w:style w:type="character" w:customStyle="1" w:styleId="1118">
    <w:name w:val="宏文本 字符"/>
    <w:basedOn w:val="95"/>
    <w:link w:val="3"/>
    <w:qFormat/>
    <w:uiPriority w:val="99"/>
    <w:rPr>
      <w:rFonts w:ascii="Courier New" w:hAnsi="Courier New" w:cs="Courier New"/>
      <w:kern w:val="2"/>
      <w:sz w:val="24"/>
      <w:szCs w:val="24"/>
    </w:rPr>
  </w:style>
  <w:style w:type="character" w:customStyle="1" w:styleId="1119">
    <w:name w:val="注释标题 字符"/>
    <w:basedOn w:val="95"/>
    <w:link w:val="16"/>
    <w:qFormat/>
    <w:uiPriority w:val="99"/>
    <w:rPr>
      <w:rFonts w:ascii="Calibri" w:hAnsi="Calibri"/>
      <w:kern w:val="2"/>
      <w:sz w:val="28"/>
    </w:rPr>
  </w:style>
  <w:style w:type="character" w:customStyle="1" w:styleId="1120">
    <w:name w:val="电子邮件签名 字符"/>
    <w:basedOn w:val="95"/>
    <w:link w:val="19"/>
    <w:qFormat/>
    <w:uiPriority w:val="99"/>
    <w:rPr>
      <w:rFonts w:ascii="Calibri" w:hAnsi="Calibri"/>
      <w:kern w:val="2"/>
      <w:sz w:val="28"/>
    </w:rPr>
  </w:style>
  <w:style w:type="character" w:customStyle="1" w:styleId="1121">
    <w:name w:val="结束语 字符"/>
    <w:basedOn w:val="95"/>
    <w:link w:val="32"/>
    <w:qFormat/>
    <w:uiPriority w:val="99"/>
    <w:rPr>
      <w:rFonts w:ascii="Calibri" w:hAnsi="Calibri"/>
      <w:kern w:val="2"/>
      <w:sz w:val="28"/>
    </w:rPr>
  </w:style>
  <w:style w:type="character" w:customStyle="1" w:styleId="1122">
    <w:name w:val="信息标题 字符"/>
    <w:basedOn w:val="95"/>
    <w:link w:val="80"/>
    <w:qFormat/>
    <w:uiPriority w:val="99"/>
    <w:rPr>
      <w:rFonts w:ascii="等线 Light" w:hAnsi="等线 Light" w:eastAsia="等线 Light"/>
      <w:kern w:val="2"/>
      <w:sz w:val="24"/>
      <w:szCs w:val="24"/>
      <w:shd w:val="pct20" w:color="auto" w:fill="auto"/>
    </w:rPr>
  </w:style>
  <w:style w:type="character" w:customStyle="1" w:styleId="1123">
    <w:name w:val="正文-段落 Char"/>
    <w:link w:val="675"/>
    <w:qFormat/>
    <w:uiPriority w:val="0"/>
    <w:rPr>
      <w:sz w:val="24"/>
      <w:szCs w:val="24"/>
    </w:rPr>
  </w:style>
  <w:style w:type="character" w:customStyle="1" w:styleId="1124">
    <w:name w:val="批注主题 Char1"/>
    <w:qFormat/>
    <w:uiPriority w:val="0"/>
    <w:rPr>
      <w:rFonts w:ascii="Calibri" w:hAnsi="Calibri"/>
      <w:b/>
      <w:bCs/>
      <w:kern w:val="2"/>
      <w:sz w:val="21"/>
      <w:szCs w:val="22"/>
    </w:rPr>
  </w:style>
  <w:style w:type="character" w:customStyle="1" w:styleId="1125">
    <w:name w:val="标题 5 字符1"/>
    <w:qFormat/>
    <w:uiPriority w:val="0"/>
    <w:rPr>
      <w:rFonts w:ascii="Calibri" w:hAnsi="Calibri" w:cs="宋体"/>
      <w:b/>
      <w:bCs/>
      <w:sz w:val="28"/>
      <w:szCs w:val="28"/>
    </w:rPr>
  </w:style>
  <w:style w:type="character" w:customStyle="1" w:styleId="1126">
    <w:name w:val="图片 字符"/>
    <w:link w:val="676"/>
    <w:qFormat/>
    <w:uiPriority w:val="0"/>
    <w:rPr>
      <w:rFonts w:ascii="仿宋" w:hAnsi="仿宋" w:eastAsia="仿宋"/>
      <w:kern w:val="2"/>
      <w:sz w:val="28"/>
      <w:szCs w:val="24"/>
    </w:rPr>
  </w:style>
  <w:style w:type="character" w:customStyle="1" w:styleId="1127">
    <w:name w:val="正缩 Char"/>
    <w:link w:val="677"/>
    <w:qFormat/>
    <w:uiPriority w:val="0"/>
    <w:rPr>
      <w:rFonts w:ascii="宋体" w:hAnsi="宋体"/>
      <w:kern w:val="2"/>
      <w:sz w:val="24"/>
      <w:szCs w:val="24"/>
    </w:rPr>
  </w:style>
  <w:style w:type="character" w:customStyle="1" w:styleId="1128">
    <w:name w:val="标题4级 字符"/>
    <w:link w:val="678"/>
    <w:qFormat/>
    <w:uiPriority w:val="0"/>
    <w:rPr>
      <w:rFonts w:ascii="宋体" w:hAnsi="宋体" w:cs="宋体"/>
      <w:b/>
      <w:bCs/>
      <w:snapToGrid w:val="0"/>
      <w:kern w:val="2"/>
      <w:sz w:val="28"/>
      <w:szCs w:val="28"/>
      <w:lang w:val="zh-CN"/>
    </w:rPr>
  </w:style>
  <w:style w:type="character" w:customStyle="1" w:styleId="1129">
    <w:name w:val="keyword"/>
    <w:basedOn w:val="95"/>
    <w:qFormat/>
    <w:uiPriority w:val="0"/>
  </w:style>
  <w:style w:type="character" w:customStyle="1" w:styleId="1130">
    <w:name w:val="编号1 Char Char"/>
    <w:link w:val="673"/>
    <w:qFormat/>
    <w:uiPriority w:val="0"/>
    <w:rPr>
      <w:rFonts w:eastAsia="仿宋_GB2312"/>
      <w:kern w:val="2"/>
      <w:sz w:val="28"/>
      <w:szCs w:val="24"/>
    </w:rPr>
  </w:style>
  <w:style w:type="character" w:customStyle="1" w:styleId="1131">
    <w:name w:val="段 Char"/>
    <w:link w:val="348"/>
    <w:qFormat/>
    <w:locked/>
    <w:uiPriority w:val="0"/>
    <w:rPr>
      <w:rFonts w:ascii="宋体"/>
      <w:sz w:val="21"/>
    </w:rPr>
  </w:style>
  <w:style w:type="character" w:customStyle="1" w:styleId="1132">
    <w:name w:val="普通(网站) 字符"/>
    <w:link w:val="82"/>
    <w:qFormat/>
    <w:uiPriority w:val="0"/>
    <w:rPr>
      <w:rFonts w:ascii="宋体" w:hAnsi="宋体"/>
      <w:sz w:val="24"/>
      <w:szCs w:val="24"/>
    </w:rPr>
  </w:style>
  <w:style w:type="character" w:customStyle="1" w:styleId="1133">
    <w:name w:val="正文ll Char Char"/>
    <w:qFormat/>
    <w:uiPriority w:val="0"/>
    <w:rPr>
      <w:sz w:val="24"/>
      <w:szCs w:val="24"/>
    </w:rPr>
  </w:style>
  <w:style w:type="character" w:customStyle="1" w:styleId="1134">
    <w:name w:val="图片2 字符"/>
    <w:link w:val="679"/>
    <w:qFormat/>
    <w:uiPriority w:val="0"/>
    <w:rPr>
      <w:rFonts w:eastAsia="仿宋"/>
      <w:sz w:val="32"/>
      <w:szCs w:val="24"/>
    </w:rPr>
  </w:style>
  <w:style w:type="character" w:customStyle="1" w:styleId="1135">
    <w:name w:val="中等深浅底纹 1 - 着色 1 字符"/>
    <w:link w:val="680"/>
    <w:qFormat/>
    <w:uiPriority w:val="1"/>
    <w:rPr>
      <w:sz w:val="22"/>
      <w:szCs w:val="22"/>
    </w:rPr>
  </w:style>
  <w:style w:type="character" w:customStyle="1" w:styleId="1136">
    <w:name w:val="apple-tab-span"/>
    <w:qFormat/>
    <w:uiPriority w:val="0"/>
  </w:style>
  <w:style w:type="character" w:customStyle="1" w:styleId="1137">
    <w:name w:val="题注1 Char"/>
    <w:link w:val="681"/>
    <w:qFormat/>
    <w:uiPriority w:val="0"/>
    <w:rPr>
      <w:rFonts w:ascii="Arial" w:hAnsi="Arial" w:eastAsia="黑体" w:cs="宋体"/>
      <w:kern w:val="2"/>
      <w:sz w:val="21"/>
    </w:rPr>
  </w:style>
  <w:style w:type="character" w:customStyle="1" w:styleId="1138">
    <w:name w:val="图表标题 Char"/>
    <w:link w:val="682"/>
    <w:qFormat/>
    <w:uiPriority w:val="0"/>
    <w:rPr>
      <w:rFonts w:ascii="黑体" w:hAnsi="黑体" w:eastAsia="黑体"/>
      <w:b/>
      <w:szCs w:val="21"/>
    </w:rPr>
  </w:style>
  <w:style w:type="character" w:customStyle="1" w:styleId="1139">
    <w:name w:val="编号2 Char Char"/>
    <w:link w:val="683"/>
    <w:qFormat/>
    <w:uiPriority w:val="0"/>
    <w:rPr>
      <w:rFonts w:ascii="宋体" w:hAnsi="宋体" w:eastAsia="仿宋_GB2312" w:cs="宋体"/>
      <w:kern w:val="2"/>
      <w:sz w:val="28"/>
      <w:szCs w:val="24"/>
    </w:rPr>
  </w:style>
  <w:style w:type="character" w:customStyle="1" w:styleId="1140">
    <w:name w:val="def"/>
    <w:basedOn w:val="95"/>
    <w:qFormat/>
    <w:uiPriority w:val="0"/>
  </w:style>
  <w:style w:type="character" w:customStyle="1" w:styleId="1141">
    <w:name w:val="title21"/>
    <w:qFormat/>
    <w:uiPriority w:val="0"/>
    <w:rPr>
      <w:b/>
      <w:bCs/>
      <w:color w:val="000000"/>
      <w:sz w:val="33"/>
      <w:szCs w:val="33"/>
    </w:rPr>
  </w:style>
  <w:style w:type="character" w:customStyle="1" w:styleId="1142">
    <w:name w:val="正文（缩进） Char"/>
    <w:qFormat/>
    <w:uiPriority w:val="0"/>
    <w:rPr>
      <w:rFonts w:ascii="宋体" w:hAnsi="宋体"/>
      <w:kern w:val="2"/>
      <w:sz w:val="24"/>
      <w:szCs w:val="24"/>
    </w:rPr>
  </w:style>
  <w:style w:type="character" w:customStyle="1" w:styleId="1143">
    <w:name w:val="标题 6 字符1"/>
    <w:qFormat/>
    <w:uiPriority w:val="0"/>
    <w:rPr>
      <w:rFonts w:ascii="Cambria" w:hAnsi="Cambria" w:cs="宋体"/>
      <w:b/>
      <w:bCs/>
      <w:sz w:val="28"/>
      <w:szCs w:val="28"/>
    </w:rPr>
  </w:style>
  <w:style w:type="character" w:customStyle="1" w:styleId="1144">
    <w:name w:val="样式 正文文本缩进 + 左  0 字符 Char"/>
    <w:link w:val="684"/>
    <w:qFormat/>
    <w:uiPriority w:val="0"/>
    <w:rPr>
      <w:sz w:val="24"/>
      <w:lang w:eastAsia="en-US"/>
    </w:rPr>
  </w:style>
  <w:style w:type="character" w:customStyle="1" w:styleId="1145">
    <w:name w:val="Default Text Char Char"/>
    <w:link w:val="451"/>
    <w:qFormat/>
    <w:uiPriority w:val="0"/>
    <w:rPr>
      <w:rFonts w:ascii="宋体" w:hAnsi="宋体" w:eastAsia="微软雅黑"/>
      <w:sz w:val="24"/>
    </w:rPr>
  </w:style>
  <w:style w:type="character" w:customStyle="1" w:styleId="1146">
    <w:name w:val="标题 3 Char"/>
    <w:qFormat/>
    <w:uiPriority w:val="0"/>
    <w:rPr>
      <w:rFonts w:ascii="Calibri" w:hAnsi="Calibri"/>
      <w:b/>
      <w:kern w:val="2"/>
      <w:sz w:val="32"/>
    </w:rPr>
  </w:style>
  <w:style w:type="character" w:customStyle="1" w:styleId="1147">
    <w:name w:val="recordsinfoblock"/>
    <w:qFormat/>
    <w:uiPriority w:val="0"/>
    <w:rPr>
      <w:rFonts w:ascii="Verdana" w:hAnsi="Verdana" w:cs="Verdana"/>
      <w:sz w:val="9"/>
      <w:szCs w:val="9"/>
    </w:rPr>
  </w:style>
  <w:style w:type="character" w:customStyle="1" w:styleId="1148">
    <w:name w:val="space2"/>
    <w:qFormat/>
    <w:uiPriority w:val="0"/>
  </w:style>
  <w:style w:type="character" w:customStyle="1" w:styleId="1149">
    <w:name w:val="space"/>
    <w:qFormat/>
    <w:uiPriority w:val="0"/>
  </w:style>
  <w:style w:type="character" w:customStyle="1" w:styleId="1150">
    <w:name w:val="明显引用 字符"/>
    <w:basedOn w:val="95"/>
    <w:link w:val="744"/>
    <w:qFormat/>
    <w:uiPriority w:val="99"/>
    <w:rPr>
      <w:rFonts w:ascii="Calibri" w:hAnsi="Calibri"/>
      <w:i/>
      <w:iCs/>
      <w:color w:val="4472C4"/>
      <w:kern w:val="2"/>
      <w:sz w:val="28"/>
    </w:rPr>
  </w:style>
  <w:style w:type="character" w:customStyle="1" w:styleId="1151">
    <w:name w:val="引用 字符"/>
    <w:basedOn w:val="95"/>
    <w:link w:val="747"/>
    <w:qFormat/>
    <w:uiPriority w:val="99"/>
    <w:rPr>
      <w:rFonts w:ascii="Calibri" w:hAnsi="Calibri"/>
      <w:i/>
      <w:iCs/>
      <w:color w:val="404040"/>
      <w:kern w:val="2"/>
      <w:sz w:val="28"/>
    </w:rPr>
  </w:style>
  <w:style w:type="character" w:customStyle="1" w:styleId="1152">
    <w:name w:val="脚注文本 字符1"/>
    <w:semiHidden/>
    <w:qFormat/>
    <w:uiPriority w:val="99"/>
    <w:rPr>
      <w:rFonts w:ascii="宋体" w:hAnsi="宋体" w:cs="宋体"/>
      <w:sz w:val="18"/>
      <w:szCs w:val="18"/>
    </w:rPr>
  </w:style>
  <w:style w:type="character" w:customStyle="1" w:styleId="1153">
    <w:name w:val="正文文本缩进 2 字符1"/>
    <w:semiHidden/>
    <w:qFormat/>
    <w:uiPriority w:val="99"/>
    <w:rPr>
      <w:rFonts w:ascii="宋体" w:hAnsi="宋体" w:cs="宋体"/>
      <w:sz w:val="24"/>
      <w:szCs w:val="24"/>
    </w:rPr>
  </w:style>
  <w:style w:type="character" w:customStyle="1" w:styleId="1154">
    <w:name w:val="批注文字 字符2"/>
    <w:semiHidden/>
    <w:qFormat/>
    <w:uiPriority w:val="99"/>
    <w:rPr>
      <w:rFonts w:ascii="宋体" w:hAnsi="宋体" w:cs="宋体"/>
      <w:sz w:val="24"/>
      <w:szCs w:val="24"/>
    </w:rPr>
  </w:style>
  <w:style w:type="character" w:customStyle="1" w:styleId="1155">
    <w:name w:val="批注主题 字符1"/>
    <w:semiHidden/>
    <w:qFormat/>
    <w:uiPriority w:val="99"/>
  </w:style>
  <w:style w:type="character" w:customStyle="1" w:styleId="1156">
    <w:name w:val="未处理的提及13"/>
    <w:basedOn w:val="95"/>
    <w:unhideWhenUsed/>
    <w:qFormat/>
    <w:uiPriority w:val="99"/>
    <w:rPr>
      <w:color w:val="605E5C"/>
      <w:shd w:val="clear" w:color="auto" w:fill="E1DFDD"/>
    </w:rPr>
  </w:style>
  <w:style w:type="table" w:customStyle="1" w:styleId="1157">
    <w:name w:val="网格型2"/>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网格型1"/>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网格型6"/>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网格型3"/>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网格型4"/>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网格型5"/>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网格型浅色1"/>
    <w:basedOn w:val="88"/>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164">
    <w:name w:val="无格式表格 51"/>
    <w:basedOn w:val="88"/>
    <w:qFormat/>
    <w:uiPriority w:val="45"/>
    <w:pPr>
      <w:numPr>
        <w:numId w:val="12"/>
      </w:numPr>
      <w:ind w:left="0" w:firstLine="0"/>
    </w:pPr>
    <w:tblStylePr w:type="firstRow">
      <w:rPr>
        <w:rFonts w:cs="Times New Roman"/>
        <w:i/>
        <w:iCs/>
        <w:sz w:val="26"/>
      </w:rPr>
      <w:tcPr>
        <w:tcBorders>
          <w:top w:val="nil"/>
          <w:left w:val="nil"/>
          <w:bottom w:val="single" w:color="7F7F7F" w:sz="4" w:space="0"/>
          <w:right w:val="nil"/>
          <w:insideH w:val="nil"/>
          <w:insideV w:val="nil"/>
          <w:tl2br w:val="nil"/>
          <w:tr2bl w:val="nil"/>
        </w:tcBorders>
        <w:shd w:val="clear" w:color="auto" w:fill="FFFFFF"/>
      </w:tcPr>
    </w:tblStylePr>
    <w:tblStylePr w:type="lastRow">
      <w:rPr>
        <w:rFonts w:cs="Times New Roman"/>
        <w:i/>
        <w:iCs/>
        <w:sz w:val="26"/>
      </w:rPr>
      <w:tcPr>
        <w:tcBorders>
          <w:top w:val="single" w:color="7F7F7F" w:sz="4" w:space="0"/>
          <w:left w:val="nil"/>
          <w:bottom w:val="nil"/>
          <w:right w:val="nil"/>
          <w:insideH w:val="nil"/>
          <w:insideV w:val="nil"/>
          <w:tl2br w:val="nil"/>
          <w:tr2bl w:val="nil"/>
        </w:tcBorders>
        <w:shd w:val="clear" w:color="auto" w:fill="FFFFFF"/>
      </w:tcPr>
    </w:tblStylePr>
    <w:tblStylePr w:type="firstCol">
      <w:rPr>
        <w:rFonts w:cs="Times New Roman"/>
        <w:i/>
        <w:iCs/>
        <w:sz w:val="26"/>
      </w:rPr>
      <w:tcPr>
        <w:tcBorders>
          <w:top w:val="nil"/>
          <w:left w:val="nil"/>
          <w:bottom w:val="nil"/>
          <w:right w:val="single" w:color="7F7F7F" w:sz="4" w:space="0"/>
          <w:insideH w:val="nil"/>
          <w:insideV w:val="nil"/>
          <w:tl2br w:val="nil"/>
          <w:tr2bl w:val="nil"/>
        </w:tcBorders>
        <w:shd w:val="clear" w:color="auto" w:fill="FFFFFF"/>
      </w:tcPr>
    </w:tblStylePr>
    <w:tblStylePr w:type="lastCol">
      <w:rPr>
        <w:rFonts w:cs="Times New Roman"/>
        <w:i/>
        <w:iCs/>
        <w:sz w:val="26"/>
      </w:rPr>
      <w:tcPr>
        <w:tcBorders>
          <w:top w:val="nil"/>
          <w:left w:val="single" w:color="7F7F7F" w:sz="4" w:space="0"/>
          <w:bottom w:val="nil"/>
          <w:right w:val="nil"/>
          <w:insideH w:val="nil"/>
          <w:insideV w:val="nil"/>
          <w:tl2br w:val="nil"/>
          <w:tr2bl w:val="nil"/>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1165">
    <w:name w:val="Table Normal"/>
    <w:unhideWhenUsed/>
    <w:qFormat/>
    <w:uiPriority w:val="0"/>
    <w:tblPr>
      <w:tblCellMar>
        <w:top w:w="0" w:type="dxa"/>
        <w:left w:w="0" w:type="dxa"/>
        <w:bottom w:w="0" w:type="dxa"/>
        <w:right w:w="0" w:type="dxa"/>
      </w:tblCellMar>
    </w:tblPr>
  </w:style>
  <w:style w:type="paragraph" w:customStyle="1" w:styleId="1166">
    <w:name w:val="列表段落3"/>
    <w:basedOn w:val="1"/>
    <w:qFormat/>
    <w:uiPriority w:val="99"/>
    <w:pPr>
      <w:ind w:firstLine="420" w:firstLineChars="200"/>
    </w:pPr>
  </w:style>
  <w:style w:type="character" w:customStyle="1" w:styleId="1167">
    <w:name w:val="未处理的提及14"/>
    <w:basedOn w:val="95"/>
    <w:unhideWhenUsed/>
    <w:qFormat/>
    <w:uiPriority w:val="99"/>
    <w:rPr>
      <w:color w:val="605E5C"/>
      <w:shd w:val="clear" w:color="auto" w:fill="E1DFDD"/>
    </w:rPr>
  </w:style>
  <w:style w:type="character" w:customStyle="1" w:styleId="1168">
    <w:name w:val="NormalCharacter"/>
    <w:semiHidden/>
    <w:qFormat/>
    <w:uiPriority w:val="0"/>
  </w:style>
  <w:style w:type="paragraph" w:customStyle="1" w:styleId="1169">
    <w:name w:val="BodyTextIndent"/>
    <w:basedOn w:val="1"/>
    <w:link w:val="1170"/>
    <w:qFormat/>
    <w:uiPriority w:val="0"/>
    <w:pPr>
      <w:widowControl/>
      <w:adjustRightInd/>
      <w:spacing w:line="480" w:lineRule="atLeast"/>
      <w:ind w:firstLine="570"/>
      <w:textAlignment w:val="baseline"/>
    </w:pPr>
    <w:rPr>
      <w:rFonts w:ascii="??" w:hAnsi="??" w:eastAsia="??"/>
      <w:sz w:val="28"/>
      <w:szCs w:val="28"/>
    </w:rPr>
  </w:style>
  <w:style w:type="character" w:customStyle="1" w:styleId="1170">
    <w:name w:val="UserStyle_17"/>
    <w:link w:val="1169"/>
    <w:qFormat/>
    <w:uiPriority w:val="0"/>
    <w:rPr>
      <w:rFonts w:ascii="??" w:hAnsi="??" w:eastAsia="??"/>
      <w:kern w:val="2"/>
      <w:sz w:val="28"/>
      <w:szCs w:val="28"/>
    </w:rPr>
  </w:style>
  <w:style w:type="character" w:customStyle="1" w:styleId="1171">
    <w:name w:val="UserStyle_512"/>
    <w:qFormat/>
    <w:uiPriority w:val="0"/>
  </w:style>
  <w:style w:type="paragraph" w:customStyle="1" w:styleId="1172">
    <w:name w:val="正文文本首行缩进 21"/>
    <w:basedOn w:val="36"/>
    <w:qFormat/>
    <w:uiPriority w:val="99"/>
    <w:pPr>
      <w:adjustRightInd/>
      <w:spacing w:line="200" w:lineRule="atLeast"/>
      <w:ind w:firstLine="420" w:firstLineChars="0"/>
    </w:pPr>
    <w:rPr>
      <w:rFonts w:hAnsi="Courier New" w:eastAsia="??"/>
      <w:spacing w:val="-4"/>
      <w:sz w:val="18"/>
      <w:szCs w:val="28"/>
    </w:rPr>
  </w:style>
  <w:style w:type="paragraph" w:customStyle="1" w:styleId="1173">
    <w:name w:val="Heading2"/>
    <w:basedOn w:val="1"/>
    <w:next w:val="1"/>
    <w:qFormat/>
    <w:uiPriority w:val="0"/>
    <w:pPr>
      <w:keepNext/>
      <w:keepLines/>
      <w:widowControl/>
      <w:numPr>
        <w:ilvl w:val="0"/>
        <w:numId w:val="13"/>
      </w:numPr>
      <w:tabs>
        <w:tab w:val="left" w:pos="706"/>
        <w:tab w:val="left" w:pos="1110"/>
      </w:tabs>
      <w:adjustRightInd/>
      <w:spacing w:line="360" w:lineRule="auto"/>
      <w:textAlignment w:val="baseline"/>
    </w:pPr>
    <w:rPr>
      <w:rFonts w:ascii="Arial" w:hAnsi="Arial" w:eastAsia="??" w:cs="Arial"/>
      <w:szCs w:val="32"/>
    </w:rPr>
  </w:style>
  <w:style w:type="paragraph" w:customStyle="1" w:styleId="1174">
    <w:name w:val="UserStyle_238"/>
    <w:basedOn w:val="1"/>
    <w:qFormat/>
    <w:uiPriority w:val="0"/>
    <w:pPr>
      <w:widowControl/>
      <w:adjustRightInd/>
      <w:textAlignment w:val="baseline"/>
    </w:pPr>
    <w:rPr>
      <w:rFonts w:ascii="宋体" w:hAnsi="宋体"/>
      <w:lang w:val="zh-CN" w:bidi="zh-CN"/>
    </w:rPr>
  </w:style>
  <w:style w:type="paragraph" w:customStyle="1" w:styleId="1175">
    <w:name w:val="UserStyle_197"/>
    <w:qFormat/>
    <w:uiPriority w:val="0"/>
    <w:pPr>
      <w:jc w:val="both"/>
      <w:textAlignment w:val="baseline"/>
    </w:pPr>
    <w:rPr>
      <w:rFonts w:ascii="Arial Unicode MS" w:hAnsi="Arial Unicode MS" w:eastAsia="宋体" w:cs="Times New Roman"/>
      <w:color w:val="000000"/>
      <w:kern w:val="2"/>
      <w:sz w:val="21"/>
      <w:szCs w:val="22"/>
      <w:lang w:val="en-US" w:eastAsia="zh-CN" w:bidi="ar-SA"/>
    </w:rPr>
  </w:style>
  <w:style w:type="paragraph" w:customStyle="1" w:styleId="1176">
    <w:name w:val="修订14"/>
    <w:hidden/>
    <w:semiHidden/>
    <w:qFormat/>
    <w:uiPriority w:val="99"/>
    <w:rPr>
      <w:rFonts w:ascii="Times New Roman" w:hAnsi="Times New Roman" w:eastAsia="宋体" w:cs="Times New Roman"/>
      <w:kern w:val="2"/>
      <w:sz w:val="21"/>
      <w:szCs w:val="24"/>
      <w:lang w:val="en-US" w:eastAsia="zh-CN" w:bidi="ar-SA"/>
    </w:rPr>
  </w:style>
  <w:style w:type="paragraph" w:customStyle="1" w:styleId="1177">
    <w:name w:val="修订15"/>
    <w:hidden/>
    <w:semiHidden/>
    <w:qFormat/>
    <w:uiPriority w:val="99"/>
    <w:rPr>
      <w:rFonts w:ascii="Times New Roman" w:hAnsi="Times New Roman" w:eastAsia="宋体" w:cs="Times New Roman"/>
      <w:kern w:val="2"/>
      <w:sz w:val="21"/>
      <w:szCs w:val="24"/>
      <w:lang w:val="en-US" w:eastAsia="zh-CN" w:bidi="ar-SA"/>
    </w:rPr>
  </w:style>
  <w:style w:type="character" w:customStyle="1" w:styleId="1178">
    <w:name w:val="未处理的提及15"/>
    <w:basedOn w:val="95"/>
    <w:semiHidden/>
    <w:unhideWhenUsed/>
    <w:qFormat/>
    <w:uiPriority w:val="99"/>
    <w:rPr>
      <w:color w:val="605E5C"/>
      <w:shd w:val="clear" w:color="auto" w:fill="E1DFDD"/>
    </w:rPr>
  </w:style>
  <w:style w:type="character" w:customStyle="1" w:styleId="1179">
    <w:name w:val="font101"/>
    <w:basedOn w:val="95"/>
    <w:qFormat/>
    <w:uiPriority w:val="0"/>
    <w:rPr>
      <w:rFonts w:hint="default" w:ascii="Calibri" w:hAnsi="Calibri" w:cs="Calibri"/>
      <w:color w:val="000000"/>
      <w:sz w:val="20"/>
      <w:szCs w:val="20"/>
      <w:u w:val="none"/>
    </w:rPr>
  </w:style>
  <w:style w:type="character" w:customStyle="1" w:styleId="1180">
    <w:name w:val="font112"/>
    <w:basedOn w:val="95"/>
    <w:qFormat/>
    <w:uiPriority w:val="0"/>
    <w:rPr>
      <w:rFonts w:hint="eastAsia" w:ascii="宋体" w:hAnsi="宋体" w:eastAsia="宋体" w:cs="宋体"/>
      <w:color w:val="000000"/>
      <w:sz w:val="20"/>
      <w:szCs w:val="20"/>
      <w:u w:val="none"/>
      <w:vertAlign w:val="superscript"/>
    </w:rPr>
  </w:style>
  <w:style w:type="paragraph" w:styleId="1181">
    <w:name w:val="List Paragraph"/>
    <w:basedOn w:val="1"/>
    <w:qFormat/>
    <w:uiPriority w:val="99"/>
    <w:pPr>
      <w:ind w:firstLine="420" w:firstLineChars="200"/>
    </w:pPr>
  </w:style>
  <w:style w:type="character" w:customStyle="1" w:styleId="1182">
    <w:name w:val="未处理的提及16"/>
    <w:basedOn w:val="9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104</Pages>
  <Words>50620</Words>
  <Characters>57495</Characters>
  <Lines>474</Lines>
  <Paragraphs>133</Paragraphs>
  <TotalTime>1</TotalTime>
  <ScaleCrop>false</ScaleCrop>
  <LinksUpToDate>false</LinksUpToDate>
  <CharactersWithSpaces>63388</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2022-02-20T10:19:00Z</dcterms:created>
  <dc:creator>kanT</dc:creator>
  <cp:lastModifiedBy>金佳霖</cp:lastModifiedBy>
  <cp:lastPrinted>2022-08-31T12:39:00Z</cp:lastPrinted>
  <dcterms:modified xsi:type="dcterms:W3CDTF">2023-03-13T08:45:11Z</dcterms:modified>
  <dc:title>2022年余杭区国省道及部分新建道路养护项目</dc:title>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7BDB9F1481E2479FBD4607A84D0EEFC8</vt:lpwstr>
  </property>
</Properties>
</file>