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仿宋" w:hAnsi="仿宋" w:eastAsia="仿宋" w:cs="仿宋_GB2312"/>
          <w:b/>
          <w:color w:val="auto"/>
          <w:sz w:val="48"/>
          <w:szCs w:val="48"/>
          <w:highlight w:val="none"/>
        </w:rPr>
      </w:pPr>
    </w:p>
    <w:p>
      <w:pPr>
        <w:shd w:val="clear" w:color="auto" w:fill="FFFFFF"/>
        <w:tabs>
          <w:tab w:val="left" w:pos="4500"/>
        </w:tabs>
        <w:snapToGrid w:val="0"/>
        <w:spacing w:line="360" w:lineRule="auto"/>
        <w:jc w:val="center"/>
        <w:textAlignment w:val="bottom"/>
        <w:rPr>
          <w:rFonts w:ascii="仿宋" w:hAnsi="仿宋" w:eastAsia="仿宋" w:cs="宋体"/>
          <w:b/>
          <w:bCs/>
          <w:color w:val="auto"/>
          <w:spacing w:val="6"/>
          <w:sz w:val="44"/>
          <w:szCs w:val="44"/>
          <w:highlight w:val="none"/>
        </w:rPr>
      </w:pPr>
      <w:bookmarkStart w:id="0" w:name="_Hlk94030499"/>
      <w:r>
        <w:rPr>
          <w:rFonts w:hint="eastAsia" w:ascii="仿宋" w:hAnsi="仿宋" w:eastAsia="仿宋" w:cs="宋体"/>
          <w:b/>
          <w:bCs/>
          <w:color w:val="auto"/>
          <w:spacing w:val="6"/>
          <w:sz w:val="44"/>
          <w:szCs w:val="44"/>
          <w:highlight w:val="none"/>
        </w:rPr>
        <w:t>余杭区市民之家大厅及食堂家具采购项目</w:t>
      </w:r>
      <w:bookmarkEnd w:id="0"/>
    </w:p>
    <w:p>
      <w:pPr>
        <w:shd w:val="clear" w:color="auto" w:fill="FFFFFF"/>
        <w:tabs>
          <w:tab w:val="left" w:pos="4500"/>
        </w:tabs>
        <w:snapToGrid w:val="0"/>
        <w:spacing w:line="360" w:lineRule="auto"/>
        <w:jc w:val="center"/>
        <w:textAlignment w:val="bottom"/>
        <w:rPr>
          <w:rFonts w:ascii="仿宋" w:hAnsi="仿宋" w:eastAsia="仿宋" w:cs="宋体"/>
          <w:b/>
          <w:bCs/>
          <w:color w:val="auto"/>
          <w:sz w:val="52"/>
          <w:szCs w:val="52"/>
          <w:highlight w:val="none"/>
        </w:rPr>
      </w:pPr>
    </w:p>
    <w:p>
      <w:pPr>
        <w:shd w:val="clear" w:color="auto" w:fill="FFFFFF"/>
        <w:tabs>
          <w:tab w:val="left" w:pos="4500"/>
        </w:tabs>
        <w:snapToGrid w:val="0"/>
        <w:spacing w:line="360" w:lineRule="auto"/>
        <w:jc w:val="center"/>
        <w:textAlignment w:val="bottom"/>
        <w:rPr>
          <w:rFonts w:ascii="仿宋" w:hAnsi="仿宋" w:eastAsia="仿宋" w:cs="宋体"/>
          <w:b/>
          <w:bCs/>
          <w:color w:val="auto"/>
          <w:sz w:val="72"/>
          <w:szCs w:val="72"/>
          <w:highlight w:val="none"/>
        </w:rPr>
      </w:pPr>
      <w:r>
        <w:rPr>
          <w:rFonts w:hint="eastAsia" w:ascii="仿宋" w:hAnsi="仿宋" w:eastAsia="仿宋" w:cs="宋体"/>
          <w:b/>
          <w:bCs/>
          <w:color w:val="auto"/>
          <w:sz w:val="72"/>
          <w:szCs w:val="72"/>
          <w:highlight w:val="none"/>
        </w:rPr>
        <w:t>公开招标文件</w:t>
      </w:r>
    </w:p>
    <w:p>
      <w:pPr>
        <w:widowControl/>
        <w:snapToGrid w:val="0"/>
        <w:spacing w:line="360" w:lineRule="auto"/>
        <w:jc w:val="center"/>
        <w:rPr>
          <w:rFonts w:ascii="仿宋" w:hAnsi="仿宋" w:eastAsia="仿宋" w:cs="宋体"/>
          <w:color w:val="auto"/>
          <w:highlight w:val="none"/>
        </w:rPr>
      </w:pPr>
      <w:r>
        <w:rPr>
          <w:rFonts w:hint="eastAsia" w:ascii="仿宋" w:hAnsi="仿宋" w:eastAsia="仿宋" w:cs="宋体"/>
          <w:b/>
          <w:color w:val="auto"/>
          <w:sz w:val="36"/>
          <w:highlight w:val="none"/>
        </w:rPr>
        <w:t>（电子化招投标）</w:t>
      </w:r>
    </w:p>
    <w:p>
      <w:pPr>
        <w:widowControl/>
        <w:snapToGrid w:val="0"/>
        <w:spacing w:line="360" w:lineRule="auto"/>
        <w:jc w:val="center"/>
        <w:rPr>
          <w:rFonts w:ascii="仿宋" w:hAnsi="仿宋" w:eastAsia="仿宋" w:cs="宋体"/>
          <w:color w:val="auto"/>
          <w:highlight w:val="none"/>
        </w:rPr>
      </w:pPr>
    </w:p>
    <w:p>
      <w:pPr>
        <w:shd w:val="clear" w:color="auto" w:fill="FFFFFF"/>
        <w:snapToGrid w:val="0"/>
        <w:spacing w:line="360" w:lineRule="auto"/>
        <w:rPr>
          <w:rFonts w:ascii="仿宋" w:hAnsi="仿宋" w:eastAsia="仿宋" w:cs="宋体"/>
          <w:b/>
          <w:color w:val="auto"/>
          <w:sz w:val="36"/>
          <w:highlight w:val="none"/>
        </w:rPr>
      </w:pPr>
    </w:p>
    <w:p>
      <w:pPr>
        <w:shd w:val="clear" w:color="auto" w:fill="FFFFFF"/>
        <w:snapToGrid w:val="0"/>
        <w:spacing w:line="360" w:lineRule="auto"/>
        <w:jc w:val="center"/>
        <w:rPr>
          <w:rFonts w:ascii="仿宋" w:hAnsi="仿宋" w:eastAsia="仿宋" w:cs="宋体"/>
          <w:b/>
          <w:bCs/>
          <w:color w:val="auto"/>
          <w:sz w:val="36"/>
          <w:szCs w:val="36"/>
          <w:highlight w:val="none"/>
        </w:rPr>
      </w:pPr>
      <w:r>
        <w:rPr>
          <w:rFonts w:hint="eastAsia" w:ascii="仿宋" w:hAnsi="仿宋" w:eastAsia="仿宋" w:cs="宋体"/>
          <w:b/>
          <w:bCs/>
          <w:color w:val="auto"/>
          <w:sz w:val="36"/>
          <w:szCs w:val="36"/>
          <w:highlight w:val="none"/>
        </w:rPr>
        <w:t>招标编号：HZZR-F220213N</w:t>
      </w:r>
    </w:p>
    <w:p>
      <w:pPr>
        <w:shd w:val="clear" w:color="auto" w:fill="FFFFFF"/>
        <w:snapToGrid w:val="0"/>
        <w:spacing w:line="360" w:lineRule="auto"/>
        <w:textAlignment w:val="bottom"/>
        <w:rPr>
          <w:rFonts w:ascii="仿宋" w:hAnsi="仿宋" w:eastAsia="仿宋" w:cs="宋体"/>
          <w:b/>
          <w:bCs/>
          <w:color w:val="auto"/>
          <w:sz w:val="48"/>
          <w:szCs w:val="48"/>
          <w:highlight w:val="none"/>
        </w:rPr>
      </w:pPr>
    </w:p>
    <w:p>
      <w:pPr>
        <w:shd w:val="clear" w:color="auto" w:fill="FFFFFF"/>
        <w:snapToGrid w:val="0"/>
        <w:spacing w:line="360" w:lineRule="auto"/>
        <w:textAlignment w:val="bottom"/>
        <w:rPr>
          <w:rFonts w:ascii="仿宋" w:hAnsi="仿宋" w:eastAsia="仿宋" w:cs="宋体"/>
          <w:b/>
          <w:bCs/>
          <w:color w:val="auto"/>
          <w:sz w:val="48"/>
          <w:szCs w:val="48"/>
          <w:highlight w:val="none"/>
        </w:rPr>
      </w:pPr>
      <w:r>
        <w:rPr>
          <w:rFonts w:ascii="仿宋" w:hAnsi="仿宋" w:eastAsia="仿宋" w:cs="Times New Roman"/>
          <w:color w:val="auto"/>
          <w:kern w:val="2"/>
          <w:sz w:val="21"/>
          <w:szCs w:val="24"/>
          <w:highlight w:val="none"/>
          <w:lang w:val="en-US" w:eastAsia="zh-CN" w:bidi="ar-SA"/>
        </w:rPr>
        <w:pict>
          <v:line id="直接连接符 3" o:spid="_x0000_s1028" o:spt="20" style="position:absolute;left:0pt;margin-left:330pt;margin-top:5.7pt;height:0.05pt;width:0.05pt;mso-wrap-distance-bottom:0pt;mso-wrap-distance-left:9pt;mso-wrap-distance-right:9pt;mso-wrap-distance-top:0pt;z-index:251661312;mso-width-relative:page;mso-height-relative:page;" fillcolor="#FFFFFF" filled="f" o:preferrelative="t" stroked="t" coordsize="21600,21600" o:allowincell="f">
            <v:path arrowok="t"/>
            <v:fill on="f" color2="#FFFFFF" focussize="0,0"/>
            <v:stroke color="#000000" color2="#FFFFFF" miterlimit="2"/>
            <v:imagedata gain="65536f" blacklevel="0f" gamma="0" o:title=""/>
            <o:lock v:ext="edit" position="f" selection="f" grouping="f" rotation="f" cropping="f" text="f" aspectratio="f"/>
            <w10:wrap type="square"/>
          </v:line>
        </w:pict>
      </w:r>
    </w:p>
    <w:p>
      <w:pPr>
        <w:shd w:val="clear" w:color="auto" w:fill="FFFFFF"/>
        <w:snapToGrid w:val="0"/>
        <w:spacing w:line="360" w:lineRule="auto"/>
        <w:ind w:firstLine="1506" w:firstLineChars="500"/>
        <w:textAlignment w:val="bottom"/>
        <w:rPr>
          <w:rFonts w:ascii="仿宋" w:hAnsi="仿宋" w:eastAsia="仿宋" w:cs="宋体"/>
          <w:b/>
          <w:bCs/>
          <w:color w:val="auto"/>
          <w:sz w:val="30"/>
          <w:szCs w:val="30"/>
          <w:highlight w:val="none"/>
        </w:rPr>
      </w:pPr>
      <w:r>
        <w:rPr>
          <w:rFonts w:hint="eastAsia" w:ascii="仿宋" w:hAnsi="仿宋" w:eastAsia="仿宋" w:cs="宋体"/>
          <w:b/>
          <w:bCs/>
          <w:color w:val="auto"/>
          <w:sz w:val="30"/>
          <w:szCs w:val="30"/>
          <w:highlight w:val="none"/>
        </w:rPr>
        <w:t>招 标 人：</w:t>
      </w:r>
      <w:r>
        <w:rPr>
          <w:rFonts w:ascii="仿宋" w:hAnsi="仿宋" w:eastAsia="仿宋" w:cs="宋体"/>
          <w:b/>
          <w:bCs/>
          <w:color w:val="auto"/>
          <w:sz w:val="30"/>
          <w:szCs w:val="30"/>
          <w:highlight w:val="none"/>
        </w:rPr>
        <w:t xml:space="preserve"> </w:t>
      </w:r>
      <w:r>
        <w:rPr>
          <w:rFonts w:hint="eastAsia" w:ascii="仿宋" w:hAnsi="仿宋" w:eastAsia="仿宋" w:cs="宋体"/>
          <w:b/>
          <w:bCs/>
          <w:color w:val="auto"/>
          <w:spacing w:val="-24"/>
          <w:sz w:val="30"/>
          <w:szCs w:val="30"/>
          <w:highlight w:val="none"/>
        </w:rPr>
        <w:t>杭州市余杭区机关事务服务中心</w:t>
      </w:r>
    </w:p>
    <w:p>
      <w:pPr>
        <w:shd w:val="clear" w:color="auto" w:fill="FFFFFF"/>
        <w:snapToGrid w:val="0"/>
        <w:spacing w:line="360" w:lineRule="auto"/>
        <w:ind w:firstLine="426"/>
        <w:jc w:val="center"/>
        <w:textAlignment w:val="bottom"/>
        <w:rPr>
          <w:rFonts w:ascii="仿宋" w:hAnsi="仿宋" w:eastAsia="仿宋" w:cs="宋体"/>
          <w:b/>
          <w:bCs/>
          <w:color w:val="auto"/>
          <w:sz w:val="30"/>
          <w:szCs w:val="30"/>
          <w:highlight w:val="none"/>
        </w:rPr>
      </w:pPr>
      <w:r>
        <w:rPr>
          <w:rFonts w:hint="eastAsia" w:ascii="仿宋" w:hAnsi="仿宋" w:eastAsia="仿宋" w:cs="宋体"/>
          <w:b/>
          <w:bCs/>
          <w:color w:val="auto"/>
          <w:sz w:val="30"/>
          <w:szCs w:val="30"/>
          <w:highlight w:val="none"/>
        </w:rPr>
        <w:t>招标代理机构：杭州中瑞招标代理有限公司</w:t>
      </w:r>
    </w:p>
    <w:p>
      <w:pPr>
        <w:shd w:val="clear" w:color="auto" w:fill="FFFFFF"/>
        <w:snapToGrid w:val="0"/>
        <w:spacing w:line="360" w:lineRule="auto"/>
        <w:ind w:firstLine="426"/>
        <w:jc w:val="center"/>
        <w:textAlignment w:val="bottom"/>
        <w:rPr>
          <w:rFonts w:ascii="仿宋" w:hAnsi="仿宋" w:eastAsia="仿宋" w:cs="宋体"/>
          <w:b/>
          <w:bCs/>
          <w:color w:val="auto"/>
          <w:sz w:val="30"/>
          <w:szCs w:val="30"/>
          <w:highlight w:val="none"/>
        </w:rPr>
      </w:pPr>
      <w:r>
        <w:rPr>
          <w:rFonts w:hint="eastAsia" w:ascii="仿宋" w:hAnsi="仿宋" w:eastAsia="仿宋" w:cs="宋体"/>
          <w:b/>
          <w:bCs/>
          <w:color w:val="auto"/>
          <w:sz w:val="30"/>
          <w:szCs w:val="30"/>
          <w:highlight w:val="none"/>
        </w:rPr>
        <w:t>二O二二年三月</w:t>
      </w:r>
    </w:p>
    <w:p>
      <w:pPr>
        <w:snapToGrid w:val="0"/>
        <w:spacing w:line="360" w:lineRule="auto"/>
        <w:rPr>
          <w:rFonts w:ascii="仿宋" w:hAnsi="仿宋" w:eastAsia="仿宋" w:cs="仿宋_GB2312"/>
          <w:b/>
          <w:color w:val="auto"/>
          <w:sz w:val="48"/>
          <w:szCs w:val="48"/>
          <w:highlight w:val="none"/>
        </w:rPr>
      </w:pPr>
      <w:r>
        <w:rPr>
          <w:rFonts w:hint="eastAsia" w:ascii="仿宋" w:hAnsi="仿宋" w:eastAsia="仿宋" w:cs="仿宋_GB2312"/>
          <w:b/>
          <w:color w:val="auto"/>
          <w:sz w:val="48"/>
          <w:szCs w:val="48"/>
          <w:highlight w:val="none"/>
        </w:rPr>
        <w:br w:type="page"/>
      </w:r>
    </w:p>
    <w:p>
      <w:pPr>
        <w:snapToGrid w:val="0"/>
        <w:spacing w:line="360" w:lineRule="auto"/>
        <w:jc w:val="center"/>
        <w:rPr>
          <w:rFonts w:ascii="仿宋" w:hAnsi="仿宋" w:eastAsia="仿宋" w:cs="仿宋_GB2312"/>
          <w:b/>
          <w:color w:val="auto"/>
          <w:sz w:val="48"/>
          <w:szCs w:val="48"/>
          <w:highlight w:val="none"/>
        </w:rPr>
      </w:pPr>
      <w:r>
        <w:rPr>
          <w:rFonts w:hint="eastAsia" w:ascii="仿宋" w:hAnsi="仿宋" w:eastAsia="仿宋" w:cs="仿宋_GB2312"/>
          <w:b/>
          <w:color w:val="auto"/>
          <w:sz w:val="48"/>
          <w:szCs w:val="48"/>
          <w:highlight w:val="none"/>
        </w:rPr>
        <w:t>目</w:t>
      </w:r>
      <w:r>
        <w:rPr>
          <w:rFonts w:ascii="仿宋" w:hAnsi="仿宋" w:eastAsia="仿宋" w:cs="仿宋_GB2312"/>
          <w:b/>
          <w:color w:val="auto"/>
          <w:sz w:val="48"/>
          <w:szCs w:val="48"/>
          <w:highlight w:val="none"/>
        </w:rPr>
        <w:t xml:space="preserve">  </w:t>
      </w:r>
      <w:r>
        <w:rPr>
          <w:rFonts w:hint="eastAsia" w:ascii="仿宋" w:hAnsi="仿宋" w:eastAsia="仿宋" w:cs="仿宋_GB2312"/>
          <w:b/>
          <w:color w:val="auto"/>
          <w:sz w:val="48"/>
          <w:szCs w:val="48"/>
          <w:highlight w:val="none"/>
        </w:rPr>
        <w:t>录</w:t>
      </w:r>
    </w:p>
    <w:p>
      <w:pPr>
        <w:spacing w:line="360" w:lineRule="auto"/>
        <w:ind w:firstLine="1200" w:firstLineChars="500"/>
        <w:rPr>
          <w:rFonts w:ascii="仿宋" w:hAnsi="仿宋" w:eastAsia="仿宋" w:cs="仿宋_GB2312"/>
          <w:color w:val="auto"/>
          <w:sz w:val="32"/>
          <w:szCs w:val="32"/>
          <w:highlight w:val="none"/>
        </w:rPr>
      </w:pPr>
      <w:bookmarkStart w:id="1" w:name="_Hlt74728647"/>
      <w:bookmarkEnd w:id="1"/>
      <w:bookmarkStart w:id="2" w:name="_Hlt74707423"/>
      <w:bookmarkEnd w:id="2"/>
      <w:bookmarkStart w:id="3" w:name="_Hlt74649545"/>
      <w:bookmarkEnd w:id="3"/>
      <w:bookmarkStart w:id="4" w:name="_Hlt74729822"/>
      <w:bookmarkEnd w:id="4"/>
      <w:bookmarkStart w:id="5" w:name="第二部分"/>
      <w:bookmarkStart w:id="6" w:name="_Toc91899870"/>
      <w:bookmarkStart w:id="7" w:name="_Toc91899871"/>
      <w:r>
        <w:rPr>
          <w:rFonts w:ascii="仿宋" w:hAnsi="仿宋" w:eastAsia="仿宋" w:cs="仿宋_GB2312"/>
          <w:bCs/>
          <w:color w:val="auto"/>
          <w:sz w:val="24"/>
          <w:highlight w:val="none"/>
        </w:rPr>
        <w:fldChar w:fldCharType="begin"/>
      </w:r>
      <w:r>
        <w:rPr>
          <w:rFonts w:ascii="仿宋" w:hAnsi="仿宋" w:eastAsia="仿宋" w:cs="仿宋_GB2312"/>
          <w:bCs/>
          <w:color w:val="auto"/>
          <w:sz w:val="24"/>
          <w:highlight w:val="none"/>
        </w:rPr>
        <w:instrText xml:space="preserve"> TOC \o "1-2" \h \z \u </w:instrText>
      </w:r>
      <w:r>
        <w:rPr>
          <w:rFonts w:ascii="仿宋" w:hAnsi="仿宋" w:eastAsia="仿宋" w:cs="仿宋_GB2312"/>
          <w:bCs/>
          <w:color w:val="auto"/>
          <w:sz w:val="24"/>
          <w:highlight w:val="none"/>
        </w:rPr>
        <w:fldChar w:fldCharType="separate"/>
      </w:r>
      <w:r>
        <w:rPr>
          <w:rFonts w:hint="eastAsia" w:ascii="仿宋" w:hAnsi="仿宋" w:eastAsia="仿宋" w:cs="仿宋_GB2312"/>
          <w:color w:val="auto"/>
          <w:sz w:val="32"/>
          <w:szCs w:val="32"/>
          <w:highlight w:val="none"/>
        </w:rPr>
        <w:t>第一部分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招标公告</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第二部分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投标人须知</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第三部分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采购需求</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第四部分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评标办法</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第五部分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拟签订的合同文本</w:t>
      </w:r>
    </w:p>
    <w:p>
      <w:pPr>
        <w:spacing w:line="360" w:lineRule="auto"/>
        <w:ind w:firstLine="1280" w:firstLineChars="400"/>
        <w:rPr>
          <w:rFonts w:ascii="仿宋" w:hAnsi="仿宋" w:eastAsia="仿宋" w:cs="仿宋_GB2312"/>
          <w:color w:val="auto"/>
          <w:sz w:val="32"/>
          <w:szCs w:val="32"/>
          <w:highlight w:val="none"/>
        </w:rPr>
      </w:pPr>
      <w:r>
        <w:rPr>
          <w:rFonts w:hint="eastAsia" w:ascii="仿宋" w:hAnsi="仿宋" w:eastAsia="仿宋" w:cs="仿宋_GB2312"/>
          <w:color w:val="auto"/>
          <w:sz w:val="32"/>
          <w:szCs w:val="32"/>
          <w:highlight w:val="none"/>
        </w:rPr>
        <w:t>第六部分</w:t>
      </w:r>
      <w:r>
        <w:rPr>
          <w:rFonts w:ascii="仿宋" w:hAnsi="仿宋" w:eastAsia="仿宋" w:cs="仿宋_GB2312"/>
          <w:color w:val="auto"/>
          <w:sz w:val="32"/>
          <w:szCs w:val="32"/>
          <w:highlight w:val="none"/>
        </w:rPr>
        <w:t xml:space="preserve">      </w:t>
      </w:r>
      <w:r>
        <w:rPr>
          <w:rFonts w:hint="eastAsia" w:ascii="仿宋" w:hAnsi="仿宋" w:eastAsia="仿宋" w:cs="仿宋_GB2312"/>
          <w:color w:val="auto"/>
          <w:sz w:val="32"/>
          <w:szCs w:val="32"/>
          <w:highlight w:val="none"/>
        </w:rPr>
        <w:t>应提交的有关格式范例</w:t>
      </w:r>
    </w:p>
    <w:p>
      <w:pPr>
        <w:pStyle w:val="26"/>
        <w:tabs>
          <w:tab w:val="right" w:leader="dot" w:pos="8306"/>
        </w:tabs>
        <w:ind w:left="840" w:hanging="420"/>
        <w:rPr>
          <w:rFonts w:ascii="仿宋" w:hAnsi="仿宋" w:eastAsia="仿宋"/>
          <w:color w:val="auto"/>
          <w:highlight w:val="none"/>
        </w:rPr>
        <w:sectPr>
          <w:footerReference r:id="rId3" w:type="default"/>
          <w:pgSz w:w="11906" w:h="16838"/>
          <w:pgMar w:top="1440" w:right="1800" w:bottom="1440" w:left="1800" w:header="851" w:footer="992" w:gutter="0"/>
          <w:pgNumType w:start="1"/>
          <w:cols w:space="720" w:num="1"/>
          <w:docGrid w:linePitch="312" w:charSpace="0"/>
        </w:sectPr>
      </w:pPr>
    </w:p>
    <w:p>
      <w:pPr>
        <w:pageBreakBefore/>
        <w:snapToGrid w:val="0"/>
        <w:spacing w:line="360" w:lineRule="auto"/>
        <w:jc w:val="center"/>
        <w:outlineLvl w:val="0"/>
        <w:rPr>
          <w:rFonts w:ascii="仿宋" w:hAnsi="仿宋" w:eastAsia="仿宋" w:cs="仿宋_GB2312"/>
          <w:b/>
          <w:color w:val="auto"/>
          <w:sz w:val="36"/>
          <w:szCs w:val="20"/>
          <w:highlight w:val="none"/>
        </w:rPr>
      </w:pPr>
      <w:r>
        <w:rPr>
          <w:rFonts w:ascii="仿宋" w:hAnsi="仿宋" w:eastAsia="仿宋" w:cs="仿宋_GB2312"/>
          <w:bCs/>
          <w:color w:val="auto"/>
          <w:sz w:val="24"/>
          <w:highlight w:val="none"/>
        </w:rPr>
        <w:fldChar w:fldCharType="end"/>
      </w:r>
      <w:bookmarkStart w:id="8" w:name="_Toc12868"/>
      <w:bookmarkStart w:id="9" w:name="_Toc1780133801"/>
      <w:bookmarkStart w:id="10" w:name="_Toc95312933"/>
      <w:bookmarkStart w:id="11" w:name="_Toc24823"/>
      <w:bookmarkStart w:id="12" w:name="_Toc829790387"/>
      <w:r>
        <w:rPr>
          <w:rFonts w:hint="eastAsia" w:ascii="仿宋" w:hAnsi="仿宋" w:eastAsia="仿宋" w:cs="仿宋_GB2312"/>
          <w:b/>
          <w:color w:val="auto"/>
          <w:sz w:val="36"/>
          <w:szCs w:val="20"/>
          <w:highlight w:val="none"/>
        </w:rPr>
        <w:t>第一部分</w:t>
      </w:r>
      <w:r>
        <w:rPr>
          <w:rFonts w:ascii="仿宋" w:hAnsi="仿宋" w:eastAsia="仿宋" w:cs="仿宋_GB2312"/>
          <w:b/>
          <w:color w:val="auto"/>
          <w:sz w:val="36"/>
          <w:szCs w:val="20"/>
          <w:highlight w:val="none"/>
        </w:rPr>
        <w:t xml:space="preserve"> </w:t>
      </w:r>
      <w:r>
        <w:rPr>
          <w:rFonts w:hint="eastAsia" w:ascii="仿宋" w:hAnsi="仿宋" w:eastAsia="仿宋" w:cs="仿宋_GB2312"/>
          <w:b/>
          <w:color w:val="auto"/>
          <w:sz w:val="36"/>
          <w:szCs w:val="20"/>
          <w:highlight w:val="none"/>
        </w:rPr>
        <w:t>招标公告</w:t>
      </w:r>
      <w:bookmarkEnd w:id="8"/>
      <w:bookmarkEnd w:id="9"/>
      <w:bookmarkEnd w:id="10"/>
      <w:bookmarkEnd w:id="11"/>
      <w:bookmarkEnd w:id="12"/>
    </w:p>
    <w:p>
      <w:pPr>
        <w:pBdr>
          <w:top w:val="single" w:color="auto" w:sz="4" w:space="1"/>
          <w:left w:val="single" w:color="auto" w:sz="4" w:space="4"/>
          <w:bottom w:val="single" w:color="auto" w:sz="4" w:space="1"/>
          <w:right w:val="single" w:color="auto" w:sz="4" w:space="4"/>
        </w:pBd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项目概况</w:t>
      </w:r>
    </w:p>
    <w:p>
      <w:pPr>
        <w:pBdr>
          <w:top w:val="single" w:color="auto" w:sz="4" w:space="1"/>
          <w:left w:val="single" w:color="auto" w:sz="4" w:space="4"/>
          <w:bottom w:val="single" w:color="auto" w:sz="4" w:space="1"/>
          <w:right w:val="single" w:color="auto" w:sz="4" w:space="4"/>
        </w:pBdr>
        <w:snapToGrid w:val="0"/>
        <w:spacing w:line="360" w:lineRule="auto"/>
        <w:ind w:firstLine="480" w:firstLineChars="200"/>
        <w:rPr>
          <w:rFonts w:ascii="仿宋" w:hAnsi="仿宋" w:eastAsia="仿宋"/>
          <w:color w:val="auto"/>
          <w:sz w:val="24"/>
          <w:highlight w:val="none"/>
          <w:u w:val="single"/>
        </w:rPr>
      </w:pPr>
      <w:bookmarkStart w:id="13" w:name="_Hlk94195394"/>
      <w:r>
        <w:rPr>
          <w:rFonts w:hint="eastAsia" w:ascii="仿宋" w:hAnsi="仿宋" w:eastAsia="仿宋" w:cs="仿宋_GB2312"/>
          <w:color w:val="auto"/>
          <w:sz w:val="24"/>
          <w:highlight w:val="none"/>
          <w:u w:val="single"/>
        </w:rPr>
        <w:t>余杭区市民之家大厅及食堂家具采购</w:t>
      </w:r>
      <w:r>
        <w:rPr>
          <w:rFonts w:hint="eastAsia" w:ascii="仿宋" w:hAnsi="仿宋" w:eastAsia="仿宋"/>
          <w:color w:val="auto"/>
          <w:sz w:val="24"/>
          <w:highlight w:val="none"/>
          <w:u w:val="single"/>
        </w:rPr>
        <w:t>项目</w:t>
      </w:r>
      <w:bookmarkEnd w:id="13"/>
      <w:r>
        <w:rPr>
          <w:rFonts w:hint="eastAsia" w:ascii="仿宋" w:hAnsi="仿宋" w:eastAsia="仿宋"/>
          <w:color w:val="auto"/>
          <w:sz w:val="24"/>
          <w:highlight w:val="none"/>
        </w:rPr>
        <w:t>的潜在供应商应在政采云平台（</w:t>
      </w:r>
      <w:r>
        <w:rPr>
          <w:color w:val="auto"/>
          <w:highlight w:val="none"/>
        </w:rPr>
        <w:fldChar w:fldCharType="begin"/>
      </w:r>
      <w:r>
        <w:rPr>
          <w:color w:val="auto"/>
          <w:highlight w:val="none"/>
        </w:rPr>
        <w:instrText xml:space="preserve">HYPERLINK "https://www.zcygov.cn/）获取（下载）招标文件，并于2022年2月  日9点0分00秒" </w:instrText>
      </w:r>
      <w:r>
        <w:rPr>
          <w:color w:val="auto"/>
          <w:highlight w:val="none"/>
        </w:rPr>
        <w:fldChar w:fldCharType="separate"/>
      </w:r>
      <w:r>
        <w:rPr>
          <w:rFonts w:ascii="仿宋" w:hAnsi="仿宋" w:eastAsia="仿宋"/>
          <w:color w:val="auto"/>
          <w:sz w:val="24"/>
          <w:highlight w:val="none"/>
        </w:rPr>
        <w:t>https://www.zcygov.cn/）获取（下载）采购文件，并于</w:t>
      </w:r>
      <w:r>
        <w:rPr>
          <w:rFonts w:hint="eastAsia" w:ascii="仿宋" w:hAnsi="仿宋" w:eastAsia="仿宋"/>
          <w:color w:val="auto"/>
          <w:sz w:val="24"/>
          <w:highlight w:val="none"/>
        </w:rPr>
        <w:t>2022</w:t>
      </w:r>
      <w:r>
        <w:rPr>
          <w:rFonts w:ascii="仿宋" w:hAnsi="仿宋" w:eastAsia="仿宋"/>
          <w:color w:val="auto"/>
          <w:sz w:val="24"/>
          <w:highlight w:val="none"/>
        </w:rPr>
        <w:t>年</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日9点0分</w:t>
      </w:r>
      <w:r>
        <w:rPr>
          <w:rFonts w:hint="eastAsia" w:ascii="仿宋" w:hAnsi="仿宋" w:eastAsia="仿宋"/>
          <w:bCs/>
          <w:color w:val="auto"/>
          <w:sz w:val="24"/>
          <w:highlight w:val="none"/>
        </w:rPr>
        <w:t>00秒</w:t>
      </w:r>
      <w:r>
        <w:rPr>
          <w:color w:val="auto"/>
          <w:highlight w:val="none"/>
        </w:rPr>
        <w:fldChar w:fldCharType="end"/>
      </w:r>
      <w:r>
        <w:rPr>
          <w:rFonts w:hint="eastAsia" w:ascii="仿宋" w:hAnsi="仿宋" w:eastAsia="仿宋"/>
          <w:bCs/>
          <w:color w:val="auto"/>
          <w:sz w:val="24"/>
          <w:highlight w:val="none"/>
        </w:rPr>
        <w:t>（北京时间）前</w:t>
      </w:r>
      <w:r>
        <w:rPr>
          <w:rFonts w:hint="eastAsia" w:ascii="仿宋" w:hAnsi="仿宋" w:eastAsia="仿宋"/>
          <w:color w:val="auto"/>
          <w:sz w:val="24"/>
          <w:highlight w:val="none"/>
        </w:rPr>
        <w:t>递交（上传）投标文件。</w:t>
      </w:r>
    </w:p>
    <w:p>
      <w:pPr>
        <w:snapToGrid w:val="0"/>
        <w:spacing w:line="360" w:lineRule="auto"/>
        <w:rPr>
          <w:rFonts w:ascii="仿宋" w:hAnsi="仿宋" w:eastAsia="仿宋"/>
          <w:b/>
          <w:color w:val="auto"/>
          <w:sz w:val="24"/>
          <w:highlight w:val="none"/>
        </w:rPr>
      </w:pPr>
      <w:r>
        <w:rPr>
          <w:rFonts w:hint="eastAsia" w:ascii="仿宋" w:hAnsi="仿宋" w:eastAsia="仿宋" w:cs="仿宋_GB2312"/>
          <w:b/>
          <w:bCs/>
          <w:color w:val="auto"/>
          <w:sz w:val="24"/>
          <w:highlight w:val="none"/>
        </w:rPr>
        <w:t xml:space="preserve">一、项目基本情况 </w:t>
      </w:r>
      <w:r>
        <w:rPr>
          <w:rFonts w:ascii="仿宋" w:hAnsi="仿宋" w:eastAsia="仿宋"/>
          <w:b/>
          <w:color w:val="auto"/>
          <w:sz w:val="24"/>
          <w:highlight w:val="none"/>
        </w:rPr>
        <w:t xml:space="preserve">                                           </w:t>
      </w:r>
    </w:p>
    <w:p>
      <w:pPr>
        <w:snapToGrid w:val="0"/>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r>
        <w:rPr>
          <w:rFonts w:hint="eastAsia" w:ascii="仿宋" w:hAnsi="仿宋" w:eastAsia="仿宋"/>
          <w:b/>
          <w:color w:val="auto"/>
          <w:sz w:val="24"/>
          <w:highlight w:val="none"/>
        </w:rPr>
        <w:t>项目编号：</w:t>
      </w:r>
      <w:r>
        <w:rPr>
          <w:rFonts w:hint="eastAsia" w:ascii="仿宋" w:hAnsi="仿宋" w:eastAsia="仿宋"/>
          <w:color w:val="auto"/>
          <w:sz w:val="24"/>
          <w:highlight w:val="none"/>
        </w:rPr>
        <w:t>HZZR-F220213N</w:t>
      </w:r>
    </w:p>
    <w:p>
      <w:pPr>
        <w:snapToGrid w:val="0"/>
        <w:spacing w:line="360" w:lineRule="auto"/>
        <w:rPr>
          <w:rFonts w:ascii="仿宋" w:hAnsi="仿宋" w:eastAsia="仿宋"/>
          <w:b/>
          <w:color w:val="auto"/>
          <w:sz w:val="24"/>
          <w:highlight w:val="none"/>
        </w:rPr>
      </w:pPr>
      <w:r>
        <w:rPr>
          <w:rFonts w:ascii="仿宋" w:hAnsi="仿宋" w:eastAsia="仿宋"/>
          <w:color w:val="auto"/>
          <w:sz w:val="24"/>
          <w:highlight w:val="none"/>
        </w:rPr>
        <w:t xml:space="preserve">   </w:t>
      </w:r>
      <w:r>
        <w:rPr>
          <w:rFonts w:ascii="仿宋" w:hAnsi="仿宋" w:eastAsia="仿宋"/>
          <w:b/>
          <w:color w:val="auto"/>
          <w:sz w:val="24"/>
          <w:highlight w:val="none"/>
        </w:rPr>
        <w:t xml:space="preserve"> </w:t>
      </w:r>
      <w:r>
        <w:rPr>
          <w:rFonts w:hint="eastAsia" w:ascii="仿宋" w:hAnsi="仿宋" w:eastAsia="仿宋"/>
          <w:b/>
          <w:color w:val="auto"/>
          <w:sz w:val="24"/>
          <w:highlight w:val="none"/>
        </w:rPr>
        <w:t>项目名称：</w:t>
      </w:r>
      <w:bookmarkStart w:id="14" w:name="_Hlk94199876"/>
      <w:r>
        <w:rPr>
          <w:rFonts w:hint="eastAsia" w:ascii="仿宋" w:hAnsi="仿宋" w:eastAsia="仿宋"/>
          <w:b/>
          <w:color w:val="auto"/>
          <w:sz w:val="24"/>
          <w:highlight w:val="none"/>
        </w:rPr>
        <w:t>余杭区市民之家大厅及食堂家具采购项目</w:t>
      </w:r>
      <w:bookmarkEnd w:id="14"/>
    </w:p>
    <w:p>
      <w:pPr>
        <w:snapToGrid w:val="0"/>
        <w:spacing w:line="360" w:lineRule="auto"/>
        <w:rPr>
          <w:rFonts w:ascii="仿宋" w:hAnsi="仿宋" w:eastAsia="仿宋"/>
          <w:bCs/>
          <w:color w:val="auto"/>
          <w:sz w:val="24"/>
          <w:highlight w:val="none"/>
        </w:rPr>
      </w:pPr>
      <w:r>
        <w:rPr>
          <w:rFonts w:ascii="仿宋" w:hAnsi="仿宋" w:eastAsia="仿宋"/>
          <w:color w:val="auto"/>
          <w:sz w:val="24"/>
          <w:highlight w:val="none"/>
        </w:rPr>
        <w:t xml:space="preserve">   </w:t>
      </w:r>
      <w:r>
        <w:rPr>
          <w:rFonts w:ascii="仿宋" w:hAnsi="仿宋" w:eastAsia="仿宋"/>
          <w:b/>
          <w:color w:val="auto"/>
          <w:sz w:val="24"/>
          <w:highlight w:val="none"/>
        </w:rPr>
        <w:t xml:space="preserve"> 预算金额（元）：</w:t>
      </w:r>
      <w:r>
        <w:rPr>
          <w:rFonts w:ascii="仿宋" w:hAnsi="仿宋" w:eastAsia="仿宋"/>
          <w:bCs/>
          <w:color w:val="auto"/>
          <w:sz w:val="24"/>
          <w:highlight w:val="none"/>
        </w:rPr>
        <w:t>6000000</w:t>
      </w:r>
    </w:p>
    <w:p>
      <w:pPr>
        <w:snapToGrid w:val="0"/>
        <w:spacing w:line="360" w:lineRule="auto"/>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最高限价（元）：</w:t>
      </w:r>
      <w:r>
        <w:rPr>
          <w:rFonts w:hint="eastAsia" w:ascii="仿宋" w:hAnsi="仿宋" w:eastAsia="仿宋"/>
          <w:bCs/>
          <w:color w:val="auto"/>
          <w:sz w:val="24"/>
          <w:highlight w:val="none"/>
        </w:rPr>
        <w:t>3800000；2200000；</w:t>
      </w:r>
    </w:p>
    <w:p>
      <w:pPr>
        <w:spacing w:line="360" w:lineRule="auto"/>
        <w:ind w:firstLine="482" w:firstLineChars="200"/>
        <w:jc w:val="left"/>
        <w:rPr>
          <w:rFonts w:ascii="仿宋" w:hAnsi="仿宋" w:eastAsia="仿宋"/>
          <w:b/>
          <w:color w:val="auto"/>
          <w:sz w:val="24"/>
          <w:highlight w:val="none"/>
        </w:rPr>
      </w:pPr>
      <w:r>
        <w:rPr>
          <w:rFonts w:hint="eastAsia" w:ascii="仿宋" w:hAnsi="仿宋" w:eastAsia="仿宋"/>
          <w:b/>
          <w:color w:val="auto"/>
          <w:sz w:val="24"/>
          <w:highlight w:val="none"/>
        </w:rPr>
        <w:t>采购需求：</w:t>
      </w:r>
    </w:p>
    <w:p>
      <w:pPr>
        <w:pStyle w:val="2"/>
        <w:rPr>
          <w:rFonts w:eastAsia="仿宋"/>
          <w:color w:val="auto"/>
          <w:highlight w:val="none"/>
          <w:lang w:val="en-US"/>
        </w:rPr>
      </w:pPr>
      <w:r>
        <w:rPr>
          <w:rFonts w:hint="eastAsia" w:ascii="仿宋" w:hAnsi="仿宋" w:eastAsia="仿宋"/>
          <w:b/>
          <w:color w:val="auto"/>
          <w:highlight w:val="none"/>
          <w:lang w:val="en-US"/>
        </w:rPr>
        <w:t xml:space="preserve">    标项一：</w:t>
      </w:r>
    </w:p>
    <w:p>
      <w:pPr>
        <w:pStyle w:val="620"/>
        <w:adjustRightInd w:val="0"/>
        <w:snapToGrid w:val="0"/>
        <w:ind w:firstLine="480"/>
        <w:rPr>
          <w:rFonts w:ascii="仿宋" w:hAnsi="仿宋" w:eastAsia="仿宋" w:cs="仿宋"/>
          <w:color w:val="auto"/>
          <w:highlight w:val="none"/>
        </w:rPr>
      </w:pPr>
      <w:r>
        <w:rPr>
          <w:rFonts w:hint="eastAsia" w:ascii="仿宋" w:hAnsi="仿宋" w:eastAsia="仿宋" w:cs="仿宋"/>
          <w:color w:val="auto"/>
          <w:highlight w:val="none"/>
        </w:rPr>
        <w:t>标项名称: 余杭区市民之家大厅及食堂家具采购项目标项一</w:t>
      </w:r>
    </w:p>
    <w:p>
      <w:pPr>
        <w:pStyle w:val="620"/>
        <w:adjustRightInd w:val="0"/>
        <w:snapToGrid w:val="0"/>
        <w:ind w:firstLine="480"/>
        <w:rPr>
          <w:rFonts w:ascii="仿宋" w:hAnsi="仿宋" w:eastAsia="仿宋" w:cs="仿宋"/>
          <w:color w:val="auto"/>
          <w:highlight w:val="none"/>
        </w:rPr>
      </w:pPr>
      <w:r>
        <w:rPr>
          <w:rFonts w:hint="eastAsia" w:ascii="仿宋" w:hAnsi="仿宋" w:eastAsia="仿宋" w:cs="仿宋"/>
          <w:color w:val="auto"/>
          <w:highlight w:val="none"/>
        </w:rPr>
        <w:t>数量：1</w:t>
      </w:r>
    </w:p>
    <w:p>
      <w:pPr>
        <w:pStyle w:val="620"/>
        <w:adjustRightInd w:val="0"/>
        <w:snapToGrid w:val="0"/>
        <w:ind w:firstLine="480"/>
        <w:rPr>
          <w:rFonts w:ascii="仿宋" w:hAnsi="仿宋" w:eastAsia="仿宋" w:cs="仿宋"/>
          <w:color w:val="auto"/>
          <w:highlight w:val="none"/>
        </w:rPr>
      </w:pPr>
      <w:r>
        <w:rPr>
          <w:rFonts w:hint="eastAsia" w:ascii="仿宋" w:hAnsi="仿宋" w:eastAsia="仿宋" w:cs="仿宋"/>
          <w:color w:val="auto"/>
          <w:highlight w:val="none"/>
        </w:rPr>
        <w:t>预算金额（元）：3800000</w:t>
      </w:r>
    </w:p>
    <w:p>
      <w:pPr>
        <w:pStyle w:val="620"/>
        <w:adjustRightInd w:val="0"/>
        <w:snapToGrid w:val="0"/>
        <w:ind w:firstLine="480"/>
        <w:rPr>
          <w:rFonts w:ascii="仿宋" w:hAnsi="仿宋" w:eastAsia="仿宋" w:cs="仿宋"/>
          <w:color w:val="auto"/>
          <w:highlight w:val="none"/>
        </w:rPr>
      </w:pPr>
      <w:r>
        <w:rPr>
          <w:rFonts w:hint="eastAsia" w:ascii="仿宋" w:hAnsi="仿宋" w:eastAsia="仿宋" w:cs="仿宋"/>
          <w:color w:val="auto"/>
          <w:highlight w:val="none"/>
        </w:rPr>
        <w:t xml:space="preserve">单位：批 </w:t>
      </w:r>
    </w:p>
    <w:p>
      <w:pPr>
        <w:spacing w:line="360" w:lineRule="auto"/>
        <w:ind w:firstLine="480"/>
        <w:rPr>
          <w:rFonts w:ascii="仿宋" w:hAnsi="仿宋" w:eastAsia="仿宋" w:cs="仿宋_GB2312"/>
          <w:color w:val="auto"/>
          <w:sz w:val="24"/>
          <w:highlight w:val="none"/>
        </w:rPr>
      </w:pPr>
      <w:r>
        <w:rPr>
          <w:rFonts w:hint="eastAsia" w:ascii="仿宋" w:hAnsi="仿宋" w:eastAsia="仿宋" w:cs="宋体"/>
          <w:color w:val="auto"/>
          <w:sz w:val="24"/>
          <w:highlight w:val="none"/>
        </w:rPr>
        <w:t>简要规格描述：本项目采购内容为余杭区市民之家大厅家具、办公家具的采购、运输、安装、调试、培训和相关维护等。</w:t>
      </w:r>
      <w:r>
        <w:rPr>
          <w:rFonts w:ascii="仿宋" w:hAnsi="仿宋" w:eastAsia="仿宋" w:cs="仿宋_GB2312"/>
          <w:color w:val="auto"/>
          <w:sz w:val="24"/>
          <w:highlight w:val="none"/>
        </w:rPr>
        <w:t xml:space="preserve"> </w:t>
      </w:r>
    </w:p>
    <w:p>
      <w:pPr>
        <w:snapToGrid w:val="0"/>
        <w:ind w:firstLine="481"/>
        <w:rPr>
          <w:rFonts w:ascii="仿宋" w:hAnsi="仿宋" w:eastAsia="仿宋"/>
          <w:color w:val="auto"/>
          <w:sz w:val="24"/>
          <w:highlight w:val="none"/>
        </w:rPr>
      </w:pPr>
      <w:r>
        <w:rPr>
          <w:rFonts w:hint="eastAsia" w:ascii="仿宋" w:hAnsi="仿宋" w:eastAsia="仿宋"/>
          <w:color w:val="auto"/>
          <w:sz w:val="24"/>
          <w:highlight w:val="none"/>
        </w:rPr>
        <w:t>备注：详见采购文件第三部分“</w:t>
      </w:r>
      <w:bookmarkStart w:id="15" w:name="_Hlk72353380"/>
      <w:r>
        <w:rPr>
          <w:rFonts w:hint="eastAsia" w:ascii="仿宋" w:hAnsi="仿宋" w:eastAsia="仿宋"/>
          <w:color w:val="auto"/>
          <w:sz w:val="24"/>
          <w:highlight w:val="none"/>
        </w:rPr>
        <w:t>项目技术规范和服务要求</w:t>
      </w:r>
      <w:bookmarkEnd w:id="15"/>
      <w:r>
        <w:rPr>
          <w:rFonts w:hint="eastAsia" w:ascii="仿宋" w:hAnsi="仿宋" w:eastAsia="仿宋"/>
          <w:color w:val="auto"/>
          <w:sz w:val="24"/>
          <w:highlight w:val="none"/>
        </w:rPr>
        <w:t>”。</w:t>
      </w:r>
    </w:p>
    <w:p>
      <w:pPr>
        <w:snapToGrid w:val="0"/>
        <w:ind w:firstLine="481"/>
        <w:rPr>
          <w:rFonts w:ascii="仿宋" w:hAnsi="仿宋" w:eastAsia="仿宋"/>
          <w:b/>
          <w:bCs/>
          <w:color w:val="auto"/>
          <w:sz w:val="24"/>
          <w:highlight w:val="none"/>
        </w:rPr>
      </w:pPr>
    </w:p>
    <w:p>
      <w:pPr>
        <w:snapToGrid w:val="0"/>
        <w:ind w:firstLine="481"/>
        <w:rPr>
          <w:rFonts w:ascii="仿宋" w:hAnsi="仿宋" w:eastAsia="仿宋"/>
          <w:b/>
          <w:bCs/>
          <w:color w:val="auto"/>
          <w:sz w:val="24"/>
          <w:highlight w:val="none"/>
        </w:rPr>
      </w:pPr>
      <w:r>
        <w:rPr>
          <w:rFonts w:hint="eastAsia" w:ascii="仿宋" w:hAnsi="仿宋" w:eastAsia="仿宋"/>
          <w:b/>
          <w:bCs/>
          <w:color w:val="auto"/>
          <w:sz w:val="24"/>
          <w:highlight w:val="none"/>
        </w:rPr>
        <w:t>标项二：</w:t>
      </w:r>
    </w:p>
    <w:p>
      <w:pPr>
        <w:pStyle w:val="620"/>
        <w:adjustRightInd w:val="0"/>
        <w:snapToGrid w:val="0"/>
        <w:ind w:firstLine="480"/>
        <w:rPr>
          <w:rFonts w:ascii="仿宋" w:hAnsi="仿宋" w:eastAsia="仿宋" w:cs="仿宋"/>
          <w:color w:val="auto"/>
          <w:highlight w:val="none"/>
        </w:rPr>
      </w:pPr>
      <w:r>
        <w:rPr>
          <w:rFonts w:hint="eastAsia" w:ascii="仿宋" w:hAnsi="仿宋" w:eastAsia="仿宋" w:cs="仿宋"/>
          <w:color w:val="auto"/>
          <w:highlight w:val="none"/>
        </w:rPr>
        <w:t>标项名称: 余杭区市民之家大厅及食堂家具采购项目标项二</w:t>
      </w:r>
    </w:p>
    <w:p>
      <w:pPr>
        <w:pStyle w:val="620"/>
        <w:adjustRightInd w:val="0"/>
        <w:snapToGrid w:val="0"/>
        <w:ind w:firstLine="480"/>
        <w:rPr>
          <w:rFonts w:ascii="仿宋" w:hAnsi="仿宋" w:eastAsia="仿宋" w:cs="仿宋"/>
          <w:color w:val="auto"/>
          <w:highlight w:val="none"/>
        </w:rPr>
      </w:pPr>
      <w:r>
        <w:rPr>
          <w:rFonts w:hint="eastAsia" w:ascii="仿宋" w:hAnsi="仿宋" w:eastAsia="仿宋" w:cs="仿宋"/>
          <w:color w:val="auto"/>
          <w:highlight w:val="none"/>
        </w:rPr>
        <w:t>数量：1</w:t>
      </w:r>
    </w:p>
    <w:p>
      <w:pPr>
        <w:pStyle w:val="620"/>
        <w:adjustRightInd w:val="0"/>
        <w:snapToGrid w:val="0"/>
        <w:ind w:firstLine="480"/>
        <w:rPr>
          <w:rFonts w:ascii="仿宋" w:hAnsi="仿宋" w:eastAsia="仿宋" w:cs="仿宋"/>
          <w:color w:val="auto"/>
          <w:highlight w:val="none"/>
        </w:rPr>
      </w:pPr>
      <w:r>
        <w:rPr>
          <w:rFonts w:hint="eastAsia" w:ascii="仿宋" w:hAnsi="仿宋" w:eastAsia="仿宋" w:cs="仿宋"/>
          <w:color w:val="auto"/>
          <w:highlight w:val="none"/>
        </w:rPr>
        <w:t>预算金额（元）：2200000</w:t>
      </w:r>
    </w:p>
    <w:p>
      <w:pPr>
        <w:pStyle w:val="620"/>
        <w:adjustRightInd w:val="0"/>
        <w:snapToGrid w:val="0"/>
        <w:ind w:firstLine="480"/>
        <w:rPr>
          <w:rFonts w:ascii="仿宋" w:hAnsi="仿宋" w:eastAsia="仿宋" w:cs="仿宋"/>
          <w:color w:val="auto"/>
          <w:highlight w:val="none"/>
        </w:rPr>
      </w:pPr>
      <w:r>
        <w:rPr>
          <w:rFonts w:hint="eastAsia" w:ascii="仿宋" w:hAnsi="仿宋" w:eastAsia="仿宋" w:cs="仿宋"/>
          <w:color w:val="auto"/>
          <w:highlight w:val="none"/>
        </w:rPr>
        <w:t xml:space="preserve">单位：批 </w:t>
      </w:r>
    </w:p>
    <w:p>
      <w:pPr>
        <w:spacing w:line="360" w:lineRule="auto"/>
        <w:ind w:firstLine="480"/>
        <w:rPr>
          <w:rFonts w:ascii="仿宋" w:hAnsi="仿宋" w:eastAsia="仿宋" w:cs="仿宋_GB2312"/>
          <w:color w:val="auto"/>
          <w:sz w:val="24"/>
          <w:highlight w:val="none"/>
        </w:rPr>
      </w:pPr>
      <w:r>
        <w:rPr>
          <w:rFonts w:hint="eastAsia" w:ascii="仿宋" w:hAnsi="仿宋" w:eastAsia="仿宋" w:cs="宋体"/>
          <w:color w:val="auto"/>
          <w:sz w:val="24"/>
          <w:highlight w:val="none"/>
        </w:rPr>
        <w:t>简要规格描述：本项目采购内容为余杭区市民之家大厅家具、办公家具、食堂家具的采购、运输、安装、调试、培训和相关维护等。</w:t>
      </w:r>
      <w:r>
        <w:rPr>
          <w:rFonts w:ascii="仿宋" w:hAnsi="仿宋" w:eastAsia="仿宋" w:cs="仿宋_GB2312"/>
          <w:color w:val="auto"/>
          <w:sz w:val="24"/>
          <w:highlight w:val="none"/>
        </w:rPr>
        <w:t xml:space="preserve"> </w:t>
      </w:r>
    </w:p>
    <w:p>
      <w:pPr>
        <w:snapToGrid w:val="0"/>
        <w:ind w:firstLine="481"/>
        <w:rPr>
          <w:rFonts w:ascii="仿宋" w:hAnsi="仿宋" w:eastAsia="仿宋"/>
          <w:color w:val="auto"/>
          <w:sz w:val="24"/>
          <w:highlight w:val="none"/>
        </w:rPr>
      </w:pPr>
      <w:r>
        <w:rPr>
          <w:rFonts w:hint="eastAsia" w:ascii="仿宋" w:hAnsi="仿宋" w:eastAsia="仿宋"/>
          <w:color w:val="auto"/>
          <w:sz w:val="24"/>
          <w:highlight w:val="none"/>
        </w:rPr>
        <w:t>备注：详见采购文件第三部分“项目技术规范和服务要求”。</w:t>
      </w:r>
    </w:p>
    <w:p>
      <w:pPr>
        <w:pStyle w:val="24"/>
        <w:spacing w:line="360" w:lineRule="auto"/>
        <w:ind w:firstLine="482"/>
        <w:rPr>
          <w:rFonts w:ascii="仿宋" w:hAnsi="仿宋" w:eastAsia="仿宋"/>
          <w:color w:val="auto"/>
          <w:highlight w:val="none"/>
        </w:rPr>
      </w:pPr>
      <w:r>
        <w:rPr>
          <w:rFonts w:hint="eastAsia" w:ascii="仿宋" w:hAnsi="仿宋" w:eastAsia="仿宋"/>
          <w:b/>
          <w:bCs/>
          <w:color w:val="auto"/>
          <w:highlight w:val="none"/>
        </w:rPr>
        <w:t>投标人可选择其中一个或多个标项进行投标，</w:t>
      </w:r>
      <w:r>
        <w:rPr>
          <w:rFonts w:hint="eastAsia" w:ascii="仿宋" w:hAnsi="仿宋" w:eastAsia="仿宋"/>
          <w:b/>
          <w:color w:val="auto"/>
          <w:highlight w:val="none"/>
        </w:rPr>
        <w:t>但只能中一个标项，中标次序按标项一、标项二进行确定（如投标人被确定为标项一的第一中标候选人，则标项二不进入评审，做无效标处理）；</w:t>
      </w:r>
      <w:r>
        <w:rPr>
          <w:rFonts w:hint="eastAsia" w:ascii="仿宋" w:hAnsi="仿宋" w:eastAsia="仿宋"/>
          <w:b/>
          <w:bCs/>
          <w:color w:val="auto"/>
          <w:highlight w:val="none"/>
        </w:rPr>
        <w:t>如投两个标项，投标文件需按标项分开制作并按标项上传政采云系统（如政采云上传要求变化，按政采云要求上传）。</w:t>
      </w:r>
    </w:p>
    <w:p>
      <w:pPr>
        <w:snapToGrid w:val="0"/>
        <w:ind w:firstLine="481"/>
        <w:rPr>
          <w:rFonts w:ascii="仿宋" w:hAnsi="仿宋" w:eastAsia="仿宋"/>
          <w:b/>
          <w:bCs/>
          <w:color w:val="auto"/>
          <w:sz w:val="24"/>
          <w:highlight w:val="none"/>
        </w:rPr>
      </w:pPr>
    </w:p>
    <w:p>
      <w:pPr>
        <w:snapToGrid w:val="0"/>
        <w:ind w:firstLine="481"/>
        <w:rPr>
          <w:rFonts w:hint="eastAsia" w:ascii="仿宋" w:hAnsi="仿宋" w:eastAsia="仿宋" w:cs="宋体"/>
          <w:bCs/>
          <w:color w:val="auto"/>
          <w:sz w:val="24"/>
          <w:highlight w:val="none"/>
          <w:lang w:val="en-US" w:eastAsia="zh-CN"/>
        </w:rPr>
      </w:pPr>
      <w:r>
        <w:rPr>
          <w:rFonts w:hint="eastAsia" w:ascii="仿宋" w:hAnsi="仿宋" w:eastAsia="仿宋"/>
          <w:b/>
          <w:bCs/>
          <w:color w:val="auto"/>
          <w:sz w:val="24"/>
          <w:highlight w:val="none"/>
        </w:rPr>
        <w:t>合同履约期限：</w:t>
      </w:r>
      <w:r>
        <w:rPr>
          <w:rFonts w:hint="eastAsia" w:ascii="仿宋" w:hAnsi="仿宋" w:eastAsia="仿宋"/>
          <w:b/>
          <w:bCs/>
          <w:color w:val="auto"/>
          <w:sz w:val="24"/>
          <w:highlight w:val="none"/>
          <w:lang w:eastAsia="zh-CN"/>
        </w:rPr>
        <w:t>根据市民之家开办日期，要求</w:t>
      </w:r>
      <w:r>
        <w:rPr>
          <w:rFonts w:hint="eastAsia" w:ascii="仿宋" w:hAnsi="仿宋" w:eastAsia="仿宋" w:cs="宋体"/>
          <w:bCs/>
          <w:color w:val="auto"/>
          <w:sz w:val="24"/>
          <w:highlight w:val="none"/>
          <w:lang w:val="en-US" w:eastAsia="zh-CN"/>
        </w:rPr>
        <w:t>2022年</w:t>
      </w:r>
      <w:bookmarkStart w:id="650" w:name="_GoBack"/>
      <w:r>
        <w:rPr>
          <w:rFonts w:hint="eastAsia" w:ascii="仿宋" w:hAnsi="仿宋" w:eastAsia="仿宋" w:cs="宋体"/>
          <w:bCs/>
          <w:color w:val="auto"/>
          <w:sz w:val="24"/>
          <w:highlight w:val="none"/>
          <w:lang w:val="en-US" w:eastAsia="zh-CN"/>
        </w:rPr>
        <w:t>5月15</w:t>
      </w:r>
      <w:bookmarkEnd w:id="650"/>
      <w:r>
        <w:rPr>
          <w:rFonts w:hint="eastAsia" w:ascii="仿宋" w:hAnsi="仿宋" w:eastAsia="仿宋" w:cs="宋体"/>
          <w:bCs/>
          <w:color w:val="auto"/>
          <w:sz w:val="24"/>
          <w:highlight w:val="none"/>
          <w:lang w:val="en-US" w:eastAsia="zh-CN"/>
        </w:rPr>
        <w:t>日前内交货并安装、调试完毕并初验合格。</w:t>
      </w:r>
    </w:p>
    <w:p>
      <w:pPr>
        <w:spacing w:line="360" w:lineRule="auto"/>
        <w:ind w:firstLine="480"/>
        <w:rPr>
          <w:rFonts w:ascii="仿宋" w:hAnsi="仿宋" w:eastAsia="仿宋"/>
          <w:b/>
          <w:color w:val="auto"/>
          <w:sz w:val="24"/>
          <w:highlight w:val="none"/>
        </w:rPr>
      </w:pPr>
      <w:r>
        <w:rPr>
          <w:rFonts w:hint="eastAsia" w:ascii="仿宋" w:hAnsi="仿宋" w:eastAsia="仿宋"/>
          <w:b/>
          <w:color w:val="auto"/>
          <w:sz w:val="24"/>
          <w:highlight w:val="none"/>
        </w:rPr>
        <w:t>本项目接受联合体投标：</w:t>
      </w:r>
      <w:r>
        <w:rPr>
          <w:rFonts w:hint="eastAsia" w:ascii="仿宋" w:hAnsi="仿宋" w:eastAsia="仿宋" w:cs="Arial"/>
          <w:color w:val="auto"/>
          <w:kern w:val="0"/>
          <w:sz w:val="24"/>
          <w:highlight w:val="none"/>
        </w:rPr>
        <w:sym w:font="Wingdings" w:char="F0FE"/>
      </w:r>
      <w:r>
        <w:rPr>
          <w:rFonts w:hint="eastAsia" w:ascii="仿宋" w:hAnsi="仿宋" w:eastAsia="仿宋"/>
          <w:b/>
          <w:color w:val="auto"/>
          <w:sz w:val="24"/>
          <w:highlight w:val="none"/>
        </w:rPr>
        <w:t>是，</w:t>
      </w:r>
      <w:r>
        <w:rPr>
          <w:rFonts w:ascii="Segoe UI Symbol" w:hAnsi="Segoe UI Symbol" w:eastAsia="仿宋" w:cs="Segoe UI Symbol"/>
          <w:color w:val="auto"/>
          <w:kern w:val="0"/>
          <w:sz w:val="24"/>
          <w:highlight w:val="none"/>
        </w:rPr>
        <w:t>☐</w:t>
      </w:r>
      <w:r>
        <w:rPr>
          <w:rFonts w:hint="eastAsia" w:ascii="仿宋" w:hAnsi="仿宋" w:eastAsia="仿宋"/>
          <w:b/>
          <w:color w:val="auto"/>
          <w:sz w:val="24"/>
          <w:highlight w:val="none"/>
        </w:rPr>
        <w:t>否</w:t>
      </w:r>
      <w:r>
        <w:rPr>
          <w:rFonts w:hint="eastAsia" w:ascii="仿宋" w:hAnsi="仿宋" w:eastAsia="仿宋" w:cs="Arial"/>
          <w:color w:val="auto"/>
          <w:kern w:val="0"/>
          <w:sz w:val="24"/>
          <w:highlight w:val="none"/>
        </w:rPr>
        <w:t>。</w:t>
      </w:r>
    </w:p>
    <w:p>
      <w:pPr>
        <w:snapToGrid w:val="0"/>
        <w:spacing w:line="360" w:lineRule="auto"/>
        <w:rPr>
          <w:rFonts w:ascii="仿宋" w:hAnsi="仿宋" w:eastAsia="仿宋"/>
          <w:b/>
          <w:color w:val="auto"/>
          <w:sz w:val="24"/>
          <w:highlight w:val="none"/>
        </w:rPr>
      </w:pPr>
      <w:r>
        <w:rPr>
          <w:rFonts w:hint="eastAsia" w:ascii="仿宋" w:hAnsi="仿宋" w:eastAsia="仿宋"/>
          <w:b/>
          <w:color w:val="auto"/>
          <w:sz w:val="24"/>
          <w:highlight w:val="none"/>
        </w:rPr>
        <w:t>二、申请人的资格要求：</w:t>
      </w:r>
    </w:p>
    <w:p>
      <w:pPr>
        <w:snapToGrid w:val="0"/>
        <w:spacing w:line="360" w:lineRule="auto"/>
        <w:ind w:firstLine="480"/>
        <w:rPr>
          <w:rFonts w:ascii="仿宋" w:hAnsi="仿宋" w:eastAsia="仿宋" w:cs="仿宋_GB2312"/>
          <w:snapToGrid w:val="0"/>
          <w:color w:val="auto"/>
          <w:kern w:val="28"/>
          <w:sz w:val="24"/>
          <w:szCs w:val="20"/>
          <w:highlight w:val="none"/>
        </w:rPr>
      </w:pPr>
      <w:bookmarkStart w:id="16" w:name="_Hlk95001755"/>
      <w:bookmarkStart w:id="17" w:name="_Hlk94350648"/>
      <w:r>
        <w:rPr>
          <w:rFonts w:ascii="仿宋" w:hAnsi="仿宋" w:eastAsia="仿宋" w:cs="仿宋_GB2312"/>
          <w:snapToGrid w:val="0"/>
          <w:color w:val="auto"/>
          <w:kern w:val="28"/>
          <w:sz w:val="24"/>
          <w:szCs w:val="20"/>
          <w:highlight w:val="none"/>
        </w:rPr>
        <w:t>1.</w:t>
      </w:r>
      <w:r>
        <w:rPr>
          <w:rFonts w:hint="eastAsia" w:ascii="仿宋" w:hAnsi="仿宋" w:eastAsia="仿宋" w:cs="仿宋_GB2312"/>
          <w:snapToGrid w:val="0"/>
          <w:color w:val="auto"/>
          <w:kern w:val="28"/>
          <w:sz w:val="24"/>
          <w:szCs w:val="20"/>
          <w:highlight w:val="none"/>
        </w:rPr>
        <w:t xml:space="preserve"> 满足《中华人民共和国政府采购法》第二十二条规定；未被“信用中国”（www.creditchina.gov.cn)、中国政府采购网（www.ccgp.gov.cn）列入失信被执行人、重大税收违法案件当事人名单、政府采购严重违法失信行为记录名单；</w:t>
      </w:r>
      <w:bookmarkEnd w:id="16"/>
    </w:p>
    <w:p>
      <w:pPr>
        <w:snapToGrid w:val="0"/>
        <w:spacing w:line="360" w:lineRule="auto"/>
        <w:rPr>
          <w:rFonts w:ascii="仿宋" w:hAnsi="仿宋" w:eastAsia="仿宋" w:cs="仿宋_GB2312"/>
          <w:snapToGrid w:val="0"/>
          <w:color w:val="auto"/>
          <w:kern w:val="28"/>
          <w:sz w:val="24"/>
          <w:szCs w:val="20"/>
          <w:highlight w:val="none"/>
        </w:rPr>
      </w:pPr>
      <w:r>
        <w:rPr>
          <w:rFonts w:ascii="仿宋" w:hAnsi="仿宋" w:eastAsia="仿宋" w:cs="仿宋_GB2312"/>
          <w:snapToGrid w:val="0"/>
          <w:color w:val="auto"/>
          <w:kern w:val="28"/>
          <w:sz w:val="24"/>
          <w:szCs w:val="20"/>
          <w:highlight w:val="none"/>
        </w:rPr>
        <w:t xml:space="preserve">   </w:t>
      </w:r>
      <w:bookmarkEnd w:id="17"/>
      <w:r>
        <w:rPr>
          <w:rFonts w:ascii="仿宋" w:hAnsi="仿宋" w:eastAsia="仿宋" w:cs="仿宋_GB2312"/>
          <w:snapToGrid w:val="0"/>
          <w:color w:val="auto"/>
          <w:kern w:val="28"/>
          <w:sz w:val="24"/>
          <w:szCs w:val="20"/>
          <w:highlight w:val="none"/>
        </w:rPr>
        <w:t>2.</w:t>
      </w:r>
      <w:r>
        <w:rPr>
          <w:rFonts w:hint="eastAsia" w:ascii="仿宋" w:hAnsi="仿宋" w:eastAsia="仿宋" w:cs="仿宋_GB2312"/>
          <w:snapToGrid w:val="0"/>
          <w:color w:val="auto"/>
          <w:kern w:val="28"/>
          <w:sz w:val="24"/>
          <w:szCs w:val="20"/>
          <w:highlight w:val="none"/>
        </w:rPr>
        <w:t>落实政府采购政策需满足的资格要求：</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供应商单独投标且不分包的：无；</w:t>
      </w:r>
    </w:p>
    <w:p>
      <w:pPr>
        <w:snapToGrid w:val="0"/>
        <w:spacing w:line="360" w:lineRule="auto"/>
        <w:ind w:firstLine="480" w:firstLineChars="200"/>
        <w:rPr>
          <w:color w:val="auto"/>
          <w:highlight w:val="none"/>
        </w:rPr>
      </w:pPr>
      <w:r>
        <w:rPr>
          <w:rFonts w:hint="eastAsia" w:ascii="仿宋" w:hAnsi="仿宋" w:eastAsia="仿宋"/>
          <w:color w:val="auto"/>
          <w:sz w:val="24"/>
          <w:highlight w:val="none"/>
        </w:rPr>
        <w:t>供应商采用联合体投标的：允许大中型企业与小微企业组成联合体，提供联合协议和声明函（大企业须提供大型企业声明函，中小微企业须提供中小企业声明函），联合协议中，小微企业合同金额比例应达到合同总金额的</w:t>
      </w:r>
      <w:r>
        <w:rPr>
          <w:rFonts w:ascii="仿宋" w:hAnsi="仿宋" w:eastAsia="仿宋"/>
          <w:color w:val="auto"/>
          <w:sz w:val="24"/>
          <w:highlight w:val="none"/>
        </w:rPr>
        <w:t>20%</w:t>
      </w:r>
      <w:r>
        <w:rPr>
          <w:rFonts w:hint="eastAsia" w:ascii="仿宋" w:hAnsi="仿宋" w:eastAsia="仿宋"/>
          <w:color w:val="auto"/>
          <w:sz w:val="24"/>
          <w:highlight w:val="none"/>
        </w:rPr>
        <w:t>，联合体投标的联合体各方承担连带责任；</w:t>
      </w:r>
    </w:p>
    <w:p>
      <w:pPr>
        <w:snapToGrid w:val="0"/>
        <w:spacing w:line="360" w:lineRule="auto"/>
        <w:ind w:firstLine="283" w:firstLineChars="118"/>
        <w:rPr>
          <w:rFonts w:ascii="仿宋" w:hAnsi="仿宋" w:eastAsia="仿宋"/>
          <w:color w:val="auto"/>
          <w:sz w:val="24"/>
          <w:highlight w:val="none"/>
        </w:rPr>
      </w:pPr>
      <w:r>
        <w:rPr>
          <w:rFonts w:ascii="仿宋" w:hAnsi="仿宋" w:eastAsia="仿宋"/>
          <w:color w:val="auto"/>
          <w:sz w:val="24"/>
          <w:highlight w:val="none"/>
        </w:rPr>
        <w:t>3.本项目的特定资格要求：无</w:t>
      </w:r>
      <w:r>
        <w:rPr>
          <w:rFonts w:hint="eastAsia" w:ascii="仿宋" w:hAnsi="仿宋" w:eastAsia="仿宋"/>
          <w:color w:val="auto"/>
          <w:sz w:val="24"/>
          <w:highlight w:val="none"/>
        </w:rPr>
        <w:t>。</w:t>
      </w:r>
    </w:p>
    <w:p>
      <w:pPr>
        <w:snapToGrid w:val="0"/>
        <w:spacing w:line="360" w:lineRule="auto"/>
        <w:rPr>
          <w:rFonts w:ascii="仿宋" w:hAnsi="仿宋" w:eastAsia="仿宋"/>
          <w:b/>
          <w:color w:val="auto"/>
          <w:sz w:val="24"/>
          <w:highlight w:val="none"/>
        </w:rPr>
      </w:pPr>
      <w:r>
        <w:rPr>
          <w:rFonts w:hint="eastAsia" w:ascii="仿宋" w:hAnsi="仿宋" w:eastAsia="仿宋"/>
          <w:b/>
          <w:color w:val="auto"/>
          <w:sz w:val="24"/>
          <w:highlight w:val="none"/>
        </w:rPr>
        <w:t>三、获取采购文件</w:t>
      </w:r>
      <w:r>
        <w:rPr>
          <w:rFonts w:ascii="仿宋" w:hAnsi="仿宋" w:eastAsia="仿宋"/>
          <w:b/>
          <w:color w:val="auto"/>
          <w:sz w:val="24"/>
          <w:highlight w:val="none"/>
        </w:rPr>
        <w:t xml:space="preserve"> </w:t>
      </w:r>
    </w:p>
    <w:p>
      <w:pPr>
        <w:snapToGrid w:val="0"/>
        <w:spacing w:line="360" w:lineRule="auto"/>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时间：</w:t>
      </w:r>
      <w:r>
        <w:rPr>
          <w:rFonts w:ascii="仿宋" w:hAnsi="仿宋" w:eastAsia="仿宋"/>
          <w:color w:val="auto"/>
          <w:sz w:val="24"/>
          <w:highlight w:val="none"/>
        </w:rPr>
        <w:t>/至</w:t>
      </w:r>
      <w:r>
        <w:rPr>
          <w:rFonts w:hint="eastAsia" w:ascii="仿宋" w:hAnsi="仿宋" w:eastAsia="仿宋"/>
          <w:color w:val="auto"/>
          <w:sz w:val="24"/>
          <w:highlight w:val="none"/>
          <w:u w:val="single"/>
        </w:rPr>
        <w:t>2022</w:t>
      </w:r>
      <w:r>
        <w:rPr>
          <w:rFonts w:ascii="仿宋" w:hAnsi="仿宋" w:eastAsia="仿宋"/>
          <w:color w:val="auto"/>
          <w:sz w:val="24"/>
          <w:highlight w:val="none"/>
          <w:u w:val="single"/>
        </w:rPr>
        <w:t>年</w:t>
      </w:r>
      <w:r>
        <w:rPr>
          <w:rFonts w:hint="eastAsia" w:ascii="仿宋" w:hAnsi="仿宋" w:eastAsia="仿宋"/>
          <w:color w:val="auto"/>
          <w:sz w:val="24"/>
          <w:highlight w:val="none"/>
          <w:u w:val="single"/>
          <w:lang w:val="en-US" w:eastAsia="zh-CN"/>
        </w:rPr>
        <w:t>4</w:t>
      </w:r>
      <w:r>
        <w:rPr>
          <w:rFonts w:ascii="仿宋" w:hAnsi="仿宋" w:eastAsia="仿宋"/>
          <w:color w:val="auto"/>
          <w:sz w:val="24"/>
          <w:highlight w:val="none"/>
          <w:u w:val="single"/>
        </w:rPr>
        <w:t>月</w:t>
      </w:r>
      <w:r>
        <w:rPr>
          <w:rFonts w:hint="eastAsia" w:ascii="仿宋" w:hAnsi="仿宋" w:eastAsia="仿宋"/>
          <w:color w:val="auto"/>
          <w:sz w:val="24"/>
          <w:highlight w:val="none"/>
          <w:u w:val="single"/>
          <w:lang w:val="en-US" w:eastAsia="zh-CN"/>
        </w:rPr>
        <w:t>2</w:t>
      </w:r>
      <w:r>
        <w:rPr>
          <w:rFonts w:ascii="仿宋" w:hAnsi="仿宋" w:eastAsia="仿宋"/>
          <w:color w:val="auto"/>
          <w:sz w:val="24"/>
          <w:highlight w:val="none"/>
          <w:u w:val="single"/>
        </w:rPr>
        <w:t>日</w:t>
      </w:r>
      <w:r>
        <w:rPr>
          <w:rFonts w:hint="eastAsia" w:ascii="仿宋" w:hAnsi="仿宋" w:eastAsia="仿宋"/>
          <w:color w:val="auto"/>
          <w:sz w:val="24"/>
          <w:highlight w:val="none"/>
        </w:rPr>
        <w:t>，每天上午</w:t>
      </w:r>
      <w:r>
        <w:rPr>
          <w:rFonts w:ascii="仿宋" w:hAnsi="仿宋" w:eastAsia="仿宋"/>
          <w:color w:val="auto"/>
          <w:sz w:val="24"/>
          <w:highlight w:val="none"/>
        </w:rPr>
        <w:t xml:space="preserve">00:00至12:00 </w:t>
      </w:r>
      <w:r>
        <w:rPr>
          <w:rFonts w:hint="eastAsia" w:ascii="仿宋" w:hAnsi="仿宋" w:eastAsia="仿宋"/>
          <w:color w:val="auto"/>
          <w:sz w:val="24"/>
          <w:highlight w:val="none"/>
        </w:rPr>
        <w:t>，下午</w:t>
      </w:r>
      <w:r>
        <w:rPr>
          <w:rFonts w:ascii="仿宋" w:hAnsi="仿宋" w:eastAsia="仿宋"/>
          <w:color w:val="auto"/>
          <w:sz w:val="24"/>
          <w:highlight w:val="none"/>
        </w:rPr>
        <w:t>12:00至23:59（北京时间，线上获取法定节假日均可，线下获取文件法定节假日除外）</w:t>
      </w:r>
    </w:p>
    <w:p>
      <w:pPr>
        <w:snapToGrid w:val="0"/>
        <w:spacing w:line="360" w:lineRule="auto"/>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地点（网址）：</w:t>
      </w:r>
      <w:r>
        <w:rPr>
          <w:rFonts w:hint="eastAsia" w:ascii="仿宋" w:hAnsi="仿宋" w:eastAsia="仿宋"/>
          <w:color w:val="auto"/>
          <w:sz w:val="24"/>
          <w:highlight w:val="none"/>
        </w:rPr>
        <w:t>政采云平台（</w:t>
      </w:r>
      <w:r>
        <w:rPr>
          <w:rFonts w:ascii="仿宋" w:hAnsi="仿宋" w:eastAsia="仿宋"/>
          <w:color w:val="auto"/>
          <w:sz w:val="24"/>
          <w:highlight w:val="none"/>
        </w:rPr>
        <w:t xml:space="preserve">https://www.zcygov.cn/） </w:t>
      </w:r>
    </w:p>
    <w:p>
      <w:pPr>
        <w:snapToGrid w:val="0"/>
        <w:spacing w:line="360" w:lineRule="auto"/>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方式：</w:t>
      </w:r>
      <w:r>
        <w:rPr>
          <w:rFonts w:hint="eastAsia" w:ascii="仿宋" w:hAnsi="仿宋" w:eastAsia="仿宋"/>
          <w:color w:val="auto"/>
          <w:sz w:val="24"/>
          <w:highlight w:val="none"/>
        </w:rPr>
        <w:t>供应商登录政采云平台</w:t>
      </w:r>
      <w:r>
        <w:rPr>
          <w:rFonts w:ascii="仿宋" w:hAnsi="仿宋" w:eastAsia="仿宋"/>
          <w:color w:val="auto"/>
          <w:sz w:val="24"/>
          <w:highlight w:val="none"/>
        </w:rPr>
        <w:t xml:space="preserve">https://www.zcygov.cn/在线申请获取采购文件（进入“项目采购”应用，在获取采购文件菜单中选择项目，申请获取采购文件）。 </w:t>
      </w:r>
    </w:p>
    <w:p>
      <w:pPr>
        <w:snapToGrid w:val="0"/>
        <w:spacing w:line="360" w:lineRule="auto"/>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售价（元）：</w:t>
      </w:r>
      <w:r>
        <w:rPr>
          <w:rFonts w:ascii="仿宋" w:hAnsi="仿宋" w:eastAsia="仿宋"/>
          <w:color w:val="auto"/>
          <w:sz w:val="24"/>
          <w:highlight w:val="none"/>
        </w:rPr>
        <w:t xml:space="preserve">0 </w:t>
      </w:r>
      <w:r>
        <w:rPr>
          <w:rFonts w:ascii="仿宋" w:hAnsi="仿宋" w:eastAsia="仿宋"/>
          <w:color w:val="auto"/>
          <w:sz w:val="24"/>
          <w:highlight w:val="none"/>
        </w:rPr>
        <w:tab/>
      </w:r>
    </w:p>
    <w:p>
      <w:pPr>
        <w:snapToGrid w:val="0"/>
        <w:spacing w:line="360" w:lineRule="auto"/>
        <w:rPr>
          <w:rFonts w:ascii="仿宋" w:hAnsi="仿宋" w:eastAsia="仿宋"/>
          <w:b/>
          <w:color w:val="auto"/>
          <w:sz w:val="24"/>
          <w:highlight w:val="none"/>
        </w:rPr>
      </w:pPr>
      <w:r>
        <w:rPr>
          <w:rFonts w:hint="eastAsia" w:ascii="仿宋" w:hAnsi="仿宋" w:eastAsia="仿宋"/>
          <w:b/>
          <w:color w:val="auto"/>
          <w:sz w:val="24"/>
          <w:highlight w:val="none"/>
        </w:rPr>
        <w:t>四、提交投标文件截止时间、开标时间和地点</w:t>
      </w:r>
    </w:p>
    <w:p>
      <w:pPr>
        <w:snapToGrid w:val="0"/>
        <w:spacing w:line="360" w:lineRule="auto"/>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提交投标文件截止时间：</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2022</w:t>
      </w:r>
      <w:r>
        <w:rPr>
          <w:rFonts w:ascii="仿宋" w:hAnsi="仿宋" w:eastAsia="仿宋"/>
          <w:color w:val="auto"/>
          <w:sz w:val="24"/>
          <w:highlight w:val="none"/>
          <w:u w:val="single"/>
        </w:rPr>
        <w:t>年</w:t>
      </w:r>
      <w:r>
        <w:rPr>
          <w:rFonts w:hint="eastAsia" w:ascii="仿宋" w:hAnsi="仿宋" w:eastAsia="仿宋"/>
          <w:color w:val="auto"/>
          <w:sz w:val="24"/>
          <w:highlight w:val="none"/>
          <w:u w:val="single"/>
          <w:lang w:val="en-US" w:eastAsia="zh-CN"/>
        </w:rPr>
        <w:t>4</w:t>
      </w:r>
      <w:r>
        <w:rPr>
          <w:rFonts w:hint="eastAsia" w:ascii="仿宋" w:hAnsi="仿宋" w:eastAsia="仿宋"/>
          <w:color w:val="auto"/>
          <w:sz w:val="24"/>
          <w:highlight w:val="none"/>
          <w:u w:val="single"/>
        </w:rPr>
        <w:t>月</w:t>
      </w:r>
      <w:r>
        <w:rPr>
          <w:rFonts w:hint="eastAsia" w:ascii="仿宋" w:hAnsi="仿宋" w:eastAsia="仿宋"/>
          <w:color w:val="auto"/>
          <w:sz w:val="24"/>
          <w:highlight w:val="none"/>
          <w:u w:val="single"/>
          <w:lang w:val="en-US" w:eastAsia="zh-CN"/>
        </w:rPr>
        <w:t>2</w:t>
      </w:r>
      <w:r>
        <w:rPr>
          <w:rFonts w:hint="eastAsia" w:ascii="仿宋" w:hAnsi="仿宋" w:eastAsia="仿宋"/>
          <w:color w:val="auto"/>
          <w:sz w:val="24"/>
          <w:highlight w:val="none"/>
          <w:u w:val="single"/>
        </w:rPr>
        <w:t>日9点0分</w:t>
      </w:r>
      <w:r>
        <w:rPr>
          <w:rFonts w:hint="eastAsia" w:ascii="仿宋" w:hAnsi="仿宋" w:eastAsia="仿宋"/>
          <w:bCs/>
          <w:color w:val="auto"/>
          <w:sz w:val="24"/>
          <w:highlight w:val="none"/>
          <w:u w:val="single"/>
        </w:rPr>
        <w:t xml:space="preserve"> </w:t>
      </w:r>
      <w:r>
        <w:rPr>
          <w:rFonts w:hint="eastAsia" w:ascii="仿宋" w:hAnsi="仿宋" w:eastAsia="仿宋"/>
          <w:color w:val="auto"/>
          <w:sz w:val="24"/>
          <w:highlight w:val="none"/>
        </w:rPr>
        <w:t>（北京时间）</w:t>
      </w:r>
    </w:p>
    <w:p>
      <w:pPr>
        <w:snapToGrid w:val="0"/>
        <w:spacing w:line="360" w:lineRule="auto"/>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投标地点（网址）：</w:t>
      </w:r>
      <w:r>
        <w:rPr>
          <w:rFonts w:hint="eastAsia" w:ascii="仿宋" w:hAnsi="仿宋" w:eastAsia="仿宋"/>
          <w:color w:val="auto"/>
          <w:sz w:val="24"/>
          <w:highlight w:val="none"/>
        </w:rPr>
        <w:t>政采云平台（</w:t>
      </w:r>
      <w:r>
        <w:rPr>
          <w:rFonts w:ascii="仿宋" w:hAnsi="仿宋" w:eastAsia="仿宋"/>
          <w:color w:val="auto"/>
          <w:sz w:val="24"/>
          <w:highlight w:val="none"/>
        </w:rPr>
        <w:t xml:space="preserve">https://www.zcygov.cn/） </w:t>
      </w:r>
    </w:p>
    <w:p>
      <w:pPr>
        <w:snapToGrid w:val="0"/>
        <w:spacing w:line="360" w:lineRule="auto"/>
        <w:ind w:firstLine="482" w:firstLineChars="200"/>
        <w:rPr>
          <w:rFonts w:ascii="仿宋" w:hAnsi="仿宋" w:eastAsia="仿宋"/>
          <w:bCs/>
          <w:color w:val="auto"/>
          <w:sz w:val="24"/>
          <w:highlight w:val="none"/>
          <w:u w:val="single"/>
        </w:rPr>
      </w:pPr>
      <w:r>
        <w:rPr>
          <w:rFonts w:hint="eastAsia" w:ascii="仿宋" w:hAnsi="仿宋" w:eastAsia="仿宋"/>
          <w:b/>
          <w:color w:val="auto"/>
          <w:sz w:val="24"/>
          <w:highlight w:val="none"/>
        </w:rPr>
        <w:t>开标时间：</w:t>
      </w:r>
      <w:r>
        <w:rPr>
          <w:rFonts w:hint="eastAsia" w:ascii="仿宋" w:hAnsi="仿宋" w:eastAsia="仿宋"/>
          <w:color w:val="auto"/>
          <w:sz w:val="24"/>
          <w:highlight w:val="none"/>
          <w:u w:val="single"/>
        </w:rPr>
        <w:t>2022</w:t>
      </w:r>
      <w:r>
        <w:rPr>
          <w:rFonts w:ascii="仿宋" w:hAnsi="仿宋" w:eastAsia="仿宋"/>
          <w:color w:val="auto"/>
          <w:sz w:val="24"/>
          <w:highlight w:val="none"/>
          <w:u w:val="single"/>
        </w:rPr>
        <w:t>年</w:t>
      </w:r>
      <w:r>
        <w:rPr>
          <w:rFonts w:hint="eastAsia" w:ascii="仿宋" w:hAnsi="仿宋" w:eastAsia="仿宋"/>
          <w:color w:val="auto"/>
          <w:sz w:val="24"/>
          <w:highlight w:val="none"/>
          <w:u w:val="single"/>
          <w:lang w:val="en-US" w:eastAsia="zh-CN"/>
        </w:rPr>
        <w:t>4</w:t>
      </w:r>
      <w:r>
        <w:rPr>
          <w:rFonts w:hint="eastAsia" w:ascii="仿宋" w:hAnsi="仿宋" w:eastAsia="仿宋"/>
          <w:color w:val="auto"/>
          <w:sz w:val="24"/>
          <w:highlight w:val="none"/>
          <w:u w:val="single"/>
        </w:rPr>
        <w:t>月</w:t>
      </w:r>
      <w:r>
        <w:rPr>
          <w:rFonts w:hint="eastAsia" w:ascii="仿宋" w:hAnsi="仿宋" w:eastAsia="仿宋"/>
          <w:color w:val="auto"/>
          <w:sz w:val="24"/>
          <w:highlight w:val="none"/>
          <w:u w:val="single"/>
          <w:lang w:val="en-US" w:eastAsia="zh-CN"/>
        </w:rPr>
        <w:t>2</w:t>
      </w:r>
      <w:r>
        <w:rPr>
          <w:rFonts w:hint="eastAsia" w:ascii="仿宋" w:hAnsi="仿宋" w:eastAsia="仿宋"/>
          <w:color w:val="auto"/>
          <w:sz w:val="24"/>
          <w:highlight w:val="none"/>
          <w:u w:val="single"/>
        </w:rPr>
        <w:t>日9点0分</w:t>
      </w:r>
      <w:r>
        <w:rPr>
          <w:rFonts w:hint="eastAsia" w:ascii="仿宋" w:hAnsi="仿宋" w:eastAsia="仿宋"/>
          <w:bCs/>
          <w:color w:val="auto"/>
          <w:sz w:val="24"/>
          <w:highlight w:val="none"/>
          <w:u w:val="single"/>
        </w:rPr>
        <w:t xml:space="preserve"> </w:t>
      </w:r>
    </w:p>
    <w:p>
      <w:pPr>
        <w:snapToGrid w:val="0"/>
        <w:spacing w:line="360" w:lineRule="auto"/>
        <w:ind w:firstLine="482" w:firstLineChars="200"/>
        <w:rPr>
          <w:rFonts w:ascii="仿宋" w:hAnsi="仿宋" w:eastAsia="仿宋" w:cs="仿宋"/>
          <w:b/>
          <w:bCs/>
          <w:color w:val="auto"/>
          <w:kern w:val="0"/>
          <w:sz w:val="24"/>
          <w:highlight w:val="none"/>
        </w:rPr>
      </w:pPr>
      <w:r>
        <w:rPr>
          <w:rFonts w:hint="eastAsia" w:ascii="仿宋" w:hAnsi="仿宋" w:eastAsia="仿宋" w:cs="仿宋"/>
          <w:b/>
          <w:bCs/>
          <w:color w:val="auto"/>
          <w:sz w:val="24"/>
          <w:highlight w:val="none"/>
        </w:rPr>
        <w:t>开标地点（网址）：</w:t>
      </w:r>
      <w:bookmarkStart w:id="18" w:name="_Toc29045"/>
      <w:bookmarkStart w:id="19" w:name="_Toc20890"/>
      <w:bookmarkStart w:id="20" w:name="_Toc10486"/>
      <w:r>
        <w:rPr>
          <w:rFonts w:ascii="仿宋" w:hAnsi="仿宋" w:eastAsia="仿宋"/>
          <w:color w:val="auto"/>
          <w:sz w:val="24"/>
          <w:highlight w:val="none"/>
        </w:rPr>
        <w:t>政</w:t>
      </w:r>
      <w:r>
        <w:rPr>
          <w:rFonts w:hint="eastAsia" w:ascii="仿宋" w:hAnsi="仿宋" w:eastAsia="仿宋"/>
          <w:color w:val="auto"/>
          <w:sz w:val="24"/>
          <w:highlight w:val="none"/>
        </w:rPr>
        <w:t>采云平台（</w:t>
      </w:r>
      <w:r>
        <w:rPr>
          <w:rFonts w:ascii="仿宋" w:hAnsi="仿宋" w:eastAsia="仿宋"/>
          <w:color w:val="auto"/>
          <w:sz w:val="24"/>
          <w:highlight w:val="none"/>
        </w:rPr>
        <w:t>https://www.zcygov.cn/）</w:t>
      </w:r>
      <w:r>
        <w:rPr>
          <w:rFonts w:hint="eastAsia" w:ascii="仿宋" w:hAnsi="仿宋" w:eastAsia="仿宋"/>
          <w:color w:val="auto"/>
          <w:sz w:val="24"/>
          <w:highlight w:val="none"/>
        </w:rPr>
        <w:t>，</w:t>
      </w:r>
      <w:r>
        <w:rPr>
          <w:rFonts w:hint="eastAsia" w:ascii="仿宋" w:hAnsi="仿宋" w:eastAsia="仿宋" w:cs="宋体"/>
          <w:color w:val="auto"/>
          <w:sz w:val="24"/>
          <w:highlight w:val="none"/>
          <w:lang w:val="zh-CN"/>
        </w:rPr>
        <w:t>杭州市南苑街道南大街</w:t>
      </w:r>
      <w:r>
        <w:rPr>
          <w:rFonts w:hint="eastAsia" w:ascii="仿宋" w:hAnsi="仿宋" w:eastAsia="仿宋" w:cs="宋体"/>
          <w:color w:val="auto"/>
          <w:sz w:val="24"/>
          <w:highlight w:val="none"/>
        </w:rPr>
        <w:t>326</w:t>
      </w:r>
      <w:r>
        <w:rPr>
          <w:rFonts w:hint="eastAsia" w:ascii="仿宋" w:hAnsi="仿宋" w:eastAsia="仿宋" w:cs="宋体"/>
          <w:color w:val="auto"/>
          <w:sz w:val="24"/>
          <w:highlight w:val="none"/>
          <w:lang w:val="zh-CN"/>
        </w:rPr>
        <w:t>号</w:t>
      </w:r>
      <w:r>
        <w:rPr>
          <w:rFonts w:hint="eastAsia" w:ascii="仿宋" w:hAnsi="仿宋" w:eastAsia="仿宋" w:cs="宋体"/>
          <w:color w:val="auto"/>
          <w:sz w:val="24"/>
          <w:highlight w:val="none"/>
        </w:rPr>
        <w:t>时代广场1号楼A座6</w:t>
      </w:r>
      <w:r>
        <w:rPr>
          <w:rFonts w:hint="eastAsia" w:ascii="仿宋" w:hAnsi="仿宋" w:eastAsia="仿宋" w:cs="宋体"/>
          <w:color w:val="auto"/>
          <w:sz w:val="24"/>
          <w:highlight w:val="none"/>
          <w:lang w:val="zh-CN"/>
        </w:rPr>
        <w:t>楼</w:t>
      </w:r>
      <w:r>
        <w:rPr>
          <w:rFonts w:hint="eastAsia" w:ascii="仿宋" w:hAnsi="仿宋" w:eastAsia="仿宋" w:cs="宋体"/>
          <w:bCs/>
          <w:color w:val="auto"/>
          <w:spacing w:val="-6"/>
          <w:kern w:val="0"/>
          <w:sz w:val="24"/>
          <w:highlight w:val="none"/>
        </w:rPr>
        <w:t>。</w:t>
      </w:r>
    </w:p>
    <w:p>
      <w:pPr>
        <w:tabs>
          <w:tab w:val="left" w:pos="900"/>
        </w:tabs>
        <w:snapToGrid w:val="0"/>
        <w:spacing w:line="360" w:lineRule="auto"/>
        <w:rPr>
          <w:rFonts w:ascii="仿宋" w:hAnsi="仿宋" w:eastAsia="仿宋" w:cs="宋体"/>
          <w:b/>
          <w:bCs/>
          <w:color w:val="auto"/>
          <w:sz w:val="24"/>
          <w:highlight w:val="none"/>
        </w:rPr>
      </w:pPr>
      <w:r>
        <w:rPr>
          <w:rFonts w:hint="eastAsia" w:ascii="仿宋" w:hAnsi="仿宋" w:eastAsia="仿宋" w:cs="宋体"/>
          <w:b/>
          <w:bCs/>
          <w:color w:val="auto"/>
          <w:sz w:val="24"/>
          <w:highlight w:val="none"/>
        </w:rPr>
        <w:t>五、采购意向公开链接</w:t>
      </w:r>
      <w:bookmarkEnd w:id="18"/>
      <w:bookmarkEnd w:id="19"/>
      <w:bookmarkEnd w:id="20"/>
    </w:p>
    <w:p>
      <w:pPr>
        <w:snapToGrid w:val="0"/>
        <w:spacing w:line="360" w:lineRule="auto"/>
        <w:ind w:firstLine="420" w:firstLineChars="200"/>
        <w:rPr>
          <w:rFonts w:ascii="仿宋" w:hAnsi="仿宋" w:eastAsia="仿宋"/>
          <w:color w:val="auto"/>
          <w:sz w:val="24"/>
          <w:highlight w:val="none"/>
        </w:rPr>
      </w:pPr>
      <w:r>
        <w:rPr>
          <w:color w:val="auto"/>
          <w:highlight w:val="none"/>
        </w:rPr>
        <w:fldChar w:fldCharType="begin"/>
      </w:r>
      <w:r>
        <w:rPr>
          <w:color w:val="auto"/>
          <w:highlight w:val="none"/>
        </w:rPr>
        <w:instrText xml:space="preserve">HYPERLINK "https://zfcg.czt.zj.gov.cn/innerUsed_noticeDetails/index.html?noticeId=8363364&amp;utm=web-government-front.2e418808.0.0.4e9f2fa08d5311ec84fb71df2580c607" </w:instrText>
      </w:r>
      <w:r>
        <w:rPr>
          <w:color w:val="auto"/>
          <w:highlight w:val="none"/>
        </w:rPr>
        <w:fldChar w:fldCharType="separate"/>
      </w:r>
      <w:r>
        <w:rPr>
          <w:rStyle w:val="76"/>
          <w:rFonts w:ascii="仿宋" w:hAnsi="仿宋" w:eastAsia="仿宋" w:cs="Times New Roman"/>
          <w:color w:val="auto"/>
          <w:kern w:val="2"/>
          <w:sz w:val="24"/>
          <w:szCs w:val="24"/>
          <w:highlight w:val="none"/>
        </w:rPr>
        <w:t>https://zfcg.czt.zj.gov.cn/innerUsed_noticeDetails/index.html?noticeId=8363364&amp;utm=web-government-front.2e418808.0.0.4e9f2fa08d5311ec84fb71df2580c607</w:t>
      </w:r>
      <w:r>
        <w:rPr>
          <w:color w:val="auto"/>
          <w:highlight w:val="none"/>
        </w:rPr>
        <w:fldChar w:fldCharType="end"/>
      </w:r>
    </w:p>
    <w:p>
      <w:pPr>
        <w:snapToGrid w:val="0"/>
        <w:spacing w:line="360" w:lineRule="auto"/>
        <w:rPr>
          <w:rFonts w:ascii="仿宋" w:hAnsi="仿宋" w:eastAsia="仿宋"/>
          <w:color w:val="auto"/>
          <w:sz w:val="24"/>
          <w:highlight w:val="none"/>
        </w:rPr>
      </w:pPr>
      <w:r>
        <w:rPr>
          <w:rFonts w:hint="eastAsia" w:ascii="仿宋" w:hAnsi="仿宋" w:eastAsia="仿宋"/>
          <w:b/>
          <w:color w:val="auto"/>
          <w:sz w:val="24"/>
          <w:highlight w:val="none"/>
        </w:rPr>
        <w:t>六、公告期限</w:t>
      </w:r>
      <w:r>
        <w:rPr>
          <w:rFonts w:ascii="仿宋" w:hAnsi="仿宋" w:eastAsia="仿宋"/>
          <w:b/>
          <w:color w:val="auto"/>
          <w:sz w:val="24"/>
          <w:highlight w:val="none"/>
        </w:rPr>
        <w:t xml:space="preserve"> </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自本公告发布之日起</w:t>
      </w:r>
      <w:r>
        <w:rPr>
          <w:rFonts w:ascii="仿宋" w:hAnsi="仿宋" w:eastAsia="仿宋"/>
          <w:color w:val="auto"/>
          <w:sz w:val="24"/>
          <w:highlight w:val="none"/>
        </w:rPr>
        <w:t>5个工作日。</w:t>
      </w:r>
    </w:p>
    <w:p>
      <w:pPr>
        <w:snapToGrid w:val="0"/>
        <w:spacing w:line="360" w:lineRule="auto"/>
        <w:rPr>
          <w:rFonts w:ascii="仿宋" w:hAnsi="仿宋" w:eastAsia="仿宋"/>
          <w:b/>
          <w:color w:val="auto"/>
          <w:sz w:val="24"/>
          <w:highlight w:val="none"/>
        </w:rPr>
      </w:pPr>
      <w:r>
        <w:rPr>
          <w:rFonts w:hint="eastAsia" w:ascii="仿宋" w:hAnsi="仿宋" w:eastAsia="仿宋"/>
          <w:b/>
          <w:color w:val="auto"/>
          <w:sz w:val="24"/>
          <w:highlight w:val="none"/>
        </w:rPr>
        <w:t>七、其他补充事宜</w:t>
      </w: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r>
        <w:rPr>
          <w:rFonts w:hint="eastAsia" w:ascii="仿宋" w:hAnsi="仿宋" w:eastAsia="仿宋"/>
          <w:color w:val="auto"/>
          <w:sz w:val="24"/>
          <w:highlight w:val="none"/>
        </w:rPr>
        <w:br w:type="textWrapping"/>
      </w:r>
      <w:r>
        <w:rPr>
          <w:rFonts w:ascii="仿宋" w:hAnsi="仿宋" w:eastAsia="仿宋"/>
          <w:color w:val="auto"/>
          <w:sz w:val="24"/>
          <w:highlight w:val="none"/>
        </w:rPr>
        <w:t xml:space="preserve">    </w:t>
      </w:r>
      <w:r>
        <w:rPr>
          <w:rFonts w:hint="eastAsia" w:ascii="仿宋" w:hAnsi="仿宋" w:eastAsia="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 w:hAnsi="仿宋" w:eastAsia="仿宋"/>
          <w:color w:val="auto"/>
          <w:sz w:val="24"/>
          <w:highlight w:val="none"/>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4</w:t>
      </w:r>
      <w:r>
        <w:rPr>
          <w:rFonts w:hint="eastAsia" w:ascii="仿宋" w:hAnsi="仿宋" w:eastAsia="仿宋"/>
          <w:color w:val="auto"/>
          <w:sz w:val="24"/>
          <w:highlight w:val="none"/>
        </w:rPr>
        <w:t>.其他事项：</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（1）需要落实的政府采购政策：包括节约资源、保护环境、支持创新、促进中小企业发展等。详见采购文件的第二部分总则。</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电子招投标的说明：</w:t>
      </w:r>
      <w:r>
        <w:rPr>
          <w:rFonts w:hint="eastAsia" w:ascii="仿宋" w:hAnsi="仿宋" w:eastAsia="仿宋" w:cs="仿宋_GB2312"/>
          <w:color w:val="auto"/>
          <w:sz w:val="24"/>
          <w:highlight w:val="none"/>
        </w:rPr>
        <w:t>①</w:t>
      </w:r>
      <w:r>
        <w:rPr>
          <w:rFonts w:ascii="仿宋" w:hAnsi="仿宋" w:eastAsia="仿宋" w:cs="仿宋_GB2312"/>
          <w:color w:val="auto"/>
          <w:sz w:val="24"/>
          <w:highlight w:val="none"/>
        </w:rPr>
        <w:t>电子招投标：本项目以数据电文形式，依托“政府采购云平台（www.zcygov.cn）”进行招投标活动，不接受纸质投标文件</w:t>
      </w:r>
      <w:r>
        <w:rPr>
          <w:rFonts w:hint="eastAsia" w:ascii="仿宋" w:hAnsi="仿宋" w:eastAsia="仿宋" w:cs="仿宋_GB2312"/>
          <w:color w:val="auto"/>
          <w:sz w:val="24"/>
          <w:highlight w:val="none"/>
        </w:rPr>
        <w:t>；②</w:t>
      </w:r>
      <w:r>
        <w:rPr>
          <w:rFonts w:ascii="仿宋" w:hAnsi="仿宋" w:eastAsia="仿宋" w:cs="仿宋_GB2312"/>
          <w:color w:val="auto"/>
          <w:sz w:val="24"/>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color w:val="auto"/>
          <w:sz w:val="24"/>
          <w:highlight w:val="none"/>
        </w:rPr>
        <w:t>采云电子交易客户端”</w:t>
      </w:r>
      <w:r>
        <w:rPr>
          <w:rFonts w:ascii="仿宋" w:hAnsi="仿宋" w:eastAsia="仿宋" w:cs="仿宋_GB2312"/>
          <w:color w:val="auto"/>
          <w:sz w:val="24"/>
          <w:highlight w:val="none"/>
        </w:rPr>
        <w:t>----前往“浙江政府采购网-下载专区-电子交易客户端”进行下载并安装</w:t>
      </w:r>
      <w:r>
        <w:rPr>
          <w:rFonts w:hint="eastAsia" w:ascii="仿宋" w:hAnsi="仿宋" w:eastAsia="仿宋" w:cs="仿宋_GB2312"/>
          <w:color w:val="auto"/>
          <w:sz w:val="24"/>
          <w:highlight w:val="none"/>
        </w:rPr>
        <w:t>；③</w:t>
      </w:r>
      <w:r>
        <w:rPr>
          <w:rFonts w:ascii="仿宋" w:hAnsi="仿宋" w:eastAsia="仿宋" w:cs="仿宋_GB2312"/>
          <w:color w:val="auto"/>
          <w:sz w:val="24"/>
          <w:highlight w:val="none"/>
        </w:rPr>
        <w:t>采购文件的获取：使用账号登录或者使用CA登录政</w:t>
      </w:r>
      <w:r>
        <w:rPr>
          <w:rFonts w:hint="eastAsia" w:ascii="仿宋" w:hAnsi="仿宋" w:eastAsia="仿宋" w:cs="仿宋_GB2312"/>
          <w:color w:val="auto"/>
          <w:sz w:val="24"/>
          <w:highlight w:val="none"/>
        </w:rPr>
        <w:t>采云平台；进入“项目采购”应用，在获取采购文件菜单中选择项目，获取采购文件；④</w:t>
      </w:r>
      <w:r>
        <w:rPr>
          <w:rFonts w:ascii="仿宋" w:hAnsi="仿宋" w:eastAsia="仿宋" w:cs="仿宋_GB2312"/>
          <w:color w:val="auto"/>
          <w:sz w:val="24"/>
          <w:highlight w:val="none"/>
        </w:rPr>
        <w:t>投标文件的制作：在“政</w:t>
      </w:r>
      <w:r>
        <w:rPr>
          <w:rFonts w:hint="eastAsia" w:ascii="仿宋" w:hAnsi="仿宋" w:eastAsia="仿宋" w:cs="仿宋_GB2312"/>
          <w:color w:val="auto"/>
          <w:sz w:val="24"/>
          <w:highlight w:val="none"/>
        </w:rPr>
        <w:t>采云电子交易客户端”中完成“填写基本信息”、“导入投标文件”、“标书关联”、“标书检查”、“电子签名”、“生成电子标书”等操作；</w:t>
      </w:r>
      <w:r>
        <w:rPr>
          <w:rFonts w:hint="eastAsia" w:ascii="仿宋" w:hAnsi="仿宋" w:eastAsia="仿宋"/>
          <w:color w:val="auto"/>
          <w:sz w:val="24"/>
          <w:highlight w:val="none"/>
        </w:rPr>
        <w:t>⑤</w:t>
      </w:r>
      <w:r>
        <w:rPr>
          <w:rFonts w:ascii="仿宋" w:hAnsi="仿宋" w:eastAsia="仿宋"/>
          <w:color w:val="auto"/>
          <w:sz w:val="24"/>
          <w:highlight w:val="none"/>
        </w:rPr>
        <w:t>采购人、采购代理机构将依托政</w:t>
      </w:r>
      <w:r>
        <w:rPr>
          <w:rFonts w:hint="eastAsia" w:ascii="仿宋" w:hAnsi="仿宋" w:eastAsia="仿宋"/>
          <w:color w:val="auto"/>
          <w:sz w:val="24"/>
          <w:highlight w:val="none"/>
        </w:rPr>
        <w:t>采云平台完成本项目的电子交易活动，平台不接受未按上述方式获取采购文件的供应商进行投标活动；</w:t>
      </w:r>
      <w:r>
        <w:rPr>
          <w:rFonts w:ascii="仿宋" w:hAnsi="仿宋" w:eastAsia="仿宋"/>
          <w:color w:val="auto"/>
          <w:sz w:val="24"/>
          <w:highlight w:val="none"/>
        </w:rPr>
        <w:t xml:space="preserve"> </w:t>
      </w:r>
      <w:r>
        <w:rPr>
          <w:rFonts w:hint="eastAsia" w:ascii="仿宋" w:hAnsi="仿宋" w:eastAsia="仿宋"/>
          <w:color w:val="auto"/>
          <w:sz w:val="24"/>
          <w:highlight w:val="none"/>
        </w:rPr>
        <w:t>⑥</w:t>
      </w:r>
      <w:r>
        <w:rPr>
          <w:rFonts w:ascii="仿宋" w:hAnsi="仿宋" w:eastAsia="仿宋"/>
          <w:color w:val="auto"/>
          <w:sz w:val="24"/>
          <w:highlight w:val="none"/>
        </w:rPr>
        <w:t>对未按上述方式获取采购文件的供应商对该文件提出的质疑，采购人或采购代理机构将</w:t>
      </w:r>
      <w:r>
        <w:rPr>
          <w:rFonts w:hint="eastAsia" w:ascii="仿宋" w:hAnsi="仿宋" w:eastAsia="仿宋"/>
          <w:color w:val="auto"/>
          <w:sz w:val="24"/>
          <w:highlight w:val="none"/>
        </w:rPr>
        <w:t>不予处理；⑦</w:t>
      </w:r>
      <w:r>
        <w:rPr>
          <w:rFonts w:ascii="仿宋" w:hAnsi="仿宋" w:eastAsia="仿宋"/>
          <w:color w:val="auto"/>
          <w:sz w:val="24"/>
          <w:highlight w:val="none"/>
        </w:rPr>
        <w:t>不提供采购文件纸质版</w:t>
      </w:r>
      <w:r>
        <w:rPr>
          <w:rFonts w:hint="eastAsia" w:ascii="仿宋" w:hAnsi="仿宋" w:eastAsia="仿宋"/>
          <w:color w:val="auto"/>
          <w:sz w:val="24"/>
          <w:highlight w:val="none"/>
        </w:rPr>
        <w:t>；</w:t>
      </w:r>
      <w:r>
        <w:rPr>
          <w:rFonts w:hint="eastAsia" w:ascii="仿宋" w:hAnsi="仿宋" w:eastAsia="仿宋" w:cs="仿宋_GB2312"/>
          <w:color w:val="auto"/>
          <w:sz w:val="24"/>
          <w:highlight w:val="none"/>
        </w:rPr>
        <w:t>⑧</w:t>
      </w:r>
      <w:r>
        <w:rPr>
          <w:rFonts w:ascii="仿宋" w:hAnsi="仿宋" w:eastAsia="仿宋" w:cs="仿宋_GB2312"/>
          <w:color w:val="auto"/>
          <w:sz w:val="24"/>
          <w:highlight w:val="none"/>
        </w:rPr>
        <w:t>投标文件的传输递交：供应商在投标截止时间前将加密的投标文件上传至政府采购云平台，还可以在投标截止时间前直接提交或者以邮政快递方式递交备份投标文件1份。备份投标文件的制作、存储、密封详见采购文件第二部分第15点—“备份投标文件”</w:t>
      </w:r>
      <w:r>
        <w:rPr>
          <w:rFonts w:hint="eastAsia" w:ascii="仿宋" w:hAnsi="仿宋" w:eastAsia="仿宋" w:cs="仿宋_GB2312"/>
          <w:color w:val="auto"/>
          <w:sz w:val="24"/>
          <w:highlight w:val="none"/>
        </w:rPr>
        <w:t>；</w:t>
      </w:r>
      <w:r>
        <w:rPr>
          <w:rFonts w:hint="eastAsia" w:ascii="仿宋" w:hAnsi="仿宋" w:eastAsia="仿宋"/>
          <w:color w:val="auto"/>
          <w:sz w:val="24"/>
          <w:highlight w:val="none"/>
        </w:rPr>
        <w:t>⑨</w:t>
      </w:r>
      <w:r>
        <w:rPr>
          <w:rFonts w:hint="eastAsia" w:ascii="仿宋" w:hAnsi="仿宋" w:eastAsia="仿宋" w:cs="仿宋_GB2312"/>
          <w:color w:val="auto"/>
          <w:sz w:val="24"/>
          <w:highlight w:val="none"/>
        </w:rPr>
        <w:t>投标文件的解密：供应商按照平台提示和采购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供应商仅提交备份投标文件，没有在电子交易平台传输递交投标文件的，投标无效；⑩</w:t>
      </w:r>
      <w:r>
        <w:rPr>
          <w:rFonts w:ascii="仿宋" w:hAnsi="仿宋" w:eastAsia="仿宋" w:cs="仿宋_GB2312"/>
          <w:color w:val="auto"/>
          <w:sz w:val="24"/>
          <w:highlight w:val="none"/>
        </w:rPr>
        <w:t>具体操作指南：详见政</w:t>
      </w:r>
      <w:r>
        <w:rPr>
          <w:rFonts w:hint="eastAsia" w:ascii="仿宋" w:hAnsi="仿宋" w:eastAsia="仿宋" w:cs="仿宋_GB2312"/>
          <w:color w:val="auto"/>
          <w:sz w:val="24"/>
          <w:highlight w:val="none"/>
        </w:rPr>
        <w:t>采云平台“服务中心</w:t>
      </w:r>
      <w:r>
        <w:rPr>
          <w:rFonts w:ascii="仿宋" w:hAnsi="仿宋" w:eastAsia="仿宋" w:cs="仿宋_GB2312"/>
          <w:color w:val="auto"/>
          <w:sz w:val="24"/>
          <w:highlight w:val="none"/>
        </w:rPr>
        <w:t>-帮助文档-项目采购-操作流程-电子招投标-政府采购项目电子交易管理操作指南-供应商”。</w:t>
      </w:r>
    </w:p>
    <w:p>
      <w:pPr>
        <w:pStyle w:val="2"/>
        <w:snapToGrid w:val="0"/>
        <w:rPr>
          <w:rFonts w:ascii="仿宋" w:hAnsi="仿宋" w:eastAsia="仿宋"/>
          <w:color w:val="auto"/>
          <w:highlight w:val="none"/>
        </w:rPr>
      </w:pPr>
      <w:r>
        <w:rPr>
          <w:rFonts w:hint="eastAsia" w:ascii="仿宋" w:hAnsi="仿宋" w:eastAsia="仿宋"/>
          <w:color w:val="auto"/>
          <w:highlight w:val="none"/>
        </w:rPr>
        <w:t>（3）单位负责人为同一人或者存在直接控股、管理关系的不同供应商，不得参加同一合同项下的政府采购活动；</w:t>
      </w:r>
      <w:r>
        <w:rPr>
          <w:rFonts w:ascii="仿宋" w:hAnsi="仿宋" w:eastAsia="仿宋" w:cs="仿宋_GB2312"/>
          <w:color w:val="auto"/>
          <w:highlight w:val="none"/>
        </w:rPr>
        <w:t>为采购项目提供整体设计、规范编制或者项目管理、监理、检测等服务后</w:t>
      </w:r>
      <w:r>
        <w:rPr>
          <w:rFonts w:hint="eastAsia" w:ascii="仿宋" w:hAnsi="仿宋" w:eastAsia="仿宋" w:cs="仿宋_GB2312"/>
          <w:color w:val="auto"/>
          <w:highlight w:val="none"/>
        </w:rPr>
        <w:t>不得</w:t>
      </w:r>
      <w:r>
        <w:rPr>
          <w:rFonts w:ascii="仿宋" w:hAnsi="仿宋" w:eastAsia="仿宋" w:cs="仿宋_GB2312"/>
          <w:color w:val="auto"/>
          <w:highlight w:val="none"/>
        </w:rPr>
        <w:t>再参加该采购项目的其他采购活动。</w:t>
      </w:r>
    </w:p>
    <w:p>
      <w:pPr>
        <w:snapToGrid w:val="0"/>
        <w:spacing w:line="360" w:lineRule="auto"/>
        <w:rPr>
          <w:rFonts w:ascii="仿宋" w:hAnsi="仿宋" w:eastAsia="仿宋"/>
          <w:b/>
          <w:color w:val="auto"/>
          <w:sz w:val="24"/>
          <w:highlight w:val="none"/>
        </w:rPr>
      </w:pPr>
      <w:r>
        <w:rPr>
          <w:rFonts w:hint="eastAsia" w:ascii="仿宋" w:hAnsi="仿宋" w:eastAsia="仿宋"/>
          <w:b/>
          <w:color w:val="auto"/>
          <w:sz w:val="24"/>
          <w:highlight w:val="none"/>
        </w:rPr>
        <w:t>八、对本次采购提出询问、质疑、投诉，请按以下方式联系</w:t>
      </w:r>
    </w:p>
    <w:p>
      <w:pPr>
        <w:pStyle w:val="4"/>
        <w:ind w:left="0" w:firstLine="480" w:firstLineChars="200"/>
        <w:rPr>
          <w:rFonts w:ascii="仿宋" w:eastAsia="仿宋"/>
          <w:b w:val="0"/>
          <w:bCs w:val="0"/>
          <w:color w:val="auto"/>
          <w:sz w:val="24"/>
          <w:szCs w:val="24"/>
          <w:highlight w:val="none"/>
          <w:lang w:val="en-US"/>
        </w:rPr>
      </w:pPr>
      <w:bookmarkStart w:id="21" w:name="_Toc76824052"/>
      <w:r>
        <w:rPr>
          <w:rFonts w:hint="eastAsia" w:ascii="仿宋" w:eastAsia="仿宋"/>
          <w:b w:val="0"/>
          <w:bCs w:val="0"/>
          <w:color w:val="auto"/>
          <w:sz w:val="24"/>
          <w:szCs w:val="24"/>
          <w:highlight w:val="none"/>
          <w:lang w:val="en-US"/>
        </w:rPr>
        <w:t>1.采购人信息</w:t>
      </w:r>
      <w:bookmarkEnd w:id="21"/>
      <w:r>
        <w:rPr>
          <w:rFonts w:hint="eastAsia" w:ascii="仿宋" w:eastAsia="仿宋"/>
          <w:b w:val="0"/>
          <w:bCs w:val="0"/>
          <w:color w:val="auto"/>
          <w:sz w:val="24"/>
          <w:szCs w:val="24"/>
          <w:highlight w:val="none"/>
          <w:lang w:val="en-US"/>
        </w:rPr>
        <w:t xml:space="preserve">   </w:t>
      </w:r>
    </w:p>
    <w:p>
      <w:pPr>
        <w:pStyle w:val="4"/>
        <w:ind w:left="0" w:firstLine="480" w:firstLineChars="200"/>
        <w:rPr>
          <w:rFonts w:ascii="仿宋" w:eastAsia="仿宋"/>
          <w:b w:val="0"/>
          <w:bCs w:val="0"/>
          <w:color w:val="auto"/>
          <w:sz w:val="24"/>
          <w:szCs w:val="24"/>
          <w:highlight w:val="none"/>
          <w:lang w:val="en-US"/>
        </w:rPr>
      </w:pPr>
      <w:bookmarkStart w:id="22" w:name="_Toc76824053"/>
      <w:r>
        <w:rPr>
          <w:rFonts w:ascii="仿宋" w:eastAsia="仿宋"/>
          <w:b w:val="0"/>
          <w:bCs w:val="0"/>
          <w:color w:val="auto"/>
          <w:sz w:val="24"/>
          <w:szCs w:val="24"/>
          <w:highlight w:val="none"/>
          <w:lang w:val="en-US"/>
        </w:rPr>
        <w:t>名称：</w:t>
      </w:r>
      <w:bookmarkEnd w:id="22"/>
      <w:r>
        <w:rPr>
          <w:rFonts w:hint="eastAsia" w:ascii="仿宋" w:eastAsia="仿宋"/>
          <w:b w:val="0"/>
          <w:bCs w:val="0"/>
          <w:color w:val="auto"/>
          <w:sz w:val="24"/>
          <w:szCs w:val="24"/>
          <w:highlight w:val="none"/>
          <w:lang w:val="en-US"/>
        </w:rPr>
        <w:t>杭州市余杭区机关事务服务中心</w:t>
      </w:r>
    </w:p>
    <w:p>
      <w:pPr>
        <w:pStyle w:val="4"/>
        <w:ind w:left="0" w:firstLine="480" w:firstLineChars="200"/>
        <w:rPr>
          <w:rFonts w:ascii="仿宋" w:eastAsia="仿宋"/>
          <w:b w:val="0"/>
          <w:bCs w:val="0"/>
          <w:color w:val="auto"/>
          <w:sz w:val="24"/>
          <w:szCs w:val="24"/>
          <w:highlight w:val="none"/>
          <w:lang w:val="en-US"/>
        </w:rPr>
      </w:pPr>
      <w:bookmarkStart w:id="23" w:name="_Toc76824054"/>
      <w:r>
        <w:rPr>
          <w:rFonts w:ascii="仿宋" w:eastAsia="仿宋"/>
          <w:b w:val="0"/>
          <w:bCs w:val="0"/>
          <w:color w:val="auto"/>
          <w:sz w:val="24"/>
          <w:szCs w:val="24"/>
          <w:highlight w:val="none"/>
          <w:lang w:val="en-US"/>
        </w:rPr>
        <w:t>地址：</w:t>
      </w:r>
      <w:r>
        <w:rPr>
          <w:rFonts w:hint="eastAsia" w:ascii="仿宋" w:eastAsia="仿宋"/>
          <w:b w:val="0"/>
          <w:bCs w:val="0"/>
          <w:color w:val="auto"/>
          <w:sz w:val="24"/>
          <w:szCs w:val="24"/>
          <w:highlight w:val="none"/>
          <w:lang w:val="en-US"/>
        </w:rPr>
        <w:t>杭州市余杭区</w:t>
      </w:r>
      <w:bookmarkEnd w:id="23"/>
      <w:r>
        <w:rPr>
          <w:rFonts w:hint="eastAsia" w:ascii="仿宋" w:eastAsia="仿宋"/>
          <w:b w:val="0"/>
          <w:bCs w:val="0"/>
          <w:color w:val="auto"/>
          <w:sz w:val="24"/>
          <w:szCs w:val="24"/>
          <w:highlight w:val="none"/>
          <w:lang w:val="en-US"/>
        </w:rPr>
        <w:t>文一西路1500号6号楼</w:t>
      </w:r>
    </w:p>
    <w:p>
      <w:pPr>
        <w:pStyle w:val="4"/>
        <w:ind w:left="0" w:firstLine="480" w:firstLineChars="200"/>
        <w:rPr>
          <w:rFonts w:ascii="仿宋" w:eastAsia="仿宋"/>
          <w:b w:val="0"/>
          <w:bCs w:val="0"/>
          <w:color w:val="auto"/>
          <w:sz w:val="24"/>
          <w:szCs w:val="24"/>
          <w:highlight w:val="none"/>
          <w:lang w:val="en-US"/>
        </w:rPr>
      </w:pPr>
      <w:bookmarkStart w:id="24" w:name="_Toc76824055"/>
      <w:r>
        <w:rPr>
          <w:rFonts w:ascii="仿宋" w:eastAsia="仿宋"/>
          <w:b w:val="0"/>
          <w:bCs w:val="0"/>
          <w:color w:val="auto"/>
          <w:sz w:val="24"/>
          <w:szCs w:val="24"/>
          <w:highlight w:val="none"/>
          <w:lang w:val="en-US"/>
        </w:rPr>
        <w:t>项目联系人：</w:t>
      </w:r>
      <w:bookmarkEnd w:id="24"/>
      <w:r>
        <w:rPr>
          <w:rFonts w:ascii="仿宋" w:eastAsia="仿宋"/>
          <w:b w:val="0"/>
          <w:bCs w:val="0"/>
          <w:color w:val="auto"/>
          <w:sz w:val="24"/>
          <w:szCs w:val="24"/>
          <w:highlight w:val="none"/>
          <w:lang w:val="en-US"/>
        </w:rPr>
        <w:t>林捷</w:t>
      </w:r>
    </w:p>
    <w:p>
      <w:pPr>
        <w:pStyle w:val="4"/>
        <w:ind w:left="0" w:firstLine="480" w:firstLineChars="200"/>
        <w:rPr>
          <w:rFonts w:ascii="仿宋" w:eastAsia="仿宋"/>
          <w:b w:val="0"/>
          <w:bCs w:val="0"/>
          <w:color w:val="auto"/>
          <w:sz w:val="24"/>
          <w:szCs w:val="24"/>
          <w:highlight w:val="none"/>
          <w:lang w:val="en-US"/>
        </w:rPr>
      </w:pPr>
      <w:bookmarkStart w:id="25" w:name="_Toc76824056"/>
      <w:r>
        <w:rPr>
          <w:rFonts w:ascii="仿宋" w:eastAsia="仿宋"/>
          <w:b w:val="0"/>
          <w:bCs w:val="0"/>
          <w:color w:val="auto"/>
          <w:sz w:val="24"/>
          <w:szCs w:val="24"/>
          <w:highlight w:val="none"/>
          <w:lang w:val="en-US"/>
        </w:rPr>
        <w:t>项目联系方式：</w:t>
      </w:r>
      <w:r>
        <w:rPr>
          <w:rFonts w:hint="eastAsia" w:ascii="仿宋" w:eastAsia="仿宋"/>
          <w:b w:val="0"/>
          <w:bCs w:val="0"/>
          <w:color w:val="auto"/>
          <w:sz w:val="24"/>
          <w:szCs w:val="24"/>
          <w:highlight w:val="none"/>
          <w:lang w:val="en-US"/>
        </w:rPr>
        <w:t>0571-89391595</w:t>
      </w:r>
      <w:bookmarkEnd w:id="25"/>
      <w:r>
        <w:rPr>
          <w:rFonts w:ascii="仿宋" w:eastAsia="仿宋"/>
          <w:b w:val="0"/>
          <w:bCs w:val="0"/>
          <w:color w:val="auto"/>
          <w:sz w:val="24"/>
          <w:szCs w:val="24"/>
          <w:highlight w:val="none"/>
          <w:lang w:val="en-US"/>
        </w:rPr>
        <w:t>　</w:t>
      </w:r>
    </w:p>
    <w:p>
      <w:pPr>
        <w:pStyle w:val="4"/>
        <w:ind w:left="0" w:firstLine="480" w:firstLineChars="200"/>
        <w:rPr>
          <w:rFonts w:ascii="仿宋" w:eastAsia="仿宋"/>
          <w:b w:val="0"/>
          <w:bCs w:val="0"/>
          <w:color w:val="auto"/>
          <w:sz w:val="24"/>
          <w:szCs w:val="24"/>
          <w:highlight w:val="none"/>
          <w:lang w:val="en-US"/>
        </w:rPr>
      </w:pPr>
      <w:bookmarkStart w:id="26" w:name="_Toc76824057"/>
      <w:r>
        <w:rPr>
          <w:rFonts w:ascii="仿宋" w:eastAsia="仿宋"/>
          <w:b w:val="0"/>
          <w:bCs w:val="0"/>
          <w:color w:val="auto"/>
          <w:sz w:val="24"/>
          <w:szCs w:val="24"/>
          <w:highlight w:val="none"/>
          <w:lang w:val="en-US"/>
        </w:rPr>
        <w:t>质疑联系人：</w:t>
      </w:r>
      <w:bookmarkEnd w:id="26"/>
      <w:r>
        <w:rPr>
          <w:rFonts w:hint="eastAsia" w:ascii="仿宋" w:eastAsia="仿宋"/>
          <w:b w:val="0"/>
          <w:bCs w:val="0"/>
          <w:color w:val="auto"/>
          <w:sz w:val="24"/>
          <w:szCs w:val="24"/>
          <w:highlight w:val="none"/>
          <w:lang w:val="en-US"/>
        </w:rPr>
        <w:t xml:space="preserve"> 王正鹏        </w:t>
      </w:r>
    </w:p>
    <w:p>
      <w:pPr>
        <w:pStyle w:val="4"/>
        <w:ind w:left="0" w:firstLine="480" w:firstLineChars="200"/>
        <w:rPr>
          <w:rFonts w:ascii="仿宋" w:eastAsia="仿宋"/>
          <w:b w:val="0"/>
          <w:bCs w:val="0"/>
          <w:color w:val="auto"/>
          <w:sz w:val="24"/>
          <w:szCs w:val="24"/>
          <w:highlight w:val="none"/>
          <w:lang w:val="en-US"/>
        </w:rPr>
      </w:pPr>
      <w:bookmarkStart w:id="27" w:name="_Toc76824058"/>
      <w:r>
        <w:rPr>
          <w:rFonts w:ascii="仿宋" w:eastAsia="仿宋"/>
          <w:b w:val="0"/>
          <w:bCs w:val="0"/>
          <w:color w:val="auto"/>
          <w:sz w:val="24"/>
          <w:szCs w:val="24"/>
          <w:highlight w:val="none"/>
          <w:lang w:val="en-US"/>
        </w:rPr>
        <w:t>质疑联系方式：</w:t>
      </w:r>
      <w:bookmarkEnd w:id="27"/>
      <w:r>
        <w:rPr>
          <w:rFonts w:hint="eastAsia" w:ascii="仿宋" w:eastAsia="仿宋"/>
          <w:b w:val="0"/>
          <w:bCs w:val="0"/>
          <w:color w:val="auto"/>
          <w:sz w:val="24"/>
          <w:szCs w:val="24"/>
          <w:highlight w:val="none"/>
          <w:lang w:val="en-US"/>
        </w:rPr>
        <w:t>0571-89391581</w:t>
      </w:r>
    </w:p>
    <w:p>
      <w:pPr>
        <w:widowControl/>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采购代理机构信息</w:t>
      </w:r>
    </w:p>
    <w:p>
      <w:pPr>
        <w:shd w:val="clear" w:color="auto" w:fill="FFFFFF"/>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名称：</w:t>
      </w:r>
      <w:r>
        <w:rPr>
          <w:rFonts w:hint="eastAsia" w:ascii="仿宋" w:hAnsi="仿宋" w:eastAsia="仿宋"/>
          <w:color w:val="auto"/>
          <w:sz w:val="24"/>
          <w:highlight w:val="none"/>
        </w:rPr>
        <w:t>杭州中瑞招标代理有限公司</w:t>
      </w:r>
      <w:r>
        <w:rPr>
          <w:rFonts w:ascii="仿宋" w:hAnsi="仿宋" w:eastAsia="仿宋"/>
          <w:color w:val="auto"/>
          <w:sz w:val="24"/>
          <w:highlight w:val="none"/>
        </w:rPr>
        <w:t>　　　　　　　　　　　</w:t>
      </w:r>
    </w:p>
    <w:p>
      <w:pPr>
        <w:pStyle w:val="4"/>
        <w:ind w:left="0" w:firstLine="480" w:firstLineChars="200"/>
        <w:rPr>
          <w:rFonts w:ascii="仿宋" w:eastAsia="仿宋"/>
          <w:b w:val="0"/>
          <w:bCs w:val="0"/>
          <w:color w:val="auto"/>
          <w:sz w:val="24"/>
          <w:szCs w:val="24"/>
          <w:highlight w:val="none"/>
          <w:lang w:val="en-US"/>
        </w:rPr>
      </w:pPr>
      <w:bookmarkStart w:id="28" w:name="_Toc76824059"/>
      <w:r>
        <w:rPr>
          <w:rFonts w:ascii="仿宋" w:eastAsia="仿宋"/>
          <w:b w:val="0"/>
          <w:bCs w:val="0"/>
          <w:color w:val="auto"/>
          <w:sz w:val="24"/>
          <w:szCs w:val="24"/>
          <w:highlight w:val="none"/>
          <w:lang w:val="en-US"/>
        </w:rPr>
        <w:t>地址：杭州市南苑街道南大街326号时代广场A座</w:t>
      </w:r>
      <w:r>
        <w:rPr>
          <w:rFonts w:hint="eastAsia" w:ascii="仿宋" w:eastAsia="仿宋"/>
          <w:b w:val="0"/>
          <w:bCs w:val="0"/>
          <w:color w:val="auto"/>
          <w:sz w:val="24"/>
          <w:szCs w:val="24"/>
          <w:highlight w:val="none"/>
          <w:lang w:val="en-US"/>
        </w:rPr>
        <w:t>1号楼</w:t>
      </w:r>
      <w:r>
        <w:rPr>
          <w:rFonts w:ascii="仿宋" w:eastAsia="仿宋"/>
          <w:b w:val="0"/>
          <w:bCs w:val="0"/>
          <w:color w:val="auto"/>
          <w:sz w:val="24"/>
          <w:szCs w:val="24"/>
          <w:highlight w:val="none"/>
          <w:lang w:val="en-US"/>
        </w:rPr>
        <w:t>6楼</w:t>
      </w:r>
      <w:bookmarkEnd w:id="28"/>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w:t>
      </w:r>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xml:space="preserve"> </w:t>
      </w:r>
      <w:r>
        <w:rPr>
          <w:rFonts w:ascii="Calibri" w:hAnsi="Calibri" w:eastAsia="仿宋" w:cs="Calibri"/>
          <w:b w:val="0"/>
          <w:bCs w:val="0"/>
          <w:color w:val="auto"/>
          <w:sz w:val="24"/>
          <w:szCs w:val="24"/>
          <w:highlight w:val="none"/>
          <w:lang w:val="en-US"/>
        </w:rPr>
        <w:t> </w:t>
      </w:r>
    </w:p>
    <w:p>
      <w:pPr>
        <w:pStyle w:val="4"/>
        <w:ind w:left="0" w:firstLine="480" w:firstLineChars="200"/>
        <w:rPr>
          <w:rFonts w:ascii="仿宋" w:eastAsia="仿宋"/>
          <w:b w:val="0"/>
          <w:bCs w:val="0"/>
          <w:color w:val="auto"/>
          <w:sz w:val="24"/>
          <w:szCs w:val="24"/>
          <w:highlight w:val="none"/>
          <w:lang w:val="en-US"/>
        </w:rPr>
      </w:pPr>
      <w:bookmarkStart w:id="29" w:name="_Toc76824060"/>
      <w:r>
        <w:rPr>
          <w:rFonts w:ascii="仿宋" w:eastAsia="仿宋"/>
          <w:b w:val="0"/>
          <w:bCs w:val="0"/>
          <w:color w:val="auto"/>
          <w:sz w:val="24"/>
          <w:szCs w:val="24"/>
          <w:highlight w:val="none"/>
          <w:lang w:val="en-US"/>
        </w:rPr>
        <w:t>传真：0571-86111691</w:t>
      </w:r>
      <w:bookmarkEnd w:id="29"/>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xml:space="preserve"> 　</w:t>
      </w:r>
    </w:p>
    <w:p>
      <w:pPr>
        <w:pStyle w:val="4"/>
        <w:ind w:left="0" w:firstLine="480" w:firstLineChars="200"/>
        <w:rPr>
          <w:rFonts w:ascii="仿宋" w:eastAsia="仿宋"/>
          <w:b w:val="0"/>
          <w:bCs w:val="0"/>
          <w:color w:val="auto"/>
          <w:sz w:val="24"/>
          <w:szCs w:val="24"/>
          <w:highlight w:val="none"/>
          <w:lang w:val="en-US"/>
        </w:rPr>
      </w:pPr>
      <w:bookmarkStart w:id="30" w:name="_Toc76824061"/>
      <w:r>
        <w:rPr>
          <w:rFonts w:ascii="仿宋" w:eastAsia="仿宋"/>
          <w:b w:val="0"/>
          <w:bCs w:val="0"/>
          <w:color w:val="auto"/>
          <w:sz w:val="24"/>
          <w:szCs w:val="24"/>
          <w:highlight w:val="none"/>
          <w:lang w:val="en-US"/>
        </w:rPr>
        <w:t>项目联系人：</w:t>
      </w:r>
      <w:r>
        <w:rPr>
          <w:rFonts w:hint="eastAsia" w:ascii="仿宋" w:eastAsia="仿宋"/>
          <w:b w:val="0"/>
          <w:bCs w:val="0"/>
          <w:color w:val="auto"/>
          <w:sz w:val="24"/>
          <w:szCs w:val="24"/>
          <w:highlight w:val="none"/>
          <w:lang w:val="en-US"/>
        </w:rPr>
        <w:t>金佳霖</w:t>
      </w:r>
      <w:bookmarkEnd w:id="30"/>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w:t>
      </w:r>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xml:space="preserve"> 　　　　　　　　　　　</w:t>
      </w:r>
    </w:p>
    <w:p>
      <w:pPr>
        <w:pStyle w:val="4"/>
        <w:ind w:left="0" w:firstLine="480" w:firstLineChars="200"/>
        <w:rPr>
          <w:rFonts w:ascii="仿宋" w:eastAsia="仿宋"/>
          <w:b w:val="0"/>
          <w:bCs w:val="0"/>
          <w:color w:val="auto"/>
          <w:sz w:val="24"/>
          <w:szCs w:val="24"/>
          <w:highlight w:val="none"/>
          <w:lang w:val="en-US"/>
        </w:rPr>
      </w:pPr>
      <w:bookmarkStart w:id="31" w:name="_Toc76824062"/>
      <w:r>
        <w:rPr>
          <w:rFonts w:ascii="仿宋" w:eastAsia="仿宋"/>
          <w:b w:val="0"/>
          <w:bCs w:val="0"/>
          <w:color w:val="auto"/>
          <w:sz w:val="24"/>
          <w:szCs w:val="24"/>
          <w:highlight w:val="none"/>
          <w:lang w:val="en-US"/>
        </w:rPr>
        <w:t>项目联系方式：0571-86111691</w:t>
      </w:r>
      <w:bookmarkEnd w:id="31"/>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w:t>
      </w:r>
    </w:p>
    <w:p>
      <w:pPr>
        <w:pStyle w:val="4"/>
        <w:ind w:left="0" w:firstLine="480" w:firstLineChars="200"/>
        <w:rPr>
          <w:rFonts w:hint="default" w:ascii="仿宋" w:eastAsia="仿宋"/>
          <w:b w:val="0"/>
          <w:bCs w:val="0"/>
          <w:color w:val="auto"/>
          <w:sz w:val="24"/>
          <w:szCs w:val="24"/>
          <w:highlight w:val="none"/>
          <w:lang w:val="en-US" w:eastAsia="zh-CN"/>
        </w:rPr>
      </w:pPr>
      <w:bookmarkStart w:id="32" w:name="_Toc76824063"/>
      <w:r>
        <w:rPr>
          <w:rFonts w:ascii="仿宋" w:eastAsia="仿宋"/>
          <w:b w:val="0"/>
          <w:bCs w:val="0"/>
          <w:color w:val="auto"/>
          <w:sz w:val="24"/>
          <w:szCs w:val="24"/>
          <w:highlight w:val="none"/>
          <w:lang w:val="en-US"/>
        </w:rPr>
        <w:t>质疑联系人：</w:t>
      </w:r>
      <w:bookmarkEnd w:id="32"/>
      <w:r>
        <w:rPr>
          <w:rFonts w:hint="eastAsia" w:ascii="仿宋" w:eastAsia="仿宋"/>
          <w:b w:val="0"/>
          <w:bCs w:val="0"/>
          <w:color w:val="auto"/>
          <w:sz w:val="24"/>
          <w:szCs w:val="24"/>
          <w:highlight w:val="none"/>
          <w:lang w:val="en-US" w:eastAsia="zh-CN"/>
        </w:rPr>
        <w:t>秦沙金</w:t>
      </w:r>
    </w:p>
    <w:p>
      <w:pPr>
        <w:pStyle w:val="4"/>
        <w:ind w:left="0" w:firstLine="480" w:firstLineChars="200"/>
        <w:rPr>
          <w:rFonts w:ascii="仿宋" w:eastAsia="仿宋"/>
          <w:b w:val="0"/>
          <w:bCs w:val="0"/>
          <w:color w:val="auto"/>
          <w:sz w:val="24"/>
          <w:szCs w:val="24"/>
          <w:highlight w:val="none"/>
          <w:lang w:val="en-US"/>
        </w:rPr>
      </w:pPr>
      <w:bookmarkStart w:id="33" w:name="_Toc76824064"/>
      <w:r>
        <w:rPr>
          <w:rFonts w:ascii="仿宋" w:eastAsia="仿宋"/>
          <w:b w:val="0"/>
          <w:bCs w:val="0"/>
          <w:color w:val="auto"/>
          <w:sz w:val="24"/>
          <w:szCs w:val="24"/>
          <w:highlight w:val="none"/>
          <w:lang w:val="en-US"/>
        </w:rPr>
        <w:t>质疑联系方式：0571-86111691</w:t>
      </w:r>
      <w:bookmarkEnd w:id="33"/>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w:t>
      </w:r>
    </w:p>
    <w:p>
      <w:pPr>
        <w:widowControl/>
        <w:snapToGrid w:val="0"/>
        <w:spacing w:line="360" w:lineRule="auto"/>
        <w:jc w:val="left"/>
        <w:rPr>
          <w:rFonts w:ascii="仿宋" w:hAnsi="仿宋" w:eastAsia="仿宋"/>
          <w:color w:val="auto"/>
          <w:sz w:val="24"/>
          <w:highlight w:val="none"/>
        </w:rPr>
      </w:pPr>
      <w:r>
        <w:rPr>
          <w:rFonts w:ascii="Calibri" w:hAnsi="Calibri" w:eastAsia="仿宋" w:cs="Calibri"/>
          <w:color w:val="auto"/>
          <w:sz w:val="24"/>
          <w:highlight w:val="none"/>
        </w:rPr>
        <w:t> </w:t>
      </w:r>
      <w:r>
        <w:rPr>
          <w:rFonts w:hint="eastAsia" w:ascii="仿宋" w:hAnsi="仿宋" w:eastAsia="仿宋"/>
          <w:color w:val="auto"/>
          <w:sz w:val="24"/>
          <w:highlight w:val="none"/>
        </w:rPr>
        <w:t xml:space="preserve"> </w:t>
      </w:r>
      <w:r>
        <w:rPr>
          <w:rFonts w:ascii="仿宋" w:hAnsi="仿宋" w:eastAsia="仿宋"/>
          <w:color w:val="auto"/>
          <w:sz w:val="24"/>
          <w:highlight w:val="none"/>
        </w:rPr>
        <w:t xml:space="preserve"> 3.同级政府采购监督管理部门</w:t>
      </w:r>
    </w:p>
    <w:p>
      <w:pPr>
        <w:pStyle w:val="4"/>
        <w:ind w:left="0" w:firstLine="480" w:firstLineChars="200"/>
        <w:rPr>
          <w:rFonts w:ascii="仿宋" w:eastAsia="仿宋"/>
          <w:b w:val="0"/>
          <w:bCs w:val="0"/>
          <w:color w:val="auto"/>
          <w:sz w:val="24"/>
          <w:szCs w:val="24"/>
          <w:highlight w:val="none"/>
          <w:lang w:val="en-US"/>
        </w:rPr>
      </w:pPr>
      <w:bookmarkStart w:id="34" w:name="_Toc76824065"/>
      <w:r>
        <w:rPr>
          <w:rFonts w:ascii="仿宋" w:eastAsia="仿宋"/>
          <w:b w:val="0"/>
          <w:bCs w:val="0"/>
          <w:color w:val="auto"/>
          <w:sz w:val="24"/>
          <w:szCs w:val="24"/>
          <w:highlight w:val="none"/>
          <w:lang w:val="en-US"/>
        </w:rPr>
        <w:t>名称：杭州市余杭区财政局</w:t>
      </w:r>
      <w:bookmarkEnd w:id="34"/>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w:t>
      </w:r>
    </w:p>
    <w:p>
      <w:pPr>
        <w:pStyle w:val="4"/>
        <w:ind w:left="0" w:firstLine="480" w:firstLineChars="200"/>
        <w:rPr>
          <w:rFonts w:ascii="仿宋" w:eastAsia="仿宋"/>
          <w:b w:val="0"/>
          <w:bCs w:val="0"/>
          <w:color w:val="auto"/>
          <w:sz w:val="24"/>
          <w:szCs w:val="24"/>
          <w:highlight w:val="none"/>
          <w:lang w:val="en-US"/>
        </w:rPr>
      </w:pPr>
      <w:bookmarkStart w:id="35" w:name="_Toc76824066"/>
      <w:r>
        <w:rPr>
          <w:rFonts w:ascii="仿宋" w:eastAsia="仿宋"/>
          <w:b w:val="0"/>
          <w:bCs w:val="0"/>
          <w:color w:val="auto"/>
          <w:sz w:val="24"/>
          <w:szCs w:val="24"/>
          <w:highlight w:val="none"/>
          <w:lang w:val="en-US"/>
        </w:rPr>
        <w:t>地址：杭州市余杭区五常街道溪沁路8号中国电信浙江创新园1号楼</w:t>
      </w:r>
      <w:bookmarkEnd w:id="35"/>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w:t>
      </w:r>
    </w:p>
    <w:p>
      <w:pPr>
        <w:pStyle w:val="4"/>
        <w:ind w:left="0" w:firstLine="480" w:firstLineChars="200"/>
        <w:rPr>
          <w:rFonts w:ascii="仿宋" w:eastAsia="仿宋"/>
          <w:b w:val="0"/>
          <w:bCs w:val="0"/>
          <w:color w:val="auto"/>
          <w:sz w:val="24"/>
          <w:szCs w:val="24"/>
          <w:highlight w:val="none"/>
          <w:lang w:val="en-US"/>
        </w:rPr>
      </w:pPr>
      <w:bookmarkStart w:id="36" w:name="_Toc76824067"/>
      <w:r>
        <w:rPr>
          <w:rFonts w:ascii="仿宋" w:eastAsia="仿宋"/>
          <w:b w:val="0"/>
          <w:bCs w:val="0"/>
          <w:color w:val="auto"/>
          <w:sz w:val="24"/>
          <w:szCs w:val="24"/>
          <w:highlight w:val="none"/>
          <w:lang w:val="en-US"/>
        </w:rPr>
        <w:t>传真：</w:t>
      </w:r>
      <w:r>
        <w:rPr>
          <w:rFonts w:hint="eastAsia" w:ascii="仿宋" w:eastAsia="仿宋"/>
          <w:b w:val="0"/>
          <w:bCs w:val="0"/>
          <w:color w:val="auto"/>
          <w:sz w:val="24"/>
          <w:szCs w:val="24"/>
          <w:highlight w:val="none"/>
          <w:lang w:val="en-US"/>
        </w:rPr>
        <w:t>/</w:t>
      </w:r>
      <w:bookmarkEnd w:id="36"/>
      <w:r>
        <w:rPr>
          <w:rFonts w:ascii="仿宋" w:eastAsia="仿宋"/>
          <w:b w:val="0"/>
          <w:bCs w:val="0"/>
          <w:color w:val="auto"/>
          <w:sz w:val="24"/>
          <w:szCs w:val="24"/>
          <w:highlight w:val="none"/>
          <w:lang w:val="en-US"/>
        </w:rPr>
        <w:t>　</w:t>
      </w:r>
      <w:r>
        <w:rPr>
          <w:rFonts w:ascii="Calibri" w:hAnsi="Calibri" w:eastAsia="仿宋" w:cs="Calibri"/>
          <w:b w:val="0"/>
          <w:bCs w:val="0"/>
          <w:color w:val="auto"/>
          <w:sz w:val="24"/>
          <w:szCs w:val="24"/>
          <w:highlight w:val="none"/>
          <w:lang w:val="en-US"/>
        </w:rPr>
        <w:t> </w:t>
      </w:r>
      <w:r>
        <w:rPr>
          <w:rFonts w:ascii="仿宋" w:eastAsia="仿宋"/>
          <w:b w:val="0"/>
          <w:bCs w:val="0"/>
          <w:color w:val="auto"/>
          <w:sz w:val="24"/>
          <w:szCs w:val="24"/>
          <w:highlight w:val="none"/>
          <w:lang w:val="en-US"/>
        </w:rPr>
        <w:t xml:space="preserve"> </w:t>
      </w:r>
      <w:r>
        <w:rPr>
          <w:rFonts w:ascii="Calibri" w:hAnsi="Calibri" w:eastAsia="仿宋" w:cs="Calibri"/>
          <w:b w:val="0"/>
          <w:bCs w:val="0"/>
          <w:color w:val="auto"/>
          <w:sz w:val="24"/>
          <w:szCs w:val="24"/>
          <w:highlight w:val="none"/>
          <w:lang w:val="en-US"/>
        </w:rPr>
        <w:t> </w:t>
      </w:r>
    </w:p>
    <w:p>
      <w:pPr>
        <w:pStyle w:val="4"/>
        <w:ind w:left="0" w:firstLine="480" w:firstLineChars="200"/>
        <w:rPr>
          <w:rFonts w:ascii="仿宋" w:eastAsia="仿宋"/>
          <w:b w:val="0"/>
          <w:bCs w:val="0"/>
          <w:color w:val="auto"/>
          <w:sz w:val="24"/>
          <w:szCs w:val="24"/>
          <w:highlight w:val="none"/>
          <w:lang w:val="en-US"/>
        </w:rPr>
      </w:pPr>
      <w:bookmarkStart w:id="37" w:name="_Toc76824068"/>
      <w:r>
        <w:rPr>
          <w:rFonts w:ascii="仿宋" w:eastAsia="仿宋"/>
          <w:b w:val="0"/>
          <w:bCs w:val="0"/>
          <w:color w:val="auto"/>
          <w:sz w:val="24"/>
          <w:szCs w:val="24"/>
          <w:highlight w:val="none"/>
          <w:lang w:val="en-US"/>
        </w:rPr>
        <w:t>联系人 ：杜国强</w:t>
      </w:r>
      <w:bookmarkEnd w:id="37"/>
      <w:r>
        <w:rPr>
          <w:rFonts w:ascii="仿宋" w:eastAsia="仿宋"/>
          <w:b w:val="0"/>
          <w:bCs w:val="0"/>
          <w:color w:val="auto"/>
          <w:sz w:val="24"/>
          <w:szCs w:val="24"/>
          <w:highlight w:val="none"/>
          <w:lang w:val="en-US"/>
        </w:rPr>
        <w:t xml:space="preserve"> 　　　　　　　　　　　</w:t>
      </w:r>
    </w:p>
    <w:p>
      <w:pPr>
        <w:shd w:val="clear" w:color="auto" w:fill="FFFFFF"/>
        <w:snapToGrid w:val="0"/>
        <w:spacing w:line="360" w:lineRule="auto"/>
        <w:ind w:firstLine="480" w:firstLineChars="200"/>
        <w:textAlignment w:val="bottom"/>
        <w:rPr>
          <w:rFonts w:ascii="仿宋" w:hAnsi="仿宋" w:eastAsia="仿宋"/>
          <w:color w:val="auto"/>
          <w:sz w:val="24"/>
          <w:highlight w:val="none"/>
        </w:rPr>
      </w:pPr>
      <w:r>
        <w:rPr>
          <w:rFonts w:ascii="仿宋" w:hAnsi="仿宋" w:eastAsia="仿宋"/>
          <w:color w:val="auto"/>
          <w:sz w:val="24"/>
          <w:highlight w:val="none"/>
        </w:rPr>
        <w:t>监督投诉电话：0571-88728858</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若对项目采购电子交易系统操作有疑问，可登录政采云（</w:t>
      </w:r>
      <w:r>
        <w:rPr>
          <w:rFonts w:ascii="仿宋" w:hAnsi="仿宋" w:eastAsia="仿宋"/>
          <w:color w:val="auto"/>
          <w:sz w:val="24"/>
          <w:highlight w:val="none"/>
        </w:rPr>
        <w:t>https://www.zcygov.cn/），点击右侧咨询小采，获取采小蜜智能服务管家帮助，或拨打政</w:t>
      </w:r>
      <w:r>
        <w:rPr>
          <w:rFonts w:hint="eastAsia" w:ascii="仿宋" w:hAnsi="仿宋" w:eastAsia="仿宋"/>
          <w:color w:val="auto"/>
          <w:sz w:val="24"/>
          <w:highlight w:val="none"/>
        </w:rPr>
        <w:t>采云服务热线</w:t>
      </w:r>
      <w:r>
        <w:rPr>
          <w:rFonts w:ascii="仿宋" w:hAnsi="仿宋" w:eastAsia="仿宋"/>
          <w:color w:val="auto"/>
          <w:sz w:val="24"/>
          <w:highlight w:val="none"/>
        </w:rPr>
        <w:t>400-881-7190获取热线服务帮助。</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CA问题联系电话（人工）：</w:t>
      </w:r>
      <w:r>
        <w:rPr>
          <w:rFonts w:hint="eastAsia" w:ascii="仿宋" w:hAnsi="仿宋" w:eastAsia="仿宋"/>
          <w:color w:val="auto"/>
          <w:sz w:val="24"/>
          <w:highlight w:val="none"/>
        </w:rPr>
        <w:t>汇信</w:t>
      </w:r>
      <w:r>
        <w:rPr>
          <w:rFonts w:ascii="仿宋" w:hAnsi="仿宋" w:eastAsia="仿宋"/>
          <w:color w:val="auto"/>
          <w:sz w:val="24"/>
          <w:highlight w:val="none"/>
        </w:rPr>
        <w:t>CA 400-888-4636；天谷CA 400-087-8198。</w:t>
      </w:r>
    </w:p>
    <w:p>
      <w:pPr>
        <w:pStyle w:val="18"/>
        <w:snapToGrid w:val="0"/>
        <w:spacing w:line="360" w:lineRule="auto"/>
        <w:ind w:left="1680" w:firstLine="480"/>
        <w:rPr>
          <w:rFonts w:ascii="仿宋" w:hAnsi="仿宋" w:eastAsia="仿宋" w:cs="仿宋_GB2312"/>
          <w:color w:val="auto"/>
          <w:sz w:val="24"/>
          <w:highlight w:val="none"/>
        </w:rPr>
      </w:pPr>
      <w:r>
        <w:rPr>
          <w:rFonts w:ascii="仿宋" w:hAnsi="仿宋" w:eastAsia="仿宋" w:cs="仿宋_GB2312"/>
          <w:color w:val="auto"/>
          <w:sz w:val="24"/>
          <w:highlight w:val="none"/>
        </w:rPr>
        <w:t xml:space="preserve">               </w:t>
      </w:r>
    </w:p>
    <w:p>
      <w:pPr>
        <w:pStyle w:val="18"/>
        <w:snapToGrid w:val="0"/>
        <w:spacing w:line="360" w:lineRule="auto"/>
        <w:ind w:left="1680" w:firstLine="480"/>
        <w:rPr>
          <w:rFonts w:ascii="仿宋" w:hAnsi="仿宋" w:eastAsia="仿宋" w:cs="仿宋_GB2312"/>
          <w:color w:val="auto"/>
          <w:sz w:val="24"/>
          <w:highlight w:val="none"/>
        </w:rPr>
      </w:pPr>
    </w:p>
    <w:p>
      <w:pPr>
        <w:pStyle w:val="18"/>
        <w:snapToGrid w:val="0"/>
        <w:spacing w:line="360" w:lineRule="auto"/>
        <w:ind w:left="1680" w:firstLine="480"/>
        <w:rPr>
          <w:rFonts w:ascii="仿宋" w:hAnsi="仿宋" w:eastAsia="仿宋" w:cs="仿宋_GB2312"/>
          <w:color w:val="auto"/>
          <w:sz w:val="24"/>
          <w:highlight w:val="none"/>
        </w:rPr>
      </w:pPr>
    </w:p>
    <w:p>
      <w:pPr>
        <w:rPr>
          <w:rFonts w:ascii="仿宋" w:hAnsi="仿宋" w:eastAsia="仿宋"/>
          <w:color w:val="auto"/>
          <w:highlight w:val="none"/>
        </w:rPr>
      </w:pPr>
    </w:p>
    <w:p>
      <w:pPr>
        <w:pStyle w:val="18"/>
        <w:snapToGrid w:val="0"/>
        <w:spacing w:line="360" w:lineRule="auto"/>
        <w:ind w:left="0" w:leftChars="0" w:firstLine="0" w:firstLineChars="0"/>
        <w:rPr>
          <w:rFonts w:ascii="仿宋" w:hAnsi="仿宋" w:eastAsia="仿宋" w:cs="仿宋_GB2312"/>
          <w:color w:val="auto"/>
          <w:sz w:val="24"/>
          <w:highlight w:val="none"/>
        </w:rPr>
      </w:pPr>
    </w:p>
    <w:p>
      <w:pPr>
        <w:pStyle w:val="18"/>
        <w:snapToGrid w:val="0"/>
        <w:spacing w:line="360" w:lineRule="auto"/>
        <w:ind w:left="1681" w:leftChars="0" w:hanging="1681" w:hangingChars="465"/>
        <w:jc w:val="center"/>
        <w:outlineLvl w:val="0"/>
        <w:rPr>
          <w:rFonts w:ascii="仿宋" w:hAnsi="仿宋" w:eastAsia="仿宋" w:cs="仿宋_GB2312"/>
          <w:b/>
          <w:color w:val="auto"/>
          <w:sz w:val="36"/>
          <w:szCs w:val="20"/>
          <w:highlight w:val="none"/>
        </w:rPr>
      </w:pPr>
      <w:bookmarkStart w:id="38" w:name="_Toc2114107050"/>
      <w:bookmarkStart w:id="39" w:name="_Toc95312934"/>
      <w:bookmarkStart w:id="40" w:name="_Toc2935"/>
      <w:bookmarkStart w:id="41" w:name="_Toc528230691"/>
      <w:bookmarkStart w:id="42" w:name="_Toc27720"/>
      <w:r>
        <w:rPr>
          <w:rFonts w:hint="eastAsia" w:ascii="仿宋" w:hAnsi="仿宋" w:eastAsia="仿宋" w:cs="仿宋_GB2312"/>
          <w:b/>
          <w:color w:val="auto"/>
          <w:sz w:val="36"/>
          <w:szCs w:val="20"/>
          <w:highlight w:val="none"/>
        </w:rPr>
        <w:t>第二部分</w:t>
      </w:r>
      <w:bookmarkEnd w:id="5"/>
      <w:r>
        <w:rPr>
          <w:rFonts w:ascii="仿宋" w:hAnsi="仿宋" w:eastAsia="仿宋" w:cs="仿宋_GB2312"/>
          <w:b/>
          <w:color w:val="auto"/>
          <w:sz w:val="36"/>
          <w:szCs w:val="20"/>
          <w:highlight w:val="none"/>
        </w:rPr>
        <w:t xml:space="preserve"> </w:t>
      </w:r>
      <w:r>
        <w:rPr>
          <w:rFonts w:hint="eastAsia" w:ascii="仿宋" w:hAnsi="仿宋" w:eastAsia="仿宋" w:cs="仿宋_GB2312"/>
          <w:b/>
          <w:color w:val="auto"/>
          <w:sz w:val="36"/>
          <w:szCs w:val="20"/>
          <w:highlight w:val="none"/>
        </w:rPr>
        <w:t>投标人</w:t>
      </w:r>
      <w:r>
        <w:rPr>
          <w:rFonts w:ascii="仿宋" w:hAnsi="仿宋" w:eastAsia="仿宋" w:cs="仿宋_GB2312"/>
          <w:b/>
          <w:color w:val="auto"/>
          <w:sz w:val="36"/>
          <w:szCs w:val="20"/>
          <w:highlight w:val="none"/>
        </w:rPr>
        <w:t>须知</w:t>
      </w:r>
      <w:bookmarkEnd w:id="6"/>
      <w:bookmarkEnd w:id="38"/>
      <w:bookmarkEnd w:id="39"/>
      <w:bookmarkEnd w:id="40"/>
      <w:bookmarkEnd w:id="41"/>
      <w:bookmarkEnd w:id="42"/>
    </w:p>
    <w:p>
      <w:pPr>
        <w:snapToGrid w:val="0"/>
        <w:spacing w:line="360" w:lineRule="auto"/>
        <w:jc w:val="center"/>
        <w:outlineLvl w:val="1"/>
        <w:rPr>
          <w:rFonts w:ascii="仿宋" w:hAnsi="仿宋" w:eastAsia="仿宋" w:cs="仿宋_GB2312"/>
          <w:b/>
          <w:color w:val="auto"/>
          <w:sz w:val="32"/>
          <w:szCs w:val="20"/>
          <w:highlight w:val="none"/>
        </w:rPr>
      </w:pPr>
      <w:bookmarkStart w:id="43" w:name="_Toc275826939"/>
      <w:bookmarkStart w:id="44" w:name="_Toc95312935"/>
      <w:bookmarkStart w:id="45" w:name="_Toc26268"/>
      <w:bookmarkStart w:id="46" w:name="_Toc1680249735"/>
      <w:bookmarkStart w:id="47" w:name="_Toc12938"/>
      <w:r>
        <w:rPr>
          <w:rFonts w:hint="eastAsia" w:ascii="仿宋" w:hAnsi="仿宋" w:eastAsia="仿宋" w:cs="仿宋_GB2312"/>
          <w:b/>
          <w:color w:val="auto"/>
          <w:sz w:val="32"/>
          <w:szCs w:val="20"/>
          <w:highlight w:val="none"/>
        </w:rPr>
        <w:t>前附表</w:t>
      </w:r>
      <w:bookmarkEnd w:id="43"/>
      <w:bookmarkEnd w:id="44"/>
      <w:bookmarkEnd w:id="45"/>
      <w:bookmarkEnd w:id="46"/>
      <w:bookmarkEnd w:id="47"/>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68"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outlineLvl w:val="1"/>
              <w:rPr>
                <w:rFonts w:ascii="仿宋" w:hAnsi="仿宋" w:eastAsia="仿宋" w:cs="仿宋"/>
                <w:b/>
                <w:bCs/>
                <w:color w:val="auto"/>
                <w:sz w:val="24"/>
                <w:highlight w:val="none"/>
              </w:rPr>
            </w:pPr>
            <w:bookmarkStart w:id="48" w:name="_Toc1553653547"/>
            <w:bookmarkStart w:id="49" w:name="_Toc547338095"/>
            <w:bookmarkStart w:id="50" w:name="_Toc18461"/>
            <w:bookmarkStart w:id="51" w:name="_Toc31188"/>
            <w:bookmarkStart w:id="52" w:name="_Toc31589"/>
            <w:bookmarkStart w:id="53" w:name="_Toc95312936"/>
            <w:r>
              <w:rPr>
                <w:rFonts w:hint="eastAsia" w:ascii="仿宋" w:hAnsi="仿宋" w:eastAsia="仿宋" w:cs="仿宋"/>
                <w:b/>
                <w:bCs/>
                <w:color w:val="auto"/>
                <w:sz w:val="24"/>
                <w:highlight w:val="none"/>
              </w:rPr>
              <w:t>本次报价方式为总价包干，报价须包含按采购文件要求完成本项目所需的所有费用</w:t>
            </w:r>
            <w:r>
              <w:rPr>
                <w:rFonts w:ascii="仿宋" w:hAnsi="仿宋" w:eastAsia="仿宋" w:cs="仿宋"/>
                <w:b/>
                <w:bCs/>
                <w:color w:val="auto"/>
                <w:sz w:val="24"/>
                <w:highlight w:val="none"/>
              </w:rPr>
              <w:t>(</w:t>
            </w:r>
            <w:r>
              <w:rPr>
                <w:rFonts w:hint="eastAsia" w:ascii="仿宋" w:hAnsi="仿宋" w:eastAsia="仿宋" w:cs="仿宋"/>
                <w:b/>
                <w:bCs/>
                <w:color w:val="auto"/>
                <w:sz w:val="24"/>
                <w:highlight w:val="none"/>
              </w:rPr>
              <w:t>包括余杭区市民之家大厅、食堂家具的采购、运输、安装、调试、培训和相关维护等，一切费用均计入报价。对于保障本项目完整顺利实施的必须项，如上述未包含，供应商需自行测算及预估，且费用均已包含在报价中</w:t>
            </w:r>
            <w:r>
              <w:rPr>
                <w:rFonts w:ascii="仿宋" w:hAnsi="仿宋" w:eastAsia="仿宋" w:cs="仿宋"/>
                <w:b/>
                <w:bCs/>
                <w:color w:val="auto"/>
                <w:sz w:val="24"/>
                <w:highlight w:val="none"/>
              </w:rPr>
              <w:t>)。</w:t>
            </w:r>
            <w:bookmarkEnd w:id="48"/>
            <w:bookmarkEnd w:id="49"/>
            <w:bookmarkEnd w:id="50"/>
            <w:bookmarkEnd w:id="51"/>
            <w:bookmarkEnd w:id="52"/>
            <w:bookmarkEnd w:id="53"/>
          </w:p>
          <w:p>
            <w:pPr>
              <w:snapToGrid w:val="0"/>
              <w:spacing w:line="360" w:lineRule="auto"/>
              <w:jc w:val="left"/>
              <w:rPr>
                <w:rFonts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投标报价出现下列情形的，投标无效：</w:t>
            </w:r>
          </w:p>
          <w:p>
            <w:pPr>
              <w:numPr>
                <w:ilvl w:val="0"/>
                <w:numId w:val="2"/>
              </w:numPr>
              <w:snapToGrid w:val="0"/>
              <w:spacing w:line="360" w:lineRule="auto"/>
              <w:ind w:left="0"/>
              <w:jc w:val="left"/>
              <w:rPr>
                <w:rFonts w:ascii="仿宋" w:hAnsi="仿宋" w:eastAsia="仿宋" w:cs="仿宋_GB2312"/>
                <w:b/>
                <w:color w:val="auto"/>
                <w:kern w:val="0"/>
                <w:sz w:val="24"/>
                <w:highlight w:val="none"/>
                <w:lang w:val="zh-CN"/>
              </w:rPr>
            </w:pPr>
            <w:r>
              <w:rPr>
                <w:rFonts w:hint="eastAsia" w:ascii="仿宋" w:hAnsi="仿宋" w:eastAsia="仿宋" w:cs="仿宋_GB2312"/>
                <w:b/>
                <w:color w:val="auto"/>
                <w:kern w:val="0"/>
                <w:sz w:val="24"/>
                <w:highlight w:val="none"/>
                <w:lang w:val="zh-CN"/>
              </w:rPr>
              <w:t>投标文件出现不是唯一的、有选择性投标报价的；</w:t>
            </w:r>
          </w:p>
          <w:p>
            <w:pPr>
              <w:numPr>
                <w:ilvl w:val="0"/>
                <w:numId w:val="2"/>
              </w:numPr>
              <w:snapToGrid w:val="0"/>
              <w:spacing w:line="360" w:lineRule="auto"/>
              <w:ind w:left="0"/>
              <w:jc w:val="left"/>
              <w:rPr>
                <w:rFonts w:ascii="仿宋" w:hAnsi="仿宋" w:eastAsia="仿宋"/>
                <w:b/>
                <w:color w:val="auto"/>
                <w:kern w:val="0"/>
                <w:sz w:val="24"/>
                <w:highlight w:val="none"/>
                <w:lang w:val="zh-CN"/>
              </w:rPr>
            </w:pPr>
            <w:r>
              <w:rPr>
                <w:rFonts w:hint="eastAsia" w:ascii="仿宋" w:hAnsi="仿宋" w:eastAsia="仿宋" w:cs="仿宋_GB2312"/>
                <w:b/>
                <w:color w:val="auto"/>
                <w:kern w:val="0"/>
                <w:sz w:val="24"/>
                <w:highlight w:val="none"/>
                <w:lang w:val="zh-CN"/>
              </w:rPr>
              <w:t>投标报价超过采购文件中规定的预算金额或者最高限价的</w:t>
            </w:r>
            <w:r>
              <w:rPr>
                <w:rFonts w:ascii="仿宋" w:hAnsi="仿宋" w:eastAsia="仿宋"/>
                <w:b/>
                <w:color w:val="auto"/>
                <w:kern w:val="0"/>
                <w:sz w:val="24"/>
                <w:highlight w:val="none"/>
                <w:lang w:val="zh-CN"/>
              </w:rPr>
              <w:t>;</w:t>
            </w:r>
          </w:p>
          <w:p>
            <w:pPr>
              <w:numPr>
                <w:ilvl w:val="0"/>
                <w:numId w:val="2"/>
              </w:numPr>
              <w:snapToGrid w:val="0"/>
              <w:spacing w:line="360" w:lineRule="auto"/>
              <w:ind w:left="0"/>
              <w:rPr>
                <w:rFonts w:ascii="仿宋" w:hAnsi="仿宋" w:eastAsia="仿宋" w:cs="仿宋_GB2312"/>
                <w:b/>
                <w:color w:val="auto"/>
                <w:sz w:val="24"/>
                <w:highlight w:val="none"/>
              </w:rPr>
            </w:pPr>
            <w:r>
              <w:rPr>
                <w:rFonts w:hint="eastAsia" w:ascii="仿宋" w:hAnsi="仿宋" w:eastAsia="仿宋" w:cs="Arial"/>
                <w:b/>
                <w:color w:val="auto"/>
                <w:kern w:val="0"/>
                <w:sz w:val="24"/>
                <w:highlight w:val="none"/>
              </w:rPr>
              <w:t>报价明显低于其他通过符合性审查供应商的报价，有可能影响产品质量或者不能诚信履约的，未能按要求提供书面说明或者提交相关证明材料证明其报价合理性的</w:t>
            </w:r>
            <w:r>
              <w:rPr>
                <w:rFonts w:ascii="仿宋" w:hAnsi="仿宋" w:eastAsia="仿宋" w:cs="仿宋_GB2312"/>
                <w:b/>
                <w:color w:val="auto"/>
                <w:sz w:val="24"/>
                <w:szCs w:val="21"/>
                <w:highlight w:val="none"/>
              </w:rPr>
              <w:t>;</w:t>
            </w:r>
          </w:p>
          <w:p>
            <w:pPr>
              <w:numPr>
                <w:ilvl w:val="0"/>
                <w:numId w:val="2"/>
              </w:numPr>
              <w:snapToGrid w:val="0"/>
              <w:spacing w:line="360" w:lineRule="auto"/>
              <w:ind w:left="0"/>
              <w:rPr>
                <w:rFonts w:ascii="仿宋" w:hAnsi="仿宋" w:eastAsia="仿宋"/>
                <w:color w:val="auto"/>
                <w:sz w:val="24"/>
                <w:highlight w:val="none"/>
              </w:rPr>
            </w:pPr>
            <w:r>
              <w:rPr>
                <w:rFonts w:hint="eastAsia" w:ascii="仿宋" w:hAnsi="仿宋" w:eastAsia="仿宋" w:cs="Arial"/>
                <w:b/>
                <w:color w:val="auto"/>
                <w:kern w:val="0"/>
                <w:sz w:val="24"/>
                <w:highlight w:val="none"/>
              </w:rPr>
              <w:t>供应商对根据修正原则修正后的报价不确认的</w:t>
            </w:r>
            <w:r>
              <w:rPr>
                <w:rFonts w:hint="eastAsia" w:ascii="仿宋" w:hAnsi="仿宋" w:eastAsia="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67"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2</w:t>
            </w:r>
          </w:p>
        </w:tc>
        <w:tc>
          <w:tcPr>
            <w:tcW w:w="1843" w:type="dxa"/>
            <w:tcBorders>
              <w:top w:val="single" w:color="000000" w:sz="8" w:space="0"/>
              <w:left w:val="single" w:color="auto" w:sz="4"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供应商应当提供的资格证明文件</w:t>
            </w:r>
          </w:p>
        </w:tc>
        <w:tc>
          <w:tcPr>
            <w:tcW w:w="6095" w:type="dxa"/>
            <w:tcBorders>
              <w:top w:val="single" w:color="000000" w:sz="8" w:space="0"/>
              <w:left w:val="single" w:color="000000" w:sz="2" w:space="0"/>
              <w:right w:val="single" w:color="000000" w:sz="8" w:space="0"/>
            </w:tcBorders>
            <w:vAlign w:val="center"/>
          </w:tcPr>
          <w:p>
            <w:pPr>
              <w:snapToGrid w:val="0"/>
              <w:spacing w:line="360" w:lineRule="auto"/>
              <w:rPr>
                <w:rFonts w:ascii="仿宋" w:hAnsi="仿宋" w:eastAsia="仿宋"/>
                <w:color w:val="auto"/>
                <w:sz w:val="24"/>
                <w:highlight w:val="none"/>
              </w:rPr>
            </w:pPr>
            <w:r>
              <w:rPr>
                <w:rFonts w:ascii="仿宋" w:hAnsi="仿宋" w:eastAsia="仿宋"/>
                <w:color w:val="auto"/>
                <w:sz w:val="24"/>
                <w:highlight w:val="none"/>
              </w:rPr>
              <w:t>资格证明文件：见采购文件第二部分11.1。</w:t>
            </w:r>
          </w:p>
          <w:p>
            <w:pPr>
              <w:snapToGrid w:val="0"/>
              <w:spacing w:line="360" w:lineRule="auto"/>
              <w:rPr>
                <w:rFonts w:ascii="仿宋" w:hAnsi="仿宋" w:eastAsia="仿宋" w:cs="Arial"/>
                <w:snapToGrid w:val="0"/>
                <w:color w:val="auto"/>
                <w:kern w:val="0"/>
                <w:szCs w:val="21"/>
                <w:highlight w:val="none"/>
              </w:rPr>
            </w:pPr>
            <w:r>
              <w:rPr>
                <w:rFonts w:hint="eastAsia" w:ascii="仿宋" w:hAnsi="仿宋" w:eastAsia="仿宋"/>
                <w:color w:val="auto"/>
                <w:kern w:val="0"/>
                <w:sz w:val="24"/>
                <w:highlight w:val="none"/>
                <w:lang w:val="zh-CN"/>
              </w:rPr>
              <w:t>供应商未提供有效的资格证明文件的，视为供应商不具备采购文件中规定的资格要求，投标无效。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olor w:val="auto"/>
                <w:sz w:val="24"/>
                <w:highlight w:val="none"/>
              </w:rPr>
            </w:pPr>
            <w:r>
              <w:rPr>
                <w:rFonts w:hint="eastAsia" w:ascii="仿宋" w:hAnsi="仿宋" w:eastAsia="仿宋" w:cs="Arial"/>
                <w:color w:val="auto"/>
                <w:kern w:val="0"/>
                <w:sz w:val="24"/>
                <w:highlight w:val="none"/>
              </w:rPr>
              <w:sym w:font="Wingdings" w:char="F0FE"/>
            </w:r>
            <w:r>
              <w:rPr>
                <w:rFonts w:ascii="仿宋" w:hAnsi="仿宋" w:eastAsia="仿宋" w:cs="Arial"/>
                <w:color w:val="auto"/>
                <w:kern w:val="0"/>
                <w:sz w:val="24"/>
                <w:highlight w:val="none"/>
              </w:rPr>
              <w:t>A</w:t>
            </w:r>
            <w:r>
              <w:rPr>
                <w:rFonts w:hint="eastAsia" w:ascii="仿宋" w:hAnsi="仿宋" w:eastAsia="仿宋"/>
                <w:color w:val="auto"/>
                <w:sz w:val="24"/>
                <w:highlight w:val="none"/>
              </w:rPr>
              <w:t>不组织。</w:t>
            </w:r>
          </w:p>
          <w:p>
            <w:pPr>
              <w:snapToGrid w:val="0"/>
              <w:spacing w:line="360" w:lineRule="auto"/>
              <w:rPr>
                <w:rFonts w:ascii="仿宋" w:hAnsi="仿宋" w:eastAsia="仿宋"/>
                <w:color w:val="auto"/>
                <w:sz w:val="24"/>
                <w:szCs w:val="20"/>
                <w:highlight w:val="none"/>
              </w:rPr>
            </w:pPr>
            <w:r>
              <w:rPr>
                <w:rFonts w:ascii="Segoe UI Symbol" w:hAnsi="Segoe UI Symbol" w:eastAsia="仿宋" w:cs="Segoe UI Symbol"/>
                <w:color w:val="auto"/>
                <w:kern w:val="0"/>
                <w:sz w:val="24"/>
                <w:highlight w:val="none"/>
              </w:rPr>
              <w:t>☐</w:t>
            </w:r>
            <w:r>
              <w:rPr>
                <w:rFonts w:ascii="仿宋" w:hAnsi="仿宋" w:eastAsia="仿宋"/>
                <w:color w:val="auto"/>
                <w:kern w:val="0"/>
                <w:sz w:val="24"/>
                <w:highlight w:val="none"/>
              </w:rPr>
              <w:t>B组织，</w:t>
            </w:r>
            <w:r>
              <w:rPr>
                <w:rFonts w:hint="eastAsia" w:ascii="仿宋" w:hAnsi="仿宋" w:eastAsia="仿宋"/>
                <w:color w:val="auto"/>
                <w:sz w:val="24"/>
                <w:highlight w:val="none"/>
              </w:rPr>
              <w:t>时间：</w:t>
            </w:r>
            <w:r>
              <w:rPr>
                <w:rFonts w:ascii="仿宋" w:hAnsi="仿宋" w:eastAsia="仿宋"/>
                <w:color w:val="auto"/>
                <w:sz w:val="24"/>
                <w:highlight w:val="none"/>
                <w:u w:val="single"/>
              </w:rPr>
              <w:t xml:space="preserve">      </w:t>
            </w:r>
            <w:r>
              <w:rPr>
                <w:rFonts w:ascii="仿宋" w:hAnsi="仿宋" w:eastAsia="仿宋"/>
                <w:color w:val="auto"/>
                <w:sz w:val="24"/>
                <w:highlight w:val="none"/>
              </w:rPr>
              <w:t>,地点：</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，联系人：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，联系方式：</w:t>
            </w:r>
            <w:r>
              <w:rPr>
                <w:rFonts w:ascii="仿宋" w:hAnsi="仿宋" w:eastAsia="仿宋"/>
                <w:color w:val="auto"/>
                <w:sz w:val="24"/>
                <w:highlight w:val="none"/>
                <w:u w:val="single"/>
              </w:rPr>
              <w:t xml:space="preserve">      </w:t>
            </w:r>
            <w:r>
              <w:rPr>
                <w:rFonts w:hint="eastAsia" w:ascii="仿宋" w:hAnsi="仿宋" w:eastAsia="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olor w:val="auto"/>
                <w:sz w:val="24"/>
                <w:highlight w:val="none"/>
              </w:rPr>
            </w:pPr>
            <w:r>
              <w:rPr>
                <w:rFonts w:ascii="Segoe UI Symbol" w:hAnsi="Segoe UI Symbol" w:eastAsia="仿宋" w:cs="Segoe UI Symbol"/>
                <w:color w:val="auto"/>
                <w:kern w:val="0"/>
                <w:sz w:val="24"/>
                <w:highlight w:val="none"/>
              </w:rPr>
              <w:t>☐</w:t>
            </w:r>
            <w:r>
              <w:rPr>
                <w:rFonts w:ascii="仿宋" w:hAnsi="仿宋" w:eastAsia="仿宋" w:cs="Arial"/>
                <w:color w:val="auto"/>
                <w:kern w:val="0"/>
                <w:sz w:val="24"/>
                <w:highlight w:val="none"/>
              </w:rPr>
              <w:t>A</w:t>
            </w:r>
            <w:r>
              <w:rPr>
                <w:rFonts w:hint="eastAsia" w:ascii="仿宋" w:hAnsi="仿宋" w:eastAsia="仿宋"/>
                <w:color w:val="auto"/>
                <w:sz w:val="24"/>
                <w:highlight w:val="none"/>
              </w:rPr>
              <w:t>不要求提供。</w:t>
            </w:r>
          </w:p>
          <w:p>
            <w:pPr>
              <w:snapToGrid w:val="0"/>
              <w:spacing w:line="360" w:lineRule="auto"/>
              <w:rPr>
                <w:rFonts w:ascii="仿宋" w:hAnsi="仿宋" w:eastAsia="仿宋"/>
                <w:color w:val="auto"/>
                <w:kern w:val="0"/>
                <w:sz w:val="24"/>
                <w:highlight w:val="none"/>
              </w:rPr>
            </w:pPr>
            <w:r>
              <w:rPr>
                <w:rFonts w:hint="eastAsia" w:ascii="仿宋" w:hAnsi="仿宋" w:eastAsia="仿宋" w:cs="Arial"/>
                <w:color w:val="auto"/>
                <w:kern w:val="0"/>
                <w:sz w:val="24"/>
                <w:highlight w:val="none"/>
              </w:rPr>
              <w:sym w:font="Wingdings" w:char="F0FE"/>
            </w:r>
            <w:r>
              <w:rPr>
                <w:rFonts w:ascii="仿宋" w:hAnsi="仿宋" w:eastAsia="仿宋"/>
                <w:color w:val="auto"/>
                <w:kern w:val="0"/>
                <w:sz w:val="24"/>
                <w:highlight w:val="none"/>
              </w:rPr>
              <w:t>B</w:t>
            </w:r>
            <w:r>
              <w:rPr>
                <w:rFonts w:hint="eastAsia" w:ascii="仿宋" w:hAnsi="仿宋" w:eastAsia="仿宋"/>
                <w:color w:val="auto"/>
                <w:kern w:val="0"/>
                <w:sz w:val="24"/>
                <w:highlight w:val="none"/>
              </w:rPr>
              <w:t>要求提供，</w:t>
            </w:r>
          </w:p>
          <w:p>
            <w:pPr>
              <w:pStyle w:val="2"/>
              <w:rPr>
                <w:rFonts w:ascii="仿宋" w:hAnsi="仿宋" w:eastAsia="仿宋" w:cs="仿宋"/>
                <w:b/>
                <w:bCs/>
                <w:color w:val="auto"/>
                <w:szCs w:val="24"/>
                <w:highlight w:val="none"/>
                <w:u w:val="single"/>
              </w:rPr>
            </w:pPr>
            <w:r>
              <w:rPr>
                <w:rFonts w:hint="eastAsia" w:ascii="仿宋" w:hAnsi="仿宋" w:eastAsia="仿宋"/>
                <w:color w:val="auto"/>
                <w:kern w:val="28"/>
                <w:highlight w:val="none"/>
              </w:rPr>
              <w:t>样品</w:t>
            </w:r>
            <w:r>
              <w:rPr>
                <w:rFonts w:hint="eastAsia" w:ascii="仿宋" w:hAnsi="仿宋" w:eastAsia="仿宋"/>
                <w:b/>
                <w:bCs/>
                <w:color w:val="auto"/>
                <w:kern w:val="28"/>
                <w:highlight w:val="none"/>
              </w:rPr>
              <w:t>：</w:t>
            </w:r>
            <w:r>
              <w:rPr>
                <w:rFonts w:hint="eastAsia" w:ascii="仿宋" w:hAnsi="仿宋" w:eastAsia="仿宋"/>
                <w:color w:val="auto"/>
                <w:highlight w:val="none"/>
                <w:u w:val="single"/>
              </w:rPr>
              <w:t>详见评标办法</w:t>
            </w:r>
            <w:r>
              <w:rPr>
                <w:rFonts w:hint="eastAsia" w:ascii="仿宋" w:hAnsi="仿宋" w:eastAsia="仿宋"/>
                <w:b/>
                <w:bCs/>
                <w:color w:val="auto"/>
                <w:kern w:val="28"/>
                <w:highlight w:val="none"/>
                <w:u w:val="single"/>
              </w:rPr>
              <w:t>；</w:t>
            </w:r>
          </w:p>
          <w:p>
            <w:pPr>
              <w:numPr>
                <w:ilvl w:val="0"/>
                <w:numId w:val="3"/>
              </w:numPr>
              <w:snapToGrid w:val="0"/>
              <w:spacing w:line="360" w:lineRule="auto"/>
              <w:ind w:left="0"/>
              <w:rPr>
                <w:rFonts w:ascii="仿宋" w:hAnsi="仿宋" w:eastAsia="仿宋"/>
                <w:color w:val="auto"/>
                <w:kern w:val="0"/>
                <w:sz w:val="24"/>
                <w:highlight w:val="none"/>
              </w:rPr>
            </w:pPr>
            <w:r>
              <w:rPr>
                <w:rFonts w:hint="eastAsia" w:ascii="仿宋" w:hAnsi="仿宋" w:eastAsia="仿宋"/>
                <w:snapToGrid w:val="0"/>
                <w:color w:val="auto"/>
                <w:kern w:val="28"/>
                <w:sz w:val="24"/>
                <w:highlight w:val="none"/>
              </w:rPr>
              <w:t>样品制作的标准和要求：</w:t>
            </w:r>
            <w:r>
              <w:rPr>
                <w:rFonts w:hint="eastAsia" w:ascii="仿宋" w:hAnsi="仿宋" w:eastAsia="仿宋"/>
                <w:color w:val="auto"/>
                <w:sz w:val="24"/>
                <w:highlight w:val="none"/>
                <w:u w:val="single"/>
              </w:rPr>
              <w:t>按采购文件第三部分《采购需求》及评标办法</w:t>
            </w:r>
            <w:r>
              <w:rPr>
                <w:rFonts w:hint="eastAsia" w:ascii="仿宋" w:hAnsi="仿宋" w:eastAsia="仿宋"/>
                <w:color w:val="auto"/>
                <w:kern w:val="0"/>
                <w:sz w:val="24"/>
                <w:highlight w:val="none"/>
              </w:rPr>
              <w:t>；</w:t>
            </w:r>
          </w:p>
          <w:p>
            <w:pPr>
              <w:numPr>
                <w:ilvl w:val="0"/>
                <w:numId w:val="3"/>
              </w:numPr>
              <w:snapToGrid w:val="0"/>
              <w:spacing w:line="360" w:lineRule="auto"/>
              <w:ind w:left="0"/>
              <w:rPr>
                <w:rFonts w:ascii="仿宋" w:hAnsi="仿宋" w:eastAsia="仿宋"/>
                <w:color w:val="auto"/>
                <w:kern w:val="0"/>
                <w:sz w:val="24"/>
                <w:highlight w:val="none"/>
              </w:rPr>
            </w:pPr>
            <w:r>
              <w:rPr>
                <w:rFonts w:ascii="仿宋" w:hAnsi="仿宋" w:eastAsia="仿宋"/>
                <w:color w:val="auto"/>
                <w:kern w:val="0"/>
                <w:sz w:val="24"/>
                <w:highlight w:val="none"/>
              </w:rPr>
              <w:t>样品的评审方法以及评审标准</w:t>
            </w:r>
            <w:r>
              <w:rPr>
                <w:rFonts w:hint="eastAsia" w:ascii="仿宋" w:hAnsi="仿宋" w:eastAsia="仿宋"/>
                <w:snapToGrid w:val="0"/>
                <w:color w:val="auto"/>
                <w:kern w:val="28"/>
                <w:sz w:val="24"/>
                <w:highlight w:val="none"/>
              </w:rPr>
              <w:t>：</w:t>
            </w:r>
            <w:r>
              <w:rPr>
                <w:rFonts w:hint="eastAsia" w:ascii="仿宋" w:hAnsi="仿宋" w:eastAsia="仿宋"/>
                <w:color w:val="auto"/>
                <w:sz w:val="24"/>
                <w:highlight w:val="none"/>
                <w:u w:val="single"/>
              </w:rPr>
              <w:t>详见评标办法</w:t>
            </w:r>
            <w:r>
              <w:rPr>
                <w:rFonts w:hint="eastAsia" w:ascii="仿宋" w:hAnsi="仿宋" w:eastAsia="仿宋"/>
                <w:color w:val="auto"/>
                <w:kern w:val="0"/>
                <w:sz w:val="24"/>
                <w:highlight w:val="none"/>
              </w:rPr>
              <w:t>；</w:t>
            </w:r>
          </w:p>
          <w:p>
            <w:pPr>
              <w:numPr>
                <w:ilvl w:val="0"/>
                <w:numId w:val="3"/>
              </w:numPr>
              <w:snapToGrid w:val="0"/>
              <w:spacing w:line="360" w:lineRule="auto"/>
              <w:ind w:left="0"/>
              <w:rPr>
                <w:rFonts w:ascii="仿宋" w:hAnsi="仿宋" w:eastAsia="仿宋"/>
                <w:color w:val="auto"/>
                <w:sz w:val="24"/>
                <w:highlight w:val="none"/>
              </w:rPr>
            </w:pPr>
            <w:r>
              <w:rPr>
                <w:rFonts w:ascii="仿宋" w:hAnsi="仿宋" w:eastAsia="仿宋"/>
                <w:color w:val="auto"/>
                <w:sz w:val="24"/>
                <w:highlight w:val="none"/>
              </w:rPr>
              <w:t>提供样品的时间：</w:t>
            </w:r>
            <w:r>
              <w:rPr>
                <w:rFonts w:hint="eastAsia" w:ascii="仿宋" w:hAnsi="仿宋" w:eastAsia="仿宋"/>
                <w:color w:val="auto"/>
                <w:sz w:val="24"/>
                <w:highlight w:val="none"/>
              </w:rPr>
              <w:t>开标时间前；地点：</w:t>
            </w:r>
            <w:r>
              <w:rPr>
                <w:rFonts w:hint="eastAsia" w:ascii="仿宋" w:hAnsi="仿宋" w:eastAsia="仿宋"/>
                <w:color w:val="auto"/>
                <w:sz w:val="24"/>
                <w:highlight w:val="none"/>
                <w:u w:val="single"/>
              </w:rPr>
              <w:t>杭州市临平区南苑街道南大街326号时代广场1号楼A座6楼</w:t>
            </w:r>
            <w:r>
              <w:rPr>
                <w:rFonts w:hint="eastAsia" w:ascii="仿宋" w:hAnsi="仿宋" w:eastAsia="仿宋"/>
                <w:color w:val="auto"/>
                <w:kern w:val="0"/>
                <w:sz w:val="24"/>
                <w:highlight w:val="none"/>
              </w:rPr>
              <w:t>；联系人</w:t>
            </w:r>
            <w:r>
              <w:rPr>
                <w:rFonts w:hint="eastAsia" w:ascii="仿宋" w:hAnsi="仿宋" w:eastAsia="仿宋"/>
                <w:color w:val="auto"/>
                <w:sz w:val="24"/>
                <w:highlight w:val="none"/>
              </w:rPr>
              <w:t>：金佳霖，</w:t>
            </w:r>
            <w:r>
              <w:rPr>
                <w:rFonts w:hint="eastAsia" w:ascii="仿宋" w:hAnsi="仿宋" w:eastAsia="仿宋"/>
                <w:color w:val="auto"/>
                <w:kern w:val="28"/>
                <w:sz w:val="24"/>
                <w:highlight w:val="none"/>
              </w:rPr>
              <w:t>联系电话：</w:t>
            </w:r>
            <w:r>
              <w:rPr>
                <w:rFonts w:hint="eastAsia" w:ascii="仿宋" w:hAnsi="仿宋" w:eastAsia="仿宋"/>
                <w:color w:val="auto"/>
                <w:sz w:val="24"/>
                <w:highlight w:val="none"/>
                <w:u w:val="single"/>
              </w:rPr>
              <w:t>0571-86111691</w:t>
            </w:r>
            <w:r>
              <w:rPr>
                <w:rFonts w:hint="eastAsia" w:ascii="仿宋" w:hAnsi="仿宋" w:eastAsia="仿宋"/>
                <w:color w:val="auto"/>
                <w:sz w:val="24"/>
                <w:highlight w:val="none"/>
              </w:rPr>
              <w:t>。请供应商在上述时间内提供样品并按规定位置安装完毕。超过截止时间的，采购人或采购代理机构将不予接收，并将清场并封闭样品现场。</w:t>
            </w:r>
          </w:p>
          <w:p>
            <w:pPr>
              <w:numPr>
                <w:ilvl w:val="0"/>
                <w:numId w:val="3"/>
              </w:numPr>
              <w:snapToGrid w:val="0"/>
              <w:spacing w:line="360" w:lineRule="auto"/>
              <w:ind w:left="0"/>
              <w:rPr>
                <w:rFonts w:ascii="仿宋" w:hAnsi="仿宋" w:eastAsia="仿宋"/>
                <w:color w:val="auto"/>
                <w:highlight w:val="none"/>
              </w:rPr>
            </w:pPr>
            <w:r>
              <w:rPr>
                <w:rFonts w:ascii="仿宋" w:hAnsi="仿宋" w:eastAsia="仿宋"/>
                <w:color w:val="auto"/>
                <w:sz w:val="24"/>
                <w:highlight w:val="none"/>
              </w:rPr>
              <w:t>采购活动结束后，对于未中标人提供的样品，</w:t>
            </w:r>
            <w:r>
              <w:rPr>
                <w:rFonts w:hint="eastAsia" w:ascii="仿宋" w:hAnsi="仿宋" w:eastAsia="仿宋"/>
                <w:color w:val="auto"/>
                <w:sz w:val="24"/>
                <w:highlight w:val="none"/>
              </w:rPr>
              <w:t>采购人、采购代理机构将通知</w:t>
            </w:r>
            <w:r>
              <w:rPr>
                <w:rFonts w:ascii="仿宋" w:hAnsi="仿宋" w:eastAsia="仿宋"/>
                <w:color w:val="auto"/>
                <w:sz w:val="24"/>
                <w:highlight w:val="none"/>
              </w:rPr>
              <w:t>未中标人</w:t>
            </w:r>
            <w:r>
              <w:rPr>
                <w:rFonts w:hint="eastAsia" w:ascii="仿宋" w:hAnsi="仿宋" w:eastAsia="仿宋"/>
                <w:color w:val="auto"/>
                <w:sz w:val="24"/>
                <w:highlight w:val="none"/>
              </w:rPr>
              <w:t>在规定的时间内取回，逾期未取回的，采购人、采购代理机构不负保管义务</w:t>
            </w:r>
            <w:r>
              <w:rPr>
                <w:rFonts w:ascii="仿宋" w:hAnsi="仿宋" w:eastAsia="仿宋"/>
                <w:color w:val="auto"/>
                <w:sz w:val="24"/>
                <w:highlight w:val="none"/>
              </w:rPr>
              <w:t>；对于中标人提供的样品，</w:t>
            </w:r>
            <w:r>
              <w:rPr>
                <w:rFonts w:hint="eastAsia" w:ascii="仿宋" w:hAnsi="仿宋" w:eastAsia="仿宋"/>
                <w:color w:val="auto"/>
                <w:sz w:val="24"/>
                <w:highlight w:val="none"/>
              </w:rPr>
              <w:t>采购人将进</w:t>
            </w:r>
            <w:r>
              <w:rPr>
                <w:rFonts w:ascii="仿宋" w:hAnsi="仿宋" w:eastAsia="仿宋"/>
                <w:color w:val="auto"/>
                <w:sz w:val="24"/>
                <w:highlight w:val="none"/>
              </w:rPr>
              <w:t>行保管、封存，并作为履约验收的参考。</w:t>
            </w:r>
          </w:p>
          <w:p>
            <w:pPr>
              <w:numPr>
                <w:ilvl w:val="0"/>
                <w:numId w:val="3"/>
              </w:numPr>
              <w:snapToGrid w:val="0"/>
              <w:spacing w:line="360" w:lineRule="auto"/>
              <w:ind w:left="0"/>
              <w:rPr>
                <w:rFonts w:ascii="仿宋" w:hAnsi="仿宋" w:eastAsia="仿宋"/>
                <w:b/>
                <w:color w:val="auto"/>
                <w:sz w:val="24"/>
                <w:highlight w:val="none"/>
              </w:rPr>
            </w:pPr>
            <w:r>
              <w:rPr>
                <w:rFonts w:ascii="仿宋" w:hAnsi="仿宋" w:eastAsia="仿宋"/>
                <w:color w:val="auto"/>
                <w:sz w:val="24"/>
                <w:highlight w:val="none"/>
              </w:rPr>
              <w:t>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Cs/>
                <w:color w:val="auto"/>
                <w:sz w:val="24"/>
                <w:highlight w:val="none"/>
              </w:rPr>
            </w:pPr>
            <w:r>
              <w:rPr>
                <w:rFonts w:hint="eastAsia" w:ascii="仿宋" w:hAnsi="仿宋" w:eastAsia="仿宋" w:cs="仿宋_GB2312"/>
                <w:b/>
                <w:color w:val="auto"/>
                <w:sz w:val="24"/>
                <w:highlight w:val="none"/>
              </w:rPr>
              <w:t>系统演示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olor w:val="auto"/>
                <w:kern w:val="0"/>
                <w:sz w:val="24"/>
                <w:highlight w:val="none"/>
              </w:rPr>
            </w:pPr>
            <w:r>
              <w:rPr>
                <w:rFonts w:hint="eastAsia" w:ascii="仿宋" w:hAnsi="仿宋" w:eastAsia="仿宋"/>
                <w:color w:val="auto"/>
                <w:kern w:val="0"/>
                <w:sz w:val="24"/>
                <w:highlight w:val="none"/>
              </w:rPr>
              <w:sym w:font="Wingdings" w:char="F0FE"/>
            </w:r>
            <w:r>
              <w:rPr>
                <w:rFonts w:ascii="仿宋" w:hAnsi="仿宋" w:eastAsia="仿宋"/>
                <w:color w:val="auto"/>
                <w:kern w:val="0"/>
                <w:sz w:val="24"/>
                <w:highlight w:val="none"/>
              </w:rPr>
              <w:t>A</w:t>
            </w:r>
            <w:r>
              <w:rPr>
                <w:rFonts w:hint="eastAsia" w:ascii="仿宋" w:hAnsi="仿宋" w:eastAsia="仿宋"/>
                <w:color w:val="auto"/>
                <w:kern w:val="0"/>
                <w:sz w:val="24"/>
                <w:highlight w:val="none"/>
              </w:rPr>
              <w:t>不组织。</w:t>
            </w:r>
          </w:p>
          <w:p>
            <w:pPr>
              <w:snapToGrid w:val="0"/>
              <w:spacing w:line="360" w:lineRule="auto"/>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w:t>
            </w:r>
            <w:r>
              <w:rPr>
                <w:rFonts w:ascii="仿宋" w:hAnsi="仿宋" w:eastAsia="仿宋"/>
                <w:color w:val="auto"/>
                <w:kern w:val="0"/>
                <w:sz w:val="24"/>
                <w:highlight w:val="none"/>
              </w:rPr>
              <w:t>B组织。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Arial"/>
                <w:color w:val="auto"/>
                <w:kern w:val="0"/>
                <w:sz w:val="24"/>
                <w:highlight w:val="none"/>
              </w:rPr>
            </w:pPr>
            <w:r>
              <w:rPr>
                <w:rFonts w:ascii="仿宋" w:hAnsi="仿宋" w:eastAsia="仿宋" w:cs="Arial"/>
                <w:color w:val="auto"/>
                <w:kern w:val="0"/>
                <w:sz w:val="24"/>
                <w:highlight w:val="none"/>
              </w:rPr>
              <w:sym w:font="Wingdings" w:char="F0FE"/>
            </w:r>
            <w:r>
              <w:rPr>
                <w:rFonts w:hint="eastAsia" w:ascii="仿宋" w:hAnsi="仿宋" w:eastAsia="仿宋" w:cs="Arial"/>
                <w:color w:val="auto"/>
                <w:kern w:val="0"/>
                <w:sz w:val="24"/>
                <w:highlight w:val="none"/>
              </w:rPr>
              <w:t>本项目不允许采购进口产品。</w:t>
            </w:r>
          </w:p>
          <w:p>
            <w:pPr>
              <w:snapToGrid w:val="0"/>
              <w:spacing w:line="360" w:lineRule="auto"/>
              <w:rPr>
                <w:rFonts w:ascii="仿宋" w:hAnsi="仿宋" w:eastAsia="仿宋"/>
                <w:color w:val="auto"/>
                <w:kern w:val="0"/>
                <w:sz w:val="24"/>
                <w:highlight w:val="none"/>
              </w:rPr>
            </w:pPr>
            <w:r>
              <w:rPr>
                <w:rFonts w:ascii="Segoe UI Symbol" w:hAnsi="Segoe UI Symbol" w:eastAsia="仿宋" w:cs="Segoe UI Symbol"/>
                <w:color w:val="auto"/>
                <w:kern w:val="0"/>
                <w:sz w:val="24"/>
                <w:highlight w:val="none"/>
              </w:rPr>
              <w:t>☐</w:t>
            </w:r>
            <w:r>
              <w:rPr>
                <w:rFonts w:hint="eastAsia" w:ascii="仿宋" w:hAnsi="仿宋" w:eastAsia="仿宋"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olor w:val="auto"/>
                <w:sz w:val="24"/>
                <w:highlight w:val="none"/>
              </w:rPr>
            </w:pPr>
            <w:r>
              <w:rPr>
                <w:rFonts w:hint="eastAsia" w:ascii="仿宋" w:hAnsi="仿宋" w:eastAsia="仿宋" w:cs="Arial"/>
                <w:color w:val="auto"/>
                <w:kern w:val="0"/>
                <w:sz w:val="24"/>
                <w:highlight w:val="none"/>
              </w:rPr>
              <w:sym w:font="Wingdings" w:char="F0FE"/>
            </w:r>
            <w:r>
              <w:rPr>
                <w:rFonts w:ascii="仿宋" w:hAnsi="仿宋" w:eastAsia="仿宋" w:cs="Arial"/>
                <w:color w:val="auto"/>
                <w:kern w:val="0"/>
                <w:sz w:val="24"/>
                <w:highlight w:val="none"/>
              </w:rPr>
              <w:t>A</w:t>
            </w:r>
            <w:r>
              <w:rPr>
                <w:rFonts w:hint="eastAsia" w:ascii="仿宋" w:hAnsi="仿宋" w:eastAsia="仿宋"/>
                <w:color w:val="auto"/>
                <w:sz w:val="24"/>
                <w:highlight w:val="none"/>
              </w:rPr>
              <w:t>货物类，单一产品或</w:t>
            </w:r>
            <w:r>
              <w:rPr>
                <w:rFonts w:hint="eastAsia" w:ascii="仿宋" w:hAnsi="仿宋" w:eastAsia="仿宋"/>
                <w:color w:val="auto"/>
                <w:kern w:val="0"/>
                <w:sz w:val="24"/>
                <w:highlight w:val="none"/>
              </w:rPr>
              <w:t>核心产品</w:t>
            </w:r>
            <w:r>
              <w:rPr>
                <w:rFonts w:hint="eastAsia" w:ascii="仿宋" w:hAnsi="仿宋" w:eastAsia="仿宋"/>
                <w:color w:val="auto"/>
                <w:sz w:val="24"/>
                <w:highlight w:val="none"/>
              </w:rPr>
              <w:t>为：标项一: 直条型工作位（含固定侧柜+桌上挡板）</w:t>
            </w:r>
            <w:r>
              <w:rPr>
                <w:rFonts w:ascii="仿宋" w:hAnsi="仿宋" w:eastAsia="仿宋"/>
                <w:color w:val="auto"/>
                <w:sz w:val="24"/>
                <w:highlight w:val="none"/>
              </w:rPr>
              <w:t>;</w:t>
            </w:r>
            <w:r>
              <w:rPr>
                <w:rFonts w:hint="eastAsia" w:ascii="仿宋" w:hAnsi="仿宋" w:eastAsia="仿宋"/>
                <w:color w:val="auto"/>
                <w:sz w:val="24"/>
                <w:highlight w:val="none"/>
              </w:rPr>
              <w:t>标项二：4人餐桌椅。</w:t>
            </w:r>
          </w:p>
          <w:p>
            <w:pPr>
              <w:snapToGrid w:val="0"/>
              <w:spacing w:line="360" w:lineRule="auto"/>
              <w:rPr>
                <w:rFonts w:ascii="仿宋" w:hAnsi="仿宋" w:eastAsia="仿宋"/>
                <w:color w:val="auto"/>
                <w:sz w:val="24"/>
                <w:highlight w:val="none"/>
              </w:rPr>
            </w:pPr>
            <w:r>
              <w:rPr>
                <w:rFonts w:ascii="Segoe UI Symbol" w:hAnsi="Segoe UI Symbol" w:eastAsia="仿宋" w:cs="Segoe UI Symbol"/>
                <w:color w:val="auto"/>
                <w:kern w:val="0"/>
                <w:sz w:val="24"/>
                <w:highlight w:val="none"/>
              </w:rPr>
              <w:t>☐</w:t>
            </w:r>
            <w:r>
              <w:rPr>
                <w:rFonts w:ascii="仿宋" w:hAnsi="仿宋" w:eastAsia="仿宋" w:cs="Arial"/>
                <w:color w:val="auto"/>
                <w:kern w:val="0"/>
                <w:sz w:val="24"/>
                <w:highlight w:val="none"/>
              </w:rPr>
              <w:t>B</w:t>
            </w:r>
            <w:r>
              <w:rPr>
                <w:rFonts w:hint="eastAsia" w:ascii="仿宋" w:hAnsi="仿宋" w:eastAsia="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采购标的对应的中小企业划分标准所属行业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Arial"/>
                <w:b/>
                <w:bCs/>
                <w:color w:val="auto"/>
                <w:kern w:val="0"/>
                <w:sz w:val="24"/>
                <w:highlight w:val="none"/>
              </w:rPr>
            </w:pPr>
            <w:r>
              <w:rPr>
                <w:rFonts w:hint="eastAsia" w:ascii="仿宋" w:hAnsi="仿宋" w:eastAsia="仿宋" w:cs="Arial"/>
                <w:b/>
                <w:bCs/>
                <w:color w:val="auto"/>
                <w:kern w:val="0"/>
                <w:sz w:val="24"/>
                <w:highlight w:val="none"/>
              </w:rPr>
              <w:t>标的：</w:t>
            </w:r>
            <w:r>
              <w:rPr>
                <w:rFonts w:hint="eastAsia" w:ascii="仿宋" w:hAnsi="仿宋" w:eastAsia="仿宋" w:cs="Arial"/>
                <w:b/>
                <w:bCs/>
                <w:color w:val="auto"/>
                <w:kern w:val="0"/>
                <w:sz w:val="24"/>
                <w:highlight w:val="none"/>
                <w:u w:val="single"/>
              </w:rPr>
              <w:t>余杭区市民之家大厅及食堂家具采购项目</w:t>
            </w:r>
            <w:r>
              <w:rPr>
                <w:rFonts w:hint="eastAsia" w:ascii="仿宋" w:hAnsi="仿宋" w:eastAsia="仿宋" w:cs="Arial"/>
                <w:b/>
                <w:bCs/>
                <w:color w:val="auto"/>
                <w:kern w:val="0"/>
                <w:sz w:val="24"/>
                <w:highlight w:val="none"/>
              </w:rPr>
              <w:t>，属于</w:t>
            </w:r>
            <w:r>
              <w:rPr>
                <w:rFonts w:ascii="仿宋" w:hAnsi="仿宋" w:eastAsia="仿宋" w:cs="Arial"/>
                <w:b/>
                <w:bCs/>
                <w:color w:val="auto"/>
                <w:kern w:val="0"/>
                <w:sz w:val="24"/>
                <w:highlight w:val="none"/>
                <w:u w:val="single"/>
              </w:rPr>
              <w:t xml:space="preserve"> </w:t>
            </w:r>
            <w:r>
              <w:rPr>
                <w:rFonts w:hint="eastAsia" w:ascii="仿宋" w:hAnsi="仿宋" w:eastAsia="仿宋" w:cs="Arial"/>
                <w:b/>
                <w:bCs/>
                <w:color w:val="auto"/>
                <w:kern w:val="0"/>
                <w:sz w:val="24"/>
                <w:highlight w:val="none"/>
                <w:u w:val="single"/>
              </w:rPr>
              <w:t xml:space="preserve"> 制造业</w:t>
            </w:r>
            <w:r>
              <w:rPr>
                <w:rFonts w:ascii="仿宋" w:hAnsi="仿宋" w:eastAsia="仿宋" w:cs="Arial"/>
                <w:b/>
                <w:bCs/>
                <w:color w:val="auto"/>
                <w:kern w:val="0"/>
                <w:sz w:val="24"/>
                <w:highlight w:val="none"/>
              </w:rPr>
              <w:t xml:space="preserve"> 行业。</w:t>
            </w:r>
          </w:p>
          <w:p>
            <w:pPr>
              <w:snapToGrid w:val="0"/>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制造业中小企业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olor w:val="auto"/>
                <w:highlight w:val="none"/>
              </w:rPr>
            </w:pPr>
            <w:r>
              <w:rPr>
                <w:rFonts w:hint="eastAsia" w:ascii="仿宋" w:hAnsi="仿宋" w:eastAsia="仿宋" w:cs="Arial"/>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031" w:hRule="atLeast"/>
        </w:trPr>
        <w:tc>
          <w:tcPr>
            <w:tcW w:w="629" w:type="dxa"/>
            <w:tcBorders>
              <w:top w:val="single" w:color="auto" w:sz="4" w:space="0"/>
              <w:left w:val="single" w:color="000000" w:sz="8" w:space="0"/>
              <w:right w:val="single" w:color="000000" w:sz="2"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10</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pPr>
              <w:snapToGrid w:val="0"/>
              <w:spacing w:line="360" w:lineRule="auto"/>
              <w:rPr>
                <w:rFonts w:ascii="仿宋" w:hAnsi="仿宋" w:eastAsia="仿宋"/>
                <w:color w:val="auto"/>
                <w:sz w:val="24"/>
                <w:highlight w:val="none"/>
              </w:rPr>
            </w:pPr>
            <w:r>
              <w:rPr>
                <w:rFonts w:hint="eastAsia" w:ascii="仿宋" w:hAnsi="仿宋" w:eastAsia="仿宋" w:cs="宋体"/>
                <w:color w:val="auto"/>
                <w:sz w:val="24"/>
                <w:highlight w:val="none"/>
              </w:rPr>
              <w:t>根据《余杭区政府采购支持中小企业信用融资暂行办法》（余财采〔2015〕1号）的规定，凡已在浙江政府采购网上注册入库，并取得余杭区政府采购合同的区内中小企业供应商，均可申请政府采购信用融资。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11</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备份投标文件送达地点和签收人员</w:t>
            </w:r>
            <w:r>
              <w:rPr>
                <w:rFonts w:ascii="仿宋" w:hAnsi="仿宋" w:eastAsia="仿宋" w:cs="仿宋_GB2312"/>
                <w:b/>
                <w:color w:val="auto"/>
                <w:sz w:val="24"/>
                <w:highlight w:val="none"/>
              </w:rPr>
              <w:t xml:space="preserve">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18"/>
              <w:snapToGrid w:val="0"/>
              <w:spacing w:line="360" w:lineRule="auto"/>
              <w:ind w:left="0" w:leftChars="0" w:firstLine="0" w:firstLineChars="0"/>
              <w:rPr>
                <w:rFonts w:ascii="仿宋" w:hAnsi="仿宋" w:eastAsia="仿宋"/>
                <w:color w:val="auto"/>
                <w:kern w:val="28"/>
                <w:sz w:val="24"/>
                <w:highlight w:val="none"/>
              </w:rPr>
            </w:pPr>
            <w:r>
              <w:rPr>
                <w:rFonts w:hint="eastAsia" w:ascii="仿宋" w:hAnsi="仿宋" w:eastAsia="仿宋"/>
                <w:color w:val="auto"/>
                <w:kern w:val="28"/>
                <w:sz w:val="24"/>
                <w:highlight w:val="none"/>
              </w:rPr>
              <w:t>备份投标文件送达地点：杭州市南苑街道南大街326号时代广场A座1号楼6楼603；</w:t>
            </w:r>
          </w:p>
          <w:p>
            <w:pPr>
              <w:pStyle w:val="18"/>
              <w:snapToGrid w:val="0"/>
              <w:spacing w:line="360" w:lineRule="auto"/>
              <w:ind w:left="0" w:leftChars="0" w:firstLine="0" w:firstLineChars="0"/>
              <w:rPr>
                <w:rFonts w:ascii="仿宋" w:hAnsi="仿宋" w:eastAsia="仿宋"/>
                <w:color w:val="auto"/>
                <w:kern w:val="28"/>
                <w:sz w:val="24"/>
                <w:highlight w:val="none"/>
              </w:rPr>
            </w:pPr>
            <w:r>
              <w:rPr>
                <w:rFonts w:hint="eastAsia" w:ascii="仿宋" w:hAnsi="仿宋" w:eastAsia="仿宋"/>
                <w:color w:val="auto"/>
                <w:kern w:val="28"/>
                <w:sz w:val="24"/>
                <w:highlight w:val="none"/>
              </w:rPr>
              <w:t>备份投标文件签收人员联系电话：金佳霖，0571-</w:t>
            </w:r>
            <w:r>
              <w:rPr>
                <w:rFonts w:ascii="仿宋" w:hAnsi="仿宋" w:eastAsia="仿宋"/>
                <w:color w:val="auto"/>
                <w:kern w:val="28"/>
                <w:sz w:val="24"/>
                <w:highlight w:val="none"/>
              </w:rPr>
              <w:t>86111691</w:t>
            </w:r>
            <w:r>
              <w:rPr>
                <w:rFonts w:ascii="Calibri" w:hAnsi="Calibri" w:eastAsia="仿宋" w:cs="Calibri"/>
                <w:color w:val="auto"/>
                <w:kern w:val="28"/>
                <w:sz w:val="24"/>
                <w:highlight w:val="none"/>
              </w:rPr>
              <w:t> </w:t>
            </w:r>
            <w:r>
              <w:rPr>
                <w:rFonts w:hint="eastAsia" w:ascii="仿宋" w:hAnsi="仿宋" w:eastAsia="仿宋"/>
                <w:color w:val="auto"/>
                <w:kern w:val="28"/>
                <w:sz w:val="24"/>
                <w:highlight w:val="none"/>
              </w:rPr>
              <w:t>。</w:t>
            </w:r>
          </w:p>
          <w:p>
            <w:pPr>
              <w:pStyle w:val="18"/>
              <w:snapToGrid w:val="0"/>
              <w:spacing w:line="360" w:lineRule="auto"/>
              <w:ind w:left="0" w:leftChars="0" w:firstLine="0" w:firstLineChars="0"/>
              <w:rPr>
                <w:rFonts w:ascii="仿宋" w:hAnsi="仿宋" w:eastAsia="仿宋"/>
                <w:color w:val="auto"/>
                <w:kern w:val="28"/>
                <w:sz w:val="24"/>
                <w:highlight w:val="none"/>
              </w:rPr>
            </w:pPr>
            <w:r>
              <w:rPr>
                <w:rFonts w:hint="eastAsia" w:ascii="仿宋" w:hAnsi="仿宋" w:eastAsia="仿宋" w:cs="仿宋_GB2312"/>
                <w:b/>
                <w:color w:val="auto"/>
                <w:sz w:val="24"/>
                <w:highlight w:val="none"/>
              </w:rPr>
              <w:t>采购人、采购代理机构不强制或变相强制供应商提交备份投标文件。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auto"/>
                <w:sz w:val="24"/>
                <w:highlight w:val="none"/>
              </w:rPr>
            </w:pPr>
            <w:r>
              <w:rPr>
                <w:rFonts w:ascii="仿宋" w:hAnsi="仿宋" w:eastAsia="仿宋" w:cs="仿宋_GB2312"/>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snapToGrid w:val="0"/>
                <w:color w:val="auto"/>
                <w:kern w:val="28"/>
                <w:sz w:val="24"/>
                <w:highlight w:val="none"/>
              </w:rPr>
            </w:pPr>
            <w:r>
              <w:rPr>
                <w:rFonts w:hint="eastAsia" w:ascii="仿宋" w:hAnsi="仿宋" w:eastAsia="仿宋"/>
                <w:snapToGrid w:val="0"/>
                <w:color w:val="auto"/>
                <w:kern w:val="28"/>
                <w:sz w:val="24"/>
                <w:highlight w:val="none"/>
              </w:rPr>
              <w:t>无</w:t>
            </w:r>
            <w:r>
              <w:rPr>
                <w:rFonts w:hint="eastAsia" w:ascii="仿宋" w:hAnsi="仿宋" w:eastAsia="仿宋"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1</w:t>
            </w:r>
            <w:r>
              <w:rPr>
                <w:rFonts w:ascii="仿宋" w:hAnsi="仿宋" w:eastAsia="仿宋" w:cs="仿宋_GB2312"/>
                <w:color w:val="auto"/>
                <w:sz w:val="24"/>
                <w:highlight w:val="none"/>
              </w:rPr>
              <w:t>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auto"/>
                <w:sz w:val="24"/>
                <w:highlight w:val="none"/>
              </w:rPr>
            </w:pPr>
            <w:r>
              <w:rPr>
                <w:rFonts w:hint="eastAsia" w:ascii="仿宋" w:hAnsi="仿宋" w:eastAsia="仿宋" w:cs="仿宋_GB2312"/>
                <w:b/>
                <w:color w:val="auto"/>
                <w:sz w:val="24"/>
                <w:highlight w:val="none"/>
              </w:rPr>
              <w:t>代理服务费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宋体"/>
                <w:snapToGrid w:val="0"/>
                <w:color w:val="auto"/>
                <w:kern w:val="0"/>
                <w:sz w:val="24"/>
                <w:highlight w:val="none"/>
              </w:rPr>
            </w:pPr>
            <w:r>
              <w:rPr>
                <w:rFonts w:hint="eastAsia" w:ascii="仿宋" w:hAnsi="仿宋" w:eastAsia="仿宋" w:cs="宋体"/>
                <w:color w:val="auto"/>
                <w:sz w:val="24"/>
                <w:highlight w:val="none"/>
              </w:rPr>
              <w:t>本项目的招标代理费用由各标项中标服务单位支付，代理费用付款按《招标代理服务收费管理暂行办法》的通知（计价格[2002]1980号）文件的80%直接支付给分散采购招标代理单位。</w:t>
            </w:r>
          </w:p>
          <w:p>
            <w:pPr>
              <w:widowControl/>
              <w:snapToGrid w:val="0"/>
              <w:spacing w:line="360" w:lineRule="auto"/>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收款单位（户名）：杭州中瑞招标代理有限公司；</w:t>
            </w:r>
          </w:p>
          <w:p>
            <w:pPr>
              <w:widowControl/>
              <w:snapToGrid w:val="0"/>
              <w:spacing w:line="360" w:lineRule="auto"/>
              <w:jc w:val="left"/>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开户银行：中国银行余杭支行；</w:t>
            </w:r>
          </w:p>
          <w:p>
            <w:pPr>
              <w:snapToGrid w:val="0"/>
              <w:spacing w:line="360" w:lineRule="auto"/>
              <w:rPr>
                <w:rFonts w:ascii="仿宋" w:hAnsi="仿宋" w:eastAsia="仿宋"/>
                <w:snapToGrid w:val="0"/>
                <w:color w:val="auto"/>
                <w:kern w:val="28"/>
                <w:sz w:val="24"/>
                <w:highlight w:val="none"/>
              </w:rPr>
            </w:pPr>
            <w:r>
              <w:rPr>
                <w:rFonts w:hint="eastAsia" w:ascii="仿宋" w:hAnsi="仿宋" w:eastAsia="仿宋" w:cs="宋体"/>
                <w:bCs/>
                <w:color w:val="auto"/>
                <w:kern w:val="0"/>
                <w:sz w:val="24"/>
                <w:highlight w:val="none"/>
              </w:rPr>
              <w:t>银行账号：364975499143；</w:t>
            </w:r>
          </w:p>
        </w:tc>
      </w:tr>
      <w:bookmarkEnd w:id="7"/>
    </w:tbl>
    <w:p>
      <w:pPr>
        <w:snapToGrid w:val="0"/>
        <w:spacing w:line="360" w:lineRule="auto"/>
        <w:jc w:val="center"/>
        <w:rPr>
          <w:rFonts w:ascii="仿宋" w:hAnsi="仿宋" w:eastAsia="仿宋" w:cs="仿宋_GB2312"/>
          <w:b/>
          <w:color w:val="auto"/>
          <w:sz w:val="32"/>
          <w:szCs w:val="20"/>
          <w:highlight w:val="none"/>
        </w:rPr>
      </w:pPr>
    </w:p>
    <w:p>
      <w:pPr>
        <w:snapToGrid w:val="0"/>
        <w:spacing w:line="360" w:lineRule="auto"/>
        <w:rPr>
          <w:rFonts w:ascii="仿宋" w:hAnsi="仿宋" w:eastAsia="仿宋" w:cs="仿宋_GB2312"/>
          <w:b/>
          <w:color w:val="auto"/>
          <w:sz w:val="32"/>
          <w:szCs w:val="20"/>
          <w:highlight w:val="none"/>
        </w:rPr>
      </w:pPr>
      <w:bookmarkStart w:id="54" w:name="_Toc164416483"/>
      <w:bookmarkStart w:id="55" w:name="第三部分"/>
      <w:r>
        <w:rPr>
          <w:rFonts w:hint="eastAsia" w:ascii="仿宋" w:hAnsi="仿宋" w:eastAsia="仿宋" w:cs="仿宋_GB2312"/>
          <w:b/>
          <w:color w:val="auto"/>
          <w:sz w:val="32"/>
          <w:szCs w:val="20"/>
          <w:highlight w:val="none"/>
        </w:rPr>
        <w:br w:type="page"/>
      </w:r>
    </w:p>
    <w:p>
      <w:pPr>
        <w:snapToGrid w:val="0"/>
        <w:spacing w:line="360" w:lineRule="auto"/>
        <w:jc w:val="center"/>
        <w:outlineLvl w:val="1"/>
        <w:rPr>
          <w:rFonts w:ascii="仿宋" w:hAnsi="仿宋" w:eastAsia="仿宋" w:cs="仿宋_GB2312"/>
          <w:b/>
          <w:color w:val="auto"/>
          <w:sz w:val="32"/>
          <w:szCs w:val="20"/>
          <w:highlight w:val="none"/>
        </w:rPr>
      </w:pPr>
      <w:bookmarkStart w:id="56" w:name="_Toc243019506"/>
      <w:bookmarkStart w:id="57" w:name="_Toc822044281"/>
      <w:bookmarkStart w:id="58" w:name="_Toc95312938"/>
      <w:bookmarkStart w:id="59" w:name="_Toc11537"/>
      <w:bookmarkStart w:id="60" w:name="_Toc18125"/>
      <w:r>
        <w:rPr>
          <w:rFonts w:hint="eastAsia" w:ascii="仿宋" w:hAnsi="仿宋" w:eastAsia="仿宋" w:cs="仿宋_GB2312"/>
          <w:b/>
          <w:color w:val="auto"/>
          <w:sz w:val="32"/>
          <w:szCs w:val="20"/>
          <w:highlight w:val="none"/>
        </w:rPr>
        <w:t>一、总则</w:t>
      </w:r>
      <w:bookmarkEnd w:id="56"/>
      <w:bookmarkEnd w:id="57"/>
      <w:bookmarkEnd w:id="58"/>
      <w:bookmarkEnd w:id="59"/>
      <w:bookmarkEnd w:id="60"/>
    </w:p>
    <w:p>
      <w:pPr>
        <w:snapToGrid w:val="0"/>
        <w:spacing w:line="360" w:lineRule="auto"/>
        <w:jc w:val="left"/>
        <w:outlineLvl w:val="2"/>
        <w:rPr>
          <w:rFonts w:ascii="仿宋" w:hAnsi="仿宋" w:eastAsia="仿宋" w:cs="仿宋"/>
          <w:b/>
          <w:bCs/>
          <w:color w:val="auto"/>
          <w:sz w:val="24"/>
          <w:highlight w:val="none"/>
        </w:rPr>
      </w:pPr>
      <w:bookmarkStart w:id="61" w:name="_Toc95312939"/>
      <w:bookmarkStart w:id="62" w:name="_Toc5666"/>
      <w:bookmarkStart w:id="63" w:name="_Toc5493"/>
      <w:r>
        <w:rPr>
          <w:rFonts w:ascii="仿宋" w:hAnsi="仿宋" w:eastAsia="仿宋" w:cs="仿宋"/>
          <w:b/>
          <w:bCs/>
          <w:color w:val="auto"/>
          <w:sz w:val="24"/>
          <w:highlight w:val="none"/>
        </w:rPr>
        <w:t>1.</w:t>
      </w:r>
      <w:r>
        <w:rPr>
          <w:rFonts w:hint="eastAsia" w:ascii="仿宋" w:hAnsi="仿宋" w:eastAsia="仿宋" w:cs="仿宋"/>
          <w:b/>
          <w:bCs/>
          <w:color w:val="auto"/>
          <w:sz w:val="24"/>
          <w:highlight w:val="none"/>
        </w:rPr>
        <w:t>适用范围</w:t>
      </w:r>
      <w:bookmarkEnd w:id="61"/>
      <w:bookmarkEnd w:id="62"/>
      <w:bookmarkEnd w:id="63"/>
    </w:p>
    <w:p>
      <w:pPr>
        <w:snapToGrid w:val="0"/>
        <w:spacing w:line="360" w:lineRule="auto"/>
        <w:ind w:firstLine="480" w:firstLineChars="200"/>
        <w:jc w:val="left"/>
        <w:rPr>
          <w:rFonts w:ascii="仿宋" w:hAnsi="仿宋" w:eastAsia="仿宋" w:cs="仿宋_GB2312"/>
          <w:b/>
          <w:color w:val="auto"/>
          <w:sz w:val="24"/>
          <w:highlight w:val="none"/>
        </w:rPr>
      </w:pPr>
      <w:r>
        <w:rPr>
          <w:rFonts w:hint="eastAsia" w:ascii="仿宋" w:hAnsi="仿宋" w:eastAsia="仿宋"/>
          <w:color w:val="auto"/>
          <w:sz w:val="24"/>
          <w:highlight w:val="none"/>
        </w:rPr>
        <w:t>本采购文件适用于该项目的招标、投标、开标、资格审查及信用信息查询、评标、定标、合同、验收等行为（法律、法规另有规定的，从其规定）。</w:t>
      </w:r>
    </w:p>
    <w:p>
      <w:pPr>
        <w:snapToGrid w:val="0"/>
        <w:spacing w:line="360" w:lineRule="auto"/>
        <w:jc w:val="left"/>
        <w:outlineLvl w:val="2"/>
        <w:rPr>
          <w:rFonts w:ascii="仿宋" w:hAnsi="仿宋" w:eastAsia="仿宋"/>
          <w:b/>
          <w:color w:val="auto"/>
          <w:sz w:val="24"/>
          <w:highlight w:val="none"/>
        </w:rPr>
      </w:pPr>
      <w:bookmarkStart w:id="64" w:name="_Toc20903"/>
      <w:bookmarkStart w:id="65" w:name="_Toc95312940"/>
      <w:bookmarkStart w:id="66" w:name="_Toc17022"/>
      <w:r>
        <w:rPr>
          <w:rFonts w:ascii="仿宋" w:hAnsi="仿宋" w:eastAsia="仿宋"/>
          <w:b/>
          <w:color w:val="auto"/>
          <w:sz w:val="24"/>
          <w:highlight w:val="none"/>
        </w:rPr>
        <w:t>2.</w:t>
      </w:r>
      <w:r>
        <w:rPr>
          <w:rFonts w:ascii="仿宋" w:hAnsi="仿宋" w:eastAsia="仿宋" w:cs="仿宋"/>
          <w:b/>
          <w:bCs/>
          <w:color w:val="auto"/>
          <w:sz w:val="24"/>
          <w:highlight w:val="none"/>
        </w:rPr>
        <w:t>定义</w:t>
      </w:r>
      <w:bookmarkEnd w:id="64"/>
      <w:bookmarkEnd w:id="65"/>
      <w:bookmarkEnd w:id="66"/>
    </w:p>
    <w:p>
      <w:pPr>
        <w:snapToGrid w:val="0"/>
        <w:spacing w:line="360" w:lineRule="auto"/>
        <w:ind w:firstLine="480" w:firstLineChars="200"/>
        <w:rPr>
          <w:rFonts w:ascii="仿宋" w:hAnsi="仿宋" w:eastAsia="仿宋" w:cs="宋体"/>
          <w:snapToGrid w:val="0"/>
          <w:color w:val="auto"/>
          <w:kern w:val="0"/>
          <w:sz w:val="24"/>
          <w:highlight w:val="none"/>
        </w:rPr>
      </w:pPr>
      <w:r>
        <w:rPr>
          <w:rFonts w:ascii="仿宋" w:hAnsi="仿宋" w:eastAsia="仿宋" w:cs="宋体"/>
          <w:snapToGrid w:val="0"/>
          <w:color w:val="auto"/>
          <w:kern w:val="0"/>
          <w:sz w:val="24"/>
          <w:highlight w:val="none"/>
        </w:rPr>
        <w:t>2.1</w:t>
      </w:r>
      <w:r>
        <w:rPr>
          <w:rFonts w:hint="eastAsia" w:ascii="仿宋" w:hAnsi="仿宋" w:eastAsia="仿宋" w:cs="宋体"/>
          <w:snapToGrid w:val="0"/>
          <w:color w:val="auto"/>
          <w:kern w:val="0"/>
          <w:sz w:val="24"/>
          <w:highlight w:val="none"/>
        </w:rPr>
        <w:t>“采购人”系指杭州市余杭区机关事务服务中心（合同中的甲方）。</w:t>
      </w:r>
    </w:p>
    <w:p>
      <w:pPr>
        <w:snapToGrid w:val="0"/>
        <w:spacing w:line="360" w:lineRule="auto"/>
        <w:ind w:firstLine="480" w:firstLineChars="200"/>
        <w:rPr>
          <w:rFonts w:ascii="仿宋" w:hAnsi="仿宋" w:eastAsia="仿宋" w:cs="宋体"/>
          <w:snapToGrid w:val="0"/>
          <w:color w:val="auto"/>
          <w:kern w:val="0"/>
          <w:sz w:val="24"/>
          <w:highlight w:val="none"/>
        </w:rPr>
      </w:pPr>
      <w:r>
        <w:rPr>
          <w:rFonts w:ascii="仿宋" w:hAnsi="仿宋" w:eastAsia="仿宋" w:cs="宋体"/>
          <w:snapToGrid w:val="0"/>
          <w:color w:val="auto"/>
          <w:kern w:val="0"/>
          <w:sz w:val="24"/>
          <w:highlight w:val="none"/>
        </w:rPr>
        <w:t>2.2</w:t>
      </w:r>
      <w:r>
        <w:rPr>
          <w:rFonts w:hint="eastAsia" w:ascii="仿宋" w:hAnsi="仿宋" w:eastAsia="仿宋" w:cs="宋体"/>
          <w:snapToGrid w:val="0"/>
          <w:color w:val="auto"/>
          <w:kern w:val="0"/>
          <w:sz w:val="24"/>
          <w:highlight w:val="none"/>
        </w:rPr>
        <w:t>“监督管理部门”系指</w:t>
      </w:r>
      <w:r>
        <w:rPr>
          <w:rFonts w:ascii="仿宋" w:hAnsi="仿宋" w:eastAsia="仿宋"/>
          <w:color w:val="auto"/>
          <w:sz w:val="24"/>
          <w:highlight w:val="none"/>
        </w:rPr>
        <w:t>杭州市余杭区财政局</w:t>
      </w:r>
      <w:r>
        <w:rPr>
          <w:rFonts w:hint="eastAsia" w:ascii="仿宋" w:hAnsi="仿宋" w:eastAsia="仿宋" w:cs="宋体"/>
          <w:snapToGrid w:val="0"/>
          <w:color w:val="auto"/>
          <w:kern w:val="0"/>
          <w:sz w:val="24"/>
          <w:highlight w:val="none"/>
        </w:rPr>
        <w:t>。</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2.3 </w:t>
      </w:r>
      <w:r>
        <w:rPr>
          <w:rFonts w:hint="eastAsia" w:ascii="仿宋" w:hAnsi="仿宋" w:eastAsia="仿宋"/>
          <w:color w:val="auto"/>
          <w:sz w:val="24"/>
          <w:highlight w:val="none"/>
        </w:rPr>
        <w:t>“采购代理机构”</w:t>
      </w:r>
      <w:r>
        <w:rPr>
          <w:rFonts w:hint="eastAsia" w:ascii="仿宋" w:hAnsi="仿宋" w:eastAsia="仿宋" w:cs="宋体"/>
          <w:snapToGrid w:val="0"/>
          <w:color w:val="auto"/>
          <w:kern w:val="0"/>
          <w:sz w:val="24"/>
          <w:highlight w:val="none"/>
        </w:rPr>
        <w:t>系指杭州中瑞招标代理有限公司</w:t>
      </w:r>
      <w:r>
        <w:rPr>
          <w:rFonts w:hint="eastAsia" w:ascii="仿宋" w:hAnsi="仿宋" w:eastAsia="仿宋"/>
          <w:color w:val="auto"/>
          <w:sz w:val="24"/>
          <w:highlight w:val="none"/>
        </w:rPr>
        <w:t>。</w:t>
      </w:r>
    </w:p>
    <w:p>
      <w:pPr>
        <w:snapToGrid w:val="0"/>
        <w:spacing w:line="360" w:lineRule="auto"/>
        <w:ind w:firstLine="480" w:firstLineChars="200"/>
        <w:rPr>
          <w:rFonts w:ascii="仿宋" w:hAnsi="仿宋" w:eastAsia="仿宋" w:cs="宋体"/>
          <w:snapToGrid w:val="0"/>
          <w:color w:val="auto"/>
          <w:kern w:val="0"/>
          <w:sz w:val="24"/>
          <w:highlight w:val="none"/>
        </w:rPr>
      </w:pPr>
      <w:r>
        <w:rPr>
          <w:rFonts w:ascii="仿宋" w:hAnsi="仿宋" w:eastAsia="仿宋" w:cs="宋体"/>
          <w:snapToGrid w:val="0"/>
          <w:color w:val="auto"/>
          <w:kern w:val="0"/>
          <w:sz w:val="24"/>
          <w:highlight w:val="none"/>
        </w:rPr>
        <w:t>2.4</w:t>
      </w:r>
      <w:r>
        <w:rPr>
          <w:rFonts w:hint="eastAsia" w:ascii="仿宋" w:hAnsi="仿宋" w:eastAsia="仿宋" w:cs="宋体"/>
          <w:snapToGrid w:val="0"/>
          <w:color w:val="auto"/>
          <w:kern w:val="0"/>
          <w:sz w:val="24"/>
          <w:highlight w:val="none"/>
        </w:rPr>
        <w:t>“服务”系指采购文件或合同规定供应商须承担的服务以及其他类似的义务。</w:t>
      </w:r>
    </w:p>
    <w:p>
      <w:pPr>
        <w:snapToGrid w:val="0"/>
        <w:spacing w:line="360" w:lineRule="auto"/>
        <w:ind w:firstLine="480" w:firstLineChars="200"/>
        <w:rPr>
          <w:rFonts w:ascii="仿宋" w:hAnsi="仿宋" w:eastAsia="仿宋" w:cs="宋体"/>
          <w:snapToGrid w:val="0"/>
          <w:color w:val="auto"/>
          <w:kern w:val="0"/>
          <w:sz w:val="24"/>
          <w:highlight w:val="none"/>
        </w:rPr>
      </w:pPr>
      <w:r>
        <w:rPr>
          <w:rFonts w:ascii="仿宋" w:hAnsi="仿宋" w:eastAsia="仿宋" w:cs="宋体"/>
          <w:snapToGrid w:val="0"/>
          <w:color w:val="auto"/>
          <w:kern w:val="0"/>
          <w:sz w:val="24"/>
          <w:highlight w:val="none"/>
        </w:rPr>
        <w:t>2.5</w:t>
      </w:r>
      <w:r>
        <w:rPr>
          <w:rFonts w:hint="eastAsia" w:ascii="仿宋" w:hAnsi="仿宋" w:eastAsia="仿宋" w:cs="宋体"/>
          <w:snapToGrid w:val="0"/>
          <w:color w:val="auto"/>
          <w:kern w:val="0"/>
          <w:sz w:val="24"/>
          <w:highlight w:val="none"/>
        </w:rPr>
        <w:t>官方指定网站公示的内容视为书面告知。</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2.6 </w:t>
      </w:r>
      <w:r>
        <w:rPr>
          <w:rFonts w:hint="eastAsia" w:ascii="仿宋" w:hAnsi="仿宋" w:eastAsia="仿宋"/>
          <w:color w:val="auto"/>
          <w:sz w:val="24"/>
          <w:highlight w:val="none"/>
        </w:rPr>
        <w:t>“投标人”系指是指响应招标、参加投标竞争的法人、其他组织或者自然人。</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2.7 </w:t>
      </w:r>
      <w:r>
        <w:rPr>
          <w:rFonts w:hint="eastAsia" w:ascii="仿宋" w:hAnsi="仿宋" w:eastAsia="仿宋"/>
          <w:color w:val="auto"/>
          <w:sz w:val="24"/>
          <w:highlight w:val="none"/>
        </w:rPr>
        <w:t>“负责人”系指法人企业的法定负责人，或其他组织为法律、行政法规规定代表单位行使职权的主要负责人，或自然人本人。</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2.8“电子签名”系指数据电文中以电子形式所含、所附用于识别签名人身份并表明签名人认可其中内容的数据；</w:t>
      </w:r>
      <w:r>
        <w:rPr>
          <w:rFonts w:hint="eastAsia" w:ascii="仿宋" w:hAnsi="仿宋" w:eastAsia="仿宋"/>
          <w:color w:val="auto"/>
          <w:sz w:val="24"/>
          <w:highlight w:val="none"/>
        </w:rPr>
        <w:t>“公章”系指单位法定名称章。因特殊原因需要使用冠以法定名称的业务专用章的，投标时须提供《业务专用章使用说明函》（附件</w:t>
      </w:r>
      <w:r>
        <w:rPr>
          <w:rFonts w:ascii="仿宋" w:hAnsi="仿宋" w:eastAsia="仿宋"/>
          <w:color w:val="auto"/>
          <w:sz w:val="24"/>
          <w:highlight w:val="none"/>
        </w:rPr>
        <w:t>4）</w:t>
      </w:r>
      <w:r>
        <w:rPr>
          <w:rFonts w:hint="eastAsia" w:ascii="仿宋" w:hAnsi="仿宋" w:eastAsia="仿宋"/>
          <w:color w:val="auto"/>
          <w:sz w:val="24"/>
          <w:highlight w:val="none"/>
        </w:rPr>
        <w:t>。</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2.11“电子交易平台”是指本项目政府采购活动所依托的政府采购云平台（https://www.zcygov.cn/）。</w:t>
      </w:r>
    </w:p>
    <w:p>
      <w:pPr>
        <w:snapToGrid w:val="0"/>
        <w:spacing w:line="360" w:lineRule="auto"/>
        <w:ind w:firstLine="482" w:firstLineChars="200"/>
        <w:rPr>
          <w:rFonts w:ascii="仿宋" w:hAnsi="仿宋" w:eastAsia="仿宋"/>
          <w:b/>
          <w:bCs/>
          <w:color w:val="auto"/>
          <w:sz w:val="24"/>
          <w:highlight w:val="none"/>
        </w:rPr>
      </w:pPr>
      <w:r>
        <w:rPr>
          <w:rFonts w:ascii="仿宋" w:hAnsi="仿宋" w:eastAsia="仿宋"/>
          <w:b/>
          <w:bCs/>
          <w:color w:val="auto"/>
          <w:sz w:val="24"/>
          <w:highlight w:val="none"/>
        </w:rPr>
        <w:t xml:space="preserve">2.12 </w:t>
      </w:r>
      <w:r>
        <w:rPr>
          <w:rFonts w:hint="eastAsia" w:ascii="仿宋" w:hAnsi="仿宋" w:eastAsia="仿宋"/>
          <w:b/>
          <w:bCs/>
          <w:color w:val="auto"/>
          <w:sz w:val="24"/>
          <w:highlight w:val="none"/>
        </w:rPr>
        <w:t>“▲”</w:t>
      </w:r>
      <w:r>
        <w:rPr>
          <w:rFonts w:ascii="仿宋" w:hAnsi="仿宋" w:eastAsia="仿宋"/>
          <w:b/>
          <w:bCs/>
          <w:color w:val="auto"/>
          <w:sz w:val="24"/>
          <w:highlight w:val="none"/>
        </w:rPr>
        <w:t xml:space="preserve"> </w:t>
      </w:r>
      <w:r>
        <w:rPr>
          <w:rFonts w:hint="eastAsia" w:ascii="仿宋" w:hAnsi="仿宋" w:eastAsia="仿宋"/>
          <w:b/>
          <w:bCs/>
          <w:color w:val="auto"/>
          <w:sz w:val="24"/>
          <w:highlight w:val="none"/>
        </w:rPr>
        <w:t>系指实质性要求条款， “</w:t>
      </w:r>
      <w:r>
        <w:rPr>
          <w:rFonts w:hint="eastAsia" w:ascii="仿宋" w:hAnsi="仿宋" w:eastAsia="仿宋" w:cs="Arial"/>
          <w:b/>
          <w:bCs/>
          <w:color w:val="auto"/>
          <w:kern w:val="0"/>
          <w:sz w:val="24"/>
          <w:highlight w:val="none"/>
        </w:rPr>
        <w:sym w:font="Wingdings" w:char="F0FE"/>
      </w:r>
      <w:r>
        <w:rPr>
          <w:rFonts w:hint="eastAsia" w:ascii="仿宋" w:hAnsi="仿宋" w:eastAsia="仿宋"/>
          <w:b/>
          <w:bCs/>
          <w:color w:val="auto"/>
          <w:sz w:val="24"/>
          <w:highlight w:val="none"/>
        </w:rPr>
        <w:t>”</w:t>
      </w:r>
      <w:r>
        <w:rPr>
          <w:rFonts w:ascii="仿宋" w:hAnsi="仿宋" w:eastAsia="仿宋"/>
          <w:b/>
          <w:bCs/>
          <w:color w:val="auto"/>
          <w:sz w:val="24"/>
          <w:highlight w:val="none"/>
        </w:rPr>
        <w:t xml:space="preserve"> </w:t>
      </w:r>
      <w:r>
        <w:rPr>
          <w:rFonts w:hint="eastAsia" w:ascii="仿宋" w:hAnsi="仿宋" w:eastAsia="仿宋"/>
          <w:b/>
          <w:bCs/>
          <w:color w:val="auto"/>
          <w:sz w:val="24"/>
          <w:highlight w:val="none"/>
        </w:rPr>
        <w:t>系指适用本项目的要求，“</w:t>
      </w:r>
      <w:r>
        <w:rPr>
          <w:rFonts w:ascii="Segoe UI Symbol" w:hAnsi="Segoe UI Symbol" w:eastAsia="仿宋" w:cs="Segoe UI Symbol"/>
          <w:b/>
          <w:bCs/>
          <w:color w:val="auto"/>
          <w:kern w:val="0"/>
          <w:sz w:val="24"/>
          <w:highlight w:val="none"/>
        </w:rPr>
        <w:t>☐</w:t>
      </w:r>
      <w:r>
        <w:rPr>
          <w:rFonts w:hint="eastAsia" w:ascii="仿宋" w:hAnsi="仿宋" w:eastAsia="仿宋"/>
          <w:b/>
          <w:bCs/>
          <w:color w:val="auto"/>
          <w:sz w:val="24"/>
          <w:highlight w:val="none"/>
        </w:rPr>
        <w:t>”</w:t>
      </w:r>
      <w:r>
        <w:rPr>
          <w:rFonts w:ascii="仿宋" w:hAnsi="仿宋" w:eastAsia="仿宋"/>
          <w:b/>
          <w:bCs/>
          <w:color w:val="auto"/>
          <w:sz w:val="24"/>
          <w:highlight w:val="none"/>
        </w:rPr>
        <w:t xml:space="preserve"> </w:t>
      </w:r>
      <w:r>
        <w:rPr>
          <w:rFonts w:hint="eastAsia" w:ascii="仿宋" w:hAnsi="仿宋" w:eastAsia="仿宋"/>
          <w:b/>
          <w:bCs/>
          <w:color w:val="auto"/>
          <w:sz w:val="24"/>
          <w:highlight w:val="none"/>
        </w:rPr>
        <w:t>系指不适用本项目的要求。</w:t>
      </w:r>
    </w:p>
    <w:p>
      <w:pPr>
        <w:snapToGrid w:val="0"/>
        <w:spacing w:line="360" w:lineRule="auto"/>
        <w:ind w:firstLine="241" w:firstLineChars="100"/>
        <w:rPr>
          <w:rFonts w:ascii="仿宋" w:hAnsi="仿宋" w:eastAsia="仿宋"/>
          <w:b/>
          <w:color w:val="auto"/>
          <w:sz w:val="24"/>
          <w:highlight w:val="none"/>
        </w:rPr>
      </w:pPr>
    </w:p>
    <w:p>
      <w:pPr>
        <w:snapToGrid w:val="0"/>
        <w:spacing w:line="360" w:lineRule="auto"/>
        <w:jc w:val="left"/>
        <w:outlineLvl w:val="2"/>
        <w:rPr>
          <w:rFonts w:ascii="仿宋" w:hAnsi="仿宋" w:eastAsia="仿宋"/>
          <w:b/>
          <w:color w:val="auto"/>
          <w:sz w:val="24"/>
          <w:highlight w:val="none"/>
        </w:rPr>
      </w:pPr>
      <w:bookmarkStart w:id="67" w:name="_Toc14912"/>
      <w:bookmarkStart w:id="68" w:name="_Toc95312941"/>
      <w:bookmarkStart w:id="69" w:name="_Toc19383"/>
      <w:r>
        <w:rPr>
          <w:rFonts w:ascii="仿宋" w:hAnsi="仿宋" w:eastAsia="仿宋"/>
          <w:b/>
          <w:color w:val="auto"/>
          <w:sz w:val="24"/>
          <w:highlight w:val="none"/>
        </w:rPr>
        <w:t>3.</w:t>
      </w:r>
      <w:r>
        <w:rPr>
          <w:rFonts w:hint="eastAsia" w:ascii="仿宋" w:hAnsi="仿宋" w:eastAsia="仿宋"/>
          <w:b/>
          <w:color w:val="auto"/>
          <w:sz w:val="24"/>
          <w:highlight w:val="none"/>
        </w:rPr>
        <w:t>采购项目需要落实的政府采购政策</w:t>
      </w:r>
      <w:bookmarkEnd w:id="67"/>
      <w:bookmarkEnd w:id="68"/>
      <w:bookmarkEnd w:id="69"/>
    </w:p>
    <w:p>
      <w:pPr>
        <w:snapToGrid w:val="0"/>
        <w:spacing w:line="360" w:lineRule="auto"/>
        <w:ind w:firstLine="420"/>
        <w:rPr>
          <w:rFonts w:ascii="仿宋" w:hAnsi="仿宋" w:eastAsia="仿宋"/>
          <w:color w:val="auto"/>
          <w:sz w:val="24"/>
          <w:highlight w:val="none"/>
        </w:rPr>
      </w:pPr>
      <w:r>
        <w:rPr>
          <w:rFonts w:ascii="仿宋" w:hAnsi="仿宋" w:eastAsia="仿宋"/>
          <w:color w:val="auto"/>
          <w:sz w:val="24"/>
          <w:highlight w:val="none"/>
        </w:rPr>
        <w:t xml:space="preserve">3.1 </w:t>
      </w:r>
      <w:r>
        <w:rPr>
          <w:rFonts w:hint="eastAsia" w:ascii="仿宋" w:hAnsi="仿宋" w:eastAsia="仿宋"/>
          <w:color w:val="auto"/>
          <w:sz w:val="24"/>
          <w:highlight w:val="none"/>
        </w:rPr>
        <w:t>支持绿色发展</w:t>
      </w:r>
    </w:p>
    <w:p>
      <w:pPr>
        <w:snapToGrid w:val="0"/>
        <w:spacing w:line="360" w:lineRule="auto"/>
        <w:ind w:firstLine="420"/>
        <w:rPr>
          <w:rFonts w:ascii="仿宋" w:hAnsi="仿宋" w:eastAsia="仿宋"/>
          <w:b/>
          <w:color w:val="auto"/>
          <w:sz w:val="24"/>
          <w:highlight w:val="none"/>
        </w:rPr>
      </w:pPr>
      <w:r>
        <w:rPr>
          <w:rFonts w:ascii="仿宋" w:hAnsi="仿宋" w:eastAsia="仿宋"/>
          <w:color w:val="auto"/>
          <w:sz w:val="24"/>
          <w:highlight w:val="none"/>
        </w:rPr>
        <w:t>3.1.1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w:t>
      </w:r>
      <w:r>
        <w:rPr>
          <w:rFonts w:hint="eastAsia" w:ascii="仿宋" w:hAnsi="仿宋" w:eastAsia="仿宋"/>
          <w:b/>
          <w:color w:val="auto"/>
          <w:sz w:val="24"/>
          <w:highlight w:val="none"/>
        </w:rPr>
        <w:t>采购人拟采购的产品属于政府强制采购的节能产品品目清单范围的，供应商未按采购文件要求提供国家确定的认证机构出具的、处于有效期之内的节能产品认证证书的，投标无效。</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3.1.2 </w:t>
      </w:r>
      <w:r>
        <w:rPr>
          <w:rFonts w:hint="eastAsia" w:ascii="仿宋" w:hAnsi="仿宋" w:eastAsia="仿宋"/>
          <w:color w:val="auto"/>
          <w:sz w:val="24"/>
          <w:highlight w:val="none"/>
        </w:rPr>
        <w:t>修缮、装修类项目采购建材的，采购人应将绿色建筑和绿色建材性能、指标等作为实质性条件纳入采购文件和合同。</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3.1.3</w:t>
      </w:r>
      <w:r>
        <w:rPr>
          <w:rFonts w:hint="eastAsia" w:ascii="仿宋" w:hAnsi="仿宋" w:eastAsia="仿宋"/>
          <w:color w:val="auto"/>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napToGrid w:val="0"/>
        <w:spacing w:line="360" w:lineRule="auto"/>
        <w:ind w:firstLine="420"/>
        <w:rPr>
          <w:rFonts w:ascii="仿宋" w:hAnsi="仿宋" w:eastAsia="仿宋"/>
          <w:color w:val="auto"/>
          <w:sz w:val="24"/>
          <w:highlight w:val="none"/>
        </w:rPr>
      </w:pPr>
      <w:r>
        <w:rPr>
          <w:rFonts w:ascii="仿宋" w:hAnsi="仿宋" w:eastAsia="仿宋"/>
          <w:color w:val="auto"/>
          <w:sz w:val="24"/>
          <w:highlight w:val="none"/>
        </w:rPr>
        <w:t>3.2支持中小企业发展</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3.2.1中小企业，是指在中华人民共和国境内依法设立，依据国务院批准的中小企业划分标准确定的中型企业、小型企业和微型企业，但与大企业的负责人为同一人，或者与大企业存在直接控股、管理关系的除外。</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符合中小企业划分标准的个体工商户，在政府采购活动中视同中小企业。</w:t>
      </w:r>
    </w:p>
    <w:p>
      <w:pPr>
        <w:widowControl/>
        <w:snapToGrid w:val="0"/>
        <w:spacing w:line="360" w:lineRule="auto"/>
        <w:ind w:firstLine="480" w:firstLineChars="200"/>
        <w:jc w:val="left"/>
        <w:rPr>
          <w:rFonts w:ascii="仿宋" w:hAnsi="仿宋" w:eastAsia="仿宋" w:cs="宋体"/>
          <w:color w:val="auto"/>
          <w:kern w:val="0"/>
          <w:sz w:val="24"/>
          <w:highlight w:val="none"/>
        </w:rPr>
      </w:pPr>
      <w:r>
        <w:rPr>
          <w:rFonts w:ascii="仿宋" w:hAnsi="仿宋" w:eastAsia="仿宋"/>
          <w:bCs/>
          <w:color w:val="auto"/>
          <w:sz w:val="24"/>
          <w:highlight w:val="none"/>
        </w:rPr>
        <w:t>3.2.2</w:t>
      </w:r>
      <w:r>
        <w:rPr>
          <w:rFonts w:hint="eastAsia" w:ascii="仿宋" w:hAnsi="仿宋" w:eastAsia="仿宋" w:cs="宋体"/>
          <w:color w:val="auto"/>
          <w:kern w:val="0"/>
          <w:sz w:val="24"/>
          <w:highlight w:val="none"/>
        </w:rPr>
        <w:t>在政府采购活动中，供应商提供的货物、工程或者服务符合下列情形的，享受中小企业扶持政策：</w:t>
      </w:r>
    </w:p>
    <w:p>
      <w:pPr>
        <w:widowControl/>
        <w:snapToGrid w:val="0"/>
        <w:spacing w:line="360" w:lineRule="auto"/>
        <w:ind w:firstLine="480" w:firstLineChars="200"/>
        <w:jc w:val="left"/>
        <w:rPr>
          <w:rFonts w:ascii="仿宋" w:hAnsi="仿宋" w:eastAsia="仿宋" w:cs="宋体"/>
          <w:color w:val="auto"/>
          <w:kern w:val="0"/>
          <w:sz w:val="24"/>
          <w:highlight w:val="none"/>
        </w:rPr>
      </w:pPr>
      <w:r>
        <w:rPr>
          <w:rFonts w:ascii="仿宋" w:hAnsi="仿宋" w:eastAsia="仿宋" w:cs="宋体"/>
          <w:color w:val="auto"/>
          <w:kern w:val="0"/>
          <w:sz w:val="24"/>
          <w:highlight w:val="none"/>
        </w:rPr>
        <w:t>3.2.2.1在货物采购项目中，货物由中小企业制造，即货物由中小企业生产且使用该中小企业商号或者注册商标；</w:t>
      </w:r>
    </w:p>
    <w:p>
      <w:pPr>
        <w:widowControl/>
        <w:snapToGrid w:val="0"/>
        <w:spacing w:line="360" w:lineRule="auto"/>
        <w:ind w:firstLine="480" w:firstLineChars="200"/>
        <w:jc w:val="left"/>
        <w:rPr>
          <w:rFonts w:ascii="仿宋" w:hAnsi="仿宋" w:eastAsia="仿宋" w:cs="宋体"/>
          <w:color w:val="auto"/>
          <w:kern w:val="0"/>
          <w:sz w:val="24"/>
          <w:highlight w:val="none"/>
        </w:rPr>
      </w:pPr>
      <w:r>
        <w:rPr>
          <w:rFonts w:ascii="仿宋" w:hAnsi="仿宋" w:eastAsia="仿宋" w:cs="宋体"/>
          <w:color w:val="auto"/>
          <w:kern w:val="0"/>
          <w:sz w:val="24"/>
          <w:highlight w:val="none"/>
        </w:rPr>
        <w:t>3.2.2.2在工程采购项目中，工程由中小企业承建，即工程施工单位为中小企业；</w:t>
      </w:r>
    </w:p>
    <w:p>
      <w:pPr>
        <w:widowControl/>
        <w:snapToGrid w:val="0"/>
        <w:spacing w:line="360" w:lineRule="auto"/>
        <w:ind w:firstLine="480" w:firstLineChars="200"/>
        <w:jc w:val="left"/>
        <w:rPr>
          <w:rFonts w:ascii="仿宋" w:hAnsi="仿宋" w:eastAsia="仿宋" w:cs="宋体"/>
          <w:color w:val="auto"/>
          <w:kern w:val="0"/>
          <w:sz w:val="24"/>
          <w:highlight w:val="none"/>
        </w:rPr>
      </w:pPr>
      <w:r>
        <w:rPr>
          <w:rFonts w:ascii="仿宋" w:hAnsi="仿宋" w:eastAsia="仿宋" w:cs="宋体"/>
          <w:color w:val="auto"/>
          <w:kern w:val="0"/>
          <w:sz w:val="24"/>
          <w:highlight w:val="none"/>
        </w:rPr>
        <w:t>3.2.2.3在服务采购项目中，服务由中小企业承接，即提供服务的人员为中小企业依照《中华人民共和国劳动合同法》订立劳动合同的从业人员。</w:t>
      </w:r>
    </w:p>
    <w:p>
      <w:pPr>
        <w:widowControl/>
        <w:snapToGrid w:val="0"/>
        <w:spacing w:line="360" w:lineRule="auto"/>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在货物采购项目中，供应商提供的货物既有中小企业制造货物，也有大型企业制造货物的，不享受中小企业扶持政策。</w:t>
      </w:r>
    </w:p>
    <w:p>
      <w:pPr>
        <w:widowControl/>
        <w:snapToGrid w:val="0"/>
        <w:spacing w:line="360" w:lineRule="auto"/>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以联合体形式参加政府采购活动，联合体各方均为中小企业的，联合体视同中小企业。其中，联合体各方均为小微企业的，联合体视同小微企业。</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3.2.3</w:t>
      </w:r>
      <w:r>
        <w:rPr>
          <w:rFonts w:hint="eastAsia" w:ascii="仿宋" w:hAnsi="仿宋" w:eastAsia="仿宋"/>
          <w:color w:val="auto"/>
          <w:sz w:val="24"/>
          <w:highlight w:val="none"/>
        </w:rPr>
        <w:t>对于未预留份额专门面向中小企业的政府采购货物或服务项目，以及预留份额政府采购货物或服务项目中的非预留部分标项，对小型和微型企业的投标报价给予</w:t>
      </w:r>
      <w:r>
        <w:rPr>
          <w:rFonts w:ascii="仿宋" w:hAnsi="仿宋" w:eastAsia="仿宋"/>
          <w:b/>
          <w:bCs/>
          <w:color w:val="auto"/>
          <w:sz w:val="24"/>
          <w:highlight w:val="none"/>
        </w:rPr>
        <w:t>10%</w:t>
      </w:r>
      <w:r>
        <w:rPr>
          <w:rFonts w:ascii="仿宋" w:hAnsi="仿宋" w:eastAsia="仿宋"/>
          <w:color w:val="auto"/>
          <w:sz w:val="24"/>
          <w:highlight w:val="none"/>
        </w:rPr>
        <w:t>的扣除，用扣除后的价格参与评审。接受大中型企业与小微企业组成联合体或者允许大中型企业向一家或者多家小微企业分包的</w:t>
      </w:r>
      <w:r>
        <w:rPr>
          <w:rFonts w:hint="eastAsia" w:ascii="仿宋" w:hAnsi="仿宋" w:eastAsia="仿宋"/>
          <w:color w:val="auto"/>
          <w:sz w:val="24"/>
          <w:highlight w:val="none"/>
        </w:rPr>
        <w:t>政府</w:t>
      </w:r>
      <w:r>
        <w:rPr>
          <w:rFonts w:ascii="仿宋" w:hAnsi="仿宋" w:eastAsia="仿宋"/>
          <w:color w:val="auto"/>
          <w:sz w:val="24"/>
          <w:highlight w:val="none"/>
        </w:rPr>
        <w:t>采购</w:t>
      </w:r>
      <w:r>
        <w:rPr>
          <w:rFonts w:hint="eastAsia" w:ascii="仿宋" w:hAnsi="仿宋" w:eastAsia="仿宋"/>
          <w:color w:val="auto"/>
          <w:sz w:val="24"/>
          <w:highlight w:val="none"/>
        </w:rPr>
        <w:t>货物或服务</w:t>
      </w:r>
      <w:r>
        <w:rPr>
          <w:rFonts w:ascii="仿宋" w:hAnsi="仿宋" w:eastAsia="仿宋"/>
          <w:color w:val="auto"/>
          <w:sz w:val="24"/>
          <w:highlight w:val="none"/>
        </w:rPr>
        <w:t>项目，对于联合协议或者分包意向协议约定小微企业的合同份额占到合同总金额30%以上的，对联合体或者大中型企业的报价给予</w:t>
      </w:r>
      <w:r>
        <w:rPr>
          <w:rFonts w:ascii="仿宋" w:hAnsi="仿宋" w:eastAsia="仿宋"/>
          <w:b/>
          <w:bCs/>
          <w:color w:val="auto"/>
          <w:sz w:val="24"/>
          <w:highlight w:val="none"/>
        </w:rPr>
        <w:t>3%</w:t>
      </w:r>
      <w:r>
        <w:rPr>
          <w:rFonts w:ascii="仿宋" w:hAnsi="仿宋" w:eastAsia="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3.2.4符合《关于促进残疾人就业政府采购政策的通知》（财库〔2017〕141号）规定的条件并提供《残疾人福利性单位声明函》（附件1）的残疾人福利性单位视同小型、微型企业；</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3.2.5符合《关于政府采购支持监狱企业发展有关问题的通知》（财库[2014]68号）规定的监狱企业并提供由省级以上监狱管理局、戒毒管理局（含新疆生产建设兵团）出具的属于监狱企业证明文件的，视同为小型、微型企业。</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3.2.6</w:t>
      </w:r>
      <w:r>
        <w:rPr>
          <w:rFonts w:hint="eastAsia" w:ascii="仿宋" w:hAnsi="仿宋" w:eastAsia="仿宋"/>
          <w:color w:val="auto"/>
          <w:sz w:val="24"/>
          <w:highlight w:val="none"/>
        </w:rPr>
        <w:t>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pPr>
        <w:snapToGrid w:val="0"/>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3.2.7中小企业享受扶持政策获得政府采购合同的，小微企业不得将合同分包给大中型企业，中型企业不得将合同分包给大型企业</w:t>
      </w:r>
      <w:r>
        <w:rPr>
          <w:rFonts w:hint="eastAsia" w:ascii="仿宋" w:hAnsi="仿宋" w:eastAsia="仿宋"/>
          <w:color w:val="auto"/>
          <w:sz w:val="24"/>
          <w:highlight w:val="none"/>
        </w:rPr>
        <w:t>。</w:t>
      </w:r>
    </w:p>
    <w:p>
      <w:pPr>
        <w:snapToGrid w:val="0"/>
        <w:spacing w:line="360" w:lineRule="auto"/>
        <w:ind w:firstLine="420"/>
        <w:rPr>
          <w:rFonts w:ascii="仿宋" w:hAnsi="仿宋" w:eastAsia="仿宋"/>
          <w:color w:val="auto"/>
          <w:sz w:val="24"/>
          <w:highlight w:val="none"/>
        </w:rPr>
      </w:pPr>
      <w:r>
        <w:rPr>
          <w:rFonts w:ascii="仿宋" w:hAnsi="仿宋" w:eastAsia="仿宋"/>
          <w:color w:val="auto"/>
          <w:sz w:val="24"/>
          <w:highlight w:val="none"/>
        </w:rPr>
        <w:t>3.3</w:t>
      </w:r>
      <w:r>
        <w:rPr>
          <w:rFonts w:hint="eastAsia" w:ascii="仿宋" w:hAnsi="仿宋" w:eastAsia="仿宋"/>
          <w:bCs/>
          <w:color w:val="auto"/>
          <w:sz w:val="24"/>
          <w:highlight w:val="none"/>
        </w:rPr>
        <w:t>支持创新发展</w:t>
      </w:r>
    </w:p>
    <w:p>
      <w:pPr>
        <w:snapToGrid w:val="0"/>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3.3.1 采购人优先采购被认定</w:t>
      </w:r>
      <w:r>
        <w:rPr>
          <w:rFonts w:hint="eastAsia" w:ascii="仿宋" w:hAnsi="仿宋" w:eastAsia="仿宋"/>
          <w:color w:val="auto"/>
          <w:sz w:val="24"/>
          <w:highlight w:val="none"/>
        </w:rPr>
        <w:t>为首台套产品和“制造精品”的自主创新产品。</w:t>
      </w:r>
    </w:p>
    <w:p>
      <w:pPr>
        <w:snapToGrid w:val="0"/>
        <w:spacing w:line="360" w:lineRule="auto"/>
        <w:ind w:firstLine="424" w:firstLineChars="177"/>
        <w:rPr>
          <w:rFonts w:ascii="仿宋" w:hAnsi="仿宋" w:eastAsia="仿宋"/>
          <w:color w:val="auto"/>
          <w:sz w:val="24"/>
          <w:highlight w:val="none"/>
        </w:rPr>
      </w:pPr>
      <w:r>
        <w:rPr>
          <w:rFonts w:ascii="仿宋" w:hAnsi="仿宋" w:eastAsia="仿宋"/>
          <w:color w:val="auto"/>
          <w:sz w:val="24"/>
          <w:highlight w:val="none"/>
        </w:rPr>
        <w:t>3.3.2首台套产品</w:t>
      </w:r>
      <w:r>
        <w:rPr>
          <w:rFonts w:hint="eastAsia" w:ascii="仿宋" w:hAnsi="仿宋" w:eastAsia="仿宋"/>
          <w:color w:val="auto"/>
          <w:sz w:val="24"/>
          <w:highlight w:val="none"/>
        </w:rPr>
        <w:t>被纳入《首台套产品推广应用指导目录》之日起</w:t>
      </w:r>
      <w:r>
        <w:rPr>
          <w:rFonts w:ascii="仿宋" w:hAnsi="仿宋" w:eastAsia="仿宋"/>
          <w:color w:val="auto"/>
          <w:sz w:val="24"/>
          <w:highlight w:val="none"/>
        </w:rPr>
        <w:t>2年内，以及产品核心技术高于国内领先水平，并具有明晰自主知识产权的“制造精品”产品，</w:t>
      </w:r>
      <w:r>
        <w:rPr>
          <w:rFonts w:hint="eastAsia" w:ascii="仿宋" w:hAnsi="仿宋" w:eastAsia="仿宋"/>
          <w:color w:val="auto"/>
          <w:sz w:val="24"/>
          <w:highlight w:val="none"/>
        </w:rPr>
        <w:t>自认定之日起</w:t>
      </w:r>
      <w:r>
        <w:rPr>
          <w:rFonts w:ascii="仿宋" w:hAnsi="仿宋" w:eastAsia="仿宋"/>
          <w:color w:val="auto"/>
          <w:sz w:val="24"/>
          <w:highlight w:val="none"/>
        </w:rPr>
        <w:t>2年内视同已具备相应销售业绩，参加政府采购活动</w:t>
      </w:r>
      <w:r>
        <w:rPr>
          <w:rFonts w:hint="eastAsia" w:ascii="仿宋" w:hAnsi="仿宋" w:eastAsia="仿宋"/>
          <w:color w:val="auto"/>
          <w:sz w:val="24"/>
          <w:highlight w:val="none"/>
        </w:rPr>
        <w:t>时业绩分值为满分。</w:t>
      </w:r>
    </w:p>
    <w:p>
      <w:pPr>
        <w:snapToGrid w:val="0"/>
        <w:spacing w:line="360" w:lineRule="auto"/>
        <w:ind w:firstLine="420"/>
        <w:rPr>
          <w:rFonts w:ascii="仿宋" w:hAnsi="仿宋" w:eastAsia="仿宋"/>
          <w:color w:val="auto"/>
          <w:sz w:val="24"/>
          <w:highlight w:val="none"/>
        </w:rPr>
      </w:pPr>
      <w:r>
        <w:rPr>
          <w:rFonts w:ascii="仿宋" w:hAnsi="仿宋" w:eastAsia="仿宋"/>
          <w:color w:val="auto"/>
          <w:sz w:val="24"/>
          <w:highlight w:val="none"/>
        </w:rPr>
        <w:t>3.4中小企业信用融资：</w:t>
      </w:r>
      <w:r>
        <w:rPr>
          <w:rFonts w:hint="eastAsia" w:ascii="仿宋" w:hAnsi="仿宋" w:eastAsia="仿宋"/>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r>
        <w:rPr>
          <w:rFonts w:ascii="仿宋" w:hAnsi="仿宋" w:eastAsia="仿宋"/>
          <w:color w:val="auto"/>
          <w:sz w:val="24"/>
          <w:highlight w:val="none"/>
        </w:rPr>
        <w:cr/>
      </w:r>
    </w:p>
    <w:p>
      <w:pPr>
        <w:snapToGrid w:val="0"/>
        <w:spacing w:line="360" w:lineRule="auto"/>
        <w:jc w:val="left"/>
        <w:outlineLvl w:val="2"/>
        <w:rPr>
          <w:rFonts w:ascii="仿宋" w:hAnsi="仿宋" w:eastAsia="仿宋"/>
          <w:b/>
          <w:color w:val="auto"/>
          <w:sz w:val="24"/>
          <w:highlight w:val="none"/>
        </w:rPr>
      </w:pPr>
      <w:bookmarkStart w:id="70" w:name="_Toc30272"/>
      <w:bookmarkStart w:id="71" w:name="_Toc95312942"/>
      <w:bookmarkStart w:id="72" w:name="_Toc10216"/>
      <w:r>
        <w:rPr>
          <w:rFonts w:ascii="仿宋" w:hAnsi="仿宋" w:eastAsia="仿宋"/>
          <w:b/>
          <w:color w:val="auto"/>
          <w:sz w:val="24"/>
          <w:highlight w:val="none"/>
        </w:rPr>
        <w:t>4.</w:t>
      </w:r>
      <w:r>
        <w:rPr>
          <w:rFonts w:hint="eastAsia" w:ascii="仿宋" w:hAnsi="仿宋" w:eastAsia="仿宋"/>
          <w:b/>
          <w:color w:val="auto"/>
          <w:sz w:val="24"/>
          <w:highlight w:val="none"/>
        </w:rPr>
        <w:t>询问、质疑、投诉</w:t>
      </w:r>
      <w:bookmarkEnd w:id="70"/>
      <w:bookmarkEnd w:id="71"/>
      <w:bookmarkEnd w:id="72"/>
    </w:p>
    <w:p>
      <w:pPr>
        <w:autoSpaceDE w:val="0"/>
        <w:autoSpaceDN w:val="0"/>
        <w:snapToGrid w:val="0"/>
        <w:spacing w:line="360" w:lineRule="auto"/>
        <w:ind w:firstLine="420"/>
        <w:jc w:val="left"/>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4.1供应商询问</w:t>
      </w:r>
    </w:p>
    <w:p>
      <w:pPr>
        <w:autoSpaceDE w:val="0"/>
        <w:autoSpaceDN w:val="0"/>
        <w:snapToGrid w:val="0"/>
        <w:spacing w:line="360" w:lineRule="auto"/>
        <w:ind w:firstLine="480" w:firstLineChars="200"/>
        <w:jc w:val="left"/>
        <w:rPr>
          <w:rFonts w:ascii="仿宋" w:hAnsi="仿宋" w:eastAsia="仿宋" w:cs="微软雅黑"/>
          <w:color w:val="auto"/>
          <w:kern w:val="0"/>
          <w:sz w:val="24"/>
          <w:highlight w:val="none"/>
          <w:lang w:val="zh-CN"/>
        </w:rPr>
      </w:pPr>
      <w:r>
        <w:rPr>
          <w:rFonts w:hint="eastAsia" w:ascii="仿宋" w:hAnsi="仿宋" w:eastAsia="仿宋" w:cs="微软雅黑"/>
          <w:color w:val="auto"/>
          <w:kern w:val="0"/>
          <w:sz w:val="24"/>
          <w:highlight w:val="none"/>
          <w:lang w:val="zh-CN"/>
        </w:rPr>
        <w:t>供应商对政府采购活动事项有疑问的，可以提出询问，采购人或者采购代理机构应当在</w:t>
      </w:r>
      <w:r>
        <w:rPr>
          <w:rFonts w:ascii="仿宋" w:hAnsi="仿宋" w:eastAsia="仿宋" w:cs="微软雅黑"/>
          <w:color w:val="auto"/>
          <w:kern w:val="0"/>
          <w:sz w:val="24"/>
          <w:highlight w:val="none"/>
          <w:lang w:val="zh-CN"/>
        </w:rPr>
        <w:t>3个工作日内对供应</w:t>
      </w:r>
      <w:r>
        <w:rPr>
          <w:rFonts w:hint="eastAsia" w:ascii="仿宋" w:hAnsi="仿宋" w:eastAsia="仿宋" w:cs="微软雅黑"/>
          <w:color w:val="auto"/>
          <w:kern w:val="0"/>
          <w:sz w:val="24"/>
          <w:highlight w:val="none"/>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napToGrid w:val="0"/>
        <w:spacing w:line="360" w:lineRule="auto"/>
        <w:ind w:firstLine="420"/>
        <w:jc w:val="left"/>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4.2供应商质疑</w:t>
      </w:r>
    </w:p>
    <w:p>
      <w:pPr>
        <w:pStyle w:val="18"/>
        <w:snapToGrid w:val="0"/>
        <w:spacing w:line="360" w:lineRule="auto"/>
        <w:ind w:left="0" w:leftChars="0" w:firstLine="480"/>
        <w:rPr>
          <w:rFonts w:ascii="仿宋" w:hAnsi="仿宋" w:eastAsia="仿宋"/>
          <w:color w:val="auto"/>
          <w:sz w:val="24"/>
          <w:highlight w:val="none"/>
        </w:rPr>
      </w:pPr>
      <w:r>
        <w:rPr>
          <w:rFonts w:ascii="仿宋" w:hAnsi="仿宋" w:eastAsia="仿宋" w:cs="微软雅黑"/>
          <w:color w:val="auto"/>
          <w:kern w:val="0"/>
          <w:sz w:val="24"/>
          <w:highlight w:val="none"/>
          <w:lang w:val="zh-CN"/>
        </w:rPr>
        <w:t>4.2</w:t>
      </w:r>
      <w:r>
        <w:rPr>
          <w:rFonts w:ascii="仿宋" w:hAnsi="仿宋" w:eastAsia="仿宋"/>
          <w:color w:val="auto"/>
          <w:sz w:val="24"/>
          <w:highlight w:val="none"/>
        </w:rPr>
        <w:t>.1提出质疑的供应商应当是参与所质疑项目采购活动的供应商。潜在供应商已依法获取其可质疑的采购文件的，可以对该文件提出质疑。</w:t>
      </w:r>
    </w:p>
    <w:p>
      <w:pPr>
        <w:pStyle w:val="18"/>
        <w:snapToGrid w:val="0"/>
        <w:spacing w:line="360" w:lineRule="auto"/>
        <w:ind w:left="0" w:leftChars="0" w:firstLine="480"/>
        <w:rPr>
          <w:rFonts w:ascii="仿宋" w:hAnsi="仿宋" w:eastAsia="仿宋"/>
          <w:color w:val="auto"/>
          <w:sz w:val="24"/>
          <w:highlight w:val="none"/>
        </w:rPr>
      </w:pPr>
      <w:r>
        <w:rPr>
          <w:rFonts w:ascii="仿宋" w:hAnsi="仿宋" w:eastAsia="仿宋" w:cs="微软雅黑"/>
          <w:color w:val="auto"/>
          <w:kern w:val="0"/>
          <w:sz w:val="24"/>
          <w:highlight w:val="none"/>
          <w:lang w:val="zh-CN"/>
        </w:rPr>
        <w:t>4.2</w:t>
      </w:r>
      <w:r>
        <w:rPr>
          <w:rFonts w:ascii="仿宋" w:hAnsi="仿宋" w:eastAsia="仿宋"/>
          <w:color w:val="auto"/>
          <w:sz w:val="24"/>
          <w:highlight w:val="none"/>
        </w:rPr>
        <w:t>.2供应商认为采购文件、采购过程和中标结果使自己的权益受到损害的，可以在知道或者应知其权益受到损害之日起七个工作日内，以书面形式向采购人或者采购代理机构提出质疑，否则，采购人或者采购代理机构不予受理：</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4.2.2.1对采购文件提出质疑的，质疑期限为供应商获得采购文件之日或者采购文件公告期限届满之日起计算。</w:t>
      </w:r>
    </w:p>
    <w:p>
      <w:pPr>
        <w:pStyle w:val="18"/>
        <w:snapToGrid w:val="0"/>
        <w:spacing w:line="360" w:lineRule="auto"/>
        <w:ind w:left="0" w:leftChars="0" w:firstLine="480"/>
        <w:rPr>
          <w:rFonts w:ascii="仿宋" w:hAnsi="仿宋" w:eastAsia="仿宋"/>
          <w:color w:val="auto"/>
          <w:sz w:val="24"/>
          <w:highlight w:val="none"/>
        </w:rPr>
      </w:pPr>
      <w:r>
        <w:rPr>
          <w:rFonts w:ascii="仿宋" w:hAnsi="仿宋" w:eastAsia="仿宋"/>
          <w:color w:val="auto"/>
          <w:sz w:val="24"/>
          <w:highlight w:val="none"/>
        </w:rPr>
        <w:t>4.2.2.2对采购过程提出质疑的，质疑期限为各采购程序环节结束之日起计算。对同一采购程序环节的质疑，供应商须一次性提出。</w:t>
      </w:r>
    </w:p>
    <w:p>
      <w:pPr>
        <w:pStyle w:val="18"/>
        <w:snapToGrid w:val="0"/>
        <w:spacing w:line="360" w:lineRule="auto"/>
        <w:ind w:left="0" w:leftChars="0" w:firstLine="480"/>
        <w:rPr>
          <w:rFonts w:ascii="仿宋" w:hAnsi="仿宋" w:eastAsia="仿宋"/>
          <w:color w:val="auto"/>
          <w:sz w:val="24"/>
          <w:highlight w:val="none"/>
        </w:rPr>
      </w:pPr>
      <w:r>
        <w:rPr>
          <w:rFonts w:ascii="仿宋" w:hAnsi="仿宋" w:eastAsia="仿宋"/>
          <w:color w:val="auto"/>
          <w:sz w:val="24"/>
          <w:highlight w:val="none"/>
        </w:rPr>
        <w:t>4.2.2.3对采购结果提出质疑的，质疑期限自采购结果公告期限届满之日起计算。</w:t>
      </w:r>
    </w:p>
    <w:p>
      <w:pPr>
        <w:pStyle w:val="18"/>
        <w:snapToGrid w:val="0"/>
        <w:spacing w:line="360" w:lineRule="auto"/>
        <w:ind w:left="0" w:leftChars="0" w:firstLine="480"/>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4.2.3</w:t>
      </w:r>
      <w:r>
        <w:rPr>
          <w:rFonts w:hint="eastAsia" w:ascii="仿宋" w:hAnsi="仿宋" w:eastAsia="仿宋"/>
          <w:color w:val="auto"/>
          <w:sz w:val="24"/>
          <w:highlight w:val="none"/>
        </w:rPr>
        <w:t>供应商提出质疑应当提交质疑函和必要的证明材料。质疑函应当包括下列内容：</w:t>
      </w:r>
    </w:p>
    <w:p>
      <w:pPr>
        <w:pStyle w:val="18"/>
        <w:snapToGrid w:val="0"/>
        <w:spacing w:line="360" w:lineRule="auto"/>
        <w:ind w:left="0" w:leftChars="0" w:firstLine="480"/>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4.2.3.1</w:t>
      </w:r>
      <w:r>
        <w:rPr>
          <w:rFonts w:hint="eastAsia" w:ascii="仿宋" w:hAnsi="仿宋" w:eastAsia="仿宋" w:cs="微软雅黑"/>
          <w:color w:val="auto"/>
          <w:kern w:val="0"/>
          <w:sz w:val="24"/>
          <w:highlight w:val="none"/>
          <w:lang w:val="zh-CN"/>
        </w:rPr>
        <w:t>供应商的姓名或者名称、地址、邮编、联系人及联系电话；</w:t>
      </w:r>
    </w:p>
    <w:p>
      <w:pPr>
        <w:pStyle w:val="18"/>
        <w:snapToGrid w:val="0"/>
        <w:spacing w:line="360" w:lineRule="auto"/>
        <w:ind w:left="0" w:leftChars="0" w:firstLine="480"/>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4.2.3.2</w:t>
      </w:r>
      <w:r>
        <w:rPr>
          <w:rFonts w:hint="eastAsia" w:ascii="仿宋" w:hAnsi="仿宋" w:eastAsia="仿宋" w:cs="微软雅黑"/>
          <w:color w:val="auto"/>
          <w:kern w:val="0"/>
          <w:sz w:val="24"/>
          <w:highlight w:val="none"/>
          <w:lang w:val="zh-CN"/>
        </w:rPr>
        <w:t>质疑项目的名称、编号；</w:t>
      </w:r>
    </w:p>
    <w:p>
      <w:pPr>
        <w:pStyle w:val="18"/>
        <w:snapToGrid w:val="0"/>
        <w:spacing w:line="360" w:lineRule="auto"/>
        <w:ind w:left="0" w:leftChars="0" w:firstLine="480"/>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4.2.3.3</w:t>
      </w:r>
      <w:r>
        <w:rPr>
          <w:rFonts w:hint="eastAsia" w:ascii="仿宋" w:hAnsi="仿宋" w:eastAsia="仿宋" w:cs="微软雅黑"/>
          <w:color w:val="auto"/>
          <w:kern w:val="0"/>
          <w:sz w:val="24"/>
          <w:highlight w:val="none"/>
          <w:lang w:val="zh-CN"/>
        </w:rPr>
        <w:t>具体、明确的质疑事项和与质疑事项相关的请求；</w:t>
      </w:r>
    </w:p>
    <w:p>
      <w:pPr>
        <w:pStyle w:val="18"/>
        <w:snapToGrid w:val="0"/>
        <w:spacing w:line="360" w:lineRule="auto"/>
        <w:ind w:left="0" w:leftChars="0" w:firstLine="480"/>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4.2.3.4</w:t>
      </w:r>
      <w:r>
        <w:rPr>
          <w:rFonts w:hint="eastAsia" w:ascii="仿宋" w:hAnsi="仿宋" w:eastAsia="仿宋" w:cs="微软雅黑"/>
          <w:color w:val="auto"/>
          <w:kern w:val="0"/>
          <w:sz w:val="24"/>
          <w:highlight w:val="none"/>
          <w:lang w:val="zh-CN"/>
        </w:rPr>
        <w:t>事实依据；</w:t>
      </w:r>
    </w:p>
    <w:p>
      <w:pPr>
        <w:pStyle w:val="18"/>
        <w:snapToGrid w:val="0"/>
        <w:spacing w:line="360" w:lineRule="auto"/>
        <w:ind w:left="0" w:leftChars="0" w:firstLine="480"/>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4.2.3.5</w:t>
      </w:r>
      <w:r>
        <w:rPr>
          <w:rFonts w:hint="eastAsia" w:ascii="仿宋" w:hAnsi="仿宋" w:eastAsia="仿宋" w:cs="微软雅黑"/>
          <w:color w:val="auto"/>
          <w:kern w:val="0"/>
          <w:sz w:val="24"/>
          <w:highlight w:val="none"/>
          <w:lang w:val="zh-CN"/>
        </w:rPr>
        <w:t>必要的法律依据；</w:t>
      </w:r>
    </w:p>
    <w:p>
      <w:pPr>
        <w:pStyle w:val="18"/>
        <w:snapToGrid w:val="0"/>
        <w:spacing w:line="360" w:lineRule="auto"/>
        <w:ind w:left="0" w:leftChars="0" w:firstLine="480"/>
        <w:rPr>
          <w:rFonts w:ascii="仿宋" w:hAnsi="仿宋" w:eastAsia="仿宋" w:cs="微软雅黑"/>
          <w:color w:val="auto"/>
          <w:kern w:val="0"/>
          <w:sz w:val="24"/>
          <w:highlight w:val="none"/>
          <w:lang w:val="zh-CN"/>
        </w:rPr>
      </w:pPr>
      <w:r>
        <w:rPr>
          <w:rFonts w:ascii="仿宋" w:hAnsi="仿宋" w:eastAsia="仿宋" w:cs="微软雅黑"/>
          <w:color w:val="auto"/>
          <w:kern w:val="0"/>
          <w:sz w:val="24"/>
          <w:highlight w:val="none"/>
          <w:lang w:val="zh-CN"/>
        </w:rPr>
        <w:t>4.2.3.6</w:t>
      </w:r>
      <w:r>
        <w:rPr>
          <w:rFonts w:hint="eastAsia" w:ascii="仿宋" w:hAnsi="仿宋" w:eastAsia="仿宋" w:cs="微软雅黑"/>
          <w:color w:val="auto"/>
          <w:kern w:val="0"/>
          <w:sz w:val="24"/>
          <w:highlight w:val="none"/>
          <w:lang w:val="zh-CN"/>
        </w:rPr>
        <w:t>提出质疑的日期。</w:t>
      </w:r>
    </w:p>
    <w:p>
      <w:pPr>
        <w:pStyle w:val="572"/>
        <w:shd w:val="clear" w:color="auto" w:fill="FFFFFF"/>
        <w:adjustRightInd w:val="0"/>
        <w:snapToGrid w:val="0"/>
        <w:spacing w:before="0" w:beforeAutospacing="0" w:after="0" w:afterAutospacing="0" w:line="360" w:lineRule="auto"/>
        <w:ind w:firstLine="400"/>
        <w:contextualSpacing/>
        <w:rPr>
          <w:rFonts w:ascii="仿宋" w:hAnsi="仿宋" w:eastAsia="仿宋"/>
          <w:color w:val="auto"/>
          <w:sz w:val="24"/>
          <w:szCs w:val="24"/>
          <w:highlight w:val="none"/>
        </w:rPr>
      </w:pPr>
      <w:r>
        <w:rPr>
          <w:rFonts w:hint="eastAsia" w:ascii="仿宋" w:hAnsi="仿宋" w:eastAsia="仿宋"/>
          <w:color w:val="auto"/>
          <w:sz w:val="24"/>
          <w:szCs w:val="24"/>
          <w:highlight w:val="none"/>
        </w:rPr>
        <w:t>供应商提交的质疑函需一式三份。供应商为自然人的，应当由本人签字；供应商为法人或者其他组织的，应当由法定代表人、主要负责人，或者其授权</w:t>
      </w:r>
    </w:p>
    <w:p>
      <w:pPr>
        <w:pStyle w:val="572"/>
        <w:shd w:val="clear" w:color="auto" w:fill="FFFFFF"/>
        <w:adjustRightInd w:val="0"/>
        <w:snapToGrid w:val="0"/>
        <w:spacing w:before="0" w:beforeAutospacing="0" w:after="0" w:afterAutospacing="0" w:line="360" w:lineRule="auto"/>
        <w:contextualSpacing/>
        <w:jc w:val="both"/>
        <w:rPr>
          <w:rFonts w:ascii="仿宋" w:hAnsi="仿宋" w:eastAsia="仿宋"/>
          <w:color w:val="auto"/>
          <w:sz w:val="24"/>
          <w:szCs w:val="24"/>
          <w:highlight w:val="none"/>
        </w:rPr>
      </w:pPr>
      <w:r>
        <w:rPr>
          <w:rFonts w:hint="eastAsia" w:ascii="仿宋" w:hAnsi="仿宋" w:eastAsia="仿宋"/>
          <w:color w:val="auto"/>
          <w:sz w:val="24"/>
          <w:szCs w:val="24"/>
          <w:highlight w:val="none"/>
        </w:rPr>
        <w:t>代表签字或者盖章，并加盖公章。质疑函范本及制作说明详见附件</w:t>
      </w:r>
      <w:r>
        <w:rPr>
          <w:rFonts w:ascii="仿宋" w:hAnsi="仿宋" w:eastAsia="仿宋"/>
          <w:color w:val="auto"/>
          <w:sz w:val="24"/>
          <w:szCs w:val="24"/>
          <w:highlight w:val="none"/>
        </w:rPr>
        <w:t>2。</w:t>
      </w:r>
    </w:p>
    <w:p>
      <w:pPr>
        <w:pStyle w:val="572"/>
        <w:shd w:val="clear" w:color="auto" w:fill="FFFFFF"/>
        <w:adjustRightInd w:val="0"/>
        <w:snapToGrid w:val="0"/>
        <w:spacing w:before="0" w:beforeAutospacing="0" w:after="0" w:afterAutospacing="0" w:line="360" w:lineRule="auto"/>
        <w:ind w:firstLine="420"/>
        <w:contextualSpacing/>
        <w:rPr>
          <w:rFonts w:ascii="仿宋" w:hAnsi="仿宋" w:eastAsia="仿宋"/>
          <w:color w:val="auto"/>
          <w:sz w:val="24"/>
          <w:szCs w:val="24"/>
          <w:highlight w:val="none"/>
        </w:rPr>
      </w:pPr>
      <w:r>
        <w:rPr>
          <w:rFonts w:ascii="仿宋" w:hAnsi="仿宋" w:eastAsia="仿宋" w:cs="微软雅黑"/>
          <w:color w:val="auto"/>
          <w:sz w:val="24"/>
          <w:szCs w:val="24"/>
          <w:highlight w:val="none"/>
          <w:lang w:val="zh-CN"/>
        </w:rPr>
        <w:t>4.2</w:t>
      </w:r>
      <w:r>
        <w:rPr>
          <w:rFonts w:ascii="仿宋" w:hAnsi="仿宋" w:eastAsia="仿宋"/>
          <w:color w:val="auto"/>
          <w:sz w:val="24"/>
          <w:szCs w:val="24"/>
          <w:highlight w:val="none"/>
        </w:rPr>
        <w:t>.4</w:t>
      </w:r>
      <w:r>
        <w:rPr>
          <w:rFonts w:hint="eastAsia" w:ascii="仿宋" w:hAnsi="仿宋" w:eastAsia="仿宋"/>
          <w:color w:val="auto"/>
          <w:sz w:val="24"/>
          <w:szCs w:val="24"/>
          <w:highlight w:val="none"/>
        </w:rPr>
        <w:t>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color w:val="auto"/>
          <w:sz w:val="24"/>
          <w:szCs w:val="24"/>
          <w:highlight w:val="none"/>
        </w:rPr>
        <w:t>2021〕17号）,</w:t>
      </w:r>
      <w:r>
        <w:rPr>
          <w:rFonts w:hint="eastAsia" w:ascii="仿宋" w:hAnsi="仿宋" w:eastAsia="仿宋"/>
          <w:color w:val="auto"/>
          <w:sz w:val="24"/>
          <w:szCs w:val="24"/>
          <w:highlight w:val="none"/>
        </w:rPr>
        <w:t>采购人或者采购代理机构在质疑回复后</w:t>
      </w:r>
      <w:r>
        <w:rPr>
          <w:rFonts w:ascii="仿宋" w:hAnsi="仿宋" w:eastAsia="仿宋"/>
          <w:color w:val="auto"/>
          <w:sz w:val="24"/>
          <w:szCs w:val="24"/>
          <w:highlight w:val="none"/>
        </w:rPr>
        <w:t>5个工作日内，在浙江政府采购网的“其他公告”栏目公开质疑答复，答复内容应当完整。质疑</w:t>
      </w:r>
      <w:r>
        <w:rPr>
          <w:rFonts w:hint="eastAsia" w:ascii="仿宋" w:hAnsi="仿宋" w:eastAsia="仿宋"/>
          <w:color w:val="auto"/>
          <w:sz w:val="24"/>
          <w:szCs w:val="24"/>
          <w:highlight w:val="none"/>
        </w:rPr>
        <w:t>函作为附件上</w:t>
      </w:r>
    </w:p>
    <w:p>
      <w:pPr>
        <w:pStyle w:val="572"/>
        <w:shd w:val="clear" w:color="auto" w:fill="FFFFFF"/>
        <w:adjustRightInd w:val="0"/>
        <w:snapToGrid w:val="0"/>
        <w:spacing w:before="0" w:beforeAutospacing="0" w:after="0" w:afterAutospacing="0" w:line="360" w:lineRule="auto"/>
        <w:contextualSpacing/>
        <w:jc w:val="both"/>
        <w:rPr>
          <w:rFonts w:ascii="仿宋" w:hAnsi="仿宋" w:eastAsia="仿宋"/>
          <w:color w:val="auto"/>
          <w:sz w:val="24"/>
          <w:szCs w:val="24"/>
          <w:highlight w:val="none"/>
        </w:rPr>
      </w:pPr>
      <w:r>
        <w:rPr>
          <w:rFonts w:hint="eastAsia" w:ascii="仿宋" w:hAnsi="仿宋" w:eastAsia="仿宋"/>
          <w:color w:val="auto"/>
          <w:sz w:val="24"/>
          <w:szCs w:val="24"/>
          <w:highlight w:val="none"/>
        </w:rPr>
        <w:t>传。</w:t>
      </w:r>
    </w:p>
    <w:p>
      <w:pPr>
        <w:pStyle w:val="572"/>
        <w:shd w:val="clear" w:color="auto" w:fill="FFFFFF"/>
        <w:adjustRightInd w:val="0"/>
        <w:snapToGrid w:val="0"/>
        <w:spacing w:before="0" w:beforeAutospacing="0" w:after="0" w:afterAutospacing="0" w:line="360" w:lineRule="auto"/>
        <w:ind w:firstLine="420"/>
        <w:contextualSpacing/>
        <w:rPr>
          <w:rFonts w:ascii="仿宋" w:hAnsi="仿宋" w:eastAsia="仿宋"/>
          <w:color w:val="auto"/>
          <w:sz w:val="24"/>
          <w:szCs w:val="24"/>
          <w:highlight w:val="none"/>
        </w:rPr>
      </w:pPr>
      <w:r>
        <w:rPr>
          <w:rFonts w:ascii="仿宋" w:hAnsi="仿宋" w:eastAsia="仿宋" w:cs="微软雅黑"/>
          <w:color w:val="auto"/>
          <w:sz w:val="24"/>
          <w:szCs w:val="24"/>
          <w:highlight w:val="none"/>
          <w:lang w:val="zh-CN"/>
        </w:rPr>
        <w:t>4.2</w:t>
      </w:r>
      <w:r>
        <w:rPr>
          <w:rFonts w:ascii="仿宋" w:hAnsi="仿宋" w:eastAsia="仿宋"/>
          <w:color w:val="auto"/>
          <w:sz w:val="24"/>
          <w:szCs w:val="24"/>
          <w:highlight w:val="none"/>
        </w:rPr>
        <w:t>.5询问或者质疑事项可能影响采购结果的，采购人应当暂停签订合同，</w:t>
      </w:r>
    </w:p>
    <w:p>
      <w:pPr>
        <w:pStyle w:val="572"/>
        <w:shd w:val="clear" w:color="auto" w:fill="FFFFFF"/>
        <w:adjustRightInd w:val="0"/>
        <w:snapToGrid w:val="0"/>
        <w:spacing w:before="0" w:beforeAutospacing="0" w:after="0" w:afterAutospacing="0" w:line="360" w:lineRule="auto"/>
        <w:contextualSpacing/>
        <w:jc w:val="both"/>
        <w:rPr>
          <w:rFonts w:ascii="仿宋" w:hAnsi="仿宋" w:eastAsia="仿宋"/>
          <w:color w:val="auto"/>
          <w:sz w:val="24"/>
          <w:szCs w:val="24"/>
          <w:highlight w:val="none"/>
        </w:rPr>
      </w:pPr>
      <w:r>
        <w:rPr>
          <w:rFonts w:ascii="仿宋" w:hAnsi="仿宋" w:eastAsia="仿宋"/>
          <w:color w:val="auto"/>
          <w:sz w:val="24"/>
          <w:szCs w:val="24"/>
          <w:highlight w:val="none"/>
        </w:rPr>
        <w:t>已经签订合同</w:t>
      </w:r>
    </w:p>
    <w:p>
      <w:pPr>
        <w:pStyle w:val="572"/>
        <w:shd w:val="clear" w:color="auto" w:fill="FFFFFF"/>
        <w:adjustRightInd w:val="0"/>
        <w:snapToGrid w:val="0"/>
        <w:spacing w:before="0" w:beforeAutospacing="0" w:after="0" w:afterAutospacing="0" w:line="360" w:lineRule="auto"/>
        <w:contextualSpacing/>
        <w:jc w:val="both"/>
        <w:rPr>
          <w:rFonts w:ascii="仿宋" w:hAnsi="仿宋" w:eastAsia="仿宋"/>
          <w:color w:val="auto"/>
          <w:sz w:val="24"/>
          <w:szCs w:val="24"/>
          <w:highlight w:val="none"/>
        </w:rPr>
      </w:pPr>
      <w:r>
        <w:rPr>
          <w:rFonts w:ascii="仿宋" w:hAnsi="仿宋" w:eastAsia="仿宋"/>
          <w:color w:val="auto"/>
          <w:sz w:val="24"/>
          <w:szCs w:val="24"/>
          <w:highlight w:val="none"/>
        </w:rPr>
        <w:t>的，应当中止履行合同。</w:t>
      </w:r>
    </w:p>
    <w:p>
      <w:pPr>
        <w:pStyle w:val="572"/>
        <w:shd w:val="clear" w:color="auto" w:fill="FFFFFF"/>
        <w:adjustRightInd w:val="0"/>
        <w:snapToGrid w:val="0"/>
        <w:spacing w:before="0" w:beforeAutospacing="0" w:after="0" w:afterAutospacing="0" w:line="360" w:lineRule="auto"/>
        <w:ind w:firstLine="420"/>
        <w:contextualSpacing/>
        <w:jc w:val="both"/>
        <w:rPr>
          <w:rFonts w:ascii="仿宋" w:hAnsi="仿宋" w:eastAsia="仿宋" w:cs="微软雅黑"/>
          <w:color w:val="auto"/>
          <w:sz w:val="24"/>
          <w:szCs w:val="24"/>
          <w:highlight w:val="none"/>
          <w:lang w:val="zh-CN"/>
        </w:rPr>
      </w:pPr>
      <w:r>
        <w:rPr>
          <w:rFonts w:ascii="仿宋" w:hAnsi="仿宋" w:eastAsia="仿宋" w:cs="微软雅黑"/>
          <w:color w:val="auto"/>
          <w:sz w:val="24"/>
          <w:szCs w:val="24"/>
          <w:highlight w:val="none"/>
          <w:lang w:val="zh-CN"/>
        </w:rPr>
        <w:t>4.3供应商投诉</w:t>
      </w:r>
    </w:p>
    <w:p>
      <w:pPr>
        <w:pStyle w:val="572"/>
        <w:shd w:val="clear" w:color="auto" w:fill="FFFFFF"/>
        <w:adjustRightInd w:val="0"/>
        <w:snapToGrid w:val="0"/>
        <w:spacing w:before="0" w:beforeAutospacing="0" w:after="0" w:afterAutospacing="0" w:line="360" w:lineRule="auto"/>
        <w:ind w:firstLine="400"/>
        <w:contextualSpacing/>
        <w:rPr>
          <w:rFonts w:ascii="仿宋" w:hAnsi="仿宋" w:eastAsia="仿宋"/>
          <w:color w:val="auto"/>
          <w:sz w:val="24"/>
          <w:szCs w:val="24"/>
          <w:highlight w:val="none"/>
        </w:rPr>
      </w:pPr>
      <w:r>
        <w:rPr>
          <w:rFonts w:ascii="仿宋" w:hAnsi="仿宋" w:eastAsia="仿宋"/>
          <w:color w:val="auto"/>
          <w:sz w:val="24"/>
          <w:szCs w:val="24"/>
          <w:highlight w:val="none"/>
        </w:rPr>
        <w:t>4.3.1质疑供应商对采购人、采购代理机构的答复不满意或者采购人、采购代理机构未在规定的时间内</w:t>
      </w:r>
      <w:r>
        <w:rPr>
          <w:rFonts w:hint="eastAsia" w:ascii="仿宋" w:hAnsi="仿宋" w:eastAsia="仿宋"/>
          <w:color w:val="auto"/>
          <w:sz w:val="24"/>
          <w:szCs w:val="24"/>
          <w:highlight w:val="none"/>
        </w:rPr>
        <w:t>作出答复的，可以在答复期满后十五个工作日内向</w:t>
      </w:r>
    </w:p>
    <w:p>
      <w:pPr>
        <w:pStyle w:val="572"/>
        <w:shd w:val="clear" w:color="auto" w:fill="FFFFFF"/>
        <w:adjustRightInd w:val="0"/>
        <w:snapToGrid w:val="0"/>
        <w:spacing w:before="0" w:beforeAutospacing="0" w:after="0" w:afterAutospacing="0" w:line="360" w:lineRule="auto"/>
        <w:contextualSpacing/>
        <w:jc w:val="both"/>
        <w:rPr>
          <w:rFonts w:ascii="仿宋" w:hAnsi="仿宋" w:eastAsia="仿宋"/>
          <w:color w:val="auto"/>
          <w:sz w:val="24"/>
          <w:szCs w:val="24"/>
          <w:highlight w:val="none"/>
        </w:rPr>
      </w:pPr>
      <w:r>
        <w:rPr>
          <w:rFonts w:hint="eastAsia" w:ascii="仿宋" w:hAnsi="仿宋" w:eastAsia="仿宋"/>
          <w:color w:val="auto"/>
          <w:sz w:val="24"/>
          <w:szCs w:val="24"/>
          <w:highlight w:val="none"/>
        </w:rPr>
        <w:t>同级政府采购监督管理部门提出投诉。</w:t>
      </w:r>
    </w:p>
    <w:p>
      <w:pPr>
        <w:pStyle w:val="572"/>
        <w:shd w:val="clear" w:color="auto" w:fill="FFFFFF"/>
        <w:adjustRightInd w:val="0"/>
        <w:snapToGrid w:val="0"/>
        <w:spacing w:before="0" w:beforeAutospacing="0" w:after="0" w:afterAutospacing="0" w:line="360" w:lineRule="auto"/>
        <w:ind w:firstLine="400"/>
        <w:contextualSpacing/>
        <w:rPr>
          <w:rFonts w:ascii="仿宋" w:hAnsi="仿宋" w:eastAsia="仿宋"/>
          <w:color w:val="auto"/>
          <w:sz w:val="24"/>
          <w:szCs w:val="24"/>
          <w:highlight w:val="none"/>
        </w:rPr>
      </w:pPr>
      <w:r>
        <w:rPr>
          <w:rFonts w:ascii="仿宋" w:hAnsi="仿宋" w:eastAsia="仿宋"/>
          <w:color w:val="auto"/>
          <w:sz w:val="24"/>
          <w:szCs w:val="24"/>
          <w:highlight w:val="none"/>
        </w:rPr>
        <w:t>4.3.</w:t>
      </w:r>
      <w:r>
        <w:rPr>
          <w:rFonts w:ascii="仿宋" w:hAnsi="仿宋" w:eastAsia="仿宋" w:cs="微软雅黑"/>
          <w:color w:val="auto"/>
          <w:sz w:val="24"/>
          <w:szCs w:val="24"/>
          <w:highlight w:val="none"/>
          <w:lang w:val="zh-CN"/>
        </w:rPr>
        <w:t>2</w:t>
      </w:r>
      <w:r>
        <w:rPr>
          <w:rFonts w:hint="eastAsia" w:ascii="仿宋" w:hAnsi="仿宋" w:eastAsia="仿宋"/>
          <w:color w:val="auto"/>
          <w:sz w:val="24"/>
          <w:szCs w:val="24"/>
          <w:highlight w:val="none"/>
        </w:rPr>
        <w:t>供应商投诉的事项不得超出已质疑事项的范围，基于质疑答复内容提</w:t>
      </w:r>
    </w:p>
    <w:p>
      <w:pPr>
        <w:pStyle w:val="572"/>
        <w:shd w:val="clear" w:color="auto" w:fill="FFFFFF"/>
        <w:adjustRightInd w:val="0"/>
        <w:snapToGrid w:val="0"/>
        <w:spacing w:before="0" w:beforeAutospacing="0" w:after="0" w:afterAutospacing="0" w:line="360" w:lineRule="auto"/>
        <w:contextualSpacing/>
        <w:jc w:val="both"/>
        <w:rPr>
          <w:rFonts w:ascii="仿宋" w:hAnsi="仿宋" w:eastAsia="仿宋"/>
          <w:color w:val="auto"/>
          <w:sz w:val="24"/>
          <w:szCs w:val="24"/>
          <w:highlight w:val="none"/>
        </w:rPr>
      </w:pPr>
      <w:r>
        <w:rPr>
          <w:rFonts w:hint="eastAsia" w:ascii="仿宋" w:hAnsi="仿宋" w:eastAsia="仿宋"/>
          <w:color w:val="auto"/>
          <w:sz w:val="24"/>
          <w:szCs w:val="24"/>
          <w:highlight w:val="none"/>
        </w:rPr>
        <w:t>出的投诉事项除外。</w:t>
      </w:r>
    </w:p>
    <w:p>
      <w:pPr>
        <w:pStyle w:val="572"/>
        <w:shd w:val="clear" w:color="auto" w:fill="FFFFFF"/>
        <w:adjustRightInd w:val="0"/>
        <w:snapToGrid w:val="0"/>
        <w:spacing w:before="0" w:beforeAutospacing="0" w:after="0" w:afterAutospacing="0" w:line="360" w:lineRule="auto"/>
        <w:ind w:firstLine="400"/>
        <w:contextualSpacing/>
        <w:jc w:val="both"/>
        <w:rPr>
          <w:rFonts w:ascii="仿宋" w:hAnsi="仿宋" w:eastAsia="仿宋"/>
          <w:color w:val="auto"/>
          <w:sz w:val="24"/>
          <w:szCs w:val="24"/>
          <w:highlight w:val="none"/>
        </w:rPr>
      </w:pPr>
      <w:r>
        <w:rPr>
          <w:rFonts w:ascii="仿宋" w:hAnsi="仿宋" w:eastAsia="仿宋"/>
          <w:color w:val="auto"/>
          <w:sz w:val="24"/>
          <w:szCs w:val="24"/>
          <w:highlight w:val="none"/>
        </w:rPr>
        <w:t>4.3.3供应</w:t>
      </w:r>
      <w:r>
        <w:rPr>
          <w:rFonts w:hint="eastAsia" w:ascii="仿宋" w:hAnsi="仿宋" w:eastAsia="仿宋"/>
          <w:color w:val="auto"/>
          <w:sz w:val="24"/>
          <w:szCs w:val="24"/>
          <w:highlight w:val="none"/>
        </w:rPr>
        <w:t>商投诉应当有明确的请求和必要的证明材料。</w:t>
      </w:r>
    </w:p>
    <w:p>
      <w:pPr>
        <w:pStyle w:val="572"/>
        <w:shd w:val="clear" w:color="auto" w:fill="FFFFFF"/>
        <w:adjustRightInd w:val="0"/>
        <w:snapToGrid w:val="0"/>
        <w:spacing w:before="0" w:beforeAutospacing="0" w:after="0" w:afterAutospacing="0" w:line="360" w:lineRule="auto"/>
        <w:ind w:firstLine="400"/>
        <w:contextualSpacing/>
        <w:jc w:val="both"/>
        <w:rPr>
          <w:rFonts w:ascii="仿宋" w:hAnsi="仿宋" w:eastAsia="仿宋"/>
          <w:color w:val="auto"/>
          <w:sz w:val="24"/>
          <w:szCs w:val="24"/>
          <w:highlight w:val="none"/>
        </w:rPr>
      </w:pPr>
      <w:r>
        <w:rPr>
          <w:rFonts w:ascii="仿宋" w:hAnsi="仿宋" w:eastAsia="仿宋"/>
          <w:color w:val="auto"/>
          <w:sz w:val="24"/>
          <w:szCs w:val="24"/>
          <w:highlight w:val="none"/>
        </w:rPr>
        <w:t>4.3.</w:t>
      </w:r>
      <w:r>
        <w:rPr>
          <w:rFonts w:hint="eastAsia" w:ascii="仿宋" w:hAnsi="仿宋" w:eastAsia="仿宋"/>
          <w:color w:val="auto"/>
          <w:sz w:val="24"/>
          <w:szCs w:val="24"/>
          <w:highlight w:val="none"/>
        </w:rPr>
        <w:t>4</w:t>
      </w:r>
      <w:r>
        <w:rPr>
          <w:rFonts w:ascii="仿宋" w:hAnsi="仿宋" w:eastAsia="仿宋"/>
          <w:color w:val="auto"/>
          <w:sz w:val="24"/>
          <w:szCs w:val="24"/>
          <w:highlight w:val="none"/>
        </w:rPr>
        <w:t xml:space="preserve"> </w:t>
      </w:r>
      <w:r>
        <w:rPr>
          <w:rFonts w:hint="eastAsia" w:ascii="仿宋" w:hAnsi="仿宋" w:eastAsia="仿宋"/>
          <w:color w:val="auto"/>
          <w:sz w:val="24"/>
          <w:szCs w:val="24"/>
          <w:highlight w:val="none"/>
        </w:rPr>
        <w:t>以联合体形式参加政府采购活动的，其投诉应当由组成联合体的所</w:t>
      </w:r>
    </w:p>
    <w:p>
      <w:pPr>
        <w:pStyle w:val="572"/>
        <w:shd w:val="clear" w:color="auto" w:fill="FFFFFF"/>
        <w:adjustRightInd w:val="0"/>
        <w:snapToGrid w:val="0"/>
        <w:spacing w:before="0" w:beforeAutospacing="0" w:after="0" w:afterAutospacing="0" w:line="360" w:lineRule="auto"/>
        <w:contextualSpacing/>
        <w:jc w:val="both"/>
        <w:rPr>
          <w:rFonts w:ascii="仿宋" w:hAnsi="仿宋" w:eastAsia="仿宋"/>
          <w:color w:val="auto"/>
          <w:sz w:val="24"/>
          <w:szCs w:val="24"/>
          <w:highlight w:val="none"/>
        </w:rPr>
      </w:pPr>
      <w:r>
        <w:rPr>
          <w:rFonts w:hint="eastAsia" w:ascii="仿宋" w:hAnsi="仿宋" w:eastAsia="仿宋"/>
          <w:color w:val="auto"/>
          <w:sz w:val="24"/>
          <w:szCs w:val="24"/>
          <w:highlight w:val="none"/>
        </w:rPr>
        <w:t>有供应商共同提出。投诉书范本及制作说明详见附件</w:t>
      </w:r>
      <w:r>
        <w:rPr>
          <w:rFonts w:ascii="仿宋" w:hAnsi="仿宋" w:eastAsia="仿宋"/>
          <w:color w:val="auto"/>
          <w:sz w:val="24"/>
          <w:szCs w:val="24"/>
          <w:highlight w:val="none"/>
        </w:rPr>
        <w:t>3。</w:t>
      </w:r>
    </w:p>
    <w:p>
      <w:pPr>
        <w:snapToGrid w:val="0"/>
        <w:ind w:firstLine="360"/>
        <w:rPr>
          <w:rFonts w:ascii="仿宋" w:hAnsi="仿宋" w:eastAsia="仿宋" w:cs="仿宋_GB2312"/>
          <w:color w:val="auto"/>
          <w:sz w:val="24"/>
          <w:highlight w:val="none"/>
        </w:rPr>
      </w:pPr>
    </w:p>
    <w:p>
      <w:pPr>
        <w:snapToGrid w:val="0"/>
        <w:spacing w:line="360" w:lineRule="auto"/>
        <w:jc w:val="center"/>
        <w:outlineLvl w:val="1"/>
        <w:rPr>
          <w:rFonts w:ascii="仿宋" w:hAnsi="仿宋" w:eastAsia="仿宋" w:cs="仿宋_GB2312"/>
          <w:b/>
          <w:color w:val="auto"/>
          <w:sz w:val="24"/>
          <w:highlight w:val="none"/>
        </w:rPr>
      </w:pPr>
      <w:bookmarkStart w:id="73" w:name="_Toc32377"/>
      <w:bookmarkStart w:id="74" w:name="_Toc95312943"/>
      <w:bookmarkStart w:id="75" w:name="_Toc15814"/>
      <w:bookmarkStart w:id="76" w:name="_Toc2062424395"/>
      <w:bookmarkStart w:id="77" w:name="_Toc1335929616"/>
      <w:r>
        <w:rPr>
          <w:rFonts w:ascii="仿宋" w:hAnsi="仿宋" w:eastAsia="仿宋" w:cs="仿宋_GB2312"/>
          <w:b/>
          <w:color w:val="auto"/>
          <w:sz w:val="24"/>
          <w:highlight w:val="none"/>
        </w:rPr>
        <w:t>二、采购文件的构成、澄清、修改</w:t>
      </w:r>
      <w:bookmarkEnd w:id="73"/>
      <w:bookmarkEnd w:id="74"/>
      <w:bookmarkEnd w:id="75"/>
      <w:bookmarkEnd w:id="76"/>
      <w:bookmarkEnd w:id="77"/>
    </w:p>
    <w:p>
      <w:pPr>
        <w:snapToGrid w:val="0"/>
        <w:spacing w:line="360" w:lineRule="auto"/>
        <w:jc w:val="left"/>
        <w:outlineLvl w:val="3"/>
        <w:rPr>
          <w:rFonts w:ascii="仿宋" w:hAnsi="仿宋" w:eastAsia="仿宋"/>
          <w:b/>
          <w:color w:val="auto"/>
          <w:sz w:val="24"/>
          <w:highlight w:val="none"/>
        </w:rPr>
      </w:pPr>
      <w:bookmarkStart w:id="78" w:name="_Toc95312944"/>
      <w:bookmarkStart w:id="79" w:name="_Toc32513"/>
      <w:bookmarkStart w:id="80" w:name="_Toc8219"/>
      <w:r>
        <w:rPr>
          <w:rFonts w:ascii="仿宋" w:hAnsi="仿宋" w:eastAsia="仿宋"/>
          <w:b/>
          <w:color w:val="auto"/>
          <w:sz w:val="24"/>
          <w:highlight w:val="none"/>
        </w:rPr>
        <w:t>5．采购文件的构成</w:t>
      </w:r>
      <w:bookmarkEnd w:id="78"/>
      <w:bookmarkEnd w:id="79"/>
      <w:bookmarkEnd w:id="80"/>
    </w:p>
    <w:p>
      <w:pPr>
        <w:pStyle w:val="18"/>
        <w:snapToGrid w:val="0"/>
        <w:spacing w:line="360" w:lineRule="auto"/>
        <w:ind w:left="0" w:leftChars="0" w:firstLine="0" w:firstLineChars="0"/>
        <w:rPr>
          <w:rFonts w:ascii="仿宋" w:hAnsi="仿宋" w:eastAsia="仿宋" w:cs="仿宋_GB2312"/>
          <w:color w:val="auto"/>
          <w:sz w:val="24"/>
          <w:highlight w:val="none"/>
        </w:rPr>
      </w:pPr>
      <w:r>
        <w:rPr>
          <w:rFonts w:ascii="仿宋" w:hAnsi="仿宋" w:eastAsia="仿宋" w:cs="仿宋_GB2312"/>
          <w:color w:val="auto"/>
          <w:sz w:val="24"/>
          <w:highlight w:val="none"/>
        </w:rPr>
        <w:t xml:space="preserve">5.1 </w:t>
      </w:r>
      <w:r>
        <w:rPr>
          <w:rFonts w:hint="eastAsia" w:ascii="仿宋" w:hAnsi="仿宋" w:eastAsia="仿宋" w:cs="仿宋_GB2312"/>
          <w:color w:val="auto"/>
          <w:sz w:val="24"/>
          <w:highlight w:val="none"/>
        </w:rPr>
        <w:t>采购文件包括下列文件及附件：</w:t>
      </w:r>
    </w:p>
    <w:p>
      <w:pPr>
        <w:pStyle w:val="18"/>
        <w:tabs>
          <w:tab w:val="left" w:pos="840"/>
        </w:tabs>
        <w:snapToGrid w:val="0"/>
        <w:spacing w:line="360" w:lineRule="auto"/>
        <w:ind w:left="0" w:leftChars="0" w:firstLine="0" w:firstLineChars="0"/>
        <w:rPr>
          <w:rFonts w:ascii="仿宋" w:hAnsi="仿宋" w:eastAsia="仿宋" w:cs="仿宋_GB2312"/>
          <w:color w:val="auto"/>
          <w:sz w:val="24"/>
          <w:highlight w:val="none"/>
        </w:rPr>
      </w:pPr>
      <w:r>
        <w:rPr>
          <w:rFonts w:ascii="仿宋" w:hAnsi="仿宋" w:eastAsia="仿宋" w:cs="仿宋_GB2312"/>
          <w:color w:val="auto"/>
          <w:sz w:val="24"/>
          <w:highlight w:val="none"/>
        </w:rPr>
        <w:t>5.1.1招标公告；</w:t>
      </w:r>
    </w:p>
    <w:p>
      <w:pPr>
        <w:pStyle w:val="18"/>
        <w:tabs>
          <w:tab w:val="left" w:pos="840"/>
        </w:tabs>
        <w:snapToGrid w:val="0"/>
        <w:spacing w:line="360" w:lineRule="auto"/>
        <w:ind w:left="0" w:leftChars="0" w:firstLine="0" w:firstLineChars="0"/>
        <w:rPr>
          <w:rFonts w:ascii="仿宋" w:hAnsi="仿宋" w:eastAsia="仿宋" w:cs="仿宋_GB2312"/>
          <w:color w:val="auto"/>
          <w:sz w:val="24"/>
          <w:highlight w:val="none"/>
        </w:rPr>
      </w:pPr>
      <w:r>
        <w:rPr>
          <w:rFonts w:ascii="仿宋" w:hAnsi="仿宋" w:eastAsia="仿宋" w:cs="仿宋_GB2312"/>
          <w:color w:val="auto"/>
          <w:sz w:val="24"/>
          <w:highlight w:val="none"/>
        </w:rPr>
        <w:t>5.1.2供应商须知；</w:t>
      </w:r>
    </w:p>
    <w:p>
      <w:pPr>
        <w:pStyle w:val="18"/>
        <w:tabs>
          <w:tab w:val="left" w:pos="840"/>
        </w:tabs>
        <w:snapToGrid w:val="0"/>
        <w:spacing w:line="360" w:lineRule="auto"/>
        <w:ind w:left="0" w:leftChars="0" w:firstLine="0" w:firstLineChars="0"/>
        <w:rPr>
          <w:rFonts w:ascii="仿宋" w:hAnsi="仿宋" w:eastAsia="仿宋" w:cs="仿宋_GB2312"/>
          <w:color w:val="auto"/>
          <w:sz w:val="24"/>
          <w:highlight w:val="none"/>
        </w:rPr>
      </w:pPr>
      <w:r>
        <w:rPr>
          <w:rFonts w:ascii="仿宋" w:hAnsi="仿宋" w:eastAsia="仿宋" w:cs="仿宋_GB2312"/>
          <w:color w:val="auto"/>
          <w:sz w:val="24"/>
          <w:highlight w:val="none"/>
        </w:rPr>
        <w:t>5.1.3采购需求；</w:t>
      </w:r>
    </w:p>
    <w:p>
      <w:pPr>
        <w:pStyle w:val="18"/>
        <w:tabs>
          <w:tab w:val="left" w:pos="840"/>
        </w:tabs>
        <w:snapToGrid w:val="0"/>
        <w:spacing w:line="360" w:lineRule="auto"/>
        <w:ind w:left="0" w:leftChars="0" w:firstLine="0" w:firstLineChars="0"/>
        <w:rPr>
          <w:rFonts w:ascii="仿宋" w:hAnsi="仿宋" w:eastAsia="仿宋" w:cs="仿宋_GB2312"/>
          <w:color w:val="auto"/>
          <w:sz w:val="24"/>
          <w:highlight w:val="none"/>
        </w:rPr>
      </w:pPr>
      <w:r>
        <w:rPr>
          <w:rFonts w:ascii="仿宋" w:hAnsi="仿宋" w:eastAsia="仿宋" w:cs="仿宋_GB2312"/>
          <w:color w:val="auto"/>
          <w:sz w:val="24"/>
          <w:highlight w:val="none"/>
        </w:rPr>
        <w:t>5.1.4评标</w:t>
      </w:r>
      <w:r>
        <w:rPr>
          <w:rFonts w:hint="eastAsia" w:ascii="仿宋" w:hAnsi="仿宋" w:eastAsia="仿宋" w:cs="仿宋_GB2312"/>
          <w:color w:val="auto"/>
          <w:sz w:val="24"/>
          <w:highlight w:val="none"/>
        </w:rPr>
        <w:t>办</w:t>
      </w:r>
      <w:r>
        <w:rPr>
          <w:rFonts w:ascii="仿宋" w:hAnsi="仿宋" w:eastAsia="仿宋" w:cs="仿宋_GB2312"/>
          <w:color w:val="auto"/>
          <w:sz w:val="24"/>
          <w:highlight w:val="none"/>
        </w:rPr>
        <w:t>法；</w:t>
      </w:r>
    </w:p>
    <w:p>
      <w:pPr>
        <w:pStyle w:val="18"/>
        <w:tabs>
          <w:tab w:val="left" w:pos="840"/>
        </w:tabs>
        <w:snapToGrid w:val="0"/>
        <w:spacing w:line="360" w:lineRule="auto"/>
        <w:ind w:left="0" w:leftChars="0" w:firstLine="0" w:firstLineChars="0"/>
        <w:rPr>
          <w:rFonts w:ascii="仿宋" w:hAnsi="仿宋" w:eastAsia="仿宋" w:cs="仿宋_GB2312"/>
          <w:color w:val="auto"/>
          <w:sz w:val="24"/>
          <w:highlight w:val="none"/>
        </w:rPr>
      </w:pPr>
      <w:r>
        <w:rPr>
          <w:rFonts w:ascii="仿宋" w:hAnsi="仿宋" w:eastAsia="仿宋" w:cs="仿宋_GB2312"/>
          <w:color w:val="auto"/>
          <w:sz w:val="24"/>
          <w:highlight w:val="none"/>
        </w:rPr>
        <w:t>5.1.5</w:t>
      </w:r>
      <w:r>
        <w:rPr>
          <w:rFonts w:hint="eastAsia" w:ascii="仿宋" w:hAnsi="仿宋" w:eastAsia="仿宋" w:cs="仿宋_GB2312"/>
          <w:color w:val="auto"/>
          <w:sz w:val="24"/>
          <w:highlight w:val="none"/>
        </w:rPr>
        <w:t>拟签订的合同文本；</w:t>
      </w:r>
    </w:p>
    <w:p>
      <w:pPr>
        <w:pStyle w:val="18"/>
        <w:tabs>
          <w:tab w:val="left" w:pos="840"/>
        </w:tabs>
        <w:snapToGrid w:val="0"/>
        <w:spacing w:line="360" w:lineRule="auto"/>
        <w:ind w:left="0" w:leftChars="0" w:firstLine="0" w:firstLineChars="0"/>
        <w:rPr>
          <w:rFonts w:ascii="仿宋" w:hAnsi="仿宋" w:eastAsia="仿宋" w:cs="仿宋_GB2312"/>
          <w:color w:val="auto"/>
          <w:sz w:val="24"/>
          <w:highlight w:val="none"/>
        </w:rPr>
      </w:pPr>
      <w:r>
        <w:rPr>
          <w:rFonts w:ascii="仿宋" w:hAnsi="仿宋" w:eastAsia="仿宋" w:cs="仿宋_GB2312"/>
          <w:color w:val="auto"/>
          <w:sz w:val="24"/>
          <w:highlight w:val="none"/>
        </w:rPr>
        <w:t>5.1.6</w:t>
      </w:r>
      <w:r>
        <w:rPr>
          <w:rFonts w:hint="eastAsia" w:ascii="仿宋" w:hAnsi="仿宋" w:eastAsia="仿宋" w:cs="仿宋_GB2312"/>
          <w:color w:val="auto"/>
          <w:sz w:val="24"/>
          <w:highlight w:val="none"/>
        </w:rPr>
        <w:t>应提交的有关格式范例。</w:t>
      </w:r>
    </w:p>
    <w:p>
      <w:pPr>
        <w:snapToGrid w:val="0"/>
        <w:spacing w:line="360" w:lineRule="auto"/>
        <w:rPr>
          <w:rFonts w:ascii="仿宋" w:hAnsi="仿宋" w:eastAsia="仿宋" w:cs="仿宋_GB2312"/>
          <w:color w:val="auto"/>
          <w:sz w:val="24"/>
          <w:highlight w:val="none"/>
        </w:rPr>
      </w:pPr>
      <w:r>
        <w:rPr>
          <w:rFonts w:ascii="仿宋" w:hAnsi="仿宋" w:eastAsia="仿宋"/>
          <w:color w:val="auto"/>
          <w:sz w:val="24"/>
          <w:highlight w:val="none"/>
        </w:rPr>
        <w:t>5.2与本项目有关的</w:t>
      </w:r>
      <w:r>
        <w:rPr>
          <w:rFonts w:hint="eastAsia" w:ascii="仿宋" w:hAnsi="仿宋" w:eastAsia="仿宋"/>
          <w:bCs/>
          <w:color w:val="auto"/>
          <w:sz w:val="24"/>
          <w:highlight w:val="none"/>
        </w:rPr>
        <w:t>澄清或者修改的内容为采购文件的组成部分</w:t>
      </w:r>
      <w:r>
        <w:rPr>
          <w:rFonts w:hint="eastAsia" w:ascii="仿宋" w:hAnsi="仿宋" w:eastAsia="仿宋" w:cs="仿宋_GB2312"/>
          <w:color w:val="auto"/>
          <w:sz w:val="24"/>
          <w:highlight w:val="none"/>
        </w:rPr>
        <w:t>。</w:t>
      </w:r>
    </w:p>
    <w:p>
      <w:pPr>
        <w:pStyle w:val="18"/>
        <w:snapToGrid w:val="0"/>
        <w:spacing w:line="360" w:lineRule="auto"/>
        <w:ind w:left="1680" w:firstLine="482"/>
        <w:rPr>
          <w:rFonts w:ascii="仿宋" w:hAnsi="仿宋" w:eastAsia="仿宋" w:cs="仿宋_GB2312"/>
          <w:b/>
          <w:color w:val="auto"/>
          <w:sz w:val="24"/>
          <w:highlight w:val="none"/>
        </w:rPr>
      </w:pPr>
    </w:p>
    <w:p>
      <w:pPr>
        <w:snapToGrid w:val="0"/>
        <w:spacing w:line="360" w:lineRule="auto"/>
        <w:jc w:val="left"/>
        <w:outlineLvl w:val="3"/>
        <w:rPr>
          <w:rFonts w:ascii="仿宋" w:hAnsi="仿宋" w:eastAsia="仿宋"/>
          <w:b/>
          <w:color w:val="auto"/>
          <w:sz w:val="24"/>
          <w:highlight w:val="none"/>
        </w:rPr>
      </w:pPr>
      <w:bookmarkStart w:id="81" w:name="_Toc3070"/>
      <w:bookmarkStart w:id="82" w:name="_Toc95312945"/>
      <w:bookmarkStart w:id="83" w:name="_Toc24512"/>
      <w:r>
        <w:rPr>
          <w:rFonts w:ascii="仿宋" w:hAnsi="仿宋" w:eastAsia="仿宋"/>
          <w:b/>
          <w:color w:val="auto"/>
          <w:sz w:val="24"/>
          <w:highlight w:val="none"/>
        </w:rPr>
        <w:t>6.</w:t>
      </w:r>
      <w:r>
        <w:rPr>
          <w:rFonts w:hint="eastAsia" w:ascii="仿宋" w:hAnsi="仿宋" w:eastAsia="仿宋"/>
          <w:b/>
          <w:color w:val="auto"/>
          <w:sz w:val="24"/>
          <w:highlight w:val="none"/>
        </w:rPr>
        <w:t>采购文件的澄清、修改</w:t>
      </w:r>
      <w:bookmarkEnd w:id="81"/>
      <w:bookmarkEnd w:id="82"/>
      <w:bookmarkEnd w:id="83"/>
    </w:p>
    <w:p>
      <w:pPr>
        <w:snapToGrid w:val="0"/>
        <w:spacing w:line="360" w:lineRule="auto"/>
        <w:ind w:firstLine="420"/>
        <w:rPr>
          <w:rFonts w:ascii="仿宋" w:hAnsi="仿宋" w:eastAsia="仿宋" w:cs="仿宋_GB2312"/>
          <w:color w:val="auto"/>
          <w:sz w:val="24"/>
          <w:highlight w:val="none"/>
        </w:rPr>
      </w:pPr>
      <w:r>
        <w:rPr>
          <w:rFonts w:ascii="仿宋" w:hAnsi="仿宋" w:eastAsia="仿宋" w:cs="仿宋_GB2312"/>
          <w:color w:val="auto"/>
          <w:sz w:val="24"/>
          <w:highlight w:val="none"/>
        </w:rPr>
        <w:t>6.1已获取采购文件的潜在供应商，若有问题需要澄清，应于投标截止时间前，以书面形式向采购代理机构提出。</w:t>
      </w:r>
    </w:p>
    <w:p>
      <w:pPr>
        <w:snapToGrid w:val="0"/>
        <w:spacing w:line="360" w:lineRule="auto"/>
        <w:ind w:firstLine="420"/>
        <w:rPr>
          <w:rFonts w:ascii="仿宋" w:hAnsi="仿宋" w:eastAsia="仿宋"/>
          <w:color w:val="auto"/>
          <w:sz w:val="24"/>
          <w:highlight w:val="none"/>
        </w:rPr>
      </w:pPr>
      <w:r>
        <w:rPr>
          <w:rFonts w:ascii="仿宋" w:hAnsi="仿宋" w:eastAsia="仿宋"/>
          <w:color w:val="auto"/>
          <w:sz w:val="24"/>
          <w:highlight w:val="none"/>
        </w:rPr>
        <w:t xml:space="preserve">6.2 </w:t>
      </w:r>
      <w:r>
        <w:rPr>
          <w:rFonts w:hint="eastAsia" w:ascii="仿宋" w:hAnsi="仿宋" w:eastAsia="仿宋"/>
          <w:color w:val="auto"/>
          <w:sz w:val="24"/>
          <w:highlight w:val="none"/>
        </w:rPr>
        <w:t>采购代理机构对采购文件进行澄清或修改的，将同时通过电子交易平台通知已获取采购文件的潜在供应商。依法应当公告的，将按规定公告，同时视情况延长投标截止时间和开标时间。该澄清或者修改的内容为采购文件的组成部分。</w:t>
      </w:r>
    </w:p>
    <w:p>
      <w:pPr>
        <w:snapToGrid w:val="0"/>
        <w:spacing w:line="360" w:lineRule="auto"/>
        <w:rPr>
          <w:rFonts w:ascii="仿宋" w:hAnsi="仿宋" w:eastAsia="仿宋" w:cs="仿宋_GB2312"/>
          <w:color w:val="auto"/>
          <w:sz w:val="24"/>
          <w:highlight w:val="none"/>
        </w:rPr>
      </w:pPr>
      <w:r>
        <w:rPr>
          <w:rFonts w:ascii="仿宋" w:hAnsi="仿宋" w:eastAsia="仿宋" w:cs="仿宋_GB2312"/>
          <w:color w:val="auto"/>
          <w:sz w:val="24"/>
          <w:highlight w:val="none"/>
        </w:rPr>
        <w:t xml:space="preserve">    </w:t>
      </w:r>
    </w:p>
    <w:p>
      <w:pPr>
        <w:snapToGrid w:val="0"/>
        <w:spacing w:line="360" w:lineRule="auto"/>
        <w:jc w:val="center"/>
        <w:outlineLvl w:val="1"/>
        <w:rPr>
          <w:rFonts w:ascii="仿宋" w:hAnsi="仿宋" w:eastAsia="仿宋" w:cs="仿宋_GB2312"/>
          <w:b/>
          <w:color w:val="auto"/>
          <w:sz w:val="24"/>
          <w:highlight w:val="none"/>
        </w:rPr>
      </w:pPr>
      <w:bookmarkStart w:id="84" w:name="_Toc633260538"/>
      <w:bookmarkStart w:id="85" w:name="_Toc95312946"/>
      <w:bookmarkStart w:id="86" w:name="_Toc19628"/>
      <w:bookmarkStart w:id="87" w:name="_Toc21412"/>
      <w:bookmarkStart w:id="88" w:name="_Toc1027526727"/>
      <w:r>
        <w:rPr>
          <w:rFonts w:hint="eastAsia" w:ascii="仿宋" w:hAnsi="仿宋" w:eastAsia="仿宋" w:cs="仿宋_GB2312"/>
          <w:b/>
          <w:color w:val="auto"/>
          <w:sz w:val="24"/>
          <w:highlight w:val="none"/>
        </w:rPr>
        <w:t>三、投标</w:t>
      </w:r>
      <w:bookmarkEnd w:id="84"/>
      <w:bookmarkEnd w:id="85"/>
      <w:bookmarkEnd w:id="86"/>
      <w:bookmarkEnd w:id="87"/>
      <w:bookmarkEnd w:id="88"/>
    </w:p>
    <w:p>
      <w:pPr>
        <w:snapToGrid w:val="0"/>
        <w:spacing w:line="360" w:lineRule="auto"/>
        <w:jc w:val="left"/>
        <w:outlineLvl w:val="3"/>
        <w:rPr>
          <w:rFonts w:ascii="仿宋" w:hAnsi="仿宋" w:eastAsia="仿宋"/>
          <w:b/>
          <w:color w:val="auto"/>
          <w:sz w:val="24"/>
          <w:highlight w:val="none"/>
        </w:rPr>
      </w:pPr>
      <w:bookmarkStart w:id="89" w:name="_Toc20212"/>
      <w:bookmarkStart w:id="90" w:name="_Toc95312947"/>
      <w:bookmarkStart w:id="91" w:name="_Toc30176"/>
      <w:r>
        <w:rPr>
          <w:rFonts w:ascii="仿宋" w:hAnsi="仿宋" w:eastAsia="仿宋"/>
          <w:b/>
          <w:color w:val="auto"/>
          <w:sz w:val="24"/>
          <w:highlight w:val="none"/>
        </w:rPr>
        <w:t>7.</w:t>
      </w:r>
      <w:r>
        <w:rPr>
          <w:rFonts w:hint="eastAsia" w:ascii="仿宋" w:hAnsi="仿宋" w:eastAsia="仿宋"/>
          <w:b/>
          <w:color w:val="auto"/>
          <w:sz w:val="24"/>
          <w:highlight w:val="none"/>
        </w:rPr>
        <w:t>采购文件的获取</w:t>
      </w:r>
      <w:bookmarkEnd w:id="89"/>
      <w:bookmarkEnd w:id="90"/>
      <w:bookmarkEnd w:id="91"/>
    </w:p>
    <w:p>
      <w:pPr>
        <w:snapToGrid w:val="0"/>
        <w:spacing w:line="360" w:lineRule="auto"/>
        <w:ind w:firstLine="420"/>
        <w:rPr>
          <w:rFonts w:ascii="仿宋" w:hAnsi="仿宋" w:eastAsia="仿宋" w:cs="仿宋_GB2312"/>
          <w:snapToGrid w:val="0"/>
          <w:color w:val="auto"/>
          <w:kern w:val="28"/>
          <w:sz w:val="24"/>
          <w:highlight w:val="none"/>
        </w:rPr>
      </w:pPr>
      <w:r>
        <w:rPr>
          <w:rFonts w:hint="eastAsia" w:ascii="仿宋" w:hAnsi="仿宋" w:eastAsia="仿宋" w:cs="仿宋_GB2312"/>
          <w:snapToGrid w:val="0"/>
          <w:color w:val="auto"/>
          <w:kern w:val="28"/>
          <w:sz w:val="24"/>
          <w:highlight w:val="none"/>
        </w:rPr>
        <w:t>详见招标公告中获取采购文件的时间期限、地点、方式。</w:t>
      </w:r>
    </w:p>
    <w:p>
      <w:pPr>
        <w:snapToGrid w:val="0"/>
        <w:spacing w:line="360" w:lineRule="auto"/>
        <w:jc w:val="left"/>
        <w:outlineLvl w:val="3"/>
        <w:rPr>
          <w:rFonts w:ascii="仿宋" w:hAnsi="仿宋" w:eastAsia="仿宋"/>
          <w:b/>
          <w:color w:val="auto"/>
          <w:sz w:val="24"/>
          <w:highlight w:val="none"/>
        </w:rPr>
      </w:pPr>
      <w:bookmarkStart w:id="92" w:name="_Toc95312948"/>
      <w:bookmarkStart w:id="93" w:name="_Toc18862"/>
      <w:bookmarkStart w:id="94" w:name="_Toc4625"/>
      <w:r>
        <w:rPr>
          <w:rFonts w:ascii="仿宋" w:hAnsi="仿宋" w:eastAsia="仿宋"/>
          <w:b/>
          <w:color w:val="auto"/>
          <w:sz w:val="24"/>
          <w:highlight w:val="none"/>
        </w:rPr>
        <w:t>8.开标前答疑会或现场考察</w:t>
      </w:r>
      <w:bookmarkEnd w:id="92"/>
      <w:bookmarkEnd w:id="93"/>
      <w:bookmarkEnd w:id="94"/>
    </w:p>
    <w:p>
      <w:pPr>
        <w:pStyle w:val="18"/>
        <w:snapToGrid w:val="0"/>
        <w:spacing w:line="360" w:lineRule="auto"/>
        <w:ind w:left="0" w:leftChars="0" w:firstLine="360" w:firstLineChars="150"/>
        <w:rPr>
          <w:rFonts w:ascii="仿宋" w:hAnsi="仿宋" w:eastAsia="仿宋"/>
          <w:color w:val="auto"/>
          <w:sz w:val="24"/>
          <w:highlight w:val="none"/>
        </w:rPr>
      </w:pPr>
      <w:r>
        <w:rPr>
          <w:rFonts w:hint="eastAsia" w:ascii="仿宋" w:hAnsi="仿宋" w:eastAsia="仿宋"/>
          <w:color w:val="auto"/>
          <w:sz w:val="24"/>
          <w:highlight w:val="none"/>
        </w:rPr>
        <w:t>本项目不组织现场考察和召开开标前答疑会。</w:t>
      </w:r>
    </w:p>
    <w:p>
      <w:pPr>
        <w:snapToGrid w:val="0"/>
        <w:spacing w:line="360" w:lineRule="auto"/>
        <w:jc w:val="left"/>
        <w:outlineLvl w:val="3"/>
        <w:rPr>
          <w:rFonts w:ascii="仿宋" w:hAnsi="仿宋" w:eastAsia="仿宋"/>
          <w:b/>
          <w:color w:val="auto"/>
          <w:sz w:val="24"/>
          <w:highlight w:val="none"/>
        </w:rPr>
      </w:pPr>
      <w:bookmarkStart w:id="95" w:name="_Toc32518"/>
      <w:bookmarkStart w:id="96" w:name="_Toc95312949"/>
      <w:bookmarkStart w:id="97" w:name="_Toc10547"/>
      <w:r>
        <w:rPr>
          <w:rFonts w:ascii="仿宋" w:hAnsi="仿宋" w:eastAsia="仿宋"/>
          <w:b/>
          <w:color w:val="auto"/>
          <w:sz w:val="24"/>
          <w:highlight w:val="none"/>
        </w:rPr>
        <w:t>9.投标保证金</w:t>
      </w:r>
      <w:bookmarkEnd w:id="95"/>
      <w:bookmarkEnd w:id="96"/>
      <w:bookmarkEnd w:id="97"/>
    </w:p>
    <w:p>
      <w:pPr>
        <w:spacing w:line="360" w:lineRule="auto"/>
        <w:ind w:firstLine="470" w:firstLineChars="196"/>
        <w:rPr>
          <w:rFonts w:ascii="仿宋" w:hAnsi="仿宋" w:eastAsia="仿宋" w:cs="仿宋_GB2312"/>
          <w:color w:val="auto"/>
          <w:sz w:val="24"/>
          <w:highlight w:val="none"/>
        </w:rPr>
      </w:pPr>
      <w:r>
        <w:rPr>
          <w:rFonts w:hint="eastAsia" w:ascii="仿宋" w:hAnsi="仿宋" w:eastAsia="仿宋" w:cs="仿宋_GB2312"/>
          <w:color w:val="auto"/>
          <w:sz w:val="24"/>
          <w:highlight w:val="none"/>
        </w:rPr>
        <w:t>本项目不需缴纳投标保证金。</w:t>
      </w:r>
    </w:p>
    <w:p>
      <w:pPr>
        <w:snapToGrid w:val="0"/>
        <w:spacing w:line="360" w:lineRule="auto"/>
        <w:jc w:val="left"/>
        <w:outlineLvl w:val="3"/>
        <w:rPr>
          <w:rFonts w:ascii="仿宋" w:hAnsi="仿宋" w:eastAsia="仿宋"/>
          <w:b/>
          <w:color w:val="auto"/>
          <w:sz w:val="24"/>
          <w:highlight w:val="none"/>
        </w:rPr>
      </w:pPr>
      <w:bookmarkStart w:id="98" w:name="_Toc6335"/>
      <w:bookmarkStart w:id="99" w:name="_Toc6779"/>
      <w:bookmarkStart w:id="100" w:name="_Toc95312950"/>
      <w:r>
        <w:rPr>
          <w:rFonts w:ascii="仿宋" w:hAnsi="仿宋" w:eastAsia="仿宋"/>
          <w:b/>
          <w:color w:val="auto"/>
          <w:sz w:val="24"/>
          <w:highlight w:val="none"/>
        </w:rPr>
        <w:t>10.</w:t>
      </w:r>
      <w:r>
        <w:rPr>
          <w:rFonts w:hint="eastAsia" w:ascii="仿宋" w:hAnsi="仿宋" w:eastAsia="仿宋"/>
          <w:b/>
          <w:color w:val="auto"/>
          <w:sz w:val="24"/>
          <w:highlight w:val="none"/>
        </w:rPr>
        <w:t>投标文件的语言</w:t>
      </w:r>
      <w:bookmarkEnd w:id="98"/>
      <w:bookmarkEnd w:id="99"/>
      <w:bookmarkEnd w:id="100"/>
    </w:p>
    <w:p>
      <w:pPr>
        <w:autoSpaceDE w:val="0"/>
        <w:autoSpaceDN w:val="0"/>
        <w:snapToGrid w:val="0"/>
        <w:spacing w:line="360" w:lineRule="auto"/>
        <w:ind w:firstLine="480" w:firstLineChars="200"/>
        <w:rPr>
          <w:rFonts w:ascii="仿宋" w:hAnsi="仿宋" w:eastAsia="仿宋" w:cs="仿宋_GB2312"/>
          <w:color w:val="auto"/>
          <w:sz w:val="24"/>
          <w:highlight w:val="none"/>
          <w:lang w:val="zh-CN"/>
        </w:rPr>
      </w:pPr>
      <w:r>
        <w:rPr>
          <w:rFonts w:hint="eastAsia" w:ascii="仿宋" w:hAnsi="仿宋" w:eastAsia="仿宋" w:cs="仿宋_GB2312"/>
          <w:color w:val="auto"/>
          <w:sz w:val="24"/>
          <w:highlight w:val="none"/>
        </w:rPr>
        <w:t>投标文件及供应商与采购有关的来往通知、函件和文件均应使用中文。</w:t>
      </w:r>
    </w:p>
    <w:p>
      <w:pPr>
        <w:snapToGrid w:val="0"/>
        <w:spacing w:line="360" w:lineRule="auto"/>
        <w:jc w:val="left"/>
        <w:outlineLvl w:val="3"/>
        <w:rPr>
          <w:rFonts w:ascii="仿宋" w:hAnsi="仿宋" w:eastAsia="仿宋"/>
          <w:b/>
          <w:color w:val="auto"/>
          <w:sz w:val="24"/>
          <w:highlight w:val="none"/>
        </w:rPr>
      </w:pPr>
      <w:bookmarkStart w:id="101" w:name="_Toc95312951"/>
      <w:bookmarkStart w:id="102" w:name="_Toc31286"/>
      <w:bookmarkStart w:id="103" w:name="_Toc23118"/>
      <w:r>
        <w:rPr>
          <w:rFonts w:ascii="仿宋" w:hAnsi="仿宋" w:eastAsia="仿宋"/>
          <w:b/>
          <w:color w:val="auto"/>
          <w:sz w:val="24"/>
          <w:highlight w:val="none"/>
        </w:rPr>
        <w:t>11.</w:t>
      </w:r>
      <w:r>
        <w:rPr>
          <w:rFonts w:hint="eastAsia" w:ascii="仿宋" w:hAnsi="仿宋" w:eastAsia="仿宋"/>
          <w:b/>
          <w:color w:val="auto"/>
          <w:sz w:val="24"/>
          <w:highlight w:val="none"/>
        </w:rPr>
        <w:t>投标文件的组成</w:t>
      </w:r>
      <w:bookmarkEnd w:id="101"/>
      <w:bookmarkEnd w:id="102"/>
      <w:bookmarkEnd w:id="103"/>
    </w:p>
    <w:p>
      <w:pPr>
        <w:snapToGrid w:val="0"/>
        <w:spacing w:line="360" w:lineRule="auto"/>
        <w:rPr>
          <w:rFonts w:ascii="仿宋" w:hAnsi="仿宋" w:eastAsia="仿宋" w:cs="仿宋_GB2312"/>
          <w:color w:val="auto"/>
          <w:sz w:val="24"/>
          <w:highlight w:val="none"/>
        </w:rPr>
      </w:pPr>
      <w:bookmarkStart w:id="104" w:name="_Hlk95263917"/>
      <w:r>
        <w:rPr>
          <w:rFonts w:ascii="仿宋" w:hAnsi="仿宋" w:eastAsia="仿宋" w:cs="仿宋_GB2312"/>
          <w:color w:val="auto"/>
          <w:sz w:val="24"/>
          <w:highlight w:val="none"/>
        </w:rPr>
        <w:t>11.1</w:t>
      </w:r>
      <w:r>
        <w:rPr>
          <w:rFonts w:hint="eastAsia" w:ascii="仿宋" w:hAnsi="仿宋" w:eastAsia="仿宋" w:cs="仿宋_GB2312"/>
          <w:b/>
          <w:color w:val="auto"/>
          <w:sz w:val="24"/>
          <w:highlight w:val="none"/>
        </w:rPr>
        <w:t>资格文件</w:t>
      </w:r>
      <w:r>
        <w:rPr>
          <w:rFonts w:hint="eastAsia" w:ascii="仿宋" w:hAnsi="仿宋" w:eastAsia="仿宋" w:cs="仿宋_GB2312"/>
          <w:color w:val="auto"/>
          <w:sz w:val="24"/>
          <w:highlight w:val="none"/>
        </w:rPr>
        <w:t>：</w:t>
      </w:r>
    </w:p>
    <w:p>
      <w:pPr>
        <w:snapToGrid w:val="0"/>
        <w:spacing w:line="360" w:lineRule="auto"/>
        <w:rPr>
          <w:rFonts w:ascii="仿宋" w:hAnsi="仿宋" w:eastAsia="仿宋" w:cs="仿宋_GB2312"/>
          <w:color w:val="auto"/>
          <w:sz w:val="24"/>
          <w:highlight w:val="none"/>
        </w:rPr>
      </w:pPr>
      <w:r>
        <w:rPr>
          <w:rFonts w:ascii="仿宋" w:hAnsi="仿宋" w:eastAsia="仿宋" w:cs="仿宋_GB2312"/>
          <w:color w:val="auto"/>
          <w:sz w:val="24"/>
          <w:highlight w:val="none"/>
        </w:rPr>
        <w:t>11.1.1符合参加政府采购活动应当具备的一般条件的承诺函；</w:t>
      </w:r>
    </w:p>
    <w:p>
      <w:pPr>
        <w:snapToGrid w:val="0"/>
        <w:spacing w:line="360" w:lineRule="auto"/>
        <w:rPr>
          <w:rFonts w:ascii="仿宋" w:hAnsi="仿宋" w:eastAsia="仿宋"/>
          <w:color w:val="auto"/>
          <w:sz w:val="24"/>
          <w:highlight w:val="none"/>
        </w:rPr>
      </w:pPr>
      <w:r>
        <w:rPr>
          <w:rFonts w:ascii="仿宋" w:hAnsi="仿宋" w:eastAsia="仿宋" w:cs="仿宋_GB2312"/>
          <w:color w:val="auto"/>
          <w:sz w:val="24"/>
          <w:highlight w:val="none"/>
        </w:rPr>
        <w:t>11.1.2落实政府采购政策需满足的资格要求</w:t>
      </w:r>
      <w:r>
        <w:rPr>
          <w:rFonts w:hint="eastAsia" w:ascii="仿宋" w:hAnsi="仿宋" w:eastAsia="仿宋" w:cs="仿宋_GB2312"/>
          <w:color w:val="auto"/>
          <w:sz w:val="24"/>
          <w:highlight w:val="none"/>
        </w:rPr>
        <w:t>；</w:t>
      </w:r>
    </w:p>
    <w:p>
      <w:pPr>
        <w:snapToGrid w:val="0"/>
        <w:spacing w:line="360" w:lineRule="auto"/>
        <w:rPr>
          <w:rFonts w:ascii="仿宋" w:hAnsi="仿宋" w:eastAsia="仿宋" w:cs="仿宋_GB2312"/>
          <w:color w:val="auto"/>
          <w:sz w:val="24"/>
          <w:highlight w:val="none"/>
        </w:rPr>
      </w:pPr>
      <w:r>
        <w:rPr>
          <w:rFonts w:ascii="仿宋" w:hAnsi="仿宋" w:eastAsia="仿宋" w:cs="仿宋_GB2312"/>
          <w:color w:val="auto"/>
          <w:sz w:val="24"/>
          <w:highlight w:val="none"/>
        </w:rPr>
        <w:t>11.1.3本项目的特定资格要求</w:t>
      </w:r>
      <w:r>
        <w:rPr>
          <w:rFonts w:hint="eastAsia" w:ascii="仿宋" w:hAnsi="仿宋" w:eastAsia="仿宋" w:cs="仿宋_GB2312"/>
          <w:color w:val="auto"/>
          <w:sz w:val="24"/>
          <w:highlight w:val="none"/>
        </w:rPr>
        <w:t>：无。</w:t>
      </w:r>
    </w:p>
    <w:p>
      <w:pPr>
        <w:snapToGrid w:val="0"/>
        <w:spacing w:line="360" w:lineRule="auto"/>
        <w:rPr>
          <w:rFonts w:ascii="仿宋" w:hAnsi="仿宋" w:eastAsia="仿宋" w:cs="仿宋_GB2312"/>
          <w:color w:val="auto"/>
          <w:sz w:val="24"/>
          <w:highlight w:val="none"/>
          <w:lang w:val="zh-CN"/>
        </w:rPr>
      </w:pPr>
      <w:r>
        <w:rPr>
          <w:rFonts w:ascii="仿宋" w:hAnsi="仿宋" w:eastAsia="仿宋" w:cs="仿宋_GB2312"/>
          <w:color w:val="auto"/>
          <w:sz w:val="24"/>
          <w:highlight w:val="none"/>
          <w:lang w:val="zh-CN"/>
        </w:rPr>
        <w:t>11.</w:t>
      </w:r>
      <w:r>
        <w:rPr>
          <w:rFonts w:ascii="仿宋" w:hAnsi="仿宋" w:eastAsia="仿宋" w:cs="仿宋_GB2312"/>
          <w:color w:val="auto"/>
          <w:sz w:val="24"/>
          <w:highlight w:val="none"/>
        </w:rPr>
        <w:t>2</w:t>
      </w:r>
      <w:r>
        <w:rPr>
          <w:rFonts w:ascii="仿宋" w:hAnsi="仿宋" w:eastAsia="仿宋" w:cs="仿宋_GB2312"/>
          <w:color w:val="auto"/>
          <w:sz w:val="24"/>
          <w:highlight w:val="none"/>
          <w:lang w:val="zh-CN"/>
        </w:rPr>
        <w:t xml:space="preserve">  </w:t>
      </w:r>
      <w:r>
        <w:rPr>
          <w:rFonts w:hint="eastAsia" w:ascii="仿宋" w:hAnsi="仿宋" w:eastAsia="仿宋" w:cs="仿宋_GB2312"/>
          <w:color w:val="auto"/>
          <w:sz w:val="24"/>
          <w:highlight w:val="none"/>
        </w:rPr>
        <w:t>商务技术</w:t>
      </w:r>
      <w:r>
        <w:rPr>
          <w:rFonts w:hint="eastAsia" w:ascii="仿宋" w:hAnsi="仿宋" w:eastAsia="仿宋" w:cs="仿宋_GB2312"/>
          <w:color w:val="auto"/>
          <w:sz w:val="24"/>
          <w:highlight w:val="none"/>
          <w:lang w:val="zh-CN"/>
        </w:rPr>
        <w:t>文件：</w:t>
      </w:r>
    </w:p>
    <w:p>
      <w:pPr>
        <w:snapToGrid w:val="0"/>
        <w:spacing w:line="360" w:lineRule="auto"/>
        <w:rPr>
          <w:rFonts w:ascii="仿宋" w:hAnsi="仿宋" w:eastAsia="仿宋" w:cs="仿宋_GB2312"/>
          <w:color w:val="auto"/>
          <w:sz w:val="24"/>
          <w:highlight w:val="none"/>
        </w:rPr>
      </w:pPr>
      <w:r>
        <w:rPr>
          <w:rFonts w:ascii="仿宋" w:hAnsi="仿宋" w:eastAsia="仿宋" w:cs="仿宋_GB2312"/>
          <w:color w:val="auto"/>
          <w:sz w:val="24"/>
          <w:highlight w:val="none"/>
        </w:rPr>
        <w:t>11.2.1投标函；</w:t>
      </w:r>
      <w:r>
        <w:rPr>
          <w:rFonts w:ascii="仿宋" w:hAnsi="仿宋" w:eastAsia="仿宋" w:cs="仿宋_GB2312"/>
          <w:color w:val="auto"/>
          <w:sz w:val="24"/>
          <w:highlight w:val="none"/>
          <w:lang w:val="zh-CN"/>
        </w:rPr>
        <w:t xml:space="preserve"> </w:t>
      </w:r>
    </w:p>
    <w:p>
      <w:pPr>
        <w:snapToGrid w:val="0"/>
        <w:spacing w:line="360" w:lineRule="auto"/>
        <w:rPr>
          <w:rFonts w:ascii="仿宋" w:hAnsi="仿宋" w:eastAsia="仿宋" w:cs="宋体"/>
          <w:color w:val="auto"/>
          <w:sz w:val="24"/>
          <w:highlight w:val="none"/>
        </w:rPr>
      </w:pPr>
      <w:bookmarkStart w:id="105" w:name="_Hlk87474952"/>
      <w:r>
        <w:rPr>
          <w:rFonts w:ascii="仿宋" w:hAnsi="仿宋" w:eastAsia="仿宋" w:cs="宋体"/>
          <w:color w:val="auto"/>
          <w:sz w:val="24"/>
          <w:highlight w:val="none"/>
        </w:rPr>
        <w:t>11.2.2</w:t>
      </w:r>
      <w:r>
        <w:rPr>
          <w:rFonts w:hint="eastAsia" w:ascii="仿宋" w:hAnsi="仿宋" w:eastAsia="仿宋" w:cs="宋体"/>
          <w:color w:val="auto"/>
          <w:sz w:val="24"/>
          <w:highlight w:val="none"/>
        </w:rPr>
        <w:t>授权委托书；</w:t>
      </w:r>
    </w:p>
    <w:p>
      <w:pPr>
        <w:snapToGrid w:val="0"/>
        <w:spacing w:line="360" w:lineRule="auto"/>
        <w:rPr>
          <w:rFonts w:ascii="仿宋" w:hAnsi="仿宋" w:eastAsia="仿宋" w:cs="宋体"/>
          <w:color w:val="auto"/>
          <w:sz w:val="24"/>
          <w:highlight w:val="none"/>
        </w:rPr>
      </w:pPr>
      <w:r>
        <w:rPr>
          <w:rFonts w:ascii="仿宋" w:hAnsi="仿宋" w:eastAsia="仿宋" w:cs="宋体"/>
          <w:color w:val="auto"/>
          <w:sz w:val="24"/>
          <w:highlight w:val="none"/>
        </w:rPr>
        <w:t>11.2.3</w:t>
      </w:r>
      <w:r>
        <w:rPr>
          <w:rFonts w:hint="eastAsia" w:ascii="仿宋" w:hAnsi="仿宋" w:eastAsia="仿宋" w:cs="宋体"/>
          <w:color w:val="auto"/>
          <w:sz w:val="24"/>
          <w:highlight w:val="none"/>
        </w:rPr>
        <w:t>法定代表人和授权委托代表的有效身份证复印件（法定代表人直接参加投标并对相应文件签字的，只需提供前者）；</w:t>
      </w:r>
    </w:p>
    <w:p>
      <w:pPr>
        <w:snapToGrid w:val="0"/>
        <w:spacing w:line="360" w:lineRule="auto"/>
        <w:rPr>
          <w:rFonts w:ascii="仿宋" w:hAnsi="仿宋" w:eastAsia="仿宋" w:cs="宋体"/>
          <w:color w:val="auto"/>
          <w:sz w:val="24"/>
          <w:highlight w:val="none"/>
        </w:rPr>
      </w:pPr>
      <w:bookmarkStart w:id="106" w:name="_Hlk95575328"/>
      <w:r>
        <w:rPr>
          <w:rFonts w:hint="eastAsia" w:ascii="仿宋" w:hAnsi="仿宋" w:eastAsia="仿宋" w:cs="宋体"/>
          <w:color w:val="auto"/>
          <w:sz w:val="24"/>
          <w:highlight w:val="none"/>
        </w:rPr>
        <w:t>1</w:t>
      </w:r>
      <w:r>
        <w:rPr>
          <w:rFonts w:ascii="仿宋" w:hAnsi="仿宋" w:eastAsia="仿宋" w:cs="宋体"/>
          <w:color w:val="auto"/>
          <w:sz w:val="24"/>
          <w:highlight w:val="none"/>
        </w:rPr>
        <w:t>1.2.4</w:t>
      </w:r>
      <w:r>
        <w:rPr>
          <w:rFonts w:hint="eastAsia" w:ascii="仿宋" w:hAnsi="仿宋" w:eastAsia="仿宋" w:cs="宋体"/>
          <w:color w:val="auto"/>
          <w:sz w:val="24"/>
          <w:highlight w:val="none"/>
        </w:rPr>
        <w:t>制造厂家介绍及投标人成功案例</w:t>
      </w:r>
      <w:r>
        <w:rPr>
          <w:rFonts w:hint="eastAsia" w:ascii="仿宋" w:hAnsi="仿宋" w:eastAsia="仿宋" w:cs="宋体"/>
          <w:color w:val="auto"/>
          <w:sz w:val="24"/>
          <w:highlight w:val="none"/>
          <w:lang w:val="zh-CN"/>
        </w:rPr>
        <w:t>（</w:t>
      </w:r>
      <w:r>
        <w:rPr>
          <w:rFonts w:hint="eastAsia" w:ascii="仿宋" w:hAnsi="仿宋" w:eastAsia="仿宋" w:cs="仿宋_GB2312"/>
          <w:color w:val="auto"/>
          <w:sz w:val="24"/>
          <w:highlight w:val="none"/>
          <w:lang w:val="zh-CN"/>
        </w:rPr>
        <w:t>提供合同扫描件或其他证明材料，加盖公章，如是英文文件需提供翻译件</w:t>
      </w:r>
      <w:r>
        <w:rPr>
          <w:rFonts w:hint="eastAsia" w:ascii="仿宋" w:hAnsi="仿宋" w:eastAsia="仿宋" w:cs="宋体"/>
          <w:color w:val="auto"/>
          <w:sz w:val="24"/>
          <w:highlight w:val="none"/>
          <w:lang w:val="zh-CN"/>
        </w:rPr>
        <w:t>）；</w:t>
      </w:r>
    </w:p>
    <w:p>
      <w:pPr>
        <w:snapToGrid w:val="0"/>
        <w:spacing w:line="360" w:lineRule="auto"/>
        <w:rPr>
          <w:rFonts w:ascii="仿宋" w:hAnsi="仿宋" w:eastAsia="仿宋" w:cs="宋体"/>
          <w:color w:val="auto"/>
          <w:sz w:val="24"/>
          <w:highlight w:val="none"/>
        </w:rPr>
      </w:pPr>
      <w:bookmarkStart w:id="107" w:name="_Toc500208474"/>
      <w:r>
        <w:rPr>
          <w:rFonts w:hint="eastAsia" w:ascii="仿宋" w:hAnsi="仿宋" w:eastAsia="仿宋" w:cs="宋体"/>
          <w:color w:val="auto"/>
          <w:sz w:val="24"/>
          <w:highlight w:val="none"/>
          <w:lang w:val="zh-CN"/>
        </w:rPr>
        <w:t>1</w:t>
      </w:r>
      <w:r>
        <w:rPr>
          <w:rFonts w:ascii="仿宋" w:hAnsi="仿宋" w:eastAsia="仿宋" w:cs="宋体"/>
          <w:color w:val="auto"/>
          <w:sz w:val="24"/>
          <w:highlight w:val="none"/>
          <w:lang w:val="zh-CN"/>
        </w:rPr>
        <w:t>1.2.5</w:t>
      </w:r>
      <w:r>
        <w:rPr>
          <w:rFonts w:hint="eastAsia" w:ascii="仿宋" w:hAnsi="仿宋" w:eastAsia="仿宋" w:cs="宋体"/>
          <w:color w:val="auto"/>
          <w:sz w:val="24"/>
          <w:highlight w:val="none"/>
        </w:rPr>
        <w:t>所有资质文件（如有，复印件加盖公章）；</w:t>
      </w:r>
    </w:p>
    <w:bookmarkEnd w:id="107"/>
    <w:p>
      <w:pPr>
        <w:snapToGrid w:val="0"/>
        <w:spacing w:line="360" w:lineRule="auto"/>
        <w:rPr>
          <w:rFonts w:ascii="仿宋" w:hAnsi="仿宋" w:eastAsia="仿宋" w:cs="宋体"/>
          <w:color w:val="auto"/>
          <w:sz w:val="24"/>
          <w:highlight w:val="none"/>
        </w:rPr>
      </w:pPr>
      <w:r>
        <w:rPr>
          <w:rFonts w:hint="eastAsia" w:ascii="仿宋" w:hAnsi="仿宋" w:eastAsia="仿宋"/>
          <w:color w:val="auto"/>
          <w:sz w:val="24"/>
          <w:highlight w:val="none"/>
          <w:lang w:val="zh-CN"/>
        </w:rPr>
        <w:t>1</w:t>
      </w:r>
      <w:r>
        <w:rPr>
          <w:rFonts w:ascii="仿宋" w:hAnsi="仿宋" w:eastAsia="仿宋"/>
          <w:color w:val="auto"/>
          <w:sz w:val="24"/>
          <w:highlight w:val="none"/>
          <w:lang w:val="zh-CN"/>
        </w:rPr>
        <w:t>1.2.6</w:t>
      </w:r>
      <w:r>
        <w:rPr>
          <w:rFonts w:hint="eastAsia" w:ascii="仿宋" w:hAnsi="仿宋" w:eastAsia="仿宋"/>
          <w:color w:val="auto"/>
          <w:sz w:val="24"/>
          <w:highlight w:val="none"/>
          <w:lang w:val="zh-CN"/>
        </w:rPr>
        <w:t>投标人应提供针对项目的完整技术解决方案：</w:t>
      </w:r>
      <w:r>
        <w:rPr>
          <w:rFonts w:hint="eastAsia" w:ascii="仿宋" w:hAnsi="仿宋" w:eastAsia="仿宋" w:cs="宋体"/>
          <w:color w:val="auto"/>
          <w:sz w:val="24"/>
          <w:highlight w:val="none"/>
        </w:rPr>
        <w:t>针对本项目的提供完整设计方案、技术解决方案和实施方案；包括项目技术方案的功能性、完整性、合理性</w:t>
      </w:r>
      <w:r>
        <w:rPr>
          <w:rFonts w:ascii="仿宋" w:hAnsi="仿宋" w:eastAsia="仿宋" w:cs="宋体"/>
          <w:color w:val="auto"/>
          <w:sz w:val="24"/>
          <w:highlight w:val="none"/>
        </w:rPr>
        <w:t>。</w:t>
      </w:r>
    </w:p>
    <w:p>
      <w:pPr>
        <w:snapToGrid w:val="0"/>
        <w:spacing w:line="360" w:lineRule="auto"/>
        <w:textAlignment w:val="baseline"/>
        <w:rPr>
          <w:rFonts w:ascii="仿宋" w:hAnsi="仿宋" w:eastAsia="仿宋"/>
          <w:color w:val="auto"/>
          <w:kern w:val="0"/>
          <w:sz w:val="24"/>
          <w:highlight w:val="none"/>
          <w:lang w:val="zh-CN"/>
        </w:rPr>
      </w:pPr>
      <w:r>
        <w:rPr>
          <w:rFonts w:ascii="仿宋" w:hAnsi="仿宋" w:eastAsia="仿宋"/>
          <w:color w:val="auto"/>
          <w:sz w:val="24"/>
          <w:highlight w:val="none"/>
        </w:rPr>
        <w:t>11.2.</w:t>
      </w:r>
      <w:r>
        <w:rPr>
          <w:rFonts w:hint="eastAsia" w:ascii="仿宋" w:hAnsi="仿宋" w:eastAsia="仿宋"/>
          <w:color w:val="auto"/>
          <w:sz w:val="24"/>
          <w:highlight w:val="none"/>
        </w:rPr>
        <w:t>7项目实施相关设备名称、配置、数量；所投标的货物的完整配置方案，详细列明投标货物的所有技术指标（包括所投标货物的品牌、规格型号、详细配置、主要技术参数、随机软件等），明确表示该项指标所涉及的软硬件是标准配置还是选择配置（所有</w:t>
      </w:r>
      <w:r>
        <w:rPr>
          <w:rFonts w:hint="eastAsia" w:ascii="仿宋" w:hAnsi="仿宋" w:eastAsia="仿宋"/>
          <w:b/>
          <w:color w:val="auto"/>
          <w:sz w:val="24"/>
          <w:highlight w:val="none"/>
        </w:rPr>
        <w:t>技术指标表述均应采用中文，如当前公布的技术指标只有英文表述的，必须由投标人作出中文注释，否则</w:t>
      </w:r>
      <w:r>
        <w:rPr>
          <w:rFonts w:hint="eastAsia" w:ascii="仿宋" w:hAnsi="仿宋" w:eastAsia="仿宋" w:cs="仿宋_GB2312"/>
          <w:b/>
          <w:color w:val="auto"/>
          <w:kern w:val="0"/>
          <w:sz w:val="24"/>
          <w:highlight w:val="none"/>
          <w:lang w:val="zh-CN"/>
        </w:rPr>
        <w:t>任何含糊不清的</w:t>
      </w:r>
      <w:r>
        <w:rPr>
          <w:rFonts w:hint="eastAsia" w:ascii="仿宋" w:hAnsi="仿宋" w:eastAsia="仿宋"/>
          <w:b/>
          <w:color w:val="auto"/>
          <w:sz w:val="24"/>
          <w:highlight w:val="none"/>
        </w:rPr>
        <w:t>表述导致</w:t>
      </w:r>
      <w:r>
        <w:rPr>
          <w:rFonts w:hint="eastAsia" w:ascii="仿宋" w:hAnsi="仿宋" w:eastAsia="仿宋" w:cs="仿宋_GB2312"/>
          <w:b/>
          <w:color w:val="auto"/>
          <w:kern w:val="0"/>
          <w:sz w:val="24"/>
          <w:highlight w:val="none"/>
          <w:lang w:val="zh-CN"/>
        </w:rPr>
        <w:t>评标委员会技术扣分直至认定为投标无效都将是投标人的责任）</w:t>
      </w:r>
      <w:r>
        <w:rPr>
          <w:rFonts w:hint="eastAsia" w:ascii="仿宋" w:hAnsi="仿宋" w:eastAsia="仿宋"/>
          <w:color w:val="auto"/>
          <w:sz w:val="24"/>
          <w:highlight w:val="none"/>
        </w:rPr>
        <w:t>。</w:t>
      </w:r>
    </w:p>
    <w:p>
      <w:pPr>
        <w:snapToGrid w:val="0"/>
        <w:spacing w:line="360" w:lineRule="auto"/>
        <w:ind w:firstLine="480" w:firstLineChars="200"/>
        <w:rPr>
          <w:rFonts w:ascii="仿宋" w:hAnsi="仿宋" w:eastAsia="仿宋" w:cs="仿宋_GB2312"/>
          <w:color w:val="auto"/>
          <w:kern w:val="0"/>
          <w:sz w:val="24"/>
          <w:highlight w:val="none"/>
          <w:lang w:val="zh-CN"/>
        </w:rPr>
      </w:pPr>
      <w:r>
        <w:rPr>
          <w:rFonts w:hint="eastAsia" w:ascii="仿宋" w:hAnsi="仿宋" w:eastAsia="仿宋"/>
          <w:color w:val="auto"/>
          <w:kern w:val="0"/>
          <w:sz w:val="24"/>
          <w:highlight w:val="none"/>
          <w:lang w:val="zh-CN"/>
        </w:rPr>
        <w:t>投标人在投标文件中，应对</w:t>
      </w:r>
      <w:r>
        <w:rPr>
          <w:rFonts w:hint="eastAsia" w:ascii="仿宋" w:hAnsi="仿宋" w:eastAsia="仿宋"/>
          <w:color w:val="auto"/>
          <w:sz w:val="24"/>
          <w:highlight w:val="none"/>
        </w:rPr>
        <w:t>项目技术规范和服务要求</w:t>
      </w:r>
      <w:r>
        <w:rPr>
          <w:rFonts w:hint="eastAsia" w:ascii="仿宋" w:hAnsi="仿宋" w:eastAsia="仿宋"/>
          <w:color w:val="auto"/>
          <w:kern w:val="0"/>
          <w:sz w:val="24"/>
          <w:highlight w:val="none"/>
          <w:lang w:val="zh-CN"/>
        </w:rPr>
        <w:t>中所提出各项要求进行逐条逐项的答复、说明和解释。首先对实现或满足程度明确作出“满足”、“不满足”、“部分满足”等应答，然后作出具体、详细的说明。回答“满足”应说明如何满足，回答“部分满足”要明确哪部分满足和哪部分不满足。同时明确满足的程度。若采用“详见”、“参见”方式说明的，应指明所指文档(应是投标文件的组成部分)的具体章节及页码。任何含糊不清的表示对评标结果的影响将是投标人的责任。</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rPr>
        <w:t>1</w:t>
      </w:r>
      <w:r>
        <w:rPr>
          <w:rFonts w:ascii="仿宋" w:hAnsi="仿宋" w:eastAsia="仿宋"/>
          <w:color w:val="auto"/>
          <w:kern w:val="0"/>
          <w:sz w:val="24"/>
          <w:highlight w:val="none"/>
        </w:rPr>
        <w:t>1.2.</w:t>
      </w:r>
      <w:r>
        <w:rPr>
          <w:rFonts w:hint="eastAsia" w:ascii="仿宋" w:hAnsi="仿宋" w:eastAsia="仿宋"/>
          <w:color w:val="auto"/>
          <w:kern w:val="0"/>
          <w:sz w:val="24"/>
          <w:highlight w:val="none"/>
        </w:rPr>
        <w:t>8针对本项目建设的详细实施计划，包括故障设备的免费更换，软、</w:t>
      </w:r>
      <w:r>
        <w:rPr>
          <w:rFonts w:hint="eastAsia" w:ascii="仿宋" w:hAnsi="仿宋" w:eastAsia="仿宋"/>
          <w:color w:val="auto"/>
          <w:spacing w:val="-5"/>
          <w:kern w:val="20"/>
          <w:sz w:val="24"/>
          <w:highlight w:val="none"/>
        </w:rPr>
        <w:t>硬件的日常</w:t>
      </w:r>
      <w:r>
        <w:rPr>
          <w:rFonts w:hint="eastAsia" w:ascii="仿宋" w:hAnsi="仿宋" w:eastAsia="仿宋" w:cs="仿宋_GB2312"/>
          <w:color w:val="auto"/>
          <w:kern w:val="0"/>
          <w:sz w:val="24"/>
          <w:highlight w:val="none"/>
          <w:lang w:val="zh-CN"/>
        </w:rPr>
        <w:t>免费维护保养、现场技术服务等内容。本项目详细工作实施组织方案，包括（但不限于）以下内容：组织机构、工作时间进度表、工作程序和步骤、管理和协调方法、关键步骤的思路和要点</w:t>
      </w:r>
      <w:r>
        <w:rPr>
          <w:rFonts w:hint="eastAsia" w:ascii="仿宋" w:hAnsi="仿宋" w:eastAsia="仿宋"/>
          <w:color w:val="auto"/>
          <w:kern w:val="0"/>
          <w:sz w:val="24"/>
          <w:highlight w:val="none"/>
          <w:lang w:val="zh-CN"/>
        </w:rPr>
        <w:t>；</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ascii="仿宋" w:hAnsi="仿宋" w:eastAsia="仿宋"/>
          <w:color w:val="auto"/>
          <w:kern w:val="0"/>
          <w:sz w:val="24"/>
          <w:highlight w:val="none"/>
          <w:lang w:val="zh-CN"/>
        </w:rPr>
        <w:t>1.2.</w:t>
      </w:r>
      <w:r>
        <w:rPr>
          <w:rFonts w:hint="eastAsia" w:ascii="仿宋" w:hAnsi="仿宋" w:eastAsia="仿宋"/>
          <w:color w:val="auto"/>
          <w:kern w:val="0"/>
          <w:sz w:val="24"/>
          <w:highlight w:val="none"/>
        </w:rPr>
        <w:t>9</w:t>
      </w:r>
      <w:r>
        <w:rPr>
          <w:rFonts w:hint="eastAsia" w:ascii="仿宋" w:hAnsi="仿宋" w:eastAsia="仿宋"/>
          <w:color w:val="auto"/>
          <w:kern w:val="0"/>
          <w:sz w:val="24"/>
          <w:highlight w:val="none"/>
          <w:lang w:val="zh-CN"/>
        </w:rPr>
        <w:t>项目实施期间的维护方案；针对本项目的系统运行维护方案，包括本地售后服务机构及人员情况等。投标人应以书面形式完整准确地表述原厂家的标准售后服务承诺（范围、标准及期限等）、投标人可能增加的服务承诺等。并明示服务承诺可能涉及的前提设定和费用，否则将被认为是无条件和免费的。承诺货物升级、故障排除、性能调优、技术咨询等售后技术支持服务情况；</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ascii="仿宋" w:hAnsi="仿宋" w:eastAsia="仿宋"/>
          <w:color w:val="auto"/>
          <w:kern w:val="0"/>
          <w:sz w:val="24"/>
          <w:highlight w:val="none"/>
          <w:lang w:val="zh-CN"/>
        </w:rPr>
        <w:t>1.2.1</w:t>
      </w:r>
      <w:r>
        <w:rPr>
          <w:rFonts w:hint="eastAsia" w:ascii="仿宋" w:hAnsi="仿宋" w:eastAsia="仿宋"/>
          <w:color w:val="auto"/>
          <w:kern w:val="0"/>
          <w:sz w:val="24"/>
          <w:highlight w:val="none"/>
        </w:rPr>
        <w:t>0</w:t>
      </w:r>
      <w:r>
        <w:rPr>
          <w:rFonts w:hint="eastAsia" w:ascii="仿宋" w:hAnsi="仿宋" w:eastAsia="仿宋"/>
          <w:color w:val="auto"/>
          <w:kern w:val="0"/>
          <w:sz w:val="24"/>
          <w:highlight w:val="none"/>
          <w:lang w:val="zh-CN"/>
        </w:rPr>
        <w:t xml:space="preserve">投标人为完成本项目组建的工作小组名单，每个专业人员的情况，明确各阶段投入人数，在提交的标书中安排的人员，须为公司的固定职员；每个参加项目人员的履历表应随标书一并提交，主要内容包括学历、工作特长（特长领域、能力取向等）、经验与业绩（包括从事相关系统建设的经验，对每一个项目有一个简要的描述，该人员参与的时间以及在项目中的责任）、资质情况等； </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ascii="仿宋" w:hAnsi="仿宋" w:eastAsia="仿宋"/>
          <w:color w:val="auto"/>
          <w:kern w:val="0"/>
          <w:sz w:val="24"/>
          <w:highlight w:val="none"/>
          <w:lang w:val="zh-CN"/>
        </w:rPr>
        <w:t>1.2.11</w:t>
      </w:r>
      <w:r>
        <w:rPr>
          <w:rFonts w:hint="eastAsia" w:ascii="仿宋" w:hAnsi="仿宋" w:eastAsia="仿宋"/>
          <w:color w:val="auto"/>
          <w:kern w:val="0"/>
          <w:sz w:val="24"/>
          <w:highlight w:val="none"/>
          <w:lang w:val="zh-CN"/>
        </w:rPr>
        <w:t>优惠条件及特殊承诺；</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ascii="仿宋" w:hAnsi="仿宋" w:eastAsia="仿宋"/>
          <w:color w:val="auto"/>
          <w:kern w:val="0"/>
          <w:sz w:val="24"/>
          <w:highlight w:val="none"/>
          <w:lang w:val="zh-CN"/>
        </w:rPr>
        <w:t>1.2.12</w:t>
      </w:r>
      <w:r>
        <w:rPr>
          <w:rFonts w:hint="eastAsia" w:ascii="仿宋" w:hAnsi="仿宋" w:eastAsia="仿宋"/>
          <w:color w:val="auto"/>
          <w:kern w:val="0"/>
          <w:sz w:val="24"/>
          <w:highlight w:val="none"/>
          <w:lang w:val="zh-CN"/>
        </w:rPr>
        <w:t>备品备件清单（包含在投标报价中）；</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ascii="仿宋" w:hAnsi="仿宋" w:eastAsia="仿宋"/>
          <w:color w:val="auto"/>
          <w:kern w:val="0"/>
          <w:sz w:val="24"/>
          <w:highlight w:val="none"/>
          <w:lang w:val="zh-CN"/>
        </w:rPr>
        <w:t>1.2.13</w:t>
      </w:r>
      <w:r>
        <w:rPr>
          <w:rFonts w:hint="eastAsia" w:ascii="仿宋" w:hAnsi="仿宋" w:eastAsia="仿宋"/>
          <w:color w:val="auto"/>
          <w:kern w:val="0"/>
          <w:sz w:val="24"/>
          <w:highlight w:val="none"/>
          <w:lang w:val="zh-CN"/>
        </w:rPr>
        <w:t>培训计划（每项注明具体内容及是否需要费用）；</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ascii="仿宋" w:hAnsi="仿宋" w:eastAsia="仿宋"/>
          <w:color w:val="auto"/>
          <w:kern w:val="0"/>
          <w:sz w:val="24"/>
          <w:highlight w:val="none"/>
          <w:lang w:val="zh-CN"/>
        </w:rPr>
        <w:t>1.2.14</w:t>
      </w:r>
      <w:r>
        <w:rPr>
          <w:rFonts w:hint="eastAsia" w:ascii="仿宋" w:hAnsi="仿宋" w:eastAsia="仿宋"/>
          <w:color w:val="auto"/>
          <w:kern w:val="0"/>
          <w:sz w:val="24"/>
          <w:highlight w:val="none"/>
          <w:lang w:val="zh-CN"/>
        </w:rPr>
        <w:t>商务技术偏离表；</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ascii="仿宋" w:hAnsi="仿宋" w:eastAsia="仿宋"/>
          <w:color w:val="auto"/>
          <w:kern w:val="0"/>
          <w:sz w:val="24"/>
          <w:highlight w:val="none"/>
          <w:lang w:val="zh-CN"/>
        </w:rPr>
        <w:t>1.2.15</w:t>
      </w:r>
      <w:r>
        <w:rPr>
          <w:rFonts w:hint="eastAsia" w:ascii="仿宋" w:hAnsi="仿宋" w:eastAsia="仿宋"/>
          <w:color w:val="auto"/>
          <w:kern w:val="0"/>
          <w:sz w:val="24"/>
          <w:highlight w:val="none"/>
          <w:lang w:val="zh-CN"/>
        </w:rPr>
        <w:t>其他必要提供资料；</w:t>
      </w:r>
    </w:p>
    <w:bookmarkEnd w:id="106"/>
    <w:p>
      <w:pPr>
        <w:snapToGrid w:val="0"/>
        <w:rPr>
          <w:rFonts w:ascii="仿宋" w:hAnsi="仿宋" w:eastAsia="仿宋"/>
          <w:color w:val="auto"/>
          <w:sz w:val="24"/>
          <w:highlight w:val="none"/>
        </w:rPr>
      </w:pPr>
      <w:r>
        <w:rPr>
          <w:rFonts w:ascii="仿宋" w:hAnsi="仿宋" w:eastAsia="仿宋"/>
          <w:color w:val="auto"/>
          <w:sz w:val="24"/>
          <w:highlight w:val="none"/>
        </w:rPr>
        <w:t>11.2.16</w:t>
      </w:r>
      <w:r>
        <w:rPr>
          <w:rFonts w:hint="eastAsia" w:ascii="仿宋" w:hAnsi="仿宋" w:eastAsia="仿宋"/>
          <w:color w:val="auto"/>
          <w:sz w:val="24"/>
          <w:highlight w:val="none"/>
        </w:rPr>
        <w:t>政府采购供应商廉洁自律承诺书。</w:t>
      </w:r>
      <w:bookmarkEnd w:id="104"/>
      <w:bookmarkEnd w:id="105"/>
    </w:p>
    <w:p>
      <w:pPr>
        <w:snapToGrid w:val="0"/>
        <w:spacing w:line="360" w:lineRule="auto"/>
        <w:rPr>
          <w:rFonts w:ascii="仿宋" w:hAnsi="仿宋" w:eastAsia="仿宋" w:cs="仿宋_GB2312"/>
          <w:color w:val="auto"/>
          <w:sz w:val="24"/>
          <w:highlight w:val="none"/>
          <w:u w:val="single"/>
          <w:lang w:val="zh-CN"/>
        </w:rPr>
      </w:pPr>
      <w:r>
        <w:rPr>
          <w:rFonts w:ascii="仿宋" w:hAnsi="仿宋" w:eastAsia="仿宋" w:cs="仿宋_GB2312"/>
          <w:color w:val="auto"/>
          <w:kern w:val="0"/>
          <w:sz w:val="24"/>
          <w:highlight w:val="none"/>
          <w:lang w:val="zh-CN"/>
        </w:rPr>
        <w:t>11.</w:t>
      </w:r>
      <w:r>
        <w:rPr>
          <w:rFonts w:ascii="仿宋" w:hAnsi="仿宋" w:eastAsia="仿宋" w:cs="仿宋_GB2312"/>
          <w:color w:val="auto"/>
          <w:kern w:val="0"/>
          <w:sz w:val="24"/>
          <w:highlight w:val="none"/>
        </w:rPr>
        <w:t>3</w:t>
      </w:r>
      <w:r>
        <w:rPr>
          <w:rFonts w:hint="eastAsia" w:ascii="仿宋" w:hAnsi="仿宋" w:eastAsia="仿宋" w:cs="仿宋_GB2312"/>
          <w:b/>
          <w:color w:val="auto"/>
          <w:sz w:val="24"/>
          <w:highlight w:val="none"/>
        </w:rPr>
        <w:t>报价文件：</w:t>
      </w:r>
      <w:r>
        <w:rPr>
          <w:rFonts w:ascii="仿宋" w:hAnsi="仿宋" w:eastAsia="仿宋" w:cs="仿宋_GB2312"/>
          <w:color w:val="auto"/>
          <w:sz w:val="24"/>
          <w:highlight w:val="none"/>
        </w:rPr>
        <w:t xml:space="preserve"> </w:t>
      </w:r>
    </w:p>
    <w:p>
      <w:pPr>
        <w:snapToGrid w:val="0"/>
        <w:spacing w:line="360" w:lineRule="auto"/>
        <w:rPr>
          <w:rFonts w:ascii="仿宋" w:hAnsi="仿宋" w:eastAsia="仿宋" w:cs="仿宋_GB2312"/>
          <w:color w:val="auto"/>
          <w:sz w:val="24"/>
          <w:highlight w:val="none"/>
        </w:rPr>
      </w:pPr>
      <w:r>
        <w:rPr>
          <w:rFonts w:ascii="仿宋" w:hAnsi="仿宋" w:eastAsia="仿宋" w:cs="仿宋_GB2312"/>
          <w:color w:val="auto"/>
          <w:sz w:val="24"/>
          <w:highlight w:val="none"/>
        </w:rPr>
        <w:t>11.3.1开标一览表（报价表）</w:t>
      </w:r>
      <w:r>
        <w:rPr>
          <w:rFonts w:hint="eastAsia" w:ascii="仿宋" w:hAnsi="仿宋" w:eastAsia="仿宋" w:cs="仿宋_GB2312"/>
          <w:color w:val="auto"/>
          <w:sz w:val="24"/>
          <w:highlight w:val="none"/>
        </w:rPr>
        <w:t>。</w:t>
      </w:r>
    </w:p>
    <w:p>
      <w:pPr>
        <w:snapToGrid w:val="0"/>
        <w:spacing w:line="360" w:lineRule="auto"/>
        <w:ind w:firstLine="420"/>
        <w:rPr>
          <w:rFonts w:ascii="仿宋" w:hAnsi="仿宋" w:eastAsia="仿宋"/>
          <w:b/>
          <w:color w:val="auto"/>
          <w:sz w:val="24"/>
          <w:highlight w:val="none"/>
        </w:rPr>
      </w:pPr>
      <w:r>
        <w:rPr>
          <w:rFonts w:ascii="仿宋" w:hAnsi="仿宋" w:eastAsia="仿宋"/>
          <w:color w:val="auto"/>
          <w:sz w:val="24"/>
          <w:highlight w:val="none"/>
        </w:rPr>
        <w:t>▲</w:t>
      </w:r>
      <w:r>
        <w:rPr>
          <w:rFonts w:hint="eastAsia" w:ascii="仿宋" w:hAnsi="仿宋" w:eastAsia="仿宋"/>
          <w:b/>
          <w:color w:val="auto"/>
          <w:sz w:val="24"/>
          <w:highlight w:val="none"/>
        </w:rPr>
        <w:t>投标文件含有采购人不能接受的附加条件的，投标无效；</w:t>
      </w:r>
    </w:p>
    <w:p>
      <w:pPr>
        <w:snapToGrid w:val="0"/>
        <w:spacing w:line="360" w:lineRule="auto"/>
        <w:ind w:firstLine="420"/>
        <w:rPr>
          <w:rFonts w:ascii="仿宋" w:hAnsi="仿宋" w:eastAsia="仿宋" w:cs="仿宋_GB2312"/>
          <w:b/>
          <w:color w:val="auto"/>
          <w:highlight w:val="none"/>
        </w:rPr>
      </w:pPr>
      <w:r>
        <w:rPr>
          <w:rFonts w:ascii="仿宋" w:hAnsi="仿宋" w:eastAsia="仿宋"/>
          <w:color w:val="auto"/>
          <w:sz w:val="24"/>
          <w:highlight w:val="none"/>
        </w:rPr>
        <w:t>▲</w:t>
      </w:r>
      <w:r>
        <w:rPr>
          <w:rFonts w:hint="eastAsia" w:ascii="仿宋" w:hAnsi="仿宋" w:eastAsia="仿宋"/>
          <w:b/>
          <w:color w:val="auto"/>
          <w:sz w:val="24"/>
          <w:highlight w:val="none"/>
        </w:rPr>
        <w:t>供应商提供虚假材料投标的，投标无效。</w:t>
      </w:r>
    </w:p>
    <w:p>
      <w:pPr>
        <w:rPr>
          <w:rFonts w:ascii="仿宋" w:hAnsi="仿宋" w:eastAsia="仿宋"/>
          <w:color w:val="auto"/>
          <w:highlight w:val="none"/>
        </w:rPr>
      </w:pPr>
      <w:bookmarkStart w:id="108" w:name="_Toc22083"/>
      <w:bookmarkStart w:id="109" w:name="_Toc6294"/>
      <w:bookmarkStart w:id="110" w:name="_Toc95312952"/>
    </w:p>
    <w:p>
      <w:pPr>
        <w:snapToGrid w:val="0"/>
        <w:spacing w:line="360" w:lineRule="auto"/>
        <w:jc w:val="left"/>
        <w:outlineLvl w:val="3"/>
        <w:rPr>
          <w:rFonts w:ascii="仿宋" w:hAnsi="仿宋" w:eastAsia="仿宋"/>
          <w:b/>
          <w:color w:val="auto"/>
          <w:sz w:val="24"/>
          <w:highlight w:val="none"/>
        </w:rPr>
      </w:pPr>
      <w:r>
        <w:rPr>
          <w:rFonts w:ascii="仿宋" w:hAnsi="仿宋" w:eastAsia="仿宋"/>
          <w:b/>
          <w:color w:val="auto"/>
          <w:sz w:val="24"/>
          <w:highlight w:val="none"/>
        </w:rPr>
        <w:t xml:space="preserve">12. </w:t>
      </w:r>
      <w:r>
        <w:rPr>
          <w:rFonts w:hint="eastAsia" w:ascii="仿宋" w:hAnsi="仿宋" w:eastAsia="仿宋"/>
          <w:b/>
          <w:color w:val="auto"/>
          <w:sz w:val="24"/>
          <w:highlight w:val="none"/>
        </w:rPr>
        <w:t>投标文件的编制</w:t>
      </w:r>
      <w:bookmarkEnd w:id="108"/>
      <w:bookmarkEnd w:id="109"/>
      <w:bookmarkEnd w:id="110"/>
    </w:p>
    <w:p>
      <w:pPr>
        <w:snapToGrid w:val="0"/>
        <w:spacing w:line="360" w:lineRule="auto"/>
        <w:ind w:firstLine="480" w:firstLineChars="200"/>
        <w:rPr>
          <w:rFonts w:ascii="仿宋" w:hAnsi="仿宋" w:eastAsia="仿宋" w:cs="仿宋_GB2312"/>
          <w:b/>
          <w:color w:val="auto"/>
          <w:sz w:val="24"/>
          <w:highlight w:val="none"/>
        </w:rPr>
      </w:pPr>
      <w:r>
        <w:rPr>
          <w:rFonts w:ascii="仿宋" w:hAnsi="仿宋" w:eastAsia="仿宋" w:cs="仿宋_GB2312"/>
          <w:color w:val="auto"/>
          <w:kern w:val="0"/>
          <w:sz w:val="24"/>
          <w:highlight w:val="none"/>
          <w:lang w:val="zh-CN"/>
        </w:rPr>
        <w:t>12.1投标文件分为资格文件、商务技术文件、报价文件三部分。各供应商在编制投标文件时请按照采购文件第六部</w:t>
      </w:r>
      <w:r>
        <w:rPr>
          <w:rFonts w:hint="eastAsia" w:ascii="仿宋" w:hAnsi="仿宋" w:eastAsia="仿宋" w:cs="仿宋_GB2312"/>
          <w:color w:val="auto"/>
          <w:kern w:val="0"/>
          <w:sz w:val="24"/>
          <w:highlight w:val="none"/>
          <w:lang w:val="zh-CN"/>
        </w:rPr>
        <w:t>分规定的格式进行，混乱的编排导致投标文件被误读或评标委员会查找不到有效文件是供应商的风险。</w:t>
      </w:r>
    </w:p>
    <w:p>
      <w:pPr>
        <w:snapToGrid w:val="0"/>
        <w:spacing w:line="360" w:lineRule="auto"/>
        <w:ind w:firstLine="480" w:firstLineChars="200"/>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12.2供应商进行电子投标应安装客户端软件—“政</w:t>
      </w:r>
      <w:r>
        <w:rPr>
          <w:rFonts w:hint="eastAsia" w:ascii="仿宋" w:hAnsi="仿宋" w:eastAsia="仿宋" w:cs="仿宋_GB2312"/>
          <w:color w:val="auto"/>
          <w:kern w:val="0"/>
          <w:sz w:val="24"/>
          <w:highlight w:val="none"/>
          <w:lang w:val="zh-CN"/>
        </w:rPr>
        <w:t>采云电子交易客户端”，并按照采购文件和电子交易平台的要求编制并加密投标文件。供应商未按规定加密的投标文件，电子交易平台将拒收并提示。</w:t>
      </w:r>
    </w:p>
    <w:p>
      <w:pPr>
        <w:snapToGrid w:val="0"/>
        <w:spacing w:line="360" w:lineRule="auto"/>
        <w:ind w:firstLine="480" w:firstLineChars="200"/>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12.3使用“政</w:t>
      </w:r>
      <w:r>
        <w:rPr>
          <w:rFonts w:hint="eastAsia" w:ascii="仿宋" w:hAnsi="仿宋" w:eastAsia="仿宋" w:cs="仿宋_GB2312"/>
          <w:color w:val="auto"/>
          <w:kern w:val="0"/>
          <w:sz w:val="24"/>
          <w:highlight w:val="none"/>
          <w:lang w:val="zh-CN"/>
        </w:rPr>
        <w:t>采云电子交易客户端”需要提前申领</w:t>
      </w:r>
      <w:r>
        <w:rPr>
          <w:rFonts w:ascii="仿宋" w:hAnsi="仿宋" w:eastAsia="仿宋" w:cs="仿宋_GB2312"/>
          <w:color w:val="auto"/>
          <w:kern w:val="0"/>
          <w:sz w:val="24"/>
          <w:highlight w:val="none"/>
          <w:lang w:val="zh-CN"/>
        </w:rPr>
        <w:t>CA数字证书，申领流程请自行前往“浙江政府采购网-下载专区-电子交易客户端-CA驱动和申领流程”进行查阅。</w:t>
      </w:r>
    </w:p>
    <w:p>
      <w:pPr>
        <w:snapToGrid w:val="0"/>
        <w:spacing w:line="360" w:lineRule="auto"/>
        <w:rPr>
          <w:rFonts w:ascii="仿宋" w:hAnsi="仿宋" w:eastAsia="仿宋"/>
          <w:b/>
          <w:color w:val="auto"/>
          <w:sz w:val="24"/>
          <w:highlight w:val="none"/>
        </w:rPr>
      </w:pPr>
    </w:p>
    <w:p>
      <w:pPr>
        <w:snapToGrid w:val="0"/>
        <w:spacing w:line="360" w:lineRule="auto"/>
        <w:jc w:val="left"/>
        <w:outlineLvl w:val="3"/>
        <w:rPr>
          <w:rFonts w:ascii="仿宋" w:hAnsi="仿宋" w:eastAsia="仿宋"/>
          <w:b/>
          <w:color w:val="auto"/>
          <w:sz w:val="24"/>
          <w:highlight w:val="none"/>
        </w:rPr>
      </w:pPr>
      <w:bookmarkStart w:id="111" w:name="_Toc18716"/>
      <w:bookmarkStart w:id="112" w:name="_Toc95312953"/>
      <w:bookmarkStart w:id="113" w:name="_Toc3269"/>
      <w:r>
        <w:rPr>
          <w:rFonts w:ascii="仿宋" w:hAnsi="仿宋" w:eastAsia="仿宋"/>
          <w:b/>
          <w:color w:val="auto"/>
          <w:sz w:val="24"/>
          <w:highlight w:val="none"/>
        </w:rPr>
        <w:t>13.投标文件的签署、盖章</w:t>
      </w:r>
      <w:bookmarkEnd w:id="111"/>
      <w:bookmarkEnd w:id="112"/>
      <w:bookmarkEnd w:id="113"/>
    </w:p>
    <w:p>
      <w:pPr>
        <w:snapToGrid w:val="0"/>
        <w:spacing w:line="360" w:lineRule="auto"/>
        <w:ind w:firstLine="480"/>
        <w:rPr>
          <w:rFonts w:ascii="仿宋" w:hAnsi="仿宋" w:eastAsia="仿宋" w:cs="仿宋_GB2312"/>
          <w:color w:val="auto"/>
          <w:sz w:val="24"/>
          <w:szCs w:val="32"/>
          <w:highlight w:val="none"/>
        </w:rPr>
      </w:pPr>
      <w:r>
        <w:rPr>
          <w:rFonts w:ascii="仿宋" w:hAnsi="仿宋" w:eastAsia="仿宋" w:cs="仿宋_GB2312"/>
          <w:color w:val="auto"/>
          <w:sz w:val="24"/>
          <w:szCs w:val="32"/>
          <w:highlight w:val="none"/>
        </w:rPr>
        <w:t>13.1投标文件按照采购文件第六部分格式要</w:t>
      </w:r>
      <w:r>
        <w:rPr>
          <w:rFonts w:hint="eastAsia" w:ascii="仿宋" w:hAnsi="仿宋" w:eastAsia="仿宋" w:cs="仿宋_GB2312"/>
          <w:color w:val="auto"/>
          <w:sz w:val="24"/>
          <w:szCs w:val="32"/>
          <w:highlight w:val="none"/>
        </w:rPr>
        <w:t>求进行签署、盖章。</w:t>
      </w:r>
    </w:p>
    <w:p>
      <w:pPr>
        <w:snapToGrid w:val="0"/>
        <w:spacing w:line="360" w:lineRule="auto"/>
        <w:ind w:firstLine="480"/>
        <w:rPr>
          <w:rFonts w:ascii="仿宋" w:hAnsi="仿宋" w:eastAsia="仿宋" w:cs="仿宋_GB2312"/>
          <w:color w:val="auto"/>
          <w:sz w:val="24"/>
          <w:szCs w:val="32"/>
          <w:highlight w:val="none"/>
        </w:rPr>
      </w:pPr>
      <w:r>
        <w:rPr>
          <w:rFonts w:ascii="仿宋" w:hAnsi="仿宋" w:eastAsia="仿宋" w:cs="仿宋_GB2312"/>
          <w:color w:val="auto"/>
          <w:sz w:val="24"/>
          <w:szCs w:val="32"/>
          <w:highlight w:val="none"/>
        </w:rPr>
        <w:t>13.2为确保网上操作合法、有效和安全，供应商应当在投标截止时间前完成在“政府采购云平台”的身份认证，确保在电子投标过程中能够对相关数据电文进行加密和使用电子签名。</w:t>
      </w:r>
    </w:p>
    <w:p>
      <w:pPr>
        <w:snapToGrid w:val="0"/>
        <w:spacing w:line="360" w:lineRule="auto"/>
        <w:ind w:firstLine="480"/>
        <w:rPr>
          <w:rFonts w:ascii="仿宋" w:hAnsi="仿宋" w:eastAsia="仿宋" w:cs="仿宋_GB2312"/>
          <w:b/>
          <w:color w:val="auto"/>
          <w:sz w:val="24"/>
          <w:szCs w:val="32"/>
          <w:highlight w:val="none"/>
        </w:rPr>
      </w:pPr>
      <w:r>
        <w:rPr>
          <w:rFonts w:ascii="仿宋" w:hAnsi="仿宋" w:eastAsia="仿宋" w:cs="仿宋_GB2312"/>
          <w:color w:val="auto"/>
          <w:sz w:val="24"/>
          <w:szCs w:val="32"/>
          <w:highlight w:val="none"/>
        </w:rPr>
        <w:t>13.3采购文件对投标文件签署、盖章的要求适用于电子签名。</w:t>
      </w:r>
    </w:p>
    <w:p>
      <w:pPr>
        <w:spacing w:line="360" w:lineRule="auto"/>
        <w:rPr>
          <w:rFonts w:ascii="仿宋" w:hAnsi="仿宋" w:eastAsia="仿宋"/>
          <w:color w:val="auto"/>
          <w:highlight w:val="none"/>
        </w:rPr>
      </w:pPr>
      <w:bookmarkStart w:id="114" w:name="_Toc22736"/>
      <w:bookmarkStart w:id="115" w:name="_Toc95312954"/>
      <w:bookmarkStart w:id="116" w:name="_Toc5131"/>
    </w:p>
    <w:p>
      <w:pPr>
        <w:snapToGrid w:val="0"/>
        <w:spacing w:line="360" w:lineRule="auto"/>
        <w:jc w:val="left"/>
        <w:outlineLvl w:val="3"/>
        <w:rPr>
          <w:rFonts w:ascii="仿宋" w:hAnsi="仿宋" w:eastAsia="仿宋"/>
          <w:b/>
          <w:color w:val="auto"/>
          <w:sz w:val="24"/>
          <w:highlight w:val="none"/>
        </w:rPr>
      </w:pPr>
      <w:r>
        <w:rPr>
          <w:rFonts w:ascii="仿宋" w:hAnsi="仿宋" w:eastAsia="仿宋"/>
          <w:b/>
          <w:color w:val="auto"/>
          <w:sz w:val="24"/>
          <w:highlight w:val="none"/>
        </w:rPr>
        <w:t xml:space="preserve">14. </w:t>
      </w:r>
      <w:r>
        <w:rPr>
          <w:rFonts w:hint="eastAsia" w:ascii="仿宋" w:hAnsi="仿宋" w:eastAsia="仿宋"/>
          <w:b/>
          <w:color w:val="auto"/>
          <w:sz w:val="24"/>
          <w:highlight w:val="none"/>
        </w:rPr>
        <w:t>投标文件的提交、补充、修改、撤回</w:t>
      </w:r>
      <w:bookmarkEnd w:id="114"/>
      <w:bookmarkEnd w:id="115"/>
      <w:bookmarkEnd w:id="116"/>
    </w:p>
    <w:p>
      <w:pPr>
        <w:snapToGrid w:val="0"/>
        <w:spacing w:line="360" w:lineRule="auto"/>
        <w:ind w:firstLine="420"/>
        <w:rPr>
          <w:rFonts w:ascii="仿宋" w:hAnsi="仿宋" w:eastAsia="仿宋" w:cs="仿宋_GB2312"/>
          <w:color w:val="auto"/>
          <w:sz w:val="24"/>
          <w:highlight w:val="none"/>
        </w:rPr>
      </w:pPr>
      <w:r>
        <w:rPr>
          <w:rFonts w:ascii="仿宋" w:hAnsi="仿宋" w:eastAsia="仿宋" w:cs="仿宋_GB2312"/>
          <w:color w:val="auto"/>
          <w:sz w:val="24"/>
          <w:highlight w:val="none"/>
        </w:rPr>
        <w:t xml:space="preserve">14.1 </w:t>
      </w:r>
      <w:r>
        <w:rPr>
          <w:rFonts w:hint="eastAsia" w:ascii="仿宋" w:hAnsi="仿宋" w:eastAsia="仿宋" w:cs="仿宋_GB2312"/>
          <w:color w:val="auto"/>
          <w:sz w:val="24"/>
          <w:highlight w:val="none"/>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360" w:lineRule="auto"/>
        <w:ind w:firstLine="480"/>
        <w:rPr>
          <w:rFonts w:ascii="仿宋" w:hAnsi="仿宋" w:eastAsia="仿宋" w:cs="仿宋_GB2312"/>
          <w:color w:val="auto"/>
          <w:sz w:val="24"/>
          <w:highlight w:val="none"/>
        </w:rPr>
      </w:pPr>
      <w:r>
        <w:rPr>
          <w:rFonts w:ascii="仿宋" w:hAnsi="仿宋" w:eastAsia="仿宋" w:cs="仿宋_GB2312"/>
          <w:color w:val="auto"/>
          <w:sz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snapToGrid w:val="0"/>
        <w:spacing w:line="360" w:lineRule="auto"/>
        <w:ind w:firstLine="420"/>
        <w:rPr>
          <w:rFonts w:ascii="仿宋" w:hAnsi="仿宋" w:eastAsia="仿宋" w:cs="仿宋_GB2312"/>
          <w:b/>
          <w:color w:val="auto"/>
          <w:sz w:val="24"/>
          <w:highlight w:val="none"/>
        </w:rPr>
      </w:pPr>
      <w:r>
        <w:rPr>
          <w:rFonts w:ascii="仿宋" w:hAnsi="仿宋" w:eastAsia="仿宋" w:cs="仿宋_GB2312"/>
          <w:color w:val="auto"/>
          <w:sz w:val="24"/>
          <w:highlight w:val="none"/>
        </w:rPr>
        <w:t>14.3采购人、采购代理机构可以视情况延长投标文件提交的截止时间。在上述情况下，采购代理机构与供应商以前在投标截止期方面的全部权利、责任和义务，将适用于延长至新的投标截止期。</w:t>
      </w:r>
    </w:p>
    <w:p>
      <w:pPr>
        <w:spacing w:line="360" w:lineRule="auto"/>
        <w:rPr>
          <w:rFonts w:ascii="仿宋" w:hAnsi="仿宋" w:eastAsia="仿宋"/>
          <w:color w:val="auto"/>
          <w:sz w:val="24"/>
          <w:highlight w:val="none"/>
        </w:rPr>
      </w:pPr>
      <w:bookmarkStart w:id="117" w:name="_Toc14673"/>
      <w:bookmarkStart w:id="118" w:name="_Toc16394"/>
      <w:bookmarkStart w:id="119" w:name="_Toc95312955"/>
    </w:p>
    <w:p>
      <w:pPr>
        <w:snapToGrid w:val="0"/>
        <w:spacing w:line="360" w:lineRule="auto"/>
        <w:jc w:val="left"/>
        <w:outlineLvl w:val="3"/>
        <w:rPr>
          <w:rFonts w:ascii="仿宋" w:hAnsi="仿宋" w:eastAsia="仿宋"/>
          <w:b/>
          <w:color w:val="auto"/>
          <w:sz w:val="24"/>
          <w:highlight w:val="none"/>
        </w:rPr>
      </w:pPr>
      <w:r>
        <w:rPr>
          <w:rFonts w:ascii="仿宋" w:hAnsi="仿宋" w:eastAsia="仿宋"/>
          <w:b/>
          <w:color w:val="auto"/>
          <w:sz w:val="24"/>
          <w:highlight w:val="none"/>
        </w:rPr>
        <w:t>15.备份投标文件</w:t>
      </w:r>
      <w:bookmarkEnd w:id="117"/>
      <w:bookmarkEnd w:id="118"/>
      <w:bookmarkEnd w:id="119"/>
    </w:p>
    <w:p>
      <w:pPr>
        <w:pStyle w:val="18"/>
        <w:snapToGrid w:val="0"/>
        <w:spacing w:line="360" w:lineRule="auto"/>
        <w:ind w:left="0" w:leftChars="0" w:firstLine="360" w:firstLineChars="150"/>
        <w:rPr>
          <w:rFonts w:ascii="仿宋" w:hAnsi="仿宋" w:eastAsia="仿宋" w:cs="仿宋_GB2312"/>
          <w:b/>
          <w:color w:val="auto"/>
          <w:sz w:val="24"/>
          <w:highlight w:val="none"/>
        </w:rPr>
      </w:pPr>
      <w:r>
        <w:rPr>
          <w:rFonts w:ascii="仿宋" w:hAnsi="仿宋" w:eastAsia="仿宋" w:cs="仿宋_GB2312"/>
          <w:color w:val="auto"/>
          <w:sz w:val="24"/>
          <w:highlight w:val="none"/>
        </w:rPr>
        <w:t>15.1供应商在电子交易平台传输递交投标文件后，还可以在投标截止时间前直接提交或者以邮政快递方式递交备份投标文件1份，</w:t>
      </w:r>
      <w:r>
        <w:rPr>
          <w:rFonts w:hint="eastAsia" w:ascii="仿宋" w:hAnsi="仿宋" w:eastAsia="仿宋" w:cs="仿宋_GB2312"/>
          <w:b/>
          <w:color w:val="auto"/>
          <w:sz w:val="24"/>
          <w:highlight w:val="none"/>
        </w:rPr>
        <w:t>但采购人、采购代理机构不强制或变相强制供应商提交备份投标文件。</w:t>
      </w:r>
    </w:p>
    <w:p>
      <w:pPr>
        <w:pStyle w:val="18"/>
        <w:snapToGrid w:val="0"/>
        <w:spacing w:line="360" w:lineRule="auto"/>
        <w:ind w:left="0" w:leftChars="0" w:firstLine="360" w:firstLineChars="150"/>
        <w:rPr>
          <w:rFonts w:ascii="仿宋" w:hAnsi="仿宋" w:eastAsia="仿宋" w:cs="仿宋_GB2312"/>
          <w:b/>
          <w:color w:val="auto"/>
          <w:sz w:val="24"/>
          <w:highlight w:val="none"/>
        </w:rPr>
      </w:pPr>
      <w:r>
        <w:rPr>
          <w:rFonts w:ascii="仿宋" w:hAnsi="仿宋" w:eastAsia="仿宋" w:cs="仿宋_GB2312"/>
          <w:color w:val="auto"/>
          <w:sz w:val="24"/>
          <w:highlight w:val="none"/>
        </w:rPr>
        <w:t>15.2备份投标文件须在“政</w:t>
      </w:r>
      <w:r>
        <w:rPr>
          <w:rFonts w:hint="eastAsia" w:ascii="仿宋" w:hAnsi="仿宋" w:eastAsia="仿宋" w:cs="仿宋_GB2312"/>
          <w:color w:val="auto"/>
          <w:sz w:val="24"/>
          <w:highlight w:val="none"/>
        </w:rPr>
        <w:t>采云投标客户端”制作生成，并储存在</w:t>
      </w:r>
      <w:r>
        <w:rPr>
          <w:rFonts w:hint="eastAsia" w:ascii="仿宋" w:hAnsi="仿宋" w:eastAsia="仿宋"/>
          <w:color w:val="auto"/>
          <w:sz w:val="24"/>
          <w:highlight w:val="none"/>
        </w:rPr>
        <w:t>U</w:t>
      </w:r>
      <w:r>
        <w:rPr>
          <w:rFonts w:ascii="仿宋" w:hAnsi="仿宋" w:eastAsia="仿宋"/>
          <w:color w:val="auto"/>
          <w:sz w:val="24"/>
          <w:highlight w:val="none"/>
        </w:rPr>
        <w:t>盘</w:t>
      </w:r>
      <w:r>
        <w:rPr>
          <w:rFonts w:hint="eastAsia" w:ascii="仿宋" w:hAnsi="仿宋" w:eastAsia="仿宋" w:cs="仿宋_GB2312"/>
          <w:color w:val="auto"/>
          <w:sz w:val="24"/>
          <w:highlight w:val="none"/>
        </w:rPr>
        <w:t>中。备份投标文件应当密封包装并在包装上加盖公章并注明项目名称，供应商名称</w:t>
      </w:r>
      <w:r>
        <w:rPr>
          <w:rFonts w:ascii="仿宋" w:hAnsi="仿宋" w:eastAsia="仿宋" w:cs="仿宋_GB2312"/>
          <w:color w:val="auto"/>
          <w:sz w:val="24"/>
          <w:highlight w:val="none"/>
        </w:rPr>
        <w:t>(联合体投标的，包装物封面需注明联合体投标，并注明联合体成员各方的名称和联合协议中约定的牵头人的名称)。</w:t>
      </w:r>
      <w:r>
        <w:rPr>
          <w:rFonts w:hint="eastAsia" w:ascii="仿宋" w:hAnsi="仿宋" w:eastAsia="仿宋"/>
          <w:b/>
          <w:color w:val="auto"/>
          <w:sz w:val="24"/>
          <w:highlight w:val="none"/>
        </w:rPr>
        <w:t>不符合上述制作、</w:t>
      </w:r>
      <w:r>
        <w:rPr>
          <w:rFonts w:hint="eastAsia" w:ascii="仿宋" w:hAnsi="仿宋" w:eastAsia="仿宋" w:cs="仿宋_GB2312"/>
          <w:b/>
          <w:color w:val="auto"/>
          <w:sz w:val="24"/>
          <w:highlight w:val="none"/>
        </w:rPr>
        <w:t>存储、密封规定的备份投标文件将被视为无效或者被拒绝接收。</w:t>
      </w:r>
    </w:p>
    <w:p>
      <w:pPr>
        <w:pStyle w:val="18"/>
        <w:snapToGrid w:val="0"/>
        <w:spacing w:line="360" w:lineRule="auto"/>
        <w:ind w:left="0" w:leftChars="0" w:firstLine="360" w:firstLineChars="150"/>
        <w:rPr>
          <w:rFonts w:ascii="仿宋" w:hAnsi="仿宋" w:eastAsia="仿宋" w:cs="仿宋_GB2312"/>
          <w:color w:val="auto"/>
          <w:sz w:val="24"/>
          <w:highlight w:val="none"/>
        </w:rPr>
      </w:pPr>
      <w:r>
        <w:rPr>
          <w:rFonts w:ascii="仿宋" w:hAnsi="仿宋" w:eastAsia="仿宋" w:cs="仿宋_GB2312"/>
          <w:color w:val="auto"/>
          <w:sz w:val="24"/>
          <w:highlight w:val="none"/>
        </w:rPr>
        <w:t>15.3直接提交备份投标文件的，供应商应于投标截止时间前在招标公告中载明的开标地点将备份投标文件提交给采购代理机构，采购代理机构将拒绝接受逾期送达的备份投标文件。</w:t>
      </w:r>
    </w:p>
    <w:p>
      <w:pPr>
        <w:pStyle w:val="18"/>
        <w:snapToGrid w:val="0"/>
        <w:spacing w:line="360" w:lineRule="auto"/>
        <w:ind w:left="0" w:leftChars="0" w:firstLine="360" w:firstLineChars="150"/>
        <w:rPr>
          <w:rFonts w:ascii="仿宋" w:hAnsi="仿宋" w:eastAsia="仿宋" w:cs="仿宋_GB2312"/>
          <w:color w:val="auto"/>
          <w:sz w:val="24"/>
          <w:highlight w:val="none"/>
        </w:rPr>
      </w:pPr>
      <w:r>
        <w:rPr>
          <w:rFonts w:ascii="仿宋" w:hAnsi="仿宋" w:eastAsia="仿宋" w:cs="仿宋_GB2312"/>
          <w:color w:val="auto"/>
          <w:sz w:val="24"/>
          <w:highlight w:val="none"/>
        </w:rPr>
        <w:t>15.4以邮政快递方式递交备份投标文件的，供应商应先将备份投标文件按要求密封和标记，再进行邮政快递包装后邮寄。备份投标文件须在投标截止时间之前送达</w:t>
      </w:r>
      <w:r>
        <w:rPr>
          <w:rFonts w:hint="eastAsia" w:ascii="仿宋" w:hAnsi="仿宋" w:eastAsia="仿宋" w:cs="仿宋_GB2312"/>
          <w:color w:val="auto"/>
          <w:sz w:val="24"/>
          <w:highlight w:val="none"/>
        </w:rPr>
        <w:t>采购文件第二部分供应商须知前附表规定的备份投标文件送达地点；送达时间以签收人签收时间为准。采购代理机构将拒绝接受逾期送达的备份投标文件。邮寄过程中，电子备份投标文件发生泄露、遗失、损坏或延期送达等情况的，由供应商自行负责。</w:t>
      </w:r>
    </w:p>
    <w:p>
      <w:pPr>
        <w:pStyle w:val="18"/>
        <w:snapToGrid w:val="0"/>
        <w:spacing w:line="360" w:lineRule="auto"/>
        <w:ind w:left="0" w:leftChars="0" w:firstLine="361" w:firstLineChars="150"/>
        <w:rPr>
          <w:rFonts w:ascii="仿宋" w:hAnsi="仿宋" w:eastAsia="仿宋" w:cs="仿宋_GB2312"/>
          <w:b/>
          <w:color w:val="auto"/>
          <w:highlight w:val="none"/>
        </w:rPr>
      </w:pPr>
      <w:r>
        <w:rPr>
          <w:rFonts w:ascii="仿宋" w:hAnsi="仿宋" w:eastAsia="仿宋" w:cs="仿宋_GB2312"/>
          <w:b/>
          <w:color w:val="auto"/>
          <w:sz w:val="24"/>
          <w:highlight w:val="none"/>
        </w:rPr>
        <w:t>15.5供应商仅提交备份投标文件，没有在电子交易平台传输递交投标文件的，投标无效。</w:t>
      </w:r>
    </w:p>
    <w:p>
      <w:pPr>
        <w:rPr>
          <w:rFonts w:ascii="仿宋" w:hAnsi="仿宋" w:eastAsia="仿宋"/>
          <w:color w:val="auto"/>
          <w:highlight w:val="none"/>
        </w:rPr>
      </w:pPr>
      <w:bookmarkStart w:id="120" w:name="_Toc95312956"/>
      <w:bookmarkStart w:id="121" w:name="_Toc28686"/>
      <w:bookmarkStart w:id="122" w:name="_Toc20132"/>
    </w:p>
    <w:p>
      <w:pPr>
        <w:snapToGrid w:val="0"/>
        <w:spacing w:line="360" w:lineRule="auto"/>
        <w:jc w:val="left"/>
        <w:outlineLvl w:val="3"/>
        <w:rPr>
          <w:rFonts w:ascii="仿宋" w:hAnsi="仿宋" w:eastAsia="仿宋"/>
          <w:b/>
          <w:color w:val="auto"/>
          <w:sz w:val="24"/>
          <w:highlight w:val="none"/>
        </w:rPr>
      </w:pPr>
      <w:r>
        <w:rPr>
          <w:rFonts w:ascii="仿宋" w:hAnsi="仿宋" w:eastAsia="仿宋"/>
          <w:b/>
          <w:color w:val="auto"/>
          <w:sz w:val="24"/>
          <w:highlight w:val="none"/>
        </w:rPr>
        <w:t>16.投标文件的无效处理</w:t>
      </w:r>
      <w:bookmarkEnd w:id="120"/>
      <w:bookmarkEnd w:id="121"/>
      <w:bookmarkEnd w:id="122"/>
    </w:p>
    <w:p>
      <w:pPr>
        <w:pStyle w:val="2"/>
        <w:snapToGrid w:val="0"/>
        <w:ind w:firstLine="360" w:firstLineChars="150"/>
        <w:rPr>
          <w:rFonts w:ascii="仿宋" w:hAnsi="仿宋" w:eastAsia="仿宋" w:cs="仿宋_GB2312"/>
          <w:b/>
          <w:color w:val="auto"/>
          <w:highlight w:val="none"/>
        </w:rPr>
      </w:pPr>
      <w:r>
        <w:rPr>
          <w:rFonts w:hint="eastAsia" w:ascii="仿宋" w:hAnsi="仿宋" w:eastAsia="仿宋" w:cs="仿宋_GB2312"/>
          <w:color w:val="auto"/>
          <w:highlight w:val="none"/>
        </w:rPr>
        <w:t>有采购文件第四部分</w:t>
      </w:r>
      <w:r>
        <w:rPr>
          <w:rFonts w:hint="eastAsia" w:ascii="仿宋" w:hAnsi="仿宋" w:eastAsia="仿宋"/>
          <w:color w:val="auto"/>
          <w:highlight w:val="none"/>
        </w:rPr>
        <w:t>第4.2</w:t>
      </w:r>
      <w:r>
        <w:rPr>
          <w:rFonts w:ascii="仿宋" w:hAnsi="仿宋" w:eastAsia="仿宋"/>
          <w:color w:val="auto"/>
          <w:highlight w:val="none"/>
        </w:rPr>
        <w:t>项规定</w:t>
      </w:r>
      <w:r>
        <w:rPr>
          <w:rFonts w:hint="eastAsia" w:ascii="仿宋" w:hAnsi="仿宋" w:eastAsia="仿宋" w:cs="仿宋_GB2312"/>
          <w:color w:val="auto"/>
          <w:highlight w:val="none"/>
        </w:rPr>
        <w:t>的情形之一的，投标无效：</w:t>
      </w:r>
    </w:p>
    <w:p>
      <w:pPr>
        <w:spacing w:line="360" w:lineRule="auto"/>
        <w:rPr>
          <w:rFonts w:ascii="仿宋" w:hAnsi="仿宋" w:eastAsia="仿宋"/>
          <w:color w:val="auto"/>
          <w:sz w:val="24"/>
          <w:highlight w:val="none"/>
        </w:rPr>
      </w:pPr>
      <w:bookmarkStart w:id="123" w:name="_Toc95312957"/>
      <w:bookmarkStart w:id="124" w:name="_Toc30999"/>
      <w:bookmarkStart w:id="125" w:name="_Toc6061"/>
    </w:p>
    <w:p>
      <w:pPr>
        <w:snapToGrid w:val="0"/>
        <w:spacing w:line="360" w:lineRule="auto"/>
        <w:jc w:val="left"/>
        <w:outlineLvl w:val="3"/>
        <w:rPr>
          <w:rFonts w:ascii="仿宋" w:hAnsi="仿宋" w:eastAsia="仿宋"/>
          <w:b/>
          <w:color w:val="auto"/>
          <w:sz w:val="24"/>
          <w:highlight w:val="none"/>
        </w:rPr>
      </w:pPr>
      <w:r>
        <w:rPr>
          <w:rFonts w:ascii="仿宋" w:hAnsi="仿宋" w:eastAsia="仿宋"/>
          <w:b/>
          <w:color w:val="auto"/>
          <w:sz w:val="24"/>
          <w:highlight w:val="none"/>
        </w:rPr>
        <w:t>17.投标有效期</w:t>
      </w:r>
      <w:bookmarkEnd w:id="123"/>
      <w:bookmarkEnd w:id="124"/>
      <w:bookmarkEnd w:id="125"/>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17.1投标有效期为从提交投标文件的截止之日起90天。</w:t>
      </w:r>
    </w:p>
    <w:p>
      <w:pPr>
        <w:snapToGrid w:val="0"/>
        <w:spacing w:line="360" w:lineRule="auto"/>
        <w:ind w:firstLine="480"/>
        <w:rPr>
          <w:rFonts w:ascii="仿宋" w:hAnsi="仿宋" w:eastAsia="仿宋" w:cs="仿宋_GB2312"/>
          <w:color w:val="auto"/>
          <w:sz w:val="24"/>
          <w:highlight w:val="none"/>
        </w:rPr>
      </w:pPr>
      <w:r>
        <w:rPr>
          <w:rFonts w:ascii="仿宋" w:hAnsi="仿宋" w:eastAsia="仿宋" w:cs="仿宋_GB2312"/>
          <w:color w:val="auto"/>
          <w:sz w:val="24"/>
          <w:highlight w:val="none"/>
        </w:rPr>
        <w:t>17.2投标文件合格投递后，自投标截止日期起，在投标有效期内有效。</w:t>
      </w:r>
    </w:p>
    <w:p>
      <w:pPr>
        <w:snapToGrid w:val="0"/>
        <w:spacing w:line="360" w:lineRule="auto"/>
        <w:ind w:firstLine="480"/>
        <w:rPr>
          <w:rFonts w:ascii="仿宋" w:hAnsi="仿宋" w:eastAsia="仿宋" w:cs="仿宋_GB2312"/>
          <w:color w:val="auto"/>
          <w:sz w:val="24"/>
          <w:highlight w:val="none"/>
        </w:rPr>
      </w:pPr>
      <w:r>
        <w:rPr>
          <w:rFonts w:ascii="仿宋" w:hAnsi="仿宋" w:eastAsia="仿宋" w:cs="仿宋_GB2312"/>
          <w:color w:val="auto"/>
          <w:sz w:val="24"/>
          <w:highlight w:val="none"/>
        </w:rPr>
        <w:t>17.3在原定投标有效期满之前，如果出现特殊情况，采购代理机构可以以书面形式通知供应商延长投标有效期。供应商同意延长的，不得要求或被允许修改其投标文件，供应商拒绝延长的，其投标无效。</w:t>
      </w:r>
    </w:p>
    <w:p>
      <w:pPr>
        <w:snapToGrid w:val="0"/>
        <w:ind w:firstLine="643"/>
        <w:rPr>
          <w:rFonts w:ascii="仿宋" w:hAnsi="仿宋" w:eastAsia="仿宋" w:cs="仿宋_GB2312"/>
          <w:b/>
          <w:color w:val="auto"/>
          <w:sz w:val="32"/>
          <w:highlight w:val="none"/>
        </w:rPr>
      </w:pPr>
    </w:p>
    <w:p>
      <w:pPr>
        <w:snapToGrid w:val="0"/>
        <w:jc w:val="center"/>
        <w:outlineLvl w:val="1"/>
        <w:rPr>
          <w:rFonts w:ascii="仿宋" w:hAnsi="仿宋" w:eastAsia="仿宋" w:cs="仿宋_GB2312"/>
          <w:b/>
          <w:color w:val="auto"/>
          <w:sz w:val="30"/>
          <w:szCs w:val="30"/>
          <w:highlight w:val="none"/>
        </w:rPr>
      </w:pPr>
      <w:bookmarkStart w:id="126" w:name="_Toc1725695162"/>
      <w:bookmarkStart w:id="127" w:name="_Toc280907634"/>
      <w:r>
        <w:rPr>
          <w:rFonts w:hint="eastAsia" w:ascii="仿宋" w:hAnsi="仿宋" w:eastAsia="仿宋" w:cs="仿宋_GB2312"/>
          <w:b/>
          <w:color w:val="auto"/>
          <w:sz w:val="30"/>
          <w:szCs w:val="30"/>
          <w:highlight w:val="none"/>
        </w:rPr>
        <w:t>四、开标、资格审查与信用信息查询</w:t>
      </w:r>
      <w:bookmarkEnd w:id="126"/>
      <w:bookmarkEnd w:id="127"/>
    </w:p>
    <w:p>
      <w:pPr>
        <w:snapToGrid w:val="0"/>
        <w:spacing w:line="360" w:lineRule="auto"/>
        <w:jc w:val="left"/>
        <w:outlineLvl w:val="3"/>
        <w:rPr>
          <w:rFonts w:ascii="仿宋" w:hAnsi="仿宋" w:eastAsia="仿宋"/>
          <w:b/>
          <w:color w:val="auto"/>
          <w:sz w:val="24"/>
          <w:highlight w:val="none"/>
        </w:rPr>
      </w:pPr>
      <w:bookmarkStart w:id="128" w:name="_Toc16060"/>
      <w:bookmarkStart w:id="129" w:name="_Toc95312958"/>
      <w:bookmarkStart w:id="130" w:name="_Toc19884"/>
      <w:r>
        <w:rPr>
          <w:rFonts w:ascii="仿宋" w:hAnsi="仿宋" w:eastAsia="仿宋"/>
          <w:b/>
          <w:color w:val="auto"/>
          <w:sz w:val="24"/>
          <w:highlight w:val="none"/>
        </w:rPr>
        <w:t>18.开标</w:t>
      </w:r>
      <w:bookmarkEnd w:id="128"/>
      <w:bookmarkEnd w:id="129"/>
      <w:bookmarkEnd w:id="130"/>
      <w:r>
        <w:rPr>
          <w:rFonts w:ascii="仿宋" w:hAnsi="仿宋" w:eastAsia="仿宋"/>
          <w:b/>
          <w:color w:val="auto"/>
          <w:sz w:val="24"/>
          <w:highlight w:val="none"/>
        </w:rPr>
        <w:t xml:space="preserve"> </w:t>
      </w:r>
    </w:p>
    <w:p>
      <w:pPr>
        <w:pStyle w:val="240"/>
        <w:snapToGrid w:val="0"/>
        <w:spacing w:line="360" w:lineRule="auto"/>
        <w:ind w:firstLine="482"/>
        <w:contextualSpacing/>
        <w:rPr>
          <w:rFonts w:ascii="仿宋" w:hAnsi="仿宋" w:eastAsia="仿宋" w:cs="仿宋_GB2312"/>
          <w:color w:val="auto"/>
          <w:sz w:val="24"/>
          <w:highlight w:val="none"/>
          <w:lang w:eastAsia="zh-CN"/>
        </w:rPr>
      </w:pPr>
      <w:r>
        <w:rPr>
          <w:rFonts w:ascii="仿宋" w:hAnsi="仿宋" w:eastAsia="仿宋" w:cs="仿宋_GB2312"/>
          <w:color w:val="auto"/>
          <w:sz w:val="24"/>
          <w:highlight w:val="none"/>
          <w:lang w:eastAsia="zh-CN"/>
        </w:rPr>
        <w:t>18.1采购代理机构按照采购文件规定的时间通过电子交易平台组织开标，所有供应商均应当准时在线参加。供应商不足3家的，不得开标。</w:t>
      </w:r>
    </w:p>
    <w:p>
      <w:pPr>
        <w:pStyle w:val="240"/>
        <w:snapToGrid w:val="0"/>
        <w:spacing w:line="360" w:lineRule="auto"/>
        <w:ind w:firstLine="482"/>
        <w:contextualSpacing/>
        <w:rPr>
          <w:rFonts w:ascii="仿宋" w:hAnsi="仿宋" w:eastAsia="仿宋" w:cs="仿宋_GB2312"/>
          <w:color w:val="auto"/>
          <w:sz w:val="24"/>
          <w:highlight w:val="none"/>
          <w:lang w:eastAsia="zh-CN"/>
        </w:rPr>
      </w:pPr>
      <w:r>
        <w:rPr>
          <w:rFonts w:ascii="仿宋" w:hAnsi="仿宋" w:eastAsia="仿宋" w:cs="仿宋_GB2312"/>
          <w:color w:val="auto"/>
          <w:sz w:val="24"/>
          <w:highlight w:val="none"/>
          <w:lang w:eastAsia="zh-CN"/>
        </w:rPr>
        <w:t>18.2开标时，电子交易平台按开标时间自动提取所有投标文件。采购代理机构依托电子交易平台发起开始解密指令，供应商按照平台提示和采购文件的规定在半小时内完成在线解密。</w:t>
      </w:r>
    </w:p>
    <w:p>
      <w:pPr>
        <w:pStyle w:val="240"/>
        <w:snapToGrid w:val="0"/>
        <w:spacing w:line="360" w:lineRule="auto"/>
        <w:ind w:firstLine="482"/>
        <w:contextualSpacing/>
        <w:rPr>
          <w:rFonts w:ascii="仿宋" w:hAnsi="仿宋" w:eastAsia="仿宋" w:cs="仿宋_GB2312"/>
          <w:b w:val="0"/>
          <w:color w:val="auto"/>
          <w:sz w:val="24"/>
          <w:highlight w:val="none"/>
          <w:lang w:eastAsia="zh-CN"/>
        </w:rPr>
      </w:pPr>
      <w:r>
        <w:rPr>
          <w:rFonts w:ascii="仿宋" w:hAnsi="仿宋" w:eastAsia="仿宋" w:cs="仿宋_GB2312"/>
          <w:color w:val="auto"/>
          <w:sz w:val="24"/>
          <w:highlight w:val="none"/>
          <w:lang w:eastAsia="zh-CN"/>
        </w:rPr>
        <w:t>18.3</w:t>
      </w:r>
      <w:r>
        <w:rPr>
          <w:rFonts w:hint="eastAsia" w:ascii="仿宋" w:hAnsi="仿宋" w:eastAsia="仿宋" w:cs="仿宋_GB2312"/>
          <w:color w:val="auto"/>
          <w:sz w:val="24"/>
          <w:highlight w:val="none"/>
          <w:lang w:eastAsia="zh-CN"/>
        </w:rPr>
        <w:t>投标文件未按时解密，供应商提供了备份投标文件的，以备份投标文件作为依据，否则视为投标文件撤回。投标文件已按时解密的，备份投标文件自动失效。</w:t>
      </w:r>
    </w:p>
    <w:p>
      <w:pPr>
        <w:widowControl/>
        <w:snapToGrid w:val="0"/>
        <w:spacing w:line="360" w:lineRule="auto"/>
        <w:jc w:val="left"/>
        <w:rPr>
          <w:rFonts w:ascii="仿宋" w:hAnsi="仿宋" w:eastAsia="仿宋" w:cs="仿宋_GB2312"/>
          <w:b/>
          <w:color w:val="auto"/>
          <w:sz w:val="24"/>
          <w:highlight w:val="none"/>
        </w:rPr>
      </w:pPr>
    </w:p>
    <w:p>
      <w:pPr>
        <w:widowControl/>
        <w:snapToGrid w:val="0"/>
        <w:spacing w:line="360" w:lineRule="auto"/>
        <w:jc w:val="left"/>
        <w:outlineLvl w:val="3"/>
        <w:rPr>
          <w:rFonts w:ascii="仿宋" w:hAnsi="仿宋" w:eastAsia="仿宋" w:cs="仿宋_GB2312"/>
          <w:b/>
          <w:color w:val="auto"/>
          <w:sz w:val="24"/>
          <w:highlight w:val="none"/>
        </w:rPr>
      </w:pPr>
      <w:r>
        <w:rPr>
          <w:rFonts w:ascii="仿宋" w:hAnsi="仿宋" w:eastAsia="仿宋" w:cs="仿宋_GB2312"/>
          <w:b/>
          <w:color w:val="auto"/>
          <w:sz w:val="24"/>
          <w:highlight w:val="none"/>
        </w:rPr>
        <w:t>19</w:t>
      </w:r>
      <w:r>
        <w:rPr>
          <w:rFonts w:hint="eastAsia" w:ascii="仿宋" w:hAnsi="仿宋" w:eastAsia="仿宋" w:cs="仿宋_GB2312"/>
          <w:b/>
          <w:color w:val="auto"/>
          <w:sz w:val="24"/>
          <w:highlight w:val="none"/>
        </w:rPr>
        <w:t>.</w:t>
      </w:r>
      <w:r>
        <w:rPr>
          <w:rFonts w:ascii="仿宋" w:hAnsi="仿宋" w:eastAsia="仿宋" w:cs="仿宋_GB2312"/>
          <w:b/>
          <w:color w:val="auto"/>
          <w:sz w:val="24"/>
          <w:highlight w:val="none"/>
        </w:rPr>
        <w:t>资格审查</w:t>
      </w:r>
    </w:p>
    <w:p>
      <w:pPr>
        <w:snapToGrid w:val="0"/>
        <w:spacing w:line="360" w:lineRule="auto"/>
        <w:ind w:firstLine="420"/>
        <w:rPr>
          <w:rFonts w:ascii="仿宋" w:hAnsi="仿宋" w:eastAsia="仿宋" w:cs="Arial"/>
          <w:color w:val="auto"/>
          <w:kern w:val="0"/>
          <w:sz w:val="24"/>
          <w:highlight w:val="none"/>
        </w:rPr>
      </w:pPr>
      <w:r>
        <w:rPr>
          <w:rFonts w:ascii="仿宋" w:hAnsi="仿宋" w:eastAsia="仿宋" w:cs="Arial"/>
          <w:color w:val="auto"/>
          <w:kern w:val="0"/>
          <w:sz w:val="24"/>
          <w:highlight w:val="none"/>
        </w:rPr>
        <w:t>19.1开标后，采购人或采购代理机构将依法对供应商的资格进行审查。</w:t>
      </w:r>
    </w:p>
    <w:p>
      <w:pPr>
        <w:snapToGrid w:val="0"/>
        <w:spacing w:line="360" w:lineRule="auto"/>
        <w:ind w:firstLine="420"/>
        <w:rPr>
          <w:rFonts w:ascii="仿宋" w:hAnsi="仿宋" w:eastAsia="仿宋" w:cs="仿宋_GB2312"/>
          <w:color w:val="auto"/>
          <w:sz w:val="24"/>
          <w:highlight w:val="none"/>
        </w:rPr>
      </w:pPr>
      <w:r>
        <w:rPr>
          <w:rFonts w:ascii="仿宋" w:hAnsi="仿宋" w:eastAsia="仿宋" w:cs="Arial"/>
          <w:color w:val="auto"/>
          <w:kern w:val="0"/>
          <w:sz w:val="24"/>
          <w:highlight w:val="none"/>
        </w:rPr>
        <w:t>19.2</w:t>
      </w:r>
      <w:r>
        <w:rPr>
          <w:rFonts w:hint="eastAsia" w:ascii="仿宋" w:hAnsi="仿宋" w:eastAsia="仿宋" w:cs="仿宋_GB2312"/>
          <w:color w:val="auto"/>
          <w:sz w:val="24"/>
          <w:highlight w:val="none"/>
        </w:rPr>
        <w:t>采购人或采购代理机构依据法律法规和采购文件的规定，对供应商的基本资格条件、特定资格条件进行审查。</w:t>
      </w:r>
    </w:p>
    <w:p>
      <w:pPr>
        <w:snapToGrid w:val="0"/>
        <w:spacing w:line="360" w:lineRule="auto"/>
        <w:ind w:firstLine="420"/>
        <w:rPr>
          <w:rFonts w:ascii="仿宋" w:hAnsi="仿宋" w:eastAsia="仿宋" w:cs="仿宋_GB2312"/>
          <w:color w:val="auto"/>
          <w:sz w:val="24"/>
          <w:highlight w:val="none"/>
        </w:rPr>
      </w:pPr>
      <w:r>
        <w:rPr>
          <w:rFonts w:ascii="仿宋" w:hAnsi="仿宋" w:eastAsia="仿宋" w:cs="Arial"/>
          <w:color w:val="auto"/>
          <w:kern w:val="0"/>
          <w:sz w:val="24"/>
          <w:highlight w:val="none"/>
        </w:rPr>
        <w:t>19.3供应商未按照采购文件要求提供与</w:t>
      </w:r>
      <w:r>
        <w:rPr>
          <w:rFonts w:hint="eastAsia" w:ascii="仿宋" w:hAnsi="仿宋" w:eastAsia="仿宋" w:cs="仿宋_GB2312"/>
          <w:color w:val="auto"/>
          <w:sz w:val="24"/>
          <w:highlight w:val="none"/>
        </w:rPr>
        <w:t>基本资格条件、特定资格条件相应的</w:t>
      </w:r>
      <w:r>
        <w:rPr>
          <w:rFonts w:hint="eastAsia" w:ascii="仿宋" w:hAnsi="仿宋" w:eastAsia="仿宋" w:cs="Arial"/>
          <w:color w:val="auto"/>
          <w:kern w:val="0"/>
          <w:sz w:val="24"/>
          <w:highlight w:val="none"/>
        </w:rPr>
        <w:t>有效资格证明材料的，视为</w:t>
      </w:r>
      <w:r>
        <w:rPr>
          <w:rFonts w:hint="eastAsia" w:ascii="仿宋" w:hAnsi="仿宋" w:eastAsia="仿宋" w:cs="仿宋_GB2312"/>
          <w:color w:val="auto"/>
          <w:sz w:val="24"/>
          <w:highlight w:val="none"/>
        </w:rPr>
        <w:t>供应商不具备采购文件中规定的资格要求，其投标无效。</w:t>
      </w:r>
    </w:p>
    <w:p>
      <w:pPr>
        <w:snapToGrid w:val="0"/>
        <w:spacing w:line="360" w:lineRule="auto"/>
        <w:ind w:firstLine="420"/>
        <w:rPr>
          <w:rFonts w:ascii="仿宋" w:hAnsi="仿宋" w:eastAsia="仿宋" w:cs="仿宋_GB2312"/>
          <w:color w:val="auto"/>
          <w:sz w:val="24"/>
          <w:highlight w:val="none"/>
        </w:rPr>
      </w:pPr>
      <w:r>
        <w:rPr>
          <w:rFonts w:ascii="仿宋" w:hAnsi="仿宋" w:eastAsia="仿宋" w:cs="Arial"/>
          <w:color w:val="auto"/>
          <w:kern w:val="0"/>
          <w:sz w:val="24"/>
          <w:highlight w:val="none"/>
        </w:rPr>
        <w:t>19.</w:t>
      </w:r>
      <w:r>
        <w:rPr>
          <w:rFonts w:ascii="仿宋" w:hAnsi="仿宋" w:eastAsia="仿宋" w:cs="仿宋_GB2312"/>
          <w:color w:val="auto"/>
          <w:sz w:val="24"/>
          <w:highlight w:val="none"/>
        </w:rPr>
        <w:t>4对未通过资格审查的供应商，采购人或采购代理机构告知其未通过的原因。</w:t>
      </w:r>
    </w:p>
    <w:p>
      <w:pPr>
        <w:snapToGrid w:val="0"/>
        <w:spacing w:line="360" w:lineRule="auto"/>
        <w:ind w:firstLine="420"/>
        <w:rPr>
          <w:rFonts w:ascii="仿宋" w:hAnsi="仿宋" w:eastAsia="仿宋" w:cs="仿宋_GB2312"/>
          <w:b/>
          <w:color w:val="auto"/>
          <w:sz w:val="24"/>
          <w:highlight w:val="none"/>
        </w:rPr>
      </w:pPr>
      <w:r>
        <w:rPr>
          <w:rFonts w:ascii="仿宋" w:hAnsi="仿宋" w:eastAsia="仿宋" w:cs="Arial"/>
          <w:color w:val="auto"/>
          <w:kern w:val="0"/>
          <w:sz w:val="24"/>
          <w:highlight w:val="none"/>
        </w:rPr>
        <w:t>19.</w:t>
      </w:r>
      <w:r>
        <w:rPr>
          <w:rFonts w:ascii="仿宋" w:hAnsi="仿宋" w:eastAsia="仿宋" w:cs="仿宋_GB2312"/>
          <w:color w:val="auto"/>
          <w:sz w:val="24"/>
          <w:highlight w:val="none"/>
        </w:rPr>
        <w:t>5合格供应商不足3家的，不再评标。</w:t>
      </w:r>
    </w:p>
    <w:p>
      <w:pPr>
        <w:snapToGrid w:val="0"/>
        <w:spacing w:line="360" w:lineRule="auto"/>
        <w:rPr>
          <w:rFonts w:ascii="仿宋" w:hAnsi="仿宋" w:eastAsia="仿宋" w:cs="仿宋_GB2312"/>
          <w:b/>
          <w:color w:val="auto"/>
          <w:sz w:val="24"/>
          <w:highlight w:val="none"/>
        </w:rPr>
      </w:pPr>
    </w:p>
    <w:p>
      <w:pPr>
        <w:snapToGrid w:val="0"/>
        <w:spacing w:line="360" w:lineRule="auto"/>
        <w:outlineLvl w:val="3"/>
        <w:rPr>
          <w:rFonts w:ascii="仿宋" w:hAnsi="仿宋" w:eastAsia="仿宋" w:cs="仿宋_GB2312"/>
          <w:b/>
          <w:color w:val="auto"/>
          <w:sz w:val="24"/>
          <w:highlight w:val="none"/>
        </w:rPr>
      </w:pPr>
      <w:r>
        <w:rPr>
          <w:rFonts w:ascii="仿宋" w:hAnsi="仿宋" w:eastAsia="仿宋" w:cs="仿宋_GB2312"/>
          <w:b/>
          <w:color w:val="auto"/>
          <w:sz w:val="24"/>
          <w:highlight w:val="none"/>
        </w:rPr>
        <w:t>20</w:t>
      </w:r>
      <w:r>
        <w:rPr>
          <w:rFonts w:hint="eastAsia" w:ascii="仿宋" w:hAnsi="仿宋" w:eastAsia="仿宋" w:cs="仿宋_GB2312"/>
          <w:b/>
          <w:color w:val="auto"/>
          <w:sz w:val="24"/>
          <w:highlight w:val="none"/>
        </w:rPr>
        <w:t>.</w:t>
      </w:r>
      <w:r>
        <w:rPr>
          <w:rFonts w:ascii="仿宋" w:hAnsi="仿宋" w:eastAsia="仿宋" w:cs="仿宋_GB2312"/>
          <w:b/>
          <w:color w:val="auto"/>
          <w:sz w:val="24"/>
          <w:highlight w:val="none"/>
        </w:rPr>
        <w:t>信用信息查询</w:t>
      </w:r>
    </w:p>
    <w:p>
      <w:pPr>
        <w:snapToGrid w:val="0"/>
        <w:spacing w:line="360" w:lineRule="auto"/>
        <w:ind w:firstLine="420"/>
        <w:rPr>
          <w:rFonts w:ascii="仿宋" w:hAnsi="仿宋" w:eastAsia="仿宋" w:cs="Arial"/>
          <w:color w:val="auto"/>
          <w:kern w:val="0"/>
          <w:sz w:val="24"/>
          <w:highlight w:val="none"/>
        </w:rPr>
      </w:pPr>
      <w:r>
        <w:rPr>
          <w:rFonts w:ascii="仿宋" w:hAnsi="仿宋" w:eastAsia="仿宋" w:cs="Arial"/>
          <w:color w:val="auto"/>
          <w:kern w:val="0"/>
          <w:sz w:val="24"/>
          <w:highlight w:val="none"/>
        </w:rPr>
        <w:t>20.1信用信息查询渠道及截止时间：采购代理机构将通过“信用中国”网站(www.creditchina.gov.cn)、中国政府采购网(www.ccgp.gov.cn)渠道查询供应商投标截止时间当天的信用记录。</w:t>
      </w:r>
    </w:p>
    <w:p>
      <w:pPr>
        <w:snapToGrid w:val="0"/>
        <w:spacing w:line="360" w:lineRule="auto"/>
        <w:ind w:firstLine="420"/>
        <w:rPr>
          <w:rFonts w:ascii="仿宋" w:hAnsi="仿宋" w:eastAsia="仿宋" w:cs="Arial"/>
          <w:color w:val="auto"/>
          <w:kern w:val="0"/>
          <w:sz w:val="24"/>
          <w:highlight w:val="none"/>
        </w:rPr>
      </w:pPr>
      <w:r>
        <w:rPr>
          <w:rFonts w:ascii="仿宋" w:hAnsi="仿宋" w:eastAsia="仿宋" w:cs="Arial"/>
          <w:color w:val="auto"/>
          <w:kern w:val="0"/>
          <w:sz w:val="24"/>
          <w:highlight w:val="none"/>
        </w:rPr>
        <w:t>20.2信用信息查询记录和证据留存的具体方式：现场查询的供应商的信用记录、查询结果经确认后将与采购文件一起存档。</w:t>
      </w:r>
    </w:p>
    <w:p>
      <w:pPr>
        <w:snapToGrid w:val="0"/>
        <w:spacing w:line="360" w:lineRule="auto"/>
        <w:ind w:firstLine="420"/>
        <w:rPr>
          <w:rFonts w:ascii="仿宋" w:hAnsi="仿宋" w:eastAsia="仿宋" w:cs="Arial"/>
          <w:color w:val="auto"/>
          <w:kern w:val="0"/>
          <w:sz w:val="24"/>
          <w:highlight w:val="none"/>
        </w:rPr>
      </w:pPr>
      <w:r>
        <w:rPr>
          <w:rFonts w:ascii="仿宋" w:hAnsi="仿宋" w:eastAsia="仿宋" w:cs="Arial"/>
          <w:color w:val="auto"/>
          <w:kern w:val="0"/>
          <w:sz w:val="24"/>
          <w:highlight w:val="none"/>
        </w:rPr>
        <w:t>20.3信用信息的使用规则：经查询列入失信被执行人名单、重大税收违法案件当事人名单、政府采购严重违法失信行为记录名单的供应商将被拒绝参与政府采购活动。</w:t>
      </w:r>
    </w:p>
    <w:p>
      <w:pPr>
        <w:snapToGrid w:val="0"/>
        <w:spacing w:line="360" w:lineRule="auto"/>
        <w:ind w:firstLine="420"/>
        <w:rPr>
          <w:rFonts w:ascii="仿宋" w:hAnsi="仿宋" w:eastAsia="仿宋" w:cs="Arial"/>
          <w:color w:val="auto"/>
          <w:kern w:val="0"/>
          <w:sz w:val="24"/>
          <w:highlight w:val="none"/>
        </w:rPr>
      </w:pPr>
      <w:r>
        <w:rPr>
          <w:rFonts w:ascii="仿宋" w:hAnsi="仿宋" w:eastAsia="仿宋" w:cs="Arial"/>
          <w:color w:val="auto"/>
          <w:kern w:val="0"/>
          <w:sz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Arial"/>
          <w:color w:val="auto"/>
          <w:kern w:val="0"/>
          <w:sz w:val="24"/>
          <w:highlight w:val="none"/>
        </w:rPr>
        <w:t>。</w:t>
      </w:r>
    </w:p>
    <w:p>
      <w:pPr>
        <w:snapToGrid w:val="0"/>
        <w:spacing w:line="360" w:lineRule="auto"/>
        <w:rPr>
          <w:rFonts w:ascii="仿宋" w:hAnsi="仿宋" w:eastAsia="仿宋" w:cs="Arial"/>
          <w:color w:val="auto"/>
          <w:kern w:val="0"/>
          <w:sz w:val="24"/>
          <w:highlight w:val="none"/>
        </w:rPr>
      </w:pPr>
    </w:p>
    <w:p>
      <w:pPr>
        <w:snapToGrid w:val="0"/>
        <w:spacing w:line="360" w:lineRule="auto"/>
        <w:jc w:val="center"/>
        <w:outlineLvl w:val="1"/>
        <w:rPr>
          <w:rFonts w:ascii="仿宋" w:hAnsi="仿宋" w:eastAsia="仿宋" w:cs="仿宋_GB2312"/>
          <w:b/>
          <w:color w:val="auto"/>
          <w:sz w:val="24"/>
          <w:highlight w:val="none"/>
        </w:rPr>
      </w:pPr>
      <w:bookmarkStart w:id="131" w:name="_Toc1045548532"/>
      <w:bookmarkStart w:id="132" w:name="_Toc23183"/>
      <w:bookmarkStart w:id="133" w:name="_Toc24831"/>
      <w:bookmarkStart w:id="134" w:name="_Toc1991934999"/>
      <w:bookmarkStart w:id="135" w:name="_Toc95312959"/>
      <w:r>
        <w:rPr>
          <w:rFonts w:hint="eastAsia" w:ascii="仿宋" w:hAnsi="仿宋" w:eastAsia="仿宋" w:cs="仿宋_GB2312"/>
          <w:b/>
          <w:color w:val="auto"/>
          <w:sz w:val="24"/>
          <w:highlight w:val="none"/>
        </w:rPr>
        <w:t>五、评标</w:t>
      </w:r>
      <w:bookmarkEnd w:id="131"/>
      <w:bookmarkEnd w:id="132"/>
      <w:bookmarkEnd w:id="133"/>
      <w:bookmarkEnd w:id="134"/>
      <w:bookmarkEnd w:id="135"/>
    </w:p>
    <w:p>
      <w:pPr>
        <w:snapToGrid w:val="0"/>
        <w:spacing w:line="360" w:lineRule="auto"/>
        <w:rPr>
          <w:rFonts w:ascii="仿宋" w:hAnsi="仿宋" w:eastAsia="仿宋" w:cs="仿宋_GB2312"/>
          <w:b/>
          <w:color w:val="auto"/>
          <w:sz w:val="24"/>
          <w:highlight w:val="none"/>
        </w:rPr>
      </w:pPr>
      <w:bookmarkStart w:id="136" w:name="_Toc91899903"/>
      <w:r>
        <w:rPr>
          <w:rFonts w:ascii="仿宋" w:hAnsi="仿宋" w:eastAsia="仿宋" w:cs="仿宋_GB2312"/>
          <w:b/>
          <w:color w:val="auto"/>
          <w:sz w:val="24"/>
          <w:highlight w:val="none"/>
        </w:rPr>
        <w:t>21.</w:t>
      </w:r>
      <w:r>
        <w:rPr>
          <w:rFonts w:ascii="仿宋" w:hAnsi="仿宋" w:eastAsia="仿宋"/>
          <w:color w:val="auto"/>
          <w:sz w:val="24"/>
          <w:highlight w:val="none"/>
        </w:rPr>
        <w:t xml:space="preserve"> </w:t>
      </w:r>
      <w:r>
        <w:rPr>
          <w:rFonts w:hint="eastAsia" w:ascii="仿宋" w:hAnsi="仿宋" w:eastAsia="仿宋" w:cs="仿宋_GB2312"/>
          <w:color w:val="auto"/>
          <w:sz w:val="24"/>
          <w:highlight w:val="none"/>
        </w:rPr>
        <w:t>评标委员会将根据采购文件和有关规定，履行评标工作职责，并按照评标方法及评分标准，全面衡量各供应商对采购文件的响应情况。对实质上响应采购文件的供应商，按照评审因素的量化指标排出推荐中标的供应商的先后顺序，并按顺序提出授标建议。</w:t>
      </w:r>
      <w:r>
        <w:rPr>
          <w:rFonts w:hint="eastAsia" w:ascii="仿宋" w:hAnsi="仿宋" w:eastAsia="仿宋" w:cs="仿宋_GB2312"/>
          <w:b/>
          <w:color w:val="auto"/>
          <w:sz w:val="24"/>
          <w:highlight w:val="none"/>
        </w:rPr>
        <w:t>详见采购文件第四部分评标办法。</w:t>
      </w:r>
    </w:p>
    <w:p>
      <w:pPr>
        <w:snapToGrid w:val="0"/>
        <w:spacing w:line="360" w:lineRule="auto"/>
        <w:rPr>
          <w:rFonts w:ascii="仿宋" w:hAnsi="仿宋" w:eastAsia="仿宋" w:cs="仿宋_GB2312"/>
          <w:b/>
          <w:color w:val="auto"/>
          <w:sz w:val="24"/>
          <w:highlight w:val="none"/>
        </w:rPr>
      </w:pPr>
    </w:p>
    <w:p>
      <w:pPr>
        <w:snapToGrid w:val="0"/>
        <w:spacing w:line="360" w:lineRule="auto"/>
        <w:jc w:val="center"/>
        <w:outlineLvl w:val="1"/>
        <w:rPr>
          <w:rFonts w:ascii="仿宋" w:hAnsi="仿宋" w:eastAsia="仿宋" w:cs="仿宋_GB2312"/>
          <w:b/>
          <w:color w:val="auto"/>
          <w:sz w:val="24"/>
          <w:highlight w:val="none"/>
        </w:rPr>
      </w:pPr>
      <w:bookmarkStart w:id="137" w:name="_Toc1822977570"/>
      <w:bookmarkStart w:id="138" w:name="_Toc16557"/>
      <w:bookmarkStart w:id="139" w:name="_Toc8276"/>
      <w:bookmarkStart w:id="140" w:name="_Toc1328955110"/>
      <w:bookmarkStart w:id="141" w:name="_Toc95312960"/>
      <w:r>
        <w:rPr>
          <w:rFonts w:hint="eastAsia" w:ascii="仿宋" w:hAnsi="仿宋" w:eastAsia="仿宋" w:cs="仿宋_GB2312"/>
          <w:b/>
          <w:color w:val="auto"/>
          <w:sz w:val="24"/>
          <w:highlight w:val="none"/>
        </w:rPr>
        <w:t>六、定</w:t>
      </w:r>
      <w:r>
        <w:rPr>
          <w:rFonts w:ascii="仿宋" w:hAnsi="仿宋" w:eastAsia="仿宋" w:cs="仿宋_GB2312"/>
          <w:b/>
          <w:color w:val="auto"/>
          <w:sz w:val="24"/>
          <w:highlight w:val="none"/>
        </w:rPr>
        <w:t xml:space="preserve"> </w:t>
      </w:r>
      <w:r>
        <w:rPr>
          <w:rFonts w:hint="eastAsia" w:ascii="仿宋" w:hAnsi="仿宋" w:eastAsia="仿宋" w:cs="仿宋_GB2312"/>
          <w:b/>
          <w:color w:val="auto"/>
          <w:sz w:val="24"/>
          <w:highlight w:val="none"/>
        </w:rPr>
        <w:t>标</w:t>
      </w:r>
      <w:bookmarkEnd w:id="137"/>
      <w:bookmarkEnd w:id="138"/>
      <w:bookmarkEnd w:id="139"/>
      <w:bookmarkEnd w:id="140"/>
      <w:bookmarkEnd w:id="141"/>
    </w:p>
    <w:p>
      <w:pPr>
        <w:pStyle w:val="2"/>
        <w:snapToGrid w:val="0"/>
        <w:ind w:left="479" w:hanging="479" w:hangingChars="199"/>
        <w:rPr>
          <w:rFonts w:ascii="仿宋" w:hAnsi="仿宋" w:eastAsia="仿宋" w:cs="仿宋_GB2312"/>
          <w:b/>
          <w:color w:val="auto"/>
          <w:szCs w:val="24"/>
          <w:highlight w:val="none"/>
        </w:rPr>
      </w:pPr>
      <w:r>
        <w:rPr>
          <w:rFonts w:ascii="仿宋" w:hAnsi="仿宋" w:eastAsia="仿宋" w:cs="仿宋_GB2312"/>
          <w:b/>
          <w:color w:val="auto"/>
          <w:szCs w:val="24"/>
          <w:highlight w:val="none"/>
        </w:rPr>
        <w:t xml:space="preserve">22. </w:t>
      </w:r>
      <w:r>
        <w:rPr>
          <w:rFonts w:hint="eastAsia" w:ascii="仿宋" w:hAnsi="仿宋" w:eastAsia="仿宋" w:cs="仿宋_GB2312"/>
          <w:b/>
          <w:color w:val="auto"/>
          <w:szCs w:val="24"/>
          <w:highlight w:val="none"/>
        </w:rPr>
        <w:t>确定中标供应商</w:t>
      </w:r>
    </w:p>
    <w:p>
      <w:pPr>
        <w:snapToGrid w:val="0"/>
        <w:spacing w:line="360" w:lineRule="auto"/>
        <w:ind w:firstLine="480"/>
        <w:rPr>
          <w:rFonts w:ascii="仿宋" w:hAnsi="仿宋" w:eastAsia="仿宋" w:cs="仿宋_GB2312"/>
          <w:b/>
          <w:color w:val="auto"/>
          <w:sz w:val="24"/>
          <w:highlight w:val="none"/>
        </w:rPr>
      </w:pPr>
      <w:r>
        <w:rPr>
          <w:rFonts w:hint="eastAsia" w:ascii="仿宋" w:hAnsi="仿宋" w:eastAsia="仿宋" w:cs="仿宋_GB2312"/>
          <w:color w:val="auto"/>
          <w:sz w:val="24"/>
          <w:highlight w:val="none"/>
        </w:rPr>
        <w:t>采购人将自收到评审报告之日起</w:t>
      </w:r>
      <w:r>
        <w:rPr>
          <w:rFonts w:ascii="仿宋" w:hAnsi="仿宋" w:eastAsia="仿宋" w:cs="仿宋_GB2312"/>
          <w:color w:val="auto"/>
          <w:sz w:val="24"/>
          <w:highlight w:val="none"/>
        </w:rPr>
        <w:t>5个工作日内通过电子交易平台在评审报告推荐的中标候选人中按顺序确定中标供应商。</w:t>
      </w:r>
    </w:p>
    <w:p>
      <w:pPr>
        <w:snapToGrid w:val="0"/>
        <w:spacing w:line="360" w:lineRule="auto"/>
        <w:rPr>
          <w:rFonts w:ascii="仿宋" w:hAnsi="仿宋" w:eastAsia="仿宋" w:cs="仿宋_GB2312"/>
          <w:b/>
          <w:color w:val="auto"/>
          <w:sz w:val="24"/>
          <w:highlight w:val="none"/>
        </w:rPr>
      </w:pPr>
    </w:p>
    <w:p>
      <w:pPr>
        <w:snapToGrid w:val="0"/>
        <w:spacing w:line="360" w:lineRule="auto"/>
        <w:rPr>
          <w:rFonts w:ascii="仿宋" w:hAnsi="仿宋" w:eastAsia="仿宋" w:cs="仿宋_GB2312"/>
          <w:b/>
          <w:color w:val="auto"/>
          <w:sz w:val="24"/>
          <w:highlight w:val="none"/>
        </w:rPr>
      </w:pPr>
      <w:r>
        <w:rPr>
          <w:rFonts w:ascii="仿宋" w:hAnsi="仿宋" w:eastAsia="仿宋" w:cs="仿宋_GB2312"/>
          <w:b/>
          <w:color w:val="auto"/>
          <w:sz w:val="24"/>
          <w:highlight w:val="none"/>
        </w:rPr>
        <w:t xml:space="preserve">23. </w:t>
      </w:r>
      <w:r>
        <w:rPr>
          <w:rFonts w:hint="eastAsia" w:ascii="仿宋" w:hAnsi="仿宋" w:eastAsia="仿宋" w:cs="仿宋_GB2312"/>
          <w:b/>
          <w:color w:val="auto"/>
          <w:sz w:val="24"/>
          <w:highlight w:val="none"/>
        </w:rPr>
        <w:t>中标通知与中标结果公告</w:t>
      </w:r>
    </w:p>
    <w:p>
      <w:pPr>
        <w:widowControl/>
        <w:shd w:val="clear" w:color="auto" w:fill="FFFFFF"/>
        <w:snapToGrid w:val="0"/>
        <w:spacing w:line="360" w:lineRule="auto"/>
        <w:ind w:firstLine="420"/>
        <w:jc w:val="left"/>
        <w:rPr>
          <w:rFonts w:ascii="仿宋" w:hAnsi="仿宋" w:eastAsia="仿宋" w:cs="仿宋_GB2312"/>
          <w:color w:val="auto"/>
          <w:sz w:val="24"/>
          <w:highlight w:val="none"/>
        </w:rPr>
      </w:pPr>
      <w:r>
        <w:rPr>
          <w:rFonts w:ascii="仿宋" w:hAnsi="仿宋" w:eastAsia="仿宋" w:cs="仿宋_GB2312"/>
          <w:color w:val="auto"/>
          <w:sz w:val="24"/>
          <w:highlight w:val="none"/>
        </w:rPr>
        <w:t>23.1自中标人确定之日起2个工作日内，采购代理机构通过电子交易平台向中标人发出中标通知书，</w:t>
      </w:r>
      <w:r>
        <w:rPr>
          <w:rFonts w:hint="eastAsia" w:ascii="仿宋" w:hAnsi="仿宋" w:eastAsia="仿宋" w:cs="仿宋_GB2312"/>
          <w:color w:val="auto"/>
          <w:sz w:val="24"/>
          <w:highlight w:val="none"/>
        </w:rPr>
        <w:t>同时编制发布采购结果公告。采购代理机构也可以以纸质形式进行中标通知。</w:t>
      </w:r>
    </w:p>
    <w:p>
      <w:pPr>
        <w:widowControl/>
        <w:shd w:val="clear" w:color="auto" w:fill="FFFFFF"/>
        <w:snapToGrid w:val="0"/>
        <w:spacing w:line="360" w:lineRule="auto"/>
        <w:ind w:firstLine="420"/>
        <w:jc w:val="left"/>
        <w:rPr>
          <w:rFonts w:ascii="仿宋" w:hAnsi="仿宋" w:eastAsia="仿宋" w:cs="仿宋_GB2312"/>
          <w:color w:val="auto"/>
          <w:sz w:val="24"/>
          <w:highlight w:val="none"/>
        </w:rPr>
      </w:pPr>
      <w:r>
        <w:rPr>
          <w:rFonts w:ascii="仿宋" w:hAnsi="仿宋" w:eastAsia="仿宋" w:cs="仿宋_GB2312"/>
          <w:color w:val="auto"/>
          <w:sz w:val="24"/>
          <w:highlight w:val="none"/>
        </w:rPr>
        <w:t>23.2中标结果公告内容包括采购人及其委托的采购代理机构的名称、地址、联系方式，</w:t>
      </w:r>
      <w:r>
        <w:rPr>
          <w:rFonts w:hint="eastAsia" w:ascii="仿宋" w:hAnsi="仿宋" w:eastAsia="仿宋" w:cs="仿宋_GB2312"/>
          <w:color w:val="auto"/>
          <w:sz w:val="24"/>
          <w:highlight w:val="none"/>
        </w:rPr>
        <w:t>余杭区市民之家大厅及食堂家具采购</w:t>
      </w:r>
      <w:r>
        <w:rPr>
          <w:rFonts w:ascii="仿宋" w:hAnsi="仿宋" w:eastAsia="仿宋" w:cs="仿宋_GB2312"/>
          <w:color w:val="auto"/>
          <w:sz w:val="24"/>
          <w:highlight w:val="none"/>
        </w:rPr>
        <w:t>和项目编号，中标人名称、地址和中标金额，主要中标标的</w:t>
      </w:r>
      <w:r>
        <w:rPr>
          <w:rFonts w:hint="eastAsia" w:ascii="仿宋" w:hAnsi="仿宋" w:eastAsia="仿宋" w:cs="仿宋_GB2312"/>
          <w:color w:val="auto"/>
          <w:sz w:val="24"/>
          <w:highlight w:val="none"/>
        </w:rPr>
        <w:t>的名称、规格型号（如有）、数量、单价、服务要求，开标记录、未中标情况说明、中标公告期限以及评审专家名单、评分汇总及明细。</w:t>
      </w:r>
    </w:p>
    <w:p>
      <w:pPr>
        <w:widowControl/>
        <w:shd w:val="clear" w:color="auto" w:fill="FFFFFF"/>
        <w:snapToGrid w:val="0"/>
        <w:spacing w:line="360" w:lineRule="auto"/>
        <w:ind w:firstLine="420"/>
        <w:jc w:val="left"/>
        <w:rPr>
          <w:rFonts w:ascii="仿宋" w:hAnsi="仿宋" w:eastAsia="仿宋" w:cs="仿宋_GB2312"/>
          <w:color w:val="auto"/>
          <w:sz w:val="24"/>
          <w:highlight w:val="none"/>
        </w:rPr>
      </w:pPr>
      <w:r>
        <w:rPr>
          <w:rFonts w:ascii="仿宋" w:hAnsi="仿宋" w:eastAsia="仿宋" w:cs="仿宋_GB2312"/>
          <w:color w:val="auto"/>
          <w:sz w:val="24"/>
          <w:highlight w:val="none"/>
        </w:rPr>
        <w:t>23.3公告期限为1个工作日。</w:t>
      </w:r>
    </w:p>
    <w:p>
      <w:pPr>
        <w:snapToGrid w:val="0"/>
        <w:spacing w:line="360" w:lineRule="auto"/>
        <w:ind w:firstLine="361" w:firstLineChars="150"/>
        <w:jc w:val="center"/>
        <w:rPr>
          <w:rFonts w:ascii="仿宋" w:hAnsi="仿宋" w:eastAsia="仿宋" w:cs="仿宋_GB2312"/>
          <w:b/>
          <w:color w:val="auto"/>
          <w:sz w:val="24"/>
          <w:highlight w:val="none"/>
        </w:rPr>
      </w:pPr>
    </w:p>
    <w:p>
      <w:pPr>
        <w:snapToGrid w:val="0"/>
        <w:spacing w:line="360" w:lineRule="auto"/>
        <w:jc w:val="center"/>
        <w:outlineLvl w:val="1"/>
        <w:rPr>
          <w:rFonts w:ascii="仿宋" w:hAnsi="仿宋" w:eastAsia="仿宋" w:cs="仿宋_GB2312"/>
          <w:b/>
          <w:color w:val="auto"/>
          <w:sz w:val="30"/>
          <w:szCs w:val="30"/>
          <w:highlight w:val="none"/>
        </w:rPr>
      </w:pPr>
      <w:bookmarkStart w:id="142" w:name="_Toc8690"/>
      <w:bookmarkStart w:id="143" w:name="_Toc634827241"/>
      <w:bookmarkStart w:id="144" w:name="_Toc95312961"/>
      <w:bookmarkStart w:id="145" w:name="_Toc27304"/>
      <w:bookmarkStart w:id="146" w:name="_Toc1918604970"/>
      <w:r>
        <w:rPr>
          <w:rFonts w:hint="eastAsia" w:ascii="仿宋" w:hAnsi="仿宋" w:eastAsia="仿宋" w:cs="仿宋_GB2312"/>
          <w:b/>
          <w:color w:val="auto"/>
          <w:sz w:val="30"/>
          <w:szCs w:val="30"/>
          <w:highlight w:val="none"/>
        </w:rPr>
        <w:t>七、合同授予</w:t>
      </w:r>
      <w:bookmarkEnd w:id="142"/>
      <w:bookmarkEnd w:id="143"/>
      <w:bookmarkEnd w:id="144"/>
      <w:bookmarkEnd w:id="145"/>
      <w:bookmarkEnd w:id="146"/>
    </w:p>
    <w:p>
      <w:pPr>
        <w:pStyle w:val="2"/>
        <w:snapToGrid w:val="0"/>
        <w:ind w:left="479" w:hanging="479" w:hangingChars="199"/>
        <w:rPr>
          <w:rFonts w:ascii="仿宋" w:hAnsi="仿宋" w:eastAsia="仿宋" w:cs="仿宋_GB2312"/>
          <w:b/>
          <w:color w:val="auto"/>
          <w:highlight w:val="none"/>
        </w:rPr>
      </w:pPr>
      <w:r>
        <w:rPr>
          <w:rFonts w:ascii="仿宋" w:hAnsi="仿宋" w:eastAsia="仿宋" w:cs="仿宋_GB2312"/>
          <w:b/>
          <w:color w:val="auto"/>
          <w:highlight w:val="none"/>
        </w:rPr>
        <w:t xml:space="preserve">24. </w:t>
      </w:r>
      <w:r>
        <w:rPr>
          <w:rFonts w:hint="eastAsia" w:ascii="仿宋" w:hAnsi="仿宋" w:eastAsia="仿宋" w:cs="仿宋_GB2312"/>
          <w:color w:val="auto"/>
          <w:highlight w:val="none"/>
        </w:rPr>
        <w:t>合同主要条款详见第五部分拟签订的合同文本。</w:t>
      </w:r>
    </w:p>
    <w:p>
      <w:pPr>
        <w:pStyle w:val="2"/>
        <w:snapToGrid w:val="0"/>
        <w:ind w:left="479" w:hanging="479" w:hangingChars="199"/>
        <w:rPr>
          <w:rFonts w:ascii="仿宋" w:hAnsi="仿宋" w:eastAsia="仿宋" w:cs="仿宋_GB2312"/>
          <w:b/>
          <w:color w:val="auto"/>
          <w:highlight w:val="none"/>
        </w:rPr>
      </w:pPr>
    </w:p>
    <w:p>
      <w:pPr>
        <w:pStyle w:val="2"/>
        <w:snapToGrid w:val="0"/>
        <w:ind w:left="479" w:hanging="479" w:hangingChars="199"/>
        <w:rPr>
          <w:rFonts w:ascii="仿宋" w:hAnsi="仿宋" w:eastAsia="仿宋" w:cs="仿宋_GB2312"/>
          <w:b/>
          <w:color w:val="auto"/>
          <w:szCs w:val="24"/>
          <w:highlight w:val="none"/>
        </w:rPr>
      </w:pPr>
      <w:r>
        <w:rPr>
          <w:rFonts w:ascii="仿宋" w:hAnsi="仿宋" w:eastAsia="仿宋" w:cs="仿宋_GB2312"/>
          <w:b/>
          <w:color w:val="auto"/>
          <w:szCs w:val="24"/>
          <w:highlight w:val="none"/>
        </w:rPr>
        <w:t xml:space="preserve">25. </w:t>
      </w:r>
      <w:r>
        <w:rPr>
          <w:rFonts w:hint="eastAsia" w:ascii="仿宋" w:hAnsi="仿宋" w:eastAsia="仿宋" w:cs="仿宋_GB2312"/>
          <w:b/>
          <w:color w:val="auto"/>
          <w:szCs w:val="24"/>
          <w:highlight w:val="none"/>
        </w:rPr>
        <w:t>合同的签订</w:t>
      </w:r>
    </w:p>
    <w:p>
      <w:pPr>
        <w:widowControl/>
        <w:shd w:val="clear" w:color="auto" w:fill="FFFFFF"/>
        <w:snapToGrid w:val="0"/>
        <w:spacing w:line="360" w:lineRule="auto"/>
        <w:ind w:firstLine="420"/>
        <w:jc w:val="left"/>
        <w:rPr>
          <w:rFonts w:ascii="仿宋" w:hAnsi="仿宋" w:eastAsia="仿宋" w:cs="Arial"/>
          <w:color w:val="auto"/>
          <w:kern w:val="0"/>
          <w:sz w:val="24"/>
          <w:highlight w:val="none"/>
        </w:rPr>
      </w:pPr>
      <w:r>
        <w:rPr>
          <w:rFonts w:ascii="仿宋" w:hAnsi="仿宋" w:eastAsia="仿宋" w:cs="仿宋_GB2312"/>
          <w:color w:val="auto"/>
          <w:sz w:val="24"/>
          <w:highlight w:val="none"/>
        </w:rPr>
        <w:t>25.1</w:t>
      </w:r>
      <w:r>
        <w:rPr>
          <w:rFonts w:ascii="仿宋" w:hAnsi="仿宋" w:eastAsia="仿宋" w:cs="Arial"/>
          <w:color w:val="auto"/>
          <w:kern w:val="0"/>
          <w:sz w:val="24"/>
          <w:highlight w:val="none"/>
        </w:rPr>
        <w:t xml:space="preserve"> 采购人与中标人应当通过电子交易平台在中标通知书发出之日起三十日内，按照采购文件确定的事项签订政府采购合同，并在</w:t>
      </w:r>
      <w:r>
        <w:rPr>
          <w:rFonts w:hint="eastAsia" w:ascii="仿宋" w:hAnsi="仿宋" w:eastAsia="仿宋" w:cs="Arial"/>
          <w:color w:val="auto"/>
          <w:kern w:val="0"/>
          <w:sz w:val="24"/>
          <w:highlight w:val="none"/>
        </w:rPr>
        <w:t>合同签订之日起2个工作日</w:t>
      </w:r>
      <w:r>
        <w:rPr>
          <w:rFonts w:ascii="仿宋" w:hAnsi="仿宋" w:eastAsia="仿宋" w:cs="Arial"/>
          <w:color w:val="auto"/>
          <w:kern w:val="0"/>
          <w:sz w:val="24"/>
          <w:highlight w:val="none"/>
        </w:rPr>
        <w:t>内依法发布合同公告。</w:t>
      </w:r>
    </w:p>
    <w:p>
      <w:pPr>
        <w:snapToGrid w:val="0"/>
        <w:spacing w:line="360" w:lineRule="auto"/>
        <w:ind w:firstLine="420"/>
        <w:rPr>
          <w:rFonts w:ascii="仿宋" w:hAnsi="仿宋" w:eastAsia="仿宋"/>
          <w:color w:val="auto"/>
          <w:kern w:val="0"/>
          <w:sz w:val="24"/>
          <w:highlight w:val="none"/>
        </w:rPr>
      </w:pPr>
      <w:r>
        <w:rPr>
          <w:rFonts w:ascii="仿宋" w:hAnsi="仿宋" w:eastAsia="仿宋" w:cs="仿宋_GB2312"/>
          <w:color w:val="auto"/>
          <w:kern w:val="0"/>
          <w:sz w:val="24"/>
          <w:highlight w:val="none"/>
          <w:lang w:val="zh-CN"/>
        </w:rPr>
        <w:t>25.2</w:t>
      </w:r>
      <w:r>
        <w:rPr>
          <w:rFonts w:hint="eastAsia" w:ascii="仿宋" w:hAnsi="仿宋" w:eastAsia="仿宋"/>
          <w:color w:val="auto"/>
          <w:kern w:val="0"/>
          <w:sz w:val="24"/>
          <w:highlight w:val="none"/>
          <w:lang w:val="zh-CN"/>
        </w:rPr>
        <w:t>中标人按规定的日期、时间、地点，由法定代表人或其授权代表与采购人代表签订合同。如中标人为联合体的，由联合体成员各方法定代表人或其授权代表与采购人代表签订合同。</w:t>
      </w:r>
    </w:p>
    <w:p>
      <w:pPr>
        <w:snapToGrid w:val="0"/>
        <w:spacing w:line="360" w:lineRule="auto"/>
        <w:ind w:firstLine="420"/>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25.3如签订合同并生效后，供应商无故拒绝或延期，除按照合同条款处理外，列入不良行为记录一次，并给予通报。</w:t>
      </w:r>
    </w:p>
    <w:p>
      <w:pPr>
        <w:snapToGrid w:val="0"/>
        <w:spacing w:line="360" w:lineRule="auto"/>
        <w:ind w:firstLine="420"/>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25.4中标供应</w:t>
      </w:r>
      <w:r>
        <w:rPr>
          <w:rFonts w:hint="eastAsia" w:ascii="仿宋" w:hAnsi="仿宋" w:eastAsia="仿宋" w:cs="仿宋_GB2312"/>
          <w:color w:val="auto"/>
          <w:kern w:val="0"/>
          <w:sz w:val="24"/>
          <w:highlight w:val="none"/>
          <w:lang w:val="zh-CN"/>
        </w:rPr>
        <w:t>商拒绝与采购人签订合同的，采购人可以按照评审报告推荐的中标或者成交候选人名单排序，确定下一候选人为中标供应商，也可以重新开展政府采购活动。</w:t>
      </w:r>
    </w:p>
    <w:p>
      <w:pPr>
        <w:snapToGrid w:val="0"/>
        <w:spacing w:line="360" w:lineRule="auto"/>
        <w:ind w:firstLine="420"/>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25.5采购合同由采购人与中标供应商根据</w:t>
      </w:r>
      <w:r>
        <w:rPr>
          <w:rFonts w:hint="eastAsia" w:ascii="仿宋" w:hAnsi="仿宋" w:eastAsia="仿宋" w:cs="仿宋_GB2312"/>
          <w:color w:val="auto"/>
          <w:kern w:val="0"/>
          <w:sz w:val="24"/>
          <w:highlight w:val="none"/>
          <w:lang w:val="zh-CN"/>
        </w:rPr>
        <w:t>采购文件、投标文件等内容通过政府采购电子交易平台在线签订，自动备案。</w:t>
      </w:r>
    </w:p>
    <w:p>
      <w:pPr>
        <w:pStyle w:val="2"/>
        <w:snapToGrid w:val="0"/>
        <w:ind w:left="479" w:hanging="479" w:hangingChars="199"/>
        <w:rPr>
          <w:rFonts w:ascii="仿宋" w:hAnsi="仿宋" w:eastAsia="仿宋" w:cs="仿宋_GB2312"/>
          <w:b/>
          <w:color w:val="auto"/>
          <w:szCs w:val="24"/>
          <w:highlight w:val="none"/>
        </w:rPr>
      </w:pPr>
    </w:p>
    <w:p>
      <w:pPr>
        <w:pStyle w:val="2"/>
        <w:snapToGrid w:val="0"/>
        <w:ind w:left="479" w:hanging="479" w:hangingChars="199"/>
        <w:rPr>
          <w:rFonts w:ascii="仿宋" w:hAnsi="仿宋" w:eastAsia="仿宋" w:cs="仿宋_GB2312"/>
          <w:b/>
          <w:color w:val="auto"/>
          <w:szCs w:val="24"/>
          <w:highlight w:val="none"/>
        </w:rPr>
      </w:pPr>
      <w:r>
        <w:rPr>
          <w:rFonts w:ascii="仿宋" w:hAnsi="仿宋" w:eastAsia="仿宋" w:cs="仿宋_GB2312"/>
          <w:b/>
          <w:color w:val="auto"/>
          <w:szCs w:val="24"/>
          <w:highlight w:val="none"/>
        </w:rPr>
        <w:t xml:space="preserve">26. </w:t>
      </w:r>
      <w:r>
        <w:rPr>
          <w:rFonts w:hint="eastAsia" w:ascii="仿宋" w:hAnsi="仿宋" w:eastAsia="仿宋" w:cs="仿宋_GB2312"/>
          <w:b/>
          <w:color w:val="auto"/>
          <w:szCs w:val="24"/>
          <w:highlight w:val="none"/>
        </w:rPr>
        <w:t>履约保证金</w:t>
      </w:r>
    </w:p>
    <w:p>
      <w:pPr>
        <w:tabs>
          <w:tab w:val="left" w:pos="0"/>
        </w:tabs>
        <w:spacing w:line="360" w:lineRule="auto"/>
        <w:ind w:firstLine="482"/>
        <w:rPr>
          <w:rFonts w:ascii="仿宋" w:hAnsi="仿宋" w:eastAsia="仿宋"/>
          <w:b/>
          <w:color w:val="auto"/>
          <w:sz w:val="24"/>
          <w:highlight w:val="none"/>
        </w:rPr>
      </w:pPr>
      <w:r>
        <w:rPr>
          <w:rFonts w:hint="eastAsia" w:ascii="仿宋" w:hAnsi="仿宋" w:eastAsia="仿宋" w:cs="Helvetica"/>
          <w:color w:val="auto"/>
          <w:kern w:val="0"/>
          <w:sz w:val="24"/>
          <w:highlight w:val="none"/>
        </w:rPr>
        <w:tab/>
      </w: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ascii="仿宋" w:hAnsi="仿宋" w:eastAsia="仿宋"/>
          <w:color w:val="auto"/>
          <w:sz w:val="24"/>
          <w:highlight w:val="none"/>
        </w:rPr>
        <w:t>2.5%。</w:t>
      </w:r>
      <w:r>
        <w:rPr>
          <w:rFonts w:hint="eastAsia" w:ascii="仿宋" w:hAnsi="仿宋" w:eastAsia="仿宋"/>
          <w:color w:val="auto"/>
          <w:sz w:val="24"/>
          <w:highlight w:val="none"/>
        </w:rPr>
        <w:t>鼓励和支持供应商以银行、保险公司出具的保函形式提供履约保证金。</w:t>
      </w:r>
      <w:r>
        <w:rPr>
          <w:rFonts w:hint="eastAsia" w:ascii="仿宋" w:hAnsi="仿宋" w:eastAsia="仿宋"/>
          <w:b/>
          <w:color w:val="auto"/>
          <w:sz w:val="24"/>
          <w:highlight w:val="none"/>
        </w:rPr>
        <w:t>采购人不得拒收履约保函。</w:t>
      </w:r>
    </w:p>
    <w:p>
      <w:pPr>
        <w:tabs>
          <w:tab w:val="left" w:pos="0"/>
        </w:tabs>
        <w:spacing w:line="360" w:lineRule="auto"/>
        <w:ind w:firstLine="482"/>
        <w:rPr>
          <w:rFonts w:ascii="仿宋" w:hAnsi="仿宋" w:eastAsia="仿宋" w:cs="仿宋_GB2312"/>
          <w:color w:val="auto"/>
          <w:sz w:val="24"/>
          <w:szCs w:val="20"/>
          <w:highlight w:val="none"/>
        </w:rPr>
      </w:pPr>
      <w:r>
        <w:rPr>
          <w:rFonts w:hint="eastAsia" w:ascii="仿宋" w:hAnsi="仿宋" w:eastAsia="仿宋" w:cs="仿宋_GB2312"/>
          <w:color w:val="auto"/>
          <w:sz w:val="24"/>
          <w:szCs w:val="20"/>
          <w:highlight w:val="none"/>
        </w:rPr>
        <w:t>政府采购货物和服务项目中，采购单位可根据杭州市政府采购网公布的供应商履约评价情况减免履约保证金。供应商履约验收评价总分为100分的，采购单位应当免收履约保证金；评价总分在90分以上的，收取履约保证金不得高于合同金额</w:t>
      </w:r>
      <w:r>
        <w:rPr>
          <w:rFonts w:ascii="仿宋" w:hAnsi="仿宋" w:eastAsia="仿宋" w:cs="仿宋_GB2312"/>
          <w:color w:val="auto"/>
          <w:sz w:val="24"/>
          <w:szCs w:val="20"/>
          <w:highlight w:val="none"/>
        </w:rPr>
        <w:t>1</w:t>
      </w:r>
      <w:r>
        <w:rPr>
          <w:rFonts w:hint="eastAsia" w:ascii="仿宋" w:hAnsi="仿宋" w:eastAsia="仿宋" w:cs="仿宋_GB2312"/>
          <w:color w:val="auto"/>
          <w:sz w:val="24"/>
          <w:szCs w:val="20"/>
          <w:highlight w:val="none"/>
        </w:rPr>
        <w:t>%；评价总分在90分以下或者暂无评分的，收取履约保证金不得高于合同金额</w:t>
      </w:r>
      <w:r>
        <w:rPr>
          <w:rFonts w:ascii="仿宋" w:hAnsi="仿宋" w:eastAsia="仿宋" w:cs="仿宋_GB2312"/>
          <w:color w:val="auto"/>
          <w:sz w:val="24"/>
          <w:szCs w:val="20"/>
          <w:highlight w:val="none"/>
        </w:rPr>
        <w:t>2.5</w:t>
      </w:r>
      <w:r>
        <w:rPr>
          <w:rFonts w:hint="eastAsia" w:ascii="仿宋" w:hAnsi="仿宋" w:eastAsia="仿宋" w:cs="仿宋_GB2312"/>
          <w:color w:val="auto"/>
          <w:sz w:val="24"/>
          <w:szCs w:val="20"/>
          <w:highlight w:val="none"/>
        </w:rPr>
        <w:t>%。</w:t>
      </w:r>
    </w:p>
    <w:p>
      <w:pPr>
        <w:pStyle w:val="4"/>
        <w:ind w:left="0" w:firstLine="480" w:firstLineChars="200"/>
        <w:rPr>
          <w:rFonts w:ascii="仿宋" w:eastAsia="仿宋"/>
          <w:color w:val="auto"/>
          <w:highlight w:val="none"/>
          <w:lang w:val="en-US"/>
        </w:rPr>
      </w:pPr>
      <w:r>
        <w:rPr>
          <w:rFonts w:hint="eastAsia" w:ascii="仿宋" w:eastAsia="仿宋"/>
          <w:b w:val="0"/>
          <w:bCs w:val="0"/>
          <w:snapToGrid w:val="0"/>
          <w:color w:val="auto"/>
          <w:kern w:val="28"/>
          <w:sz w:val="24"/>
          <w:highlight w:val="none"/>
        </w:rPr>
        <w:t>供应商</w:t>
      </w:r>
      <w:r>
        <w:rPr>
          <w:rFonts w:hint="eastAsia" w:ascii="仿宋" w:eastAsia="仿宋"/>
          <w:b w:val="0"/>
          <w:bCs w:val="0"/>
          <w:snapToGrid w:val="0"/>
          <w:color w:val="auto"/>
          <w:kern w:val="28"/>
          <w:sz w:val="24"/>
          <w:highlight w:val="none"/>
          <w:lang w:val="en-US"/>
        </w:rPr>
        <w:t>可</w:t>
      </w:r>
      <w:r>
        <w:rPr>
          <w:rFonts w:hint="eastAsia" w:ascii="仿宋" w:eastAsia="仿宋"/>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0"/>
        </w:tabs>
        <w:snapToGrid w:val="0"/>
        <w:spacing w:line="360" w:lineRule="auto"/>
        <w:jc w:val="left"/>
        <w:rPr>
          <w:rFonts w:ascii="仿宋" w:hAnsi="仿宋" w:eastAsia="仿宋" w:cs="仿宋_GB2312"/>
          <w:color w:val="auto"/>
          <w:sz w:val="24"/>
          <w:szCs w:val="20"/>
          <w:highlight w:val="none"/>
        </w:rPr>
      </w:pPr>
    </w:p>
    <w:p>
      <w:pPr>
        <w:snapToGrid w:val="0"/>
        <w:spacing w:line="360" w:lineRule="auto"/>
        <w:ind w:firstLine="3357" w:firstLineChars="1045"/>
        <w:rPr>
          <w:rFonts w:ascii="仿宋" w:hAnsi="仿宋" w:eastAsia="仿宋" w:cs="仿宋_GB2312"/>
          <w:b/>
          <w:color w:val="auto"/>
          <w:sz w:val="32"/>
          <w:highlight w:val="none"/>
        </w:rPr>
      </w:pPr>
    </w:p>
    <w:p>
      <w:pPr>
        <w:snapToGrid w:val="0"/>
        <w:spacing w:line="360" w:lineRule="auto"/>
        <w:jc w:val="center"/>
        <w:outlineLvl w:val="1"/>
        <w:rPr>
          <w:rFonts w:ascii="仿宋" w:hAnsi="仿宋" w:eastAsia="仿宋" w:cs="仿宋_GB2312"/>
          <w:b/>
          <w:color w:val="auto"/>
          <w:sz w:val="24"/>
          <w:highlight w:val="none"/>
        </w:rPr>
      </w:pPr>
      <w:bookmarkStart w:id="147" w:name="_Toc21878"/>
      <w:bookmarkStart w:id="148" w:name="_Toc17059"/>
      <w:bookmarkStart w:id="149" w:name="_Toc842681191"/>
      <w:bookmarkStart w:id="150" w:name="_Toc1526771085"/>
      <w:bookmarkStart w:id="151" w:name="_Toc95312962"/>
      <w:r>
        <w:rPr>
          <w:rFonts w:hint="eastAsia" w:ascii="仿宋" w:hAnsi="仿宋" w:eastAsia="仿宋" w:cs="仿宋_GB2312"/>
          <w:b/>
          <w:color w:val="auto"/>
          <w:sz w:val="24"/>
          <w:highlight w:val="none"/>
        </w:rPr>
        <w:t>八、电子交易活动的中止</w:t>
      </w:r>
      <w:bookmarkEnd w:id="147"/>
      <w:bookmarkEnd w:id="148"/>
      <w:bookmarkEnd w:id="149"/>
      <w:bookmarkEnd w:id="150"/>
      <w:bookmarkEnd w:id="151"/>
    </w:p>
    <w:p>
      <w:pPr>
        <w:snapToGrid w:val="0"/>
        <w:spacing w:line="360" w:lineRule="auto"/>
        <w:rPr>
          <w:rFonts w:ascii="仿宋" w:hAnsi="仿宋" w:eastAsia="仿宋" w:cs="仿宋_GB2312"/>
          <w:b/>
          <w:color w:val="auto"/>
          <w:sz w:val="24"/>
          <w:highlight w:val="none"/>
        </w:rPr>
      </w:pPr>
      <w:r>
        <w:rPr>
          <w:rFonts w:ascii="仿宋" w:hAnsi="仿宋" w:eastAsia="仿宋" w:cs="仿宋_GB2312"/>
          <w:color w:val="auto"/>
          <w:sz w:val="24"/>
          <w:highlight w:val="none"/>
        </w:rPr>
        <w:t>2</w:t>
      </w:r>
      <w:r>
        <w:rPr>
          <w:rFonts w:ascii="仿宋" w:hAnsi="仿宋" w:eastAsia="仿宋" w:cs="仿宋_GB2312"/>
          <w:b/>
          <w:color w:val="auto"/>
          <w:sz w:val="24"/>
          <w:highlight w:val="none"/>
        </w:rPr>
        <w:t xml:space="preserve">7. </w:t>
      </w:r>
      <w:r>
        <w:rPr>
          <w:rFonts w:hint="eastAsia" w:ascii="仿宋" w:hAnsi="仿宋" w:eastAsia="仿宋" w:cs="仿宋_GB2312"/>
          <w:b/>
          <w:color w:val="auto"/>
          <w:sz w:val="24"/>
          <w:highlight w:val="none"/>
        </w:rPr>
        <w:t>电子交易活动的中止。</w:t>
      </w:r>
    </w:p>
    <w:p>
      <w:pPr>
        <w:snapToGrid w:val="0"/>
        <w:spacing w:line="360" w:lineRule="auto"/>
        <w:ind w:firstLine="480"/>
        <w:rPr>
          <w:rFonts w:ascii="仿宋" w:hAnsi="仿宋" w:eastAsia="仿宋" w:cs="仿宋_GB2312"/>
          <w:color w:val="auto"/>
          <w:sz w:val="24"/>
          <w:highlight w:val="none"/>
        </w:rPr>
      </w:pPr>
      <w:r>
        <w:rPr>
          <w:rFonts w:hint="eastAsia" w:ascii="仿宋" w:hAnsi="仿宋" w:eastAsia="仿宋" w:cs="仿宋_GB2312"/>
          <w:color w:val="auto"/>
          <w:sz w:val="24"/>
          <w:highlight w:val="none"/>
        </w:rPr>
        <w:t>采购过程中出现以下情形，导致电子交易平台无法正常运行，或者无法保证电子交易的公平、公正和安全时，采购代理机构可中止电子交易活动：</w:t>
      </w:r>
    </w:p>
    <w:p>
      <w:pPr>
        <w:snapToGrid w:val="0"/>
        <w:spacing w:line="360" w:lineRule="auto"/>
        <w:ind w:firstLine="480"/>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27.1电子交易平台发生故障而无法登录访问的； </w:t>
      </w:r>
    </w:p>
    <w:p>
      <w:pPr>
        <w:snapToGrid w:val="0"/>
        <w:spacing w:line="360" w:lineRule="auto"/>
        <w:ind w:firstLine="480"/>
        <w:rPr>
          <w:rFonts w:ascii="仿宋" w:hAnsi="仿宋" w:eastAsia="仿宋" w:cs="仿宋_GB2312"/>
          <w:color w:val="auto"/>
          <w:sz w:val="24"/>
          <w:highlight w:val="none"/>
        </w:rPr>
      </w:pPr>
      <w:r>
        <w:rPr>
          <w:rFonts w:hint="eastAsia" w:ascii="仿宋" w:hAnsi="仿宋" w:eastAsia="仿宋" w:cs="仿宋_GB2312"/>
          <w:color w:val="auto"/>
          <w:sz w:val="24"/>
          <w:highlight w:val="none"/>
        </w:rPr>
        <w:t>27.2电子交易平台应用或数据库出现错误，不能进行正常操作的；</w:t>
      </w:r>
    </w:p>
    <w:p>
      <w:pPr>
        <w:snapToGrid w:val="0"/>
        <w:spacing w:line="360" w:lineRule="auto"/>
        <w:ind w:firstLine="480"/>
        <w:rPr>
          <w:rFonts w:ascii="仿宋" w:hAnsi="仿宋" w:eastAsia="仿宋" w:cs="仿宋_GB2312"/>
          <w:color w:val="auto"/>
          <w:sz w:val="24"/>
          <w:highlight w:val="none"/>
        </w:rPr>
      </w:pPr>
      <w:r>
        <w:rPr>
          <w:rFonts w:hint="eastAsia" w:ascii="仿宋" w:hAnsi="仿宋" w:eastAsia="仿宋" w:cs="仿宋_GB2312"/>
          <w:color w:val="auto"/>
          <w:sz w:val="24"/>
          <w:highlight w:val="none"/>
        </w:rPr>
        <w:t>27.3电子交易平台发现严重安全漏洞，有潜在泄密危险的；</w:t>
      </w:r>
    </w:p>
    <w:p>
      <w:pPr>
        <w:snapToGrid w:val="0"/>
        <w:spacing w:line="360" w:lineRule="auto"/>
        <w:ind w:firstLine="480"/>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27.4病毒发作导致不能进行正常操作的； </w:t>
      </w:r>
    </w:p>
    <w:p>
      <w:pPr>
        <w:snapToGrid w:val="0"/>
        <w:spacing w:line="360" w:lineRule="auto"/>
        <w:ind w:firstLine="480"/>
        <w:rPr>
          <w:rFonts w:ascii="仿宋" w:hAnsi="仿宋" w:eastAsia="仿宋" w:cs="仿宋_GB2312"/>
          <w:color w:val="auto"/>
          <w:sz w:val="24"/>
          <w:highlight w:val="none"/>
        </w:rPr>
      </w:pPr>
      <w:r>
        <w:rPr>
          <w:rFonts w:hint="eastAsia" w:ascii="仿宋" w:hAnsi="仿宋" w:eastAsia="仿宋" w:cs="仿宋_GB2312"/>
          <w:color w:val="auto"/>
          <w:sz w:val="24"/>
          <w:highlight w:val="none"/>
        </w:rPr>
        <w:t>27.5其他无法保证电子交易的公平、公正和安全的情况。</w:t>
      </w:r>
    </w:p>
    <w:p>
      <w:pPr>
        <w:snapToGrid w:val="0"/>
        <w:spacing w:line="360" w:lineRule="auto"/>
        <w:rPr>
          <w:rFonts w:ascii="仿宋" w:hAnsi="仿宋" w:eastAsia="仿宋" w:cs="仿宋_GB2312"/>
          <w:b/>
          <w:bCs/>
          <w:color w:val="auto"/>
          <w:sz w:val="24"/>
          <w:highlight w:val="none"/>
        </w:rPr>
      </w:pPr>
      <w:r>
        <w:rPr>
          <w:rFonts w:ascii="仿宋" w:hAnsi="仿宋" w:eastAsia="仿宋" w:cs="仿宋_GB2312"/>
          <w:b/>
          <w:bCs/>
          <w:color w:val="auto"/>
          <w:sz w:val="24"/>
          <w:highlight w:val="none"/>
        </w:rPr>
        <w:t>28.出现以上情形，不影响采购公平、公正性的，采购组织机构可以待上述情形消除后继续组织电子交易活动，也可以决定某些环节以纸质形式进行；影响或可能影响采购公平、公正性的，应当重新采购。</w:t>
      </w:r>
      <w:bookmarkEnd w:id="54"/>
      <w:bookmarkEnd w:id="55"/>
      <w:bookmarkEnd w:id="136"/>
      <w:bookmarkStart w:id="152" w:name="_Toc15967"/>
      <w:bookmarkStart w:id="153" w:name="_Toc26111"/>
      <w:bookmarkStart w:id="154" w:name="_Toc95312963"/>
      <w:bookmarkStart w:id="155" w:name="第四部分"/>
    </w:p>
    <w:p>
      <w:pPr>
        <w:snapToGrid w:val="0"/>
        <w:spacing w:line="360" w:lineRule="auto"/>
        <w:jc w:val="center"/>
        <w:rPr>
          <w:rFonts w:ascii="仿宋" w:hAnsi="仿宋" w:eastAsia="仿宋" w:cs="仿宋_GB2312"/>
          <w:b/>
          <w:color w:val="auto"/>
          <w:sz w:val="32"/>
          <w:highlight w:val="none"/>
        </w:rPr>
      </w:pPr>
      <w:r>
        <w:rPr>
          <w:rFonts w:hint="eastAsia" w:ascii="仿宋" w:hAnsi="仿宋" w:eastAsia="仿宋" w:cs="仿宋_GB2312"/>
          <w:b/>
          <w:color w:val="auto"/>
          <w:sz w:val="32"/>
          <w:highlight w:val="none"/>
        </w:rPr>
        <w:t>九、验收</w:t>
      </w:r>
    </w:p>
    <w:p>
      <w:pPr>
        <w:pStyle w:val="24"/>
        <w:spacing w:line="360" w:lineRule="auto"/>
        <w:ind w:firstLine="0" w:firstLineChars="0"/>
        <w:rPr>
          <w:rFonts w:ascii="仿宋" w:hAnsi="仿宋" w:eastAsia="仿宋" w:cs="仿宋_GB2312"/>
          <w:b/>
          <w:color w:val="auto"/>
          <w:highlight w:val="none"/>
        </w:rPr>
      </w:pPr>
      <w:r>
        <w:rPr>
          <w:rFonts w:ascii="仿宋" w:hAnsi="仿宋" w:eastAsia="仿宋" w:cs="仿宋_GB2312"/>
          <w:b/>
          <w:color w:val="auto"/>
          <w:highlight w:val="none"/>
        </w:rPr>
        <w:t>29.验收</w:t>
      </w:r>
    </w:p>
    <w:p>
      <w:pPr>
        <w:tabs>
          <w:tab w:val="left" w:pos="0"/>
        </w:tabs>
        <w:spacing w:line="360" w:lineRule="auto"/>
        <w:ind w:firstLine="480"/>
        <w:rPr>
          <w:rFonts w:ascii="仿宋" w:hAnsi="仿宋" w:eastAsia="仿宋" w:cs="Helvetica"/>
          <w:color w:val="auto"/>
          <w:kern w:val="0"/>
          <w:sz w:val="24"/>
          <w:highlight w:val="none"/>
        </w:rPr>
      </w:pPr>
      <w:bookmarkStart w:id="156" w:name="_Hlk95684948"/>
      <w:r>
        <w:rPr>
          <w:rFonts w:ascii="仿宋" w:hAnsi="仿宋" w:eastAsia="仿宋" w:cs="Helvetica"/>
          <w:color w:val="auto"/>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Helvetica"/>
          <w:color w:val="auto"/>
          <w:kern w:val="0"/>
          <w:sz w:val="24"/>
          <w:highlight w:val="none"/>
        </w:rPr>
      </w:pPr>
      <w:r>
        <w:rPr>
          <w:rFonts w:ascii="仿宋" w:hAnsi="仿宋" w:eastAsia="仿宋" w:cs="Helvetica"/>
          <w:color w:val="auto"/>
          <w:kern w:val="0"/>
          <w:sz w:val="24"/>
          <w:highlight w:val="none"/>
        </w:rPr>
        <w:t>29.2采购人可以邀请参加本项目的其他投标人或者第三方机构参与验收。参与验收的投标人或者第三方机构的意见作为</w:t>
      </w:r>
      <w:r>
        <w:rPr>
          <w:rFonts w:hint="eastAsia" w:ascii="仿宋" w:hAnsi="仿宋" w:eastAsia="仿宋" w:cs="Helvetica"/>
          <w:color w:val="auto"/>
          <w:kern w:val="0"/>
          <w:sz w:val="24"/>
          <w:highlight w:val="none"/>
        </w:rPr>
        <w:t>验收书的参考资料一并存档。</w:t>
      </w:r>
    </w:p>
    <w:p>
      <w:pPr>
        <w:tabs>
          <w:tab w:val="left" w:pos="0"/>
        </w:tabs>
        <w:spacing w:line="360" w:lineRule="auto"/>
        <w:ind w:firstLine="480"/>
        <w:rPr>
          <w:rFonts w:ascii="仿宋" w:hAnsi="仿宋" w:eastAsia="仿宋" w:cs="Helvetica"/>
          <w:color w:val="auto"/>
          <w:kern w:val="0"/>
          <w:sz w:val="24"/>
          <w:highlight w:val="none"/>
        </w:rPr>
      </w:pPr>
      <w:r>
        <w:rPr>
          <w:rFonts w:ascii="仿宋" w:hAnsi="仿宋" w:eastAsia="仿宋" w:cs="Helvetica"/>
          <w:color w:val="auto"/>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Helvetica"/>
          <w:color w:val="auto"/>
          <w:kern w:val="0"/>
          <w:sz w:val="24"/>
          <w:highlight w:val="none"/>
        </w:rPr>
      </w:pPr>
      <w:r>
        <w:rPr>
          <w:rFonts w:ascii="仿宋" w:hAnsi="仿宋" w:eastAsia="仿宋" w:cs="Helvetica"/>
          <w:color w:val="auto"/>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56"/>
    <w:p>
      <w:pPr>
        <w:pStyle w:val="3"/>
        <w:rPr>
          <w:rFonts w:ascii="仿宋" w:hAnsi="仿宋" w:eastAsia="仿宋"/>
          <w:color w:val="auto"/>
          <w:highlight w:val="none"/>
        </w:rPr>
      </w:pPr>
    </w:p>
    <w:p>
      <w:pPr>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snapToGrid w:val="0"/>
        <w:spacing w:line="360" w:lineRule="auto"/>
        <w:jc w:val="center"/>
        <w:outlineLvl w:val="0"/>
        <w:rPr>
          <w:rFonts w:ascii="仿宋" w:hAnsi="仿宋" w:eastAsia="仿宋" w:cs="仿宋_GB2312"/>
          <w:b/>
          <w:color w:val="auto"/>
          <w:sz w:val="36"/>
          <w:szCs w:val="36"/>
          <w:highlight w:val="none"/>
        </w:rPr>
      </w:pPr>
      <w:bookmarkStart w:id="157" w:name="_Toc288125172"/>
      <w:bookmarkStart w:id="158" w:name="_Toc159527592"/>
    </w:p>
    <w:p>
      <w:pPr>
        <w:pStyle w:val="2"/>
        <w:rPr>
          <w:rFonts w:ascii="仿宋" w:hAnsi="仿宋" w:eastAsia="仿宋"/>
          <w:color w:val="auto"/>
          <w:highlight w:val="none"/>
        </w:rPr>
      </w:pPr>
    </w:p>
    <w:p>
      <w:pPr>
        <w:snapToGrid w:val="0"/>
        <w:spacing w:line="360" w:lineRule="auto"/>
        <w:jc w:val="center"/>
        <w:outlineLvl w:val="0"/>
        <w:rPr>
          <w:rFonts w:ascii="仿宋" w:hAnsi="仿宋" w:eastAsia="仿宋" w:cs="仿宋_GB2312"/>
          <w:b/>
          <w:color w:val="auto"/>
          <w:sz w:val="36"/>
          <w:szCs w:val="36"/>
          <w:highlight w:val="none"/>
        </w:rPr>
      </w:pPr>
      <w:r>
        <w:rPr>
          <w:rFonts w:hint="eastAsia" w:ascii="仿宋" w:hAnsi="仿宋" w:eastAsia="仿宋" w:cs="仿宋_GB2312"/>
          <w:b/>
          <w:color w:val="auto"/>
          <w:sz w:val="36"/>
          <w:szCs w:val="36"/>
          <w:highlight w:val="none"/>
        </w:rPr>
        <w:t>第三部分</w:t>
      </w:r>
      <w:r>
        <w:rPr>
          <w:rFonts w:ascii="仿宋" w:hAnsi="仿宋" w:eastAsia="仿宋" w:cs="仿宋_GB2312"/>
          <w:b/>
          <w:color w:val="auto"/>
          <w:sz w:val="36"/>
          <w:szCs w:val="36"/>
          <w:highlight w:val="none"/>
        </w:rPr>
        <w:t xml:space="preserve">   </w:t>
      </w:r>
      <w:r>
        <w:rPr>
          <w:rFonts w:hint="eastAsia" w:ascii="仿宋" w:hAnsi="仿宋" w:eastAsia="仿宋" w:cs="仿宋_GB2312"/>
          <w:b/>
          <w:color w:val="auto"/>
          <w:sz w:val="36"/>
          <w:szCs w:val="36"/>
          <w:highlight w:val="none"/>
        </w:rPr>
        <w:t>采购需求</w:t>
      </w:r>
      <w:bookmarkEnd w:id="152"/>
      <w:bookmarkEnd w:id="153"/>
      <w:bookmarkEnd w:id="154"/>
      <w:bookmarkEnd w:id="157"/>
      <w:bookmarkEnd w:id="158"/>
    </w:p>
    <w:p>
      <w:pPr>
        <w:pStyle w:val="4"/>
        <w:tabs>
          <w:tab w:val="left" w:pos="312"/>
          <w:tab w:val="left" w:pos="795"/>
          <w:tab w:val="left" w:pos="1402"/>
        </w:tabs>
        <w:ind w:left="375" w:firstLine="0"/>
        <w:rPr>
          <w:rFonts w:ascii="仿宋" w:eastAsia="仿宋" w:cs="仿宋"/>
          <w:color w:val="auto"/>
          <w:sz w:val="24"/>
          <w:szCs w:val="24"/>
          <w:highlight w:val="none"/>
        </w:rPr>
      </w:pPr>
      <w:bookmarkStart w:id="159" w:name="_Hlk72355707"/>
      <w:bookmarkStart w:id="160" w:name="_Toc13816"/>
      <w:bookmarkStart w:id="161" w:name="_Toc732852690"/>
      <w:bookmarkStart w:id="162" w:name="_Toc297368082"/>
      <w:bookmarkStart w:id="163" w:name="_Toc13355"/>
      <w:bookmarkStart w:id="164" w:name="_Toc95312970"/>
      <w:bookmarkStart w:id="165" w:name="_Toc948737377"/>
      <w:bookmarkStart w:id="166" w:name="_Toc2112322518"/>
      <w:r>
        <w:rPr>
          <w:rFonts w:hint="eastAsia" w:ascii="仿宋" w:eastAsia="仿宋" w:cs="仿宋"/>
          <w:color w:val="auto"/>
          <w:sz w:val="24"/>
          <w:szCs w:val="24"/>
          <w:highlight w:val="none"/>
        </w:rPr>
        <w:t>一、项目概况</w:t>
      </w:r>
    </w:p>
    <w:p>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项目为“交钥匙”项目，采购内容包括采购清单中货物供货、安装调试、货物验收、培训、质保期内的售后服务等。投标报价包括设备费、安装调试费、售后服务费、培训费、有关部门的验收费、政策性文件规定及合同包含的所有风险、责任等各项全部费用。</w:t>
      </w:r>
    </w:p>
    <w:p>
      <w:pPr>
        <w:pStyle w:val="4"/>
        <w:tabs>
          <w:tab w:val="left" w:pos="312"/>
          <w:tab w:val="left" w:pos="795"/>
          <w:tab w:val="left" w:pos="1402"/>
        </w:tabs>
        <w:ind w:left="375" w:firstLine="0"/>
        <w:rPr>
          <w:rFonts w:ascii="仿宋" w:eastAsia="仿宋" w:cs="仿宋"/>
          <w:color w:val="auto"/>
          <w:sz w:val="24"/>
          <w:szCs w:val="24"/>
          <w:highlight w:val="none"/>
        </w:rPr>
      </w:pPr>
      <w:r>
        <w:rPr>
          <w:rFonts w:hint="eastAsia" w:ascii="仿宋" w:eastAsia="仿宋" w:cs="仿宋"/>
          <w:color w:val="auto"/>
          <w:sz w:val="24"/>
          <w:szCs w:val="24"/>
          <w:highlight w:val="none"/>
        </w:rPr>
        <w:t>二、采购清单及技术参数要求</w:t>
      </w:r>
    </w:p>
    <w:p>
      <w:pPr>
        <w:pStyle w:val="5"/>
        <w:ind w:left="0"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2.1采购清单</w:t>
      </w:r>
      <w:bookmarkStart w:id="167" w:name="_Hlk81477713"/>
    </w:p>
    <w:p>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详见附件《采购清单》。</w:t>
      </w:r>
    </w:p>
    <w:p>
      <w:pPr>
        <w:pStyle w:val="5"/>
        <w:ind w:left="0" w:firstLine="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2.2技术参数要求</w:t>
      </w:r>
    </w:p>
    <w:p>
      <w:pPr>
        <w:pStyle w:val="6"/>
        <w:ind w:firstLine="0"/>
        <w:rPr>
          <w:rFonts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2</w:t>
      </w:r>
      <w:r>
        <w:rPr>
          <w:rFonts w:ascii="仿宋" w:hAnsi="仿宋" w:eastAsia="仿宋" w:cs="仿宋"/>
          <w:b/>
          <w:bCs/>
          <w:color w:val="auto"/>
          <w:kern w:val="2"/>
          <w:sz w:val="24"/>
          <w:szCs w:val="24"/>
          <w:highlight w:val="none"/>
        </w:rPr>
        <w:t>.2.1</w:t>
      </w:r>
      <w:r>
        <w:rPr>
          <w:rFonts w:hint="eastAsia" w:ascii="仿宋" w:hAnsi="仿宋" w:eastAsia="仿宋" w:cs="仿宋"/>
          <w:b/>
          <w:bCs/>
          <w:color w:val="auto"/>
          <w:kern w:val="2"/>
          <w:sz w:val="24"/>
          <w:szCs w:val="24"/>
          <w:highlight w:val="none"/>
        </w:rPr>
        <w:t>标项一技术参数</w:t>
      </w:r>
    </w:p>
    <w:bookmarkEnd w:id="167"/>
    <w:p>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1、刨花板</w:t>
      </w:r>
    </w:p>
    <w:p>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符合</w:t>
      </w:r>
      <w:r>
        <w:rPr>
          <w:rFonts w:ascii="仿宋" w:hAnsi="仿宋" w:eastAsia="仿宋" w:cs="仿宋"/>
          <w:color w:val="auto"/>
          <w:sz w:val="24"/>
          <w:highlight w:val="none"/>
        </w:rPr>
        <w:t>GB/T 4897-2015标准、GB 18580-2017标准、HJ 571-2010标准、GB18584-2001标准,其中板规格尺寸及其偏差、外观质量、理化性能、静曲强度、弹性模量、内胶合强度、表面胶合强度、2H吸水厚度膨胀率、握螺钉力均合格，甲醛释放量符合GB/T 39600-2021标准和GB/T 39598-2021标准Enf级。</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2、中纤板</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符合GB/T 11718-2009标准、GB 18580-2017标准、HJ 571-2010标准、GB18584-2001标准,其中外观质量、尺寸偏差、密度、板内密度偏差、内结合强度、静曲强度、弹性模量、吸水厚度膨胀率、表面结合强度均合格，甲醛释放量符合GB/T 39600-2021标准和GB/T 39598-2021标准Enf级。</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3、锁具</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符合QB/T1621-2015标准，其中锁头、钥匙外观、电镀件外观、钥匙拔插、旋转、钥匙拔出静拉力、钥匙开启扭矩、锁头固定连接静拉力、锁头固定连接扭矩、叶片锁钥匙牙花数均合格，电镀件耐腐蚀100h达到10级，使用寿命达到30000次合格。</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rPr>
        <w:t>胶粘剂</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水基型聚乙酸乙酯胶粘剂，符合GB18583-2008标准，其中甲苯+二甲苯、游离甲醛、苯均未检出，总挥发性有机物≤35g/L。</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5、三节轨</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符合QB/T2454-2013标准、GB 24820-2009标准，其中过载、功能均合格，耐久性达到100000次合格，200h中性盐雾试验到达8级，100h乙酸盐雾试验达到8级。</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6、铰链</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符合QB/T 2189-2013标准、GB 24820-2009标准、GB/T3325-2017标准，其中过载、功能、金属件外观性能要求均合格，耐久性100000次合格，中性盐雾试验200h达到9级，100h乙酸盐雾试验达到9级。</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7、网布</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符合GB 18401-2010（C类）标准、GB/T 18885-2009标准，其中甲醛含量未检出，pH值合格，无异味，可萃取重金属含量、苯酚化合物、邻苯基苯酚、氯化苯和氯化甲苯、有机锡化合物、可分解致癌芳香胺染料、致癌染料、其他染料均未检出，耐酸汗渍色牢度、耐碱汗渍色牢度、耐水色牢度、耐干摩擦色牢度均合格，耐磨性能达到20000次。</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8、椅座底盘</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符合QB/T 2280-2016标准、GB/T 3325-2017标准、GB 24820-2009标准，其中外观要求、金属喷漆涂层（附着力）均合格，中性盐雾试验200h达到9级,100h乙酸盐雾试验达到9级。</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9、高弹海绵</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符合GB/T 10802-2006标准、QB/T2280-2016标准。其中25%压陷硬度、65%/25%压陷比、75%压缩永久变形、回弹率、拉伸强度、伸长率、撕裂强度、干热老化后拉伸强度、干热老化后拉伸强度变化率、湿热老化后拉伸强度、湿热老化后拉伸强度变化率、感官要求、恒定负荷反复压陷疲劳后40%压缩硬度损失值等均合格，甲醛释放量≤0.02mg/㎡h，TVOC≤0.3mg/㎡h。</w:t>
      </w:r>
    </w:p>
    <w:p>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0</w:t>
      </w:r>
      <w:r>
        <w:rPr>
          <w:rFonts w:hint="eastAsia" w:ascii="仿宋" w:hAnsi="仿宋" w:eastAsia="仿宋" w:cs="仿宋"/>
          <w:color w:val="auto"/>
          <w:sz w:val="24"/>
          <w:highlight w:val="none"/>
        </w:rPr>
        <w:t>、EPU皮革：大肠杆菌、金黄色葡萄球菌、肺炎克雷伯氏菌抗菌率＞99%。</w:t>
      </w:r>
    </w:p>
    <w:p>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1</w:t>
      </w:r>
      <w:r>
        <w:rPr>
          <w:rFonts w:hint="eastAsia" w:ascii="仿宋" w:hAnsi="仿宋" w:eastAsia="仿宋" w:cs="仿宋"/>
          <w:color w:val="auto"/>
          <w:sz w:val="24"/>
          <w:highlight w:val="none"/>
        </w:rPr>
        <w:t>、304不锈钢：符合GB/T 3325-2017标准，冲压件应无脱层、裂缝，电镀层表面无剥落、返锈、毛刺，耐腐蚀24h乙酸盐雾试验≥9级。</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12</w:t>
      </w:r>
      <w:r>
        <w:rPr>
          <w:rFonts w:hint="eastAsia" w:ascii="仿宋" w:hAnsi="仿宋" w:eastAsia="仿宋" w:cs="仿宋"/>
          <w:color w:val="auto"/>
          <w:sz w:val="24"/>
          <w:highlight w:val="none"/>
        </w:rPr>
        <w:t>、网布：符合GB 18401-2010（C类）标准、GB/T 18885-2009标准，其中甲醛含量未检出，pH值合格，无异味，可萃取重金属含量、苯酚化合物、邻苯基苯酚、氯化苯和氯化甲苯、有机锡化合物、可分解致癌芳香胺染料、致癌染料、其他染料均未检出，耐酸汗渍色牢度、耐碱汗渍色牢度、耐水色牢度、耐干摩擦色牢度均合格，耐磨性能达到20000次</w:t>
      </w:r>
    </w:p>
    <w:p>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3</w:t>
      </w:r>
      <w:r>
        <w:rPr>
          <w:rFonts w:hint="eastAsia" w:ascii="仿宋" w:hAnsi="仿宋" w:eastAsia="仿宋" w:cs="仿宋"/>
          <w:color w:val="auto"/>
          <w:sz w:val="24"/>
          <w:highlight w:val="none"/>
        </w:rPr>
        <w:t>、钢制更衣柜：金属件外观性能要求（焊接件、冲压件、喷涂层、电镀层）均符合要求；产品涂层和覆面可溶性重金属（铅铬镉汞）未检出；金属喷漆（塑）涂层≥3H；搁板定位、搁板弯曲试验（1.5kg/d㎡，1h）、结构和底架强度试验（300N，10次）均符合要求。</w:t>
      </w:r>
    </w:p>
    <w:p>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4</w:t>
      </w:r>
      <w:r>
        <w:rPr>
          <w:rFonts w:hint="eastAsia" w:ascii="仿宋" w:hAnsi="仿宋" w:eastAsia="仿宋" w:cs="仿宋"/>
          <w:color w:val="auto"/>
          <w:sz w:val="24"/>
          <w:highlight w:val="none"/>
        </w:rPr>
        <w:t>、职员桌：覆面耐干热及耐湿热均≥5级；甲醛释放量≤0.02mg/m</w:t>
      </w:r>
      <w:r>
        <w:rPr>
          <w:rFonts w:ascii="Calibri" w:hAnsi="Calibri" w:eastAsia="仿宋" w:cs="Calibri"/>
          <w:color w:val="auto"/>
          <w:sz w:val="24"/>
          <w:highlight w:val="none"/>
        </w:rPr>
        <w:t>³</w:t>
      </w:r>
      <w:r>
        <w:rPr>
          <w:rFonts w:hint="eastAsia" w:ascii="仿宋" w:hAnsi="仿宋" w:eastAsia="仿宋" w:cs="仿宋"/>
          <w:color w:val="auto"/>
          <w:sz w:val="24"/>
          <w:highlight w:val="none"/>
        </w:rPr>
        <w:t>；苯未检出；TVOC≤0.25mg/m</w:t>
      </w:r>
      <w:r>
        <w:rPr>
          <w:rFonts w:ascii="Calibri" w:hAnsi="Calibri" w:eastAsia="仿宋" w:cs="Calibri"/>
          <w:color w:val="auto"/>
          <w:sz w:val="24"/>
          <w:highlight w:val="none"/>
        </w:rPr>
        <w:t>³</w:t>
      </w:r>
      <w:r>
        <w:rPr>
          <w:rFonts w:hint="eastAsia" w:ascii="仿宋" w:hAnsi="仿宋" w:eastAsia="仿宋" w:cs="仿宋"/>
          <w:color w:val="auto"/>
          <w:sz w:val="24"/>
          <w:highlight w:val="none"/>
        </w:rPr>
        <w:t>。</w:t>
      </w:r>
    </w:p>
    <w:p>
      <w:pPr>
        <w:spacing w:line="360" w:lineRule="auto"/>
        <w:ind w:firstLine="470" w:firstLineChars="196"/>
        <w:rPr>
          <w:rFonts w:ascii="仿宋" w:hAnsi="仿宋" w:eastAsia="仿宋" w:cs="仿宋"/>
          <w:color w:val="auto"/>
          <w:sz w:val="24"/>
          <w:highlight w:val="none"/>
        </w:rPr>
      </w:pPr>
      <w:r>
        <w:rPr>
          <w:rFonts w:ascii="仿宋" w:hAnsi="仿宋" w:eastAsia="仿宋" w:cs="仿宋"/>
          <w:color w:val="auto"/>
          <w:sz w:val="24"/>
          <w:highlight w:val="none"/>
        </w:rPr>
        <w:t>15</w:t>
      </w:r>
      <w:r>
        <w:rPr>
          <w:rFonts w:hint="eastAsia" w:ascii="仿宋" w:hAnsi="仿宋" w:eastAsia="仿宋" w:cs="仿宋"/>
          <w:color w:val="auto"/>
          <w:sz w:val="24"/>
          <w:highlight w:val="none"/>
        </w:rPr>
        <w:t>、办公椅：阻燃性要求检测合格；甲醛释放量≤0.03mg/㎡h；TVOC≤0.35mg/㎡h；安全性要求：50000次循环寿命试验后气弹簧公称力Fa的总衰减量不大于10%。</w:t>
      </w:r>
    </w:p>
    <w:p>
      <w:pPr>
        <w:spacing w:line="360" w:lineRule="auto"/>
        <w:ind w:firstLine="470" w:firstLineChars="196"/>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6</w:t>
      </w:r>
      <w:r>
        <w:rPr>
          <w:rFonts w:hint="eastAsia" w:ascii="仿宋" w:hAnsi="仿宋" w:eastAsia="仿宋" w:cs="仿宋"/>
          <w:color w:val="auto"/>
          <w:sz w:val="24"/>
          <w:highlight w:val="none"/>
        </w:rPr>
        <w:t>、钢木矮柜：覆面耐干热及耐湿热均≥4级；甲醛释放量≤0.025mg/m</w:t>
      </w:r>
      <w:r>
        <w:rPr>
          <w:rFonts w:ascii="Calibri" w:hAnsi="Calibri" w:eastAsia="仿宋" w:cs="Calibri"/>
          <w:color w:val="auto"/>
          <w:sz w:val="24"/>
          <w:highlight w:val="none"/>
        </w:rPr>
        <w:t>³</w:t>
      </w:r>
      <w:r>
        <w:rPr>
          <w:rFonts w:hint="eastAsia" w:ascii="仿宋" w:hAnsi="仿宋" w:eastAsia="仿宋" w:cs="仿宋"/>
          <w:color w:val="auto"/>
          <w:sz w:val="24"/>
          <w:highlight w:val="none"/>
        </w:rPr>
        <w:t>；苯未检出；TVOC≤0.25mg/m</w:t>
      </w:r>
      <w:r>
        <w:rPr>
          <w:rFonts w:ascii="Calibri" w:hAnsi="Calibri" w:eastAsia="仿宋" w:cs="Calibri"/>
          <w:color w:val="auto"/>
          <w:sz w:val="24"/>
          <w:highlight w:val="none"/>
        </w:rPr>
        <w:t>³</w:t>
      </w:r>
      <w:r>
        <w:rPr>
          <w:rFonts w:hint="eastAsia" w:ascii="仿宋" w:hAnsi="仿宋" w:eastAsia="仿宋" w:cs="仿宋"/>
          <w:color w:val="auto"/>
          <w:sz w:val="24"/>
          <w:highlight w:val="none"/>
        </w:rPr>
        <w:t>。</w:t>
      </w:r>
    </w:p>
    <w:p>
      <w:pPr>
        <w:snapToGrid w:val="0"/>
        <w:spacing w:line="360" w:lineRule="auto"/>
        <w:ind w:firstLine="241" w:firstLineChars="100"/>
        <w:rPr>
          <w:rFonts w:ascii="仿宋" w:hAnsi="仿宋" w:eastAsia="仿宋" w:cs="宋体"/>
          <w:b/>
          <w:bCs/>
          <w:color w:val="auto"/>
          <w:sz w:val="24"/>
          <w:highlight w:val="none"/>
        </w:rPr>
      </w:pPr>
    </w:p>
    <w:p>
      <w:pPr>
        <w:snapToGrid w:val="0"/>
        <w:spacing w:line="360" w:lineRule="auto"/>
        <w:ind w:firstLine="241" w:firstLineChars="100"/>
        <w:rPr>
          <w:rFonts w:ascii="仿宋" w:hAnsi="仿宋" w:eastAsia="仿宋" w:cs="宋体"/>
          <w:b/>
          <w:bCs/>
          <w:color w:val="auto"/>
          <w:sz w:val="24"/>
          <w:highlight w:val="none"/>
        </w:rPr>
      </w:pPr>
      <w:r>
        <w:rPr>
          <w:rFonts w:hint="eastAsia" w:ascii="仿宋" w:hAnsi="仿宋" w:eastAsia="仿宋" w:cs="宋体"/>
          <w:b/>
          <w:bCs/>
          <w:color w:val="auto"/>
          <w:sz w:val="24"/>
          <w:highlight w:val="none"/>
        </w:rPr>
        <w:t>2</w:t>
      </w:r>
      <w:r>
        <w:rPr>
          <w:rFonts w:ascii="仿宋" w:hAnsi="仿宋" w:eastAsia="仿宋" w:cs="宋体"/>
          <w:b/>
          <w:bCs/>
          <w:color w:val="auto"/>
          <w:sz w:val="24"/>
          <w:highlight w:val="none"/>
        </w:rPr>
        <w:t>.2.2</w:t>
      </w:r>
      <w:r>
        <w:rPr>
          <w:rFonts w:hint="eastAsia" w:ascii="仿宋" w:hAnsi="仿宋" w:eastAsia="仿宋" w:cs="宋体"/>
          <w:b/>
          <w:bCs/>
          <w:color w:val="auto"/>
          <w:sz w:val="24"/>
          <w:highlight w:val="none"/>
        </w:rPr>
        <w:t>标项二技术参数</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1、网布：PH值≤6.8，耐干摩擦≥3级，未检出可分解芳香胺燃料，按照GB18401-2010标准要求。 </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2、阻燃海绵：拉伸强度≥109kpa，撕裂强度≥2.5N/cm，干热老化后拉伸强度≥113kpa，湿热老化后拉伸强度≥110kpa，密度≥31kg/m</w:t>
      </w:r>
      <w:r>
        <w:rPr>
          <w:rFonts w:ascii="Calibri" w:hAnsi="Calibri" w:eastAsia="仿宋" w:cs="Calibri"/>
          <w:color w:val="auto"/>
          <w:szCs w:val="24"/>
          <w:highlight w:val="none"/>
          <w:lang w:val="en-US"/>
        </w:rPr>
        <w:t>³</w:t>
      </w:r>
      <w:r>
        <w:rPr>
          <w:rFonts w:hint="eastAsia" w:ascii="仿宋" w:hAnsi="仿宋" w:eastAsia="仿宋" w:cs="仿宋"/>
          <w:color w:val="auto"/>
          <w:szCs w:val="24"/>
          <w:highlight w:val="none"/>
          <w:lang w:val="en-US"/>
        </w:rPr>
        <w:t xml:space="preserve">，表面和内部未出现任何续燃、阴燃现象，通过香烟抗引燃特性试验，按照GB/T 10802-2006，QB/T 1952.1-2012标准要求。  </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3、胶合板（实木多层板）：符合GB/T9846-2015《普通胶合板》，GB/T35601-2017《绿色产品评价人造板和木质地板》，GB18580-2017《室内装饰装修材料人造板及其制品中甲醛释放限量》，GB/T17657-2013《人造板及饰面人造板理化性能试验方法》的标准，含水率8-9%，浸渍剥离性能，每个试件同一胶层每边剥离长度累计不超过25mm，甲醛释放量≤0.03mg/m</w:t>
      </w:r>
      <w:r>
        <w:rPr>
          <w:rFonts w:ascii="Calibri" w:hAnsi="Calibri" w:eastAsia="仿宋" w:cs="Calibri"/>
          <w:color w:val="auto"/>
          <w:szCs w:val="24"/>
          <w:highlight w:val="none"/>
          <w:lang w:val="en-US"/>
        </w:rPr>
        <w:t>³</w:t>
      </w:r>
      <w:r>
        <w:rPr>
          <w:rFonts w:hint="eastAsia" w:ascii="仿宋" w:hAnsi="仿宋" w:eastAsia="仿宋" w:cs="仿宋"/>
          <w:color w:val="auto"/>
          <w:szCs w:val="24"/>
          <w:highlight w:val="none"/>
          <w:lang w:val="en-US"/>
        </w:rPr>
        <w:t>，总挥发有机化合物TVOC≤45mg/m</w:t>
      </w:r>
      <w:r>
        <w:rPr>
          <w:rFonts w:ascii="Calibri" w:hAnsi="Calibri" w:eastAsia="仿宋" w:cs="Calibri"/>
          <w:color w:val="auto"/>
          <w:szCs w:val="24"/>
          <w:highlight w:val="none"/>
          <w:lang w:val="en-US"/>
        </w:rPr>
        <w:t>³</w:t>
      </w:r>
      <w:r>
        <w:rPr>
          <w:rFonts w:hint="eastAsia" w:ascii="仿宋" w:hAnsi="仿宋" w:eastAsia="仿宋" w:cs="仿宋"/>
          <w:color w:val="auto"/>
          <w:szCs w:val="24"/>
          <w:highlight w:val="none"/>
          <w:lang w:val="en-US"/>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三聚氰胺板：符合GB/T15102-2017《浸渍胶膜纸饰面纤维板和刨花板》GB/T35601-2017《绿色产品评价人造板和木质地板》GB18580-2017《室内装饰装修材料人造板及其制品中甲醛释放限量》GB/T17657-2013《人造板及饰面人造板理化性能试验方法》的标准，表面耐划痕≥1.5N表面无大于90%的连续划痕符合要求，表面耐磨，磨耗值≤40mg/100r,图案纹磨100r后保留50%以上花纹符合要求，表面耐龟裂不低于5级，甲醛释放量≤0.02mg/m</w:t>
      </w:r>
      <w:r>
        <w:rPr>
          <w:rFonts w:ascii="Calibri" w:hAnsi="Calibri" w:eastAsia="仿宋" w:cs="Calibri"/>
          <w:color w:val="auto"/>
          <w:sz w:val="24"/>
          <w:highlight w:val="none"/>
        </w:rPr>
        <w:t>³</w:t>
      </w:r>
      <w:r>
        <w:rPr>
          <w:rFonts w:hint="eastAsia" w:ascii="仿宋" w:hAnsi="仿宋" w:eastAsia="仿宋" w:cs="仿宋"/>
          <w:color w:val="auto"/>
          <w:sz w:val="24"/>
          <w:highlight w:val="none"/>
        </w:rPr>
        <w:t>，总挥发性有机化合物TVOC≤42mg/m</w:t>
      </w:r>
      <w:r>
        <w:rPr>
          <w:rFonts w:ascii="Calibri" w:hAnsi="Calibri" w:eastAsia="仿宋" w:cs="Calibri"/>
          <w:color w:val="auto"/>
          <w:sz w:val="24"/>
          <w:highlight w:val="none"/>
        </w:rPr>
        <w:t>³</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三聚氰胺板饰面：符合GB18580-2017，GB/T15102-2017的标准，含水率8-9%，表面耐香烟灼烧达到4级，表面耐水蒸气达到5级，吸水厚度膨胀率≤4.0（2h），表面耐划痕≥1.5N表面无大于90%的连续划痕，表面耐污染腐蚀达到5级，表面耐龟裂达到5级，静曲强度≥15MPa，弹性模量≥2500MPa，内结合强度≥0.4MPa，表面耐干热达到5级，密度≥0.6g/cm</w:t>
      </w:r>
      <w:r>
        <w:rPr>
          <w:rFonts w:ascii="Calibri" w:hAnsi="Calibri" w:eastAsia="仿宋" w:cs="Calibri"/>
          <w:color w:val="auto"/>
          <w:sz w:val="24"/>
          <w:highlight w:val="none"/>
        </w:rPr>
        <w:t>³</w:t>
      </w:r>
      <w:r>
        <w:rPr>
          <w:rFonts w:hint="eastAsia" w:ascii="仿宋" w:hAnsi="仿宋" w:eastAsia="仿宋" w:cs="仿宋"/>
          <w:color w:val="auto"/>
          <w:sz w:val="24"/>
          <w:highlight w:val="none"/>
        </w:rPr>
        <w:t>，握螺订力板面≥1200N，板边≥850N，表面胶合强度≥0.85MPa，耐光色牢度达到5级，甲醛释放量≤0.025（54h）mg/m</w:t>
      </w:r>
      <w:r>
        <w:rPr>
          <w:rFonts w:ascii="Calibri" w:hAnsi="Calibri" w:eastAsia="仿宋" w:cs="Calibri"/>
          <w:color w:val="auto"/>
          <w:sz w:val="24"/>
          <w:highlight w:val="none"/>
        </w:rPr>
        <w:t>³</w:t>
      </w:r>
      <w:r>
        <w:rPr>
          <w:rFonts w:hint="eastAsia" w:ascii="仿宋" w:hAnsi="仿宋" w:eastAsia="仿宋" w:cs="仿宋"/>
          <w:color w:val="auto"/>
          <w:sz w:val="24"/>
          <w:highlight w:val="none"/>
        </w:rPr>
        <w:t>。</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 xml:space="preserve">6、PVC封边：符合QB/T4463-2013《家具用封边条技术要求》的标准，耐干热性应无龟裂、无鼓泡。耐磨性磨30r后应无露底现象，耐老化性应无开裂，耐冷热循环性应无龟裂、无鼓泡、无变色、无起皱。甲醛释放量未检出，可溶性重金属铅≤5mg/kg，镉≤5mg/kg，铬≤5mg/kg，汞未检出。   </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 xml:space="preserve">7、胶粘剂：符合GB 18583-2008《室内装饰装修材料胶粘剂中有害物质限量》，总挥发性有机物≤90g/L,游离甲醛未检出，笨未检出，甲苯+二甲苯未检出。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8、绒布：未检出可分解致癌芳香胺染料。按照GB 18401-2010标准要求。</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9、西皮：干擦（500次）≥4级，湿擦（250次）≥4级，涂层粘着牢度≥4.0N/10mm，游离甲醛≤37mg/kg，禁用偶氮染料未检出，按照 GB/T 16799-2018 标准的要求。</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10、（橡木）：检测依据按照LY/T1787-2016或GB/T26899-2011的要求，含水率≤10%，外观质量要求无裂纹无色变无死结无虫眼，甲醛释放量≤0.3mg/L。</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11、五星脚：金属件外观应进行防锈处理、无锈迹，应无裂纹、结疤，金属件镀层无烧焦、起泡、针孔、裂纹、毛刺、花斑和划痕，电镀层耐盐雾：18h，1.5mm以下锈点≤2点/d㎡，无锈点，底座7560N，1min，2次，底座的结构完整性应无破坏，应无突然明显形变，按照QB/T2280-2016标准要求。</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12、三合一：符合GB/T28203-2011标准的要求，外观符合要求，金属镀层抗盐雾18h，1.5mm以下锈点≤20点/dm</w:t>
      </w:r>
      <w:r>
        <w:rPr>
          <w:rFonts w:ascii="Calibri" w:hAnsi="Calibri" w:eastAsia="仿宋" w:cs="Calibri"/>
          <w:color w:val="auto"/>
          <w:szCs w:val="24"/>
          <w:highlight w:val="none"/>
          <w:lang w:val="en-US"/>
        </w:rPr>
        <w:t>³</w:t>
      </w:r>
      <w:r>
        <w:rPr>
          <w:rFonts w:hint="eastAsia" w:ascii="仿宋" w:hAnsi="仿宋" w:eastAsia="仿宋" w:cs="仿宋"/>
          <w:color w:val="auto"/>
          <w:szCs w:val="24"/>
          <w:highlight w:val="none"/>
          <w:lang w:val="en-US"/>
        </w:rPr>
        <w:t>，其中≥1.0mm锈点不超过5点（距离边缘棱角2mm以内的不计）符合要求，三合一偏心连接件偏心体抗压强度≥270N，三合一偏心连接件预埋螺母抗拉强度≥580N，三合一偏心连接件中连接螺杆螺纹与螺母抗拉强度≥740N，榫负载5kg，1h，应无断裂、变形。</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13、导轨：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14、铰链：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15、拉手：符合QB/T3827-1999《轻工产品金属镀层和化学处理层的耐腐蚀试验方法乙酸盐雾试验（ASS）法》：QB/T3832-I999《轻工产品金属镀层腐蚀试验结果的评价》标准的要求，耐腐蚀乙酸盐雾，连续喷雾≥500h，涂层本身耐腐蚀等级实测值≥9级。</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16、锁具：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17、冷轧钢板：符合GB/T5213-2008的标准，屈服强度≤250MPa，抗拉强度320-350MPa，断后伸长率≥30%，化学元素C≤0.1%,Mn≤0.25%,P≤0.02%，S≤0.2%。</w:t>
      </w:r>
    </w:p>
    <w:p>
      <w:pPr>
        <w:pStyle w:val="2"/>
        <w:ind w:firstLine="480" w:firstLineChars="200"/>
        <w:rPr>
          <w:rFonts w:ascii="仿宋" w:hAnsi="仿宋" w:eastAsia="仿宋" w:cs="仿宋"/>
          <w:color w:val="auto"/>
          <w:szCs w:val="24"/>
          <w:highlight w:val="none"/>
          <w:lang w:val="en-US"/>
        </w:rPr>
      </w:pPr>
      <w:r>
        <w:rPr>
          <w:rFonts w:hint="eastAsia" w:ascii="仿宋" w:hAnsi="仿宋" w:eastAsia="仿宋" w:cs="仿宋"/>
          <w:color w:val="auto"/>
          <w:szCs w:val="24"/>
          <w:highlight w:val="none"/>
          <w:lang w:val="en-US"/>
        </w:rPr>
        <w:t>18、热固性粉末涂料：符合HG/T2006-2006/《热固性粉末涂料》的标准，漆膜外观符合要求，硬度≥5H，附着力不低于1级，耐碱性试板经耐碱试验168h无异常，耐酸性试板经耐酸试验240h无异常，可溶性铅含未检出，镉未检出，铬未检出，汞未检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20、水性底漆：符合GB18581-2020标准的要求，VOC含量≤165g/L,甲醛含量未检出，,笨系物总和含量（笨，甲苯，二甲苯）未检出，乙二醇醚及醚酯总和含量（限乙二醇甲醚、乙二醇甲醚醋酸酯、乙二醇乙醚、乙二醇乙醚融酸酯、乙二辞二甲醚、乙二酵二乙鼪、二乙二醇二甲醚、三乙二醇二甲醚）未检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水性面漆：符合GB18581-2020标准的要求，VOC含量≤90g/L,甲醛含量未检出，,笨系物总和含量（笨，甲苯，二甲苯）≤50mg/kg，乙二醇醚及醚酯总和含量（限乙二醇甲醚、乙二醇甲醚醋酸酯、乙二醇乙醚、乙二醇乙醚融酸酯、乙二辞二甲醚、乙二酵二乙鼪、二乙二醇二甲醚、三乙二醇二甲醚）≤50mg/kg。</w:t>
      </w:r>
    </w:p>
    <w:p>
      <w:pPr>
        <w:pStyle w:val="2"/>
        <w:rPr>
          <w:rFonts w:ascii="仿宋" w:hAnsi="仿宋" w:eastAsia="仿宋" w:cs="仿宋"/>
          <w:color w:val="auto"/>
          <w:szCs w:val="32"/>
          <w:highlight w:val="none"/>
          <w:lang w:val="en-US"/>
        </w:rPr>
      </w:pPr>
    </w:p>
    <w:p>
      <w:pPr>
        <w:pStyle w:val="2"/>
        <w:ind w:firstLine="240" w:firstLineChars="100"/>
        <w:rPr>
          <w:color w:val="auto"/>
          <w:highlight w:val="none"/>
        </w:rPr>
      </w:pPr>
      <w:r>
        <w:rPr>
          <w:rFonts w:hint="eastAsia" w:ascii="仿宋" w:hAnsi="仿宋" w:eastAsia="仿宋" w:cs="仿宋"/>
          <w:color w:val="auto"/>
          <w:szCs w:val="32"/>
          <w:highlight w:val="none"/>
          <w:lang w:val="en-US"/>
        </w:rPr>
        <w:t>22，塑料椅座背：符合GB28481-2012《塑料家具中有害物质限量》的标准，邻苯二甲酸酯DBP未检出，BBP未检出，DEHP未检出，DNOP</w:t>
      </w:r>
      <w:r>
        <w:rPr>
          <w:rFonts w:hint="eastAsia" w:ascii="仿宋" w:hAnsi="仿宋" w:eastAsia="仿宋" w:cs="仿宋"/>
          <w:color w:val="auto"/>
          <w:szCs w:val="32"/>
          <w:highlight w:val="none"/>
        </w:rPr>
        <w:t>≤</w:t>
      </w:r>
      <w:r>
        <w:rPr>
          <w:rFonts w:hint="eastAsia" w:ascii="仿宋" w:hAnsi="仿宋" w:eastAsia="仿宋" w:cs="仿宋"/>
          <w:color w:val="auto"/>
          <w:szCs w:val="32"/>
          <w:highlight w:val="none"/>
          <w:lang w:val="en-US"/>
        </w:rPr>
        <w:t>0.01%,DINP未检出，DIDP</w:t>
      </w:r>
      <w:r>
        <w:rPr>
          <w:rFonts w:hint="eastAsia" w:ascii="仿宋" w:hAnsi="仿宋" w:eastAsia="仿宋" w:cs="仿宋"/>
          <w:color w:val="auto"/>
          <w:szCs w:val="32"/>
          <w:highlight w:val="none"/>
        </w:rPr>
        <w:t>≤</w:t>
      </w:r>
      <w:r>
        <w:rPr>
          <w:rFonts w:hint="eastAsia" w:ascii="仿宋" w:hAnsi="仿宋" w:eastAsia="仿宋" w:cs="仿宋"/>
          <w:color w:val="auto"/>
          <w:szCs w:val="32"/>
          <w:highlight w:val="none"/>
          <w:lang w:val="en-US"/>
        </w:rPr>
        <w:t>0.01%,重金属可溶性铅</w:t>
      </w:r>
      <w:r>
        <w:rPr>
          <w:rFonts w:hint="eastAsia" w:ascii="仿宋" w:hAnsi="仿宋" w:eastAsia="仿宋" w:cs="仿宋"/>
          <w:color w:val="auto"/>
          <w:szCs w:val="32"/>
          <w:highlight w:val="none"/>
        </w:rPr>
        <w:t>≤</w:t>
      </w:r>
      <w:r>
        <w:rPr>
          <w:rFonts w:hint="eastAsia" w:ascii="仿宋" w:hAnsi="仿宋" w:eastAsia="仿宋" w:cs="仿宋"/>
          <w:color w:val="auto"/>
          <w:szCs w:val="32"/>
          <w:highlight w:val="none"/>
          <w:lang w:val="en-US"/>
        </w:rPr>
        <w:t>3mg/kg，可溶性镉</w:t>
      </w:r>
      <w:r>
        <w:rPr>
          <w:rFonts w:hint="eastAsia" w:ascii="仿宋" w:hAnsi="仿宋" w:eastAsia="仿宋" w:cs="仿宋"/>
          <w:color w:val="auto"/>
          <w:szCs w:val="32"/>
          <w:highlight w:val="none"/>
        </w:rPr>
        <w:t>≤</w:t>
      </w:r>
      <w:r>
        <w:rPr>
          <w:rFonts w:hint="eastAsia" w:ascii="仿宋" w:hAnsi="仿宋" w:eastAsia="仿宋" w:cs="仿宋"/>
          <w:color w:val="auto"/>
          <w:szCs w:val="32"/>
          <w:highlight w:val="none"/>
          <w:lang w:val="en-US"/>
        </w:rPr>
        <w:t>1mg/kg，可溶性铬</w:t>
      </w:r>
      <w:r>
        <w:rPr>
          <w:rFonts w:hint="eastAsia" w:ascii="仿宋" w:hAnsi="仿宋" w:eastAsia="仿宋" w:cs="仿宋"/>
          <w:color w:val="auto"/>
          <w:szCs w:val="32"/>
          <w:highlight w:val="none"/>
        </w:rPr>
        <w:t>≤</w:t>
      </w:r>
      <w:r>
        <w:rPr>
          <w:rFonts w:hint="eastAsia" w:ascii="仿宋" w:hAnsi="仿宋" w:eastAsia="仿宋" w:cs="仿宋"/>
          <w:color w:val="auto"/>
          <w:szCs w:val="32"/>
          <w:highlight w:val="none"/>
          <w:lang w:val="en-US"/>
        </w:rPr>
        <w:t>1mg/kg，可溶性汞</w:t>
      </w:r>
      <w:r>
        <w:rPr>
          <w:rFonts w:hint="eastAsia" w:ascii="仿宋" w:hAnsi="仿宋" w:eastAsia="仿宋" w:cs="仿宋"/>
          <w:color w:val="auto"/>
          <w:szCs w:val="32"/>
          <w:highlight w:val="none"/>
        </w:rPr>
        <w:t>≤</w:t>
      </w:r>
      <w:r>
        <w:rPr>
          <w:rFonts w:hint="eastAsia" w:ascii="仿宋" w:hAnsi="仿宋" w:eastAsia="仿宋" w:cs="仿宋"/>
          <w:color w:val="auto"/>
          <w:szCs w:val="32"/>
          <w:highlight w:val="none"/>
          <w:lang w:val="en-US"/>
        </w:rPr>
        <w:t>3mg/kg，</w:t>
      </w:r>
    </w:p>
    <w:p>
      <w:pPr>
        <w:snapToGrid w:val="0"/>
        <w:spacing w:line="360" w:lineRule="auto"/>
        <w:ind w:firstLine="241" w:firstLineChars="100"/>
        <w:rPr>
          <w:rFonts w:ascii="仿宋" w:hAnsi="仿宋" w:eastAsia="仿宋" w:cs="宋体"/>
          <w:b/>
          <w:bCs/>
          <w:color w:val="auto"/>
          <w:sz w:val="24"/>
          <w:highlight w:val="none"/>
        </w:rPr>
      </w:pPr>
      <w:r>
        <w:rPr>
          <w:rFonts w:hint="eastAsia" w:ascii="仿宋" w:hAnsi="仿宋" w:eastAsia="仿宋" w:cs="宋体"/>
          <w:b/>
          <w:bCs/>
          <w:color w:val="auto"/>
          <w:sz w:val="24"/>
          <w:highlight w:val="none"/>
        </w:rPr>
        <w:t>三、供货要求：</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1、签订合同后，供应商按照其与采购人的事先约定将所供货物免费上门送货至采购人指定地点后拆箱，负责安装调试完成后交用户单位并通过验收。</w:t>
      </w:r>
    </w:p>
    <w:p>
      <w:pPr>
        <w:snapToGrid w:val="0"/>
        <w:spacing w:line="360" w:lineRule="auto"/>
        <w:ind w:firstLine="480" w:firstLineChars="200"/>
        <w:rPr>
          <w:rFonts w:ascii="仿宋" w:hAnsi="仿宋" w:eastAsia="仿宋" w:cs="宋体"/>
          <w:b/>
          <w:bCs/>
          <w:color w:val="auto"/>
          <w:sz w:val="24"/>
          <w:highlight w:val="none"/>
        </w:rPr>
      </w:pPr>
      <w:r>
        <w:rPr>
          <w:rFonts w:hint="eastAsia" w:ascii="仿宋" w:hAnsi="仿宋" w:eastAsia="仿宋" w:cs="宋体"/>
          <w:bCs/>
          <w:color w:val="auto"/>
          <w:sz w:val="24"/>
          <w:highlight w:val="none"/>
        </w:rPr>
        <w:t>2、售后服务按国家和我省相关规定以及生产厂家或投标人的承诺执行，并提供上门免费服务。</w:t>
      </w:r>
    </w:p>
    <w:p>
      <w:pPr>
        <w:spacing w:line="360" w:lineRule="auto"/>
        <w:rPr>
          <w:rFonts w:ascii="仿宋" w:hAnsi="仿宋" w:eastAsia="仿宋" w:cs="宋体"/>
          <w:b/>
          <w:color w:val="auto"/>
          <w:sz w:val="24"/>
          <w:highlight w:val="none"/>
        </w:rPr>
      </w:pPr>
      <w:r>
        <w:rPr>
          <w:rFonts w:hint="eastAsia" w:ascii="仿宋" w:hAnsi="仿宋" w:eastAsia="仿宋" w:cs="宋体"/>
          <w:b/>
          <w:bCs/>
          <w:color w:val="auto"/>
          <w:sz w:val="24"/>
          <w:highlight w:val="none"/>
        </w:rPr>
        <w:t xml:space="preserve">  </w:t>
      </w:r>
      <w:r>
        <w:rPr>
          <w:rFonts w:hint="eastAsia" w:ascii="仿宋" w:hAnsi="仿宋" w:eastAsia="仿宋" w:cs="宋体"/>
          <w:b/>
          <w:color w:val="auto"/>
          <w:sz w:val="24"/>
          <w:highlight w:val="none"/>
        </w:rPr>
        <w:t>四、要求质量标准：</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1、供方所供的货物必须为全新的，符合国家标准的合格产品；</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2、所供货物不会侵犯任何第三方知识产权；</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3、送货地址：</w:t>
      </w:r>
      <w:r>
        <w:rPr>
          <w:rFonts w:hint="eastAsia" w:ascii="仿宋" w:hAnsi="仿宋" w:eastAsia="仿宋"/>
          <w:color w:val="auto"/>
          <w:kern w:val="0"/>
          <w:sz w:val="24"/>
          <w:highlight w:val="none"/>
        </w:rPr>
        <w:t>采购人指定地点。</w:t>
      </w:r>
    </w:p>
    <w:p>
      <w:pPr>
        <w:spacing w:line="360" w:lineRule="auto"/>
        <w:ind w:firstLine="241" w:firstLineChars="100"/>
        <w:rPr>
          <w:rFonts w:ascii="仿宋" w:hAnsi="仿宋" w:eastAsia="仿宋" w:cs="宋体"/>
          <w:b/>
          <w:color w:val="auto"/>
          <w:sz w:val="24"/>
          <w:highlight w:val="none"/>
        </w:rPr>
      </w:pPr>
      <w:r>
        <w:rPr>
          <w:rFonts w:hint="eastAsia" w:ascii="仿宋" w:hAnsi="仿宋" w:eastAsia="仿宋" w:cs="宋体"/>
          <w:b/>
          <w:bCs/>
          <w:color w:val="auto"/>
          <w:kern w:val="0"/>
          <w:sz w:val="24"/>
          <w:highlight w:val="none"/>
        </w:rPr>
        <w:t>▲</w:t>
      </w:r>
      <w:r>
        <w:rPr>
          <w:rFonts w:hint="eastAsia" w:ascii="仿宋" w:hAnsi="仿宋" w:eastAsia="仿宋" w:cs="宋体"/>
          <w:b/>
          <w:color w:val="auto"/>
          <w:sz w:val="24"/>
          <w:highlight w:val="none"/>
        </w:rPr>
        <w:t>五、售后服务要求：</w:t>
      </w:r>
    </w:p>
    <w:p>
      <w:pPr>
        <w:spacing w:line="360" w:lineRule="auto"/>
        <w:ind w:left="60" w:right="60" w:firstLine="435"/>
        <w:rPr>
          <w:rFonts w:ascii="仿宋" w:hAnsi="仿宋" w:eastAsia="仿宋" w:cs="宋体"/>
          <w:bCs/>
          <w:color w:val="auto"/>
          <w:sz w:val="24"/>
          <w:highlight w:val="none"/>
        </w:rPr>
      </w:pPr>
      <w:r>
        <w:rPr>
          <w:rFonts w:hint="eastAsia" w:ascii="仿宋" w:hAnsi="仿宋" w:eastAsia="仿宋" w:cs="宋体"/>
          <w:bCs/>
          <w:color w:val="auto"/>
          <w:sz w:val="24"/>
          <w:highlight w:val="none"/>
        </w:rPr>
        <w:t>1、质保期：</w:t>
      </w:r>
      <w:r>
        <w:rPr>
          <w:rFonts w:hint="eastAsia" w:ascii="仿宋" w:hAnsi="仿宋" w:eastAsia="仿宋" w:cs="宋体"/>
          <w:b/>
          <w:color w:val="auto"/>
          <w:sz w:val="24"/>
          <w:highlight w:val="none"/>
        </w:rPr>
        <w:t>从验收合格之日起五年；质保期内的维修费用（包括材料）全部由中标单位负责；超过质保期的，维修时只收部件成本费。</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2、质保期内的维修费用（包括配件）全部由供货方负责；</w:t>
      </w:r>
    </w:p>
    <w:p>
      <w:pPr>
        <w:spacing w:line="360" w:lineRule="auto"/>
        <w:ind w:left="60" w:right="60" w:firstLine="435"/>
        <w:rPr>
          <w:rFonts w:ascii="仿宋" w:hAnsi="仿宋" w:eastAsia="仿宋" w:cs="宋体"/>
          <w:bCs/>
          <w:color w:val="auto"/>
          <w:sz w:val="24"/>
          <w:highlight w:val="none"/>
        </w:rPr>
      </w:pPr>
      <w:r>
        <w:rPr>
          <w:rFonts w:hint="eastAsia" w:ascii="仿宋" w:hAnsi="仿宋" w:eastAsia="仿宋" w:cs="宋体"/>
          <w:bCs/>
          <w:color w:val="auto"/>
          <w:sz w:val="24"/>
          <w:highlight w:val="none"/>
        </w:rPr>
        <w:t>3、技术支持要求：质保期内出现问题，1小时内响应，2小时内到达现场，24小时内解决问题，现场解决不了的采取补救措施，以保证使用方的正常工作需求。</w:t>
      </w:r>
    </w:p>
    <w:p>
      <w:pPr>
        <w:spacing w:line="360" w:lineRule="auto"/>
        <w:ind w:left="60" w:right="60" w:firstLine="435"/>
        <w:rPr>
          <w:rFonts w:ascii="仿宋" w:hAnsi="仿宋" w:eastAsia="仿宋" w:cs="宋体"/>
          <w:bCs/>
          <w:color w:val="auto"/>
          <w:sz w:val="24"/>
          <w:highlight w:val="none"/>
        </w:rPr>
      </w:pPr>
      <w:r>
        <w:rPr>
          <w:rFonts w:hint="eastAsia" w:ascii="仿宋" w:hAnsi="仿宋" w:eastAsia="仿宋" w:cs="宋体"/>
          <w:bCs/>
          <w:color w:val="auto"/>
          <w:sz w:val="24"/>
          <w:highlight w:val="none"/>
        </w:rPr>
        <w:t>4、在保修期内供方必须不得以任何理由影响用户的正常使用。投标方必须对所供产品实行终身维修，配件按市场价格收取。</w:t>
      </w:r>
    </w:p>
    <w:p>
      <w:pPr>
        <w:spacing w:line="360" w:lineRule="auto"/>
        <w:ind w:firstLine="241" w:firstLineChars="100"/>
        <w:rPr>
          <w:rFonts w:ascii="仿宋" w:hAnsi="仿宋" w:eastAsia="仿宋" w:cs="宋体"/>
          <w:b/>
          <w:color w:val="auto"/>
          <w:sz w:val="24"/>
          <w:highlight w:val="none"/>
        </w:rPr>
      </w:pPr>
      <w:r>
        <w:rPr>
          <w:rFonts w:hint="eastAsia" w:ascii="仿宋" w:hAnsi="仿宋" w:eastAsia="仿宋" w:cs="宋体"/>
          <w:b/>
          <w:color w:val="auto"/>
          <w:sz w:val="24"/>
          <w:highlight w:val="none"/>
        </w:rPr>
        <w:t>六、培训要求：</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供应商须向使用方做好木制品日常保养、使用、管理的培训。</w:t>
      </w:r>
    </w:p>
    <w:p>
      <w:pPr>
        <w:spacing w:line="360" w:lineRule="auto"/>
        <w:ind w:firstLine="241" w:firstLineChars="100"/>
        <w:rPr>
          <w:rFonts w:ascii="仿宋" w:hAnsi="仿宋" w:eastAsia="仿宋" w:cs="宋体"/>
          <w:b/>
          <w:color w:val="auto"/>
          <w:sz w:val="24"/>
          <w:highlight w:val="none"/>
        </w:rPr>
      </w:pPr>
      <w:r>
        <w:rPr>
          <w:rFonts w:hint="eastAsia" w:ascii="仿宋" w:hAnsi="仿宋" w:eastAsia="仿宋" w:cs="宋体"/>
          <w:b/>
          <w:bCs/>
          <w:color w:val="auto"/>
          <w:kern w:val="0"/>
          <w:sz w:val="24"/>
          <w:highlight w:val="none"/>
        </w:rPr>
        <w:t>▲</w:t>
      </w:r>
      <w:r>
        <w:rPr>
          <w:rFonts w:hint="eastAsia" w:ascii="仿宋" w:hAnsi="仿宋" w:eastAsia="仿宋" w:cs="宋体"/>
          <w:b/>
          <w:color w:val="auto"/>
          <w:sz w:val="24"/>
          <w:highlight w:val="none"/>
        </w:rPr>
        <w:t xml:space="preserve">七、交货期： </w:t>
      </w:r>
    </w:p>
    <w:p>
      <w:pPr>
        <w:snapToGrid w:val="0"/>
        <w:ind w:firstLine="481"/>
        <w:rPr>
          <w:rFonts w:hint="eastAsia" w:ascii="仿宋" w:hAnsi="仿宋" w:eastAsia="仿宋" w:cs="宋体"/>
          <w:bCs/>
          <w:color w:val="auto"/>
          <w:sz w:val="24"/>
          <w:highlight w:val="none"/>
          <w:lang w:val="en-US" w:eastAsia="zh-CN"/>
        </w:rPr>
      </w:pPr>
      <w:r>
        <w:rPr>
          <w:rFonts w:hint="eastAsia" w:ascii="仿宋" w:hAnsi="仿宋" w:eastAsia="仿宋"/>
          <w:b/>
          <w:bCs/>
          <w:color w:val="auto"/>
          <w:sz w:val="24"/>
          <w:highlight w:val="none"/>
          <w:lang w:eastAsia="zh-CN"/>
        </w:rPr>
        <w:t>根据市民之家开办日期，要求</w:t>
      </w:r>
      <w:r>
        <w:rPr>
          <w:rFonts w:hint="eastAsia" w:ascii="仿宋" w:hAnsi="仿宋" w:eastAsia="仿宋"/>
          <w:b/>
          <w:bCs/>
          <w:color w:val="auto"/>
          <w:sz w:val="24"/>
          <w:highlight w:val="none"/>
          <w:lang w:val="en-US" w:eastAsia="zh-CN"/>
        </w:rPr>
        <w:t>2022年5月15日前</w:t>
      </w:r>
      <w:r>
        <w:rPr>
          <w:rFonts w:hint="eastAsia" w:ascii="仿宋" w:hAnsi="仿宋" w:eastAsia="仿宋"/>
          <w:b/>
          <w:bCs/>
          <w:color w:val="auto"/>
          <w:sz w:val="24"/>
          <w:highlight w:val="none"/>
          <w:lang w:eastAsia="zh-CN"/>
        </w:rPr>
        <w:t>内交货并安装、调试完毕并</w:t>
      </w:r>
      <w:r>
        <w:rPr>
          <w:rFonts w:hint="eastAsia" w:ascii="仿宋" w:hAnsi="仿宋" w:eastAsia="仿宋"/>
          <w:b/>
          <w:bCs/>
          <w:color w:val="auto"/>
          <w:sz w:val="24"/>
          <w:highlight w:val="none"/>
          <w:lang w:val="en-US" w:eastAsia="zh-CN"/>
        </w:rPr>
        <w:t>初验</w:t>
      </w:r>
      <w:r>
        <w:rPr>
          <w:rFonts w:hint="eastAsia" w:ascii="仿宋" w:hAnsi="仿宋" w:eastAsia="仿宋"/>
          <w:b/>
          <w:bCs/>
          <w:color w:val="auto"/>
          <w:sz w:val="24"/>
          <w:highlight w:val="none"/>
          <w:lang w:eastAsia="zh-CN"/>
        </w:rPr>
        <w:t>合格。</w:t>
      </w:r>
    </w:p>
    <w:p>
      <w:pPr>
        <w:spacing w:line="360" w:lineRule="auto"/>
        <w:ind w:firstLine="241" w:firstLineChars="100"/>
        <w:rPr>
          <w:rFonts w:ascii="仿宋" w:hAnsi="仿宋" w:eastAsia="仿宋" w:cs="宋体"/>
          <w:b/>
          <w:color w:val="auto"/>
          <w:sz w:val="24"/>
          <w:highlight w:val="none"/>
        </w:rPr>
      </w:pPr>
      <w:r>
        <w:rPr>
          <w:rFonts w:hint="eastAsia" w:ascii="仿宋" w:hAnsi="仿宋" w:eastAsia="仿宋" w:cs="宋体"/>
          <w:b/>
          <w:color w:val="auto"/>
          <w:sz w:val="24"/>
          <w:highlight w:val="none"/>
        </w:rPr>
        <w:t>八、履约保证金</w:t>
      </w:r>
    </w:p>
    <w:p>
      <w:pPr>
        <w:spacing w:line="360" w:lineRule="auto"/>
        <w:ind w:left="60" w:right="60" w:firstLine="435"/>
        <w:rPr>
          <w:rFonts w:ascii="仿宋" w:hAnsi="仿宋" w:eastAsia="仿宋" w:cs="宋体"/>
          <w:b/>
          <w:color w:val="auto"/>
          <w:sz w:val="24"/>
          <w:highlight w:val="none"/>
        </w:rPr>
      </w:pPr>
      <w:r>
        <w:rPr>
          <w:rFonts w:hint="eastAsia" w:ascii="仿宋" w:hAnsi="仿宋" w:eastAsia="仿宋" w:cs="宋体"/>
          <w:b/>
          <w:color w:val="auto"/>
          <w:sz w:val="24"/>
          <w:highlight w:val="none"/>
        </w:rPr>
        <w:t>中标单位在签订合同后7个工作日向采购人缴纳不得超过合同价</w:t>
      </w:r>
      <w:r>
        <w:rPr>
          <w:rFonts w:ascii="仿宋" w:hAnsi="仿宋" w:eastAsia="仿宋" w:cs="宋体"/>
          <w:b/>
          <w:color w:val="auto"/>
          <w:sz w:val="24"/>
          <w:highlight w:val="none"/>
        </w:rPr>
        <w:t>2.5</w:t>
      </w:r>
      <w:r>
        <w:rPr>
          <w:rFonts w:hint="eastAsia" w:ascii="仿宋" w:hAnsi="仿宋" w:eastAsia="仿宋" w:cs="宋体"/>
          <w:b/>
          <w:color w:val="auto"/>
          <w:sz w:val="24"/>
          <w:highlight w:val="none"/>
        </w:rPr>
        <w:t>%的履约保证金。中标单位根据合同规定将货物交付、安装调试完毕，验收合格后10日内无息返还履约保证金。</w:t>
      </w:r>
    </w:p>
    <w:p>
      <w:pPr>
        <w:spacing w:line="360" w:lineRule="auto"/>
        <w:ind w:firstLine="241" w:firstLineChars="100"/>
        <w:rPr>
          <w:rFonts w:ascii="仿宋" w:hAnsi="仿宋" w:eastAsia="仿宋" w:cs="宋体"/>
          <w:b/>
          <w:color w:val="auto"/>
          <w:sz w:val="24"/>
          <w:highlight w:val="none"/>
        </w:rPr>
      </w:pPr>
      <w:r>
        <w:rPr>
          <w:rFonts w:hint="eastAsia" w:ascii="仿宋" w:hAnsi="仿宋" w:eastAsia="仿宋" w:cs="宋体"/>
          <w:b/>
          <w:color w:val="auto"/>
          <w:sz w:val="24"/>
          <w:highlight w:val="none"/>
        </w:rPr>
        <w:t>九、货款支付：</w:t>
      </w:r>
    </w:p>
    <w:p>
      <w:pPr>
        <w:spacing w:line="360" w:lineRule="auto"/>
        <w:ind w:firstLine="480" w:firstLineChars="200"/>
        <w:rPr>
          <w:rFonts w:ascii="仿宋" w:hAnsi="仿宋" w:eastAsia="仿宋"/>
          <w:color w:val="auto"/>
          <w:highlight w:val="none"/>
        </w:rPr>
      </w:pPr>
      <w:r>
        <w:rPr>
          <w:rFonts w:hint="eastAsia" w:ascii="仿宋" w:hAnsi="仿宋" w:eastAsia="仿宋" w:cs="宋体"/>
          <w:color w:val="auto"/>
          <w:sz w:val="24"/>
          <w:highlight w:val="none"/>
        </w:rPr>
        <w:t>1、货款支付：合同</w:t>
      </w:r>
      <w:r>
        <w:rPr>
          <w:rFonts w:hint="eastAsia" w:ascii="仿宋" w:hAnsi="仿宋" w:eastAsia="仿宋" w:cs="宋体"/>
          <w:bCs/>
          <w:color w:val="auto"/>
          <w:sz w:val="24"/>
          <w:highlight w:val="none"/>
        </w:rPr>
        <w:t>签订后7个工作日内甲方向乙方支付预付款为合同总价的40%</w:t>
      </w:r>
      <w:r>
        <w:rPr>
          <w:rFonts w:hint="eastAsia" w:ascii="仿宋" w:hAnsi="仿宋" w:eastAsia="仿宋" w:cs="宋体"/>
          <w:color w:val="auto"/>
          <w:sz w:val="24"/>
          <w:highlight w:val="none"/>
        </w:rPr>
        <w:t xml:space="preserve">预付款，采购人支付预付款后供应商应提供预付款保函给采购人，确保项目按合同如期履行。在供应商根据合同规定将货物交付后根据余财采〔2020〕14号《关于转发&lt;杭州市政府采购履约验收暂行办法&gt;的通知》精神组织验收，验收合格后采购人支付剩余60%货款。 </w:t>
      </w:r>
    </w:p>
    <w:p>
      <w:pPr>
        <w:spacing w:line="360" w:lineRule="auto"/>
        <w:ind w:firstLine="480" w:firstLineChars="200"/>
        <w:rPr>
          <w:rFonts w:ascii="仿宋" w:hAnsi="仿宋" w:eastAsia="仿宋"/>
          <w:color w:val="auto"/>
          <w:highlight w:val="none"/>
        </w:rPr>
      </w:pPr>
      <w:r>
        <w:rPr>
          <w:rFonts w:hint="eastAsia" w:ascii="仿宋" w:hAnsi="仿宋" w:eastAsia="仿宋" w:cs="宋体"/>
          <w:color w:val="auto"/>
          <w:sz w:val="24"/>
          <w:highlight w:val="none"/>
        </w:rPr>
        <w:t>2、投标总价必须是完成包含供货、安装施工（安装所需的一切零部件材料及专用工具、配件）、调试、培训、售后服务等一系列工作产生的所有费用，费用一次性包干，不予调整。</w:t>
      </w:r>
    </w:p>
    <w:p>
      <w:pPr>
        <w:spacing w:line="360" w:lineRule="auto"/>
        <w:ind w:left="241"/>
        <w:rPr>
          <w:rFonts w:ascii="仿宋" w:hAnsi="仿宋" w:eastAsia="仿宋"/>
          <w:b/>
          <w:bCs/>
          <w:color w:val="auto"/>
          <w:sz w:val="24"/>
          <w:highlight w:val="none"/>
        </w:rPr>
      </w:pPr>
      <w:r>
        <w:rPr>
          <w:rFonts w:hint="eastAsia" w:ascii="仿宋" w:hAnsi="仿宋" w:eastAsia="仿宋"/>
          <w:b/>
          <w:bCs/>
          <w:color w:val="auto"/>
          <w:sz w:val="24"/>
          <w:highlight w:val="none"/>
        </w:rPr>
        <w:t>十、验收要求：</w:t>
      </w:r>
    </w:p>
    <w:p>
      <w:pPr>
        <w:snapToGrid w:val="0"/>
        <w:spacing w:line="360" w:lineRule="auto"/>
        <w:ind w:firstLine="482" w:firstLineChars="200"/>
        <w:rPr>
          <w:rFonts w:ascii="仿宋" w:hAnsi="仿宋" w:eastAsia="仿宋" w:cs="宋体"/>
          <w:bCs/>
          <w:color w:val="auto"/>
          <w:sz w:val="24"/>
          <w:highlight w:val="none"/>
        </w:rPr>
      </w:pPr>
      <w:r>
        <w:rPr>
          <w:rFonts w:hint="eastAsia" w:ascii="仿宋" w:hAnsi="仿宋" w:eastAsia="仿宋" w:cs="宋体"/>
          <w:b/>
          <w:color w:val="auto"/>
          <w:sz w:val="24"/>
          <w:highlight w:val="none"/>
        </w:rPr>
        <w:t xml:space="preserve"> </w:t>
      </w:r>
      <w:bookmarkEnd w:id="159"/>
      <w:r>
        <w:rPr>
          <w:rFonts w:hint="eastAsia" w:ascii="仿宋" w:hAnsi="仿宋" w:eastAsia="仿宋" w:cs="宋体"/>
          <w:bCs/>
          <w:color w:val="auto"/>
          <w:sz w:val="24"/>
          <w:highlight w:val="none"/>
        </w:rPr>
        <w:t>1．招标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snapToGrid w:val="0"/>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2．招标人可以邀请参加本项目的其他投标人或者第三方机构参与验收。参与验收的投标人或者第三方机构的意见作为验收书的参考资料一并存档。</w:t>
      </w:r>
    </w:p>
    <w:p>
      <w:pPr>
        <w:snapToGrid w:val="0"/>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3．严格按照采购合同开展履约验收。招标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snapToGrid w:val="0"/>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4．验收合格的项目，招标人将根据采购合同的约定及时向供应商支付采购资金、退还履约保证金。验收不合格的项目，招标人将依法及时处理。采购合同的履行、违约责任和解决争议的方式等适用《中华人民共和国民法典》。供应商在履约过程中有政府采购法律法规规定的违法违规情形的，招标人应当及时报告本级财政部门。</w:t>
      </w:r>
    </w:p>
    <w:p>
      <w:pPr>
        <w:snapToGrid w:val="0"/>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初次验收费用由招标人支付。如初次验收未通过，后续验收费用由中标人支付。</w:t>
      </w:r>
    </w:p>
    <w:p>
      <w:pPr>
        <w:snapToGrid w:val="0"/>
        <w:spacing w:line="360" w:lineRule="auto"/>
        <w:ind w:firstLine="420" w:firstLineChars="200"/>
        <w:rPr>
          <w:rFonts w:ascii="仿宋" w:hAnsi="仿宋" w:eastAsia="仿宋" w:cs="仿宋"/>
          <w:color w:val="auto"/>
          <w:highlight w:val="none"/>
        </w:rPr>
        <w:sectPr>
          <w:pgSz w:w="11906" w:h="16838"/>
          <w:pgMar w:top="1440" w:right="1800" w:bottom="1440" w:left="1800" w:header="851" w:footer="992" w:gutter="0"/>
          <w:cols w:space="720" w:num="1"/>
          <w:docGrid w:type="lines" w:linePitch="312" w:charSpace="0"/>
        </w:sectPr>
      </w:pPr>
    </w:p>
    <w:tbl>
      <w:tblPr>
        <w:tblStyle w:val="62"/>
        <w:tblW w:w="144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88"/>
        <w:gridCol w:w="1501"/>
        <w:gridCol w:w="3062"/>
        <w:gridCol w:w="1397"/>
        <w:gridCol w:w="4321"/>
        <w:gridCol w:w="980"/>
        <w:gridCol w:w="30"/>
        <w:gridCol w:w="15"/>
        <w:gridCol w:w="30"/>
        <w:gridCol w:w="15"/>
        <w:gridCol w:w="30"/>
        <w:gridCol w:w="1530"/>
        <w:gridCol w:w="705"/>
        <w:gridCol w:w="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5" w:hRule="atLeast"/>
        </w:trPr>
        <w:tc>
          <w:tcPr>
            <w:tcW w:w="14419" w:type="dxa"/>
            <w:gridSpan w:val="14"/>
            <w:vAlign w:val="center"/>
          </w:tcPr>
          <w:p>
            <w:pPr>
              <w:widowControl/>
              <w:jc w:val="center"/>
              <w:textAlignment w:val="center"/>
              <w:rPr>
                <w:rFonts w:ascii="宋体" w:hAnsi="宋体" w:cs="宋体"/>
                <w:b/>
                <w:color w:val="auto"/>
                <w:sz w:val="28"/>
                <w:szCs w:val="28"/>
                <w:highlight w:val="none"/>
              </w:rPr>
            </w:pPr>
            <w:r>
              <w:rPr>
                <w:rFonts w:ascii="宋体" w:hAnsi="宋体" w:cs="宋体"/>
                <w:b/>
                <w:color w:val="auto"/>
                <w:kern w:val="0"/>
                <w:sz w:val="32"/>
                <w:szCs w:val="32"/>
                <w:highlight w:val="none"/>
              </w:rPr>
              <w:t xml:space="preserve">    </w:t>
            </w:r>
            <w:r>
              <w:rPr>
                <w:rFonts w:ascii="宋体" w:hAnsi="宋体" w:cs="宋体"/>
                <w:b/>
                <w:color w:val="auto"/>
                <w:kern w:val="0"/>
                <w:sz w:val="28"/>
                <w:szCs w:val="28"/>
                <w:highlight w:val="none"/>
              </w:rPr>
              <w:t>市民之家大厅家具标项一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序号</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品名</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产品图片</w:t>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规格</w:t>
            </w:r>
          </w:p>
        </w:tc>
        <w:tc>
          <w:tcPr>
            <w:tcW w:w="530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材质说明</w:t>
            </w:r>
          </w:p>
        </w:tc>
        <w:tc>
          <w:tcPr>
            <w:tcW w:w="1650"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颜色</w:t>
            </w:r>
          </w:p>
        </w:tc>
        <w:tc>
          <w:tcPr>
            <w:tcW w:w="72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1F大厅椅子（和硬装大理石桌配套）</w:t>
            </w:r>
          </w:p>
        </w:tc>
        <w:tc>
          <w:tcPr>
            <w:tcW w:w="72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62"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洽谈椅（高）</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25" o:spt="75" type="#_x0000_t75" style="height:87.75pt;width:60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480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935 mm (H)</w:t>
            </w:r>
          </w:p>
        </w:tc>
        <w:tc>
          <w:tcPr>
            <w:tcW w:w="530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1)PP+30%玻纤背框;2)钢制椅架,表面喷涂;</w:t>
            </w:r>
          </w:p>
        </w:tc>
        <w:tc>
          <w:tcPr>
            <w:tcW w:w="1650"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2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77"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导办洽谈椅（矮）</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26" o:spt="75" type="#_x0000_t75" style="height:88.5pt;width:63pt;" fillcolor="#FFFFFF" filled="f" o:preferrelative="t" stroked="f" coordsize="21600,21600">
                  <v:path/>
                  <v:fill on="f" color2="#FFFFFF" focussize="0,0"/>
                  <v:stroke on="f"/>
                  <v:imagedata r:id="rId1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530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1650"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黑色</w:t>
            </w:r>
          </w:p>
        </w:tc>
        <w:tc>
          <w:tcPr>
            <w:tcW w:w="72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导办/窗口区</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活动柜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27" o:spt="75" type="#_x0000_t75" style="height:81.75pt;width:75p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470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641 mm (H)</w:t>
            </w:r>
          </w:p>
        </w:tc>
        <w:tc>
          <w:tcPr>
            <w:tcW w:w="5301"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1)表面选用防火板,环保刨花板,甲醛释放量优于国家标准;2)优质PVC封边条;3)PA椅轮,转动轻快灵活;4)优质★三节轨：符合QB/T2454-2013标准、GB 24820-2009标准，其中过载、功能均合格，耐久性达到100000次合格，200h中性盐雾试验到达8级，100h乙酸盐雾试验达到8级。;5）★锁具：符合QB/T1621-2015标准，其中锁头、钥匙外观、电镀件外观、钥匙拔插、旋转、钥匙拔出静拉力、钥匙开启扭矩、锁头固定连接静拉力、锁头固定连接扭矩、叶片锁钥匙牙花数均合格，电镀件耐腐蚀100h达到10级，使用寿命达到30000次合格。</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参数须提供三节轨及锁具检测报告。</w:t>
            </w:r>
          </w:p>
        </w:tc>
        <w:tc>
          <w:tcPr>
            <w:tcW w:w="1650"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2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1F24H自助服务中心</w:t>
            </w:r>
          </w:p>
        </w:tc>
        <w:tc>
          <w:tcPr>
            <w:tcW w:w="720"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自助服务中心圆形茶几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28" o:spt="75" type="#_x0000_t75" style="height:96pt;width:89.2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1)天然胡桃木皮,采用"水性环保油漆封闭式涂装,搭配实色漆涂装;2)环保中纤板,甲醛释放量优于国家标准;</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胡桃木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亚光黑色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自助服务中心沙发椅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29" o:spt="75" type="#_x0000_t75" style="height:87.75pt;width:91.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740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760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440 mm (D)</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1)优质水性皮,质地柔软;2)实木生态多层板,甲醛释放量优于国家标准;3)天然实木(松木),经久耐用;4)高密度高回弹裁切海绵,具有良好的抗震性、柔软性,抗撕拉;5)沙发铝合金脚,表面喷涂处理;</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1F等候区</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双人位沙发</w:t>
            </w:r>
            <w:r>
              <w:rPr>
                <w:rFonts w:hint="eastAsia" w:ascii="宋体" w:hAnsi="宋体" w:cs="宋体"/>
                <w:b/>
                <w:color w:val="auto"/>
                <w:kern w:val="0"/>
                <w:sz w:val="20"/>
                <w:szCs w:val="20"/>
                <w:highlight w:val="none"/>
              </w:rPr>
              <w:t>（提供样品）</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0" o:spt="75" type="#_x0000_t75" style="height:90pt;width:117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1300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650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720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(D)</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1)优质水性皮,质地柔软;2)实木生态多层板,甲醛释放量优于国家标准;3)天然实木(松木),经久耐用;4)高密度高回弹裁切海绵,具有良好的抗震性、柔软性,抗撕拉;5)沙发塑料脚,一体成型;</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49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单人位沙发椅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1" o:spt="75" type="#_x0000_t75" style="height:83.25pt;width:62.2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710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770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1015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480 mm (D)</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1)优质水性皮,质地柔软;2)实木生态多层板,甲醛释放量优于国家标准;3)高密度高回弹裁切海绵,具有良好的抗震性、柔软性,抗撕拉;4)一体成型高密度定型绵;5)沙发铝合金脚,表面抛光处理;功能说明: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1)自动回位气杆;</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422"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单人位沙发（固定）</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2" o:spt="75" type="#_x0000_t75" style="height:87.75pt;width:86.25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660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790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(D)</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1)优质水性皮,质地柔软;2)实木生态多层板,甲醛释放量优于国家标准;3)高密度高回弹裁切海绵,具有良好的抗震性、柔软性,抗撕拉;4)天然实木(松木),经久耐用;</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961"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圆形茶几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3" o:spt="75" type="#_x0000_t75" style="height:96pt;width:91.5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1)天然胡桃木皮,采用"水性环保油漆封闭式涂装,搭配实色漆涂装;2)环保中纤板,甲醛释放量优于国家标准;</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胡桃木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亚光黑色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1F窗口区</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传统窗口区员工椅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4" o:spt="75" type="#_x0000_t75" style="height:92.25pt;width:99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导办/窗口区</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活动柜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5" o:spt="75" type="#_x0000_t75" style="height:81.75pt;width:7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470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641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1)表面选用防火板,环保刨花板,甲醛释放量优于国家标准;2)优质PVC封边条;3)PA椅轮,转动轻快灵活;4)优质★三节轨：符合QB/T2454-2013标准、GB 24820-2009标准，其中过载、功能均合格，耐久性达到100000次合格，200h中性盐雾试验到达8级，100h乙酸盐雾试验达到8级。;5）★锁具：符合QB/T1621-2015标准，其中锁头、钥匙外观、电镀件外观、钥匙拔插、旋转、钥匙拔出静拉力、钥匙开启扭矩、锁头固定连接静拉力、锁头固定连接扭矩、叶片锁钥匙牙花数均合格，电镀件耐腐蚀100h达到10级，使用寿命达到30000次合格。</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参数须提供三节轨及锁具检测报告。</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传统窗口区客户用圆脚踏</w:t>
            </w:r>
            <w:r>
              <w:rPr>
                <w:rFonts w:hint="eastAsia" w:ascii="宋体" w:hAnsi="宋体" w:cs="宋体"/>
                <w:b/>
                <w:color w:val="auto"/>
                <w:kern w:val="0"/>
                <w:sz w:val="20"/>
                <w:szCs w:val="20"/>
                <w:highlight w:val="none"/>
              </w:rPr>
              <w:t>（提供样品）</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6" o:spt="75" type="#_x0000_t75" style="height:90.75pt;width:88.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1)优质水性皮,质地柔软;2)实木生态多层板,甲醛释放量优于国家标准;3)高密度高回弹裁切海绵,具有良好的抗震性、柔软性,抗撕拉;4)沙发塑料脚,一体成型;</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人社区办公桌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7" o:spt="75" type="#_x0000_t75" style="height:83.25pt;width:145.5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1)优质浸渍胶膜纸饰面板,基材采用环保刨花板,甲醛释放量优于国家标准;2)优质ABS封边胶条;3)优质PVC封边条;4)优质滑轨,表面黑色喷涂;5)阻尼铰链;6)优质钢架,表面经静电粉末喷涂;7)优质翻板线盒;</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人社区员工椅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8" o:spt="75" type="#_x0000_t75" style="height:92.25pt;width:99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人社区会客椅</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39" o:spt="75" type="#_x0000_t75" style="height:88.5pt;width:63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人才区域办公桌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0" o:spt="75" type="#_x0000_t75" style="height:84.75pt;width:140.2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1200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1、基材：选用新型环保板材，各项性能指标均符合国家标准。经防潮、防虫、防腐处理，强度高、刚性好、不变形。</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2.封边：选用进口实木封边，杜绝因环境温差造成变形开裂。</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3、油漆：采用品牌环保油漆，经五底三面工艺。</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4、胶水：采用环保白乳胶。</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17</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人才区域员工椅</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1" o:spt="75" type="#_x0000_t75" style="height:88.5pt;width:63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人才区域客户椅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2" o:spt="75" type="#_x0000_t75" style="height:90.75pt;width:82.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780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1130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470 mm (D)</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三防麻绒面料,防水、拒油、防污(耐沾污),不含致癌芳香胺染料;2)纳帕真皮,头层牛皮,表面柔软丝滑;3)沙发铝合金脚,表面喷涂处理;4)一体成型高密度定型绵;5)高密度高回弹裁切海绵,具有良好的抗震性、柔软性,抗撕拉;</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1F人才服务VIP洽谈室</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圆形茶几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3" o:spt="75" type="#_x0000_t75" style="height:79.5pt;width:84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(H)</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白色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沙发椅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4" o:spt="75" type="#_x0000_t75" style="height:88.5pt;width:111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780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1130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470 mm (D)</w:t>
            </w:r>
          </w:p>
        </w:tc>
        <w:tc>
          <w:tcPr>
            <w:tcW w:w="5331" w:type="dxa"/>
            <w:gridSpan w:val="3"/>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三防麻绒面料,防水、拒油、防污(耐沾污),不含致癌芳香胺染料;2)纳帕真皮,头层牛皮,表面柔软丝滑;3)沙发铝合金脚,表面喷涂处理;4)一体成型高密度定型绵;5)高密度高回弹裁切海绵,具有良好的抗震性、柔软性,抗撕拉;</w:t>
            </w:r>
          </w:p>
        </w:tc>
        <w:tc>
          <w:tcPr>
            <w:tcW w:w="1620"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1F后台审批区</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直条型工作位（含固定侧柜+桌上挡板）</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5" o:spt="75" type="#_x0000_t75" style="height:87.75pt;width:128.2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桌子：1400*700* 750 mm ，挡板：1380*350*8</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1)优质浸渍胶膜纸饰面板,基材采用环保刨花板,甲醛释放量优于国家标准;2)优质ABS封边胶条;3)优质滑轨,表面黑色喷涂;4)优质钢架,表面经静电粉末喷涂;5)优质翻板线盒;6）挡板同桌面材质</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职员椅</w:t>
            </w:r>
            <w:r>
              <w:rPr>
                <w:rFonts w:hint="eastAsia" w:ascii="宋体" w:hAnsi="宋体" w:cs="宋体"/>
                <w:b/>
                <w:color w:val="auto"/>
                <w:kern w:val="0"/>
                <w:sz w:val="20"/>
                <w:szCs w:val="20"/>
                <w:highlight w:val="none"/>
              </w:rPr>
              <w:t>（提供样品）</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6" o:spt="75" type="#_x0000_t75" style="height:92.25pt;width:99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文件柜（矮柜）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7" o:spt="75" type="#_x0000_t75" style="height:82.5pt;width:119.2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1412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1)表面选用防火板,环保刨花板,甲醛释放量优于国家标准;2)优质PVC封边条;3)塑胶件,PVC材质;4)优质铰链;</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文件柜（矮柜）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8" o:spt="75" type="#_x0000_t75" style="height:80.25pt;width:62.2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700mm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1)表面选用防火板,环保刨花板,甲醛释放量优于国家标准;2)优质PVC封边条;3)塑胶件,PVC材质;4)优质铰链;</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四门文件柜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49" o:spt="75" type="#_x0000_t75" style="height:87.75pt;width:79.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1578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1966 mm (H)</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1)表面选用防火板,环保刨花板,甲醛释放量优于国家标准;2)优质PVC封边条;3)塑胶件,PVC材质;4)优质铰链;</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六门文件柜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0" o:spt="75" type="#_x0000_t75" style="height:95.25pt;width:102.75pt;" fillcolor="#FFFFFF" filled="f" o:preferrelative="t" stroked="f" coordsize="21600,21600">
                  <v:path/>
                  <v:fill on="f" color2="#FFFFFF" focussize="0,0"/>
                  <v:stroke on="f"/>
                  <v:imagedata r:id="rId3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2356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1966 mm (H)</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1)表面选用防火板,环保刨花板,甲醛释放量优于国家标准;2)优质PVC封边条;3)塑胶件,PVC材质;4)优质铰链;</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53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拍照室桌子</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1" o:spt="75" type="#_x0000_t75" style="height:82.5pt;width:121.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xml:space="preserve">1400*700* 750 </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1)优质浸渍胶膜纸饰面板,基材采用环保刨花板,甲醛释放量优于国家标准;2)优质ABS封边胶条;3)优质滑轨,表面黑色喷涂;4)优质钢架,表面经静电粉末喷涂;5)优质翻板线盒;6）挡板同桌面材质</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581"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拍照室椅子</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2" o:spt="75" type="#_x0000_t75" style="height:92.25pt;width:99pt;" fillcolor="#FFFFFF" filled="f" o:preferrelative="t" stroked="f" coordsize="21600,21600">
                  <v:path/>
                  <v:fill on="f" color2="#FFFFFF" focussize="0,0"/>
                  <v:stroke on="f"/>
                  <v:imagedata r:id="rId3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751"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制卡室/24H自助服务区椅子</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3" o:spt="75" type="#_x0000_t75" style="height:92.25pt;width:99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5346" w:type="dxa"/>
            <w:gridSpan w:val="4"/>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1605"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1F矛盾调解室</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527"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会议桌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4" o:spt="75" type="#_x0000_t75" style="height:70.5pt;width:146.25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3200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5376" w:type="dxa"/>
            <w:gridSpan w:val="5"/>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1)表面选用防火板,环保刨花板,甲醛释放量优于国家标准;2)优质PVC封边条;3)塑胶件,PVC材质;4)优质铰链;</w:t>
            </w:r>
          </w:p>
        </w:tc>
        <w:tc>
          <w:tcPr>
            <w:tcW w:w="157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404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会议椅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5" o:spt="75" type="#_x0000_t75" style="height:84.75pt;width:69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570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815 mm (H)</w:t>
            </w:r>
          </w:p>
        </w:tc>
        <w:tc>
          <w:tcPr>
            <w:tcW w:w="5376" w:type="dxa"/>
            <w:gridSpan w:val="5"/>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1)尼龙+20%玻纤背框;2)钢制椅架,表面电镀;3）可拆卸麻绒坐垫</w:t>
            </w:r>
          </w:p>
        </w:tc>
        <w:tc>
          <w:tcPr>
            <w:tcW w:w="157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1F更衣室（男21个，女60个）</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8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3门衣柜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6" o:spt="75" type="#_x0000_t75" style="height:92.25pt;width:58.5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1790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515 mm (D)</w:t>
            </w:r>
          </w:p>
        </w:tc>
        <w:tc>
          <w:tcPr>
            <w:tcW w:w="5376" w:type="dxa"/>
            <w:gridSpan w:val="5"/>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1)柜体、层板采用0.7mm优质一级冷轧钢板;2)环氧聚酯型粉末涂料,环保无污染,具有优异的耐候、耐热、耐冲击性能;3)优质铰链;4)优质拉手。</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金属件外观性能要求（焊接件、冲压件、喷涂层、电镀层）均符合要求；产品涂层和覆面可溶性重金属（铅铬镉汞）未检出；金属喷漆（塑）涂层≥3H；搁板定位、搁板弯曲试验（1.5kg/d㎡，1h）、结构和底架强度试验（300N，10次）均符合要求。</w:t>
            </w:r>
            <w:r>
              <w:rPr>
                <w:rStyle w:val="863"/>
                <w:rFonts w:hint="default" w:ascii="仿宋" w:hAnsi="仿宋" w:eastAsia="仿宋" w:cs="仿宋"/>
                <w:color w:val="auto"/>
                <w:sz w:val="21"/>
                <w:szCs w:val="21"/>
                <w:highlight w:val="none"/>
              </w:rPr>
              <w:br w:type="textWrapping"/>
            </w:r>
            <w:r>
              <w:rPr>
                <w:rStyle w:val="979"/>
                <w:rFonts w:hint="default" w:ascii="仿宋" w:hAnsi="仿宋" w:eastAsia="仿宋" w:cs="仿宋"/>
                <w:color w:val="auto"/>
                <w:sz w:val="21"/>
                <w:szCs w:val="21"/>
                <w:highlight w:val="none"/>
              </w:rPr>
              <w:t>备注：</w:t>
            </w:r>
            <w:r>
              <w:rPr>
                <w:rStyle w:val="863"/>
                <w:rFonts w:hint="default" w:ascii="仿宋" w:hAnsi="仿宋" w:eastAsia="仿宋" w:cs="仿宋"/>
                <w:color w:val="auto"/>
                <w:sz w:val="21"/>
                <w:szCs w:val="21"/>
                <w:highlight w:val="none"/>
              </w:rPr>
              <w:t>★</w:t>
            </w:r>
            <w:r>
              <w:rPr>
                <w:rStyle w:val="979"/>
                <w:rFonts w:hint="default" w:ascii="仿宋" w:hAnsi="仿宋" w:eastAsia="仿宋" w:cs="仿宋"/>
                <w:color w:val="auto"/>
                <w:sz w:val="21"/>
                <w:szCs w:val="21"/>
                <w:highlight w:val="none"/>
              </w:rPr>
              <w:t>参数须提供钢制更衣柜检测报告。</w:t>
            </w:r>
          </w:p>
        </w:tc>
        <w:tc>
          <w:tcPr>
            <w:tcW w:w="1575"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亚光白色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1F咖啡吧</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圆形茶几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7" o:spt="75" type="#_x0000_t75" style="height:81pt;width:84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(H)</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1)天然胡桃木皮,采用"水性环保油漆封闭式涂装,搭配实色漆涂装;2)环保中纤板,甲醛释放量优于国家标准;</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胡桃木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亚光黑色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沙发椅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"C:\\Users\\ADMINI~1\\AppData\\Local\\Temp\\ksohtml\\clip_image110.png"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8" o:spt="75" type="#_x0000_t75" style="height:74.25pt;width:117pt;" fillcolor="#FFFFFF" filled="f" o:preferrelative="t" stroked="f" coordsize="21600,21600">
                  <v:path/>
                  <v:fill on="f" color2="#FFFFFF" focussize="0,0"/>
                  <v:stroke on="f"/>
                  <v:imagedata r:id="rId4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780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810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860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470 mm (D)</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1)优质麻绒面料,不含致癌芳香胺染料;2)一体成型高密度定型绵;3)钢制沙发脚,表面喷涂处理;</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吧椅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59" o:spt="75" type="#_x0000_t75" style="height:87.75pt;width:60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480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935 mm (H)</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1)PP+30%玻纤背框;2)钢制椅架,表面喷涂;</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8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2F大厅椅子（和硬装大理石桌配套）</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洽谈椅（高）</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0" o:spt="75" type="#_x0000_t75" style="height:87.75pt;width:60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480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935 mm (H)</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1)PP+30%玻纤背框;2)钢制椅架,表面喷涂;</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37</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导办洽谈椅（矮）</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1" o:spt="75" type="#_x0000_t75" style="height:88.5pt;width:63pt;" fillcolor="#FFFFFF" filled="f" o:preferrelative="t" stroked="f" coordsize="21600,21600">
                  <v:path/>
                  <v:fill on="f" color2="#FFFFFF" focussize="0,0"/>
                  <v:stroke on="f"/>
                  <v:imagedata r:id="rId4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5468"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导办/窗口区</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活动柜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2" o:spt="75" type="#_x0000_t75" style="height:81.75pt;width:75pt;" fillcolor="#FFFFFF" filled="f" o:preferrelative="t" stroked="f" coordsize="21600,21600">
                  <v:path/>
                  <v:fill on="f" color2="#FFFFFF" focussize="0,0"/>
                  <v:stroke on="f"/>
                  <v:imagedata r:id="rId4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470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641 mm (H)</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1)表面选用防火板,环保刨花板,甲醛释放量优于国家标准;2)优质PVC封边条;3)PA椅轮,转动轻快灵活;4)优质★三节轨：符合QB/T2454-2013标准、GB 24820-2009标准，其中过载、功能均合格，耐久性达到100000次合格，200h中性盐雾试验到达8级，100h乙酸盐雾试验达到8级。;5）★锁具：符合QB/T1621-2015标准，其中锁头、钥匙外观、电镀件外观、钥匙拔插、旋转、钥匙拔出静拉力、钥匙开启扭矩、锁头固定连接静拉力、锁头固定连接扭矩、叶片锁钥匙牙花数均合格，电镀件耐腐蚀100h达到10级，使用寿命达到30000次合格。</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参数须提供三节轨及锁具检测报告。</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2F等候区</w:t>
            </w:r>
          </w:p>
        </w:tc>
        <w:tc>
          <w:tcPr>
            <w:tcW w:w="70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双人位沙发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3" o:spt="75" type="#_x0000_t75" style="height:90pt;width:117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1300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650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720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(D)</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1)优质水性皮,质地柔软;2)实木生态多层板,甲醛释放量优于国家标准;3)天然实木(松木),经久耐用;4)高密度高回弹裁切海绵,具有良好的抗震性、柔软性,抗撕拉;5)沙发塑料脚,一体成型;</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单人位沙发椅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4" o:spt="75" type="#_x0000_t75" style="height:83.25pt;width:62.2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710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770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1015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480 mm (D)</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1)优质水性皮,质地柔软;2)实木生态多层板,甲醛释放量优于国家标准;3)高密度高回弹裁切海绵,具有良好的抗震性、柔软性,抗撕拉;4)一体成型高密度定型绵;5)沙发铝合金脚,表面抛光处理;功能说明: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1)自动回位气杆;</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单人位沙发（固定）</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5" o:spt="75" type="#_x0000_t75" style="height:87.75pt;width:86.25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660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790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(D)</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1)优质水性皮,质地柔软;2)实木生态多层板,甲醛释放量优于国家标准;3)高密度高回弹裁切海绵,具有良好的抗震性、柔软性,抗撕拉;4)天然实木(松木),经久耐用;</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631"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圆形高茶几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6" o:spt="75" type="#_x0000_t75" style="height:96pt;width:89.2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(H)</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1)天然胡桃木皮,采用"水性环保油漆封闭式涂装,搭配实色漆涂装;2)环保中纤板,甲醛释放量优于国家标准;</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胡桃木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亚光黑色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868"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圆形茶几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7" o:spt="75" type="#_x0000_t75" style="height:96pt;width:89.25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(H)</w:t>
            </w:r>
          </w:p>
        </w:tc>
        <w:tc>
          <w:tcPr>
            <w:tcW w:w="5391" w:type="dxa"/>
            <w:gridSpan w:val="6"/>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1)天然胡桃木皮,采用"水性环保油漆封闭式涂装,搭配实色漆涂装;2)环保中纤板,甲醛释放量优于国家标准;</w:t>
            </w:r>
          </w:p>
        </w:tc>
        <w:tc>
          <w:tcPr>
            <w:tcW w:w="156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胡桃木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亚光黑色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81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2F窗口区</w:t>
            </w:r>
          </w:p>
        </w:tc>
        <w:tc>
          <w:tcPr>
            <w:tcW w:w="70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621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传统窗口区员工椅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8" o:spt="75" type="#_x0000_t75" style="height:92.25pt;width:99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1)优质★网布面料,符合GB 18401-2010（C类）标准、GB/T 18885-2009标准，其中甲醛含量未检出，pH值合格，无异味，可萃取重金属含量、苯酚化合物、邻苯基苯酚、氯化苯和氯化甲苯、有机锡化合物、可分解致癌芳香胺染料、致癌染料、其他染料均未检出，耐酸汗渍色牢度、耐碱汗渍色牢度、耐水色牢度、耐干摩擦色牢度均合格，耐磨性能达到20000次;2)尼龙+30%玻纤背框,腰托可调节;3)一体成型高密度定型绵,美标防火,座感舒适;4)E1级成型胶合板,甲醛释放量优于国家标准;5)固定PP扶手,强度高、耐腐蚀;6)STG同步倾仰底盘,单档初始位置锁定，★椅座底盘符合QB/T 2280-2016标准、GB/T 3325-2017标准、GB 24820-2009标准，其中外观要求、金属喷漆涂层（附着力）均合格，中性盐雾试验200h达到9级,100h乙酸盐雾试验达到9级。</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;7)优质气杆,升降平稳,无漏声、噪声;8)尼龙五星脚;9)PA椅轮,转动轻快灵活;</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参数须提供网布及底盘检测报告。</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导办/窗口区</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活动柜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69" o:spt="75" type="#_x0000_t75" style="height:81.75pt;width:75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470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641 mm (H)</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1)表面选用防火板,环保刨花板,甲醛释放量优于国家标准;2)优质PVC封边条;3)PA椅轮,转动轻快灵活;4)优质★三节轨：符合QB/T2454-2013标准、GB 24820-2009标准，其中过载、功能均合格，耐久性达到100000次合格，200h中性盐雾试验到达8级，100h乙酸盐雾试验达到8级。;5）★锁具：符合QB/T1621-2015标准，其中锁头、钥匙外观、电镀件外观、钥匙拔插、旋转、钥匙拔出静拉力、钥匙开启扭矩、锁头固定连接静拉力、锁头固定连接扭矩、叶片锁钥匙牙花数均合格，电镀件耐腐蚀100h达到10级，使用寿命达到30000次合格。</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参数须提供三节轨及锁具检测报告。</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传统窗口区客户用圆脚踏</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0" o:spt="75" type="#_x0000_t75" style="height:90.75pt;width:88.5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(H)</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1)优质水性皮,质地柔软;2)实木生态多层板,甲醛释放量优于国家标准;3)高密度高回弹裁切海绵,具有良好的抗震性、柔软性,抗撕拉;4)沙发塑料脚,一体成型;</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50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47</w:t>
            </w:r>
          </w:p>
        </w:tc>
        <w:tc>
          <w:tcPr>
            <w:tcW w:w="1501"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仿宋" w:hAnsi="仿宋" w:eastAsia="仿宋"/>
                <w:color w:val="auto"/>
                <w:sz w:val="24"/>
                <w:highlight w:val="none"/>
              </w:rPr>
            </w:pPr>
            <w:r>
              <w:rPr>
                <w:rFonts w:hint="eastAsia" w:ascii="仿宋" w:hAnsi="仿宋" w:eastAsia="仿宋" w:cs="仿宋"/>
                <w:color w:val="auto"/>
                <w:kern w:val="0"/>
                <w:szCs w:val="21"/>
                <w:highlight w:val="none"/>
              </w:rPr>
              <w:t>不动产窗口区办公桌含沙发（肩并肩一对多)</w:t>
            </w: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提供样品</w:t>
            </w:r>
            <w:r>
              <w:rPr>
                <w:rFonts w:hint="eastAsia" w:ascii="仿宋" w:hAnsi="仿宋" w:eastAsia="仿宋"/>
                <w:color w:val="auto"/>
                <w:sz w:val="24"/>
                <w:highlight w:val="none"/>
              </w:rPr>
              <w:t>）</w:t>
            </w:r>
          </w:p>
          <w:p>
            <w:pPr>
              <w:widowControl/>
              <w:jc w:val="center"/>
              <w:textAlignment w:val="center"/>
              <w:rPr>
                <w:rFonts w:ascii="仿宋" w:hAnsi="仿宋" w:eastAsia="仿宋" w:cs="仿宋"/>
                <w:color w:val="auto"/>
                <w:szCs w:val="21"/>
                <w:highlight w:val="none"/>
              </w:rPr>
            </w:pP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"C:\\Users\\ADMINI~1\\AppData\\Local\\Temp\\ksohtml\\clip_image115.png"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1" o:spt="75" type="#_x0000_t75" style="height:123pt;width:134.25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Style w:val="710"/>
                <w:rFonts w:hint="eastAsia" w:ascii="仿宋" w:hAnsi="仿宋" w:eastAsia="仿宋" w:cs="仿宋"/>
                <w:color w:val="auto"/>
                <w:sz w:val="21"/>
                <w:szCs w:val="21"/>
                <w:highlight w:val="none"/>
              </w:rPr>
              <w:t>2250 mm (L)</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2500 mm (W)</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1380 mm (H)</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（长宽高均±30mm）</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1、基材：选用环保板材,各项性能指标均符合国家标准。经防潮、防虫、防腐处理，强度高、刚性好、不变形。</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2、油漆：采用环保油漆，经五底三面工艺。</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3、胶水：★采用环保胶粘剂，符合GB18583-2008标准，其中甲苯+二甲苯、游离甲醛、苯均未检出，总挥发性有机物≤35g/L。</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4、围挡：下部考虑防潮设计，加60mm高度★304不锈钢踢脚线，304不锈钢符合GB/T 3325-2017标准，冲压件应无脱层、裂缝，电镀层表面无剥落、返锈、毛刺，耐腐蚀24h乙酸盐雾试验≥9级；围挡上内嵌280mm高度亚克力薄屏。</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5、走线插座：隐藏走线设计。桌上配置一个集成插座，桌下配置五孔强电插座及弱电插座。每个工位至少需要6个强电插孔、1个USB插孔、2个网络插孔、1个电话插孔。</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 xml:space="preserve">6、侧柜需文件收纳功能。厂家自行设计深化。                                  </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参数须提供304不锈钢及胶粘剂检测报告。</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图片仅供参考，中标后需与使用方沟通深化。</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147"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48</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不动产窗口区办公椅（肩并肩一对多)</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2" o:spt="75" type="#_x0000_t75" style="height:88.5pt;width:63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612"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不动产窗口区客户椅（肩并肩一对多)</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3" o:spt="75" type="#_x0000_t75" style="height:90.75pt;width:88.5pt;" fillcolor="#FFFFFF" filled="f" o:preferrelative="t" stroked="f" coordsize="21600,21600">
                  <v:path/>
                  <v:fill on="f" color2="#FFFFFF" focussize="0,0"/>
                  <v:stroke on="f"/>
                  <v:imagedata r:id="rId5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(H)</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1)优质水性皮,质地柔软;2)实木生态多层板,甲醛释放量优于国家标准;3)高密度高回弹裁切海绵,具有良好的抗震性、柔软性,抗撕拉;4)沙发塑料脚,一体成型;</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588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公安、纳服窗口区办公桌（肩并肩一对一）</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"C:\\Users\\ADMINI~1\\AppData\\Local\\Temp\\ksohtml\\clip_image113.png"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4" o:spt="75" type="#_x0000_t75" style="height:107.25pt;width:138pt;" fillcolor="#FFFFFF" filled="f" o:preferrelative="t" stroked="f" coordsize="21600,21600">
                  <v:path/>
                  <v:fill on="f" color2="#FFFFFF" focussize="0,0"/>
                  <v:stroke on="f"/>
                  <v:imagedata r:id="rId5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Style w:val="710"/>
                <w:rFonts w:hint="eastAsia" w:ascii="仿宋" w:hAnsi="仿宋" w:eastAsia="仿宋" w:cs="仿宋"/>
                <w:color w:val="auto"/>
                <w:sz w:val="21"/>
                <w:szCs w:val="21"/>
                <w:highlight w:val="none"/>
              </w:rPr>
              <w:t>2050 mm (L)</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1800 mm (W)</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1380 mm (H)</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（长宽高均±30mm）</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1、基材：选用环保板材,各项性能指标均符合国家标准。经防潮、防虫、防腐处理，强度高、刚性好、不变形。</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2、油漆：采用环保油漆，经五底三面工艺。</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3、胶水：★采用环保胶粘剂，符合GB18583-2008标准，其中甲苯+二甲苯、游离甲醛、苯均未检出，总挥发性有机物≤35g/L。</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4、围挡：下部考虑防潮设计，加60mm高度★304不锈钢踢脚线，304不锈钢符合GB/T 3325-2017标准，冲压件应无脱层、裂缝，电镀层表面无剥落、返锈、毛刺，耐腐蚀24h乙酸盐雾试验≥9级；围挡上内嵌280mm高度亚克力薄屏。</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 xml:space="preserve">5、走线插座：隐藏走线设计。桌上配置一个集成插座，桌下配置五孔强电插座及弱电插座。每个工位至少需要6个强电插孔、1个USB插孔、2个网络插孔、1个电话插孔。                                  </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参数须提供304不锈钢及胶粘剂检测报告。</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图片仅供参考，中标后需与使用方沟通深化。</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51</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公安、纳服窗口区办公椅（肩并肩一对一)</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5" o:spt="75" type="#_x0000_t75" style="height:88.5pt;width:63pt;" fillcolor="#FFFFFF" filled="f" o:preferrelative="t" stroked="f" coordsize="21600,21600">
                  <v:path/>
                  <v:fill on="f" color2="#FFFFFF" focussize="0,0"/>
                  <v:stroke on="f"/>
                  <v:imagedata r:id="rId5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公安、纳服窗口区客户椅（肩并肩一对一)</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6" o:spt="75" type="#_x0000_t75" style="height:90.75pt;width:88.5pt;" fillcolor="#FFFFFF" filled="f" o:preferrelative="t" stroked="f" coordsize="21600,21600">
                  <v:path/>
                  <v:fill on="f" color2="#FFFFFF" focussize="0,0"/>
                  <v:stroke on="f"/>
                  <v:imagedata r:id="rId5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(H)</w:t>
            </w:r>
          </w:p>
        </w:tc>
        <w:tc>
          <w:tcPr>
            <w:tcW w:w="5421"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1)优质水性皮,质地柔软;2)实木生态多层板,甲醛释放量优于国家标准;3)高密度高回弹裁切海绵,具有良好的抗震性、柔软性,抗撕拉;4)沙发塑料脚,一体成型;</w:t>
            </w:r>
          </w:p>
        </w:tc>
        <w:tc>
          <w:tcPr>
            <w:tcW w:w="15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8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2F后台审批区</w:t>
            </w:r>
          </w:p>
        </w:tc>
        <w:tc>
          <w:tcPr>
            <w:tcW w:w="70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问询室办公桌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"C:\\Users\\ADMINI~1\\AppData\\Local\\Temp\\ksohtml\\clip_image112.png"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7" o:spt="75" type="#_x0000_t75" style="height:87.75pt;width:140.25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1)优质浸渍胶膜纸饰面板,基材采用环保刨花板,甲醛释放量优于国家标准;2)优质ABS封边胶条;3)优质PVC封边条;4)优质滑轨,表面黑色喷涂;5)阻尼铰链;6)优质钢架,表面经静电粉末喷涂;7)优质翻板线盒;</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问询室办公椅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8" o:spt="75" type="#_x0000_t75" style="height:92.25pt;width:99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55</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问询室客户椅</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79" o:spt="75" type="#_x0000_t75" style="height:88.5pt;width:63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414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直条型工作位（含固定侧柜+桌上挡板）</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0" o:spt="75" type="#_x0000_t75" style="height:87.75pt;width:128.25pt;" fillcolor="#FFFFFF" filled="f" o:preferrelative="t" stroked="f" coordsize="21600,21600">
                  <v:path/>
                  <v:fill on="f" color2="#FFFFFF" focussize="0,0"/>
                  <v:stroke on="f"/>
                  <v:imagedata r:id="rId6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桌子：1400*700* 750 mm ，挡板：1380*350*8</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1)优质浸渍胶膜纸饰面板,基材采用环保刨花板,★刨花板符合GB/T 4897-2015标准、GB 18580-2017标准、HJ 571-2010标准、GB18584-2001标准,其中板规格尺寸及其偏差、外观质量、理化性能、静曲强度、弹性模量、内胶合强度、表面胶合强度、2H吸水厚度膨胀率、握螺钉力均合格，甲醛释放量符合GB/T 39600-2021标准和GB/T 39598-2021标准Enf级;2)优质ABS封边胶条;3)优质滑轨,表面黑色喷涂;4)优质钢架,表面经静电粉末喷涂;5)优质翻板线盒;;6）挡板同桌面材质。</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参数须提供刨花板检测报告。</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职员椅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1" o:spt="75" type="#_x0000_t75" style="height:92.25pt;width:99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71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文件柜（矮柜）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2" o:spt="75" type="#_x0000_t75" style="height:82.5pt;width:119.25pt;" fillcolor="#FFFFFF" filled="f" o:preferrelative="t" stroked="f" coordsize="21600,21600">
                  <v:path/>
                  <v:fill on="f" color2="#FFFFFF" focussize="0,0"/>
                  <v:stroke on="f"/>
                  <v:imagedata r:id="rId6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1412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1)表面选用防火板,环保刨花板,甲醛释放量优于国家标准;2)优质PVC封边条;3)塑胶件,PVC材质;4)优质铰链;</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工艺说明: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1)Z型封边工艺;</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58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文件柜（矮柜）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3" o:spt="75" type="#_x0000_t75" style="height:80.25pt;width:62.25pt;" fillcolor="#FFFFFF" filled="f" o:preferrelative="t" stroked="f" coordsize="21600,21600">
                  <v:path/>
                  <v:fill on="f" color2="#FFFFFF" focussize="0,0"/>
                  <v:stroke on="f"/>
                  <v:imagedata r:id="rId6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700mm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1)表面选用防火板,环保刨花板,甲醛释放量优于国家标准;2)优质PVC封边条;3)塑胶件,PVC材质;4)优质铰链;</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四门文件柜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4" o:spt="75" type="#_x0000_t75" style="height:87.75pt;width:79.5pt;" fillcolor="#FFFFFF" filled="f" o:preferrelative="t" stroked="f" coordsize="21600,21600">
                  <v:path/>
                  <v:fill on="f" color2="#FFFFFF" focussize="0,0"/>
                  <v:stroke on="f"/>
                  <v:imagedata r:id="rId6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1578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1966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工艺说明: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1)Z型封边工艺;</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49"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六门文件柜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5" o:spt="75" type="#_x0000_t75" style="height:95.25pt;width:102.75pt;" fillcolor="#FFFFFF" filled="f" o:preferrelative="t" stroked="f" coordsize="21600,21600">
                  <v:path/>
                  <v:fill on="f" color2="#FFFFFF" focussize="0,0"/>
                  <v:stroke on="f"/>
                  <v:imagedata r:id="rId6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2356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1966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工艺说明: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1)Z型封边工艺;</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8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拍照室桌子</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6" o:spt="75" type="#_x0000_t75" style="height:82.5pt;width:121.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 xml:space="preserve">1400*700* 750 </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1)优质浸渍胶膜纸饰面板,基材采用环保刨花板,甲醛释放量优于国家标准;2)优质ABS封边胶条;3)优质滑轨,表面黑色喷涂;4)优质钢架,表面经静电粉末喷涂;5)优质翻板线盒;6）挡板同桌面材质</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31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拍照室椅子</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7" o:spt="75" type="#_x0000_t75" style="height:92.25pt;width:99pt;" fillcolor="#FFFFFF" filled="f" o:preferrelative="t" stroked="f" coordsize="21600,21600">
                  <v:path/>
                  <v:fill on="f" color2="#FFFFFF" focussize="0,0"/>
                  <v:stroke on="f"/>
                  <v:imagedata r:id="rId6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39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出证区/商务文印椅子</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8" o:spt="75" type="#_x0000_t75" style="height:92.25pt;width:99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8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2F查封解冻室</w:t>
            </w:r>
          </w:p>
        </w:tc>
        <w:tc>
          <w:tcPr>
            <w:tcW w:w="70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会议桌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89" o:spt="75" type="#_x0000_t75" style="height:70.5pt;width:146.25pt;" fillcolor="#FFFFFF" filled="f" o:preferrelative="t" stroked="f" coordsize="21600,21600">
                  <v:path/>
                  <v:fill on="f" color2="#FFFFFF" focussize="0,0"/>
                  <v:stroke on="f"/>
                  <v:imagedata r:id="rId6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2800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1)优质浸渍胶膜纸饰面板,基材采用"E0"环保刨花板,甲醛释放量优于国家标准;2)优质ABS封边胶条;3)优质PVC封边条;4)优质钢架,表面经静电粉末喷涂;5)优质翻板线盒;</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工艺说明: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1)采用先进激光封边技术;</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52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会议椅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0" o:spt="75" type="#_x0000_t75" style="height:84.75pt;width:69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570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815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1)尼龙+20%玻纤背框;2)钢制椅架,表面电镀; 3）可拆卸麻绒坐垫</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2F新增备用室</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80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备用室主管桌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1" o:spt="75" type="#_x0000_t75" style="height:75.75pt;width:151.5pt;" fillcolor="#FFFFFF" filled="f" o:preferrelative="t" stroked="f" coordsize="21600,21600">
                  <v:path/>
                  <v:fill on="f" color2="#FFFFFF" focussize="0,0"/>
                  <v:stroke on="f"/>
                  <v:imagedata r:id="rId6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2260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1900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1)优质浸渍胶膜纸饰面板,基材采用环保刨花板,甲醛释放量优于国家标准;2)优质ABS封边胶条;3)优质PVC封边条;4)优质滑轨,表面黑色喷涂;5)阻尼铰链;6)优质钢架,表面经静电粉末喷涂;7)优质翻板线盒;</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88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备用室主管椅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2" o:spt="75" type="#_x0000_t75" style="height:82.5pt;width:57pt;" fillcolor="#FFFFFF" filled="f" o:preferrelative="t" stroked="f" coordsize="21600,21600">
                  <v:path/>
                  <v:fill on="f" color2="#FFFFFF" focussize="0,0"/>
                  <v:stroke on="f"/>
                  <v:imagedata r:id="rId6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630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595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1240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头枕、腰托可调节;3)一体成型高密度定型绵,美标防火,座感舒适;4)E1级成型胶合板,甲醛释放量优于国家标准;5)PU面2D扶手,可进行升降、扶手面旋转调节;6)STG同步倾仰底盘,四档锁定功能,自负重无需调节倾仰力度;7)优质气杆,升降平稳,无漏声、噪声;8)抛光铝合金五星脚;9)PU静音椅轮,转动轻快灵活;</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69</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备用室会客椅</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3" o:spt="75" type="#_x0000_t75" style="height:88.5pt;width:63pt;" fillcolor="#FFFFFF" filled="f" o:preferrelative="t" stroked="f" coordsize="21600,21600">
                  <v:path/>
                  <v:fill on="f" color2="#FFFFFF" focussize="0,0"/>
                  <v:stroke on="f"/>
                  <v:imagedata r:id="rId7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4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备用室         三人位沙发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4" o:spt="75" type="#_x0000_t75" style="height:69.75pt;width:86.25pt;" fillcolor="#FFFFFF" filled="f" o:preferrelative="t" stroked="f" coordsize="21600,21600">
                  <v:path/>
                  <v:fill on="f" color2="#FFFFFF" focussize="0,0"/>
                  <v:stroke on="f"/>
                  <v:imagedata r:id="rId7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1840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730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800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450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1)优质麻绒面料,不含致癌芳香胺染料;2)实木生态多层板,甲醛释放量优于国家标准;3)天然实木(松木),经久耐用;4)高密度高回弹裁切海绵,具有良好的抗震性、柔软性,抗撕拉;5)沙发铝合金脚,表面喷涂处理;</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73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备用室</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单人位沙发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5" o:spt="75" type="#_x0000_t75" style="height:76.5pt;width:78.75pt;" fillcolor="#FFFFFF" filled="f" o:preferrelative="t" stroked="f" coordsize="21600,21600">
                  <v:path/>
                  <v:fill on="f" color2="#FFFFFF" focussize="0,0"/>
                  <v:stroke on="f"/>
                  <v:imagedata r:id="rId7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760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730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800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450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1)优质麻绒面料,不含致癌芳香胺染料;2)实木生态多层板,甲醛释放量优于国家标准;3)天然实木(松木),经久耐用;4)高密度高回弹裁切海绵,具有良好的抗震性、柔软性,抗撕拉;5)沙发铝合金脚,表面喷涂处理;</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806"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备用室</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6" o:spt="75" type="#_x0000_t75" style="height:63.75pt;width:69.75pt;" fillcolor="#FFFFFF" filled="f" o:preferrelative="t" stroked="f" coordsize="21600,21600">
                  <v:path/>
                  <v:fill on="f" color2="#FFFFFF" focussize="0,0"/>
                  <v:stroke on="f"/>
                  <v:imagedata r:id="rId7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350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1)优质浸渍胶膜纸饰面板,基材采用环保刨花板,甲醛释放量优于国家标准;2)优质ABS封边胶条;3)优质钢架,表面经静电粉末喷涂;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233"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备用室</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7" o:spt="75" type="#_x0000_t75" style="height:77.25pt;width:100.5pt;" fillcolor="#FFFFFF" filled="f" o:preferrelative="t" stroked="f" coordsize="21600,21600">
                  <v:path/>
                  <v:fill on="f" color2="#FFFFFF" focussize="0,0"/>
                  <v:stroke on="f"/>
                  <v:imagedata r:id="rId7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1200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1)优质浸渍胶膜纸饰面板,基材采用环保刨花板,甲醛释放量优于国家标准;2)优质ABS封边胶条;3)优质钢架,表面经静电粉末喷涂;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3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2F母婴室</w:t>
            </w:r>
          </w:p>
        </w:tc>
        <w:tc>
          <w:tcPr>
            <w:tcW w:w="70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36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母婴室沙发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8" o:spt="75" type="#_x0000_t75" style="height:87.75pt;width:91.5pt;" fillcolor="#FFFFFF" filled="f" o:preferrelative="t" stroked="f" coordsize="21600,21600">
                  <v:path/>
                  <v:fill on="f" color2="#FFFFFF" focussize="0,0"/>
                  <v:stroke on="f"/>
                  <v:imagedata r:id="rId7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740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760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440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75"/>
                <w:rFonts w:hint="default"/>
                <w:color w:val="auto"/>
                <w:sz w:val="21"/>
                <w:szCs w:val="21"/>
                <w:highlight w:val="none"/>
              </w:rPr>
              <w:br w:type="textWrapping"/>
            </w:r>
            <w:r>
              <w:rPr>
                <w:rStyle w:val="863"/>
                <w:rFonts w:hint="default" w:ascii="仿宋" w:hAnsi="仿宋" w:eastAsia="仿宋" w:cs="仿宋"/>
                <w:color w:val="auto"/>
                <w:sz w:val="21"/>
                <w:szCs w:val="21"/>
                <w:highlight w:val="none"/>
              </w:rPr>
              <w:t>1)★抗菌EPU面料,大肠杆菌、金黄色葡萄球菌、肺炎克雷伯氏菌抗菌率＞99%;2)实木生态多层板,甲醛释放量优于国家标准;3)天然实木(松木),经久耐用;4)高密度高回弹裁切海绵,具有良好的抗震性、柔软性,抗撕拉;5)沙发铝合金脚,表面喷涂处理;</w:t>
            </w:r>
            <w:r>
              <w:rPr>
                <w:rStyle w:val="875"/>
                <w:rFonts w:hint="default"/>
                <w:color w:val="auto"/>
                <w:sz w:val="21"/>
                <w:szCs w:val="21"/>
                <w:highlight w:val="none"/>
              </w:rPr>
              <w:br w:type="textWrapping"/>
            </w:r>
            <w:r>
              <w:rPr>
                <w:rStyle w:val="979"/>
                <w:rFonts w:hint="default" w:ascii="仿宋" w:hAnsi="仿宋" w:eastAsia="仿宋" w:cs="仿宋"/>
                <w:color w:val="auto"/>
                <w:sz w:val="21"/>
                <w:szCs w:val="21"/>
                <w:highlight w:val="none"/>
              </w:rPr>
              <w:t>备注：</w:t>
            </w:r>
            <w:r>
              <w:rPr>
                <w:rStyle w:val="863"/>
                <w:rFonts w:hint="default" w:ascii="仿宋" w:hAnsi="仿宋" w:eastAsia="仿宋" w:cs="仿宋"/>
                <w:color w:val="auto"/>
                <w:sz w:val="21"/>
                <w:szCs w:val="21"/>
                <w:highlight w:val="none"/>
              </w:rPr>
              <w:t>★</w:t>
            </w:r>
            <w:r>
              <w:rPr>
                <w:rStyle w:val="979"/>
                <w:rFonts w:hint="default" w:ascii="仿宋" w:hAnsi="仿宋" w:eastAsia="仿宋" w:cs="仿宋"/>
                <w:color w:val="auto"/>
                <w:sz w:val="21"/>
                <w:szCs w:val="21"/>
                <w:highlight w:val="none"/>
              </w:rPr>
              <w:t>参数须提供抗菌EPU检测报告。</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56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母婴室茶几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"C:\\Users\\ADMINI~1\\AppData\\Local\\Temp\\ksohtml\\clip_image111.png"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099" o:spt="75" type="#_x0000_t75" style="height:87pt;width:91.5pt;" fillcolor="#FFFFFF" filled="f" o:preferrelative="t" stroked="f" coordsize="21600,21600">
                  <v:path/>
                  <v:fill on="f" color2="#FFFFFF" focussize="0,0"/>
                  <v:stroke on="f"/>
                  <v:imagedata r:id="rId7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350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1)表面选用防火板，环保刨花板,甲醛释放量优于国家标准;2)优质PVC封边条;3)优质钢脚,表面经静电粉末喷涂;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鲸鱼沙发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0" o:spt="75" type="#_x0000_t75" style="height:81.75pt;width:102pt;" fillcolor="#FFFFFF" filled="f" o:preferrelative="t" stroked="f" coordsize="21600,21600">
                  <v:path/>
                  <v:fill on="f" color2="#FFFFFF" focussize="0,0"/>
                  <v:stroke on="f"/>
                  <v:imagedata r:id="rId7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850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780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1)优质麻绒面料,不含致癌芳香胺染料;2)一体成型高密度定型绵;3)实木生态多层板,甲醛释放量优于国家标准;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功能说明: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1)带储物功能;</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小鲸鱼沙发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1" o:spt="75" type="#_x0000_t75" style="height:92.25pt;width:95.25pt;" fillcolor="#FFFFFF" filled="f" o:preferrelative="t" stroked="f" coordsize="21600,21600">
                  <v:path/>
                  <v:fill on="f" color2="#FFFFFF" focussize="0,0"/>
                  <v:stroke on="f"/>
                  <v:imagedata r:id="rId7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550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1)优质麻绒面料,不含致癌芳香胺染料;2)一体成型高密度定型绵;3)实木生态多层板,甲醛释放量优于国家标准;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功能说明: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1)带储物功能;</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84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2F更衣室（女46个）</w:t>
            </w:r>
          </w:p>
        </w:tc>
        <w:tc>
          <w:tcPr>
            <w:tcW w:w="70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3门衣柜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2" o:spt="75" type="#_x0000_t75" style="height:92.25pt;width:58.5pt;" fillcolor="#FFFFFF" filled="f" o:preferrelative="t" stroked="f" coordsize="21600,21600">
                  <v:path/>
                  <v:fill on="f" color2="#FFFFFF" focussize="0,0"/>
                  <v:stroke on="f"/>
                  <v:imagedata r:id="rId7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1790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515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710"/>
                <w:rFonts w:hint="eastAsia" w:ascii="仿宋" w:hAnsi="仿宋" w:eastAsia="仿宋" w:cs="仿宋"/>
                <w:color w:val="auto"/>
                <w:sz w:val="21"/>
                <w:szCs w:val="21"/>
                <w:highlight w:val="none"/>
              </w:rPr>
              <w:t>1)柜体、层板采用0.7mm优质一级冷轧钢板;2)环氧聚酯型粉末涂料,环保无污染,具有优异的耐候、耐热、耐冲击性能;3)优质铰链</w:t>
            </w:r>
            <w:r>
              <w:rPr>
                <w:rStyle w:val="863"/>
                <w:rFonts w:hint="default" w:ascii="仿宋" w:hAnsi="仿宋" w:eastAsia="仿宋" w:cs="仿宋"/>
                <w:color w:val="auto"/>
                <w:sz w:val="21"/>
                <w:szCs w:val="21"/>
                <w:highlight w:val="none"/>
              </w:rPr>
              <w:t>;4)优质拉手;</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亚光白色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3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2F备用室</w:t>
            </w:r>
          </w:p>
        </w:tc>
        <w:tc>
          <w:tcPr>
            <w:tcW w:w="70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384"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钢柜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3" o:spt="75" type="#_x0000_t75" style="height:84pt;width:72pt;" fillcolor="#FFFFFF" filled="f" o:preferrelative="t" stroked="f" coordsize="21600,21600">
                  <v:path/>
                  <v:fill on="f" color2="#FFFFFF" focussize="0,0"/>
                  <v:stroke on="f"/>
                  <v:imagedata r:id="rId8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2030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450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1)柜体、层板采用0.7mm优质一级冷轧钢板;2)环氧聚酯型粉末涂料,环保无污染,具有优异的耐候、耐热、耐冲击性能;3)优质ABS暗弹式拉手;4)优质铰链;</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亚光白色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3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3F大厅椅子（和硬装大理石桌配套）</w:t>
            </w:r>
          </w:p>
        </w:tc>
        <w:tc>
          <w:tcPr>
            <w:tcW w:w="705"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洽谈椅（高）</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4" o:spt="75" type="#_x0000_t75" style="height:87.75pt;width:60pt;" fillcolor="#FFFFFF" filled="f" o:preferrelative="t" stroked="f" coordsize="21600,21600">
                  <v:path/>
                  <v:fill on="f" color2="#FFFFFF" focussize="0,0"/>
                  <v:stroke on="f"/>
                  <v:imagedata r:id="rId8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480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935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1)PP+30%玻纤背框;2)钢制椅架,表面喷涂;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81</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导办洽谈椅（矮）</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5" o:spt="75" type="#_x0000_t75" style="height:88.5pt;width:63pt;" fillcolor="#FFFFFF" filled="f" o:preferrelative="t" stroked="f" coordsize="21600,21600">
                  <v:path/>
                  <v:fill on="f" color2="#FFFFFF" focussize="0,0"/>
                  <v:stroke on="f"/>
                  <v:imagedata r:id="rId8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8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导办/窗口区</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活动柜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"C:\\Users\\ADMINI~1\\AppData\\Local\\Temp\\ksohtml\\clip_image58.png"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6" o:spt="75" type="#_x0000_t75" style="height:81.75pt;width:75pt;" fillcolor="#FFFFFF" filled="f" o:preferrelative="t" stroked="f" coordsize="21600,21600">
                  <v:path/>
                  <v:fill on="f" color2="#FFFFFF" focussize="0,0"/>
                  <v:stroke on="f"/>
                  <v:imagedata r:id="rId8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470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641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1)表面选用防火板,环保刨花板,甲醛释放量优于国家标准;2)优质PVC封边条;3)PA椅轮,转动轻快灵活;4)优质★三节轨：符合QB/T2454-2013标准、GB 24820-2009标准，其中过载、功能均合格，耐久性达到100000次合格，200h中性盐雾试验到达8级，100h乙酸盐雾试验达到8级。;5）★锁具：符合QB/T1621-2015标准，其中锁头、钥匙外观、电镀件外观、钥匙拔插、旋转、钥匙拔出静拉力、钥匙开启扭矩、锁头固定连接静拉力、锁头固定连接扭矩、叶片锁钥匙牙花数均合格，电镀件耐腐蚀100h达到10级，使用寿命达到30000次合格。</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参数须提供三节轨及锁具检测报告。</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87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3F等候区</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双人位沙发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7" o:spt="75" type="#_x0000_t75" style="height:90pt;width:117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1300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650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720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1)优质水性皮,质地柔软;2)实木生态多层板,甲醛释放量优于国家标准;3)天然实木(松木),经久耐用;4)高密度高回弹裁切海绵,具有良好的抗震性、柔软性,抗撕拉;5)沙发塑料脚,一体成型;</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单人位沙发椅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8" o:spt="75" type="#_x0000_t75" style="height:83.25pt;width:62.25pt;" fillcolor="#FFFFFF" filled="f" o:preferrelative="t" stroked="f" coordsize="21600,21600">
                  <v:path/>
                  <v:fill on="f" color2="#FFFFFF" focussize="0,0"/>
                  <v:stroke on="f"/>
                  <v:imagedata r:id="rId8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710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770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1015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480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1)优质水性皮,质地柔软;2)实木生态多层板,甲醛释放量优于国家标准;3)高密度高回弹裁切海绵,具有良好的抗震性、柔软性,抗撕拉;4)一体成型高密度定型绵;5)沙发铝合金脚,表面抛光处理;功能说明: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1)自动回位气杆;</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单人位沙发（固定）</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09" o:spt="75" type="#_x0000_t75" style="height:87.75pt;width:86.25pt;" fillcolor="#FFFFFF" filled="f" o:preferrelative="t" stroked="f" coordsize="21600,21600">
                  <v:path/>
                  <v:fill on="f" color2="#FFFFFF" focussize="0,0"/>
                  <v:stroke on="f"/>
                  <v:imagedata r:id="rId8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660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790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1)优质水性皮,质地柔软;2)实木生态多层板,甲醛释放量优于国家标准;3)高密度高回弹裁切海绵,具有良好的抗震性、柔软性,抗撕拉;4)天然实木(松木),经久耐用;</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039"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圆形茶几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0" o:spt="75" type="#_x0000_t75" style="height:96pt;width:89.2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1)天然胡桃木皮,采用"水性环保油漆封闭式涂装,搭配实色漆涂装;2)环保中纤板,甲醛释放量优于国家标准;</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胡桃木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亚光黑色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626"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亲企双人位高背沙发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1" o:spt="75" type="#_x0000_t75" style="height:84.75pt;width:90pt;" fillcolor="#FFFFFF" filled="f" o:preferrelative="t" stroked="f" coordsize="21600,21600">
                  <v:path/>
                  <v:fill on="f" color2="#FFFFFF" focussize="0,0"/>
                  <v:stroke on="f"/>
                  <v:imagedata r:id="rId8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1660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810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1540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480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麻绒面料,不含致癌芳香胺染料;2)实木生态多层板,甲醛释放量优于国家标准;3)高密度高回弹裁切海绵,具有良好的抗震性、柔软性,抗撕拉;4)一体成型高密度定型绵;5)天然实木(松木),经久耐用;6)天然木制件,表面水性油漆涂饰;</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569"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亲企高沙发配套茶几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2" o:spt="75" type="#_x0000_t75" style="height:78.75pt;width:107.25pt;" fillcolor="#FFFFFF" filled="f" o:preferrelative="t" stroked="f" coordsize="21600,21600">
                  <v:path/>
                  <v:fill on="f" color2="#FFFFFF" focussize="0,0"/>
                  <v:stroke on="f"/>
                  <v:imagedata r:id="rId8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325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1)主推木皮可选配天然木皮,采用水性环保油漆封闭式涂装,搭配实色漆涂装;2)环保中纤板,甲醛释放量优于国家标准;3)钢制下脚,表面油漆喷涂;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W-23B</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白橡木</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91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3F窗口区</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646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商事服务窗口区办公桌（肩并肩一对一)</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"C:\\Users\\ADMINI~1\\AppData\\Local\\Temp\\ksohtml\\clip_image114.png"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3" o:spt="75" type="#_x0000_t75" style="height:107.25pt;width:138pt;" fillcolor="#FFFFFF" filled="f" o:preferrelative="t" stroked="f" coordsize="21600,21600">
                  <v:path/>
                  <v:fill on="f" color2="#FFFFFF" focussize="0,0"/>
                  <v:stroke on="f"/>
                  <v:imagedata r:id="rId8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Style w:val="710"/>
                <w:rFonts w:hint="eastAsia" w:ascii="仿宋" w:hAnsi="仿宋" w:eastAsia="仿宋" w:cs="仿宋"/>
                <w:color w:val="auto"/>
                <w:sz w:val="21"/>
                <w:szCs w:val="21"/>
                <w:highlight w:val="none"/>
              </w:rPr>
              <w:t>2050 mm (L)</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1800 mm (W)</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1380 mm (H)</w:t>
            </w:r>
            <w:r>
              <w:rPr>
                <w:rStyle w:val="710"/>
                <w:rFonts w:hint="eastAsia" w:ascii="仿宋" w:hAnsi="仿宋" w:eastAsia="仿宋" w:cs="仿宋"/>
                <w:color w:val="auto"/>
                <w:sz w:val="21"/>
                <w:szCs w:val="21"/>
                <w:highlight w:val="none"/>
              </w:rPr>
              <w:br w:type="textWrapping"/>
            </w:r>
            <w:r>
              <w:rPr>
                <w:rStyle w:val="710"/>
                <w:rFonts w:hint="eastAsia" w:ascii="仿宋" w:hAnsi="仿宋" w:eastAsia="仿宋" w:cs="仿宋"/>
                <w:color w:val="auto"/>
                <w:sz w:val="21"/>
                <w:szCs w:val="21"/>
                <w:highlight w:val="none"/>
              </w:rPr>
              <w:t>（长宽高均±30mm）</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1、基材：选用环保板材,各项性能指标均符合国家标准。经防潮、防虫、防腐处理，强度高、刚性好、不变形。</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2、油漆：采用环保油漆，经五底三面工艺。</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3、胶水：★采用环保胶粘剂，符合GB18583-2008标准，其中甲苯+二甲苯、游离甲醛、苯均未检出，总挥发性有机物≤35g/L。</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4、围挡：下部考虑防潮设计，加60mm高度★304不锈钢踢脚线，304不锈钢符合GB/T 3325-2017标准，冲压件应无脱层、裂缝，电镀层表面无剥落、返锈、毛刺，耐腐蚀24h乙酸盐雾试验≥9级；围挡上内嵌280mm高度亚克力薄屏。</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 xml:space="preserve">5、走线插座：隐藏走线设计。桌上配置一个集成插座，桌下配置五孔强电插座及弱电插座。每个工位至少需要6个强电插孔、1个USB插孔、2个网络插孔、1个电话插孔。                                  </w:t>
            </w:r>
            <w:r>
              <w:rPr>
                <w:rStyle w:val="863"/>
                <w:rFonts w:hint="default" w:ascii="仿宋" w:hAnsi="仿宋" w:eastAsia="仿宋" w:cs="仿宋"/>
                <w:color w:val="auto"/>
                <w:sz w:val="21"/>
                <w:szCs w:val="21"/>
                <w:highlight w:val="none"/>
              </w:rPr>
              <w:br w:type="textWrapping"/>
            </w:r>
            <w:r>
              <w:rPr>
                <w:rStyle w:val="875"/>
                <w:rFonts w:hint="default"/>
                <w:color w:val="auto"/>
                <w:sz w:val="21"/>
                <w:szCs w:val="21"/>
                <w:highlight w:val="none"/>
              </w:rPr>
              <w:t>备注：</w:t>
            </w:r>
            <w:r>
              <w:rPr>
                <w:rStyle w:val="863"/>
                <w:rFonts w:hint="default" w:ascii="仿宋" w:hAnsi="仿宋" w:eastAsia="仿宋" w:cs="仿宋"/>
                <w:color w:val="auto"/>
                <w:sz w:val="21"/>
                <w:szCs w:val="21"/>
                <w:highlight w:val="none"/>
              </w:rPr>
              <w:t>★</w:t>
            </w:r>
            <w:r>
              <w:rPr>
                <w:rStyle w:val="875"/>
                <w:rFonts w:hint="default"/>
                <w:color w:val="auto"/>
                <w:sz w:val="21"/>
                <w:szCs w:val="21"/>
                <w:highlight w:val="none"/>
              </w:rPr>
              <w:t>参数须提供304不锈钢及胶粘剂检测报告。</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图片仅供参考，中标后需与使用方沟通深化。</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90</w:t>
            </w:r>
          </w:p>
        </w:tc>
        <w:tc>
          <w:tcPr>
            <w:tcW w:w="15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商事服务窗口区办公椅（肩并肩一对一)</w:t>
            </w:r>
          </w:p>
        </w:tc>
        <w:tc>
          <w:tcPr>
            <w:tcW w:w="3062" w:type="dxa"/>
            <w:tcBorders>
              <w:top w:val="single" w:color="000000" w:sz="4" w:space="0"/>
              <w:left w:val="single" w:color="000000" w:sz="4" w:space="0"/>
              <w:bottom w:val="single" w:color="000000" w:sz="4" w:space="0"/>
              <w:right w:val="single" w:color="000000" w:sz="4" w:space="0"/>
            </w:tcBorders>
            <w:shd w:val="clear" w:color="auto" w:fill="C0C0C0"/>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4" o:spt="75" type="#_x0000_t75" style="height:88.5pt;width:63pt;" fillcolor="#FFFFFF" filled="f" o:preferrelative="t" stroked="f" coordsize="21600,21600">
                  <v:path/>
                  <v:fill on="f" color2="#FFFFFF" focussize="0,0"/>
                  <v:stroke on="f"/>
                  <v:imagedata r:id="rId8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1020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1)优质网布面料,不含致癌芳香胺染料;2)尼龙+30%玻纤背框;3)一体成型高密度定型绵,美标防火,座感舒适;4)E1级成型胶合板,甲醛释放量优于国家标准;5)固定PP扶手,强度高、耐腐蚀;6)钢制椅架,表面喷涂;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商事服务窗口区客户椅（肩并肩一对一</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5" o:spt="75" type="#_x0000_t75" style="height:90.75pt;width:88.5pt;" fillcolor="#FFFFFF" filled="f" o:preferrelative="t" stroked="f" coordsize="21600,21600">
                  <v:path/>
                  <v:fill on="f" color2="#FFFFFF" focussize="0,0"/>
                  <v:stroke on="f"/>
                  <v:imagedata r:id="rId9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1)优质水性皮,质地柔软;2)实木生态多层板,甲醛释放量优于国家标准;3)高密度高回弹裁切海绵,具有良好的抗震性、柔软性,抗撕拉;4)沙发塑料脚,一体成型;</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61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3F后台审批区</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15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直条型工作位（含固定侧柜+桌上挡板）</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6" o:spt="75" type="#_x0000_t75" style="height:87.75pt;width:128.25pt;" fillcolor="#FFFFFF" filled="f" o:preferrelative="t" stroked="f" coordsize="21600,21600">
                  <v:path/>
                  <v:fill on="f" color2="#FFFFFF" focussize="0,0"/>
                  <v:stroke on="f"/>
                  <v:imagedata r:id="rId6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桌子：1400*700* 750 mm ，挡板：1380*350*8</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1)优质浸渍胶膜纸饰面板,基材采用环保刨花板,甲醛释放量优于国家标准;2)优质ABS封边胶条;3)优质滑轨,表面黑色喷涂;4)优质钢架,表面经静电粉末喷涂;5)优质翻板线盒;;6）挡板同桌面材质</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★覆面耐干热及耐湿热均≥5级；甲醛释放量≤0.02mg/m³；苯未检出；TVOC≤0.25mg/m³。</w:t>
            </w:r>
            <w:r>
              <w:rPr>
                <w:rStyle w:val="863"/>
                <w:rFonts w:hint="default" w:ascii="仿宋" w:hAnsi="仿宋" w:eastAsia="仿宋" w:cs="仿宋"/>
                <w:color w:val="auto"/>
                <w:sz w:val="21"/>
                <w:szCs w:val="21"/>
                <w:highlight w:val="none"/>
              </w:rPr>
              <w:br w:type="textWrapping"/>
            </w:r>
            <w:r>
              <w:rPr>
                <w:rStyle w:val="979"/>
                <w:rFonts w:hint="default" w:ascii="仿宋" w:hAnsi="仿宋" w:eastAsia="仿宋" w:cs="仿宋"/>
                <w:color w:val="auto"/>
                <w:sz w:val="21"/>
                <w:szCs w:val="21"/>
                <w:highlight w:val="none"/>
              </w:rPr>
              <w:t>备注：</w:t>
            </w:r>
            <w:r>
              <w:rPr>
                <w:rStyle w:val="863"/>
                <w:rFonts w:hint="default" w:ascii="仿宋" w:hAnsi="仿宋" w:eastAsia="仿宋" w:cs="仿宋"/>
                <w:color w:val="auto"/>
                <w:sz w:val="21"/>
                <w:szCs w:val="21"/>
                <w:highlight w:val="none"/>
              </w:rPr>
              <w:t>★</w:t>
            </w:r>
            <w:r>
              <w:rPr>
                <w:rStyle w:val="979"/>
                <w:rFonts w:hint="default" w:ascii="仿宋" w:hAnsi="仿宋" w:eastAsia="仿宋" w:cs="仿宋"/>
                <w:color w:val="auto"/>
                <w:sz w:val="21"/>
                <w:szCs w:val="21"/>
                <w:highlight w:val="none"/>
              </w:rPr>
              <w:t>参数须提供职员桌检测报告。</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423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职员椅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7" o:spt="75" type="#_x0000_t75" style="height:92.25pt;width:99pt;" fillcolor="#FFFFFF" filled="f" o:preferrelative="t" stroked="f" coordsize="21600,21600">
                  <v:path/>
                  <v:fill on="f" color2="#FFFFFF" focussize="0,0"/>
                  <v:stroke on="f"/>
                  <v:imagedata r:id="rId9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★阻燃性要求检测合格；甲醛释放量≤0.03mg/㎡h；TVOC≤0.35mg/㎡h；安全性要求：50000次循环寿命试验后气弹簧公称力Fa的总衰减量不大于10%。提供</w:t>
            </w:r>
            <w:r>
              <w:rPr>
                <w:rStyle w:val="863"/>
                <w:rFonts w:hint="default" w:ascii="仿宋" w:hAnsi="仿宋" w:eastAsia="仿宋" w:cs="仿宋"/>
                <w:color w:val="auto"/>
                <w:sz w:val="21"/>
                <w:szCs w:val="21"/>
                <w:highlight w:val="none"/>
              </w:rPr>
              <w:br w:type="textWrapping"/>
            </w:r>
            <w:r>
              <w:rPr>
                <w:rStyle w:val="979"/>
                <w:rFonts w:hint="default" w:ascii="仿宋" w:hAnsi="仿宋" w:eastAsia="仿宋" w:cs="仿宋"/>
                <w:color w:val="auto"/>
                <w:sz w:val="21"/>
                <w:szCs w:val="21"/>
                <w:highlight w:val="none"/>
              </w:rPr>
              <w:t>备注：</w:t>
            </w:r>
            <w:r>
              <w:rPr>
                <w:rStyle w:val="863"/>
                <w:rFonts w:hint="default" w:ascii="仿宋" w:hAnsi="仿宋" w:eastAsia="仿宋" w:cs="仿宋"/>
                <w:color w:val="auto"/>
                <w:sz w:val="21"/>
                <w:szCs w:val="21"/>
                <w:highlight w:val="none"/>
              </w:rPr>
              <w:t>★</w:t>
            </w:r>
            <w:r>
              <w:rPr>
                <w:rStyle w:val="979"/>
                <w:rFonts w:hint="default" w:ascii="仿宋" w:hAnsi="仿宋" w:eastAsia="仿宋" w:cs="仿宋"/>
                <w:color w:val="auto"/>
                <w:sz w:val="21"/>
                <w:szCs w:val="21"/>
                <w:highlight w:val="none"/>
              </w:rPr>
              <w:t>参数须提供办公椅检测报告。</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文件柜（打印机矮柜）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8" o:spt="75" type="#_x0000_t75" style="height:82.5pt;width:119.25pt;" fillcolor="#FFFFFF" filled="f" o:preferrelative="t" stroked="f" coordsize="21600,21600">
                  <v:path/>
                  <v:fill on="f" color2="#FFFFFF" focussize="0,0"/>
                  <v:stroke on="f"/>
                  <v:imagedata r:id="rId9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1412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1)表面选用防火板,环保刨花板,甲醛释放量优于国家标准;2)优质PVC封边条;3)塑胶件,PVC材质;4)优质铰链;</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木纹色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文件柜（隔断矮柜）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19" o:spt="75" type="#_x0000_t75" style="height:85.5pt;width:81pt;" fillcolor="#FFFFFF" filled="f" o:preferrelative="t" stroked="f" coordsize="21600,21600">
                  <v:path/>
                  <v:fill on="f" color2="#FFFFFF" focussize="0,0"/>
                  <v:stroke on="f"/>
                  <v:imagedata r:id="rId9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1200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1202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Style w:val="863"/>
                <w:rFonts w:hint="default" w:ascii="仿宋" w:hAnsi="仿宋" w:eastAsia="仿宋" w:cs="仿宋"/>
                <w:color w:val="auto"/>
                <w:sz w:val="21"/>
                <w:szCs w:val="21"/>
                <w:highlight w:val="none"/>
              </w:rPr>
              <w:t>1)表面选用防火板,环保刨花板,甲醛释放量优于国家标准;2)优质PVC封边条;3)优质铰链;4)塑胶件,PVC材质;</w:t>
            </w:r>
            <w:r>
              <w:rPr>
                <w:rStyle w:val="863"/>
                <w:rFonts w:hint="default" w:ascii="仿宋" w:hAnsi="仿宋" w:eastAsia="仿宋" w:cs="仿宋"/>
                <w:color w:val="auto"/>
                <w:sz w:val="21"/>
                <w:szCs w:val="21"/>
                <w:highlight w:val="none"/>
              </w:rPr>
              <w:br w:type="textWrapping"/>
            </w:r>
            <w:r>
              <w:rPr>
                <w:rStyle w:val="863"/>
                <w:rFonts w:hint="default" w:ascii="仿宋" w:hAnsi="仿宋" w:eastAsia="仿宋" w:cs="仿宋"/>
                <w:color w:val="auto"/>
                <w:sz w:val="21"/>
                <w:szCs w:val="21"/>
                <w:highlight w:val="none"/>
              </w:rPr>
              <w:t>★覆面耐干热及耐湿热均≥4级；甲醛释放量≤0.025mg/m³；苯未检出；TVOC≤0.25mg/m³。</w:t>
            </w:r>
            <w:r>
              <w:rPr>
                <w:rStyle w:val="863"/>
                <w:rFonts w:hint="default" w:ascii="仿宋" w:hAnsi="仿宋" w:eastAsia="仿宋" w:cs="仿宋"/>
                <w:color w:val="auto"/>
                <w:sz w:val="21"/>
                <w:szCs w:val="21"/>
                <w:highlight w:val="none"/>
              </w:rPr>
              <w:br w:type="textWrapping"/>
            </w:r>
            <w:r>
              <w:rPr>
                <w:rStyle w:val="979"/>
                <w:rFonts w:hint="default" w:ascii="仿宋" w:hAnsi="仿宋" w:eastAsia="仿宋" w:cs="仿宋"/>
                <w:color w:val="auto"/>
                <w:sz w:val="21"/>
                <w:szCs w:val="21"/>
                <w:highlight w:val="none"/>
              </w:rPr>
              <w:t>备注：</w:t>
            </w:r>
            <w:r>
              <w:rPr>
                <w:rStyle w:val="863"/>
                <w:rFonts w:hint="default" w:ascii="仿宋" w:hAnsi="仿宋" w:eastAsia="仿宋" w:cs="仿宋"/>
                <w:color w:val="auto"/>
                <w:sz w:val="21"/>
                <w:szCs w:val="21"/>
                <w:highlight w:val="none"/>
              </w:rPr>
              <w:t>★</w:t>
            </w:r>
            <w:r>
              <w:rPr>
                <w:rStyle w:val="979"/>
                <w:rFonts w:hint="default" w:ascii="仿宋" w:hAnsi="仿宋" w:eastAsia="仿宋" w:cs="仿宋"/>
                <w:color w:val="auto"/>
                <w:sz w:val="21"/>
                <w:szCs w:val="21"/>
                <w:highlight w:val="none"/>
              </w:rPr>
              <w:t>参数须提供钢木矮柜检测报告。</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木纹色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六门文件柜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0" o:spt="75" type="#_x0000_t75" style="height:95.25pt;width:102.75pt;" fillcolor="#FFFFFF" filled="f" o:preferrelative="t" stroked="f" coordsize="21600,21600">
                  <v:path/>
                  <v:fill on="f" color2="#FFFFFF" focussize="0,0"/>
                  <v:stroke on="f"/>
                  <v:imagedata r:id="rId9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2356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1966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1)表面选用防火板,"E0"环保刨花板,甲醛释放量优于国家标准;2)优质PVC封边条;3)塑胶件,PVC材质;</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四门文件柜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1" o:spt="75" type="#_x0000_t75" style="height:87.75pt;width:79.5pt;" fillcolor="#FFFFFF" filled="f" o:preferrelative="t" stroked="f" coordsize="21600,21600">
                  <v:path/>
                  <v:fill on="f" color2="#FFFFFF" focussize="0,0"/>
                  <v:stroke on="f"/>
                  <v:imagedata r:id="rId9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1578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1966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工艺说明: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1)Z型封边工艺;</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书报柜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"C:\\Users\\ADMINI~1\\AppData\\Local\\Temp\\ksohtml\\clip_image89.png"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2" o:spt="75" type="#_x0000_t75" style="height:72.75pt;width:96.75pt;" fillcolor="#FFFFFF" filled="f" o:preferrelative="t" stroked="f" coordsize="21600,21600">
                  <v:path/>
                  <v:fill on="f" color2="#FFFFFF" focussize="0,0"/>
                  <v:stroke on="f"/>
                  <v:imagedata r:id="rId9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1578*400*1200</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1)表面选用防火板,环保刨花板,甲醛释放量优于国家标准;2)优质PVC封边条;3)优质铰链;4)塑胶件,PVC材质;</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讨论休息区沙发椅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3" o:spt="75" type="#_x0000_t75" style="height:93pt;width:84pt;" fillcolor="#FFFFFF" filled="f" o:preferrelative="t" stroked="f" coordsize="21600,21600">
                  <v:path/>
                  <v:fill on="f" color2="#FFFFFF" focussize="0,0"/>
                  <v:stroke on="f"/>
                  <v:imagedata r:id="rId9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740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710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740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440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1)优质麻绒面料,不含致癌芳香胺染料;2)高密度高回弹裁切海绵,具有良好的抗震性、柔软性,抗撕拉;3)一体成型高密度定型绵;4)实木生态多层板,甲醛释放量优于国家标准;5)钢制沙发脚,表面喷涂处理;</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双人位沙发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4" o:spt="75" type="#_x0000_t75" style="height:90pt;width:117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1300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650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720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1)优质水性皮,质地柔软;2)实木生态多层板,甲醛释放量优于国家标准;3)天然实木(松木),经久耐用;4)高密度高回弹裁切海绵,具有良好的抗震性、柔软性,抗撕拉;5)沙发塑料脚,一体成型;</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讨论休息区茶几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5" o:spt="75" type="#_x0000_t75" style="height:96pt;width:89.25pt;" fillcolor="#FFFFFF" filled="f" o:preferrelative="t" stroked="f" coordsize="21600,21600">
                  <v:path/>
                  <v:fill on="f" color2="#FFFFFF" focussize="0,0"/>
                  <v:stroke on="f"/>
                  <v:imagedata r:id="rId9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420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1)天然胡桃木皮,采用"水性环保油漆封闭式涂装,搭配实色漆涂装;2)环保中纤板,甲醛释放量优于国家标准;</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胡桃木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亚光黑色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56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3F洽谈区静音仓</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6" o:spt="75" type="#_x0000_t75" style="height:88.5pt;width:115.5pt;" fillcolor="#FFFFFF" filled="f" o:preferrelative="t" stroked="f" coordsize="21600,21600">
                  <v:path/>
                  <v:fill on="f" color2="#FFFFFF" focussize="0,0"/>
                  <v:stroke on="f"/>
                  <v:imagedata r:id="rId9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spacing w:after="240"/>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2500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2500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2457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采用AL6063-T5铝合金,表面经静电粉末喷涂;2)优质浸渍胶膜纸饰面板,基材采用"E0"环保中纤板,甲醛释放量优于国家标准;3)毛毡板采用聚酯纤维,吸音降噪;4)采用优质冷轧钢,经冲压成型,表面静电粉末喷涂;5)优质麻绒面料,不含致癌芳香胺染料;6)高密度高回弹裁切海绵,具有良好的抗震性、柔软性,抗撕拉;7)采用钢化玻璃,玻璃外露部分不应有裂纹和缺角;8)采用集成插座,含插座、USB模块;</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工艺说明: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1)墙板采用防火板+蜂窝纸加工工艺;2)采用快接电源模块,一束插头可实现内置四种电器(新风、换气扇、电灯、插座、开关)的即插即用;</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功能说明: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玻璃门配密封磁条,自带强力磁吸功能,封闭性佳,具有一定的隔音功能;2)配尼龙地毯,防尘和抗污,易清洁打理;3)配松下超静音换气扇,采用小功率电机配合超轻盈风轮,超节能,超静音;4)顶部采用中央照明系统,条形灯具使工作空间光线均匀;</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5)日本米亚节能新风系统,采用小功率电机配合超轻盈风轮,超节能,24小时不间断提供空气,保持室内新鲜空气的流通;</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547"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3F洽谈区静音仓内会议桌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7" o:spt="75" type="#_x0000_t75" style="height:90.75pt;width:117.75pt;" fillcolor="#FFFFFF" filled="f" o:preferrelative="t" stroked="f" coordsize="21600,21600">
                  <v:path/>
                  <v:fill on="f" color2="#FFFFFF" focussize="0,0"/>
                  <v:stroke on="f"/>
                  <v:imagedata r:id="rId10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1700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1)环保中纤板,甲醛释放量优于国家标准;2)优质钢架,表面经静电粉末喷涂;</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工艺说明: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1)板材边部斜切薄边工艺;与静音仓链接固定</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433"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3F洽谈区静音仓内沙发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8" o:spt="75" type="#_x0000_t75" style="height:84pt;width:143.25pt;" fillcolor="#FFFFFF" filled="f" o:preferrelative="t" stroked="f" coordsize="21600,21600">
                  <v:path/>
                  <v:fill on="f" color2="#FFFFFF" focussize="0,0"/>
                  <v:stroke on="f"/>
                  <v:imagedata r:id="rId10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2280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660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756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1)优质麻绒面料,不含致癌芳香胺染料;2)高密度高回弹裁切海绵,具有良好的抗震性、柔软性,抗撕拉;3)实木生态多层板,甲醛释放量优于国家标准;4)沙发油漆脚框,橡胶木实木材质;</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616"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3F洽谈区静音仓内高吧椅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"C:\\Users\\ADMINI~1\\AppData\\Local\\Temp\\ksohtml\\clip_image95.png"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29" o:spt="75" type="#_x0000_t75" style="height:89.25pt;width:73.5pt;" fillcolor="#FFFFFF" filled="f" o:preferrelative="t" stroked="f" coordsize="21600,21600">
                  <v:path/>
                  <v:fill on="f" color2="#FFFFFF" focussize="0,0"/>
                  <v:stroke on="f"/>
                  <v:imagedata r:id="rId10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520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560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1080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770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材质说明: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1)优质麻绒面料,不含致癌芳香胺染料;2)一体成型高密度定型绵;3)钢制沙发脚,表面喷涂处理;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工艺说明:</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1)德国杜克普电脑机车自动化缝纫工艺;2)全自动美国PGM自动精确裁床裁剪工艺;</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61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3F会议室</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106</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会议桌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"C:\\Users\\ADMINI~1\\AppData\\Local\\Temp\\ksohtml\\clip_image27.png"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0" o:spt="75" type="#_x0000_t75" style="height:70.5pt;width:146.25pt;" fillcolor="#FFFFFF" filled="f" o:preferrelative="t" stroked="f" coordsize="21600,21600">
                  <v:path/>
                  <v:fill on="f" color2="#FFFFFF" focussize="0,0"/>
                  <v:stroke on="f"/>
                  <v:imagedata r:id="rId10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3600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1)优质浸渍胶膜纸饰面板,基材采用"E0"环保刨花板,甲醛释放量优于国家标准;2)优质ABS封边胶条;3)优质PVC封边条;4)优质钢架,表面经静电粉末喷涂;5)优质翻板线盒;</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107</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会议椅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1" o:spt="75" type="#_x0000_t75" style="height:92.25pt;width:99pt;" fillcolor="#FFFFFF" filled="f" o:preferrelative="t" stroked="f" coordsize="21600,21600">
                  <v:path/>
                  <v:fill on="f" color2="#FFFFFF" focussize="0,0"/>
                  <v:stroke on="f"/>
                  <v:imagedata r:id="rId10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615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585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955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网布面料,不含致癌芳香胺染料;2)尼龙+30%玻纤背框,腰托可调节;3)一体成型高密度定型绵,美标防火,座感舒适;4)E1级成型胶合板,甲醛释放量优于国家标准;5)固定PP扶手,强度高、耐腐蚀;6)STG同步倾仰底盘,单档初始位置锁定;7）优质气杆,升降平稳,无漏声、噪声;8)尼龙五星脚;9)PA椅轮,转动轻快灵活;</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540"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3F洽谈室（4间）</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108</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洽谈室长桌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2" o:spt="75" type="#_x0000_t75" style="height:78.75pt;width:116.25pt;" fillcolor="#FFFFFF" filled="f" o:preferrelative="t" stroked="f" coordsize="21600,21600">
                  <v:path/>
                  <v:fill on="f" color2="#FFFFFF" focussize="0,0"/>
                  <v:stroke on="f"/>
                  <v:imagedata r:id="rId10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2000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1000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1)优质浸渍胶膜纸饰面板,基材采用环保刨花板,甲醛释放量优于国家标准;2)优质ABS封边胶条;3)优质钢架,表面经静电粉末喷涂;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446"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109</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洽谈椅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3" o:spt="75" type="#_x0000_t75" style="height:84.75pt;width:69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570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815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1)尼龙+20%玻纤背框;2)钢制椅架,表面电镀;</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61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110</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洽谈室圆茶几</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4" o:spt="75" type="#_x0000_t75" style="height:79.5pt;width:84pt;" fillcolor="#FFFFFF" filled="f" o:preferrelative="t" stroked="f" coordsize="21600,21600">
                  <v:path/>
                  <v:fill on="f" color2="#FFFFFF" focussize="0,0"/>
                  <v:stroke on="f"/>
                  <v:imagedata r:id="rId10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700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600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1)表面选用防火板,环保刨花板,甲醛释放量优于国家标准;2)优质PVC封边条;3)塑胶件,PVC材质;</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白色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468"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111</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洽谈沙发</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5" o:spt="75" type="#_x0000_t75" style="height:83.25pt;width:89.25pt;" fillcolor="#FFFFFF" filled="f" o:preferrelative="t" stroked="f" coordsize="21600,21600">
                  <v:path/>
                  <v:fill on="f" color2="#FFFFFF" focussize="0,0"/>
                  <v:stroke on="f"/>
                  <v:imagedata r:id="rId10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680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840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460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1)优质麻绒面料,不含致癌芳香胺染料;2)实木生态多层板,甲醛释放量优于国家标准;3)一体成型高密度定型绵;4)沙发铝合金脚,表面抛光处理;5)高密度高回弹裁切海绵,具有良好的抗震性、柔软性,抗撕拉;</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蓝色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6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3F视频监控室</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412"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112</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监控台</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6" o:spt="75" type="#_x0000_t75" style="height:93.75pt;width:107.25pt;" fillcolor="#FFFFFF" filled="f" o:preferrelative="t" stroked="f" coordsize="21600,21600">
                  <v:path/>
                  <v:fill on="f" color2="#FFFFFF" focussize="0,0"/>
                  <v:stroke on="f"/>
                  <v:imagedata r:id="rId10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2080*960*960</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主框架采用钢铝混合结构，台板:15mm抗倍特板材质，产品不含显示器支架，</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白色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366"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113</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会议条桌</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7" o:spt="75" type="#_x0000_t75" style="height:81pt;width:94.5pt;" fillcolor="#FFFFFF" filled="f" o:preferrelative="t" stroked="f" coordsize="21600,21600">
                  <v:path/>
                  <v:fill on="f" color2="#FFFFFF" focussize="0,0"/>
                  <v:stroke on="f"/>
                  <v:imagedata r:id="rId10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1200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450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760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1)环保中纤板,甲醛释放量优于国家标准;2)主推木皮为天然胡桃木木皮,采用"展辰"水性环保油漆开放式涂装,搭配实色漆涂装;3)胡桃木实木封边;</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2524"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114</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会议椅</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"C:\\Users\\ADMINI~1\\AppData\\Local\\Temp\\ksohtml\\clip_image104.png"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8" o:spt="75" type="#_x0000_t75" style="height:87.75pt;width:84.75pt;" fillcolor="#FFFFFF" filled="f" o:preferrelative="t" stroked="f" coordsize="21600,21600">
                  <v:path/>
                  <v:fill on="f" color2="#FFFFFF" focussize="0,0"/>
                  <v:stroke on="f"/>
                  <v:imagedata r:id="rId11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640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620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980 mm (H)</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1)荔枝纹真皮,头层牛皮皮胚;2)钢管背架,表面喷涂;3)一体成型高密度定型绵,美标防火,座感舒适;4)E1级成型胶合板,甲醛释放量优于国家标准;5)升降PA面2D扶手,可进行升降、扶手面前后调节;6)钢制椅架,表面喷涂;</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黑色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37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zCs w:val="21"/>
                <w:highlight w:val="none"/>
              </w:rPr>
            </w:pPr>
          </w:p>
        </w:tc>
        <w:tc>
          <w:tcPr>
            <w:tcW w:w="12911" w:type="dxa"/>
            <w:gridSpan w:val="11"/>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b/>
                <w:color w:val="auto"/>
                <w:szCs w:val="21"/>
                <w:highlight w:val="none"/>
              </w:rPr>
            </w:pPr>
            <w:r>
              <w:rPr>
                <w:rFonts w:hint="eastAsia" w:ascii="仿宋" w:hAnsi="仿宋" w:eastAsia="仿宋" w:cs="仿宋"/>
                <w:b/>
                <w:color w:val="auto"/>
                <w:kern w:val="0"/>
                <w:szCs w:val="21"/>
                <w:highlight w:val="none"/>
              </w:rPr>
              <w:t>3F资料室</w:t>
            </w:r>
          </w:p>
        </w:tc>
        <w:tc>
          <w:tcPr>
            <w:tcW w:w="705"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color w:val="auto"/>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1995" w:hRule="atLeast"/>
        </w:trPr>
        <w:tc>
          <w:tcPr>
            <w:tcW w:w="78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115</w:t>
            </w:r>
          </w:p>
        </w:tc>
        <w:tc>
          <w:tcPr>
            <w:tcW w:w="150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资料室钢柜</w:t>
            </w:r>
          </w:p>
        </w:tc>
        <w:tc>
          <w:tcPr>
            <w:tcW w:w="306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39" o:spt="75" type="#_x0000_t75" style="height:84pt;width:72pt;" fillcolor="#FFFFFF" filled="f" o:preferrelative="t" stroked="f" coordsize="21600,21600">
                  <v:path/>
                  <v:fill on="f" color2="#FFFFFF" focussize="0,0"/>
                  <v:stroke on="f"/>
                  <v:imagedata r:id="rId11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9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900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2030 mm (H)</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450 mm (D)</w:t>
            </w:r>
          </w:p>
        </w:tc>
        <w:tc>
          <w:tcPr>
            <w:tcW w:w="4321"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1)柜体、层板采用0.7mm优质一级冷轧钢板;2)环氧聚酯型粉末涂料,环保无污染,具有优异的耐候、耐热、耐冲击性能;3)优质ABS暗弹式拉手;4)优质铰链;</w:t>
            </w:r>
          </w:p>
        </w:tc>
        <w:tc>
          <w:tcPr>
            <w:tcW w:w="2630"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亚光白色</w:t>
            </w:r>
          </w:p>
        </w:tc>
        <w:tc>
          <w:tcPr>
            <w:tcW w:w="70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15" w:type="dxa"/>
          <w:trHeight w:val="750" w:hRule="atLeast"/>
        </w:trPr>
        <w:tc>
          <w:tcPr>
            <w:tcW w:w="14404" w:type="dxa"/>
            <w:gridSpan w:val="13"/>
            <w:vAlign w:val="center"/>
          </w:tcPr>
          <w:p>
            <w:pPr>
              <w:widowControl/>
              <w:jc w:val="left"/>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备注：颜色仅供参考，中标后需与使用方沟通深化。</w:t>
            </w:r>
          </w:p>
        </w:tc>
      </w:tr>
    </w:tbl>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pStyle w:val="80"/>
        <w:ind w:firstLine="352"/>
        <w:rPr>
          <w:rFonts w:ascii="仿宋" w:hAnsi="仿宋" w:eastAsia="仿宋"/>
          <w:color w:val="auto"/>
          <w:highlight w:val="none"/>
        </w:rPr>
      </w:pPr>
    </w:p>
    <w:p>
      <w:pPr>
        <w:jc w:val="center"/>
        <w:rPr>
          <w:b/>
          <w:bCs/>
          <w:color w:val="auto"/>
          <w:sz w:val="22"/>
          <w:szCs w:val="22"/>
          <w:highlight w:val="none"/>
        </w:rPr>
      </w:pPr>
      <w:r>
        <w:rPr>
          <w:rFonts w:hint="eastAsia"/>
          <w:b/>
          <w:bCs/>
          <w:color w:val="auto"/>
          <w:sz w:val="22"/>
          <w:szCs w:val="22"/>
          <w:highlight w:val="none"/>
        </w:rPr>
        <w:t>市民之家大厅及食堂家具标项二</w:t>
      </w:r>
    </w:p>
    <w:p>
      <w:pPr>
        <w:snapToGrid w:val="0"/>
        <w:spacing w:line="360" w:lineRule="auto"/>
        <w:ind w:firstLine="420" w:firstLineChars="200"/>
        <w:rPr>
          <w:rFonts w:ascii="仿宋" w:hAnsi="仿宋" w:eastAsia="仿宋"/>
          <w:snapToGrid w:val="0"/>
          <w:color w:val="auto"/>
          <w:kern w:val="0"/>
          <w:szCs w:val="21"/>
          <w:highlight w:val="none"/>
        </w:rPr>
      </w:pPr>
      <w:r>
        <w:rPr>
          <w:rFonts w:hint="eastAsia" w:ascii="仿宋" w:hAnsi="仿宋" w:eastAsia="仿宋" w:cs="仿宋"/>
          <w:color w:val="auto"/>
          <w:szCs w:val="21"/>
          <w:highlight w:val="none"/>
        </w:rPr>
        <w:t>附件《采购清单》</w:t>
      </w:r>
    </w:p>
    <w:tbl>
      <w:tblPr>
        <w:tblStyle w:val="62"/>
        <w:tblW w:w="142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97"/>
        <w:gridCol w:w="797"/>
        <w:gridCol w:w="2573"/>
        <w:gridCol w:w="1315"/>
        <w:gridCol w:w="7119"/>
        <w:gridCol w:w="785"/>
        <w:gridCol w:w="8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7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品名</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产品图片</w:t>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规格</w:t>
            </w:r>
          </w:p>
        </w:tc>
        <w:tc>
          <w:tcPr>
            <w:tcW w:w="711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材质说明</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颜色</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4人餐桌椅</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0" o:spt="75" type="#_x0000_t75" style="height:64.5pt;width:105pt;" fillcolor="#FFFFFF" filled="f" o:preferrelative="t" stroked="f" coordsize="21600,21600">
                  <v:path/>
                  <v:fill on="f" color2="#FFFFFF" focussize="0,0"/>
                  <v:stroke on="f"/>
                  <v:imagedata r:id="rId11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1200*700*760</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餐桌台面、座板、立脚采用优质实心竹木板制作，板材厚度40mm，板材经熏蒸压制成型，经高效无残毒的防腐、防霉、防虫处理，竹板周边倒R安全圆角工艺处理后，表面碳色油漆处理；钢架主管采用30*70*1.8mm高频焊接矩形钢管，表面处理：脱脂，抛丸喷砂，防锈，静电环保喷塑，喷塑厚度80-100um，强度：50kg重物垂直冲击，边缘无明显裂痕无脱落。桌架采用拆装式结构，便于运输搬运安装。</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原木色</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3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餐桌（长形）</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"C:\\Users\\ADMINI~1\\AppData\\Local\\Temp\\ksohtml\\clip_image39.png"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1" o:spt="75" type="#_x0000_t75" style="height:83.25pt;width:127.5pt;" fillcolor="#FFFFFF" filled="f" o:preferrelative="t" stroked="f" coordsize="21600,21600">
                  <v:path/>
                  <v:fill on="f" color2="#FFFFFF" focussize="0,0"/>
                  <v:stroke on="f"/>
                  <v:imagedata r:id="rId11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1400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750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743 mm (H)</w:t>
            </w:r>
          </w:p>
        </w:tc>
        <w:tc>
          <w:tcPr>
            <w:tcW w:w="7119" w:type="dxa"/>
            <w:tcBorders>
              <w:tl2br w:val="nil"/>
              <w:tr2bl w:val="nil"/>
            </w:tcBorders>
            <w:vAlign w:val="center"/>
          </w:tcPr>
          <w:p>
            <w:pPr>
              <w:numPr>
                <w:ilvl w:val="0"/>
                <w:numId w:val="4"/>
              </w:num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基材，</w:t>
            </w:r>
            <w:r>
              <w:rPr>
                <w:rFonts w:hint="eastAsia" w:ascii="仿宋" w:hAnsi="仿宋" w:eastAsia="仿宋" w:cs="仿宋"/>
                <w:color w:val="auto"/>
                <w:szCs w:val="21"/>
                <w:highlight w:val="none"/>
              </w:rPr>
              <w:t>三聚氰胺板：符合GB/T15102-2017《浸渍胶膜纸饰面纤维板和刨花板》GB/T35601-2017《绿色产品评价人造板和木质地板》GB18580-2017《室内装饰装修材料人造板及其制品中甲醛释放限量》GB/T17657-2013《人造板及饰面人造板理化性能试验方法》的标准，表面耐划痕≥1.5N表面无大于90%的连续划痕符合要求，表面耐磨，磨耗值≤40mg/100r,图案纹磨100r后保留50%以上花纹符合要求，表面耐龟裂不低于5级，甲醛释放量≤0.02mg/m</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³，总挥发性有机化合物TVOC≤42mg/m³。</w:t>
            </w:r>
          </w:p>
          <w:p>
            <w:pPr>
              <w:numPr>
                <w:ilvl w:val="0"/>
                <w:numId w:val="4"/>
              </w:numPr>
              <w:jc w:val="left"/>
              <w:rPr>
                <w:rFonts w:ascii="仿宋" w:hAnsi="仿宋" w:eastAsia="仿宋" w:cs="仿宋"/>
                <w:color w:val="auto"/>
                <w:szCs w:val="21"/>
                <w:highlight w:val="none"/>
              </w:rPr>
            </w:pPr>
            <w:r>
              <w:rPr>
                <w:rFonts w:hint="eastAsia" w:ascii="仿宋" w:hAnsi="仿宋" w:eastAsia="仿宋" w:cs="仿宋"/>
                <w:color w:val="auto"/>
                <w:szCs w:val="21"/>
                <w:highlight w:val="none"/>
              </w:rPr>
              <w:t>三聚氰胺板饰面：符合GB18580-2017，GB/T15102-2017的标准，含水率8-9%，表面耐香烟灼烧达到4级，表面耐水蒸气达到5级，吸水厚度膨胀率≤4.0（2h），表面耐划痕≥1.5N表面无大于90%的连续划痕，表面耐污染腐蚀达到5级，表面耐龟裂达到5级，静曲强度≥15MPa，弹性模量≥2500MPa，内结合强度≥0.4MPa，表面耐干热达到5级，密度≥0.6g/cm³，握螺订力板面≥1200N，板边≥850N，表面胶合强度≥0.85MPa，耐光色牢度达到5级，甲醛释放量≤0.025（54h）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3，胶粘剂：符合GB 18583-2008《室内装饰装修材料胶粘剂中有害物质限量》，总挥发性有机物≤90g/L,游离甲醛未检出，笨未检出，甲苯+二甲苯未检出。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三合一：符合GB/T28203-2011标准的要求，外观符合要求，金属镀层抗盐雾18h，1.5mm以下锈点≤20点/dm³，其中≥1.0mm锈点不超过5点（距离边缘棱角2mm以内的不计）符合要求，三合一偏心连接件偏心体抗压强度≥270N，三合一偏心连接件预埋螺母抗拉强度≥580N，三合一偏心连接件中连接螺杆螺纹与螺母抗拉强度≥740N，榫负载5kg，1h，应无断裂、变形。</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PVC封边：符合QB/T4463-2013《家具用封边条技术要求》的标准，耐干热性应无龟裂、无鼓泡。耐磨性磨30r后应无露底现象，耐老化性应无开裂，耐冷热循环性应无龟裂、无鼓泡、无变色、无起皱。甲醛释放量未检出，可溶性重金属铅≤5mg/kg，镉≤5mg/kg，铬≤5mg/kg，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widowControl/>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餐椅</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 INCLUDEPICTURE  "C:\\Users\\ADMINI~1\\AppData\\Local\\Temp\\ksohtml\\clip_image38.png"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2" o:spt="75" type="#_x0000_t75" style="height:93.4pt;width:87.65pt;" fillcolor="#FFFFFF" filled="f" o:preferrelative="t" stroked="f" coordsize="21600,21600">
                  <v:path/>
                  <v:fill on="f" color2="#FFFFFF" focussize="0,0"/>
                  <v:stroke on="f"/>
                  <v:imagedata r:id="rId11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504 mm (L)</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530 mm (W)</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765 mm (H)</w:t>
            </w:r>
          </w:p>
        </w:tc>
        <w:tc>
          <w:tcPr>
            <w:tcW w:w="7119" w:type="dxa"/>
            <w:tcBorders>
              <w:tl2br w:val="nil"/>
              <w:tr2bl w:val="nil"/>
            </w:tcBorders>
            <w:vAlign w:val="center"/>
          </w:tcPr>
          <w:p>
            <w:pPr>
              <w:numPr>
                <w:ilvl w:val="0"/>
                <w:numId w:val="5"/>
              </w:numPr>
              <w:jc w:val="left"/>
              <w:rPr>
                <w:rFonts w:ascii="仿宋" w:hAnsi="仿宋" w:eastAsia="仿宋" w:cs="仿宋"/>
                <w:color w:val="auto"/>
                <w:highlight w:val="none"/>
              </w:rPr>
            </w:pPr>
            <w:r>
              <w:rPr>
                <w:rFonts w:hint="eastAsia" w:ascii="仿宋" w:hAnsi="仿宋" w:eastAsia="仿宋" w:cs="仿宋"/>
                <w:color w:val="auto"/>
                <w:highlight w:val="none"/>
              </w:rPr>
              <w:t>一次性注塑pp材料。</w:t>
            </w:r>
          </w:p>
          <w:p>
            <w:pPr>
              <w:pStyle w:val="2"/>
              <w:numPr>
                <w:ilvl w:val="0"/>
                <w:numId w:val="5"/>
              </w:numPr>
              <w:jc w:val="left"/>
              <w:rPr>
                <w:rFonts w:ascii="仿宋" w:hAnsi="仿宋" w:eastAsia="仿宋" w:cs="仿宋"/>
                <w:color w:val="auto"/>
                <w:highlight w:val="none"/>
                <w:lang w:val="en-US"/>
              </w:rPr>
            </w:pPr>
            <w:r>
              <w:rPr>
                <w:rFonts w:hint="eastAsia" w:ascii="仿宋" w:hAnsi="仿宋" w:eastAsia="仿宋" w:cs="仿宋"/>
                <w:color w:val="auto"/>
                <w:highlight w:val="none"/>
                <w:lang w:val="en-US"/>
              </w:rPr>
              <w:t>塑料椅座背：符合GB28481-2012《塑料家具中有害物质限量》的标准，邻苯二甲酸酯DBP未检出，BBP未检出，DEHP未检出，DNOP</w:t>
            </w:r>
            <w:r>
              <w:rPr>
                <w:rFonts w:hint="eastAsia" w:ascii="仿宋" w:hAnsi="仿宋" w:eastAsia="仿宋" w:cs="仿宋"/>
                <w:color w:val="auto"/>
                <w:highlight w:val="none"/>
              </w:rPr>
              <w:t>≤</w:t>
            </w:r>
            <w:r>
              <w:rPr>
                <w:rFonts w:hint="eastAsia" w:ascii="仿宋" w:hAnsi="仿宋" w:eastAsia="仿宋" w:cs="仿宋"/>
                <w:color w:val="auto"/>
                <w:highlight w:val="none"/>
                <w:lang w:val="en-US"/>
              </w:rPr>
              <w:t>0.01%,DINP未检出，DIDP</w:t>
            </w:r>
            <w:r>
              <w:rPr>
                <w:rFonts w:hint="eastAsia" w:ascii="仿宋" w:hAnsi="仿宋" w:eastAsia="仿宋" w:cs="仿宋"/>
                <w:color w:val="auto"/>
                <w:highlight w:val="none"/>
              </w:rPr>
              <w:t>≤</w:t>
            </w:r>
            <w:r>
              <w:rPr>
                <w:rFonts w:hint="eastAsia" w:ascii="仿宋" w:hAnsi="仿宋" w:eastAsia="仿宋" w:cs="仿宋"/>
                <w:color w:val="auto"/>
                <w:highlight w:val="none"/>
                <w:lang w:val="en-US"/>
              </w:rPr>
              <w:t>0.01%,重金属可溶性铅</w:t>
            </w:r>
            <w:r>
              <w:rPr>
                <w:rFonts w:hint="eastAsia" w:ascii="仿宋" w:hAnsi="仿宋" w:eastAsia="仿宋" w:cs="仿宋"/>
                <w:color w:val="auto"/>
                <w:highlight w:val="none"/>
              </w:rPr>
              <w:t>≤</w:t>
            </w:r>
            <w:r>
              <w:rPr>
                <w:rFonts w:hint="eastAsia" w:ascii="仿宋" w:hAnsi="仿宋" w:eastAsia="仿宋" w:cs="仿宋"/>
                <w:color w:val="auto"/>
                <w:highlight w:val="none"/>
                <w:lang w:val="en-US"/>
              </w:rPr>
              <w:t>3mg/kg，可溶性镉</w:t>
            </w:r>
            <w:r>
              <w:rPr>
                <w:rFonts w:hint="eastAsia" w:ascii="仿宋" w:hAnsi="仿宋" w:eastAsia="仿宋" w:cs="仿宋"/>
                <w:color w:val="auto"/>
                <w:highlight w:val="none"/>
              </w:rPr>
              <w:t>≤</w:t>
            </w:r>
            <w:r>
              <w:rPr>
                <w:rFonts w:hint="eastAsia" w:ascii="仿宋" w:hAnsi="仿宋" w:eastAsia="仿宋" w:cs="仿宋"/>
                <w:color w:val="auto"/>
                <w:highlight w:val="none"/>
                <w:lang w:val="en-US"/>
              </w:rPr>
              <w:t>1mg/kg，可溶性铬</w:t>
            </w:r>
            <w:r>
              <w:rPr>
                <w:rFonts w:hint="eastAsia" w:ascii="仿宋" w:hAnsi="仿宋" w:eastAsia="仿宋" w:cs="仿宋"/>
                <w:color w:val="auto"/>
                <w:highlight w:val="none"/>
              </w:rPr>
              <w:t>≤</w:t>
            </w:r>
            <w:r>
              <w:rPr>
                <w:rFonts w:hint="eastAsia" w:ascii="仿宋" w:hAnsi="仿宋" w:eastAsia="仿宋" w:cs="仿宋"/>
                <w:color w:val="auto"/>
                <w:highlight w:val="none"/>
                <w:lang w:val="en-US"/>
              </w:rPr>
              <w:t>1mg/kg，可溶性汞</w:t>
            </w:r>
            <w:r>
              <w:rPr>
                <w:rFonts w:hint="eastAsia" w:ascii="仿宋" w:hAnsi="仿宋" w:eastAsia="仿宋" w:cs="仿宋"/>
                <w:color w:val="auto"/>
                <w:highlight w:val="none"/>
              </w:rPr>
              <w:t>≤</w:t>
            </w:r>
            <w:r>
              <w:rPr>
                <w:rFonts w:hint="eastAsia" w:ascii="仿宋" w:hAnsi="仿宋" w:eastAsia="仿宋" w:cs="仿宋"/>
                <w:color w:val="auto"/>
                <w:highlight w:val="none"/>
                <w:lang w:val="en-US"/>
              </w:rPr>
              <w:t>3mg/kg，</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60"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4</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餐桌</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3" o:spt="75" type="#_x0000_t75" style="height:62.25pt;width:75pt;" fillcolor="#FFFFFF" filled="f" o:preferrelative="t" stroked="f" coordsize="21600,21600">
                  <v:path/>
                  <v:fill on="f" color2="#FFFFFF" focussize="0,0"/>
                  <v:stroke on="f"/>
                  <v:imagedata r:id="rId11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φ800*750</w:t>
            </w:r>
          </w:p>
        </w:tc>
        <w:tc>
          <w:tcPr>
            <w:tcW w:w="7119" w:type="dxa"/>
            <w:tcBorders>
              <w:tl2br w:val="nil"/>
              <w:tr2bl w:val="nil"/>
            </w:tcBorders>
            <w:vAlign w:val="center"/>
          </w:tcPr>
          <w:p>
            <w:pPr>
              <w:widowControl/>
              <w:numPr>
                <w:ilvl w:val="0"/>
                <w:numId w:val="6"/>
              </w:numPr>
              <w:jc w:val="left"/>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基材，橡木：检测依据按照LY/T1787-2016或GB/T26899-2011的要求，含水率≤10%，外观质量要求无裂纹无变色无死结无虫眼，甲醛释放量≤0.3mg/L。</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2，油漆： 水性底漆：符合GB18581-2020标准的要求，VOC含量≤165g/L,甲醛含量未检出，,笨系物总和含量（笨，甲苯，二甲苯）未检出，乙二醇醚及醚酯总和含量（限乙二醇甲醚、乙二醇甲醚醋酸酯、乙二醇乙醚、乙二醇乙醚融酸酯、乙二辞二甲醚、乙二酵二乙鼪、二乙二醇二甲醚、三乙二醇二甲醚）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水性面漆：符合GB18581-2020标准的要求，VOC含量≤90g/L,甲醛含量未检出，,笨系物总和含量（笨，甲苯，二甲苯）≤50mg/kg，乙二醇醚及醚酯总和含量（限乙二醇甲醚、乙二醇甲醚醋酸酯、乙二醇乙醚、乙二醇乙醚融酸酯、乙二辞二甲醚、乙二酵二乙鼪、二乙二醇二甲醚、三乙二醇二甲醚）≤50mg/kg</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原木色</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餐椅</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4" o:spt="75" type="#_x0000_t75" style="height:72pt;width:71.25pt;" fillcolor="#FFFFFF" filled="f" o:preferrelative="t" stroked="f" coordsize="21600,21600">
                  <v:path/>
                  <v:fill on="f" color2="#FFFFFF" focussize="0,0"/>
                  <v:stroke on="f"/>
                  <v:imagedata r:id="rId11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558*512*828</w:t>
            </w:r>
          </w:p>
        </w:tc>
        <w:tc>
          <w:tcPr>
            <w:tcW w:w="7119" w:type="dxa"/>
            <w:tcBorders>
              <w:tl2br w:val="nil"/>
              <w:tr2bl w:val="nil"/>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1，基材，橡木：检测依据按照LY/T1787-2016或GB/T26899-2011的要求，含水率≤10%，外观质量要求无裂纹无变色无死结无虫眼，甲醛释放量≤0.3mg/L。</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2，面料，西皮：干擦（500次）≥4级，湿擦（250次）≥4级，涂层粘着牢度≥4.0N/10mm，游离甲醛≤37mg/kg，禁用偶氮染料未检出，按照 GB/T 16799-2018 标准的要求。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3，阻燃海绵：拉伸强度≥109kpa，撕裂强度≥2.5N/cm，干热老化后拉伸强度≥113kpa，湿热老化后拉伸强度≥110kpa，密度≥31kg/m³，表面和内部未出现任何续燃、阴燃现象，通过香烟抗引燃特性试验，按照GB/T 10802-2006，QB/T 1952.1-2012标准要求。</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多功能餐桌</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5" o:spt="75" type="#_x0000_t75" style="height:51pt;width:66pt;" fillcolor="#FFFFFF" filled="f" o:preferrelative="t" stroked="f" coordsize="21600,21600">
                  <v:path/>
                  <v:fill on="f" color2="#FFFFFF" focussize="0,0"/>
                  <v:stroke on="f"/>
                  <v:imagedata r:id="rId11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6" o:spt="75" type="#_x0000_t75" style="height:45.75pt;width:51.75pt;" fillcolor="#FFFFFF" filled="f" o:preferrelative="t" stroked="f" coordsize="21600,21600">
                  <v:path/>
                  <v:fill on="f" color2="#FFFFFF" focussize="0,0"/>
                  <v:stroke on="f"/>
                  <v:imagedata r:id="rId11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1800*780</w:t>
            </w:r>
          </w:p>
        </w:tc>
        <w:tc>
          <w:tcPr>
            <w:tcW w:w="7119" w:type="dxa"/>
            <w:tcBorders>
              <w:tl2br w:val="nil"/>
              <w:tr2bl w:val="nil"/>
            </w:tcBorders>
            <w:vAlign w:val="center"/>
          </w:tcPr>
          <w:p>
            <w:pPr>
              <w:widowControl/>
              <w:numPr>
                <w:ilvl w:val="0"/>
                <w:numId w:val="7"/>
              </w:numPr>
              <w:jc w:val="left"/>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基材，橡木：检测依据按照LY/T1787-2016或GB/T26899-2011的要求，含水率≤10%，外观质量要求无裂纹无变色无死结无虫眼，甲醛释放量≤0.3mg/L。</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水性底漆：符合GB18581-2020标准的要求，VOC含量≤165g/L,甲醛含量未检出，,笨系物总和含量（笨，甲苯，二甲苯）未检出，乙二醇醚及醚酯总和含量（限乙二醇甲醚、乙二醇甲醚醋酸酯、乙二醇乙醚、乙二醇乙醚融酸酯、乙二辞二甲醚、乙二酵二乙鼪、二乙二醇二甲醚、三乙二醇二甲醚）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水性面漆：符合GB18581-2020标准的要求，VOC含量≤90g/L,甲醛含量未检出，,笨系物总和含量（笨，甲苯，二甲苯）≤50mg/kg，乙二醇醚及醚酯总和含量（限乙二醇甲醚、乙二醇甲醚醋酸酯、乙二醇乙醚、乙二醇乙醚融酸酯、乙二辞二甲醚、乙二酵二乙鼪、二乙二醇二甲醚、三乙二醇二甲醚）≤50mg/kg</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热固性粉末涂料：符合HG/T2006-2006/《热固性粉末涂料》的标准，漆膜外观符合要求，硬度≥5H，附着力不低于1级，耐碱性试板经耐碱试验168h无异常，耐酸性试板经耐酸试验240h无异常，可溶性铅含未检出，镉未检出，铬未检出，汞未检出。</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7</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折叠条桌</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7" o:spt="75" type="#_x0000_t75" style="height:89.25pt;width:90pt;" fillcolor="#FFFFFF" filled="f" o:preferrelative="t" stroked="f" coordsize="21600,21600">
                  <v:path/>
                  <v:fill on="f" color2="#FFFFFF" focussize="0,0"/>
                  <v:stroke on="f"/>
                  <v:imagedata r:id="rId11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1800*500*750</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1，基材，</w:t>
            </w:r>
            <w:r>
              <w:rPr>
                <w:rFonts w:hint="eastAsia" w:ascii="仿宋" w:hAnsi="仿宋" w:eastAsia="仿宋" w:cs="仿宋"/>
                <w:color w:val="auto"/>
                <w:szCs w:val="21"/>
                <w:highlight w:val="none"/>
              </w:rPr>
              <w:t>三聚氰胺板：符合GB/T15102-2017《浸渍胶膜纸饰面纤维板和刨花板》GB/T35601-2017《绿色产品评价人造板和木质地板》GB18580-2017《室内装饰装修材料人造板及其制品中甲醛释放限量》GB/T17657-2013《人造板及饰面人造板理化性能试验方法》的标准，表面耐划痕≥1.5N表面无大于90%的连续划痕符合要求，表面耐磨，磨耗值≤40mg/100r,图案纹磨100r后保留50%以上花纹符合要求，表面耐龟裂不低于5级，甲醛释放量≤0.02mg/m</w:t>
            </w:r>
            <w:r>
              <w:rPr>
                <w:rFonts w:ascii="Calibri" w:hAnsi="Calibri" w:eastAsia="仿宋" w:cs="Calibri"/>
                <w:color w:val="auto"/>
                <w:szCs w:val="21"/>
                <w:highlight w:val="none"/>
              </w:rPr>
              <w:t>³</w:t>
            </w:r>
            <w:r>
              <w:rPr>
                <w:rFonts w:hint="eastAsia" w:ascii="仿宋" w:hAnsi="仿宋" w:eastAsia="仿宋" w:cs="仿宋"/>
                <w:color w:val="auto"/>
                <w:szCs w:val="21"/>
                <w:highlight w:val="none"/>
              </w:rPr>
              <w:t>，总挥发性有机化合物TVOC≤42mg/m³。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三聚氰胺板饰面：符合GB18580-2017，GB/T15102-2017的标准，含水率8-9%，表面耐香烟灼烧达到4级，表面耐水蒸气达到5级，吸水厚度膨胀率≤4.0（2h），表面耐划痕≥1.5N表面无大于90%的连续划痕，表面耐污染腐蚀达到5级，表面耐龟裂达到5级，静曲强度≥15MPa，弹性模量≥2500MPa，内结合强度≥0.4MPa，表面耐干热达到5级，密度≥0.6g/cm³，握螺订力板面≥1200N，板边≥850N，表面胶合强度≥0.85MPa，耐光色牢度达到5级，甲醛释放量≤0.025（54h）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3，胶粘剂：符合GB 18583-2008《室内装饰装修材料胶粘剂中有害物质限量》，总挥发性有机物≤90g/L,游离甲醛未检出，笨未检出，甲苯+二甲苯未检出。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三合一：符合GB/T28203-2011标准的要求，外观符合要求，金属镀层抗盐雾18h，1.5mm以下锈点≤20点/dm³，其中≥1.0mm锈点不超过5点（距离边缘棱角2mm以内的不计）符合要求，三合一偏心连接件偏心体抗压强度≥270N，三合一偏心连接件预埋螺母抗拉强度≥580N，三合一偏心连接件中连接螺杆螺纹与螺母抗拉强度≥740N，榫负载5kg，1h，应无断裂、变形。</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PVC封边：符合QB/T4463-2013《家具用封边条技术要求》的标准，耐干热性应无龟裂、无鼓泡。耐磨性磨30r后应无露底现象，耐老化性应无开裂，耐冷热循环性应无龟裂、无鼓泡、无变色、无起皱。甲醛释放量未检出，可溶性重金属铅≤5mg/kg，镉≤5mg/kg，铬≤5mg/kg，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widowControl/>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251"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8</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餐椅</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8" o:spt="75" type="#_x0000_t75" style="height:63.75pt;width:63.75pt;" fillcolor="#FFFFFF" filled="f" o:preferrelative="t" stroked="f" coordsize="21600,21600">
                  <v:path/>
                  <v:fill on="f" color2="#FFFFFF" focussize="0,0"/>
                  <v:stroke on="f"/>
                  <v:imagedata r:id="rId12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常规</w:t>
            </w:r>
          </w:p>
        </w:tc>
        <w:tc>
          <w:tcPr>
            <w:tcW w:w="7119" w:type="dxa"/>
            <w:tcBorders>
              <w:tl2br w:val="nil"/>
              <w:tr2bl w:val="nil"/>
            </w:tcBorders>
            <w:vAlign w:val="center"/>
          </w:tcPr>
          <w:p>
            <w:pPr>
              <w:numPr>
                <w:ilvl w:val="0"/>
                <w:numId w:val="8"/>
              </w:numPr>
              <w:jc w:val="left"/>
              <w:rPr>
                <w:rFonts w:ascii="仿宋" w:hAnsi="仿宋" w:eastAsia="仿宋" w:cs="仿宋"/>
                <w:color w:val="auto"/>
                <w:szCs w:val="21"/>
                <w:highlight w:val="none"/>
              </w:rPr>
            </w:pPr>
            <w:r>
              <w:rPr>
                <w:rFonts w:hint="eastAsia" w:ascii="仿宋" w:hAnsi="仿宋" w:eastAsia="仿宋" w:cs="仿宋"/>
                <w:color w:val="auto"/>
                <w:szCs w:val="21"/>
                <w:highlight w:val="none"/>
              </w:rPr>
              <w:t>面料，绒布：未检出可分解致癌芳香胺染料。按照GB 18401-2010标准要求。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2，阻燃海绵：拉伸强度≥109kpa，撕裂强度≥2.5N/cm，干热老化后拉伸强度≥113kpa，湿热老化后拉伸强度≥110kpa，密度≥31kg/m³，表面和内部未出现任何续燃、阴燃现象，通过香烟抗引燃特性试验，按照GB/T 10802-2006，QB/T 1952.1-2012标准要求。</w:t>
            </w:r>
          </w:p>
          <w:p>
            <w:pPr>
              <w:pStyle w:val="2"/>
              <w:jc w:val="left"/>
              <w:rPr>
                <w:rFonts w:ascii="仿宋" w:hAnsi="仿宋" w:eastAsia="仿宋" w:cs="仿宋"/>
                <w:color w:val="auto"/>
                <w:sz w:val="21"/>
                <w:highlight w:val="none"/>
                <w:lang w:val="en-US"/>
              </w:rPr>
            </w:pPr>
            <w:r>
              <w:rPr>
                <w:rFonts w:hint="eastAsia" w:ascii="仿宋" w:hAnsi="仿宋" w:eastAsia="仿宋" w:cs="仿宋"/>
                <w:color w:val="auto"/>
                <w:sz w:val="21"/>
                <w:highlight w:val="none"/>
                <w:lang w:val="en-US"/>
              </w:rPr>
              <w:t>3，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热固性粉末涂料：符合HG/T2006-2006/《热固性粉末涂料》的标准，漆膜外观符合要求，硬度≥5H，附着力不低于1级，耐碱性试板经耐碱试验168h无异常，耐酸性试板经耐酸试验240h无异常，可溶性铅含未检出，镉未检出，铬未检出，汞未检出。</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9</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餐桌</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49" o:spt="75" type="#_x0000_t75" style="height:72pt;width:89.25pt;" fillcolor="#FFFFFF" filled="f" o:preferrelative="t" stroked="f" coordsize="21600,21600">
                  <v:path/>
                  <v:fill on="f" color2="#FFFFFF" focussize="0,0"/>
                  <v:stroke on="f"/>
                  <v:imagedata r:id="rId12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1800*760</w:t>
            </w:r>
          </w:p>
        </w:tc>
        <w:tc>
          <w:tcPr>
            <w:tcW w:w="7119" w:type="dxa"/>
            <w:tcBorders>
              <w:tl2br w:val="nil"/>
              <w:tr2bl w:val="nil"/>
            </w:tcBorders>
            <w:vAlign w:val="center"/>
          </w:tcPr>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szCs w:val="21"/>
                <w:highlight w:val="none"/>
              </w:rPr>
              <w:t>1，基材，橡木：检测依据按照LY/T1787-2016或GB/T26899-2011的要求，含水率≤10%，外观质量要求无裂纹无变色无死结无虫眼，甲醛释放量≤0.3mg/L。</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水性底漆：符合GB18581-2020标准的要求，VOC含量≤165g/L,甲醛含量未检出，,笨系物总和含量（笨，甲苯，二甲苯）未检出，乙二醇醚及醚酯总和含量（限乙二醇甲醚、乙二醇甲醚醋酸酯、乙二醇乙醚、乙二醇乙醚融酸酯、乙二辞二甲醚、乙二酵二乙鼪、二乙二醇二甲醚、三乙二醇二甲醚）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水性面漆：符合GB18581-2020标准的要求，VOC含量≤90g/L,甲醛含量未检出，,笨系物总和含量（笨，甲苯，二甲苯）≤50mg/kg，乙二醇醚及醚酯总和含量（限乙二醇甲醚、乙二醇甲醚醋酸酯、乙二醇乙醚、乙二醇乙醚融酸酯、乙二辞二甲醚、乙二酵二乙鼪、二乙二醇二甲醚、三乙二醇二甲醚）≤50mg/kg</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3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10</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无扶手椅</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"C:\\Users\\ADMINI~1\\AppData\\Local\\Temp\\ksohtml\\clip_image62.png"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0" o:spt="75" type="#_x0000_t75" style="height:77.25pt;width:57.75pt;" fillcolor="#FFFFFF" filled="f" o:preferrelative="t" stroked="f" coordsize="21600,21600">
                  <v:path/>
                  <v:fill on="f" color2="#FFFFFF" focussize="0,0"/>
                  <v:stroke on="f"/>
                  <v:imagedata r:id="rId122"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470*570(无扶手款)*985 座高470</w:t>
            </w:r>
          </w:p>
        </w:tc>
        <w:tc>
          <w:tcPr>
            <w:tcW w:w="7119" w:type="dxa"/>
            <w:tcBorders>
              <w:tl2br w:val="nil"/>
              <w:tr2bl w:val="nil"/>
            </w:tcBorders>
            <w:vAlign w:val="center"/>
          </w:tcPr>
          <w:p>
            <w:pPr>
              <w:numPr>
                <w:ilvl w:val="0"/>
                <w:numId w:val="8"/>
              </w:num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szCs w:val="21"/>
                <w:highlight w:val="none"/>
              </w:rPr>
              <w:t>面料，绒布：未检出可分解致癌芳香胺染料。按照GB 18401-2010标准要求。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2，阻燃海绵：拉伸强度≥109kpa，撕裂强度≥2.5N/cm，干热老化后拉伸强度≥113kpa，湿热老化后拉伸强度≥110kpa，密度≥31kg/m³，表面和内部未出现任何续燃、阴燃现象，通过香烟抗引燃特性试验，按照GB/T 10802-2006，QB/T 1952.1-2012标准要求。</w:t>
            </w:r>
          </w:p>
          <w:p>
            <w:pPr>
              <w:pStyle w:val="2"/>
              <w:jc w:val="left"/>
              <w:rPr>
                <w:rFonts w:ascii="仿宋" w:hAnsi="仿宋" w:eastAsia="仿宋" w:cs="仿宋"/>
                <w:color w:val="auto"/>
                <w:sz w:val="21"/>
                <w:highlight w:val="none"/>
                <w:lang w:val="en-US"/>
              </w:rPr>
            </w:pPr>
            <w:r>
              <w:rPr>
                <w:rFonts w:hint="eastAsia" w:ascii="仿宋" w:hAnsi="仿宋" w:eastAsia="仿宋" w:cs="仿宋"/>
                <w:color w:val="auto"/>
                <w:sz w:val="21"/>
                <w:highlight w:val="none"/>
                <w:lang w:val="en-US"/>
              </w:rPr>
              <w:t>3，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pStyle w:val="2"/>
              <w:jc w:val="left"/>
              <w:rPr>
                <w:rFonts w:ascii="仿宋" w:hAnsi="仿宋" w:eastAsia="仿宋" w:cs="仿宋"/>
                <w:color w:val="auto"/>
                <w:sz w:val="21"/>
                <w:highlight w:val="none"/>
                <w:lang w:val="en-US"/>
              </w:rPr>
            </w:pPr>
            <w:r>
              <w:rPr>
                <w:rFonts w:hint="eastAsia" w:ascii="仿宋" w:hAnsi="仿宋" w:eastAsia="仿宋" w:cs="仿宋"/>
                <w:color w:val="auto"/>
                <w:sz w:val="21"/>
                <w:highlight w:val="none"/>
                <w:lang w:val="en-US"/>
              </w:rPr>
              <w:t>3，采用优质实木脚（橡木）：检测依据按照LY/T1787-2016或GB/T26899-2011的要求，含水率≤10%，外观质量要求无裂纹无变色无死结无虫眼，甲醛释放量≤0.3mg/L。</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11</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恒湿净化消毒一体机</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"C:\\Users\\ADMINI~1\\AppData\\Local\\Temp\\ksohtml\\clip_image40.png"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1" o:spt="75" type="#_x0000_t75" style="height:70.15pt;width:45.4pt;" fillcolor="#FFFFFF" filled="f" o:preferrelative="t" stroked="f" coordsize="21600,21600">
                  <v:path/>
                  <v:fill on="f" color2="#FFFFFF" focussize="0,0"/>
                  <v:stroke on="f"/>
                  <v:imagedata r:id="rId123"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p>
        </w:tc>
        <w:tc>
          <w:tcPr>
            <w:tcW w:w="7119" w:type="dxa"/>
            <w:tcBorders>
              <w:tl2br w:val="nil"/>
              <w:tr2bl w:val="nil"/>
            </w:tcBorders>
            <w:vAlign w:val="center"/>
          </w:tcPr>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1、除湿量    110L/D</w:t>
            </w:r>
          </w:p>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2、名义除湿量 2.26㎏/h</w:t>
            </w:r>
          </w:p>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3、适用面积 150-300㎡</w:t>
            </w:r>
          </w:p>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4、按键方式 触控</w:t>
            </w:r>
          </w:p>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5、额定电压 220V-50Hz纠错</w:t>
            </w:r>
          </w:p>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6、额定功率 1215W</w:t>
            </w:r>
          </w:p>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7、产品重量 不大于69kg</w:t>
            </w:r>
          </w:p>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8、产品尺寸 不大于672*530*985mm</w:t>
            </w:r>
          </w:p>
          <w:p>
            <w:pPr>
              <w:widowControl/>
              <w:jc w:val="left"/>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9、其他特点 故障智能自动检测，智能自动化霜，电流过载保护，高低压保</w:t>
            </w:r>
          </w:p>
          <w:p>
            <w:pPr>
              <w:widowControl/>
              <w:jc w:val="left"/>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护，自动化霜功能，断电记忆功能</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铁灰</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12</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双面档案柜</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"C:\\Users\\ADMINI~1\\AppData\\Local\\Temp\\ksohtml\\clip_image41.png"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2" o:spt="75" type="#_x0000_t75" style="height:88.5pt;width:64.5pt;" fillcolor="#FFFFFF" filled="f" o:preferrelative="t" stroked="f" coordsize="21600,21600">
                  <v:path/>
                  <v:fill on="f" color2="#FFFFFF" focussize="0,0"/>
                  <v:stroke on="f"/>
                  <v:imagedata r:id="rId124"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1800*600*2000</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szCs w:val="21"/>
                <w:highlight w:val="none"/>
              </w:rPr>
              <w:t>冷轧钢板：符合GB/T5213-2008的标准，屈服强度≤250MPa，抗拉强度320-350MPa，断后伸长率≥30%，化学元素C≤0.1%,Mn≤0.25%,P≤0.02%，S≤0.2%</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热固性粉末涂料：符合HG/T2006-2006/《热固性粉末涂料》的标准，漆膜外观符合要求，硬度≥5H，附着力不低于1级，耐碱性试板经耐碱试验168h无异常，耐酸性试板经耐酸试验240h无异常，可溶性铅含未检出，镉未检出，铬未检出，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铰链：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拉手：符合QB/T3827-1999《轻工产品金属镀层和化学处理层的耐腐蚀试验方法乙酸盐雾试验（ASS）法》：QB/T3832-I999《轻工产品金属镀层腐蚀试验结果的评价》标准的要求，耐腐蚀乙酸盐雾，连续喷雾≥500h，涂层本身耐腐蚀等级实测值≥9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锁具：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widowControl/>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13</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办公桌</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"C:\\Users\\ADMINI~1\\AppData\\Local\\Temp\\ksohtml\\clip_image42.png"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3" o:spt="75" type="#_x0000_t75" style="height:72pt;width:81.75pt;" fillcolor="#FFFFFF" filled="f" o:preferrelative="t" stroked="f" coordsize="21600,21600">
                  <v:path/>
                  <v:fill on="f" color2="#FFFFFF" focussize="0,0"/>
                  <v:stroke on="f"/>
                  <v:imagedata r:id="rId125"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1600*800*750</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1，基材，</w:t>
            </w:r>
            <w:r>
              <w:rPr>
                <w:rFonts w:hint="eastAsia" w:ascii="仿宋" w:hAnsi="仿宋" w:eastAsia="仿宋" w:cs="仿宋"/>
                <w:color w:val="auto"/>
                <w:szCs w:val="21"/>
                <w:highlight w:val="none"/>
              </w:rPr>
              <w:t>三聚氰胺板：符合GB/T15102-2017《浸渍胶膜纸饰面纤维板和刨花板》GB/T35601-2017《绿色产品评价人造板和木质地板》GB18580-2017《室内装饰装修材料人造板及其制品中甲醛释放限量》GB/T17657-2013《人造板及饰面人造板理化性能试验方法》的标准，表面耐划痕≥1.5N表面无大于90%的连续划痕符合要求，表面耐磨，磨耗值≤40mg/100r,图案纹磨100r后保留50%以上花纹符合要求，表面耐龟裂不低于5级，甲醛释放量≤0.02mg/m³，总挥发性有机化合物TVOC≤42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三聚氰胺板饰面：符合GB18580-2017，GB/T15102-2017的标准，含水率8-9%，表面耐香烟灼烧达到4级，表面耐水蒸气达到5级，吸水厚度膨胀率≤4.0（2h），表面耐划痕≥1.5N表面无大于90%的连续划痕，表面耐污染腐蚀达到5级，表面耐龟裂达到5级，静曲强度≥15MPa，弹性模量≥2500MPa，内结合强度≥0.4MPa，表面耐干热达到5级，密度≥0.6g/cm³，握螺订力板面≥1200N，板边≥850N，表面胶合强度≥0.85MPa，耐光色牢度达到5级，甲醛释放量≤0.025（54h）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3，胶粘剂：符合GB 18583-2008《室内装饰装修材料胶粘剂中有害物质限量》，总挥发性有机物≤90g/L,游离甲醛未检出，笨未检出，甲苯+二甲苯未检出。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三合一：符合GB/T28203-2011标准的要求，外观符合要求，金属镀层抗盐雾18h，1.5mm以下锈点≤20点/dm³，其中≥1.0mm锈点不超过5点（距离边缘棱角2mm以内的不计）符合要求，三合一偏心连接件偏心体抗压强度≥270N，三合一偏心连接件预埋螺母抗拉强度≥580N，三合一偏心连接件中连接螺杆螺纹与螺母抗拉强度≥740N，榫负载5kg，1h，应无断裂、变形。</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PVC封边：符合QB/T4463-2013《家具用封边条技术要求》的标准，耐干热性应无龟裂、无鼓泡。耐磨性磨30r后应无露底现象，耐老化性应无开裂，耐冷热循环性应无龟裂、无鼓泡、无变色、无起皱。甲醛释放量未检出，可溶性重金属铅≤5mg/kg，镉≤5mg/kg，铬≤5mg/kg，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铰链：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7，拉手：符合QB/T3827-1999《轻工产品金属镀层和化学处理层的耐腐蚀试验方法乙酸盐雾试验（ASS）法》：QB/T3832-I999《轻工产品金属镀层腐蚀试验结果的评价》标准的要求，耐腐蚀乙酸盐雾，连续喷雾≥500h，涂层本身耐腐蚀等级实测值≥9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8，锁具：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9，导轨：符合QB/T3827-1999《轻工产品金属镀层和化学处理层的耐腐蚀试验方法乙酸盐雾试验（ASS）法》：QB/T3832-I999《轻工产品金属镀层腐蚀试验结果的评价》标准的要求，耐腐蚀乙酸盐雾，连续喷雾≥160h，涂层本身耐腐蚀等级实测值≥10级。</w:t>
            </w: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14</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办公椅</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4" o:spt="75" type="#_x0000_t75" style="height:81.75pt;width:55.5pt;" fillcolor="#FFFFFF" filled="f" o:preferrelative="t" stroked="f" coordsize="21600,21600">
                  <v:path/>
                  <v:fill on="f" color2="#FFFFFF" focussize="0,0"/>
                  <v:stroke on="f"/>
                  <v:imagedata r:id="rId126"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常规</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kern w:val="0"/>
                <w:szCs w:val="21"/>
                <w:highlight w:val="none"/>
              </w:rPr>
              <w:tab/>
            </w:r>
            <w:r>
              <w:rPr>
                <w:rFonts w:hint="eastAsia" w:ascii="仿宋" w:hAnsi="仿宋" w:eastAsia="仿宋" w:cs="仿宋"/>
                <w:color w:val="auto"/>
                <w:szCs w:val="21"/>
                <w:highlight w:val="none"/>
              </w:rPr>
              <w:t>网布：PH值≤6.8，耐干摩擦≥3级，未检出可分解芳香胺燃料，按照GB18401-2010标准要求。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2，阻燃海绵：拉伸强度≥109kpa，撕裂强度≥2.5N/cm，干热老化后拉伸强度≥113kpa，湿热老化后拉伸强度≥110kpa，密度≥31kg/m³，表面和内部未出现任何续燃、阴燃现象，通过香烟抗引燃特性试验，按照GB/T 10802-2006，QB/T 1952.1-2012标准要求。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五星脚：金属件外观应进行防锈处理、无锈迹，应无裂纹、结疤，金属件镀层无烧焦、起泡、针孔、裂纹、毛刺、花斑和划痕，电镀层耐盐雾：18h，1.5mm以下锈点≤2点/d㎡，无锈点，底座7560N，1min，2次，底座的结构完整性应无破坏，应无突然明显形变，按照QB/T2280-2016标准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4，气压棒：符合QB/T2280-2016的标准，密封性能气单簧锁定在任意位置，经 72h 常温储存后，活塞杆不产生位移。耐高低温性能气弹簧经-30℃和60℃高低温储存后，公称力F，衰减量不应大于5%.循坏寿命50000次需环寿命后，气弹簧公称力F，的总衰减量不应大于13%.</w:t>
            </w:r>
          </w:p>
          <w:p>
            <w:pPr>
              <w:widowControl/>
              <w:tabs>
                <w:tab w:val="left" w:pos="1688"/>
              </w:tabs>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15</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文件柜</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"C:\\Users\\ADMINI~1\\AppData\\Local\\Temp\\ksohtml\\clip_image43.png"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5" o:spt="75" type="#_x0000_t75" style="height:74.25pt;width:31.5pt;" fillcolor="#FFFFFF" filled="f" o:preferrelative="t" stroked="f" coordsize="21600,21600">
                  <v:path/>
                  <v:fill on="f" color2="#FFFFFF" focussize="0,0"/>
                  <v:stroke on="f"/>
                  <v:imagedata r:id="rId127"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800*400*2000</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1，基材，</w:t>
            </w:r>
            <w:r>
              <w:rPr>
                <w:rFonts w:hint="eastAsia" w:ascii="仿宋" w:hAnsi="仿宋" w:eastAsia="仿宋" w:cs="仿宋"/>
                <w:color w:val="auto"/>
                <w:szCs w:val="21"/>
                <w:highlight w:val="none"/>
              </w:rPr>
              <w:t>三聚氰胺板：符合GB/T15102-2017《浸渍胶膜纸饰面纤维板和刨花板》GB/T35601-2017《绿色产品评价人造板和木质地板》GB18580-2017《室内装饰装修材料人造板及其制品中甲醛释放限量》GB/T17657-2013《人造板及饰面人造板理化性能试验方法》的标准，表面耐划痕≥1.5N表面无大于90%的连续划痕符合要求，表面耐磨，磨耗值≤40mg/100r,图案纹磨100r后保留50%以上花纹符合要求，表面耐龟裂不低于5级，甲醛释放量≤0.02mg/m³，总挥发性有机化合物TVOC≤42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三聚氰胺板饰面：符合GB18580-2017，GB/T15102-2017的标准，含水率8-9%，表面耐香烟灼烧达到4级，表面耐水蒸气达到5级，吸水厚度膨胀率≤4.0（2h），表面耐划痕≥1.5N表面无大于90%的连续划痕，表面耐污染腐蚀达到5级，表面耐龟裂达到5级，静曲强度≥15MPa，弹性模量≥2500MPa，内结合强度≥0.4MPa，表面耐干热达到5级，密度≥0.6g/cm³，握螺订力板面≥1200N，板边≥850N，表面胶合强度≥0.85MPa，耐光色牢度达到5级，甲醛释放量≤0.025（54h）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3，胶粘剂：符合GB 18583-2008《室内装饰装修材料胶粘剂中有害物质限量》，总挥发性有机物≤90g/L,游离甲醛未检出，笨未检出，甲苯+二甲苯未检出。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三合一：符合GB/T28203-2011标准的要求，外观符合要求，金属镀层抗盐雾18h，1.5mm以下锈点≤20点/dm³，其中≥1.0mm锈点不超过5点（距离边缘棱角2mm以内的不计）符合要求，三合一偏心连接件偏心体抗压强度≥270N，三合一偏心连接件预埋螺母抗拉强度≥580N，三合一偏心连接件中连接螺杆螺纹与螺母抗拉强度≥740N，榫负载5kg，1h，应无断裂、变形。</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PVC封边：符合QB/T4463-2013《家具用封边条技术要求》的标准，耐干热性应无龟裂、无鼓泡。耐磨性磨30r后应无露底现象，耐老化性应无开裂，耐冷热循环性应无龟裂、无鼓泡、无变色、无起皱。甲醛释放量未检出，可溶性重金属铅≤5mg/kg，镉≤5mg/kg，铬≤5mg/kg，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铰链：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7，拉手：符合QB/T3827-1999《轻工产品金属镀层和化学处理层的耐腐蚀试验方法乙酸盐雾试验（ASS）法》：QB/T3832-I999《轻工产品金属镀层腐蚀试验结果的评价》标准的要求，耐腐蚀乙酸盐雾，连续喷雾≥500h，涂层本身耐腐蚀等级实测值≥9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8，锁具：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9，导轨：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widowControl/>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16</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接待椅</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"C:\\Users\\ADMINI~1\\AppData\\Local\\Temp\\ksohtml\\clip_image45.png"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6" o:spt="75" type="#_x0000_t75" style="height:90pt;width:51.75pt;" fillcolor="#FFFFFF" filled="f" o:preferrelative="t" stroked="f" coordsize="21600,21600">
                  <v:path/>
                  <v:fill on="f" color2="#FFFFFF" focussize="0,0"/>
                  <v:stroke on="f"/>
                  <v:imagedata r:id="rId128"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常规</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kern w:val="0"/>
                <w:szCs w:val="21"/>
                <w:highlight w:val="none"/>
              </w:rPr>
              <w:tab/>
            </w:r>
            <w:r>
              <w:rPr>
                <w:rFonts w:hint="eastAsia" w:ascii="仿宋" w:hAnsi="仿宋" w:eastAsia="仿宋" w:cs="仿宋"/>
                <w:color w:val="auto"/>
                <w:szCs w:val="21"/>
                <w:highlight w:val="none"/>
              </w:rPr>
              <w:t>网布：PH值≤6.8，耐干摩擦≥3级，未检出可分解芳香胺燃料，按照GB18401-2010标准要求。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2，阻燃海绵：拉伸强度≥109kpa，撕裂强度≥2.5N/cm，干热老化后拉伸强度≥113kpa，湿热老化后拉伸强度≥110kpa，密度≥31kg/m³，表面和内部未出现任何续燃、阴燃现象，通过香烟抗引燃特性试验，按照GB/T 10802-2006，QB/T 1952.1-2012标准要求。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五星脚：金属件外观应进行防锈处理、无锈迹，应无裂纹、结疤，金属件镀层无烧焦、起泡、针孔、裂纹、毛刺、花斑和划痕，电镀层耐盐雾：18h，1.5mm以下锈点≤2点/d㎡，无锈点，底座7560N，1min，2次，底座的结构完整性应无破坏，应无突然明显形变，按照QB/T2280-2016标准要求。</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脚架：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jc w:val="left"/>
              <w:rPr>
                <w:rFonts w:ascii="仿宋" w:hAnsi="仿宋" w:eastAsia="仿宋" w:cs="仿宋"/>
                <w:color w:val="auto"/>
                <w:szCs w:val="21"/>
                <w:highlight w:val="none"/>
              </w:rPr>
            </w:pPr>
          </w:p>
          <w:p>
            <w:pPr>
              <w:widowControl/>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17</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茶几</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7" o:spt="75" type="#_x0000_t75" style="height:69.75pt;width:73.5pt;" fillcolor="#FFFFFF" filled="f" o:preferrelative="t" stroked="f" coordsize="21600,21600">
                  <v:path/>
                  <v:fill on="f" color2="#FFFFFF" focussize="0,0"/>
                  <v:stroke on="f"/>
                  <v:imagedata r:id="rId129"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600*400*450</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1，基材，</w:t>
            </w:r>
            <w:r>
              <w:rPr>
                <w:rFonts w:hint="eastAsia" w:ascii="仿宋" w:hAnsi="仿宋" w:eastAsia="仿宋" w:cs="仿宋"/>
                <w:color w:val="auto"/>
                <w:szCs w:val="21"/>
                <w:highlight w:val="none"/>
              </w:rPr>
              <w:t>三聚氰胺板：符合GB/T15102-2017《浸渍胶膜纸饰面纤维板和刨花板》GB/T35601-2017《绿色产品评价人造板和木质地板》GB18580-2017《室内装饰装修材料人造板及其制品中甲醛释放限量》GB/T17657-2013《人造板及饰面人造板理化性能试验方法》的标准，表面耐划痕≥1.5N表面无大于90%的连续划痕符合要求，表面耐磨，磨耗值≤40mg/100r,图案纹磨100r后保留50%以上花纹符合要求，表面耐龟裂不低于5级，甲醛释放量≤0.02mg/m³，总挥发性有机化合物TVOC≤42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三聚氰胺板饰面：符合GB18580-2017，GB/T15102-2017的标准，含水率8-9%，表面耐香烟灼烧达到4级，表面耐水蒸气达到5级，吸水厚度膨胀率≤4.0（2h），表面耐划痕≥1.5N表面无大于90%的连续划痕，表面耐污染腐蚀达到5级，表面耐龟裂达到5级，静曲强度≥15MPa，弹性模量≥2500MPa，内结合强度≥0.4MPa，表面耐干热达到5级，密度≥0.6g/cm³，握螺订力板面≥1200N，板边≥850N，表面胶合强度≥0.85MPa，耐光色牢度达到5级，甲醛释放量≤0.025（54h）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3，胶粘剂：符合GB 18583-2008《室内装饰装修材料胶粘剂中有害物质限量》，总挥发性有机物≤90g/L,游离甲醛未检出，笨未检出，甲苯+二甲苯未检出。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三合一：符合GB/T28203-2011标准的要求，外观符合要求，金属镀层抗盐雾18h，1.5mm以下锈点≤20点/dm³，其中≥1.0mm锈点不超过5点（距离边缘棱角2mm以内的不计）符合要求，三合一偏心连接件偏心体抗压强度≥270N，三合一偏心连接件预埋螺母抗拉强度≥580N，三合一偏心连接件中连接螺杆螺纹与螺母抗拉强度≥740N，榫负载5kg，1h，应无断裂、变形。</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PVC封边：符合QB/T4463-2013《家具用封边条技术要求》的标准，耐干热性应无龟裂、无鼓泡。耐磨性磨30r后应无露底现象，耐老化性应无开裂，耐冷热循环性应无龟裂、无鼓泡、无变色、无起皱。甲醛释放量未检出，可溶性重金属铅≤5mg/kg，镉≤5mg/kg，铬≤5mg/kg，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widowControl/>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120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18</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茶水柜</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"C:\\Users\\ADMINI~1\\AppData\\Local\\Temp\\ksohtml\\clip_image44.png"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8" o:spt="75" type="#_x0000_t75" style="height:84pt;width:72pt;" fillcolor="#FFFFFF" filled="f" o:preferrelative="t" stroked="f" coordsize="21600,21600">
                  <v:path/>
                  <v:fill on="f" color2="#FFFFFF" focussize="0,0"/>
                  <v:stroke on="f"/>
                  <v:imagedata r:id="rId130"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800*400*800</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1，基材，</w:t>
            </w:r>
            <w:r>
              <w:rPr>
                <w:rFonts w:hint="eastAsia" w:ascii="仿宋" w:hAnsi="仿宋" w:eastAsia="仿宋" w:cs="仿宋"/>
                <w:color w:val="auto"/>
                <w:szCs w:val="21"/>
                <w:highlight w:val="none"/>
              </w:rPr>
              <w:t>三聚氰胺板：符合GB/T15102-2017《浸渍胶膜纸饰面纤维板和刨花板》GB/T35601-2017《绿色产品评价人造板和木质地板》GB18580-2017《室内装饰装修材料人造板及其制品中甲醛释放限量》GB/T17657-2013《人造板及饰面人造板理化性能试验方法》的标准，表面耐划痕≥1.5N表面无大于90%的连续划痕符合要求，表面耐磨，磨耗值≤40mg/100r,图案纹磨100r后保留50%以上花纹符合要求，表面耐龟裂不低于5级，甲醛释放量≤0.02mg/m³，总挥发性有机化合物TVOC≤42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三聚氰胺板饰面：符合GB18580-2017，GB/T15102-2017的标准，含水率8-9%，表面耐香烟灼烧达到4级，表面耐水蒸气达到5级，吸水厚度膨胀率≤4.0（2h），表面耐划痕≥1.5N表面无大于90%的连续划痕，表面耐污染腐蚀达到5级，表面耐龟裂达到5级，静曲强度≥15MPa，弹性模量≥2500MPa，内结合强度≥0.4MPa，表面耐干热达到5级，密度≥0.6g/cm³，握螺订力板面≥1200N，板边≥850N，表面胶合强度≥0.85MPa，耐光色牢度达到5级，甲醛释放量≤0.025（54h）mg/m³</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3，胶粘剂：符合GB 18583-2008《室内装饰装修材料胶粘剂中有害物质限量》，总挥发性有机物≤90g/L,游离甲醛未检出，笨未检出，甲苯+二甲苯未检出。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4，三合一：符合GB/T28203-2011标准的要求，外观符合要求，金属镀层抗盐雾18h，1.5mm以下锈点≤20点/dm³，其中≥1.0mm锈点不超过5点（距离边缘棱角2mm以内的不计）符合要求，三合一偏心连接件偏心体抗压强度≥270N，三合一偏心连接件预埋螺母抗拉强度≥580N，三合一偏心连接件中连接螺杆螺纹与螺母抗拉强度≥740N，榫负载5kg，1h，应无断裂、变形。</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5，PVC封边：符合QB/T4463-2013《家具用封边条技术要求》的标准，耐干热性应无龟裂、无鼓泡。耐磨性磨30r后应无露底现象，耐老化性应无开裂，耐冷热循环性应无龟裂、无鼓泡、无变色、无起皱。甲醛释放量未检出，可溶性重金属铅≤5mg/kg，镉≤5mg/kg，铬≤5mg/kg，汞未检出。</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6，铰链：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7，拉手：符合QB/T3827-1999《轻工产品金属镀层和化学处理层的耐腐蚀试验方法乙酸盐雾试验（ASS）法》：QB/T3832-I999《轻工产品金属镀层腐蚀试验结果的评价》标准的要求，耐腐蚀乙酸盐雾，连续喷雾≥500h，涂层本身耐腐蚀等级实测值≥9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8，锁具：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9，导轨：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widowControl/>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995" w:hRule="atLeast"/>
        </w:trPr>
        <w:tc>
          <w:tcPr>
            <w:tcW w:w="797" w:type="dxa"/>
            <w:tcBorders>
              <w:tl2br w:val="nil"/>
              <w:tr2bl w:val="nil"/>
            </w:tcBorders>
            <w:vAlign w:val="center"/>
          </w:tcPr>
          <w:p>
            <w:pPr>
              <w:widowControl/>
              <w:jc w:val="center"/>
              <w:textAlignment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19</w:t>
            </w:r>
          </w:p>
        </w:tc>
        <w:tc>
          <w:tcPr>
            <w:tcW w:w="797"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中型货架</w:t>
            </w:r>
          </w:p>
        </w:tc>
        <w:tc>
          <w:tcPr>
            <w:tcW w:w="2573"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fldChar w:fldCharType="begin"/>
            </w:r>
            <w:r>
              <w:rPr>
                <w:rFonts w:hint="eastAsia" w:ascii="仿宋" w:hAnsi="仿宋" w:eastAsia="仿宋" w:cs="仿宋"/>
                <w:color w:val="auto"/>
                <w:kern w:val="0"/>
                <w:szCs w:val="21"/>
                <w:highlight w:val="none"/>
              </w:rPr>
              <w:instrText xml:space="preserve">INCLUDEPICTURE \d "C:\\Users\\ADMINI~1\\AppData\\Local\\Temp\\ksohtml\\clip_image76.png" \* MERGEFORMATINET </w:instrText>
            </w:r>
            <w:r>
              <w:rPr>
                <w:rFonts w:hint="eastAsia" w:ascii="仿宋" w:hAnsi="仿宋" w:eastAsia="仿宋" w:cs="仿宋"/>
                <w:color w:val="auto"/>
                <w:kern w:val="0"/>
                <w:szCs w:val="21"/>
                <w:highlight w:val="none"/>
              </w:rPr>
              <w:fldChar w:fldCharType="separate"/>
            </w:r>
            <w:r>
              <w:rPr>
                <w:rFonts w:hint="eastAsia" w:ascii="仿宋" w:hAnsi="仿宋" w:eastAsia="仿宋" w:cs="仿宋"/>
                <w:color w:val="auto"/>
                <w:kern w:val="0"/>
                <w:sz w:val="21"/>
                <w:szCs w:val="21"/>
                <w:highlight w:val="none"/>
                <w:lang w:val="en-US" w:eastAsia="zh-CN" w:bidi="ar-SA"/>
              </w:rPr>
              <w:pict>
                <v:shape id="_x0000_i1159" o:spt="75" type="#_x0000_t75" style="height:75.75pt;width:75pt;" fillcolor="#FFFFFF" filled="f" o:preferrelative="t" stroked="f" coordsize="21600,21600">
                  <v:path/>
                  <v:fill on="f" color2="#FFFFFF" focussize="0,0"/>
                  <v:stroke on="f"/>
                  <v:imagedata r:id="rId131" gain="65536f" blacklevel="0f" gamma="0" o:title=""/>
                  <o:lock v:ext="edit" position="f" selection="f" grouping="f" rotation="f" cropping="f" text="f" aspectratio="t"/>
                  <w10:wrap type="none"/>
                  <w10:anchorlock/>
                </v:shape>
              </w:pict>
            </w:r>
            <w:r>
              <w:rPr>
                <w:rFonts w:hint="eastAsia" w:ascii="仿宋" w:hAnsi="仿宋" w:eastAsia="仿宋" w:cs="仿宋"/>
                <w:color w:val="auto"/>
                <w:kern w:val="0"/>
                <w:szCs w:val="21"/>
                <w:highlight w:val="none"/>
              </w:rPr>
              <w:fldChar w:fldCharType="end"/>
            </w:r>
          </w:p>
        </w:tc>
        <w:tc>
          <w:tcPr>
            <w:tcW w:w="131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2000*500*2000</w:t>
            </w:r>
          </w:p>
        </w:tc>
        <w:tc>
          <w:tcPr>
            <w:tcW w:w="7119" w:type="dxa"/>
            <w:tcBorders>
              <w:tl2br w:val="nil"/>
              <w:tr2bl w:val="nil"/>
            </w:tcBorders>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1，</w:t>
            </w:r>
            <w:r>
              <w:rPr>
                <w:rFonts w:hint="eastAsia" w:ascii="仿宋" w:hAnsi="仿宋" w:eastAsia="仿宋" w:cs="仿宋"/>
                <w:color w:val="auto"/>
                <w:szCs w:val="21"/>
                <w:highlight w:val="none"/>
              </w:rPr>
              <w:t>冷轧钢板：符合GB/T5213-2008的标准，屈服强度≤250MPa，抗拉强度320-350MPa，断后伸长率≥30%，化学元素C≤0.1%,Mn≤0.25%,P≤0.02%，S≤0.2%</w:t>
            </w:r>
          </w:p>
          <w:p>
            <w:pPr>
              <w:jc w:val="left"/>
              <w:rPr>
                <w:rFonts w:ascii="仿宋" w:hAnsi="仿宋" w:eastAsia="仿宋" w:cs="仿宋"/>
                <w:color w:val="auto"/>
                <w:szCs w:val="21"/>
                <w:highlight w:val="none"/>
              </w:rPr>
            </w:pPr>
            <w:r>
              <w:rPr>
                <w:rFonts w:hint="eastAsia" w:ascii="仿宋" w:hAnsi="仿宋" w:eastAsia="仿宋" w:cs="仿宋"/>
                <w:color w:val="auto"/>
                <w:szCs w:val="21"/>
                <w:highlight w:val="none"/>
              </w:rPr>
              <w:t>2，热固性粉末涂料：符合HG/T2006-2006/《热固性粉末涂料》的标准，漆膜外观符合要求，硬度≥5H，附着力不低于1级，耐碱性试板经耐碱试验168h无异常，耐酸性试板经耐酸试验240h无异常，可溶性铅含未检出，镉未检出，铬未检出，汞未检出。</w:t>
            </w:r>
          </w:p>
          <w:p>
            <w:pPr>
              <w:widowControl/>
              <w:jc w:val="left"/>
              <w:textAlignment w:val="center"/>
              <w:rPr>
                <w:rFonts w:ascii="仿宋" w:hAnsi="仿宋" w:eastAsia="仿宋" w:cs="仿宋"/>
                <w:color w:val="auto"/>
                <w:szCs w:val="21"/>
                <w:highlight w:val="none"/>
              </w:rPr>
            </w:pPr>
          </w:p>
        </w:tc>
        <w:tc>
          <w:tcPr>
            <w:tcW w:w="785"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可选</w:t>
            </w:r>
          </w:p>
        </w:tc>
        <w:tc>
          <w:tcPr>
            <w:tcW w:w="889" w:type="dxa"/>
            <w:tcBorders>
              <w:tl2br w:val="nil"/>
              <w:tr2bl w:val="nil"/>
            </w:tcBorders>
            <w:vAlign w:val="center"/>
          </w:tcPr>
          <w:p>
            <w:pPr>
              <w:widowControl/>
              <w:jc w:val="center"/>
              <w:textAlignment w:val="center"/>
              <w:rPr>
                <w:rFonts w:ascii="仿宋" w:hAnsi="仿宋" w:eastAsia="仿宋" w:cs="仿宋"/>
                <w:color w:val="auto"/>
                <w:szCs w:val="21"/>
                <w:highlight w:val="none"/>
              </w:rPr>
            </w:pPr>
            <w:r>
              <w:rPr>
                <w:rFonts w:hint="eastAsia" w:ascii="仿宋" w:hAnsi="仿宋" w:eastAsia="仿宋" w:cs="仿宋"/>
                <w:color w:val="auto"/>
                <w:kern w:val="0"/>
                <w:szCs w:val="21"/>
                <w:highlight w:val="none"/>
              </w:rPr>
              <w:t>40</w:t>
            </w:r>
          </w:p>
        </w:tc>
      </w:tr>
    </w:tbl>
    <w:p>
      <w:pPr>
        <w:pStyle w:val="24"/>
        <w:ind w:firstLine="420"/>
        <w:rPr>
          <w:rFonts w:ascii="仿宋" w:hAnsi="仿宋" w:eastAsia="仿宋"/>
          <w:color w:val="auto"/>
          <w:sz w:val="21"/>
          <w:szCs w:val="21"/>
          <w:highlight w:val="none"/>
        </w:rPr>
      </w:pPr>
    </w:p>
    <w:p>
      <w:pPr>
        <w:rPr>
          <w:color w:val="auto"/>
          <w:highlight w:val="none"/>
        </w:rPr>
      </w:pPr>
    </w:p>
    <w:p>
      <w:pPr>
        <w:pStyle w:val="80"/>
        <w:ind w:firstLine="352"/>
        <w:rPr>
          <w:rFonts w:ascii="仿宋" w:hAnsi="仿宋" w:eastAsia="仿宋"/>
          <w:color w:val="auto"/>
          <w:highlight w:val="none"/>
        </w:rPr>
        <w:sectPr>
          <w:pgSz w:w="16838" w:h="11906" w:orient="landscape"/>
          <w:pgMar w:top="1797" w:right="1440" w:bottom="1797" w:left="1440" w:header="851" w:footer="992" w:gutter="0"/>
          <w:cols w:space="720" w:num="1"/>
          <w:docGrid w:type="linesAndChars" w:linePitch="312" w:charSpace="0"/>
        </w:sectPr>
      </w:pPr>
    </w:p>
    <w:p>
      <w:pPr>
        <w:snapToGrid w:val="0"/>
        <w:spacing w:line="360" w:lineRule="auto"/>
        <w:jc w:val="left"/>
        <w:outlineLvl w:val="1"/>
        <w:rPr>
          <w:rFonts w:ascii="仿宋" w:hAnsi="仿宋" w:eastAsia="仿宋"/>
          <w:b/>
          <w:color w:val="auto"/>
          <w:sz w:val="24"/>
          <w:highlight w:val="none"/>
        </w:rPr>
      </w:pPr>
      <w:r>
        <w:rPr>
          <w:rFonts w:hint="eastAsia" w:ascii="仿宋" w:hAnsi="仿宋" w:eastAsia="仿宋"/>
          <w:b/>
          <w:color w:val="auto"/>
          <w:sz w:val="24"/>
          <w:highlight w:val="none"/>
        </w:rPr>
        <w:t>五、投标人在投标方案中需提供服务组织方案，服务组织方案需包含：</w:t>
      </w:r>
      <w:bookmarkEnd w:id="160"/>
      <w:bookmarkEnd w:id="161"/>
      <w:bookmarkEnd w:id="162"/>
      <w:bookmarkEnd w:id="163"/>
      <w:bookmarkEnd w:id="164"/>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1、总体协调与管理组织方案；</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应急预案组织方案</w:t>
      </w:r>
      <w:r>
        <w:rPr>
          <w:rFonts w:hint="eastAsia" w:ascii="仿宋" w:hAnsi="仿宋" w:eastAsia="仿宋"/>
          <w:color w:val="auto"/>
          <w:sz w:val="24"/>
          <w:highlight w:val="none"/>
        </w:rPr>
        <w:t>；</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质量保证计划组织方案</w:t>
      </w:r>
      <w:r>
        <w:rPr>
          <w:rFonts w:hint="eastAsia" w:ascii="仿宋" w:hAnsi="仿宋" w:eastAsia="仿宋"/>
          <w:color w:val="auto"/>
          <w:sz w:val="24"/>
          <w:highlight w:val="none"/>
        </w:rPr>
        <w:t>；</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4．</w:t>
      </w:r>
      <w:r>
        <w:rPr>
          <w:rFonts w:ascii="仿宋" w:hAnsi="仿宋" w:eastAsia="仿宋"/>
          <w:color w:val="auto"/>
          <w:sz w:val="24"/>
          <w:highlight w:val="none"/>
        </w:rPr>
        <w:t>人员管理计划</w:t>
      </w:r>
      <w:r>
        <w:rPr>
          <w:rFonts w:hint="eastAsia" w:ascii="仿宋" w:hAnsi="仿宋" w:eastAsia="仿宋"/>
          <w:color w:val="auto"/>
          <w:sz w:val="24"/>
          <w:highlight w:val="none"/>
        </w:rPr>
        <w:t>；</w:t>
      </w:r>
    </w:p>
    <w:p>
      <w:pPr>
        <w:snapToGrid w:val="0"/>
        <w:spacing w:line="360" w:lineRule="auto"/>
        <w:rPr>
          <w:rFonts w:ascii="仿宋" w:hAnsi="仿宋" w:eastAsia="仿宋" w:cs="宋体"/>
          <w:color w:val="auto"/>
          <w:sz w:val="24"/>
          <w:highlight w:val="none"/>
        </w:rPr>
      </w:pPr>
      <w:r>
        <w:rPr>
          <w:rFonts w:hint="eastAsia" w:ascii="仿宋" w:hAnsi="仿宋" w:eastAsia="仿宋"/>
          <w:color w:val="auto"/>
          <w:sz w:val="24"/>
          <w:highlight w:val="none"/>
        </w:rPr>
        <w:t>5．进度管理计划。</w:t>
      </w:r>
    </w:p>
    <w:bookmarkEnd w:id="165"/>
    <w:bookmarkEnd w:id="166"/>
    <w:p>
      <w:pPr>
        <w:widowControl/>
        <w:snapToGrid w:val="0"/>
        <w:spacing w:line="360" w:lineRule="auto"/>
        <w:jc w:val="left"/>
        <w:rPr>
          <w:rFonts w:ascii="仿宋" w:hAnsi="仿宋" w:eastAsia="仿宋"/>
          <w:color w:val="auto"/>
          <w:sz w:val="24"/>
          <w:highlight w:val="none"/>
        </w:rPr>
      </w:pPr>
    </w:p>
    <w:p>
      <w:pPr>
        <w:pStyle w:val="24"/>
        <w:spacing w:line="360" w:lineRule="auto"/>
        <w:ind w:firstLine="0" w:firstLineChars="0"/>
        <w:rPr>
          <w:rFonts w:ascii="仿宋" w:hAnsi="仿宋" w:eastAsia="仿宋" w:cs="仿宋"/>
          <w:color w:val="auto"/>
          <w:highlight w:val="none"/>
        </w:rPr>
      </w:pPr>
      <w:r>
        <w:rPr>
          <w:rFonts w:hint="eastAsia" w:ascii="仿宋" w:hAnsi="仿宋" w:eastAsia="仿宋"/>
          <w:b/>
          <w:bCs/>
          <w:color w:val="auto"/>
          <w:highlight w:val="none"/>
        </w:rPr>
        <w:t>注：投标人可选择其中一个或多个标项进行投标，</w:t>
      </w:r>
      <w:r>
        <w:rPr>
          <w:rFonts w:hint="eastAsia" w:ascii="仿宋" w:hAnsi="仿宋" w:eastAsia="仿宋"/>
          <w:b/>
          <w:color w:val="auto"/>
          <w:highlight w:val="none"/>
        </w:rPr>
        <w:t>但只能中一个标项，中标次序按标项一、标项二进行确定（如投标人被确定为标项一的第一中标候选人，则标项二不进入评审，做无效标处理）；</w:t>
      </w:r>
      <w:r>
        <w:rPr>
          <w:rFonts w:hint="eastAsia" w:ascii="仿宋" w:hAnsi="仿宋" w:eastAsia="仿宋"/>
          <w:b/>
          <w:bCs/>
          <w:color w:val="auto"/>
          <w:highlight w:val="none"/>
        </w:rPr>
        <w:t>如投两个标项，投标文件需按标项分开制作并按标项上传政采云系统（如政采云上传要求变化，按政采云要求上传）。</w:t>
      </w:r>
    </w:p>
    <w:p>
      <w:pPr>
        <w:snapToGrid w:val="0"/>
        <w:spacing w:line="360" w:lineRule="auto"/>
        <w:rPr>
          <w:rFonts w:ascii="仿宋" w:hAnsi="仿宋" w:eastAsia="仿宋"/>
          <w:color w:val="auto"/>
          <w:sz w:val="24"/>
          <w:highlight w:val="none"/>
        </w:rPr>
      </w:pPr>
    </w:p>
    <w:p>
      <w:pPr>
        <w:snapToGrid w:val="0"/>
        <w:spacing w:line="360" w:lineRule="auto"/>
        <w:rPr>
          <w:rFonts w:ascii="仿宋" w:hAnsi="仿宋" w:eastAsia="仿宋" w:cs="仿宋"/>
          <w:color w:val="auto"/>
          <w:sz w:val="24"/>
          <w:highlight w:val="none"/>
        </w:rPr>
      </w:pPr>
    </w:p>
    <w:p>
      <w:pPr>
        <w:snapToGrid w:val="0"/>
        <w:spacing w:line="360" w:lineRule="auto"/>
        <w:jc w:val="center"/>
        <w:outlineLvl w:val="0"/>
        <w:rPr>
          <w:rFonts w:ascii="仿宋" w:hAnsi="仿宋" w:eastAsia="仿宋" w:cs="仿宋_GB2312"/>
          <w:b/>
          <w:color w:val="auto"/>
          <w:sz w:val="36"/>
          <w:szCs w:val="36"/>
          <w:highlight w:val="none"/>
        </w:rPr>
      </w:pPr>
      <w:r>
        <w:rPr>
          <w:rFonts w:ascii="仿宋" w:hAnsi="仿宋" w:eastAsia="仿宋" w:cs="仿宋_GB2312"/>
          <w:b/>
          <w:color w:val="auto"/>
          <w:sz w:val="24"/>
          <w:highlight w:val="none"/>
        </w:rPr>
        <w:br w:type="page"/>
      </w:r>
      <w:bookmarkStart w:id="168" w:name="_Toc95312971"/>
      <w:bookmarkStart w:id="169" w:name="_Toc670907605"/>
      <w:bookmarkStart w:id="170" w:name="_Toc1236445285"/>
      <w:bookmarkStart w:id="171" w:name="_Toc13818"/>
      <w:bookmarkStart w:id="172" w:name="_Toc15073"/>
      <w:r>
        <w:rPr>
          <w:rFonts w:hint="eastAsia" w:ascii="仿宋" w:hAnsi="仿宋" w:eastAsia="仿宋" w:cs="仿宋_GB2312"/>
          <w:b/>
          <w:color w:val="auto"/>
          <w:sz w:val="36"/>
          <w:szCs w:val="36"/>
          <w:highlight w:val="none"/>
        </w:rPr>
        <w:t>第四部分</w:t>
      </w:r>
      <w:r>
        <w:rPr>
          <w:rFonts w:ascii="仿宋" w:hAnsi="仿宋" w:eastAsia="仿宋" w:cs="仿宋_GB2312"/>
          <w:b/>
          <w:color w:val="auto"/>
          <w:sz w:val="36"/>
          <w:szCs w:val="36"/>
          <w:highlight w:val="none"/>
        </w:rPr>
        <w:t xml:space="preserve">   </w:t>
      </w:r>
      <w:bookmarkStart w:id="173" w:name="_Toc184314439"/>
      <w:bookmarkEnd w:id="173"/>
      <w:bookmarkStart w:id="174" w:name="_Toc184308037"/>
      <w:bookmarkEnd w:id="174"/>
      <w:bookmarkStart w:id="175" w:name="_Toc184313265"/>
      <w:bookmarkEnd w:id="175"/>
      <w:bookmarkStart w:id="176" w:name="_Toc184313300"/>
      <w:bookmarkEnd w:id="176"/>
      <w:bookmarkStart w:id="177" w:name="_Toc184313259"/>
      <w:bookmarkEnd w:id="177"/>
      <w:bookmarkStart w:id="178" w:name="_Toc184310328"/>
      <w:bookmarkEnd w:id="178"/>
      <w:bookmarkStart w:id="179" w:name="_Toc184312138"/>
      <w:bookmarkEnd w:id="179"/>
      <w:bookmarkStart w:id="180" w:name="_Toc184312108"/>
      <w:bookmarkEnd w:id="180"/>
      <w:bookmarkStart w:id="181" w:name="_Toc184310286"/>
      <w:bookmarkEnd w:id="181"/>
      <w:bookmarkStart w:id="182" w:name="_Toc184314458"/>
      <w:bookmarkEnd w:id="182"/>
      <w:bookmarkStart w:id="183" w:name="_Toc184308074"/>
      <w:bookmarkEnd w:id="183"/>
      <w:bookmarkStart w:id="184" w:name="_Toc184312114"/>
      <w:bookmarkEnd w:id="184"/>
      <w:bookmarkStart w:id="185" w:name="_Toc184314476"/>
      <w:bookmarkEnd w:id="185"/>
      <w:bookmarkStart w:id="186" w:name="_Toc184308095"/>
      <w:bookmarkEnd w:id="186"/>
      <w:bookmarkStart w:id="187" w:name="_Toc184308090"/>
      <w:bookmarkEnd w:id="187"/>
      <w:bookmarkStart w:id="188" w:name="_Toc184308036"/>
      <w:bookmarkEnd w:id="188"/>
      <w:bookmarkStart w:id="189" w:name="_Toc184310277"/>
      <w:bookmarkEnd w:id="189"/>
      <w:bookmarkStart w:id="190" w:name="_Toc184313304"/>
      <w:bookmarkEnd w:id="190"/>
      <w:bookmarkStart w:id="191" w:name="_Toc184313305"/>
      <w:bookmarkEnd w:id="191"/>
      <w:bookmarkStart w:id="192" w:name="_Toc184313294"/>
      <w:bookmarkEnd w:id="192"/>
      <w:bookmarkStart w:id="193" w:name="_Toc184312080"/>
      <w:bookmarkEnd w:id="193"/>
      <w:bookmarkStart w:id="194" w:name="_Toc184310344"/>
      <w:bookmarkEnd w:id="194"/>
      <w:bookmarkStart w:id="195" w:name="_Toc184314436"/>
      <w:bookmarkEnd w:id="195"/>
      <w:bookmarkStart w:id="196" w:name="_Toc184308072"/>
      <w:bookmarkEnd w:id="196"/>
      <w:bookmarkStart w:id="197" w:name="_Toc184314452"/>
      <w:bookmarkEnd w:id="197"/>
      <w:bookmarkStart w:id="198" w:name="_Toc184310316"/>
      <w:bookmarkEnd w:id="198"/>
      <w:bookmarkStart w:id="199" w:name="_Toc184314442"/>
      <w:bookmarkEnd w:id="199"/>
      <w:bookmarkStart w:id="200" w:name="_Toc184310313"/>
      <w:bookmarkEnd w:id="200"/>
      <w:bookmarkStart w:id="201" w:name="_Toc184312123"/>
      <w:bookmarkEnd w:id="201"/>
      <w:bookmarkStart w:id="202" w:name="_Toc184314471"/>
      <w:bookmarkEnd w:id="202"/>
      <w:bookmarkStart w:id="203" w:name="_Toc184308082"/>
      <w:bookmarkEnd w:id="203"/>
      <w:bookmarkStart w:id="204" w:name="_Toc184310299"/>
      <w:bookmarkEnd w:id="204"/>
      <w:bookmarkStart w:id="205" w:name="_Toc184314454"/>
      <w:bookmarkEnd w:id="205"/>
      <w:bookmarkStart w:id="206" w:name="_Toc184314460"/>
      <w:bookmarkEnd w:id="206"/>
      <w:bookmarkStart w:id="207" w:name="_Toc184314427"/>
      <w:bookmarkEnd w:id="207"/>
      <w:bookmarkStart w:id="208" w:name="_Toc184310340"/>
      <w:bookmarkEnd w:id="208"/>
      <w:bookmarkStart w:id="209" w:name="_Toc184313309"/>
      <w:bookmarkEnd w:id="209"/>
      <w:bookmarkStart w:id="210" w:name="_Toc184310301"/>
      <w:bookmarkEnd w:id="210"/>
      <w:bookmarkStart w:id="211" w:name="_Toc184314462"/>
      <w:bookmarkEnd w:id="211"/>
      <w:bookmarkStart w:id="212" w:name="_Toc184312086"/>
      <w:bookmarkEnd w:id="212"/>
      <w:bookmarkStart w:id="213" w:name="_Toc184310331"/>
      <w:bookmarkEnd w:id="213"/>
      <w:bookmarkStart w:id="214" w:name="_Toc184313275"/>
      <w:bookmarkEnd w:id="214"/>
      <w:bookmarkStart w:id="215" w:name="_Toc184314424"/>
      <w:bookmarkEnd w:id="215"/>
      <w:bookmarkStart w:id="216" w:name="_Toc184308040"/>
      <w:bookmarkEnd w:id="216"/>
      <w:bookmarkStart w:id="217" w:name="_Toc184313251"/>
      <w:bookmarkEnd w:id="217"/>
      <w:bookmarkStart w:id="218" w:name="_Toc184314463"/>
      <w:bookmarkEnd w:id="218"/>
      <w:bookmarkStart w:id="219" w:name="_Toc184308066"/>
      <w:bookmarkEnd w:id="219"/>
      <w:bookmarkStart w:id="220" w:name="_Toc184314433"/>
      <w:bookmarkEnd w:id="220"/>
      <w:bookmarkStart w:id="221" w:name="_Toc184313303"/>
      <w:bookmarkEnd w:id="221"/>
      <w:bookmarkStart w:id="222" w:name="_Toc184310298"/>
      <w:bookmarkEnd w:id="222"/>
      <w:bookmarkStart w:id="223" w:name="_Toc184310312"/>
      <w:bookmarkEnd w:id="223"/>
      <w:bookmarkStart w:id="224" w:name="_Toc184314431"/>
      <w:bookmarkEnd w:id="224"/>
      <w:bookmarkStart w:id="225" w:name="_Toc184312127"/>
      <w:bookmarkEnd w:id="225"/>
      <w:bookmarkStart w:id="226" w:name="_Toc184310303"/>
      <w:bookmarkEnd w:id="226"/>
      <w:bookmarkStart w:id="227" w:name="_Toc184314469"/>
      <w:bookmarkEnd w:id="227"/>
      <w:bookmarkStart w:id="228" w:name="_Toc184314464"/>
      <w:bookmarkEnd w:id="228"/>
      <w:bookmarkStart w:id="229" w:name="_Toc184312136"/>
      <w:bookmarkEnd w:id="229"/>
      <w:bookmarkStart w:id="230" w:name="_Toc184308101"/>
      <w:bookmarkEnd w:id="230"/>
      <w:bookmarkStart w:id="231" w:name="_Toc184308047"/>
      <w:bookmarkEnd w:id="231"/>
      <w:bookmarkStart w:id="232" w:name="_Toc184308105"/>
      <w:bookmarkEnd w:id="232"/>
      <w:bookmarkStart w:id="233" w:name="_Toc184314473"/>
      <w:bookmarkEnd w:id="233"/>
      <w:bookmarkStart w:id="234" w:name="_Toc184310273"/>
      <w:bookmarkEnd w:id="234"/>
      <w:bookmarkStart w:id="235" w:name="_Toc184308059"/>
      <w:bookmarkEnd w:id="235"/>
      <w:bookmarkStart w:id="236" w:name="_Toc184313308"/>
      <w:bookmarkEnd w:id="236"/>
      <w:bookmarkStart w:id="237" w:name="_Toc184310288"/>
      <w:bookmarkEnd w:id="237"/>
      <w:bookmarkStart w:id="238" w:name="_Toc184313263"/>
      <w:bookmarkEnd w:id="238"/>
      <w:bookmarkStart w:id="239" w:name="_Toc184314481"/>
      <w:bookmarkEnd w:id="239"/>
      <w:bookmarkStart w:id="240" w:name="_Toc184313273"/>
      <w:bookmarkEnd w:id="240"/>
      <w:bookmarkStart w:id="241" w:name="_Toc184312096"/>
      <w:bookmarkEnd w:id="241"/>
      <w:bookmarkStart w:id="242" w:name="_Toc184310284"/>
      <w:bookmarkEnd w:id="242"/>
      <w:bookmarkStart w:id="243" w:name="_Toc184310319"/>
      <w:bookmarkEnd w:id="243"/>
      <w:bookmarkStart w:id="244" w:name="_Toc184310334"/>
      <w:bookmarkEnd w:id="244"/>
      <w:bookmarkStart w:id="245" w:name="_Toc184312137"/>
      <w:bookmarkEnd w:id="245"/>
      <w:bookmarkStart w:id="246" w:name="_Toc184314420"/>
      <w:bookmarkEnd w:id="246"/>
      <w:bookmarkStart w:id="247" w:name="_Toc184314425"/>
      <w:bookmarkEnd w:id="247"/>
      <w:bookmarkStart w:id="248" w:name="_Toc184312073"/>
      <w:bookmarkEnd w:id="248"/>
      <w:bookmarkStart w:id="249" w:name="_Toc184310314"/>
      <w:bookmarkEnd w:id="249"/>
      <w:bookmarkStart w:id="250" w:name="_Toc184310310"/>
      <w:bookmarkEnd w:id="250"/>
      <w:bookmarkStart w:id="251" w:name="_Toc184314444"/>
      <w:bookmarkEnd w:id="251"/>
      <w:bookmarkStart w:id="252" w:name="_Toc184313292"/>
      <w:bookmarkEnd w:id="252"/>
      <w:bookmarkStart w:id="253" w:name="_Toc184312085"/>
      <w:bookmarkEnd w:id="253"/>
      <w:bookmarkStart w:id="254" w:name="_Toc184312115"/>
      <w:bookmarkEnd w:id="254"/>
      <w:bookmarkStart w:id="255" w:name="_Toc184310300"/>
      <w:bookmarkEnd w:id="255"/>
      <w:bookmarkStart w:id="256" w:name="_Toc184308100"/>
      <w:bookmarkEnd w:id="256"/>
      <w:bookmarkStart w:id="257" w:name="_Toc184314447"/>
      <w:bookmarkEnd w:id="257"/>
      <w:bookmarkStart w:id="258" w:name="_Toc184312077"/>
      <w:bookmarkEnd w:id="258"/>
      <w:bookmarkStart w:id="259" w:name="_Toc184314435"/>
      <w:bookmarkEnd w:id="259"/>
      <w:bookmarkStart w:id="260" w:name="_Toc184314428"/>
      <w:bookmarkEnd w:id="260"/>
      <w:bookmarkStart w:id="261" w:name="_Toc184312072"/>
      <w:bookmarkEnd w:id="261"/>
      <w:bookmarkStart w:id="262" w:name="_Toc184312097"/>
      <w:bookmarkEnd w:id="262"/>
      <w:bookmarkStart w:id="263" w:name="_Toc184308085"/>
      <w:bookmarkEnd w:id="263"/>
      <w:bookmarkStart w:id="264" w:name="_Toc184314416"/>
      <w:bookmarkEnd w:id="264"/>
      <w:bookmarkStart w:id="265" w:name="_Toc184310302"/>
      <w:bookmarkEnd w:id="265"/>
      <w:bookmarkStart w:id="266" w:name="_Toc184314479"/>
      <w:bookmarkEnd w:id="266"/>
      <w:bookmarkStart w:id="267" w:name="_Toc184310283"/>
      <w:bookmarkEnd w:id="267"/>
      <w:bookmarkStart w:id="268" w:name="_Toc184312074"/>
      <w:bookmarkEnd w:id="268"/>
      <w:bookmarkStart w:id="269" w:name="_Toc184312091"/>
      <w:bookmarkEnd w:id="269"/>
      <w:bookmarkStart w:id="270" w:name="_Toc184314434"/>
      <w:bookmarkEnd w:id="270"/>
      <w:bookmarkStart w:id="271" w:name="_Toc184308096"/>
      <w:bookmarkEnd w:id="271"/>
      <w:bookmarkStart w:id="272" w:name="_Toc184314480"/>
      <w:bookmarkEnd w:id="272"/>
      <w:bookmarkStart w:id="273" w:name="_Toc184313288"/>
      <w:bookmarkEnd w:id="273"/>
      <w:bookmarkStart w:id="274" w:name="_Toc184314440"/>
      <w:bookmarkEnd w:id="274"/>
      <w:bookmarkStart w:id="275" w:name="_Toc184313250"/>
      <w:bookmarkEnd w:id="275"/>
      <w:bookmarkStart w:id="276" w:name="_Toc184314410"/>
      <w:bookmarkEnd w:id="276"/>
      <w:bookmarkStart w:id="277" w:name="_Toc184308103"/>
      <w:bookmarkEnd w:id="277"/>
      <w:bookmarkStart w:id="278" w:name="_Toc184308054"/>
      <w:bookmarkEnd w:id="278"/>
      <w:bookmarkStart w:id="279" w:name="_Toc184310321"/>
      <w:bookmarkEnd w:id="279"/>
      <w:bookmarkStart w:id="280" w:name="_Toc184312087"/>
      <w:bookmarkEnd w:id="280"/>
      <w:bookmarkStart w:id="281" w:name="_Toc184312116"/>
      <w:bookmarkEnd w:id="281"/>
      <w:bookmarkStart w:id="282" w:name="_Toc184314414"/>
      <w:bookmarkEnd w:id="282"/>
      <w:bookmarkStart w:id="283" w:name="_Toc184312088"/>
      <w:bookmarkEnd w:id="283"/>
      <w:bookmarkStart w:id="284" w:name="_Toc184312090"/>
      <w:bookmarkEnd w:id="284"/>
      <w:bookmarkStart w:id="285" w:name="_Toc184314459"/>
      <w:bookmarkEnd w:id="285"/>
      <w:bookmarkStart w:id="286" w:name="_Toc184313260"/>
      <w:bookmarkEnd w:id="286"/>
      <w:bookmarkStart w:id="287" w:name="_Toc184308088"/>
      <w:bookmarkEnd w:id="287"/>
      <w:bookmarkStart w:id="288" w:name="_Toc184313243"/>
      <w:bookmarkEnd w:id="288"/>
      <w:bookmarkStart w:id="289" w:name="_Toc184308067"/>
      <w:bookmarkEnd w:id="289"/>
      <w:bookmarkStart w:id="290" w:name="_Toc184308104"/>
      <w:bookmarkEnd w:id="290"/>
      <w:bookmarkStart w:id="291" w:name="_Toc184308097"/>
      <w:bookmarkEnd w:id="291"/>
      <w:bookmarkStart w:id="292" w:name="_Toc184313261"/>
      <w:bookmarkEnd w:id="292"/>
      <w:bookmarkStart w:id="293" w:name="_Toc184310324"/>
      <w:bookmarkEnd w:id="293"/>
      <w:bookmarkStart w:id="294" w:name="_Toc184312112"/>
      <w:bookmarkEnd w:id="294"/>
      <w:bookmarkStart w:id="295" w:name="_Toc184313302"/>
      <w:bookmarkEnd w:id="295"/>
      <w:bookmarkStart w:id="296" w:name="_Toc184310333"/>
      <w:bookmarkEnd w:id="296"/>
      <w:bookmarkStart w:id="297" w:name="_Toc184313264"/>
      <w:bookmarkEnd w:id="297"/>
      <w:bookmarkStart w:id="298" w:name="_Toc184308106"/>
      <w:bookmarkEnd w:id="298"/>
      <w:bookmarkStart w:id="299" w:name="_Toc184313283"/>
      <w:bookmarkEnd w:id="299"/>
      <w:bookmarkStart w:id="300" w:name="_Toc184313257"/>
      <w:bookmarkEnd w:id="300"/>
      <w:bookmarkStart w:id="301" w:name="_Toc184310339"/>
      <w:bookmarkEnd w:id="301"/>
      <w:bookmarkStart w:id="302" w:name="_Toc184313306"/>
      <w:bookmarkEnd w:id="302"/>
      <w:bookmarkStart w:id="303" w:name="_Toc184310327"/>
      <w:bookmarkEnd w:id="303"/>
      <w:bookmarkStart w:id="304" w:name="_Toc184312110"/>
      <w:bookmarkEnd w:id="304"/>
      <w:bookmarkStart w:id="305" w:name="_Toc184312118"/>
      <w:bookmarkEnd w:id="305"/>
      <w:bookmarkStart w:id="306" w:name="_Toc184312134"/>
      <w:bookmarkEnd w:id="306"/>
      <w:bookmarkStart w:id="307" w:name="_Toc184314413"/>
      <w:bookmarkEnd w:id="307"/>
      <w:bookmarkStart w:id="308" w:name="_Toc184314421"/>
      <w:bookmarkEnd w:id="308"/>
      <w:bookmarkStart w:id="309" w:name="_Toc184312102"/>
      <w:bookmarkEnd w:id="309"/>
      <w:bookmarkStart w:id="310" w:name="_Toc184312119"/>
      <w:bookmarkEnd w:id="310"/>
      <w:bookmarkStart w:id="311" w:name="_Toc184313287"/>
      <w:bookmarkEnd w:id="311"/>
      <w:bookmarkStart w:id="312" w:name="_Toc184310294"/>
      <w:bookmarkEnd w:id="312"/>
      <w:bookmarkStart w:id="313" w:name="_Toc184310304"/>
      <w:bookmarkEnd w:id="313"/>
      <w:bookmarkStart w:id="314" w:name="_Toc184310305"/>
      <w:bookmarkEnd w:id="314"/>
      <w:bookmarkStart w:id="315" w:name="_Toc184308102"/>
      <w:bookmarkEnd w:id="315"/>
      <w:bookmarkStart w:id="316" w:name="_Toc184313252"/>
      <w:bookmarkEnd w:id="316"/>
      <w:bookmarkStart w:id="317" w:name="_Toc184308053"/>
      <w:bookmarkEnd w:id="317"/>
      <w:bookmarkStart w:id="318" w:name="_Toc184314441"/>
      <w:bookmarkEnd w:id="318"/>
      <w:bookmarkStart w:id="319" w:name="_Toc184313293"/>
      <w:bookmarkEnd w:id="319"/>
      <w:bookmarkStart w:id="320" w:name="_Toc184310323"/>
      <w:bookmarkEnd w:id="320"/>
      <w:bookmarkStart w:id="321" w:name="_Toc184314468"/>
      <w:bookmarkEnd w:id="321"/>
      <w:bookmarkStart w:id="322" w:name="_Toc184313291"/>
      <w:bookmarkEnd w:id="322"/>
      <w:bookmarkStart w:id="323" w:name="_Toc184310276"/>
      <w:bookmarkEnd w:id="323"/>
      <w:bookmarkStart w:id="324" w:name="_Toc184313253"/>
      <w:bookmarkEnd w:id="324"/>
      <w:bookmarkStart w:id="325" w:name="_Toc184313295"/>
      <w:bookmarkEnd w:id="325"/>
      <w:bookmarkStart w:id="326" w:name="_Toc184314457"/>
      <w:bookmarkEnd w:id="326"/>
      <w:bookmarkStart w:id="327" w:name="_Toc184312069"/>
      <w:bookmarkEnd w:id="327"/>
      <w:bookmarkStart w:id="328" w:name="_Toc184308048"/>
      <w:bookmarkEnd w:id="328"/>
      <w:bookmarkStart w:id="329" w:name="_Toc184314443"/>
      <w:bookmarkEnd w:id="329"/>
      <w:bookmarkStart w:id="330" w:name="_Toc184308038"/>
      <w:bookmarkEnd w:id="330"/>
      <w:bookmarkStart w:id="331" w:name="_Toc184312139"/>
      <w:bookmarkEnd w:id="331"/>
      <w:bookmarkStart w:id="332" w:name="_Toc184308055"/>
      <w:bookmarkEnd w:id="332"/>
      <w:bookmarkStart w:id="333" w:name="_Toc184313297"/>
      <w:bookmarkEnd w:id="333"/>
      <w:bookmarkStart w:id="334" w:name="_Toc184308046"/>
      <w:bookmarkEnd w:id="334"/>
      <w:bookmarkStart w:id="335" w:name="_Toc184308107"/>
      <w:bookmarkEnd w:id="335"/>
      <w:bookmarkStart w:id="336" w:name="_Toc184312126"/>
      <w:bookmarkEnd w:id="336"/>
      <w:bookmarkStart w:id="337" w:name="_Toc184314450"/>
      <w:bookmarkEnd w:id="337"/>
      <w:bookmarkStart w:id="338" w:name="_Toc184312101"/>
      <w:bookmarkEnd w:id="338"/>
      <w:bookmarkStart w:id="339" w:name="_Toc184308081"/>
      <w:bookmarkEnd w:id="339"/>
      <w:bookmarkStart w:id="340" w:name="_Toc184308091"/>
      <w:bookmarkEnd w:id="340"/>
      <w:bookmarkStart w:id="341" w:name="_Toc184314437"/>
      <w:bookmarkEnd w:id="341"/>
      <w:bookmarkStart w:id="342" w:name="_Toc184310306"/>
      <w:bookmarkEnd w:id="342"/>
      <w:bookmarkStart w:id="343" w:name="_Toc184313244"/>
      <w:bookmarkEnd w:id="343"/>
      <w:bookmarkStart w:id="344" w:name="_Toc184313238"/>
      <w:bookmarkEnd w:id="344"/>
      <w:bookmarkStart w:id="345" w:name="_Toc184308075"/>
      <w:bookmarkEnd w:id="345"/>
      <w:bookmarkStart w:id="346" w:name="_Toc184312099"/>
      <w:bookmarkEnd w:id="346"/>
      <w:bookmarkStart w:id="347" w:name="_Toc184308094"/>
      <w:bookmarkEnd w:id="347"/>
      <w:bookmarkStart w:id="348" w:name="_Toc184308099"/>
      <w:bookmarkEnd w:id="348"/>
      <w:bookmarkStart w:id="349" w:name="_Toc184313245"/>
      <w:bookmarkEnd w:id="349"/>
      <w:bookmarkStart w:id="350" w:name="_Toc184310287"/>
      <w:bookmarkEnd w:id="350"/>
      <w:bookmarkStart w:id="351" w:name="_Toc184308078"/>
      <w:bookmarkEnd w:id="351"/>
      <w:bookmarkStart w:id="352" w:name="_Toc184313281"/>
      <w:bookmarkEnd w:id="352"/>
      <w:bookmarkStart w:id="353" w:name="_Toc184314445"/>
      <w:bookmarkEnd w:id="353"/>
      <w:bookmarkStart w:id="354" w:name="_Toc184312084"/>
      <w:bookmarkEnd w:id="354"/>
      <w:bookmarkStart w:id="355" w:name="_Toc184313289"/>
      <w:bookmarkEnd w:id="355"/>
      <w:bookmarkStart w:id="356" w:name="_Toc184314453"/>
      <w:bookmarkEnd w:id="356"/>
      <w:bookmarkStart w:id="357" w:name="_Toc184308049"/>
      <w:bookmarkEnd w:id="357"/>
      <w:bookmarkStart w:id="358" w:name="_Toc184310317"/>
      <w:bookmarkEnd w:id="358"/>
      <w:bookmarkStart w:id="359" w:name="_Toc184314482"/>
      <w:bookmarkEnd w:id="359"/>
      <w:bookmarkStart w:id="360" w:name="_Toc184308084"/>
      <w:bookmarkEnd w:id="360"/>
      <w:bookmarkStart w:id="361" w:name="_Toc184308098"/>
      <w:bookmarkEnd w:id="361"/>
      <w:bookmarkStart w:id="362" w:name="_Toc184312105"/>
      <w:bookmarkEnd w:id="362"/>
      <w:bookmarkStart w:id="363" w:name="_Toc184314466"/>
      <w:bookmarkEnd w:id="363"/>
      <w:bookmarkStart w:id="364" w:name="_Toc184312079"/>
      <w:bookmarkEnd w:id="364"/>
      <w:bookmarkStart w:id="365" w:name="_Toc184313256"/>
      <w:bookmarkEnd w:id="365"/>
      <w:bookmarkStart w:id="366" w:name="_Toc184308042"/>
      <w:bookmarkEnd w:id="366"/>
      <w:bookmarkStart w:id="367" w:name="_Toc184313248"/>
      <w:bookmarkEnd w:id="367"/>
      <w:bookmarkStart w:id="368" w:name="_Toc184308039"/>
      <w:bookmarkEnd w:id="368"/>
      <w:bookmarkStart w:id="369" w:name="_Toc184312100"/>
      <w:bookmarkEnd w:id="369"/>
      <w:bookmarkStart w:id="370" w:name="_Toc184312129"/>
      <w:bookmarkEnd w:id="370"/>
      <w:bookmarkStart w:id="371" w:name="_Toc184310318"/>
      <w:bookmarkEnd w:id="371"/>
      <w:bookmarkStart w:id="372" w:name="_Toc184308083"/>
      <w:bookmarkEnd w:id="372"/>
      <w:bookmarkStart w:id="373" w:name="_Toc184310291"/>
      <w:bookmarkEnd w:id="373"/>
      <w:bookmarkStart w:id="374" w:name="_Toc184313272"/>
      <w:bookmarkEnd w:id="374"/>
      <w:bookmarkStart w:id="375" w:name="_Toc184314448"/>
      <w:bookmarkEnd w:id="375"/>
      <w:bookmarkStart w:id="376" w:name="_Toc184312071"/>
      <w:bookmarkEnd w:id="376"/>
      <w:bookmarkStart w:id="377" w:name="_Toc184313241"/>
      <w:bookmarkEnd w:id="377"/>
      <w:bookmarkStart w:id="378" w:name="_Toc184313280"/>
      <w:bookmarkEnd w:id="378"/>
      <w:bookmarkStart w:id="379" w:name="_Toc184313298"/>
      <w:bookmarkEnd w:id="379"/>
      <w:bookmarkStart w:id="380" w:name="_Toc184308060"/>
      <w:bookmarkEnd w:id="380"/>
      <w:bookmarkStart w:id="381" w:name="_Toc184314438"/>
      <w:bookmarkEnd w:id="381"/>
      <w:bookmarkStart w:id="382" w:name="_Toc184308073"/>
      <w:bookmarkEnd w:id="382"/>
      <w:bookmarkStart w:id="383" w:name="_Toc184314478"/>
      <w:bookmarkEnd w:id="383"/>
      <w:bookmarkStart w:id="384" w:name="_Toc184308080"/>
      <w:bookmarkEnd w:id="384"/>
      <w:bookmarkStart w:id="385" w:name="_Toc184310329"/>
      <w:bookmarkEnd w:id="385"/>
      <w:bookmarkStart w:id="386" w:name="_Toc184312128"/>
      <w:bookmarkEnd w:id="386"/>
      <w:bookmarkStart w:id="387" w:name="_Toc184313301"/>
      <w:bookmarkEnd w:id="387"/>
      <w:bookmarkStart w:id="388" w:name="_Toc184308044"/>
      <w:bookmarkEnd w:id="388"/>
      <w:bookmarkStart w:id="389" w:name="_Toc184308062"/>
      <w:bookmarkEnd w:id="389"/>
      <w:bookmarkStart w:id="390" w:name="_Toc184310337"/>
      <w:bookmarkEnd w:id="390"/>
      <w:bookmarkStart w:id="391" w:name="_Toc184310332"/>
      <w:bookmarkEnd w:id="391"/>
      <w:bookmarkStart w:id="392" w:name="_Toc184313274"/>
      <w:bookmarkEnd w:id="392"/>
      <w:bookmarkStart w:id="393" w:name="_Toc184312095"/>
      <w:bookmarkEnd w:id="393"/>
      <w:bookmarkStart w:id="394" w:name="_Toc184310338"/>
      <w:bookmarkEnd w:id="394"/>
      <w:bookmarkStart w:id="395" w:name="_Toc184313239"/>
      <w:bookmarkEnd w:id="395"/>
      <w:bookmarkStart w:id="396" w:name="_Toc184310308"/>
      <w:bookmarkEnd w:id="396"/>
      <w:bookmarkStart w:id="397" w:name="_Toc184313269"/>
      <w:bookmarkEnd w:id="397"/>
      <w:bookmarkStart w:id="398" w:name="_Toc184308063"/>
      <w:bookmarkEnd w:id="398"/>
      <w:bookmarkStart w:id="399" w:name="_Toc184310275"/>
      <w:bookmarkEnd w:id="399"/>
      <w:bookmarkStart w:id="400" w:name="_Toc184312103"/>
      <w:bookmarkEnd w:id="400"/>
      <w:bookmarkStart w:id="401" w:name="_Toc184312117"/>
      <w:bookmarkEnd w:id="401"/>
      <w:bookmarkStart w:id="402" w:name="_Toc184310336"/>
      <w:bookmarkEnd w:id="402"/>
      <w:bookmarkStart w:id="403" w:name="_Toc184312109"/>
      <w:bookmarkEnd w:id="403"/>
      <w:bookmarkStart w:id="404" w:name="_Toc184310295"/>
      <w:bookmarkEnd w:id="404"/>
      <w:bookmarkStart w:id="405" w:name="_Toc184312130"/>
      <w:bookmarkEnd w:id="405"/>
      <w:bookmarkStart w:id="406" w:name="_Toc184313290"/>
      <w:bookmarkEnd w:id="406"/>
      <w:bookmarkStart w:id="407" w:name="_Toc184312068"/>
      <w:bookmarkEnd w:id="407"/>
      <w:bookmarkStart w:id="408" w:name="_Toc184310335"/>
      <w:bookmarkEnd w:id="408"/>
      <w:bookmarkStart w:id="409" w:name="_Toc184310322"/>
      <w:bookmarkEnd w:id="409"/>
      <w:bookmarkStart w:id="410" w:name="_Toc184312076"/>
      <w:bookmarkEnd w:id="410"/>
      <w:bookmarkStart w:id="411" w:name="_Toc184314451"/>
      <w:bookmarkEnd w:id="411"/>
      <w:bookmarkStart w:id="412" w:name="_Toc184310330"/>
      <w:bookmarkEnd w:id="412"/>
      <w:bookmarkStart w:id="413" w:name="_Toc184313307"/>
      <w:bookmarkEnd w:id="413"/>
      <w:bookmarkStart w:id="414" w:name="_Toc184313276"/>
      <w:bookmarkEnd w:id="414"/>
      <w:bookmarkStart w:id="415" w:name="_Toc184312082"/>
      <w:bookmarkEnd w:id="415"/>
      <w:bookmarkStart w:id="416" w:name="_Toc184314475"/>
      <w:bookmarkEnd w:id="416"/>
      <w:bookmarkStart w:id="417" w:name="_Toc184314422"/>
      <w:bookmarkEnd w:id="417"/>
      <w:bookmarkStart w:id="418" w:name="_Toc184310311"/>
      <w:bookmarkEnd w:id="418"/>
      <w:bookmarkStart w:id="419" w:name="_Toc184314412"/>
      <w:bookmarkEnd w:id="419"/>
      <w:bookmarkStart w:id="420" w:name="_Toc184308108"/>
      <w:bookmarkEnd w:id="420"/>
      <w:bookmarkStart w:id="421" w:name="_Toc184314419"/>
      <w:bookmarkEnd w:id="421"/>
      <w:bookmarkStart w:id="422" w:name="_Toc184312075"/>
      <w:bookmarkEnd w:id="422"/>
      <w:bookmarkStart w:id="423" w:name="_Toc184313266"/>
      <w:bookmarkEnd w:id="423"/>
      <w:bookmarkStart w:id="424" w:name="_Toc184314426"/>
      <w:bookmarkEnd w:id="424"/>
      <w:bookmarkStart w:id="425" w:name="_Toc184310307"/>
      <w:bookmarkEnd w:id="425"/>
      <w:bookmarkStart w:id="426" w:name="_Toc184308050"/>
      <w:bookmarkEnd w:id="426"/>
      <w:bookmarkStart w:id="427" w:name="_Toc184312120"/>
      <w:bookmarkEnd w:id="427"/>
      <w:bookmarkStart w:id="428" w:name="_Toc184312106"/>
      <w:bookmarkEnd w:id="428"/>
      <w:bookmarkStart w:id="429" w:name="_Toc184313242"/>
      <w:bookmarkEnd w:id="429"/>
      <w:bookmarkStart w:id="430" w:name="_Toc184310279"/>
      <w:bookmarkEnd w:id="430"/>
      <w:bookmarkStart w:id="431" w:name="_Toc184310297"/>
      <w:bookmarkEnd w:id="431"/>
      <w:bookmarkStart w:id="432" w:name="_Toc184312113"/>
      <w:bookmarkEnd w:id="432"/>
      <w:bookmarkStart w:id="433" w:name="_Toc184312094"/>
      <w:bookmarkEnd w:id="433"/>
      <w:bookmarkStart w:id="434" w:name="_Toc184310293"/>
      <w:bookmarkEnd w:id="434"/>
      <w:bookmarkStart w:id="435" w:name="_Toc184312131"/>
      <w:bookmarkEnd w:id="435"/>
      <w:bookmarkStart w:id="436" w:name="_Toc184314430"/>
      <w:bookmarkEnd w:id="436"/>
      <w:bookmarkStart w:id="437" w:name="_Toc184313267"/>
      <w:bookmarkEnd w:id="437"/>
      <w:bookmarkStart w:id="438" w:name="_Toc184314415"/>
      <w:bookmarkEnd w:id="438"/>
      <w:bookmarkStart w:id="439" w:name="_Toc184313279"/>
      <w:bookmarkEnd w:id="439"/>
      <w:bookmarkStart w:id="440" w:name="_Toc184313286"/>
      <w:bookmarkEnd w:id="440"/>
      <w:bookmarkStart w:id="441" w:name="_Toc184314432"/>
      <w:bookmarkEnd w:id="441"/>
      <w:bookmarkStart w:id="442" w:name="_Toc184312083"/>
      <w:bookmarkEnd w:id="442"/>
      <w:bookmarkStart w:id="443" w:name="_Toc184313249"/>
      <w:bookmarkEnd w:id="443"/>
      <w:bookmarkStart w:id="444" w:name="_Toc184312067"/>
      <w:bookmarkEnd w:id="444"/>
      <w:bookmarkStart w:id="445" w:name="_Toc184310281"/>
      <w:bookmarkEnd w:id="445"/>
      <w:bookmarkStart w:id="446" w:name="_Toc184313240"/>
      <w:bookmarkEnd w:id="446"/>
      <w:bookmarkStart w:id="447" w:name="_Toc184308089"/>
      <w:bookmarkEnd w:id="447"/>
      <w:bookmarkStart w:id="448" w:name="_Toc184314455"/>
      <w:bookmarkEnd w:id="448"/>
      <w:bookmarkStart w:id="449" w:name="_Toc184310325"/>
      <w:bookmarkEnd w:id="449"/>
      <w:bookmarkStart w:id="450" w:name="_Toc184312111"/>
      <w:bookmarkEnd w:id="450"/>
      <w:bookmarkStart w:id="451" w:name="_Toc184313310"/>
      <w:bookmarkEnd w:id="451"/>
      <w:bookmarkStart w:id="452" w:name="_Toc184310292"/>
      <w:bookmarkEnd w:id="452"/>
      <w:bookmarkStart w:id="453" w:name="_Toc184312122"/>
      <w:bookmarkEnd w:id="453"/>
      <w:bookmarkStart w:id="454" w:name="_Toc184312107"/>
      <w:bookmarkEnd w:id="454"/>
      <w:bookmarkStart w:id="455" w:name="_Toc184314456"/>
      <w:bookmarkEnd w:id="455"/>
      <w:bookmarkStart w:id="456" w:name="_Toc184314465"/>
      <w:bookmarkEnd w:id="456"/>
      <w:bookmarkStart w:id="457" w:name="_Toc184310285"/>
      <w:bookmarkEnd w:id="457"/>
      <w:bookmarkStart w:id="458" w:name="_Toc184313246"/>
      <w:bookmarkEnd w:id="458"/>
      <w:bookmarkStart w:id="459" w:name="_Toc184314449"/>
      <w:bookmarkEnd w:id="459"/>
      <w:bookmarkStart w:id="460" w:name="_Toc184313255"/>
      <w:bookmarkEnd w:id="460"/>
      <w:bookmarkStart w:id="461" w:name="_Toc184310278"/>
      <w:bookmarkEnd w:id="461"/>
      <w:bookmarkStart w:id="462" w:name="_Toc184308069"/>
      <w:bookmarkEnd w:id="462"/>
      <w:bookmarkStart w:id="463" w:name="_Toc184310342"/>
      <w:bookmarkEnd w:id="463"/>
      <w:bookmarkStart w:id="464" w:name="_Toc184310315"/>
      <w:bookmarkEnd w:id="464"/>
      <w:bookmarkStart w:id="465" w:name="_Toc184310289"/>
      <w:bookmarkEnd w:id="465"/>
      <w:bookmarkStart w:id="466" w:name="_Toc184312081"/>
      <w:bookmarkEnd w:id="466"/>
      <w:bookmarkStart w:id="467" w:name="_Toc184313284"/>
      <w:bookmarkEnd w:id="467"/>
      <w:bookmarkStart w:id="468" w:name="_Toc184312132"/>
      <w:bookmarkEnd w:id="468"/>
      <w:bookmarkStart w:id="469" w:name="_Toc184314477"/>
      <w:bookmarkEnd w:id="469"/>
      <w:bookmarkStart w:id="470" w:name="_Toc184314467"/>
      <w:bookmarkEnd w:id="470"/>
      <w:bookmarkStart w:id="471" w:name="_Toc184308045"/>
      <w:bookmarkEnd w:id="471"/>
      <w:bookmarkStart w:id="472" w:name="_Toc184314418"/>
      <w:bookmarkEnd w:id="472"/>
      <w:bookmarkStart w:id="473" w:name="_Toc184308041"/>
      <w:bookmarkEnd w:id="473"/>
      <w:bookmarkStart w:id="474" w:name="_Toc184308068"/>
      <w:bookmarkEnd w:id="474"/>
      <w:bookmarkStart w:id="475" w:name="_Toc184308079"/>
      <w:bookmarkEnd w:id="475"/>
      <w:bookmarkStart w:id="476" w:name="_Toc184308058"/>
      <w:bookmarkEnd w:id="476"/>
      <w:bookmarkStart w:id="477" w:name="_Toc184312089"/>
      <w:bookmarkEnd w:id="477"/>
      <w:bookmarkStart w:id="478" w:name="_Toc184310274"/>
      <w:bookmarkEnd w:id="478"/>
      <w:bookmarkStart w:id="479" w:name="_Toc184313296"/>
      <w:bookmarkEnd w:id="479"/>
      <w:bookmarkStart w:id="480" w:name="_Toc184308051"/>
      <w:bookmarkEnd w:id="480"/>
      <w:bookmarkStart w:id="481" w:name="_Toc184308052"/>
      <w:bookmarkEnd w:id="481"/>
      <w:bookmarkStart w:id="482" w:name="_Toc184308070"/>
      <w:bookmarkEnd w:id="482"/>
      <w:bookmarkStart w:id="483" w:name="_Toc184314446"/>
      <w:bookmarkEnd w:id="483"/>
      <w:bookmarkStart w:id="484" w:name="_Toc184310341"/>
      <w:bookmarkEnd w:id="484"/>
      <w:bookmarkStart w:id="485" w:name="_Toc184310320"/>
      <w:bookmarkEnd w:id="485"/>
      <w:bookmarkStart w:id="486" w:name="_Toc184308071"/>
      <w:bookmarkEnd w:id="486"/>
      <w:bookmarkStart w:id="487" w:name="_Toc184313262"/>
      <w:bookmarkEnd w:id="487"/>
      <w:bookmarkStart w:id="488" w:name="_Toc184308065"/>
      <w:bookmarkEnd w:id="488"/>
      <w:bookmarkStart w:id="489" w:name="_Toc184313278"/>
      <w:bookmarkEnd w:id="489"/>
      <w:bookmarkStart w:id="490" w:name="_Toc184308093"/>
      <w:bookmarkEnd w:id="490"/>
      <w:bookmarkStart w:id="491" w:name="_Toc184313258"/>
      <w:bookmarkEnd w:id="491"/>
      <w:bookmarkStart w:id="492" w:name="_Toc184308057"/>
      <w:bookmarkEnd w:id="492"/>
      <w:bookmarkStart w:id="493" w:name="_Toc184313270"/>
      <w:bookmarkEnd w:id="493"/>
      <w:bookmarkStart w:id="494" w:name="_Toc184310290"/>
      <w:bookmarkEnd w:id="494"/>
      <w:bookmarkStart w:id="495" w:name="_Toc184313254"/>
      <w:bookmarkEnd w:id="495"/>
      <w:bookmarkStart w:id="496" w:name="_Toc184314417"/>
      <w:bookmarkEnd w:id="496"/>
      <w:bookmarkStart w:id="497" w:name="_Toc184310326"/>
      <w:bookmarkEnd w:id="497"/>
      <w:bookmarkStart w:id="498" w:name="_Toc184308056"/>
      <w:bookmarkEnd w:id="498"/>
      <w:bookmarkStart w:id="499" w:name="_Toc184313247"/>
      <w:bookmarkEnd w:id="499"/>
      <w:bookmarkStart w:id="500" w:name="_Toc184312092"/>
      <w:bookmarkEnd w:id="500"/>
      <w:bookmarkStart w:id="501" w:name="_Toc184313285"/>
      <w:bookmarkEnd w:id="501"/>
      <w:bookmarkStart w:id="502" w:name="_Toc184310272"/>
      <w:bookmarkEnd w:id="502"/>
      <w:bookmarkStart w:id="503" w:name="_Toc184308064"/>
      <w:bookmarkEnd w:id="503"/>
      <w:bookmarkStart w:id="504" w:name="_Toc184310309"/>
      <w:bookmarkEnd w:id="504"/>
      <w:bookmarkStart w:id="505" w:name="_Toc184314472"/>
      <w:bookmarkEnd w:id="505"/>
      <w:bookmarkStart w:id="506" w:name="_Toc184312125"/>
      <w:bookmarkEnd w:id="506"/>
      <w:bookmarkStart w:id="507" w:name="_Toc184308087"/>
      <w:bookmarkEnd w:id="507"/>
      <w:bookmarkStart w:id="508" w:name="_Toc184308061"/>
      <w:bookmarkEnd w:id="508"/>
      <w:bookmarkStart w:id="509" w:name="_Toc184313277"/>
      <w:bookmarkEnd w:id="509"/>
      <w:bookmarkStart w:id="510" w:name="_Toc184314423"/>
      <w:bookmarkEnd w:id="510"/>
      <w:bookmarkStart w:id="511" w:name="_Toc184312070"/>
      <w:bookmarkEnd w:id="511"/>
      <w:bookmarkStart w:id="512" w:name="_Toc184314461"/>
      <w:bookmarkEnd w:id="512"/>
      <w:bookmarkStart w:id="513" w:name="_Toc184314470"/>
      <w:bookmarkEnd w:id="513"/>
      <w:bookmarkStart w:id="514" w:name="_Toc184312121"/>
      <w:bookmarkEnd w:id="514"/>
      <w:bookmarkStart w:id="515" w:name="_Toc184314429"/>
      <w:bookmarkEnd w:id="515"/>
      <w:bookmarkStart w:id="516" w:name="_Toc184313268"/>
      <w:bookmarkEnd w:id="516"/>
      <w:bookmarkStart w:id="517" w:name="_Toc184312124"/>
      <w:bookmarkEnd w:id="517"/>
      <w:bookmarkStart w:id="518" w:name="_Toc184310280"/>
      <w:bookmarkEnd w:id="518"/>
      <w:bookmarkStart w:id="519" w:name="_Toc184312098"/>
      <w:bookmarkEnd w:id="519"/>
      <w:bookmarkStart w:id="520" w:name="_Toc184308092"/>
      <w:bookmarkEnd w:id="520"/>
      <w:bookmarkStart w:id="521" w:name="_Toc184308043"/>
      <w:bookmarkEnd w:id="521"/>
      <w:bookmarkStart w:id="522" w:name="_Toc184308086"/>
      <w:bookmarkEnd w:id="522"/>
      <w:bookmarkStart w:id="523" w:name="_Toc184312104"/>
      <w:bookmarkEnd w:id="523"/>
      <w:bookmarkStart w:id="524" w:name="_Toc184312078"/>
      <w:bookmarkEnd w:id="524"/>
      <w:bookmarkStart w:id="525" w:name="_Toc184313271"/>
      <w:bookmarkEnd w:id="525"/>
      <w:bookmarkStart w:id="526" w:name="_Toc184312133"/>
      <w:bookmarkEnd w:id="526"/>
      <w:bookmarkStart w:id="527" w:name="_Toc184312093"/>
      <w:bookmarkEnd w:id="527"/>
      <w:bookmarkStart w:id="528" w:name="_Toc184314411"/>
      <w:bookmarkEnd w:id="528"/>
      <w:bookmarkStart w:id="529" w:name="_Toc184313299"/>
      <w:bookmarkEnd w:id="529"/>
      <w:bookmarkStart w:id="530" w:name="_Toc184313282"/>
      <w:bookmarkEnd w:id="530"/>
      <w:bookmarkStart w:id="531" w:name="_Toc184312135"/>
      <w:bookmarkEnd w:id="531"/>
      <w:bookmarkStart w:id="532" w:name="_Toc184308076"/>
      <w:bookmarkEnd w:id="532"/>
      <w:bookmarkStart w:id="533" w:name="_Toc184310343"/>
      <w:bookmarkEnd w:id="533"/>
      <w:bookmarkStart w:id="534" w:name="_Toc184308077"/>
      <w:bookmarkEnd w:id="534"/>
      <w:bookmarkStart w:id="535" w:name="_Toc184310296"/>
      <w:bookmarkEnd w:id="535"/>
      <w:bookmarkStart w:id="536" w:name="_Toc184314474"/>
      <w:bookmarkEnd w:id="536"/>
      <w:bookmarkStart w:id="537" w:name="_Toc184310282"/>
      <w:bookmarkEnd w:id="537"/>
      <w:r>
        <w:rPr>
          <w:rFonts w:hint="eastAsia" w:ascii="仿宋" w:hAnsi="仿宋" w:eastAsia="仿宋" w:cs="仿宋_GB2312"/>
          <w:b/>
          <w:color w:val="auto"/>
          <w:sz w:val="36"/>
          <w:szCs w:val="36"/>
          <w:highlight w:val="none"/>
        </w:rPr>
        <w:t>评标办法</w:t>
      </w:r>
      <w:bookmarkEnd w:id="168"/>
      <w:bookmarkEnd w:id="169"/>
      <w:bookmarkEnd w:id="170"/>
      <w:bookmarkEnd w:id="171"/>
      <w:bookmarkEnd w:id="172"/>
    </w:p>
    <w:p>
      <w:pPr>
        <w:snapToGrid w:val="0"/>
        <w:spacing w:line="360" w:lineRule="auto"/>
        <w:jc w:val="center"/>
        <w:outlineLvl w:val="1"/>
        <w:rPr>
          <w:rFonts w:ascii="仿宋" w:hAnsi="仿宋" w:eastAsia="仿宋" w:cs="仿宋_GB2312"/>
          <w:b/>
          <w:color w:val="auto"/>
          <w:sz w:val="32"/>
          <w:szCs w:val="20"/>
          <w:highlight w:val="none"/>
        </w:rPr>
      </w:pPr>
      <w:bookmarkStart w:id="538" w:name="_Toc2378"/>
      <w:bookmarkStart w:id="539" w:name="_Toc95312984"/>
      <w:bookmarkStart w:id="540" w:name="_Toc2037847746"/>
      <w:bookmarkStart w:id="541" w:name="_Toc30992"/>
      <w:bookmarkStart w:id="542" w:name="_Toc880745451"/>
      <w:r>
        <w:rPr>
          <w:rFonts w:hint="eastAsia" w:ascii="仿宋" w:hAnsi="仿宋" w:eastAsia="仿宋" w:cs="仿宋_GB2312"/>
          <w:b/>
          <w:color w:val="auto"/>
          <w:sz w:val="32"/>
          <w:szCs w:val="20"/>
          <w:highlight w:val="none"/>
        </w:rPr>
        <w:t>评标办法前附表</w:t>
      </w:r>
    </w:p>
    <w:p>
      <w:pPr>
        <w:snapToGrid w:val="0"/>
        <w:spacing w:line="360" w:lineRule="auto"/>
        <w:outlineLvl w:val="1"/>
        <w:rPr>
          <w:rFonts w:ascii="仿宋" w:hAnsi="仿宋" w:eastAsia="仿宋"/>
          <w:b/>
          <w:bCs/>
          <w:color w:val="auto"/>
          <w:sz w:val="24"/>
          <w:highlight w:val="none"/>
        </w:rPr>
      </w:pPr>
      <w:r>
        <w:rPr>
          <w:rFonts w:hint="eastAsia" w:ascii="仿宋" w:hAnsi="仿宋" w:eastAsia="仿宋"/>
          <w:b/>
          <w:bCs/>
          <w:color w:val="auto"/>
          <w:sz w:val="24"/>
          <w:highlight w:val="none"/>
        </w:rPr>
        <w:t>标项一：</w:t>
      </w:r>
    </w:p>
    <w:tbl>
      <w:tblPr>
        <w:tblStyle w:val="63"/>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276"/>
        <w:gridCol w:w="6521"/>
        <w:gridCol w:w="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序</w:t>
            </w: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号</w:t>
            </w:r>
          </w:p>
        </w:tc>
        <w:tc>
          <w:tcPr>
            <w:tcW w:w="1276" w:type="dxa"/>
            <w:vAlign w:val="center"/>
          </w:tcPr>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评分内容</w:t>
            </w:r>
          </w:p>
        </w:tc>
        <w:tc>
          <w:tcPr>
            <w:tcW w:w="6521" w:type="dxa"/>
            <w:vAlign w:val="center"/>
          </w:tcPr>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评分标准与细则</w:t>
            </w:r>
          </w:p>
        </w:tc>
        <w:tc>
          <w:tcPr>
            <w:tcW w:w="701" w:type="dxa"/>
            <w:vAlign w:val="center"/>
          </w:tcPr>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center"/>
          </w:tcPr>
          <w:p>
            <w:pPr>
              <w:spacing w:line="360" w:lineRule="auto"/>
              <w:rPr>
                <w:rFonts w:ascii="仿宋" w:hAnsi="仿宋" w:eastAsia="仿宋"/>
                <w:b/>
                <w:bCs/>
                <w:color w:val="auto"/>
                <w:sz w:val="24"/>
                <w:highlight w:val="none"/>
              </w:rPr>
            </w:pPr>
            <w:r>
              <w:rPr>
                <w:rFonts w:hint="eastAsia" w:ascii="仿宋" w:hAnsi="仿宋" w:eastAsia="仿宋" w:cs="仿宋"/>
                <w:color w:val="auto"/>
                <w:sz w:val="24"/>
                <w:highlight w:val="none"/>
              </w:rPr>
              <w:t>1</w:t>
            </w:r>
          </w:p>
        </w:tc>
        <w:tc>
          <w:tcPr>
            <w:tcW w:w="1276" w:type="dxa"/>
            <w:vAlign w:val="center"/>
          </w:tcPr>
          <w:p>
            <w:pPr>
              <w:spacing w:line="360" w:lineRule="auto"/>
              <w:rPr>
                <w:rFonts w:ascii="仿宋" w:hAnsi="仿宋" w:eastAsia="仿宋"/>
                <w:b/>
                <w:bCs/>
                <w:color w:val="auto"/>
                <w:sz w:val="24"/>
                <w:highlight w:val="none"/>
              </w:rPr>
            </w:pP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报价</w:t>
            </w:r>
          </w:p>
        </w:tc>
        <w:tc>
          <w:tcPr>
            <w:tcW w:w="652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价格分采用低价优先法计算，即满足招标文件要求且投标价格最低的投标报价为评标基准价，其他 投标人的价格分按照下列公式计算：</w:t>
            </w:r>
          </w:p>
          <w:p>
            <w:pPr>
              <w:spacing w:line="360" w:lineRule="auto"/>
              <w:rPr>
                <w:rFonts w:ascii="仿宋" w:hAnsi="仿宋" w:eastAsia="仿宋"/>
                <w:b/>
                <w:bCs/>
                <w:color w:val="auto"/>
                <w:sz w:val="24"/>
                <w:highlight w:val="none"/>
              </w:rPr>
            </w:pPr>
            <w:r>
              <w:rPr>
                <w:rFonts w:hint="eastAsia" w:ascii="仿宋" w:hAnsi="仿宋" w:eastAsia="仿宋" w:cs="仿宋"/>
                <w:color w:val="auto"/>
                <w:sz w:val="24"/>
                <w:highlight w:val="none"/>
              </w:rPr>
              <w:t>价格分=（评标基准价/投标报价）×30%×100</w:t>
            </w:r>
          </w:p>
        </w:tc>
        <w:tc>
          <w:tcPr>
            <w:tcW w:w="701" w:type="dxa"/>
            <w:vAlign w:val="center"/>
          </w:tcPr>
          <w:p>
            <w:pPr>
              <w:spacing w:line="360" w:lineRule="auto"/>
              <w:rPr>
                <w:rFonts w:ascii="仿宋" w:hAnsi="仿宋" w:eastAsia="仿宋"/>
                <w:b/>
                <w:bCs/>
                <w:color w:val="auto"/>
                <w:sz w:val="24"/>
                <w:highlight w:val="none"/>
              </w:rPr>
            </w:pPr>
            <w:r>
              <w:rPr>
                <w:rFonts w:hint="eastAsia" w:ascii="仿宋" w:hAnsi="仿宋" w:eastAsia="仿宋" w:cs="仿宋"/>
                <w:color w:val="auto"/>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w:t>
            </w:r>
          </w:p>
        </w:tc>
        <w:tc>
          <w:tcPr>
            <w:tcW w:w="1276"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投标人及产品认证或荣誉</w:t>
            </w:r>
          </w:p>
        </w:tc>
        <w:tc>
          <w:tcPr>
            <w:tcW w:w="6521"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投标人具有有效期内CQC中国环保产品认证证书，木制办公家具（认证范围包含班台、员工桌、会议桌、茶几），金属办公家具（认证范围包含柜类，椅凳类）。每一份认证范围齐全的证书得1分，最高得2分，不重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投标人具有有效期内CEC家具产品环保卫士认证证书，包含（木家具（认证产品包括办公桌、文件柜、活动柜、资料柜、餐桌），金属家具（认证产品包括钢制资料柜），软体家具（布艺沙发）），每一份认证范围齐全的证书得</w:t>
            </w:r>
            <w:r>
              <w:rPr>
                <w:rFonts w:ascii="仿宋" w:hAnsi="仿宋" w:eastAsia="仿宋"/>
                <w:color w:val="auto"/>
                <w:sz w:val="24"/>
                <w:highlight w:val="none"/>
              </w:rPr>
              <w:t>0.5</w:t>
            </w:r>
            <w:r>
              <w:rPr>
                <w:rFonts w:hint="eastAsia" w:ascii="仿宋" w:hAnsi="仿宋" w:eastAsia="仿宋"/>
                <w:color w:val="auto"/>
                <w:sz w:val="24"/>
                <w:highlight w:val="none"/>
              </w:rPr>
              <w:t>分，最高得</w:t>
            </w:r>
            <w:r>
              <w:rPr>
                <w:rFonts w:ascii="仿宋" w:hAnsi="仿宋" w:eastAsia="仿宋"/>
                <w:color w:val="auto"/>
                <w:sz w:val="24"/>
                <w:highlight w:val="none"/>
              </w:rPr>
              <w:t>1.5</w:t>
            </w:r>
            <w:r>
              <w:rPr>
                <w:rFonts w:hint="eastAsia" w:ascii="仿宋" w:hAnsi="仿宋" w:eastAsia="仿宋"/>
                <w:color w:val="auto"/>
                <w:sz w:val="24"/>
                <w:highlight w:val="none"/>
              </w:rPr>
              <w:t>分，不重复得分。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3、投标人具有有效期内低vocs家具产品认证证书，木家具（认证范围包含办公桌，茶几，文件柜，茶水柜），软体家具（认证范围包含办公椅，布艺沙发）。每一份认证范围齐全的证书得</w:t>
            </w:r>
            <w:r>
              <w:rPr>
                <w:rFonts w:ascii="仿宋" w:hAnsi="仿宋" w:eastAsia="仿宋"/>
                <w:color w:val="auto"/>
                <w:sz w:val="24"/>
                <w:highlight w:val="none"/>
              </w:rPr>
              <w:t>1</w:t>
            </w:r>
            <w:r>
              <w:rPr>
                <w:rFonts w:hint="eastAsia" w:ascii="仿宋" w:hAnsi="仿宋" w:eastAsia="仿宋"/>
                <w:color w:val="auto"/>
                <w:sz w:val="24"/>
                <w:highlight w:val="none"/>
              </w:rPr>
              <w:t>分，最高得</w:t>
            </w:r>
            <w:r>
              <w:rPr>
                <w:rFonts w:ascii="仿宋" w:hAnsi="仿宋" w:eastAsia="仿宋"/>
                <w:color w:val="auto"/>
                <w:sz w:val="24"/>
                <w:highlight w:val="none"/>
              </w:rPr>
              <w:t>2</w:t>
            </w:r>
            <w:r>
              <w:rPr>
                <w:rFonts w:hint="eastAsia" w:ascii="仿宋" w:hAnsi="仿宋" w:eastAsia="仿宋"/>
                <w:color w:val="auto"/>
                <w:sz w:val="24"/>
                <w:highlight w:val="none"/>
              </w:rPr>
              <w:t>分，不重复得分。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4、投标人具有有效期内中国环境标志产品认证证书（十环认证）（人造板类家具、软体家具、实木类家具、综合类木家具、钢木家具）。每项得</w:t>
            </w:r>
            <w:r>
              <w:rPr>
                <w:rFonts w:ascii="仿宋" w:hAnsi="仿宋" w:eastAsia="仿宋"/>
                <w:color w:val="auto"/>
                <w:sz w:val="24"/>
                <w:highlight w:val="none"/>
              </w:rPr>
              <w:t>0.5</w:t>
            </w:r>
            <w:r>
              <w:rPr>
                <w:rFonts w:hint="eastAsia" w:ascii="仿宋" w:hAnsi="仿宋" w:eastAsia="仿宋"/>
                <w:color w:val="auto"/>
                <w:sz w:val="24"/>
                <w:highlight w:val="none"/>
              </w:rPr>
              <w:t>分，最高得2</w:t>
            </w:r>
            <w:r>
              <w:rPr>
                <w:rFonts w:ascii="仿宋" w:hAnsi="仿宋" w:eastAsia="仿宋"/>
                <w:color w:val="auto"/>
                <w:sz w:val="24"/>
                <w:highlight w:val="none"/>
              </w:rPr>
              <w:t>.5</w:t>
            </w:r>
            <w:r>
              <w:rPr>
                <w:rFonts w:hint="eastAsia" w:ascii="仿宋" w:hAnsi="仿宋" w:eastAsia="仿宋"/>
                <w:color w:val="auto"/>
                <w:sz w:val="24"/>
                <w:highlight w:val="none"/>
              </w:rPr>
              <w:t xml:space="preserve">分。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5、投标人具有有效期内有害物质限量认证证书，木家具（认证范围包含柜架类、椅凳类、桌类），金属家具（认证范围包含椅凳类、柜架类），软体家具（认证范围包含沙发类），每一份认证范围齐全的证书得</w:t>
            </w:r>
            <w:r>
              <w:rPr>
                <w:rFonts w:ascii="仿宋" w:hAnsi="仿宋" w:eastAsia="仿宋"/>
                <w:color w:val="auto"/>
                <w:sz w:val="24"/>
                <w:highlight w:val="none"/>
              </w:rPr>
              <w:t>0.5</w:t>
            </w:r>
            <w:r>
              <w:rPr>
                <w:rFonts w:hint="eastAsia" w:ascii="仿宋" w:hAnsi="仿宋" w:eastAsia="仿宋"/>
                <w:color w:val="auto"/>
                <w:sz w:val="24"/>
                <w:highlight w:val="none"/>
              </w:rPr>
              <w:t>分，最高得</w:t>
            </w:r>
            <w:r>
              <w:rPr>
                <w:rFonts w:ascii="仿宋" w:hAnsi="仿宋" w:eastAsia="仿宋"/>
                <w:color w:val="auto"/>
                <w:sz w:val="24"/>
                <w:highlight w:val="none"/>
              </w:rPr>
              <w:t>1.5</w:t>
            </w:r>
            <w:r>
              <w:rPr>
                <w:rFonts w:hint="eastAsia" w:ascii="仿宋" w:hAnsi="仿宋" w:eastAsia="仿宋"/>
                <w:color w:val="auto"/>
                <w:sz w:val="24"/>
                <w:highlight w:val="none"/>
              </w:rPr>
              <w:t>分，不重复得分。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6、投标人具有有效期内具有CQTA品质认证证书（办公桌、布艺沙发、钢制文件柜、屏风工作位）每一项得0.5分，最高得2分，不重复得分。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w:t>
            </w:r>
            <w:r>
              <w:rPr>
                <w:rFonts w:hint="eastAsia" w:ascii="仿宋" w:hAnsi="仿宋" w:eastAsia="仿宋" w:cs="仿宋"/>
                <w:color w:val="auto"/>
                <w:sz w:val="24"/>
                <w:highlight w:val="none"/>
              </w:rPr>
              <w:t>投标人具有有效期内ISO14025环境标志国际标准Ⅲ型环境标志证书的，得</w:t>
            </w:r>
            <w:r>
              <w:rPr>
                <w:rFonts w:ascii="仿宋" w:hAnsi="仿宋" w:eastAsia="仿宋" w:cs="仿宋"/>
                <w:color w:val="auto"/>
                <w:sz w:val="24"/>
                <w:highlight w:val="none"/>
              </w:rPr>
              <w:t>1</w:t>
            </w:r>
            <w:r>
              <w:rPr>
                <w:rFonts w:hint="eastAsia" w:ascii="仿宋" w:hAnsi="仿宋" w:eastAsia="仿宋" w:cs="仿宋"/>
                <w:color w:val="auto"/>
                <w:sz w:val="24"/>
                <w:highlight w:val="none"/>
              </w:rPr>
              <w:t>分</w:t>
            </w:r>
            <w:r>
              <w:rPr>
                <w:rFonts w:hint="eastAsia" w:ascii="仿宋" w:hAnsi="仿宋" w:eastAsia="仿宋"/>
                <w:color w:val="auto"/>
                <w:sz w:val="24"/>
                <w:highlight w:val="none"/>
              </w:rPr>
              <w:t>。</w:t>
            </w:r>
          </w:p>
          <w:p>
            <w:pPr>
              <w:pStyle w:val="24"/>
              <w:spacing w:after="120" w:line="360" w:lineRule="auto"/>
              <w:ind w:firstLine="0" w:firstLineChars="0"/>
              <w:rPr>
                <w:rFonts w:ascii="仿宋" w:hAnsi="仿宋" w:eastAsia="仿宋"/>
                <w:color w:val="auto"/>
                <w:highlight w:val="none"/>
              </w:rPr>
            </w:pPr>
            <w:r>
              <w:rPr>
                <w:rFonts w:hint="eastAsia" w:ascii="仿宋" w:hAnsi="仿宋" w:eastAsia="仿宋" w:cs="仿宋"/>
                <w:color w:val="auto"/>
                <w:highlight w:val="none"/>
              </w:rPr>
              <w:t>8、投标人具有有效期内的ISO50001能源管理体系认证证书（覆盖范围包含办公家具的生产）的，得2分。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9、投标人具有一定的自主研发/创新能力，提供投标产品相关的发明专利证书，每提供一份发明专利证书得0.5分，最高得2</w:t>
            </w:r>
            <w:r>
              <w:rPr>
                <w:rFonts w:ascii="仿宋" w:hAnsi="仿宋" w:eastAsia="仿宋"/>
                <w:color w:val="auto"/>
                <w:sz w:val="24"/>
                <w:highlight w:val="none"/>
              </w:rPr>
              <w:t>.5</w:t>
            </w:r>
            <w:r>
              <w:rPr>
                <w:rFonts w:hint="eastAsia" w:ascii="仿宋" w:hAnsi="仿宋" w:eastAsia="仿宋"/>
                <w:color w:val="auto"/>
                <w:sz w:val="24"/>
                <w:highlight w:val="none"/>
              </w:rPr>
              <w:t>分。</w:t>
            </w:r>
          </w:p>
          <w:p>
            <w:pPr>
              <w:spacing w:line="360" w:lineRule="auto"/>
              <w:rPr>
                <w:rFonts w:ascii="仿宋" w:hAnsi="仿宋" w:eastAsia="仿宋"/>
                <w:color w:val="auto"/>
                <w:sz w:val="24"/>
                <w:highlight w:val="none"/>
              </w:rPr>
            </w:pPr>
            <w:r>
              <w:rPr>
                <w:rFonts w:ascii="仿宋" w:hAnsi="仿宋" w:eastAsia="仿宋"/>
                <w:color w:val="auto"/>
                <w:sz w:val="24"/>
                <w:highlight w:val="none"/>
              </w:rPr>
              <w:t>10</w:t>
            </w:r>
            <w:r>
              <w:rPr>
                <w:rFonts w:hint="eastAsia" w:ascii="仿宋" w:hAnsi="仿宋" w:eastAsia="仿宋"/>
                <w:color w:val="auto"/>
                <w:sz w:val="24"/>
                <w:highlight w:val="none"/>
              </w:rPr>
              <w:t>、投标人具有有效期内的绿色供应链4星（含）以上评价证书，满足CEC 006-2016《绿色供应链评价技术规范家具》，4星得</w:t>
            </w:r>
            <w:r>
              <w:rPr>
                <w:rFonts w:ascii="仿宋" w:hAnsi="仿宋" w:eastAsia="仿宋"/>
                <w:color w:val="auto"/>
                <w:sz w:val="24"/>
                <w:highlight w:val="none"/>
              </w:rPr>
              <w:t>0.5</w:t>
            </w:r>
            <w:r>
              <w:rPr>
                <w:rFonts w:hint="eastAsia" w:ascii="仿宋" w:hAnsi="仿宋" w:eastAsia="仿宋"/>
                <w:color w:val="auto"/>
                <w:sz w:val="24"/>
                <w:highlight w:val="none"/>
              </w:rPr>
              <w:t>分，5星得</w:t>
            </w:r>
            <w:r>
              <w:rPr>
                <w:rFonts w:ascii="仿宋" w:hAnsi="仿宋" w:eastAsia="仿宋"/>
                <w:color w:val="auto"/>
                <w:sz w:val="24"/>
                <w:highlight w:val="none"/>
              </w:rPr>
              <w:t>1</w:t>
            </w:r>
            <w:r>
              <w:rPr>
                <w:rFonts w:hint="eastAsia" w:ascii="仿宋" w:hAnsi="仿宋" w:eastAsia="仿宋"/>
                <w:color w:val="auto"/>
                <w:sz w:val="24"/>
                <w:highlight w:val="none"/>
              </w:rPr>
              <w:t>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1</w:t>
            </w:r>
            <w:r>
              <w:rPr>
                <w:rFonts w:hint="eastAsia" w:ascii="仿宋" w:hAnsi="仿宋" w:eastAsia="仿宋"/>
                <w:color w:val="auto"/>
                <w:sz w:val="24"/>
                <w:highlight w:val="none"/>
              </w:rPr>
              <w:t>、投标人具有有效期内的人类工效学认证证书（办公桌、办公椅、文件柜、沙发），每一项得0.5分，最高得2分。</w:t>
            </w:r>
          </w:p>
        </w:tc>
        <w:tc>
          <w:tcPr>
            <w:tcW w:w="701"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w:t>
            </w:r>
          </w:p>
        </w:tc>
        <w:tc>
          <w:tcPr>
            <w:tcW w:w="1276" w:type="dxa"/>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同类业绩</w:t>
            </w:r>
          </w:p>
        </w:tc>
        <w:tc>
          <w:tcPr>
            <w:tcW w:w="6521" w:type="dxa"/>
            <w:vAlign w:val="center"/>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投标人自2019年1月1日（合同签订时间为准）以来同类投标产品（办公家具）的销售（成交）合同，提供合同关键页（显示甲乙双方签章、合同金额）和验收合格报告复印件复印件，每提供一份得0.5分，最高得</w:t>
            </w:r>
            <w:r>
              <w:rPr>
                <w:rFonts w:ascii="仿宋" w:hAnsi="仿宋" w:eastAsia="仿宋"/>
                <w:color w:val="auto"/>
                <w:sz w:val="24"/>
                <w:highlight w:val="none"/>
              </w:rPr>
              <w:t>2</w:t>
            </w:r>
            <w:r>
              <w:rPr>
                <w:rFonts w:hint="eastAsia" w:ascii="仿宋" w:hAnsi="仿宋" w:eastAsia="仿宋"/>
                <w:color w:val="auto"/>
                <w:sz w:val="24"/>
                <w:highlight w:val="none"/>
              </w:rPr>
              <w:t>分。</w:t>
            </w:r>
          </w:p>
        </w:tc>
        <w:tc>
          <w:tcPr>
            <w:tcW w:w="701" w:type="dxa"/>
            <w:vAlign w:val="center"/>
          </w:tcPr>
          <w:p>
            <w:pPr>
              <w:spacing w:line="360" w:lineRule="auto"/>
              <w:rPr>
                <w:rFonts w:ascii="仿宋" w:hAnsi="仿宋" w:eastAsia="仿宋"/>
                <w:color w:val="auto"/>
                <w:sz w:val="24"/>
                <w:highlight w:val="none"/>
              </w:rPr>
            </w:pPr>
            <w:r>
              <w:rPr>
                <w:rFonts w:ascii="仿宋" w:hAnsi="仿宋" w:eastAsia="仿宋"/>
                <w:color w:val="auto"/>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w:t>
            </w:r>
          </w:p>
        </w:tc>
        <w:tc>
          <w:tcPr>
            <w:tcW w:w="1276"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原材料检验报告</w:t>
            </w:r>
          </w:p>
        </w:tc>
        <w:tc>
          <w:tcPr>
            <w:tcW w:w="6521" w:type="dxa"/>
            <w:vAlign w:val="top"/>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投标人提供其自2020年1月1日以来第通过CMA或CNAS认证的第三方检测机构出具的原材料抽检合格的检测报告扫描件，每一项得1.5分，最高得15分。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1、刨花板：符合GB/T 4897-2015标准、GB 18580-2017标准、HJ 571-2010标准、GB18584-2001标准,其中板规格尺寸及其偏差、外观质量、理化性能、静曲强度、弹性模量、内胶合强度、表面胶合强度、2H吸水厚度膨胀率、握螺钉力均合格，甲醛释放量符合GB/T 39600-2021标准和GB/T 39598-2021标准Enf级。</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2、中纤板：符合GB/T 11718-2009标准、GB 18580-2017标准、HJ 571-2010标准、GB18584-2001标准,其中外观质量、尺寸偏差、密度、板内密度偏差、内结合强度、静曲强度、弹性模量、吸水厚度膨胀率、表面结合强度均合格，甲醛释放量符合GB/T 39600-2021标准和GB/T 39598-2021标准Enf级。</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锁具：符合QB/T1621-2015标准，其中锁头、钥匙外观、电镀件外观、钥匙拔插、旋转、钥匙拔出静拉力、钥匙开启扭矩、锁头固定连接静拉力、锁头固定连接扭矩、叶片锁钥匙牙花数均合格，电镀件耐腐蚀100h达到10级，使用寿命达到30000次合格。</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4、白乳胶：水基型聚乙酸乙酯胶粘剂，符合GB18583-2008标准，其中甲苯+二甲苯、游离甲醛、苯均未检出，总挥发性有机物≤35g/L。</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5、三节轨：符合QB/T2454-2013标准、GB 24820-2009标准，其中过载、功能均合格，耐久性达到100000次合格，200h中性盐雾试验到达8级，100h乙酸盐雾试验达到8级。</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6、铰链：符合QB/T 2189-2013标准、GB 24820-2009标准、GB/T3325-2017标准，其中过载、功能、金属件外观性能要求均合格，耐久性100000次合格，中性盐雾试验200h达到9级，100h乙酸盐雾试验达到9级。</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7、网布：符合GB 18401-2010（C类）标准、GB/T 18885-2009标准，其中甲醛含量未检出，pH值合格，无异味，可萃取重金属含量、苯酚化合物、邻苯基苯酚、氯化苯和氯化甲苯、有机锡化合物、可分解致癌芳香胺染料、致癌染料、其他染料均未检出，耐酸汗渍色牢度、耐碱汗渍色牢度、耐水色牢度、耐干摩擦色牢度均合格，耐磨性能达到20000次。</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8、椅座底盘</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符合QB/T 2280-2016标准、GB/T 3325-2017标准、GB 24820-2009标准，其中外观要求、金属喷漆涂层（附着力）均合格，中性盐雾试验200h达到9级,100h乙酸盐雾试验达到9级。</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9、高弹海绵：符合GB/T 10802-2006标准、QB/T2280-2016标准。其中25%压陷硬度、65%/25%压陷比、75%压缩永久变形、回弹率、拉伸强度、伸长率、撕裂强度、干热老化后拉伸强度、干热老化后拉伸强度变化率、湿热老化后拉伸强度、湿热老化后拉伸强度变化率、感官要求、恒定负荷反复压陷疲劳后40%压缩硬度损失值等均合格，甲醛释放量≤0.02mg/㎡h，TVOC≤0.3mg/㎡h。</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10、</w:t>
            </w:r>
            <w:r>
              <w:rPr>
                <w:rFonts w:ascii="仿宋" w:hAnsi="仿宋" w:eastAsia="仿宋"/>
                <w:color w:val="auto"/>
                <w:sz w:val="24"/>
                <w:highlight w:val="none"/>
              </w:rPr>
              <w:t>EPU</w:t>
            </w:r>
            <w:r>
              <w:rPr>
                <w:rFonts w:hint="eastAsia" w:ascii="仿宋" w:hAnsi="仿宋" w:eastAsia="仿宋"/>
                <w:color w:val="auto"/>
                <w:sz w:val="24"/>
                <w:highlight w:val="none"/>
              </w:rPr>
              <w:t>皮革：大肠杆菌、金黄色葡萄球菌、肺炎克雷伯氏菌抗菌率＞9</w:t>
            </w:r>
            <w:r>
              <w:rPr>
                <w:rFonts w:ascii="仿宋" w:hAnsi="仿宋" w:eastAsia="仿宋"/>
                <w:color w:val="auto"/>
                <w:sz w:val="24"/>
                <w:highlight w:val="none"/>
              </w:rPr>
              <w:t>9</w:t>
            </w:r>
            <w:r>
              <w:rPr>
                <w:rFonts w:hint="eastAsia" w:ascii="仿宋" w:hAnsi="仿宋" w:eastAsia="仿宋"/>
                <w:color w:val="auto"/>
                <w:sz w:val="24"/>
                <w:highlight w:val="none"/>
              </w:rPr>
              <w:t>%。</w:t>
            </w:r>
          </w:p>
        </w:tc>
        <w:tc>
          <w:tcPr>
            <w:tcW w:w="701"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w:t>
            </w:r>
          </w:p>
        </w:tc>
        <w:tc>
          <w:tcPr>
            <w:tcW w:w="1276"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加工设备</w:t>
            </w:r>
          </w:p>
        </w:tc>
        <w:tc>
          <w:tcPr>
            <w:tcW w:w="6521"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投标人提供其拥有的办公家具生产检测设备，包括但不限于：计算机数控五轴加工中心、全自动激光直线封边机、计算机数控加工中心、高频贴面设备、全精密三滚涂布机、高频框架组合机、变频螺杆式空压机、火星探测及熄灭系统、全自动木皮指接机、污水处理设备、电脑式椅背强度试验机、日晒气候色牢度仪、泡棉回弹测定仪、高低温湿热试验箱、椅子扶手耐久测试机。每提供一个设备得0.</w:t>
            </w:r>
            <w:r>
              <w:rPr>
                <w:rFonts w:ascii="仿宋" w:hAnsi="仿宋" w:eastAsia="仿宋"/>
                <w:color w:val="auto"/>
                <w:sz w:val="24"/>
                <w:highlight w:val="none"/>
              </w:rPr>
              <w:t>4</w:t>
            </w:r>
            <w:r>
              <w:rPr>
                <w:rFonts w:hint="eastAsia" w:ascii="仿宋" w:hAnsi="仿宋" w:eastAsia="仿宋"/>
                <w:color w:val="auto"/>
                <w:sz w:val="24"/>
                <w:highlight w:val="none"/>
              </w:rPr>
              <w:t>分，最高得</w:t>
            </w:r>
            <w:r>
              <w:rPr>
                <w:rFonts w:ascii="仿宋" w:hAnsi="仿宋" w:eastAsia="仿宋"/>
                <w:color w:val="auto"/>
                <w:sz w:val="24"/>
                <w:highlight w:val="none"/>
              </w:rPr>
              <w:t>6</w:t>
            </w:r>
            <w:r>
              <w:rPr>
                <w:rFonts w:hint="eastAsia" w:ascii="仿宋" w:hAnsi="仿宋" w:eastAsia="仿宋"/>
                <w:color w:val="auto"/>
                <w:sz w:val="24"/>
                <w:highlight w:val="none"/>
              </w:rPr>
              <w:t>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如无法提供名称完全一致的设备，提供功能类似设备亦可；（投标文件中提供设备购买发票复印件）</w:t>
            </w:r>
          </w:p>
        </w:tc>
        <w:tc>
          <w:tcPr>
            <w:tcW w:w="701" w:type="dxa"/>
            <w:vAlign w:val="top"/>
          </w:tcPr>
          <w:p>
            <w:pPr>
              <w:spacing w:line="360" w:lineRule="auto"/>
              <w:rPr>
                <w:rFonts w:ascii="仿宋" w:hAnsi="仿宋" w:eastAsia="仿宋"/>
                <w:color w:val="auto"/>
                <w:sz w:val="24"/>
                <w:highlight w:val="none"/>
              </w:rPr>
            </w:pPr>
            <w:r>
              <w:rPr>
                <w:rFonts w:ascii="仿宋" w:hAnsi="仿宋" w:eastAsia="仿宋"/>
                <w:color w:val="auto"/>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w:t>
            </w:r>
          </w:p>
        </w:tc>
        <w:tc>
          <w:tcPr>
            <w:tcW w:w="1276"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售后服务</w:t>
            </w:r>
          </w:p>
        </w:tc>
        <w:tc>
          <w:tcPr>
            <w:tcW w:w="6521"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投标人具本项目的售后服务能力。</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1、投标人具有全国商品售后服务达标认证证书五星级的，得</w:t>
            </w:r>
            <w:r>
              <w:rPr>
                <w:rFonts w:ascii="仿宋" w:hAnsi="仿宋" w:eastAsia="仿宋"/>
                <w:color w:val="auto"/>
                <w:sz w:val="24"/>
                <w:highlight w:val="none"/>
              </w:rPr>
              <w:t>1</w:t>
            </w:r>
            <w:r>
              <w:rPr>
                <w:rFonts w:hint="eastAsia" w:ascii="仿宋" w:hAnsi="仿宋" w:eastAsia="仿宋"/>
                <w:color w:val="auto"/>
                <w:sz w:val="24"/>
                <w:highlight w:val="none"/>
              </w:rPr>
              <w:t>分，没有不得分（提供证书复印件加盖公章）。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2、投标人具有完善的售后技术支持人员，售后服务高级管理师人数≥10人得2分，10&gt;人数≥8人得0.5分。(提供售后服务高级管理师证书扫描件及近一年任意一个月的社保证明。</w:t>
            </w:r>
          </w:p>
        </w:tc>
        <w:tc>
          <w:tcPr>
            <w:tcW w:w="701"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w:t>
            </w:r>
          </w:p>
        </w:tc>
        <w:tc>
          <w:tcPr>
            <w:tcW w:w="1276"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w:t>
            </w:r>
          </w:p>
        </w:tc>
        <w:tc>
          <w:tcPr>
            <w:tcW w:w="6521"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样品一：双人位沙发（序号6）</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样品二：传统窗口区客户用圆脚踏（序号12）</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样品三：职员椅（序号22）</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样品四：窗口区办公桌（肩并肩一对多</w:t>
            </w:r>
            <w:r>
              <w:rPr>
                <w:rFonts w:ascii="仿宋" w:hAnsi="仿宋" w:eastAsia="仿宋"/>
                <w:color w:val="auto"/>
                <w:sz w:val="24"/>
                <w:highlight w:val="none"/>
              </w:rPr>
              <w:t>)</w:t>
            </w:r>
            <w:r>
              <w:rPr>
                <w:rFonts w:hint="eastAsia" w:ascii="仿宋" w:hAnsi="仿宋" w:eastAsia="仿宋"/>
                <w:color w:val="auto"/>
                <w:sz w:val="24"/>
                <w:highlight w:val="none"/>
              </w:rPr>
              <w:t>（序号</w:t>
            </w:r>
            <w:r>
              <w:rPr>
                <w:rFonts w:hint="eastAsia" w:ascii="仿宋" w:hAnsi="仿宋" w:eastAsia="仿宋"/>
                <w:color w:val="auto"/>
                <w:sz w:val="24"/>
                <w:highlight w:val="none"/>
                <w:lang w:val="en-US" w:eastAsia="zh-CN"/>
              </w:rPr>
              <w:t>47</w:t>
            </w:r>
            <w:r>
              <w:rPr>
                <w:rFonts w:hint="eastAsia" w:ascii="仿宋" w:hAnsi="仿宋" w:eastAsia="仿宋"/>
                <w:color w:val="auto"/>
                <w:sz w:val="24"/>
                <w:highlight w:val="none"/>
              </w:rPr>
              <w:t>）</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样品四</w:t>
            </w:r>
            <w:r>
              <w:rPr>
                <w:rFonts w:ascii="仿宋" w:hAnsi="仿宋" w:eastAsia="仿宋"/>
                <w:color w:val="auto"/>
                <w:sz w:val="24"/>
                <w:highlight w:val="none"/>
              </w:rPr>
              <w:t>1、外观要求</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根据招标清单图片自行深化。按单人位出样，单人位整体尺寸约为2250 mm (L)*2500 mm (W)*1380 mm (H)（长宽高均±30mm）。造型优美，比例协调。</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样品四</w:t>
            </w:r>
            <w:r>
              <w:rPr>
                <w:rFonts w:ascii="仿宋" w:hAnsi="仿宋" w:eastAsia="仿宋"/>
                <w:color w:val="auto"/>
                <w:sz w:val="24"/>
                <w:highlight w:val="none"/>
              </w:rPr>
              <w:t>2、功能要求</w:t>
            </w:r>
          </w:p>
          <w:p>
            <w:pPr>
              <w:spacing w:line="360" w:lineRule="auto"/>
              <w:ind w:firstLine="240" w:firstLineChars="100"/>
              <w:rPr>
                <w:rFonts w:ascii="仿宋" w:hAnsi="仿宋" w:eastAsia="仿宋"/>
                <w:color w:val="auto"/>
                <w:sz w:val="24"/>
                <w:highlight w:val="none"/>
              </w:rPr>
            </w:pPr>
            <w:r>
              <w:rPr>
                <w:rFonts w:ascii="仿宋" w:hAnsi="仿宋" w:eastAsia="仿宋"/>
                <w:color w:val="auto"/>
                <w:sz w:val="24"/>
                <w:highlight w:val="none"/>
              </w:rPr>
              <w:t>2.1出线点位置</w:t>
            </w:r>
            <w:r>
              <w:rPr>
                <w:rFonts w:hint="eastAsia" w:ascii="仿宋" w:hAnsi="仿宋" w:eastAsia="仿宋"/>
                <w:color w:val="auto"/>
                <w:sz w:val="24"/>
                <w:highlight w:val="none"/>
              </w:rPr>
              <w:t>在</w:t>
            </w:r>
            <w:r>
              <w:rPr>
                <w:rFonts w:ascii="仿宋" w:hAnsi="仿宋" w:eastAsia="仿宋"/>
                <w:color w:val="auto"/>
                <w:sz w:val="24"/>
                <w:highlight w:val="none"/>
              </w:rPr>
              <w:t>办公桌侧台下方。</w:t>
            </w:r>
          </w:p>
          <w:p>
            <w:pPr>
              <w:spacing w:line="360" w:lineRule="auto"/>
              <w:ind w:firstLine="240" w:firstLineChars="100"/>
              <w:rPr>
                <w:rFonts w:ascii="仿宋" w:hAnsi="仿宋" w:eastAsia="仿宋"/>
                <w:color w:val="auto"/>
                <w:sz w:val="24"/>
                <w:highlight w:val="none"/>
              </w:rPr>
            </w:pPr>
            <w:r>
              <w:rPr>
                <w:rFonts w:ascii="仿宋" w:hAnsi="仿宋" w:eastAsia="仿宋"/>
                <w:color w:val="auto"/>
                <w:sz w:val="24"/>
                <w:highlight w:val="none"/>
              </w:rPr>
              <w:t>2.2至少需要6个强电插孔、1个USB插孔、2个网络插孔、1个电话插孔。隐藏走线。</w:t>
            </w:r>
            <w:r>
              <w:rPr>
                <w:rFonts w:hint="eastAsia" w:ascii="仿宋" w:hAnsi="仿宋" w:eastAsia="仿宋"/>
                <w:color w:val="auto"/>
                <w:sz w:val="24"/>
                <w:highlight w:val="none"/>
              </w:rPr>
              <w:t>走线由厂家自行深化。</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样品四</w:t>
            </w:r>
            <w:r>
              <w:rPr>
                <w:rFonts w:ascii="仿宋" w:hAnsi="仿宋" w:eastAsia="仿宋"/>
                <w:color w:val="auto"/>
                <w:sz w:val="24"/>
                <w:highlight w:val="none"/>
              </w:rPr>
              <w:t>3、工艺要求</w:t>
            </w:r>
          </w:p>
          <w:p>
            <w:pPr>
              <w:spacing w:after="240" w:line="360" w:lineRule="auto"/>
              <w:rPr>
                <w:rFonts w:ascii="仿宋" w:hAnsi="仿宋" w:eastAsia="仿宋"/>
                <w:color w:val="auto"/>
                <w:sz w:val="24"/>
                <w:highlight w:val="none"/>
              </w:rPr>
            </w:pPr>
            <w:r>
              <w:rPr>
                <w:rFonts w:ascii="仿宋" w:hAnsi="仿宋" w:eastAsia="仿宋"/>
                <w:color w:val="auto"/>
                <w:sz w:val="24"/>
                <w:highlight w:val="none"/>
              </w:rPr>
              <w:t>接触人体或收藏物品的部位应无毛刺、刃口、棱角；</w:t>
            </w:r>
            <w:r>
              <w:rPr>
                <w:rFonts w:hint="eastAsia" w:ascii="仿宋" w:hAnsi="仿宋" w:eastAsia="仿宋"/>
                <w:color w:val="auto"/>
                <w:sz w:val="24"/>
                <w:highlight w:val="none"/>
              </w:rPr>
              <w:t>各种配件结合处应无松动，整体牢固。整件产品色泽应相似，涂层不得有皱皮、发粘和漏漆现象。油漆表面应平整光滑、清晰，应无明显木孔沉陷，无明显粒子、涨边和不平整；无异味。其余要求参照招标清单材质说明。</w:t>
            </w:r>
          </w:p>
          <w:p>
            <w:pPr>
              <w:spacing w:after="240" w:line="360" w:lineRule="auto"/>
              <w:rPr>
                <w:rFonts w:ascii="仿宋" w:hAnsi="仿宋" w:eastAsia="仿宋"/>
                <w:color w:val="auto"/>
                <w:sz w:val="24"/>
                <w:highlight w:val="none"/>
              </w:rPr>
            </w:pPr>
            <w:r>
              <w:rPr>
                <w:rFonts w:hint="eastAsia" w:ascii="仿宋" w:hAnsi="仿宋" w:eastAsia="仿宋"/>
                <w:color w:val="auto"/>
                <w:sz w:val="24"/>
                <w:highlight w:val="none"/>
              </w:rPr>
              <w:t>厂家根据上述样品四的要求自行深化，并提供深化设计图（包括但不限于三视图、产品彩色效果图）。</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样品评分：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1）样品质量评分（制作要求）：</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1、连接件结合应牢固,外表结合处缝隙不大于0.2mm得1分，不符合要求不得分；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2、薄木和其他材料贴面的拼贴应严密、平整，不允许有脱胶、明显透胶、鼓泡、凹陷、压痕以及表面划伤、麻点、裂痕、崩角和刃口得1分，不符合要求不得分；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3、贴面的纹理、图案、颜色应对称相似得1分，不符合要求不得分；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4、各种配件结合处应无崩茬或松动；不得有少件、漏钉、透钉，安装、扎实程度等得1分，不符合要求不得分；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2）样品质量评分（涂饰要求）：</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1、整件产品和配套产品色泽应相似得</w:t>
            </w:r>
            <w:r>
              <w:rPr>
                <w:rFonts w:ascii="仿宋" w:hAnsi="仿宋" w:eastAsia="仿宋"/>
                <w:color w:val="auto"/>
                <w:sz w:val="24"/>
                <w:highlight w:val="none"/>
              </w:rPr>
              <w:t>1</w:t>
            </w:r>
            <w:r>
              <w:rPr>
                <w:rFonts w:hint="eastAsia" w:ascii="仿宋" w:hAnsi="仿宋" w:eastAsia="仿宋"/>
                <w:color w:val="auto"/>
                <w:sz w:val="24"/>
                <w:highlight w:val="none"/>
              </w:rPr>
              <w:t>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2、正视面（包括面板）涂层应平整光滑、清晰，涂膜实干后应无明显木孔沉陷得2分，不符合要求不得分；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3、其他部位表面涂层手感应光滑，无明显粒子、涨边和不平整，涂膜实干后允许有木孔沉陷得</w:t>
            </w:r>
            <w:r>
              <w:rPr>
                <w:rFonts w:ascii="仿宋" w:hAnsi="仿宋" w:eastAsia="仿宋"/>
                <w:color w:val="auto"/>
                <w:sz w:val="24"/>
                <w:highlight w:val="none"/>
              </w:rPr>
              <w:t>2</w:t>
            </w:r>
            <w:r>
              <w:rPr>
                <w:rFonts w:hint="eastAsia" w:ascii="仿宋" w:hAnsi="仿宋" w:eastAsia="仿宋"/>
                <w:color w:val="auto"/>
                <w:sz w:val="24"/>
                <w:highlight w:val="none"/>
              </w:rPr>
              <w:t>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4、涂层不得有皱皮、发粘和漏漆现象。应无明显加工痕迹、划痕、白点、鼓泡、油臼、流挂、缩孔、刷毛、积粉和杂渣得1分，不符合要求不得分；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5、表面平整度、光泽度、防虫、防腐处理得1分，不符合要求不得分；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6、环保标准（有无甲醛异味）得1分，不符合要求不得分；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3）样品质量评分（功能要求）：</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投标产品的成熟性、舒适性、安全性、可维护性、可持续性，如有一项不满足扣1分，扣完为止（5分）；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4）外观式样：根据投标人提供的产品样品，响应招标文件要求，包括规格、式样、外观的整体效果好得5分，响应招标文件要求，包括规格、式样、外观的整体效果较好得</w:t>
            </w:r>
            <w:r>
              <w:rPr>
                <w:rFonts w:ascii="仿宋" w:hAnsi="仿宋" w:eastAsia="仿宋"/>
                <w:color w:val="auto"/>
                <w:sz w:val="24"/>
                <w:highlight w:val="none"/>
              </w:rPr>
              <w:t>2</w:t>
            </w:r>
            <w:r>
              <w:rPr>
                <w:rFonts w:hint="eastAsia" w:ascii="仿宋" w:hAnsi="仿宋" w:eastAsia="仿宋"/>
                <w:color w:val="auto"/>
                <w:sz w:val="24"/>
                <w:highlight w:val="none"/>
              </w:rPr>
              <w:t>分，响应招标文件要求，包括规格、式样、外观的整体效果一般得</w:t>
            </w:r>
            <w:r>
              <w:rPr>
                <w:rFonts w:ascii="仿宋" w:hAnsi="仿宋" w:eastAsia="仿宋"/>
                <w:color w:val="auto"/>
                <w:sz w:val="24"/>
                <w:highlight w:val="none"/>
              </w:rPr>
              <w:t>1</w:t>
            </w:r>
            <w:r>
              <w:rPr>
                <w:rFonts w:hint="eastAsia" w:ascii="仿宋" w:hAnsi="仿宋" w:eastAsia="仿宋"/>
                <w:color w:val="auto"/>
                <w:sz w:val="24"/>
                <w:highlight w:val="none"/>
              </w:rPr>
              <w:t>分，效果差不得分（5分）；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5）五金配件：所提供样品的材料及五金件等反映的质量、规格、品质、等级符合要求得2分，所提供样品的材料及五金件等反映的质量、规格、品质、等级一般得</w:t>
            </w:r>
            <w:r>
              <w:rPr>
                <w:rFonts w:ascii="仿宋" w:hAnsi="仿宋" w:eastAsia="仿宋"/>
                <w:color w:val="auto"/>
                <w:sz w:val="24"/>
                <w:highlight w:val="none"/>
              </w:rPr>
              <w:t>0.5</w:t>
            </w:r>
            <w:r>
              <w:rPr>
                <w:rFonts w:hint="eastAsia" w:ascii="仿宋" w:hAnsi="仿宋" w:eastAsia="仿宋"/>
                <w:color w:val="auto"/>
                <w:sz w:val="24"/>
                <w:highlight w:val="none"/>
              </w:rPr>
              <w:t>分，不符合要求不得分。</w:t>
            </w:r>
          </w:p>
        </w:tc>
        <w:tc>
          <w:tcPr>
            <w:tcW w:w="701" w:type="dxa"/>
            <w:vAlign w:val="top"/>
          </w:tcPr>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4</w:t>
            </w:r>
          </w:p>
        </w:tc>
      </w:tr>
    </w:tbl>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pStyle w:val="3"/>
        <w:spacing w:line="360" w:lineRule="auto"/>
        <w:rPr>
          <w:rFonts w:ascii="仿宋" w:hAnsi="仿宋" w:eastAsia="仿宋"/>
          <w:color w:val="auto"/>
          <w:kern w:val="2"/>
          <w:sz w:val="24"/>
          <w:szCs w:val="24"/>
          <w:highlight w:val="none"/>
        </w:rPr>
      </w:pPr>
      <w:r>
        <w:rPr>
          <w:rFonts w:hint="eastAsia" w:ascii="仿宋" w:hAnsi="仿宋" w:eastAsia="仿宋"/>
          <w:color w:val="auto"/>
          <w:kern w:val="2"/>
          <w:sz w:val="24"/>
          <w:szCs w:val="24"/>
          <w:highlight w:val="none"/>
        </w:rPr>
        <w:t>标项二：</w:t>
      </w:r>
    </w:p>
    <w:tbl>
      <w:tblPr>
        <w:tblStyle w:val="63"/>
        <w:tblW w:w="893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71"/>
        <w:gridCol w:w="688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序</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号</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评分内容</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评分标准与细则</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投标</w:t>
            </w:r>
            <w:r>
              <w:rPr>
                <w:rFonts w:hint="eastAsia" w:ascii="仿宋" w:hAnsi="仿宋" w:eastAsia="仿宋" w:cs="仿宋"/>
                <w:color w:val="auto"/>
                <w:sz w:val="24"/>
                <w:highlight w:val="none"/>
              </w:rPr>
              <w:t>报价</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价格分采用低价优先法计算，即满足招标文件要求且投标价格最低的投标报价为评标基准价，其他 投标人的价格分按照下列公式计算：</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价格分=（评标基准价/投标报价）×30%×100</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投标人及产品认证或荣誉</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投标人具有有效期内CQC中国环保产品认证证书，木制办公家具认证范围包含（办公桌、文件柜、茶几、长条桌），金属家具认证范围包含（档案柜、折叠桌）每一份认证范围齐全的证书得1分，最高得2分，提供中国国家认证认可监督管理委员会网站（http://www.cnca.gov.cn/）查询截图。</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2、投标人具有有效期内家具产品环保卫士认证证书（木家具，金属家具，软体家具），满足一项得1分，最高得2分，提供中国国家认证认可监督管理委员会网站（http://www.cnca.gov.cn/）查询截图。</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人具有有效期内低vocs家具产品认证证书，木家具认证范围包含（办公桌，茶几，文件柜，茶水柜，餐椅），软体家具认证范围包含（布艺办公椅），金属家具认证范围包含（货架，连体餐桌）每一份认证范围齐全的证书得1分，最高得2分，提供中国国家认证认可监督管理委员会网站。（http://www.cnca.gov.cn/）查询截图。</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投标人具有有效期内中国环境标志产品认证证书（人造板类家具、软体家具、实木类家具、综合类木家具）满足一项得1分，最高得3分，提供中国国家认证认可监督管理委员会网站（http://www.cnca.gov.cn/）查询截图。</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投标人具有有效期内有害物质限量认证证书，金属家具（柜类、架类、椅类、桌类）、木家具（柜类、架类、椅类、桌类）、软体家具（椅类）每一份认证范围齐全的证书得1分，最高得3分，提供中国国家认证认可监督管理委员会网站（http://www.cnca.gov.cn/）查询截图。</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6、投标人具有有效期内ISO14025环境标志国际标准Ⅲ型环境标志证书得2分。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7、投标人具有有效期内的ISO50001能源管理体系认证证书（覆盖范围包含办公家具的生产）得2分。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8、标人具有有效期内的企业诚信管理体系认证证书，认证范围包括家具（木质家具、钢木家具、实木家具、软体家具、金属家具）的生产和销售，满足一项得0.5分，最高得2分。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9、投标人具有有效期内供应链安全管理体系认证证书得2分，提供中国国家认证认可监督管理委员会网站（http://www.cnca.gov.cn/）查询截图。</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10、投标人具有有效期内家具定制服务认证证书五星级得1分。</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同类业绩</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投标人自2019年1月1日（合同签订时间为准）以来同类投标产品（办公家具）的销售（成交）合同，提供合同关键页（显示合同甲乙双方签章、合同金额）复印件，每提供一份得0.5分，最高得3分。</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原材料检验报告</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投标人提供其自2020年1月1日第三方检测中心通过CMA或CNAS认证的出具的原材料抽检合格的检测报告扫描件，且报告出具时间在本项目公告之前的报告，每一项得2分，最高得19分。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1、网布：PH值≤6.8，耐干摩擦≥3级，未检出可分解芳香胺燃料，按照GB18401-2010标准要求。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2、阻燃海绵：拉伸强度≥109kpa，撕裂强度≥2.5N/cm，干热老化后拉伸强度≥113kpa，湿热老化后拉伸强度≥110kpa，密度≥31kg/m</w:t>
            </w:r>
            <w:r>
              <w:rPr>
                <w:rFonts w:ascii="Calibri" w:hAnsi="Calibri" w:eastAsia="仿宋" w:cs="Calibri"/>
                <w:color w:val="auto"/>
                <w:sz w:val="24"/>
                <w:highlight w:val="none"/>
              </w:rPr>
              <w:t>³</w:t>
            </w:r>
            <w:r>
              <w:rPr>
                <w:rFonts w:hint="eastAsia" w:ascii="仿宋" w:hAnsi="仿宋" w:eastAsia="仿宋" w:cs="仿宋"/>
                <w:color w:val="auto"/>
                <w:sz w:val="24"/>
                <w:highlight w:val="none"/>
              </w:rPr>
              <w:t xml:space="preserve">，表面和内部未出现任何续燃、阴燃现象，通过香烟抗引燃特性试验，按照GB/T 10802-2006，QB/T 1952.1-2012标准要求。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胶合板（实木多层板）：符合GB/T9846-2015《普通胶合板》，GB/T35601-2017《绿色产品评价人造板和木质地板》，GB18580-2017《室内装饰装修材料人造板及其制品中甲醛释放限量》，GB/T17657-2013《人造板及饰面人造板理化性能试验方法》的标准，含水率8-9%，浸渍剥离性能，每个试件同一胶层每边剥离长度累计不超过25mm，甲醛释放量≤0.03mg/m</w:t>
            </w:r>
            <w:r>
              <w:rPr>
                <w:rFonts w:ascii="Calibri" w:hAnsi="Calibri" w:eastAsia="仿宋" w:cs="Calibri"/>
                <w:color w:val="auto"/>
                <w:sz w:val="24"/>
                <w:highlight w:val="none"/>
              </w:rPr>
              <w:t>³</w:t>
            </w:r>
            <w:r>
              <w:rPr>
                <w:rFonts w:hint="eastAsia" w:ascii="仿宋" w:hAnsi="仿宋" w:eastAsia="仿宋" w:cs="仿宋"/>
                <w:color w:val="auto"/>
                <w:sz w:val="24"/>
                <w:highlight w:val="none"/>
              </w:rPr>
              <w:t>，总挥发有机化合物TVOC≤45mg/m</w:t>
            </w:r>
            <w:r>
              <w:rPr>
                <w:rFonts w:ascii="Calibri" w:hAnsi="Calibri" w:eastAsia="仿宋" w:cs="Calibri"/>
                <w:color w:val="auto"/>
                <w:sz w:val="24"/>
                <w:highlight w:val="none"/>
              </w:rPr>
              <w:t>³</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三聚氰胺板：符合GB/T15102-2017《浸渍胶膜纸饰面纤维板和刨花板》GB/T35601-2017《绿色产品评价人造板和木质地板》GB18580-2017《室内装饰装修材料人造板及其制品中甲醛释放限量》GB/T17657-2013《人造板及饰面人造板理化性能试验方法》的标准，表面耐划痕≥1.5N表面无大于90%的连续划痕符合要求，表面耐磨，磨耗值≤40mg/100r,图案纹磨100r后保留50%以上花纹符合要求，表面耐龟裂不低于5级，甲醛释放量≤0.02mg/m</w:t>
            </w:r>
            <w:r>
              <w:rPr>
                <w:rFonts w:ascii="Calibri" w:hAnsi="Calibri" w:eastAsia="仿宋" w:cs="Calibri"/>
                <w:color w:val="auto"/>
                <w:sz w:val="24"/>
                <w:highlight w:val="none"/>
              </w:rPr>
              <w:t>³</w:t>
            </w:r>
            <w:r>
              <w:rPr>
                <w:rFonts w:hint="eastAsia" w:ascii="仿宋" w:hAnsi="仿宋" w:eastAsia="仿宋" w:cs="仿宋"/>
                <w:color w:val="auto"/>
                <w:sz w:val="24"/>
                <w:highlight w:val="none"/>
              </w:rPr>
              <w:t>，总挥发性有机化合物TVOC≤42mg/m</w:t>
            </w:r>
            <w:r>
              <w:rPr>
                <w:rFonts w:ascii="Calibri" w:hAnsi="Calibri" w:eastAsia="仿宋" w:cs="Calibri"/>
                <w:color w:val="auto"/>
                <w:sz w:val="24"/>
                <w:highlight w:val="none"/>
              </w:rPr>
              <w:t>³</w:t>
            </w: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三聚氰胺板饰面：符合GB18580-2017，GB/T15102-2017的标准，含水率8-9%，表面耐香烟灼烧达到4级，表面耐水蒸气达到5级，吸水厚度膨胀率≤4.0（2h），表面耐划痕≥1.5N表面无大于90%的连续划痕，表面耐污染腐蚀达到5级，表面耐龟裂达到5级，静曲强度≥15MPa，弹性模量≥2500MPa，内结合强度≥0.4MPa，表面耐干热达到5级，密度≥0.6g/cm</w:t>
            </w:r>
            <w:r>
              <w:rPr>
                <w:rFonts w:ascii="Calibri" w:hAnsi="Calibri" w:eastAsia="仿宋" w:cs="Calibri"/>
                <w:color w:val="auto"/>
                <w:sz w:val="24"/>
                <w:highlight w:val="none"/>
              </w:rPr>
              <w:t>³</w:t>
            </w:r>
            <w:r>
              <w:rPr>
                <w:rFonts w:hint="eastAsia" w:ascii="仿宋" w:hAnsi="仿宋" w:eastAsia="仿宋" w:cs="仿宋"/>
                <w:color w:val="auto"/>
                <w:sz w:val="24"/>
                <w:highlight w:val="none"/>
              </w:rPr>
              <w:t>，握螺订力板面≥1200N，板边≥850N，表面胶合强度≥0.85MPa，耐光色牢度达到5级，甲醛释放量≤0.025（54h）mg/m</w:t>
            </w:r>
            <w:r>
              <w:rPr>
                <w:rFonts w:ascii="Calibri" w:hAnsi="Calibri" w:eastAsia="仿宋" w:cs="Calibri"/>
                <w:color w:val="auto"/>
                <w:sz w:val="24"/>
                <w:highlight w:val="none"/>
              </w:rPr>
              <w:t>³</w:t>
            </w: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6、PVC封边：符合QB/T4463-2013《家具用封边条技术要求》的标准，耐干热性应无龟裂、无鼓泡。耐磨性磨30r后应无露底现象，耐老化性应无开裂，耐冷热循环性应无龟裂、无鼓泡、无变色、无起皱。甲醛释放量未检出，可溶性重金属铅≤5mg/kg，镉≤5mg/kg，铬≤5mg/kg，汞未检出。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7、胶粘剂：符合GB 18583-2008《室内装饰装修材料胶粘剂中有害物质限量》，总挥发性有机物≤90g/L,游离甲醛未检出，笨未检出，甲苯+二甲苯未检出。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8、绒布：未检出可分解致癌芳香胺染料。按照GB 18401-2010标准要求。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9、西皮：干擦（500次）≥4级，湿擦（250次）≥4级，涂层粘着牢度≥4.0N/10mm，游离甲醛≤37mg/kg，禁用偶氮染料未检出，按照 GB/T 16799-2018 标准的要求。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10、（橡木）：检测依据按照LY/T1787-2016或GB/T26899-2011的要求，含水率≤10%，外观质量要求无裂纹无色变无死结无虫眼，甲醛释放量≤0.3mg/L。</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11、五星脚：金属件外观应进行防锈处理、无锈迹，应无裂纹、结疤，金属件镀层无烧焦、起泡、针孔、裂纹、毛刺、花斑和划痕，电镀层耐盐雾：18h，1.5mm以下锈点≤2点/d㎡，无锈点，底座7560N，1min，2次，底座的结构完整性应无破坏，应无突然明显形变，按照QB/T2280-2016标准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12、三合一：符合GB/T28203-2011标准的要求，外观符合要求，金属镀层抗盐雾18h，1.5mm以下锈点≤20点/dm</w:t>
            </w:r>
            <w:r>
              <w:rPr>
                <w:rFonts w:ascii="Calibri" w:hAnsi="Calibri" w:eastAsia="仿宋" w:cs="Calibri"/>
                <w:color w:val="auto"/>
                <w:sz w:val="24"/>
                <w:highlight w:val="none"/>
              </w:rPr>
              <w:t>³</w:t>
            </w:r>
            <w:r>
              <w:rPr>
                <w:rFonts w:hint="eastAsia" w:ascii="仿宋" w:hAnsi="仿宋" w:eastAsia="仿宋" w:cs="仿宋"/>
                <w:color w:val="auto"/>
                <w:sz w:val="24"/>
                <w:highlight w:val="none"/>
              </w:rPr>
              <w:t>，其中≥1.0mm锈点不超过5点（距离边缘棱角2mm以内的不计）符合要求，三合一偏心连接件偏心体抗压强度≥270N，三合一偏心连接件预埋螺母抗拉强度≥580N，三合一偏心连接件中连接螺杆螺纹与螺母抗拉强度≥740N，榫负载5kg，1h，应无断裂、变形。</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导轨：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铰链：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拉手：符合QB/T3827-1999《轻工产品金属镀层和化学处理层的耐腐蚀试验方法乙酸盐雾试验（ASS）法》：QB/T3832-I999《轻工产品金属镀层腐蚀试验结果的评价》标准的要求，耐腐蚀乙酸盐雾，连续喷雾≥500h，涂层本身耐腐蚀等级实测值≥9级。</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锁具：符合QB/T3827-1999《轻工产品金属镀层和化学处理层的耐腐蚀试验方法乙酸盐雾试验（ASS）法》：QB/T3832-I999《轻工产品金属镀层腐蚀试验结果的评价》标准的要求，耐腐蚀乙酸盐雾，连续喷雾≥160h，涂层本身耐腐蚀等级实测值≥10级。</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17、冷轧钢板：符合GB/T5213-2008的标准，屈服强度≤250MPa，抗拉强度320-350MPa，断后伸长率≥30%，化学元素C≤0.1%,Mn≤0.25%,P≤0.02%，S≤0.2%</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热固性粉末涂料：符合HG/T2006-2006/《热固性粉末涂料》的标准，漆膜外观符合要求，硬度≥5H，附着力不低于1级，耐碱性试板经耐碱试验168h无异常，耐酸性试板经耐酸试验240h无异常，可溶性铅含未检出，镉未检出，铬未检出，汞未检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钢管：符合GB/T3325-2017，GB18584-2001的标准，金属喷漆层硬度≥3H，附着力不低于2级，耐腐蚀性100h内，观察在溶液中的样板上划道两侧3mm以外，应无气泡产生。100h后，检查划道两侧3mm以外，应无锈迹、剥落、起皱、变色和失光等现象。冲击高度400mm，应无剥落、裂纹、皱纹，可溶性重金属镉，铬，铅，汞未检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20、水性底漆：符合GB18581-2020标准的要求，VOC含量≤165g/L,甲醛含量未检出，,笨系物总和含量（笨，甲苯，二甲苯）未检出，乙二醇醚及醚酯总和含量（限乙二醇甲醚、乙二醇甲醚醋酸酯、乙二醇乙醚、乙二醇乙醚融酸酯、乙二辞二甲醚、乙二酵二乙鼪、二乙二醇二甲醚、三乙二醇二甲醚）未检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水性面漆：符合GB18581-2020标准的要求，VOC含量≤90g/L,甲醛含量未检出，,笨系物总和含量（笨，甲苯，二甲苯）≤50mg/kg，乙二醇醚及醚酯总和含量（限乙二醇甲醚、乙二醇甲醚醋酸酯、乙二醇乙醚、乙二醇乙醚融酸酯、乙二辞二甲醚、乙二酵二乙鼪、二乙二醇二甲醚、三乙二醇二甲醚）≤50mg/kg</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22，塑料椅座背：符合GB28481-2012《塑料家具中有害物质限量》的标准，邻苯二甲酸酯DBP未检出，BBP未检出，DEHP未检出，DNOP≤0.01%,DINP未检出，DIDP≤0.01%,重金属可溶性铅≤3mg/kg，可溶性镉≤1mg/kg，可溶性铬≤1mg/kg，可溶性汞≤3mg/kg，</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成品检验报告</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投标人提供其自2020年1月1日以来第通过CMA或CNAS认证的第三方检测机构出具的成品检测合格的报告扫描件，每一项得2分，最高得10分。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办公桌：符合GB/T3324-2017《木家具通用技术条件》，GB18584-2001《室内装饰装修材料木家具中有害物质限量》的标准，表面理化性能漆膜耐液性不低于1级，耐湿热不低于1级，耐干热不低于1级，附着力不低于1级，耐磨性不低于2级，抗冲击不低于2级，安全性能符合要求，外观木工符合要求，甲醛释放量≤0.4mg/L</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2、办公椅：符合QB/T2280-2016的标准，金属涂层耐盐雾24h，直径1.5mm以下锈点≤20点/dm</w:t>
            </w:r>
            <w:r>
              <w:rPr>
                <w:rFonts w:ascii="Calibri" w:hAnsi="Calibri" w:eastAsia="仿宋" w:cs="Calibri"/>
                <w:color w:val="auto"/>
                <w:sz w:val="24"/>
                <w:highlight w:val="none"/>
              </w:rPr>
              <w:t>²</w:t>
            </w:r>
            <w:r>
              <w:rPr>
                <w:rFonts w:hint="eastAsia" w:ascii="仿宋" w:hAnsi="仿宋" w:eastAsia="仿宋" w:cs="仿宋"/>
                <w:color w:val="auto"/>
                <w:sz w:val="24"/>
                <w:highlight w:val="none"/>
              </w:rPr>
              <w:t>，其中直径》1.0mm锈点不超过5点（距离边缘棱角2mm以内的不计）符合要求，附着力不低于1就，软质泡沫密度座面≥37kg/m</w:t>
            </w:r>
            <w:r>
              <w:rPr>
                <w:rFonts w:ascii="Calibri" w:hAnsi="Calibri" w:eastAsia="仿宋" w:cs="Calibri"/>
                <w:color w:val="auto"/>
                <w:sz w:val="24"/>
                <w:highlight w:val="none"/>
              </w:rPr>
              <w:t>³</w:t>
            </w:r>
            <w:r>
              <w:rPr>
                <w:rFonts w:hint="eastAsia" w:ascii="仿宋" w:hAnsi="仿宋" w:eastAsia="仿宋" w:cs="仿宋"/>
                <w:color w:val="auto"/>
                <w:sz w:val="24"/>
                <w:highlight w:val="none"/>
              </w:rPr>
              <w:t>，其他部位密度≥32kg/m</w:t>
            </w:r>
            <w:r>
              <w:rPr>
                <w:rFonts w:ascii="Calibri" w:hAnsi="Calibri" w:eastAsia="仿宋" w:cs="Calibri"/>
                <w:color w:val="auto"/>
                <w:sz w:val="24"/>
                <w:highlight w:val="none"/>
              </w:rPr>
              <w:t>³</w:t>
            </w:r>
            <w:r>
              <w:rPr>
                <w:rFonts w:hint="eastAsia" w:ascii="仿宋" w:hAnsi="仿宋" w:eastAsia="仿宋" w:cs="仿宋"/>
                <w:color w:val="auto"/>
                <w:sz w:val="24"/>
                <w:highlight w:val="none"/>
              </w:rPr>
              <w:t>，75%压缩永久变形≤6%，回弹性≥41%，甲醛释放量≤0.035mg/m</w:t>
            </w:r>
            <w:r>
              <w:rPr>
                <w:rFonts w:ascii="Calibri" w:hAnsi="Calibri" w:eastAsia="仿宋" w:cs="Calibri"/>
                <w:color w:val="auto"/>
                <w:sz w:val="24"/>
                <w:highlight w:val="none"/>
              </w:rPr>
              <w:t>²</w:t>
            </w:r>
            <w:r>
              <w:rPr>
                <w:rFonts w:hint="eastAsia" w:ascii="仿宋" w:hAnsi="仿宋" w:eastAsia="仿宋" w:cs="仿宋"/>
                <w:color w:val="auto"/>
                <w:sz w:val="24"/>
                <w:highlight w:val="none"/>
              </w:rPr>
              <w:t>h，TVOC含量≤0.1mg/m</w:t>
            </w:r>
            <w:r>
              <w:rPr>
                <w:rFonts w:ascii="Calibri" w:hAnsi="Calibri" w:eastAsia="仿宋" w:cs="Calibri"/>
                <w:color w:val="auto"/>
                <w:sz w:val="24"/>
                <w:highlight w:val="none"/>
              </w:rPr>
              <w:t>²</w:t>
            </w:r>
            <w:r>
              <w:rPr>
                <w:rFonts w:hint="eastAsia" w:ascii="仿宋" w:hAnsi="仿宋" w:eastAsia="仿宋" w:cs="仿宋"/>
                <w:color w:val="auto"/>
                <w:sz w:val="24"/>
                <w:highlight w:val="none"/>
              </w:rPr>
              <w:t>h</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餐桌：符合GB/T3324-2017，GB18584-2001的标准，木材含水率≤11%，木质外观件符合要求，漆膜涂层耐液性不低于1级，耐湿热不低于2级，耐干热不低于1级，附着力不低于1级，耐磨性1000r不低于2级，抗冲击50mm不低于2级，重金属可溶性镉≤1mg/kg，可溶性铬未检出，可溶性铅≤3mg/kg，可溶性汞未检出，甲醛释放量≤0.1mg/L，桌类力学性能符合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文件柜：符合GB/T3324-2017《木家具通用技术条件》，GB/T17657-2013《人造板及饰面人造板理化性能试验方法》的标准，木工外观符合要求，表面理化性能漆膜耐液性不低于1级，漆膜耐干热不低于1级，漆膜耐湿热不低于1级，漆膜附着力不低于2级，漆膜耐冷热温差符合要求，漆膜耐磨性不低于2级，漆膜抗冲击不低于2级，结构安全符合要求，表面耐香烟灼烧无脱落状黑斑，裂纹，鼓泡现象。拉手耐久试验符合要求，可溶性铅未检出。可溶性铬未检出，可溶性镉未检出，可溶性汞未检出，甲醛释放量≤0.1mg/L。</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餐椅：符合GB/T3324-2017，GB18584-2001的标准，木材含水率≤11%，木质件外观符合要求，漆膜涂层耐液性不低于1级，耐湿热不低于2级，耐干热不低于1级，附着力不低于1级，耐磨性1000r不低于2级，抗冲击50mm不低于2级，重金属可溶性镉≤1mg/kg，可溶性铬≤1mg/kg，可溶性铅≤3mg/kg，可溶性汞未检出，甲醛释放量≤0.1mg/L。</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加工设备</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1、投标人生产设备 (8分)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提供，封边机、自动接料机、加工中心、精密四面刨铣机、刨砂机、数控裁板锯、精密裁板锯、精密自动双面刨木机、刨锯联合机、刨砂机、双贴面压机、四面木工刨床、涂装生产线、自动纵锯修边机、测厚仪、脚轮行走试验机、泵吸式VOC分析仪、高低温试验箱、泡棉回弹测定仪、四孔水浴锅、盐雾试验机、家电稳定性测试仪</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需提供上述每种设备的发票复印件加盖公章，每提供一个设备得1分，最高得8分。</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如无法提供名称完全一致的设备，提供功能类似设备亦可。</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售后服务</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本项目的售后服务能力。</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1、投标人具有全国商品售后服务达标认证证书五星级的得2分，没有不得分（提供证书复印件加盖公章）。</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2、投标人具有完善的售后技术支持人员，售后服务高级管理师人数≥5人得2分，5&gt;人数≥3人得0.5分，其余不得分。(提供售后服务高级管理师证书扫描件及近一年任意一个月的社保证明。</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568"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771"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样品</w:t>
            </w:r>
          </w:p>
        </w:tc>
        <w:tc>
          <w:tcPr>
            <w:tcW w:w="6883"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投标人根据文件要求提供成品样品：</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1、4人餐桌椅（尺寸要求：1200*700*760）（序号一），2、办公椅（尺寸要求558*512*828 ）（序号十四）对样品的外观、质量、工艺、环保等级、整体性能等根据采购文件第三部分《采购需求》进行打分：生产工艺要求：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1：整体工艺要求：一、4人餐桌椅：基材：实木多层板贴木皮，漆料：水性漆，封边：实木封边条。二 、办公椅：面料：网布，海绵：阻燃海绵。脚轮：五星脚轮。</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2：外观要求：一、4人餐桌椅：产品颜色与图片相符，表面漆面，硬度、耐磨度、耐擦度、亮度。外观平整度，翘曲度。二、办公椅：扶手、靠背光滑平整，一次性注塑成型。脚轮无声无阻碍，外观无露出枪钉。</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生产工艺及产品款式以上</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整体工艺要求、外观要求符合要求得5分，整体工艺要求、外观要求符合度较好得3分，整体工艺要求、外观要求符合度一般得1分，不满足得0分。</w:t>
            </w:r>
          </w:p>
        </w:tc>
        <w:tc>
          <w:tcPr>
            <w:tcW w:w="709" w:type="dxa"/>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w:t>
            </w:r>
          </w:p>
        </w:tc>
      </w:tr>
    </w:tbl>
    <w:p>
      <w:pPr>
        <w:snapToGrid w:val="0"/>
        <w:spacing w:line="360" w:lineRule="auto"/>
        <w:rPr>
          <w:rFonts w:ascii="仿宋" w:hAnsi="仿宋" w:eastAsia="仿宋" w:cs="仿宋_GB2312"/>
          <w:b/>
          <w:color w:val="auto"/>
          <w:sz w:val="24"/>
          <w:highlight w:val="none"/>
        </w:rPr>
      </w:pPr>
      <w:r>
        <w:rPr>
          <w:rFonts w:hint="eastAsia" w:ascii="仿宋" w:hAnsi="仿宋" w:eastAsia="仿宋" w:cs="仿宋_GB2312"/>
          <w:b/>
          <w:color w:val="auto"/>
          <w:sz w:val="24"/>
          <w:highlight w:val="none"/>
        </w:rPr>
        <w:br w:type="page"/>
      </w:r>
    </w:p>
    <w:p>
      <w:pPr>
        <w:snapToGrid w:val="0"/>
        <w:spacing w:line="360" w:lineRule="auto"/>
        <w:outlineLvl w:val="1"/>
        <w:rPr>
          <w:rFonts w:ascii="仿宋" w:hAnsi="仿宋" w:eastAsia="仿宋"/>
          <w:b/>
          <w:color w:val="auto"/>
          <w:sz w:val="28"/>
          <w:szCs w:val="28"/>
          <w:highlight w:val="none"/>
        </w:rPr>
      </w:pPr>
      <w:r>
        <w:rPr>
          <w:rFonts w:hint="eastAsia" w:ascii="仿宋" w:hAnsi="仿宋" w:eastAsia="仿宋" w:cs="仿宋_GB2312"/>
          <w:b/>
          <w:color w:val="auto"/>
          <w:sz w:val="32"/>
          <w:highlight w:val="none"/>
        </w:rPr>
        <w:t>一、评标方法</w:t>
      </w:r>
      <w:bookmarkEnd w:id="538"/>
      <w:bookmarkEnd w:id="539"/>
      <w:bookmarkEnd w:id="540"/>
      <w:bookmarkEnd w:id="541"/>
      <w:bookmarkEnd w:id="542"/>
    </w:p>
    <w:p>
      <w:pPr>
        <w:snapToGrid w:val="0"/>
        <w:spacing w:line="360" w:lineRule="auto"/>
        <w:ind w:firstLine="472" w:firstLineChars="196"/>
        <w:rPr>
          <w:rFonts w:ascii="仿宋" w:hAnsi="仿宋" w:eastAsia="仿宋" w:cs="Arial"/>
          <w:color w:val="auto"/>
          <w:kern w:val="0"/>
          <w:sz w:val="24"/>
          <w:highlight w:val="none"/>
        </w:rPr>
      </w:pPr>
      <w:r>
        <w:rPr>
          <w:rFonts w:ascii="仿宋" w:hAnsi="仿宋" w:eastAsia="仿宋" w:cs="Arial"/>
          <w:b/>
          <w:color w:val="auto"/>
          <w:kern w:val="0"/>
          <w:sz w:val="24"/>
          <w:highlight w:val="none"/>
        </w:rPr>
        <w:t>1.</w:t>
      </w:r>
      <w:r>
        <w:rPr>
          <w:rFonts w:hint="eastAsia" w:ascii="仿宋" w:hAnsi="仿宋" w:eastAsia="仿宋" w:cs="Arial"/>
          <w:b/>
          <w:color w:val="auto"/>
          <w:kern w:val="0"/>
          <w:sz w:val="24"/>
          <w:highlight w:val="none"/>
        </w:rPr>
        <w:t>本项目采用综合评分法。</w:t>
      </w:r>
      <w:r>
        <w:rPr>
          <w:rFonts w:hint="eastAsia" w:ascii="仿宋" w:hAnsi="仿宋" w:eastAsia="仿宋" w:cs="Arial"/>
          <w:color w:val="auto"/>
          <w:kern w:val="0"/>
          <w:sz w:val="24"/>
          <w:highlight w:val="none"/>
        </w:rPr>
        <w:t>综合评分法，是指投标文件满足采购文件全部实质性要求，且按照评审因素的量化指标评审得分最高的供应商为中标候选人的评标方法。</w:t>
      </w:r>
    </w:p>
    <w:p>
      <w:pPr>
        <w:pStyle w:val="24"/>
        <w:spacing w:line="360" w:lineRule="auto"/>
        <w:ind w:firstLine="482"/>
        <w:rPr>
          <w:rFonts w:ascii="仿宋" w:hAnsi="仿宋" w:eastAsia="仿宋"/>
          <w:color w:val="auto"/>
          <w:highlight w:val="none"/>
        </w:rPr>
      </w:pPr>
      <w:r>
        <w:rPr>
          <w:rFonts w:hint="eastAsia" w:ascii="仿宋" w:hAnsi="仿宋" w:eastAsia="仿宋" w:cs="Arial"/>
          <w:b/>
          <w:color w:val="auto"/>
          <w:kern w:val="0"/>
          <w:highlight w:val="none"/>
        </w:rPr>
        <w:t>2.</w:t>
      </w:r>
      <w:r>
        <w:rPr>
          <w:rFonts w:hint="eastAsia" w:ascii="仿宋" w:hAnsi="仿宋" w:eastAsia="仿宋"/>
          <w:b/>
          <w:bCs/>
          <w:color w:val="auto"/>
          <w:highlight w:val="none"/>
        </w:rPr>
        <w:t>投标人可选择其中一个或多个标项进行投标，</w:t>
      </w:r>
      <w:r>
        <w:rPr>
          <w:rFonts w:hint="eastAsia" w:ascii="仿宋" w:hAnsi="仿宋" w:eastAsia="仿宋"/>
          <w:b/>
          <w:color w:val="auto"/>
          <w:highlight w:val="none"/>
        </w:rPr>
        <w:t>但只能中一个标项，中标次序按标项一、标项二进行确定（如投标人被确定为标项一的第一中标候选人，则标项二不进入评审，做无效标处理）；</w:t>
      </w:r>
      <w:r>
        <w:rPr>
          <w:rFonts w:hint="eastAsia" w:ascii="仿宋" w:hAnsi="仿宋" w:eastAsia="仿宋"/>
          <w:b/>
          <w:bCs/>
          <w:color w:val="auto"/>
          <w:highlight w:val="none"/>
        </w:rPr>
        <w:t>如投两个标项，投标文件需按标项分开制作并按标项上传政采云系统（如政采云上传要求变化，按政采云要求上传）。</w:t>
      </w:r>
    </w:p>
    <w:p>
      <w:pPr>
        <w:snapToGrid w:val="0"/>
        <w:spacing w:line="360" w:lineRule="auto"/>
        <w:outlineLvl w:val="1"/>
        <w:rPr>
          <w:rFonts w:ascii="仿宋" w:hAnsi="仿宋" w:eastAsia="仿宋" w:cs="Arial"/>
          <w:color w:val="auto"/>
          <w:kern w:val="0"/>
          <w:sz w:val="24"/>
          <w:highlight w:val="none"/>
        </w:rPr>
      </w:pPr>
      <w:bookmarkStart w:id="543" w:name="_Toc1143"/>
      <w:bookmarkStart w:id="544" w:name="_Toc2037864666"/>
      <w:bookmarkStart w:id="545" w:name="_Toc95312985"/>
      <w:bookmarkStart w:id="546" w:name="_Toc4348"/>
      <w:bookmarkStart w:id="547" w:name="_Toc84016186"/>
      <w:r>
        <w:rPr>
          <w:rFonts w:hint="eastAsia" w:ascii="仿宋" w:hAnsi="仿宋" w:eastAsia="仿宋" w:cs="仿宋_GB2312"/>
          <w:b/>
          <w:color w:val="auto"/>
          <w:sz w:val="32"/>
          <w:highlight w:val="none"/>
        </w:rPr>
        <w:t>二、评标标准</w:t>
      </w:r>
      <w:bookmarkEnd w:id="543"/>
      <w:bookmarkEnd w:id="544"/>
      <w:bookmarkEnd w:id="545"/>
      <w:bookmarkEnd w:id="546"/>
      <w:bookmarkEnd w:id="547"/>
    </w:p>
    <w:p>
      <w:pPr>
        <w:snapToGrid w:val="0"/>
        <w:spacing w:line="360" w:lineRule="auto"/>
        <w:ind w:firstLine="472" w:firstLineChars="196"/>
        <w:rPr>
          <w:rFonts w:ascii="仿宋" w:hAnsi="仿宋" w:eastAsia="仿宋" w:cs="仿宋_GB2312"/>
          <w:b/>
          <w:color w:val="auto"/>
          <w:sz w:val="24"/>
          <w:highlight w:val="none"/>
        </w:rPr>
      </w:pPr>
      <w:r>
        <w:rPr>
          <w:rFonts w:ascii="仿宋" w:hAnsi="仿宋" w:eastAsia="仿宋" w:cs="仿宋_GB2312"/>
          <w:b/>
          <w:color w:val="auto"/>
          <w:sz w:val="24"/>
          <w:highlight w:val="none"/>
        </w:rPr>
        <w:t>2.</w:t>
      </w:r>
      <w:r>
        <w:rPr>
          <w:rFonts w:ascii="仿宋" w:hAnsi="仿宋" w:eastAsia="仿宋"/>
          <w:color w:val="auto"/>
          <w:highlight w:val="none"/>
        </w:rPr>
        <w:t xml:space="preserve"> </w:t>
      </w:r>
      <w:r>
        <w:rPr>
          <w:rFonts w:hint="eastAsia" w:ascii="仿宋" w:hAnsi="仿宋" w:eastAsia="仿宋" w:cs="仿宋_GB2312"/>
          <w:b/>
          <w:color w:val="auto"/>
          <w:sz w:val="24"/>
          <w:highlight w:val="none"/>
        </w:rPr>
        <w:t>评标标准：</w:t>
      </w:r>
      <w:r>
        <w:rPr>
          <w:rFonts w:hint="eastAsia" w:ascii="仿宋" w:hAnsi="仿宋" w:eastAsia="仿宋" w:cs="Arial"/>
          <w:color w:val="auto"/>
          <w:kern w:val="0"/>
          <w:sz w:val="24"/>
          <w:highlight w:val="none"/>
        </w:rPr>
        <w:t>见评标办法前附表。</w:t>
      </w:r>
    </w:p>
    <w:p>
      <w:pPr>
        <w:snapToGrid w:val="0"/>
        <w:spacing w:line="360" w:lineRule="auto"/>
        <w:outlineLvl w:val="1"/>
        <w:rPr>
          <w:rFonts w:ascii="仿宋" w:hAnsi="仿宋" w:eastAsia="仿宋" w:cs="仿宋_GB2312"/>
          <w:b/>
          <w:color w:val="auto"/>
          <w:sz w:val="32"/>
          <w:highlight w:val="none"/>
        </w:rPr>
      </w:pPr>
      <w:bookmarkStart w:id="548" w:name="_Toc95312986"/>
      <w:bookmarkStart w:id="549" w:name="_Toc1163282023"/>
      <w:bookmarkStart w:id="550" w:name="_Toc19750"/>
      <w:bookmarkStart w:id="551" w:name="_Toc174755459"/>
      <w:bookmarkStart w:id="552" w:name="_Toc9072"/>
      <w:r>
        <w:rPr>
          <w:rFonts w:hint="eastAsia" w:ascii="仿宋" w:hAnsi="仿宋" w:eastAsia="仿宋" w:cs="仿宋_GB2312"/>
          <w:b/>
          <w:color w:val="auto"/>
          <w:sz w:val="32"/>
          <w:highlight w:val="none"/>
        </w:rPr>
        <w:t>三、评标程序</w:t>
      </w:r>
      <w:bookmarkEnd w:id="548"/>
      <w:bookmarkEnd w:id="549"/>
      <w:bookmarkEnd w:id="550"/>
      <w:bookmarkEnd w:id="551"/>
      <w:bookmarkEnd w:id="552"/>
    </w:p>
    <w:p>
      <w:pPr>
        <w:snapToGrid w:val="0"/>
        <w:spacing w:line="360" w:lineRule="auto"/>
        <w:ind w:firstLine="472" w:firstLineChars="196"/>
        <w:rPr>
          <w:rFonts w:ascii="仿宋" w:hAnsi="仿宋" w:eastAsia="仿宋" w:cs="Arial"/>
          <w:color w:val="auto"/>
          <w:kern w:val="0"/>
          <w:sz w:val="24"/>
          <w:highlight w:val="none"/>
        </w:rPr>
      </w:pPr>
      <w:r>
        <w:rPr>
          <w:rFonts w:ascii="仿宋" w:hAnsi="仿宋" w:eastAsia="仿宋" w:cs="Arial"/>
          <w:b/>
          <w:color w:val="auto"/>
          <w:kern w:val="0"/>
          <w:sz w:val="24"/>
          <w:highlight w:val="none"/>
        </w:rPr>
        <w:t>3.1符合性审查。</w:t>
      </w:r>
      <w:r>
        <w:rPr>
          <w:rFonts w:ascii="仿宋" w:hAnsi="仿宋" w:eastAsia="仿宋" w:cs="Arial"/>
          <w:color w:val="auto"/>
          <w:kern w:val="0"/>
          <w:sz w:val="24"/>
          <w:highlight w:val="none"/>
        </w:rPr>
        <w:t>评标委员会应当对符合资格的</w:t>
      </w:r>
      <w:r>
        <w:rPr>
          <w:rFonts w:hint="eastAsia" w:ascii="仿宋" w:hAnsi="仿宋" w:eastAsia="仿宋" w:cs="Arial"/>
          <w:color w:val="auto"/>
          <w:kern w:val="0"/>
          <w:sz w:val="24"/>
          <w:highlight w:val="none"/>
        </w:rPr>
        <w:t>投标人</w:t>
      </w:r>
      <w:r>
        <w:rPr>
          <w:rFonts w:ascii="仿宋" w:hAnsi="仿宋" w:eastAsia="仿宋" w:cs="Arial"/>
          <w:color w:val="auto"/>
          <w:kern w:val="0"/>
          <w:sz w:val="24"/>
          <w:highlight w:val="none"/>
        </w:rPr>
        <w:t>的投标文件进行符合性审查，以确定其是否满足采购文件的实质性要求。</w:t>
      </w:r>
      <w:r>
        <w:rPr>
          <w:rFonts w:hint="eastAsia" w:ascii="仿宋" w:hAnsi="仿宋" w:eastAsia="仿宋" w:cs="Arial"/>
          <w:color w:val="auto"/>
          <w:kern w:val="0"/>
          <w:sz w:val="24"/>
          <w:highlight w:val="none"/>
        </w:rPr>
        <w:t>不</w:t>
      </w:r>
      <w:r>
        <w:rPr>
          <w:rFonts w:ascii="仿宋" w:hAnsi="仿宋" w:eastAsia="仿宋" w:cs="Arial"/>
          <w:color w:val="auto"/>
          <w:kern w:val="0"/>
          <w:sz w:val="24"/>
          <w:highlight w:val="none"/>
        </w:rPr>
        <w:t>满足采购文件的实质性要求</w:t>
      </w:r>
      <w:r>
        <w:rPr>
          <w:rFonts w:hint="eastAsia" w:ascii="仿宋" w:hAnsi="仿宋" w:eastAsia="仿宋" w:cs="Arial"/>
          <w:color w:val="auto"/>
          <w:kern w:val="0"/>
          <w:sz w:val="24"/>
          <w:highlight w:val="none"/>
        </w:rPr>
        <w:t>的，投标无效。</w:t>
      </w:r>
    </w:p>
    <w:p>
      <w:pPr>
        <w:snapToGrid w:val="0"/>
        <w:spacing w:line="360" w:lineRule="auto"/>
        <w:ind w:firstLine="472" w:firstLineChars="196"/>
        <w:rPr>
          <w:rFonts w:ascii="仿宋" w:hAnsi="仿宋" w:eastAsia="仿宋" w:cs="Arial"/>
          <w:color w:val="auto"/>
          <w:kern w:val="0"/>
          <w:sz w:val="24"/>
          <w:highlight w:val="none"/>
        </w:rPr>
      </w:pPr>
      <w:r>
        <w:rPr>
          <w:rFonts w:ascii="仿宋" w:hAnsi="仿宋" w:eastAsia="仿宋" w:cs="Arial"/>
          <w:b/>
          <w:color w:val="auto"/>
          <w:kern w:val="0"/>
          <w:sz w:val="24"/>
          <w:highlight w:val="none"/>
        </w:rPr>
        <w:t xml:space="preserve">3.2 </w:t>
      </w:r>
      <w:r>
        <w:rPr>
          <w:rFonts w:hint="eastAsia" w:ascii="仿宋" w:hAnsi="仿宋" w:eastAsia="仿宋" w:cs="Arial"/>
          <w:b/>
          <w:color w:val="auto"/>
          <w:kern w:val="0"/>
          <w:sz w:val="24"/>
          <w:highlight w:val="none"/>
        </w:rPr>
        <w:t>比较与评价。</w:t>
      </w:r>
      <w:r>
        <w:rPr>
          <w:rFonts w:ascii="仿宋" w:hAnsi="仿宋" w:eastAsia="仿宋" w:cs="Arial"/>
          <w:color w:val="auto"/>
          <w:kern w:val="0"/>
          <w:sz w:val="24"/>
          <w:highlight w:val="none"/>
        </w:rPr>
        <w:t>评标委员会应当按照采购文件中规定的评标方法和标准，对符合性审查合格的投标文件进行商务和技术评估，综合比较与评价。</w:t>
      </w:r>
    </w:p>
    <w:p>
      <w:pPr>
        <w:snapToGrid w:val="0"/>
        <w:spacing w:line="360" w:lineRule="auto"/>
        <w:ind w:firstLine="472" w:firstLineChars="196"/>
        <w:rPr>
          <w:rFonts w:ascii="仿宋" w:hAnsi="仿宋" w:eastAsia="仿宋" w:cs="Arial"/>
          <w:color w:val="auto"/>
          <w:kern w:val="0"/>
          <w:sz w:val="24"/>
          <w:highlight w:val="none"/>
        </w:rPr>
      </w:pPr>
      <w:r>
        <w:rPr>
          <w:rFonts w:ascii="仿宋" w:hAnsi="仿宋" w:eastAsia="仿宋" w:cs="Arial"/>
          <w:b/>
          <w:color w:val="auto"/>
          <w:kern w:val="0"/>
          <w:sz w:val="24"/>
          <w:highlight w:val="none"/>
        </w:rPr>
        <w:t>3.3汇总商务技术得分。</w:t>
      </w:r>
      <w:r>
        <w:rPr>
          <w:rFonts w:hint="eastAsia" w:ascii="仿宋" w:hAnsi="仿宋" w:eastAsia="仿宋" w:cs="Arial"/>
          <w:color w:val="auto"/>
          <w:kern w:val="0"/>
          <w:sz w:val="24"/>
          <w:highlight w:val="none"/>
        </w:rPr>
        <w:t>评标委员会各成员应当独立对每个投标人的商务和技术文件进行评价，并汇总商务技术得分情况。</w:t>
      </w:r>
    </w:p>
    <w:p>
      <w:pPr>
        <w:snapToGrid w:val="0"/>
        <w:spacing w:line="360" w:lineRule="auto"/>
        <w:ind w:firstLine="472" w:firstLineChars="196"/>
        <w:rPr>
          <w:rFonts w:ascii="仿宋" w:hAnsi="仿宋" w:eastAsia="仿宋" w:cs="Arial"/>
          <w:b/>
          <w:color w:val="auto"/>
          <w:kern w:val="0"/>
          <w:sz w:val="24"/>
          <w:highlight w:val="none"/>
        </w:rPr>
      </w:pPr>
      <w:r>
        <w:rPr>
          <w:rFonts w:ascii="仿宋" w:hAnsi="仿宋" w:eastAsia="仿宋" w:cs="Arial"/>
          <w:b/>
          <w:color w:val="auto"/>
          <w:kern w:val="0"/>
          <w:sz w:val="24"/>
          <w:highlight w:val="none"/>
        </w:rPr>
        <w:t>3.4报价评审。</w:t>
      </w:r>
    </w:p>
    <w:p>
      <w:pPr>
        <w:snapToGrid w:val="0"/>
        <w:spacing w:line="360" w:lineRule="auto"/>
        <w:ind w:firstLine="508" w:firstLineChars="212"/>
        <w:rPr>
          <w:rFonts w:ascii="仿宋" w:hAnsi="仿宋" w:eastAsia="仿宋" w:cs="Arial"/>
          <w:color w:val="auto"/>
          <w:kern w:val="0"/>
          <w:sz w:val="24"/>
          <w:highlight w:val="none"/>
        </w:rPr>
      </w:pPr>
      <w:r>
        <w:rPr>
          <w:rFonts w:ascii="仿宋" w:hAnsi="仿宋" w:eastAsia="仿宋" w:cs="Arial"/>
          <w:color w:val="auto"/>
          <w:kern w:val="0"/>
          <w:sz w:val="24"/>
          <w:highlight w:val="none"/>
        </w:rPr>
        <w:t>3.4.1投标文件报价出现前后不一致的，按照下列规定修正：</w:t>
      </w:r>
    </w:p>
    <w:p>
      <w:pPr>
        <w:snapToGrid w:val="0"/>
        <w:spacing w:line="360" w:lineRule="auto"/>
        <w:ind w:firstLine="480"/>
        <w:rPr>
          <w:rFonts w:ascii="仿宋" w:hAnsi="仿宋" w:eastAsia="仿宋" w:cs="仿宋"/>
          <w:color w:val="auto"/>
          <w:kern w:val="0"/>
          <w:sz w:val="24"/>
          <w:highlight w:val="none"/>
        </w:rPr>
      </w:pPr>
      <w:r>
        <w:rPr>
          <w:rFonts w:ascii="仿宋" w:hAnsi="仿宋" w:eastAsia="仿宋" w:cs="仿宋"/>
          <w:color w:val="auto"/>
          <w:kern w:val="0"/>
          <w:sz w:val="24"/>
          <w:highlight w:val="none"/>
        </w:rPr>
        <w:t>3.4.1.1</w:t>
      </w:r>
      <w:r>
        <w:rPr>
          <w:rFonts w:hint="eastAsia" w:ascii="仿宋" w:hAnsi="仿宋" w:eastAsia="仿宋" w:cs="仿宋"/>
          <w:color w:val="auto"/>
          <w:kern w:val="0"/>
          <w:sz w:val="24"/>
          <w:highlight w:val="none"/>
        </w:rPr>
        <w:t>投标文件中开标一览表（报价表）内容与投标文件中相应内容不一致的，以开标一览表（报价表）为准；</w:t>
      </w:r>
    </w:p>
    <w:p>
      <w:pPr>
        <w:snapToGrid w:val="0"/>
        <w:spacing w:line="360" w:lineRule="auto"/>
        <w:ind w:firstLine="480"/>
        <w:rPr>
          <w:rFonts w:ascii="仿宋" w:hAnsi="仿宋" w:eastAsia="仿宋" w:cs="仿宋"/>
          <w:color w:val="auto"/>
          <w:kern w:val="0"/>
          <w:sz w:val="24"/>
          <w:highlight w:val="none"/>
        </w:rPr>
      </w:pPr>
      <w:r>
        <w:rPr>
          <w:rFonts w:ascii="仿宋" w:hAnsi="仿宋" w:eastAsia="仿宋" w:cs="仿宋"/>
          <w:color w:val="auto"/>
          <w:kern w:val="0"/>
          <w:sz w:val="24"/>
          <w:highlight w:val="none"/>
        </w:rPr>
        <w:t>3.4.1.2大写金额和小写金额不一致的，以大写金额为准;</w:t>
      </w:r>
    </w:p>
    <w:p>
      <w:pPr>
        <w:snapToGrid w:val="0"/>
        <w:spacing w:line="360" w:lineRule="auto"/>
        <w:ind w:firstLine="480"/>
        <w:rPr>
          <w:rFonts w:ascii="仿宋" w:hAnsi="仿宋" w:eastAsia="仿宋" w:cs="仿宋"/>
          <w:color w:val="auto"/>
          <w:kern w:val="0"/>
          <w:sz w:val="24"/>
          <w:highlight w:val="none"/>
        </w:rPr>
      </w:pPr>
      <w:r>
        <w:rPr>
          <w:rFonts w:ascii="仿宋" w:hAnsi="仿宋" w:eastAsia="仿宋" w:cs="仿宋"/>
          <w:color w:val="auto"/>
          <w:kern w:val="0"/>
          <w:sz w:val="24"/>
          <w:highlight w:val="none"/>
        </w:rPr>
        <w:t>3.4.1.3单价金额小数点或者百分比有明显错位的，以开标一览表的总价为准，并修改单价;</w:t>
      </w:r>
    </w:p>
    <w:p>
      <w:pPr>
        <w:snapToGrid w:val="0"/>
        <w:spacing w:line="360" w:lineRule="auto"/>
        <w:ind w:firstLine="480"/>
        <w:rPr>
          <w:rFonts w:ascii="仿宋" w:hAnsi="仿宋" w:eastAsia="仿宋" w:cs="仿宋"/>
          <w:color w:val="auto"/>
          <w:kern w:val="0"/>
          <w:sz w:val="24"/>
          <w:highlight w:val="none"/>
        </w:rPr>
      </w:pPr>
      <w:r>
        <w:rPr>
          <w:rFonts w:ascii="仿宋" w:hAnsi="仿宋" w:eastAsia="仿宋" w:cs="仿宋"/>
          <w:color w:val="auto"/>
          <w:kern w:val="0"/>
          <w:sz w:val="24"/>
          <w:highlight w:val="none"/>
        </w:rPr>
        <w:t>3.4.1.4总价金额与按单价汇总金额不一致的，以单价金额计算结果为准</w:t>
      </w:r>
      <w:r>
        <w:rPr>
          <w:rFonts w:hint="eastAsia" w:ascii="仿宋" w:hAnsi="仿宋" w:eastAsia="仿宋" w:cs="仿宋"/>
          <w:color w:val="auto"/>
          <w:kern w:val="0"/>
          <w:sz w:val="24"/>
          <w:highlight w:val="none"/>
        </w:rPr>
        <w:t>：</w:t>
      </w:r>
    </w:p>
    <w:p>
      <w:pPr>
        <w:snapToGrid w:val="0"/>
        <w:spacing w:line="360" w:lineRule="auto"/>
        <w:ind w:firstLine="480"/>
        <w:rPr>
          <w:rFonts w:ascii="仿宋" w:hAnsi="仿宋" w:eastAsia="仿宋" w:cs="仿宋"/>
          <w:color w:val="auto"/>
          <w:kern w:val="0"/>
          <w:sz w:val="24"/>
          <w:highlight w:val="none"/>
        </w:rPr>
      </w:pPr>
      <w:r>
        <w:rPr>
          <w:rFonts w:ascii="仿宋" w:hAnsi="仿宋" w:eastAsia="仿宋" w:cs="仿宋"/>
          <w:color w:val="auto"/>
          <w:kern w:val="0"/>
          <w:sz w:val="24"/>
          <w:highlight w:val="none"/>
        </w:rPr>
        <w:t>3.4.1.5同时出现两种以上不一致的，按照3.4.1</w:t>
      </w:r>
      <w:r>
        <w:rPr>
          <w:rFonts w:hint="eastAsia" w:ascii="仿宋" w:hAnsi="仿宋" w:eastAsia="仿宋" w:cs="仿宋"/>
          <w:color w:val="auto"/>
          <w:kern w:val="0"/>
          <w:sz w:val="24"/>
          <w:highlight w:val="none"/>
        </w:rPr>
        <w:t>规定的顺序修正。修正后的报价按照财政部第</w:t>
      </w:r>
      <w:r>
        <w:rPr>
          <w:rFonts w:ascii="仿宋" w:hAnsi="仿宋" w:eastAsia="仿宋" w:cs="仿宋"/>
          <w:color w:val="auto"/>
          <w:kern w:val="0"/>
          <w:sz w:val="24"/>
          <w:highlight w:val="none"/>
        </w:rPr>
        <w:t xml:space="preserve">87号令 </w:t>
      </w:r>
      <w:r>
        <w:rPr>
          <w:rFonts w:hint="eastAsia" w:ascii="仿宋" w:hAnsi="仿宋" w:eastAsia="仿宋" w:cs="仿宋"/>
          <w:color w:val="auto"/>
          <w:kern w:val="0"/>
          <w:sz w:val="24"/>
          <w:highlight w:val="none"/>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3.4.2</w:t>
      </w:r>
      <w:r>
        <w:rPr>
          <w:rFonts w:hint="eastAsia" w:ascii="仿宋" w:hAnsi="仿宋" w:eastAsia="仿宋" w:cs="仿宋"/>
          <w:color w:val="auto"/>
          <w:kern w:val="0"/>
          <w:sz w:val="24"/>
          <w:highlight w:val="none"/>
        </w:rPr>
        <w:t>投标文件出现不是唯一的、有选择性投标报价的，投标无效。</w:t>
      </w:r>
    </w:p>
    <w:p>
      <w:pPr>
        <w:snapToGrid w:val="0"/>
        <w:spacing w:line="360" w:lineRule="auto"/>
        <w:ind w:firstLine="480" w:firstLineChars="200"/>
        <w:jc w:val="left"/>
        <w:rPr>
          <w:rFonts w:ascii="仿宋" w:hAnsi="仿宋" w:eastAsia="仿宋" w:cs="仿宋"/>
          <w:color w:val="auto"/>
          <w:kern w:val="0"/>
          <w:sz w:val="24"/>
          <w:highlight w:val="none"/>
        </w:rPr>
      </w:pPr>
      <w:r>
        <w:rPr>
          <w:rFonts w:ascii="仿宋" w:hAnsi="仿宋" w:eastAsia="仿宋" w:cs="仿宋"/>
          <w:color w:val="auto"/>
          <w:kern w:val="0"/>
          <w:sz w:val="24"/>
          <w:highlight w:val="none"/>
        </w:rPr>
        <w:t>3.4.3</w:t>
      </w:r>
      <w:r>
        <w:rPr>
          <w:rFonts w:hint="eastAsia" w:ascii="仿宋" w:hAnsi="仿宋" w:eastAsia="仿宋" w:cs="仿宋"/>
          <w:color w:val="auto"/>
          <w:kern w:val="0"/>
          <w:sz w:val="24"/>
          <w:highlight w:val="none"/>
        </w:rPr>
        <w:t>投标报价超过采购文件中规定的预算金额或者最高限价的，投标无效。</w:t>
      </w:r>
    </w:p>
    <w:p>
      <w:pPr>
        <w:snapToGrid w:val="0"/>
        <w:spacing w:line="360" w:lineRule="auto"/>
        <w:ind w:firstLine="480"/>
        <w:rPr>
          <w:rFonts w:ascii="仿宋" w:hAnsi="仿宋" w:eastAsia="仿宋" w:cs="仿宋"/>
          <w:color w:val="auto"/>
          <w:kern w:val="0"/>
          <w:sz w:val="24"/>
          <w:highlight w:val="none"/>
        </w:rPr>
      </w:pPr>
      <w:r>
        <w:rPr>
          <w:rFonts w:ascii="仿宋" w:hAnsi="仿宋" w:eastAsia="仿宋" w:cs="仿宋"/>
          <w:color w:val="auto"/>
          <w:kern w:val="0"/>
          <w:sz w:val="24"/>
          <w:highlight w:val="none"/>
        </w:rPr>
        <w:t>3.4.4</w:t>
      </w:r>
      <w:r>
        <w:rPr>
          <w:rFonts w:hint="eastAsia" w:ascii="仿宋" w:hAnsi="仿宋" w:eastAsia="仿宋" w:cs="仿宋"/>
          <w:color w:val="auto"/>
          <w:kern w:val="0"/>
          <w:sz w:val="24"/>
          <w:highlight w:val="none"/>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color w:val="auto"/>
          <w:kern w:val="0"/>
          <w:sz w:val="24"/>
          <w:highlight w:val="none"/>
        </w:rPr>
        <w:t>;</w:t>
      </w:r>
      <w:r>
        <w:rPr>
          <w:rFonts w:hint="eastAsia" w:ascii="仿宋" w:hAnsi="仿宋" w:eastAsia="仿宋" w:cs="仿宋"/>
          <w:color w:val="auto"/>
          <w:kern w:val="0"/>
          <w:sz w:val="24"/>
          <w:highlight w:val="none"/>
        </w:rPr>
        <w:t xml:space="preserve"> 投标人</w:t>
      </w:r>
      <w:r>
        <w:rPr>
          <w:rFonts w:ascii="仿宋" w:hAnsi="仿宋" w:eastAsia="仿宋" w:cs="仿宋"/>
          <w:color w:val="auto"/>
          <w:kern w:val="0"/>
          <w:sz w:val="24"/>
          <w:highlight w:val="none"/>
        </w:rPr>
        <w:t>不能证明其报价合理性的，评标委员会应当将其作为无效投标处理。</w:t>
      </w:r>
    </w:p>
    <w:p>
      <w:pPr>
        <w:snapToGrid w:val="0"/>
        <w:spacing w:line="360" w:lineRule="auto"/>
        <w:ind w:firstLine="480"/>
        <w:rPr>
          <w:rFonts w:ascii="仿宋" w:hAnsi="仿宋" w:eastAsia="仿宋" w:cs="仿宋"/>
          <w:color w:val="auto"/>
          <w:kern w:val="0"/>
          <w:sz w:val="24"/>
          <w:highlight w:val="none"/>
        </w:rPr>
      </w:pPr>
      <w:r>
        <w:rPr>
          <w:rFonts w:ascii="仿宋" w:hAnsi="仿宋" w:eastAsia="仿宋" w:cs="仿宋"/>
          <w:color w:val="auto"/>
          <w:kern w:val="0"/>
          <w:sz w:val="24"/>
          <w:highlight w:val="none"/>
        </w:rPr>
        <w:t>3.4.5</w:t>
      </w:r>
      <w:r>
        <w:rPr>
          <w:rFonts w:hint="eastAsia" w:ascii="仿宋" w:hAnsi="仿宋" w:eastAsia="仿宋" w:cs="仿宋"/>
          <w:color w:val="auto"/>
          <w:kern w:val="0"/>
          <w:sz w:val="24"/>
          <w:highlight w:val="none"/>
        </w:rPr>
        <w:t>对于未预留份额专门面向中小企业的政府采购货物或服务项目，以及预留份额政府采购货物或服务项目中的非预留部分标项，对小型和微型企业的投标报价给予</w:t>
      </w:r>
      <w:r>
        <w:rPr>
          <w:rFonts w:ascii="仿宋" w:hAnsi="仿宋" w:eastAsia="仿宋" w:cs="仿宋"/>
          <w:color w:val="auto"/>
          <w:kern w:val="0"/>
          <w:sz w:val="24"/>
          <w:highlight w:val="none"/>
        </w:rPr>
        <w:t>10%的扣除，用扣除后的价格参与评审。接受大中型企业与小</w:t>
      </w:r>
      <w:r>
        <w:rPr>
          <w:rFonts w:hint="eastAsia" w:ascii="仿宋" w:hAnsi="仿宋" w:eastAsia="仿宋" w:cs="仿宋"/>
          <w:color w:val="auto"/>
          <w:kern w:val="0"/>
          <w:sz w:val="24"/>
          <w:highlight w:val="none"/>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color w:val="auto"/>
          <w:kern w:val="0"/>
          <w:sz w:val="24"/>
          <w:highlight w:val="none"/>
        </w:rPr>
        <w:t>30%以上的，对联合体或者大中型企业的报价给予3%的扣除，用扣除后的价格参加评审。组成联合体或者接受分包的小</w:t>
      </w:r>
      <w:r>
        <w:rPr>
          <w:rFonts w:hint="eastAsia" w:ascii="仿宋" w:hAnsi="仿宋" w:eastAsia="仿宋" w:cs="仿宋"/>
          <w:color w:val="auto"/>
          <w:kern w:val="0"/>
          <w:sz w:val="24"/>
          <w:highlight w:val="none"/>
        </w:rPr>
        <w:t>微企业与联合体内其他企业、分包企业之间存在直接控股、管理关系的，不享受价格扣除优惠政策。</w:t>
      </w:r>
    </w:p>
    <w:p>
      <w:pPr>
        <w:snapToGrid w:val="0"/>
        <w:spacing w:line="360" w:lineRule="auto"/>
        <w:ind w:firstLine="482" w:firstLineChars="200"/>
        <w:rPr>
          <w:rFonts w:ascii="仿宋" w:hAnsi="仿宋" w:eastAsia="仿宋" w:cs="Arial"/>
          <w:b/>
          <w:color w:val="auto"/>
          <w:kern w:val="0"/>
          <w:sz w:val="24"/>
          <w:highlight w:val="none"/>
        </w:rPr>
      </w:pPr>
      <w:r>
        <w:rPr>
          <w:rFonts w:ascii="仿宋" w:hAnsi="仿宋" w:eastAsia="仿宋" w:cs="Arial"/>
          <w:b/>
          <w:color w:val="auto"/>
          <w:kern w:val="0"/>
          <w:sz w:val="24"/>
          <w:highlight w:val="none"/>
        </w:rPr>
        <w:t>3.5</w:t>
      </w:r>
      <w:r>
        <w:rPr>
          <w:rFonts w:hint="eastAsia" w:ascii="仿宋" w:hAnsi="仿宋" w:eastAsia="仿宋" w:cs="Arial"/>
          <w:b/>
          <w:color w:val="auto"/>
          <w:kern w:val="0"/>
          <w:sz w:val="24"/>
          <w:highlight w:val="none"/>
        </w:rPr>
        <w:t>排序与推荐。</w:t>
      </w:r>
    </w:p>
    <w:p>
      <w:pPr>
        <w:snapToGrid w:val="0"/>
        <w:spacing w:line="360" w:lineRule="auto"/>
        <w:ind w:firstLine="480" w:firstLineChars="200"/>
        <w:rPr>
          <w:rFonts w:ascii="仿宋" w:hAnsi="仿宋" w:eastAsia="仿宋" w:cs="Arial"/>
          <w:color w:val="auto"/>
          <w:kern w:val="0"/>
          <w:sz w:val="24"/>
          <w:highlight w:val="none"/>
        </w:rPr>
      </w:pPr>
      <w:r>
        <w:rPr>
          <w:rFonts w:ascii="仿宋" w:hAnsi="仿宋" w:eastAsia="仿宋" w:cs="Arial"/>
          <w:color w:val="auto"/>
          <w:kern w:val="0"/>
          <w:sz w:val="24"/>
          <w:highlight w:val="none"/>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w:t>
      </w:r>
      <w:r>
        <w:rPr>
          <w:rFonts w:hint="eastAsia" w:ascii="仿宋" w:hAnsi="仿宋" w:eastAsia="仿宋" w:cs="仿宋"/>
          <w:color w:val="auto"/>
          <w:kern w:val="0"/>
          <w:sz w:val="24"/>
          <w:highlight w:val="none"/>
        </w:rPr>
        <w:t>投标人</w:t>
      </w:r>
      <w:r>
        <w:rPr>
          <w:rFonts w:ascii="仿宋" w:hAnsi="仿宋" w:eastAsia="仿宋" w:cs="Arial"/>
          <w:color w:val="auto"/>
          <w:kern w:val="0"/>
          <w:sz w:val="24"/>
          <w:highlight w:val="none"/>
        </w:rPr>
        <w:t>为排名第一的中标候选人</w:t>
      </w:r>
      <w:r>
        <w:rPr>
          <w:rFonts w:hint="eastAsia" w:ascii="仿宋" w:hAnsi="仿宋" w:eastAsia="仿宋" w:cs="Arial"/>
          <w:color w:val="auto"/>
          <w:kern w:val="0"/>
          <w:sz w:val="24"/>
          <w:highlight w:val="none"/>
        </w:rPr>
        <w:t>。</w:t>
      </w:r>
    </w:p>
    <w:p>
      <w:pPr>
        <w:snapToGrid w:val="0"/>
        <w:spacing w:line="360" w:lineRule="auto"/>
        <w:ind w:firstLine="420"/>
        <w:rPr>
          <w:rFonts w:ascii="仿宋" w:hAnsi="仿宋" w:eastAsia="仿宋" w:cs="Arial"/>
          <w:b/>
          <w:color w:val="auto"/>
          <w:kern w:val="0"/>
          <w:sz w:val="24"/>
          <w:highlight w:val="none"/>
        </w:rPr>
      </w:pPr>
      <w:r>
        <w:rPr>
          <w:rFonts w:hint="eastAsia" w:ascii="仿宋" w:hAnsi="仿宋" w:eastAsia="仿宋" w:cs="Arial"/>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napToGrid w:val="0"/>
        <w:spacing w:line="360" w:lineRule="auto"/>
        <w:ind w:firstLine="472" w:firstLineChars="196"/>
        <w:rPr>
          <w:rFonts w:ascii="仿宋" w:hAnsi="仿宋" w:eastAsia="仿宋" w:cs="Arial"/>
          <w:b/>
          <w:color w:val="auto"/>
          <w:kern w:val="0"/>
          <w:sz w:val="24"/>
          <w:highlight w:val="none"/>
        </w:rPr>
      </w:pPr>
      <w:r>
        <w:rPr>
          <w:rFonts w:ascii="仿宋" w:hAnsi="仿宋" w:eastAsia="仿宋" w:cs="Arial"/>
          <w:b/>
          <w:color w:val="auto"/>
          <w:kern w:val="0"/>
          <w:sz w:val="24"/>
          <w:highlight w:val="none"/>
        </w:rPr>
        <w:t>3.6编写评标报告。</w:t>
      </w:r>
    </w:p>
    <w:p>
      <w:pPr>
        <w:snapToGrid w:val="0"/>
        <w:spacing w:line="360" w:lineRule="auto"/>
        <w:ind w:firstLine="470" w:firstLineChars="196"/>
        <w:rPr>
          <w:rFonts w:ascii="仿宋" w:hAnsi="仿宋" w:eastAsia="仿宋" w:cs="Arial"/>
          <w:color w:val="auto"/>
          <w:kern w:val="0"/>
          <w:sz w:val="24"/>
          <w:highlight w:val="none"/>
        </w:rPr>
      </w:pPr>
      <w:r>
        <w:rPr>
          <w:rFonts w:ascii="仿宋" w:hAnsi="仿宋" w:eastAsia="仿宋" w:cs="Arial"/>
          <w:color w:val="auto"/>
          <w:kern w:val="0"/>
          <w:sz w:val="24"/>
          <w:highlight w:val="none"/>
        </w:rPr>
        <w:t>评标委员会根据全体评标成员签字的原始评标记录和评标结果编写评标报告。</w:t>
      </w:r>
      <w:r>
        <w:rPr>
          <w:rFonts w:hint="eastAsia" w:ascii="仿宋" w:hAnsi="仿宋" w:eastAsia="仿宋" w:cs="Arial"/>
          <w:color w:val="auto"/>
          <w:kern w:val="0"/>
          <w:sz w:val="24"/>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snapToGrid w:val="0"/>
        <w:spacing w:line="360" w:lineRule="auto"/>
        <w:jc w:val="left"/>
        <w:outlineLvl w:val="1"/>
        <w:rPr>
          <w:rFonts w:ascii="仿宋" w:hAnsi="仿宋" w:eastAsia="仿宋" w:cs="仿宋_GB2312"/>
          <w:b/>
          <w:color w:val="auto"/>
          <w:sz w:val="24"/>
          <w:highlight w:val="none"/>
        </w:rPr>
      </w:pPr>
      <w:bookmarkStart w:id="553" w:name="_Toc27172"/>
      <w:bookmarkStart w:id="554" w:name="_Toc27289"/>
      <w:bookmarkStart w:id="555" w:name="_Toc95312987"/>
      <w:bookmarkStart w:id="556" w:name="_Toc1504853964"/>
      <w:bookmarkStart w:id="557" w:name="_Toc589838273"/>
      <w:r>
        <w:rPr>
          <w:rFonts w:hint="eastAsia" w:ascii="仿宋" w:hAnsi="仿宋" w:eastAsia="仿宋" w:cs="仿宋_GB2312"/>
          <w:b/>
          <w:color w:val="auto"/>
          <w:sz w:val="24"/>
          <w:highlight w:val="none"/>
        </w:rPr>
        <w:t>四、评标中的其他事项</w:t>
      </w:r>
      <w:bookmarkEnd w:id="553"/>
      <w:bookmarkEnd w:id="554"/>
      <w:bookmarkEnd w:id="555"/>
      <w:bookmarkEnd w:id="556"/>
      <w:bookmarkEnd w:id="557"/>
    </w:p>
    <w:p>
      <w:pPr>
        <w:snapToGrid w:val="0"/>
        <w:spacing w:line="360" w:lineRule="auto"/>
        <w:ind w:firstLine="472" w:firstLineChars="196"/>
        <w:rPr>
          <w:rFonts w:ascii="仿宋" w:hAnsi="仿宋" w:eastAsia="仿宋" w:cs="Arial"/>
          <w:b/>
          <w:color w:val="auto"/>
          <w:kern w:val="0"/>
          <w:sz w:val="24"/>
          <w:highlight w:val="none"/>
        </w:rPr>
      </w:pPr>
      <w:r>
        <w:rPr>
          <w:rFonts w:ascii="仿宋" w:hAnsi="仿宋" w:eastAsia="仿宋" w:cs="Arial"/>
          <w:b/>
          <w:color w:val="auto"/>
          <w:kern w:val="0"/>
          <w:sz w:val="24"/>
          <w:highlight w:val="none"/>
        </w:rPr>
        <w:t>4.1</w:t>
      </w:r>
      <w:r>
        <w:rPr>
          <w:rFonts w:hint="eastAsia" w:ascii="仿宋" w:hAnsi="仿宋" w:eastAsia="仿宋" w:cs="Arial"/>
          <w:b/>
          <w:color w:val="auto"/>
          <w:kern w:val="0"/>
          <w:sz w:val="24"/>
          <w:highlight w:val="none"/>
        </w:rPr>
        <w:t>投标人澄清、说明或者补正。</w:t>
      </w:r>
    </w:p>
    <w:p>
      <w:pPr>
        <w:snapToGrid w:val="0"/>
        <w:spacing w:line="360" w:lineRule="auto"/>
        <w:ind w:firstLine="470" w:firstLineChars="196"/>
        <w:rPr>
          <w:rFonts w:ascii="仿宋" w:hAnsi="仿宋" w:eastAsia="仿宋" w:cs="Arial"/>
          <w:color w:val="auto"/>
          <w:kern w:val="0"/>
          <w:sz w:val="24"/>
          <w:highlight w:val="none"/>
        </w:rPr>
      </w:pPr>
      <w:r>
        <w:rPr>
          <w:rFonts w:hint="eastAsia" w:ascii="仿宋" w:hAnsi="仿宋" w:eastAsia="仿宋" w:cs="Arial"/>
          <w:color w:val="auto"/>
          <w:kern w:val="0"/>
          <w:sz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snapToGrid w:val="0"/>
        <w:spacing w:line="360" w:lineRule="auto"/>
        <w:ind w:firstLine="472" w:firstLineChars="196"/>
        <w:rPr>
          <w:rFonts w:ascii="仿宋" w:hAnsi="仿宋" w:eastAsia="仿宋" w:cs="仿宋_GB2312"/>
          <w:color w:val="auto"/>
          <w:sz w:val="24"/>
          <w:highlight w:val="none"/>
        </w:rPr>
      </w:pPr>
      <w:r>
        <w:rPr>
          <w:rFonts w:ascii="仿宋" w:hAnsi="仿宋" w:eastAsia="仿宋" w:cs="Arial"/>
          <w:b/>
          <w:color w:val="auto"/>
          <w:kern w:val="0"/>
          <w:sz w:val="24"/>
          <w:highlight w:val="none"/>
        </w:rPr>
        <w:t>4.2投标无效。</w:t>
      </w:r>
      <w:r>
        <w:rPr>
          <w:rFonts w:hint="eastAsia" w:ascii="仿宋" w:hAnsi="仿宋" w:eastAsia="仿宋" w:cs="仿宋_GB2312"/>
          <w:color w:val="auto"/>
          <w:sz w:val="24"/>
          <w:highlight w:val="none"/>
        </w:rPr>
        <w:t>有下列情况之一的，投标无效：</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4.2.1</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不具备采购文件中规定的资格要求的（</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未提供有效的资格文件的，视为</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不具备采购文件中规定的资格要求）；</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4.2.2投标文件未按照采购文件要求签署、盖章的；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4.2.3采购人拟采购的产品属于政府强制采购的节能产品品目清单范围的，</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未按采购文件要求提供国家确定的认证机构出具的、处于有效期之内的节能产品认证证书</w:t>
      </w:r>
      <w:r>
        <w:rPr>
          <w:rFonts w:hint="eastAsia" w:ascii="仿宋" w:hAnsi="仿宋" w:eastAsia="仿宋" w:cs="Arial"/>
          <w:b/>
          <w:bCs/>
          <w:color w:val="auto"/>
          <w:kern w:val="0"/>
          <w:sz w:val="24"/>
          <w:highlight w:val="none"/>
        </w:rPr>
        <w:t>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4.2.4投标文件含有采购人不能接受的附加条件的；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4.2.5投标文件中承诺的投标有效期少于采购文件中载明的投标有效期的；</w:t>
      </w:r>
    </w:p>
    <w:p>
      <w:pPr>
        <w:snapToGrid w:val="0"/>
        <w:spacing w:line="360" w:lineRule="auto"/>
        <w:ind w:firstLine="120" w:firstLineChars="50"/>
        <w:jc w:val="left"/>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 xml:space="preserve">  </w:t>
      </w:r>
      <w:r>
        <w:rPr>
          <w:rFonts w:hint="eastAsia" w:ascii="仿宋" w:hAnsi="仿宋" w:eastAsia="仿宋" w:cs="Arial"/>
          <w:b/>
          <w:bCs/>
          <w:color w:val="auto"/>
          <w:kern w:val="0"/>
          <w:sz w:val="24"/>
          <w:highlight w:val="none"/>
        </w:rPr>
        <w:t xml:space="preserve"> </w:t>
      </w:r>
      <w:r>
        <w:rPr>
          <w:rFonts w:ascii="仿宋" w:hAnsi="仿宋" w:eastAsia="仿宋" w:cs="Arial"/>
          <w:b/>
          <w:bCs/>
          <w:color w:val="auto"/>
          <w:kern w:val="0"/>
          <w:sz w:val="24"/>
          <w:highlight w:val="none"/>
        </w:rPr>
        <w:t>4.2.6投标文件出现不是唯一的、有选择性投标报价的;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4.2.7投标报价超过采购文件中规定的预算金额或者最高限价的;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4.2.8报价明显低于其他通过符合性审查</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的报价，有可能影响产品质量或者不能诚信履约的，未能按要求提供书面说明或者提交相关证明材料，不能证明其报价合理性的;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4.2.9</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对根据修正原则修正后的报价不确认的；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4.2.10</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提供虚假材料投标的；</w:t>
      </w:r>
    </w:p>
    <w:p>
      <w:pPr>
        <w:snapToGrid w:val="0"/>
        <w:spacing w:line="360" w:lineRule="auto"/>
        <w:ind w:firstLine="241" w:firstLineChars="1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 xml:space="preserve">  4.2.11</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有恶意串通、妨碍其他</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的竞争行为、损害采购人或者其他</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的合法权益情形的；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4.2.12</w:t>
      </w:r>
      <w:r>
        <w:rPr>
          <w:rFonts w:hint="eastAsia" w:ascii="仿宋" w:hAnsi="仿宋" w:eastAsia="仿宋" w:cs="Arial"/>
          <w:b/>
          <w:bCs/>
          <w:color w:val="auto"/>
          <w:kern w:val="0"/>
          <w:sz w:val="24"/>
          <w:highlight w:val="none"/>
        </w:rPr>
        <w:t>投标人</w:t>
      </w:r>
      <w:r>
        <w:rPr>
          <w:rFonts w:ascii="仿宋" w:hAnsi="仿宋" w:eastAsia="仿宋" w:cs="Arial"/>
          <w:b/>
          <w:bCs/>
          <w:color w:val="auto"/>
          <w:kern w:val="0"/>
          <w:sz w:val="24"/>
          <w:highlight w:val="none"/>
        </w:rPr>
        <w:t>仅提交备份投标文件，没有在电子交易平台传输递交投标文件的，投标无效；</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 xml:space="preserve">4.2.13 </w:t>
      </w:r>
      <w:r>
        <w:rPr>
          <w:rFonts w:hint="eastAsia" w:ascii="仿宋" w:hAnsi="仿宋" w:eastAsia="仿宋" w:cs="Arial"/>
          <w:b/>
          <w:bCs/>
          <w:color w:val="auto"/>
          <w:kern w:val="0"/>
          <w:sz w:val="24"/>
          <w:highlight w:val="none"/>
        </w:rPr>
        <w:t>投标文件不满足采购文件的其它实质性要求的；</w:t>
      </w:r>
    </w:p>
    <w:p>
      <w:pPr>
        <w:snapToGrid w:val="0"/>
        <w:spacing w:line="360" w:lineRule="auto"/>
        <w:ind w:firstLine="482" w:firstLineChars="200"/>
        <w:rPr>
          <w:rFonts w:ascii="仿宋" w:hAnsi="仿宋" w:eastAsia="仿宋" w:cs="Arial"/>
          <w:b/>
          <w:bCs/>
          <w:color w:val="auto"/>
          <w:kern w:val="0"/>
          <w:sz w:val="24"/>
          <w:highlight w:val="none"/>
        </w:rPr>
      </w:pPr>
      <w:r>
        <w:rPr>
          <w:rFonts w:ascii="仿宋" w:hAnsi="仿宋" w:eastAsia="仿宋" w:cs="Arial"/>
          <w:b/>
          <w:bCs/>
          <w:color w:val="auto"/>
          <w:kern w:val="0"/>
          <w:sz w:val="24"/>
          <w:highlight w:val="none"/>
        </w:rPr>
        <w:t>4.2.14法律、法规、规章（适用本市的）及省级以上规范性文件（适用本市的）规定的其他无效情形。</w:t>
      </w:r>
    </w:p>
    <w:p>
      <w:pPr>
        <w:pStyle w:val="2"/>
        <w:numPr>
          <w:ilvl w:val="0"/>
          <w:numId w:val="9"/>
        </w:numPr>
        <w:snapToGrid w:val="0"/>
        <w:ind w:firstLine="472" w:firstLineChars="196"/>
        <w:rPr>
          <w:rFonts w:ascii="仿宋" w:hAnsi="仿宋" w:eastAsia="仿宋" w:cs="仿宋_GB2312"/>
          <w:b/>
          <w:color w:val="auto"/>
          <w:szCs w:val="24"/>
          <w:highlight w:val="none"/>
        </w:rPr>
      </w:pPr>
      <w:r>
        <w:rPr>
          <w:rFonts w:ascii="仿宋" w:hAnsi="仿宋" w:eastAsia="仿宋" w:cs="仿宋_GB2312"/>
          <w:b/>
          <w:color w:val="auto"/>
          <w:szCs w:val="24"/>
          <w:highlight w:val="none"/>
        </w:rPr>
        <w:t>废标。</w:t>
      </w:r>
    </w:p>
    <w:p>
      <w:pPr>
        <w:pStyle w:val="2"/>
        <w:snapToGrid w:val="0"/>
        <w:rPr>
          <w:rFonts w:ascii="仿宋" w:hAnsi="仿宋" w:eastAsia="仿宋" w:cs="仿宋_GB2312"/>
          <w:color w:val="auto"/>
          <w:szCs w:val="24"/>
          <w:highlight w:val="none"/>
        </w:rPr>
      </w:pPr>
      <w:r>
        <w:rPr>
          <w:rFonts w:hint="eastAsia" w:ascii="仿宋" w:hAnsi="仿宋" w:eastAsia="仿宋"/>
          <w:color w:val="auto"/>
          <w:kern w:val="0"/>
          <w:szCs w:val="24"/>
          <w:highlight w:val="none"/>
        </w:rPr>
        <w:t>根据《中华人民共和国政府采购法》第三十六条之规定，在采购中，出现下列</w:t>
      </w:r>
      <w:r>
        <w:rPr>
          <w:rFonts w:hint="eastAsia" w:ascii="仿宋" w:hAnsi="仿宋" w:eastAsia="仿宋" w:cs="仿宋_GB2312"/>
          <w:color w:val="auto"/>
          <w:szCs w:val="24"/>
          <w:highlight w:val="none"/>
        </w:rPr>
        <w:t>情形之一的，应予废标：</w:t>
      </w:r>
    </w:p>
    <w:p>
      <w:pPr>
        <w:pStyle w:val="2"/>
        <w:snapToGrid w:val="0"/>
        <w:rPr>
          <w:rFonts w:ascii="仿宋" w:hAnsi="仿宋" w:eastAsia="仿宋" w:cs="仿宋_GB2312"/>
          <w:color w:val="auto"/>
          <w:szCs w:val="24"/>
          <w:highlight w:val="none"/>
        </w:rPr>
      </w:pPr>
      <w:r>
        <w:rPr>
          <w:rFonts w:ascii="仿宋" w:hAnsi="仿宋" w:eastAsia="仿宋" w:cs="仿宋_GB2312"/>
          <w:color w:val="auto"/>
          <w:szCs w:val="24"/>
          <w:highlight w:val="none"/>
        </w:rPr>
        <w:t>5.1符合专业条件的供应商或者对采购文件作实质响应的供应商不足3家的；</w:t>
      </w:r>
    </w:p>
    <w:p>
      <w:pPr>
        <w:pStyle w:val="2"/>
        <w:snapToGrid w:val="0"/>
        <w:rPr>
          <w:rFonts w:ascii="仿宋" w:hAnsi="仿宋" w:eastAsia="仿宋" w:cs="仿宋_GB2312"/>
          <w:color w:val="auto"/>
          <w:szCs w:val="24"/>
          <w:highlight w:val="none"/>
        </w:rPr>
      </w:pPr>
      <w:r>
        <w:rPr>
          <w:rFonts w:ascii="仿宋" w:hAnsi="仿宋" w:eastAsia="仿宋" w:cs="仿宋_GB2312"/>
          <w:color w:val="auto"/>
          <w:szCs w:val="24"/>
          <w:highlight w:val="none"/>
        </w:rPr>
        <w:t>5.2出现影响采购公正的违法、违规行为的；</w:t>
      </w:r>
    </w:p>
    <w:p>
      <w:pPr>
        <w:pStyle w:val="2"/>
        <w:snapToGrid w:val="0"/>
        <w:rPr>
          <w:rFonts w:ascii="仿宋" w:hAnsi="仿宋" w:eastAsia="仿宋" w:cs="仿宋_GB2312"/>
          <w:color w:val="auto"/>
          <w:szCs w:val="24"/>
          <w:highlight w:val="none"/>
        </w:rPr>
      </w:pPr>
      <w:r>
        <w:rPr>
          <w:rFonts w:ascii="仿宋" w:hAnsi="仿宋" w:eastAsia="仿宋" w:cs="仿宋_GB2312"/>
          <w:color w:val="auto"/>
          <w:szCs w:val="24"/>
          <w:highlight w:val="none"/>
        </w:rPr>
        <w:t>5.3供应商的报价均超过了采购预算，采购人不能支付的；</w:t>
      </w:r>
    </w:p>
    <w:p>
      <w:pPr>
        <w:pStyle w:val="2"/>
        <w:snapToGrid w:val="0"/>
        <w:rPr>
          <w:rFonts w:ascii="仿宋" w:hAnsi="仿宋" w:eastAsia="仿宋" w:cs="仿宋_GB2312"/>
          <w:color w:val="auto"/>
          <w:szCs w:val="24"/>
          <w:highlight w:val="none"/>
        </w:rPr>
      </w:pPr>
      <w:r>
        <w:rPr>
          <w:rFonts w:ascii="仿宋" w:hAnsi="仿宋" w:eastAsia="仿宋" w:cs="仿宋_GB2312"/>
          <w:color w:val="auto"/>
          <w:szCs w:val="24"/>
          <w:highlight w:val="none"/>
        </w:rPr>
        <w:t>5.4因重大变故，采购任务取消的。</w:t>
      </w:r>
    </w:p>
    <w:p>
      <w:pPr>
        <w:pStyle w:val="2"/>
        <w:snapToGrid w:val="0"/>
        <w:rPr>
          <w:rFonts w:ascii="仿宋" w:hAnsi="仿宋" w:eastAsia="仿宋" w:cs="仿宋_GB2312"/>
          <w:color w:val="auto"/>
          <w:szCs w:val="24"/>
          <w:highlight w:val="none"/>
        </w:rPr>
      </w:pPr>
      <w:r>
        <w:rPr>
          <w:rFonts w:hint="eastAsia" w:ascii="仿宋" w:hAnsi="仿宋" w:eastAsia="仿宋" w:cs="仿宋_GB2312"/>
          <w:color w:val="auto"/>
          <w:szCs w:val="24"/>
          <w:highlight w:val="none"/>
        </w:rPr>
        <w:t>废标后，采购代理机构应当将废标理由通知所有供应商。</w:t>
      </w:r>
    </w:p>
    <w:p>
      <w:pPr>
        <w:pStyle w:val="2"/>
        <w:numPr>
          <w:ilvl w:val="0"/>
          <w:numId w:val="9"/>
        </w:numPr>
        <w:snapToGrid w:val="0"/>
        <w:ind w:firstLine="472" w:firstLineChars="196"/>
        <w:rPr>
          <w:rFonts w:ascii="仿宋" w:hAnsi="仿宋" w:eastAsia="仿宋" w:cs="仿宋_GB2312"/>
          <w:b/>
          <w:color w:val="auto"/>
          <w:szCs w:val="24"/>
          <w:highlight w:val="none"/>
        </w:rPr>
      </w:pPr>
      <w:r>
        <w:rPr>
          <w:rFonts w:ascii="仿宋" w:hAnsi="仿宋" w:eastAsia="仿宋" w:cs="仿宋_GB2312"/>
          <w:b/>
          <w:color w:val="auto"/>
          <w:szCs w:val="24"/>
          <w:highlight w:val="none"/>
        </w:rPr>
        <w:t>修改采购文件，重新组织采购活动。</w:t>
      </w:r>
    </w:p>
    <w:p>
      <w:pPr>
        <w:pStyle w:val="2"/>
        <w:snapToGrid w:val="0"/>
        <w:ind w:left="652" w:leftChars="196" w:hanging="240" w:hangingChars="100"/>
        <w:rPr>
          <w:rFonts w:ascii="仿宋" w:hAnsi="仿宋" w:eastAsia="仿宋"/>
          <w:color w:val="auto"/>
          <w:kern w:val="0"/>
          <w:szCs w:val="24"/>
          <w:highlight w:val="none"/>
        </w:rPr>
      </w:pPr>
      <w:r>
        <w:rPr>
          <w:rFonts w:hint="eastAsia" w:ascii="仿宋" w:hAnsi="仿宋" w:eastAsia="仿宋"/>
          <w:color w:val="auto"/>
          <w:kern w:val="0"/>
          <w:szCs w:val="24"/>
          <w:highlight w:val="none"/>
        </w:rPr>
        <w:t>评标委员会发现采购文件存在歧义、重大缺陷导致评标工作无法进行，或</w:t>
      </w:r>
    </w:p>
    <w:p>
      <w:pPr>
        <w:pStyle w:val="2"/>
        <w:snapToGrid w:val="0"/>
        <w:rPr>
          <w:rFonts w:ascii="仿宋" w:hAnsi="仿宋" w:eastAsia="仿宋"/>
          <w:color w:val="auto"/>
          <w:kern w:val="0"/>
          <w:szCs w:val="24"/>
          <w:highlight w:val="none"/>
        </w:rPr>
      </w:pPr>
      <w:r>
        <w:rPr>
          <w:rFonts w:hint="eastAsia" w:ascii="仿宋" w:hAnsi="仿宋" w:eastAsia="仿宋"/>
          <w:color w:val="auto"/>
          <w:kern w:val="0"/>
          <w:szCs w:val="24"/>
          <w:highlight w:val="none"/>
        </w:rPr>
        <w:t>者采购文件内容违反国家有关强制性规定的，将停止评标工作，并与采购人、采购代理机构沟通并作书面记录。采购人、采购代理机构确认后，将修改采购文件，重新组织采购活动。</w:t>
      </w:r>
    </w:p>
    <w:p>
      <w:pPr>
        <w:pStyle w:val="2"/>
        <w:numPr>
          <w:ilvl w:val="0"/>
          <w:numId w:val="9"/>
        </w:numPr>
        <w:snapToGrid w:val="0"/>
        <w:ind w:firstLine="472" w:firstLineChars="196"/>
        <w:rPr>
          <w:rFonts w:ascii="仿宋" w:hAnsi="仿宋" w:eastAsia="仿宋" w:cs="Helvetica"/>
          <w:b/>
          <w:color w:val="auto"/>
          <w:kern w:val="0"/>
          <w:szCs w:val="24"/>
          <w:highlight w:val="none"/>
        </w:rPr>
      </w:pPr>
      <w:r>
        <w:rPr>
          <w:rFonts w:hint="eastAsia" w:ascii="仿宋" w:hAnsi="仿宋" w:eastAsia="仿宋" w:cs="Helvetica"/>
          <w:b/>
          <w:color w:val="auto"/>
          <w:kern w:val="0"/>
          <w:szCs w:val="24"/>
          <w:highlight w:val="none"/>
        </w:rPr>
        <w:t>重新开展采购。</w:t>
      </w:r>
    </w:p>
    <w:p>
      <w:pPr>
        <w:pStyle w:val="2"/>
        <w:snapToGrid w:val="0"/>
        <w:ind w:left="412" w:leftChars="196"/>
        <w:rPr>
          <w:rFonts w:ascii="仿宋" w:hAnsi="仿宋" w:eastAsia="仿宋" w:cs="仿宋_GB2312"/>
          <w:color w:val="auto"/>
          <w:szCs w:val="24"/>
          <w:highlight w:val="none"/>
        </w:rPr>
      </w:pPr>
      <w:r>
        <w:rPr>
          <w:rFonts w:hint="eastAsia" w:ascii="仿宋" w:hAnsi="仿宋" w:eastAsia="仿宋" w:cs="仿宋_GB2312"/>
          <w:color w:val="auto"/>
          <w:szCs w:val="24"/>
          <w:highlight w:val="none"/>
        </w:rPr>
        <w:t>有政府采购法第七十一条、第七十二条规定的违法行为之一，影响或者可</w:t>
      </w:r>
    </w:p>
    <w:p>
      <w:pPr>
        <w:pStyle w:val="2"/>
        <w:snapToGrid w:val="0"/>
        <w:rPr>
          <w:rFonts w:ascii="仿宋" w:hAnsi="仿宋" w:eastAsia="仿宋" w:cs="仿宋_GB2312"/>
          <w:color w:val="auto"/>
          <w:szCs w:val="24"/>
          <w:highlight w:val="none"/>
        </w:rPr>
      </w:pPr>
      <w:r>
        <w:rPr>
          <w:rFonts w:hint="eastAsia" w:ascii="仿宋" w:hAnsi="仿宋" w:eastAsia="仿宋" w:cs="仿宋_GB2312"/>
          <w:color w:val="auto"/>
          <w:szCs w:val="24"/>
          <w:highlight w:val="none"/>
        </w:rPr>
        <w:t>能影响中标、成交结果的，依照下列规定处理：</w:t>
      </w:r>
    </w:p>
    <w:p>
      <w:pPr>
        <w:pStyle w:val="2"/>
        <w:snapToGrid w:val="0"/>
        <w:ind w:firstLine="600" w:firstLineChars="250"/>
        <w:rPr>
          <w:rFonts w:ascii="仿宋" w:hAnsi="仿宋" w:eastAsia="仿宋" w:cs="仿宋_GB2312"/>
          <w:color w:val="auto"/>
          <w:szCs w:val="24"/>
          <w:highlight w:val="none"/>
        </w:rPr>
      </w:pPr>
      <w:r>
        <w:rPr>
          <w:rFonts w:ascii="仿宋" w:hAnsi="仿宋" w:eastAsia="仿宋" w:cs="仿宋_GB2312"/>
          <w:color w:val="auto"/>
          <w:szCs w:val="24"/>
          <w:highlight w:val="none"/>
        </w:rPr>
        <w:t>7.1未确定中标或者中标人的，终止本次政府采购活动，重新开展政府采购</w:t>
      </w:r>
      <w:r>
        <w:rPr>
          <w:rFonts w:hint="eastAsia" w:ascii="仿宋" w:hAnsi="仿宋" w:eastAsia="仿宋" w:cs="仿宋_GB2312"/>
          <w:color w:val="auto"/>
          <w:szCs w:val="24"/>
          <w:highlight w:val="none"/>
        </w:rPr>
        <w:t>活动。</w:t>
      </w:r>
    </w:p>
    <w:p>
      <w:pPr>
        <w:pStyle w:val="2"/>
        <w:snapToGrid w:val="0"/>
        <w:ind w:firstLine="600" w:firstLineChars="250"/>
        <w:rPr>
          <w:rFonts w:ascii="仿宋" w:hAnsi="仿宋" w:eastAsia="仿宋" w:cs="仿宋_GB2312"/>
          <w:color w:val="auto"/>
          <w:szCs w:val="24"/>
          <w:highlight w:val="none"/>
        </w:rPr>
      </w:pPr>
      <w:r>
        <w:rPr>
          <w:rFonts w:ascii="仿宋" w:hAnsi="仿宋" w:eastAsia="仿宋" w:cs="仿宋_GB2312"/>
          <w:color w:val="auto"/>
          <w:szCs w:val="24"/>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
        <w:snapToGrid w:val="0"/>
        <w:ind w:firstLine="600" w:firstLineChars="250"/>
        <w:rPr>
          <w:rFonts w:ascii="仿宋" w:hAnsi="仿宋" w:eastAsia="仿宋" w:cs="仿宋_GB2312"/>
          <w:color w:val="auto"/>
          <w:szCs w:val="24"/>
          <w:highlight w:val="none"/>
        </w:rPr>
      </w:pPr>
      <w:r>
        <w:rPr>
          <w:rFonts w:ascii="仿宋" w:hAnsi="仿宋" w:eastAsia="仿宋" w:cs="仿宋_GB2312"/>
          <w:color w:val="auto"/>
          <w:szCs w:val="24"/>
          <w:highlight w:val="none"/>
        </w:rPr>
        <w:t>7.3政府采购合同已签订但尚未履行的，撤销合同，从合格的中标或者成交候选人中另行确定中标或者中标人；没有合格的中标或者成交候选人的，重新开展政府采购活动。</w:t>
      </w:r>
    </w:p>
    <w:p>
      <w:pPr>
        <w:pStyle w:val="2"/>
        <w:snapToGrid w:val="0"/>
        <w:rPr>
          <w:rFonts w:ascii="仿宋" w:hAnsi="仿宋" w:eastAsia="仿宋" w:cs="仿宋_GB2312"/>
          <w:color w:val="auto"/>
          <w:szCs w:val="24"/>
          <w:highlight w:val="none"/>
        </w:rPr>
      </w:pPr>
      <w:r>
        <w:rPr>
          <w:rFonts w:ascii="仿宋" w:hAnsi="仿宋" w:eastAsia="仿宋" w:cs="仿宋_GB2312"/>
          <w:color w:val="auto"/>
          <w:szCs w:val="24"/>
          <w:highlight w:val="none"/>
        </w:rPr>
        <w:t>7.4政府采购合同已经履行，给采购人、供应</w:t>
      </w:r>
      <w:r>
        <w:rPr>
          <w:rFonts w:hint="eastAsia" w:ascii="仿宋" w:hAnsi="仿宋" w:eastAsia="仿宋" w:cs="仿宋_GB2312"/>
          <w:color w:val="auto"/>
          <w:szCs w:val="24"/>
          <w:highlight w:val="none"/>
        </w:rPr>
        <w:t>商造成损失的，由责任人承担赔偿责任。</w:t>
      </w:r>
    </w:p>
    <w:p>
      <w:pPr>
        <w:pStyle w:val="2"/>
        <w:snapToGrid w:val="0"/>
        <w:rPr>
          <w:rFonts w:ascii="仿宋" w:hAnsi="仿宋" w:eastAsia="仿宋" w:cs="仿宋_GB2312"/>
          <w:color w:val="auto"/>
          <w:szCs w:val="24"/>
          <w:highlight w:val="none"/>
        </w:rPr>
      </w:pPr>
      <w:r>
        <w:rPr>
          <w:rFonts w:ascii="仿宋" w:hAnsi="仿宋" w:eastAsia="仿宋" w:cs="仿宋_GB2312"/>
          <w:color w:val="auto"/>
          <w:szCs w:val="24"/>
          <w:highlight w:val="none"/>
        </w:rPr>
        <w:t>7.5政府采购当事人有其他违反政府采购</w:t>
      </w:r>
      <w:r>
        <w:rPr>
          <w:rFonts w:hint="eastAsia" w:ascii="仿宋" w:hAnsi="仿宋" w:eastAsia="仿宋" w:cs="仿宋_GB2312"/>
          <w:color w:val="auto"/>
          <w:szCs w:val="24"/>
          <w:highlight w:val="none"/>
        </w:rPr>
        <w:t>法</w:t>
      </w:r>
      <w:r>
        <w:rPr>
          <w:rFonts w:hint="eastAsia" w:ascii="仿宋" w:hAnsi="仿宋" w:eastAsia="仿宋"/>
          <w:color w:val="auto"/>
          <w:kern w:val="0"/>
          <w:szCs w:val="24"/>
          <w:highlight w:val="none"/>
        </w:rPr>
        <w:t>或者政府采购法实施条例等法律法规规定</w:t>
      </w:r>
      <w:r>
        <w:rPr>
          <w:rFonts w:hint="eastAsia" w:ascii="仿宋" w:hAnsi="仿宋" w:eastAsia="仿宋" w:cs="仿宋_GB2312"/>
          <w:color w:val="auto"/>
          <w:szCs w:val="24"/>
          <w:highlight w:val="none"/>
        </w:rPr>
        <w:t>的行为，经改正后仍然影响或者可能影响中标、成交结果或者依法被认定为中标、成交无效的，依照</w:t>
      </w:r>
      <w:r>
        <w:rPr>
          <w:rFonts w:ascii="仿宋" w:hAnsi="仿宋" w:eastAsia="仿宋" w:cs="仿宋_GB2312"/>
          <w:color w:val="auto"/>
          <w:szCs w:val="24"/>
          <w:highlight w:val="none"/>
        </w:rPr>
        <w:t>7.1-7.4规定处理。</w:t>
      </w:r>
    </w:p>
    <w:bookmarkEnd w:id="155"/>
    <w:p>
      <w:pPr>
        <w:spacing w:line="360" w:lineRule="auto"/>
        <w:rPr>
          <w:rFonts w:ascii="仿宋" w:hAnsi="仿宋" w:eastAsia="仿宋"/>
          <w:color w:val="auto"/>
          <w:sz w:val="24"/>
          <w:highlight w:val="none"/>
        </w:rPr>
      </w:pPr>
    </w:p>
    <w:p>
      <w:pPr>
        <w:snapToGrid w:val="0"/>
        <w:spacing w:line="360" w:lineRule="auto"/>
        <w:rPr>
          <w:rFonts w:ascii="仿宋" w:hAnsi="仿宋" w:eastAsia="仿宋" w:cs="仿宋_GB2312"/>
          <w:b/>
          <w:color w:val="auto"/>
          <w:sz w:val="36"/>
          <w:szCs w:val="36"/>
          <w:highlight w:val="none"/>
        </w:rPr>
      </w:pPr>
      <w:bookmarkStart w:id="558" w:name="第五部分"/>
      <w:bookmarkStart w:id="559" w:name="_Toc86217003"/>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
        <w:rPr>
          <w:rFonts w:ascii="仿宋" w:hAnsi="仿宋" w:eastAsia="仿宋"/>
          <w:color w:val="auto"/>
          <w:highlight w:val="none"/>
          <w:lang w:val="en-US"/>
        </w:rPr>
      </w:pPr>
    </w:p>
    <w:p>
      <w:pPr>
        <w:snapToGrid w:val="0"/>
        <w:spacing w:line="360" w:lineRule="auto"/>
        <w:jc w:val="center"/>
        <w:outlineLvl w:val="0"/>
        <w:rPr>
          <w:rFonts w:ascii="仿宋" w:hAnsi="仿宋" w:eastAsia="仿宋" w:cs="仿宋_GB2312"/>
          <w:b/>
          <w:color w:val="auto"/>
          <w:sz w:val="24"/>
          <w:highlight w:val="none"/>
        </w:rPr>
      </w:pPr>
      <w:bookmarkStart w:id="560" w:name="_Toc31065"/>
      <w:bookmarkStart w:id="561" w:name="_Toc13721"/>
      <w:bookmarkStart w:id="562" w:name="_Toc95312988"/>
      <w:bookmarkStart w:id="563" w:name="_Toc627339759"/>
      <w:bookmarkStart w:id="564" w:name="_Toc1165662229"/>
      <w:r>
        <w:rPr>
          <w:rFonts w:hint="eastAsia" w:ascii="仿宋" w:hAnsi="仿宋" w:eastAsia="仿宋" w:cs="仿宋_GB2312"/>
          <w:b/>
          <w:color w:val="auto"/>
          <w:sz w:val="24"/>
          <w:highlight w:val="none"/>
        </w:rPr>
        <w:t>第五部分</w:t>
      </w:r>
      <w:r>
        <w:rPr>
          <w:rFonts w:ascii="仿宋" w:hAnsi="仿宋" w:eastAsia="仿宋" w:cs="仿宋_GB2312"/>
          <w:b/>
          <w:color w:val="auto"/>
          <w:sz w:val="24"/>
          <w:highlight w:val="none"/>
        </w:rPr>
        <w:t xml:space="preserve"> </w:t>
      </w:r>
      <w:r>
        <w:rPr>
          <w:rFonts w:hint="eastAsia" w:ascii="仿宋" w:hAnsi="仿宋" w:eastAsia="仿宋" w:cs="仿宋_GB2312"/>
          <w:b/>
          <w:color w:val="auto"/>
          <w:sz w:val="24"/>
          <w:highlight w:val="none"/>
        </w:rPr>
        <w:t>拟签订的合同文本</w:t>
      </w:r>
      <w:bookmarkEnd w:id="560"/>
      <w:bookmarkEnd w:id="561"/>
      <w:bookmarkEnd w:id="562"/>
      <w:bookmarkEnd w:id="563"/>
      <w:bookmarkEnd w:id="564"/>
    </w:p>
    <w:p>
      <w:pPr>
        <w:tabs>
          <w:tab w:val="left" w:pos="0"/>
        </w:tabs>
        <w:spacing w:line="360" w:lineRule="auto"/>
        <w:rPr>
          <w:rFonts w:ascii="仿宋" w:hAnsi="仿宋" w:eastAsia="仿宋"/>
          <w:b/>
          <w:color w:val="auto"/>
          <w:sz w:val="24"/>
          <w:highlight w:val="none"/>
        </w:rPr>
      </w:pPr>
    </w:p>
    <w:p>
      <w:pPr>
        <w:pStyle w:val="32"/>
        <w:wordWrap w:val="0"/>
        <w:snapToGrid w:val="0"/>
        <w:spacing w:line="440" w:lineRule="exact"/>
        <w:jc w:val="right"/>
        <w:rPr>
          <w:rFonts w:ascii="仿宋" w:hAnsi="仿宋" w:eastAsia="仿宋" w:cs="宋体"/>
          <w:b/>
          <w:color w:val="auto"/>
          <w:sz w:val="24"/>
          <w:szCs w:val="24"/>
          <w:highlight w:val="none"/>
        </w:rPr>
      </w:pPr>
      <w:r>
        <w:rPr>
          <w:rFonts w:hint="eastAsia" w:ascii="仿宋" w:hAnsi="仿宋" w:eastAsia="仿宋" w:cs="宋体"/>
          <w:color w:val="auto"/>
          <w:sz w:val="24"/>
          <w:szCs w:val="24"/>
          <w:highlight w:val="none"/>
        </w:rPr>
        <w:t xml:space="preserve">合同编号：            </w:t>
      </w:r>
    </w:p>
    <w:p>
      <w:pPr>
        <w:pStyle w:val="32"/>
        <w:snapToGrid w:val="0"/>
        <w:spacing w:line="440" w:lineRule="exact"/>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甲方：（买方）</w:t>
      </w:r>
    </w:p>
    <w:p>
      <w:pPr>
        <w:pStyle w:val="32"/>
        <w:snapToGrid w:val="0"/>
        <w:spacing w:line="440" w:lineRule="exact"/>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乙方：（卖方）</w:t>
      </w:r>
    </w:p>
    <w:p>
      <w:pPr>
        <w:pStyle w:val="32"/>
        <w:snapToGrid w:val="0"/>
        <w:spacing w:line="440" w:lineRule="exact"/>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 xml:space="preserve">   甲、乙双方根据                  项目（项目编号：</w:t>
      </w:r>
      <w:r>
        <w:rPr>
          <w:rFonts w:ascii="仿宋" w:hAnsi="仿宋" w:eastAsia="仿宋" w:cs="宋体"/>
          <w:b/>
          <w:bCs/>
          <w:color w:val="auto"/>
          <w:sz w:val="24"/>
          <w:szCs w:val="24"/>
          <w:highlight w:val="none"/>
        </w:rPr>
        <w:t xml:space="preserve"> </w:t>
      </w:r>
      <w:r>
        <w:rPr>
          <w:rFonts w:hint="eastAsia" w:ascii="仿宋" w:hAnsi="仿宋" w:eastAsia="仿宋" w:cs="宋体"/>
          <w:b/>
          <w:bCs/>
          <w:color w:val="auto"/>
          <w:sz w:val="24"/>
          <w:szCs w:val="24"/>
          <w:highlight w:val="none"/>
        </w:rPr>
        <w:t xml:space="preserve">    ）公开招标的结果，签署本合同。</w:t>
      </w:r>
    </w:p>
    <w:p>
      <w:pPr>
        <w:pStyle w:val="32"/>
        <w:snapToGrid w:val="0"/>
        <w:spacing w:line="440" w:lineRule="exact"/>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一、货物名称、型号、规格、配置、技术参数、数量及合同价款</w:t>
      </w:r>
    </w:p>
    <w:tbl>
      <w:tblPr>
        <w:tblStyle w:val="62"/>
        <w:tblW w:w="9180"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9"/>
        <w:gridCol w:w="1516"/>
        <w:gridCol w:w="2940"/>
        <w:gridCol w:w="832"/>
        <w:gridCol w:w="987"/>
        <w:gridCol w:w="936"/>
        <w:gridCol w:w="1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8" w:hRule="atLeast"/>
        </w:trPr>
        <w:tc>
          <w:tcPr>
            <w:tcW w:w="689"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序号</w:t>
            </w:r>
          </w:p>
        </w:tc>
        <w:tc>
          <w:tcPr>
            <w:tcW w:w="1516"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货物名称</w:t>
            </w:r>
          </w:p>
        </w:tc>
        <w:tc>
          <w:tcPr>
            <w:tcW w:w="2940"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型号规格配置</w:t>
            </w:r>
          </w:p>
          <w:p>
            <w:pPr>
              <w:pStyle w:val="32"/>
              <w:spacing w:line="440" w:lineRule="exact"/>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及技术参数</w:t>
            </w:r>
          </w:p>
        </w:tc>
        <w:tc>
          <w:tcPr>
            <w:tcW w:w="832"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单价(元)</w:t>
            </w:r>
          </w:p>
        </w:tc>
        <w:tc>
          <w:tcPr>
            <w:tcW w:w="987"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数量(台)</w:t>
            </w:r>
          </w:p>
        </w:tc>
        <w:tc>
          <w:tcPr>
            <w:tcW w:w="936"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合价(元)</w:t>
            </w:r>
          </w:p>
        </w:tc>
        <w:tc>
          <w:tcPr>
            <w:tcW w:w="1280"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ind w:firstLine="602" w:firstLineChars="250"/>
              <w:jc w:val="center"/>
              <w:rPr>
                <w:rFonts w:ascii="仿宋" w:hAnsi="仿宋" w:eastAsia="仿宋" w:cs="宋体"/>
                <w:b/>
                <w:bCs/>
                <w:color w:val="auto"/>
                <w:sz w:val="24"/>
                <w:szCs w:val="24"/>
                <w:highlight w:val="none"/>
              </w:rPr>
            </w:pPr>
          </w:p>
        </w:tc>
        <w:tc>
          <w:tcPr>
            <w:tcW w:w="1516"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rPr>
                <w:rFonts w:ascii="仿宋" w:hAnsi="仿宋" w:eastAsia="仿宋" w:cs="宋体"/>
                <w:b/>
                <w:bCs/>
                <w:color w:val="auto"/>
                <w:sz w:val="24"/>
                <w:szCs w:val="24"/>
                <w:highlight w:val="none"/>
              </w:rPr>
            </w:pPr>
          </w:p>
        </w:tc>
        <w:tc>
          <w:tcPr>
            <w:tcW w:w="2940"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ind w:firstLine="602" w:firstLineChars="250"/>
              <w:jc w:val="center"/>
              <w:rPr>
                <w:rFonts w:ascii="仿宋" w:hAnsi="仿宋" w:eastAsia="仿宋" w:cs="宋体"/>
                <w:b/>
                <w:bCs/>
                <w:color w:val="auto"/>
                <w:sz w:val="24"/>
                <w:szCs w:val="24"/>
                <w:highlight w:val="none"/>
              </w:rPr>
            </w:pPr>
          </w:p>
        </w:tc>
        <w:tc>
          <w:tcPr>
            <w:tcW w:w="832"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ind w:firstLine="602" w:firstLineChars="250"/>
              <w:jc w:val="center"/>
              <w:rPr>
                <w:rFonts w:ascii="仿宋" w:hAnsi="仿宋" w:eastAsia="仿宋" w:cs="宋体"/>
                <w:b/>
                <w:bCs/>
                <w:color w:val="auto"/>
                <w:sz w:val="24"/>
                <w:szCs w:val="24"/>
                <w:highlight w:val="none"/>
              </w:rPr>
            </w:pPr>
          </w:p>
        </w:tc>
        <w:tc>
          <w:tcPr>
            <w:tcW w:w="987"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ind w:firstLine="602" w:firstLineChars="250"/>
              <w:jc w:val="center"/>
              <w:rPr>
                <w:rFonts w:ascii="仿宋" w:hAnsi="仿宋" w:eastAsia="仿宋" w:cs="宋体"/>
                <w:b/>
                <w:bCs/>
                <w:color w:val="auto"/>
                <w:sz w:val="24"/>
                <w:szCs w:val="24"/>
                <w:highlight w:val="none"/>
              </w:rPr>
            </w:pPr>
          </w:p>
        </w:tc>
        <w:tc>
          <w:tcPr>
            <w:tcW w:w="936"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ind w:firstLine="602" w:firstLineChars="250"/>
              <w:jc w:val="center"/>
              <w:rPr>
                <w:rFonts w:ascii="仿宋" w:hAnsi="仿宋" w:eastAsia="仿宋" w:cs="宋体"/>
                <w:b/>
                <w:bCs/>
                <w:color w:val="auto"/>
                <w:sz w:val="24"/>
                <w:szCs w:val="24"/>
                <w:highlight w:val="none"/>
              </w:rPr>
            </w:pPr>
          </w:p>
        </w:tc>
        <w:tc>
          <w:tcPr>
            <w:tcW w:w="1280"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rPr>
                <w:rFonts w:ascii="仿宋" w:hAnsi="仿宋" w:eastAsia="仿宋" w:cs="宋体"/>
                <w:b/>
                <w:bCs/>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77" w:type="dxa"/>
            <w:gridSpan w:val="4"/>
            <w:tcBorders>
              <w:top w:val="single" w:color="auto" w:sz="4" w:space="0"/>
              <w:left w:val="single" w:color="auto" w:sz="4" w:space="0"/>
              <w:bottom w:val="single" w:color="auto" w:sz="4" w:space="0"/>
              <w:right w:val="single" w:color="auto" w:sz="4" w:space="0"/>
            </w:tcBorders>
            <w:vAlign w:val="center"/>
          </w:tcPr>
          <w:p>
            <w:pPr>
              <w:pStyle w:val="32"/>
              <w:spacing w:line="440" w:lineRule="exact"/>
              <w:ind w:firstLine="602" w:firstLineChars="250"/>
              <w:jc w:val="center"/>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合计</w:t>
            </w:r>
          </w:p>
        </w:tc>
        <w:tc>
          <w:tcPr>
            <w:tcW w:w="1923" w:type="dxa"/>
            <w:gridSpan w:val="2"/>
            <w:tcBorders>
              <w:top w:val="single" w:color="auto" w:sz="4" w:space="0"/>
              <w:left w:val="single" w:color="auto" w:sz="4" w:space="0"/>
              <w:bottom w:val="single" w:color="auto" w:sz="4" w:space="0"/>
              <w:right w:val="single" w:color="auto" w:sz="4" w:space="0"/>
            </w:tcBorders>
            <w:vAlign w:val="center"/>
          </w:tcPr>
          <w:p>
            <w:pPr>
              <w:pStyle w:val="32"/>
              <w:spacing w:line="440" w:lineRule="exact"/>
              <w:ind w:firstLine="602" w:firstLineChars="250"/>
              <w:jc w:val="center"/>
              <w:rPr>
                <w:rFonts w:ascii="仿宋" w:hAnsi="仿宋" w:eastAsia="仿宋" w:cs="宋体"/>
                <w:b/>
                <w:bCs/>
                <w:color w:val="auto"/>
                <w:sz w:val="24"/>
                <w:szCs w:val="24"/>
                <w:highlight w:val="none"/>
              </w:rPr>
            </w:pPr>
          </w:p>
        </w:tc>
        <w:tc>
          <w:tcPr>
            <w:tcW w:w="1280" w:type="dxa"/>
            <w:tcBorders>
              <w:top w:val="single" w:color="auto" w:sz="4" w:space="0"/>
              <w:left w:val="single" w:color="auto" w:sz="4" w:space="0"/>
              <w:bottom w:val="single" w:color="auto" w:sz="4" w:space="0"/>
              <w:right w:val="single" w:color="auto" w:sz="4" w:space="0"/>
            </w:tcBorders>
            <w:vAlign w:val="center"/>
          </w:tcPr>
          <w:p>
            <w:pPr>
              <w:pStyle w:val="32"/>
              <w:spacing w:line="440" w:lineRule="exact"/>
              <w:rPr>
                <w:rFonts w:ascii="仿宋" w:hAnsi="仿宋" w:eastAsia="仿宋" w:cs="宋体"/>
                <w:b/>
                <w:bCs/>
                <w:color w:val="auto"/>
                <w:sz w:val="24"/>
                <w:szCs w:val="24"/>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77" w:type="dxa"/>
            <w:gridSpan w:val="4"/>
            <w:tcBorders>
              <w:top w:val="single" w:color="auto" w:sz="4" w:space="0"/>
              <w:left w:val="single" w:color="auto" w:sz="4" w:space="0"/>
              <w:bottom w:val="single" w:color="auto" w:sz="4" w:space="0"/>
              <w:right w:val="single" w:color="auto" w:sz="4" w:space="0"/>
            </w:tcBorders>
            <w:vAlign w:val="center"/>
          </w:tcPr>
          <w:p>
            <w:pPr>
              <w:pStyle w:val="32"/>
              <w:spacing w:line="440" w:lineRule="exact"/>
              <w:rPr>
                <w:rFonts w:ascii="仿宋" w:hAnsi="仿宋" w:eastAsia="仿宋" w:cs="宋体"/>
                <w:b/>
                <w:bCs/>
                <w:color w:val="auto"/>
                <w:sz w:val="24"/>
                <w:szCs w:val="24"/>
                <w:highlight w:val="none"/>
              </w:rPr>
            </w:pPr>
            <w:r>
              <w:rPr>
                <w:rFonts w:hint="eastAsia" w:ascii="仿宋" w:hAnsi="仿宋" w:eastAsia="仿宋" w:cs="宋体"/>
                <w:b/>
                <w:bCs/>
                <w:color w:val="auto"/>
                <w:sz w:val="24"/>
                <w:szCs w:val="24"/>
                <w:highlight w:val="none"/>
              </w:rPr>
              <w:t>投标总报价（大写）：</w:t>
            </w:r>
          </w:p>
        </w:tc>
        <w:tc>
          <w:tcPr>
            <w:tcW w:w="3203" w:type="dxa"/>
            <w:gridSpan w:val="3"/>
            <w:tcBorders>
              <w:top w:val="single" w:color="auto" w:sz="4" w:space="0"/>
              <w:left w:val="single" w:color="auto" w:sz="4" w:space="0"/>
              <w:bottom w:val="single" w:color="auto" w:sz="4" w:space="0"/>
              <w:right w:val="single" w:color="auto" w:sz="4" w:space="0"/>
            </w:tcBorders>
            <w:vAlign w:val="center"/>
          </w:tcPr>
          <w:p>
            <w:pPr>
              <w:pStyle w:val="32"/>
              <w:spacing w:line="440" w:lineRule="exact"/>
              <w:rPr>
                <w:rFonts w:ascii="仿宋" w:hAnsi="仿宋" w:eastAsia="仿宋" w:cs="宋体"/>
                <w:b/>
                <w:bCs/>
                <w:color w:val="auto"/>
                <w:sz w:val="24"/>
                <w:szCs w:val="24"/>
                <w:highlight w:val="none"/>
              </w:rPr>
            </w:pPr>
          </w:p>
        </w:tc>
      </w:tr>
    </w:tbl>
    <w:p>
      <w:pPr>
        <w:pStyle w:val="32"/>
        <w:snapToGrid w:val="0"/>
        <w:spacing w:line="440" w:lineRule="exact"/>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（投标总报价包括货款、采购清单中货物供货、货物的安装调试、货物验收、培训、质保期内的售后服务、</w:t>
      </w:r>
      <w:r>
        <w:rPr>
          <w:rFonts w:hint="eastAsia" w:ascii="仿宋" w:hAnsi="仿宋" w:eastAsia="仿宋" w:cs="宋体"/>
          <w:bCs/>
          <w:color w:val="auto"/>
          <w:sz w:val="24"/>
          <w:szCs w:val="24"/>
          <w:highlight w:val="none"/>
        </w:rPr>
        <w:t>政策性文件规定及合同包含的所有风险、责任等各项全部费用</w:t>
      </w:r>
      <w:r>
        <w:rPr>
          <w:rFonts w:hint="eastAsia" w:ascii="仿宋" w:hAnsi="仿宋" w:eastAsia="仿宋" w:cs="宋体"/>
          <w:color w:val="auto"/>
          <w:sz w:val="24"/>
          <w:szCs w:val="24"/>
          <w:highlight w:val="none"/>
        </w:rPr>
        <w:t>等。采购需求清单中未提到，但在实际采购和安装过程中需要配置的各种设备、材料和其他费用等均计入本次报价中）</w:t>
      </w:r>
    </w:p>
    <w:p>
      <w:pPr>
        <w:pStyle w:val="32"/>
        <w:snapToGrid w:val="0"/>
        <w:spacing w:line="440" w:lineRule="exact"/>
        <w:rPr>
          <w:rFonts w:ascii="仿宋" w:hAnsi="仿宋" w:eastAsia="仿宋" w:cs="宋体"/>
          <w:color w:val="auto"/>
          <w:sz w:val="24"/>
          <w:szCs w:val="24"/>
          <w:highlight w:val="none"/>
        </w:rPr>
      </w:pPr>
      <w:r>
        <w:rPr>
          <w:rFonts w:hint="eastAsia" w:ascii="仿宋" w:hAnsi="仿宋" w:eastAsia="仿宋" w:cs="宋体"/>
          <w:color w:val="auto"/>
          <w:sz w:val="24"/>
          <w:szCs w:val="24"/>
          <w:highlight w:val="none"/>
        </w:rPr>
        <w:t xml:space="preserve">   二、技术资料</w:t>
      </w:r>
    </w:p>
    <w:p>
      <w:pPr>
        <w:pStyle w:val="32"/>
        <w:snapToGrid w:val="0"/>
        <w:spacing w:line="440" w:lineRule="exact"/>
        <w:rPr>
          <w:rFonts w:ascii="仿宋" w:hAnsi="仿宋" w:eastAsia="仿宋" w:cs="宋体"/>
          <w:b/>
          <w:bCs/>
          <w:color w:val="auto"/>
          <w:sz w:val="24"/>
          <w:szCs w:val="24"/>
          <w:highlight w:val="none"/>
        </w:rPr>
      </w:pPr>
      <w:r>
        <w:rPr>
          <w:rFonts w:hint="eastAsia" w:ascii="仿宋" w:hAnsi="仿宋" w:eastAsia="仿宋" w:cs="宋体"/>
          <w:bCs/>
          <w:color w:val="auto"/>
          <w:sz w:val="24"/>
          <w:szCs w:val="24"/>
          <w:highlight w:val="none"/>
        </w:rPr>
        <w:t xml:space="preserve">   </w:t>
      </w:r>
      <w:r>
        <w:rPr>
          <w:rFonts w:hint="eastAsia" w:ascii="仿宋" w:hAnsi="仿宋" w:eastAsia="仿宋" w:cs="宋体"/>
          <w:b/>
          <w:bCs/>
          <w:color w:val="auto"/>
          <w:sz w:val="24"/>
          <w:szCs w:val="24"/>
          <w:highlight w:val="none"/>
        </w:rPr>
        <w:t>1、乙方应按招标文件规定的时间向甲方提供使用货物的有关技术资料。</w:t>
      </w:r>
    </w:p>
    <w:p>
      <w:pPr>
        <w:snapToGrid w:val="0"/>
        <w:spacing w:line="440" w:lineRule="exact"/>
        <w:ind w:firstLine="352" w:firstLineChars="147"/>
        <w:rPr>
          <w:rFonts w:ascii="仿宋" w:hAnsi="仿宋" w:eastAsia="仿宋" w:cs="宋体"/>
          <w:b/>
          <w:color w:val="auto"/>
          <w:sz w:val="24"/>
          <w:highlight w:val="none"/>
        </w:rPr>
      </w:pPr>
      <w:r>
        <w:rPr>
          <w:rFonts w:hint="eastAsia" w:ascii="仿宋" w:hAnsi="仿宋" w:eastAsia="仿宋" w:cs="宋体"/>
          <w:bCs/>
          <w:color w:val="auto"/>
          <w:sz w:val="24"/>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line="440" w:lineRule="exact"/>
        <w:ind w:firstLine="354" w:firstLineChars="147"/>
        <w:rPr>
          <w:rFonts w:ascii="仿宋" w:hAnsi="仿宋" w:eastAsia="仿宋" w:cs="宋体"/>
          <w:bCs/>
          <w:color w:val="auto"/>
          <w:sz w:val="24"/>
          <w:highlight w:val="none"/>
        </w:rPr>
      </w:pPr>
      <w:r>
        <w:rPr>
          <w:rFonts w:hint="eastAsia" w:ascii="仿宋" w:hAnsi="仿宋" w:eastAsia="仿宋" w:cs="宋体"/>
          <w:b/>
          <w:color w:val="auto"/>
          <w:sz w:val="24"/>
          <w:highlight w:val="none"/>
        </w:rPr>
        <w:t>三、权利担保</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1、乙方应保证所提供的货物或其任何一部分均不会侵犯任何第三方的知识产权。</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2、乙方保证所交付的货物的所有权完全属于乙方且无任何抵押、查封等产权瑕疵。</w:t>
      </w:r>
    </w:p>
    <w:p>
      <w:pPr>
        <w:snapToGrid w:val="0"/>
        <w:spacing w:line="440" w:lineRule="exact"/>
        <w:ind w:firstLine="354" w:firstLineChars="147"/>
        <w:rPr>
          <w:rFonts w:ascii="仿宋" w:hAnsi="仿宋" w:eastAsia="仿宋" w:cs="宋体"/>
          <w:b/>
          <w:color w:val="auto"/>
          <w:sz w:val="24"/>
          <w:highlight w:val="none"/>
        </w:rPr>
      </w:pPr>
      <w:r>
        <w:rPr>
          <w:rFonts w:hint="eastAsia" w:ascii="仿宋" w:hAnsi="仿宋" w:eastAsia="仿宋" w:cs="宋体"/>
          <w:b/>
          <w:color w:val="auto"/>
          <w:sz w:val="24"/>
          <w:highlight w:val="none"/>
        </w:rPr>
        <w:t>四、履约保证金</w:t>
      </w:r>
    </w:p>
    <w:p>
      <w:pPr>
        <w:snapToGrid w:val="0"/>
        <w:spacing w:line="440" w:lineRule="exact"/>
        <w:ind w:firstLine="352" w:firstLineChars="147"/>
        <w:rPr>
          <w:rFonts w:ascii="仿宋" w:hAnsi="仿宋" w:eastAsia="仿宋" w:cs="宋体"/>
          <w:b/>
          <w:color w:val="auto"/>
          <w:sz w:val="24"/>
          <w:highlight w:val="none"/>
        </w:rPr>
      </w:pPr>
      <w:r>
        <w:rPr>
          <w:rFonts w:hint="eastAsia" w:ascii="仿宋" w:hAnsi="仿宋" w:eastAsia="仿宋" w:cs="宋体"/>
          <w:bCs/>
          <w:color w:val="auto"/>
          <w:sz w:val="24"/>
          <w:highlight w:val="none"/>
        </w:rPr>
        <w:t>乙方与甲方签订合同后七个工作日内，向甲方支付中标总额</w:t>
      </w:r>
      <w:r>
        <w:rPr>
          <w:rFonts w:ascii="仿宋" w:hAnsi="仿宋" w:eastAsia="仿宋" w:cs="宋体"/>
          <w:bCs/>
          <w:color w:val="auto"/>
          <w:sz w:val="24"/>
          <w:highlight w:val="none"/>
        </w:rPr>
        <w:t xml:space="preserve">    </w:t>
      </w:r>
      <w:r>
        <w:rPr>
          <w:rFonts w:hint="eastAsia" w:ascii="仿宋" w:hAnsi="仿宋" w:eastAsia="仿宋" w:cs="宋体"/>
          <w:bCs/>
          <w:color w:val="auto"/>
          <w:sz w:val="24"/>
          <w:highlight w:val="none"/>
        </w:rPr>
        <w:t>%的履约保证金，合计   元。</w:t>
      </w:r>
      <w:r>
        <w:rPr>
          <w:rFonts w:hint="eastAsia" w:ascii="仿宋" w:hAnsi="仿宋" w:eastAsia="仿宋" w:cs="宋体"/>
          <w:b/>
          <w:color w:val="auto"/>
          <w:sz w:val="24"/>
          <w:highlight w:val="none"/>
        </w:rPr>
        <w:t>中标单位根据合同规定将货物交付、安装调试完毕，验收合格后10日内无息返还履约保证金。</w:t>
      </w:r>
    </w:p>
    <w:p>
      <w:pPr>
        <w:snapToGrid w:val="0"/>
        <w:spacing w:line="440" w:lineRule="exact"/>
        <w:ind w:firstLine="352" w:firstLineChars="147"/>
        <w:rPr>
          <w:rFonts w:ascii="仿宋" w:hAnsi="仿宋" w:eastAsia="仿宋" w:cs="宋体"/>
          <w:bCs/>
          <w:color w:val="auto"/>
          <w:sz w:val="24"/>
          <w:highlight w:val="none"/>
        </w:rPr>
      </w:pPr>
    </w:p>
    <w:p>
      <w:pPr>
        <w:snapToGrid w:val="0"/>
        <w:spacing w:line="440" w:lineRule="exact"/>
        <w:ind w:firstLine="352" w:firstLineChars="147"/>
        <w:rPr>
          <w:rFonts w:ascii="仿宋" w:hAnsi="仿宋" w:eastAsia="仿宋" w:cs="宋体"/>
          <w:b/>
          <w:color w:val="auto"/>
          <w:sz w:val="24"/>
          <w:highlight w:val="none"/>
        </w:rPr>
      </w:pPr>
      <w:r>
        <w:rPr>
          <w:rFonts w:hint="eastAsia" w:ascii="仿宋" w:hAnsi="仿宋" w:eastAsia="仿宋" w:cs="宋体"/>
          <w:bCs/>
          <w:color w:val="auto"/>
          <w:sz w:val="24"/>
          <w:highlight w:val="none"/>
        </w:rPr>
        <w:t xml:space="preserve"> </w:t>
      </w:r>
      <w:r>
        <w:rPr>
          <w:rFonts w:hint="eastAsia" w:ascii="仿宋" w:hAnsi="仿宋" w:eastAsia="仿宋" w:cs="宋体"/>
          <w:b/>
          <w:color w:val="auto"/>
          <w:sz w:val="24"/>
          <w:highlight w:val="none"/>
        </w:rPr>
        <w:t>五、转包或分包</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1、本合同范围的货物，应由乙方直接供应，不得转让他人供应。</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2、除非得到甲方的书面同意，乙方不得将本合同范围的货物全部或部分分包给他人供应；</w:t>
      </w:r>
    </w:p>
    <w:p>
      <w:pPr>
        <w:snapToGrid w:val="0"/>
        <w:spacing w:line="440" w:lineRule="exact"/>
        <w:ind w:firstLine="352" w:firstLineChars="147"/>
        <w:rPr>
          <w:rFonts w:ascii="仿宋" w:hAnsi="仿宋" w:eastAsia="仿宋" w:cs="宋体"/>
          <w:b/>
          <w:color w:val="auto"/>
          <w:sz w:val="24"/>
          <w:highlight w:val="none"/>
        </w:rPr>
      </w:pPr>
      <w:r>
        <w:rPr>
          <w:rFonts w:hint="eastAsia" w:ascii="仿宋" w:hAnsi="仿宋" w:eastAsia="仿宋" w:cs="宋体"/>
          <w:bCs/>
          <w:color w:val="auto"/>
          <w:sz w:val="24"/>
          <w:highlight w:val="none"/>
        </w:rPr>
        <w:t>3、不得以任何形式将本工程转包或分包给其他单位，否则甲方有权终止合同，没收履约保证金并追究乙方的违约责任，所发生的一切损失均由中标单位承担。</w:t>
      </w:r>
    </w:p>
    <w:p>
      <w:pPr>
        <w:snapToGrid w:val="0"/>
        <w:spacing w:line="440" w:lineRule="exact"/>
        <w:ind w:firstLine="354" w:firstLineChars="147"/>
        <w:rPr>
          <w:rFonts w:ascii="仿宋" w:hAnsi="仿宋" w:eastAsia="仿宋" w:cs="宋体"/>
          <w:bCs/>
          <w:color w:val="auto"/>
          <w:sz w:val="24"/>
          <w:highlight w:val="none"/>
        </w:rPr>
      </w:pPr>
      <w:r>
        <w:rPr>
          <w:rFonts w:hint="eastAsia" w:ascii="仿宋" w:hAnsi="仿宋" w:eastAsia="仿宋" w:cs="宋体"/>
          <w:b/>
          <w:color w:val="auto"/>
          <w:sz w:val="24"/>
          <w:highlight w:val="none"/>
        </w:rPr>
        <w:t>六、质保期</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质保期：产品验收合格使用之日起，质保期</w:t>
      </w:r>
      <w:r>
        <w:rPr>
          <w:rFonts w:hint="eastAsia" w:ascii="仿宋" w:hAnsi="仿宋" w:eastAsia="仿宋" w:cs="宋体"/>
          <w:b/>
          <w:color w:val="auto"/>
          <w:sz w:val="24"/>
          <w:highlight w:val="none"/>
        </w:rPr>
        <w:t xml:space="preserve"> </w:t>
      </w:r>
      <w:r>
        <w:rPr>
          <w:rFonts w:ascii="仿宋" w:hAnsi="仿宋" w:eastAsia="仿宋" w:cs="宋体"/>
          <w:b/>
          <w:color w:val="auto"/>
          <w:sz w:val="24"/>
          <w:highlight w:val="none"/>
        </w:rPr>
        <w:t xml:space="preserve">  </w:t>
      </w:r>
      <w:r>
        <w:rPr>
          <w:rFonts w:hint="eastAsia" w:ascii="仿宋" w:hAnsi="仿宋" w:eastAsia="仿宋" w:cs="宋体"/>
          <w:bCs/>
          <w:color w:val="auto"/>
          <w:sz w:val="24"/>
          <w:highlight w:val="none"/>
        </w:rPr>
        <w:t>年（具体再参照乙方按投标文件承诺确定），质保期内的维修费用（包括材料）全部由乙方负责。超过质保期的，维修时只收部件成本费。</w:t>
      </w:r>
    </w:p>
    <w:p>
      <w:pPr>
        <w:snapToGrid w:val="0"/>
        <w:spacing w:line="440" w:lineRule="exact"/>
        <w:ind w:firstLine="354" w:firstLineChars="147"/>
        <w:rPr>
          <w:rFonts w:ascii="仿宋" w:hAnsi="仿宋" w:eastAsia="仿宋" w:cs="宋体"/>
          <w:b/>
          <w:color w:val="auto"/>
          <w:sz w:val="24"/>
          <w:highlight w:val="none"/>
        </w:rPr>
      </w:pPr>
      <w:r>
        <w:rPr>
          <w:rFonts w:hint="eastAsia" w:ascii="仿宋" w:hAnsi="仿宋" w:eastAsia="仿宋" w:cs="宋体"/>
          <w:b/>
          <w:color w:val="auto"/>
          <w:sz w:val="24"/>
          <w:highlight w:val="none"/>
        </w:rPr>
        <w:t>七、交货期、交货方式、交货地点及供货要求</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1、交货期：</w:t>
      </w:r>
      <w:r>
        <w:rPr>
          <w:rFonts w:hint="eastAsia" w:ascii="仿宋" w:hAnsi="仿宋" w:eastAsia="仿宋" w:cs="宋体"/>
          <w:color w:val="auto"/>
          <w:sz w:val="24"/>
          <w:highlight w:val="none"/>
        </w:rPr>
        <w:t>签订合同后，供应商须于 前完成供货、安装</w:t>
      </w:r>
      <w:r>
        <w:rPr>
          <w:rFonts w:hint="eastAsia" w:ascii="仿宋" w:hAnsi="仿宋" w:eastAsia="仿宋" w:cs="宋体"/>
          <w:color w:val="auto"/>
          <w:kern w:val="0"/>
          <w:sz w:val="24"/>
          <w:highlight w:val="none"/>
        </w:rPr>
        <w:t>调试</w:t>
      </w:r>
      <w:r>
        <w:rPr>
          <w:rFonts w:hint="eastAsia" w:ascii="仿宋" w:hAnsi="仿宋" w:eastAsia="仿宋" w:cs="宋体"/>
          <w:color w:val="auto"/>
          <w:sz w:val="24"/>
          <w:highlight w:val="none"/>
        </w:rPr>
        <w:t>及使用方初步验收。</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2、交货方式：由乙方负责运输至指定地点现场交货，并安装调试完毕。安装调试完毕交付甲方前发生的风险均由乙方负责。</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3、 交货地点：。</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color w:val="auto"/>
          <w:kern w:val="0"/>
          <w:sz w:val="24"/>
          <w:highlight w:val="none"/>
        </w:rPr>
        <w:t>4、供货要求：乙方所供的货物必须为全新的，符合国家标准的合格产品。凡需国家强制保证或认可的产品、需提供相应的</w:t>
      </w:r>
      <w:r>
        <w:rPr>
          <w:rFonts w:hint="eastAsia" w:ascii="仿宋" w:hAnsi="仿宋" w:eastAsia="仿宋" w:cs="宋体"/>
          <w:color w:val="auto"/>
          <w:sz w:val="24"/>
          <w:highlight w:val="none"/>
        </w:rPr>
        <w:t>证书和认可的标志。</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5、乙方应先派有经验的技术人员对安装现场进行实地勘察，对各种设备采购、制造、运输（到现场安装）、安装、工期、安全、文明施工进行总承包，一切费用均由乙方负责。</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6、乙方在设备在安装、调试时不得损坏墙体、门窗等，如有损坏要予以赔偿。</w:t>
      </w:r>
    </w:p>
    <w:p>
      <w:pPr>
        <w:snapToGrid w:val="0"/>
        <w:spacing w:line="440" w:lineRule="exact"/>
        <w:rPr>
          <w:rFonts w:ascii="仿宋" w:hAnsi="仿宋" w:eastAsia="仿宋" w:cs="宋体"/>
          <w:b/>
          <w:color w:val="auto"/>
          <w:sz w:val="24"/>
          <w:highlight w:val="none"/>
        </w:rPr>
      </w:pPr>
      <w:r>
        <w:rPr>
          <w:rFonts w:hint="eastAsia" w:ascii="仿宋" w:hAnsi="仿宋" w:eastAsia="仿宋" w:cs="宋体"/>
          <w:color w:val="auto"/>
          <w:sz w:val="24"/>
          <w:highlight w:val="none"/>
        </w:rPr>
        <w:t xml:space="preserve">   7、培训要求：安装调试后，供应商须向使用方人员做好所供产品日常保养、使用、管理的现场实地培训，直至会熟练使用。</w:t>
      </w:r>
    </w:p>
    <w:p>
      <w:pPr>
        <w:snapToGrid w:val="0"/>
        <w:spacing w:line="440" w:lineRule="exact"/>
        <w:ind w:firstLine="354" w:firstLineChars="147"/>
        <w:rPr>
          <w:rFonts w:ascii="仿宋" w:hAnsi="仿宋" w:eastAsia="仿宋" w:cs="宋体"/>
          <w:bCs/>
          <w:color w:val="auto"/>
          <w:sz w:val="24"/>
          <w:highlight w:val="none"/>
        </w:rPr>
      </w:pPr>
      <w:r>
        <w:rPr>
          <w:rFonts w:hint="eastAsia" w:ascii="仿宋" w:hAnsi="仿宋" w:eastAsia="仿宋" w:cs="宋体"/>
          <w:b/>
          <w:color w:val="auto"/>
          <w:sz w:val="24"/>
          <w:highlight w:val="none"/>
        </w:rPr>
        <w:t>八、货款支付</w:t>
      </w:r>
    </w:p>
    <w:p>
      <w:pPr>
        <w:tabs>
          <w:tab w:val="left" w:pos="3780"/>
        </w:tabs>
        <w:spacing w:line="400" w:lineRule="atLeast"/>
        <w:rPr>
          <w:rFonts w:ascii="仿宋" w:hAnsi="仿宋" w:eastAsia="仿宋"/>
          <w:bCs/>
          <w:color w:val="auto"/>
          <w:sz w:val="24"/>
          <w:highlight w:val="none"/>
        </w:rPr>
      </w:pPr>
      <w:r>
        <w:rPr>
          <w:rFonts w:hint="eastAsia" w:ascii="仿宋" w:hAnsi="仿宋" w:eastAsia="仿宋" w:cs="宋体"/>
          <w:bCs/>
          <w:color w:val="auto"/>
          <w:sz w:val="24"/>
          <w:highlight w:val="none"/>
        </w:rPr>
        <w:t xml:space="preserve">    1、预付款：</w:t>
      </w:r>
      <w:r>
        <w:rPr>
          <w:rFonts w:ascii="仿宋" w:hAnsi="仿宋" w:eastAsia="仿宋"/>
          <w:bCs/>
          <w:color w:val="auto"/>
          <w:sz w:val="24"/>
          <w:highlight w:val="none"/>
        </w:rPr>
        <w:t>项目合同签订后</w:t>
      </w:r>
      <w:r>
        <w:rPr>
          <w:rFonts w:hint="eastAsia" w:ascii="仿宋" w:hAnsi="仿宋" w:eastAsia="仿宋"/>
          <w:bCs/>
          <w:color w:val="auto"/>
          <w:sz w:val="24"/>
          <w:highlight w:val="none"/>
        </w:rPr>
        <w:t>，具备支付条件</w:t>
      </w:r>
      <w:r>
        <w:rPr>
          <w:rFonts w:hint="eastAsia" w:ascii="仿宋" w:hAnsi="仿宋" w:eastAsia="仿宋" w:cs="宋体"/>
          <w:color w:val="auto"/>
          <w:sz w:val="24"/>
          <w:highlight w:val="none"/>
        </w:rPr>
        <w:t>自收到发票</w:t>
      </w:r>
      <w:r>
        <w:rPr>
          <w:rFonts w:ascii="仿宋" w:hAnsi="仿宋" w:eastAsia="仿宋" w:cs="宋体"/>
          <w:bCs/>
          <w:color w:val="auto"/>
          <w:sz w:val="24"/>
          <w:highlight w:val="none"/>
        </w:rPr>
        <w:t>5</w:t>
      </w:r>
      <w:r>
        <w:rPr>
          <w:rFonts w:hint="eastAsia" w:ascii="仿宋" w:hAnsi="仿宋" w:eastAsia="仿宋" w:cs="宋体"/>
          <w:bCs/>
          <w:color w:val="auto"/>
          <w:sz w:val="24"/>
          <w:highlight w:val="none"/>
        </w:rPr>
        <w:t>个工作日内预付中</w:t>
      </w:r>
      <w:r>
        <w:rPr>
          <w:rFonts w:hint="eastAsia" w:ascii="仿宋" w:hAnsi="仿宋" w:eastAsia="仿宋"/>
          <w:bCs/>
          <w:color w:val="auto"/>
          <w:sz w:val="24"/>
          <w:highlight w:val="none"/>
        </w:rPr>
        <w:t>标价</w:t>
      </w:r>
      <w:r>
        <w:rPr>
          <w:rFonts w:ascii="仿宋" w:hAnsi="仿宋" w:eastAsia="仿宋"/>
          <w:bCs/>
          <w:color w:val="auto"/>
          <w:sz w:val="24"/>
          <w:highlight w:val="none"/>
        </w:rPr>
        <w:t>总额的40%</w:t>
      </w:r>
      <w:r>
        <w:rPr>
          <w:rFonts w:hint="eastAsia" w:ascii="仿宋" w:hAnsi="仿宋" w:eastAsia="仿宋"/>
          <w:bCs/>
          <w:color w:val="auto"/>
          <w:sz w:val="24"/>
          <w:highlight w:val="none"/>
        </w:rPr>
        <w:t>。</w:t>
      </w:r>
    </w:p>
    <w:p>
      <w:pPr>
        <w:snapToGrid w:val="0"/>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    2、乙方根据合同规定将货物交付、安装调试完毕，并最终验收合格后，甲方凭发票、确认单以及合同上报区财政，区财政审批下拨款到位后，支付合同价货款。 </w:t>
      </w:r>
    </w:p>
    <w:p>
      <w:pPr>
        <w:snapToGrid w:val="0"/>
        <w:spacing w:line="360" w:lineRule="auto"/>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 3、甲方付款前，乙方必须提交符合要求的发票。</w:t>
      </w:r>
    </w:p>
    <w:p>
      <w:pPr>
        <w:snapToGrid w:val="0"/>
        <w:spacing w:line="440" w:lineRule="exact"/>
        <w:ind w:firstLine="352" w:firstLineChars="147"/>
        <w:rPr>
          <w:rFonts w:ascii="仿宋" w:hAnsi="仿宋" w:eastAsia="仿宋" w:cs="宋体"/>
          <w:b/>
          <w:color w:val="auto"/>
          <w:sz w:val="24"/>
          <w:highlight w:val="none"/>
        </w:rPr>
      </w:pPr>
      <w:r>
        <w:rPr>
          <w:rFonts w:hint="eastAsia" w:ascii="仿宋" w:hAnsi="仿宋" w:eastAsia="仿宋" w:cs="宋体"/>
          <w:bCs/>
          <w:color w:val="auto"/>
          <w:sz w:val="24"/>
          <w:highlight w:val="none"/>
        </w:rPr>
        <w:t xml:space="preserve"> </w:t>
      </w:r>
      <w:r>
        <w:rPr>
          <w:rFonts w:hint="eastAsia" w:ascii="仿宋" w:hAnsi="仿宋" w:eastAsia="仿宋" w:cs="宋体"/>
          <w:b/>
          <w:color w:val="auto"/>
          <w:sz w:val="24"/>
          <w:highlight w:val="none"/>
        </w:rPr>
        <w:t>九、税费</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 本合同执行中相关的一切税费均由乙方负担。</w:t>
      </w:r>
    </w:p>
    <w:p>
      <w:pPr>
        <w:snapToGrid w:val="0"/>
        <w:spacing w:line="440" w:lineRule="exact"/>
        <w:ind w:firstLine="352" w:firstLineChars="147"/>
        <w:rPr>
          <w:rFonts w:ascii="仿宋" w:hAnsi="仿宋" w:eastAsia="仿宋" w:cs="宋体"/>
          <w:b/>
          <w:color w:val="auto"/>
          <w:sz w:val="24"/>
          <w:highlight w:val="none"/>
        </w:rPr>
      </w:pPr>
      <w:r>
        <w:rPr>
          <w:rFonts w:hint="eastAsia" w:ascii="仿宋" w:hAnsi="仿宋" w:eastAsia="仿宋" w:cs="宋体"/>
          <w:bCs/>
          <w:color w:val="auto"/>
          <w:sz w:val="24"/>
          <w:highlight w:val="none"/>
        </w:rPr>
        <w:t xml:space="preserve"> </w:t>
      </w:r>
      <w:r>
        <w:rPr>
          <w:rFonts w:hint="eastAsia" w:ascii="仿宋" w:hAnsi="仿宋" w:eastAsia="仿宋" w:cs="宋体"/>
          <w:b/>
          <w:color w:val="auto"/>
          <w:sz w:val="24"/>
          <w:highlight w:val="none"/>
        </w:rPr>
        <w:t>十、质量保证及售后服务</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 1、乙方应按招标文件规定的货物性能、技术要求、质量标准向甲方提供未经使用的全产品。所使用的材料必须具有质量保证书或符合规定做的试验资料报告。严禁使用质量不合格或不符合设计要求的材料，否则乙方须承担由此产生的一切责任。如有外购产品由乙方统一配备。乙方所提供的货物必须是符合需求的合法产品，杜绝三无、假冒和走私产品。</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 2、乙方提供的货物在质保期内因货物本身的质量问题发生故障，乙方应负责免费更换。对达不到技术要求者，根据实际情况，经双方协商，可按以下办法处理：</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更换：由乙方承担所发生的全部费用。</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贬值处理：由甲乙双方合议定价。</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退货处理：乙方应退还甲方支付的合同款，同时应承担该货物的直接费用（运输、保险、检验、货款利息及银行手续费等）。</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3、在质保期内，乙方应对货物出现的质量及安全问题负责处理解决并承担一切费用。</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4、乙方必须对所供产品实行终身维修，乙方在接到电话后1小时内响应，2小时内到达现场解决问题，最迟在24个小时修复，如不能修复应采取补救措施，以保证使用方的正常工作，乙方有其它服务承诺的，一并履行。</w:t>
      </w:r>
    </w:p>
    <w:p>
      <w:pPr>
        <w:snapToGrid w:val="0"/>
        <w:spacing w:line="440" w:lineRule="exact"/>
        <w:ind w:firstLine="352" w:firstLineChars="147"/>
        <w:rPr>
          <w:rFonts w:ascii="仿宋" w:hAnsi="仿宋" w:eastAsia="仿宋" w:cs="宋体"/>
          <w:color w:val="auto"/>
          <w:kern w:val="0"/>
          <w:sz w:val="24"/>
          <w:highlight w:val="none"/>
        </w:rPr>
      </w:pPr>
      <w:r>
        <w:rPr>
          <w:rFonts w:hint="eastAsia" w:ascii="仿宋" w:hAnsi="仿宋" w:eastAsia="仿宋" w:cs="宋体"/>
          <w:bCs/>
          <w:color w:val="auto"/>
          <w:sz w:val="24"/>
          <w:highlight w:val="none"/>
        </w:rPr>
        <w:t>5、乙方在质保期内每年应（不少于一次）到使用方进行设备保养、检修。</w:t>
      </w:r>
    </w:p>
    <w:p>
      <w:pPr>
        <w:snapToGrid w:val="0"/>
        <w:spacing w:line="440" w:lineRule="exac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 xml:space="preserve">   6、在质保期内，乙方应兑现“投标文件”中“售后服务”的诸项相关承诺，并应对货物出现的质量及安全问题负责处理解决并承担一切费用。在质保期内乙方不得以任何理由影响用户的正常使用，乙方必须对所供产品实行终身维修，配件按市场价格收取。</w:t>
      </w:r>
    </w:p>
    <w:p>
      <w:pPr>
        <w:snapToGrid w:val="0"/>
        <w:spacing w:line="440" w:lineRule="exact"/>
        <w:ind w:firstLine="354" w:firstLineChars="147"/>
        <w:rPr>
          <w:rFonts w:ascii="仿宋" w:hAnsi="仿宋" w:eastAsia="仿宋" w:cs="宋体"/>
          <w:b/>
          <w:color w:val="auto"/>
          <w:sz w:val="24"/>
          <w:highlight w:val="none"/>
        </w:rPr>
      </w:pPr>
      <w:r>
        <w:rPr>
          <w:rFonts w:hint="eastAsia" w:ascii="仿宋" w:hAnsi="仿宋" w:eastAsia="仿宋" w:cs="宋体"/>
          <w:b/>
          <w:color w:val="auto"/>
          <w:sz w:val="24"/>
          <w:highlight w:val="none"/>
        </w:rPr>
        <w:t>十一、货物包装、发运及运输</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1、乙方应在货物发运前对其进行满足运输距离、防潮、防震、防锈和防破损装卸等要求包装，以保证货物安全运达甲方指定地点。</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2、使用说明书、质量检验证明书、随配附件和工具以及清单一并附于货物内。</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3、乙方在货物发运手续办理完毕后24小时内或货到甲方48小时前通知甲方，以准备接货。</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4、货物在交付甲方前发生的风险均由乙方负责。</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5、货物在规定的交付期限内由乙方送达甲方指定的地点，及时通知甲方货物已送达并安装调试完毕视为交付。</w:t>
      </w:r>
    </w:p>
    <w:p>
      <w:pPr>
        <w:snapToGrid w:val="0"/>
        <w:spacing w:line="440" w:lineRule="exact"/>
        <w:rPr>
          <w:rFonts w:ascii="仿宋" w:hAnsi="仿宋" w:eastAsia="仿宋" w:cs="宋体"/>
          <w:b/>
          <w:color w:val="auto"/>
          <w:sz w:val="24"/>
          <w:highlight w:val="none"/>
        </w:rPr>
      </w:pPr>
      <w:r>
        <w:rPr>
          <w:rFonts w:hint="eastAsia" w:ascii="仿宋" w:hAnsi="仿宋" w:eastAsia="仿宋" w:cs="宋体"/>
          <w:b/>
          <w:color w:val="auto"/>
          <w:sz w:val="24"/>
          <w:highlight w:val="none"/>
        </w:rPr>
        <w:t xml:space="preserve">   十二、验收</w:t>
      </w:r>
    </w:p>
    <w:p>
      <w:pPr>
        <w:tabs>
          <w:tab w:val="left" w:pos="0"/>
        </w:tabs>
        <w:spacing w:line="360" w:lineRule="auto"/>
        <w:ind w:firstLine="480"/>
        <w:rPr>
          <w:rFonts w:ascii="仿宋" w:hAnsi="仿宋" w:eastAsia="仿宋" w:cs="Helvetica"/>
          <w:color w:val="auto"/>
          <w:kern w:val="0"/>
          <w:sz w:val="24"/>
          <w:highlight w:val="none"/>
        </w:rPr>
      </w:pPr>
      <w:r>
        <w:rPr>
          <w:rFonts w:ascii="仿宋" w:hAnsi="仿宋" w:eastAsia="仿宋" w:cs="Helvetica"/>
          <w:color w:val="auto"/>
          <w:kern w:val="0"/>
          <w:sz w:val="24"/>
          <w:highlight w:val="none"/>
        </w:rPr>
        <w:t>1</w:t>
      </w:r>
      <w:r>
        <w:rPr>
          <w:rFonts w:hint="eastAsia" w:ascii="仿宋" w:hAnsi="仿宋" w:eastAsia="仿宋" w:cs="Helvetica"/>
          <w:color w:val="auto"/>
          <w:kern w:val="0"/>
          <w:sz w:val="24"/>
          <w:highlight w:val="none"/>
        </w:rPr>
        <w:t>、</w:t>
      </w:r>
      <w:r>
        <w:rPr>
          <w:rFonts w:ascii="仿宋" w:hAnsi="仿宋" w:eastAsia="仿宋" w:cs="Helvetica"/>
          <w:color w:val="auto"/>
          <w:kern w:val="0"/>
          <w:sz w:val="24"/>
          <w:highlight w:val="none"/>
        </w:rPr>
        <w:t>甲方组织对乙方履约的验收。大型或者复杂的政府采购项目，应当邀请国家认可的质量检测机构参加验收工作。验收方成员应当在验收书上签字，并承担相应的法律责任。如果发现与合同中要求不符，乙方须承担由此发生的一切损失和费用，并接受相应的处理。</w:t>
      </w:r>
    </w:p>
    <w:p>
      <w:pPr>
        <w:tabs>
          <w:tab w:val="left" w:pos="0"/>
        </w:tabs>
        <w:spacing w:line="360" w:lineRule="auto"/>
        <w:ind w:firstLine="480"/>
        <w:rPr>
          <w:rFonts w:ascii="仿宋" w:hAnsi="仿宋" w:eastAsia="仿宋" w:cs="Helvetica"/>
          <w:color w:val="auto"/>
          <w:kern w:val="0"/>
          <w:sz w:val="24"/>
          <w:highlight w:val="none"/>
        </w:rPr>
      </w:pPr>
      <w:r>
        <w:rPr>
          <w:rFonts w:ascii="仿宋" w:hAnsi="仿宋" w:eastAsia="仿宋" w:cs="Helvetica"/>
          <w:color w:val="auto"/>
          <w:kern w:val="0"/>
          <w:sz w:val="24"/>
          <w:highlight w:val="none"/>
        </w:rPr>
        <w:t>2</w:t>
      </w:r>
      <w:r>
        <w:rPr>
          <w:rFonts w:hint="eastAsia" w:ascii="仿宋" w:hAnsi="仿宋" w:eastAsia="仿宋" w:cs="Helvetica"/>
          <w:color w:val="auto"/>
          <w:kern w:val="0"/>
          <w:sz w:val="24"/>
          <w:highlight w:val="none"/>
        </w:rPr>
        <w:t>、</w:t>
      </w:r>
      <w:r>
        <w:rPr>
          <w:rFonts w:ascii="仿宋" w:hAnsi="仿宋" w:eastAsia="仿宋" w:cs="Helvetica"/>
          <w:color w:val="auto"/>
          <w:kern w:val="0"/>
          <w:sz w:val="24"/>
          <w:highlight w:val="none"/>
        </w:rPr>
        <w:t>甲方可以邀请参加本项目的其他投标人或者第三方机构参与验收。参与验收的投标人或者第三方机构的意见作为</w:t>
      </w:r>
      <w:r>
        <w:rPr>
          <w:rFonts w:hint="eastAsia" w:ascii="仿宋" w:hAnsi="仿宋" w:eastAsia="仿宋" w:cs="Helvetica"/>
          <w:color w:val="auto"/>
          <w:kern w:val="0"/>
          <w:sz w:val="24"/>
          <w:highlight w:val="none"/>
        </w:rPr>
        <w:t>验收书的参考资料一并存档。</w:t>
      </w:r>
    </w:p>
    <w:p>
      <w:pPr>
        <w:tabs>
          <w:tab w:val="left" w:pos="0"/>
        </w:tabs>
        <w:spacing w:line="360" w:lineRule="auto"/>
        <w:ind w:firstLine="480"/>
        <w:rPr>
          <w:rFonts w:ascii="仿宋" w:hAnsi="仿宋" w:eastAsia="仿宋" w:cs="Helvetica"/>
          <w:color w:val="auto"/>
          <w:kern w:val="0"/>
          <w:sz w:val="24"/>
          <w:highlight w:val="none"/>
        </w:rPr>
      </w:pPr>
      <w:r>
        <w:rPr>
          <w:rFonts w:ascii="仿宋" w:hAnsi="仿宋" w:eastAsia="仿宋" w:cs="Helvetica"/>
          <w:color w:val="auto"/>
          <w:kern w:val="0"/>
          <w:sz w:val="24"/>
          <w:highlight w:val="none"/>
        </w:rPr>
        <w:t>3</w:t>
      </w:r>
      <w:r>
        <w:rPr>
          <w:rFonts w:hint="eastAsia" w:ascii="仿宋" w:hAnsi="仿宋" w:eastAsia="仿宋" w:cs="Helvetica"/>
          <w:color w:val="auto"/>
          <w:kern w:val="0"/>
          <w:sz w:val="24"/>
          <w:highlight w:val="none"/>
        </w:rPr>
        <w:t>、</w:t>
      </w:r>
      <w:r>
        <w:rPr>
          <w:rFonts w:ascii="仿宋" w:hAnsi="仿宋" w:eastAsia="仿宋" w:cs="Helvetica"/>
          <w:color w:val="auto"/>
          <w:kern w:val="0"/>
          <w:sz w:val="24"/>
          <w:highlight w:val="none"/>
        </w:rPr>
        <w:t>严格按照采购合同开展履约验收。甲方成立验收小组，按照采购合同的约定对乙方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Helvetica"/>
          <w:color w:val="auto"/>
          <w:kern w:val="0"/>
          <w:sz w:val="24"/>
          <w:highlight w:val="none"/>
        </w:rPr>
      </w:pPr>
      <w:r>
        <w:rPr>
          <w:rFonts w:ascii="仿宋" w:hAnsi="仿宋" w:eastAsia="仿宋" w:cs="Helvetica"/>
          <w:color w:val="auto"/>
          <w:kern w:val="0"/>
          <w:sz w:val="24"/>
          <w:highlight w:val="none"/>
        </w:rPr>
        <w:t>4</w:t>
      </w:r>
      <w:r>
        <w:rPr>
          <w:rFonts w:hint="eastAsia" w:ascii="仿宋" w:hAnsi="仿宋" w:eastAsia="仿宋" w:cs="Helvetica"/>
          <w:color w:val="auto"/>
          <w:kern w:val="0"/>
          <w:sz w:val="24"/>
          <w:highlight w:val="none"/>
        </w:rPr>
        <w:t>、</w:t>
      </w:r>
      <w:r>
        <w:rPr>
          <w:rFonts w:ascii="仿宋" w:hAnsi="仿宋" w:eastAsia="仿宋" w:cs="Helvetica"/>
          <w:color w:val="auto"/>
          <w:kern w:val="0"/>
          <w:sz w:val="24"/>
          <w:highlight w:val="none"/>
        </w:rPr>
        <w:t>验收合格的项目，甲方将根据采购合同的约定及时向乙方支付采购资金、退还履约保证金。验收不合格的项目，甲方将依法及时处理。采购合同的履行、违约责任和解决争议的方式等适用《中华人民共和国民法典》。乙方在履约过程中有政府采购法律法规规定的违法违规情形的，甲方应当及时报告本级财政部门。</w:t>
      </w:r>
    </w:p>
    <w:p>
      <w:pPr>
        <w:snapToGrid w:val="0"/>
        <w:spacing w:line="440" w:lineRule="exact"/>
        <w:ind w:firstLine="354" w:firstLineChars="147"/>
        <w:rPr>
          <w:rFonts w:ascii="仿宋" w:hAnsi="仿宋" w:eastAsia="仿宋" w:cs="宋体"/>
          <w:b/>
          <w:color w:val="auto"/>
          <w:sz w:val="24"/>
          <w:highlight w:val="none"/>
        </w:rPr>
      </w:pPr>
      <w:r>
        <w:rPr>
          <w:rFonts w:hint="eastAsia" w:ascii="仿宋" w:hAnsi="仿宋" w:eastAsia="仿宋" w:cs="宋体"/>
          <w:b/>
          <w:color w:val="auto"/>
          <w:sz w:val="24"/>
          <w:highlight w:val="none"/>
        </w:rPr>
        <w:t>十三、违约责任</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1、甲方无故逾期验收和办理货款支付手续的，经乙方通知后仍拒收货物的，每逾期一日，应按应支付合同价款银行同期贷款利息支付违约金。</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2、乙方逾期交付货物的，乙方应按逾期交货总额每日千分之一向甲方支付违约金，由甲方从待付货款中扣除。逾期超过约定日期10个工作日不能交货的，甲方可解除本合同。乙方因逾期交货或因其他违约行为导致甲方解除合同的，乙方应向甲方支付合同总值20%的违约金，如造成甲方损失超过违约金的，超出部分由乙方继续承担赔偿责任。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3、乙方所交的货物品种、型号、规格、技术参数、质量不符合合同规定及招标文件规定标准的，甲方有权拒收该货物，乙方愿意更换货物但逾期交货的，按乙方逾期交货处理。乙方拒绝更换货物的，甲方可单方面解除合同。</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4、经验收不合格，甲方有权拒绝付款及退货，要求乙方采取更换货物等整改措施，所产生的所有损失由乙方承担。乙方无法整改的，甲方有权解除合同，没收履约保证金，要求乙方支付合同价款20%的违约金，并赔偿损失。</w:t>
      </w:r>
    </w:p>
    <w:p>
      <w:pPr>
        <w:snapToGrid w:val="0"/>
        <w:spacing w:line="440" w:lineRule="exact"/>
        <w:ind w:firstLine="354" w:firstLineChars="147"/>
        <w:rPr>
          <w:rFonts w:ascii="仿宋" w:hAnsi="仿宋" w:eastAsia="仿宋" w:cs="宋体"/>
          <w:b/>
          <w:color w:val="auto"/>
          <w:sz w:val="24"/>
          <w:highlight w:val="none"/>
        </w:rPr>
      </w:pPr>
      <w:r>
        <w:rPr>
          <w:rFonts w:hint="eastAsia" w:ascii="仿宋" w:hAnsi="仿宋" w:eastAsia="仿宋" w:cs="宋体"/>
          <w:b/>
          <w:color w:val="auto"/>
          <w:sz w:val="24"/>
          <w:highlight w:val="none"/>
        </w:rPr>
        <w:t>十四、不可抗力事件处理</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1、在合同有效期内，任何一方因不可抗力事件导致不能履行合同，则合同履行期可延长，其延长期与不可抗力影响期相同。</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2、不可抗力事件发生后，应立即通知对方，并寄送有关权威机构出具的证明。</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3、不可抗力事件延续120天以上，双方应通过友好协商，确定是否继续履行合同。</w:t>
      </w:r>
    </w:p>
    <w:p>
      <w:pPr>
        <w:snapToGrid w:val="0"/>
        <w:spacing w:line="440" w:lineRule="exact"/>
        <w:ind w:firstLine="354" w:firstLineChars="147"/>
        <w:rPr>
          <w:rFonts w:ascii="仿宋" w:hAnsi="仿宋" w:eastAsia="仿宋" w:cs="宋体"/>
          <w:b/>
          <w:color w:val="auto"/>
          <w:sz w:val="24"/>
          <w:highlight w:val="none"/>
        </w:rPr>
      </w:pPr>
      <w:r>
        <w:rPr>
          <w:rFonts w:hint="eastAsia" w:ascii="仿宋" w:hAnsi="仿宋" w:eastAsia="仿宋" w:cs="宋体"/>
          <w:b/>
          <w:color w:val="auto"/>
          <w:sz w:val="24"/>
          <w:highlight w:val="none"/>
        </w:rPr>
        <w:t>十五、诉讼</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双方在执行合同中所发生的一切争议，应通过协商解决。如协商不成，可向甲方所在地法院起诉。</w:t>
      </w:r>
    </w:p>
    <w:p>
      <w:pPr>
        <w:snapToGrid w:val="0"/>
        <w:spacing w:line="440" w:lineRule="exact"/>
        <w:ind w:firstLine="354" w:firstLineChars="147"/>
        <w:rPr>
          <w:rFonts w:ascii="仿宋" w:hAnsi="仿宋" w:eastAsia="仿宋" w:cs="宋体"/>
          <w:b/>
          <w:color w:val="auto"/>
          <w:sz w:val="24"/>
          <w:highlight w:val="none"/>
        </w:rPr>
      </w:pPr>
      <w:r>
        <w:rPr>
          <w:rFonts w:hint="eastAsia" w:ascii="仿宋" w:hAnsi="仿宋" w:eastAsia="仿宋" w:cs="宋体"/>
          <w:b/>
          <w:color w:val="auto"/>
          <w:sz w:val="24"/>
          <w:highlight w:val="none"/>
        </w:rPr>
        <w:t>十六、合同生效及其它</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1、招标文件、投标文件、更正公告、中标通知书、承诺函等均作为本合同组成部分，具有同等效力。</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2、合同经双方法定代表人或其授权代表签字并加盖单位公章后方可生效。</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3、合同执行中涉及采购资金和采购内容修改或补充的，须经财政部门审批，并签书面补充协议报政府采购监督管理部门备案，作为主合同不可分割的一部分。</w:t>
      </w:r>
    </w:p>
    <w:p>
      <w:pPr>
        <w:pStyle w:val="32"/>
        <w:snapToGrid w:val="0"/>
        <w:spacing w:line="400" w:lineRule="atLeast"/>
        <w:ind w:firstLine="410" w:firstLineChars="171"/>
        <w:rPr>
          <w:rFonts w:ascii="仿宋" w:hAnsi="仿宋" w:eastAsia="仿宋"/>
          <w:color w:val="auto"/>
          <w:sz w:val="24"/>
          <w:szCs w:val="24"/>
          <w:highlight w:val="none"/>
        </w:rPr>
      </w:pPr>
      <w:r>
        <w:rPr>
          <w:rFonts w:hint="eastAsia" w:ascii="仿宋" w:hAnsi="仿宋" w:eastAsia="仿宋" w:cs="宋体"/>
          <w:bCs/>
          <w:color w:val="auto"/>
          <w:sz w:val="24"/>
          <w:szCs w:val="24"/>
          <w:highlight w:val="none"/>
        </w:rPr>
        <w:t>4、</w:t>
      </w:r>
      <w:r>
        <w:rPr>
          <w:rFonts w:ascii="仿宋" w:hAnsi="仿宋" w:eastAsia="仿宋"/>
          <w:color w:val="auto"/>
          <w:sz w:val="24"/>
          <w:szCs w:val="24"/>
          <w:highlight w:val="none"/>
          <w:lang w:val="zh-CN"/>
        </w:rPr>
        <w:t>本合同</w:t>
      </w:r>
      <w:r>
        <w:rPr>
          <w:rFonts w:ascii="仿宋" w:hAnsi="仿宋" w:eastAsia="仿宋"/>
          <w:color w:val="auto"/>
          <w:sz w:val="24"/>
          <w:szCs w:val="24"/>
          <w:highlight w:val="none"/>
        </w:rPr>
        <w:t>（□是  □</w:t>
      </w:r>
      <w:r>
        <w:rPr>
          <w:rFonts w:ascii="仿宋" w:hAnsi="仿宋" w:eastAsia="仿宋"/>
          <w:color w:val="auto"/>
          <w:sz w:val="24"/>
          <w:szCs w:val="24"/>
          <w:highlight w:val="none"/>
          <w:lang w:val="zh-CN"/>
        </w:rPr>
        <w:t>否</w:t>
      </w:r>
      <w:r>
        <w:rPr>
          <w:rFonts w:ascii="仿宋" w:hAnsi="仿宋" w:eastAsia="仿宋"/>
          <w:color w:val="auto"/>
          <w:sz w:val="24"/>
          <w:szCs w:val="24"/>
          <w:highlight w:val="none"/>
        </w:rPr>
        <w:t>）</w:t>
      </w:r>
      <w:r>
        <w:rPr>
          <w:rFonts w:ascii="仿宋" w:hAnsi="仿宋" w:eastAsia="仿宋"/>
          <w:color w:val="auto"/>
          <w:sz w:val="24"/>
          <w:szCs w:val="24"/>
          <w:highlight w:val="none"/>
          <w:lang w:val="zh-CN"/>
        </w:rPr>
        <w:t>为可融资合同</w:t>
      </w:r>
      <w:r>
        <w:rPr>
          <w:rFonts w:ascii="仿宋" w:hAnsi="仿宋" w:eastAsia="仿宋"/>
          <w:color w:val="auto"/>
          <w:sz w:val="24"/>
          <w:szCs w:val="24"/>
          <w:highlight w:val="none"/>
        </w:rPr>
        <w:t>，</w:t>
      </w:r>
      <w:r>
        <w:rPr>
          <w:rFonts w:ascii="仿宋" w:hAnsi="仿宋" w:eastAsia="仿宋"/>
          <w:color w:val="auto"/>
          <w:sz w:val="24"/>
          <w:szCs w:val="24"/>
          <w:highlight w:val="none"/>
          <w:lang w:val="zh-CN"/>
        </w:rPr>
        <w:t>关于中小企业信用融资事项</w:t>
      </w:r>
      <w:r>
        <w:rPr>
          <w:rFonts w:ascii="仿宋" w:hAnsi="仿宋" w:eastAsia="仿宋"/>
          <w:color w:val="auto"/>
          <w:sz w:val="24"/>
          <w:szCs w:val="24"/>
          <w:highlight w:val="none"/>
        </w:rPr>
        <w:t>可</w:t>
      </w:r>
      <w:r>
        <w:rPr>
          <w:rFonts w:hint="eastAsia" w:ascii="仿宋" w:hAnsi="仿宋" w:eastAsia="仿宋"/>
          <w:color w:val="auto"/>
          <w:sz w:val="24"/>
          <w:szCs w:val="24"/>
          <w:highlight w:val="none"/>
        </w:rPr>
        <w:t>参见</w:t>
      </w:r>
      <w:r>
        <w:rPr>
          <w:rFonts w:hint="eastAsia" w:ascii="仿宋" w:hAnsi="仿宋" w:eastAsia="仿宋" w:cs="宋体"/>
          <w:color w:val="auto"/>
          <w:sz w:val="24"/>
          <w:szCs w:val="24"/>
          <w:highlight w:val="none"/>
        </w:rPr>
        <w:t>《余杭区政府采购支持中小企业信用融资暂行办法》（余财采〔2015〕1号）</w:t>
      </w:r>
      <w:r>
        <w:rPr>
          <w:rFonts w:ascii="仿宋" w:hAnsi="仿宋" w:eastAsia="仿宋"/>
          <w:color w:val="auto"/>
          <w:sz w:val="24"/>
          <w:szCs w:val="24"/>
          <w:highlight w:val="none"/>
        </w:rPr>
        <w:t>进行查询。</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5、本合同未尽事宜，遵照《民法典》有关条文执行。</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6、本合同一式多份，具有同等法律效力，甲乙双方、区财政局采购监管科、验收单位，各执一份。 </w:t>
      </w:r>
    </w:p>
    <w:p>
      <w:pPr>
        <w:snapToGrid w:val="0"/>
        <w:spacing w:line="440" w:lineRule="exact"/>
        <w:ind w:firstLine="352" w:firstLineChars="147"/>
        <w:rPr>
          <w:rFonts w:ascii="仿宋" w:hAnsi="仿宋" w:eastAsia="仿宋" w:cs="宋体"/>
          <w:bCs/>
          <w:color w:val="auto"/>
          <w:sz w:val="24"/>
          <w:highlight w:val="none"/>
        </w:rPr>
      </w:pP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甲方（盖章）：                         乙方（盖章）：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法定代表人：                           法定代表人：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或授权代表（签字）：                   或授权代表（签字）：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地址：                                 地址：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邮编：                                 邮编：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电话：                                 电话：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传真：                                 传真：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开户银行：                             开户银行：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帐号：                                 帐号：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 </w:t>
      </w:r>
    </w:p>
    <w:p>
      <w:pPr>
        <w:snapToGrid w:val="0"/>
        <w:spacing w:line="440" w:lineRule="exact"/>
        <w:ind w:firstLine="352" w:firstLineChars="147"/>
        <w:rPr>
          <w:rFonts w:ascii="仿宋" w:hAnsi="仿宋" w:eastAsia="仿宋" w:cs="宋体"/>
          <w:bCs/>
          <w:color w:val="auto"/>
          <w:sz w:val="24"/>
          <w:highlight w:val="none"/>
        </w:rPr>
      </w:pPr>
      <w:r>
        <w:rPr>
          <w:rFonts w:hint="eastAsia" w:ascii="仿宋" w:hAnsi="仿宋" w:eastAsia="仿宋" w:cs="宋体"/>
          <w:bCs/>
          <w:color w:val="auto"/>
          <w:sz w:val="24"/>
          <w:highlight w:val="none"/>
        </w:rPr>
        <w:t xml:space="preserve">                                         </w:t>
      </w:r>
    </w:p>
    <w:p>
      <w:pPr>
        <w:snapToGrid w:val="0"/>
        <w:spacing w:line="440" w:lineRule="exact"/>
        <w:ind w:firstLine="352" w:firstLineChars="147"/>
        <w:rPr>
          <w:rFonts w:ascii="仿宋" w:hAnsi="仿宋" w:eastAsia="仿宋" w:cs="宋体"/>
          <w:bCs/>
          <w:color w:val="auto"/>
          <w:sz w:val="24"/>
          <w:highlight w:val="none"/>
        </w:rPr>
      </w:pPr>
    </w:p>
    <w:p>
      <w:pPr>
        <w:snapToGrid w:val="0"/>
        <w:spacing w:line="440" w:lineRule="exact"/>
        <w:ind w:firstLine="352" w:firstLineChars="147"/>
        <w:rPr>
          <w:rFonts w:ascii="仿宋" w:hAnsi="仿宋" w:eastAsia="仿宋" w:cs="宋体"/>
          <w:bCs/>
          <w:color w:val="auto"/>
          <w:sz w:val="24"/>
          <w:highlight w:val="none"/>
        </w:rPr>
      </w:pPr>
    </w:p>
    <w:p>
      <w:pPr>
        <w:snapToGrid w:val="0"/>
        <w:spacing w:line="440" w:lineRule="exact"/>
        <w:ind w:firstLine="352" w:firstLineChars="147"/>
        <w:jc w:val="right"/>
        <w:rPr>
          <w:rFonts w:ascii="仿宋" w:hAnsi="仿宋" w:eastAsia="仿宋" w:cs="宋体"/>
          <w:bCs/>
          <w:color w:val="auto"/>
          <w:sz w:val="24"/>
          <w:highlight w:val="none"/>
        </w:rPr>
      </w:pPr>
      <w:r>
        <w:rPr>
          <w:rFonts w:hint="eastAsia" w:ascii="仿宋" w:hAnsi="仿宋" w:eastAsia="仿宋" w:cs="宋体"/>
          <w:bCs/>
          <w:color w:val="auto"/>
          <w:sz w:val="24"/>
          <w:highlight w:val="none"/>
        </w:rPr>
        <w:t>签约时间：      年    月   日</w:t>
      </w:r>
    </w:p>
    <w:p>
      <w:pPr>
        <w:wordWrap w:val="0"/>
        <w:spacing w:line="360" w:lineRule="auto"/>
        <w:jc w:val="right"/>
        <w:rPr>
          <w:rFonts w:ascii="仿宋" w:hAnsi="仿宋" w:eastAsia="仿宋"/>
          <w:color w:val="auto"/>
          <w:sz w:val="24"/>
          <w:highlight w:val="none"/>
        </w:rPr>
      </w:pPr>
      <w:r>
        <w:rPr>
          <w:rFonts w:hint="eastAsia" w:ascii="仿宋" w:hAnsi="仿宋" w:eastAsia="仿宋" w:cs="宋体"/>
          <w:bCs/>
          <w:color w:val="auto"/>
          <w:sz w:val="24"/>
          <w:highlight w:val="none"/>
        </w:rPr>
        <w:t xml:space="preserve">                       </w:t>
      </w:r>
      <w:r>
        <w:rPr>
          <w:rFonts w:ascii="仿宋" w:hAnsi="仿宋" w:eastAsia="仿宋" w:cs="宋体"/>
          <w:bCs/>
          <w:color w:val="auto"/>
          <w:sz w:val="24"/>
          <w:highlight w:val="none"/>
        </w:rPr>
        <w:t xml:space="preserve">   </w:t>
      </w:r>
      <w:r>
        <w:rPr>
          <w:rFonts w:hint="eastAsia" w:ascii="仿宋" w:hAnsi="仿宋" w:eastAsia="仿宋" w:cs="宋体"/>
          <w:bCs/>
          <w:color w:val="auto"/>
          <w:sz w:val="24"/>
          <w:highlight w:val="none"/>
        </w:rPr>
        <w:t xml:space="preserve"> </w:t>
      </w:r>
      <w:r>
        <w:rPr>
          <w:rFonts w:ascii="仿宋" w:hAnsi="仿宋" w:eastAsia="仿宋" w:cs="宋体"/>
          <w:bCs/>
          <w:color w:val="auto"/>
          <w:sz w:val="24"/>
          <w:highlight w:val="none"/>
        </w:rPr>
        <w:t xml:space="preserve">             </w:t>
      </w:r>
      <w:r>
        <w:rPr>
          <w:rFonts w:hint="eastAsia" w:ascii="仿宋" w:hAnsi="仿宋" w:eastAsia="仿宋" w:cs="宋体"/>
          <w:bCs/>
          <w:color w:val="auto"/>
          <w:sz w:val="24"/>
          <w:highlight w:val="none"/>
        </w:rPr>
        <w:t xml:space="preserve">签约地点：             </w:t>
      </w:r>
      <w:r>
        <w:rPr>
          <w:rFonts w:hint="eastAsia" w:ascii="仿宋" w:hAnsi="仿宋" w:eastAsia="仿宋"/>
          <w:color w:val="auto"/>
          <w:sz w:val="24"/>
          <w:highlight w:val="none"/>
        </w:rPr>
        <w:t xml:space="preserve">                 </w:t>
      </w:r>
    </w:p>
    <w:p>
      <w:pPr>
        <w:pStyle w:val="3"/>
        <w:rPr>
          <w:rFonts w:ascii="仿宋" w:hAnsi="仿宋" w:eastAsia="仿宋"/>
          <w:color w:val="auto"/>
          <w:kern w:val="2"/>
          <w:sz w:val="24"/>
          <w:szCs w:val="24"/>
          <w:highlight w:val="none"/>
        </w:rPr>
      </w:pPr>
      <w:bookmarkStart w:id="565" w:name="_Toc339872468"/>
      <w:bookmarkStart w:id="566" w:name="_Toc328381300"/>
      <w:bookmarkStart w:id="567" w:name="_Toc868"/>
      <w:bookmarkStart w:id="568" w:name="_Toc326765771"/>
      <w:bookmarkStart w:id="569" w:name="_Toc350327365"/>
      <w:bookmarkStart w:id="570" w:name="_Toc349721554"/>
      <w:r>
        <w:rPr>
          <w:rFonts w:hint="eastAsia" w:ascii="仿宋" w:hAnsi="仿宋" w:eastAsia="仿宋"/>
          <w:color w:val="auto"/>
          <w:sz w:val="24"/>
          <w:szCs w:val="24"/>
          <w:highlight w:val="none"/>
        </w:rPr>
        <w:t>★ 此仅为合同书样本，中标单位需根据实际情况和采购人签订相应的合同！</w:t>
      </w:r>
      <w:bookmarkEnd w:id="565"/>
      <w:bookmarkEnd w:id="566"/>
      <w:bookmarkEnd w:id="567"/>
      <w:bookmarkEnd w:id="568"/>
      <w:bookmarkEnd w:id="569"/>
      <w:bookmarkEnd w:id="570"/>
    </w:p>
    <w:p>
      <w:pPr>
        <w:snapToGrid w:val="0"/>
        <w:spacing w:line="360" w:lineRule="auto"/>
        <w:rPr>
          <w:rFonts w:ascii="仿宋" w:hAnsi="仿宋" w:eastAsia="仿宋"/>
          <w:color w:val="auto"/>
          <w:highlight w:val="none"/>
        </w:rPr>
      </w:pPr>
    </w:p>
    <w:p>
      <w:pPr>
        <w:tabs>
          <w:tab w:val="left" w:pos="432"/>
        </w:tabs>
        <w:snapToGrid w:val="0"/>
        <w:spacing w:line="360" w:lineRule="auto"/>
        <w:rPr>
          <w:rFonts w:ascii="仿宋" w:hAnsi="仿宋" w:eastAsia="仿宋"/>
          <w:color w:val="auto"/>
          <w:highlight w:val="none"/>
        </w:rPr>
      </w:pPr>
    </w:p>
    <w:p>
      <w:pPr>
        <w:snapToGrid w:val="0"/>
        <w:spacing w:line="360" w:lineRule="auto"/>
        <w:rPr>
          <w:rFonts w:ascii="仿宋" w:hAnsi="仿宋" w:eastAsia="仿宋"/>
          <w:color w:val="auto"/>
          <w:highlight w:val="none"/>
        </w:rPr>
      </w:pPr>
    </w:p>
    <w:p>
      <w:pPr>
        <w:pageBreakBefore/>
        <w:snapToGrid w:val="0"/>
        <w:spacing w:line="360" w:lineRule="auto"/>
        <w:jc w:val="center"/>
        <w:outlineLvl w:val="0"/>
        <w:rPr>
          <w:rFonts w:ascii="仿宋" w:hAnsi="仿宋" w:eastAsia="仿宋" w:cs="仿宋_GB2312"/>
          <w:b/>
          <w:color w:val="auto"/>
          <w:sz w:val="36"/>
          <w:szCs w:val="20"/>
          <w:highlight w:val="none"/>
        </w:rPr>
      </w:pPr>
      <w:bookmarkStart w:id="571" w:name="_Toc377774437"/>
      <w:bookmarkStart w:id="572" w:name="_Toc95313008"/>
      <w:bookmarkStart w:id="573" w:name="_Toc1750"/>
      <w:bookmarkStart w:id="574" w:name="_Toc1239599411"/>
      <w:bookmarkStart w:id="575" w:name="_Toc25786"/>
      <w:r>
        <w:rPr>
          <w:rFonts w:hint="eastAsia" w:ascii="仿宋" w:hAnsi="仿宋" w:eastAsia="仿宋" w:cs="仿宋_GB2312"/>
          <w:b/>
          <w:color w:val="auto"/>
          <w:sz w:val="36"/>
          <w:szCs w:val="20"/>
          <w:highlight w:val="none"/>
        </w:rPr>
        <w:t>第六部分</w:t>
      </w:r>
      <w:bookmarkEnd w:id="558"/>
      <w:r>
        <w:rPr>
          <w:rFonts w:ascii="仿宋" w:hAnsi="仿宋" w:eastAsia="仿宋" w:cs="仿宋_GB2312"/>
          <w:b/>
          <w:color w:val="auto"/>
          <w:sz w:val="36"/>
          <w:szCs w:val="20"/>
          <w:highlight w:val="none"/>
        </w:rPr>
        <w:t xml:space="preserve"> </w:t>
      </w:r>
      <w:bookmarkEnd w:id="559"/>
      <w:r>
        <w:rPr>
          <w:rFonts w:hint="eastAsia" w:ascii="仿宋" w:hAnsi="仿宋" w:eastAsia="仿宋" w:cs="仿宋_GB2312"/>
          <w:b/>
          <w:color w:val="auto"/>
          <w:sz w:val="36"/>
          <w:szCs w:val="20"/>
          <w:highlight w:val="none"/>
        </w:rPr>
        <w:t>应提交的有关格式范例</w:t>
      </w:r>
      <w:bookmarkEnd w:id="571"/>
      <w:bookmarkEnd w:id="572"/>
      <w:bookmarkEnd w:id="573"/>
      <w:bookmarkEnd w:id="574"/>
      <w:bookmarkEnd w:id="575"/>
    </w:p>
    <w:p>
      <w:pPr>
        <w:snapToGrid w:val="0"/>
        <w:spacing w:line="360" w:lineRule="auto"/>
        <w:jc w:val="center"/>
        <w:rPr>
          <w:rFonts w:ascii="仿宋" w:hAnsi="仿宋" w:eastAsia="仿宋" w:cs="仿宋_GB2312"/>
          <w:b/>
          <w:color w:val="auto"/>
          <w:kern w:val="0"/>
          <w:sz w:val="36"/>
          <w:szCs w:val="36"/>
          <w:highlight w:val="none"/>
        </w:rPr>
      </w:pPr>
    </w:p>
    <w:p>
      <w:pPr>
        <w:snapToGrid w:val="0"/>
        <w:spacing w:line="360" w:lineRule="auto"/>
        <w:jc w:val="center"/>
        <w:outlineLvl w:val="1"/>
        <w:rPr>
          <w:rFonts w:ascii="仿宋" w:hAnsi="仿宋" w:eastAsia="仿宋" w:cs="仿宋_GB2312"/>
          <w:b/>
          <w:color w:val="auto"/>
          <w:kern w:val="0"/>
          <w:sz w:val="36"/>
          <w:szCs w:val="36"/>
          <w:highlight w:val="none"/>
        </w:rPr>
      </w:pPr>
      <w:bookmarkStart w:id="576" w:name="_Toc95313009"/>
      <w:bookmarkStart w:id="577" w:name="_Toc21599"/>
      <w:bookmarkStart w:id="578" w:name="_Toc1293302127"/>
      <w:bookmarkStart w:id="579" w:name="_Toc1208441130"/>
      <w:bookmarkStart w:id="580" w:name="_Toc7821"/>
      <w:r>
        <w:rPr>
          <w:rFonts w:hint="eastAsia" w:ascii="仿宋" w:hAnsi="仿宋" w:eastAsia="仿宋" w:cs="仿宋_GB2312"/>
          <w:b/>
          <w:color w:val="auto"/>
          <w:kern w:val="0"/>
          <w:sz w:val="36"/>
          <w:szCs w:val="36"/>
          <w:highlight w:val="none"/>
        </w:rPr>
        <w:t>资格文件部分</w:t>
      </w:r>
      <w:bookmarkEnd w:id="576"/>
      <w:bookmarkEnd w:id="577"/>
      <w:bookmarkEnd w:id="578"/>
      <w:bookmarkEnd w:id="579"/>
      <w:bookmarkEnd w:id="580"/>
    </w:p>
    <w:p>
      <w:pPr>
        <w:snapToGrid w:val="0"/>
        <w:spacing w:line="360" w:lineRule="auto"/>
        <w:jc w:val="center"/>
        <w:rPr>
          <w:rFonts w:ascii="仿宋" w:hAnsi="仿宋" w:eastAsia="仿宋" w:cs="仿宋_GB2312"/>
          <w:b/>
          <w:color w:val="auto"/>
          <w:kern w:val="0"/>
          <w:sz w:val="36"/>
          <w:szCs w:val="36"/>
          <w:highlight w:val="none"/>
        </w:rPr>
      </w:pPr>
      <w:r>
        <w:rPr>
          <w:rFonts w:hint="eastAsia" w:ascii="仿宋" w:hAnsi="仿宋" w:eastAsia="仿宋" w:cs="仿宋_GB2312"/>
          <w:b/>
          <w:color w:val="auto"/>
          <w:kern w:val="0"/>
          <w:sz w:val="36"/>
          <w:szCs w:val="36"/>
          <w:highlight w:val="none"/>
        </w:rPr>
        <w:t>目录</w:t>
      </w:r>
    </w:p>
    <w:p>
      <w:pPr>
        <w:snapToGrid w:val="0"/>
        <w:spacing w:line="360" w:lineRule="auto"/>
        <w:jc w:val="center"/>
        <w:rPr>
          <w:rFonts w:ascii="仿宋" w:hAnsi="仿宋" w:eastAsia="仿宋" w:cs="仿宋_GB2312"/>
          <w:b/>
          <w:color w:val="auto"/>
          <w:kern w:val="0"/>
          <w:sz w:val="36"/>
          <w:szCs w:val="36"/>
          <w:highlight w:val="none"/>
        </w:rPr>
      </w:pPr>
    </w:p>
    <w:p>
      <w:pPr>
        <w:snapToGrid w:val="0"/>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w:t>
      </w:r>
      <w:r>
        <w:rPr>
          <w:rFonts w:ascii="仿宋" w:hAnsi="仿宋" w:eastAsia="仿宋" w:cs="仿宋_GB2312"/>
          <w:color w:val="auto"/>
          <w:sz w:val="24"/>
          <w:highlight w:val="none"/>
        </w:rPr>
        <w:t>1）符合参加政府采购活动应当具备的一般条件的承诺函……</w:t>
      </w:r>
      <w:r>
        <w:rPr>
          <w:rFonts w:hint="eastAsia" w:ascii="仿宋" w:hAnsi="仿宋" w:eastAsia="仿宋" w:cs="仿宋_GB2312"/>
          <w:color w:val="auto"/>
          <w:sz w:val="24"/>
          <w:highlight w:val="none"/>
        </w:rPr>
        <w:t>………（页码）</w:t>
      </w:r>
    </w:p>
    <w:p>
      <w:pPr>
        <w:snapToGrid w:val="0"/>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w:t>
      </w:r>
      <w:r>
        <w:rPr>
          <w:rFonts w:ascii="仿宋" w:hAnsi="仿宋" w:eastAsia="仿宋" w:cs="仿宋_GB2312"/>
          <w:color w:val="auto"/>
          <w:sz w:val="24"/>
          <w:highlight w:val="none"/>
        </w:rPr>
        <w:t>2）落实政府采购政策需满足的资格要求……</w:t>
      </w:r>
      <w:r>
        <w:rPr>
          <w:rFonts w:hint="eastAsia" w:ascii="仿宋" w:hAnsi="仿宋" w:eastAsia="仿宋" w:cs="仿宋_GB2312"/>
          <w:color w:val="auto"/>
          <w:sz w:val="24"/>
          <w:highlight w:val="none"/>
        </w:rPr>
        <w:t>…………………………（页码）</w:t>
      </w:r>
    </w:p>
    <w:p>
      <w:pPr>
        <w:snapToGrid w:val="0"/>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w:t>
      </w:r>
      <w:r>
        <w:rPr>
          <w:rFonts w:ascii="仿宋" w:hAnsi="仿宋" w:eastAsia="仿宋" w:cs="仿宋_GB2312"/>
          <w:color w:val="auto"/>
          <w:sz w:val="24"/>
          <w:highlight w:val="none"/>
        </w:rPr>
        <w:t>3）本项目的特定资格要求……</w:t>
      </w:r>
      <w:r>
        <w:rPr>
          <w:rFonts w:hint="eastAsia" w:ascii="仿宋" w:hAnsi="仿宋" w:eastAsia="仿宋" w:cs="仿宋_GB2312"/>
          <w:color w:val="auto"/>
          <w:sz w:val="24"/>
          <w:highlight w:val="none"/>
        </w:rPr>
        <w:t>…………………………………………（页码）</w:t>
      </w:r>
    </w:p>
    <w:p>
      <w:pPr>
        <w:snapToGrid w:val="0"/>
        <w:spacing w:line="360" w:lineRule="auto"/>
        <w:ind w:firstLine="480" w:firstLineChars="200"/>
        <w:rPr>
          <w:rFonts w:ascii="仿宋" w:hAnsi="仿宋" w:eastAsia="仿宋" w:cs="仿宋_GB2312"/>
          <w:color w:val="auto"/>
          <w:sz w:val="24"/>
          <w:highlight w:val="none"/>
        </w:rPr>
      </w:pPr>
    </w:p>
    <w:p>
      <w:pPr>
        <w:snapToGrid w:val="0"/>
        <w:spacing w:line="360" w:lineRule="auto"/>
        <w:ind w:firstLine="480" w:firstLineChars="200"/>
        <w:rPr>
          <w:rFonts w:ascii="仿宋" w:hAnsi="仿宋" w:eastAsia="仿宋" w:cs="仿宋_GB2312"/>
          <w:color w:val="auto"/>
          <w:sz w:val="24"/>
          <w:highlight w:val="none"/>
        </w:rPr>
      </w:pPr>
    </w:p>
    <w:p>
      <w:pPr>
        <w:snapToGrid w:val="0"/>
        <w:spacing w:line="360" w:lineRule="auto"/>
        <w:outlineLvl w:val="1"/>
        <w:rPr>
          <w:rFonts w:ascii="仿宋" w:hAnsi="仿宋" w:eastAsia="仿宋" w:cs="仿宋_GB2312"/>
          <w:b/>
          <w:color w:val="auto"/>
          <w:kern w:val="0"/>
          <w:sz w:val="32"/>
          <w:szCs w:val="32"/>
          <w:highlight w:val="none"/>
        </w:rPr>
      </w:pPr>
      <w:r>
        <w:rPr>
          <w:rFonts w:ascii="仿宋" w:hAnsi="仿宋" w:eastAsia="仿宋" w:cs="仿宋_GB2312"/>
          <w:color w:val="auto"/>
          <w:kern w:val="0"/>
          <w:sz w:val="24"/>
          <w:highlight w:val="none"/>
        </w:rPr>
        <w:br w:type="page"/>
      </w:r>
      <w:bookmarkStart w:id="581" w:name="_Toc8296"/>
      <w:bookmarkStart w:id="582" w:name="_Toc1846857202"/>
      <w:bookmarkStart w:id="583" w:name="_Toc2927"/>
      <w:bookmarkStart w:id="584" w:name="_Toc1517222231"/>
      <w:bookmarkStart w:id="585" w:name="_Toc95313010"/>
      <w:r>
        <w:rPr>
          <w:rFonts w:ascii="仿宋" w:hAnsi="仿宋" w:eastAsia="仿宋" w:cs="仿宋_GB2312"/>
          <w:b/>
          <w:color w:val="auto"/>
          <w:kern w:val="0"/>
          <w:sz w:val="32"/>
          <w:szCs w:val="32"/>
          <w:highlight w:val="none"/>
        </w:rPr>
        <w:t>一、 符合参加政府采购活动应当具备的一般条件的承诺函</w:t>
      </w:r>
      <w:bookmarkEnd w:id="581"/>
      <w:bookmarkEnd w:id="582"/>
      <w:bookmarkEnd w:id="583"/>
      <w:bookmarkEnd w:id="584"/>
      <w:bookmarkEnd w:id="585"/>
    </w:p>
    <w:p>
      <w:pPr>
        <w:snapToGrid w:val="0"/>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u w:val="single"/>
        </w:rPr>
        <w:t>杭州市余杭区机关事务服务中心、杭州中瑞招标代理有限公司</w:t>
      </w:r>
      <w:r>
        <w:rPr>
          <w:rFonts w:hint="eastAsia" w:ascii="仿宋" w:hAnsi="仿宋" w:eastAsia="仿宋" w:cs="仿宋_GB2312"/>
          <w:color w:val="auto"/>
          <w:sz w:val="24"/>
          <w:highlight w:val="none"/>
        </w:rPr>
        <w:t>：</w:t>
      </w:r>
    </w:p>
    <w:p>
      <w:pPr>
        <w:snapToGrid w:val="0"/>
        <w:spacing w:line="360" w:lineRule="auto"/>
        <w:ind w:firstLine="420"/>
        <w:rPr>
          <w:rFonts w:ascii="仿宋" w:hAnsi="仿宋" w:eastAsia="仿宋" w:cs="仿宋_GB2312"/>
          <w:color w:val="auto"/>
          <w:sz w:val="24"/>
          <w:highlight w:val="none"/>
        </w:rPr>
      </w:pPr>
      <w:r>
        <w:rPr>
          <w:rFonts w:hint="eastAsia" w:ascii="仿宋" w:hAnsi="仿宋" w:eastAsia="仿宋" w:cs="仿宋_GB2312"/>
          <w:color w:val="auto"/>
          <w:sz w:val="24"/>
          <w:highlight w:val="none"/>
        </w:rPr>
        <w:t>我方参与余杭区市民之家大厅及食堂家具采购【招标编号：</w:t>
      </w:r>
      <w:r>
        <w:rPr>
          <w:rFonts w:hint="eastAsia" w:ascii="仿宋" w:hAnsi="仿宋" w:eastAsia="仿宋"/>
          <w:color w:val="auto"/>
          <w:sz w:val="24"/>
          <w:highlight w:val="none"/>
        </w:rPr>
        <w:t>HZZR-F220213N</w:t>
      </w:r>
      <w:r>
        <w:rPr>
          <w:rFonts w:hint="eastAsia" w:ascii="仿宋" w:hAnsi="仿宋" w:eastAsia="仿宋" w:cs="仿宋_GB2312"/>
          <w:color w:val="auto"/>
          <w:sz w:val="24"/>
          <w:highlight w:val="none"/>
        </w:rPr>
        <w:t>】政府采购活动，郑重承诺：</w:t>
      </w:r>
    </w:p>
    <w:p>
      <w:pPr>
        <w:snapToGrid w:val="0"/>
        <w:spacing w:line="360" w:lineRule="auto"/>
        <w:ind w:firstLine="360" w:firstLineChars="150"/>
        <w:rPr>
          <w:rFonts w:ascii="仿宋" w:hAnsi="仿宋" w:eastAsia="仿宋" w:cs="仿宋_GB2312"/>
          <w:color w:val="auto"/>
          <w:sz w:val="24"/>
          <w:highlight w:val="none"/>
        </w:rPr>
      </w:pPr>
      <w:r>
        <w:rPr>
          <w:rFonts w:hint="eastAsia" w:ascii="仿宋" w:hAnsi="仿宋" w:eastAsia="仿宋" w:cs="仿宋_GB2312"/>
          <w:color w:val="auto"/>
          <w:sz w:val="24"/>
          <w:highlight w:val="none"/>
        </w:rPr>
        <w:t>（一）具备《中华人民共和国政府采购法》第二十二条第一款规定的条件：</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1、</w:t>
      </w:r>
      <w:r>
        <w:rPr>
          <w:rFonts w:ascii="仿宋" w:hAnsi="仿宋" w:eastAsia="仿宋" w:cs="仿宋_GB2312"/>
          <w:color w:val="auto"/>
          <w:sz w:val="24"/>
          <w:highlight w:val="none"/>
        </w:rPr>
        <w:t>具有独立承担民事责任的能力；</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 xml:space="preserve">具有良好的商业信誉和健全的财务会计制度； </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具有履行合同所必需的设备和专业技术能力；</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w:t>
      </w:r>
      <w:r>
        <w:rPr>
          <w:rFonts w:ascii="仿宋" w:hAnsi="仿宋" w:eastAsia="仿宋"/>
          <w:color w:val="auto"/>
          <w:sz w:val="24"/>
          <w:highlight w:val="none"/>
        </w:rPr>
        <w:t>有依法缴纳税收和社会保障资金的良好记录；</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参加政府采购活动前三年内，在经营活动中没有重大违法记录；</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6、</w:t>
      </w:r>
      <w:r>
        <w:rPr>
          <w:rFonts w:ascii="仿宋" w:hAnsi="仿宋" w:eastAsia="仿宋"/>
          <w:color w:val="auto"/>
          <w:sz w:val="24"/>
          <w:highlight w:val="none"/>
        </w:rPr>
        <w:t>具有法律、行政法规规定的其他条件。</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（二）未被信用中国（</w:t>
      </w:r>
      <w:r>
        <w:rPr>
          <w:rFonts w:ascii="仿宋" w:hAnsi="仿宋" w:eastAsia="仿宋"/>
          <w:color w:val="auto"/>
          <w:sz w:val="24"/>
          <w:highlight w:val="none"/>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（三）不存在以下情况：</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1、</w:t>
      </w:r>
      <w:r>
        <w:rPr>
          <w:rFonts w:ascii="仿宋" w:hAnsi="仿宋" w:eastAsia="仿宋" w:cs="仿宋_GB2312"/>
          <w:color w:val="auto"/>
          <w:sz w:val="24"/>
          <w:highlight w:val="none"/>
        </w:rPr>
        <w:t>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2、</w:t>
      </w:r>
      <w:r>
        <w:rPr>
          <w:rFonts w:ascii="仿宋" w:hAnsi="仿宋" w:eastAsia="仿宋" w:cs="仿宋_GB2312"/>
          <w:color w:val="auto"/>
          <w:sz w:val="24"/>
          <w:highlight w:val="none"/>
        </w:rPr>
        <w:t>为采购项目提供整体设计、规范编制或者项目管理、监理、检测等服务后再参加该采购项目的其他采购活动的。</w:t>
      </w:r>
    </w:p>
    <w:p>
      <w:pPr>
        <w:pStyle w:val="2"/>
        <w:snapToGrid w:val="0"/>
        <w:rPr>
          <w:rFonts w:ascii="仿宋" w:hAnsi="仿宋" w:eastAsia="仿宋" w:cs="仿宋_GB2312"/>
          <w:color w:val="auto"/>
          <w:highlight w:val="none"/>
        </w:rPr>
      </w:pPr>
    </w:p>
    <w:p>
      <w:pPr>
        <w:snapToGrid w:val="0"/>
        <w:spacing w:line="360" w:lineRule="auto"/>
        <w:rPr>
          <w:rFonts w:ascii="仿宋" w:hAnsi="仿宋" w:eastAsia="仿宋"/>
          <w:color w:val="auto"/>
          <w:highlight w:val="none"/>
        </w:rPr>
      </w:pPr>
    </w:p>
    <w:p>
      <w:pPr>
        <w:snapToGrid w:val="0"/>
        <w:spacing w:line="360" w:lineRule="auto"/>
        <w:ind w:firstLine="5520" w:firstLineChars="23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zh-CN"/>
        </w:rPr>
        <w:t>供应商名称</w:t>
      </w:r>
      <w:r>
        <w:rPr>
          <w:rFonts w:ascii="仿宋" w:hAnsi="仿宋" w:eastAsia="仿宋" w:cs="仿宋_GB2312"/>
          <w:color w:val="auto"/>
          <w:kern w:val="0"/>
          <w:sz w:val="24"/>
          <w:highlight w:val="none"/>
          <w:lang w:val="zh-CN"/>
        </w:rPr>
        <w:t>(电子签名)：</w:t>
      </w:r>
    </w:p>
    <w:p>
      <w:pPr>
        <w:snapToGrid w:val="0"/>
        <w:spacing w:line="360" w:lineRule="auto"/>
        <w:rPr>
          <w:rFonts w:ascii="仿宋" w:hAnsi="仿宋" w:eastAsia="仿宋" w:cs="仿宋_GB2312"/>
          <w:color w:val="auto"/>
          <w:kern w:val="0"/>
          <w:sz w:val="24"/>
          <w:highlight w:val="none"/>
        </w:rPr>
      </w:pPr>
      <w:r>
        <w:rPr>
          <w:rFonts w:ascii="仿宋" w:hAnsi="仿宋" w:eastAsia="仿宋" w:cs="仿宋_GB2312"/>
          <w:color w:val="auto"/>
          <w:kern w:val="0"/>
          <w:sz w:val="24"/>
          <w:highlight w:val="none"/>
          <w:lang w:val="zh-CN"/>
        </w:rPr>
        <w:t xml:space="preserve">                        </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日期</w:t>
      </w:r>
      <w:r>
        <w:rPr>
          <w:rFonts w:hint="eastAsia" w:ascii="仿宋" w:hAnsi="仿宋" w:eastAsia="仿宋" w:cs="仿宋_GB2312"/>
          <w:color w:val="auto"/>
          <w:kern w:val="0"/>
          <w:sz w:val="24"/>
          <w:highlight w:val="none"/>
        </w:rPr>
        <w:t>：</w:t>
      </w:r>
      <w:r>
        <w:rPr>
          <w:rFonts w:ascii="仿宋" w:hAnsi="仿宋" w:eastAsia="仿宋" w:cs="仿宋_GB2312"/>
          <w:color w:val="auto"/>
          <w:kern w:val="0"/>
          <w:sz w:val="24"/>
          <w:highlight w:val="none"/>
        </w:rPr>
        <w:t xml:space="preserve">  年  </w:t>
      </w:r>
      <w:r>
        <w:rPr>
          <w:rFonts w:hint="eastAsia" w:ascii="仿宋" w:hAnsi="仿宋" w:eastAsia="仿宋" w:cs="仿宋_GB2312"/>
          <w:color w:val="auto"/>
          <w:kern w:val="0"/>
          <w:sz w:val="24"/>
          <w:highlight w:val="none"/>
          <w:lang w:val="zh-CN"/>
        </w:rPr>
        <w:t>月</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日</w:t>
      </w:r>
    </w:p>
    <w:p>
      <w:pPr>
        <w:rPr>
          <w:rFonts w:ascii="仿宋" w:hAnsi="仿宋" w:eastAsia="仿宋" w:cs="仿宋_GB2312"/>
          <w:b/>
          <w:color w:val="auto"/>
          <w:kern w:val="0"/>
          <w:sz w:val="32"/>
          <w:szCs w:val="32"/>
          <w:highlight w:val="none"/>
        </w:rPr>
      </w:pPr>
      <w:r>
        <w:rPr>
          <w:rFonts w:hint="eastAsia" w:ascii="仿宋" w:hAnsi="仿宋" w:eastAsia="仿宋" w:cs="仿宋_GB2312"/>
          <w:b/>
          <w:color w:val="auto"/>
          <w:kern w:val="0"/>
          <w:sz w:val="32"/>
          <w:szCs w:val="32"/>
          <w:highlight w:val="none"/>
        </w:rPr>
        <w:br w:type="page"/>
      </w:r>
    </w:p>
    <w:p>
      <w:pPr>
        <w:snapToGrid w:val="0"/>
        <w:spacing w:line="360" w:lineRule="auto"/>
        <w:jc w:val="center"/>
        <w:outlineLvl w:val="1"/>
        <w:rPr>
          <w:rFonts w:ascii="仿宋" w:hAnsi="仿宋" w:eastAsia="仿宋" w:cs="仿宋_GB2312"/>
          <w:b/>
          <w:color w:val="auto"/>
          <w:kern w:val="0"/>
          <w:sz w:val="32"/>
          <w:szCs w:val="32"/>
          <w:highlight w:val="none"/>
        </w:rPr>
      </w:pPr>
      <w:bookmarkStart w:id="586" w:name="_Toc95313011"/>
      <w:bookmarkStart w:id="587" w:name="_Toc400360276"/>
      <w:bookmarkStart w:id="588" w:name="_Toc9961"/>
      <w:bookmarkStart w:id="589" w:name="_Toc733211939"/>
      <w:bookmarkStart w:id="590" w:name="_Toc9229"/>
      <w:r>
        <w:rPr>
          <w:rFonts w:hint="eastAsia" w:ascii="仿宋" w:hAnsi="仿宋" w:eastAsia="仿宋" w:cs="仿宋_GB2312"/>
          <w:b/>
          <w:color w:val="auto"/>
          <w:kern w:val="0"/>
          <w:sz w:val="32"/>
          <w:szCs w:val="32"/>
          <w:highlight w:val="none"/>
        </w:rPr>
        <w:t>二、落实政府采购政策需满足的资格要求</w:t>
      </w:r>
      <w:bookmarkEnd w:id="586"/>
      <w:bookmarkEnd w:id="587"/>
      <w:bookmarkEnd w:id="588"/>
      <w:bookmarkEnd w:id="589"/>
      <w:bookmarkEnd w:id="590"/>
    </w:p>
    <w:p>
      <w:pPr>
        <w:snapToGrid w:val="0"/>
        <w:spacing w:line="360" w:lineRule="auto"/>
        <w:ind w:firstLine="480" w:firstLineChars="200"/>
        <w:rPr>
          <w:rFonts w:ascii="仿宋" w:hAnsi="仿宋" w:eastAsia="仿宋"/>
          <w:color w:val="auto"/>
          <w:highlight w:val="none"/>
        </w:rPr>
      </w:pPr>
      <w:r>
        <w:rPr>
          <w:rFonts w:hint="eastAsia" w:ascii="仿宋" w:hAnsi="仿宋" w:eastAsia="仿宋" w:cs="仿宋_GB2312"/>
          <w:color w:val="auto"/>
          <w:sz w:val="24"/>
          <w:highlight w:val="none"/>
        </w:rPr>
        <w:t>根据招标公告</w:t>
      </w:r>
      <w:r>
        <w:rPr>
          <w:rFonts w:hint="eastAsia" w:ascii="仿宋" w:hAnsi="仿宋" w:eastAsia="仿宋"/>
          <w:color w:val="auto"/>
          <w:sz w:val="24"/>
          <w:highlight w:val="none"/>
        </w:rPr>
        <w:t>落实政府采购政策需满足的资格要求选择提供相应的材料；</w:t>
      </w:r>
      <w:r>
        <w:rPr>
          <w:rFonts w:hint="eastAsia" w:ascii="仿宋" w:hAnsi="仿宋" w:eastAsia="仿宋" w:cs="仿宋_GB2312"/>
          <w:color w:val="auto"/>
          <w:sz w:val="24"/>
          <w:highlight w:val="none"/>
        </w:rPr>
        <w:t>（大中型企业与小微企业</w:t>
      </w:r>
      <w:r>
        <w:rPr>
          <w:rFonts w:hint="eastAsia" w:ascii="仿宋" w:hAnsi="仿宋" w:eastAsia="仿宋"/>
          <w:color w:val="auto"/>
          <w:sz w:val="24"/>
          <w:highlight w:val="none"/>
        </w:rPr>
        <w:t>未组成联合体的无需提供）</w:t>
      </w:r>
    </w:p>
    <w:p>
      <w:pPr>
        <w:pStyle w:val="101"/>
        <w:numPr>
          <w:ilvl w:val="0"/>
          <w:numId w:val="10"/>
        </w:numPr>
        <w:snapToGrid w:val="0"/>
        <w:ind w:firstLineChars="0"/>
        <w:rPr>
          <w:rFonts w:ascii="仿宋" w:hAnsi="仿宋" w:eastAsia="仿宋"/>
          <w:color w:val="auto"/>
          <w:highlight w:val="none"/>
        </w:rPr>
      </w:pPr>
      <w:bookmarkStart w:id="591" w:name="_Hlk95268614"/>
      <w:r>
        <w:rPr>
          <w:rFonts w:hint="eastAsia" w:ascii="仿宋" w:hAnsi="仿宋" w:eastAsia="仿宋"/>
          <w:color w:val="auto"/>
          <w:highlight w:val="none"/>
        </w:rPr>
        <w:t>供应商以联合体形式投标的：提供联合协议和声明函，大企业提供大型企业</w:t>
      </w:r>
    </w:p>
    <w:p>
      <w:pPr>
        <w:pStyle w:val="101"/>
        <w:snapToGrid w:val="0"/>
        <w:ind w:firstLine="0" w:firstLineChars="0"/>
        <w:rPr>
          <w:rFonts w:ascii="仿宋" w:hAnsi="仿宋" w:eastAsia="仿宋"/>
          <w:color w:val="auto"/>
          <w:highlight w:val="none"/>
        </w:rPr>
      </w:pPr>
      <w:r>
        <w:rPr>
          <w:rFonts w:hint="eastAsia" w:ascii="仿宋" w:hAnsi="仿宋" w:eastAsia="仿宋"/>
          <w:color w:val="auto"/>
          <w:highlight w:val="none"/>
        </w:rPr>
        <w:t>声明函（附件6），中小微企业须提供中小企业声明函（附件</w:t>
      </w:r>
      <w:r>
        <w:rPr>
          <w:rFonts w:ascii="仿宋" w:hAnsi="仿宋" w:eastAsia="仿宋"/>
          <w:color w:val="auto"/>
          <w:highlight w:val="none"/>
        </w:rPr>
        <w:t>5</w:t>
      </w:r>
      <w:r>
        <w:rPr>
          <w:rFonts w:hint="eastAsia" w:ascii="仿宋" w:hAnsi="仿宋" w:eastAsia="仿宋"/>
          <w:color w:val="auto"/>
          <w:highlight w:val="none"/>
        </w:rPr>
        <w:t>），</w:t>
      </w:r>
      <w:r>
        <w:rPr>
          <w:rFonts w:ascii="仿宋" w:hAnsi="仿宋" w:eastAsia="仿宋"/>
          <w:color w:val="auto"/>
          <w:highlight w:val="none"/>
        </w:rPr>
        <w:t>符合《关于促进残疾人就业政府采购政策的通知》（财库〔2017〕141号）规定的条件的残疾人福利性单位视同小型、微型企业</w:t>
      </w:r>
      <w:r>
        <w:rPr>
          <w:rFonts w:hint="eastAsia" w:ascii="仿宋" w:hAnsi="仿宋" w:eastAsia="仿宋"/>
          <w:color w:val="auto"/>
          <w:highlight w:val="none"/>
        </w:rPr>
        <w:t>,</w:t>
      </w:r>
      <w:r>
        <w:rPr>
          <w:rFonts w:ascii="仿宋" w:hAnsi="仿宋" w:eastAsia="仿宋"/>
          <w:color w:val="auto"/>
          <w:highlight w:val="none"/>
        </w:rPr>
        <w:t xml:space="preserve"> 并提供《残疾人福利性单位声明函》（附件1）</w:t>
      </w:r>
      <w:r>
        <w:rPr>
          <w:rFonts w:hint="eastAsia" w:ascii="仿宋" w:hAnsi="仿宋" w:eastAsia="仿宋"/>
          <w:color w:val="auto"/>
          <w:highlight w:val="none"/>
        </w:rPr>
        <w:t>,</w:t>
      </w:r>
      <w:r>
        <w:rPr>
          <w:rFonts w:ascii="仿宋" w:hAnsi="仿宋" w:eastAsia="仿宋"/>
          <w:color w:val="auto"/>
          <w:highlight w:val="none"/>
        </w:rPr>
        <w:t xml:space="preserve"> 符合《关于政府采购支持监狱企业发展有关问题的通知》（财库[2014]68号）规定的监狱企业并提供由省级以上监狱管理局、戒毒管理局（含新疆生产建设兵团）出具的属于监狱企业证明文件的，视同为小型、微型企业</w:t>
      </w:r>
      <w:r>
        <w:rPr>
          <w:rFonts w:hint="eastAsia" w:ascii="仿宋" w:hAnsi="仿宋" w:eastAsia="仿宋"/>
          <w:color w:val="auto"/>
          <w:highlight w:val="none"/>
        </w:rPr>
        <w:t>，本项目只</w:t>
      </w:r>
      <w:r>
        <w:rPr>
          <w:rFonts w:ascii="仿宋" w:hAnsi="仿宋" w:eastAsia="仿宋"/>
          <w:color w:val="auto"/>
          <w:highlight w:val="none"/>
        </w:rPr>
        <w:t>接受大中型企业与小微企业组成联合体</w:t>
      </w:r>
      <w:r>
        <w:rPr>
          <w:rFonts w:hint="eastAsia" w:ascii="仿宋" w:hAnsi="仿宋" w:eastAsia="仿宋"/>
          <w:color w:val="auto"/>
          <w:highlight w:val="none"/>
        </w:rPr>
        <w:t>参加。</w:t>
      </w:r>
      <w:bookmarkEnd w:id="591"/>
    </w:p>
    <w:p>
      <w:pPr>
        <w:snapToGrid w:val="0"/>
        <w:spacing w:line="360" w:lineRule="auto"/>
        <w:jc w:val="center"/>
        <w:rPr>
          <w:rFonts w:ascii="仿宋" w:hAnsi="仿宋" w:eastAsia="仿宋"/>
          <w:color w:val="auto"/>
          <w:sz w:val="24"/>
          <w:highlight w:val="none"/>
        </w:rPr>
      </w:pPr>
    </w:p>
    <w:p>
      <w:pPr>
        <w:snapToGrid w:val="0"/>
        <w:spacing w:line="360" w:lineRule="auto"/>
        <w:jc w:val="center"/>
        <w:rPr>
          <w:rFonts w:ascii="仿宋" w:hAnsi="仿宋" w:eastAsia="仿宋" w:cs="仿宋_GB2312"/>
          <w:b/>
          <w:color w:val="auto"/>
          <w:kern w:val="0"/>
          <w:sz w:val="32"/>
          <w:szCs w:val="32"/>
          <w:highlight w:val="none"/>
          <w:lang w:val="zh-CN"/>
        </w:rPr>
      </w:pPr>
      <w:r>
        <w:rPr>
          <w:rFonts w:hint="eastAsia" w:ascii="仿宋" w:hAnsi="仿宋" w:eastAsia="仿宋" w:cs="仿宋_GB2312"/>
          <w:b/>
          <w:color w:val="auto"/>
          <w:kern w:val="0"/>
          <w:sz w:val="32"/>
          <w:szCs w:val="32"/>
          <w:highlight w:val="none"/>
          <w:lang w:val="zh-CN"/>
        </w:rPr>
        <w:t>联合协议</w:t>
      </w:r>
    </w:p>
    <w:p>
      <w:pPr>
        <w:snapToGrid w:val="0"/>
        <w:spacing w:line="360" w:lineRule="auto"/>
        <w:ind w:left="1740" w:hanging="1740" w:hangingChars="725"/>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u w:val="single"/>
        </w:rPr>
        <w:t>（联合体所有成员名称）</w:t>
      </w:r>
      <w:r>
        <w:rPr>
          <w:rFonts w:hint="eastAsia" w:ascii="仿宋" w:hAnsi="仿宋" w:eastAsia="仿宋" w:cs="仿宋_GB2312"/>
          <w:color w:val="auto"/>
          <w:kern w:val="0"/>
          <w:sz w:val="24"/>
          <w:highlight w:val="none"/>
        </w:rPr>
        <w:t>自愿</w:t>
      </w:r>
      <w:r>
        <w:rPr>
          <w:rFonts w:hint="eastAsia" w:ascii="仿宋" w:hAnsi="仿宋" w:eastAsia="仿宋" w:cs="仿宋_GB2312"/>
          <w:color w:val="auto"/>
          <w:kern w:val="0"/>
          <w:sz w:val="24"/>
          <w:highlight w:val="none"/>
          <w:lang w:val="zh-CN"/>
        </w:rPr>
        <w:t>组成一个联合体，以一个供应商的身份</w:t>
      </w:r>
      <w:r>
        <w:rPr>
          <w:rFonts w:hint="eastAsia" w:ascii="仿宋" w:hAnsi="仿宋" w:eastAsia="仿宋" w:cs="仿宋_GB2312"/>
          <w:color w:val="auto"/>
          <w:kern w:val="0"/>
          <w:sz w:val="24"/>
          <w:highlight w:val="none"/>
        </w:rPr>
        <w:t>参加</w:t>
      </w:r>
      <w:r>
        <w:rPr>
          <w:rFonts w:hint="eastAsia" w:ascii="仿宋" w:hAnsi="仿宋" w:eastAsia="仿宋" w:cs="仿宋_GB2312"/>
          <w:color w:val="auto"/>
          <w:kern w:val="0"/>
          <w:sz w:val="24"/>
          <w:highlight w:val="none"/>
          <w:u w:val="single"/>
        </w:rPr>
        <w:t xml:space="preserve">     </w:t>
      </w:r>
      <w:r>
        <w:rPr>
          <w:rFonts w:hint="eastAsia" w:ascii="仿宋" w:hAnsi="仿宋" w:eastAsia="仿宋" w:cs="仿宋_GB2312"/>
          <w:color w:val="auto"/>
          <w:sz w:val="24"/>
          <w:highlight w:val="none"/>
        </w:rPr>
        <w:t>【招标编号：】</w:t>
      </w:r>
      <w:r>
        <w:rPr>
          <w:rFonts w:hint="eastAsia" w:ascii="仿宋" w:hAnsi="仿宋" w:eastAsia="仿宋" w:cs="仿宋_GB2312"/>
          <w:color w:val="auto"/>
          <w:kern w:val="0"/>
          <w:sz w:val="24"/>
          <w:highlight w:val="none"/>
          <w:lang w:val="zh-CN"/>
        </w:rPr>
        <w:t>投标。</w:t>
      </w:r>
      <w:r>
        <w:rPr>
          <w:rFonts w:ascii="仿宋" w:hAnsi="仿宋" w:eastAsia="仿宋" w:cs="仿宋_GB2312"/>
          <w:color w:val="auto"/>
          <w:kern w:val="0"/>
          <w:sz w:val="24"/>
          <w:highlight w:val="none"/>
          <w:lang w:val="zh-CN"/>
        </w:rPr>
        <w:t xml:space="preserve"> </w:t>
      </w:r>
    </w:p>
    <w:p>
      <w:pPr>
        <w:snapToGrid w:val="0"/>
        <w:spacing w:line="360" w:lineRule="auto"/>
        <w:ind w:firstLine="576"/>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一、各方一致决定，</w:t>
      </w:r>
      <w:r>
        <w:rPr>
          <w:rFonts w:hint="eastAsia" w:ascii="仿宋" w:hAnsi="仿宋" w:eastAsia="仿宋" w:cs="仿宋_GB2312"/>
          <w:color w:val="auto"/>
          <w:kern w:val="0"/>
          <w:sz w:val="24"/>
          <w:highlight w:val="none"/>
          <w:u w:val="single"/>
        </w:rPr>
        <w:t>（某联合体成员名称）</w:t>
      </w:r>
      <w:r>
        <w:rPr>
          <w:rFonts w:hint="eastAsia" w:ascii="仿宋" w:hAnsi="仿宋" w:eastAsia="仿宋" w:cs="仿宋_GB2312"/>
          <w:color w:val="auto"/>
          <w:kern w:val="0"/>
          <w:sz w:val="24"/>
          <w:highlight w:val="none"/>
        </w:rPr>
        <w:t>为联合体</w:t>
      </w:r>
      <w:r>
        <w:rPr>
          <w:rFonts w:hint="eastAsia" w:ascii="仿宋" w:hAnsi="仿宋" w:eastAsia="仿宋" w:cs="仿宋_GB2312"/>
          <w:color w:val="auto"/>
          <w:kern w:val="0"/>
          <w:sz w:val="24"/>
          <w:highlight w:val="none"/>
          <w:lang w:val="zh-CN"/>
        </w:rPr>
        <w:t>牵头人，本公司（制造商）为：（</w:t>
      </w:r>
      <w:r>
        <w:rPr>
          <w:rFonts w:hint="eastAsia" w:ascii="仿宋" w:hAnsi="仿宋" w:eastAsia="仿宋" w:cs="仿宋_GB2312"/>
          <w:color w:val="auto"/>
          <w:kern w:val="0"/>
          <w:sz w:val="24"/>
          <w:highlight w:val="none"/>
          <w:u w:val="single"/>
          <w:lang w:val="zh-CN"/>
        </w:rPr>
        <w:t>大型/中型</w:t>
      </w:r>
      <w:r>
        <w:rPr>
          <w:rFonts w:ascii="仿宋" w:hAnsi="仿宋" w:eastAsia="仿宋" w:cs="仿宋_GB2312"/>
          <w:color w:val="auto"/>
          <w:kern w:val="0"/>
          <w:sz w:val="24"/>
          <w:highlight w:val="none"/>
          <w:u w:val="single"/>
          <w:lang w:val="zh-CN"/>
        </w:rPr>
        <w:t>/</w:t>
      </w:r>
      <w:r>
        <w:rPr>
          <w:rFonts w:hint="eastAsia" w:ascii="仿宋" w:hAnsi="仿宋" w:eastAsia="仿宋" w:cs="仿宋_GB2312"/>
          <w:color w:val="auto"/>
          <w:kern w:val="0"/>
          <w:sz w:val="24"/>
          <w:highlight w:val="none"/>
          <w:u w:val="single"/>
          <w:lang w:val="zh-CN"/>
        </w:rPr>
        <w:t>小型</w:t>
      </w:r>
      <w:r>
        <w:rPr>
          <w:rFonts w:ascii="仿宋" w:hAnsi="仿宋" w:eastAsia="仿宋" w:cs="仿宋_GB2312"/>
          <w:color w:val="auto"/>
          <w:kern w:val="0"/>
          <w:sz w:val="24"/>
          <w:highlight w:val="none"/>
          <w:u w:val="single"/>
          <w:lang w:val="zh-CN"/>
        </w:rPr>
        <w:t>/</w:t>
      </w:r>
      <w:r>
        <w:rPr>
          <w:rFonts w:hint="eastAsia" w:ascii="仿宋" w:hAnsi="仿宋" w:eastAsia="仿宋" w:cs="仿宋_GB2312"/>
          <w:color w:val="auto"/>
          <w:kern w:val="0"/>
          <w:sz w:val="24"/>
          <w:highlight w:val="none"/>
          <w:u w:val="single"/>
          <w:lang w:val="zh-CN"/>
        </w:rPr>
        <w:t>微型</w:t>
      </w:r>
      <w:r>
        <w:rPr>
          <w:rFonts w:hint="eastAsia" w:ascii="仿宋" w:hAnsi="仿宋" w:eastAsia="仿宋" w:cs="仿宋_GB2312"/>
          <w:color w:val="auto"/>
          <w:kern w:val="0"/>
          <w:sz w:val="24"/>
          <w:highlight w:val="none"/>
          <w:lang w:val="zh-CN"/>
        </w:rPr>
        <w:t>）企业</w:t>
      </w:r>
      <w:r>
        <w:rPr>
          <w:rFonts w:hint="eastAsia" w:ascii="仿宋" w:hAnsi="仿宋" w:eastAsia="仿宋" w:cs="Arial"/>
          <w:color w:val="auto"/>
          <w:sz w:val="24"/>
          <w:highlight w:val="none"/>
        </w:rPr>
        <w:t>，代表所有联合体成员负责投标和合同实施阶段的主办、协调工作</w:t>
      </w:r>
      <w:r>
        <w:rPr>
          <w:rFonts w:hint="eastAsia" w:ascii="仿宋" w:hAnsi="仿宋" w:eastAsia="仿宋" w:cs="仿宋_GB2312"/>
          <w:color w:val="auto"/>
          <w:kern w:val="0"/>
          <w:sz w:val="24"/>
          <w:highlight w:val="none"/>
          <w:lang w:val="zh-CN"/>
        </w:rPr>
        <w:t>。</w:t>
      </w:r>
    </w:p>
    <w:p>
      <w:pPr>
        <w:snapToGrid w:val="0"/>
        <w:spacing w:line="360" w:lineRule="auto"/>
        <w:ind w:firstLine="576"/>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二、</w:t>
      </w:r>
      <w:r>
        <w:rPr>
          <w:rFonts w:hint="eastAsia" w:ascii="仿宋" w:hAnsi="仿宋" w:eastAsia="仿宋" w:cs="Arial"/>
          <w:color w:val="auto"/>
          <w:sz w:val="24"/>
          <w:highlight w:val="none"/>
        </w:rPr>
        <w:t>所有联合体成员各方签署授权书，授权书载明的</w:t>
      </w:r>
      <w:r>
        <w:rPr>
          <w:rFonts w:hint="eastAsia" w:ascii="仿宋" w:hAnsi="仿宋" w:eastAsia="仿宋" w:cs="仿宋_GB2312"/>
          <w:color w:val="auto"/>
          <w:kern w:val="0"/>
          <w:sz w:val="24"/>
          <w:highlight w:val="none"/>
          <w:lang w:val="zh-CN"/>
        </w:rPr>
        <w:t>授权代表根据采购文件规定及投标内容而对采购人、采购代理机构所作的任何合法承诺，包括书面澄清及相应等均对联合投标各方产生约束力。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三、本次联合投标中，分工如下：</w:t>
      </w:r>
      <w:r>
        <w:rPr>
          <w:rFonts w:hint="eastAsia" w:ascii="仿宋" w:hAnsi="仿宋" w:eastAsia="仿宋" w:cs="仿宋_GB2312"/>
          <w:color w:val="auto"/>
          <w:kern w:val="0"/>
          <w:sz w:val="24"/>
          <w:highlight w:val="none"/>
          <w:u w:val="single"/>
        </w:rPr>
        <w:t>（联合体其中一方成员名称），</w:t>
      </w:r>
      <w:r>
        <w:rPr>
          <w:rFonts w:hint="eastAsia" w:ascii="仿宋" w:hAnsi="仿宋" w:eastAsia="仿宋" w:cs="仿宋_GB2312"/>
          <w:color w:val="auto"/>
          <w:kern w:val="0"/>
          <w:sz w:val="24"/>
          <w:highlight w:val="none"/>
          <w:lang w:val="zh-CN"/>
        </w:rPr>
        <w:t>本公司（制造商）为：（</w:t>
      </w:r>
      <w:r>
        <w:rPr>
          <w:rFonts w:hint="eastAsia" w:ascii="仿宋" w:hAnsi="仿宋" w:eastAsia="仿宋" w:cs="仿宋_GB2312"/>
          <w:color w:val="auto"/>
          <w:kern w:val="0"/>
          <w:sz w:val="24"/>
          <w:highlight w:val="none"/>
          <w:u w:val="single"/>
          <w:lang w:val="zh-CN"/>
        </w:rPr>
        <w:t>大型/中型</w:t>
      </w:r>
      <w:r>
        <w:rPr>
          <w:rFonts w:ascii="仿宋" w:hAnsi="仿宋" w:eastAsia="仿宋" w:cs="仿宋_GB2312"/>
          <w:color w:val="auto"/>
          <w:kern w:val="0"/>
          <w:sz w:val="24"/>
          <w:highlight w:val="none"/>
          <w:u w:val="single"/>
          <w:lang w:val="zh-CN"/>
        </w:rPr>
        <w:t>/</w:t>
      </w:r>
      <w:r>
        <w:rPr>
          <w:rFonts w:hint="eastAsia" w:ascii="仿宋" w:hAnsi="仿宋" w:eastAsia="仿宋" w:cs="仿宋_GB2312"/>
          <w:color w:val="auto"/>
          <w:kern w:val="0"/>
          <w:sz w:val="24"/>
          <w:highlight w:val="none"/>
          <w:u w:val="single"/>
          <w:lang w:val="zh-CN"/>
        </w:rPr>
        <w:t>小型</w:t>
      </w:r>
      <w:r>
        <w:rPr>
          <w:rFonts w:ascii="仿宋" w:hAnsi="仿宋" w:eastAsia="仿宋" w:cs="仿宋_GB2312"/>
          <w:color w:val="auto"/>
          <w:kern w:val="0"/>
          <w:sz w:val="24"/>
          <w:highlight w:val="none"/>
          <w:u w:val="single"/>
          <w:lang w:val="zh-CN"/>
        </w:rPr>
        <w:t>/</w:t>
      </w:r>
      <w:r>
        <w:rPr>
          <w:rFonts w:hint="eastAsia" w:ascii="仿宋" w:hAnsi="仿宋" w:eastAsia="仿宋" w:cs="仿宋_GB2312"/>
          <w:color w:val="auto"/>
          <w:kern w:val="0"/>
          <w:sz w:val="24"/>
          <w:highlight w:val="none"/>
          <w:u w:val="single"/>
          <w:lang w:val="zh-CN"/>
        </w:rPr>
        <w:t>微型</w:t>
      </w:r>
      <w:r>
        <w:rPr>
          <w:rFonts w:hint="eastAsia" w:ascii="仿宋" w:hAnsi="仿宋" w:eastAsia="仿宋" w:cs="仿宋_GB2312"/>
          <w:color w:val="auto"/>
          <w:kern w:val="0"/>
          <w:sz w:val="24"/>
          <w:highlight w:val="none"/>
          <w:lang w:val="zh-CN"/>
        </w:rPr>
        <w:t>）企业</w:t>
      </w:r>
      <w:r>
        <w:rPr>
          <w:rFonts w:hint="eastAsia" w:ascii="仿宋" w:hAnsi="仿宋" w:eastAsia="仿宋" w:cs="Arial"/>
          <w:color w:val="auto"/>
          <w:sz w:val="24"/>
          <w:highlight w:val="none"/>
        </w:rPr>
        <w:t>，</w:t>
      </w:r>
      <w:r>
        <w:rPr>
          <w:rFonts w:hint="eastAsia" w:ascii="仿宋" w:hAnsi="仿宋" w:eastAsia="仿宋" w:cs="仿宋_GB2312"/>
          <w:color w:val="auto"/>
          <w:kern w:val="0"/>
          <w:sz w:val="24"/>
          <w:highlight w:val="none"/>
          <w:lang w:val="zh-CN"/>
        </w:rPr>
        <w:t>承担的工作和义务为：</w:t>
      </w:r>
      <w:r>
        <w:rPr>
          <w:rFonts w:ascii="仿宋" w:hAnsi="仿宋" w:eastAsia="仿宋"/>
          <w:color w:val="auto"/>
          <w:highlight w:val="none"/>
          <w:u w:val="single"/>
        </w:rPr>
        <w:t xml:space="preserve">             </w:t>
      </w:r>
      <w:r>
        <w:rPr>
          <w:rFonts w:hint="eastAsia" w:ascii="仿宋" w:hAnsi="仿宋" w:eastAsia="仿宋" w:cs="仿宋_GB2312"/>
          <w:color w:val="auto"/>
          <w:kern w:val="0"/>
          <w:sz w:val="24"/>
          <w:highlight w:val="none"/>
          <w:lang w:val="zh-CN"/>
        </w:rPr>
        <w:t>；</w:t>
      </w:r>
      <w:r>
        <w:rPr>
          <w:rFonts w:hint="eastAsia" w:ascii="仿宋" w:hAnsi="仿宋" w:eastAsia="仿宋" w:cs="仿宋_GB2312"/>
          <w:color w:val="auto"/>
          <w:kern w:val="0"/>
          <w:sz w:val="24"/>
          <w:highlight w:val="none"/>
          <w:u w:val="single"/>
        </w:rPr>
        <w:t>（联合体其中一方成员名称）</w:t>
      </w:r>
      <w:r>
        <w:rPr>
          <w:rFonts w:hint="eastAsia" w:ascii="仿宋" w:hAnsi="仿宋" w:eastAsia="仿宋" w:cs="仿宋_GB2312"/>
          <w:color w:val="auto"/>
          <w:kern w:val="0"/>
          <w:sz w:val="24"/>
          <w:highlight w:val="none"/>
          <w:lang w:val="zh-CN"/>
        </w:rPr>
        <w:t>承担的工作和义务为：</w:t>
      </w:r>
      <w:r>
        <w:rPr>
          <w:rFonts w:ascii="仿宋" w:hAnsi="仿宋" w:eastAsia="仿宋"/>
          <w:color w:val="auto"/>
          <w:highlight w:val="none"/>
          <w:u w:val="single"/>
        </w:rPr>
        <w:t xml:space="preserve">            </w:t>
      </w:r>
      <w:r>
        <w:rPr>
          <w:rFonts w:ascii="仿宋" w:hAnsi="仿宋" w:eastAsia="仿宋" w:cs="仿宋_GB2312"/>
          <w:color w:val="auto"/>
          <w:kern w:val="0"/>
          <w:sz w:val="24"/>
          <w:highlight w:val="none"/>
          <w:lang w:val="zh-CN"/>
        </w:rPr>
        <w:t xml:space="preserve"> ；……。</w:t>
      </w:r>
    </w:p>
    <w:p>
      <w:pPr>
        <w:snapToGrid w:val="0"/>
        <w:spacing w:line="360" w:lineRule="auto"/>
        <w:ind w:firstLine="576"/>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四、</w:t>
      </w:r>
      <w:r>
        <w:rPr>
          <w:rFonts w:hint="eastAsia" w:ascii="仿宋" w:hAnsi="仿宋" w:eastAsia="仿宋"/>
          <w:color w:val="auto"/>
          <w:sz w:val="24"/>
          <w:highlight w:val="none"/>
        </w:rPr>
        <w:t>中小企业合同金额达到</w:t>
      </w:r>
      <w:r>
        <w:rPr>
          <w:rFonts w:ascii="仿宋" w:hAnsi="仿宋" w:eastAsia="仿宋"/>
          <w:color w:val="auto"/>
          <w:sz w:val="24"/>
          <w:highlight w:val="none"/>
          <w:u w:val="single"/>
        </w:rPr>
        <w:t xml:space="preserve">  </w:t>
      </w:r>
      <w:r>
        <w:rPr>
          <w:rFonts w:ascii="仿宋" w:hAnsi="仿宋" w:eastAsia="仿宋"/>
          <w:color w:val="auto"/>
          <w:sz w:val="24"/>
          <w:highlight w:val="none"/>
        </w:rPr>
        <w:t>%，小</w:t>
      </w:r>
      <w:r>
        <w:rPr>
          <w:rFonts w:hint="eastAsia" w:ascii="仿宋" w:hAnsi="仿宋" w:eastAsia="仿宋"/>
          <w:color w:val="auto"/>
          <w:sz w:val="24"/>
          <w:highlight w:val="none"/>
        </w:rPr>
        <w:t>微企业合同金额达到</w:t>
      </w:r>
      <w:r>
        <w:rPr>
          <w:rFonts w:ascii="仿宋" w:hAnsi="仿宋" w:eastAsia="仿宋"/>
          <w:color w:val="auto"/>
          <w:sz w:val="24"/>
          <w:highlight w:val="none"/>
          <w:u w:val="single"/>
        </w:rPr>
        <w:t xml:space="preserve"> </w:t>
      </w:r>
      <w:r>
        <w:rPr>
          <w:rFonts w:ascii="仿宋" w:hAnsi="仿宋" w:eastAsia="仿宋"/>
          <w:color w:val="auto"/>
          <w:sz w:val="24"/>
          <w:highlight w:val="none"/>
        </w:rPr>
        <w:t>%</w:t>
      </w:r>
      <w:r>
        <w:rPr>
          <w:rFonts w:hint="eastAsia" w:ascii="仿宋" w:hAnsi="仿宋" w:eastAsia="仿宋" w:cs="仿宋_GB2312"/>
          <w:color w:val="auto"/>
          <w:kern w:val="0"/>
          <w:sz w:val="24"/>
          <w:highlight w:val="none"/>
          <w:lang w:val="zh-CN"/>
        </w:rPr>
        <w:t>。</w:t>
      </w:r>
    </w:p>
    <w:p>
      <w:pPr>
        <w:snapToGrid w:val="0"/>
        <w:spacing w:line="360" w:lineRule="auto"/>
        <w:ind w:firstLine="576"/>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五、如果中标，</w:t>
      </w:r>
      <w:r>
        <w:rPr>
          <w:rFonts w:hint="eastAsia" w:ascii="仿宋" w:hAnsi="仿宋" w:eastAsia="仿宋"/>
          <w:color w:val="auto"/>
          <w:sz w:val="24"/>
          <w:highlight w:val="none"/>
        </w:rPr>
        <w:t>联合体各成员方共同与采购人签订合同，并就采购合同约定的事项对采购人承担连带责任。</w:t>
      </w:r>
    </w:p>
    <w:p>
      <w:pPr>
        <w:snapToGrid w:val="0"/>
        <w:spacing w:line="360" w:lineRule="auto"/>
        <w:ind w:firstLine="576"/>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六、有关本次联合投标的其他事宜：</w:t>
      </w:r>
    </w:p>
    <w:p>
      <w:pPr>
        <w:snapToGrid w:val="0"/>
        <w:spacing w:line="360" w:lineRule="auto"/>
        <w:ind w:firstLine="576"/>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1、联合体各方不再单独参加或者与其</w:t>
      </w:r>
      <w:r>
        <w:rPr>
          <w:rFonts w:hint="eastAsia" w:ascii="仿宋" w:hAnsi="仿宋" w:eastAsia="仿宋" w:cs="仿宋_GB2312"/>
          <w:color w:val="auto"/>
          <w:kern w:val="0"/>
          <w:sz w:val="24"/>
          <w:highlight w:val="none"/>
          <w:lang w:val="zh-CN"/>
        </w:rPr>
        <w:t>他供应商另外组成联合体参加同一合同项下的政府采购活动。</w:t>
      </w:r>
    </w:p>
    <w:p>
      <w:pPr>
        <w:snapToGrid w:val="0"/>
        <w:spacing w:line="360" w:lineRule="auto"/>
        <w:ind w:firstLine="576"/>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3、本协议提交采购人、采购代理机构后，联合体各方不得以任何形式对上述内容进行修改或撤销。</w:t>
      </w:r>
    </w:p>
    <w:p>
      <w:pPr>
        <w:snapToGrid w:val="0"/>
        <w:spacing w:line="360" w:lineRule="auto"/>
        <w:jc w:val="righ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联合体成员名称</w:t>
      </w:r>
      <w:r>
        <w:rPr>
          <w:rFonts w:ascii="仿宋" w:hAnsi="仿宋" w:eastAsia="仿宋" w:cs="仿宋_GB2312"/>
          <w:color w:val="auto"/>
          <w:kern w:val="0"/>
          <w:sz w:val="24"/>
          <w:highlight w:val="none"/>
          <w:lang w:val="zh-CN"/>
        </w:rPr>
        <w:t>(电子签名/公章)：</w:t>
      </w:r>
    </w:p>
    <w:p>
      <w:pPr>
        <w:snapToGrid w:val="0"/>
        <w:spacing w:line="360" w:lineRule="auto"/>
        <w:jc w:val="righ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联合体成员名称</w:t>
      </w:r>
      <w:r>
        <w:rPr>
          <w:rFonts w:ascii="仿宋" w:hAnsi="仿宋" w:eastAsia="仿宋" w:cs="仿宋_GB2312"/>
          <w:color w:val="auto"/>
          <w:kern w:val="0"/>
          <w:sz w:val="24"/>
          <w:highlight w:val="none"/>
          <w:lang w:val="zh-CN"/>
        </w:rPr>
        <w:t>(电子签名/公章)：</w:t>
      </w:r>
    </w:p>
    <w:p>
      <w:pPr>
        <w:snapToGrid w:val="0"/>
        <w:spacing w:line="360" w:lineRule="auto"/>
        <w:ind w:firstLine="5760" w:firstLineChars="2400"/>
        <w:rPr>
          <w:rFonts w:ascii="仿宋" w:hAnsi="仿宋" w:eastAsia="仿宋"/>
          <w:color w:val="auto"/>
          <w:highlight w:val="none"/>
        </w:rPr>
      </w:pPr>
      <w:r>
        <w:rPr>
          <w:rFonts w:hint="eastAsia" w:ascii="仿宋" w:hAnsi="仿宋" w:eastAsia="仿宋" w:cs="仿宋_GB2312"/>
          <w:color w:val="auto"/>
          <w:kern w:val="0"/>
          <w:sz w:val="24"/>
          <w:highlight w:val="none"/>
          <w:lang w:val="zh-CN"/>
        </w:rPr>
        <w:t>……</w:t>
      </w:r>
    </w:p>
    <w:p>
      <w:pPr>
        <w:snapToGrid w:val="0"/>
        <w:spacing w:line="360" w:lineRule="auto"/>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 xml:space="preserve">                                               日期：  年  月   日</w:t>
      </w:r>
    </w:p>
    <w:p>
      <w:pPr>
        <w:pStyle w:val="3"/>
        <w:rPr>
          <w:rFonts w:ascii="仿宋" w:hAnsi="仿宋" w:eastAsia="仿宋"/>
          <w:color w:val="auto"/>
          <w:highlight w:val="none"/>
        </w:rPr>
      </w:pPr>
    </w:p>
    <w:p>
      <w:pPr>
        <w:widowControl/>
        <w:numPr>
          <w:ilvl w:val="0"/>
          <w:numId w:val="11"/>
        </w:numPr>
        <w:snapToGrid w:val="0"/>
        <w:spacing w:line="360" w:lineRule="auto"/>
        <w:jc w:val="center"/>
        <w:outlineLvl w:val="1"/>
        <w:rPr>
          <w:rFonts w:ascii="仿宋" w:hAnsi="仿宋" w:eastAsia="仿宋" w:cs="仿宋_GB2312"/>
          <w:b/>
          <w:color w:val="auto"/>
          <w:kern w:val="0"/>
          <w:sz w:val="32"/>
          <w:szCs w:val="32"/>
          <w:highlight w:val="none"/>
        </w:rPr>
      </w:pPr>
      <w:bookmarkStart w:id="592" w:name="_Toc23177"/>
      <w:bookmarkStart w:id="593" w:name="_Toc788892681"/>
      <w:bookmarkStart w:id="594" w:name="_Toc95313012"/>
      <w:bookmarkStart w:id="595" w:name="_Toc831892287"/>
      <w:bookmarkStart w:id="596" w:name="_Toc4304"/>
      <w:r>
        <w:rPr>
          <w:rFonts w:hint="eastAsia" w:ascii="仿宋" w:hAnsi="仿宋" w:eastAsia="仿宋" w:cs="仿宋_GB2312"/>
          <w:b/>
          <w:color w:val="auto"/>
          <w:kern w:val="0"/>
          <w:sz w:val="32"/>
          <w:szCs w:val="32"/>
          <w:highlight w:val="none"/>
        </w:rPr>
        <w:t>本项目的特定资格要求</w:t>
      </w:r>
      <w:bookmarkEnd w:id="592"/>
      <w:bookmarkEnd w:id="593"/>
      <w:bookmarkEnd w:id="594"/>
      <w:bookmarkEnd w:id="595"/>
      <w:bookmarkEnd w:id="596"/>
    </w:p>
    <w:p>
      <w:pPr>
        <w:widowControl/>
        <w:snapToGrid w:val="0"/>
        <w:spacing w:line="360" w:lineRule="auto"/>
        <w:jc w:val="center"/>
        <w:rPr>
          <w:rFonts w:ascii="仿宋" w:hAnsi="仿宋" w:eastAsia="仿宋" w:cs="仿宋_GB2312"/>
          <w:b/>
          <w:color w:val="auto"/>
          <w:kern w:val="0"/>
          <w:sz w:val="32"/>
          <w:szCs w:val="32"/>
          <w:highlight w:val="none"/>
        </w:rPr>
      </w:pPr>
      <w:r>
        <w:rPr>
          <w:rFonts w:hint="eastAsia" w:ascii="仿宋" w:hAnsi="仿宋" w:eastAsia="仿宋" w:cs="仿宋_GB2312"/>
          <w:b/>
          <w:color w:val="auto"/>
          <w:kern w:val="0"/>
          <w:sz w:val="32"/>
          <w:szCs w:val="32"/>
          <w:highlight w:val="none"/>
        </w:rPr>
        <w:t>无</w:t>
      </w:r>
    </w:p>
    <w:p>
      <w:pPr>
        <w:snapToGrid w:val="0"/>
        <w:spacing w:line="360" w:lineRule="auto"/>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rPr>
          <w:rFonts w:ascii="仿宋" w:hAnsi="仿宋" w:eastAsia="仿宋" w:cs="仿宋_GB2312"/>
          <w:b/>
          <w:color w:val="auto"/>
          <w:kern w:val="0"/>
          <w:sz w:val="36"/>
          <w:szCs w:val="36"/>
          <w:highlight w:val="none"/>
        </w:rPr>
      </w:pPr>
    </w:p>
    <w:p>
      <w:pPr>
        <w:snapToGrid w:val="0"/>
        <w:spacing w:line="360" w:lineRule="auto"/>
        <w:jc w:val="center"/>
        <w:rPr>
          <w:rFonts w:ascii="仿宋" w:hAnsi="仿宋" w:eastAsia="仿宋" w:cs="仿宋_GB2312"/>
          <w:b/>
          <w:color w:val="auto"/>
          <w:kern w:val="0"/>
          <w:sz w:val="36"/>
          <w:szCs w:val="36"/>
          <w:highlight w:val="none"/>
        </w:rPr>
      </w:pPr>
    </w:p>
    <w:p>
      <w:pPr>
        <w:rPr>
          <w:rFonts w:ascii="仿宋" w:hAnsi="仿宋" w:eastAsia="仿宋" w:cs="仿宋_GB2312"/>
          <w:b/>
          <w:color w:val="auto"/>
          <w:kern w:val="0"/>
          <w:sz w:val="36"/>
          <w:szCs w:val="36"/>
          <w:highlight w:val="none"/>
        </w:rPr>
      </w:pPr>
      <w:r>
        <w:rPr>
          <w:rFonts w:hint="eastAsia" w:ascii="仿宋" w:hAnsi="仿宋" w:eastAsia="仿宋" w:cs="仿宋_GB2312"/>
          <w:b/>
          <w:color w:val="auto"/>
          <w:kern w:val="0"/>
          <w:sz w:val="36"/>
          <w:szCs w:val="36"/>
          <w:highlight w:val="none"/>
        </w:rPr>
        <w:br w:type="page"/>
      </w:r>
    </w:p>
    <w:p>
      <w:pPr>
        <w:snapToGrid w:val="0"/>
        <w:spacing w:line="360" w:lineRule="auto"/>
        <w:jc w:val="center"/>
        <w:outlineLvl w:val="1"/>
        <w:rPr>
          <w:rFonts w:ascii="仿宋" w:hAnsi="仿宋" w:eastAsia="仿宋" w:cs="仿宋_GB2312"/>
          <w:b/>
          <w:color w:val="auto"/>
          <w:kern w:val="0"/>
          <w:sz w:val="36"/>
          <w:szCs w:val="36"/>
          <w:highlight w:val="none"/>
        </w:rPr>
      </w:pPr>
      <w:bookmarkStart w:id="597" w:name="_Toc5790"/>
      <w:bookmarkStart w:id="598" w:name="_Toc355252989"/>
      <w:bookmarkStart w:id="599" w:name="_Toc95313013"/>
      <w:bookmarkStart w:id="600" w:name="_Toc1495125639"/>
      <w:bookmarkStart w:id="601" w:name="_Toc26670"/>
      <w:r>
        <w:rPr>
          <w:rFonts w:hint="eastAsia" w:ascii="仿宋" w:hAnsi="仿宋" w:eastAsia="仿宋" w:cs="仿宋_GB2312"/>
          <w:b/>
          <w:color w:val="auto"/>
          <w:kern w:val="0"/>
          <w:sz w:val="36"/>
          <w:szCs w:val="36"/>
          <w:highlight w:val="none"/>
        </w:rPr>
        <w:t>商务技术文件部分</w:t>
      </w:r>
      <w:bookmarkEnd w:id="597"/>
      <w:bookmarkEnd w:id="598"/>
      <w:bookmarkEnd w:id="599"/>
      <w:bookmarkEnd w:id="600"/>
      <w:bookmarkEnd w:id="601"/>
    </w:p>
    <w:p>
      <w:pPr>
        <w:snapToGrid w:val="0"/>
        <w:spacing w:line="360" w:lineRule="auto"/>
        <w:jc w:val="center"/>
        <w:rPr>
          <w:rFonts w:ascii="仿宋" w:hAnsi="仿宋" w:eastAsia="仿宋" w:cs="仿宋_GB2312"/>
          <w:b/>
          <w:color w:val="auto"/>
          <w:kern w:val="0"/>
          <w:sz w:val="24"/>
          <w:highlight w:val="none"/>
        </w:rPr>
      </w:pPr>
    </w:p>
    <w:p>
      <w:pPr>
        <w:snapToGrid w:val="0"/>
        <w:spacing w:line="360" w:lineRule="auto"/>
        <w:jc w:val="center"/>
        <w:rPr>
          <w:rFonts w:ascii="仿宋" w:hAnsi="仿宋" w:eastAsia="仿宋" w:cs="仿宋_GB2312"/>
          <w:b/>
          <w:color w:val="auto"/>
          <w:kern w:val="0"/>
          <w:sz w:val="28"/>
          <w:szCs w:val="28"/>
          <w:highlight w:val="none"/>
        </w:rPr>
      </w:pPr>
      <w:r>
        <w:rPr>
          <w:rFonts w:hint="eastAsia" w:ascii="仿宋" w:hAnsi="仿宋" w:eastAsia="仿宋" w:cs="仿宋_GB2312"/>
          <w:b/>
          <w:color w:val="auto"/>
          <w:kern w:val="0"/>
          <w:sz w:val="28"/>
          <w:szCs w:val="28"/>
          <w:highlight w:val="none"/>
        </w:rPr>
        <w:t>目录</w:t>
      </w:r>
    </w:p>
    <w:p>
      <w:pPr>
        <w:snapToGrid w:val="0"/>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rPr>
        <w:t>（</w:t>
      </w:r>
      <w:r>
        <w:rPr>
          <w:rFonts w:ascii="仿宋" w:hAnsi="仿宋" w:eastAsia="仿宋" w:cs="仿宋_GB2312"/>
          <w:color w:val="auto"/>
          <w:sz w:val="24"/>
          <w:highlight w:val="none"/>
        </w:rPr>
        <w:t>1）投标函</w:t>
      </w:r>
      <w:r>
        <w:rPr>
          <w:rFonts w:hint="eastAsia" w:ascii="仿宋" w:hAnsi="仿宋" w:eastAsia="仿宋" w:cs="仿宋_GB2312"/>
          <w:color w:val="auto"/>
          <w:sz w:val="24"/>
          <w:highlight w:val="none"/>
        </w:rPr>
        <w:t>………………………………………………………………（页码）</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（2）授权委托书</w:t>
      </w:r>
      <w:r>
        <w:rPr>
          <w:rFonts w:hint="eastAsia" w:ascii="仿宋" w:hAnsi="仿宋" w:eastAsia="仿宋" w:cs="仿宋_GB2312"/>
          <w:color w:val="auto"/>
          <w:sz w:val="24"/>
          <w:highlight w:val="none"/>
        </w:rPr>
        <w:t>…………………………………………………………（页码）</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（3）法定代表人和授权委托代表的有效身份证复印件</w:t>
      </w:r>
      <w:r>
        <w:rPr>
          <w:rFonts w:hint="eastAsia" w:ascii="仿宋" w:hAnsi="仿宋" w:eastAsia="仿宋" w:cs="仿宋_GB2312"/>
          <w:color w:val="auto"/>
          <w:sz w:val="24"/>
          <w:highlight w:val="none"/>
        </w:rPr>
        <w:t>………………（页码）</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（4）制造厂家介绍及投标人成功案例</w:t>
      </w:r>
      <w:r>
        <w:rPr>
          <w:rFonts w:hint="eastAsia" w:ascii="仿宋" w:hAnsi="仿宋" w:eastAsia="仿宋" w:cs="仿宋_GB2312"/>
          <w:color w:val="auto"/>
          <w:sz w:val="24"/>
          <w:highlight w:val="none"/>
        </w:rPr>
        <w:t>…………………………………（页码）</w:t>
      </w:r>
    </w:p>
    <w:p>
      <w:pPr>
        <w:snapToGrid w:val="0"/>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lang w:val="zh-CN"/>
        </w:rPr>
        <w:t>（5）</w:t>
      </w:r>
      <w:r>
        <w:rPr>
          <w:rFonts w:hint="eastAsia" w:ascii="仿宋" w:hAnsi="仿宋" w:eastAsia="仿宋" w:cs="宋体"/>
          <w:color w:val="auto"/>
          <w:sz w:val="24"/>
          <w:highlight w:val="none"/>
        </w:rPr>
        <w:t>所有资质文件（如有，复印件加盖公章）</w:t>
      </w:r>
      <w:r>
        <w:rPr>
          <w:rFonts w:hint="eastAsia" w:ascii="仿宋" w:hAnsi="仿宋" w:eastAsia="仿宋" w:cs="仿宋_GB2312"/>
          <w:color w:val="auto"/>
          <w:sz w:val="24"/>
          <w:highlight w:val="none"/>
        </w:rPr>
        <w:t>………………………（页码）</w:t>
      </w:r>
    </w:p>
    <w:p>
      <w:pPr>
        <w:snapToGrid w:val="0"/>
        <w:spacing w:line="360" w:lineRule="auto"/>
        <w:rPr>
          <w:rFonts w:ascii="仿宋" w:hAnsi="仿宋" w:eastAsia="仿宋"/>
          <w:color w:val="auto"/>
          <w:sz w:val="24"/>
          <w:highlight w:val="none"/>
          <w:lang w:val="zh-CN"/>
        </w:rPr>
      </w:pPr>
      <w:r>
        <w:rPr>
          <w:rFonts w:hint="eastAsia" w:ascii="仿宋" w:hAnsi="仿宋" w:eastAsia="仿宋"/>
          <w:color w:val="auto"/>
          <w:sz w:val="24"/>
          <w:highlight w:val="none"/>
          <w:lang w:val="zh-CN"/>
        </w:rPr>
        <w:t>（6）投标人应提供针对项目的完整技术解决方案</w:t>
      </w:r>
      <w:r>
        <w:rPr>
          <w:rFonts w:hint="eastAsia" w:ascii="仿宋" w:hAnsi="仿宋" w:eastAsia="仿宋" w:cs="仿宋_GB2312"/>
          <w:color w:val="auto"/>
          <w:sz w:val="24"/>
          <w:highlight w:val="none"/>
        </w:rPr>
        <w:t>……………………（页码）</w:t>
      </w:r>
    </w:p>
    <w:p>
      <w:pPr>
        <w:tabs>
          <w:tab w:val="left" w:pos="930"/>
        </w:tabs>
        <w:autoSpaceDE w:val="0"/>
        <w:autoSpaceDN w:val="0"/>
        <w:spacing w:line="360" w:lineRule="auto"/>
        <w:rPr>
          <w:rFonts w:hint="eastAsia" w:ascii="仿宋" w:hAnsi="仿宋" w:eastAsia="仿宋"/>
          <w:color w:val="auto"/>
          <w:sz w:val="24"/>
          <w:highlight w:val="none"/>
        </w:rPr>
      </w:pPr>
      <w:r>
        <w:rPr>
          <w:rFonts w:hint="eastAsia" w:ascii="仿宋" w:hAnsi="仿宋" w:eastAsia="仿宋"/>
          <w:color w:val="auto"/>
          <w:kern w:val="0"/>
          <w:sz w:val="24"/>
          <w:highlight w:val="none"/>
        </w:rPr>
        <w:t>（7）</w:t>
      </w:r>
      <w:r>
        <w:rPr>
          <w:rFonts w:hint="eastAsia" w:ascii="仿宋" w:hAnsi="仿宋" w:eastAsia="仿宋"/>
          <w:color w:val="auto"/>
          <w:sz w:val="24"/>
          <w:highlight w:val="none"/>
        </w:rPr>
        <w:t>项目实施相关设备名称、配置、数量；所投标的货物的完整配置方案</w:t>
      </w:r>
      <w:r>
        <w:rPr>
          <w:rFonts w:hint="eastAsia" w:ascii="仿宋" w:hAnsi="仿宋" w:eastAsia="仿宋" w:cs="仿宋_GB2312"/>
          <w:color w:val="auto"/>
          <w:sz w:val="24"/>
          <w:highlight w:val="none"/>
        </w:rPr>
        <w:t>……………………………………………………………………………（页码）</w:t>
      </w:r>
      <w:r>
        <w:rPr>
          <w:rFonts w:hint="eastAsia" w:ascii="仿宋" w:hAnsi="仿宋" w:eastAsia="仿宋"/>
          <w:color w:val="auto"/>
          <w:kern w:val="0"/>
          <w:sz w:val="24"/>
          <w:highlight w:val="none"/>
        </w:rPr>
        <w:t xml:space="preserve"> </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（8）</w:t>
      </w:r>
      <w:r>
        <w:rPr>
          <w:rFonts w:hint="eastAsia" w:ascii="仿宋" w:hAnsi="仿宋" w:eastAsia="仿宋"/>
          <w:color w:val="auto"/>
          <w:kern w:val="0"/>
          <w:sz w:val="24"/>
          <w:highlight w:val="none"/>
        </w:rPr>
        <w:t>针对本项目建设的详细实施计划</w:t>
      </w:r>
      <w:r>
        <w:rPr>
          <w:rFonts w:hint="eastAsia" w:ascii="仿宋" w:hAnsi="仿宋" w:eastAsia="仿宋" w:cs="仿宋_GB2312"/>
          <w:color w:val="auto"/>
          <w:sz w:val="24"/>
          <w:highlight w:val="none"/>
        </w:rPr>
        <w:t>……………………………………（页码）</w:t>
      </w:r>
      <w:r>
        <w:rPr>
          <w:rFonts w:hint="eastAsia" w:ascii="仿宋" w:hAnsi="仿宋" w:eastAsia="仿宋"/>
          <w:color w:val="auto"/>
          <w:kern w:val="0"/>
          <w:sz w:val="24"/>
          <w:highlight w:val="none"/>
        </w:rPr>
        <w:t xml:space="preserve"> </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w:t>
      </w:r>
      <w:r>
        <w:rPr>
          <w:rFonts w:hint="eastAsia" w:ascii="仿宋" w:hAnsi="仿宋" w:eastAsia="仿宋"/>
          <w:color w:val="auto"/>
          <w:kern w:val="0"/>
          <w:sz w:val="24"/>
          <w:highlight w:val="none"/>
          <w:lang w:val="en-US" w:eastAsia="zh-CN"/>
        </w:rPr>
        <w:t>9</w:t>
      </w:r>
      <w:r>
        <w:rPr>
          <w:rFonts w:hint="eastAsia" w:ascii="仿宋" w:hAnsi="仿宋" w:eastAsia="仿宋"/>
          <w:color w:val="auto"/>
          <w:kern w:val="0"/>
          <w:sz w:val="24"/>
          <w:highlight w:val="none"/>
          <w:lang w:val="zh-CN"/>
        </w:rPr>
        <w:t xml:space="preserve">）项目实施期间的维护方案 </w:t>
      </w:r>
      <w:r>
        <w:rPr>
          <w:rFonts w:hint="eastAsia" w:ascii="仿宋" w:hAnsi="仿宋" w:eastAsia="仿宋" w:cs="仿宋_GB2312"/>
          <w:color w:val="auto"/>
          <w:sz w:val="24"/>
          <w:highlight w:val="none"/>
        </w:rPr>
        <w:t>…………………………………………（页码）</w:t>
      </w:r>
    </w:p>
    <w:p>
      <w:pPr>
        <w:tabs>
          <w:tab w:val="left" w:pos="930"/>
        </w:tabs>
        <w:autoSpaceDE w:val="0"/>
        <w:autoSpaceDN w:val="0"/>
        <w:spacing w:line="360" w:lineRule="auto"/>
        <w:rPr>
          <w:rFonts w:hint="eastAsia"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w:t>
      </w:r>
      <w:r>
        <w:rPr>
          <w:rFonts w:hint="eastAsia" w:ascii="仿宋" w:hAnsi="仿宋" w:eastAsia="仿宋"/>
          <w:color w:val="auto"/>
          <w:kern w:val="0"/>
          <w:sz w:val="24"/>
          <w:highlight w:val="none"/>
          <w:lang w:val="en-US" w:eastAsia="zh-CN"/>
        </w:rPr>
        <w:t>10</w:t>
      </w:r>
      <w:r>
        <w:rPr>
          <w:rFonts w:hint="eastAsia" w:ascii="仿宋" w:hAnsi="仿宋" w:eastAsia="仿宋"/>
          <w:color w:val="auto"/>
          <w:kern w:val="0"/>
          <w:sz w:val="24"/>
          <w:highlight w:val="none"/>
          <w:lang w:val="zh-CN"/>
        </w:rPr>
        <w:t>）投标人为完成本项目组建的工作小组名单</w:t>
      </w:r>
      <w:r>
        <w:rPr>
          <w:rFonts w:hint="eastAsia" w:ascii="仿宋" w:hAnsi="仿宋" w:eastAsia="仿宋" w:cs="仿宋_GB2312"/>
          <w:color w:val="auto"/>
          <w:sz w:val="24"/>
          <w:highlight w:val="none"/>
        </w:rPr>
        <w:t>………………………（页码）</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ascii="仿宋" w:hAnsi="仿宋" w:eastAsia="仿宋"/>
          <w:color w:val="auto"/>
          <w:kern w:val="0"/>
          <w:sz w:val="24"/>
          <w:highlight w:val="none"/>
          <w:lang w:val="zh-CN"/>
        </w:rPr>
        <w:t>1</w:t>
      </w:r>
      <w:r>
        <w:rPr>
          <w:rFonts w:hint="eastAsia" w:ascii="仿宋" w:hAnsi="仿宋" w:eastAsia="仿宋"/>
          <w:color w:val="auto"/>
          <w:kern w:val="0"/>
          <w:sz w:val="24"/>
          <w:highlight w:val="none"/>
          <w:lang w:val="zh-CN"/>
        </w:rPr>
        <w:t>）优惠条件及特殊承诺</w:t>
      </w:r>
      <w:r>
        <w:rPr>
          <w:rFonts w:hint="eastAsia" w:ascii="仿宋" w:hAnsi="仿宋" w:eastAsia="仿宋" w:cs="仿宋_GB2312"/>
          <w:color w:val="auto"/>
          <w:sz w:val="24"/>
          <w:highlight w:val="none"/>
        </w:rPr>
        <w:t>………………………………………………（页码）</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hint="eastAsia" w:ascii="仿宋" w:hAnsi="仿宋" w:eastAsia="仿宋"/>
          <w:color w:val="auto"/>
          <w:kern w:val="0"/>
          <w:sz w:val="24"/>
          <w:highlight w:val="none"/>
          <w:lang w:val="en-US" w:eastAsia="zh-CN"/>
        </w:rPr>
        <w:t>2</w:t>
      </w:r>
      <w:r>
        <w:rPr>
          <w:rFonts w:hint="eastAsia" w:ascii="仿宋" w:hAnsi="仿宋" w:eastAsia="仿宋"/>
          <w:color w:val="auto"/>
          <w:kern w:val="0"/>
          <w:sz w:val="24"/>
          <w:highlight w:val="none"/>
          <w:lang w:val="zh-CN"/>
        </w:rPr>
        <w:t>）备品备件清单（包含在投标报价中）</w:t>
      </w:r>
      <w:r>
        <w:rPr>
          <w:rFonts w:hint="eastAsia" w:ascii="仿宋" w:hAnsi="仿宋" w:eastAsia="仿宋" w:cs="仿宋_GB2312"/>
          <w:color w:val="auto"/>
          <w:sz w:val="24"/>
          <w:highlight w:val="none"/>
        </w:rPr>
        <w:t>……………………………（页码）</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hint="eastAsia" w:ascii="仿宋" w:hAnsi="仿宋" w:eastAsia="仿宋"/>
          <w:color w:val="auto"/>
          <w:kern w:val="0"/>
          <w:sz w:val="24"/>
          <w:highlight w:val="none"/>
          <w:lang w:val="en-US" w:eastAsia="zh-CN"/>
        </w:rPr>
        <w:t>3</w:t>
      </w:r>
      <w:r>
        <w:rPr>
          <w:rFonts w:hint="eastAsia" w:ascii="仿宋" w:hAnsi="仿宋" w:eastAsia="仿宋"/>
          <w:color w:val="auto"/>
          <w:kern w:val="0"/>
          <w:sz w:val="24"/>
          <w:highlight w:val="none"/>
          <w:lang w:val="zh-CN"/>
        </w:rPr>
        <w:t>）培训计划（每项注明具体内容及是否需要费用）</w:t>
      </w:r>
      <w:r>
        <w:rPr>
          <w:rFonts w:hint="eastAsia" w:ascii="仿宋" w:hAnsi="仿宋" w:eastAsia="仿宋" w:cs="仿宋_GB2312"/>
          <w:color w:val="auto"/>
          <w:sz w:val="24"/>
          <w:highlight w:val="none"/>
        </w:rPr>
        <w:t>………………（页码）</w:t>
      </w:r>
      <w:r>
        <w:rPr>
          <w:rFonts w:hint="eastAsia" w:ascii="仿宋" w:hAnsi="仿宋" w:eastAsia="仿宋"/>
          <w:color w:val="auto"/>
          <w:kern w:val="0"/>
          <w:sz w:val="24"/>
          <w:highlight w:val="none"/>
          <w:lang w:val="zh-CN"/>
        </w:rPr>
        <w:t>（1</w:t>
      </w:r>
      <w:r>
        <w:rPr>
          <w:rFonts w:hint="eastAsia" w:ascii="仿宋" w:hAnsi="仿宋" w:eastAsia="仿宋"/>
          <w:color w:val="auto"/>
          <w:kern w:val="0"/>
          <w:sz w:val="24"/>
          <w:highlight w:val="none"/>
          <w:lang w:val="en-US" w:eastAsia="zh-CN"/>
        </w:rPr>
        <w:t>4</w:t>
      </w:r>
      <w:r>
        <w:rPr>
          <w:rFonts w:hint="eastAsia" w:ascii="仿宋" w:hAnsi="仿宋" w:eastAsia="仿宋"/>
          <w:color w:val="auto"/>
          <w:kern w:val="0"/>
          <w:sz w:val="24"/>
          <w:highlight w:val="none"/>
          <w:lang w:val="zh-CN"/>
        </w:rPr>
        <w:t>）商务技术偏离表</w:t>
      </w:r>
      <w:r>
        <w:rPr>
          <w:rFonts w:hint="eastAsia" w:ascii="仿宋" w:hAnsi="仿宋" w:eastAsia="仿宋" w:cs="仿宋_GB2312"/>
          <w:color w:val="auto"/>
          <w:sz w:val="24"/>
          <w:highlight w:val="none"/>
        </w:rPr>
        <w:t>……………………………………………………（页码）</w:t>
      </w:r>
    </w:p>
    <w:p>
      <w:pPr>
        <w:tabs>
          <w:tab w:val="left" w:pos="930"/>
        </w:tabs>
        <w:autoSpaceDE w:val="0"/>
        <w:autoSpaceDN w:val="0"/>
        <w:spacing w:line="360" w:lineRule="auto"/>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（1</w:t>
      </w:r>
      <w:r>
        <w:rPr>
          <w:rFonts w:hint="eastAsia" w:ascii="仿宋" w:hAnsi="仿宋" w:eastAsia="仿宋"/>
          <w:color w:val="auto"/>
          <w:kern w:val="0"/>
          <w:sz w:val="24"/>
          <w:highlight w:val="none"/>
          <w:lang w:val="en-US" w:eastAsia="zh-CN"/>
        </w:rPr>
        <w:t>5</w:t>
      </w:r>
      <w:r>
        <w:rPr>
          <w:rFonts w:hint="eastAsia" w:ascii="仿宋" w:hAnsi="仿宋" w:eastAsia="仿宋"/>
          <w:color w:val="auto"/>
          <w:kern w:val="0"/>
          <w:sz w:val="24"/>
          <w:highlight w:val="none"/>
          <w:lang w:val="zh-CN"/>
        </w:rPr>
        <w:t>）其他必要提供资料</w:t>
      </w:r>
      <w:r>
        <w:rPr>
          <w:rFonts w:hint="eastAsia" w:ascii="仿宋" w:hAnsi="仿宋" w:eastAsia="仿宋" w:cs="仿宋_GB2312"/>
          <w:color w:val="auto"/>
          <w:sz w:val="24"/>
          <w:highlight w:val="none"/>
        </w:rPr>
        <w:t>…………………………………………………（页码）</w:t>
      </w:r>
    </w:p>
    <w:p>
      <w:pPr>
        <w:pStyle w:val="18"/>
        <w:snapToGrid w:val="0"/>
        <w:spacing w:line="360" w:lineRule="auto"/>
        <w:ind w:left="1680" w:leftChars="0" w:hanging="1680" w:hangingChars="700"/>
        <w:jc w:val="left"/>
        <w:rPr>
          <w:rFonts w:ascii="仿宋" w:hAnsi="仿宋" w:eastAsia="仿宋" w:cs="宋体"/>
          <w:bCs/>
          <w:color w:val="auto"/>
          <w:kern w:val="0"/>
          <w:sz w:val="24"/>
          <w:highlight w:val="none"/>
        </w:rPr>
      </w:pPr>
      <w:r>
        <w:rPr>
          <w:rFonts w:hint="eastAsia" w:ascii="仿宋" w:hAnsi="仿宋" w:eastAsia="仿宋" w:cs="宋体"/>
          <w:color w:val="auto"/>
          <w:sz w:val="24"/>
          <w:highlight w:val="none"/>
        </w:rPr>
        <w:t>（1</w:t>
      </w:r>
      <w:r>
        <w:rPr>
          <w:rFonts w:hint="eastAsia" w:ascii="仿宋" w:hAnsi="仿宋" w:eastAsia="仿宋" w:cs="宋体"/>
          <w:color w:val="auto"/>
          <w:sz w:val="24"/>
          <w:highlight w:val="none"/>
          <w:lang w:val="en-US" w:eastAsia="zh-CN"/>
        </w:rPr>
        <w:t>6</w:t>
      </w:r>
      <w:r>
        <w:rPr>
          <w:rFonts w:hint="eastAsia" w:ascii="仿宋" w:hAnsi="仿宋" w:eastAsia="仿宋" w:cs="宋体"/>
          <w:color w:val="auto"/>
          <w:sz w:val="24"/>
          <w:highlight w:val="none"/>
        </w:rPr>
        <w:t>）</w:t>
      </w:r>
      <w:r>
        <w:rPr>
          <w:rFonts w:hint="eastAsia" w:ascii="仿宋" w:hAnsi="仿宋" w:eastAsia="仿宋" w:cs="宋体"/>
          <w:bCs/>
          <w:color w:val="auto"/>
          <w:kern w:val="0"/>
          <w:sz w:val="24"/>
          <w:highlight w:val="none"/>
        </w:rPr>
        <w:t>政府采购供应商廉洁自律承诺书</w:t>
      </w:r>
      <w:r>
        <w:rPr>
          <w:rFonts w:hint="eastAsia" w:ascii="仿宋" w:hAnsi="仿宋" w:eastAsia="仿宋" w:cs="仿宋_GB2312"/>
          <w:color w:val="auto"/>
          <w:sz w:val="24"/>
          <w:highlight w:val="none"/>
        </w:rPr>
        <w:t>………………………………（页码）</w:t>
      </w:r>
    </w:p>
    <w:p>
      <w:pPr>
        <w:snapToGrid w:val="0"/>
        <w:spacing w:line="360" w:lineRule="auto"/>
        <w:ind w:left="2249" w:hanging="2249" w:hangingChars="700"/>
        <w:jc w:val="left"/>
        <w:rPr>
          <w:rFonts w:ascii="仿宋" w:hAnsi="仿宋" w:eastAsia="仿宋" w:cs="仿宋_GB2312"/>
          <w:b/>
          <w:color w:val="auto"/>
          <w:kern w:val="0"/>
          <w:sz w:val="32"/>
          <w:szCs w:val="32"/>
          <w:highlight w:val="none"/>
          <w:lang w:val="zh-CN"/>
        </w:rPr>
      </w:pPr>
    </w:p>
    <w:p>
      <w:pPr>
        <w:snapToGrid w:val="0"/>
        <w:spacing w:line="360" w:lineRule="auto"/>
        <w:ind w:left="2249" w:hanging="2249" w:hangingChars="700"/>
        <w:jc w:val="left"/>
        <w:rPr>
          <w:rFonts w:ascii="仿宋" w:hAnsi="仿宋" w:eastAsia="仿宋" w:cs="仿宋_GB2312"/>
          <w:b/>
          <w:color w:val="auto"/>
          <w:kern w:val="0"/>
          <w:sz w:val="32"/>
          <w:szCs w:val="32"/>
          <w:highlight w:val="none"/>
          <w:lang w:val="zh-CN"/>
        </w:rPr>
      </w:pPr>
    </w:p>
    <w:p>
      <w:pPr>
        <w:snapToGrid w:val="0"/>
        <w:spacing w:line="360" w:lineRule="auto"/>
        <w:jc w:val="center"/>
        <w:rPr>
          <w:rFonts w:ascii="仿宋" w:hAnsi="仿宋" w:eastAsia="仿宋" w:cs="仿宋_GB2312"/>
          <w:b/>
          <w:color w:val="auto"/>
          <w:kern w:val="0"/>
          <w:sz w:val="32"/>
          <w:szCs w:val="32"/>
          <w:highlight w:val="none"/>
          <w:lang w:val="zh-CN"/>
        </w:rPr>
      </w:pPr>
    </w:p>
    <w:p>
      <w:pPr>
        <w:snapToGrid w:val="0"/>
        <w:spacing w:line="360" w:lineRule="auto"/>
        <w:jc w:val="center"/>
        <w:rPr>
          <w:rFonts w:ascii="仿宋" w:hAnsi="仿宋" w:eastAsia="仿宋" w:cs="仿宋_GB2312"/>
          <w:b/>
          <w:color w:val="auto"/>
          <w:kern w:val="0"/>
          <w:sz w:val="32"/>
          <w:szCs w:val="32"/>
          <w:highlight w:val="none"/>
          <w:lang w:val="zh-CN"/>
        </w:rPr>
      </w:pPr>
    </w:p>
    <w:p>
      <w:pPr>
        <w:snapToGrid w:val="0"/>
        <w:spacing w:line="360" w:lineRule="auto"/>
        <w:jc w:val="center"/>
        <w:rPr>
          <w:rFonts w:ascii="仿宋" w:hAnsi="仿宋" w:eastAsia="仿宋" w:cs="仿宋_GB2312"/>
          <w:b/>
          <w:color w:val="auto"/>
          <w:kern w:val="0"/>
          <w:sz w:val="32"/>
          <w:szCs w:val="32"/>
          <w:highlight w:val="none"/>
          <w:lang w:val="zh-CN"/>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outlineLvl w:val="1"/>
        <w:rPr>
          <w:rFonts w:ascii="仿宋" w:hAnsi="仿宋" w:eastAsia="仿宋" w:cs="仿宋_GB2312"/>
          <w:b/>
          <w:color w:val="auto"/>
          <w:kern w:val="0"/>
          <w:sz w:val="32"/>
          <w:szCs w:val="32"/>
          <w:highlight w:val="none"/>
        </w:rPr>
      </w:pPr>
      <w:bookmarkStart w:id="602" w:name="_Toc95313014"/>
      <w:bookmarkStart w:id="603" w:name="_Toc21925"/>
      <w:bookmarkStart w:id="604" w:name="_Toc18272"/>
      <w:bookmarkStart w:id="605" w:name="_Toc870461126"/>
      <w:bookmarkStart w:id="606" w:name="_Toc732447463"/>
    </w:p>
    <w:p>
      <w:pPr>
        <w:snapToGrid w:val="0"/>
        <w:spacing w:line="360" w:lineRule="auto"/>
        <w:jc w:val="center"/>
        <w:outlineLvl w:val="1"/>
        <w:rPr>
          <w:rFonts w:ascii="仿宋" w:hAnsi="仿宋" w:eastAsia="仿宋" w:cs="仿宋_GB2312"/>
          <w:b/>
          <w:color w:val="auto"/>
          <w:kern w:val="0"/>
          <w:sz w:val="32"/>
          <w:szCs w:val="32"/>
          <w:highlight w:val="none"/>
        </w:rPr>
      </w:pPr>
    </w:p>
    <w:p>
      <w:pPr>
        <w:snapToGrid w:val="0"/>
        <w:spacing w:line="360" w:lineRule="auto"/>
        <w:jc w:val="center"/>
        <w:outlineLvl w:val="1"/>
        <w:rPr>
          <w:rFonts w:ascii="仿宋" w:hAnsi="仿宋" w:eastAsia="仿宋" w:cs="仿宋_GB2312"/>
          <w:b/>
          <w:color w:val="auto"/>
          <w:kern w:val="0"/>
          <w:sz w:val="32"/>
          <w:szCs w:val="32"/>
          <w:highlight w:val="none"/>
        </w:rPr>
      </w:pPr>
    </w:p>
    <w:p>
      <w:pPr>
        <w:snapToGrid w:val="0"/>
        <w:spacing w:line="360" w:lineRule="auto"/>
        <w:jc w:val="center"/>
        <w:outlineLvl w:val="1"/>
        <w:rPr>
          <w:rFonts w:ascii="仿宋" w:hAnsi="仿宋" w:eastAsia="仿宋" w:cs="仿宋_GB2312"/>
          <w:b/>
          <w:color w:val="auto"/>
          <w:sz w:val="32"/>
          <w:szCs w:val="32"/>
          <w:highlight w:val="none"/>
        </w:rPr>
      </w:pPr>
      <w:r>
        <w:rPr>
          <w:rFonts w:hint="eastAsia" w:ascii="仿宋" w:hAnsi="仿宋" w:eastAsia="仿宋" w:cs="仿宋_GB2312"/>
          <w:b/>
          <w:color w:val="auto"/>
          <w:kern w:val="0"/>
          <w:sz w:val="32"/>
          <w:szCs w:val="32"/>
          <w:highlight w:val="none"/>
        </w:rPr>
        <w:t>一、投标</w:t>
      </w:r>
      <w:r>
        <w:rPr>
          <w:rFonts w:hint="eastAsia" w:ascii="仿宋" w:hAnsi="仿宋" w:eastAsia="仿宋" w:cs="仿宋_GB2312"/>
          <w:b/>
          <w:color w:val="auto"/>
          <w:sz w:val="32"/>
          <w:szCs w:val="32"/>
          <w:highlight w:val="none"/>
        </w:rPr>
        <w:t>函</w:t>
      </w:r>
      <w:bookmarkEnd w:id="602"/>
      <w:bookmarkEnd w:id="603"/>
      <w:bookmarkEnd w:id="604"/>
      <w:bookmarkEnd w:id="605"/>
      <w:bookmarkEnd w:id="606"/>
    </w:p>
    <w:p>
      <w:pPr>
        <w:snapToGrid w:val="0"/>
        <w:spacing w:line="360" w:lineRule="auto"/>
        <w:rPr>
          <w:rFonts w:ascii="仿宋" w:hAnsi="仿宋" w:eastAsia="仿宋" w:cs="仿宋_GB2312"/>
          <w:color w:val="auto"/>
          <w:sz w:val="24"/>
          <w:highlight w:val="none"/>
        </w:rPr>
      </w:pPr>
      <w:r>
        <w:rPr>
          <w:rFonts w:hint="eastAsia" w:ascii="仿宋" w:hAnsi="仿宋" w:eastAsia="仿宋" w:cs="仿宋_GB2312"/>
          <w:color w:val="auto"/>
          <w:sz w:val="24"/>
          <w:highlight w:val="none"/>
          <w:u w:val="single"/>
        </w:rPr>
        <w:t>杭州市余杭区机关事务服务中心、杭州中瑞招标代理有限公司</w:t>
      </w:r>
      <w:r>
        <w:rPr>
          <w:rFonts w:hint="eastAsia" w:ascii="仿宋" w:hAnsi="仿宋" w:eastAsia="仿宋" w:cs="仿宋_GB2312"/>
          <w:color w:val="auto"/>
          <w:sz w:val="24"/>
          <w:highlight w:val="none"/>
        </w:rPr>
        <w:t>：</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我方参加你方组织的余杭区市民之家大厅及食堂家具采购【招标编号：</w:t>
      </w:r>
      <w:r>
        <w:rPr>
          <w:rFonts w:hint="eastAsia" w:ascii="仿宋" w:hAnsi="仿宋" w:eastAsia="仿宋"/>
          <w:color w:val="auto"/>
          <w:sz w:val="24"/>
          <w:highlight w:val="none"/>
        </w:rPr>
        <w:t>HZZR-F220213N</w:t>
      </w:r>
      <w:r>
        <w:rPr>
          <w:rFonts w:hint="eastAsia" w:ascii="仿宋" w:hAnsi="仿宋" w:eastAsia="仿宋" w:cs="仿宋_GB2312"/>
          <w:color w:val="auto"/>
          <w:sz w:val="24"/>
          <w:highlight w:val="none"/>
        </w:rPr>
        <w:t>】招标的有关活动，并对此项目进行投标。为此：</w:t>
      </w:r>
    </w:p>
    <w:p>
      <w:pPr>
        <w:snapToGrid w:val="0"/>
        <w:spacing w:line="360" w:lineRule="auto"/>
        <w:ind w:firstLine="420"/>
        <w:rPr>
          <w:rFonts w:ascii="仿宋" w:hAnsi="仿宋" w:eastAsia="仿宋" w:cs="仿宋_GB2312"/>
          <w:color w:val="auto"/>
          <w:sz w:val="24"/>
          <w:highlight w:val="none"/>
        </w:rPr>
      </w:pPr>
      <w:r>
        <w:rPr>
          <w:rFonts w:ascii="仿宋" w:hAnsi="仿宋" w:eastAsia="仿宋" w:cs="仿宋_GB2312"/>
          <w:color w:val="auto"/>
          <w:sz w:val="24"/>
          <w:highlight w:val="none"/>
        </w:rPr>
        <w:t>1、我方承诺投标有效期从提交投标文件的截止之日起</w:t>
      </w:r>
      <w:r>
        <w:rPr>
          <w:rFonts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天（不少于</w:t>
      </w:r>
      <w:r>
        <w:rPr>
          <w:rFonts w:ascii="仿宋" w:hAnsi="仿宋" w:eastAsia="仿宋" w:cs="仿宋_GB2312"/>
          <w:color w:val="auto"/>
          <w:sz w:val="24"/>
          <w:highlight w:val="none"/>
        </w:rPr>
        <w:t>90天）</w:t>
      </w:r>
      <w:r>
        <w:rPr>
          <w:rFonts w:hint="eastAsia" w:ascii="仿宋" w:hAnsi="仿宋" w:eastAsia="仿宋"/>
          <w:color w:val="auto"/>
          <w:highlight w:val="none"/>
        </w:rPr>
        <w:t>，</w:t>
      </w:r>
      <w:r>
        <w:rPr>
          <w:rFonts w:hint="eastAsia" w:ascii="仿宋" w:hAnsi="仿宋" w:eastAsia="仿宋" w:cs="仿宋_GB2312"/>
          <w:color w:val="auto"/>
          <w:sz w:val="24"/>
          <w:highlight w:val="none"/>
        </w:rPr>
        <w:t>本投标文件在投标有效期满之前均具有约束力。</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2、我方的投标文件包括以下内容：</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2.1资格文件：</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2.1.1</w:t>
      </w:r>
      <w:r>
        <w:rPr>
          <w:rFonts w:hint="eastAsia" w:ascii="仿宋" w:hAnsi="仿宋" w:eastAsia="仿宋" w:cs="仿宋_GB2312"/>
          <w:color w:val="auto"/>
          <w:sz w:val="24"/>
          <w:highlight w:val="none"/>
        </w:rPr>
        <w:t>承诺函；</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2.1.2落实政府采购政策需满足的资格要求</w:t>
      </w:r>
      <w:r>
        <w:rPr>
          <w:rFonts w:hint="eastAsia" w:ascii="仿宋" w:hAnsi="仿宋" w:eastAsia="仿宋" w:cs="仿宋_GB2312"/>
          <w:color w:val="auto"/>
          <w:sz w:val="24"/>
          <w:highlight w:val="none"/>
        </w:rPr>
        <w:t>（如果有）；</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2.1.3本项目的特定资格要求</w:t>
      </w:r>
      <w:r>
        <w:rPr>
          <w:rFonts w:hint="eastAsia" w:ascii="仿宋" w:hAnsi="仿宋" w:eastAsia="仿宋" w:cs="仿宋_GB2312"/>
          <w:color w:val="auto"/>
          <w:sz w:val="24"/>
          <w:highlight w:val="none"/>
        </w:rPr>
        <w:t>（如果有）。</w:t>
      </w:r>
    </w:p>
    <w:p>
      <w:pPr>
        <w:snapToGrid w:val="0"/>
        <w:spacing w:line="360" w:lineRule="auto"/>
        <w:ind w:firstLine="480" w:firstLineChars="200"/>
        <w:rPr>
          <w:rFonts w:ascii="仿宋" w:hAnsi="仿宋" w:eastAsia="仿宋" w:cs="仿宋_GB2312"/>
          <w:color w:val="auto"/>
          <w:sz w:val="24"/>
          <w:highlight w:val="none"/>
          <w:lang w:val="zh-CN"/>
        </w:rPr>
      </w:pPr>
      <w:r>
        <w:rPr>
          <w:rFonts w:ascii="仿宋" w:hAnsi="仿宋" w:eastAsia="仿宋" w:cs="仿宋_GB2312"/>
          <w:color w:val="auto"/>
          <w:sz w:val="24"/>
          <w:highlight w:val="none"/>
        </w:rPr>
        <w:t>2</w:t>
      </w:r>
      <w:r>
        <w:rPr>
          <w:rFonts w:ascii="仿宋" w:hAnsi="仿宋" w:eastAsia="仿宋" w:cs="仿宋_GB2312"/>
          <w:color w:val="auto"/>
          <w:sz w:val="24"/>
          <w:highlight w:val="none"/>
          <w:lang w:val="zh-CN"/>
        </w:rPr>
        <w:t>.</w:t>
      </w:r>
      <w:r>
        <w:rPr>
          <w:rFonts w:ascii="仿宋" w:hAnsi="仿宋" w:eastAsia="仿宋" w:cs="仿宋_GB2312"/>
          <w:color w:val="auto"/>
          <w:sz w:val="24"/>
          <w:highlight w:val="none"/>
        </w:rPr>
        <w:t>2</w:t>
      </w:r>
      <w:r>
        <w:rPr>
          <w:rFonts w:ascii="仿宋" w:hAnsi="仿宋" w:eastAsia="仿宋" w:cs="仿宋_GB2312"/>
          <w:color w:val="auto"/>
          <w:sz w:val="24"/>
          <w:highlight w:val="none"/>
          <w:lang w:val="zh-CN"/>
        </w:rPr>
        <w:t xml:space="preserve"> </w:t>
      </w:r>
      <w:r>
        <w:rPr>
          <w:rFonts w:hint="eastAsia" w:ascii="仿宋" w:hAnsi="仿宋" w:eastAsia="仿宋" w:cs="仿宋_GB2312"/>
          <w:color w:val="auto"/>
          <w:sz w:val="24"/>
          <w:highlight w:val="none"/>
        </w:rPr>
        <w:t>商务技术</w:t>
      </w:r>
      <w:r>
        <w:rPr>
          <w:rFonts w:hint="eastAsia" w:ascii="仿宋" w:hAnsi="仿宋" w:eastAsia="仿宋" w:cs="仿宋_GB2312"/>
          <w:color w:val="auto"/>
          <w:sz w:val="24"/>
          <w:highlight w:val="none"/>
          <w:lang w:val="zh-CN"/>
        </w:rPr>
        <w:t>文件：</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2.2.1投标函；</w:t>
      </w:r>
      <w:r>
        <w:rPr>
          <w:rFonts w:ascii="仿宋" w:hAnsi="仿宋" w:eastAsia="仿宋" w:cs="仿宋_GB2312"/>
          <w:color w:val="auto"/>
          <w:sz w:val="24"/>
          <w:highlight w:val="none"/>
          <w:lang w:val="zh-CN"/>
        </w:rPr>
        <w:t xml:space="preserve"> </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2.2.2</w:t>
      </w:r>
      <w:r>
        <w:rPr>
          <w:rFonts w:hint="eastAsia" w:ascii="仿宋" w:hAnsi="仿宋" w:eastAsia="仿宋" w:cs="仿宋_GB2312"/>
          <w:color w:val="auto"/>
          <w:sz w:val="24"/>
          <w:highlight w:val="none"/>
        </w:rPr>
        <w:t>授权委托书；</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2.2.3</w:t>
      </w:r>
      <w:r>
        <w:rPr>
          <w:rFonts w:hint="eastAsia" w:ascii="仿宋" w:hAnsi="仿宋" w:eastAsia="仿宋" w:cs="仿宋_GB2312"/>
          <w:color w:val="auto"/>
          <w:sz w:val="24"/>
          <w:highlight w:val="none"/>
        </w:rPr>
        <w:t>法定代表人和授权委托代表的有效身份证复印件（法定代表人直接参加投标并对相应文件签字的，只需提供前者）；</w:t>
      </w:r>
    </w:p>
    <w:p>
      <w:pPr>
        <w:snapToGrid w:val="0"/>
        <w:spacing w:line="360" w:lineRule="auto"/>
        <w:ind w:firstLine="480" w:firstLineChars="200"/>
        <w:rPr>
          <w:rFonts w:ascii="仿宋" w:hAnsi="仿宋" w:eastAsia="仿宋" w:cs="宋体"/>
          <w:color w:val="auto"/>
          <w:sz w:val="24"/>
          <w:highlight w:val="none"/>
        </w:rPr>
      </w:pPr>
      <w:r>
        <w:rPr>
          <w:rFonts w:ascii="仿宋" w:hAnsi="仿宋" w:eastAsia="仿宋" w:cs="仿宋_GB2312"/>
          <w:color w:val="auto"/>
          <w:sz w:val="24"/>
          <w:highlight w:val="none"/>
        </w:rPr>
        <w:t>2.2.4</w:t>
      </w:r>
      <w:r>
        <w:rPr>
          <w:rFonts w:hint="eastAsia" w:ascii="仿宋" w:hAnsi="仿宋" w:eastAsia="仿宋" w:cs="宋体"/>
          <w:color w:val="auto"/>
          <w:sz w:val="24"/>
          <w:highlight w:val="none"/>
        </w:rPr>
        <w:t>制造厂家介绍及投标人成功案例</w:t>
      </w:r>
    </w:p>
    <w:p>
      <w:pPr>
        <w:snapToGrid w:val="0"/>
        <w:spacing w:line="360" w:lineRule="auto"/>
        <w:ind w:firstLine="480" w:firstLineChars="200"/>
        <w:rPr>
          <w:rFonts w:ascii="仿宋" w:hAnsi="仿宋" w:eastAsia="仿宋" w:cs="宋体"/>
          <w:color w:val="auto"/>
          <w:sz w:val="24"/>
          <w:highlight w:val="none"/>
        </w:rPr>
      </w:pPr>
      <w:r>
        <w:rPr>
          <w:rFonts w:ascii="仿宋" w:hAnsi="仿宋" w:eastAsia="仿宋" w:cs="仿宋_GB2312"/>
          <w:color w:val="auto"/>
          <w:sz w:val="24"/>
          <w:highlight w:val="none"/>
        </w:rPr>
        <w:t>2.2.5</w:t>
      </w:r>
      <w:r>
        <w:rPr>
          <w:rFonts w:hint="eastAsia" w:ascii="仿宋" w:hAnsi="仿宋" w:eastAsia="仿宋" w:cs="宋体"/>
          <w:color w:val="auto"/>
          <w:sz w:val="24"/>
          <w:highlight w:val="none"/>
        </w:rPr>
        <w:t>所有资质文件（如有，复印件加盖公章）</w:t>
      </w:r>
    </w:p>
    <w:p>
      <w:pPr>
        <w:snapToGrid w:val="0"/>
        <w:spacing w:line="360" w:lineRule="auto"/>
        <w:ind w:firstLine="480" w:firstLineChars="200"/>
        <w:rPr>
          <w:rFonts w:ascii="仿宋" w:hAnsi="仿宋" w:eastAsia="仿宋"/>
          <w:color w:val="auto"/>
          <w:sz w:val="24"/>
          <w:highlight w:val="none"/>
          <w:lang w:val="zh-CN"/>
        </w:rPr>
      </w:pPr>
      <w:r>
        <w:rPr>
          <w:rFonts w:ascii="仿宋" w:hAnsi="仿宋" w:eastAsia="仿宋" w:cs="仿宋_GB2312"/>
          <w:color w:val="auto"/>
          <w:sz w:val="24"/>
          <w:highlight w:val="none"/>
        </w:rPr>
        <w:t>2.2.6</w:t>
      </w:r>
      <w:r>
        <w:rPr>
          <w:rFonts w:hint="eastAsia" w:ascii="仿宋" w:hAnsi="仿宋" w:eastAsia="仿宋"/>
          <w:color w:val="auto"/>
          <w:sz w:val="24"/>
          <w:highlight w:val="none"/>
          <w:lang w:val="zh-CN"/>
        </w:rPr>
        <w:t>投标人应提供针对项目的完整技术解决方案</w:t>
      </w:r>
    </w:p>
    <w:p>
      <w:pPr>
        <w:tabs>
          <w:tab w:val="left" w:pos="930"/>
        </w:tabs>
        <w:autoSpaceDE w:val="0"/>
        <w:autoSpaceDN w:val="0"/>
        <w:spacing w:line="360" w:lineRule="auto"/>
        <w:ind w:firstLine="480" w:firstLineChars="200"/>
        <w:rPr>
          <w:rFonts w:ascii="仿宋" w:hAnsi="仿宋" w:eastAsia="仿宋"/>
          <w:color w:val="auto"/>
          <w:sz w:val="24"/>
          <w:highlight w:val="none"/>
        </w:rPr>
      </w:pPr>
      <w:r>
        <w:rPr>
          <w:rFonts w:ascii="仿宋" w:hAnsi="仿宋" w:eastAsia="仿宋" w:cs="仿宋_GB2312"/>
          <w:color w:val="auto"/>
          <w:sz w:val="24"/>
          <w:highlight w:val="none"/>
        </w:rPr>
        <w:t>2.2.7</w:t>
      </w:r>
      <w:r>
        <w:rPr>
          <w:rFonts w:hint="eastAsia" w:ascii="仿宋" w:hAnsi="仿宋" w:eastAsia="仿宋"/>
          <w:color w:val="auto"/>
          <w:sz w:val="24"/>
          <w:highlight w:val="none"/>
        </w:rPr>
        <w:t>项目实施相关设备名称、配置、数量；所投标的货物的完整配置方案</w:t>
      </w:r>
    </w:p>
    <w:p>
      <w:pPr>
        <w:tabs>
          <w:tab w:val="left" w:pos="930"/>
        </w:tabs>
        <w:autoSpaceDE w:val="0"/>
        <w:autoSpaceDN w:val="0"/>
        <w:spacing w:line="360" w:lineRule="auto"/>
        <w:ind w:firstLine="480" w:firstLineChars="200"/>
        <w:rPr>
          <w:rFonts w:ascii="仿宋" w:hAnsi="仿宋" w:eastAsia="仿宋"/>
          <w:color w:val="auto"/>
          <w:kern w:val="0"/>
          <w:sz w:val="24"/>
          <w:highlight w:val="none"/>
          <w:lang w:val="zh-CN"/>
        </w:rPr>
      </w:pPr>
      <w:r>
        <w:rPr>
          <w:rFonts w:hint="eastAsia" w:ascii="仿宋" w:hAnsi="仿宋" w:eastAsia="仿宋"/>
          <w:color w:val="auto"/>
          <w:sz w:val="24"/>
          <w:highlight w:val="none"/>
        </w:rPr>
        <w:t>2.2.8</w:t>
      </w:r>
      <w:r>
        <w:rPr>
          <w:rFonts w:hint="eastAsia" w:ascii="仿宋" w:hAnsi="仿宋" w:eastAsia="仿宋"/>
          <w:color w:val="auto"/>
          <w:kern w:val="0"/>
          <w:sz w:val="24"/>
          <w:highlight w:val="none"/>
        </w:rPr>
        <w:t xml:space="preserve">针对本项目建设的详细实施计划 </w:t>
      </w:r>
    </w:p>
    <w:p>
      <w:pPr>
        <w:tabs>
          <w:tab w:val="left" w:pos="930"/>
        </w:tabs>
        <w:autoSpaceDE w:val="0"/>
        <w:autoSpaceDN w:val="0"/>
        <w:spacing w:line="360" w:lineRule="auto"/>
        <w:ind w:firstLine="480" w:firstLineChars="200"/>
        <w:rPr>
          <w:rFonts w:ascii="仿宋" w:hAnsi="仿宋" w:eastAsia="仿宋"/>
          <w:color w:val="auto"/>
          <w:kern w:val="0"/>
          <w:sz w:val="24"/>
          <w:highlight w:val="none"/>
          <w:lang w:val="zh-CN"/>
        </w:rPr>
      </w:pPr>
      <w:r>
        <w:rPr>
          <w:rFonts w:ascii="仿宋" w:hAnsi="仿宋" w:eastAsia="仿宋" w:cs="仿宋_GB2312"/>
          <w:color w:val="auto"/>
          <w:sz w:val="24"/>
          <w:highlight w:val="none"/>
        </w:rPr>
        <w:t>2.2.</w:t>
      </w:r>
      <w:r>
        <w:rPr>
          <w:rFonts w:hint="eastAsia" w:ascii="仿宋" w:hAnsi="仿宋" w:eastAsia="仿宋" w:cs="仿宋_GB2312"/>
          <w:color w:val="auto"/>
          <w:sz w:val="24"/>
          <w:highlight w:val="none"/>
        </w:rPr>
        <w:t>9</w:t>
      </w:r>
      <w:r>
        <w:rPr>
          <w:rFonts w:hint="eastAsia" w:ascii="仿宋" w:hAnsi="仿宋" w:eastAsia="仿宋"/>
          <w:color w:val="auto"/>
          <w:kern w:val="0"/>
          <w:sz w:val="24"/>
          <w:highlight w:val="none"/>
          <w:lang w:val="zh-CN"/>
        </w:rPr>
        <w:t xml:space="preserve">项目实施期间的维护方案 </w:t>
      </w:r>
    </w:p>
    <w:p>
      <w:pPr>
        <w:tabs>
          <w:tab w:val="left" w:pos="930"/>
        </w:tabs>
        <w:autoSpaceDE w:val="0"/>
        <w:autoSpaceDN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2.2.</w:t>
      </w:r>
      <w:r>
        <w:rPr>
          <w:rFonts w:hint="eastAsia" w:ascii="仿宋" w:hAnsi="仿宋" w:eastAsia="仿宋" w:cs="仿宋_GB2312"/>
          <w:color w:val="auto"/>
          <w:sz w:val="24"/>
          <w:highlight w:val="none"/>
        </w:rPr>
        <w:t>10</w:t>
      </w:r>
      <w:r>
        <w:rPr>
          <w:rFonts w:hint="eastAsia" w:ascii="仿宋" w:hAnsi="仿宋" w:eastAsia="仿宋"/>
          <w:color w:val="auto"/>
          <w:kern w:val="0"/>
          <w:sz w:val="24"/>
          <w:highlight w:val="none"/>
          <w:lang w:val="zh-CN"/>
        </w:rPr>
        <w:t>投标人为完成本项目组建的工作小组名单</w:t>
      </w:r>
    </w:p>
    <w:p>
      <w:pPr>
        <w:tabs>
          <w:tab w:val="left" w:pos="930"/>
        </w:tabs>
        <w:autoSpaceDE w:val="0"/>
        <w:autoSpaceDN w:val="0"/>
        <w:spacing w:line="360" w:lineRule="auto"/>
        <w:ind w:firstLine="480" w:firstLineChars="200"/>
        <w:rPr>
          <w:rFonts w:ascii="仿宋" w:hAnsi="仿宋" w:eastAsia="仿宋"/>
          <w:color w:val="auto"/>
          <w:kern w:val="0"/>
          <w:sz w:val="24"/>
          <w:highlight w:val="none"/>
          <w:lang w:val="zh-CN"/>
        </w:rPr>
      </w:pPr>
      <w:r>
        <w:rPr>
          <w:rFonts w:hint="eastAsia" w:ascii="仿宋" w:hAnsi="仿宋" w:eastAsia="仿宋"/>
          <w:color w:val="auto"/>
          <w:kern w:val="0"/>
          <w:sz w:val="24"/>
          <w:highlight w:val="none"/>
        </w:rPr>
        <w:t>2.2.11</w:t>
      </w:r>
      <w:r>
        <w:rPr>
          <w:rFonts w:hint="eastAsia" w:ascii="仿宋" w:hAnsi="仿宋" w:eastAsia="仿宋"/>
          <w:color w:val="auto"/>
          <w:kern w:val="0"/>
          <w:sz w:val="24"/>
          <w:highlight w:val="none"/>
          <w:lang w:val="zh-CN"/>
        </w:rPr>
        <w:t>优惠条件及特殊承诺</w:t>
      </w:r>
    </w:p>
    <w:p>
      <w:pPr>
        <w:tabs>
          <w:tab w:val="left" w:pos="930"/>
        </w:tabs>
        <w:autoSpaceDE w:val="0"/>
        <w:autoSpaceDN w:val="0"/>
        <w:spacing w:line="360" w:lineRule="auto"/>
        <w:ind w:firstLine="480" w:firstLineChars="200"/>
        <w:rPr>
          <w:rFonts w:ascii="仿宋" w:hAnsi="仿宋" w:eastAsia="仿宋"/>
          <w:color w:val="auto"/>
          <w:kern w:val="0"/>
          <w:sz w:val="24"/>
          <w:highlight w:val="none"/>
          <w:lang w:val="zh-CN"/>
        </w:rPr>
      </w:pPr>
      <w:r>
        <w:rPr>
          <w:rFonts w:ascii="仿宋" w:hAnsi="仿宋" w:eastAsia="仿宋" w:cs="仿宋_GB2312"/>
          <w:color w:val="auto"/>
          <w:sz w:val="24"/>
          <w:highlight w:val="none"/>
        </w:rPr>
        <w:t>2.2.1</w:t>
      </w:r>
      <w:r>
        <w:rPr>
          <w:rFonts w:hint="eastAsia" w:ascii="仿宋" w:hAnsi="仿宋" w:eastAsia="仿宋" w:cs="仿宋_GB2312"/>
          <w:color w:val="auto"/>
          <w:sz w:val="24"/>
          <w:highlight w:val="none"/>
        </w:rPr>
        <w:t>2</w:t>
      </w:r>
      <w:r>
        <w:rPr>
          <w:rFonts w:hint="eastAsia" w:ascii="仿宋" w:hAnsi="仿宋" w:eastAsia="仿宋"/>
          <w:color w:val="auto"/>
          <w:kern w:val="0"/>
          <w:sz w:val="24"/>
          <w:highlight w:val="none"/>
          <w:lang w:val="zh-CN"/>
        </w:rPr>
        <w:t>备品备件清单</w:t>
      </w:r>
    </w:p>
    <w:p>
      <w:pPr>
        <w:tabs>
          <w:tab w:val="left" w:pos="930"/>
        </w:tabs>
        <w:autoSpaceDE w:val="0"/>
        <w:autoSpaceDN w:val="0"/>
        <w:spacing w:line="360" w:lineRule="auto"/>
        <w:ind w:firstLine="480" w:firstLineChars="200"/>
        <w:rPr>
          <w:rFonts w:ascii="仿宋" w:hAnsi="仿宋" w:eastAsia="仿宋"/>
          <w:color w:val="auto"/>
          <w:kern w:val="0"/>
          <w:sz w:val="24"/>
          <w:highlight w:val="none"/>
          <w:lang w:val="zh-CN"/>
        </w:rPr>
      </w:pPr>
      <w:r>
        <w:rPr>
          <w:rFonts w:ascii="仿宋" w:hAnsi="仿宋" w:eastAsia="仿宋" w:cs="仿宋_GB2312"/>
          <w:color w:val="auto"/>
          <w:sz w:val="24"/>
          <w:highlight w:val="none"/>
        </w:rPr>
        <w:t>2.2.1</w:t>
      </w:r>
      <w:r>
        <w:rPr>
          <w:rFonts w:hint="eastAsia" w:ascii="仿宋" w:hAnsi="仿宋" w:eastAsia="仿宋" w:cs="仿宋_GB2312"/>
          <w:color w:val="auto"/>
          <w:sz w:val="24"/>
          <w:highlight w:val="none"/>
        </w:rPr>
        <w:t>3</w:t>
      </w:r>
      <w:r>
        <w:rPr>
          <w:rFonts w:hint="eastAsia" w:ascii="仿宋" w:hAnsi="仿宋" w:eastAsia="仿宋"/>
          <w:color w:val="auto"/>
          <w:kern w:val="0"/>
          <w:sz w:val="24"/>
          <w:highlight w:val="none"/>
          <w:lang w:val="zh-CN"/>
        </w:rPr>
        <w:t>培训计划</w:t>
      </w:r>
    </w:p>
    <w:p>
      <w:pPr>
        <w:tabs>
          <w:tab w:val="left" w:pos="930"/>
        </w:tabs>
        <w:autoSpaceDE w:val="0"/>
        <w:autoSpaceDN w:val="0"/>
        <w:spacing w:line="360" w:lineRule="auto"/>
        <w:ind w:firstLine="480" w:firstLineChars="200"/>
        <w:rPr>
          <w:rFonts w:ascii="仿宋" w:hAnsi="仿宋" w:eastAsia="仿宋"/>
          <w:color w:val="auto"/>
          <w:kern w:val="0"/>
          <w:sz w:val="24"/>
          <w:highlight w:val="none"/>
          <w:lang w:val="zh-CN"/>
        </w:rPr>
      </w:pPr>
      <w:r>
        <w:rPr>
          <w:rFonts w:ascii="仿宋" w:hAnsi="仿宋" w:eastAsia="仿宋" w:cs="仿宋_GB2312"/>
          <w:color w:val="auto"/>
          <w:sz w:val="24"/>
          <w:highlight w:val="none"/>
        </w:rPr>
        <w:t>2.2.1</w:t>
      </w:r>
      <w:r>
        <w:rPr>
          <w:rFonts w:hint="eastAsia" w:ascii="仿宋" w:hAnsi="仿宋" w:eastAsia="仿宋" w:cs="仿宋_GB2312"/>
          <w:color w:val="auto"/>
          <w:sz w:val="24"/>
          <w:highlight w:val="none"/>
        </w:rPr>
        <w:t>4</w:t>
      </w:r>
      <w:r>
        <w:rPr>
          <w:rFonts w:hint="eastAsia" w:ascii="仿宋" w:hAnsi="仿宋" w:eastAsia="仿宋"/>
          <w:color w:val="auto"/>
          <w:kern w:val="0"/>
          <w:sz w:val="24"/>
          <w:highlight w:val="none"/>
          <w:lang w:val="zh-CN"/>
        </w:rPr>
        <w:t>商务技术偏离表</w:t>
      </w:r>
    </w:p>
    <w:p>
      <w:pPr>
        <w:tabs>
          <w:tab w:val="left" w:pos="930"/>
        </w:tabs>
        <w:autoSpaceDE w:val="0"/>
        <w:autoSpaceDN w:val="0"/>
        <w:spacing w:line="360" w:lineRule="auto"/>
        <w:ind w:firstLine="480" w:firstLineChars="200"/>
        <w:rPr>
          <w:rFonts w:ascii="仿宋" w:hAnsi="仿宋" w:eastAsia="仿宋"/>
          <w:color w:val="auto"/>
          <w:kern w:val="0"/>
          <w:sz w:val="24"/>
          <w:highlight w:val="none"/>
          <w:lang w:val="zh-CN"/>
        </w:rPr>
      </w:pPr>
      <w:r>
        <w:rPr>
          <w:rFonts w:ascii="仿宋" w:hAnsi="仿宋" w:eastAsia="仿宋" w:cs="仿宋_GB2312"/>
          <w:color w:val="auto"/>
          <w:sz w:val="24"/>
          <w:highlight w:val="none"/>
        </w:rPr>
        <w:t>2.2.1</w:t>
      </w:r>
      <w:r>
        <w:rPr>
          <w:rFonts w:hint="eastAsia" w:ascii="仿宋" w:hAnsi="仿宋" w:eastAsia="仿宋" w:cs="仿宋_GB2312"/>
          <w:color w:val="auto"/>
          <w:sz w:val="24"/>
          <w:highlight w:val="none"/>
        </w:rPr>
        <w:t>5</w:t>
      </w:r>
      <w:r>
        <w:rPr>
          <w:rFonts w:hint="eastAsia" w:ascii="仿宋" w:hAnsi="仿宋" w:eastAsia="仿宋"/>
          <w:color w:val="auto"/>
          <w:kern w:val="0"/>
          <w:sz w:val="24"/>
          <w:highlight w:val="none"/>
          <w:lang w:val="zh-CN"/>
        </w:rPr>
        <w:t>其他必要提供资料</w:t>
      </w:r>
    </w:p>
    <w:p>
      <w:pPr>
        <w:snapToGrid w:val="0"/>
        <w:spacing w:line="360" w:lineRule="auto"/>
        <w:ind w:firstLine="480" w:firstLineChars="200"/>
        <w:rPr>
          <w:rFonts w:ascii="仿宋" w:hAnsi="仿宋" w:eastAsia="仿宋" w:cs="仿宋_GB2312"/>
          <w:color w:val="auto"/>
          <w:sz w:val="24"/>
          <w:highlight w:val="none"/>
          <w:lang w:val="zh-CN"/>
        </w:rPr>
      </w:pPr>
      <w:r>
        <w:rPr>
          <w:rFonts w:ascii="仿宋" w:hAnsi="仿宋" w:eastAsia="仿宋" w:cs="仿宋_GB2312"/>
          <w:color w:val="auto"/>
          <w:sz w:val="24"/>
          <w:highlight w:val="none"/>
        </w:rPr>
        <w:t>2.2.1</w:t>
      </w:r>
      <w:r>
        <w:rPr>
          <w:rFonts w:hint="eastAsia" w:ascii="仿宋" w:hAnsi="仿宋" w:eastAsia="仿宋" w:cs="仿宋_GB2312"/>
          <w:color w:val="auto"/>
          <w:sz w:val="24"/>
          <w:highlight w:val="none"/>
        </w:rPr>
        <w:t>6政府采购供应商廉洁自律承诺书。</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2.3报价文件</w:t>
      </w:r>
    </w:p>
    <w:p>
      <w:pPr>
        <w:snapToGrid w:val="0"/>
        <w:spacing w:line="360" w:lineRule="auto"/>
        <w:ind w:firstLine="480" w:firstLineChars="200"/>
        <w:rPr>
          <w:rFonts w:ascii="仿宋" w:hAnsi="仿宋" w:eastAsia="仿宋" w:cs="宋体"/>
          <w:bCs/>
          <w:snapToGrid w:val="0"/>
          <w:color w:val="auto"/>
          <w:kern w:val="0"/>
          <w:sz w:val="24"/>
          <w:szCs w:val="21"/>
          <w:highlight w:val="none"/>
        </w:rPr>
      </w:pPr>
      <w:r>
        <w:rPr>
          <w:rFonts w:ascii="仿宋" w:hAnsi="仿宋" w:eastAsia="仿宋" w:cs="宋体"/>
          <w:bCs/>
          <w:snapToGrid w:val="0"/>
          <w:color w:val="auto"/>
          <w:kern w:val="0"/>
          <w:sz w:val="24"/>
          <w:szCs w:val="21"/>
          <w:highlight w:val="none"/>
        </w:rPr>
        <w:t>2.3.1开标一览表（报价表）；</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2.3.2中小企业声明函</w:t>
      </w:r>
      <w:r>
        <w:rPr>
          <w:rFonts w:hint="eastAsia" w:ascii="仿宋" w:hAnsi="仿宋" w:eastAsia="仿宋" w:cs="仿宋_GB2312"/>
          <w:color w:val="auto"/>
          <w:sz w:val="24"/>
          <w:highlight w:val="none"/>
        </w:rPr>
        <w:t>（如果有）。</w:t>
      </w:r>
    </w:p>
    <w:p>
      <w:pPr>
        <w:snapToGrid w:val="0"/>
        <w:spacing w:line="360" w:lineRule="auto"/>
        <w:ind w:firstLine="420"/>
        <w:rPr>
          <w:rFonts w:ascii="仿宋" w:hAnsi="仿宋" w:eastAsia="仿宋" w:cs="仿宋_GB2312"/>
          <w:color w:val="auto"/>
          <w:sz w:val="24"/>
          <w:highlight w:val="none"/>
        </w:rPr>
      </w:pPr>
      <w:r>
        <w:rPr>
          <w:rFonts w:ascii="仿宋" w:hAnsi="仿宋" w:eastAsia="仿宋" w:cs="仿宋_GB2312"/>
          <w:color w:val="auto"/>
          <w:sz w:val="24"/>
          <w:highlight w:val="none"/>
        </w:rPr>
        <w:t>3、我方承诺除商务技术偏离表列出的偏离外，我方响应采购文件的全部要求。</w:t>
      </w:r>
    </w:p>
    <w:p>
      <w:pPr>
        <w:snapToGrid w:val="0"/>
        <w:spacing w:line="360" w:lineRule="auto"/>
        <w:ind w:firstLine="420"/>
        <w:rPr>
          <w:rFonts w:ascii="仿宋" w:hAnsi="仿宋" w:eastAsia="仿宋" w:cs="仿宋_GB2312"/>
          <w:color w:val="auto"/>
          <w:sz w:val="24"/>
          <w:highlight w:val="none"/>
        </w:rPr>
      </w:pPr>
      <w:r>
        <w:rPr>
          <w:rFonts w:ascii="仿宋" w:hAnsi="仿宋" w:eastAsia="仿宋" w:cs="仿宋_GB2312"/>
          <w:color w:val="auto"/>
          <w:sz w:val="24"/>
          <w:highlight w:val="none"/>
        </w:rPr>
        <w:t>4、如我方中标，我方承诺：</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 xml:space="preserve">4.1在收到中标通知书后，在中标通知书规定的期限内与你方签订合同； </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 xml:space="preserve">4.2在签订合同时不向你方提出附加条件； </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 xml:space="preserve">4.3在合同约定的期限内完成合同规定的全部义务。 </w:t>
      </w:r>
    </w:p>
    <w:p>
      <w:pPr>
        <w:snapToGrid w:val="0"/>
        <w:spacing w:line="360" w:lineRule="auto"/>
        <w:ind w:firstLine="480" w:firstLineChars="200"/>
        <w:rPr>
          <w:rFonts w:ascii="仿宋" w:hAnsi="仿宋" w:eastAsia="仿宋" w:cs="仿宋_GB2312"/>
          <w:color w:val="auto"/>
          <w:sz w:val="24"/>
          <w:highlight w:val="none"/>
        </w:rPr>
      </w:pPr>
      <w:r>
        <w:rPr>
          <w:rFonts w:ascii="仿宋" w:hAnsi="仿宋" w:eastAsia="仿宋" w:cs="仿宋_GB2312"/>
          <w:color w:val="auto"/>
          <w:sz w:val="24"/>
          <w:highlight w:val="none"/>
        </w:rPr>
        <w:t>5、其他补充说明:</w:t>
      </w:r>
      <w:r>
        <w:rPr>
          <w:rFonts w:ascii="仿宋" w:hAnsi="仿宋" w:eastAsia="仿宋" w:cs="仿宋_GB2312"/>
          <w:color w:val="auto"/>
          <w:sz w:val="24"/>
          <w:highlight w:val="none"/>
          <w:u w:val="single"/>
        </w:rPr>
        <w:t xml:space="preserve">                                        </w:t>
      </w:r>
      <w:r>
        <w:rPr>
          <w:rFonts w:hint="eastAsia" w:ascii="仿宋" w:hAnsi="仿宋" w:eastAsia="仿宋" w:cs="仿宋_GB2312"/>
          <w:color w:val="auto"/>
          <w:sz w:val="24"/>
          <w:highlight w:val="none"/>
        </w:rPr>
        <w:t>。</w:t>
      </w:r>
    </w:p>
    <w:p>
      <w:pPr>
        <w:snapToGrid w:val="0"/>
        <w:spacing w:line="360" w:lineRule="auto"/>
        <w:ind w:firstLine="3600" w:firstLineChars="1500"/>
        <w:rPr>
          <w:rFonts w:ascii="仿宋" w:hAnsi="仿宋" w:eastAsia="仿宋" w:cs="仿宋_GB2312"/>
          <w:color w:val="auto"/>
          <w:sz w:val="24"/>
          <w:highlight w:val="none"/>
        </w:rPr>
      </w:pPr>
    </w:p>
    <w:p>
      <w:pPr>
        <w:snapToGrid w:val="0"/>
        <w:spacing w:line="360" w:lineRule="auto"/>
        <w:ind w:firstLine="3600" w:firstLineChars="1500"/>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投标人名称(电子签名)：</w:t>
      </w:r>
      <w:r>
        <w:rPr>
          <w:rFonts w:ascii="仿宋" w:hAnsi="仿宋" w:eastAsia="仿宋" w:cs="仿宋_GB2312"/>
          <w:color w:val="auto"/>
          <w:sz w:val="24"/>
          <w:highlight w:val="none"/>
        </w:rPr>
        <w:t xml:space="preserve">                          </w:t>
      </w:r>
    </w:p>
    <w:p>
      <w:pPr>
        <w:snapToGrid w:val="0"/>
        <w:spacing w:line="360" w:lineRule="auto"/>
        <w:jc w:val="center"/>
        <w:rPr>
          <w:rFonts w:ascii="仿宋" w:hAnsi="仿宋" w:eastAsia="仿宋" w:cs="仿宋_GB2312"/>
          <w:color w:val="auto"/>
          <w:kern w:val="0"/>
          <w:sz w:val="24"/>
          <w:highlight w:val="none"/>
          <w:u w:val="single"/>
          <w:lang w:val="zh-CN"/>
        </w:rPr>
      </w:pPr>
      <w:r>
        <w:rPr>
          <w:rFonts w:ascii="仿宋" w:hAnsi="仿宋" w:eastAsia="仿宋" w:cs="仿宋_GB2312"/>
          <w:color w:val="auto"/>
          <w:sz w:val="24"/>
          <w:highlight w:val="none"/>
        </w:rPr>
        <w:t xml:space="preserve">            日期：  年   月   日</w:t>
      </w:r>
    </w:p>
    <w:p>
      <w:pPr>
        <w:snapToGrid w:val="0"/>
        <w:spacing w:line="360" w:lineRule="auto"/>
        <w:rPr>
          <w:rFonts w:ascii="仿宋" w:hAnsi="仿宋" w:eastAsia="仿宋" w:cs="仿宋_GB2312"/>
          <w:b/>
          <w:color w:val="auto"/>
          <w:kern w:val="0"/>
          <w:sz w:val="32"/>
          <w:szCs w:val="32"/>
          <w:highlight w:val="none"/>
          <w:lang w:val="zh-CN"/>
        </w:rPr>
      </w:pPr>
      <w:r>
        <w:rPr>
          <w:rFonts w:hint="eastAsia" w:ascii="仿宋" w:hAnsi="仿宋" w:eastAsia="仿宋" w:cs="仿宋_GB2312"/>
          <w:b/>
          <w:color w:val="auto"/>
          <w:kern w:val="0"/>
          <w:sz w:val="32"/>
          <w:szCs w:val="32"/>
          <w:highlight w:val="none"/>
          <w:lang w:val="zh-CN"/>
        </w:rPr>
        <w:br w:type="page"/>
      </w:r>
    </w:p>
    <w:p>
      <w:pPr>
        <w:snapToGrid w:val="0"/>
        <w:spacing w:line="360" w:lineRule="auto"/>
        <w:jc w:val="center"/>
        <w:outlineLvl w:val="1"/>
        <w:rPr>
          <w:rFonts w:ascii="仿宋" w:hAnsi="仿宋" w:eastAsia="仿宋" w:cs="仿宋_GB2312"/>
          <w:b/>
          <w:color w:val="auto"/>
          <w:kern w:val="0"/>
          <w:sz w:val="32"/>
          <w:szCs w:val="32"/>
          <w:highlight w:val="none"/>
          <w:lang w:val="zh-CN"/>
        </w:rPr>
      </w:pPr>
      <w:bookmarkStart w:id="607" w:name="_Toc868246037"/>
      <w:bookmarkStart w:id="608" w:name="_Toc95313015"/>
      <w:bookmarkStart w:id="609" w:name="_Toc1181541318"/>
      <w:bookmarkStart w:id="610" w:name="_Toc15176"/>
      <w:bookmarkStart w:id="611" w:name="_Toc23100"/>
      <w:r>
        <w:rPr>
          <w:rFonts w:hint="eastAsia" w:ascii="仿宋" w:hAnsi="仿宋" w:eastAsia="仿宋" w:cs="仿宋_GB2312"/>
          <w:b/>
          <w:color w:val="auto"/>
          <w:kern w:val="0"/>
          <w:sz w:val="32"/>
          <w:szCs w:val="32"/>
          <w:highlight w:val="none"/>
          <w:lang w:val="zh-CN"/>
        </w:rPr>
        <w:t>二、授权委托书</w:t>
      </w:r>
      <w:bookmarkEnd w:id="607"/>
      <w:bookmarkEnd w:id="608"/>
      <w:bookmarkEnd w:id="609"/>
      <w:bookmarkEnd w:id="610"/>
      <w:bookmarkEnd w:id="611"/>
    </w:p>
    <w:p>
      <w:pPr>
        <w:snapToGrid w:val="0"/>
        <w:spacing w:line="360" w:lineRule="auto"/>
        <w:rPr>
          <w:rFonts w:ascii="仿宋" w:hAnsi="仿宋" w:eastAsia="仿宋" w:cs="仿宋_GB2312"/>
          <w:color w:val="auto"/>
          <w:sz w:val="24"/>
          <w:highlight w:val="none"/>
        </w:rPr>
      </w:pPr>
      <w:r>
        <w:rPr>
          <w:rFonts w:ascii="仿宋" w:hAnsi="仿宋" w:eastAsia="仿宋" w:cs="仿宋_GB2312"/>
          <w:color w:val="auto"/>
          <w:sz w:val="24"/>
          <w:highlight w:val="none"/>
        </w:rPr>
        <w:t xml:space="preserve">                                </w:t>
      </w:r>
    </w:p>
    <w:p>
      <w:pPr>
        <w:snapToGrid w:val="0"/>
        <w:spacing w:line="360" w:lineRule="auto"/>
        <w:rPr>
          <w:rFonts w:ascii="仿宋" w:hAnsi="仿宋" w:eastAsia="仿宋" w:cs="仿宋_GB2312"/>
          <w:color w:val="auto"/>
          <w:kern w:val="0"/>
          <w:sz w:val="24"/>
          <w:highlight w:val="none"/>
        </w:rPr>
      </w:pPr>
      <w:r>
        <w:rPr>
          <w:rFonts w:hint="eastAsia" w:ascii="仿宋" w:hAnsi="仿宋" w:eastAsia="仿宋" w:cs="仿宋_GB2312"/>
          <w:color w:val="auto"/>
          <w:sz w:val="24"/>
          <w:highlight w:val="none"/>
        </w:rPr>
        <w:t>杭州市余杭区机关事务服务中心、杭州中瑞招标代理有限公司</w:t>
      </w:r>
      <w:r>
        <w:rPr>
          <w:rFonts w:hint="eastAsia" w:ascii="仿宋" w:hAnsi="仿宋" w:eastAsia="仿宋" w:cs="仿宋_GB2312"/>
          <w:color w:val="auto"/>
          <w:kern w:val="0"/>
          <w:sz w:val="24"/>
          <w:highlight w:val="none"/>
          <w:lang w:val="zh-CN"/>
        </w:rPr>
        <w:t>：</w:t>
      </w:r>
    </w:p>
    <w:p>
      <w:pPr>
        <w:snapToGrid w:val="0"/>
        <w:spacing w:line="360" w:lineRule="auto"/>
        <w:ind w:firstLine="576"/>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现</w:t>
      </w:r>
      <w:r>
        <w:rPr>
          <w:rFonts w:hint="eastAsia" w:ascii="仿宋" w:hAnsi="仿宋" w:eastAsia="仿宋" w:cs="仿宋_GB2312"/>
          <w:color w:val="auto"/>
          <w:kern w:val="0"/>
          <w:sz w:val="24"/>
          <w:highlight w:val="none"/>
          <w:lang w:val="zh-CN"/>
        </w:rPr>
        <w:t>委托</w:t>
      </w:r>
      <w:r>
        <w:rPr>
          <w:rFonts w:ascii="仿宋" w:hAnsi="仿宋" w:eastAsia="仿宋" w:cs="仿宋_GB2312"/>
          <w:color w:val="auto"/>
          <w:kern w:val="0"/>
          <w:sz w:val="24"/>
          <w:highlight w:val="none"/>
          <w:u w:val="single"/>
          <w:lang w:val="zh-CN"/>
        </w:rPr>
        <w:t xml:space="preserve">          </w:t>
      </w:r>
      <w:r>
        <w:rPr>
          <w:rFonts w:hint="eastAsia" w:ascii="仿宋" w:hAnsi="仿宋" w:eastAsia="仿宋" w:cs="仿宋_GB2312"/>
          <w:color w:val="auto"/>
          <w:kern w:val="0"/>
          <w:sz w:val="24"/>
          <w:highlight w:val="none"/>
          <w:lang w:val="zh-CN"/>
        </w:rPr>
        <w:t>（姓名）为我方代理人（身份证号码：</w:t>
      </w:r>
      <w:r>
        <w:rPr>
          <w:rFonts w:ascii="仿宋" w:hAnsi="仿宋" w:eastAsia="仿宋" w:cs="仿宋_GB2312"/>
          <w:color w:val="auto"/>
          <w:kern w:val="0"/>
          <w:sz w:val="24"/>
          <w:highlight w:val="none"/>
          <w:u w:val="single"/>
          <w:lang w:val="zh-CN"/>
        </w:rPr>
        <w:t xml:space="preserve">          </w:t>
      </w:r>
      <w:r>
        <w:rPr>
          <w:rFonts w:hint="eastAsia" w:ascii="仿宋" w:hAnsi="仿宋" w:eastAsia="仿宋" w:cs="仿宋_GB2312"/>
          <w:color w:val="auto"/>
          <w:kern w:val="0"/>
          <w:sz w:val="24"/>
          <w:highlight w:val="none"/>
          <w:lang w:val="zh-CN"/>
        </w:rPr>
        <w:t>，手机：</w:t>
      </w:r>
      <w:r>
        <w:rPr>
          <w:rFonts w:ascii="仿宋" w:hAnsi="仿宋" w:eastAsia="仿宋" w:cs="仿宋_GB2312"/>
          <w:color w:val="auto"/>
          <w:kern w:val="0"/>
          <w:sz w:val="24"/>
          <w:highlight w:val="none"/>
          <w:u w:val="single"/>
          <w:lang w:val="zh-CN"/>
        </w:rPr>
        <w:t xml:space="preserve">          </w:t>
      </w:r>
      <w:r>
        <w:rPr>
          <w:rFonts w:hint="eastAsia" w:ascii="仿宋" w:hAnsi="仿宋" w:eastAsia="仿宋" w:cs="仿宋_GB2312"/>
          <w:color w:val="auto"/>
          <w:kern w:val="0"/>
          <w:sz w:val="24"/>
          <w:highlight w:val="none"/>
          <w:lang w:val="zh-CN"/>
        </w:rPr>
        <w:t>），以我方名义处理</w:t>
      </w:r>
      <w:r>
        <w:rPr>
          <w:rFonts w:hint="eastAsia" w:ascii="仿宋" w:hAnsi="仿宋" w:eastAsia="仿宋" w:cs="仿宋_GB2312"/>
          <w:color w:val="auto"/>
          <w:sz w:val="24"/>
          <w:highlight w:val="none"/>
        </w:rPr>
        <w:t>余杭区市民之家大厅及食堂家具采购【招标编号：</w:t>
      </w:r>
      <w:r>
        <w:rPr>
          <w:rFonts w:hint="eastAsia" w:ascii="仿宋" w:hAnsi="仿宋" w:eastAsia="仿宋"/>
          <w:color w:val="auto"/>
          <w:sz w:val="24"/>
          <w:highlight w:val="none"/>
        </w:rPr>
        <w:t>HZZR-F220213N</w:t>
      </w:r>
      <w:r>
        <w:rPr>
          <w:rFonts w:hint="eastAsia" w:ascii="仿宋" w:hAnsi="仿宋" w:eastAsia="仿宋" w:cs="仿宋_GB2312"/>
          <w:color w:val="auto"/>
          <w:sz w:val="24"/>
          <w:highlight w:val="none"/>
        </w:rPr>
        <w:t>】</w:t>
      </w:r>
      <w:r>
        <w:rPr>
          <w:rFonts w:hint="eastAsia" w:ascii="仿宋" w:hAnsi="仿宋" w:eastAsia="仿宋" w:cs="仿宋_GB2312"/>
          <w:color w:val="auto"/>
          <w:kern w:val="0"/>
          <w:sz w:val="24"/>
          <w:highlight w:val="none"/>
          <w:lang w:val="zh-CN"/>
        </w:rPr>
        <w:t>政府采购投标的一切事项，其法律后果由我方承担。</w:t>
      </w:r>
    </w:p>
    <w:p>
      <w:pPr>
        <w:snapToGrid w:val="0"/>
        <w:spacing w:line="360" w:lineRule="auto"/>
        <w:rPr>
          <w:rFonts w:ascii="仿宋" w:hAnsi="仿宋" w:eastAsia="仿宋" w:cs="仿宋_GB2312"/>
          <w:color w:val="auto"/>
          <w:kern w:val="0"/>
          <w:sz w:val="24"/>
          <w:highlight w:val="none"/>
        </w:rPr>
      </w:pP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委托期限</w:t>
      </w:r>
      <w:r>
        <w:rPr>
          <w:rFonts w:hint="eastAsia" w:ascii="仿宋" w:hAnsi="仿宋" w:eastAsia="仿宋" w:cs="仿宋_GB2312"/>
          <w:color w:val="auto"/>
          <w:kern w:val="0"/>
          <w:sz w:val="24"/>
          <w:highlight w:val="none"/>
        </w:rPr>
        <w:t>：</w:t>
      </w:r>
      <w:r>
        <w:rPr>
          <w:rFonts w:hint="eastAsia" w:ascii="仿宋" w:hAnsi="仿宋" w:eastAsia="仿宋" w:cs="仿宋_GB2312"/>
          <w:color w:val="auto"/>
          <w:kern w:val="0"/>
          <w:sz w:val="24"/>
          <w:highlight w:val="none"/>
          <w:lang w:val="zh-CN"/>
        </w:rPr>
        <w:t>自</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年</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月</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日起至</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年</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月</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日止。</w:t>
      </w:r>
    </w:p>
    <w:p>
      <w:pPr>
        <w:snapToGrid w:val="0"/>
        <w:spacing w:line="360" w:lineRule="auto"/>
        <w:rPr>
          <w:rFonts w:ascii="仿宋" w:hAnsi="仿宋" w:eastAsia="仿宋" w:cs="仿宋_GB2312"/>
          <w:color w:val="auto"/>
          <w:kern w:val="0"/>
          <w:sz w:val="24"/>
          <w:highlight w:val="none"/>
        </w:rPr>
      </w:pP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特此告知。</w:t>
      </w:r>
    </w:p>
    <w:p>
      <w:pPr>
        <w:snapToGrid w:val="0"/>
        <w:spacing w:line="360" w:lineRule="auto"/>
        <w:rPr>
          <w:rFonts w:ascii="仿宋" w:hAnsi="仿宋" w:eastAsia="仿宋" w:cs="仿宋_GB2312"/>
          <w:color w:val="auto"/>
          <w:kern w:val="0"/>
          <w:sz w:val="24"/>
          <w:highlight w:val="none"/>
        </w:rPr>
      </w:pPr>
      <w:r>
        <w:rPr>
          <w:rFonts w:ascii="仿宋" w:hAnsi="仿宋" w:eastAsia="仿宋" w:cs="仿宋_GB2312"/>
          <w:color w:val="auto"/>
          <w:kern w:val="0"/>
          <w:sz w:val="24"/>
          <w:highlight w:val="none"/>
          <w:lang w:val="zh-CN"/>
        </w:rPr>
        <w:t xml:space="preserve">                                                 投标人名称(电子签名)：</w:t>
      </w:r>
    </w:p>
    <w:p>
      <w:pPr>
        <w:snapToGrid w:val="0"/>
        <w:spacing w:line="360" w:lineRule="auto"/>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 xml:space="preserve">                                              签发日期：  年  月   日</w:t>
      </w:r>
    </w:p>
    <w:p>
      <w:pPr>
        <w:snapToGrid w:val="0"/>
        <w:spacing w:line="360" w:lineRule="auto"/>
        <w:rPr>
          <w:rFonts w:ascii="仿宋" w:hAnsi="仿宋" w:eastAsia="仿宋" w:cs="仿宋_GB2312"/>
          <w:b/>
          <w:color w:val="auto"/>
          <w:kern w:val="0"/>
          <w:sz w:val="32"/>
          <w:szCs w:val="32"/>
          <w:highlight w:val="none"/>
          <w:lang w:val="zh-CN"/>
        </w:rPr>
      </w:pPr>
    </w:p>
    <w:p>
      <w:pPr>
        <w:snapToGrid w:val="0"/>
        <w:spacing w:line="360" w:lineRule="auto"/>
        <w:jc w:val="center"/>
        <w:outlineLvl w:val="1"/>
        <w:rPr>
          <w:rFonts w:ascii="仿宋" w:hAnsi="仿宋" w:eastAsia="仿宋" w:cs="仿宋_GB2312"/>
          <w:b/>
          <w:color w:val="auto"/>
          <w:kern w:val="0"/>
          <w:sz w:val="32"/>
          <w:szCs w:val="32"/>
          <w:highlight w:val="none"/>
          <w:lang w:val="zh-CN"/>
        </w:rPr>
      </w:pPr>
      <w:bookmarkStart w:id="612" w:name="_Toc459762494"/>
      <w:bookmarkStart w:id="613" w:name="_Toc383647817"/>
      <w:r>
        <w:rPr>
          <w:rFonts w:hint="eastAsia" w:ascii="仿宋" w:hAnsi="仿宋" w:eastAsia="仿宋" w:cs="仿宋_GB2312"/>
          <w:b/>
          <w:color w:val="auto"/>
          <w:kern w:val="0"/>
          <w:sz w:val="32"/>
          <w:szCs w:val="32"/>
          <w:highlight w:val="none"/>
        </w:rPr>
        <w:t>三</w:t>
      </w:r>
      <w:r>
        <w:rPr>
          <w:rFonts w:hint="eastAsia" w:ascii="仿宋" w:hAnsi="仿宋" w:eastAsia="仿宋" w:cs="仿宋_GB2312"/>
          <w:b/>
          <w:color w:val="auto"/>
          <w:kern w:val="0"/>
          <w:sz w:val="32"/>
          <w:szCs w:val="32"/>
          <w:highlight w:val="none"/>
          <w:lang w:val="zh-CN"/>
        </w:rPr>
        <w:t>、法定代表人和授权委托代表的有效身份证复印件</w:t>
      </w:r>
      <w:bookmarkEnd w:id="612"/>
      <w:bookmarkEnd w:id="613"/>
    </w:p>
    <w:p>
      <w:pPr>
        <w:snapToGrid w:val="0"/>
        <w:spacing w:line="360" w:lineRule="auto"/>
        <w:rPr>
          <w:rFonts w:ascii="仿宋" w:hAnsi="仿宋" w:eastAsia="仿宋"/>
          <w:bCs/>
          <w:color w:val="auto"/>
          <w:sz w:val="24"/>
          <w:highlight w:val="none"/>
        </w:rPr>
      </w:pPr>
      <w:r>
        <w:rPr>
          <w:rFonts w:hint="eastAsia" w:ascii="仿宋" w:hAnsi="仿宋" w:eastAsia="仿宋" w:cs="宋体"/>
          <w:color w:val="auto"/>
          <w:sz w:val="24"/>
          <w:highlight w:val="none"/>
          <w:lang w:val="zh-CN"/>
        </w:rPr>
        <w:t>法定代表人和授权委托代表的有效身份证扫描件</w:t>
      </w:r>
      <w:r>
        <w:rPr>
          <w:rFonts w:ascii="仿宋" w:hAnsi="仿宋" w:eastAsia="仿宋" w:cs="宋体"/>
          <w:color w:val="auto"/>
          <w:sz w:val="24"/>
          <w:highlight w:val="none"/>
          <w:lang w:val="zh-CN"/>
        </w:rPr>
        <w:t xml:space="preserve"> (法定代表人直接参加投标并对相应文件签字的，只需提供前者)</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pPr>
              <w:snapToGrid w:val="0"/>
              <w:spacing w:line="360" w:lineRule="auto"/>
              <w:rPr>
                <w:rFonts w:ascii="仿宋" w:hAnsi="仿宋" w:eastAsia="仿宋"/>
                <w:bCs/>
                <w:color w:val="auto"/>
                <w:sz w:val="24"/>
                <w:highlight w:val="none"/>
              </w:rPr>
            </w:pPr>
            <w:r>
              <w:rPr>
                <w:rFonts w:hint="eastAsia" w:ascii="仿宋" w:hAnsi="仿宋" w:eastAsia="仿宋"/>
                <w:bCs/>
                <w:color w:val="auto"/>
                <w:sz w:val="24"/>
                <w:highlight w:val="none"/>
              </w:rPr>
              <w:t>正面：</w:t>
            </w:r>
            <w:r>
              <w:rPr>
                <w:rFonts w:ascii="仿宋" w:hAnsi="仿宋" w:eastAsia="仿宋"/>
                <w:bCs/>
                <w:color w:val="auto"/>
                <w:sz w:val="24"/>
                <w:highlight w:val="none"/>
              </w:rPr>
              <w:t xml:space="preserve">                                 </w:t>
            </w:r>
            <w:r>
              <w:rPr>
                <w:rFonts w:hint="eastAsia" w:ascii="仿宋" w:hAnsi="仿宋" w:eastAsia="仿宋"/>
                <w:bCs/>
                <w:color w:val="auto"/>
                <w:sz w:val="24"/>
                <w:highlight w:val="none"/>
              </w:rPr>
              <w:t>反面：</w:t>
            </w:r>
          </w:p>
          <w:p>
            <w:pPr>
              <w:snapToGrid w:val="0"/>
              <w:spacing w:line="360" w:lineRule="auto"/>
              <w:rPr>
                <w:rFonts w:ascii="仿宋" w:hAnsi="仿宋" w:eastAsia="仿宋"/>
                <w:bCs/>
                <w:color w:val="auto"/>
                <w:sz w:val="24"/>
                <w:highlight w:val="none"/>
              </w:rPr>
            </w:pPr>
          </w:p>
        </w:tc>
      </w:tr>
    </w:tbl>
    <w:p>
      <w:pPr>
        <w:snapToGrid w:val="0"/>
        <w:spacing w:line="360" w:lineRule="auto"/>
        <w:ind w:firstLine="576"/>
        <w:jc w:val="center"/>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 xml:space="preserve">                 </w:t>
      </w:r>
    </w:p>
    <w:p>
      <w:pPr>
        <w:snapToGrid w:val="0"/>
        <w:spacing w:line="360" w:lineRule="auto"/>
        <w:ind w:firstLine="576"/>
        <w:jc w:val="center"/>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 xml:space="preserve">                  投标人名称(电子签名)：                              </w:t>
      </w:r>
    </w:p>
    <w:p>
      <w:pPr>
        <w:snapToGrid w:val="0"/>
        <w:spacing w:line="360" w:lineRule="auto"/>
        <w:jc w:val="center"/>
        <w:rPr>
          <w:rFonts w:ascii="仿宋" w:hAnsi="仿宋" w:eastAsia="仿宋" w:cs="仿宋_GB2312"/>
          <w:b/>
          <w:color w:val="auto"/>
          <w:kern w:val="0"/>
          <w:sz w:val="32"/>
          <w:szCs w:val="32"/>
          <w:highlight w:val="none"/>
        </w:rPr>
      </w:pPr>
      <w:r>
        <w:rPr>
          <w:rFonts w:ascii="仿宋" w:hAnsi="仿宋" w:eastAsia="仿宋" w:cs="仿宋_GB2312"/>
          <w:color w:val="auto"/>
          <w:kern w:val="0"/>
          <w:sz w:val="24"/>
          <w:highlight w:val="none"/>
          <w:lang w:val="zh-CN"/>
        </w:rPr>
        <w:t xml:space="preserve">                   日期：  年  月  日</w:t>
      </w:r>
      <w:r>
        <w:rPr>
          <w:rFonts w:hint="eastAsia" w:ascii="仿宋" w:hAnsi="仿宋" w:eastAsia="仿宋" w:cs="仿宋_GB2312"/>
          <w:b/>
          <w:color w:val="auto"/>
          <w:kern w:val="0"/>
          <w:sz w:val="32"/>
          <w:szCs w:val="32"/>
          <w:highlight w:val="none"/>
        </w:rPr>
        <w:br w:type="page"/>
      </w:r>
    </w:p>
    <w:p>
      <w:pPr>
        <w:snapToGrid w:val="0"/>
        <w:spacing w:line="360" w:lineRule="auto"/>
        <w:rPr>
          <w:rFonts w:ascii="仿宋" w:hAnsi="仿宋" w:eastAsia="仿宋" w:cs="宋体"/>
          <w:b/>
          <w:bCs/>
          <w:color w:val="auto"/>
          <w:sz w:val="24"/>
          <w:highlight w:val="none"/>
        </w:rPr>
      </w:pPr>
      <w:bookmarkStart w:id="614" w:name="_Hlk95575375"/>
      <w:r>
        <w:rPr>
          <w:rFonts w:hint="eastAsia" w:ascii="仿宋" w:hAnsi="仿宋" w:eastAsia="仿宋" w:cs="宋体"/>
          <w:b/>
          <w:bCs/>
          <w:color w:val="auto"/>
          <w:sz w:val="24"/>
          <w:highlight w:val="none"/>
        </w:rPr>
        <w:t>四、制造厂家介绍及投标人成功案例</w:t>
      </w:r>
      <w:r>
        <w:rPr>
          <w:rFonts w:hint="eastAsia" w:ascii="仿宋" w:hAnsi="仿宋" w:eastAsia="仿宋" w:cs="宋体"/>
          <w:b/>
          <w:bCs/>
          <w:color w:val="auto"/>
          <w:sz w:val="24"/>
          <w:highlight w:val="none"/>
          <w:lang w:val="zh-CN"/>
        </w:rPr>
        <w:t>（</w:t>
      </w:r>
      <w:r>
        <w:rPr>
          <w:rFonts w:hint="eastAsia" w:ascii="仿宋" w:hAnsi="仿宋" w:eastAsia="仿宋" w:cs="仿宋_GB2312"/>
          <w:b/>
          <w:bCs/>
          <w:color w:val="auto"/>
          <w:sz w:val="24"/>
          <w:highlight w:val="none"/>
          <w:lang w:val="zh-CN"/>
        </w:rPr>
        <w:t>提供合同扫描件或其他证明材料，加盖公章，如是英文文件需提供翻译件</w:t>
      </w:r>
      <w:r>
        <w:rPr>
          <w:rFonts w:hint="eastAsia" w:ascii="仿宋" w:hAnsi="仿宋" w:eastAsia="仿宋" w:cs="宋体"/>
          <w:b/>
          <w:bCs/>
          <w:color w:val="auto"/>
          <w:sz w:val="24"/>
          <w:highlight w:val="none"/>
          <w:lang w:val="zh-CN"/>
        </w:rPr>
        <w:t>）</w:t>
      </w:r>
    </w:p>
    <w:p>
      <w:pPr>
        <w:snapToGrid w:val="0"/>
        <w:spacing w:line="360" w:lineRule="auto"/>
        <w:rPr>
          <w:rFonts w:ascii="仿宋" w:hAnsi="仿宋" w:eastAsia="仿宋" w:cs="宋体"/>
          <w:b/>
          <w:bCs/>
          <w:color w:val="auto"/>
          <w:sz w:val="24"/>
          <w:highlight w:val="none"/>
        </w:rPr>
      </w:pPr>
      <w:r>
        <w:rPr>
          <w:rFonts w:hint="eastAsia" w:ascii="仿宋" w:hAnsi="仿宋" w:eastAsia="仿宋" w:cs="宋体"/>
          <w:b/>
          <w:bCs/>
          <w:color w:val="auto"/>
          <w:sz w:val="24"/>
          <w:highlight w:val="none"/>
          <w:lang w:val="zh-CN"/>
        </w:rPr>
        <w:t>五、</w:t>
      </w:r>
      <w:r>
        <w:rPr>
          <w:rFonts w:hint="eastAsia" w:ascii="仿宋" w:hAnsi="仿宋" w:eastAsia="仿宋" w:cs="宋体"/>
          <w:b/>
          <w:bCs/>
          <w:color w:val="auto"/>
          <w:sz w:val="24"/>
          <w:highlight w:val="none"/>
        </w:rPr>
        <w:t>所有资质文件（如有，复印件加盖公章）</w:t>
      </w:r>
    </w:p>
    <w:p>
      <w:pPr>
        <w:snapToGrid w:val="0"/>
        <w:spacing w:line="360" w:lineRule="auto"/>
        <w:rPr>
          <w:rFonts w:ascii="仿宋" w:hAnsi="仿宋" w:eastAsia="仿宋"/>
          <w:b/>
          <w:bCs/>
          <w:color w:val="auto"/>
          <w:sz w:val="24"/>
          <w:highlight w:val="none"/>
          <w:lang w:val="zh-CN"/>
        </w:rPr>
      </w:pPr>
      <w:r>
        <w:rPr>
          <w:rFonts w:hint="eastAsia" w:ascii="仿宋" w:hAnsi="仿宋" w:eastAsia="仿宋"/>
          <w:b/>
          <w:bCs/>
          <w:color w:val="auto"/>
          <w:sz w:val="24"/>
          <w:highlight w:val="none"/>
          <w:lang w:val="zh-CN"/>
        </w:rPr>
        <w:t>六、投标人应提供针对项目的完整技术解决方案</w:t>
      </w:r>
    </w:p>
    <w:p>
      <w:pPr>
        <w:snapToGrid w:val="0"/>
        <w:spacing w:line="360" w:lineRule="auto"/>
        <w:ind w:firstLine="482" w:firstLineChars="200"/>
        <w:textAlignment w:val="baseline"/>
        <w:rPr>
          <w:rFonts w:ascii="仿宋" w:hAnsi="仿宋" w:eastAsia="仿宋" w:cs="宋体"/>
          <w:b/>
          <w:bCs/>
          <w:color w:val="auto"/>
          <w:sz w:val="24"/>
          <w:highlight w:val="none"/>
        </w:rPr>
      </w:pPr>
      <w:r>
        <w:rPr>
          <w:rFonts w:hint="eastAsia" w:ascii="仿宋" w:hAnsi="仿宋" w:eastAsia="仿宋" w:cs="宋体"/>
          <w:b/>
          <w:bCs/>
          <w:color w:val="auto"/>
          <w:sz w:val="24"/>
          <w:highlight w:val="none"/>
        </w:rPr>
        <w:t>针对本项目的提供完整设计方案、技术解决方案和实施方案；包括项目技术方案的功能性、完整性、合理性</w:t>
      </w:r>
      <w:r>
        <w:rPr>
          <w:rFonts w:ascii="仿宋" w:hAnsi="仿宋" w:eastAsia="仿宋" w:cs="宋体"/>
          <w:b/>
          <w:bCs/>
          <w:color w:val="auto"/>
          <w:sz w:val="24"/>
          <w:highlight w:val="none"/>
        </w:rPr>
        <w:t>。</w:t>
      </w:r>
    </w:p>
    <w:p>
      <w:pPr>
        <w:snapToGrid w:val="0"/>
        <w:spacing w:line="360" w:lineRule="auto"/>
        <w:textAlignment w:val="baseline"/>
        <w:rPr>
          <w:rFonts w:ascii="仿宋" w:hAnsi="仿宋" w:eastAsia="仿宋"/>
          <w:color w:val="auto"/>
          <w:kern w:val="0"/>
          <w:sz w:val="24"/>
          <w:highlight w:val="none"/>
          <w:lang w:val="zh-CN"/>
        </w:rPr>
      </w:pPr>
      <w:r>
        <w:rPr>
          <w:rFonts w:hint="eastAsia" w:ascii="仿宋" w:hAnsi="仿宋" w:eastAsia="仿宋"/>
          <w:b/>
          <w:bCs/>
          <w:color w:val="auto"/>
          <w:sz w:val="24"/>
          <w:highlight w:val="none"/>
        </w:rPr>
        <w:t>七、</w:t>
      </w:r>
      <w:r>
        <w:rPr>
          <w:rFonts w:hint="eastAsia" w:ascii="仿宋" w:hAnsi="仿宋" w:eastAsia="仿宋"/>
          <w:color w:val="auto"/>
          <w:sz w:val="24"/>
          <w:highlight w:val="none"/>
        </w:rPr>
        <w:t>项目实施相关设备名称、配置、数量；所投标的货物的完整配置方案，详细列明投标货物的所有技术指标（包括所投标货物的品牌、规格型号、详细配置、主要技术参数、随机软件等），明确表示该项指标所涉及的软硬件是标准配置还是选择配置（所有</w:t>
      </w:r>
      <w:r>
        <w:rPr>
          <w:rFonts w:hint="eastAsia" w:ascii="仿宋" w:hAnsi="仿宋" w:eastAsia="仿宋"/>
          <w:b/>
          <w:color w:val="auto"/>
          <w:sz w:val="24"/>
          <w:highlight w:val="none"/>
        </w:rPr>
        <w:t>技术指标表述均应采用中文，如当前公布的技术指标只有英文表述的，必须由投标人作出中文注释，否则</w:t>
      </w:r>
      <w:r>
        <w:rPr>
          <w:rFonts w:hint="eastAsia" w:ascii="仿宋" w:hAnsi="仿宋" w:eastAsia="仿宋" w:cs="仿宋_GB2312"/>
          <w:b/>
          <w:color w:val="auto"/>
          <w:kern w:val="0"/>
          <w:sz w:val="24"/>
          <w:highlight w:val="none"/>
          <w:lang w:val="zh-CN"/>
        </w:rPr>
        <w:t>任何含糊不清的</w:t>
      </w:r>
      <w:r>
        <w:rPr>
          <w:rFonts w:hint="eastAsia" w:ascii="仿宋" w:hAnsi="仿宋" w:eastAsia="仿宋"/>
          <w:b/>
          <w:color w:val="auto"/>
          <w:sz w:val="24"/>
          <w:highlight w:val="none"/>
        </w:rPr>
        <w:t>表述导致</w:t>
      </w:r>
      <w:r>
        <w:rPr>
          <w:rFonts w:hint="eastAsia" w:ascii="仿宋" w:hAnsi="仿宋" w:eastAsia="仿宋" w:cs="仿宋_GB2312"/>
          <w:b/>
          <w:color w:val="auto"/>
          <w:kern w:val="0"/>
          <w:sz w:val="24"/>
          <w:highlight w:val="none"/>
          <w:lang w:val="zh-CN"/>
        </w:rPr>
        <w:t>评标委员会技术扣分直至认定为投标无效都将是投标人的责任）</w:t>
      </w:r>
      <w:r>
        <w:rPr>
          <w:rFonts w:hint="eastAsia" w:ascii="仿宋" w:hAnsi="仿宋" w:eastAsia="仿宋"/>
          <w:color w:val="auto"/>
          <w:sz w:val="24"/>
          <w:highlight w:val="none"/>
        </w:rPr>
        <w:t>。</w:t>
      </w:r>
    </w:p>
    <w:p>
      <w:pPr>
        <w:snapToGrid w:val="0"/>
        <w:spacing w:line="360" w:lineRule="auto"/>
        <w:ind w:firstLine="720" w:firstLineChars="300"/>
        <w:rPr>
          <w:rFonts w:ascii="仿宋" w:hAnsi="仿宋" w:eastAsia="仿宋"/>
          <w:color w:val="auto"/>
          <w:kern w:val="0"/>
          <w:sz w:val="24"/>
          <w:highlight w:val="none"/>
          <w:lang w:val="zh-CN"/>
        </w:rPr>
      </w:pPr>
      <w:r>
        <w:rPr>
          <w:rFonts w:hint="eastAsia" w:ascii="仿宋" w:hAnsi="仿宋" w:eastAsia="仿宋"/>
          <w:color w:val="auto"/>
          <w:kern w:val="0"/>
          <w:sz w:val="24"/>
          <w:highlight w:val="none"/>
          <w:lang w:val="zh-CN"/>
        </w:rPr>
        <w:t>投标人在投标文件中，应对</w:t>
      </w:r>
      <w:r>
        <w:rPr>
          <w:rFonts w:hint="eastAsia" w:ascii="仿宋" w:hAnsi="仿宋" w:eastAsia="仿宋"/>
          <w:color w:val="auto"/>
          <w:sz w:val="24"/>
          <w:highlight w:val="none"/>
        </w:rPr>
        <w:t>项目技术规范和服务要求</w:t>
      </w:r>
      <w:r>
        <w:rPr>
          <w:rFonts w:hint="eastAsia" w:ascii="仿宋" w:hAnsi="仿宋" w:eastAsia="仿宋"/>
          <w:color w:val="auto"/>
          <w:kern w:val="0"/>
          <w:sz w:val="24"/>
          <w:highlight w:val="none"/>
          <w:lang w:val="zh-CN"/>
        </w:rPr>
        <w:t>中所提出各项要求进行逐条逐项的答复、说明和解释。首先对实现或满足程度明确作出“满足”、“不满足”、“部分满足”等应答，然后作出具体、详细的说明。回答“满足”应说明如何满足，回答“部分满足”要明确哪部分满足和哪部分不满足。同时明确满足的程度。若采用“详见”、“参见”方式说明的，应指明所指文档(应是投标文件的组成部分)的具体章节及页码。任何含糊不清的表示对评标结果的影响将是投标人的责任。</w:t>
      </w:r>
    </w:p>
    <w:p>
      <w:pPr>
        <w:tabs>
          <w:tab w:val="left" w:pos="1418"/>
        </w:tabs>
        <w:snapToGrid w:val="0"/>
        <w:spacing w:before="50" w:after="50" w:line="360" w:lineRule="auto"/>
        <w:ind w:left="480"/>
        <w:jc w:val="center"/>
        <w:rPr>
          <w:rFonts w:ascii="仿宋" w:hAnsi="仿宋" w:eastAsia="仿宋"/>
          <w:b/>
          <w:color w:val="auto"/>
          <w:sz w:val="24"/>
          <w:highlight w:val="none"/>
        </w:rPr>
      </w:pPr>
      <w:r>
        <w:rPr>
          <w:rFonts w:hint="eastAsia" w:ascii="仿宋" w:hAnsi="仿宋" w:eastAsia="仿宋"/>
          <w:b/>
          <w:color w:val="auto"/>
          <w:sz w:val="24"/>
          <w:highlight w:val="none"/>
        </w:rPr>
        <w:t>▲货物配置清单（未提供做无效标处理）</w:t>
      </w:r>
    </w:p>
    <w:p>
      <w:pPr>
        <w:tabs>
          <w:tab w:val="left" w:pos="1418"/>
        </w:tabs>
        <w:snapToGrid w:val="0"/>
        <w:spacing w:before="50" w:after="50" w:line="360" w:lineRule="auto"/>
        <w:ind w:left="480"/>
        <w:rPr>
          <w:rFonts w:ascii="仿宋" w:hAnsi="仿宋" w:eastAsia="仿宋"/>
          <w:color w:val="auto"/>
          <w:sz w:val="24"/>
          <w:highlight w:val="none"/>
        </w:rPr>
      </w:pPr>
      <w:r>
        <w:rPr>
          <w:rFonts w:hint="eastAsia" w:ascii="仿宋" w:hAnsi="仿宋" w:eastAsia="仿宋"/>
          <w:color w:val="auto"/>
          <w:sz w:val="24"/>
          <w:highlight w:val="none"/>
        </w:rPr>
        <w:t>采购编号：</w:t>
      </w:r>
      <w:r>
        <w:rPr>
          <w:rFonts w:ascii="仿宋" w:hAnsi="仿宋" w:eastAsia="仿宋"/>
          <w:color w:val="auto"/>
          <w:sz w:val="24"/>
          <w:highlight w:val="none"/>
          <w:u w:val="single"/>
        </w:rPr>
        <w:t xml:space="preserve">       </w:t>
      </w:r>
      <w:r>
        <w:rPr>
          <w:rFonts w:ascii="仿宋" w:hAnsi="仿宋" w:eastAsia="仿宋"/>
          <w:color w:val="auto"/>
          <w:sz w:val="24"/>
          <w:highlight w:val="none"/>
        </w:rPr>
        <w:t xml:space="preserve">  </w:t>
      </w:r>
      <w:r>
        <w:rPr>
          <w:rFonts w:hint="eastAsia" w:ascii="仿宋" w:hAnsi="仿宋" w:eastAsia="仿宋"/>
          <w:color w:val="auto"/>
          <w:sz w:val="24"/>
          <w:highlight w:val="none"/>
        </w:rPr>
        <w:t>标</w:t>
      </w:r>
      <w:r>
        <w:rPr>
          <w:rFonts w:ascii="仿宋" w:hAnsi="仿宋" w:eastAsia="仿宋"/>
          <w:color w:val="auto"/>
          <w:sz w:val="24"/>
          <w:highlight w:val="none"/>
        </w:rPr>
        <w:t xml:space="preserve">    </w:t>
      </w:r>
      <w:r>
        <w:rPr>
          <w:rFonts w:hint="eastAsia" w:ascii="仿宋" w:hAnsi="仿宋" w:eastAsia="仿宋"/>
          <w:color w:val="auto"/>
          <w:sz w:val="24"/>
          <w:highlight w:val="none"/>
        </w:rPr>
        <w:t>项：</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供应商名称：</w:t>
      </w:r>
      <w:r>
        <w:rPr>
          <w:rFonts w:ascii="仿宋" w:hAnsi="仿宋" w:eastAsia="仿宋"/>
          <w:color w:val="auto"/>
          <w:sz w:val="24"/>
          <w:highlight w:val="none"/>
          <w:u w:val="single"/>
        </w:rPr>
        <w:t xml:space="preserve">                      </w:t>
      </w:r>
    </w:p>
    <w:tbl>
      <w:tblPr>
        <w:tblStyle w:val="62"/>
        <w:tblW w:w="908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规格型号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单位及数量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rPr>
                <w:rFonts w:ascii="仿宋" w:hAnsi="仿宋" w:eastAsia="仿宋"/>
                <w:color w:val="auto"/>
                <w:sz w:val="24"/>
                <w:highlight w:val="none"/>
              </w:rPr>
            </w:pPr>
            <w:r>
              <w:rPr>
                <w:rFonts w:hint="eastAsia" w:ascii="仿宋" w:hAnsi="仿宋" w:eastAsia="仿宋"/>
                <w:color w:val="auto"/>
                <w:sz w:val="24"/>
                <w:highlight w:val="none"/>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p>
            <w:pPr>
              <w:snapToGrid w:val="0"/>
              <w:spacing w:before="50" w:after="50" w:line="360" w:lineRule="auto"/>
              <w:jc w:val="center"/>
              <w:rPr>
                <w:rFonts w:ascii="仿宋" w:hAnsi="仿宋" w:eastAsia="仿宋"/>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080" w:type="dxa"/>
            <w:tcBorders>
              <w:top w:val="single" w:color="auto" w:sz="4" w:space="0"/>
              <w:left w:val="single" w:color="auto" w:sz="4" w:space="0"/>
              <w:bottom w:val="nil"/>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line="360" w:lineRule="auto"/>
              <w:ind w:left="480"/>
              <w:jc w:val="center"/>
              <w:rPr>
                <w:rFonts w:ascii="仿宋" w:hAnsi="仿宋" w:eastAsia="仿宋"/>
                <w:color w:val="auto"/>
                <w:sz w:val="24"/>
                <w:highlight w:val="none"/>
              </w:rPr>
            </w:pPr>
          </w:p>
        </w:tc>
      </w:tr>
    </w:tbl>
    <w:p>
      <w:pPr>
        <w:tabs>
          <w:tab w:val="left" w:pos="930"/>
        </w:tabs>
        <w:autoSpaceDE w:val="0"/>
        <w:autoSpaceDN w:val="0"/>
        <w:spacing w:line="360" w:lineRule="auto"/>
        <w:rPr>
          <w:rFonts w:ascii="仿宋" w:hAnsi="仿宋" w:eastAsia="仿宋"/>
          <w:color w:val="auto"/>
          <w:kern w:val="0"/>
          <w:sz w:val="24"/>
          <w:highlight w:val="none"/>
        </w:rPr>
      </w:pPr>
    </w:p>
    <w:p>
      <w:pPr>
        <w:tabs>
          <w:tab w:val="left" w:pos="930"/>
        </w:tabs>
        <w:autoSpaceDE w:val="0"/>
        <w:autoSpaceDN w:val="0"/>
        <w:spacing w:line="360" w:lineRule="auto"/>
        <w:rPr>
          <w:rFonts w:ascii="仿宋" w:hAnsi="仿宋" w:eastAsia="仿宋"/>
          <w:b/>
          <w:bCs/>
          <w:color w:val="auto"/>
          <w:kern w:val="0"/>
          <w:sz w:val="24"/>
          <w:highlight w:val="none"/>
          <w:lang w:val="zh-CN"/>
        </w:rPr>
      </w:pPr>
      <w:r>
        <w:rPr>
          <w:rFonts w:hint="eastAsia" w:ascii="仿宋" w:hAnsi="仿宋" w:eastAsia="仿宋"/>
          <w:b/>
          <w:bCs/>
          <w:color w:val="auto"/>
          <w:kern w:val="0"/>
          <w:sz w:val="24"/>
          <w:highlight w:val="none"/>
        </w:rPr>
        <w:t>八、针对本项目建设的详细实施计划，包括故障设备的免费更换，软、</w:t>
      </w:r>
      <w:r>
        <w:rPr>
          <w:rFonts w:hint="eastAsia" w:ascii="仿宋" w:hAnsi="仿宋" w:eastAsia="仿宋"/>
          <w:b/>
          <w:bCs/>
          <w:color w:val="auto"/>
          <w:spacing w:val="-5"/>
          <w:kern w:val="20"/>
          <w:sz w:val="24"/>
          <w:highlight w:val="none"/>
        </w:rPr>
        <w:t>硬件的日常</w:t>
      </w:r>
      <w:r>
        <w:rPr>
          <w:rFonts w:hint="eastAsia" w:ascii="仿宋" w:hAnsi="仿宋" w:eastAsia="仿宋" w:cs="仿宋_GB2312"/>
          <w:b/>
          <w:bCs/>
          <w:color w:val="auto"/>
          <w:kern w:val="0"/>
          <w:sz w:val="24"/>
          <w:highlight w:val="none"/>
          <w:lang w:val="zh-CN"/>
        </w:rPr>
        <w:t>免费维护保养、现场技术服务等内容。本项目详细工作实施组织方案，包括（但不限于）以下内容：组织机构、工作时间进度表、工作程序和步骤、管理和协调方法、关键步骤的思路和要点</w:t>
      </w:r>
      <w:r>
        <w:rPr>
          <w:rFonts w:hint="eastAsia" w:ascii="仿宋" w:hAnsi="仿宋" w:eastAsia="仿宋"/>
          <w:b/>
          <w:bCs/>
          <w:color w:val="auto"/>
          <w:kern w:val="0"/>
          <w:sz w:val="24"/>
          <w:highlight w:val="none"/>
          <w:lang w:val="zh-CN"/>
        </w:rPr>
        <w:t>；</w:t>
      </w:r>
    </w:p>
    <w:p>
      <w:pPr>
        <w:tabs>
          <w:tab w:val="left" w:pos="930"/>
        </w:tabs>
        <w:autoSpaceDE w:val="0"/>
        <w:autoSpaceDN w:val="0"/>
        <w:spacing w:line="360" w:lineRule="auto"/>
        <w:rPr>
          <w:rFonts w:ascii="仿宋" w:hAnsi="仿宋" w:eastAsia="仿宋"/>
          <w:b/>
          <w:bCs/>
          <w:color w:val="auto"/>
          <w:kern w:val="0"/>
          <w:sz w:val="24"/>
          <w:highlight w:val="none"/>
          <w:lang w:val="zh-CN"/>
        </w:rPr>
      </w:pPr>
      <w:r>
        <w:rPr>
          <w:rFonts w:hint="eastAsia" w:ascii="仿宋" w:hAnsi="仿宋" w:eastAsia="仿宋"/>
          <w:b/>
          <w:bCs/>
          <w:color w:val="auto"/>
          <w:kern w:val="0"/>
          <w:sz w:val="24"/>
          <w:highlight w:val="none"/>
        </w:rPr>
        <w:t>九</w:t>
      </w:r>
      <w:r>
        <w:rPr>
          <w:rFonts w:hint="eastAsia" w:ascii="仿宋" w:hAnsi="仿宋" w:eastAsia="仿宋"/>
          <w:b/>
          <w:bCs/>
          <w:color w:val="auto"/>
          <w:kern w:val="0"/>
          <w:sz w:val="24"/>
          <w:highlight w:val="none"/>
          <w:lang w:val="zh-CN"/>
        </w:rPr>
        <w:t>、项目实施期间的维护方案；针对本项目的系统运行维护方案，包括本地售后服务机构及人员情况等。投标人应以书面形式完整准确地表述原厂家的标准售后服务承诺（范围、标准及期限等）、投标人可能增加的服务承诺等。并明示服务承诺可能涉及的前提设定和费用，否则将被认为是无条件和免费的。承诺货物升级、故障排除、性能调优、技术咨询等售后技术支持服务情况；</w:t>
      </w:r>
    </w:p>
    <w:p>
      <w:pPr>
        <w:tabs>
          <w:tab w:val="left" w:pos="930"/>
        </w:tabs>
        <w:autoSpaceDE w:val="0"/>
        <w:autoSpaceDN w:val="0"/>
        <w:spacing w:line="360" w:lineRule="auto"/>
        <w:rPr>
          <w:rFonts w:ascii="仿宋" w:hAnsi="仿宋" w:eastAsia="仿宋"/>
          <w:b/>
          <w:bCs/>
          <w:color w:val="auto"/>
          <w:kern w:val="0"/>
          <w:sz w:val="24"/>
          <w:highlight w:val="none"/>
          <w:lang w:val="zh-CN"/>
        </w:rPr>
      </w:pPr>
      <w:r>
        <w:rPr>
          <w:rFonts w:hint="eastAsia" w:ascii="仿宋" w:hAnsi="仿宋" w:eastAsia="仿宋"/>
          <w:b/>
          <w:bCs/>
          <w:color w:val="auto"/>
          <w:kern w:val="0"/>
          <w:sz w:val="24"/>
          <w:highlight w:val="none"/>
        </w:rPr>
        <w:t>十</w:t>
      </w:r>
      <w:r>
        <w:rPr>
          <w:rFonts w:hint="eastAsia" w:ascii="仿宋" w:hAnsi="仿宋" w:eastAsia="仿宋"/>
          <w:b/>
          <w:bCs/>
          <w:color w:val="auto"/>
          <w:kern w:val="0"/>
          <w:sz w:val="24"/>
          <w:highlight w:val="none"/>
          <w:lang w:val="zh-CN"/>
        </w:rPr>
        <w:t xml:space="preserve">、投标人为完成本项目组建的工作小组名单，每个专业人员的情况，明确各阶段投入人数，在提交的标书中安排的人员，须为公司的固定职员；每个参加项目人员的履历表应随标书一并提交，主要内容包括学历、工作特长（特长领域、能力取向等）、经验与业绩（包括从事相关系统建设的经验，对每一个项目有一个简要的描述，该人员参与的时间以及在项目中的责任）、资质情况等； </w:t>
      </w:r>
    </w:p>
    <w:p>
      <w:pPr>
        <w:tabs>
          <w:tab w:val="left" w:pos="930"/>
        </w:tabs>
        <w:autoSpaceDE w:val="0"/>
        <w:autoSpaceDN w:val="0"/>
        <w:spacing w:line="360" w:lineRule="auto"/>
        <w:rPr>
          <w:rFonts w:ascii="仿宋" w:hAnsi="仿宋" w:eastAsia="仿宋"/>
          <w:b/>
          <w:bCs/>
          <w:color w:val="auto"/>
          <w:kern w:val="0"/>
          <w:sz w:val="24"/>
          <w:highlight w:val="none"/>
          <w:lang w:val="zh-CN"/>
        </w:rPr>
      </w:pPr>
      <w:r>
        <w:rPr>
          <w:rFonts w:hint="eastAsia" w:ascii="仿宋" w:hAnsi="仿宋" w:eastAsia="仿宋"/>
          <w:b/>
          <w:bCs/>
          <w:color w:val="auto"/>
          <w:kern w:val="0"/>
          <w:sz w:val="24"/>
          <w:highlight w:val="none"/>
          <w:lang w:val="zh-CN"/>
        </w:rPr>
        <w:t>十</w:t>
      </w:r>
      <w:r>
        <w:rPr>
          <w:rFonts w:hint="eastAsia" w:ascii="仿宋" w:hAnsi="仿宋" w:eastAsia="仿宋"/>
          <w:b/>
          <w:bCs/>
          <w:color w:val="auto"/>
          <w:kern w:val="0"/>
          <w:sz w:val="24"/>
          <w:highlight w:val="none"/>
        </w:rPr>
        <w:t>一</w:t>
      </w:r>
      <w:r>
        <w:rPr>
          <w:rFonts w:hint="eastAsia" w:ascii="仿宋" w:hAnsi="仿宋" w:eastAsia="仿宋"/>
          <w:b/>
          <w:bCs/>
          <w:color w:val="auto"/>
          <w:kern w:val="0"/>
          <w:sz w:val="24"/>
          <w:highlight w:val="none"/>
          <w:lang w:val="zh-CN"/>
        </w:rPr>
        <w:t>、优惠条件及特殊承诺；</w:t>
      </w:r>
    </w:p>
    <w:p>
      <w:pPr>
        <w:tabs>
          <w:tab w:val="left" w:pos="930"/>
        </w:tabs>
        <w:autoSpaceDE w:val="0"/>
        <w:autoSpaceDN w:val="0"/>
        <w:spacing w:line="360" w:lineRule="auto"/>
        <w:rPr>
          <w:rFonts w:ascii="仿宋" w:hAnsi="仿宋" w:eastAsia="仿宋"/>
          <w:b/>
          <w:bCs/>
          <w:color w:val="auto"/>
          <w:kern w:val="0"/>
          <w:sz w:val="24"/>
          <w:highlight w:val="none"/>
          <w:lang w:val="zh-CN"/>
        </w:rPr>
      </w:pPr>
      <w:r>
        <w:rPr>
          <w:rFonts w:hint="eastAsia" w:ascii="仿宋" w:hAnsi="仿宋" w:eastAsia="仿宋"/>
          <w:b/>
          <w:bCs/>
          <w:color w:val="auto"/>
          <w:kern w:val="0"/>
          <w:sz w:val="24"/>
          <w:highlight w:val="none"/>
          <w:lang w:val="zh-CN"/>
        </w:rPr>
        <w:t>十</w:t>
      </w:r>
      <w:r>
        <w:rPr>
          <w:rFonts w:hint="eastAsia" w:ascii="仿宋" w:hAnsi="仿宋" w:eastAsia="仿宋"/>
          <w:b/>
          <w:bCs/>
          <w:color w:val="auto"/>
          <w:kern w:val="0"/>
          <w:sz w:val="24"/>
          <w:highlight w:val="none"/>
        </w:rPr>
        <w:t>二</w:t>
      </w:r>
      <w:r>
        <w:rPr>
          <w:rFonts w:hint="eastAsia" w:ascii="仿宋" w:hAnsi="仿宋" w:eastAsia="仿宋"/>
          <w:b/>
          <w:bCs/>
          <w:color w:val="auto"/>
          <w:kern w:val="0"/>
          <w:sz w:val="24"/>
          <w:highlight w:val="none"/>
          <w:lang w:val="zh-CN"/>
        </w:rPr>
        <w:t>、备品备件清单（包含在投标报价中）；</w:t>
      </w:r>
    </w:p>
    <w:p>
      <w:pPr>
        <w:tabs>
          <w:tab w:val="left" w:pos="930"/>
        </w:tabs>
        <w:autoSpaceDE w:val="0"/>
        <w:autoSpaceDN w:val="0"/>
        <w:spacing w:line="360" w:lineRule="auto"/>
        <w:rPr>
          <w:rFonts w:ascii="仿宋" w:hAnsi="仿宋" w:eastAsia="仿宋"/>
          <w:b/>
          <w:bCs/>
          <w:color w:val="auto"/>
          <w:kern w:val="0"/>
          <w:sz w:val="24"/>
          <w:highlight w:val="none"/>
          <w:lang w:val="zh-CN"/>
        </w:rPr>
      </w:pPr>
      <w:r>
        <w:rPr>
          <w:rFonts w:hint="eastAsia" w:ascii="仿宋" w:hAnsi="仿宋" w:eastAsia="仿宋"/>
          <w:b/>
          <w:bCs/>
          <w:color w:val="auto"/>
          <w:kern w:val="0"/>
          <w:sz w:val="24"/>
          <w:highlight w:val="none"/>
          <w:lang w:val="zh-CN"/>
        </w:rPr>
        <w:t>十</w:t>
      </w:r>
      <w:r>
        <w:rPr>
          <w:rFonts w:hint="eastAsia" w:ascii="仿宋" w:hAnsi="仿宋" w:eastAsia="仿宋"/>
          <w:b/>
          <w:bCs/>
          <w:color w:val="auto"/>
          <w:kern w:val="0"/>
          <w:sz w:val="24"/>
          <w:highlight w:val="none"/>
        </w:rPr>
        <w:t>三</w:t>
      </w:r>
      <w:r>
        <w:rPr>
          <w:rFonts w:hint="eastAsia" w:ascii="仿宋" w:hAnsi="仿宋" w:eastAsia="仿宋"/>
          <w:b/>
          <w:bCs/>
          <w:color w:val="auto"/>
          <w:kern w:val="0"/>
          <w:sz w:val="24"/>
          <w:highlight w:val="none"/>
          <w:lang w:val="zh-CN"/>
        </w:rPr>
        <w:t>、培训计划（每项注明具体内容及是否需要费用）；</w:t>
      </w:r>
    </w:p>
    <w:bookmarkEnd w:id="614"/>
    <w:p>
      <w:pPr>
        <w:snapToGrid w:val="0"/>
        <w:spacing w:line="360" w:lineRule="auto"/>
        <w:rPr>
          <w:rFonts w:ascii="仿宋" w:hAnsi="仿宋" w:eastAsia="仿宋"/>
          <w:b/>
          <w:bCs/>
          <w:color w:val="auto"/>
          <w:highlight w:val="none"/>
        </w:rPr>
      </w:pPr>
    </w:p>
    <w:p>
      <w:pPr>
        <w:snapToGrid w:val="0"/>
        <w:spacing w:line="360" w:lineRule="auto"/>
        <w:jc w:val="center"/>
        <w:rPr>
          <w:rFonts w:ascii="仿宋" w:hAnsi="仿宋" w:eastAsia="仿宋" w:cs="仿宋_GB2312"/>
          <w:b/>
          <w:bCs/>
          <w:color w:val="auto"/>
          <w:kern w:val="0"/>
          <w:sz w:val="32"/>
          <w:szCs w:val="32"/>
          <w:highlight w:val="none"/>
        </w:rPr>
      </w:pPr>
    </w:p>
    <w:p>
      <w:pPr>
        <w:snapToGrid w:val="0"/>
        <w:spacing w:line="360" w:lineRule="auto"/>
        <w:rPr>
          <w:rFonts w:ascii="仿宋" w:hAnsi="仿宋" w:eastAsia="仿宋" w:cs="仿宋_GB2312"/>
          <w:b/>
          <w:color w:val="auto"/>
          <w:kern w:val="0"/>
          <w:sz w:val="32"/>
          <w:szCs w:val="32"/>
          <w:highlight w:val="none"/>
        </w:rPr>
      </w:pPr>
      <w:r>
        <w:rPr>
          <w:rFonts w:hint="eastAsia" w:ascii="仿宋" w:hAnsi="仿宋" w:eastAsia="仿宋" w:cs="仿宋_GB2312"/>
          <w:b/>
          <w:color w:val="auto"/>
          <w:kern w:val="0"/>
          <w:sz w:val="32"/>
          <w:szCs w:val="32"/>
          <w:highlight w:val="none"/>
        </w:rPr>
        <w:br w:type="page"/>
      </w:r>
    </w:p>
    <w:p>
      <w:pPr>
        <w:snapToGrid w:val="0"/>
        <w:spacing w:line="360" w:lineRule="auto"/>
        <w:jc w:val="center"/>
        <w:outlineLvl w:val="1"/>
        <w:rPr>
          <w:rFonts w:ascii="仿宋" w:hAnsi="仿宋" w:eastAsia="仿宋" w:cs="仿宋_GB2312"/>
          <w:b/>
          <w:color w:val="auto"/>
          <w:kern w:val="0"/>
          <w:sz w:val="32"/>
          <w:szCs w:val="32"/>
          <w:highlight w:val="none"/>
        </w:rPr>
      </w:pPr>
      <w:bookmarkStart w:id="615" w:name="_Toc1818635413"/>
      <w:bookmarkStart w:id="616" w:name="_Toc1267903381"/>
      <w:bookmarkStart w:id="617" w:name="_Toc19138"/>
      <w:bookmarkStart w:id="618" w:name="_Toc18936"/>
      <w:bookmarkStart w:id="619" w:name="_Toc95313021"/>
      <w:r>
        <w:rPr>
          <w:rFonts w:hint="eastAsia" w:ascii="仿宋" w:hAnsi="仿宋" w:eastAsia="仿宋" w:cs="仿宋_GB2312"/>
          <w:b/>
          <w:color w:val="auto"/>
          <w:kern w:val="0"/>
          <w:sz w:val="32"/>
          <w:szCs w:val="32"/>
          <w:highlight w:val="none"/>
        </w:rPr>
        <w:t>十四、商务技术偏离表</w:t>
      </w:r>
      <w:bookmarkEnd w:id="615"/>
      <w:bookmarkEnd w:id="616"/>
      <w:bookmarkEnd w:id="617"/>
      <w:bookmarkEnd w:id="618"/>
      <w:bookmarkEnd w:id="619"/>
    </w:p>
    <w:p>
      <w:pPr>
        <w:snapToGrid w:val="0"/>
        <w:spacing w:line="360" w:lineRule="auto"/>
        <w:jc w:val="center"/>
        <w:rPr>
          <w:rFonts w:ascii="仿宋" w:hAnsi="仿宋" w:eastAsia="仿宋"/>
          <w:b/>
          <w:bCs/>
          <w:color w:val="auto"/>
          <w:sz w:val="24"/>
          <w:highlight w:val="none"/>
        </w:rPr>
      </w:pPr>
    </w:p>
    <w:tbl>
      <w:tblPr>
        <w:tblStyle w:val="6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317"/>
        <w:gridCol w:w="3193"/>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2" w:type="dxa"/>
            <w:vAlign w:val="center"/>
          </w:tcPr>
          <w:p>
            <w:pPr>
              <w:snapToGrid w:val="0"/>
              <w:spacing w:line="360" w:lineRule="auto"/>
              <w:jc w:val="center"/>
              <w:rPr>
                <w:rFonts w:ascii="仿宋" w:hAnsi="仿宋" w:eastAsia="仿宋"/>
                <w:b/>
                <w:bCs/>
                <w:color w:val="auto"/>
                <w:sz w:val="24"/>
                <w:highlight w:val="none"/>
              </w:rPr>
            </w:pPr>
            <w:r>
              <w:rPr>
                <w:rFonts w:hint="eastAsia" w:ascii="仿宋" w:hAnsi="仿宋" w:eastAsia="仿宋"/>
                <w:b/>
                <w:bCs/>
                <w:color w:val="auto"/>
                <w:sz w:val="24"/>
                <w:highlight w:val="none"/>
              </w:rPr>
              <w:t>序号</w:t>
            </w:r>
          </w:p>
        </w:tc>
        <w:tc>
          <w:tcPr>
            <w:tcW w:w="3317" w:type="dxa"/>
            <w:vAlign w:val="center"/>
          </w:tcPr>
          <w:p>
            <w:pPr>
              <w:snapToGrid w:val="0"/>
              <w:spacing w:line="360" w:lineRule="auto"/>
              <w:jc w:val="center"/>
              <w:rPr>
                <w:rFonts w:ascii="仿宋" w:hAnsi="仿宋" w:eastAsia="仿宋"/>
                <w:b/>
                <w:bCs/>
                <w:color w:val="auto"/>
                <w:sz w:val="24"/>
                <w:highlight w:val="none"/>
              </w:rPr>
            </w:pPr>
            <w:r>
              <w:rPr>
                <w:rFonts w:hint="eastAsia" w:ascii="仿宋" w:hAnsi="仿宋" w:eastAsia="仿宋"/>
                <w:b/>
                <w:bCs/>
                <w:color w:val="auto"/>
                <w:sz w:val="24"/>
                <w:highlight w:val="none"/>
              </w:rPr>
              <w:t>采购文件章节及具体内容</w:t>
            </w:r>
          </w:p>
        </w:tc>
        <w:tc>
          <w:tcPr>
            <w:tcW w:w="3193" w:type="dxa"/>
            <w:vAlign w:val="center"/>
          </w:tcPr>
          <w:p>
            <w:pPr>
              <w:snapToGrid w:val="0"/>
              <w:spacing w:line="360" w:lineRule="auto"/>
              <w:jc w:val="center"/>
              <w:rPr>
                <w:rFonts w:ascii="仿宋" w:hAnsi="仿宋" w:eastAsia="仿宋"/>
                <w:b/>
                <w:bCs/>
                <w:color w:val="auto"/>
                <w:sz w:val="24"/>
                <w:highlight w:val="none"/>
              </w:rPr>
            </w:pPr>
            <w:r>
              <w:rPr>
                <w:rFonts w:hint="eastAsia" w:ascii="仿宋" w:hAnsi="仿宋" w:eastAsia="仿宋"/>
                <w:b/>
                <w:bCs/>
                <w:color w:val="auto"/>
                <w:sz w:val="24"/>
                <w:highlight w:val="none"/>
              </w:rPr>
              <w:t>投标文件章节及具体内容</w:t>
            </w:r>
          </w:p>
        </w:tc>
        <w:tc>
          <w:tcPr>
            <w:tcW w:w="1147" w:type="dxa"/>
            <w:vAlign w:val="center"/>
          </w:tcPr>
          <w:p>
            <w:pPr>
              <w:snapToGrid w:val="0"/>
              <w:spacing w:line="360" w:lineRule="auto"/>
              <w:jc w:val="center"/>
              <w:rPr>
                <w:rFonts w:ascii="仿宋" w:hAnsi="仿宋" w:eastAsia="仿宋"/>
                <w:b/>
                <w:bCs/>
                <w:color w:val="auto"/>
                <w:sz w:val="24"/>
                <w:highlight w:val="none"/>
              </w:rPr>
            </w:pPr>
            <w:r>
              <w:rPr>
                <w:rFonts w:hint="eastAsia" w:ascii="仿宋" w:hAnsi="仿宋" w:eastAsia="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2" w:type="dxa"/>
            <w:vAlign w:val="center"/>
          </w:tcPr>
          <w:p>
            <w:pPr>
              <w:snapToGrid w:val="0"/>
              <w:spacing w:line="360" w:lineRule="auto"/>
              <w:jc w:val="center"/>
              <w:rPr>
                <w:rFonts w:ascii="仿宋" w:hAnsi="仿宋" w:eastAsia="仿宋" w:cs="仿宋_GB2312"/>
                <w:color w:val="auto"/>
                <w:kern w:val="0"/>
                <w:sz w:val="24"/>
                <w:highlight w:val="none"/>
              </w:rPr>
            </w:pPr>
            <w:r>
              <w:rPr>
                <w:rFonts w:ascii="仿宋" w:hAnsi="仿宋" w:eastAsia="仿宋" w:cs="仿宋_GB2312"/>
                <w:color w:val="auto"/>
                <w:kern w:val="0"/>
                <w:sz w:val="24"/>
                <w:highlight w:val="none"/>
              </w:rPr>
              <w:t>1</w:t>
            </w:r>
          </w:p>
        </w:tc>
        <w:tc>
          <w:tcPr>
            <w:tcW w:w="3317" w:type="dxa"/>
            <w:vAlign w:val="center"/>
          </w:tcPr>
          <w:p>
            <w:pPr>
              <w:snapToGrid w:val="0"/>
              <w:spacing w:line="360" w:lineRule="auto"/>
              <w:jc w:val="center"/>
              <w:rPr>
                <w:rFonts w:ascii="仿宋" w:hAnsi="仿宋" w:eastAsia="仿宋" w:cs="仿宋_GB2312"/>
                <w:b/>
                <w:color w:val="auto"/>
                <w:kern w:val="0"/>
                <w:sz w:val="32"/>
                <w:szCs w:val="32"/>
                <w:highlight w:val="none"/>
              </w:rPr>
            </w:pPr>
          </w:p>
        </w:tc>
        <w:tc>
          <w:tcPr>
            <w:tcW w:w="3193" w:type="dxa"/>
            <w:vAlign w:val="center"/>
          </w:tcPr>
          <w:p>
            <w:pPr>
              <w:snapToGrid w:val="0"/>
              <w:spacing w:line="360" w:lineRule="auto"/>
              <w:jc w:val="center"/>
              <w:rPr>
                <w:rFonts w:ascii="仿宋" w:hAnsi="仿宋" w:eastAsia="仿宋" w:cs="仿宋_GB2312"/>
                <w:b/>
                <w:color w:val="auto"/>
                <w:kern w:val="0"/>
                <w:sz w:val="32"/>
                <w:szCs w:val="32"/>
                <w:highlight w:val="none"/>
              </w:rPr>
            </w:pPr>
          </w:p>
        </w:tc>
        <w:tc>
          <w:tcPr>
            <w:tcW w:w="1147" w:type="dxa"/>
            <w:vAlign w:val="center"/>
          </w:tcPr>
          <w:p>
            <w:pPr>
              <w:snapToGrid w:val="0"/>
              <w:spacing w:line="360" w:lineRule="auto"/>
              <w:jc w:val="center"/>
              <w:rPr>
                <w:rFonts w:ascii="仿宋" w:hAnsi="仿宋" w:eastAsia="仿宋"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2" w:type="dxa"/>
            <w:vAlign w:val="center"/>
          </w:tcPr>
          <w:p>
            <w:pPr>
              <w:snapToGrid w:val="0"/>
              <w:spacing w:line="360" w:lineRule="auto"/>
              <w:jc w:val="center"/>
              <w:rPr>
                <w:rFonts w:ascii="仿宋" w:hAnsi="仿宋" w:eastAsia="仿宋" w:cs="仿宋_GB2312"/>
                <w:color w:val="auto"/>
                <w:kern w:val="0"/>
                <w:sz w:val="24"/>
                <w:highlight w:val="none"/>
              </w:rPr>
            </w:pPr>
            <w:r>
              <w:rPr>
                <w:rFonts w:ascii="仿宋" w:hAnsi="仿宋" w:eastAsia="仿宋" w:cs="仿宋_GB2312"/>
                <w:color w:val="auto"/>
                <w:kern w:val="0"/>
                <w:sz w:val="24"/>
                <w:highlight w:val="none"/>
              </w:rPr>
              <w:t>2</w:t>
            </w:r>
          </w:p>
        </w:tc>
        <w:tc>
          <w:tcPr>
            <w:tcW w:w="3317" w:type="dxa"/>
            <w:vAlign w:val="center"/>
          </w:tcPr>
          <w:p>
            <w:pPr>
              <w:snapToGrid w:val="0"/>
              <w:spacing w:line="360" w:lineRule="auto"/>
              <w:jc w:val="center"/>
              <w:rPr>
                <w:rFonts w:ascii="仿宋" w:hAnsi="仿宋" w:eastAsia="仿宋" w:cs="仿宋_GB2312"/>
                <w:b/>
                <w:color w:val="auto"/>
                <w:kern w:val="0"/>
                <w:sz w:val="32"/>
                <w:szCs w:val="32"/>
                <w:highlight w:val="none"/>
              </w:rPr>
            </w:pPr>
          </w:p>
        </w:tc>
        <w:tc>
          <w:tcPr>
            <w:tcW w:w="3193" w:type="dxa"/>
            <w:vAlign w:val="center"/>
          </w:tcPr>
          <w:p>
            <w:pPr>
              <w:snapToGrid w:val="0"/>
              <w:spacing w:line="360" w:lineRule="auto"/>
              <w:jc w:val="center"/>
              <w:rPr>
                <w:rFonts w:ascii="仿宋" w:hAnsi="仿宋" w:eastAsia="仿宋" w:cs="仿宋_GB2312"/>
                <w:b/>
                <w:color w:val="auto"/>
                <w:kern w:val="0"/>
                <w:sz w:val="32"/>
                <w:szCs w:val="32"/>
                <w:highlight w:val="none"/>
              </w:rPr>
            </w:pPr>
          </w:p>
        </w:tc>
        <w:tc>
          <w:tcPr>
            <w:tcW w:w="1147" w:type="dxa"/>
            <w:vAlign w:val="center"/>
          </w:tcPr>
          <w:p>
            <w:pPr>
              <w:snapToGrid w:val="0"/>
              <w:spacing w:line="360" w:lineRule="auto"/>
              <w:jc w:val="center"/>
              <w:rPr>
                <w:rFonts w:ascii="仿宋" w:hAnsi="仿宋" w:eastAsia="仿宋" w:cs="仿宋_GB2312"/>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62" w:type="dxa"/>
            <w:vAlign w:val="center"/>
          </w:tcPr>
          <w:p>
            <w:pPr>
              <w:snapToGrid w:val="0"/>
              <w:spacing w:line="360" w:lineRule="auto"/>
              <w:jc w:val="center"/>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w:t>
            </w:r>
          </w:p>
        </w:tc>
        <w:tc>
          <w:tcPr>
            <w:tcW w:w="3317" w:type="dxa"/>
            <w:vAlign w:val="center"/>
          </w:tcPr>
          <w:p>
            <w:pPr>
              <w:snapToGrid w:val="0"/>
              <w:spacing w:line="360" w:lineRule="auto"/>
              <w:jc w:val="center"/>
              <w:rPr>
                <w:rFonts w:ascii="仿宋" w:hAnsi="仿宋" w:eastAsia="仿宋" w:cs="仿宋_GB2312"/>
                <w:b/>
                <w:color w:val="auto"/>
                <w:kern w:val="0"/>
                <w:sz w:val="32"/>
                <w:szCs w:val="32"/>
                <w:highlight w:val="none"/>
              </w:rPr>
            </w:pPr>
          </w:p>
        </w:tc>
        <w:tc>
          <w:tcPr>
            <w:tcW w:w="3193" w:type="dxa"/>
            <w:vAlign w:val="center"/>
          </w:tcPr>
          <w:p>
            <w:pPr>
              <w:snapToGrid w:val="0"/>
              <w:spacing w:line="360" w:lineRule="auto"/>
              <w:jc w:val="center"/>
              <w:rPr>
                <w:rFonts w:ascii="仿宋" w:hAnsi="仿宋" w:eastAsia="仿宋" w:cs="仿宋_GB2312"/>
                <w:b/>
                <w:color w:val="auto"/>
                <w:kern w:val="0"/>
                <w:sz w:val="32"/>
                <w:szCs w:val="32"/>
                <w:highlight w:val="none"/>
              </w:rPr>
            </w:pPr>
          </w:p>
        </w:tc>
        <w:tc>
          <w:tcPr>
            <w:tcW w:w="1147" w:type="dxa"/>
            <w:vAlign w:val="center"/>
          </w:tcPr>
          <w:p>
            <w:pPr>
              <w:snapToGrid w:val="0"/>
              <w:spacing w:line="360" w:lineRule="auto"/>
              <w:jc w:val="center"/>
              <w:rPr>
                <w:rFonts w:ascii="仿宋" w:hAnsi="仿宋" w:eastAsia="仿宋" w:cs="仿宋_GB2312"/>
                <w:b/>
                <w:color w:val="auto"/>
                <w:kern w:val="0"/>
                <w:sz w:val="32"/>
                <w:szCs w:val="32"/>
                <w:highlight w:val="none"/>
              </w:rPr>
            </w:pPr>
          </w:p>
        </w:tc>
      </w:tr>
    </w:tbl>
    <w:p>
      <w:pPr>
        <w:snapToGrid w:val="0"/>
        <w:spacing w:line="360" w:lineRule="auto"/>
        <w:jc w:val="left"/>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投标人保证：除商务技术偏离表列出的偏离外，投标人响应采购文件的全部要求</w:t>
      </w:r>
    </w:p>
    <w:p>
      <w:pPr>
        <w:snapToGrid w:val="0"/>
        <w:spacing w:line="360" w:lineRule="auto"/>
        <w:jc w:val="center"/>
        <w:rPr>
          <w:rFonts w:ascii="仿宋" w:hAnsi="仿宋" w:eastAsia="仿宋" w:cs="仿宋_GB2312"/>
          <w:b/>
          <w:color w:val="auto"/>
          <w:kern w:val="0"/>
          <w:sz w:val="32"/>
          <w:szCs w:val="32"/>
          <w:highlight w:val="none"/>
        </w:rPr>
      </w:pPr>
    </w:p>
    <w:p>
      <w:pPr>
        <w:pStyle w:val="18"/>
        <w:snapToGrid w:val="0"/>
        <w:spacing w:line="360" w:lineRule="auto"/>
        <w:ind w:left="1680" w:firstLine="643"/>
        <w:jc w:val="center"/>
        <w:rPr>
          <w:rFonts w:ascii="仿宋" w:hAnsi="仿宋" w:eastAsia="仿宋" w:cs="宋体"/>
          <w:b/>
          <w:bCs/>
          <w:color w:val="auto"/>
          <w:sz w:val="32"/>
          <w:szCs w:val="32"/>
          <w:highlight w:val="none"/>
        </w:rPr>
      </w:pPr>
    </w:p>
    <w:p>
      <w:pPr>
        <w:pStyle w:val="18"/>
        <w:snapToGrid w:val="0"/>
        <w:spacing w:line="360" w:lineRule="auto"/>
        <w:ind w:left="1682" w:leftChars="68" w:hanging="1539" w:hangingChars="479"/>
        <w:jc w:val="center"/>
        <w:outlineLvl w:val="1"/>
        <w:rPr>
          <w:rFonts w:ascii="仿宋" w:hAnsi="仿宋" w:eastAsia="仿宋" w:cs="宋体"/>
          <w:b/>
          <w:bCs/>
          <w:color w:val="auto"/>
          <w:kern w:val="0"/>
          <w:sz w:val="32"/>
          <w:szCs w:val="32"/>
          <w:highlight w:val="none"/>
        </w:rPr>
      </w:pPr>
      <w:bookmarkStart w:id="620" w:name="_Toc171895286"/>
      <w:bookmarkStart w:id="621" w:name="_Toc670638540"/>
      <w:r>
        <w:rPr>
          <w:rFonts w:hint="eastAsia" w:ascii="仿宋" w:hAnsi="仿宋" w:eastAsia="仿宋" w:cs="宋体"/>
          <w:b/>
          <w:bCs/>
          <w:color w:val="auto"/>
          <w:sz w:val="32"/>
          <w:szCs w:val="32"/>
          <w:highlight w:val="none"/>
        </w:rPr>
        <w:t>十五、其他商务技术文件或说明</w:t>
      </w:r>
      <w:bookmarkEnd w:id="620"/>
      <w:bookmarkEnd w:id="621"/>
    </w:p>
    <w:p>
      <w:pPr>
        <w:snapToGrid w:val="0"/>
        <w:spacing w:line="360" w:lineRule="auto"/>
        <w:rPr>
          <w:rFonts w:ascii="仿宋" w:hAnsi="仿宋" w:eastAsia="仿宋" w:cs="仿宋_GB2312"/>
          <w:b/>
          <w:color w:val="auto"/>
          <w:kern w:val="0"/>
          <w:sz w:val="32"/>
          <w:szCs w:val="32"/>
          <w:highlight w:val="none"/>
        </w:rPr>
      </w:pPr>
    </w:p>
    <w:p>
      <w:pPr>
        <w:snapToGrid w:val="0"/>
        <w:spacing w:line="360" w:lineRule="auto"/>
        <w:ind w:firstLine="1911" w:firstLineChars="595"/>
        <w:rPr>
          <w:rFonts w:ascii="仿宋" w:hAnsi="仿宋" w:eastAsia="仿宋" w:cs="仿宋_GB2312"/>
          <w:b/>
          <w:color w:val="auto"/>
          <w:kern w:val="0"/>
          <w:sz w:val="32"/>
          <w:szCs w:val="32"/>
          <w:highlight w:val="none"/>
        </w:rPr>
      </w:pPr>
      <w:bookmarkStart w:id="622" w:name="_Toc685"/>
      <w:bookmarkStart w:id="623" w:name="_Toc95313022"/>
      <w:bookmarkStart w:id="624" w:name="_Toc14486"/>
    </w:p>
    <w:p>
      <w:pPr>
        <w:snapToGrid w:val="0"/>
        <w:spacing w:line="360" w:lineRule="auto"/>
        <w:ind w:firstLine="1911" w:firstLineChars="595"/>
        <w:rPr>
          <w:rFonts w:ascii="仿宋" w:hAnsi="仿宋" w:eastAsia="仿宋" w:cs="仿宋_GB2312"/>
          <w:b/>
          <w:color w:val="auto"/>
          <w:kern w:val="0"/>
          <w:sz w:val="32"/>
          <w:szCs w:val="32"/>
          <w:highlight w:val="none"/>
        </w:rPr>
      </w:pPr>
    </w:p>
    <w:p>
      <w:pPr>
        <w:snapToGrid w:val="0"/>
        <w:spacing w:line="360" w:lineRule="auto"/>
        <w:ind w:firstLine="1911" w:firstLineChars="595"/>
        <w:rPr>
          <w:rFonts w:ascii="仿宋" w:hAnsi="仿宋" w:eastAsia="仿宋" w:cs="仿宋_GB2312"/>
          <w:b/>
          <w:color w:val="auto"/>
          <w:kern w:val="0"/>
          <w:sz w:val="32"/>
          <w:szCs w:val="32"/>
          <w:highlight w:val="none"/>
        </w:rPr>
      </w:pPr>
    </w:p>
    <w:p>
      <w:pPr>
        <w:snapToGrid w:val="0"/>
        <w:spacing w:line="360" w:lineRule="auto"/>
        <w:ind w:firstLine="1911" w:firstLineChars="595"/>
        <w:rPr>
          <w:rFonts w:ascii="仿宋" w:hAnsi="仿宋" w:eastAsia="仿宋" w:cs="仿宋_GB2312"/>
          <w:b/>
          <w:color w:val="auto"/>
          <w:kern w:val="0"/>
          <w:sz w:val="32"/>
          <w:szCs w:val="32"/>
          <w:highlight w:val="none"/>
        </w:rPr>
      </w:pPr>
    </w:p>
    <w:p>
      <w:pPr>
        <w:snapToGrid w:val="0"/>
        <w:spacing w:line="360" w:lineRule="auto"/>
        <w:ind w:firstLine="1911" w:firstLineChars="595"/>
        <w:rPr>
          <w:rFonts w:ascii="仿宋" w:hAnsi="仿宋" w:eastAsia="仿宋" w:cs="仿宋_GB2312"/>
          <w:b/>
          <w:color w:val="auto"/>
          <w:kern w:val="0"/>
          <w:sz w:val="32"/>
          <w:szCs w:val="32"/>
          <w:highlight w:val="none"/>
        </w:rPr>
      </w:pPr>
    </w:p>
    <w:p>
      <w:pPr>
        <w:snapToGrid w:val="0"/>
        <w:spacing w:line="360" w:lineRule="auto"/>
        <w:ind w:firstLine="1911" w:firstLineChars="595"/>
        <w:rPr>
          <w:rFonts w:ascii="仿宋" w:hAnsi="仿宋" w:eastAsia="仿宋" w:cs="仿宋_GB2312"/>
          <w:b/>
          <w:color w:val="auto"/>
          <w:kern w:val="0"/>
          <w:sz w:val="32"/>
          <w:szCs w:val="32"/>
          <w:highlight w:val="none"/>
        </w:rPr>
      </w:pPr>
    </w:p>
    <w:p>
      <w:pPr>
        <w:pStyle w:val="3"/>
        <w:rPr>
          <w:rFonts w:ascii="仿宋" w:hAnsi="仿宋" w:eastAsia="仿宋"/>
          <w:color w:val="auto"/>
          <w:highlight w:val="none"/>
        </w:rPr>
      </w:pPr>
    </w:p>
    <w:p>
      <w:pPr>
        <w:snapToGrid w:val="0"/>
        <w:spacing w:line="360" w:lineRule="auto"/>
        <w:jc w:val="center"/>
        <w:outlineLvl w:val="1"/>
        <w:rPr>
          <w:rFonts w:ascii="仿宋" w:hAnsi="仿宋" w:eastAsia="仿宋" w:cs="仿宋_GB2312"/>
          <w:b/>
          <w:color w:val="auto"/>
          <w:kern w:val="0"/>
          <w:sz w:val="32"/>
          <w:szCs w:val="32"/>
          <w:highlight w:val="none"/>
        </w:rPr>
      </w:pPr>
      <w:bookmarkStart w:id="625" w:name="_Toc1427762324"/>
      <w:bookmarkStart w:id="626" w:name="_Toc678566587"/>
    </w:p>
    <w:p>
      <w:pPr>
        <w:snapToGrid w:val="0"/>
        <w:spacing w:line="360" w:lineRule="auto"/>
        <w:jc w:val="center"/>
        <w:outlineLvl w:val="1"/>
        <w:rPr>
          <w:rFonts w:ascii="仿宋" w:hAnsi="仿宋" w:eastAsia="仿宋" w:cs="仿宋_GB2312"/>
          <w:b/>
          <w:color w:val="auto"/>
          <w:kern w:val="0"/>
          <w:sz w:val="32"/>
          <w:szCs w:val="32"/>
          <w:highlight w:val="none"/>
        </w:rPr>
      </w:pPr>
      <w:r>
        <w:rPr>
          <w:rFonts w:hint="eastAsia" w:ascii="仿宋" w:hAnsi="仿宋" w:eastAsia="仿宋" w:cs="仿宋_GB2312"/>
          <w:b/>
          <w:color w:val="auto"/>
          <w:kern w:val="0"/>
          <w:sz w:val="32"/>
          <w:szCs w:val="32"/>
          <w:highlight w:val="none"/>
        </w:rPr>
        <w:t>十六、</w:t>
      </w:r>
      <w:r>
        <w:rPr>
          <w:rFonts w:hint="eastAsia" w:ascii="仿宋" w:hAnsi="仿宋" w:eastAsia="仿宋" w:cs="仿宋_GB2312"/>
          <w:b/>
          <w:color w:val="auto"/>
          <w:kern w:val="0"/>
          <w:sz w:val="32"/>
          <w:szCs w:val="32"/>
          <w:highlight w:val="none"/>
          <w:lang w:val="zh-CN"/>
        </w:rPr>
        <w:t>政府采购供应商廉洁自律承诺书</w:t>
      </w:r>
      <w:bookmarkEnd w:id="622"/>
      <w:bookmarkEnd w:id="623"/>
      <w:bookmarkEnd w:id="624"/>
      <w:bookmarkEnd w:id="625"/>
      <w:bookmarkEnd w:id="626"/>
    </w:p>
    <w:p>
      <w:pPr>
        <w:snapToGrid w:val="0"/>
        <w:spacing w:line="360" w:lineRule="auto"/>
        <w:rPr>
          <w:rFonts w:ascii="仿宋" w:hAnsi="仿宋" w:eastAsia="仿宋" w:cs="仿宋_GB2312"/>
          <w:color w:val="auto"/>
          <w:sz w:val="24"/>
          <w:highlight w:val="none"/>
        </w:rPr>
      </w:pPr>
    </w:p>
    <w:p>
      <w:pPr>
        <w:snapToGrid w:val="0"/>
        <w:spacing w:line="360" w:lineRule="auto"/>
        <w:rPr>
          <w:rFonts w:ascii="仿宋" w:hAnsi="仿宋" w:eastAsia="仿宋" w:cs="仿宋_GB2312"/>
          <w:color w:val="auto"/>
          <w:kern w:val="0"/>
          <w:sz w:val="24"/>
          <w:highlight w:val="none"/>
        </w:rPr>
      </w:pPr>
      <w:r>
        <w:rPr>
          <w:rFonts w:hint="eastAsia" w:ascii="仿宋" w:hAnsi="仿宋" w:eastAsia="仿宋" w:cs="仿宋_GB2312"/>
          <w:color w:val="auto"/>
          <w:sz w:val="24"/>
          <w:highlight w:val="none"/>
          <w:u w:val="single"/>
        </w:rPr>
        <w:t>杭州市余杭区机关事务服务中心、杭州中瑞招标代理有限公司</w:t>
      </w:r>
      <w:r>
        <w:rPr>
          <w:rFonts w:hint="eastAsia" w:ascii="仿宋" w:hAnsi="仿宋" w:eastAsia="仿宋" w:cs="仿宋_GB2312"/>
          <w:color w:val="auto"/>
          <w:kern w:val="0"/>
          <w:sz w:val="24"/>
          <w:highlight w:val="none"/>
          <w:lang w:val="zh-CN"/>
        </w:rPr>
        <w:t>：</w:t>
      </w:r>
    </w:p>
    <w:p>
      <w:pPr>
        <w:autoSpaceDE w:val="0"/>
        <w:autoSpaceDN w:val="0"/>
        <w:snapToGrid w:val="0"/>
        <w:spacing w:line="360" w:lineRule="auto"/>
        <w:ind w:firstLine="480" w:firstLineChars="200"/>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我单位响应你</w:t>
      </w:r>
      <w:r>
        <w:rPr>
          <w:rFonts w:hint="eastAsia" w:ascii="仿宋" w:hAnsi="仿宋" w:eastAsia="仿宋" w:cs="仿宋_GB2312"/>
          <w:color w:val="auto"/>
          <w:sz w:val="24"/>
          <w:highlight w:val="none"/>
        </w:rPr>
        <w:t>单位</w:t>
      </w:r>
      <w:r>
        <w:rPr>
          <w:rFonts w:hint="eastAsia" w:ascii="仿宋" w:hAnsi="仿宋" w:eastAsia="仿宋" w:cs="仿宋_GB2312"/>
          <w:color w:val="auto"/>
          <w:kern w:val="0"/>
          <w:sz w:val="24"/>
          <w:highlight w:val="none"/>
          <w:lang w:val="zh-CN"/>
        </w:rPr>
        <w:t>项目招标要求参加投标。在这次投标过程中和中标后，我们将严格遵守国家法律法规要求，并郑重承诺：</w:t>
      </w:r>
    </w:p>
    <w:p>
      <w:pPr>
        <w:autoSpaceDE w:val="0"/>
        <w:autoSpaceDN w:val="0"/>
        <w:snapToGrid w:val="0"/>
        <w:spacing w:line="360" w:lineRule="auto"/>
        <w:ind w:firstLine="480" w:firstLineChars="200"/>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一、不向项目有关人员及部门赠送礼金礼物、有价证券、回扣以及中介费、介绍费、咨询费等好处费；</w:t>
      </w:r>
      <w:r>
        <w:rPr>
          <w:rFonts w:ascii="仿宋" w:hAnsi="仿宋" w:eastAsia="仿宋" w:cs="仿宋_GB2312"/>
          <w:color w:val="auto"/>
          <w:kern w:val="0"/>
          <w:sz w:val="24"/>
          <w:highlight w:val="none"/>
          <w:lang w:val="zh-CN"/>
        </w:rPr>
        <w:t xml:space="preserve"> </w:t>
      </w:r>
    </w:p>
    <w:p>
      <w:pPr>
        <w:autoSpaceDE w:val="0"/>
        <w:autoSpaceDN w:val="0"/>
        <w:snapToGrid w:val="0"/>
        <w:spacing w:line="360" w:lineRule="auto"/>
        <w:ind w:firstLine="480" w:firstLineChars="200"/>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二、不为项目有关人员及部门报销应由你方单位或个人支付的费用；</w:t>
      </w:r>
      <w:r>
        <w:rPr>
          <w:rFonts w:ascii="仿宋" w:hAnsi="仿宋" w:eastAsia="仿宋" w:cs="仿宋_GB2312"/>
          <w:color w:val="auto"/>
          <w:kern w:val="0"/>
          <w:sz w:val="24"/>
          <w:highlight w:val="none"/>
          <w:lang w:val="zh-CN"/>
        </w:rPr>
        <w:t xml:space="preserve"> </w:t>
      </w:r>
    </w:p>
    <w:p>
      <w:pPr>
        <w:autoSpaceDE w:val="0"/>
        <w:autoSpaceDN w:val="0"/>
        <w:snapToGrid w:val="0"/>
        <w:spacing w:line="360" w:lineRule="auto"/>
        <w:ind w:firstLine="480" w:firstLineChars="200"/>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三、不向项目有关人员及部门提供有可能影响公正的宴请和健身娱乐等活动；</w:t>
      </w:r>
      <w:r>
        <w:rPr>
          <w:rFonts w:ascii="仿宋" w:hAnsi="仿宋" w:eastAsia="仿宋" w:cs="仿宋_GB2312"/>
          <w:color w:val="auto"/>
          <w:kern w:val="0"/>
          <w:sz w:val="24"/>
          <w:highlight w:val="none"/>
          <w:lang w:val="zh-CN"/>
        </w:rPr>
        <w:t xml:space="preserve"> </w:t>
      </w:r>
    </w:p>
    <w:p>
      <w:pPr>
        <w:autoSpaceDE w:val="0"/>
        <w:autoSpaceDN w:val="0"/>
        <w:snapToGrid w:val="0"/>
        <w:spacing w:line="360" w:lineRule="auto"/>
        <w:ind w:firstLine="480" w:firstLineChars="200"/>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四、不为项目有关人员及部门出国（境）、旅游等提供方便；</w:t>
      </w:r>
    </w:p>
    <w:p>
      <w:pPr>
        <w:autoSpaceDE w:val="0"/>
        <w:autoSpaceDN w:val="0"/>
        <w:snapToGrid w:val="0"/>
        <w:spacing w:line="360" w:lineRule="auto"/>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五、不为项目有关人员个人装修住房、婚丧嫁娶、配偶子女工作安排等提供</w:t>
      </w:r>
    </w:p>
    <w:p>
      <w:pPr>
        <w:autoSpaceDE w:val="0"/>
        <w:autoSpaceDN w:val="0"/>
        <w:snapToGrid w:val="0"/>
        <w:spacing w:line="360" w:lineRule="auto"/>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好处；</w:t>
      </w:r>
    </w:p>
    <w:p>
      <w:pPr>
        <w:autoSpaceDE w:val="0"/>
        <w:autoSpaceDN w:val="0"/>
        <w:snapToGrid w:val="0"/>
        <w:spacing w:line="360" w:lineRule="auto"/>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六、严格遵守《</w:t>
      </w:r>
      <w:r>
        <w:rPr>
          <w:rFonts w:hint="eastAsia" w:ascii="仿宋" w:hAnsi="仿宋" w:eastAsia="仿宋"/>
          <w:color w:val="auto"/>
          <w:sz w:val="24"/>
          <w:highlight w:val="none"/>
          <w:lang w:val="zh-CN"/>
        </w:rPr>
        <w:t>中华人民共和国</w:t>
      </w:r>
      <w:r>
        <w:rPr>
          <w:rFonts w:hint="eastAsia" w:ascii="仿宋" w:hAnsi="仿宋" w:eastAsia="仿宋" w:cs="仿宋_GB2312"/>
          <w:color w:val="auto"/>
          <w:kern w:val="0"/>
          <w:sz w:val="24"/>
          <w:highlight w:val="none"/>
          <w:lang w:val="zh-CN"/>
        </w:rPr>
        <w:t>政府采购法》《</w:t>
      </w:r>
      <w:r>
        <w:rPr>
          <w:rFonts w:hint="eastAsia" w:ascii="仿宋" w:hAnsi="仿宋" w:eastAsia="仿宋"/>
          <w:color w:val="auto"/>
          <w:sz w:val="24"/>
          <w:highlight w:val="none"/>
          <w:lang w:val="zh-CN"/>
        </w:rPr>
        <w:t>中华人民共和国</w:t>
      </w:r>
      <w:r>
        <w:rPr>
          <w:rFonts w:hint="eastAsia" w:ascii="仿宋" w:hAnsi="仿宋" w:eastAsia="仿宋" w:cs="仿宋_GB2312"/>
          <w:color w:val="auto"/>
          <w:kern w:val="0"/>
          <w:sz w:val="24"/>
          <w:highlight w:val="none"/>
          <w:lang w:val="zh-CN"/>
        </w:rPr>
        <w:t>招标投标</w:t>
      </w:r>
    </w:p>
    <w:p>
      <w:pPr>
        <w:autoSpaceDE w:val="0"/>
        <w:autoSpaceDN w:val="0"/>
        <w:snapToGrid w:val="0"/>
        <w:spacing w:line="360" w:lineRule="auto"/>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法》</w:t>
      </w:r>
      <w:r>
        <w:rPr>
          <w:rFonts w:hint="eastAsia" w:ascii="仿宋" w:hAnsi="仿宋" w:eastAsia="仿宋"/>
          <w:color w:val="auto"/>
          <w:sz w:val="24"/>
          <w:highlight w:val="none"/>
          <w:lang w:val="zh-CN"/>
        </w:rPr>
        <w:t>《中华人民共和国民法典》</w:t>
      </w:r>
      <w:r>
        <w:rPr>
          <w:rFonts w:hint="eastAsia" w:ascii="仿宋" w:hAnsi="仿宋" w:eastAsia="仿宋" w:cs="仿宋_GB2312"/>
          <w:color w:val="auto"/>
          <w:kern w:val="0"/>
          <w:sz w:val="24"/>
          <w:highlight w:val="none"/>
          <w:lang w:val="zh-CN"/>
        </w:rPr>
        <w:t>等法律法规，诚实守信，合法经营，坚决抵制各种违法违纪行为。</w:t>
      </w:r>
      <w:r>
        <w:rPr>
          <w:rFonts w:ascii="仿宋" w:hAnsi="仿宋" w:eastAsia="仿宋" w:cs="仿宋_GB2312"/>
          <w:color w:val="auto"/>
          <w:kern w:val="0"/>
          <w:sz w:val="24"/>
          <w:highlight w:val="none"/>
          <w:lang w:val="zh-CN"/>
        </w:rPr>
        <w:t xml:space="preserve"> </w:t>
      </w:r>
    </w:p>
    <w:p>
      <w:pPr>
        <w:autoSpaceDE w:val="0"/>
        <w:autoSpaceDN w:val="0"/>
        <w:snapToGrid w:val="0"/>
        <w:spacing w:line="360" w:lineRule="auto"/>
        <w:ind w:firstLine="480" w:firstLineChars="200"/>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如违反上述承诺，你</w:t>
      </w:r>
      <w:r>
        <w:rPr>
          <w:rFonts w:hint="eastAsia" w:ascii="仿宋" w:hAnsi="仿宋" w:eastAsia="仿宋" w:cs="仿宋_GB2312"/>
          <w:color w:val="auto"/>
          <w:sz w:val="24"/>
          <w:highlight w:val="none"/>
        </w:rPr>
        <w:t>单位</w:t>
      </w:r>
      <w:r>
        <w:rPr>
          <w:rFonts w:hint="eastAsia" w:ascii="仿宋" w:hAnsi="仿宋" w:eastAsia="仿宋" w:cs="仿宋_GB2312"/>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_GB2312"/>
          <w:color w:val="auto"/>
          <w:sz w:val="24"/>
          <w:highlight w:val="none"/>
        </w:rPr>
        <w:t>单位</w:t>
      </w:r>
      <w:r>
        <w:rPr>
          <w:rFonts w:hint="eastAsia" w:ascii="仿宋" w:hAnsi="仿宋" w:eastAsia="仿宋" w:cs="仿宋_GB2312"/>
          <w:color w:val="auto"/>
          <w:kern w:val="0"/>
          <w:sz w:val="24"/>
          <w:highlight w:val="none"/>
          <w:lang w:val="zh-CN"/>
        </w:rPr>
        <w:t>进行项目建设或其他经营活动，并通报市财政局。由此引起的相应损失均由我单位承担。</w:t>
      </w:r>
    </w:p>
    <w:p>
      <w:pPr>
        <w:autoSpaceDE w:val="0"/>
        <w:autoSpaceDN w:val="0"/>
        <w:snapToGrid w:val="0"/>
        <w:spacing w:line="360" w:lineRule="auto"/>
        <w:jc w:val="left"/>
        <w:rPr>
          <w:rFonts w:ascii="仿宋" w:hAnsi="仿宋" w:eastAsia="仿宋" w:cs="仿宋_GB2312"/>
          <w:color w:val="auto"/>
          <w:kern w:val="0"/>
          <w:sz w:val="24"/>
          <w:highlight w:val="none"/>
          <w:lang w:val="zh-CN"/>
        </w:rPr>
      </w:pPr>
    </w:p>
    <w:p>
      <w:pPr>
        <w:autoSpaceDE w:val="0"/>
        <w:autoSpaceDN w:val="0"/>
        <w:snapToGrid w:val="0"/>
        <w:spacing w:line="360" w:lineRule="auto"/>
        <w:jc w:val="left"/>
        <w:rPr>
          <w:rFonts w:ascii="仿宋" w:hAnsi="仿宋" w:eastAsia="仿宋" w:cs="仿宋_GB2312"/>
          <w:color w:val="auto"/>
          <w:kern w:val="0"/>
          <w:sz w:val="24"/>
          <w:highlight w:val="none"/>
          <w:lang w:val="zh-CN"/>
        </w:rPr>
      </w:pPr>
    </w:p>
    <w:p>
      <w:pPr>
        <w:autoSpaceDE w:val="0"/>
        <w:autoSpaceDN w:val="0"/>
        <w:snapToGrid w:val="0"/>
        <w:spacing w:line="360" w:lineRule="auto"/>
        <w:jc w:val="left"/>
        <w:rPr>
          <w:rFonts w:ascii="仿宋" w:hAnsi="仿宋" w:eastAsia="仿宋" w:cs="仿宋_GB2312"/>
          <w:color w:val="auto"/>
          <w:kern w:val="0"/>
          <w:sz w:val="24"/>
          <w:highlight w:val="none"/>
          <w:lang w:val="zh-CN"/>
        </w:rPr>
      </w:pPr>
    </w:p>
    <w:p>
      <w:pPr>
        <w:autoSpaceDE w:val="0"/>
        <w:autoSpaceDN w:val="0"/>
        <w:snapToGrid w:val="0"/>
        <w:spacing w:line="360" w:lineRule="auto"/>
        <w:ind w:firstLine="4560" w:firstLineChars="1900"/>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 xml:space="preserve"> 投标人名称(电子签名)：</w:t>
      </w:r>
      <w:r>
        <w:rPr>
          <w:rFonts w:ascii="仿宋" w:hAnsi="仿宋" w:eastAsia="仿宋" w:cs="仿宋_GB2312"/>
          <w:color w:val="auto"/>
          <w:kern w:val="0"/>
          <w:sz w:val="24"/>
          <w:highlight w:val="none"/>
          <w:lang w:val="zh-CN"/>
        </w:rPr>
        <w:t xml:space="preserve">                                                                                                                                                                                                               </w:t>
      </w:r>
    </w:p>
    <w:p>
      <w:pPr>
        <w:snapToGrid w:val="0"/>
        <w:spacing w:line="360" w:lineRule="auto"/>
        <w:jc w:val="right"/>
        <w:rPr>
          <w:rFonts w:ascii="仿宋" w:hAnsi="仿宋" w:eastAsia="仿宋"/>
          <w:color w:val="auto"/>
          <w:sz w:val="24"/>
          <w:highlight w:val="none"/>
        </w:rPr>
      </w:pPr>
      <w:r>
        <w:rPr>
          <w:rFonts w:hint="eastAsia" w:ascii="仿宋" w:hAnsi="仿宋" w:eastAsia="仿宋" w:cs="仿宋_GB2312"/>
          <w:color w:val="auto"/>
          <w:kern w:val="0"/>
          <w:sz w:val="24"/>
          <w:highlight w:val="none"/>
          <w:lang w:val="zh-CN"/>
        </w:rPr>
        <w:t>日期</w:t>
      </w:r>
      <w:r>
        <w:rPr>
          <w:rFonts w:hint="eastAsia" w:ascii="仿宋" w:hAnsi="仿宋" w:eastAsia="仿宋" w:cs="仿宋_GB2312"/>
          <w:color w:val="auto"/>
          <w:kern w:val="0"/>
          <w:sz w:val="24"/>
          <w:highlight w:val="none"/>
        </w:rPr>
        <w:t>：</w:t>
      </w:r>
      <w:r>
        <w:rPr>
          <w:rFonts w:ascii="仿宋" w:hAnsi="仿宋" w:eastAsia="仿宋" w:cs="仿宋_GB2312"/>
          <w:color w:val="auto"/>
          <w:kern w:val="0"/>
          <w:sz w:val="24"/>
          <w:highlight w:val="none"/>
          <w:lang w:val="zh-CN"/>
        </w:rPr>
        <w:t xml:space="preserve">   年   月   日</w:t>
      </w:r>
    </w:p>
    <w:p>
      <w:pPr>
        <w:snapToGrid w:val="0"/>
        <w:spacing w:line="360" w:lineRule="auto"/>
        <w:rPr>
          <w:rFonts w:ascii="仿宋" w:hAnsi="仿宋" w:eastAsia="仿宋" w:cs="仿宋_GB2312"/>
          <w:b/>
          <w:color w:val="auto"/>
          <w:kern w:val="0"/>
          <w:sz w:val="36"/>
          <w:szCs w:val="36"/>
          <w:highlight w:val="none"/>
        </w:rPr>
      </w:pPr>
      <w:r>
        <w:rPr>
          <w:rFonts w:hint="eastAsia" w:ascii="仿宋" w:hAnsi="仿宋" w:eastAsia="仿宋" w:cs="仿宋_GB2312"/>
          <w:b/>
          <w:color w:val="auto"/>
          <w:kern w:val="0"/>
          <w:sz w:val="36"/>
          <w:szCs w:val="36"/>
          <w:highlight w:val="none"/>
        </w:rPr>
        <w:br w:type="page"/>
      </w:r>
    </w:p>
    <w:p>
      <w:pPr>
        <w:snapToGrid w:val="0"/>
        <w:spacing w:line="360" w:lineRule="auto"/>
        <w:jc w:val="center"/>
        <w:outlineLvl w:val="1"/>
        <w:rPr>
          <w:rFonts w:ascii="仿宋" w:hAnsi="仿宋" w:eastAsia="仿宋" w:cs="仿宋_GB2312"/>
          <w:b/>
          <w:color w:val="auto"/>
          <w:kern w:val="0"/>
          <w:sz w:val="36"/>
          <w:szCs w:val="36"/>
          <w:highlight w:val="none"/>
        </w:rPr>
      </w:pPr>
      <w:bookmarkStart w:id="627" w:name="_Toc28502"/>
      <w:bookmarkStart w:id="628" w:name="_Toc7258"/>
      <w:bookmarkStart w:id="629" w:name="_Toc95313023"/>
      <w:bookmarkStart w:id="630" w:name="_Toc419107890"/>
      <w:bookmarkStart w:id="631" w:name="_Toc1530462139"/>
      <w:r>
        <w:rPr>
          <w:rFonts w:hint="eastAsia" w:ascii="仿宋" w:hAnsi="仿宋" w:eastAsia="仿宋" w:cs="仿宋_GB2312"/>
          <w:b/>
          <w:color w:val="auto"/>
          <w:kern w:val="0"/>
          <w:sz w:val="36"/>
          <w:szCs w:val="36"/>
          <w:highlight w:val="none"/>
        </w:rPr>
        <w:t>报价文件部分</w:t>
      </w:r>
      <w:bookmarkEnd w:id="627"/>
      <w:bookmarkEnd w:id="628"/>
      <w:bookmarkEnd w:id="629"/>
      <w:bookmarkEnd w:id="630"/>
      <w:bookmarkEnd w:id="631"/>
    </w:p>
    <w:p>
      <w:pPr>
        <w:snapToGrid w:val="0"/>
        <w:spacing w:line="360" w:lineRule="auto"/>
        <w:jc w:val="center"/>
        <w:rPr>
          <w:rFonts w:ascii="仿宋" w:hAnsi="仿宋" w:eastAsia="仿宋" w:cs="仿宋_GB2312"/>
          <w:b/>
          <w:color w:val="auto"/>
          <w:kern w:val="0"/>
          <w:sz w:val="36"/>
          <w:szCs w:val="36"/>
          <w:highlight w:val="none"/>
        </w:rPr>
      </w:pPr>
      <w:r>
        <w:rPr>
          <w:rFonts w:hint="eastAsia" w:ascii="仿宋" w:hAnsi="仿宋" w:eastAsia="仿宋" w:cs="仿宋_GB2312"/>
          <w:b/>
          <w:color w:val="auto"/>
          <w:kern w:val="0"/>
          <w:sz w:val="36"/>
          <w:szCs w:val="36"/>
          <w:highlight w:val="none"/>
        </w:rPr>
        <w:t>目录</w:t>
      </w:r>
    </w:p>
    <w:p>
      <w:pPr>
        <w:snapToGrid w:val="0"/>
        <w:spacing w:line="360" w:lineRule="auto"/>
        <w:jc w:val="center"/>
        <w:rPr>
          <w:rFonts w:ascii="仿宋" w:hAnsi="仿宋" w:eastAsia="仿宋" w:cs="仿宋_GB2312"/>
          <w:b/>
          <w:color w:val="auto"/>
          <w:kern w:val="0"/>
          <w:sz w:val="36"/>
          <w:szCs w:val="36"/>
          <w:highlight w:val="none"/>
        </w:rPr>
      </w:pPr>
    </w:p>
    <w:p>
      <w:pPr>
        <w:pStyle w:val="100"/>
        <w:snapToGrid w:val="0"/>
        <w:ind w:left="0" w:firstLine="0" w:firstLineChars="0"/>
        <w:rPr>
          <w:rFonts w:ascii="仿宋" w:hAnsi="仿宋" w:eastAsia="仿宋" w:cs="仿宋_GB2312"/>
          <w:color w:val="auto"/>
          <w:highlight w:val="none"/>
          <w:lang w:eastAsia="zh-CN"/>
        </w:rPr>
      </w:pPr>
      <w:r>
        <w:rPr>
          <w:rFonts w:hint="eastAsia" w:ascii="仿宋" w:hAnsi="仿宋" w:eastAsia="仿宋" w:cs="仿宋_GB2312"/>
          <w:color w:val="auto"/>
          <w:highlight w:val="none"/>
          <w:lang w:eastAsia="zh-CN"/>
        </w:rPr>
        <w:t>（1）</w:t>
      </w:r>
      <w:r>
        <w:rPr>
          <w:rFonts w:ascii="仿宋" w:hAnsi="仿宋" w:eastAsia="仿宋" w:cs="仿宋_GB2312"/>
          <w:color w:val="auto"/>
          <w:highlight w:val="none"/>
          <w:lang w:eastAsia="zh-CN"/>
        </w:rPr>
        <w:t>开标一览表（报价表）……</w:t>
      </w:r>
      <w:r>
        <w:rPr>
          <w:rFonts w:hint="eastAsia" w:ascii="仿宋" w:hAnsi="仿宋" w:eastAsia="仿宋" w:cs="仿宋_GB2312"/>
          <w:color w:val="auto"/>
          <w:highlight w:val="none"/>
          <w:lang w:eastAsia="zh-CN"/>
        </w:rPr>
        <w:t>……………………………………………（页码）</w:t>
      </w:r>
    </w:p>
    <w:p>
      <w:pPr>
        <w:snapToGrid w:val="0"/>
        <w:spacing w:line="360" w:lineRule="auto"/>
        <w:rPr>
          <w:rFonts w:ascii="仿宋" w:hAnsi="仿宋" w:eastAsia="仿宋" w:cs="仿宋_GB2312"/>
          <w:color w:val="auto"/>
          <w:sz w:val="24"/>
          <w:highlight w:val="none"/>
        </w:rPr>
      </w:pPr>
      <w:r>
        <w:rPr>
          <w:rFonts w:hint="eastAsia" w:ascii="仿宋" w:hAnsi="仿宋" w:eastAsia="仿宋" w:cs="仿宋_GB2312"/>
          <w:color w:val="auto"/>
          <w:highlight w:val="none"/>
        </w:rPr>
        <w:t>（2）</w:t>
      </w:r>
      <w:r>
        <w:rPr>
          <w:rFonts w:ascii="仿宋" w:hAnsi="仿宋" w:eastAsia="仿宋" w:cs="仿宋_GB2312"/>
          <w:color w:val="auto"/>
          <w:sz w:val="24"/>
          <w:highlight w:val="none"/>
        </w:rPr>
        <w:t>中小企业声明函……</w:t>
      </w:r>
      <w:r>
        <w:rPr>
          <w:rFonts w:hint="eastAsia" w:ascii="仿宋" w:hAnsi="仿宋" w:eastAsia="仿宋" w:cs="仿宋_GB2312"/>
          <w:color w:val="auto"/>
          <w:sz w:val="24"/>
          <w:highlight w:val="none"/>
        </w:rPr>
        <w:t>……………………………………………………（页码）</w:t>
      </w: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snapToGrid w:val="0"/>
        <w:spacing w:line="360" w:lineRule="auto"/>
        <w:jc w:val="center"/>
        <w:rPr>
          <w:rFonts w:ascii="仿宋" w:hAnsi="仿宋" w:eastAsia="仿宋" w:cs="仿宋_GB2312"/>
          <w:b/>
          <w:color w:val="auto"/>
          <w:kern w:val="0"/>
          <w:sz w:val="32"/>
          <w:szCs w:val="32"/>
          <w:highlight w:val="none"/>
        </w:rPr>
      </w:pPr>
    </w:p>
    <w:p>
      <w:pPr>
        <w:pStyle w:val="376"/>
        <w:snapToGrid w:val="0"/>
        <w:ind w:firstLine="640"/>
        <w:rPr>
          <w:rFonts w:ascii="仿宋" w:hAnsi="仿宋" w:eastAsia="仿宋" w:cs="仿宋_GB2312"/>
          <w:color w:val="auto"/>
          <w:kern w:val="2"/>
          <w:sz w:val="32"/>
          <w:szCs w:val="32"/>
          <w:highlight w:val="none"/>
          <w:lang w:eastAsia="zh-CN"/>
        </w:rPr>
        <w:sectPr>
          <w:pgSz w:w="11906" w:h="16838"/>
          <w:pgMar w:top="1440" w:right="1800" w:bottom="1440" w:left="1800" w:header="851" w:footer="992" w:gutter="0"/>
          <w:pgNumType w:start="1"/>
          <w:cols w:space="720" w:num="1"/>
          <w:docGrid w:linePitch="312" w:charSpace="0"/>
        </w:sectPr>
      </w:pPr>
    </w:p>
    <w:p>
      <w:pPr>
        <w:pStyle w:val="376"/>
        <w:snapToGrid w:val="0"/>
        <w:ind w:firstLine="640"/>
        <w:jc w:val="center"/>
        <w:outlineLvl w:val="1"/>
        <w:rPr>
          <w:rFonts w:ascii="仿宋" w:hAnsi="仿宋" w:eastAsia="仿宋" w:cs="仿宋_GB2312"/>
          <w:color w:val="auto"/>
          <w:kern w:val="2"/>
          <w:sz w:val="32"/>
          <w:szCs w:val="32"/>
          <w:highlight w:val="none"/>
          <w:lang w:eastAsia="zh-CN"/>
        </w:rPr>
      </w:pPr>
      <w:bookmarkStart w:id="632" w:name="_Toc95313024"/>
      <w:bookmarkStart w:id="633" w:name="_Toc4493"/>
      <w:bookmarkStart w:id="634" w:name="_Toc25121"/>
      <w:bookmarkStart w:id="635" w:name="_Toc2065530054"/>
      <w:bookmarkStart w:id="636" w:name="_Toc199945070"/>
      <w:r>
        <w:rPr>
          <w:rFonts w:hint="eastAsia" w:ascii="仿宋" w:hAnsi="仿宋" w:eastAsia="仿宋" w:cs="仿宋_GB2312"/>
          <w:color w:val="auto"/>
          <w:kern w:val="2"/>
          <w:sz w:val="32"/>
          <w:szCs w:val="32"/>
          <w:highlight w:val="none"/>
          <w:lang w:eastAsia="zh-CN"/>
        </w:rPr>
        <w:t>一、开标一览表（报价表）</w:t>
      </w:r>
      <w:bookmarkEnd w:id="632"/>
      <w:bookmarkEnd w:id="633"/>
      <w:bookmarkEnd w:id="634"/>
      <w:bookmarkEnd w:id="635"/>
      <w:bookmarkEnd w:id="636"/>
    </w:p>
    <w:p>
      <w:pPr>
        <w:snapToGrid w:val="0"/>
        <w:spacing w:line="360" w:lineRule="auto"/>
        <w:rPr>
          <w:rFonts w:ascii="仿宋" w:hAnsi="仿宋" w:eastAsia="仿宋" w:cs="仿宋_GB2312"/>
          <w:color w:val="auto"/>
          <w:kern w:val="0"/>
          <w:sz w:val="24"/>
          <w:highlight w:val="none"/>
        </w:rPr>
      </w:pPr>
      <w:r>
        <w:rPr>
          <w:rFonts w:hint="eastAsia" w:ascii="仿宋" w:hAnsi="仿宋" w:eastAsia="仿宋" w:cs="仿宋_GB2312"/>
          <w:color w:val="auto"/>
          <w:sz w:val="24"/>
          <w:highlight w:val="none"/>
          <w:u w:val="single"/>
        </w:rPr>
        <w:t>杭州市余杭区机关事务服务中心、杭州中瑞招标代理有限公司</w:t>
      </w:r>
      <w:r>
        <w:rPr>
          <w:rFonts w:hint="eastAsia" w:ascii="仿宋" w:hAnsi="仿宋" w:eastAsia="仿宋" w:cs="仿宋_GB2312"/>
          <w:color w:val="auto"/>
          <w:kern w:val="0"/>
          <w:sz w:val="24"/>
          <w:highlight w:val="none"/>
          <w:lang w:val="zh-CN"/>
        </w:rPr>
        <w:t>：</w:t>
      </w:r>
    </w:p>
    <w:p>
      <w:pPr>
        <w:snapToGrid w:val="0"/>
        <w:spacing w:line="360" w:lineRule="auto"/>
        <w:ind w:firstLine="482"/>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按你方采购文件要求，我们，本投标文件签字方，谨此向你方发出要约如下：如你方接受本投标，我方承诺按照如下开标一览表（报价表）的价格完成</w:t>
      </w:r>
      <w:r>
        <w:rPr>
          <w:rFonts w:hint="eastAsia" w:ascii="仿宋" w:hAnsi="仿宋" w:eastAsia="仿宋" w:cs="仿宋_GB2312"/>
          <w:color w:val="auto"/>
          <w:sz w:val="24"/>
          <w:highlight w:val="none"/>
        </w:rPr>
        <w:t>余杭区市民之家大厅及食堂家具采购项目</w:t>
      </w:r>
      <w:r>
        <w:rPr>
          <w:rFonts w:hint="eastAsia" w:ascii="仿宋" w:hAnsi="仿宋" w:eastAsia="仿宋" w:cs="仿宋_GB2312"/>
          <w:color w:val="auto"/>
          <w:kern w:val="0"/>
          <w:sz w:val="24"/>
          <w:highlight w:val="none"/>
          <w:lang w:val="zh-CN"/>
        </w:rPr>
        <w:t>【招标编号：</w:t>
      </w:r>
      <w:r>
        <w:rPr>
          <w:rFonts w:hint="eastAsia" w:ascii="仿宋" w:hAnsi="仿宋" w:eastAsia="仿宋"/>
          <w:color w:val="auto"/>
          <w:sz w:val="24"/>
          <w:highlight w:val="none"/>
        </w:rPr>
        <w:t>HZZR-F220213N</w:t>
      </w:r>
      <w:r>
        <w:rPr>
          <w:rFonts w:hint="eastAsia" w:ascii="仿宋" w:hAnsi="仿宋" w:eastAsia="仿宋" w:cs="仿宋_GB2312"/>
          <w:color w:val="auto"/>
          <w:sz w:val="24"/>
          <w:highlight w:val="none"/>
        </w:rPr>
        <w:t>】的实施</w:t>
      </w:r>
      <w:r>
        <w:rPr>
          <w:rFonts w:hint="eastAsia" w:ascii="仿宋" w:hAnsi="仿宋" w:eastAsia="仿宋" w:cs="仿宋_GB2312"/>
          <w:color w:val="auto"/>
          <w:kern w:val="0"/>
          <w:sz w:val="24"/>
          <w:highlight w:val="none"/>
          <w:lang w:val="zh-CN"/>
        </w:rPr>
        <w:t>。</w:t>
      </w:r>
    </w:p>
    <w:p>
      <w:pPr>
        <w:shd w:val="clear" w:color="auto" w:fill="FFFFFF"/>
        <w:snapToGrid w:val="0"/>
        <w:spacing w:line="360" w:lineRule="auto"/>
        <w:jc w:val="center"/>
        <w:rPr>
          <w:rFonts w:ascii="仿宋" w:hAnsi="仿宋" w:eastAsia="仿宋" w:cs="宋体"/>
          <w:b/>
          <w:bCs/>
          <w:color w:val="auto"/>
          <w:kern w:val="0"/>
          <w:sz w:val="24"/>
          <w:highlight w:val="none"/>
          <w:lang w:val="zh-CN"/>
        </w:rPr>
      </w:pPr>
      <w:r>
        <w:rPr>
          <w:rFonts w:hint="eastAsia" w:ascii="仿宋" w:hAnsi="仿宋" w:eastAsia="仿宋" w:cs="宋体"/>
          <w:b/>
          <w:bCs/>
          <w:color w:val="auto"/>
          <w:kern w:val="0"/>
          <w:sz w:val="24"/>
          <w:highlight w:val="none"/>
          <w:lang w:val="zh-CN"/>
        </w:rPr>
        <w:t>开标一览表（标项：）（单位：元人民币）</w:t>
      </w:r>
    </w:p>
    <w:tbl>
      <w:tblPr>
        <w:tblStyle w:val="62"/>
        <w:tblW w:w="964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053"/>
        <w:gridCol w:w="1314"/>
        <w:gridCol w:w="1188"/>
        <w:gridCol w:w="1212"/>
        <w:gridCol w:w="905"/>
        <w:gridCol w:w="8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货物名称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品牌</w:t>
            </w:r>
          </w:p>
        </w:tc>
        <w:tc>
          <w:tcPr>
            <w:tcW w:w="105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规格</w:t>
            </w:r>
          </w:p>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型号</w:t>
            </w:r>
          </w:p>
        </w:tc>
        <w:tc>
          <w:tcPr>
            <w:tcW w:w="131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单位及</w:t>
            </w:r>
          </w:p>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数量</w:t>
            </w:r>
          </w:p>
        </w:tc>
        <w:tc>
          <w:tcPr>
            <w:tcW w:w="118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性能及指标</w:t>
            </w:r>
          </w:p>
        </w:tc>
        <w:tc>
          <w:tcPr>
            <w:tcW w:w="121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产地</w:t>
            </w:r>
          </w:p>
        </w:tc>
        <w:tc>
          <w:tcPr>
            <w:tcW w:w="90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单价</w:t>
            </w:r>
          </w:p>
        </w:tc>
        <w:tc>
          <w:tcPr>
            <w:tcW w:w="89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总价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s="宋体"/>
                <w:color w:val="auto"/>
                <w:sz w:val="24"/>
                <w:highlight w:val="none"/>
              </w:rPr>
            </w:pPr>
          </w:p>
        </w:tc>
        <w:tc>
          <w:tcPr>
            <w:tcW w:w="105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905" w:type="dxa"/>
            <w:tcBorders>
              <w:top w:val="single" w:color="auto" w:sz="4" w:space="0"/>
              <w:left w:val="single" w:color="auto" w:sz="4" w:space="0"/>
              <w:bottom w:val="single" w:color="auto" w:sz="4" w:space="0"/>
              <w:right w:val="single" w:color="auto" w:sz="4" w:space="0"/>
            </w:tcBorders>
            <w:vAlign w:val="top"/>
          </w:tcPr>
          <w:p>
            <w:pPr>
              <w:snapToGrid w:val="0"/>
              <w:spacing w:before="50" w:after="50"/>
              <w:jc w:val="center"/>
              <w:rPr>
                <w:rFonts w:ascii="仿宋" w:hAnsi="仿宋" w:eastAsia="仿宋" w:cs="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top"/>
          </w:tcPr>
          <w:p>
            <w:pPr>
              <w:snapToGrid w:val="0"/>
              <w:spacing w:before="50" w:after="50"/>
              <w:jc w:val="center"/>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仿宋" w:hAnsi="仿宋" w:eastAsia="仿宋" w:cs="宋体"/>
                <w:color w:val="auto"/>
                <w:sz w:val="24"/>
                <w:highlight w:val="none"/>
              </w:rPr>
            </w:pPr>
          </w:p>
        </w:tc>
        <w:tc>
          <w:tcPr>
            <w:tcW w:w="1053"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31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188"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21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905" w:type="dxa"/>
            <w:tcBorders>
              <w:top w:val="single" w:color="auto" w:sz="4" w:space="0"/>
              <w:left w:val="single" w:color="auto" w:sz="4" w:space="0"/>
              <w:bottom w:val="single" w:color="auto" w:sz="4" w:space="0"/>
              <w:right w:val="single" w:color="auto" w:sz="4" w:space="0"/>
            </w:tcBorders>
            <w:vAlign w:val="top"/>
          </w:tcPr>
          <w:p>
            <w:pPr>
              <w:snapToGrid w:val="0"/>
              <w:spacing w:before="50" w:after="50"/>
              <w:jc w:val="center"/>
              <w:rPr>
                <w:rFonts w:ascii="仿宋" w:hAnsi="仿宋" w:eastAsia="仿宋" w:cs="宋体"/>
                <w:color w:val="auto"/>
                <w:sz w:val="24"/>
                <w:highlight w:val="none"/>
              </w:rPr>
            </w:pPr>
          </w:p>
        </w:tc>
        <w:tc>
          <w:tcPr>
            <w:tcW w:w="895" w:type="dxa"/>
            <w:tcBorders>
              <w:top w:val="single" w:color="auto" w:sz="4" w:space="0"/>
              <w:left w:val="single" w:color="auto" w:sz="4" w:space="0"/>
              <w:bottom w:val="single" w:color="auto" w:sz="4" w:space="0"/>
              <w:right w:val="single" w:color="auto" w:sz="4" w:space="0"/>
            </w:tcBorders>
            <w:vAlign w:val="top"/>
          </w:tcPr>
          <w:p>
            <w:pPr>
              <w:snapToGrid w:val="0"/>
              <w:spacing w:before="50" w:after="50"/>
              <w:jc w:val="center"/>
              <w:rPr>
                <w:rFonts w:ascii="仿宋" w:hAnsi="仿宋" w:eastAsia="仿宋"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vMerge w:val="restart"/>
            <w:tcBorders>
              <w:top w:val="single" w:color="auto" w:sz="4" w:space="0"/>
              <w:left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7287" w:type="dxa"/>
            <w:gridSpan w:val="6"/>
            <w:vMerge w:val="restart"/>
            <w:tcBorders>
              <w:top w:val="single" w:color="auto" w:sz="4" w:space="0"/>
              <w:left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合计</w:t>
            </w:r>
          </w:p>
        </w:tc>
        <w:tc>
          <w:tcPr>
            <w:tcW w:w="1800" w:type="dxa"/>
            <w:gridSpan w:val="2"/>
            <w:tcBorders>
              <w:top w:val="single" w:color="auto" w:sz="4" w:space="0"/>
              <w:left w:val="single" w:color="auto" w:sz="4" w:space="0"/>
              <w:bottom w:val="single" w:color="auto" w:sz="4" w:space="0"/>
              <w:right w:val="single" w:color="auto" w:sz="4" w:space="0"/>
            </w:tcBorders>
            <w:vAlign w:val="top"/>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小写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vMerge w:val="continue"/>
            <w:tcBorders>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7287" w:type="dxa"/>
            <w:gridSpan w:val="6"/>
            <w:vMerge w:val="continue"/>
            <w:tcBorders>
              <w:left w:val="single" w:color="auto" w:sz="4" w:space="0"/>
              <w:bottom w:val="single" w:color="auto" w:sz="4" w:space="0"/>
              <w:right w:val="single" w:color="auto" w:sz="4" w:space="0"/>
            </w:tcBorders>
            <w:vAlign w:val="center"/>
          </w:tcPr>
          <w:p>
            <w:pPr>
              <w:snapToGrid w:val="0"/>
              <w:spacing w:before="50" w:after="50"/>
              <w:jc w:val="center"/>
              <w:rPr>
                <w:rFonts w:ascii="仿宋" w:hAnsi="仿宋" w:eastAsia="仿宋" w:cs="宋体"/>
                <w:color w:val="auto"/>
                <w:sz w:val="24"/>
                <w:highlight w:val="none"/>
              </w:rPr>
            </w:pPr>
          </w:p>
        </w:tc>
        <w:tc>
          <w:tcPr>
            <w:tcW w:w="1800" w:type="dxa"/>
            <w:gridSpan w:val="2"/>
            <w:tcBorders>
              <w:top w:val="single" w:color="auto" w:sz="4" w:space="0"/>
              <w:left w:val="single" w:color="auto" w:sz="4" w:space="0"/>
              <w:bottom w:val="single" w:color="auto" w:sz="4" w:space="0"/>
              <w:right w:val="single" w:color="auto" w:sz="4" w:space="0"/>
            </w:tcBorders>
            <w:vAlign w:val="top"/>
          </w:tcPr>
          <w:p>
            <w:pPr>
              <w:snapToGrid w:val="0"/>
              <w:spacing w:before="50" w:after="50"/>
              <w:jc w:val="center"/>
              <w:rPr>
                <w:rFonts w:ascii="仿宋" w:hAnsi="仿宋" w:eastAsia="仿宋" w:cs="宋体"/>
                <w:color w:val="auto"/>
                <w:sz w:val="24"/>
                <w:highlight w:val="none"/>
              </w:rPr>
            </w:pPr>
            <w:r>
              <w:rPr>
                <w:rFonts w:hint="eastAsia" w:ascii="仿宋" w:hAnsi="仿宋" w:eastAsia="仿宋" w:cs="宋体"/>
                <w:color w:val="auto"/>
                <w:sz w:val="24"/>
                <w:highlight w:val="none"/>
              </w:rPr>
              <w:t>大写</w:t>
            </w:r>
          </w:p>
        </w:tc>
      </w:tr>
    </w:tbl>
    <w:p>
      <w:pPr>
        <w:snapToGrid w:val="0"/>
        <w:spacing w:line="360" w:lineRule="auto"/>
        <w:rPr>
          <w:rFonts w:ascii="仿宋" w:hAnsi="仿宋" w:eastAsia="仿宋"/>
          <w:b/>
          <w:bCs/>
          <w:snapToGrid w:val="0"/>
          <w:color w:val="auto"/>
          <w:kern w:val="0"/>
          <w:sz w:val="30"/>
          <w:szCs w:val="30"/>
          <w:highlight w:val="none"/>
        </w:rPr>
      </w:pPr>
      <w:r>
        <w:rPr>
          <w:rFonts w:hint="eastAsia" w:ascii="仿宋" w:hAnsi="仿宋" w:eastAsia="仿宋" w:cs="仿宋_GB2312"/>
          <w:b/>
          <w:bCs/>
          <w:color w:val="auto"/>
          <w:kern w:val="0"/>
          <w:sz w:val="30"/>
          <w:szCs w:val="30"/>
          <w:highlight w:val="none"/>
          <w:lang w:val="zh-CN"/>
        </w:rPr>
        <w:t>注：投标人需根据</w:t>
      </w:r>
      <w:r>
        <w:rPr>
          <w:rFonts w:hint="eastAsia" w:ascii="仿宋" w:hAnsi="仿宋" w:eastAsia="仿宋" w:cs="仿宋"/>
          <w:b/>
          <w:bCs/>
          <w:color w:val="auto"/>
          <w:sz w:val="30"/>
          <w:szCs w:val="30"/>
          <w:highlight w:val="none"/>
        </w:rPr>
        <w:t>附件《采购清单》货物进行报价，缺项做无效标处理。</w:t>
      </w:r>
    </w:p>
    <w:p>
      <w:pPr>
        <w:snapToGrid w:val="0"/>
        <w:spacing w:line="360" w:lineRule="auto"/>
        <w:jc w:val="left"/>
        <w:outlineLvl w:val="1"/>
        <w:rPr>
          <w:rFonts w:ascii="仿宋" w:hAnsi="仿宋" w:eastAsia="仿宋" w:cs="仿宋"/>
          <w:b/>
          <w:bCs/>
          <w:color w:val="auto"/>
          <w:sz w:val="24"/>
          <w:highlight w:val="none"/>
        </w:rPr>
      </w:pPr>
      <w:r>
        <w:rPr>
          <w:rFonts w:ascii="仿宋" w:hAnsi="仿宋" w:eastAsia="仿宋" w:cs="仿宋_GB2312"/>
          <w:color w:val="auto"/>
          <w:kern w:val="0"/>
          <w:sz w:val="24"/>
          <w:highlight w:val="none"/>
          <w:lang w:val="zh-CN"/>
        </w:rPr>
        <w:t>1、</w:t>
      </w:r>
      <w:r>
        <w:rPr>
          <w:rFonts w:hint="eastAsia" w:ascii="仿宋" w:hAnsi="仿宋" w:eastAsia="仿宋" w:cs="仿宋"/>
          <w:b/>
          <w:bCs/>
          <w:color w:val="auto"/>
          <w:sz w:val="24"/>
          <w:highlight w:val="none"/>
        </w:rPr>
        <w:t>本次报价方式为总价包干，报价须包含按采购文件要求完成本项目所需的所有费用</w:t>
      </w:r>
      <w:r>
        <w:rPr>
          <w:rFonts w:ascii="仿宋" w:hAnsi="仿宋" w:eastAsia="仿宋" w:cs="仿宋"/>
          <w:b/>
          <w:bCs/>
          <w:color w:val="auto"/>
          <w:sz w:val="24"/>
          <w:highlight w:val="none"/>
        </w:rPr>
        <w:t>(</w:t>
      </w:r>
      <w:r>
        <w:rPr>
          <w:rFonts w:hint="eastAsia" w:ascii="仿宋" w:hAnsi="仿宋" w:eastAsia="仿宋" w:cs="仿宋"/>
          <w:b/>
          <w:bCs/>
          <w:color w:val="auto"/>
          <w:sz w:val="24"/>
          <w:highlight w:val="none"/>
        </w:rPr>
        <w:t>包括余杭区市民之家大厅、食堂家具的采购、运输、安装、调试、培训和相关维护等，一切费用均计入报价。对于保障本项目完整顺利实施的必须项，如上述未包含，供应商需自行测算及预估，且费用均已包含在报价中</w:t>
      </w:r>
      <w:r>
        <w:rPr>
          <w:rFonts w:ascii="仿宋" w:hAnsi="仿宋" w:eastAsia="仿宋" w:cs="仿宋"/>
          <w:b/>
          <w:bCs/>
          <w:color w:val="auto"/>
          <w:sz w:val="24"/>
          <w:highlight w:val="none"/>
        </w:rPr>
        <w:t>)。</w:t>
      </w:r>
      <w:r>
        <w:rPr>
          <w:rFonts w:hint="eastAsia" w:ascii="仿宋" w:hAnsi="仿宋" w:eastAsia="仿宋" w:cs="仿宋_GB2312"/>
          <w:b/>
          <w:color w:val="auto"/>
          <w:kern w:val="0"/>
          <w:sz w:val="24"/>
          <w:highlight w:val="none"/>
          <w:lang w:val="zh-CN"/>
        </w:rPr>
        <w:t>采购人将以合同形式有偿取得货物或服务，不接受</w:t>
      </w:r>
      <w:r>
        <w:rPr>
          <w:rFonts w:hint="eastAsia" w:ascii="仿宋" w:hAnsi="仿宋" w:eastAsia="仿宋" w:cs="仿宋"/>
          <w:b/>
          <w:bCs/>
          <w:color w:val="auto"/>
          <w:sz w:val="24"/>
          <w:highlight w:val="none"/>
        </w:rPr>
        <w:t>供应商</w:t>
      </w:r>
      <w:r>
        <w:rPr>
          <w:rFonts w:hint="eastAsia" w:ascii="仿宋" w:hAnsi="仿宋" w:eastAsia="仿宋" w:cs="仿宋_GB2312"/>
          <w:b/>
          <w:color w:val="auto"/>
          <w:kern w:val="0"/>
          <w:sz w:val="24"/>
          <w:highlight w:val="none"/>
          <w:lang w:val="zh-CN"/>
        </w:rPr>
        <w:t>给予的赠品、回扣或者与采购无关的其他商品、服务</w:t>
      </w:r>
      <w:r>
        <w:rPr>
          <w:rFonts w:hint="eastAsia" w:ascii="仿宋" w:hAnsi="仿宋" w:eastAsia="仿宋" w:cs="仿宋_GB2312"/>
          <w:color w:val="auto"/>
          <w:kern w:val="0"/>
          <w:sz w:val="24"/>
          <w:highlight w:val="none"/>
          <w:lang w:val="zh-CN"/>
        </w:rPr>
        <w:t>，</w:t>
      </w:r>
      <w:r>
        <w:rPr>
          <w:rFonts w:hint="eastAsia" w:ascii="仿宋" w:hAnsi="仿宋" w:eastAsia="仿宋" w:cs="仿宋_GB2312"/>
          <w:b/>
          <w:color w:val="auto"/>
          <w:kern w:val="0"/>
          <w:sz w:val="24"/>
          <w:highlight w:val="none"/>
          <w:lang w:val="zh-CN"/>
        </w:rPr>
        <w:t>不得出现“</w:t>
      </w:r>
      <w:r>
        <w:rPr>
          <w:rFonts w:ascii="仿宋" w:hAnsi="仿宋" w:eastAsia="仿宋" w:cs="仿宋_GB2312"/>
          <w:b/>
          <w:color w:val="auto"/>
          <w:kern w:val="0"/>
          <w:sz w:val="24"/>
          <w:highlight w:val="none"/>
          <w:lang w:val="zh-CN"/>
        </w:rPr>
        <w:t>0元”“免费赠送”等形式的无偿报价</w:t>
      </w:r>
      <w:r>
        <w:rPr>
          <w:rFonts w:hint="eastAsia" w:ascii="仿宋" w:hAnsi="仿宋" w:eastAsia="仿宋" w:cs="仿宋_GB2312"/>
          <w:b/>
          <w:color w:val="auto"/>
          <w:kern w:val="0"/>
          <w:sz w:val="24"/>
          <w:highlight w:val="none"/>
          <w:lang w:val="zh-CN"/>
        </w:rPr>
        <w:t>，</w:t>
      </w:r>
      <w:r>
        <w:rPr>
          <w:rFonts w:hint="eastAsia" w:ascii="仿宋" w:hAnsi="仿宋" w:eastAsia="仿宋" w:cs="仿宋_GB2312"/>
          <w:b/>
          <w:color w:val="auto"/>
          <w:kern w:val="0"/>
          <w:sz w:val="24"/>
          <w:highlight w:val="none"/>
        </w:rPr>
        <w:t>否则视为</w:t>
      </w:r>
      <w:r>
        <w:rPr>
          <w:rFonts w:hint="eastAsia" w:ascii="仿宋" w:hAnsi="仿宋" w:eastAsia="仿宋"/>
          <w:b/>
          <w:color w:val="auto"/>
          <w:sz w:val="24"/>
          <w:highlight w:val="none"/>
        </w:rPr>
        <w:t>投标文件含有采购人不能接受的附加条件的，投标无效</w:t>
      </w:r>
      <w:r>
        <w:rPr>
          <w:rFonts w:hint="eastAsia" w:ascii="仿宋" w:hAnsi="仿宋" w:eastAsia="仿宋" w:cs="仿宋_GB2312"/>
          <w:b/>
          <w:color w:val="auto"/>
          <w:kern w:val="0"/>
          <w:sz w:val="24"/>
          <w:highlight w:val="none"/>
          <w:lang w:val="zh-CN"/>
        </w:rPr>
        <w:t>。</w:t>
      </w:r>
    </w:p>
    <w:p>
      <w:pPr>
        <w:snapToGrid w:val="0"/>
        <w:spacing w:line="360" w:lineRule="auto"/>
        <w:ind w:firstLine="480" w:firstLineChars="200"/>
        <w:jc w:val="left"/>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rPr>
        <w:t>2</w:t>
      </w:r>
      <w:r>
        <w:rPr>
          <w:rFonts w:ascii="仿宋" w:hAnsi="仿宋" w:eastAsia="仿宋" w:cs="仿宋_GB2312"/>
          <w:color w:val="auto"/>
          <w:kern w:val="0"/>
          <w:sz w:val="24"/>
          <w:highlight w:val="none"/>
          <w:lang w:val="zh-CN"/>
        </w:rPr>
        <w:t>、特别提示：采购代理机构将对项目编号，中标供应商名称、地址和中标金额，主要中标标的</w:t>
      </w:r>
      <w:r>
        <w:rPr>
          <w:rFonts w:hint="eastAsia" w:ascii="仿宋" w:hAnsi="仿宋" w:eastAsia="仿宋" w:cs="仿宋_GB2312"/>
          <w:color w:val="auto"/>
          <w:kern w:val="0"/>
          <w:sz w:val="24"/>
          <w:highlight w:val="none"/>
          <w:lang w:val="zh-CN"/>
        </w:rPr>
        <w:t>的名称单价、服务要求等予以公示。</w:t>
      </w:r>
    </w:p>
    <w:p>
      <w:pPr>
        <w:snapToGrid w:val="0"/>
        <w:spacing w:line="360" w:lineRule="auto"/>
        <w:ind w:firstLine="480" w:firstLineChars="200"/>
        <w:jc w:val="left"/>
        <w:rPr>
          <w:rFonts w:ascii="仿宋" w:hAnsi="仿宋" w:eastAsia="仿宋" w:cs="仿宋_GB2312"/>
          <w:color w:val="auto"/>
          <w:sz w:val="32"/>
          <w:szCs w:val="32"/>
          <w:highlight w:val="none"/>
        </w:rPr>
      </w:pPr>
      <w:r>
        <w:rPr>
          <w:rFonts w:ascii="仿宋" w:hAnsi="仿宋" w:eastAsia="仿宋" w:cs="仿宋_GB2312"/>
          <w:color w:val="auto"/>
          <w:kern w:val="0"/>
          <w:sz w:val="24"/>
          <w:szCs w:val="22"/>
          <w:highlight w:val="none"/>
        </w:rPr>
        <w:t>3</w:t>
      </w:r>
      <w:r>
        <w:rPr>
          <w:rFonts w:ascii="仿宋" w:hAnsi="仿宋" w:eastAsia="仿宋" w:cs="仿宋_GB2312"/>
          <w:color w:val="auto"/>
          <w:kern w:val="0"/>
          <w:sz w:val="24"/>
          <w:szCs w:val="22"/>
          <w:highlight w:val="none"/>
          <w:lang w:val="zh-CN"/>
        </w:rPr>
        <w:t>、</w:t>
      </w:r>
      <w:r>
        <w:rPr>
          <w:rFonts w:hint="eastAsia" w:ascii="仿宋" w:hAnsi="仿宋" w:eastAsia="仿宋" w:cs="仿宋_GB2312"/>
          <w:color w:val="auto"/>
          <w:kern w:val="0"/>
          <w:sz w:val="24"/>
          <w:highlight w:val="none"/>
          <w:lang w:val="zh-CN"/>
        </w:rPr>
        <w:t>符合采购文件中列明的可享受中小企业扶持政策的供应商，请填写中小企业声明函。注：供应商</w:t>
      </w:r>
      <w:r>
        <w:rPr>
          <w:rFonts w:ascii="仿宋" w:hAnsi="仿宋" w:eastAsia="仿宋" w:cs="仿宋_GB2312"/>
          <w:color w:val="auto"/>
          <w:kern w:val="0"/>
          <w:sz w:val="24"/>
          <w:highlight w:val="none"/>
          <w:lang w:val="zh-CN"/>
        </w:rPr>
        <w:t>提供</w:t>
      </w:r>
      <w:r>
        <w:rPr>
          <w:rFonts w:hint="eastAsia" w:ascii="仿宋" w:hAnsi="仿宋" w:eastAsia="仿宋" w:cs="仿宋_GB2312"/>
          <w:color w:val="auto"/>
          <w:kern w:val="0"/>
          <w:sz w:val="24"/>
          <w:highlight w:val="none"/>
          <w:lang w:val="zh-CN"/>
        </w:rPr>
        <w:t>的中小企业</w:t>
      </w:r>
      <w:r>
        <w:rPr>
          <w:rFonts w:ascii="仿宋" w:hAnsi="仿宋" w:eastAsia="仿宋" w:cs="仿宋_GB2312"/>
          <w:color w:val="auto"/>
          <w:kern w:val="0"/>
          <w:sz w:val="24"/>
          <w:highlight w:val="none"/>
          <w:lang w:val="zh-CN"/>
        </w:rPr>
        <w:t>声明函内容不实的，属于提供虚假材料谋取中标、成交，依照《中华人民共和国政府采购法》等国家有关规定追究相应责任。</w:t>
      </w:r>
    </w:p>
    <w:p>
      <w:pPr>
        <w:autoSpaceDE w:val="0"/>
        <w:autoSpaceDN w:val="0"/>
        <w:snapToGrid w:val="0"/>
        <w:spacing w:line="360" w:lineRule="auto"/>
        <w:ind w:firstLine="5160" w:firstLineChars="2150"/>
        <w:jc w:val="left"/>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投标人名称(电子签名)：</w:t>
      </w:r>
    </w:p>
    <w:p>
      <w:pPr>
        <w:autoSpaceDE w:val="0"/>
        <w:autoSpaceDN w:val="0"/>
        <w:snapToGrid w:val="0"/>
        <w:spacing w:line="360" w:lineRule="auto"/>
        <w:ind w:firstLine="5160" w:firstLineChars="2150"/>
        <w:rPr>
          <w:rFonts w:ascii="仿宋" w:hAnsi="仿宋" w:eastAsia="仿宋" w:cs="仿宋_GB2312"/>
          <w:color w:val="auto"/>
          <w:kern w:val="0"/>
          <w:sz w:val="24"/>
          <w:highlight w:val="none"/>
          <w:lang w:val="zh-CN"/>
        </w:rPr>
      </w:pPr>
      <w:r>
        <w:rPr>
          <w:rFonts w:hint="eastAsia" w:ascii="仿宋" w:hAnsi="仿宋" w:eastAsia="仿宋" w:cs="仿宋_GB2312"/>
          <w:color w:val="auto"/>
          <w:kern w:val="0"/>
          <w:sz w:val="24"/>
          <w:highlight w:val="none"/>
          <w:lang w:val="zh-CN"/>
        </w:rPr>
        <w:t>日期： 年  月   日</w:t>
      </w:r>
    </w:p>
    <w:p>
      <w:pPr>
        <w:pStyle w:val="376"/>
        <w:snapToGrid w:val="0"/>
        <w:ind w:firstLine="640"/>
        <w:rPr>
          <w:rFonts w:ascii="仿宋" w:hAnsi="仿宋" w:eastAsia="仿宋" w:cs="仿宋_GB2312"/>
          <w:color w:val="auto"/>
          <w:kern w:val="2"/>
          <w:sz w:val="32"/>
          <w:szCs w:val="32"/>
          <w:highlight w:val="none"/>
          <w:lang w:eastAsia="zh-CN"/>
        </w:rPr>
        <w:sectPr>
          <w:pgSz w:w="11906" w:h="16838"/>
          <w:pgMar w:top="1247" w:right="1418" w:bottom="1276" w:left="1418" w:header="851" w:footer="992" w:gutter="0"/>
          <w:cols w:space="720" w:num="1"/>
          <w:titlePg/>
          <w:docGrid w:linePitch="312" w:charSpace="0"/>
        </w:sectPr>
      </w:pPr>
    </w:p>
    <w:p>
      <w:pPr>
        <w:pStyle w:val="376"/>
        <w:snapToGrid w:val="0"/>
        <w:ind w:firstLine="640"/>
        <w:jc w:val="center"/>
        <w:outlineLvl w:val="1"/>
        <w:rPr>
          <w:rFonts w:ascii="仿宋" w:hAnsi="仿宋" w:eastAsia="仿宋"/>
          <w:color w:val="auto"/>
          <w:sz w:val="32"/>
          <w:szCs w:val="32"/>
          <w:highlight w:val="none"/>
          <w:lang w:eastAsia="zh-CN"/>
        </w:rPr>
      </w:pPr>
      <w:bookmarkStart w:id="637" w:name="_Toc30764"/>
      <w:bookmarkStart w:id="638" w:name="_Toc19120"/>
      <w:bookmarkStart w:id="639" w:name="_Toc2053411795"/>
      <w:bookmarkStart w:id="640" w:name="_Toc95313027"/>
      <w:bookmarkStart w:id="641" w:name="_Toc83018437"/>
      <w:r>
        <w:rPr>
          <w:rFonts w:hint="eastAsia" w:ascii="仿宋" w:hAnsi="仿宋" w:eastAsia="仿宋" w:cs="仿宋_GB2312"/>
          <w:color w:val="auto"/>
          <w:kern w:val="2"/>
          <w:sz w:val="32"/>
          <w:szCs w:val="32"/>
          <w:highlight w:val="none"/>
          <w:lang w:eastAsia="zh-CN"/>
        </w:rPr>
        <w:t>二、</w:t>
      </w:r>
      <w:r>
        <w:rPr>
          <w:rFonts w:hint="eastAsia" w:ascii="仿宋" w:hAnsi="仿宋" w:eastAsia="仿宋"/>
          <w:color w:val="auto"/>
          <w:sz w:val="32"/>
          <w:szCs w:val="32"/>
          <w:highlight w:val="none"/>
          <w:lang w:eastAsia="zh-CN"/>
        </w:rPr>
        <w:t>中小企业声明函</w:t>
      </w:r>
      <w:bookmarkEnd w:id="637"/>
      <w:bookmarkEnd w:id="638"/>
      <w:bookmarkEnd w:id="639"/>
      <w:bookmarkEnd w:id="640"/>
      <w:bookmarkEnd w:id="641"/>
    </w:p>
    <w:p>
      <w:pPr>
        <w:widowControl/>
        <w:snapToGrid w:val="0"/>
        <w:spacing w:line="360" w:lineRule="auto"/>
        <w:ind w:firstLine="120" w:firstLineChars="50"/>
        <w:jc w:val="left"/>
        <w:rPr>
          <w:rFonts w:ascii="仿宋" w:hAnsi="仿宋" w:eastAsia="仿宋" w:cs="仿宋_GB2312"/>
          <w:b/>
          <w:color w:val="auto"/>
          <w:sz w:val="24"/>
          <w:highlight w:val="none"/>
        </w:rPr>
      </w:pPr>
      <w:r>
        <w:rPr>
          <w:rFonts w:hint="eastAsia" w:ascii="仿宋" w:hAnsi="仿宋" w:eastAsia="仿宋" w:cs="仿宋_GB2312"/>
          <w:b/>
          <w:color w:val="auto"/>
          <w:sz w:val="24"/>
          <w:highlight w:val="none"/>
        </w:rPr>
        <w:t>[符合《政府采购促进中小企业发展管理办法》规定的小微企业拟享受价格扣除政策的，与大中型企业组成联合体的小微企业，需提供中小企业声明函（附件</w:t>
      </w:r>
      <w:r>
        <w:rPr>
          <w:rFonts w:ascii="仿宋" w:hAnsi="仿宋" w:eastAsia="仿宋" w:cs="仿宋_GB2312"/>
          <w:b/>
          <w:color w:val="auto"/>
          <w:sz w:val="24"/>
          <w:highlight w:val="none"/>
        </w:rPr>
        <w:t>5）。</w:t>
      </w:r>
      <w:r>
        <w:rPr>
          <w:rFonts w:hint="eastAsia" w:ascii="仿宋" w:hAnsi="仿宋" w:eastAsia="仿宋" w:cs="仿宋_GB2312"/>
          <w:b/>
          <w:color w:val="auto"/>
          <w:sz w:val="24"/>
          <w:highlight w:val="none"/>
        </w:rPr>
        <w:t>]</w:t>
      </w:r>
    </w:p>
    <w:p>
      <w:pPr>
        <w:snapToGrid w:val="0"/>
        <w:spacing w:line="360" w:lineRule="auto"/>
        <w:rPr>
          <w:rFonts w:ascii="仿宋" w:hAnsi="仿宋" w:eastAsia="仿宋" w:cs="仿宋_GB2312"/>
          <w:b/>
          <w:color w:val="auto"/>
          <w:sz w:val="32"/>
          <w:szCs w:val="32"/>
          <w:highlight w:val="none"/>
        </w:rPr>
      </w:pPr>
      <w:r>
        <w:rPr>
          <w:rFonts w:hint="eastAsia" w:ascii="仿宋" w:hAnsi="仿宋" w:eastAsia="仿宋" w:cs="仿宋_GB2312"/>
          <w:b/>
          <w:color w:val="auto"/>
          <w:sz w:val="32"/>
          <w:szCs w:val="32"/>
          <w:highlight w:val="none"/>
        </w:rPr>
        <w:br w:type="page"/>
      </w:r>
    </w:p>
    <w:p>
      <w:pPr>
        <w:pStyle w:val="3"/>
        <w:pageBreakBefore/>
        <w:widowControl/>
        <w:snapToGrid w:val="0"/>
        <w:spacing w:before="0" w:after="0" w:line="360" w:lineRule="auto"/>
        <w:ind w:left="0"/>
        <w:jc w:val="center"/>
        <w:rPr>
          <w:rFonts w:ascii="仿宋" w:hAnsi="仿宋" w:eastAsia="仿宋"/>
          <w:color w:val="auto"/>
          <w:highlight w:val="none"/>
        </w:rPr>
      </w:pPr>
      <w:bookmarkStart w:id="642" w:name="_Toc1241423346"/>
      <w:bookmarkStart w:id="643" w:name="_Toc465665161"/>
      <w:bookmarkStart w:id="644" w:name="_Toc1420321440"/>
      <w:bookmarkStart w:id="645" w:name="_Toc95313029"/>
      <w:bookmarkStart w:id="646" w:name="_Toc22993"/>
      <w:bookmarkStart w:id="647" w:name="_Toc2319"/>
      <w:r>
        <w:rPr>
          <w:rFonts w:hint="eastAsia" w:ascii="仿宋" w:hAnsi="仿宋" w:eastAsia="仿宋"/>
          <w:color w:val="auto"/>
          <w:highlight w:val="none"/>
        </w:rPr>
        <w:t>附件</w:t>
      </w:r>
      <w:bookmarkEnd w:id="642"/>
      <w:bookmarkEnd w:id="643"/>
      <w:bookmarkEnd w:id="644"/>
      <w:bookmarkEnd w:id="645"/>
      <w:bookmarkEnd w:id="646"/>
      <w:bookmarkEnd w:id="647"/>
    </w:p>
    <w:p>
      <w:pPr>
        <w:snapToGrid w:val="0"/>
        <w:spacing w:line="360" w:lineRule="auto"/>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1：</w:t>
      </w:r>
    </w:p>
    <w:p>
      <w:pPr>
        <w:snapToGrid w:val="0"/>
        <w:spacing w:line="360" w:lineRule="auto"/>
        <w:jc w:val="center"/>
        <w:rPr>
          <w:rFonts w:ascii="仿宋" w:hAnsi="仿宋" w:eastAsia="仿宋"/>
          <w:b/>
          <w:color w:val="auto"/>
          <w:spacing w:val="6"/>
          <w:sz w:val="32"/>
          <w:szCs w:val="32"/>
          <w:highlight w:val="none"/>
        </w:rPr>
      </w:pPr>
      <w:bookmarkStart w:id="648" w:name="OLE_LINK13"/>
      <w:bookmarkStart w:id="649" w:name="OLE_LINK14"/>
      <w:r>
        <w:rPr>
          <w:rFonts w:hint="eastAsia" w:ascii="仿宋" w:hAnsi="仿宋" w:eastAsia="仿宋"/>
          <w:b/>
          <w:color w:val="auto"/>
          <w:spacing w:val="6"/>
          <w:sz w:val="32"/>
          <w:szCs w:val="32"/>
          <w:highlight w:val="none"/>
        </w:rPr>
        <w:t>残疾人福利性单位声明函</w:t>
      </w:r>
      <w:bookmarkEnd w:id="648"/>
      <w:bookmarkEnd w:id="649"/>
    </w:p>
    <w:p>
      <w:pPr>
        <w:snapToGrid w:val="0"/>
        <w:spacing w:line="360" w:lineRule="auto"/>
        <w:rPr>
          <w:rFonts w:ascii="仿宋" w:hAnsi="仿宋" w:eastAsia="仿宋"/>
          <w:b/>
          <w:color w:val="auto"/>
          <w:spacing w:val="6"/>
          <w:sz w:val="30"/>
          <w:szCs w:val="30"/>
          <w:highlight w:val="none"/>
        </w:rPr>
      </w:pP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本单位郑重声明，根据《财政部</w:t>
      </w:r>
      <w:r>
        <w:rPr>
          <w:rFonts w:ascii="仿宋" w:hAnsi="仿宋" w:eastAsia="仿宋" w:cs="仿宋_GB2312"/>
          <w:color w:val="auto"/>
          <w:sz w:val="24"/>
          <w:highlight w:val="none"/>
        </w:rPr>
        <w:t xml:space="preserve"> </w:t>
      </w:r>
      <w:r>
        <w:rPr>
          <w:rFonts w:hint="eastAsia" w:ascii="仿宋" w:hAnsi="仿宋" w:eastAsia="仿宋" w:cs="仿宋_GB2312"/>
          <w:color w:val="auto"/>
          <w:sz w:val="24"/>
          <w:highlight w:val="none"/>
        </w:rPr>
        <w:t>民政部</w:t>
      </w:r>
      <w:r>
        <w:rPr>
          <w:rFonts w:ascii="仿宋" w:hAnsi="仿宋" w:eastAsia="仿宋" w:cs="仿宋_GB2312"/>
          <w:color w:val="auto"/>
          <w:sz w:val="24"/>
          <w:highlight w:val="none"/>
        </w:rPr>
        <w:t xml:space="preserve"> </w:t>
      </w:r>
      <w:r>
        <w:rPr>
          <w:rFonts w:hint="eastAsia" w:ascii="仿宋" w:hAnsi="仿宋" w:eastAsia="仿宋" w:cs="仿宋_GB2312"/>
          <w:color w:val="auto"/>
          <w:sz w:val="24"/>
          <w:highlight w:val="none"/>
        </w:rPr>
        <w:t>中国残疾人联合会关于促进残疾人就业政府采购政策的通知》（财库〔</w:t>
      </w:r>
      <w:r>
        <w:rPr>
          <w:rFonts w:ascii="仿宋" w:hAnsi="仿宋" w:eastAsia="仿宋" w:cs="仿宋_GB2312"/>
          <w:color w:val="auto"/>
          <w:sz w:val="24"/>
          <w:highlight w:val="none"/>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_GB2312"/>
          <w:color w:val="auto"/>
          <w:sz w:val="24"/>
          <w:highlight w:val="none"/>
        </w:rPr>
        <w:t>本单位对上述声明的真实性负责。如有虚假，将依法承担相应责任。</w:t>
      </w:r>
    </w:p>
    <w:p>
      <w:pPr>
        <w:snapToGrid w:val="0"/>
        <w:spacing w:line="360" w:lineRule="auto"/>
        <w:ind w:firstLine="480" w:firstLineChars="200"/>
        <w:rPr>
          <w:rFonts w:ascii="仿宋" w:hAnsi="仿宋" w:eastAsia="仿宋" w:cs="仿宋_GB2312"/>
          <w:color w:val="auto"/>
          <w:sz w:val="24"/>
          <w:highlight w:val="none"/>
        </w:rPr>
      </w:pPr>
    </w:p>
    <w:p>
      <w:pPr>
        <w:snapToGrid w:val="0"/>
        <w:spacing w:line="360" w:lineRule="auto"/>
        <w:ind w:firstLine="480" w:firstLineChars="200"/>
        <w:rPr>
          <w:rFonts w:ascii="仿宋" w:hAnsi="仿宋" w:eastAsia="仿宋" w:cs="仿宋_GB2312"/>
          <w:color w:val="auto"/>
          <w:sz w:val="24"/>
          <w:highlight w:val="none"/>
        </w:rPr>
      </w:pPr>
    </w:p>
    <w:p>
      <w:pPr>
        <w:tabs>
          <w:tab w:val="left" w:pos="4860"/>
        </w:tabs>
        <w:snapToGrid w:val="0"/>
        <w:spacing w:line="360" w:lineRule="auto"/>
        <w:ind w:firstLine="480" w:firstLineChars="200"/>
        <w:jc w:val="center"/>
        <w:rPr>
          <w:rFonts w:ascii="仿宋" w:hAnsi="仿宋" w:eastAsia="仿宋" w:cs="仿宋_GB2312"/>
          <w:color w:val="auto"/>
          <w:sz w:val="24"/>
          <w:highlight w:val="none"/>
        </w:rPr>
      </w:pPr>
      <w:r>
        <w:rPr>
          <w:rFonts w:ascii="仿宋" w:hAnsi="仿宋" w:eastAsia="仿宋" w:cs="仿宋_GB2312"/>
          <w:color w:val="auto"/>
          <w:sz w:val="24"/>
          <w:highlight w:val="none"/>
        </w:rPr>
        <w:t xml:space="preserve">               </w:t>
      </w:r>
      <w:r>
        <w:rPr>
          <w:rFonts w:hint="eastAsia" w:ascii="仿宋" w:hAnsi="仿宋" w:eastAsia="仿宋" w:cs="仿宋_GB2312"/>
          <w:color w:val="auto"/>
          <w:kern w:val="0"/>
          <w:sz w:val="24"/>
          <w:highlight w:val="none"/>
          <w:lang w:val="zh-CN"/>
        </w:rPr>
        <w:t xml:space="preserve"> 投标人名称(电子签名)</w:t>
      </w:r>
      <w:r>
        <w:rPr>
          <w:rFonts w:hint="eastAsia" w:ascii="仿宋" w:hAnsi="仿宋" w:eastAsia="仿宋" w:cs="仿宋_GB2312"/>
          <w:color w:val="auto"/>
          <w:sz w:val="24"/>
          <w:highlight w:val="none"/>
        </w:rPr>
        <w:t>：</w:t>
      </w:r>
    </w:p>
    <w:p>
      <w:pPr>
        <w:tabs>
          <w:tab w:val="left" w:pos="4860"/>
        </w:tabs>
        <w:snapToGrid w:val="0"/>
        <w:spacing w:line="360" w:lineRule="auto"/>
        <w:ind w:firstLine="480" w:firstLineChars="200"/>
        <w:jc w:val="center"/>
        <w:rPr>
          <w:rFonts w:ascii="仿宋" w:hAnsi="仿宋" w:eastAsia="仿宋" w:cs="仿宋_GB2312"/>
          <w:color w:val="auto"/>
          <w:sz w:val="24"/>
          <w:highlight w:val="none"/>
        </w:rPr>
      </w:pPr>
      <w:r>
        <w:rPr>
          <w:rFonts w:ascii="仿宋" w:hAnsi="仿宋" w:eastAsia="仿宋" w:cs="仿宋_GB2312"/>
          <w:color w:val="auto"/>
          <w:sz w:val="24"/>
          <w:highlight w:val="none"/>
        </w:rPr>
        <w:t xml:space="preserve">       日  期：</w:t>
      </w:r>
    </w:p>
    <w:p>
      <w:pPr>
        <w:snapToGrid w:val="0"/>
        <w:spacing w:line="360" w:lineRule="auto"/>
        <w:ind w:firstLine="480" w:firstLineChars="200"/>
        <w:rPr>
          <w:rFonts w:ascii="仿宋" w:hAnsi="仿宋" w:eastAsia="仿宋" w:cs="仿宋_GB2312"/>
          <w:color w:val="auto"/>
          <w:sz w:val="24"/>
          <w:highlight w:val="none"/>
        </w:rPr>
      </w:pPr>
    </w:p>
    <w:p>
      <w:pPr>
        <w:snapToGrid w:val="0"/>
        <w:spacing w:line="360" w:lineRule="auto"/>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br w:type="page"/>
      </w:r>
    </w:p>
    <w:p>
      <w:pPr>
        <w:snapToGrid w:val="0"/>
        <w:spacing w:line="360" w:lineRule="auto"/>
        <w:jc w:val="left"/>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2：质疑函范本及制作说明</w:t>
      </w:r>
    </w:p>
    <w:p>
      <w:pPr>
        <w:snapToGrid w:val="0"/>
        <w:spacing w:line="360" w:lineRule="auto"/>
        <w:jc w:val="center"/>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质疑函范本</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ascii="仿宋" w:hAnsi="仿宋" w:eastAsia="仿宋" w:cs="仿宋"/>
          <w:color w:val="auto"/>
          <w:sz w:val="24"/>
          <w:highlight w:val="none"/>
          <w:u w:val="dotted"/>
        </w:rPr>
        <w:t xml:space="preserve">                                           </w:t>
      </w:r>
      <w:r>
        <w:rPr>
          <w:rFonts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ascii="仿宋" w:hAnsi="仿宋" w:eastAsia="仿宋" w:cs="仿宋"/>
          <w:color w:val="auto"/>
          <w:sz w:val="24"/>
          <w:highlight w:val="none"/>
        </w:rPr>
        <w:t xml:space="preserve"> </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1：</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w:t>
      </w:r>
      <w:r>
        <w:rPr>
          <w:rFonts w:ascii="仿宋" w:hAnsi="仿宋" w:eastAsia="仿宋" w:cs="仿宋"/>
          <w:color w:val="auto"/>
          <w:sz w:val="24"/>
          <w:highlight w:val="none"/>
        </w:rPr>
        <w:t>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ascii="仿宋" w:hAnsi="仿宋" w:eastAsia="仿宋" w:cs="仿宋"/>
          <w:color w:val="auto"/>
          <w:sz w:val="24"/>
          <w:highlight w:val="none"/>
          <w:u w:val="dotted"/>
        </w:rPr>
        <w:t xml:space="preserve">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签字</w:t>
      </w:r>
      <w:r>
        <w:rPr>
          <w:rFonts w:ascii="仿宋" w:hAnsi="仿宋" w:eastAsia="仿宋"/>
          <w:color w:val="auto"/>
          <w:sz w:val="24"/>
          <w:highlight w:val="none"/>
        </w:rPr>
        <w:t xml:space="preserve">(签章)：                   公章：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日期：</w:t>
      </w:r>
      <w:r>
        <w:rPr>
          <w:rFonts w:ascii="仿宋" w:hAnsi="仿宋" w:eastAsia="仿宋"/>
          <w:color w:val="auto"/>
          <w:sz w:val="24"/>
          <w:highlight w:val="none"/>
        </w:rPr>
        <w:t xml:space="preserve">    </w:t>
      </w:r>
    </w:p>
    <w:p>
      <w:pPr>
        <w:snapToGrid w:val="0"/>
        <w:spacing w:line="360" w:lineRule="auto"/>
        <w:jc w:val="center"/>
        <w:rPr>
          <w:rFonts w:ascii="仿宋" w:hAnsi="仿宋" w:eastAsia="仿宋" w:cs="仿宋"/>
          <w:b/>
          <w:bCs/>
          <w:color w:val="auto"/>
          <w:sz w:val="24"/>
          <w:highlight w:val="none"/>
        </w:rPr>
      </w:pPr>
    </w:p>
    <w:p>
      <w:pPr>
        <w:snapToGrid w:val="0"/>
        <w:spacing w:line="360" w:lineRule="auto"/>
        <w:rPr>
          <w:rFonts w:ascii="仿宋" w:hAnsi="仿宋" w:eastAsia="仿宋"/>
          <w:b/>
          <w:color w:val="auto"/>
          <w:sz w:val="24"/>
          <w:highlight w:val="none"/>
        </w:rPr>
      </w:pPr>
    </w:p>
    <w:p>
      <w:pPr>
        <w:snapToGrid w:val="0"/>
        <w:spacing w:line="360" w:lineRule="auto"/>
        <w:rPr>
          <w:rFonts w:ascii="仿宋" w:hAnsi="仿宋" w:eastAsia="仿宋"/>
          <w:b/>
          <w:color w:val="auto"/>
          <w:sz w:val="24"/>
          <w:highlight w:val="none"/>
        </w:rPr>
      </w:pPr>
    </w:p>
    <w:p>
      <w:pPr>
        <w:snapToGrid w:val="0"/>
        <w:spacing w:line="360" w:lineRule="auto"/>
        <w:rPr>
          <w:rFonts w:ascii="仿宋" w:hAnsi="仿宋" w:eastAsia="仿宋"/>
          <w:b/>
          <w:color w:val="auto"/>
          <w:sz w:val="24"/>
          <w:highlight w:val="none"/>
        </w:rPr>
      </w:pPr>
    </w:p>
    <w:p>
      <w:pPr>
        <w:snapToGrid w:val="0"/>
        <w:spacing w:line="360" w:lineRule="auto"/>
        <w:rPr>
          <w:rFonts w:ascii="仿宋" w:hAnsi="仿宋" w:eastAsia="仿宋"/>
          <w:b/>
          <w:color w:val="auto"/>
          <w:sz w:val="24"/>
          <w:highlight w:val="none"/>
        </w:rPr>
      </w:pPr>
      <w:r>
        <w:rPr>
          <w:rFonts w:hint="eastAsia" w:ascii="仿宋" w:hAnsi="仿宋" w:eastAsia="仿宋"/>
          <w:b/>
          <w:color w:val="auto"/>
          <w:sz w:val="24"/>
          <w:highlight w:val="none"/>
        </w:rPr>
        <w:t>质疑函制作说明：</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1.供应商提出质疑时，应提交质疑函和必要的证明材料。</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2.质疑供应商若委托代理人进行质疑的，</w:t>
      </w:r>
      <w:r>
        <w:rPr>
          <w:rFonts w:hint="eastAsia" w:ascii="仿宋" w:hAnsi="仿宋" w:eastAsia="仿宋"/>
          <w:color w:val="auto"/>
          <w:sz w:val="24"/>
          <w:highlight w:val="none"/>
        </w:rPr>
        <w:t>质疑函应按要求列明“授权代表”的有关内容，并在附件中提交由质疑</w:t>
      </w:r>
      <w:r>
        <w:rPr>
          <w:rFonts w:hint="eastAsia" w:ascii="仿宋" w:hAnsi="仿宋" w:eastAsia="仿宋" w:cs="宋体"/>
          <w:color w:val="auto"/>
          <w:kern w:val="0"/>
          <w:sz w:val="24"/>
          <w:highlight w:val="none"/>
        </w:rPr>
        <w:t>供应商签署的授权委托书。授权委托书应载明代理人的姓名或者名称、代理事项、具体权限、期限和相关事项。</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3.质疑供应商若对项目的某一分包进行质疑，质疑函中应列明具体分包号。</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4.质疑函的质疑事项应具体、明确，并有必要的事实依据和法律依据。</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5.质疑函的质疑请求应与质疑事项相关。</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6.质疑供应商为自然人的，</w:t>
      </w:r>
      <w:r>
        <w:rPr>
          <w:rFonts w:hint="eastAsia" w:ascii="仿宋" w:hAnsi="仿宋" w:eastAsia="仿宋"/>
          <w:color w:val="auto"/>
          <w:sz w:val="24"/>
          <w:highlight w:val="none"/>
        </w:rPr>
        <w:t>质疑函应由本人签字；质疑供应商为法人或者其他组织的，质疑函应由法定代表人、主要负责人，或者其授权代表签字或者盖章，并加盖公章。</w:t>
      </w:r>
    </w:p>
    <w:p>
      <w:pPr>
        <w:widowControl/>
        <w:snapToGrid w:val="0"/>
        <w:spacing w:line="360" w:lineRule="auto"/>
        <w:ind w:firstLine="600" w:firstLineChars="200"/>
        <w:jc w:val="left"/>
        <w:rPr>
          <w:rFonts w:ascii="仿宋" w:hAnsi="仿宋" w:eastAsia="仿宋"/>
          <w:color w:val="auto"/>
          <w:sz w:val="30"/>
          <w:szCs w:val="30"/>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center"/>
        <w:rPr>
          <w:rFonts w:ascii="仿宋" w:hAnsi="仿宋" w:eastAsia="仿宋"/>
          <w:b/>
          <w:color w:val="auto"/>
          <w:spacing w:val="6"/>
          <w:sz w:val="32"/>
          <w:szCs w:val="32"/>
          <w:highlight w:val="none"/>
        </w:rPr>
      </w:pPr>
    </w:p>
    <w:p>
      <w:pPr>
        <w:snapToGrid w:val="0"/>
        <w:spacing w:line="360" w:lineRule="auto"/>
        <w:jc w:val="left"/>
        <w:rPr>
          <w:rFonts w:ascii="仿宋" w:hAnsi="仿宋" w:eastAsia="仿宋"/>
          <w:b/>
          <w:color w:val="auto"/>
          <w:spacing w:val="6"/>
          <w:sz w:val="32"/>
          <w:szCs w:val="32"/>
          <w:highlight w:val="none"/>
        </w:rPr>
      </w:pPr>
    </w:p>
    <w:p>
      <w:pPr>
        <w:snapToGrid w:val="0"/>
        <w:spacing w:line="360" w:lineRule="auto"/>
        <w:jc w:val="left"/>
        <w:rPr>
          <w:rFonts w:ascii="仿宋" w:hAnsi="仿宋" w:eastAsia="仿宋"/>
          <w:b/>
          <w:color w:val="auto"/>
          <w:spacing w:val="6"/>
          <w:sz w:val="32"/>
          <w:szCs w:val="32"/>
          <w:highlight w:val="none"/>
        </w:rPr>
      </w:pPr>
    </w:p>
    <w:p>
      <w:pPr>
        <w:snapToGrid w:val="0"/>
        <w:spacing w:line="360" w:lineRule="auto"/>
        <w:jc w:val="left"/>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3：投诉书范本及制作说明</w:t>
      </w:r>
    </w:p>
    <w:p>
      <w:pPr>
        <w:snapToGrid w:val="0"/>
        <w:spacing w:line="360" w:lineRule="auto"/>
        <w:jc w:val="center"/>
        <w:rPr>
          <w:rFonts w:ascii="仿宋" w:hAnsi="仿宋" w:eastAsia="仿宋"/>
          <w:b/>
          <w:color w:val="auto"/>
          <w:sz w:val="24"/>
          <w:highlight w:val="none"/>
        </w:rPr>
      </w:pPr>
    </w:p>
    <w:p>
      <w:pPr>
        <w:snapToGrid w:val="0"/>
        <w:spacing w:line="360" w:lineRule="auto"/>
        <w:jc w:val="center"/>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t>投诉书范本</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一、投诉相关主体基本情况</w:t>
      </w:r>
    </w:p>
    <w:p>
      <w:pPr>
        <w:snapToGrid w:val="0"/>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投诉人：</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邮编：</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tabs>
          <w:tab w:val="left" w:pos="6510"/>
        </w:tabs>
        <w:snapToGrid w:val="0"/>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法定代表人</w:t>
      </w:r>
      <w:r>
        <w:rPr>
          <w:rFonts w:ascii="仿宋" w:hAnsi="仿宋" w:eastAsia="仿宋"/>
          <w:color w:val="auto"/>
          <w:sz w:val="24"/>
          <w:highlight w:val="none"/>
        </w:rPr>
        <w:t>/主要负责人：</w:t>
      </w:r>
      <w:r>
        <w:rPr>
          <w:rFonts w:ascii="仿宋" w:hAnsi="仿宋" w:eastAsia="仿宋"/>
          <w:color w:val="auto"/>
          <w:sz w:val="24"/>
          <w:highlight w:val="none"/>
          <w:u w:val="dotted"/>
        </w:rPr>
        <w:t xml:space="preserve">                                   </w:t>
      </w:r>
      <w:r>
        <w:rPr>
          <w:rFonts w:ascii="仿宋" w:hAnsi="仿宋" w:eastAsia="仿宋"/>
          <w:color w:val="auto"/>
          <w:sz w:val="24"/>
          <w:highlight w:val="none"/>
        </w:rPr>
        <w:t xml:space="preserve">  </w:t>
      </w:r>
    </w:p>
    <w:p>
      <w:pPr>
        <w:tabs>
          <w:tab w:val="left" w:pos="6510"/>
        </w:tabs>
        <w:snapToGrid w:val="0"/>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联系电话：</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授权代表：</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联系电话</w:t>
      </w:r>
      <w:r>
        <w:rPr>
          <w:rFonts w:hint="eastAsia" w:ascii="仿宋" w:hAnsi="仿宋" w:eastAsia="仿宋"/>
          <w:color w:val="auto"/>
          <w:sz w:val="24"/>
          <w:highlight w:val="none"/>
          <w:u w:val="dotted"/>
        </w:rPr>
        <w:t>：</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邮编：</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被投诉人</w:t>
      </w:r>
      <w:r>
        <w:rPr>
          <w:rFonts w:ascii="仿宋" w:hAnsi="仿宋" w:eastAsia="仿宋"/>
          <w:color w:val="auto"/>
          <w:sz w:val="24"/>
          <w:highlight w:val="none"/>
        </w:rPr>
        <w:t>1：</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邮编：</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联系人：</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联系电话：</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被投诉人</w:t>
      </w:r>
      <w:r>
        <w:rPr>
          <w:rFonts w:ascii="仿宋" w:hAnsi="仿宋" w:eastAsia="仿宋"/>
          <w:color w:val="auto"/>
          <w:sz w:val="24"/>
          <w:highlight w:val="none"/>
        </w:rPr>
        <w:t>2</w:t>
      </w:r>
    </w:p>
    <w:p>
      <w:pPr>
        <w:snapToGrid w:val="0"/>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相关供应商：</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地</w:t>
      </w:r>
      <w:r>
        <w:rPr>
          <w:rFonts w:ascii="仿宋" w:hAnsi="仿宋" w:eastAsia="仿宋"/>
          <w:color w:val="auto"/>
          <w:sz w:val="24"/>
          <w:highlight w:val="none"/>
        </w:rPr>
        <w:t xml:space="preserve">     </w:t>
      </w:r>
      <w:r>
        <w:rPr>
          <w:rFonts w:hint="eastAsia" w:ascii="仿宋" w:hAnsi="仿宋" w:eastAsia="仿宋"/>
          <w:color w:val="auto"/>
          <w:sz w:val="24"/>
          <w:highlight w:val="none"/>
        </w:rPr>
        <w:t>址：</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邮编：</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联系人：</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联系电话：</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二、投诉项目基本情况</w:t>
      </w:r>
    </w:p>
    <w:p>
      <w:pPr>
        <w:snapToGrid w:val="0"/>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采购余杭区市民之家大厅及食堂家具采购：</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采购项目编号：</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包号：</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采购人名称：</w:t>
      </w:r>
      <w:r>
        <w:rPr>
          <w:rFonts w:ascii="仿宋" w:hAnsi="仿宋" w:eastAsia="仿宋"/>
          <w:color w:val="auto"/>
          <w:sz w:val="24"/>
          <w:highlight w:val="none"/>
          <w:u w:val="dotted"/>
        </w:rPr>
        <w:t xml:space="preserve">                                           </w:t>
      </w:r>
      <w:r>
        <w:rPr>
          <w:rFonts w:ascii="仿宋" w:hAnsi="仿宋" w:eastAsia="仿宋"/>
          <w:color w:val="auto"/>
          <w:sz w:val="24"/>
          <w:highlight w:val="none"/>
          <w:u w:val="single"/>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代理机构名称：</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采购文件公告</w:t>
      </w:r>
      <w:r>
        <w:rPr>
          <w:rFonts w:ascii="仿宋" w:hAnsi="仿宋" w:eastAsia="仿宋"/>
          <w:color w:val="auto"/>
          <w:sz w:val="24"/>
          <w:highlight w:val="none"/>
        </w:rPr>
        <w:t>:</w:t>
      </w:r>
      <w:r>
        <w:rPr>
          <w:rFonts w:hint="eastAsia" w:ascii="仿宋" w:hAnsi="仿宋" w:eastAsia="仿宋"/>
          <w:color w:val="auto"/>
          <w:sz w:val="24"/>
          <w:highlight w:val="none"/>
          <w:u w:val="dotted"/>
        </w:rPr>
        <w:t>是</w:t>
      </w:r>
      <w:r>
        <w:rPr>
          <w:rFonts w:ascii="仿宋" w:hAnsi="仿宋" w:eastAsia="仿宋"/>
          <w:color w:val="auto"/>
          <w:sz w:val="24"/>
          <w:highlight w:val="none"/>
          <w:u w:val="dotted"/>
        </w:rPr>
        <w:t xml:space="preserve">/否 </w:t>
      </w:r>
      <w:r>
        <w:rPr>
          <w:rFonts w:hint="eastAsia" w:ascii="仿宋" w:hAnsi="仿宋" w:eastAsia="仿宋"/>
          <w:color w:val="auto"/>
          <w:sz w:val="24"/>
          <w:highlight w:val="none"/>
        </w:rPr>
        <w:t>公告期限：</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采购结果公告</w:t>
      </w:r>
      <w:r>
        <w:rPr>
          <w:rFonts w:ascii="仿宋" w:hAnsi="仿宋" w:eastAsia="仿宋"/>
          <w:color w:val="auto"/>
          <w:sz w:val="24"/>
          <w:highlight w:val="none"/>
        </w:rPr>
        <w:t>:</w:t>
      </w:r>
      <w:r>
        <w:rPr>
          <w:rFonts w:hint="eastAsia" w:ascii="仿宋" w:hAnsi="仿宋" w:eastAsia="仿宋"/>
          <w:color w:val="auto"/>
          <w:sz w:val="24"/>
          <w:highlight w:val="none"/>
          <w:u w:val="dotted"/>
        </w:rPr>
        <w:t>是</w:t>
      </w:r>
      <w:r>
        <w:rPr>
          <w:rFonts w:ascii="仿宋" w:hAnsi="仿宋" w:eastAsia="仿宋"/>
          <w:color w:val="auto"/>
          <w:sz w:val="24"/>
          <w:highlight w:val="none"/>
          <w:u w:val="dotted"/>
        </w:rPr>
        <w:t xml:space="preserve">/否 </w:t>
      </w:r>
      <w:r>
        <w:rPr>
          <w:rFonts w:hint="eastAsia" w:ascii="仿宋" w:hAnsi="仿宋" w:eastAsia="仿宋"/>
          <w:color w:val="auto"/>
          <w:sz w:val="24"/>
          <w:highlight w:val="none"/>
        </w:rPr>
        <w:t>公告期限：</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三、质疑基本情况</w:t>
      </w:r>
    </w:p>
    <w:p>
      <w:pPr>
        <w:snapToGrid w:val="0"/>
        <w:spacing w:line="360" w:lineRule="auto"/>
        <w:ind w:firstLine="480" w:firstLineChars="200"/>
        <w:rPr>
          <w:rFonts w:ascii="仿宋" w:hAnsi="仿宋" w:eastAsia="仿宋"/>
          <w:color w:val="auto"/>
          <w:sz w:val="24"/>
          <w:highlight w:val="none"/>
          <w:u w:val="dotted"/>
        </w:rPr>
      </w:pPr>
      <w:r>
        <w:rPr>
          <w:rFonts w:hint="eastAsia" w:ascii="仿宋" w:hAnsi="仿宋" w:eastAsia="仿宋"/>
          <w:color w:val="auto"/>
          <w:sz w:val="24"/>
          <w:highlight w:val="none"/>
        </w:rPr>
        <w:t>投诉人于</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年</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月</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日</w:t>
      </w:r>
      <w:r>
        <w:rPr>
          <w:rFonts w:ascii="仿宋" w:hAnsi="仿宋" w:eastAsia="仿宋"/>
          <w:color w:val="auto"/>
          <w:sz w:val="24"/>
          <w:highlight w:val="none"/>
        </w:rPr>
        <w:t>,向</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提出质疑，质疑事项为：</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dotted"/>
        </w:rPr>
      </w:pPr>
      <w:r>
        <w:rPr>
          <w:rFonts w:ascii="仿宋" w:hAnsi="仿宋" w:eastAsia="仿宋"/>
          <w:color w:val="auto"/>
          <w:sz w:val="24"/>
          <w:highlight w:val="none"/>
          <w:u w:val="dotted"/>
        </w:rPr>
        <w:t xml:space="preserve">                                                     </w:t>
      </w:r>
      <w:r>
        <w:rPr>
          <w:rFonts w:ascii="仿宋" w:hAnsi="仿宋" w:eastAsia="仿宋"/>
          <w:color w:val="auto"/>
          <w:sz w:val="24"/>
          <w:highlight w:val="none"/>
        </w:rPr>
        <w:t xml:space="preserve">  </w:t>
      </w:r>
    </w:p>
    <w:p>
      <w:pPr>
        <w:snapToGrid w:val="0"/>
        <w:spacing w:line="360" w:lineRule="auto"/>
        <w:ind w:firstLine="360" w:firstLineChars="150"/>
        <w:rPr>
          <w:rFonts w:ascii="仿宋" w:hAnsi="仿宋" w:eastAsia="仿宋"/>
          <w:color w:val="auto"/>
          <w:sz w:val="24"/>
          <w:highlight w:val="none"/>
        </w:rPr>
      </w:pPr>
      <w:r>
        <w:rPr>
          <w:rFonts w:hint="eastAsia" w:ascii="仿宋" w:hAnsi="仿宋" w:eastAsia="仿宋"/>
          <w:color w:val="auto"/>
          <w:sz w:val="24"/>
          <w:highlight w:val="none"/>
          <w:u w:val="dotted"/>
        </w:rPr>
        <w:t>采购人</w:t>
      </w:r>
      <w:r>
        <w:rPr>
          <w:rFonts w:ascii="仿宋" w:hAnsi="仿宋" w:eastAsia="仿宋"/>
          <w:color w:val="auto"/>
          <w:sz w:val="24"/>
          <w:highlight w:val="none"/>
          <w:u w:val="dotted"/>
        </w:rPr>
        <w:t>/代理机构</w:t>
      </w:r>
      <w:r>
        <w:rPr>
          <w:rFonts w:hint="eastAsia" w:ascii="仿宋" w:hAnsi="仿宋" w:eastAsia="仿宋"/>
          <w:color w:val="auto"/>
          <w:sz w:val="24"/>
          <w:highlight w:val="none"/>
        </w:rPr>
        <w:t>于</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年</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月</w:t>
      </w:r>
      <w:r>
        <w:rPr>
          <w:rFonts w:ascii="仿宋" w:hAnsi="仿宋" w:eastAsia="仿宋"/>
          <w:color w:val="auto"/>
          <w:sz w:val="24"/>
          <w:highlight w:val="none"/>
          <w:u w:val="dotted"/>
        </w:rPr>
        <w:t xml:space="preserve">   </w:t>
      </w:r>
      <w:r>
        <w:rPr>
          <w:rFonts w:hint="eastAsia" w:ascii="仿宋" w:hAnsi="仿宋" w:eastAsia="仿宋"/>
          <w:color w:val="auto"/>
          <w:sz w:val="24"/>
          <w:highlight w:val="none"/>
        </w:rPr>
        <w:t>日</w:t>
      </w:r>
      <w:r>
        <w:rPr>
          <w:rFonts w:ascii="仿宋" w:hAnsi="仿宋" w:eastAsia="仿宋"/>
          <w:color w:val="auto"/>
          <w:sz w:val="24"/>
          <w:highlight w:val="none"/>
        </w:rPr>
        <w:t>,就质疑事项</w:t>
      </w:r>
      <w:r>
        <w:rPr>
          <w:rFonts w:hint="eastAsia" w:ascii="仿宋" w:hAnsi="仿宋" w:eastAsia="仿宋"/>
          <w:color w:val="auto"/>
          <w:sz w:val="24"/>
          <w:highlight w:val="none"/>
        </w:rPr>
        <w:t>作出了答复</w:t>
      </w:r>
      <w:r>
        <w:rPr>
          <w:rFonts w:ascii="仿宋" w:hAnsi="仿宋" w:eastAsia="仿宋"/>
          <w:color w:val="auto"/>
          <w:sz w:val="24"/>
          <w:highlight w:val="none"/>
        </w:rPr>
        <w:t>/没有在法定期限内</w:t>
      </w:r>
      <w:r>
        <w:rPr>
          <w:rFonts w:hint="eastAsia" w:ascii="仿宋" w:hAnsi="仿宋" w:eastAsia="仿宋"/>
          <w:color w:val="auto"/>
          <w:sz w:val="24"/>
          <w:highlight w:val="none"/>
        </w:rPr>
        <w:t>作出答复。</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四、投诉事项具体内容</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投诉事项</w:t>
      </w:r>
      <w:r>
        <w:rPr>
          <w:rFonts w:ascii="仿宋" w:hAnsi="仿宋" w:eastAsia="仿宋"/>
          <w:color w:val="auto"/>
          <w:sz w:val="24"/>
          <w:highlight w:val="none"/>
        </w:rPr>
        <w:t xml:space="preserve"> 1：</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事实依据：</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dotted"/>
        </w:rPr>
      </w:pP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single"/>
        </w:rPr>
      </w:pPr>
      <w:r>
        <w:rPr>
          <w:rFonts w:hint="eastAsia" w:ascii="仿宋" w:hAnsi="仿宋" w:eastAsia="仿宋"/>
          <w:color w:val="auto"/>
          <w:sz w:val="24"/>
          <w:highlight w:val="none"/>
        </w:rPr>
        <w:t>法律依据：</w:t>
      </w: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u w:val="dotted"/>
        </w:rPr>
      </w:pPr>
      <w:r>
        <w:rPr>
          <w:rFonts w:ascii="仿宋" w:hAnsi="仿宋" w:eastAsia="仿宋"/>
          <w:color w:val="auto"/>
          <w:sz w:val="24"/>
          <w:highlight w:val="none"/>
          <w:u w:val="dotted"/>
        </w:rPr>
        <w:t xml:space="preserve">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投诉事项</w:t>
      </w:r>
      <w:r>
        <w:rPr>
          <w:rFonts w:ascii="仿宋" w:hAnsi="仿宋" w:eastAsia="仿宋"/>
          <w:color w:val="auto"/>
          <w:sz w:val="24"/>
          <w:highlight w:val="none"/>
        </w:rPr>
        <w:t>2</w:t>
      </w:r>
    </w:p>
    <w:p>
      <w:pPr>
        <w:snapToGrid w:val="0"/>
        <w:spacing w:line="360" w:lineRule="auto"/>
        <w:rPr>
          <w:rFonts w:ascii="仿宋" w:hAnsi="仿宋" w:eastAsia="仿宋"/>
          <w:color w:val="auto"/>
          <w:sz w:val="24"/>
          <w:highlight w:val="none"/>
          <w:u w:val="dotted"/>
        </w:rPr>
      </w:pPr>
      <w:r>
        <w:rPr>
          <w:rFonts w:hint="eastAsia" w:ascii="仿宋" w:hAnsi="仿宋" w:eastAsia="仿宋"/>
          <w:color w:val="auto"/>
          <w:sz w:val="24"/>
          <w:highlight w:val="none"/>
        </w:rPr>
        <w:t>……</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五、与投诉事项相关的投诉请求</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请求：</w:t>
      </w:r>
      <w:r>
        <w:rPr>
          <w:rFonts w:ascii="仿宋" w:hAnsi="仿宋" w:eastAsia="仿宋"/>
          <w:color w:val="auto"/>
          <w:sz w:val="24"/>
          <w:highlight w:val="none"/>
          <w:u w:val="dotted"/>
        </w:rPr>
        <w:t xml:space="preserve">                                              </w:t>
      </w:r>
      <w:r>
        <w:rPr>
          <w:rFonts w:ascii="仿宋" w:hAnsi="仿宋" w:eastAsia="仿宋"/>
          <w:color w:val="auto"/>
          <w:sz w:val="24"/>
          <w:highlight w:val="none"/>
        </w:rPr>
        <w:t xml:space="preserve"> </w:t>
      </w:r>
    </w:p>
    <w:p>
      <w:pPr>
        <w:snapToGrid w:val="0"/>
        <w:spacing w:line="360" w:lineRule="auto"/>
        <w:rPr>
          <w:rFonts w:ascii="仿宋" w:hAnsi="仿宋" w:eastAsia="仿宋"/>
          <w:color w:val="auto"/>
          <w:sz w:val="24"/>
          <w:highlight w:val="none"/>
          <w:u w:val="single"/>
        </w:rPr>
      </w:pPr>
      <w:r>
        <w:rPr>
          <w:rFonts w:ascii="仿宋" w:hAnsi="仿宋" w:eastAsia="仿宋"/>
          <w:color w:val="auto"/>
          <w:sz w:val="24"/>
          <w:highlight w:val="none"/>
        </w:rPr>
        <w:t xml:space="preserve">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签字</w:t>
      </w:r>
      <w:r>
        <w:rPr>
          <w:rFonts w:ascii="仿宋" w:hAnsi="仿宋" w:eastAsia="仿宋"/>
          <w:color w:val="auto"/>
          <w:sz w:val="24"/>
          <w:highlight w:val="none"/>
        </w:rPr>
        <w:t xml:space="preserve">(签章)：                   公章：                      </w:t>
      </w:r>
    </w:p>
    <w:p>
      <w:pPr>
        <w:snapToGrid w:val="0"/>
        <w:spacing w:line="360" w:lineRule="auto"/>
        <w:rPr>
          <w:rFonts w:ascii="仿宋" w:hAnsi="仿宋" w:eastAsia="仿宋"/>
          <w:color w:val="auto"/>
          <w:sz w:val="24"/>
          <w:highlight w:val="none"/>
        </w:rPr>
      </w:pPr>
      <w:r>
        <w:rPr>
          <w:rFonts w:hint="eastAsia" w:ascii="仿宋" w:hAnsi="仿宋" w:eastAsia="仿宋"/>
          <w:color w:val="auto"/>
          <w:sz w:val="24"/>
          <w:highlight w:val="none"/>
        </w:rPr>
        <w:t>日期：</w:t>
      </w:r>
      <w:r>
        <w:rPr>
          <w:rFonts w:ascii="仿宋" w:hAnsi="仿宋" w:eastAsia="仿宋"/>
          <w:color w:val="auto"/>
          <w:sz w:val="24"/>
          <w:highlight w:val="none"/>
        </w:rPr>
        <w:t xml:space="preserve">    </w:t>
      </w:r>
    </w:p>
    <w:p>
      <w:pPr>
        <w:snapToGrid w:val="0"/>
        <w:spacing w:line="360" w:lineRule="auto"/>
        <w:rPr>
          <w:rFonts w:ascii="仿宋" w:hAnsi="仿宋" w:eastAsia="仿宋"/>
          <w:b/>
          <w:color w:val="auto"/>
          <w:sz w:val="24"/>
          <w:highlight w:val="none"/>
        </w:rPr>
      </w:pPr>
    </w:p>
    <w:p>
      <w:pPr>
        <w:snapToGrid w:val="0"/>
        <w:spacing w:line="360" w:lineRule="auto"/>
        <w:rPr>
          <w:rFonts w:ascii="仿宋" w:hAnsi="仿宋" w:eastAsia="仿宋"/>
          <w:b/>
          <w:color w:val="auto"/>
          <w:sz w:val="24"/>
          <w:highlight w:val="none"/>
        </w:rPr>
      </w:pPr>
    </w:p>
    <w:p>
      <w:pPr>
        <w:snapToGrid w:val="0"/>
        <w:spacing w:line="360" w:lineRule="auto"/>
        <w:rPr>
          <w:rFonts w:ascii="仿宋" w:hAnsi="仿宋" w:eastAsia="仿宋"/>
          <w:b/>
          <w:color w:val="auto"/>
          <w:sz w:val="24"/>
          <w:highlight w:val="none"/>
        </w:rPr>
      </w:pPr>
      <w:r>
        <w:rPr>
          <w:rFonts w:hint="eastAsia" w:ascii="仿宋" w:hAnsi="仿宋" w:eastAsia="仿宋"/>
          <w:b/>
          <w:color w:val="auto"/>
          <w:sz w:val="24"/>
          <w:highlight w:val="none"/>
        </w:rPr>
        <w:t>投诉书制作说明：</w:t>
      </w:r>
    </w:p>
    <w:p>
      <w:pPr>
        <w:widowControl/>
        <w:snapToGrid w:val="0"/>
        <w:spacing w:line="360" w:lineRule="auto"/>
        <w:ind w:firstLine="480" w:firstLineChars="200"/>
        <w:rPr>
          <w:rFonts w:ascii="仿宋" w:hAnsi="仿宋" w:eastAsia="仿宋" w:cs="宋体"/>
          <w:color w:val="auto"/>
          <w:kern w:val="0"/>
          <w:sz w:val="24"/>
          <w:highlight w:val="none"/>
        </w:rPr>
      </w:pPr>
      <w:r>
        <w:rPr>
          <w:rFonts w:ascii="仿宋" w:hAnsi="仿宋" w:eastAsia="仿宋"/>
          <w:color w:val="auto"/>
          <w:sz w:val="24"/>
          <w:highlight w:val="none"/>
        </w:rPr>
        <w:t>1.投诉人提起投诉时，应当提交投诉书和必要的证明材料，并按照被投诉人和与投诉事项有关的供应商数量提供投诉书副本。</w:t>
      </w:r>
    </w:p>
    <w:p>
      <w:pPr>
        <w:widowControl/>
        <w:snapToGrid w:val="0"/>
        <w:spacing w:line="360" w:lineRule="auto"/>
        <w:ind w:firstLine="480" w:firstLineChars="200"/>
        <w:jc w:val="left"/>
        <w:rPr>
          <w:rFonts w:ascii="仿宋" w:hAnsi="仿宋" w:eastAsia="仿宋" w:cs="宋体"/>
          <w:color w:val="auto"/>
          <w:kern w:val="0"/>
          <w:sz w:val="24"/>
          <w:highlight w:val="none"/>
        </w:rPr>
      </w:pPr>
      <w:r>
        <w:rPr>
          <w:rFonts w:ascii="仿宋" w:hAnsi="仿宋" w:eastAsia="仿宋"/>
          <w:color w:val="auto"/>
          <w:sz w:val="24"/>
          <w:highlight w:val="none"/>
        </w:rPr>
        <w:t>2.投诉人若委托代理人进行投诉的，投诉书应按照要求列明“授权代表”的有关内容，并在附件中提交由</w:t>
      </w:r>
      <w:r>
        <w:rPr>
          <w:rFonts w:hint="eastAsia" w:ascii="仿宋" w:hAnsi="仿宋" w:eastAsia="仿宋" w:cs="宋体"/>
          <w:color w:val="auto"/>
          <w:kern w:val="0"/>
          <w:sz w:val="24"/>
          <w:highlight w:val="none"/>
        </w:rPr>
        <w:t>投诉人签署的授权委托书。授权委托书应当载明代理人的姓名或者名称、代理事项、具体权限、期限和相关事项。</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3.投诉人若对项目的某一分包进行投诉，投诉书应列明具体分包号。</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4.投诉书应简要列明质疑事项，质疑函、质疑答复等作为附件材料提供。</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5.投诉书的投诉事项应具体、明确，并有必要的事实依据和法律依据。</w:t>
      </w:r>
    </w:p>
    <w:p>
      <w:pPr>
        <w:widowControl/>
        <w:snapToGrid w:val="0"/>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6.投诉书的投诉请求应与投诉事项相关。</w:t>
      </w:r>
    </w:p>
    <w:p>
      <w:pPr>
        <w:widowControl/>
        <w:snapToGrid w:val="0"/>
        <w:spacing w:line="360" w:lineRule="auto"/>
        <w:ind w:firstLine="480" w:firstLineChars="200"/>
        <w:jc w:val="left"/>
        <w:rPr>
          <w:rFonts w:ascii="仿宋" w:hAnsi="仿宋" w:eastAsia="仿宋" w:cs="宋体"/>
          <w:color w:val="auto"/>
          <w:kern w:val="0"/>
          <w:sz w:val="24"/>
          <w:highlight w:val="none"/>
        </w:rPr>
      </w:pPr>
      <w:r>
        <w:rPr>
          <w:rFonts w:ascii="仿宋" w:hAnsi="仿宋" w:eastAsia="仿宋"/>
          <w:color w:val="auto"/>
          <w:sz w:val="24"/>
          <w:highlight w:val="none"/>
        </w:rPr>
        <w:t>7.投诉人为自然人的，投诉书应当由本人签字；投诉人为法人或者其他组织的，投诉书应当由法定代表人、主要负责人，或者其授权代表签字或者盖章，并加盖公章。</w:t>
      </w:r>
    </w:p>
    <w:p>
      <w:pPr>
        <w:snapToGrid w:val="0"/>
        <w:spacing w:line="360" w:lineRule="auto"/>
        <w:rPr>
          <w:rFonts w:ascii="仿宋" w:hAnsi="仿宋" w:eastAsia="仿宋" w:cs="仿宋_GB2312"/>
          <w:b/>
          <w:color w:val="auto"/>
          <w:sz w:val="24"/>
          <w:highlight w:val="none"/>
        </w:rPr>
      </w:pPr>
    </w:p>
    <w:p>
      <w:pPr>
        <w:autoSpaceDE w:val="0"/>
        <w:autoSpaceDN w:val="0"/>
        <w:snapToGrid w:val="0"/>
        <w:spacing w:line="360" w:lineRule="auto"/>
        <w:jc w:val="center"/>
        <w:rPr>
          <w:rFonts w:ascii="仿宋" w:hAnsi="仿宋" w:eastAsia="仿宋"/>
          <w:b/>
          <w:color w:val="auto"/>
          <w:spacing w:val="6"/>
          <w:sz w:val="32"/>
          <w:szCs w:val="32"/>
          <w:highlight w:val="none"/>
        </w:rPr>
      </w:pPr>
    </w:p>
    <w:p>
      <w:pPr>
        <w:autoSpaceDE w:val="0"/>
        <w:autoSpaceDN w:val="0"/>
        <w:snapToGrid w:val="0"/>
        <w:spacing w:line="360" w:lineRule="auto"/>
        <w:jc w:val="center"/>
        <w:rPr>
          <w:rFonts w:ascii="仿宋" w:hAnsi="仿宋" w:eastAsia="仿宋"/>
          <w:b/>
          <w:color w:val="auto"/>
          <w:spacing w:val="6"/>
          <w:sz w:val="32"/>
          <w:szCs w:val="32"/>
          <w:highlight w:val="none"/>
        </w:rPr>
      </w:pPr>
    </w:p>
    <w:p>
      <w:pPr>
        <w:autoSpaceDE w:val="0"/>
        <w:autoSpaceDN w:val="0"/>
        <w:snapToGrid w:val="0"/>
        <w:spacing w:line="360" w:lineRule="auto"/>
        <w:jc w:val="center"/>
        <w:rPr>
          <w:rFonts w:ascii="仿宋" w:hAnsi="仿宋" w:eastAsia="仿宋"/>
          <w:b/>
          <w:bCs/>
          <w:color w:val="auto"/>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4：</w:t>
      </w:r>
      <w:r>
        <w:rPr>
          <w:rFonts w:hint="eastAsia" w:ascii="仿宋" w:hAnsi="仿宋" w:eastAsia="仿宋"/>
          <w:b/>
          <w:bCs/>
          <w:color w:val="auto"/>
          <w:sz w:val="32"/>
          <w:szCs w:val="32"/>
          <w:highlight w:val="none"/>
        </w:rPr>
        <w:t>业务专用章使用说明函</w:t>
      </w:r>
    </w:p>
    <w:p>
      <w:pPr>
        <w:snapToGrid w:val="0"/>
        <w:spacing w:line="360" w:lineRule="auto"/>
        <w:rPr>
          <w:rFonts w:ascii="仿宋" w:hAnsi="仿宋" w:eastAsia="仿宋"/>
          <w:color w:val="auto"/>
          <w:sz w:val="24"/>
          <w:highlight w:val="none"/>
        </w:rPr>
      </w:pPr>
      <w:r>
        <w:rPr>
          <w:rFonts w:hint="eastAsia" w:ascii="仿宋" w:hAnsi="仿宋" w:eastAsia="仿宋" w:cs="仿宋_GB2312"/>
          <w:color w:val="auto"/>
          <w:sz w:val="24"/>
          <w:highlight w:val="none"/>
          <w:u w:val="single"/>
        </w:rPr>
        <w:t>杭州市余杭区机关事务服务中心、杭州中瑞招标代理有限公司</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仿宋_GB2312"/>
          <w:color w:val="auto"/>
          <w:kern w:val="0"/>
          <w:sz w:val="24"/>
          <w:highlight w:val="none"/>
          <w:lang w:val="zh-CN"/>
        </w:rPr>
        <w:t>我方</w:t>
      </w:r>
      <w:r>
        <w:rPr>
          <w:rFonts w:ascii="仿宋" w:hAnsi="仿宋" w:eastAsia="仿宋" w:cs="仿宋_GB2312"/>
          <w:color w:val="auto"/>
          <w:kern w:val="0"/>
          <w:sz w:val="24"/>
          <w:highlight w:val="none"/>
          <w:u w:val="single"/>
          <w:lang w:val="zh-CN"/>
        </w:rPr>
        <w:t xml:space="preserve">                         </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投标人</w:t>
      </w:r>
      <w:r>
        <w:rPr>
          <w:rFonts w:ascii="仿宋" w:hAnsi="仿宋" w:eastAsia="仿宋" w:cs="仿宋_GB2312"/>
          <w:color w:val="auto"/>
          <w:sz w:val="24"/>
          <w:highlight w:val="none"/>
        </w:rPr>
        <w:t>全称)</w:t>
      </w:r>
      <w:r>
        <w:rPr>
          <w:rFonts w:hint="eastAsia" w:ascii="仿宋" w:hAnsi="仿宋" w:eastAsia="仿宋"/>
          <w:color w:val="auto"/>
          <w:sz w:val="24"/>
          <w:highlight w:val="none"/>
        </w:rPr>
        <w:t>是中华人民共和国依法登记注册的合法企业，</w:t>
      </w:r>
      <w:r>
        <w:rPr>
          <w:rFonts w:hint="eastAsia" w:ascii="仿宋" w:hAnsi="仿宋" w:eastAsia="仿宋" w:cs="宋体"/>
          <w:bCs/>
          <w:color w:val="auto"/>
          <w:sz w:val="24"/>
          <w:highlight w:val="none"/>
        </w:rPr>
        <w:t>在参加</w:t>
      </w:r>
      <w:r>
        <w:rPr>
          <w:rFonts w:hint="eastAsia" w:ascii="仿宋" w:hAnsi="仿宋" w:eastAsia="仿宋" w:cs="仿宋_GB2312"/>
          <w:color w:val="auto"/>
          <w:sz w:val="24"/>
          <w:highlight w:val="none"/>
        </w:rPr>
        <w:t>你方组织的余杭区市民之家大厅及食堂家具采购项目【招标编号：HZZR-F220213N</w:t>
      </w:r>
      <w:r>
        <w:rPr>
          <w:rFonts w:ascii="仿宋" w:hAnsi="仿宋" w:eastAsia="仿宋" w:cs="仿宋_GB2312"/>
          <w:color w:val="auto"/>
          <w:sz w:val="24"/>
          <w:highlight w:val="none"/>
        </w:rPr>
        <w:t>】</w:t>
      </w:r>
      <w:r>
        <w:rPr>
          <w:rFonts w:hint="eastAsia" w:ascii="仿宋" w:hAnsi="仿宋" w:eastAsia="仿宋" w:cs="宋体"/>
          <w:bCs/>
          <w:color w:val="auto"/>
          <w:sz w:val="24"/>
          <w:highlight w:val="none"/>
        </w:rPr>
        <w:t>投标活动中作如下说明：</w:t>
      </w:r>
      <w:r>
        <w:rPr>
          <w:rFonts w:hint="eastAsia" w:ascii="仿宋" w:hAnsi="仿宋" w:eastAsia="仿宋" w:cs="宋体"/>
          <w:color w:val="auto"/>
          <w:sz w:val="24"/>
          <w:highlight w:val="none"/>
        </w:rPr>
        <w:t>我方所使用的“</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专用章”与法定名称章具有同等的法律效力，对使用“</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专用章”的行为予以完全承认，并愿意承担相应责任。</w:t>
      </w:r>
      <w:r>
        <w:rPr>
          <w:rFonts w:ascii="仿宋" w:hAnsi="仿宋" w:eastAsia="仿宋" w:cs="宋体"/>
          <w:color w:val="auto"/>
          <w:sz w:val="24"/>
          <w:highlight w:val="none"/>
        </w:rPr>
        <w:t xml:space="preserve">   </w:t>
      </w:r>
    </w:p>
    <w:p>
      <w:pPr>
        <w:snapToGrid w:val="0"/>
        <w:spacing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特此说明。</w:t>
      </w:r>
    </w:p>
    <w:p>
      <w:pPr>
        <w:snapToGrid w:val="0"/>
        <w:spacing w:line="360" w:lineRule="auto"/>
        <w:ind w:firstLine="494"/>
        <w:rPr>
          <w:rFonts w:ascii="仿宋" w:hAnsi="仿宋" w:eastAsia="仿宋" w:cs="宋体"/>
          <w:color w:val="auto"/>
          <w:sz w:val="24"/>
          <w:highlight w:val="none"/>
        </w:rPr>
      </w:pPr>
    </w:p>
    <w:p>
      <w:pPr>
        <w:snapToGrid w:val="0"/>
        <w:spacing w:line="360" w:lineRule="auto"/>
        <w:ind w:firstLine="494"/>
        <w:rPr>
          <w:rFonts w:ascii="仿宋" w:hAnsi="仿宋" w:eastAsia="仿宋" w:cs="宋体"/>
          <w:color w:val="auto"/>
          <w:sz w:val="24"/>
          <w:highlight w:val="none"/>
        </w:rPr>
      </w:pPr>
    </w:p>
    <w:p>
      <w:pPr>
        <w:snapToGrid w:val="0"/>
        <w:spacing w:line="360" w:lineRule="auto"/>
        <w:ind w:firstLine="494"/>
        <w:rPr>
          <w:rFonts w:ascii="仿宋" w:hAnsi="仿宋" w:eastAsia="仿宋" w:cs="宋体"/>
          <w:color w:val="auto"/>
          <w:sz w:val="24"/>
          <w:highlight w:val="none"/>
        </w:rPr>
      </w:pPr>
    </w:p>
    <w:p>
      <w:pPr>
        <w:snapToGrid w:val="0"/>
        <w:spacing w:line="360" w:lineRule="auto"/>
        <w:ind w:firstLine="494"/>
        <w:rPr>
          <w:rFonts w:ascii="仿宋" w:hAnsi="仿宋" w:eastAsia="仿宋" w:cs="宋体"/>
          <w:color w:val="auto"/>
          <w:sz w:val="24"/>
          <w:highlight w:val="none"/>
        </w:rPr>
      </w:pPr>
    </w:p>
    <w:p>
      <w:pPr>
        <w:snapToGrid w:val="0"/>
        <w:spacing w:line="360" w:lineRule="auto"/>
        <w:ind w:firstLine="4080" w:firstLineChars="1700"/>
        <w:rPr>
          <w:rFonts w:ascii="仿宋" w:hAnsi="仿宋" w:eastAsia="仿宋" w:cs="宋体"/>
          <w:color w:val="auto"/>
          <w:sz w:val="24"/>
          <w:highlight w:val="none"/>
        </w:rPr>
      </w:pPr>
      <w:r>
        <w:rPr>
          <w:rFonts w:hint="eastAsia" w:ascii="仿宋" w:hAnsi="仿宋" w:eastAsia="仿宋" w:cs="宋体"/>
          <w:color w:val="auto"/>
          <w:sz w:val="24"/>
          <w:highlight w:val="none"/>
        </w:rPr>
        <w:t>投标单位（法定名称章）：</w:t>
      </w:r>
    </w:p>
    <w:p>
      <w:pPr>
        <w:snapToGrid w:val="0"/>
        <w:spacing w:line="360" w:lineRule="auto"/>
        <w:ind w:firstLine="494"/>
        <w:jc w:val="center"/>
        <w:rPr>
          <w:rFonts w:ascii="仿宋" w:hAnsi="仿宋" w:eastAsia="仿宋" w:cs="宋体"/>
          <w:color w:val="auto"/>
          <w:sz w:val="24"/>
          <w:highlight w:val="none"/>
        </w:rPr>
      </w:pPr>
      <w:r>
        <w:rPr>
          <w:rFonts w:ascii="仿宋" w:hAnsi="仿宋" w:eastAsia="仿宋" w:cs="宋体"/>
          <w:color w:val="auto"/>
          <w:sz w:val="24"/>
          <w:highlight w:val="none"/>
        </w:rPr>
        <w:t xml:space="preserve">                              日期：       年     月     日</w:t>
      </w:r>
    </w:p>
    <w:p>
      <w:pPr>
        <w:snapToGrid w:val="0"/>
        <w:spacing w:line="360" w:lineRule="auto"/>
        <w:rPr>
          <w:rFonts w:ascii="仿宋" w:hAnsi="仿宋" w:eastAsia="仿宋" w:cs="宋体"/>
          <w:color w:val="auto"/>
          <w:sz w:val="24"/>
          <w:highlight w:val="none"/>
        </w:rPr>
      </w:pPr>
      <w:r>
        <w:rPr>
          <w:rFonts w:hint="eastAsia" w:ascii="仿宋" w:hAnsi="仿宋" w:eastAsia="仿宋" w:cs="宋体"/>
          <w:b/>
          <w:bCs/>
          <w:color w:val="auto"/>
          <w:sz w:val="24"/>
          <w:highlight w:val="none"/>
        </w:rPr>
        <w:t>附：</w:t>
      </w:r>
    </w:p>
    <w:p>
      <w:pPr>
        <w:snapToGrid w:val="0"/>
        <w:spacing w:line="360" w:lineRule="auto"/>
        <w:rPr>
          <w:rFonts w:ascii="仿宋" w:hAnsi="仿宋" w:eastAsia="仿宋"/>
          <w:bCs/>
          <w:color w:val="auto"/>
          <w:sz w:val="24"/>
          <w:highlight w:val="none"/>
        </w:rPr>
      </w:pPr>
      <w:r>
        <w:rPr>
          <w:rFonts w:ascii="仿宋" w:hAnsi="仿宋" w:eastAsia="仿宋" w:cs="Times New Roman"/>
          <w:color w:val="auto"/>
          <w:kern w:val="2"/>
          <w:sz w:val="21"/>
          <w:szCs w:val="24"/>
          <w:highlight w:val="none"/>
          <w:lang w:val="en-US" w:eastAsia="zh-CN" w:bidi="ar-SA"/>
        </w:rPr>
        <w:pict>
          <v:rect id="矩形 2" o:spid="_x0000_s1164" o:spt="1" style="position:absolute;left:0pt;margin-left:238.9pt;margin-top:28.05pt;height:177.45pt;width:212.95pt;z-index:-251657216;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ascii="仿宋" w:hAnsi="仿宋" w:eastAsia="仿宋" w:cs="Times New Roman"/>
          <w:color w:val="auto"/>
          <w:kern w:val="2"/>
          <w:sz w:val="21"/>
          <w:szCs w:val="24"/>
          <w:highlight w:val="none"/>
          <w:lang w:val="en-US" w:eastAsia="zh-CN" w:bidi="ar-SA"/>
        </w:rPr>
        <w:pict>
          <v:rect id="矩形 1" o:spid="_x0000_s1165" o:spt="1" style="position:absolute;left:0pt;margin-left:-7.15pt;margin-top:30.3pt;height:177.45pt;width:208.5pt;z-index:-25165619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仿宋" w:hAnsi="仿宋" w:eastAsia="仿宋" w:cs="宋体"/>
          <w:color w:val="auto"/>
          <w:sz w:val="24"/>
          <w:highlight w:val="none"/>
        </w:rPr>
        <w:t>投标单位法定名称章（印模）</w:t>
      </w:r>
      <w:r>
        <w:rPr>
          <w:rFonts w:ascii="仿宋" w:hAnsi="仿宋" w:eastAsia="仿宋" w:cs="宋体"/>
          <w:color w:val="auto"/>
          <w:sz w:val="24"/>
          <w:highlight w:val="none"/>
        </w:rPr>
        <w:t xml:space="preserve">                </w:t>
      </w:r>
      <w:r>
        <w:rPr>
          <w:rFonts w:hint="eastAsia" w:ascii="仿宋" w:hAnsi="仿宋" w:eastAsia="仿宋" w:cs="宋体"/>
          <w:color w:val="auto"/>
          <w:sz w:val="24"/>
          <w:highlight w:val="none"/>
        </w:rPr>
        <w:t>投标单位“</w:t>
      </w:r>
      <w:r>
        <w:rPr>
          <w:rFonts w:ascii="仿宋" w:hAnsi="仿宋" w:eastAsia="仿宋" w:cs="仿宋_GB2312"/>
          <w:color w:val="auto"/>
          <w:sz w:val="24"/>
          <w:highlight w:val="none"/>
        </w:rPr>
        <w:t>XX</w:t>
      </w:r>
      <w:r>
        <w:rPr>
          <w:rFonts w:hint="eastAsia" w:ascii="仿宋" w:hAnsi="仿宋" w:eastAsia="仿宋" w:cs="宋体"/>
          <w:color w:val="auto"/>
          <w:sz w:val="24"/>
          <w:highlight w:val="none"/>
        </w:rPr>
        <w:t>专用章”（印模）</w:t>
      </w:r>
    </w:p>
    <w:p>
      <w:pPr>
        <w:autoSpaceDE w:val="0"/>
        <w:autoSpaceDN w:val="0"/>
        <w:snapToGrid w:val="0"/>
        <w:spacing w:line="360" w:lineRule="auto"/>
        <w:jc w:val="center"/>
        <w:rPr>
          <w:rFonts w:ascii="仿宋" w:hAnsi="仿宋" w:eastAsia="仿宋"/>
          <w:b/>
          <w:color w:val="auto"/>
          <w:spacing w:val="6"/>
          <w:sz w:val="32"/>
          <w:szCs w:val="32"/>
          <w:highlight w:val="none"/>
        </w:rPr>
      </w:pPr>
    </w:p>
    <w:p>
      <w:pPr>
        <w:autoSpaceDE w:val="0"/>
        <w:autoSpaceDN w:val="0"/>
        <w:snapToGrid w:val="0"/>
        <w:spacing w:line="360" w:lineRule="auto"/>
        <w:jc w:val="center"/>
        <w:rPr>
          <w:rFonts w:ascii="仿宋" w:hAnsi="仿宋" w:eastAsia="仿宋"/>
          <w:b/>
          <w:color w:val="auto"/>
          <w:spacing w:val="6"/>
          <w:sz w:val="32"/>
          <w:szCs w:val="32"/>
          <w:highlight w:val="none"/>
        </w:rPr>
      </w:pPr>
    </w:p>
    <w:p>
      <w:pPr>
        <w:autoSpaceDE w:val="0"/>
        <w:autoSpaceDN w:val="0"/>
        <w:snapToGrid w:val="0"/>
        <w:spacing w:line="360" w:lineRule="auto"/>
        <w:jc w:val="center"/>
        <w:rPr>
          <w:rFonts w:ascii="仿宋" w:hAnsi="仿宋" w:eastAsia="仿宋"/>
          <w:b/>
          <w:color w:val="auto"/>
          <w:spacing w:val="6"/>
          <w:sz w:val="32"/>
          <w:szCs w:val="32"/>
          <w:highlight w:val="none"/>
        </w:rPr>
      </w:pPr>
    </w:p>
    <w:p>
      <w:pPr>
        <w:autoSpaceDE w:val="0"/>
        <w:autoSpaceDN w:val="0"/>
        <w:snapToGrid w:val="0"/>
        <w:spacing w:line="360" w:lineRule="auto"/>
        <w:jc w:val="center"/>
        <w:rPr>
          <w:rFonts w:ascii="仿宋" w:hAnsi="仿宋" w:eastAsia="仿宋"/>
          <w:b/>
          <w:color w:val="auto"/>
          <w:spacing w:val="6"/>
          <w:sz w:val="32"/>
          <w:szCs w:val="32"/>
          <w:highlight w:val="none"/>
        </w:rPr>
      </w:pPr>
    </w:p>
    <w:p>
      <w:pPr>
        <w:autoSpaceDE w:val="0"/>
        <w:autoSpaceDN w:val="0"/>
        <w:snapToGrid w:val="0"/>
        <w:spacing w:line="360" w:lineRule="auto"/>
        <w:jc w:val="center"/>
        <w:rPr>
          <w:rFonts w:ascii="仿宋" w:hAnsi="仿宋" w:eastAsia="仿宋"/>
          <w:b/>
          <w:color w:val="auto"/>
          <w:spacing w:val="6"/>
          <w:sz w:val="32"/>
          <w:szCs w:val="32"/>
          <w:highlight w:val="none"/>
        </w:rPr>
      </w:pPr>
    </w:p>
    <w:p>
      <w:pPr>
        <w:autoSpaceDE w:val="0"/>
        <w:autoSpaceDN w:val="0"/>
        <w:snapToGrid w:val="0"/>
        <w:spacing w:line="360" w:lineRule="auto"/>
        <w:jc w:val="center"/>
        <w:rPr>
          <w:rFonts w:ascii="仿宋" w:hAnsi="仿宋" w:eastAsia="仿宋"/>
          <w:b/>
          <w:color w:val="auto"/>
          <w:spacing w:val="6"/>
          <w:sz w:val="32"/>
          <w:szCs w:val="32"/>
          <w:highlight w:val="none"/>
        </w:rPr>
      </w:pPr>
    </w:p>
    <w:p>
      <w:pPr>
        <w:snapToGrid w:val="0"/>
        <w:spacing w:line="360" w:lineRule="auto"/>
        <w:rPr>
          <w:rFonts w:ascii="仿宋" w:hAnsi="仿宋" w:eastAsia="仿宋"/>
          <w:b/>
          <w:color w:val="auto"/>
          <w:spacing w:val="6"/>
          <w:sz w:val="32"/>
          <w:szCs w:val="32"/>
          <w:highlight w:val="none"/>
        </w:rPr>
      </w:pPr>
      <w:r>
        <w:rPr>
          <w:rFonts w:hint="eastAsia" w:ascii="仿宋" w:hAnsi="仿宋" w:eastAsia="仿宋"/>
          <w:b/>
          <w:color w:val="auto"/>
          <w:spacing w:val="6"/>
          <w:sz w:val="32"/>
          <w:szCs w:val="32"/>
          <w:highlight w:val="none"/>
        </w:rPr>
        <w:br w:type="page"/>
      </w:r>
    </w:p>
    <w:p>
      <w:pPr>
        <w:autoSpaceDE w:val="0"/>
        <w:autoSpaceDN w:val="0"/>
        <w:snapToGrid w:val="0"/>
        <w:spacing w:line="360" w:lineRule="auto"/>
        <w:jc w:val="center"/>
        <w:rPr>
          <w:rFonts w:ascii="仿宋" w:hAnsi="仿宋" w:eastAsia="仿宋"/>
          <w:b/>
          <w:bCs/>
          <w:color w:val="auto"/>
          <w:sz w:val="32"/>
          <w:szCs w:val="32"/>
          <w:highlight w:val="none"/>
        </w:rPr>
      </w:pPr>
      <w:r>
        <w:rPr>
          <w:rFonts w:hint="eastAsia" w:ascii="仿宋" w:hAnsi="仿宋" w:eastAsia="仿宋"/>
          <w:b/>
          <w:color w:val="auto"/>
          <w:spacing w:val="6"/>
          <w:sz w:val="32"/>
          <w:szCs w:val="32"/>
          <w:highlight w:val="none"/>
        </w:rPr>
        <w:t>附件</w:t>
      </w:r>
      <w:r>
        <w:rPr>
          <w:rFonts w:ascii="仿宋" w:hAnsi="仿宋" w:eastAsia="仿宋"/>
          <w:b/>
          <w:color w:val="auto"/>
          <w:spacing w:val="6"/>
          <w:sz w:val="32"/>
          <w:szCs w:val="32"/>
          <w:highlight w:val="none"/>
        </w:rPr>
        <w:t>5</w:t>
      </w:r>
      <w:r>
        <w:rPr>
          <w:rFonts w:hint="eastAsia" w:ascii="仿宋" w:hAnsi="仿宋" w:eastAsia="仿宋"/>
          <w:b/>
          <w:color w:val="auto"/>
          <w:spacing w:val="6"/>
          <w:sz w:val="32"/>
          <w:szCs w:val="32"/>
          <w:highlight w:val="none"/>
        </w:rPr>
        <w:t>：</w:t>
      </w:r>
      <w:r>
        <w:rPr>
          <w:rFonts w:hint="eastAsia" w:ascii="仿宋" w:hAnsi="仿宋" w:eastAsia="仿宋"/>
          <w:b/>
          <w:color w:val="auto"/>
          <w:sz w:val="32"/>
          <w:szCs w:val="32"/>
          <w:highlight w:val="none"/>
        </w:rPr>
        <w:t>中小企业声明函</w:t>
      </w:r>
    </w:p>
    <w:p>
      <w:pPr>
        <w:snapToGrid w:val="0"/>
        <w:spacing w:line="360" w:lineRule="auto"/>
        <w:rPr>
          <w:rFonts w:ascii="仿宋" w:hAnsi="仿宋" w:eastAsia="仿宋" w:cs="仿宋_GB2312"/>
          <w:b/>
          <w:color w:val="auto"/>
          <w:sz w:val="32"/>
          <w:szCs w:val="3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中小企业声明函（货物）</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本公司（联合体）郑重声明，根据《政府采购促进中小企业发展管理办法》（财库</w:t>
      </w:r>
      <w:r>
        <w:rPr>
          <w:rFonts w:hint="eastAsia" w:ascii="仿宋" w:hAnsi="仿宋" w:eastAsia="仿宋" w:cs="宋体"/>
          <w:color w:val="auto"/>
          <w:sz w:val="24"/>
          <w:highlight w:val="none"/>
        </w:rPr>
        <w:t>﹝</w:t>
      </w:r>
      <w:r>
        <w:rPr>
          <w:rFonts w:ascii="仿宋" w:hAnsi="仿宋" w:eastAsia="仿宋"/>
          <w:color w:val="auto"/>
          <w:sz w:val="24"/>
          <w:highlight w:val="none"/>
        </w:rPr>
        <w:t>2020</w:t>
      </w:r>
      <w:r>
        <w:rPr>
          <w:rFonts w:hint="eastAsia" w:ascii="仿宋" w:hAnsi="仿宋" w:eastAsia="仿宋" w:cs="宋体"/>
          <w:color w:val="auto"/>
          <w:sz w:val="24"/>
          <w:highlight w:val="none"/>
        </w:rPr>
        <w:t>﹞</w:t>
      </w:r>
      <w:r>
        <w:rPr>
          <w:rFonts w:ascii="仿宋" w:hAnsi="仿宋" w:eastAsia="仿宋"/>
          <w:color w:val="auto"/>
          <w:sz w:val="24"/>
          <w:highlight w:val="none"/>
        </w:rPr>
        <w:t xml:space="preserve">46 </w:t>
      </w:r>
      <w:r>
        <w:rPr>
          <w:rFonts w:hint="eastAsia" w:ascii="仿宋" w:hAnsi="仿宋" w:eastAsia="仿宋"/>
          <w:color w:val="auto"/>
          <w:sz w:val="24"/>
          <w:highlight w:val="none"/>
        </w:rPr>
        <w:t>号）的规定，本公司（联合体）参加</w:t>
      </w:r>
      <w:r>
        <w:rPr>
          <w:rFonts w:ascii="仿宋" w:hAnsi="仿宋" w:eastAsia="仿宋"/>
          <w:color w:val="auto"/>
          <w:sz w:val="24"/>
          <w:highlight w:val="none"/>
        </w:rPr>
        <w:t xml:space="preserve"> </w:t>
      </w:r>
      <w:r>
        <w:rPr>
          <w:rFonts w:hint="eastAsia" w:ascii="仿宋" w:hAnsi="仿宋" w:eastAsia="仿宋"/>
          <w:color w:val="auto"/>
          <w:sz w:val="24"/>
          <w:highlight w:val="none"/>
        </w:rPr>
        <w:t>（单位名称）</w:t>
      </w:r>
      <w:r>
        <w:rPr>
          <w:rFonts w:ascii="仿宋" w:hAnsi="仿宋" w:eastAsia="仿宋"/>
          <w:color w:val="auto"/>
          <w:sz w:val="24"/>
          <w:highlight w:val="none"/>
        </w:rPr>
        <w:t xml:space="preserve"> </w:t>
      </w:r>
      <w:r>
        <w:rPr>
          <w:rFonts w:hint="eastAsia" w:ascii="仿宋" w:hAnsi="仿宋" w:eastAsia="仿宋"/>
          <w:color w:val="auto"/>
          <w:sz w:val="24"/>
          <w:highlight w:val="none"/>
        </w:rPr>
        <w:t>的</w:t>
      </w:r>
      <w:r>
        <w:rPr>
          <w:rFonts w:ascii="仿宋" w:hAnsi="仿宋" w:eastAsia="仿宋"/>
          <w:color w:val="auto"/>
          <w:sz w:val="24"/>
          <w:highlight w:val="none"/>
        </w:rPr>
        <w:t xml:space="preserve"> </w:t>
      </w:r>
      <w:r>
        <w:rPr>
          <w:rFonts w:hint="eastAsia" w:ascii="仿宋" w:hAnsi="仿宋" w:eastAsia="仿宋"/>
          <w:color w:val="auto"/>
          <w:sz w:val="24"/>
          <w:highlight w:val="none"/>
        </w:rPr>
        <w:t>（项目名称）</w:t>
      </w:r>
      <w:r>
        <w:rPr>
          <w:rFonts w:ascii="仿宋" w:hAnsi="仿宋" w:eastAsia="仿宋"/>
          <w:color w:val="auto"/>
          <w:sz w:val="24"/>
          <w:highlight w:val="none"/>
        </w:rPr>
        <w:t xml:space="preserve"> </w:t>
      </w:r>
      <w:r>
        <w:rPr>
          <w:rFonts w:hint="eastAsia" w:ascii="仿宋" w:hAnsi="仿宋" w:eastAsia="仿宋"/>
          <w:color w:val="auto"/>
          <w:sz w:val="24"/>
          <w:highlight w:val="none"/>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ascii="仿宋" w:hAnsi="仿宋" w:eastAsia="仿宋"/>
          <w:color w:val="auto"/>
          <w:highlight w:val="none"/>
        </w:rPr>
        <w:t xml:space="preserve"> </w:t>
      </w:r>
      <w:r>
        <w:rPr>
          <w:rFonts w:hint="eastAsia" w:ascii="仿宋" w:hAnsi="仿宋" w:eastAsia="仿宋"/>
          <w:color w:val="auto"/>
          <w:sz w:val="24"/>
          <w:highlight w:val="none"/>
          <w:u w:val="single"/>
        </w:rPr>
        <w:t>（标的名称）</w:t>
      </w:r>
      <w:r>
        <w:rPr>
          <w:rFonts w:ascii="仿宋" w:hAnsi="仿宋" w:eastAsia="仿宋"/>
          <w:color w:val="auto"/>
          <w:sz w:val="24"/>
          <w:highlight w:val="none"/>
        </w:rPr>
        <w:t xml:space="preserve"> ，属于</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制造业 </w:t>
      </w:r>
      <w:r>
        <w:rPr>
          <w:rFonts w:hint="eastAsia" w:ascii="仿宋" w:hAnsi="仿宋" w:eastAsia="仿宋"/>
          <w:color w:val="auto"/>
          <w:sz w:val="24"/>
          <w:highlight w:val="none"/>
        </w:rPr>
        <w:t>行业</w:t>
      </w:r>
      <w:r>
        <w:rPr>
          <w:rFonts w:ascii="仿宋" w:hAnsi="仿宋" w:eastAsia="仿宋"/>
          <w:color w:val="auto"/>
          <w:sz w:val="24"/>
          <w:highlight w:val="none"/>
        </w:rPr>
        <w:t xml:space="preserve"> </w:t>
      </w:r>
      <w:r>
        <w:rPr>
          <w:rFonts w:hint="eastAsia" w:ascii="仿宋" w:hAnsi="仿宋" w:eastAsia="仿宋"/>
          <w:color w:val="auto"/>
          <w:sz w:val="24"/>
          <w:highlight w:val="none"/>
        </w:rPr>
        <w:t>；制造商为</w:t>
      </w:r>
      <w:r>
        <w:rPr>
          <w:rFonts w:ascii="仿宋" w:hAnsi="仿宋" w:eastAsia="仿宋"/>
          <w:color w:val="auto"/>
          <w:sz w:val="24"/>
          <w:highlight w:val="none"/>
          <w:u w:val="single"/>
        </w:rPr>
        <w:t xml:space="preserve"> （企业名称）</w:t>
      </w:r>
      <w:r>
        <w:rPr>
          <w:rFonts w:ascii="仿宋" w:hAnsi="仿宋" w:eastAsia="仿宋"/>
          <w:color w:val="auto"/>
          <w:sz w:val="24"/>
          <w:highlight w:val="none"/>
        </w:rPr>
        <w:t xml:space="preserve"> ，从业人员</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人，营业收入为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万元，资产总额为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万元，属于</w:t>
      </w:r>
      <w:r>
        <w:rPr>
          <w:rFonts w:ascii="仿宋" w:hAnsi="仿宋" w:eastAsia="仿宋"/>
          <w:color w:val="auto"/>
          <w:sz w:val="24"/>
          <w:highlight w:val="none"/>
          <w:u w:val="single"/>
        </w:rPr>
        <w:t xml:space="preserve"> （中型企业、小型企业、微型企业）</w:t>
      </w:r>
      <w:r>
        <w:rPr>
          <w:rFonts w:ascii="仿宋" w:hAnsi="仿宋" w:eastAsia="仿宋"/>
          <w:color w:val="auto"/>
          <w:sz w:val="24"/>
          <w:highlight w:val="none"/>
        </w:rPr>
        <w:t xml:space="preserve"> ；</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ascii="仿宋" w:hAnsi="仿宋" w:eastAsia="仿宋"/>
          <w:color w:val="auto"/>
          <w:highlight w:val="none"/>
        </w:rPr>
        <w:t xml:space="preserve"> </w:t>
      </w:r>
      <w:r>
        <w:rPr>
          <w:rFonts w:hint="eastAsia" w:ascii="仿宋" w:hAnsi="仿宋" w:eastAsia="仿宋"/>
          <w:color w:val="auto"/>
          <w:sz w:val="24"/>
          <w:highlight w:val="none"/>
          <w:u w:val="single"/>
        </w:rPr>
        <w:t>（标的名称）</w:t>
      </w:r>
      <w:r>
        <w:rPr>
          <w:rFonts w:ascii="仿宋" w:hAnsi="仿宋" w:eastAsia="仿宋"/>
          <w:color w:val="auto"/>
          <w:sz w:val="24"/>
          <w:highlight w:val="none"/>
        </w:rPr>
        <w:t xml:space="preserve"> ，属于 </w:t>
      </w:r>
      <w:r>
        <w:rPr>
          <w:rFonts w:hint="eastAsia" w:ascii="仿宋" w:hAnsi="仿宋" w:eastAsia="仿宋"/>
          <w:color w:val="auto"/>
          <w:sz w:val="24"/>
          <w:highlight w:val="none"/>
          <w:u w:val="single"/>
        </w:rPr>
        <w:t>（制造业）</w:t>
      </w:r>
      <w:r>
        <w:rPr>
          <w:rFonts w:hint="eastAsia" w:ascii="仿宋" w:hAnsi="仿宋" w:eastAsia="仿宋"/>
          <w:color w:val="auto"/>
          <w:sz w:val="24"/>
          <w:highlight w:val="none"/>
        </w:rPr>
        <w:t>行业</w:t>
      </w:r>
      <w:r>
        <w:rPr>
          <w:rFonts w:ascii="仿宋" w:hAnsi="仿宋" w:eastAsia="仿宋"/>
          <w:color w:val="auto"/>
          <w:sz w:val="24"/>
          <w:highlight w:val="none"/>
        </w:rPr>
        <w:t xml:space="preserve"> </w:t>
      </w:r>
      <w:r>
        <w:rPr>
          <w:rFonts w:hint="eastAsia" w:ascii="仿宋" w:hAnsi="仿宋" w:eastAsia="仿宋"/>
          <w:color w:val="auto"/>
          <w:sz w:val="24"/>
          <w:highlight w:val="none"/>
        </w:rPr>
        <w:t>；制造商为</w:t>
      </w:r>
      <w:r>
        <w:rPr>
          <w:rFonts w:ascii="仿宋" w:hAnsi="仿宋" w:eastAsia="仿宋"/>
          <w:color w:val="auto"/>
          <w:sz w:val="24"/>
          <w:highlight w:val="none"/>
          <w:u w:val="single"/>
        </w:rPr>
        <w:t xml:space="preserve"> （企业名称）</w:t>
      </w:r>
      <w:r>
        <w:rPr>
          <w:rFonts w:ascii="仿宋" w:hAnsi="仿宋" w:eastAsia="仿宋"/>
          <w:color w:val="auto"/>
          <w:sz w:val="24"/>
          <w:highlight w:val="none"/>
        </w:rPr>
        <w:t xml:space="preserve"> ，从业人员</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人，营业收入为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万元，资产总额为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万元，属于</w:t>
      </w:r>
      <w:r>
        <w:rPr>
          <w:rFonts w:ascii="仿宋" w:hAnsi="仿宋" w:eastAsia="仿宋"/>
          <w:color w:val="auto"/>
          <w:sz w:val="24"/>
          <w:highlight w:val="none"/>
          <w:u w:val="single"/>
        </w:rPr>
        <w:t xml:space="preserve"> （中型企业、小型企业、微型企业）</w:t>
      </w:r>
      <w:r>
        <w:rPr>
          <w:rFonts w:ascii="仿宋" w:hAnsi="仿宋" w:eastAsia="仿宋"/>
          <w:color w:val="auto"/>
          <w:sz w:val="24"/>
          <w:highlight w:val="none"/>
        </w:rPr>
        <w:t xml:space="preserve"> ；</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本企业对上述声明内容的真实性负责。如有虚假，将依法承担相应责任。</w:t>
      </w:r>
    </w:p>
    <w:p>
      <w:pPr>
        <w:snapToGrid w:val="0"/>
        <w:spacing w:line="360" w:lineRule="auto"/>
        <w:ind w:firstLine="5160" w:firstLineChars="215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zh-CN"/>
        </w:rPr>
        <w:t>投标人名称</w:t>
      </w:r>
      <w:r>
        <w:rPr>
          <w:rFonts w:ascii="仿宋" w:hAnsi="仿宋" w:eastAsia="仿宋" w:cs="仿宋_GB2312"/>
          <w:color w:val="auto"/>
          <w:kern w:val="0"/>
          <w:sz w:val="24"/>
          <w:highlight w:val="none"/>
          <w:lang w:val="zh-CN"/>
        </w:rPr>
        <w:t>(电子签名)：</w:t>
      </w:r>
    </w:p>
    <w:p>
      <w:pPr>
        <w:snapToGrid w:val="0"/>
        <w:spacing w:line="360" w:lineRule="auto"/>
        <w:rPr>
          <w:rFonts w:ascii="仿宋" w:hAnsi="仿宋" w:eastAsia="仿宋" w:cs="仿宋_GB2312"/>
          <w:color w:val="auto"/>
          <w:kern w:val="0"/>
          <w:sz w:val="24"/>
          <w:highlight w:val="none"/>
          <w:lang w:val="zh-CN"/>
        </w:rPr>
      </w:pPr>
      <w:r>
        <w:rPr>
          <w:rFonts w:ascii="仿宋" w:hAnsi="仿宋" w:eastAsia="仿宋" w:cs="仿宋_GB2312"/>
          <w:color w:val="auto"/>
          <w:kern w:val="0"/>
          <w:sz w:val="24"/>
          <w:highlight w:val="none"/>
          <w:lang w:val="zh-CN"/>
        </w:rPr>
        <w:t xml:space="preserve">                                           日期</w:t>
      </w:r>
      <w:r>
        <w:rPr>
          <w:rFonts w:hint="eastAsia" w:ascii="仿宋" w:hAnsi="仿宋" w:eastAsia="仿宋" w:cs="仿宋_GB2312"/>
          <w:color w:val="auto"/>
          <w:kern w:val="0"/>
          <w:sz w:val="24"/>
          <w:highlight w:val="none"/>
        </w:rPr>
        <w:t>：</w:t>
      </w:r>
      <w:r>
        <w:rPr>
          <w:rFonts w:ascii="仿宋" w:hAnsi="仿宋" w:eastAsia="仿宋" w:cs="仿宋_GB2312"/>
          <w:color w:val="auto"/>
          <w:kern w:val="0"/>
          <w:sz w:val="24"/>
          <w:highlight w:val="none"/>
        </w:rPr>
        <w:t xml:space="preserve">  年  </w:t>
      </w:r>
      <w:r>
        <w:rPr>
          <w:rFonts w:hint="eastAsia" w:ascii="仿宋" w:hAnsi="仿宋" w:eastAsia="仿宋" w:cs="仿宋_GB2312"/>
          <w:color w:val="auto"/>
          <w:kern w:val="0"/>
          <w:sz w:val="24"/>
          <w:highlight w:val="none"/>
          <w:lang w:val="zh-CN"/>
        </w:rPr>
        <w:t>月</w:t>
      </w:r>
      <w:r>
        <w:rPr>
          <w:rFonts w:ascii="仿宋" w:hAnsi="仿宋" w:eastAsia="仿宋" w:cs="仿宋_GB2312"/>
          <w:color w:val="auto"/>
          <w:kern w:val="0"/>
          <w:sz w:val="24"/>
          <w:highlight w:val="none"/>
        </w:rPr>
        <w:t xml:space="preserve">   </w:t>
      </w:r>
      <w:r>
        <w:rPr>
          <w:rFonts w:hint="eastAsia" w:ascii="仿宋" w:hAnsi="仿宋" w:eastAsia="仿宋" w:cs="仿宋_GB2312"/>
          <w:color w:val="auto"/>
          <w:kern w:val="0"/>
          <w:sz w:val="24"/>
          <w:highlight w:val="none"/>
          <w:lang w:val="zh-CN"/>
        </w:rPr>
        <w:t>日</w:t>
      </w:r>
    </w:p>
    <w:p>
      <w:pPr>
        <w:spacing w:line="360" w:lineRule="auto"/>
        <w:jc w:val="left"/>
        <w:rPr>
          <w:rFonts w:ascii="仿宋" w:hAnsi="仿宋" w:eastAsia="仿宋"/>
          <w:color w:val="auto"/>
          <w:sz w:val="18"/>
          <w:szCs w:val="18"/>
          <w:highlight w:val="none"/>
        </w:rPr>
      </w:pPr>
      <w:r>
        <w:rPr>
          <w:rFonts w:hint="eastAsia" w:ascii="仿宋" w:hAnsi="仿宋" w:eastAsia="仿宋"/>
          <w:color w:val="auto"/>
          <w:sz w:val="18"/>
          <w:szCs w:val="18"/>
          <w:highlight w:val="none"/>
        </w:rPr>
        <w:t>从业人员、营业收入、资产总额填报上一年度数据，无上一年度数据的新成立企业可不填报。</w:t>
      </w:r>
    </w:p>
    <w:p>
      <w:pPr>
        <w:snapToGrid w:val="0"/>
        <w:spacing w:line="360" w:lineRule="auto"/>
        <w:rPr>
          <w:rFonts w:ascii="仿宋" w:hAnsi="仿宋" w:eastAsia="仿宋"/>
          <w:bCs/>
          <w:color w:val="auto"/>
          <w:sz w:val="24"/>
          <w:highlight w:val="none"/>
        </w:rPr>
      </w:pPr>
      <w:r>
        <w:rPr>
          <w:rFonts w:hint="eastAsia" w:ascii="仿宋" w:hAnsi="仿宋" w:eastAsia="仿宋" w:cs="仿宋_GB2312"/>
          <w:color w:val="auto"/>
          <w:sz w:val="24"/>
          <w:highlight w:val="none"/>
        </w:rPr>
        <w:t>注：符合《关于促进残疾人就业政府采购政策的通知》（财库〔</w:t>
      </w:r>
      <w:r>
        <w:rPr>
          <w:rFonts w:ascii="仿宋" w:hAnsi="仿宋" w:eastAsia="仿宋" w:cs="仿宋_GB2312"/>
          <w:color w:val="auto"/>
          <w:sz w:val="24"/>
          <w:highlight w:val="none"/>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line="360" w:lineRule="auto"/>
        <w:jc w:val="center"/>
        <w:rPr>
          <w:rFonts w:ascii="仿宋" w:hAnsi="仿宋" w:eastAsia="仿宋" w:cs="仿宋_GB2312"/>
          <w:b/>
          <w:color w:val="auto"/>
          <w:sz w:val="32"/>
          <w:szCs w:val="32"/>
          <w:highlight w:val="none"/>
        </w:rPr>
      </w:pPr>
    </w:p>
    <w:p>
      <w:pPr>
        <w:pStyle w:val="4"/>
        <w:rPr>
          <w:rFonts w:ascii="仿宋" w:eastAsia="仿宋" w:cs="仿宋_GB2312"/>
          <w:color w:val="auto"/>
          <w:highlight w:val="none"/>
        </w:rPr>
      </w:pPr>
    </w:p>
    <w:p>
      <w:pPr>
        <w:rPr>
          <w:rFonts w:ascii="仿宋" w:eastAsia="仿宋" w:cs="仿宋_GB2312"/>
          <w:color w:val="auto"/>
          <w:highlight w:val="none"/>
        </w:rPr>
      </w:pPr>
    </w:p>
    <w:p>
      <w:pPr>
        <w:pStyle w:val="3"/>
        <w:jc w:val="center"/>
        <w:rPr>
          <w:rFonts w:ascii="仿宋" w:hAnsi="仿宋" w:eastAsia="仿宋"/>
          <w:color w:val="auto"/>
          <w:sz w:val="32"/>
          <w:szCs w:val="32"/>
          <w:highlight w:val="none"/>
        </w:rPr>
      </w:pPr>
      <w:r>
        <w:rPr>
          <w:rFonts w:hint="eastAsia" w:ascii="仿宋" w:hAnsi="仿宋" w:eastAsia="仿宋" w:cs="仿宋_GB2312"/>
          <w:color w:val="auto"/>
          <w:sz w:val="32"/>
          <w:szCs w:val="32"/>
          <w:highlight w:val="none"/>
        </w:rPr>
        <w:t>附件6大型企业声明函</w:t>
      </w:r>
      <w:r>
        <w:rPr>
          <w:rFonts w:hint="eastAsia" w:ascii="仿宋" w:hAnsi="仿宋" w:eastAsia="仿宋"/>
          <w:color w:val="auto"/>
          <w:sz w:val="32"/>
          <w:szCs w:val="32"/>
          <w:highlight w:val="none"/>
        </w:rPr>
        <w:t>（货物）</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本公司（联合体）郑重声明，本公司（联合体）参加</w:t>
      </w:r>
      <w:r>
        <w:rPr>
          <w:rFonts w:ascii="仿宋" w:hAnsi="仿宋" w:eastAsia="仿宋"/>
          <w:color w:val="auto"/>
          <w:sz w:val="24"/>
          <w:highlight w:val="none"/>
        </w:rPr>
        <w:t xml:space="preserve"> </w:t>
      </w:r>
      <w:r>
        <w:rPr>
          <w:rFonts w:hint="eastAsia" w:ascii="仿宋" w:hAnsi="仿宋" w:eastAsia="仿宋"/>
          <w:color w:val="auto"/>
          <w:sz w:val="24"/>
          <w:highlight w:val="none"/>
        </w:rPr>
        <w:t>（单位名称）</w:t>
      </w:r>
      <w:r>
        <w:rPr>
          <w:rFonts w:ascii="仿宋" w:hAnsi="仿宋" w:eastAsia="仿宋"/>
          <w:color w:val="auto"/>
          <w:sz w:val="24"/>
          <w:highlight w:val="none"/>
        </w:rPr>
        <w:t xml:space="preserve"> </w:t>
      </w:r>
      <w:r>
        <w:rPr>
          <w:rFonts w:hint="eastAsia" w:ascii="仿宋" w:hAnsi="仿宋" w:eastAsia="仿宋"/>
          <w:color w:val="auto"/>
          <w:sz w:val="24"/>
          <w:highlight w:val="none"/>
        </w:rPr>
        <w:t>的</w:t>
      </w:r>
      <w:r>
        <w:rPr>
          <w:rFonts w:ascii="仿宋" w:hAnsi="仿宋" w:eastAsia="仿宋"/>
          <w:color w:val="auto"/>
          <w:sz w:val="24"/>
          <w:highlight w:val="none"/>
        </w:rPr>
        <w:t xml:space="preserve">  </w:t>
      </w:r>
      <w:r>
        <w:rPr>
          <w:rFonts w:hint="eastAsia" w:ascii="仿宋" w:hAnsi="仿宋" w:eastAsia="仿宋"/>
          <w:color w:val="auto"/>
          <w:sz w:val="24"/>
          <w:highlight w:val="none"/>
        </w:rPr>
        <w:t>（项目名称）</w:t>
      </w:r>
      <w:r>
        <w:rPr>
          <w:rFonts w:ascii="仿宋" w:hAnsi="仿宋" w:eastAsia="仿宋"/>
          <w:color w:val="auto"/>
          <w:sz w:val="24"/>
          <w:highlight w:val="none"/>
        </w:rPr>
        <w:t xml:space="preserve"> </w:t>
      </w:r>
      <w:r>
        <w:rPr>
          <w:rFonts w:hint="eastAsia" w:ascii="仿宋" w:hAnsi="仿宋" w:eastAsia="仿宋"/>
          <w:color w:val="auto"/>
          <w:sz w:val="24"/>
          <w:highlight w:val="none"/>
        </w:rPr>
        <w:t>采购活动，提供的货物全部由符合政策要求的大型企业制造。相关企业（含联合体中的大企业、签订分包意向协议的大企业）的具体情况如下：</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ascii="仿宋" w:hAnsi="仿宋" w:eastAsia="仿宋"/>
          <w:color w:val="auto"/>
          <w:highlight w:val="none"/>
        </w:rPr>
        <w:t xml:space="preserve"> </w:t>
      </w:r>
      <w:r>
        <w:rPr>
          <w:rFonts w:hint="eastAsia" w:ascii="仿宋" w:hAnsi="仿宋" w:eastAsia="仿宋"/>
          <w:color w:val="auto"/>
          <w:sz w:val="24"/>
          <w:highlight w:val="none"/>
          <w:u w:val="single"/>
        </w:rPr>
        <w:t>（标的名称）</w:t>
      </w:r>
      <w:r>
        <w:rPr>
          <w:rFonts w:ascii="仿宋" w:hAnsi="仿宋" w:eastAsia="仿宋"/>
          <w:color w:val="auto"/>
          <w:sz w:val="24"/>
          <w:highlight w:val="none"/>
        </w:rPr>
        <w:t xml:space="preserve"> ，属于</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 xml:space="preserve"> 制造业 </w:t>
      </w:r>
      <w:r>
        <w:rPr>
          <w:rFonts w:hint="eastAsia" w:ascii="仿宋" w:hAnsi="仿宋" w:eastAsia="仿宋"/>
          <w:color w:val="auto"/>
          <w:sz w:val="24"/>
          <w:highlight w:val="none"/>
        </w:rPr>
        <w:t>行业</w:t>
      </w:r>
      <w:r>
        <w:rPr>
          <w:rFonts w:ascii="仿宋" w:hAnsi="仿宋" w:eastAsia="仿宋"/>
          <w:color w:val="auto"/>
          <w:sz w:val="24"/>
          <w:highlight w:val="none"/>
        </w:rPr>
        <w:t xml:space="preserve"> </w:t>
      </w:r>
      <w:r>
        <w:rPr>
          <w:rFonts w:hint="eastAsia" w:ascii="仿宋" w:hAnsi="仿宋" w:eastAsia="仿宋"/>
          <w:color w:val="auto"/>
          <w:sz w:val="24"/>
          <w:highlight w:val="none"/>
        </w:rPr>
        <w:t>；制造商为</w:t>
      </w:r>
      <w:r>
        <w:rPr>
          <w:rFonts w:ascii="仿宋" w:hAnsi="仿宋" w:eastAsia="仿宋"/>
          <w:color w:val="auto"/>
          <w:sz w:val="24"/>
          <w:highlight w:val="none"/>
          <w:u w:val="single"/>
        </w:rPr>
        <w:t xml:space="preserve"> （企业名称）</w:t>
      </w:r>
      <w:r>
        <w:rPr>
          <w:rFonts w:ascii="仿宋" w:hAnsi="仿宋" w:eastAsia="仿宋"/>
          <w:color w:val="auto"/>
          <w:sz w:val="24"/>
          <w:highlight w:val="none"/>
        </w:rPr>
        <w:t xml:space="preserve"> ，从业人员</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人，营业收入为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万元，资产总额为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万元，属于</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大型企</w:t>
      </w:r>
      <w:r>
        <w:rPr>
          <w:rFonts w:ascii="仿宋" w:hAnsi="仿宋" w:eastAsia="仿宋"/>
          <w:color w:val="auto"/>
          <w:sz w:val="24"/>
          <w:highlight w:val="none"/>
          <w:u w:val="single"/>
        </w:rPr>
        <w:t>业）</w:t>
      </w:r>
      <w:r>
        <w:rPr>
          <w:rFonts w:ascii="仿宋" w:hAnsi="仿宋" w:eastAsia="仿宋"/>
          <w:color w:val="auto"/>
          <w:sz w:val="24"/>
          <w:highlight w:val="none"/>
        </w:rPr>
        <w:t xml:space="preserve"> ；</w:t>
      </w:r>
    </w:p>
    <w:p>
      <w:pPr>
        <w:spacing w:line="360" w:lineRule="auto"/>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ascii="仿宋" w:hAnsi="仿宋" w:eastAsia="仿宋"/>
          <w:color w:val="auto"/>
          <w:highlight w:val="none"/>
        </w:rPr>
        <w:t xml:space="preserve"> </w:t>
      </w:r>
      <w:r>
        <w:rPr>
          <w:rFonts w:hint="eastAsia" w:ascii="仿宋" w:hAnsi="仿宋" w:eastAsia="仿宋"/>
          <w:color w:val="auto"/>
          <w:sz w:val="24"/>
          <w:highlight w:val="none"/>
          <w:u w:val="single"/>
        </w:rPr>
        <w:t>（标的名称）</w:t>
      </w:r>
      <w:r>
        <w:rPr>
          <w:rFonts w:ascii="仿宋" w:hAnsi="仿宋" w:eastAsia="仿宋"/>
          <w:color w:val="auto"/>
          <w:sz w:val="24"/>
          <w:highlight w:val="none"/>
        </w:rPr>
        <w:t xml:space="preserve"> ，属于 </w:t>
      </w:r>
      <w:r>
        <w:rPr>
          <w:rFonts w:hint="eastAsia" w:ascii="仿宋" w:hAnsi="仿宋" w:eastAsia="仿宋"/>
          <w:color w:val="auto"/>
          <w:sz w:val="24"/>
          <w:highlight w:val="none"/>
          <w:u w:val="single"/>
        </w:rPr>
        <w:t>（制造业）</w:t>
      </w:r>
      <w:r>
        <w:rPr>
          <w:rFonts w:hint="eastAsia" w:ascii="仿宋" w:hAnsi="仿宋" w:eastAsia="仿宋"/>
          <w:color w:val="auto"/>
          <w:sz w:val="24"/>
          <w:highlight w:val="none"/>
        </w:rPr>
        <w:t>行业</w:t>
      </w:r>
      <w:r>
        <w:rPr>
          <w:rFonts w:ascii="仿宋" w:hAnsi="仿宋" w:eastAsia="仿宋"/>
          <w:color w:val="auto"/>
          <w:sz w:val="24"/>
          <w:highlight w:val="none"/>
        </w:rPr>
        <w:t xml:space="preserve"> </w:t>
      </w:r>
      <w:r>
        <w:rPr>
          <w:rFonts w:hint="eastAsia" w:ascii="仿宋" w:hAnsi="仿宋" w:eastAsia="仿宋"/>
          <w:color w:val="auto"/>
          <w:sz w:val="24"/>
          <w:highlight w:val="none"/>
        </w:rPr>
        <w:t>；制造商为</w:t>
      </w:r>
      <w:r>
        <w:rPr>
          <w:rFonts w:ascii="仿宋" w:hAnsi="仿宋" w:eastAsia="仿宋"/>
          <w:color w:val="auto"/>
          <w:sz w:val="24"/>
          <w:highlight w:val="none"/>
          <w:u w:val="single"/>
        </w:rPr>
        <w:t xml:space="preserve"> （企业名称）</w:t>
      </w:r>
      <w:r>
        <w:rPr>
          <w:rFonts w:ascii="仿宋" w:hAnsi="仿宋" w:eastAsia="仿宋"/>
          <w:color w:val="auto"/>
          <w:sz w:val="24"/>
          <w:highlight w:val="none"/>
        </w:rPr>
        <w:t xml:space="preserve"> ，从业人员</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人，营业收入为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万元，资产总额为</w:t>
      </w:r>
      <w:r>
        <w:rPr>
          <w:rFonts w:ascii="仿宋" w:hAnsi="仿宋" w:eastAsia="仿宋"/>
          <w:color w:val="auto"/>
          <w:sz w:val="24"/>
          <w:highlight w:val="none"/>
          <w:u w:val="single"/>
        </w:rPr>
        <w:t xml:space="preserve">   </w:t>
      </w:r>
      <w:r>
        <w:rPr>
          <w:rFonts w:hint="eastAsia" w:ascii="仿宋" w:hAnsi="仿宋" w:eastAsia="仿宋"/>
          <w:color w:val="auto"/>
          <w:sz w:val="24"/>
          <w:highlight w:val="none"/>
        </w:rPr>
        <w:t>万元，属于</w:t>
      </w:r>
      <w:r>
        <w:rPr>
          <w:rFonts w:ascii="仿宋" w:hAnsi="仿宋" w:eastAsia="仿宋"/>
          <w:color w:val="auto"/>
          <w:sz w:val="24"/>
          <w:highlight w:val="none"/>
          <w:u w:val="single"/>
        </w:rPr>
        <w:t xml:space="preserve"> （</w:t>
      </w:r>
      <w:r>
        <w:rPr>
          <w:rFonts w:hint="eastAsia" w:ascii="仿宋" w:hAnsi="仿宋" w:eastAsia="仿宋"/>
          <w:color w:val="auto"/>
          <w:sz w:val="24"/>
          <w:highlight w:val="none"/>
          <w:u w:val="single"/>
        </w:rPr>
        <w:t>大型企</w:t>
      </w:r>
      <w:r>
        <w:rPr>
          <w:rFonts w:ascii="仿宋" w:hAnsi="仿宋" w:eastAsia="仿宋"/>
          <w:color w:val="auto"/>
          <w:sz w:val="24"/>
          <w:highlight w:val="none"/>
          <w:u w:val="single"/>
        </w:rPr>
        <w:t>业）</w:t>
      </w:r>
      <w:r>
        <w:rPr>
          <w:rFonts w:ascii="仿宋" w:hAnsi="仿宋" w:eastAsia="仿宋"/>
          <w:color w:val="auto"/>
          <w:sz w:val="24"/>
          <w:highlight w:val="none"/>
        </w:rPr>
        <w:t>；</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p>
    <w:p>
      <w:pPr>
        <w:snapToGrid w:val="0"/>
        <w:spacing w:line="360" w:lineRule="auto"/>
        <w:ind w:firstLine="480" w:firstLineChars="200"/>
        <w:jc w:val="left"/>
        <w:rPr>
          <w:rFonts w:ascii="仿宋" w:hAnsi="仿宋" w:eastAsia="仿宋"/>
          <w:color w:val="auto"/>
          <w:sz w:val="24"/>
          <w:highlight w:val="none"/>
        </w:rPr>
      </w:pPr>
    </w:p>
    <w:p>
      <w:pPr>
        <w:snapToGrid w:val="0"/>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本企业对上述声明内容的真实性负责。如有虚假，将依法承担相应责任。</w:t>
      </w:r>
    </w:p>
    <w:p>
      <w:pPr>
        <w:snapToGrid w:val="0"/>
        <w:spacing w:line="360" w:lineRule="auto"/>
        <w:jc w:val="right"/>
        <w:rPr>
          <w:rFonts w:ascii="仿宋" w:hAnsi="仿宋" w:eastAsia="仿宋" w:cs="仿宋_GB2312"/>
          <w:color w:val="auto"/>
          <w:sz w:val="24"/>
          <w:highlight w:val="none"/>
        </w:rPr>
      </w:pPr>
    </w:p>
    <w:p>
      <w:pPr>
        <w:snapToGrid w:val="0"/>
        <w:spacing w:line="360" w:lineRule="auto"/>
        <w:jc w:val="right"/>
        <w:rPr>
          <w:rFonts w:ascii="仿宋" w:hAnsi="仿宋" w:eastAsia="仿宋"/>
          <w:color w:val="auto"/>
          <w:sz w:val="24"/>
          <w:highlight w:val="none"/>
        </w:rPr>
      </w:pPr>
      <w:r>
        <w:rPr>
          <w:rFonts w:hint="eastAsia" w:ascii="仿宋" w:hAnsi="仿宋" w:eastAsia="仿宋" w:cs="仿宋_GB2312"/>
          <w:color w:val="auto"/>
          <w:sz w:val="24"/>
          <w:highlight w:val="none"/>
        </w:rPr>
        <w:t xml:space="preserve"> 投标人名称(电子签名)</w:t>
      </w:r>
      <w:r>
        <w:rPr>
          <w:rFonts w:hint="eastAsia" w:ascii="仿宋" w:hAnsi="仿宋" w:eastAsia="仿宋"/>
          <w:color w:val="auto"/>
          <w:sz w:val="24"/>
          <w:highlight w:val="none"/>
        </w:rPr>
        <w:t>：</w:t>
      </w:r>
    </w:p>
    <w:p>
      <w:pPr>
        <w:snapToGrid w:val="0"/>
        <w:spacing w:line="360" w:lineRule="auto"/>
        <w:ind w:firstLine="6600" w:firstLineChars="2750"/>
        <w:rPr>
          <w:rFonts w:ascii="仿宋" w:hAnsi="仿宋" w:eastAsia="仿宋"/>
          <w:color w:val="auto"/>
          <w:sz w:val="24"/>
          <w:highlight w:val="none"/>
        </w:rPr>
      </w:pPr>
      <w:r>
        <w:rPr>
          <w:rFonts w:hint="eastAsia" w:ascii="仿宋" w:hAnsi="仿宋" w:eastAsia="仿宋"/>
          <w:color w:val="auto"/>
          <w:sz w:val="24"/>
          <w:highlight w:val="none"/>
        </w:rPr>
        <w:t>日</w:t>
      </w:r>
      <w:r>
        <w:rPr>
          <w:rFonts w:ascii="仿宋" w:hAnsi="仿宋" w:eastAsia="仿宋"/>
          <w:color w:val="auto"/>
          <w:sz w:val="24"/>
          <w:highlight w:val="none"/>
        </w:rPr>
        <w:t xml:space="preserve"> </w:t>
      </w:r>
      <w:r>
        <w:rPr>
          <w:rFonts w:hint="eastAsia" w:ascii="仿宋" w:hAnsi="仿宋" w:eastAsia="仿宋"/>
          <w:color w:val="auto"/>
          <w:sz w:val="24"/>
          <w:highlight w:val="none"/>
        </w:rPr>
        <w:t>期：</w:t>
      </w:r>
    </w:p>
    <w:p>
      <w:pPr>
        <w:rPr>
          <w:color w:val="auto"/>
          <w:highlight w:val="none"/>
        </w:rPr>
      </w:pPr>
    </w:p>
    <w:p>
      <w:pPr>
        <w:rPr>
          <w:rFonts w:ascii="仿宋" w:hAnsi="仿宋" w:eastAsia="仿宋" w:cs="仿宋_GB2312"/>
          <w:b/>
          <w:color w:val="auto"/>
          <w:sz w:val="32"/>
          <w:szCs w:val="32"/>
          <w:highlight w:val="none"/>
        </w:rPr>
      </w:pPr>
    </w:p>
    <w:p>
      <w:pPr>
        <w:tabs>
          <w:tab w:val="left" w:pos="432"/>
        </w:tabs>
        <w:snapToGrid w:val="0"/>
        <w:spacing w:line="360" w:lineRule="auto"/>
        <w:rPr>
          <w:rFonts w:ascii="仿宋" w:hAnsi="仿宋" w:eastAsia="仿宋"/>
          <w:color w:val="auto"/>
          <w:highlight w:val="none"/>
        </w:rPr>
      </w:pPr>
    </w:p>
    <w:sectPr>
      <w:headerReference r:id="rId5" w:type="first"/>
      <w:footerReference r:id="rId8" w:type="first"/>
      <w:headerReference r:id="rId4" w:type="default"/>
      <w:footerReference r:id="rId6" w:type="default"/>
      <w:footerReference r:id="rId7" w:type="even"/>
      <w:pgSz w:w="11906" w:h="16838"/>
      <w:pgMar w:top="1247" w:right="1418" w:bottom="1276"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w:altName w:val="微软雅黑"/>
    <w:panose1 w:val="00000000000000000000"/>
    <w:charset w:val="00"/>
    <w:family w:val="auto"/>
    <w:pitch w:val="default"/>
    <w:sig w:usb0="00000000" w:usb1="00000000" w:usb2="00000000" w:usb3="00000000" w:csb0="00040001" w:csb1="00000000"/>
  </w:font>
  <w:font w:name="Futura Bk">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 w:name="Lucida Sans">
    <w:panose1 w:val="020B0602030504020204"/>
    <w:charset w:val="00"/>
    <w:family w:val="auto"/>
    <w:pitch w:val="default"/>
    <w:sig w:usb0="00000003" w:usb1="00000000" w:usb2="00000000" w:usb3="00000000" w:csb0="20000001" w:csb1="00000000"/>
  </w:font>
  <w:font w:name="Verdana">
    <w:panose1 w:val="020B0604030504040204"/>
    <w:charset w:val="00"/>
    <w:family w:val="auto"/>
    <w:pitch w:val="default"/>
    <w:sig w:usb0="A00006FF" w:usb1="4000205B" w:usb2="00000010" w:usb3="00000000" w:csb0="2000019F" w:csb1="00000000"/>
  </w:font>
  <w:font w:name="幼圆">
    <w:panose1 w:val="02010509060101010101"/>
    <w:charset w:val="86"/>
    <w:family w:val="auto"/>
    <w:pitch w:val="default"/>
    <w:sig w:usb0="00000001" w:usb1="080E0000" w:usb2="00000000" w:usb3="00000000" w:csb0="00040000" w:csb1="00000000"/>
  </w:font>
  <w:font w:name="Arial Narrow">
    <w:panose1 w:val="020B0606020202030204"/>
    <w:charset w:val="00"/>
    <w:family w:val="auto"/>
    <w:pitch w:val="default"/>
    <w:sig w:usb0="00000287" w:usb1="00000800" w:usb2="00000000" w:usb3="00000000" w:csb0="2000009F" w:csb1="DFD70000"/>
  </w:font>
  <w:font w:name="FHLHE E+ Futura Bk">
    <w:altName w:val="微软雅黑"/>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003F01FF" w:csb1="0000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09F" w:csb1="00000000"/>
  </w:font>
  <w:font w:name="Segoe UI">
    <w:panose1 w:val="020B0502040204020203"/>
    <w:charset w:val="00"/>
    <w:family w:val="auto"/>
    <w:pitch w:val="default"/>
    <w:sig w:usb0="E4002EFF" w:usb1="C000E47F" w:usb2="00000009" w:usb3="00000000" w:csb0="200001FF" w:csb1="00000000"/>
  </w:font>
  <w:font w:name="Latha">
    <w:altName w:val="Segoe Print"/>
    <w:panose1 w:val="020B0604020202020204"/>
    <w:charset w:val="00"/>
    <w:family w:val="auto"/>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auto"/>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auto"/>
    <w:pitch w:val="default"/>
    <w:sig w:usb0="00000287"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宋体"/>
    <w:panose1 w:val="00000000000000000000"/>
    <w:charset w:val="86"/>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center" w:y="1"/>
    </w:pPr>
    <w:r>
      <w:fldChar w:fldCharType="begin"/>
    </w:r>
    <w:r>
      <w:instrText xml:space="preserve"> PAGE </w:instrText>
    </w:r>
    <w:r>
      <w:fldChar w:fldCharType="separate"/>
    </w:r>
    <w:r>
      <w:t>1</w:t>
    </w:r>
    <w:r>
      <w:fldChar w:fldCharType="end"/>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ascii="仿宋_GB2312" w:eastAsia="仿宋_GB2312"/>
      </w:rPr>
    </w:pPr>
    <w:r>
      <w:rPr>
        <w:rFonts w:ascii="Times New Roman" w:hAnsi="Times New Roman" w:eastAsia="宋体" w:cs="Times New Roman"/>
        <w:kern w:val="2"/>
        <w:sz w:val="24"/>
        <w:szCs w:val="24"/>
        <w:lang w:val="en-US" w:eastAsia="zh-CN" w:bidi="ar-SA"/>
      </w:rPr>
      <w:pict>
        <v:rect id="文本框 13" o:spid="_x0000_s2050" o:spt="1"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23"/>
                </w:pPr>
                <w:r>
                  <w:fldChar w:fldCharType="begin"/>
                </w:r>
                <w:r>
                  <w:instrText xml:space="preserve"> PAGE  \* MERGEFORMAT </w:instrText>
                </w:r>
                <w:r>
                  <w:fldChar w:fldCharType="separate"/>
                </w:r>
                <w:r>
                  <w:t>103</w:t>
                </w:r>
                <w:r>
                  <w:fldChar w:fldCharType="end"/>
                </w:r>
              </w:p>
            </w:txbxContent>
          </v:textbox>
        </v:rect>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framePr w:wrap="around" w:vAnchor="text" w:hAnchor="margin" w:xAlign="right" w:y="1"/>
    </w:pPr>
    <w:r>
      <w:fldChar w:fldCharType="begin"/>
    </w:r>
    <w:r>
      <w:instrText xml:space="preserve">PAGE  </w:instrText>
    </w:r>
    <w:r>
      <w:fldChar w:fldCharType="end"/>
    </w:r>
  </w:p>
  <w:p>
    <w:pPr>
      <w:pStyle w:val="2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rPr>
        <w:rFonts w:ascii="仿宋_GB2312" w:eastAsia="仿宋_GB2312"/>
      </w:rPr>
    </w:pPr>
    <w:r>
      <w:rPr>
        <w:rFonts w:ascii="Times New Roman" w:hAnsi="Times New Roman" w:eastAsia="宋体" w:cs="Times New Roman"/>
        <w:kern w:val="2"/>
        <w:sz w:val="24"/>
        <w:szCs w:val="24"/>
        <w:lang w:val="en-US" w:eastAsia="zh-CN" w:bidi="ar-SA"/>
      </w:rPr>
      <w:pict>
        <v:rect id="文本框 14" o:spid="_x0000_s2049" o:spt="1" style="position:absolute;left:0pt;margin-top:0pt;height:144pt;width:144pt;mso-position-horizontal:center;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pStyle w:val="23"/>
                </w:pPr>
                <w:r>
                  <w:fldChar w:fldCharType="begin"/>
                </w:r>
                <w:r>
                  <w:instrText xml:space="preserve"> PAGE  \* MERGEFORMAT </w:instrText>
                </w:r>
                <w:r>
                  <w:fldChar w:fldCharType="separate"/>
                </w:r>
                <w:r>
                  <w:t>102</w:t>
                </w:r>
                <w:r>
                  <w:fldChar w:fldCharType="end"/>
                </w:r>
              </w:p>
            </w:txbxContent>
          </v:textbox>
        </v:rect>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仿宋_GB2312" w:eastAsia="仿宋_GB2312"/>
        <w:b/>
        <w:i/>
        <w:iCs/>
        <w:u w:val="single"/>
      </w:rPr>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5EB9D"/>
    <w:multiLevelType w:val="singleLevel"/>
    <w:tmpl w:val="8125EB9D"/>
    <w:lvl w:ilvl="0" w:tentative="0">
      <w:start w:val="5"/>
      <w:numFmt w:val="decimal"/>
      <w:lvlText w:val="%1."/>
      <w:lvlJc w:val="left"/>
      <w:pPr>
        <w:tabs>
          <w:tab w:val="left" w:pos="880"/>
        </w:tabs>
      </w:pPr>
    </w:lvl>
  </w:abstractNum>
  <w:abstractNum w:abstractNumId="1">
    <w:nsid w:val="957BB024"/>
    <w:multiLevelType w:val="singleLevel"/>
    <w:tmpl w:val="957BB024"/>
    <w:lvl w:ilvl="0" w:tentative="0">
      <w:start w:val="1"/>
      <w:numFmt w:val="decimal"/>
      <w:suff w:val="nothing"/>
      <w:lvlText w:val="%1，"/>
      <w:lvlJc w:val="left"/>
    </w:lvl>
  </w:abstractNum>
  <w:abstractNum w:abstractNumId="2">
    <w:nsid w:val="B6ED5973"/>
    <w:multiLevelType w:val="singleLevel"/>
    <w:tmpl w:val="B6ED5973"/>
    <w:lvl w:ilvl="0" w:tentative="0">
      <w:start w:val="1"/>
      <w:numFmt w:val="decimal"/>
      <w:lvlText w:val="(%1)"/>
      <w:lvlJc w:val="left"/>
      <w:pPr>
        <w:ind w:left="425" w:hanging="425"/>
      </w:pPr>
      <w:rPr>
        <w:rFonts w:hint="default"/>
        <w:b w:val="0"/>
        <w:bCs w:val="0"/>
      </w:rPr>
    </w:lvl>
  </w:abstractNum>
  <w:abstractNum w:abstractNumId="3">
    <w:nsid w:val="D9EC99C5"/>
    <w:multiLevelType w:val="singleLevel"/>
    <w:tmpl w:val="D9EC99C5"/>
    <w:lvl w:ilvl="0" w:tentative="0">
      <w:start w:val="1"/>
      <w:numFmt w:val="decimal"/>
      <w:lvlText w:val="(%1)"/>
      <w:lvlJc w:val="left"/>
      <w:pPr>
        <w:ind w:left="425" w:hanging="425"/>
      </w:pPr>
      <w:rPr>
        <w:rFonts w:hint="default"/>
      </w:rPr>
    </w:lvl>
  </w:abstractNum>
  <w:abstractNum w:abstractNumId="4">
    <w:nsid w:val="F74621BF"/>
    <w:multiLevelType w:val="singleLevel"/>
    <w:tmpl w:val="F74621BF"/>
    <w:lvl w:ilvl="0" w:tentative="0">
      <w:start w:val="1"/>
      <w:numFmt w:val="decimal"/>
      <w:suff w:val="nothing"/>
      <w:lvlText w:val="%1，"/>
      <w:lvlJc w:val="left"/>
    </w:lvl>
  </w:abstractNum>
  <w:abstractNum w:abstractNumId="5">
    <w:nsid w:val="12138B07"/>
    <w:multiLevelType w:val="singleLevel"/>
    <w:tmpl w:val="12138B07"/>
    <w:lvl w:ilvl="0" w:tentative="0">
      <w:start w:val="1"/>
      <w:numFmt w:val="decimal"/>
      <w:suff w:val="nothing"/>
      <w:lvlText w:val="%1，"/>
      <w:lvlJc w:val="left"/>
    </w:lvl>
  </w:abstractNum>
  <w:abstractNum w:abstractNumId="6">
    <w:nsid w:val="182F410C"/>
    <w:multiLevelType w:val="singleLevel"/>
    <w:tmpl w:val="182F410C"/>
    <w:lvl w:ilvl="0" w:tentative="0">
      <w:start w:val="1"/>
      <w:numFmt w:val="decimal"/>
      <w:suff w:val="nothing"/>
      <w:lvlText w:val="%1，"/>
      <w:lvlJc w:val="left"/>
    </w:lvl>
  </w:abstractNum>
  <w:abstractNum w:abstractNumId="7">
    <w:nsid w:val="1FDEE43D"/>
    <w:multiLevelType w:val="singleLevel"/>
    <w:tmpl w:val="1FDEE43D"/>
    <w:lvl w:ilvl="0" w:tentative="0">
      <w:start w:val="1"/>
      <w:numFmt w:val="decimal"/>
      <w:suff w:val="nothing"/>
      <w:lvlText w:val="%1，"/>
      <w:lvlJc w:val="left"/>
    </w:lvl>
  </w:abstractNum>
  <w:abstractNum w:abstractNumId="8">
    <w:nsid w:val="605B608A"/>
    <w:multiLevelType w:val="singleLevel"/>
    <w:tmpl w:val="605B608A"/>
    <w:lvl w:ilvl="0" w:tentative="0">
      <w:start w:val="3"/>
      <w:numFmt w:val="chineseCounting"/>
      <w:suff w:val="nothing"/>
      <w:lvlText w:val="%1、"/>
      <w:lvlJc w:val="left"/>
      <w:rPr>
        <w:rFonts w:hint="eastAsia"/>
      </w:rPr>
    </w:lvl>
  </w:abstractNum>
  <w:abstractNum w:abstractNumId="9">
    <w:nsid w:val="64D75899"/>
    <w:multiLevelType w:val="multilevel"/>
    <w:tmpl w:val="64D75899"/>
    <w:lvl w:ilvl="0" w:tentative="0">
      <w:start w:val="1"/>
      <w:numFmt w:val="upp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9EB7B22"/>
    <w:multiLevelType w:val="multilevel"/>
    <w:tmpl w:val="79EB7B22"/>
    <w:lvl w:ilvl="0" w:tentative="0">
      <w:start w:val="1"/>
      <w:numFmt w:val="bullet"/>
      <w:lvlText w:val=""/>
      <w:lvlJc w:val="left"/>
      <w:pPr>
        <w:tabs>
          <w:tab w:val="left" w:pos="700"/>
        </w:tabs>
        <w:ind w:left="700" w:hanging="420"/>
      </w:pPr>
      <w:rPr>
        <w:rFonts w:hint="default" w:ascii="Wingdings" w:hAnsi="Wingdings"/>
      </w:rPr>
    </w:lvl>
    <w:lvl w:ilvl="1" w:tentative="0">
      <w:start w:val="1"/>
      <w:numFmt w:val="bullet"/>
      <w:lvlText w:val=""/>
      <w:lvlJc w:val="left"/>
      <w:pPr>
        <w:tabs>
          <w:tab w:val="left" w:pos="1120"/>
        </w:tabs>
        <w:ind w:left="1120" w:hanging="420"/>
      </w:pPr>
      <w:rPr>
        <w:rFonts w:hint="default" w:ascii="Wingdings" w:hAnsi="Wingdings"/>
      </w:rPr>
    </w:lvl>
    <w:lvl w:ilvl="2" w:tentative="0">
      <w:start w:val="1"/>
      <w:numFmt w:val="bullet"/>
      <w:lvlText w:val=""/>
      <w:lvlJc w:val="left"/>
      <w:pPr>
        <w:tabs>
          <w:tab w:val="left" w:pos="1540"/>
        </w:tabs>
        <w:ind w:left="1540" w:hanging="420"/>
      </w:pPr>
      <w:rPr>
        <w:rFonts w:hint="default" w:ascii="Wingdings" w:hAnsi="Wingdings"/>
      </w:rPr>
    </w:lvl>
    <w:lvl w:ilvl="3" w:tentative="0">
      <w:start w:val="1"/>
      <w:numFmt w:val="bullet"/>
      <w:lvlText w:val=""/>
      <w:lvlJc w:val="left"/>
      <w:pPr>
        <w:tabs>
          <w:tab w:val="left" w:pos="1960"/>
        </w:tabs>
        <w:ind w:left="1960" w:hanging="420"/>
      </w:pPr>
      <w:rPr>
        <w:rFonts w:hint="default" w:ascii="Wingdings" w:hAnsi="Wingdings"/>
      </w:rPr>
    </w:lvl>
    <w:lvl w:ilvl="4" w:tentative="0">
      <w:start w:val="1"/>
      <w:numFmt w:val="bullet"/>
      <w:pStyle w:val="622"/>
      <w:lvlText w:val=""/>
      <w:lvlJc w:val="left"/>
      <w:pPr>
        <w:tabs>
          <w:tab w:val="left" w:pos="2380"/>
        </w:tabs>
        <w:ind w:left="2380" w:hanging="420"/>
      </w:pPr>
      <w:rPr>
        <w:rFonts w:hint="default" w:ascii="Wingdings" w:hAnsi="Wingdings"/>
      </w:rPr>
    </w:lvl>
    <w:lvl w:ilvl="5" w:tentative="0">
      <w:start w:val="1"/>
      <w:numFmt w:val="bullet"/>
      <w:lvlText w:val=""/>
      <w:lvlJc w:val="left"/>
      <w:pPr>
        <w:tabs>
          <w:tab w:val="left" w:pos="2800"/>
        </w:tabs>
        <w:ind w:left="2800" w:hanging="420"/>
      </w:pPr>
      <w:rPr>
        <w:rFonts w:hint="default" w:ascii="Wingdings" w:hAnsi="Wingdings"/>
      </w:rPr>
    </w:lvl>
    <w:lvl w:ilvl="6" w:tentative="0">
      <w:start w:val="1"/>
      <w:numFmt w:val="bullet"/>
      <w:lvlText w:val=""/>
      <w:lvlJc w:val="left"/>
      <w:pPr>
        <w:tabs>
          <w:tab w:val="left" w:pos="3220"/>
        </w:tabs>
        <w:ind w:left="3220" w:hanging="420"/>
      </w:pPr>
      <w:rPr>
        <w:rFonts w:hint="default" w:ascii="Wingdings" w:hAnsi="Wingdings"/>
      </w:rPr>
    </w:lvl>
    <w:lvl w:ilvl="7" w:tentative="0">
      <w:start w:val="1"/>
      <w:numFmt w:val="bullet"/>
      <w:lvlText w:val=""/>
      <w:lvlJc w:val="left"/>
      <w:pPr>
        <w:tabs>
          <w:tab w:val="left" w:pos="3640"/>
        </w:tabs>
        <w:ind w:left="3640" w:hanging="420"/>
      </w:pPr>
      <w:rPr>
        <w:rFonts w:hint="default" w:ascii="Wingdings" w:hAnsi="Wingdings"/>
      </w:rPr>
    </w:lvl>
    <w:lvl w:ilvl="8" w:tentative="0">
      <w:start w:val="1"/>
      <w:numFmt w:val="bullet"/>
      <w:lvlText w:val=""/>
      <w:lvlJc w:val="left"/>
      <w:pPr>
        <w:tabs>
          <w:tab w:val="left" w:pos="4060"/>
        </w:tabs>
        <w:ind w:left="4060" w:hanging="420"/>
      </w:pPr>
      <w:rPr>
        <w:rFonts w:hint="default" w:ascii="Wingdings" w:hAnsi="Wingdings"/>
      </w:rPr>
    </w:lvl>
  </w:abstractNum>
  <w:num w:numId="1">
    <w:abstractNumId w:val="10"/>
  </w:num>
  <w:num w:numId="2">
    <w:abstractNumId w:val="3"/>
  </w:num>
  <w:num w:numId="3">
    <w:abstractNumId w:val="2"/>
  </w:num>
  <w:num w:numId="4">
    <w:abstractNumId w:val="6"/>
  </w:num>
  <w:num w:numId="5">
    <w:abstractNumId w:val="5"/>
  </w:num>
  <w:num w:numId="6">
    <w:abstractNumId w:val="4"/>
  </w:num>
  <w:num w:numId="7">
    <w:abstractNumId w:val="7"/>
  </w:num>
  <w:num w:numId="8">
    <w:abstractNumId w:val="1"/>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1"/>
  <w:bordersDoNotSurroundFooter w:val="1"/>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doNotWrapTextWithPunct/>
    <w:doNotUseEastAsianBreakRules/>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172A27"/>
    <w:rsid w:val="00000451"/>
    <w:rsid w:val="0000108B"/>
    <w:rsid w:val="0000133D"/>
    <w:rsid w:val="00001509"/>
    <w:rsid w:val="0000150B"/>
    <w:rsid w:val="000032B2"/>
    <w:rsid w:val="0000363B"/>
    <w:rsid w:val="00004767"/>
    <w:rsid w:val="00004895"/>
    <w:rsid w:val="000058BD"/>
    <w:rsid w:val="00006109"/>
    <w:rsid w:val="00006150"/>
    <w:rsid w:val="00006316"/>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4DE7"/>
    <w:rsid w:val="000150EE"/>
    <w:rsid w:val="00015D12"/>
    <w:rsid w:val="000168D8"/>
    <w:rsid w:val="000170C8"/>
    <w:rsid w:val="000173F4"/>
    <w:rsid w:val="00017A1E"/>
    <w:rsid w:val="00020287"/>
    <w:rsid w:val="000202FE"/>
    <w:rsid w:val="00020B5F"/>
    <w:rsid w:val="000211BC"/>
    <w:rsid w:val="00021CC1"/>
    <w:rsid w:val="0002207B"/>
    <w:rsid w:val="00022FB3"/>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262"/>
    <w:rsid w:val="00030572"/>
    <w:rsid w:val="00030A97"/>
    <w:rsid w:val="00030CB3"/>
    <w:rsid w:val="0003206A"/>
    <w:rsid w:val="000326A7"/>
    <w:rsid w:val="00032DDF"/>
    <w:rsid w:val="00032EA0"/>
    <w:rsid w:val="000331B0"/>
    <w:rsid w:val="000336D4"/>
    <w:rsid w:val="00034FA7"/>
    <w:rsid w:val="0003533D"/>
    <w:rsid w:val="000357E4"/>
    <w:rsid w:val="00035ACA"/>
    <w:rsid w:val="00040447"/>
    <w:rsid w:val="00040494"/>
    <w:rsid w:val="000407A2"/>
    <w:rsid w:val="00040B70"/>
    <w:rsid w:val="000419B8"/>
    <w:rsid w:val="00042441"/>
    <w:rsid w:val="00042533"/>
    <w:rsid w:val="00042DBB"/>
    <w:rsid w:val="00042E65"/>
    <w:rsid w:val="0004347C"/>
    <w:rsid w:val="00043907"/>
    <w:rsid w:val="00044F48"/>
    <w:rsid w:val="000470C0"/>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625"/>
    <w:rsid w:val="00067821"/>
    <w:rsid w:val="0006785E"/>
    <w:rsid w:val="00067DE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4485"/>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15F"/>
    <w:rsid w:val="00082684"/>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1F4"/>
    <w:rsid w:val="00092467"/>
    <w:rsid w:val="000927CF"/>
    <w:rsid w:val="00092FE9"/>
    <w:rsid w:val="000936BF"/>
    <w:rsid w:val="0009382F"/>
    <w:rsid w:val="00093A30"/>
    <w:rsid w:val="00094342"/>
    <w:rsid w:val="000945BA"/>
    <w:rsid w:val="00095954"/>
    <w:rsid w:val="000960BA"/>
    <w:rsid w:val="0009662A"/>
    <w:rsid w:val="0009690D"/>
    <w:rsid w:val="00096C1D"/>
    <w:rsid w:val="00096DFF"/>
    <w:rsid w:val="000A0729"/>
    <w:rsid w:val="000A0E69"/>
    <w:rsid w:val="000A1213"/>
    <w:rsid w:val="000A1A52"/>
    <w:rsid w:val="000A1B44"/>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6EC"/>
    <w:rsid w:val="000C0A43"/>
    <w:rsid w:val="000C0ADE"/>
    <w:rsid w:val="000C0CB1"/>
    <w:rsid w:val="000C1411"/>
    <w:rsid w:val="000C1ADE"/>
    <w:rsid w:val="000C1C38"/>
    <w:rsid w:val="000C21DC"/>
    <w:rsid w:val="000C2264"/>
    <w:rsid w:val="000C256B"/>
    <w:rsid w:val="000C3125"/>
    <w:rsid w:val="000C3970"/>
    <w:rsid w:val="000C3B1A"/>
    <w:rsid w:val="000C3FA3"/>
    <w:rsid w:val="000C4727"/>
    <w:rsid w:val="000C47AE"/>
    <w:rsid w:val="000C51AD"/>
    <w:rsid w:val="000C5374"/>
    <w:rsid w:val="000C5EC0"/>
    <w:rsid w:val="000C6162"/>
    <w:rsid w:val="000C64CC"/>
    <w:rsid w:val="000C6688"/>
    <w:rsid w:val="000C692E"/>
    <w:rsid w:val="000C6B28"/>
    <w:rsid w:val="000C7BEB"/>
    <w:rsid w:val="000D00D6"/>
    <w:rsid w:val="000D0124"/>
    <w:rsid w:val="000D06FF"/>
    <w:rsid w:val="000D08F8"/>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3B4"/>
    <w:rsid w:val="000E2785"/>
    <w:rsid w:val="000E27BB"/>
    <w:rsid w:val="000E3153"/>
    <w:rsid w:val="000E3484"/>
    <w:rsid w:val="000E386F"/>
    <w:rsid w:val="000E3C78"/>
    <w:rsid w:val="000E4051"/>
    <w:rsid w:val="000E4139"/>
    <w:rsid w:val="000E4765"/>
    <w:rsid w:val="000E5B7E"/>
    <w:rsid w:val="000E5FF9"/>
    <w:rsid w:val="000E6AE1"/>
    <w:rsid w:val="000E7142"/>
    <w:rsid w:val="000E7632"/>
    <w:rsid w:val="000E7737"/>
    <w:rsid w:val="000E7739"/>
    <w:rsid w:val="000E77EE"/>
    <w:rsid w:val="000F1604"/>
    <w:rsid w:val="000F2798"/>
    <w:rsid w:val="000F287A"/>
    <w:rsid w:val="000F2940"/>
    <w:rsid w:val="000F2AB3"/>
    <w:rsid w:val="000F3AC6"/>
    <w:rsid w:val="000F3C29"/>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24BA"/>
    <w:rsid w:val="00103251"/>
    <w:rsid w:val="00103509"/>
    <w:rsid w:val="00103709"/>
    <w:rsid w:val="0010393D"/>
    <w:rsid w:val="00103EBD"/>
    <w:rsid w:val="00104699"/>
    <w:rsid w:val="00104E5B"/>
    <w:rsid w:val="00104EEC"/>
    <w:rsid w:val="001050DC"/>
    <w:rsid w:val="00105482"/>
    <w:rsid w:val="001056A5"/>
    <w:rsid w:val="00105BA9"/>
    <w:rsid w:val="00105FE1"/>
    <w:rsid w:val="00106AAA"/>
    <w:rsid w:val="00106E0E"/>
    <w:rsid w:val="00107127"/>
    <w:rsid w:val="001078A5"/>
    <w:rsid w:val="00107BBD"/>
    <w:rsid w:val="00107BC7"/>
    <w:rsid w:val="00110033"/>
    <w:rsid w:val="001102B5"/>
    <w:rsid w:val="00111C7D"/>
    <w:rsid w:val="00112038"/>
    <w:rsid w:val="001127FF"/>
    <w:rsid w:val="00112B0B"/>
    <w:rsid w:val="00112EB5"/>
    <w:rsid w:val="0011383E"/>
    <w:rsid w:val="00113EE3"/>
    <w:rsid w:val="00114847"/>
    <w:rsid w:val="00114C4D"/>
    <w:rsid w:val="0011585B"/>
    <w:rsid w:val="00115B1A"/>
    <w:rsid w:val="001160FF"/>
    <w:rsid w:val="001164F4"/>
    <w:rsid w:val="001168F8"/>
    <w:rsid w:val="001176FF"/>
    <w:rsid w:val="0012153F"/>
    <w:rsid w:val="0012159D"/>
    <w:rsid w:val="00121804"/>
    <w:rsid w:val="0012196B"/>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4823"/>
    <w:rsid w:val="00134BE9"/>
    <w:rsid w:val="001350F7"/>
    <w:rsid w:val="00135769"/>
    <w:rsid w:val="00135BE9"/>
    <w:rsid w:val="00135E1E"/>
    <w:rsid w:val="00135E5C"/>
    <w:rsid w:val="00136762"/>
    <w:rsid w:val="00136E33"/>
    <w:rsid w:val="00136E9D"/>
    <w:rsid w:val="0013773D"/>
    <w:rsid w:val="00140319"/>
    <w:rsid w:val="0014042F"/>
    <w:rsid w:val="00140693"/>
    <w:rsid w:val="00140D7A"/>
    <w:rsid w:val="00141D28"/>
    <w:rsid w:val="00141DFE"/>
    <w:rsid w:val="00142185"/>
    <w:rsid w:val="001422E2"/>
    <w:rsid w:val="001433BC"/>
    <w:rsid w:val="001435ED"/>
    <w:rsid w:val="00143872"/>
    <w:rsid w:val="00143A85"/>
    <w:rsid w:val="00144649"/>
    <w:rsid w:val="00145022"/>
    <w:rsid w:val="00145662"/>
    <w:rsid w:val="00145C6D"/>
    <w:rsid w:val="001460FC"/>
    <w:rsid w:val="00146151"/>
    <w:rsid w:val="00146326"/>
    <w:rsid w:val="00147032"/>
    <w:rsid w:val="0014763D"/>
    <w:rsid w:val="00147EA7"/>
    <w:rsid w:val="00151820"/>
    <w:rsid w:val="00151B2F"/>
    <w:rsid w:val="001524DC"/>
    <w:rsid w:val="001525E5"/>
    <w:rsid w:val="00153859"/>
    <w:rsid w:val="00153915"/>
    <w:rsid w:val="001539F0"/>
    <w:rsid w:val="00153C3F"/>
    <w:rsid w:val="0015419D"/>
    <w:rsid w:val="0015498C"/>
    <w:rsid w:val="00154BBA"/>
    <w:rsid w:val="00155B95"/>
    <w:rsid w:val="00156853"/>
    <w:rsid w:val="00157432"/>
    <w:rsid w:val="00161185"/>
    <w:rsid w:val="001614F0"/>
    <w:rsid w:val="001620BA"/>
    <w:rsid w:val="001623AC"/>
    <w:rsid w:val="00162BAA"/>
    <w:rsid w:val="00163C40"/>
    <w:rsid w:val="0016488B"/>
    <w:rsid w:val="00165758"/>
    <w:rsid w:val="00165A65"/>
    <w:rsid w:val="001661DE"/>
    <w:rsid w:val="00166317"/>
    <w:rsid w:val="00166424"/>
    <w:rsid w:val="00167478"/>
    <w:rsid w:val="00167594"/>
    <w:rsid w:val="001701A4"/>
    <w:rsid w:val="001702BE"/>
    <w:rsid w:val="001703AB"/>
    <w:rsid w:val="001704B3"/>
    <w:rsid w:val="0017059C"/>
    <w:rsid w:val="00170805"/>
    <w:rsid w:val="0017098F"/>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0FC0"/>
    <w:rsid w:val="001827B7"/>
    <w:rsid w:val="001827EF"/>
    <w:rsid w:val="00182982"/>
    <w:rsid w:val="001829BC"/>
    <w:rsid w:val="00182D68"/>
    <w:rsid w:val="00183031"/>
    <w:rsid w:val="00183468"/>
    <w:rsid w:val="0018397E"/>
    <w:rsid w:val="0018413B"/>
    <w:rsid w:val="00184466"/>
    <w:rsid w:val="00184DBF"/>
    <w:rsid w:val="001850D2"/>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A71"/>
    <w:rsid w:val="00194BB1"/>
    <w:rsid w:val="00194BC6"/>
    <w:rsid w:val="00195070"/>
    <w:rsid w:val="00195245"/>
    <w:rsid w:val="0019526D"/>
    <w:rsid w:val="0019553F"/>
    <w:rsid w:val="001956BE"/>
    <w:rsid w:val="0019602C"/>
    <w:rsid w:val="001969F2"/>
    <w:rsid w:val="00196CD6"/>
    <w:rsid w:val="0019756A"/>
    <w:rsid w:val="001A0496"/>
    <w:rsid w:val="001A06B5"/>
    <w:rsid w:val="001A07F8"/>
    <w:rsid w:val="001A0A23"/>
    <w:rsid w:val="001A0C98"/>
    <w:rsid w:val="001A128B"/>
    <w:rsid w:val="001A1475"/>
    <w:rsid w:val="001A16FB"/>
    <w:rsid w:val="001A1F0E"/>
    <w:rsid w:val="001A3335"/>
    <w:rsid w:val="001A3CB9"/>
    <w:rsid w:val="001A473A"/>
    <w:rsid w:val="001A4CFE"/>
    <w:rsid w:val="001A4ED9"/>
    <w:rsid w:val="001A5785"/>
    <w:rsid w:val="001A5FD7"/>
    <w:rsid w:val="001A66A6"/>
    <w:rsid w:val="001A6BAF"/>
    <w:rsid w:val="001A6BBB"/>
    <w:rsid w:val="001A79A2"/>
    <w:rsid w:val="001B06A6"/>
    <w:rsid w:val="001B13BF"/>
    <w:rsid w:val="001B16F5"/>
    <w:rsid w:val="001B1C1F"/>
    <w:rsid w:val="001B219B"/>
    <w:rsid w:val="001B2703"/>
    <w:rsid w:val="001B3435"/>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0E6F"/>
    <w:rsid w:val="001C0FF7"/>
    <w:rsid w:val="001C10BD"/>
    <w:rsid w:val="001C1F01"/>
    <w:rsid w:val="001C2092"/>
    <w:rsid w:val="001C232F"/>
    <w:rsid w:val="001C2544"/>
    <w:rsid w:val="001C2A17"/>
    <w:rsid w:val="001C2FD6"/>
    <w:rsid w:val="001C31F5"/>
    <w:rsid w:val="001C6047"/>
    <w:rsid w:val="001C6698"/>
    <w:rsid w:val="001C6C1C"/>
    <w:rsid w:val="001C6C5B"/>
    <w:rsid w:val="001C7399"/>
    <w:rsid w:val="001C7CE0"/>
    <w:rsid w:val="001D005B"/>
    <w:rsid w:val="001D0947"/>
    <w:rsid w:val="001D16F5"/>
    <w:rsid w:val="001D1970"/>
    <w:rsid w:val="001D1D55"/>
    <w:rsid w:val="001D1EDB"/>
    <w:rsid w:val="001D2038"/>
    <w:rsid w:val="001D21EF"/>
    <w:rsid w:val="001D29A4"/>
    <w:rsid w:val="001D2AED"/>
    <w:rsid w:val="001D2B73"/>
    <w:rsid w:val="001D2BB4"/>
    <w:rsid w:val="001D3136"/>
    <w:rsid w:val="001D330D"/>
    <w:rsid w:val="001D4AB6"/>
    <w:rsid w:val="001D4AD3"/>
    <w:rsid w:val="001D4FBE"/>
    <w:rsid w:val="001D5281"/>
    <w:rsid w:val="001E11BD"/>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C9D"/>
    <w:rsid w:val="001F2F92"/>
    <w:rsid w:val="001F50E3"/>
    <w:rsid w:val="001F53B8"/>
    <w:rsid w:val="001F5796"/>
    <w:rsid w:val="001F5DA1"/>
    <w:rsid w:val="001F612E"/>
    <w:rsid w:val="001F6A92"/>
    <w:rsid w:val="001F77E8"/>
    <w:rsid w:val="00201A0C"/>
    <w:rsid w:val="00201B0F"/>
    <w:rsid w:val="0020255A"/>
    <w:rsid w:val="00202800"/>
    <w:rsid w:val="00202A6E"/>
    <w:rsid w:val="00202D33"/>
    <w:rsid w:val="00202E58"/>
    <w:rsid w:val="00202F99"/>
    <w:rsid w:val="00203C85"/>
    <w:rsid w:val="0020449A"/>
    <w:rsid w:val="00204E9B"/>
    <w:rsid w:val="00205214"/>
    <w:rsid w:val="00205298"/>
    <w:rsid w:val="002055C0"/>
    <w:rsid w:val="0020569E"/>
    <w:rsid w:val="002064F7"/>
    <w:rsid w:val="00206698"/>
    <w:rsid w:val="00206736"/>
    <w:rsid w:val="00206C88"/>
    <w:rsid w:val="00210B9C"/>
    <w:rsid w:val="00211185"/>
    <w:rsid w:val="00211A94"/>
    <w:rsid w:val="002126F2"/>
    <w:rsid w:val="00213478"/>
    <w:rsid w:val="002136C3"/>
    <w:rsid w:val="00214028"/>
    <w:rsid w:val="002141C3"/>
    <w:rsid w:val="002141DC"/>
    <w:rsid w:val="0021440C"/>
    <w:rsid w:val="00214479"/>
    <w:rsid w:val="002144F3"/>
    <w:rsid w:val="002146C3"/>
    <w:rsid w:val="00214C61"/>
    <w:rsid w:val="00215334"/>
    <w:rsid w:val="00215514"/>
    <w:rsid w:val="002158FC"/>
    <w:rsid w:val="00215A2A"/>
    <w:rsid w:val="00215A3F"/>
    <w:rsid w:val="00215D21"/>
    <w:rsid w:val="0021636B"/>
    <w:rsid w:val="00216387"/>
    <w:rsid w:val="00216E7B"/>
    <w:rsid w:val="00217E1F"/>
    <w:rsid w:val="0022015D"/>
    <w:rsid w:val="002202D2"/>
    <w:rsid w:val="002204BC"/>
    <w:rsid w:val="00220F7B"/>
    <w:rsid w:val="002213CE"/>
    <w:rsid w:val="00221AF7"/>
    <w:rsid w:val="00222494"/>
    <w:rsid w:val="00222718"/>
    <w:rsid w:val="00222775"/>
    <w:rsid w:val="00222A31"/>
    <w:rsid w:val="00222CF6"/>
    <w:rsid w:val="00223A2C"/>
    <w:rsid w:val="00224037"/>
    <w:rsid w:val="002244E4"/>
    <w:rsid w:val="00224D2A"/>
    <w:rsid w:val="00224D8D"/>
    <w:rsid w:val="0022513A"/>
    <w:rsid w:val="0022555A"/>
    <w:rsid w:val="00225B52"/>
    <w:rsid w:val="00226072"/>
    <w:rsid w:val="00227214"/>
    <w:rsid w:val="00227DDC"/>
    <w:rsid w:val="00227EC1"/>
    <w:rsid w:val="0023079F"/>
    <w:rsid w:val="00231135"/>
    <w:rsid w:val="002314B1"/>
    <w:rsid w:val="00231B0B"/>
    <w:rsid w:val="00232555"/>
    <w:rsid w:val="00233538"/>
    <w:rsid w:val="00233A43"/>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3EC9"/>
    <w:rsid w:val="0024415B"/>
    <w:rsid w:val="00245565"/>
    <w:rsid w:val="002458C1"/>
    <w:rsid w:val="00245E62"/>
    <w:rsid w:val="002460D0"/>
    <w:rsid w:val="00246357"/>
    <w:rsid w:val="00247422"/>
    <w:rsid w:val="00247BA2"/>
    <w:rsid w:val="00250870"/>
    <w:rsid w:val="00250D6D"/>
    <w:rsid w:val="0025151C"/>
    <w:rsid w:val="0025184F"/>
    <w:rsid w:val="00251967"/>
    <w:rsid w:val="002521B2"/>
    <w:rsid w:val="002527CC"/>
    <w:rsid w:val="00252F48"/>
    <w:rsid w:val="002530C0"/>
    <w:rsid w:val="00253586"/>
    <w:rsid w:val="002537FC"/>
    <w:rsid w:val="002542F8"/>
    <w:rsid w:val="002543EF"/>
    <w:rsid w:val="00254F2A"/>
    <w:rsid w:val="002553ED"/>
    <w:rsid w:val="00255784"/>
    <w:rsid w:val="00255A29"/>
    <w:rsid w:val="0025631F"/>
    <w:rsid w:val="00256986"/>
    <w:rsid w:val="00256D61"/>
    <w:rsid w:val="00256E23"/>
    <w:rsid w:val="00257246"/>
    <w:rsid w:val="00257438"/>
    <w:rsid w:val="00257B6A"/>
    <w:rsid w:val="0026119C"/>
    <w:rsid w:val="00261AFE"/>
    <w:rsid w:val="0026212A"/>
    <w:rsid w:val="002621D7"/>
    <w:rsid w:val="00262996"/>
    <w:rsid w:val="00263044"/>
    <w:rsid w:val="00263759"/>
    <w:rsid w:val="002638BD"/>
    <w:rsid w:val="00263A58"/>
    <w:rsid w:val="0026470B"/>
    <w:rsid w:val="0026486D"/>
    <w:rsid w:val="00264C4B"/>
    <w:rsid w:val="00264ED0"/>
    <w:rsid w:val="00265346"/>
    <w:rsid w:val="00266045"/>
    <w:rsid w:val="002660C3"/>
    <w:rsid w:val="00266C21"/>
    <w:rsid w:val="00266DE1"/>
    <w:rsid w:val="00266E95"/>
    <w:rsid w:val="00267720"/>
    <w:rsid w:val="00267A92"/>
    <w:rsid w:val="00267E43"/>
    <w:rsid w:val="00270282"/>
    <w:rsid w:val="00270780"/>
    <w:rsid w:val="00270CF6"/>
    <w:rsid w:val="00271097"/>
    <w:rsid w:val="0027131F"/>
    <w:rsid w:val="00271C53"/>
    <w:rsid w:val="00272066"/>
    <w:rsid w:val="0027244F"/>
    <w:rsid w:val="00272E5C"/>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2DDA"/>
    <w:rsid w:val="0028316D"/>
    <w:rsid w:val="00283296"/>
    <w:rsid w:val="002855FC"/>
    <w:rsid w:val="0028583E"/>
    <w:rsid w:val="00285853"/>
    <w:rsid w:val="00285B1A"/>
    <w:rsid w:val="00285F3F"/>
    <w:rsid w:val="00285FF3"/>
    <w:rsid w:val="002866EC"/>
    <w:rsid w:val="0028744E"/>
    <w:rsid w:val="002876D2"/>
    <w:rsid w:val="00287936"/>
    <w:rsid w:val="00287BB7"/>
    <w:rsid w:val="00290079"/>
    <w:rsid w:val="002903C5"/>
    <w:rsid w:val="0029041B"/>
    <w:rsid w:val="00290A99"/>
    <w:rsid w:val="00290EAF"/>
    <w:rsid w:val="0029159A"/>
    <w:rsid w:val="00291CF1"/>
    <w:rsid w:val="00292AA1"/>
    <w:rsid w:val="00293871"/>
    <w:rsid w:val="002939CD"/>
    <w:rsid w:val="00294012"/>
    <w:rsid w:val="002944E7"/>
    <w:rsid w:val="002945B0"/>
    <w:rsid w:val="0029499D"/>
    <w:rsid w:val="00294A13"/>
    <w:rsid w:val="00294B10"/>
    <w:rsid w:val="00294DF9"/>
    <w:rsid w:val="00295073"/>
    <w:rsid w:val="00295468"/>
    <w:rsid w:val="00296C32"/>
    <w:rsid w:val="002977CE"/>
    <w:rsid w:val="00297AF5"/>
    <w:rsid w:val="002A01C1"/>
    <w:rsid w:val="002A02D6"/>
    <w:rsid w:val="002A03ED"/>
    <w:rsid w:val="002A07C4"/>
    <w:rsid w:val="002A0921"/>
    <w:rsid w:val="002A0B04"/>
    <w:rsid w:val="002A0CB3"/>
    <w:rsid w:val="002A1887"/>
    <w:rsid w:val="002A1C0C"/>
    <w:rsid w:val="002A2001"/>
    <w:rsid w:val="002A3450"/>
    <w:rsid w:val="002A4060"/>
    <w:rsid w:val="002A4868"/>
    <w:rsid w:val="002A4A05"/>
    <w:rsid w:val="002A4EB3"/>
    <w:rsid w:val="002A51D9"/>
    <w:rsid w:val="002A525A"/>
    <w:rsid w:val="002A5968"/>
    <w:rsid w:val="002A5C82"/>
    <w:rsid w:val="002A5CAB"/>
    <w:rsid w:val="002A5D40"/>
    <w:rsid w:val="002A622E"/>
    <w:rsid w:val="002A6424"/>
    <w:rsid w:val="002A64E7"/>
    <w:rsid w:val="002A706B"/>
    <w:rsid w:val="002A7748"/>
    <w:rsid w:val="002A7ED3"/>
    <w:rsid w:val="002A7FB1"/>
    <w:rsid w:val="002A7FC9"/>
    <w:rsid w:val="002B139C"/>
    <w:rsid w:val="002B1881"/>
    <w:rsid w:val="002B1F61"/>
    <w:rsid w:val="002B2070"/>
    <w:rsid w:val="002B227D"/>
    <w:rsid w:val="002B2906"/>
    <w:rsid w:val="002B2C66"/>
    <w:rsid w:val="002B3216"/>
    <w:rsid w:val="002B34E3"/>
    <w:rsid w:val="002B51B6"/>
    <w:rsid w:val="002B5AEE"/>
    <w:rsid w:val="002B6177"/>
    <w:rsid w:val="002B650C"/>
    <w:rsid w:val="002B68E6"/>
    <w:rsid w:val="002B6985"/>
    <w:rsid w:val="002B6BD4"/>
    <w:rsid w:val="002B6D7A"/>
    <w:rsid w:val="002B72AE"/>
    <w:rsid w:val="002B7645"/>
    <w:rsid w:val="002C02BA"/>
    <w:rsid w:val="002C0301"/>
    <w:rsid w:val="002C0326"/>
    <w:rsid w:val="002C077E"/>
    <w:rsid w:val="002C0A9F"/>
    <w:rsid w:val="002C1AB3"/>
    <w:rsid w:val="002C1BB7"/>
    <w:rsid w:val="002C1F0E"/>
    <w:rsid w:val="002C1FB3"/>
    <w:rsid w:val="002C2665"/>
    <w:rsid w:val="002C28E1"/>
    <w:rsid w:val="002C327D"/>
    <w:rsid w:val="002C3607"/>
    <w:rsid w:val="002C3890"/>
    <w:rsid w:val="002C3AD9"/>
    <w:rsid w:val="002C3B82"/>
    <w:rsid w:val="002C4286"/>
    <w:rsid w:val="002C43FC"/>
    <w:rsid w:val="002C45C3"/>
    <w:rsid w:val="002C483B"/>
    <w:rsid w:val="002C4DFE"/>
    <w:rsid w:val="002C519E"/>
    <w:rsid w:val="002C5D5E"/>
    <w:rsid w:val="002C6116"/>
    <w:rsid w:val="002C643D"/>
    <w:rsid w:val="002C66B8"/>
    <w:rsid w:val="002C70E7"/>
    <w:rsid w:val="002D016F"/>
    <w:rsid w:val="002D0404"/>
    <w:rsid w:val="002D0C27"/>
    <w:rsid w:val="002D0E88"/>
    <w:rsid w:val="002D0EA7"/>
    <w:rsid w:val="002D0F31"/>
    <w:rsid w:val="002D1593"/>
    <w:rsid w:val="002D1A1E"/>
    <w:rsid w:val="002D22A6"/>
    <w:rsid w:val="002D2819"/>
    <w:rsid w:val="002D2CD6"/>
    <w:rsid w:val="002D2F81"/>
    <w:rsid w:val="002D330B"/>
    <w:rsid w:val="002D38A3"/>
    <w:rsid w:val="002D3BA3"/>
    <w:rsid w:val="002D43EE"/>
    <w:rsid w:val="002D4892"/>
    <w:rsid w:val="002D4D06"/>
    <w:rsid w:val="002D4DDE"/>
    <w:rsid w:val="002D4EE7"/>
    <w:rsid w:val="002D4EED"/>
    <w:rsid w:val="002D5AAD"/>
    <w:rsid w:val="002D5DA3"/>
    <w:rsid w:val="002D6097"/>
    <w:rsid w:val="002D65AD"/>
    <w:rsid w:val="002D6782"/>
    <w:rsid w:val="002D68CC"/>
    <w:rsid w:val="002D74A4"/>
    <w:rsid w:val="002D788E"/>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4F8E"/>
    <w:rsid w:val="002E51C3"/>
    <w:rsid w:val="002E55FF"/>
    <w:rsid w:val="002E587E"/>
    <w:rsid w:val="002E672A"/>
    <w:rsid w:val="002E6853"/>
    <w:rsid w:val="002E70B3"/>
    <w:rsid w:val="002E7EC1"/>
    <w:rsid w:val="002E7EE5"/>
    <w:rsid w:val="002F0323"/>
    <w:rsid w:val="002F0DFB"/>
    <w:rsid w:val="002F134F"/>
    <w:rsid w:val="002F1D0B"/>
    <w:rsid w:val="002F1E1D"/>
    <w:rsid w:val="002F1F02"/>
    <w:rsid w:val="002F27E5"/>
    <w:rsid w:val="002F2D81"/>
    <w:rsid w:val="002F2F66"/>
    <w:rsid w:val="002F3128"/>
    <w:rsid w:val="002F339A"/>
    <w:rsid w:val="002F39D4"/>
    <w:rsid w:val="002F4BA9"/>
    <w:rsid w:val="002F541B"/>
    <w:rsid w:val="002F5BFE"/>
    <w:rsid w:val="002F5DA5"/>
    <w:rsid w:val="002F5E17"/>
    <w:rsid w:val="002F6371"/>
    <w:rsid w:val="002F647C"/>
    <w:rsid w:val="002F6C6B"/>
    <w:rsid w:val="002F6CB0"/>
    <w:rsid w:val="002F6EFF"/>
    <w:rsid w:val="002F7DF0"/>
    <w:rsid w:val="002F7FAF"/>
    <w:rsid w:val="00300573"/>
    <w:rsid w:val="00302077"/>
    <w:rsid w:val="003025FE"/>
    <w:rsid w:val="00302A27"/>
    <w:rsid w:val="00303AB6"/>
    <w:rsid w:val="00303E6E"/>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07A"/>
    <w:rsid w:val="0031531A"/>
    <w:rsid w:val="00315394"/>
    <w:rsid w:val="00315C7E"/>
    <w:rsid w:val="00315D77"/>
    <w:rsid w:val="00315D8E"/>
    <w:rsid w:val="00316002"/>
    <w:rsid w:val="00316901"/>
    <w:rsid w:val="00316CDE"/>
    <w:rsid w:val="0031752D"/>
    <w:rsid w:val="00317709"/>
    <w:rsid w:val="00317E32"/>
    <w:rsid w:val="00320392"/>
    <w:rsid w:val="00320688"/>
    <w:rsid w:val="00320B75"/>
    <w:rsid w:val="00321DB7"/>
    <w:rsid w:val="00321E7A"/>
    <w:rsid w:val="0032226D"/>
    <w:rsid w:val="003235E6"/>
    <w:rsid w:val="0032361E"/>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5E84"/>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6C82"/>
    <w:rsid w:val="00347356"/>
    <w:rsid w:val="0035005C"/>
    <w:rsid w:val="003507E8"/>
    <w:rsid w:val="00350896"/>
    <w:rsid w:val="00350C31"/>
    <w:rsid w:val="00350C9F"/>
    <w:rsid w:val="00351391"/>
    <w:rsid w:val="003519CD"/>
    <w:rsid w:val="00351A3A"/>
    <w:rsid w:val="003522B8"/>
    <w:rsid w:val="0035455F"/>
    <w:rsid w:val="00355D75"/>
    <w:rsid w:val="00355D8F"/>
    <w:rsid w:val="00355DD8"/>
    <w:rsid w:val="00356A73"/>
    <w:rsid w:val="00356FF0"/>
    <w:rsid w:val="003577EF"/>
    <w:rsid w:val="00357A60"/>
    <w:rsid w:val="00360304"/>
    <w:rsid w:val="00360A78"/>
    <w:rsid w:val="00361750"/>
    <w:rsid w:val="00361CDF"/>
    <w:rsid w:val="00363894"/>
    <w:rsid w:val="00363B2A"/>
    <w:rsid w:val="00363BF1"/>
    <w:rsid w:val="0036516F"/>
    <w:rsid w:val="00365627"/>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4DC5"/>
    <w:rsid w:val="0037510C"/>
    <w:rsid w:val="00375850"/>
    <w:rsid w:val="0037632F"/>
    <w:rsid w:val="00377B26"/>
    <w:rsid w:val="00381014"/>
    <w:rsid w:val="00381604"/>
    <w:rsid w:val="00381C68"/>
    <w:rsid w:val="00381F60"/>
    <w:rsid w:val="00382738"/>
    <w:rsid w:val="00382F11"/>
    <w:rsid w:val="00383204"/>
    <w:rsid w:val="00383AB0"/>
    <w:rsid w:val="003847BB"/>
    <w:rsid w:val="00384814"/>
    <w:rsid w:val="00384C0A"/>
    <w:rsid w:val="003857F9"/>
    <w:rsid w:val="00385B16"/>
    <w:rsid w:val="00385B96"/>
    <w:rsid w:val="0038637D"/>
    <w:rsid w:val="003865C3"/>
    <w:rsid w:val="003868F6"/>
    <w:rsid w:val="003869DC"/>
    <w:rsid w:val="00386C07"/>
    <w:rsid w:val="00386F58"/>
    <w:rsid w:val="0038700D"/>
    <w:rsid w:val="003879CE"/>
    <w:rsid w:val="00387B88"/>
    <w:rsid w:val="00390AD5"/>
    <w:rsid w:val="00390B8F"/>
    <w:rsid w:val="00390C0D"/>
    <w:rsid w:val="00390C79"/>
    <w:rsid w:val="00391447"/>
    <w:rsid w:val="003919D9"/>
    <w:rsid w:val="00391BDD"/>
    <w:rsid w:val="003922DE"/>
    <w:rsid w:val="00392E35"/>
    <w:rsid w:val="00393247"/>
    <w:rsid w:val="00393551"/>
    <w:rsid w:val="00393816"/>
    <w:rsid w:val="003939E9"/>
    <w:rsid w:val="00393FCD"/>
    <w:rsid w:val="003944EA"/>
    <w:rsid w:val="00394639"/>
    <w:rsid w:val="00394DF6"/>
    <w:rsid w:val="00394EC6"/>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238"/>
    <w:rsid w:val="003B636A"/>
    <w:rsid w:val="003B69CE"/>
    <w:rsid w:val="003B7403"/>
    <w:rsid w:val="003B7BDE"/>
    <w:rsid w:val="003C011C"/>
    <w:rsid w:val="003C0E32"/>
    <w:rsid w:val="003C11D7"/>
    <w:rsid w:val="003C16CB"/>
    <w:rsid w:val="003C1B97"/>
    <w:rsid w:val="003C247B"/>
    <w:rsid w:val="003C2945"/>
    <w:rsid w:val="003C3292"/>
    <w:rsid w:val="003C3C1E"/>
    <w:rsid w:val="003C3D88"/>
    <w:rsid w:val="003C4134"/>
    <w:rsid w:val="003C435B"/>
    <w:rsid w:val="003C4EBE"/>
    <w:rsid w:val="003C62EC"/>
    <w:rsid w:val="003C685A"/>
    <w:rsid w:val="003C6E9C"/>
    <w:rsid w:val="003C746F"/>
    <w:rsid w:val="003C7570"/>
    <w:rsid w:val="003C765A"/>
    <w:rsid w:val="003C76E6"/>
    <w:rsid w:val="003C7E59"/>
    <w:rsid w:val="003C7F12"/>
    <w:rsid w:val="003D03D6"/>
    <w:rsid w:val="003D075D"/>
    <w:rsid w:val="003D0EE2"/>
    <w:rsid w:val="003D1283"/>
    <w:rsid w:val="003D14C8"/>
    <w:rsid w:val="003D1517"/>
    <w:rsid w:val="003D16C5"/>
    <w:rsid w:val="003D1CA9"/>
    <w:rsid w:val="003D2DA0"/>
    <w:rsid w:val="003D34C3"/>
    <w:rsid w:val="003D3B4D"/>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0DE2"/>
    <w:rsid w:val="003F1AA2"/>
    <w:rsid w:val="003F1B81"/>
    <w:rsid w:val="003F1ED6"/>
    <w:rsid w:val="003F26DC"/>
    <w:rsid w:val="003F2E19"/>
    <w:rsid w:val="003F2E2F"/>
    <w:rsid w:val="003F42FF"/>
    <w:rsid w:val="003F4747"/>
    <w:rsid w:val="003F4B48"/>
    <w:rsid w:val="003F4DDC"/>
    <w:rsid w:val="003F56B8"/>
    <w:rsid w:val="003F5F1A"/>
    <w:rsid w:val="003F6327"/>
    <w:rsid w:val="003F7425"/>
    <w:rsid w:val="003F765B"/>
    <w:rsid w:val="003F7CB8"/>
    <w:rsid w:val="00400BD6"/>
    <w:rsid w:val="00400CB4"/>
    <w:rsid w:val="00401386"/>
    <w:rsid w:val="004013E6"/>
    <w:rsid w:val="00401A49"/>
    <w:rsid w:val="00401E31"/>
    <w:rsid w:val="0040234D"/>
    <w:rsid w:val="00402BBA"/>
    <w:rsid w:val="004035D0"/>
    <w:rsid w:val="0040361D"/>
    <w:rsid w:val="00403795"/>
    <w:rsid w:val="004041FB"/>
    <w:rsid w:val="0040443E"/>
    <w:rsid w:val="00404D45"/>
    <w:rsid w:val="004056B6"/>
    <w:rsid w:val="00405764"/>
    <w:rsid w:val="00406745"/>
    <w:rsid w:val="0040674B"/>
    <w:rsid w:val="00406B32"/>
    <w:rsid w:val="004074FA"/>
    <w:rsid w:val="004076E2"/>
    <w:rsid w:val="00407A56"/>
    <w:rsid w:val="00407FCC"/>
    <w:rsid w:val="00410301"/>
    <w:rsid w:val="0041035A"/>
    <w:rsid w:val="00410E76"/>
    <w:rsid w:val="004112D1"/>
    <w:rsid w:val="004113C9"/>
    <w:rsid w:val="00411D1E"/>
    <w:rsid w:val="00411DF2"/>
    <w:rsid w:val="004120DF"/>
    <w:rsid w:val="004126B5"/>
    <w:rsid w:val="00414359"/>
    <w:rsid w:val="00414477"/>
    <w:rsid w:val="00414909"/>
    <w:rsid w:val="00414BD5"/>
    <w:rsid w:val="00414D3A"/>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2CA"/>
    <w:rsid w:val="00422907"/>
    <w:rsid w:val="00423059"/>
    <w:rsid w:val="00423125"/>
    <w:rsid w:val="00423256"/>
    <w:rsid w:val="00423309"/>
    <w:rsid w:val="004233AD"/>
    <w:rsid w:val="00424446"/>
    <w:rsid w:val="00424585"/>
    <w:rsid w:val="00424867"/>
    <w:rsid w:val="00425341"/>
    <w:rsid w:val="004255FE"/>
    <w:rsid w:val="00425674"/>
    <w:rsid w:val="00425A82"/>
    <w:rsid w:val="00425C60"/>
    <w:rsid w:val="00425F97"/>
    <w:rsid w:val="00426B2C"/>
    <w:rsid w:val="00427FA8"/>
    <w:rsid w:val="0043009D"/>
    <w:rsid w:val="0043026B"/>
    <w:rsid w:val="00430299"/>
    <w:rsid w:val="004306D4"/>
    <w:rsid w:val="00431433"/>
    <w:rsid w:val="00431A2A"/>
    <w:rsid w:val="00432ECA"/>
    <w:rsid w:val="0043554E"/>
    <w:rsid w:val="004355D4"/>
    <w:rsid w:val="004357B1"/>
    <w:rsid w:val="00435821"/>
    <w:rsid w:val="0043583E"/>
    <w:rsid w:val="00436CCE"/>
    <w:rsid w:val="00436EAD"/>
    <w:rsid w:val="004375E1"/>
    <w:rsid w:val="004379D4"/>
    <w:rsid w:val="00437A2F"/>
    <w:rsid w:val="00440262"/>
    <w:rsid w:val="004406BF"/>
    <w:rsid w:val="00440814"/>
    <w:rsid w:val="0044105D"/>
    <w:rsid w:val="00441424"/>
    <w:rsid w:val="00442731"/>
    <w:rsid w:val="00442C12"/>
    <w:rsid w:val="004434DF"/>
    <w:rsid w:val="0044354B"/>
    <w:rsid w:val="004439F4"/>
    <w:rsid w:val="00443E0C"/>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232"/>
    <w:rsid w:val="00453507"/>
    <w:rsid w:val="00453592"/>
    <w:rsid w:val="004543AB"/>
    <w:rsid w:val="004545EC"/>
    <w:rsid w:val="00455967"/>
    <w:rsid w:val="00455F71"/>
    <w:rsid w:val="00456272"/>
    <w:rsid w:val="004570EF"/>
    <w:rsid w:val="00457517"/>
    <w:rsid w:val="00457CF7"/>
    <w:rsid w:val="00457D37"/>
    <w:rsid w:val="0046028A"/>
    <w:rsid w:val="004604BB"/>
    <w:rsid w:val="00460E3A"/>
    <w:rsid w:val="00460E68"/>
    <w:rsid w:val="00461014"/>
    <w:rsid w:val="004614BC"/>
    <w:rsid w:val="004619A5"/>
    <w:rsid w:val="00461F80"/>
    <w:rsid w:val="0046240D"/>
    <w:rsid w:val="00462898"/>
    <w:rsid w:val="00462D84"/>
    <w:rsid w:val="00463208"/>
    <w:rsid w:val="00463576"/>
    <w:rsid w:val="004636D6"/>
    <w:rsid w:val="0046399D"/>
    <w:rsid w:val="00463EA4"/>
    <w:rsid w:val="00464C4E"/>
    <w:rsid w:val="00465A21"/>
    <w:rsid w:val="00465DE5"/>
    <w:rsid w:val="00466978"/>
    <w:rsid w:val="00466ABA"/>
    <w:rsid w:val="00466B08"/>
    <w:rsid w:val="004672E3"/>
    <w:rsid w:val="0046775D"/>
    <w:rsid w:val="00467823"/>
    <w:rsid w:val="004705FA"/>
    <w:rsid w:val="004708AC"/>
    <w:rsid w:val="00471387"/>
    <w:rsid w:val="0047146C"/>
    <w:rsid w:val="0047149F"/>
    <w:rsid w:val="00471963"/>
    <w:rsid w:val="00471D8D"/>
    <w:rsid w:val="004724B8"/>
    <w:rsid w:val="004728FB"/>
    <w:rsid w:val="00472952"/>
    <w:rsid w:val="004729AD"/>
    <w:rsid w:val="00472CA7"/>
    <w:rsid w:val="00472CEC"/>
    <w:rsid w:val="00473308"/>
    <w:rsid w:val="0047377C"/>
    <w:rsid w:val="0047471E"/>
    <w:rsid w:val="004749DA"/>
    <w:rsid w:val="00474DEF"/>
    <w:rsid w:val="004750E3"/>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60C"/>
    <w:rsid w:val="00483984"/>
    <w:rsid w:val="00483BC7"/>
    <w:rsid w:val="00483CF0"/>
    <w:rsid w:val="00484D4D"/>
    <w:rsid w:val="00486494"/>
    <w:rsid w:val="00486516"/>
    <w:rsid w:val="0048664F"/>
    <w:rsid w:val="004868AD"/>
    <w:rsid w:val="00486D00"/>
    <w:rsid w:val="00487FE1"/>
    <w:rsid w:val="0049007D"/>
    <w:rsid w:val="00490707"/>
    <w:rsid w:val="00490815"/>
    <w:rsid w:val="0049117E"/>
    <w:rsid w:val="00492503"/>
    <w:rsid w:val="004925C8"/>
    <w:rsid w:val="00492AF9"/>
    <w:rsid w:val="00492B76"/>
    <w:rsid w:val="00492BA0"/>
    <w:rsid w:val="0049333E"/>
    <w:rsid w:val="0049418F"/>
    <w:rsid w:val="0049570D"/>
    <w:rsid w:val="00495C48"/>
    <w:rsid w:val="00495DC6"/>
    <w:rsid w:val="004967B9"/>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AFB"/>
    <w:rsid w:val="004A4E3B"/>
    <w:rsid w:val="004A6110"/>
    <w:rsid w:val="004A61B8"/>
    <w:rsid w:val="004A62A2"/>
    <w:rsid w:val="004A6415"/>
    <w:rsid w:val="004A64F9"/>
    <w:rsid w:val="004A65F4"/>
    <w:rsid w:val="004A6D2C"/>
    <w:rsid w:val="004B026C"/>
    <w:rsid w:val="004B0271"/>
    <w:rsid w:val="004B0BE8"/>
    <w:rsid w:val="004B0E4A"/>
    <w:rsid w:val="004B12D0"/>
    <w:rsid w:val="004B18F4"/>
    <w:rsid w:val="004B1A98"/>
    <w:rsid w:val="004B2463"/>
    <w:rsid w:val="004B2E9D"/>
    <w:rsid w:val="004B305F"/>
    <w:rsid w:val="004B34C4"/>
    <w:rsid w:val="004B34E8"/>
    <w:rsid w:val="004B3981"/>
    <w:rsid w:val="004B3A03"/>
    <w:rsid w:val="004B4104"/>
    <w:rsid w:val="004B419F"/>
    <w:rsid w:val="004B4EA9"/>
    <w:rsid w:val="004B53CB"/>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45C8"/>
    <w:rsid w:val="004C4620"/>
    <w:rsid w:val="004C4F8F"/>
    <w:rsid w:val="004C5C18"/>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017"/>
    <w:rsid w:val="004D2326"/>
    <w:rsid w:val="004D2E11"/>
    <w:rsid w:val="004D3108"/>
    <w:rsid w:val="004D329C"/>
    <w:rsid w:val="004D34D1"/>
    <w:rsid w:val="004D4523"/>
    <w:rsid w:val="004D4664"/>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248"/>
    <w:rsid w:val="004E1D6F"/>
    <w:rsid w:val="004E1DF3"/>
    <w:rsid w:val="004E2393"/>
    <w:rsid w:val="004E3117"/>
    <w:rsid w:val="004E3A2A"/>
    <w:rsid w:val="004E3AB1"/>
    <w:rsid w:val="004E4003"/>
    <w:rsid w:val="004E4626"/>
    <w:rsid w:val="004E4984"/>
    <w:rsid w:val="004E5101"/>
    <w:rsid w:val="004E5380"/>
    <w:rsid w:val="004E6558"/>
    <w:rsid w:val="004E6746"/>
    <w:rsid w:val="004E675C"/>
    <w:rsid w:val="004E6CAC"/>
    <w:rsid w:val="004E6F69"/>
    <w:rsid w:val="004E74F2"/>
    <w:rsid w:val="004E75C1"/>
    <w:rsid w:val="004E777F"/>
    <w:rsid w:val="004E7E66"/>
    <w:rsid w:val="004F07F2"/>
    <w:rsid w:val="004F07F9"/>
    <w:rsid w:val="004F0A50"/>
    <w:rsid w:val="004F0A51"/>
    <w:rsid w:val="004F0D1F"/>
    <w:rsid w:val="004F0E82"/>
    <w:rsid w:val="004F1523"/>
    <w:rsid w:val="004F1847"/>
    <w:rsid w:val="004F1CE1"/>
    <w:rsid w:val="004F1F9E"/>
    <w:rsid w:val="004F2491"/>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254"/>
    <w:rsid w:val="004F73BD"/>
    <w:rsid w:val="004F7922"/>
    <w:rsid w:val="004F7A1F"/>
    <w:rsid w:val="004F7B47"/>
    <w:rsid w:val="0050079C"/>
    <w:rsid w:val="0050106A"/>
    <w:rsid w:val="005010BC"/>
    <w:rsid w:val="00501848"/>
    <w:rsid w:val="0050258A"/>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4FB2"/>
    <w:rsid w:val="00515180"/>
    <w:rsid w:val="00515973"/>
    <w:rsid w:val="00516069"/>
    <w:rsid w:val="00517AC8"/>
    <w:rsid w:val="00517C3E"/>
    <w:rsid w:val="005207D8"/>
    <w:rsid w:val="0052091D"/>
    <w:rsid w:val="005212F4"/>
    <w:rsid w:val="00521908"/>
    <w:rsid w:val="00521BCC"/>
    <w:rsid w:val="005224BC"/>
    <w:rsid w:val="00522928"/>
    <w:rsid w:val="00522FF1"/>
    <w:rsid w:val="00523946"/>
    <w:rsid w:val="0052397A"/>
    <w:rsid w:val="005243FC"/>
    <w:rsid w:val="005256D6"/>
    <w:rsid w:val="00525AD8"/>
    <w:rsid w:val="00526429"/>
    <w:rsid w:val="005266C1"/>
    <w:rsid w:val="005267F4"/>
    <w:rsid w:val="005269D3"/>
    <w:rsid w:val="00527317"/>
    <w:rsid w:val="00527ED6"/>
    <w:rsid w:val="0053024F"/>
    <w:rsid w:val="00531064"/>
    <w:rsid w:val="005312CB"/>
    <w:rsid w:val="005313B2"/>
    <w:rsid w:val="005317BA"/>
    <w:rsid w:val="00531911"/>
    <w:rsid w:val="00531E92"/>
    <w:rsid w:val="005324D7"/>
    <w:rsid w:val="005326F0"/>
    <w:rsid w:val="0053275F"/>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91A"/>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3B7"/>
    <w:rsid w:val="00550AC5"/>
    <w:rsid w:val="00550B7E"/>
    <w:rsid w:val="00551052"/>
    <w:rsid w:val="005524ED"/>
    <w:rsid w:val="00552D8C"/>
    <w:rsid w:val="00553F91"/>
    <w:rsid w:val="00554007"/>
    <w:rsid w:val="00554C03"/>
    <w:rsid w:val="00554C58"/>
    <w:rsid w:val="00554D5D"/>
    <w:rsid w:val="005550F9"/>
    <w:rsid w:val="00556338"/>
    <w:rsid w:val="00556441"/>
    <w:rsid w:val="0055693B"/>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3FC9"/>
    <w:rsid w:val="0056419C"/>
    <w:rsid w:val="00564D70"/>
    <w:rsid w:val="00564DA7"/>
    <w:rsid w:val="00565204"/>
    <w:rsid w:val="00565473"/>
    <w:rsid w:val="00565AB1"/>
    <w:rsid w:val="00565AF9"/>
    <w:rsid w:val="00565DAC"/>
    <w:rsid w:val="00565F0D"/>
    <w:rsid w:val="005662DC"/>
    <w:rsid w:val="00566329"/>
    <w:rsid w:val="005668B9"/>
    <w:rsid w:val="00566AD4"/>
    <w:rsid w:val="00566E39"/>
    <w:rsid w:val="0056704E"/>
    <w:rsid w:val="00567623"/>
    <w:rsid w:val="005701C2"/>
    <w:rsid w:val="00570763"/>
    <w:rsid w:val="00570EBB"/>
    <w:rsid w:val="0057200B"/>
    <w:rsid w:val="00572297"/>
    <w:rsid w:val="0057345D"/>
    <w:rsid w:val="0057347D"/>
    <w:rsid w:val="00573560"/>
    <w:rsid w:val="00573CE6"/>
    <w:rsid w:val="00574E7B"/>
    <w:rsid w:val="00574F36"/>
    <w:rsid w:val="00576B5C"/>
    <w:rsid w:val="005770CC"/>
    <w:rsid w:val="005802F9"/>
    <w:rsid w:val="005806D5"/>
    <w:rsid w:val="00580DFC"/>
    <w:rsid w:val="0058134C"/>
    <w:rsid w:val="005815CD"/>
    <w:rsid w:val="00581AE9"/>
    <w:rsid w:val="0058260C"/>
    <w:rsid w:val="005827A7"/>
    <w:rsid w:val="00583D43"/>
    <w:rsid w:val="005846C3"/>
    <w:rsid w:val="00584F04"/>
    <w:rsid w:val="0058544C"/>
    <w:rsid w:val="00585623"/>
    <w:rsid w:val="005857F7"/>
    <w:rsid w:val="00585D9D"/>
    <w:rsid w:val="005865E9"/>
    <w:rsid w:val="005868FD"/>
    <w:rsid w:val="00587D7B"/>
    <w:rsid w:val="00587FDB"/>
    <w:rsid w:val="005904DB"/>
    <w:rsid w:val="005905ED"/>
    <w:rsid w:val="00590D11"/>
    <w:rsid w:val="0059180B"/>
    <w:rsid w:val="00591911"/>
    <w:rsid w:val="00591BA6"/>
    <w:rsid w:val="005924F2"/>
    <w:rsid w:val="00592825"/>
    <w:rsid w:val="00593DC7"/>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AC9"/>
    <w:rsid w:val="005A4C20"/>
    <w:rsid w:val="005A4F48"/>
    <w:rsid w:val="005A54F1"/>
    <w:rsid w:val="005A57B8"/>
    <w:rsid w:val="005A5DDE"/>
    <w:rsid w:val="005A64A8"/>
    <w:rsid w:val="005A65C5"/>
    <w:rsid w:val="005A6875"/>
    <w:rsid w:val="005A6F0B"/>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0FBA"/>
    <w:rsid w:val="005C160D"/>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226"/>
    <w:rsid w:val="005D266D"/>
    <w:rsid w:val="005D306D"/>
    <w:rsid w:val="005D3327"/>
    <w:rsid w:val="005D4854"/>
    <w:rsid w:val="005D5BCF"/>
    <w:rsid w:val="005D65BF"/>
    <w:rsid w:val="005D6D84"/>
    <w:rsid w:val="005D70A1"/>
    <w:rsid w:val="005D79F2"/>
    <w:rsid w:val="005D7C91"/>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6E5A"/>
    <w:rsid w:val="005E721E"/>
    <w:rsid w:val="005F0857"/>
    <w:rsid w:val="005F1470"/>
    <w:rsid w:val="005F15A9"/>
    <w:rsid w:val="005F2807"/>
    <w:rsid w:val="005F2CD5"/>
    <w:rsid w:val="005F32A1"/>
    <w:rsid w:val="005F3382"/>
    <w:rsid w:val="005F3720"/>
    <w:rsid w:val="005F516D"/>
    <w:rsid w:val="005F5506"/>
    <w:rsid w:val="005F5A0D"/>
    <w:rsid w:val="005F60DF"/>
    <w:rsid w:val="005F615B"/>
    <w:rsid w:val="005F61DF"/>
    <w:rsid w:val="005F663B"/>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0E9"/>
    <w:rsid w:val="00603373"/>
    <w:rsid w:val="006036D0"/>
    <w:rsid w:val="00603B1C"/>
    <w:rsid w:val="006042CD"/>
    <w:rsid w:val="00604375"/>
    <w:rsid w:val="00605217"/>
    <w:rsid w:val="006054A5"/>
    <w:rsid w:val="006059E4"/>
    <w:rsid w:val="00605D60"/>
    <w:rsid w:val="006062A0"/>
    <w:rsid w:val="00607015"/>
    <w:rsid w:val="0061098D"/>
    <w:rsid w:val="00610B78"/>
    <w:rsid w:val="00611992"/>
    <w:rsid w:val="00611B59"/>
    <w:rsid w:val="00611FBA"/>
    <w:rsid w:val="00612098"/>
    <w:rsid w:val="0061272A"/>
    <w:rsid w:val="00612BF8"/>
    <w:rsid w:val="006130D0"/>
    <w:rsid w:val="0061355D"/>
    <w:rsid w:val="006139F7"/>
    <w:rsid w:val="00613AA2"/>
    <w:rsid w:val="00614906"/>
    <w:rsid w:val="0061517F"/>
    <w:rsid w:val="00615276"/>
    <w:rsid w:val="006155F1"/>
    <w:rsid w:val="00615846"/>
    <w:rsid w:val="006160F0"/>
    <w:rsid w:val="0061618F"/>
    <w:rsid w:val="0061624B"/>
    <w:rsid w:val="00616400"/>
    <w:rsid w:val="006166AD"/>
    <w:rsid w:val="00616812"/>
    <w:rsid w:val="00616C1E"/>
    <w:rsid w:val="00617EFC"/>
    <w:rsid w:val="00620055"/>
    <w:rsid w:val="00620336"/>
    <w:rsid w:val="006204B3"/>
    <w:rsid w:val="006204C2"/>
    <w:rsid w:val="006212D3"/>
    <w:rsid w:val="00621639"/>
    <w:rsid w:val="00622B22"/>
    <w:rsid w:val="00622F67"/>
    <w:rsid w:val="00623571"/>
    <w:rsid w:val="00623A5E"/>
    <w:rsid w:val="00624B9F"/>
    <w:rsid w:val="00625008"/>
    <w:rsid w:val="0062548B"/>
    <w:rsid w:val="00626710"/>
    <w:rsid w:val="00626930"/>
    <w:rsid w:val="00626AD3"/>
    <w:rsid w:val="00626BAC"/>
    <w:rsid w:val="006270AE"/>
    <w:rsid w:val="006271C3"/>
    <w:rsid w:val="00627976"/>
    <w:rsid w:val="00627B14"/>
    <w:rsid w:val="0063001E"/>
    <w:rsid w:val="00630023"/>
    <w:rsid w:val="006308EE"/>
    <w:rsid w:val="00630C70"/>
    <w:rsid w:val="00630D67"/>
    <w:rsid w:val="00631005"/>
    <w:rsid w:val="00631C79"/>
    <w:rsid w:val="00632284"/>
    <w:rsid w:val="00632727"/>
    <w:rsid w:val="0063283D"/>
    <w:rsid w:val="00633769"/>
    <w:rsid w:val="00633FE3"/>
    <w:rsid w:val="00634276"/>
    <w:rsid w:val="00634570"/>
    <w:rsid w:val="0063487C"/>
    <w:rsid w:val="00635B73"/>
    <w:rsid w:val="00635BB7"/>
    <w:rsid w:val="0063683F"/>
    <w:rsid w:val="00636CC7"/>
    <w:rsid w:val="0063727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D4F"/>
    <w:rsid w:val="00644E2E"/>
    <w:rsid w:val="00645A3A"/>
    <w:rsid w:val="00645B87"/>
    <w:rsid w:val="00645CB4"/>
    <w:rsid w:val="00646084"/>
    <w:rsid w:val="006468ED"/>
    <w:rsid w:val="00646DA2"/>
    <w:rsid w:val="00646E7A"/>
    <w:rsid w:val="00647664"/>
    <w:rsid w:val="00650D19"/>
    <w:rsid w:val="006521D7"/>
    <w:rsid w:val="00652CF5"/>
    <w:rsid w:val="0065343E"/>
    <w:rsid w:val="006536BB"/>
    <w:rsid w:val="0065398F"/>
    <w:rsid w:val="00653C7C"/>
    <w:rsid w:val="00654252"/>
    <w:rsid w:val="006543B7"/>
    <w:rsid w:val="00654EA5"/>
    <w:rsid w:val="0065587E"/>
    <w:rsid w:val="006558CD"/>
    <w:rsid w:val="0065592E"/>
    <w:rsid w:val="00655C26"/>
    <w:rsid w:val="0065637A"/>
    <w:rsid w:val="00656998"/>
    <w:rsid w:val="00656E4D"/>
    <w:rsid w:val="006576BA"/>
    <w:rsid w:val="00657CBB"/>
    <w:rsid w:val="006600BF"/>
    <w:rsid w:val="00660AF7"/>
    <w:rsid w:val="00660D3E"/>
    <w:rsid w:val="00661691"/>
    <w:rsid w:val="00662D3D"/>
    <w:rsid w:val="00662F1F"/>
    <w:rsid w:val="00663D15"/>
    <w:rsid w:val="00665030"/>
    <w:rsid w:val="00665670"/>
    <w:rsid w:val="006659EA"/>
    <w:rsid w:val="00665F27"/>
    <w:rsid w:val="006661E8"/>
    <w:rsid w:val="00666424"/>
    <w:rsid w:val="0066676C"/>
    <w:rsid w:val="006673B9"/>
    <w:rsid w:val="0066790C"/>
    <w:rsid w:val="00667FF0"/>
    <w:rsid w:val="00670319"/>
    <w:rsid w:val="00670C7C"/>
    <w:rsid w:val="00671480"/>
    <w:rsid w:val="006717E7"/>
    <w:rsid w:val="00671FD5"/>
    <w:rsid w:val="006720BC"/>
    <w:rsid w:val="006722B0"/>
    <w:rsid w:val="00672906"/>
    <w:rsid w:val="00672C73"/>
    <w:rsid w:val="00673B64"/>
    <w:rsid w:val="006753AC"/>
    <w:rsid w:val="00675430"/>
    <w:rsid w:val="006755F0"/>
    <w:rsid w:val="00675749"/>
    <w:rsid w:val="006759FE"/>
    <w:rsid w:val="00675C59"/>
    <w:rsid w:val="0067736F"/>
    <w:rsid w:val="00677382"/>
    <w:rsid w:val="006776F6"/>
    <w:rsid w:val="0067772D"/>
    <w:rsid w:val="00677991"/>
    <w:rsid w:val="00677AD2"/>
    <w:rsid w:val="00680326"/>
    <w:rsid w:val="00680714"/>
    <w:rsid w:val="0068071D"/>
    <w:rsid w:val="00680C6B"/>
    <w:rsid w:val="006811F3"/>
    <w:rsid w:val="00681240"/>
    <w:rsid w:val="00681A77"/>
    <w:rsid w:val="00683068"/>
    <w:rsid w:val="00683DAD"/>
    <w:rsid w:val="00684592"/>
    <w:rsid w:val="00684963"/>
    <w:rsid w:val="00685033"/>
    <w:rsid w:val="0068517F"/>
    <w:rsid w:val="0068564B"/>
    <w:rsid w:val="00685D65"/>
    <w:rsid w:val="00685FC8"/>
    <w:rsid w:val="0068676C"/>
    <w:rsid w:val="00686E80"/>
    <w:rsid w:val="0068790B"/>
    <w:rsid w:val="00687AF2"/>
    <w:rsid w:val="006901AC"/>
    <w:rsid w:val="00690C8D"/>
    <w:rsid w:val="0069168D"/>
    <w:rsid w:val="00691890"/>
    <w:rsid w:val="00691AAD"/>
    <w:rsid w:val="00691DFC"/>
    <w:rsid w:val="00692416"/>
    <w:rsid w:val="00692AFF"/>
    <w:rsid w:val="00692D2D"/>
    <w:rsid w:val="00692D66"/>
    <w:rsid w:val="00693B73"/>
    <w:rsid w:val="006945A1"/>
    <w:rsid w:val="00694A53"/>
    <w:rsid w:val="006952DE"/>
    <w:rsid w:val="00695985"/>
    <w:rsid w:val="00695C78"/>
    <w:rsid w:val="00695E6C"/>
    <w:rsid w:val="00695EAC"/>
    <w:rsid w:val="00696904"/>
    <w:rsid w:val="00696C79"/>
    <w:rsid w:val="00697068"/>
    <w:rsid w:val="006977DE"/>
    <w:rsid w:val="00697907"/>
    <w:rsid w:val="00697D5F"/>
    <w:rsid w:val="006A035B"/>
    <w:rsid w:val="006A0582"/>
    <w:rsid w:val="006A060C"/>
    <w:rsid w:val="006A06F8"/>
    <w:rsid w:val="006A071C"/>
    <w:rsid w:val="006A0DC7"/>
    <w:rsid w:val="006A150D"/>
    <w:rsid w:val="006A1B00"/>
    <w:rsid w:val="006A2766"/>
    <w:rsid w:val="006A394B"/>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C07"/>
    <w:rsid w:val="006B3D00"/>
    <w:rsid w:val="006B4CF8"/>
    <w:rsid w:val="006B506B"/>
    <w:rsid w:val="006B54E8"/>
    <w:rsid w:val="006B5FBC"/>
    <w:rsid w:val="006B6ED2"/>
    <w:rsid w:val="006B70D5"/>
    <w:rsid w:val="006B7F74"/>
    <w:rsid w:val="006C0230"/>
    <w:rsid w:val="006C05C7"/>
    <w:rsid w:val="006C0E68"/>
    <w:rsid w:val="006C1F31"/>
    <w:rsid w:val="006C25AB"/>
    <w:rsid w:val="006C2DA6"/>
    <w:rsid w:val="006C3581"/>
    <w:rsid w:val="006C38AB"/>
    <w:rsid w:val="006C39A0"/>
    <w:rsid w:val="006C3EFE"/>
    <w:rsid w:val="006C4282"/>
    <w:rsid w:val="006C46C7"/>
    <w:rsid w:val="006C4767"/>
    <w:rsid w:val="006C4A1A"/>
    <w:rsid w:val="006C4D02"/>
    <w:rsid w:val="006C53A4"/>
    <w:rsid w:val="006C54DF"/>
    <w:rsid w:val="006C5D5D"/>
    <w:rsid w:val="006C627E"/>
    <w:rsid w:val="006C6303"/>
    <w:rsid w:val="006C669B"/>
    <w:rsid w:val="006C6A51"/>
    <w:rsid w:val="006C6EBD"/>
    <w:rsid w:val="006C7E04"/>
    <w:rsid w:val="006C7F79"/>
    <w:rsid w:val="006D0004"/>
    <w:rsid w:val="006D015F"/>
    <w:rsid w:val="006D060E"/>
    <w:rsid w:val="006D0681"/>
    <w:rsid w:val="006D0A80"/>
    <w:rsid w:val="006D0AE8"/>
    <w:rsid w:val="006D135C"/>
    <w:rsid w:val="006D2F72"/>
    <w:rsid w:val="006D3E70"/>
    <w:rsid w:val="006D43C1"/>
    <w:rsid w:val="006D4955"/>
    <w:rsid w:val="006D4BE9"/>
    <w:rsid w:val="006D5442"/>
    <w:rsid w:val="006D6921"/>
    <w:rsid w:val="006D6E4E"/>
    <w:rsid w:val="006D7A7B"/>
    <w:rsid w:val="006D7A8E"/>
    <w:rsid w:val="006D7C59"/>
    <w:rsid w:val="006E00E3"/>
    <w:rsid w:val="006E045C"/>
    <w:rsid w:val="006E0569"/>
    <w:rsid w:val="006E065E"/>
    <w:rsid w:val="006E0849"/>
    <w:rsid w:val="006E11D6"/>
    <w:rsid w:val="006E17AC"/>
    <w:rsid w:val="006E189B"/>
    <w:rsid w:val="006E20D9"/>
    <w:rsid w:val="006E2561"/>
    <w:rsid w:val="006E27DC"/>
    <w:rsid w:val="006E2902"/>
    <w:rsid w:val="006E292E"/>
    <w:rsid w:val="006E2F9D"/>
    <w:rsid w:val="006E37C6"/>
    <w:rsid w:val="006E3CF3"/>
    <w:rsid w:val="006E41ED"/>
    <w:rsid w:val="006E4667"/>
    <w:rsid w:val="006E46B7"/>
    <w:rsid w:val="006E475A"/>
    <w:rsid w:val="006E486D"/>
    <w:rsid w:val="006E4880"/>
    <w:rsid w:val="006E48BB"/>
    <w:rsid w:val="006E618C"/>
    <w:rsid w:val="006E727B"/>
    <w:rsid w:val="006E73B4"/>
    <w:rsid w:val="006E76C8"/>
    <w:rsid w:val="006E7A92"/>
    <w:rsid w:val="006F01FF"/>
    <w:rsid w:val="006F0C11"/>
    <w:rsid w:val="006F0CB2"/>
    <w:rsid w:val="006F1DE9"/>
    <w:rsid w:val="006F2046"/>
    <w:rsid w:val="006F2555"/>
    <w:rsid w:val="006F2F59"/>
    <w:rsid w:val="006F311E"/>
    <w:rsid w:val="006F3442"/>
    <w:rsid w:val="006F36A5"/>
    <w:rsid w:val="006F39F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2F3D"/>
    <w:rsid w:val="0070353F"/>
    <w:rsid w:val="00703A99"/>
    <w:rsid w:val="0070415E"/>
    <w:rsid w:val="00704631"/>
    <w:rsid w:val="00704B79"/>
    <w:rsid w:val="00704E7D"/>
    <w:rsid w:val="00705060"/>
    <w:rsid w:val="00705351"/>
    <w:rsid w:val="00705619"/>
    <w:rsid w:val="00705E93"/>
    <w:rsid w:val="007062AF"/>
    <w:rsid w:val="007069AE"/>
    <w:rsid w:val="007069D4"/>
    <w:rsid w:val="00706C89"/>
    <w:rsid w:val="00707967"/>
    <w:rsid w:val="00710224"/>
    <w:rsid w:val="00710257"/>
    <w:rsid w:val="00710587"/>
    <w:rsid w:val="007107D5"/>
    <w:rsid w:val="007119DC"/>
    <w:rsid w:val="00711CC7"/>
    <w:rsid w:val="0071230A"/>
    <w:rsid w:val="0071281A"/>
    <w:rsid w:val="00712930"/>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821"/>
    <w:rsid w:val="00727AC5"/>
    <w:rsid w:val="00727C65"/>
    <w:rsid w:val="007300F0"/>
    <w:rsid w:val="00730904"/>
    <w:rsid w:val="00731D13"/>
    <w:rsid w:val="00731EDE"/>
    <w:rsid w:val="0073245C"/>
    <w:rsid w:val="00732493"/>
    <w:rsid w:val="00732FE9"/>
    <w:rsid w:val="00733772"/>
    <w:rsid w:val="00733A43"/>
    <w:rsid w:val="00733AE4"/>
    <w:rsid w:val="00733D5F"/>
    <w:rsid w:val="00734932"/>
    <w:rsid w:val="00735D53"/>
    <w:rsid w:val="0073618A"/>
    <w:rsid w:val="007364A3"/>
    <w:rsid w:val="00736740"/>
    <w:rsid w:val="00737079"/>
    <w:rsid w:val="007378FD"/>
    <w:rsid w:val="007379E8"/>
    <w:rsid w:val="007403FE"/>
    <w:rsid w:val="00740495"/>
    <w:rsid w:val="007405ED"/>
    <w:rsid w:val="007413EB"/>
    <w:rsid w:val="007413FB"/>
    <w:rsid w:val="00742D32"/>
    <w:rsid w:val="00742E9B"/>
    <w:rsid w:val="0074310F"/>
    <w:rsid w:val="007444E6"/>
    <w:rsid w:val="00745184"/>
    <w:rsid w:val="0074592C"/>
    <w:rsid w:val="00745C91"/>
    <w:rsid w:val="00746098"/>
    <w:rsid w:val="00746D58"/>
    <w:rsid w:val="00747578"/>
    <w:rsid w:val="00750D12"/>
    <w:rsid w:val="00751073"/>
    <w:rsid w:val="0075191B"/>
    <w:rsid w:val="00751AF2"/>
    <w:rsid w:val="00751B1A"/>
    <w:rsid w:val="00751BD2"/>
    <w:rsid w:val="00751C69"/>
    <w:rsid w:val="00751CE5"/>
    <w:rsid w:val="00752034"/>
    <w:rsid w:val="00752188"/>
    <w:rsid w:val="00752859"/>
    <w:rsid w:val="00752CC6"/>
    <w:rsid w:val="0075307A"/>
    <w:rsid w:val="00753938"/>
    <w:rsid w:val="00753A57"/>
    <w:rsid w:val="0075418B"/>
    <w:rsid w:val="007543CE"/>
    <w:rsid w:val="0075497E"/>
    <w:rsid w:val="00754A29"/>
    <w:rsid w:val="00754CB9"/>
    <w:rsid w:val="00755B6F"/>
    <w:rsid w:val="00755BCF"/>
    <w:rsid w:val="00756C5F"/>
    <w:rsid w:val="00756D69"/>
    <w:rsid w:val="0075700D"/>
    <w:rsid w:val="00757029"/>
    <w:rsid w:val="007571FD"/>
    <w:rsid w:val="0075723D"/>
    <w:rsid w:val="007602D4"/>
    <w:rsid w:val="007606A3"/>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5B03"/>
    <w:rsid w:val="007660EC"/>
    <w:rsid w:val="007662C7"/>
    <w:rsid w:val="00766862"/>
    <w:rsid w:val="007675DD"/>
    <w:rsid w:val="007702BF"/>
    <w:rsid w:val="007705F0"/>
    <w:rsid w:val="00771CAC"/>
    <w:rsid w:val="00772036"/>
    <w:rsid w:val="00773098"/>
    <w:rsid w:val="00773610"/>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8BA"/>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4E4F"/>
    <w:rsid w:val="007952DE"/>
    <w:rsid w:val="00795479"/>
    <w:rsid w:val="00796292"/>
    <w:rsid w:val="007965D9"/>
    <w:rsid w:val="00796BA2"/>
    <w:rsid w:val="00796CF9"/>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029"/>
    <w:rsid w:val="007A54F6"/>
    <w:rsid w:val="007A55FE"/>
    <w:rsid w:val="007A582C"/>
    <w:rsid w:val="007A5950"/>
    <w:rsid w:val="007A6D91"/>
    <w:rsid w:val="007A7618"/>
    <w:rsid w:val="007A7DAD"/>
    <w:rsid w:val="007B00C9"/>
    <w:rsid w:val="007B02C7"/>
    <w:rsid w:val="007B0306"/>
    <w:rsid w:val="007B084C"/>
    <w:rsid w:val="007B08E4"/>
    <w:rsid w:val="007B0D86"/>
    <w:rsid w:val="007B28C3"/>
    <w:rsid w:val="007B305E"/>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B7ECE"/>
    <w:rsid w:val="007C029E"/>
    <w:rsid w:val="007C0636"/>
    <w:rsid w:val="007C10E4"/>
    <w:rsid w:val="007C159F"/>
    <w:rsid w:val="007C17B4"/>
    <w:rsid w:val="007C19F6"/>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E15"/>
    <w:rsid w:val="007C6FE9"/>
    <w:rsid w:val="007C7688"/>
    <w:rsid w:val="007C76E3"/>
    <w:rsid w:val="007C76F3"/>
    <w:rsid w:val="007C7DD9"/>
    <w:rsid w:val="007D03BC"/>
    <w:rsid w:val="007D0DC9"/>
    <w:rsid w:val="007D0ECD"/>
    <w:rsid w:val="007D1374"/>
    <w:rsid w:val="007D2882"/>
    <w:rsid w:val="007D296C"/>
    <w:rsid w:val="007D2C31"/>
    <w:rsid w:val="007D2E50"/>
    <w:rsid w:val="007D37EE"/>
    <w:rsid w:val="007D3D74"/>
    <w:rsid w:val="007D3E59"/>
    <w:rsid w:val="007D445F"/>
    <w:rsid w:val="007D4DED"/>
    <w:rsid w:val="007D5B91"/>
    <w:rsid w:val="007D5BA2"/>
    <w:rsid w:val="007D5ED3"/>
    <w:rsid w:val="007D682F"/>
    <w:rsid w:val="007D6FB9"/>
    <w:rsid w:val="007D7211"/>
    <w:rsid w:val="007E0595"/>
    <w:rsid w:val="007E0A63"/>
    <w:rsid w:val="007E0C63"/>
    <w:rsid w:val="007E0E05"/>
    <w:rsid w:val="007E0F5D"/>
    <w:rsid w:val="007E23A1"/>
    <w:rsid w:val="007E259F"/>
    <w:rsid w:val="007E2E09"/>
    <w:rsid w:val="007E347E"/>
    <w:rsid w:val="007E3A1A"/>
    <w:rsid w:val="007E3E3D"/>
    <w:rsid w:val="007E41A4"/>
    <w:rsid w:val="007E43E3"/>
    <w:rsid w:val="007E54B8"/>
    <w:rsid w:val="007E56FB"/>
    <w:rsid w:val="007E5D12"/>
    <w:rsid w:val="007E6420"/>
    <w:rsid w:val="007E677F"/>
    <w:rsid w:val="007E6B25"/>
    <w:rsid w:val="007E6E06"/>
    <w:rsid w:val="007E6F4A"/>
    <w:rsid w:val="007E79CC"/>
    <w:rsid w:val="007E7DAE"/>
    <w:rsid w:val="007F1124"/>
    <w:rsid w:val="007F152D"/>
    <w:rsid w:val="007F20C4"/>
    <w:rsid w:val="007F20EE"/>
    <w:rsid w:val="007F23D8"/>
    <w:rsid w:val="007F267E"/>
    <w:rsid w:val="007F307A"/>
    <w:rsid w:val="007F30C6"/>
    <w:rsid w:val="007F3561"/>
    <w:rsid w:val="007F38FD"/>
    <w:rsid w:val="007F3C18"/>
    <w:rsid w:val="007F4318"/>
    <w:rsid w:val="007F4709"/>
    <w:rsid w:val="007F47DA"/>
    <w:rsid w:val="007F4E52"/>
    <w:rsid w:val="007F4F84"/>
    <w:rsid w:val="007F5382"/>
    <w:rsid w:val="007F55A4"/>
    <w:rsid w:val="007F5D28"/>
    <w:rsid w:val="007F6260"/>
    <w:rsid w:val="007F631D"/>
    <w:rsid w:val="007F6370"/>
    <w:rsid w:val="007F682B"/>
    <w:rsid w:val="007F78E8"/>
    <w:rsid w:val="007F7F8F"/>
    <w:rsid w:val="00800509"/>
    <w:rsid w:val="0080078E"/>
    <w:rsid w:val="00800B7F"/>
    <w:rsid w:val="008012B1"/>
    <w:rsid w:val="0080133B"/>
    <w:rsid w:val="00801D63"/>
    <w:rsid w:val="0080348B"/>
    <w:rsid w:val="00803632"/>
    <w:rsid w:val="00803D82"/>
    <w:rsid w:val="00803D98"/>
    <w:rsid w:val="008052CE"/>
    <w:rsid w:val="008058D0"/>
    <w:rsid w:val="00806446"/>
    <w:rsid w:val="00806A4C"/>
    <w:rsid w:val="0080705B"/>
    <w:rsid w:val="0080723C"/>
    <w:rsid w:val="00807F71"/>
    <w:rsid w:val="0081000F"/>
    <w:rsid w:val="00810057"/>
    <w:rsid w:val="00812657"/>
    <w:rsid w:val="00812A1A"/>
    <w:rsid w:val="00812DFF"/>
    <w:rsid w:val="0081362F"/>
    <w:rsid w:val="0081383A"/>
    <w:rsid w:val="00813EC2"/>
    <w:rsid w:val="008147EA"/>
    <w:rsid w:val="0081497F"/>
    <w:rsid w:val="00814B90"/>
    <w:rsid w:val="00814DBC"/>
    <w:rsid w:val="00814FC7"/>
    <w:rsid w:val="0081660C"/>
    <w:rsid w:val="00817195"/>
    <w:rsid w:val="00817416"/>
    <w:rsid w:val="00817658"/>
    <w:rsid w:val="00817CFF"/>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3F52"/>
    <w:rsid w:val="0083445C"/>
    <w:rsid w:val="00834FEF"/>
    <w:rsid w:val="008360B7"/>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47907"/>
    <w:rsid w:val="00850013"/>
    <w:rsid w:val="008500DD"/>
    <w:rsid w:val="00850A0A"/>
    <w:rsid w:val="00850A94"/>
    <w:rsid w:val="00851E96"/>
    <w:rsid w:val="00851F1C"/>
    <w:rsid w:val="00852FA5"/>
    <w:rsid w:val="00853208"/>
    <w:rsid w:val="00853F7D"/>
    <w:rsid w:val="0085517F"/>
    <w:rsid w:val="0085562D"/>
    <w:rsid w:val="00855A78"/>
    <w:rsid w:val="00855E96"/>
    <w:rsid w:val="00856154"/>
    <w:rsid w:val="00856286"/>
    <w:rsid w:val="0085657E"/>
    <w:rsid w:val="00856F0E"/>
    <w:rsid w:val="008573AF"/>
    <w:rsid w:val="008576B0"/>
    <w:rsid w:val="00860296"/>
    <w:rsid w:val="008602E3"/>
    <w:rsid w:val="00860DA4"/>
    <w:rsid w:val="00861146"/>
    <w:rsid w:val="00861948"/>
    <w:rsid w:val="00862011"/>
    <w:rsid w:val="00862A15"/>
    <w:rsid w:val="00862AAE"/>
    <w:rsid w:val="00862CC9"/>
    <w:rsid w:val="00862D8E"/>
    <w:rsid w:val="00862EF2"/>
    <w:rsid w:val="00863D33"/>
    <w:rsid w:val="00864FB3"/>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63E"/>
    <w:rsid w:val="00873897"/>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1ED4"/>
    <w:rsid w:val="00882991"/>
    <w:rsid w:val="00882EC1"/>
    <w:rsid w:val="0088324E"/>
    <w:rsid w:val="0088434F"/>
    <w:rsid w:val="00884371"/>
    <w:rsid w:val="008848E2"/>
    <w:rsid w:val="00884B7A"/>
    <w:rsid w:val="00884D47"/>
    <w:rsid w:val="008856C5"/>
    <w:rsid w:val="00886112"/>
    <w:rsid w:val="008870B9"/>
    <w:rsid w:val="008872B3"/>
    <w:rsid w:val="00887392"/>
    <w:rsid w:val="00890A64"/>
    <w:rsid w:val="00890C40"/>
    <w:rsid w:val="0089122E"/>
    <w:rsid w:val="008912A7"/>
    <w:rsid w:val="0089183A"/>
    <w:rsid w:val="00891CF0"/>
    <w:rsid w:val="008920B4"/>
    <w:rsid w:val="008925EB"/>
    <w:rsid w:val="0089275E"/>
    <w:rsid w:val="00892B43"/>
    <w:rsid w:val="00893432"/>
    <w:rsid w:val="00893936"/>
    <w:rsid w:val="00893CE2"/>
    <w:rsid w:val="00893F41"/>
    <w:rsid w:val="00895144"/>
    <w:rsid w:val="008953AB"/>
    <w:rsid w:val="00895963"/>
    <w:rsid w:val="008972B6"/>
    <w:rsid w:val="00897339"/>
    <w:rsid w:val="00897697"/>
    <w:rsid w:val="008977E1"/>
    <w:rsid w:val="00897BFA"/>
    <w:rsid w:val="00897D19"/>
    <w:rsid w:val="008A0044"/>
    <w:rsid w:val="008A0BFE"/>
    <w:rsid w:val="008A1932"/>
    <w:rsid w:val="008A21D9"/>
    <w:rsid w:val="008A232D"/>
    <w:rsid w:val="008A2D78"/>
    <w:rsid w:val="008A3182"/>
    <w:rsid w:val="008A3C76"/>
    <w:rsid w:val="008A3D54"/>
    <w:rsid w:val="008A3E10"/>
    <w:rsid w:val="008A411C"/>
    <w:rsid w:val="008A4630"/>
    <w:rsid w:val="008A47CE"/>
    <w:rsid w:val="008A4DFA"/>
    <w:rsid w:val="008A5D0E"/>
    <w:rsid w:val="008A5F2F"/>
    <w:rsid w:val="008A6BAE"/>
    <w:rsid w:val="008A7350"/>
    <w:rsid w:val="008A7A72"/>
    <w:rsid w:val="008B09F3"/>
    <w:rsid w:val="008B111A"/>
    <w:rsid w:val="008B16E6"/>
    <w:rsid w:val="008B1AB2"/>
    <w:rsid w:val="008B1B17"/>
    <w:rsid w:val="008B1D9B"/>
    <w:rsid w:val="008B2042"/>
    <w:rsid w:val="008B25F1"/>
    <w:rsid w:val="008B305D"/>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107"/>
    <w:rsid w:val="008B770C"/>
    <w:rsid w:val="008C0325"/>
    <w:rsid w:val="008C094A"/>
    <w:rsid w:val="008C1570"/>
    <w:rsid w:val="008C1792"/>
    <w:rsid w:val="008C17B2"/>
    <w:rsid w:val="008C1E3E"/>
    <w:rsid w:val="008C2059"/>
    <w:rsid w:val="008C21D0"/>
    <w:rsid w:val="008C2DBC"/>
    <w:rsid w:val="008C3A4E"/>
    <w:rsid w:val="008C4A37"/>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9BC"/>
    <w:rsid w:val="008D7247"/>
    <w:rsid w:val="008D7567"/>
    <w:rsid w:val="008E0464"/>
    <w:rsid w:val="008E092F"/>
    <w:rsid w:val="008E0EE4"/>
    <w:rsid w:val="008E1074"/>
    <w:rsid w:val="008E12BE"/>
    <w:rsid w:val="008E13FD"/>
    <w:rsid w:val="008E17D5"/>
    <w:rsid w:val="008E1BB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312"/>
    <w:rsid w:val="008F1764"/>
    <w:rsid w:val="008F1E3D"/>
    <w:rsid w:val="008F235C"/>
    <w:rsid w:val="008F290B"/>
    <w:rsid w:val="008F2F11"/>
    <w:rsid w:val="008F3369"/>
    <w:rsid w:val="008F33A6"/>
    <w:rsid w:val="008F35EC"/>
    <w:rsid w:val="008F4A31"/>
    <w:rsid w:val="008F4FE8"/>
    <w:rsid w:val="008F4FED"/>
    <w:rsid w:val="008F583A"/>
    <w:rsid w:val="008F5D5A"/>
    <w:rsid w:val="008F6200"/>
    <w:rsid w:val="008F62F8"/>
    <w:rsid w:val="008F6893"/>
    <w:rsid w:val="008F70CC"/>
    <w:rsid w:val="008F7292"/>
    <w:rsid w:val="008F76C0"/>
    <w:rsid w:val="009000F2"/>
    <w:rsid w:val="0090079D"/>
    <w:rsid w:val="0090086A"/>
    <w:rsid w:val="00900D2C"/>
    <w:rsid w:val="00901807"/>
    <w:rsid w:val="00901F0E"/>
    <w:rsid w:val="0090284B"/>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349"/>
    <w:rsid w:val="00912850"/>
    <w:rsid w:val="009128B8"/>
    <w:rsid w:val="00913E1B"/>
    <w:rsid w:val="0091472C"/>
    <w:rsid w:val="00914DC9"/>
    <w:rsid w:val="00915351"/>
    <w:rsid w:val="00915679"/>
    <w:rsid w:val="009159C2"/>
    <w:rsid w:val="0091627F"/>
    <w:rsid w:val="00916E45"/>
    <w:rsid w:val="0092077A"/>
    <w:rsid w:val="00920DC0"/>
    <w:rsid w:val="00921419"/>
    <w:rsid w:val="009219F3"/>
    <w:rsid w:val="009221CB"/>
    <w:rsid w:val="00922320"/>
    <w:rsid w:val="00923643"/>
    <w:rsid w:val="00923E1A"/>
    <w:rsid w:val="009245CC"/>
    <w:rsid w:val="0092490A"/>
    <w:rsid w:val="009254F3"/>
    <w:rsid w:val="00925A3E"/>
    <w:rsid w:val="009261DB"/>
    <w:rsid w:val="00926939"/>
    <w:rsid w:val="00926E06"/>
    <w:rsid w:val="00926F4C"/>
    <w:rsid w:val="00927330"/>
    <w:rsid w:val="00927710"/>
    <w:rsid w:val="009279F9"/>
    <w:rsid w:val="009302E3"/>
    <w:rsid w:val="009307CA"/>
    <w:rsid w:val="0093115F"/>
    <w:rsid w:val="009312F9"/>
    <w:rsid w:val="00931445"/>
    <w:rsid w:val="00931AB8"/>
    <w:rsid w:val="00931C19"/>
    <w:rsid w:val="00931C63"/>
    <w:rsid w:val="00931D10"/>
    <w:rsid w:val="0093218A"/>
    <w:rsid w:val="0093386D"/>
    <w:rsid w:val="00934C8E"/>
    <w:rsid w:val="00935194"/>
    <w:rsid w:val="00936EA5"/>
    <w:rsid w:val="00937114"/>
    <w:rsid w:val="009400A3"/>
    <w:rsid w:val="0094015D"/>
    <w:rsid w:val="00940916"/>
    <w:rsid w:val="009412B7"/>
    <w:rsid w:val="00941B13"/>
    <w:rsid w:val="00941F94"/>
    <w:rsid w:val="0094215C"/>
    <w:rsid w:val="00942F8E"/>
    <w:rsid w:val="00943543"/>
    <w:rsid w:val="009441DB"/>
    <w:rsid w:val="00944834"/>
    <w:rsid w:val="00946128"/>
    <w:rsid w:val="0094633F"/>
    <w:rsid w:val="00946E09"/>
    <w:rsid w:val="00947909"/>
    <w:rsid w:val="00947BA5"/>
    <w:rsid w:val="00950805"/>
    <w:rsid w:val="009517E4"/>
    <w:rsid w:val="009517FD"/>
    <w:rsid w:val="009518D4"/>
    <w:rsid w:val="009520BC"/>
    <w:rsid w:val="009521D2"/>
    <w:rsid w:val="00952403"/>
    <w:rsid w:val="00952589"/>
    <w:rsid w:val="00952BD8"/>
    <w:rsid w:val="00953573"/>
    <w:rsid w:val="009537C0"/>
    <w:rsid w:val="009557A9"/>
    <w:rsid w:val="00956647"/>
    <w:rsid w:val="00956711"/>
    <w:rsid w:val="00957380"/>
    <w:rsid w:val="00957409"/>
    <w:rsid w:val="00957499"/>
    <w:rsid w:val="00957ED2"/>
    <w:rsid w:val="009604AE"/>
    <w:rsid w:val="009609AF"/>
    <w:rsid w:val="00960DE4"/>
    <w:rsid w:val="00960E27"/>
    <w:rsid w:val="009610C7"/>
    <w:rsid w:val="00961164"/>
    <w:rsid w:val="00961867"/>
    <w:rsid w:val="00961A4F"/>
    <w:rsid w:val="009625B7"/>
    <w:rsid w:val="00962FB8"/>
    <w:rsid w:val="00963183"/>
    <w:rsid w:val="0096373F"/>
    <w:rsid w:val="00964007"/>
    <w:rsid w:val="00964283"/>
    <w:rsid w:val="009642A4"/>
    <w:rsid w:val="009643F4"/>
    <w:rsid w:val="009645A6"/>
    <w:rsid w:val="00964677"/>
    <w:rsid w:val="009649B0"/>
    <w:rsid w:val="00964F5A"/>
    <w:rsid w:val="0096527F"/>
    <w:rsid w:val="009653ED"/>
    <w:rsid w:val="00966957"/>
    <w:rsid w:val="00966A21"/>
    <w:rsid w:val="00966AD2"/>
    <w:rsid w:val="00971415"/>
    <w:rsid w:val="009716D8"/>
    <w:rsid w:val="00971F54"/>
    <w:rsid w:val="00972057"/>
    <w:rsid w:val="0097227B"/>
    <w:rsid w:val="0097262E"/>
    <w:rsid w:val="0097293F"/>
    <w:rsid w:val="00973103"/>
    <w:rsid w:val="0097340F"/>
    <w:rsid w:val="00974022"/>
    <w:rsid w:val="009743E8"/>
    <w:rsid w:val="009745D8"/>
    <w:rsid w:val="00974F3B"/>
    <w:rsid w:val="0097552A"/>
    <w:rsid w:val="0097564A"/>
    <w:rsid w:val="00975974"/>
    <w:rsid w:val="00975D06"/>
    <w:rsid w:val="00975D63"/>
    <w:rsid w:val="00975DAE"/>
    <w:rsid w:val="00976BBE"/>
    <w:rsid w:val="0097774B"/>
    <w:rsid w:val="0098055B"/>
    <w:rsid w:val="00980B30"/>
    <w:rsid w:val="009810BE"/>
    <w:rsid w:val="009817BC"/>
    <w:rsid w:val="009819A7"/>
    <w:rsid w:val="0098220A"/>
    <w:rsid w:val="0098285E"/>
    <w:rsid w:val="00982E75"/>
    <w:rsid w:val="00983337"/>
    <w:rsid w:val="00983665"/>
    <w:rsid w:val="009836AA"/>
    <w:rsid w:val="009843E5"/>
    <w:rsid w:val="0098450E"/>
    <w:rsid w:val="009846BF"/>
    <w:rsid w:val="009851F5"/>
    <w:rsid w:val="0098534B"/>
    <w:rsid w:val="00986019"/>
    <w:rsid w:val="00986281"/>
    <w:rsid w:val="00986889"/>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E0C"/>
    <w:rsid w:val="00992141"/>
    <w:rsid w:val="009921DB"/>
    <w:rsid w:val="00992C67"/>
    <w:rsid w:val="00992D5B"/>
    <w:rsid w:val="00993135"/>
    <w:rsid w:val="00993AC7"/>
    <w:rsid w:val="00993BAD"/>
    <w:rsid w:val="00993E49"/>
    <w:rsid w:val="00994120"/>
    <w:rsid w:val="009942F5"/>
    <w:rsid w:val="00994568"/>
    <w:rsid w:val="00994602"/>
    <w:rsid w:val="00995B01"/>
    <w:rsid w:val="00995C43"/>
    <w:rsid w:val="00996055"/>
    <w:rsid w:val="00996EF4"/>
    <w:rsid w:val="00997044"/>
    <w:rsid w:val="00997BC9"/>
    <w:rsid w:val="009A07FD"/>
    <w:rsid w:val="009A113D"/>
    <w:rsid w:val="009A1ECA"/>
    <w:rsid w:val="009A2BE9"/>
    <w:rsid w:val="009A2BF3"/>
    <w:rsid w:val="009A3688"/>
    <w:rsid w:val="009A3713"/>
    <w:rsid w:val="009A3C3E"/>
    <w:rsid w:val="009A4153"/>
    <w:rsid w:val="009A4C2C"/>
    <w:rsid w:val="009A4CAB"/>
    <w:rsid w:val="009A59B3"/>
    <w:rsid w:val="009A5FAE"/>
    <w:rsid w:val="009A67DA"/>
    <w:rsid w:val="009A6B3A"/>
    <w:rsid w:val="009A70A3"/>
    <w:rsid w:val="009A7E7C"/>
    <w:rsid w:val="009B00E9"/>
    <w:rsid w:val="009B036C"/>
    <w:rsid w:val="009B05D2"/>
    <w:rsid w:val="009B152B"/>
    <w:rsid w:val="009B2731"/>
    <w:rsid w:val="009B2AFB"/>
    <w:rsid w:val="009B2DCF"/>
    <w:rsid w:val="009B31B6"/>
    <w:rsid w:val="009B39D8"/>
    <w:rsid w:val="009B3D38"/>
    <w:rsid w:val="009B4368"/>
    <w:rsid w:val="009B4D4C"/>
    <w:rsid w:val="009B5411"/>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C7D85"/>
    <w:rsid w:val="009D03B7"/>
    <w:rsid w:val="009D07AD"/>
    <w:rsid w:val="009D0824"/>
    <w:rsid w:val="009D1172"/>
    <w:rsid w:val="009D13CC"/>
    <w:rsid w:val="009D1654"/>
    <w:rsid w:val="009D1AAC"/>
    <w:rsid w:val="009D1BDB"/>
    <w:rsid w:val="009D298F"/>
    <w:rsid w:val="009D2F9C"/>
    <w:rsid w:val="009D4207"/>
    <w:rsid w:val="009D4DDC"/>
    <w:rsid w:val="009D4DED"/>
    <w:rsid w:val="009D4E4A"/>
    <w:rsid w:val="009D5130"/>
    <w:rsid w:val="009D53D1"/>
    <w:rsid w:val="009D53FB"/>
    <w:rsid w:val="009D56A4"/>
    <w:rsid w:val="009D5FA0"/>
    <w:rsid w:val="009D6081"/>
    <w:rsid w:val="009D678C"/>
    <w:rsid w:val="009D6B8D"/>
    <w:rsid w:val="009D6B9A"/>
    <w:rsid w:val="009D6D30"/>
    <w:rsid w:val="009D7523"/>
    <w:rsid w:val="009D76B5"/>
    <w:rsid w:val="009D7AF1"/>
    <w:rsid w:val="009D7B88"/>
    <w:rsid w:val="009D7BC7"/>
    <w:rsid w:val="009D7FAC"/>
    <w:rsid w:val="009E0109"/>
    <w:rsid w:val="009E0342"/>
    <w:rsid w:val="009E098B"/>
    <w:rsid w:val="009E09AB"/>
    <w:rsid w:val="009E0D7D"/>
    <w:rsid w:val="009E0DAF"/>
    <w:rsid w:val="009E19BB"/>
    <w:rsid w:val="009E1C47"/>
    <w:rsid w:val="009E2A08"/>
    <w:rsid w:val="009E38D1"/>
    <w:rsid w:val="009E3DF1"/>
    <w:rsid w:val="009E458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FC1"/>
    <w:rsid w:val="009F4550"/>
    <w:rsid w:val="009F56C0"/>
    <w:rsid w:val="009F5C76"/>
    <w:rsid w:val="00A000C5"/>
    <w:rsid w:val="00A007B4"/>
    <w:rsid w:val="00A00930"/>
    <w:rsid w:val="00A00CA0"/>
    <w:rsid w:val="00A00E00"/>
    <w:rsid w:val="00A01221"/>
    <w:rsid w:val="00A012A8"/>
    <w:rsid w:val="00A012F1"/>
    <w:rsid w:val="00A016FF"/>
    <w:rsid w:val="00A01886"/>
    <w:rsid w:val="00A01E4E"/>
    <w:rsid w:val="00A0207F"/>
    <w:rsid w:val="00A021AF"/>
    <w:rsid w:val="00A027B1"/>
    <w:rsid w:val="00A0307A"/>
    <w:rsid w:val="00A03A7C"/>
    <w:rsid w:val="00A03D4C"/>
    <w:rsid w:val="00A044AA"/>
    <w:rsid w:val="00A04D5E"/>
    <w:rsid w:val="00A0618C"/>
    <w:rsid w:val="00A06275"/>
    <w:rsid w:val="00A0700C"/>
    <w:rsid w:val="00A07FCF"/>
    <w:rsid w:val="00A102F8"/>
    <w:rsid w:val="00A107C0"/>
    <w:rsid w:val="00A10A20"/>
    <w:rsid w:val="00A117D5"/>
    <w:rsid w:val="00A11836"/>
    <w:rsid w:val="00A11C11"/>
    <w:rsid w:val="00A11DB3"/>
    <w:rsid w:val="00A125DE"/>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5D7"/>
    <w:rsid w:val="00A16961"/>
    <w:rsid w:val="00A175E3"/>
    <w:rsid w:val="00A176DD"/>
    <w:rsid w:val="00A21838"/>
    <w:rsid w:val="00A22C3E"/>
    <w:rsid w:val="00A22C4D"/>
    <w:rsid w:val="00A2334E"/>
    <w:rsid w:val="00A23442"/>
    <w:rsid w:val="00A249D2"/>
    <w:rsid w:val="00A254AB"/>
    <w:rsid w:val="00A256C0"/>
    <w:rsid w:val="00A259F2"/>
    <w:rsid w:val="00A25F15"/>
    <w:rsid w:val="00A266CC"/>
    <w:rsid w:val="00A266E8"/>
    <w:rsid w:val="00A26DB4"/>
    <w:rsid w:val="00A2737F"/>
    <w:rsid w:val="00A273D8"/>
    <w:rsid w:val="00A27425"/>
    <w:rsid w:val="00A27F43"/>
    <w:rsid w:val="00A300D0"/>
    <w:rsid w:val="00A3023E"/>
    <w:rsid w:val="00A305C5"/>
    <w:rsid w:val="00A30919"/>
    <w:rsid w:val="00A31B08"/>
    <w:rsid w:val="00A31F05"/>
    <w:rsid w:val="00A31FD2"/>
    <w:rsid w:val="00A3404D"/>
    <w:rsid w:val="00A341AB"/>
    <w:rsid w:val="00A34290"/>
    <w:rsid w:val="00A3547B"/>
    <w:rsid w:val="00A355F9"/>
    <w:rsid w:val="00A357D3"/>
    <w:rsid w:val="00A35AA9"/>
    <w:rsid w:val="00A35F3C"/>
    <w:rsid w:val="00A36201"/>
    <w:rsid w:val="00A365C8"/>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6EBA"/>
    <w:rsid w:val="00A47019"/>
    <w:rsid w:val="00A472B8"/>
    <w:rsid w:val="00A5004A"/>
    <w:rsid w:val="00A5017C"/>
    <w:rsid w:val="00A502D6"/>
    <w:rsid w:val="00A502F5"/>
    <w:rsid w:val="00A504F4"/>
    <w:rsid w:val="00A507C4"/>
    <w:rsid w:val="00A508AA"/>
    <w:rsid w:val="00A50D24"/>
    <w:rsid w:val="00A50EE7"/>
    <w:rsid w:val="00A526CE"/>
    <w:rsid w:val="00A5325E"/>
    <w:rsid w:val="00A5338D"/>
    <w:rsid w:val="00A535C4"/>
    <w:rsid w:val="00A54909"/>
    <w:rsid w:val="00A54DC0"/>
    <w:rsid w:val="00A550C9"/>
    <w:rsid w:val="00A55228"/>
    <w:rsid w:val="00A55410"/>
    <w:rsid w:val="00A55A04"/>
    <w:rsid w:val="00A564DE"/>
    <w:rsid w:val="00A57500"/>
    <w:rsid w:val="00A57CDE"/>
    <w:rsid w:val="00A6054E"/>
    <w:rsid w:val="00A60799"/>
    <w:rsid w:val="00A6170B"/>
    <w:rsid w:val="00A61991"/>
    <w:rsid w:val="00A619E9"/>
    <w:rsid w:val="00A61B7F"/>
    <w:rsid w:val="00A61B91"/>
    <w:rsid w:val="00A61C3A"/>
    <w:rsid w:val="00A620E8"/>
    <w:rsid w:val="00A63335"/>
    <w:rsid w:val="00A634EB"/>
    <w:rsid w:val="00A63685"/>
    <w:rsid w:val="00A63D84"/>
    <w:rsid w:val="00A63EA5"/>
    <w:rsid w:val="00A64545"/>
    <w:rsid w:val="00A645AC"/>
    <w:rsid w:val="00A64C79"/>
    <w:rsid w:val="00A65EFB"/>
    <w:rsid w:val="00A66E28"/>
    <w:rsid w:val="00A67429"/>
    <w:rsid w:val="00A677E7"/>
    <w:rsid w:val="00A67CE9"/>
    <w:rsid w:val="00A702FB"/>
    <w:rsid w:val="00A70590"/>
    <w:rsid w:val="00A7062E"/>
    <w:rsid w:val="00A70834"/>
    <w:rsid w:val="00A71079"/>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77DEE"/>
    <w:rsid w:val="00A800F9"/>
    <w:rsid w:val="00A803A6"/>
    <w:rsid w:val="00A8073D"/>
    <w:rsid w:val="00A80BF3"/>
    <w:rsid w:val="00A80D02"/>
    <w:rsid w:val="00A815FB"/>
    <w:rsid w:val="00A81AEB"/>
    <w:rsid w:val="00A82D32"/>
    <w:rsid w:val="00A82EAE"/>
    <w:rsid w:val="00A82FC7"/>
    <w:rsid w:val="00A8323C"/>
    <w:rsid w:val="00A847F9"/>
    <w:rsid w:val="00A84F27"/>
    <w:rsid w:val="00A8519C"/>
    <w:rsid w:val="00A855EE"/>
    <w:rsid w:val="00A8597A"/>
    <w:rsid w:val="00A85B87"/>
    <w:rsid w:val="00A85F83"/>
    <w:rsid w:val="00A86019"/>
    <w:rsid w:val="00A86EED"/>
    <w:rsid w:val="00A8733A"/>
    <w:rsid w:val="00A91340"/>
    <w:rsid w:val="00A9151F"/>
    <w:rsid w:val="00A9196B"/>
    <w:rsid w:val="00A91BB5"/>
    <w:rsid w:val="00A91BEE"/>
    <w:rsid w:val="00A91D4B"/>
    <w:rsid w:val="00A920B2"/>
    <w:rsid w:val="00A92A96"/>
    <w:rsid w:val="00A92AF0"/>
    <w:rsid w:val="00A933FE"/>
    <w:rsid w:val="00A937D5"/>
    <w:rsid w:val="00A93C70"/>
    <w:rsid w:val="00A94A32"/>
    <w:rsid w:val="00A94AC5"/>
    <w:rsid w:val="00A94AFC"/>
    <w:rsid w:val="00A94BF5"/>
    <w:rsid w:val="00A9686A"/>
    <w:rsid w:val="00A968BF"/>
    <w:rsid w:val="00A96B4A"/>
    <w:rsid w:val="00A97BDA"/>
    <w:rsid w:val="00AA043A"/>
    <w:rsid w:val="00AA0779"/>
    <w:rsid w:val="00AA08F3"/>
    <w:rsid w:val="00AA0A7E"/>
    <w:rsid w:val="00AA0F23"/>
    <w:rsid w:val="00AA1067"/>
    <w:rsid w:val="00AA1163"/>
    <w:rsid w:val="00AA1732"/>
    <w:rsid w:val="00AA1DA8"/>
    <w:rsid w:val="00AA218C"/>
    <w:rsid w:val="00AA222C"/>
    <w:rsid w:val="00AA2264"/>
    <w:rsid w:val="00AA238E"/>
    <w:rsid w:val="00AA2483"/>
    <w:rsid w:val="00AA253B"/>
    <w:rsid w:val="00AA29F8"/>
    <w:rsid w:val="00AA3243"/>
    <w:rsid w:val="00AA3252"/>
    <w:rsid w:val="00AA388F"/>
    <w:rsid w:val="00AA395A"/>
    <w:rsid w:val="00AA3C4C"/>
    <w:rsid w:val="00AA408E"/>
    <w:rsid w:val="00AA4B27"/>
    <w:rsid w:val="00AA4DA9"/>
    <w:rsid w:val="00AA4F6D"/>
    <w:rsid w:val="00AA50CE"/>
    <w:rsid w:val="00AA536B"/>
    <w:rsid w:val="00AA55E5"/>
    <w:rsid w:val="00AA57C9"/>
    <w:rsid w:val="00AA5A5C"/>
    <w:rsid w:val="00AA5A6F"/>
    <w:rsid w:val="00AA634D"/>
    <w:rsid w:val="00AA6F6C"/>
    <w:rsid w:val="00AA721D"/>
    <w:rsid w:val="00AA7519"/>
    <w:rsid w:val="00AA759D"/>
    <w:rsid w:val="00AA790A"/>
    <w:rsid w:val="00AB02EA"/>
    <w:rsid w:val="00AB05EE"/>
    <w:rsid w:val="00AB110C"/>
    <w:rsid w:val="00AB227A"/>
    <w:rsid w:val="00AB22BF"/>
    <w:rsid w:val="00AB256E"/>
    <w:rsid w:val="00AB3466"/>
    <w:rsid w:val="00AB38B2"/>
    <w:rsid w:val="00AB39EF"/>
    <w:rsid w:val="00AB3BBB"/>
    <w:rsid w:val="00AB408C"/>
    <w:rsid w:val="00AB43AF"/>
    <w:rsid w:val="00AB4E41"/>
    <w:rsid w:val="00AB5EB1"/>
    <w:rsid w:val="00AB6003"/>
    <w:rsid w:val="00AB6B4E"/>
    <w:rsid w:val="00AB7396"/>
    <w:rsid w:val="00AB73BE"/>
    <w:rsid w:val="00AB759A"/>
    <w:rsid w:val="00AB7B06"/>
    <w:rsid w:val="00AB7EAA"/>
    <w:rsid w:val="00AC0432"/>
    <w:rsid w:val="00AC0770"/>
    <w:rsid w:val="00AC08B9"/>
    <w:rsid w:val="00AC1683"/>
    <w:rsid w:val="00AC1D82"/>
    <w:rsid w:val="00AC2D5F"/>
    <w:rsid w:val="00AC320F"/>
    <w:rsid w:val="00AC3B5D"/>
    <w:rsid w:val="00AC4094"/>
    <w:rsid w:val="00AC42B6"/>
    <w:rsid w:val="00AC4AB7"/>
    <w:rsid w:val="00AC51E0"/>
    <w:rsid w:val="00AC6D24"/>
    <w:rsid w:val="00AC6E18"/>
    <w:rsid w:val="00AC7F64"/>
    <w:rsid w:val="00AD1065"/>
    <w:rsid w:val="00AD1098"/>
    <w:rsid w:val="00AD159E"/>
    <w:rsid w:val="00AD170C"/>
    <w:rsid w:val="00AD2AB1"/>
    <w:rsid w:val="00AD3132"/>
    <w:rsid w:val="00AD3DA6"/>
    <w:rsid w:val="00AD3F3C"/>
    <w:rsid w:val="00AD43B7"/>
    <w:rsid w:val="00AD447E"/>
    <w:rsid w:val="00AD4B2F"/>
    <w:rsid w:val="00AD5F0A"/>
    <w:rsid w:val="00AD6A5B"/>
    <w:rsid w:val="00AD6B4F"/>
    <w:rsid w:val="00AD6D19"/>
    <w:rsid w:val="00AD73D4"/>
    <w:rsid w:val="00AD7812"/>
    <w:rsid w:val="00AD7C42"/>
    <w:rsid w:val="00AD7CFA"/>
    <w:rsid w:val="00AE06B0"/>
    <w:rsid w:val="00AE0BD6"/>
    <w:rsid w:val="00AE11C1"/>
    <w:rsid w:val="00AE163D"/>
    <w:rsid w:val="00AE1A42"/>
    <w:rsid w:val="00AE1C5C"/>
    <w:rsid w:val="00AE1F67"/>
    <w:rsid w:val="00AE2814"/>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2D4"/>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1FB"/>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0FEA"/>
    <w:rsid w:val="00B11932"/>
    <w:rsid w:val="00B11A61"/>
    <w:rsid w:val="00B12082"/>
    <w:rsid w:val="00B12648"/>
    <w:rsid w:val="00B1270C"/>
    <w:rsid w:val="00B12710"/>
    <w:rsid w:val="00B130B3"/>
    <w:rsid w:val="00B13389"/>
    <w:rsid w:val="00B1364C"/>
    <w:rsid w:val="00B137C9"/>
    <w:rsid w:val="00B13EDB"/>
    <w:rsid w:val="00B141A5"/>
    <w:rsid w:val="00B14F47"/>
    <w:rsid w:val="00B15282"/>
    <w:rsid w:val="00B15286"/>
    <w:rsid w:val="00B1539F"/>
    <w:rsid w:val="00B1550D"/>
    <w:rsid w:val="00B15F6C"/>
    <w:rsid w:val="00B163E8"/>
    <w:rsid w:val="00B1767E"/>
    <w:rsid w:val="00B20760"/>
    <w:rsid w:val="00B20E73"/>
    <w:rsid w:val="00B2125C"/>
    <w:rsid w:val="00B21676"/>
    <w:rsid w:val="00B219E1"/>
    <w:rsid w:val="00B21ECF"/>
    <w:rsid w:val="00B22150"/>
    <w:rsid w:val="00B22466"/>
    <w:rsid w:val="00B226DE"/>
    <w:rsid w:val="00B22FB5"/>
    <w:rsid w:val="00B23FB7"/>
    <w:rsid w:val="00B241D5"/>
    <w:rsid w:val="00B24BE9"/>
    <w:rsid w:val="00B2551D"/>
    <w:rsid w:val="00B25F8C"/>
    <w:rsid w:val="00B260BE"/>
    <w:rsid w:val="00B26677"/>
    <w:rsid w:val="00B26A96"/>
    <w:rsid w:val="00B274E3"/>
    <w:rsid w:val="00B2765C"/>
    <w:rsid w:val="00B27C4B"/>
    <w:rsid w:val="00B30563"/>
    <w:rsid w:val="00B3069E"/>
    <w:rsid w:val="00B30A76"/>
    <w:rsid w:val="00B30FC6"/>
    <w:rsid w:val="00B31246"/>
    <w:rsid w:val="00B32295"/>
    <w:rsid w:val="00B329E1"/>
    <w:rsid w:val="00B32DEF"/>
    <w:rsid w:val="00B33788"/>
    <w:rsid w:val="00B33AB5"/>
    <w:rsid w:val="00B3412E"/>
    <w:rsid w:val="00B343E0"/>
    <w:rsid w:val="00B35B6D"/>
    <w:rsid w:val="00B35D53"/>
    <w:rsid w:val="00B365B6"/>
    <w:rsid w:val="00B367C4"/>
    <w:rsid w:val="00B36D3E"/>
    <w:rsid w:val="00B37B8E"/>
    <w:rsid w:val="00B40222"/>
    <w:rsid w:val="00B404C3"/>
    <w:rsid w:val="00B40C8E"/>
    <w:rsid w:val="00B41125"/>
    <w:rsid w:val="00B41A04"/>
    <w:rsid w:val="00B42743"/>
    <w:rsid w:val="00B430E9"/>
    <w:rsid w:val="00B4311F"/>
    <w:rsid w:val="00B431AE"/>
    <w:rsid w:val="00B44288"/>
    <w:rsid w:val="00B448BF"/>
    <w:rsid w:val="00B45A59"/>
    <w:rsid w:val="00B45F9F"/>
    <w:rsid w:val="00B4627C"/>
    <w:rsid w:val="00B4641F"/>
    <w:rsid w:val="00B46793"/>
    <w:rsid w:val="00B46953"/>
    <w:rsid w:val="00B46B9F"/>
    <w:rsid w:val="00B4704F"/>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0B8F"/>
    <w:rsid w:val="00B61AEC"/>
    <w:rsid w:val="00B6244C"/>
    <w:rsid w:val="00B625B1"/>
    <w:rsid w:val="00B62A2F"/>
    <w:rsid w:val="00B62B7B"/>
    <w:rsid w:val="00B62F0A"/>
    <w:rsid w:val="00B63484"/>
    <w:rsid w:val="00B634B7"/>
    <w:rsid w:val="00B634F1"/>
    <w:rsid w:val="00B637EF"/>
    <w:rsid w:val="00B63EF6"/>
    <w:rsid w:val="00B6440A"/>
    <w:rsid w:val="00B65788"/>
    <w:rsid w:val="00B65844"/>
    <w:rsid w:val="00B66054"/>
    <w:rsid w:val="00B6677F"/>
    <w:rsid w:val="00B667A3"/>
    <w:rsid w:val="00B66C7A"/>
    <w:rsid w:val="00B672EA"/>
    <w:rsid w:val="00B6747B"/>
    <w:rsid w:val="00B6760C"/>
    <w:rsid w:val="00B70200"/>
    <w:rsid w:val="00B702D7"/>
    <w:rsid w:val="00B70389"/>
    <w:rsid w:val="00B70E01"/>
    <w:rsid w:val="00B718C5"/>
    <w:rsid w:val="00B71CCD"/>
    <w:rsid w:val="00B72CF0"/>
    <w:rsid w:val="00B7380E"/>
    <w:rsid w:val="00B740F6"/>
    <w:rsid w:val="00B74615"/>
    <w:rsid w:val="00B74789"/>
    <w:rsid w:val="00B755B6"/>
    <w:rsid w:val="00B75884"/>
    <w:rsid w:val="00B75977"/>
    <w:rsid w:val="00B75A48"/>
    <w:rsid w:val="00B75CC0"/>
    <w:rsid w:val="00B76021"/>
    <w:rsid w:val="00B76FCD"/>
    <w:rsid w:val="00B7764D"/>
    <w:rsid w:val="00B77CB2"/>
    <w:rsid w:val="00B804F8"/>
    <w:rsid w:val="00B8095A"/>
    <w:rsid w:val="00B80F65"/>
    <w:rsid w:val="00B81274"/>
    <w:rsid w:val="00B815D3"/>
    <w:rsid w:val="00B816A9"/>
    <w:rsid w:val="00B81742"/>
    <w:rsid w:val="00B817B5"/>
    <w:rsid w:val="00B823A6"/>
    <w:rsid w:val="00B83E76"/>
    <w:rsid w:val="00B83FA0"/>
    <w:rsid w:val="00B84156"/>
    <w:rsid w:val="00B846E6"/>
    <w:rsid w:val="00B8537B"/>
    <w:rsid w:val="00B85586"/>
    <w:rsid w:val="00B85730"/>
    <w:rsid w:val="00B85B6E"/>
    <w:rsid w:val="00B86289"/>
    <w:rsid w:val="00B863B3"/>
    <w:rsid w:val="00B869D3"/>
    <w:rsid w:val="00B86CF8"/>
    <w:rsid w:val="00B86E44"/>
    <w:rsid w:val="00B87359"/>
    <w:rsid w:val="00B87F1C"/>
    <w:rsid w:val="00B90D8D"/>
    <w:rsid w:val="00B91263"/>
    <w:rsid w:val="00B91B61"/>
    <w:rsid w:val="00B92B56"/>
    <w:rsid w:val="00B93849"/>
    <w:rsid w:val="00B938BD"/>
    <w:rsid w:val="00B93CF3"/>
    <w:rsid w:val="00B9407F"/>
    <w:rsid w:val="00B944E9"/>
    <w:rsid w:val="00B945D7"/>
    <w:rsid w:val="00B94612"/>
    <w:rsid w:val="00B94896"/>
    <w:rsid w:val="00B94BDD"/>
    <w:rsid w:val="00B94CDD"/>
    <w:rsid w:val="00B94DA7"/>
    <w:rsid w:val="00B95163"/>
    <w:rsid w:val="00B954D0"/>
    <w:rsid w:val="00B96DD9"/>
    <w:rsid w:val="00B96EA6"/>
    <w:rsid w:val="00B97353"/>
    <w:rsid w:val="00B9789D"/>
    <w:rsid w:val="00B978EA"/>
    <w:rsid w:val="00B97A4C"/>
    <w:rsid w:val="00BA050E"/>
    <w:rsid w:val="00BA0A1C"/>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918"/>
    <w:rsid w:val="00BA7CD7"/>
    <w:rsid w:val="00BB00E5"/>
    <w:rsid w:val="00BB0941"/>
    <w:rsid w:val="00BB1688"/>
    <w:rsid w:val="00BB1EFB"/>
    <w:rsid w:val="00BB269F"/>
    <w:rsid w:val="00BB27CC"/>
    <w:rsid w:val="00BB2ACE"/>
    <w:rsid w:val="00BB2E4E"/>
    <w:rsid w:val="00BB2E62"/>
    <w:rsid w:val="00BB36C9"/>
    <w:rsid w:val="00BB3A66"/>
    <w:rsid w:val="00BB3FD8"/>
    <w:rsid w:val="00BB40D1"/>
    <w:rsid w:val="00BB777D"/>
    <w:rsid w:val="00BB7EC0"/>
    <w:rsid w:val="00BB7F88"/>
    <w:rsid w:val="00BC0207"/>
    <w:rsid w:val="00BC089F"/>
    <w:rsid w:val="00BC0A0C"/>
    <w:rsid w:val="00BC0A5A"/>
    <w:rsid w:val="00BC0E64"/>
    <w:rsid w:val="00BC25D1"/>
    <w:rsid w:val="00BC2DBD"/>
    <w:rsid w:val="00BC2F1A"/>
    <w:rsid w:val="00BC3BCB"/>
    <w:rsid w:val="00BC3CF1"/>
    <w:rsid w:val="00BC428A"/>
    <w:rsid w:val="00BC4885"/>
    <w:rsid w:val="00BC4C40"/>
    <w:rsid w:val="00BC5A29"/>
    <w:rsid w:val="00BC5AE3"/>
    <w:rsid w:val="00BC5BAD"/>
    <w:rsid w:val="00BC692A"/>
    <w:rsid w:val="00BC76C5"/>
    <w:rsid w:val="00BC7F94"/>
    <w:rsid w:val="00BD0F07"/>
    <w:rsid w:val="00BD1039"/>
    <w:rsid w:val="00BD10B7"/>
    <w:rsid w:val="00BD138A"/>
    <w:rsid w:val="00BD164A"/>
    <w:rsid w:val="00BD1742"/>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698"/>
    <w:rsid w:val="00BE377A"/>
    <w:rsid w:val="00BE37AE"/>
    <w:rsid w:val="00BE3B14"/>
    <w:rsid w:val="00BE3C65"/>
    <w:rsid w:val="00BE4222"/>
    <w:rsid w:val="00BE472D"/>
    <w:rsid w:val="00BE4C03"/>
    <w:rsid w:val="00BE4D64"/>
    <w:rsid w:val="00BE7F4D"/>
    <w:rsid w:val="00BF03C0"/>
    <w:rsid w:val="00BF0EBF"/>
    <w:rsid w:val="00BF1534"/>
    <w:rsid w:val="00BF2021"/>
    <w:rsid w:val="00BF21D4"/>
    <w:rsid w:val="00BF2DDC"/>
    <w:rsid w:val="00BF32DE"/>
    <w:rsid w:val="00BF4A15"/>
    <w:rsid w:val="00BF4B53"/>
    <w:rsid w:val="00BF4E0E"/>
    <w:rsid w:val="00BF4E27"/>
    <w:rsid w:val="00BF4F7C"/>
    <w:rsid w:val="00BF537B"/>
    <w:rsid w:val="00BF5901"/>
    <w:rsid w:val="00BF626A"/>
    <w:rsid w:val="00BF6644"/>
    <w:rsid w:val="00BF688E"/>
    <w:rsid w:val="00BF6D77"/>
    <w:rsid w:val="00BF739A"/>
    <w:rsid w:val="00BF7EF5"/>
    <w:rsid w:val="00C00BF6"/>
    <w:rsid w:val="00C016EE"/>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8C4"/>
    <w:rsid w:val="00C20B6C"/>
    <w:rsid w:val="00C20B86"/>
    <w:rsid w:val="00C21145"/>
    <w:rsid w:val="00C215ED"/>
    <w:rsid w:val="00C22350"/>
    <w:rsid w:val="00C22FBD"/>
    <w:rsid w:val="00C23615"/>
    <w:rsid w:val="00C2397E"/>
    <w:rsid w:val="00C23A83"/>
    <w:rsid w:val="00C24381"/>
    <w:rsid w:val="00C24801"/>
    <w:rsid w:val="00C24C2E"/>
    <w:rsid w:val="00C24C7A"/>
    <w:rsid w:val="00C24FFB"/>
    <w:rsid w:val="00C25A3D"/>
    <w:rsid w:val="00C25CFF"/>
    <w:rsid w:val="00C25EA6"/>
    <w:rsid w:val="00C26164"/>
    <w:rsid w:val="00C261C1"/>
    <w:rsid w:val="00C26574"/>
    <w:rsid w:val="00C26DBF"/>
    <w:rsid w:val="00C27199"/>
    <w:rsid w:val="00C27204"/>
    <w:rsid w:val="00C304E9"/>
    <w:rsid w:val="00C30B0B"/>
    <w:rsid w:val="00C30ED5"/>
    <w:rsid w:val="00C31320"/>
    <w:rsid w:val="00C316B4"/>
    <w:rsid w:val="00C332D4"/>
    <w:rsid w:val="00C33399"/>
    <w:rsid w:val="00C33A66"/>
    <w:rsid w:val="00C33E51"/>
    <w:rsid w:val="00C34C45"/>
    <w:rsid w:val="00C34C47"/>
    <w:rsid w:val="00C34FCE"/>
    <w:rsid w:val="00C35207"/>
    <w:rsid w:val="00C35411"/>
    <w:rsid w:val="00C35EED"/>
    <w:rsid w:val="00C3661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46E27"/>
    <w:rsid w:val="00C500A1"/>
    <w:rsid w:val="00C50A02"/>
    <w:rsid w:val="00C51149"/>
    <w:rsid w:val="00C5117E"/>
    <w:rsid w:val="00C512D1"/>
    <w:rsid w:val="00C51856"/>
    <w:rsid w:val="00C51B04"/>
    <w:rsid w:val="00C51DB5"/>
    <w:rsid w:val="00C52576"/>
    <w:rsid w:val="00C53CE9"/>
    <w:rsid w:val="00C545C5"/>
    <w:rsid w:val="00C5531B"/>
    <w:rsid w:val="00C55375"/>
    <w:rsid w:val="00C5570F"/>
    <w:rsid w:val="00C56C98"/>
    <w:rsid w:val="00C56DE1"/>
    <w:rsid w:val="00C56DEE"/>
    <w:rsid w:val="00C57120"/>
    <w:rsid w:val="00C571D5"/>
    <w:rsid w:val="00C575D4"/>
    <w:rsid w:val="00C61223"/>
    <w:rsid w:val="00C61246"/>
    <w:rsid w:val="00C618A8"/>
    <w:rsid w:val="00C61A78"/>
    <w:rsid w:val="00C62483"/>
    <w:rsid w:val="00C629F3"/>
    <w:rsid w:val="00C62B88"/>
    <w:rsid w:val="00C62CD3"/>
    <w:rsid w:val="00C634F9"/>
    <w:rsid w:val="00C63CDE"/>
    <w:rsid w:val="00C643ED"/>
    <w:rsid w:val="00C64534"/>
    <w:rsid w:val="00C64D93"/>
    <w:rsid w:val="00C64F49"/>
    <w:rsid w:val="00C64F71"/>
    <w:rsid w:val="00C650E3"/>
    <w:rsid w:val="00C65200"/>
    <w:rsid w:val="00C6522D"/>
    <w:rsid w:val="00C65BD3"/>
    <w:rsid w:val="00C66026"/>
    <w:rsid w:val="00C664FB"/>
    <w:rsid w:val="00C665DE"/>
    <w:rsid w:val="00C667C3"/>
    <w:rsid w:val="00C6728B"/>
    <w:rsid w:val="00C70718"/>
    <w:rsid w:val="00C70B25"/>
    <w:rsid w:val="00C70CC2"/>
    <w:rsid w:val="00C71528"/>
    <w:rsid w:val="00C717E4"/>
    <w:rsid w:val="00C7191B"/>
    <w:rsid w:val="00C71F09"/>
    <w:rsid w:val="00C71FA3"/>
    <w:rsid w:val="00C72588"/>
    <w:rsid w:val="00C727B9"/>
    <w:rsid w:val="00C72C1D"/>
    <w:rsid w:val="00C72F44"/>
    <w:rsid w:val="00C72F67"/>
    <w:rsid w:val="00C73670"/>
    <w:rsid w:val="00C737D1"/>
    <w:rsid w:val="00C738A0"/>
    <w:rsid w:val="00C73DE0"/>
    <w:rsid w:val="00C73E9F"/>
    <w:rsid w:val="00C74609"/>
    <w:rsid w:val="00C749AB"/>
    <w:rsid w:val="00C74DCF"/>
    <w:rsid w:val="00C75A8F"/>
    <w:rsid w:val="00C76129"/>
    <w:rsid w:val="00C76C0C"/>
    <w:rsid w:val="00C76FFC"/>
    <w:rsid w:val="00C774E0"/>
    <w:rsid w:val="00C776BA"/>
    <w:rsid w:val="00C7791E"/>
    <w:rsid w:val="00C8129F"/>
    <w:rsid w:val="00C81716"/>
    <w:rsid w:val="00C832CB"/>
    <w:rsid w:val="00C84085"/>
    <w:rsid w:val="00C852DC"/>
    <w:rsid w:val="00C854A8"/>
    <w:rsid w:val="00C85677"/>
    <w:rsid w:val="00C85E17"/>
    <w:rsid w:val="00C85FD7"/>
    <w:rsid w:val="00C868A7"/>
    <w:rsid w:val="00C868CE"/>
    <w:rsid w:val="00C86ABA"/>
    <w:rsid w:val="00C86BF7"/>
    <w:rsid w:val="00C87164"/>
    <w:rsid w:val="00C8786A"/>
    <w:rsid w:val="00C87BBA"/>
    <w:rsid w:val="00C87BD0"/>
    <w:rsid w:val="00C905E5"/>
    <w:rsid w:val="00C90754"/>
    <w:rsid w:val="00C90B95"/>
    <w:rsid w:val="00C90BC4"/>
    <w:rsid w:val="00C90C33"/>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7C6"/>
    <w:rsid w:val="00CA7D3E"/>
    <w:rsid w:val="00CB0317"/>
    <w:rsid w:val="00CB0662"/>
    <w:rsid w:val="00CB0A82"/>
    <w:rsid w:val="00CB0F2F"/>
    <w:rsid w:val="00CB1556"/>
    <w:rsid w:val="00CB210B"/>
    <w:rsid w:val="00CB2913"/>
    <w:rsid w:val="00CB3218"/>
    <w:rsid w:val="00CB3970"/>
    <w:rsid w:val="00CB42B9"/>
    <w:rsid w:val="00CB4550"/>
    <w:rsid w:val="00CB4F39"/>
    <w:rsid w:val="00CB52A4"/>
    <w:rsid w:val="00CB537C"/>
    <w:rsid w:val="00CB5A26"/>
    <w:rsid w:val="00CB645B"/>
    <w:rsid w:val="00CB6A93"/>
    <w:rsid w:val="00CB6C79"/>
    <w:rsid w:val="00CB70D3"/>
    <w:rsid w:val="00CB77C3"/>
    <w:rsid w:val="00CB7E9C"/>
    <w:rsid w:val="00CC0072"/>
    <w:rsid w:val="00CC027A"/>
    <w:rsid w:val="00CC0915"/>
    <w:rsid w:val="00CC1398"/>
    <w:rsid w:val="00CC1AF5"/>
    <w:rsid w:val="00CC1B74"/>
    <w:rsid w:val="00CC245E"/>
    <w:rsid w:val="00CC291E"/>
    <w:rsid w:val="00CC2D03"/>
    <w:rsid w:val="00CC2EB0"/>
    <w:rsid w:val="00CC3BDC"/>
    <w:rsid w:val="00CC4701"/>
    <w:rsid w:val="00CC56B4"/>
    <w:rsid w:val="00CC5F95"/>
    <w:rsid w:val="00CC642A"/>
    <w:rsid w:val="00CC6872"/>
    <w:rsid w:val="00CC6AC7"/>
    <w:rsid w:val="00CC6D73"/>
    <w:rsid w:val="00CC733D"/>
    <w:rsid w:val="00CC7617"/>
    <w:rsid w:val="00CC796B"/>
    <w:rsid w:val="00CC7A80"/>
    <w:rsid w:val="00CC7E0D"/>
    <w:rsid w:val="00CC7E97"/>
    <w:rsid w:val="00CD00EB"/>
    <w:rsid w:val="00CD1255"/>
    <w:rsid w:val="00CD1484"/>
    <w:rsid w:val="00CD1892"/>
    <w:rsid w:val="00CD1C01"/>
    <w:rsid w:val="00CD1D00"/>
    <w:rsid w:val="00CD2009"/>
    <w:rsid w:val="00CD27AC"/>
    <w:rsid w:val="00CD2A82"/>
    <w:rsid w:val="00CD3CAB"/>
    <w:rsid w:val="00CD40D3"/>
    <w:rsid w:val="00CD44FF"/>
    <w:rsid w:val="00CD46A7"/>
    <w:rsid w:val="00CD47BC"/>
    <w:rsid w:val="00CD4A21"/>
    <w:rsid w:val="00CD4E50"/>
    <w:rsid w:val="00CD57CB"/>
    <w:rsid w:val="00CD614B"/>
    <w:rsid w:val="00CD64E1"/>
    <w:rsid w:val="00CD66BA"/>
    <w:rsid w:val="00CD699D"/>
    <w:rsid w:val="00CD6BA3"/>
    <w:rsid w:val="00CD70DB"/>
    <w:rsid w:val="00CD7544"/>
    <w:rsid w:val="00CD78D4"/>
    <w:rsid w:val="00CE00CF"/>
    <w:rsid w:val="00CE0697"/>
    <w:rsid w:val="00CE14CB"/>
    <w:rsid w:val="00CE2E2E"/>
    <w:rsid w:val="00CE3A51"/>
    <w:rsid w:val="00CE41F9"/>
    <w:rsid w:val="00CE44A1"/>
    <w:rsid w:val="00CE4B2C"/>
    <w:rsid w:val="00CE59F6"/>
    <w:rsid w:val="00CE66CD"/>
    <w:rsid w:val="00CE6A96"/>
    <w:rsid w:val="00CE6BA9"/>
    <w:rsid w:val="00CE71C3"/>
    <w:rsid w:val="00CE727A"/>
    <w:rsid w:val="00CE756F"/>
    <w:rsid w:val="00CE7EB8"/>
    <w:rsid w:val="00CF029C"/>
    <w:rsid w:val="00CF0AF0"/>
    <w:rsid w:val="00CF157E"/>
    <w:rsid w:val="00CF1631"/>
    <w:rsid w:val="00CF1834"/>
    <w:rsid w:val="00CF1AAA"/>
    <w:rsid w:val="00CF1EC2"/>
    <w:rsid w:val="00CF2ACF"/>
    <w:rsid w:val="00CF2D4C"/>
    <w:rsid w:val="00CF345B"/>
    <w:rsid w:val="00CF475F"/>
    <w:rsid w:val="00CF5008"/>
    <w:rsid w:val="00CF5069"/>
    <w:rsid w:val="00CF5A38"/>
    <w:rsid w:val="00CF5E34"/>
    <w:rsid w:val="00CF65BA"/>
    <w:rsid w:val="00CF6707"/>
    <w:rsid w:val="00CF7101"/>
    <w:rsid w:val="00CF7327"/>
    <w:rsid w:val="00CF7385"/>
    <w:rsid w:val="00CF7539"/>
    <w:rsid w:val="00CF75C6"/>
    <w:rsid w:val="00CF7B77"/>
    <w:rsid w:val="00CF7C5B"/>
    <w:rsid w:val="00CF7DF5"/>
    <w:rsid w:val="00D001D2"/>
    <w:rsid w:val="00D003AF"/>
    <w:rsid w:val="00D0091F"/>
    <w:rsid w:val="00D02A80"/>
    <w:rsid w:val="00D0352D"/>
    <w:rsid w:val="00D04F01"/>
    <w:rsid w:val="00D04F8B"/>
    <w:rsid w:val="00D054EF"/>
    <w:rsid w:val="00D05637"/>
    <w:rsid w:val="00D05BA9"/>
    <w:rsid w:val="00D05CF2"/>
    <w:rsid w:val="00D05EB1"/>
    <w:rsid w:val="00D064CB"/>
    <w:rsid w:val="00D0650B"/>
    <w:rsid w:val="00D068AA"/>
    <w:rsid w:val="00D06E71"/>
    <w:rsid w:val="00D06E9C"/>
    <w:rsid w:val="00D0714B"/>
    <w:rsid w:val="00D0764E"/>
    <w:rsid w:val="00D07D82"/>
    <w:rsid w:val="00D102F6"/>
    <w:rsid w:val="00D10327"/>
    <w:rsid w:val="00D103C9"/>
    <w:rsid w:val="00D10BE1"/>
    <w:rsid w:val="00D10CFB"/>
    <w:rsid w:val="00D11FE3"/>
    <w:rsid w:val="00D12393"/>
    <w:rsid w:val="00D12945"/>
    <w:rsid w:val="00D12CC0"/>
    <w:rsid w:val="00D12DA1"/>
    <w:rsid w:val="00D130C0"/>
    <w:rsid w:val="00D1343A"/>
    <w:rsid w:val="00D13D50"/>
    <w:rsid w:val="00D14101"/>
    <w:rsid w:val="00D144D8"/>
    <w:rsid w:val="00D14919"/>
    <w:rsid w:val="00D14E25"/>
    <w:rsid w:val="00D15470"/>
    <w:rsid w:val="00D158EF"/>
    <w:rsid w:val="00D15AE3"/>
    <w:rsid w:val="00D160C4"/>
    <w:rsid w:val="00D165D8"/>
    <w:rsid w:val="00D1724E"/>
    <w:rsid w:val="00D17C26"/>
    <w:rsid w:val="00D17E08"/>
    <w:rsid w:val="00D17FBE"/>
    <w:rsid w:val="00D206F6"/>
    <w:rsid w:val="00D20FD1"/>
    <w:rsid w:val="00D214D4"/>
    <w:rsid w:val="00D21AAA"/>
    <w:rsid w:val="00D21E6F"/>
    <w:rsid w:val="00D2218A"/>
    <w:rsid w:val="00D22B13"/>
    <w:rsid w:val="00D2371E"/>
    <w:rsid w:val="00D237E0"/>
    <w:rsid w:val="00D23A17"/>
    <w:rsid w:val="00D25676"/>
    <w:rsid w:val="00D2579F"/>
    <w:rsid w:val="00D2580E"/>
    <w:rsid w:val="00D264E4"/>
    <w:rsid w:val="00D265A7"/>
    <w:rsid w:val="00D2690C"/>
    <w:rsid w:val="00D27129"/>
    <w:rsid w:val="00D279E7"/>
    <w:rsid w:val="00D27F75"/>
    <w:rsid w:val="00D303F6"/>
    <w:rsid w:val="00D3046D"/>
    <w:rsid w:val="00D30497"/>
    <w:rsid w:val="00D30C4D"/>
    <w:rsid w:val="00D30D15"/>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4BC"/>
    <w:rsid w:val="00D417C6"/>
    <w:rsid w:val="00D417D0"/>
    <w:rsid w:val="00D42B0C"/>
    <w:rsid w:val="00D42D6E"/>
    <w:rsid w:val="00D43266"/>
    <w:rsid w:val="00D43DEF"/>
    <w:rsid w:val="00D44259"/>
    <w:rsid w:val="00D45C61"/>
    <w:rsid w:val="00D45DDC"/>
    <w:rsid w:val="00D4603D"/>
    <w:rsid w:val="00D5064C"/>
    <w:rsid w:val="00D50C94"/>
    <w:rsid w:val="00D511E7"/>
    <w:rsid w:val="00D517ED"/>
    <w:rsid w:val="00D5251C"/>
    <w:rsid w:val="00D52DC8"/>
    <w:rsid w:val="00D52F56"/>
    <w:rsid w:val="00D52FF3"/>
    <w:rsid w:val="00D539DA"/>
    <w:rsid w:val="00D54A50"/>
    <w:rsid w:val="00D54FFD"/>
    <w:rsid w:val="00D5552C"/>
    <w:rsid w:val="00D5556D"/>
    <w:rsid w:val="00D55C34"/>
    <w:rsid w:val="00D55C81"/>
    <w:rsid w:val="00D5674B"/>
    <w:rsid w:val="00D56B56"/>
    <w:rsid w:val="00D56BF5"/>
    <w:rsid w:val="00D56F99"/>
    <w:rsid w:val="00D5743F"/>
    <w:rsid w:val="00D57932"/>
    <w:rsid w:val="00D57F1F"/>
    <w:rsid w:val="00D60065"/>
    <w:rsid w:val="00D60270"/>
    <w:rsid w:val="00D605C2"/>
    <w:rsid w:val="00D60733"/>
    <w:rsid w:val="00D608B2"/>
    <w:rsid w:val="00D60C60"/>
    <w:rsid w:val="00D61E1D"/>
    <w:rsid w:val="00D629A4"/>
    <w:rsid w:val="00D62A55"/>
    <w:rsid w:val="00D62BDF"/>
    <w:rsid w:val="00D62EEE"/>
    <w:rsid w:val="00D64F1C"/>
    <w:rsid w:val="00D6570C"/>
    <w:rsid w:val="00D659EA"/>
    <w:rsid w:val="00D65A89"/>
    <w:rsid w:val="00D65E85"/>
    <w:rsid w:val="00D6611C"/>
    <w:rsid w:val="00D67077"/>
    <w:rsid w:val="00D671C7"/>
    <w:rsid w:val="00D675B0"/>
    <w:rsid w:val="00D675DE"/>
    <w:rsid w:val="00D678BB"/>
    <w:rsid w:val="00D67D81"/>
    <w:rsid w:val="00D67EB4"/>
    <w:rsid w:val="00D70170"/>
    <w:rsid w:val="00D702E8"/>
    <w:rsid w:val="00D70552"/>
    <w:rsid w:val="00D70D42"/>
    <w:rsid w:val="00D71285"/>
    <w:rsid w:val="00D71ABC"/>
    <w:rsid w:val="00D721C5"/>
    <w:rsid w:val="00D72454"/>
    <w:rsid w:val="00D72687"/>
    <w:rsid w:val="00D729A7"/>
    <w:rsid w:val="00D72A5B"/>
    <w:rsid w:val="00D73991"/>
    <w:rsid w:val="00D73B4C"/>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77FDF"/>
    <w:rsid w:val="00D804C5"/>
    <w:rsid w:val="00D815E6"/>
    <w:rsid w:val="00D81A28"/>
    <w:rsid w:val="00D81BDE"/>
    <w:rsid w:val="00D8201D"/>
    <w:rsid w:val="00D82B00"/>
    <w:rsid w:val="00D82B04"/>
    <w:rsid w:val="00D82BE4"/>
    <w:rsid w:val="00D82E05"/>
    <w:rsid w:val="00D83C0D"/>
    <w:rsid w:val="00D83C80"/>
    <w:rsid w:val="00D83F5B"/>
    <w:rsid w:val="00D84879"/>
    <w:rsid w:val="00D84AAD"/>
    <w:rsid w:val="00D85FDE"/>
    <w:rsid w:val="00D8665E"/>
    <w:rsid w:val="00D869C1"/>
    <w:rsid w:val="00D86EC6"/>
    <w:rsid w:val="00D87418"/>
    <w:rsid w:val="00D87A39"/>
    <w:rsid w:val="00D87C77"/>
    <w:rsid w:val="00D87FE6"/>
    <w:rsid w:val="00D90BC3"/>
    <w:rsid w:val="00D90C93"/>
    <w:rsid w:val="00D90DB9"/>
    <w:rsid w:val="00D91001"/>
    <w:rsid w:val="00D910FF"/>
    <w:rsid w:val="00D91337"/>
    <w:rsid w:val="00D914BD"/>
    <w:rsid w:val="00D915C9"/>
    <w:rsid w:val="00D918DA"/>
    <w:rsid w:val="00D9198F"/>
    <w:rsid w:val="00D92078"/>
    <w:rsid w:val="00D9223F"/>
    <w:rsid w:val="00D926F0"/>
    <w:rsid w:val="00D92A87"/>
    <w:rsid w:val="00D931B1"/>
    <w:rsid w:val="00D9384E"/>
    <w:rsid w:val="00D93AEE"/>
    <w:rsid w:val="00D9413E"/>
    <w:rsid w:val="00D94819"/>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0B7"/>
    <w:rsid w:val="00DA3C5B"/>
    <w:rsid w:val="00DA3D23"/>
    <w:rsid w:val="00DA4A61"/>
    <w:rsid w:val="00DA5AFE"/>
    <w:rsid w:val="00DA61AB"/>
    <w:rsid w:val="00DA61CD"/>
    <w:rsid w:val="00DA6EE2"/>
    <w:rsid w:val="00DA718A"/>
    <w:rsid w:val="00DA78CF"/>
    <w:rsid w:val="00DA78D5"/>
    <w:rsid w:val="00DA7A89"/>
    <w:rsid w:val="00DA7BF4"/>
    <w:rsid w:val="00DB052F"/>
    <w:rsid w:val="00DB0FD6"/>
    <w:rsid w:val="00DB14D3"/>
    <w:rsid w:val="00DB154B"/>
    <w:rsid w:val="00DB16AE"/>
    <w:rsid w:val="00DB1BDC"/>
    <w:rsid w:val="00DB3490"/>
    <w:rsid w:val="00DB3593"/>
    <w:rsid w:val="00DB362A"/>
    <w:rsid w:val="00DB440B"/>
    <w:rsid w:val="00DB4426"/>
    <w:rsid w:val="00DB4522"/>
    <w:rsid w:val="00DB4B40"/>
    <w:rsid w:val="00DB4F12"/>
    <w:rsid w:val="00DB4F21"/>
    <w:rsid w:val="00DB4F42"/>
    <w:rsid w:val="00DB540C"/>
    <w:rsid w:val="00DB6F96"/>
    <w:rsid w:val="00DB71B9"/>
    <w:rsid w:val="00DB7662"/>
    <w:rsid w:val="00DB7E46"/>
    <w:rsid w:val="00DC0271"/>
    <w:rsid w:val="00DC0BBA"/>
    <w:rsid w:val="00DC1395"/>
    <w:rsid w:val="00DC2834"/>
    <w:rsid w:val="00DC32FC"/>
    <w:rsid w:val="00DC3D89"/>
    <w:rsid w:val="00DC4567"/>
    <w:rsid w:val="00DC45B1"/>
    <w:rsid w:val="00DC4D6C"/>
    <w:rsid w:val="00DC4F47"/>
    <w:rsid w:val="00DC5059"/>
    <w:rsid w:val="00DC5860"/>
    <w:rsid w:val="00DC5BD0"/>
    <w:rsid w:val="00DC5BE2"/>
    <w:rsid w:val="00DC6284"/>
    <w:rsid w:val="00DC628E"/>
    <w:rsid w:val="00DC6723"/>
    <w:rsid w:val="00DC6747"/>
    <w:rsid w:val="00DC689C"/>
    <w:rsid w:val="00DC6AF3"/>
    <w:rsid w:val="00DC7608"/>
    <w:rsid w:val="00DC761E"/>
    <w:rsid w:val="00DC7B3B"/>
    <w:rsid w:val="00DC7CFC"/>
    <w:rsid w:val="00DC7DF1"/>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303"/>
    <w:rsid w:val="00DD573B"/>
    <w:rsid w:val="00DD57E7"/>
    <w:rsid w:val="00DD5A1E"/>
    <w:rsid w:val="00DD5B8C"/>
    <w:rsid w:val="00DD5DFA"/>
    <w:rsid w:val="00DD5E91"/>
    <w:rsid w:val="00DD6CE2"/>
    <w:rsid w:val="00DD720D"/>
    <w:rsid w:val="00DE0229"/>
    <w:rsid w:val="00DE04E0"/>
    <w:rsid w:val="00DE0C46"/>
    <w:rsid w:val="00DE12F1"/>
    <w:rsid w:val="00DE1A9D"/>
    <w:rsid w:val="00DE1CB1"/>
    <w:rsid w:val="00DE2073"/>
    <w:rsid w:val="00DE2926"/>
    <w:rsid w:val="00DE30AC"/>
    <w:rsid w:val="00DE38D1"/>
    <w:rsid w:val="00DE4106"/>
    <w:rsid w:val="00DE466B"/>
    <w:rsid w:val="00DE48F4"/>
    <w:rsid w:val="00DE4FFB"/>
    <w:rsid w:val="00DE5563"/>
    <w:rsid w:val="00DE5C19"/>
    <w:rsid w:val="00DE5D48"/>
    <w:rsid w:val="00DE6130"/>
    <w:rsid w:val="00DE6E4D"/>
    <w:rsid w:val="00DE7498"/>
    <w:rsid w:val="00DE75EF"/>
    <w:rsid w:val="00DE7611"/>
    <w:rsid w:val="00DE7D19"/>
    <w:rsid w:val="00DE7FE1"/>
    <w:rsid w:val="00DF0505"/>
    <w:rsid w:val="00DF05A0"/>
    <w:rsid w:val="00DF1162"/>
    <w:rsid w:val="00DF1BA8"/>
    <w:rsid w:val="00DF1F63"/>
    <w:rsid w:val="00DF28F2"/>
    <w:rsid w:val="00DF2BFF"/>
    <w:rsid w:val="00DF3798"/>
    <w:rsid w:val="00DF42A6"/>
    <w:rsid w:val="00DF4FF1"/>
    <w:rsid w:val="00DF56A3"/>
    <w:rsid w:val="00DF5B33"/>
    <w:rsid w:val="00DF6144"/>
    <w:rsid w:val="00DF6FD2"/>
    <w:rsid w:val="00DF72EF"/>
    <w:rsid w:val="00DF743D"/>
    <w:rsid w:val="00DF7724"/>
    <w:rsid w:val="00E000D8"/>
    <w:rsid w:val="00E00968"/>
    <w:rsid w:val="00E00C1E"/>
    <w:rsid w:val="00E00F5F"/>
    <w:rsid w:val="00E010E6"/>
    <w:rsid w:val="00E01377"/>
    <w:rsid w:val="00E014E7"/>
    <w:rsid w:val="00E0150F"/>
    <w:rsid w:val="00E0232F"/>
    <w:rsid w:val="00E026A9"/>
    <w:rsid w:val="00E0356F"/>
    <w:rsid w:val="00E03B42"/>
    <w:rsid w:val="00E03C10"/>
    <w:rsid w:val="00E0479F"/>
    <w:rsid w:val="00E04816"/>
    <w:rsid w:val="00E04982"/>
    <w:rsid w:val="00E04D6A"/>
    <w:rsid w:val="00E05741"/>
    <w:rsid w:val="00E058DB"/>
    <w:rsid w:val="00E05950"/>
    <w:rsid w:val="00E05CD4"/>
    <w:rsid w:val="00E05DE8"/>
    <w:rsid w:val="00E06100"/>
    <w:rsid w:val="00E0614E"/>
    <w:rsid w:val="00E06B40"/>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61CE"/>
    <w:rsid w:val="00E167CE"/>
    <w:rsid w:val="00E1720B"/>
    <w:rsid w:val="00E203DE"/>
    <w:rsid w:val="00E20CE7"/>
    <w:rsid w:val="00E217B1"/>
    <w:rsid w:val="00E222FA"/>
    <w:rsid w:val="00E22700"/>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2F10"/>
    <w:rsid w:val="00E333D5"/>
    <w:rsid w:val="00E3394F"/>
    <w:rsid w:val="00E33A0B"/>
    <w:rsid w:val="00E34A2F"/>
    <w:rsid w:val="00E35901"/>
    <w:rsid w:val="00E35A45"/>
    <w:rsid w:val="00E35F7F"/>
    <w:rsid w:val="00E36392"/>
    <w:rsid w:val="00E36B32"/>
    <w:rsid w:val="00E37254"/>
    <w:rsid w:val="00E37A6F"/>
    <w:rsid w:val="00E37A9C"/>
    <w:rsid w:val="00E40222"/>
    <w:rsid w:val="00E40406"/>
    <w:rsid w:val="00E4082B"/>
    <w:rsid w:val="00E40835"/>
    <w:rsid w:val="00E408EC"/>
    <w:rsid w:val="00E409B5"/>
    <w:rsid w:val="00E40BCB"/>
    <w:rsid w:val="00E40FD7"/>
    <w:rsid w:val="00E4208F"/>
    <w:rsid w:val="00E42E94"/>
    <w:rsid w:val="00E42F27"/>
    <w:rsid w:val="00E43006"/>
    <w:rsid w:val="00E4312A"/>
    <w:rsid w:val="00E4331B"/>
    <w:rsid w:val="00E43551"/>
    <w:rsid w:val="00E437FA"/>
    <w:rsid w:val="00E449B5"/>
    <w:rsid w:val="00E45A2C"/>
    <w:rsid w:val="00E46A6B"/>
    <w:rsid w:val="00E46A9C"/>
    <w:rsid w:val="00E470E2"/>
    <w:rsid w:val="00E47DB1"/>
    <w:rsid w:val="00E50BDD"/>
    <w:rsid w:val="00E510CF"/>
    <w:rsid w:val="00E513D7"/>
    <w:rsid w:val="00E519FE"/>
    <w:rsid w:val="00E5206C"/>
    <w:rsid w:val="00E52AAB"/>
    <w:rsid w:val="00E53556"/>
    <w:rsid w:val="00E5448E"/>
    <w:rsid w:val="00E547D6"/>
    <w:rsid w:val="00E54E0D"/>
    <w:rsid w:val="00E55247"/>
    <w:rsid w:val="00E558E5"/>
    <w:rsid w:val="00E55B3C"/>
    <w:rsid w:val="00E5647B"/>
    <w:rsid w:val="00E56795"/>
    <w:rsid w:val="00E56E93"/>
    <w:rsid w:val="00E57932"/>
    <w:rsid w:val="00E606C4"/>
    <w:rsid w:val="00E60811"/>
    <w:rsid w:val="00E60AB8"/>
    <w:rsid w:val="00E6103E"/>
    <w:rsid w:val="00E6185F"/>
    <w:rsid w:val="00E61D32"/>
    <w:rsid w:val="00E63C60"/>
    <w:rsid w:val="00E64050"/>
    <w:rsid w:val="00E64B7B"/>
    <w:rsid w:val="00E6514D"/>
    <w:rsid w:val="00E65161"/>
    <w:rsid w:val="00E651DE"/>
    <w:rsid w:val="00E652C9"/>
    <w:rsid w:val="00E6593B"/>
    <w:rsid w:val="00E65D74"/>
    <w:rsid w:val="00E66E11"/>
    <w:rsid w:val="00E672C6"/>
    <w:rsid w:val="00E67366"/>
    <w:rsid w:val="00E70192"/>
    <w:rsid w:val="00E70963"/>
    <w:rsid w:val="00E70C55"/>
    <w:rsid w:val="00E70E34"/>
    <w:rsid w:val="00E713F7"/>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0CF3"/>
    <w:rsid w:val="00E816E8"/>
    <w:rsid w:val="00E82592"/>
    <w:rsid w:val="00E825ED"/>
    <w:rsid w:val="00E827BB"/>
    <w:rsid w:val="00E82D24"/>
    <w:rsid w:val="00E8357D"/>
    <w:rsid w:val="00E83B8A"/>
    <w:rsid w:val="00E83C4F"/>
    <w:rsid w:val="00E84212"/>
    <w:rsid w:val="00E84C04"/>
    <w:rsid w:val="00E84F72"/>
    <w:rsid w:val="00E856A2"/>
    <w:rsid w:val="00E8572B"/>
    <w:rsid w:val="00E8575B"/>
    <w:rsid w:val="00E85929"/>
    <w:rsid w:val="00E85AD2"/>
    <w:rsid w:val="00E86C36"/>
    <w:rsid w:val="00E87A37"/>
    <w:rsid w:val="00E87CF7"/>
    <w:rsid w:val="00E9036E"/>
    <w:rsid w:val="00E9078A"/>
    <w:rsid w:val="00E912FD"/>
    <w:rsid w:val="00E913EF"/>
    <w:rsid w:val="00E91B26"/>
    <w:rsid w:val="00E92C6E"/>
    <w:rsid w:val="00E92D0B"/>
    <w:rsid w:val="00E92FFF"/>
    <w:rsid w:val="00E93195"/>
    <w:rsid w:val="00E93637"/>
    <w:rsid w:val="00E9391C"/>
    <w:rsid w:val="00E93D05"/>
    <w:rsid w:val="00E93D99"/>
    <w:rsid w:val="00E946AB"/>
    <w:rsid w:val="00E951D8"/>
    <w:rsid w:val="00E95C2A"/>
    <w:rsid w:val="00E961CB"/>
    <w:rsid w:val="00E963BC"/>
    <w:rsid w:val="00E966A6"/>
    <w:rsid w:val="00E96E91"/>
    <w:rsid w:val="00E9751D"/>
    <w:rsid w:val="00E97DC6"/>
    <w:rsid w:val="00E97DF6"/>
    <w:rsid w:val="00E97F7A"/>
    <w:rsid w:val="00EA0010"/>
    <w:rsid w:val="00EA0143"/>
    <w:rsid w:val="00EA089B"/>
    <w:rsid w:val="00EA0AD2"/>
    <w:rsid w:val="00EA1782"/>
    <w:rsid w:val="00EA1ACC"/>
    <w:rsid w:val="00EA1B7F"/>
    <w:rsid w:val="00EA2E21"/>
    <w:rsid w:val="00EA2EAA"/>
    <w:rsid w:val="00EA380C"/>
    <w:rsid w:val="00EA5F3B"/>
    <w:rsid w:val="00EA613D"/>
    <w:rsid w:val="00EA6744"/>
    <w:rsid w:val="00EA7308"/>
    <w:rsid w:val="00EA7474"/>
    <w:rsid w:val="00EB0674"/>
    <w:rsid w:val="00EB0831"/>
    <w:rsid w:val="00EB089C"/>
    <w:rsid w:val="00EB0AA8"/>
    <w:rsid w:val="00EB0B65"/>
    <w:rsid w:val="00EB0C65"/>
    <w:rsid w:val="00EB1624"/>
    <w:rsid w:val="00EB169F"/>
    <w:rsid w:val="00EB2635"/>
    <w:rsid w:val="00EB2961"/>
    <w:rsid w:val="00EB2E1A"/>
    <w:rsid w:val="00EB2F8A"/>
    <w:rsid w:val="00EB304D"/>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2EAB"/>
    <w:rsid w:val="00EC328C"/>
    <w:rsid w:val="00EC32F5"/>
    <w:rsid w:val="00EC3852"/>
    <w:rsid w:val="00EC4528"/>
    <w:rsid w:val="00EC4D3A"/>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D5F"/>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6B0"/>
    <w:rsid w:val="00EF6D39"/>
    <w:rsid w:val="00EF6D5A"/>
    <w:rsid w:val="00EF71E6"/>
    <w:rsid w:val="00F0058A"/>
    <w:rsid w:val="00F00630"/>
    <w:rsid w:val="00F00922"/>
    <w:rsid w:val="00F00924"/>
    <w:rsid w:val="00F00F2C"/>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0D3C"/>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277"/>
    <w:rsid w:val="00F254C4"/>
    <w:rsid w:val="00F25641"/>
    <w:rsid w:val="00F256D8"/>
    <w:rsid w:val="00F25824"/>
    <w:rsid w:val="00F25E8C"/>
    <w:rsid w:val="00F26065"/>
    <w:rsid w:val="00F266E3"/>
    <w:rsid w:val="00F2689C"/>
    <w:rsid w:val="00F271C4"/>
    <w:rsid w:val="00F27E44"/>
    <w:rsid w:val="00F30313"/>
    <w:rsid w:val="00F303BC"/>
    <w:rsid w:val="00F30472"/>
    <w:rsid w:val="00F31052"/>
    <w:rsid w:val="00F313E8"/>
    <w:rsid w:val="00F318A1"/>
    <w:rsid w:val="00F31CF5"/>
    <w:rsid w:val="00F31E30"/>
    <w:rsid w:val="00F3265C"/>
    <w:rsid w:val="00F32C4A"/>
    <w:rsid w:val="00F33262"/>
    <w:rsid w:val="00F343EE"/>
    <w:rsid w:val="00F353F4"/>
    <w:rsid w:val="00F35412"/>
    <w:rsid w:val="00F35494"/>
    <w:rsid w:val="00F35607"/>
    <w:rsid w:val="00F357A0"/>
    <w:rsid w:val="00F359AB"/>
    <w:rsid w:val="00F35DBA"/>
    <w:rsid w:val="00F3619D"/>
    <w:rsid w:val="00F36DDE"/>
    <w:rsid w:val="00F3722A"/>
    <w:rsid w:val="00F37366"/>
    <w:rsid w:val="00F37C99"/>
    <w:rsid w:val="00F37FCC"/>
    <w:rsid w:val="00F419B8"/>
    <w:rsid w:val="00F41C0F"/>
    <w:rsid w:val="00F42856"/>
    <w:rsid w:val="00F42BF8"/>
    <w:rsid w:val="00F42ED7"/>
    <w:rsid w:val="00F43777"/>
    <w:rsid w:val="00F4482B"/>
    <w:rsid w:val="00F44F02"/>
    <w:rsid w:val="00F45039"/>
    <w:rsid w:val="00F45041"/>
    <w:rsid w:val="00F4526B"/>
    <w:rsid w:val="00F45298"/>
    <w:rsid w:val="00F45417"/>
    <w:rsid w:val="00F45F64"/>
    <w:rsid w:val="00F462DF"/>
    <w:rsid w:val="00F46534"/>
    <w:rsid w:val="00F4662D"/>
    <w:rsid w:val="00F467BA"/>
    <w:rsid w:val="00F4689E"/>
    <w:rsid w:val="00F468AC"/>
    <w:rsid w:val="00F4696F"/>
    <w:rsid w:val="00F46A5F"/>
    <w:rsid w:val="00F46BB0"/>
    <w:rsid w:val="00F47316"/>
    <w:rsid w:val="00F47507"/>
    <w:rsid w:val="00F47A01"/>
    <w:rsid w:val="00F47CEE"/>
    <w:rsid w:val="00F5040A"/>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5EC2"/>
    <w:rsid w:val="00F56F7E"/>
    <w:rsid w:val="00F56FEF"/>
    <w:rsid w:val="00F57521"/>
    <w:rsid w:val="00F57859"/>
    <w:rsid w:val="00F60938"/>
    <w:rsid w:val="00F60C7E"/>
    <w:rsid w:val="00F60E0A"/>
    <w:rsid w:val="00F61207"/>
    <w:rsid w:val="00F61606"/>
    <w:rsid w:val="00F61918"/>
    <w:rsid w:val="00F620E4"/>
    <w:rsid w:val="00F62151"/>
    <w:rsid w:val="00F62CA8"/>
    <w:rsid w:val="00F62DBD"/>
    <w:rsid w:val="00F62F92"/>
    <w:rsid w:val="00F630B4"/>
    <w:rsid w:val="00F635EF"/>
    <w:rsid w:val="00F63BF4"/>
    <w:rsid w:val="00F63C55"/>
    <w:rsid w:val="00F63C60"/>
    <w:rsid w:val="00F64991"/>
    <w:rsid w:val="00F65693"/>
    <w:rsid w:val="00F65BA9"/>
    <w:rsid w:val="00F65BC8"/>
    <w:rsid w:val="00F65EEA"/>
    <w:rsid w:val="00F66205"/>
    <w:rsid w:val="00F6630F"/>
    <w:rsid w:val="00F66419"/>
    <w:rsid w:val="00F67079"/>
    <w:rsid w:val="00F67B58"/>
    <w:rsid w:val="00F67E81"/>
    <w:rsid w:val="00F7044B"/>
    <w:rsid w:val="00F70AF8"/>
    <w:rsid w:val="00F70FD4"/>
    <w:rsid w:val="00F71342"/>
    <w:rsid w:val="00F71C68"/>
    <w:rsid w:val="00F724E2"/>
    <w:rsid w:val="00F72840"/>
    <w:rsid w:val="00F74103"/>
    <w:rsid w:val="00F7410A"/>
    <w:rsid w:val="00F745A4"/>
    <w:rsid w:val="00F74C0C"/>
    <w:rsid w:val="00F74DA7"/>
    <w:rsid w:val="00F74E0A"/>
    <w:rsid w:val="00F758E1"/>
    <w:rsid w:val="00F75BB5"/>
    <w:rsid w:val="00F75FD5"/>
    <w:rsid w:val="00F7604C"/>
    <w:rsid w:val="00F76677"/>
    <w:rsid w:val="00F768CF"/>
    <w:rsid w:val="00F773A9"/>
    <w:rsid w:val="00F77C09"/>
    <w:rsid w:val="00F8056E"/>
    <w:rsid w:val="00F805B7"/>
    <w:rsid w:val="00F810C1"/>
    <w:rsid w:val="00F81623"/>
    <w:rsid w:val="00F81D25"/>
    <w:rsid w:val="00F8245C"/>
    <w:rsid w:val="00F82928"/>
    <w:rsid w:val="00F829B9"/>
    <w:rsid w:val="00F83045"/>
    <w:rsid w:val="00F83615"/>
    <w:rsid w:val="00F83EC7"/>
    <w:rsid w:val="00F8421D"/>
    <w:rsid w:val="00F8438A"/>
    <w:rsid w:val="00F85329"/>
    <w:rsid w:val="00F85683"/>
    <w:rsid w:val="00F857A0"/>
    <w:rsid w:val="00F85841"/>
    <w:rsid w:val="00F86079"/>
    <w:rsid w:val="00F8610A"/>
    <w:rsid w:val="00F87282"/>
    <w:rsid w:val="00F878CD"/>
    <w:rsid w:val="00F87905"/>
    <w:rsid w:val="00F87A66"/>
    <w:rsid w:val="00F90C1F"/>
    <w:rsid w:val="00F912D9"/>
    <w:rsid w:val="00F91A44"/>
    <w:rsid w:val="00F91BFA"/>
    <w:rsid w:val="00F91F8F"/>
    <w:rsid w:val="00F9217B"/>
    <w:rsid w:val="00F9234B"/>
    <w:rsid w:val="00F97A34"/>
    <w:rsid w:val="00F97E4A"/>
    <w:rsid w:val="00F97EA1"/>
    <w:rsid w:val="00FA003A"/>
    <w:rsid w:val="00FA05C8"/>
    <w:rsid w:val="00FA0678"/>
    <w:rsid w:val="00FA0936"/>
    <w:rsid w:val="00FA0DB6"/>
    <w:rsid w:val="00FA23F7"/>
    <w:rsid w:val="00FA27EB"/>
    <w:rsid w:val="00FA2A29"/>
    <w:rsid w:val="00FA35B6"/>
    <w:rsid w:val="00FA3EBC"/>
    <w:rsid w:val="00FA423C"/>
    <w:rsid w:val="00FA44D0"/>
    <w:rsid w:val="00FA4590"/>
    <w:rsid w:val="00FA55A2"/>
    <w:rsid w:val="00FA672F"/>
    <w:rsid w:val="00FA67C8"/>
    <w:rsid w:val="00FA7472"/>
    <w:rsid w:val="00FA775E"/>
    <w:rsid w:val="00FA7792"/>
    <w:rsid w:val="00FA7AA8"/>
    <w:rsid w:val="00FA7F1D"/>
    <w:rsid w:val="00FB011C"/>
    <w:rsid w:val="00FB0D60"/>
    <w:rsid w:val="00FB18FD"/>
    <w:rsid w:val="00FB2BF5"/>
    <w:rsid w:val="00FB2F8E"/>
    <w:rsid w:val="00FB30C3"/>
    <w:rsid w:val="00FB3693"/>
    <w:rsid w:val="00FB39B0"/>
    <w:rsid w:val="00FB508F"/>
    <w:rsid w:val="00FB5138"/>
    <w:rsid w:val="00FB547F"/>
    <w:rsid w:val="00FB56D5"/>
    <w:rsid w:val="00FB5A71"/>
    <w:rsid w:val="00FB63F6"/>
    <w:rsid w:val="00FB7823"/>
    <w:rsid w:val="00FC0420"/>
    <w:rsid w:val="00FC05B2"/>
    <w:rsid w:val="00FC08B3"/>
    <w:rsid w:val="00FC09D7"/>
    <w:rsid w:val="00FC0ABE"/>
    <w:rsid w:val="00FC1269"/>
    <w:rsid w:val="00FC18DF"/>
    <w:rsid w:val="00FC22D0"/>
    <w:rsid w:val="00FC38D4"/>
    <w:rsid w:val="00FC391E"/>
    <w:rsid w:val="00FC39B3"/>
    <w:rsid w:val="00FC3BB7"/>
    <w:rsid w:val="00FC4345"/>
    <w:rsid w:val="00FC435C"/>
    <w:rsid w:val="00FC444A"/>
    <w:rsid w:val="00FC453D"/>
    <w:rsid w:val="00FC4A89"/>
    <w:rsid w:val="00FC619B"/>
    <w:rsid w:val="00FC665F"/>
    <w:rsid w:val="00FC68E8"/>
    <w:rsid w:val="00FC6C35"/>
    <w:rsid w:val="00FC6D59"/>
    <w:rsid w:val="00FC7561"/>
    <w:rsid w:val="00FC78CB"/>
    <w:rsid w:val="00FC78F5"/>
    <w:rsid w:val="00FC7ACA"/>
    <w:rsid w:val="00FC7AD2"/>
    <w:rsid w:val="00FC7C08"/>
    <w:rsid w:val="00FD10B3"/>
    <w:rsid w:val="00FD11C3"/>
    <w:rsid w:val="00FD154E"/>
    <w:rsid w:val="00FD24D7"/>
    <w:rsid w:val="00FD28B0"/>
    <w:rsid w:val="00FD29CE"/>
    <w:rsid w:val="00FD3AE2"/>
    <w:rsid w:val="00FD3E41"/>
    <w:rsid w:val="00FD3EFA"/>
    <w:rsid w:val="00FD400A"/>
    <w:rsid w:val="00FD54A8"/>
    <w:rsid w:val="00FD564D"/>
    <w:rsid w:val="00FD5AE4"/>
    <w:rsid w:val="00FD5F25"/>
    <w:rsid w:val="00FD60BE"/>
    <w:rsid w:val="00FD6894"/>
    <w:rsid w:val="00FD6AF0"/>
    <w:rsid w:val="00FD704D"/>
    <w:rsid w:val="00FD7249"/>
    <w:rsid w:val="00FD74EF"/>
    <w:rsid w:val="00FD79B8"/>
    <w:rsid w:val="00FD79F6"/>
    <w:rsid w:val="00FE033F"/>
    <w:rsid w:val="00FE07A8"/>
    <w:rsid w:val="00FE0AD1"/>
    <w:rsid w:val="00FE0CC0"/>
    <w:rsid w:val="00FE13E6"/>
    <w:rsid w:val="00FE1852"/>
    <w:rsid w:val="00FE1963"/>
    <w:rsid w:val="00FE1981"/>
    <w:rsid w:val="00FE1BF1"/>
    <w:rsid w:val="00FE33DB"/>
    <w:rsid w:val="00FE33F5"/>
    <w:rsid w:val="00FE352A"/>
    <w:rsid w:val="00FE37DD"/>
    <w:rsid w:val="00FE3C31"/>
    <w:rsid w:val="00FE4015"/>
    <w:rsid w:val="00FE44F5"/>
    <w:rsid w:val="00FE4783"/>
    <w:rsid w:val="00FE480D"/>
    <w:rsid w:val="00FE4A0F"/>
    <w:rsid w:val="00FE4ACC"/>
    <w:rsid w:val="00FE4F80"/>
    <w:rsid w:val="00FE570E"/>
    <w:rsid w:val="00FE594D"/>
    <w:rsid w:val="00FE6870"/>
    <w:rsid w:val="00FE713E"/>
    <w:rsid w:val="00FE7877"/>
    <w:rsid w:val="00FE7DD1"/>
    <w:rsid w:val="00FF0413"/>
    <w:rsid w:val="00FF0B4F"/>
    <w:rsid w:val="00FF0F58"/>
    <w:rsid w:val="00FF183C"/>
    <w:rsid w:val="00FF1A06"/>
    <w:rsid w:val="00FF1AD3"/>
    <w:rsid w:val="00FF1B46"/>
    <w:rsid w:val="00FF219D"/>
    <w:rsid w:val="00FF2A7B"/>
    <w:rsid w:val="00FF3D2B"/>
    <w:rsid w:val="00FF427E"/>
    <w:rsid w:val="00FF49B4"/>
    <w:rsid w:val="00FF49D6"/>
    <w:rsid w:val="00FF49F4"/>
    <w:rsid w:val="00FF54F1"/>
    <w:rsid w:val="00FF5897"/>
    <w:rsid w:val="00FF5C6A"/>
    <w:rsid w:val="00FF651D"/>
    <w:rsid w:val="00FF6843"/>
    <w:rsid w:val="00FF6C25"/>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735C68"/>
    <w:rsid w:val="048B0EE3"/>
    <w:rsid w:val="048F763B"/>
    <w:rsid w:val="049F330E"/>
    <w:rsid w:val="04AA775C"/>
    <w:rsid w:val="04AF1889"/>
    <w:rsid w:val="04F66F48"/>
    <w:rsid w:val="05251E14"/>
    <w:rsid w:val="05A16594"/>
    <w:rsid w:val="05A7762D"/>
    <w:rsid w:val="060E5941"/>
    <w:rsid w:val="06100207"/>
    <w:rsid w:val="06110FAF"/>
    <w:rsid w:val="062F2CAA"/>
    <w:rsid w:val="06493CA7"/>
    <w:rsid w:val="065A6178"/>
    <w:rsid w:val="06642AFE"/>
    <w:rsid w:val="066F1CF3"/>
    <w:rsid w:val="06930BB8"/>
    <w:rsid w:val="06BE0C23"/>
    <w:rsid w:val="07245D42"/>
    <w:rsid w:val="07264C62"/>
    <w:rsid w:val="0779354C"/>
    <w:rsid w:val="08061376"/>
    <w:rsid w:val="08452D77"/>
    <w:rsid w:val="086401F8"/>
    <w:rsid w:val="086619BF"/>
    <w:rsid w:val="08751CAA"/>
    <w:rsid w:val="087E4C40"/>
    <w:rsid w:val="08A60BF7"/>
    <w:rsid w:val="08D66AD6"/>
    <w:rsid w:val="08DA33A3"/>
    <w:rsid w:val="08E80F13"/>
    <w:rsid w:val="092E1A8D"/>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0A0458"/>
    <w:rsid w:val="0B30404E"/>
    <w:rsid w:val="0B4C6C14"/>
    <w:rsid w:val="0B5F1DB6"/>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673BD"/>
    <w:rsid w:val="0CFE707A"/>
    <w:rsid w:val="0D063BDA"/>
    <w:rsid w:val="0D075092"/>
    <w:rsid w:val="0D08375F"/>
    <w:rsid w:val="0D184CFB"/>
    <w:rsid w:val="0D4A7419"/>
    <w:rsid w:val="0D827401"/>
    <w:rsid w:val="0D84094E"/>
    <w:rsid w:val="0D8A00E9"/>
    <w:rsid w:val="0D8D589E"/>
    <w:rsid w:val="0DA01C73"/>
    <w:rsid w:val="0DD63300"/>
    <w:rsid w:val="0DF50604"/>
    <w:rsid w:val="0DF702FE"/>
    <w:rsid w:val="0E060E51"/>
    <w:rsid w:val="0E19403A"/>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0FD27904"/>
    <w:rsid w:val="10646583"/>
    <w:rsid w:val="107D4B15"/>
    <w:rsid w:val="108A3C80"/>
    <w:rsid w:val="10C26171"/>
    <w:rsid w:val="10F33360"/>
    <w:rsid w:val="10FC16EA"/>
    <w:rsid w:val="110F1D40"/>
    <w:rsid w:val="111B199F"/>
    <w:rsid w:val="11266F33"/>
    <w:rsid w:val="118963A1"/>
    <w:rsid w:val="11C6522A"/>
    <w:rsid w:val="11E104CC"/>
    <w:rsid w:val="11E20309"/>
    <w:rsid w:val="12255233"/>
    <w:rsid w:val="12530213"/>
    <w:rsid w:val="127723A9"/>
    <w:rsid w:val="12862074"/>
    <w:rsid w:val="12883966"/>
    <w:rsid w:val="129E45B4"/>
    <w:rsid w:val="12D81596"/>
    <w:rsid w:val="13072A44"/>
    <w:rsid w:val="130E1567"/>
    <w:rsid w:val="135F4BE2"/>
    <w:rsid w:val="139B1A0A"/>
    <w:rsid w:val="139D25C7"/>
    <w:rsid w:val="13BF3CE4"/>
    <w:rsid w:val="141008D8"/>
    <w:rsid w:val="14125FE6"/>
    <w:rsid w:val="146D271E"/>
    <w:rsid w:val="14982588"/>
    <w:rsid w:val="149A5AD9"/>
    <w:rsid w:val="14A7619D"/>
    <w:rsid w:val="150536C3"/>
    <w:rsid w:val="150C1963"/>
    <w:rsid w:val="151447A0"/>
    <w:rsid w:val="154A6454"/>
    <w:rsid w:val="155862F9"/>
    <w:rsid w:val="15762120"/>
    <w:rsid w:val="15B6173D"/>
    <w:rsid w:val="163411BF"/>
    <w:rsid w:val="16A456DC"/>
    <w:rsid w:val="16A8729C"/>
    <w:rsid w:val="16B33777"/>
    <w:rsid w:val="16BC70A7"/>
    <w:rsid w:val="16C6339E"/>
    <w:rsid w:val="172F2D79"/>
    <w:rsid w:val="17557BEF"/>
    <w:rsid w:val="17D349C1"/>
    <w:rsid w:val="18286B86"/>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343787"/>
    <w:rsid w:val="1C61111D"/>
    <w:rsid w:val="1C88086E"/>
    <w:rsid w:val="1D266CE1"/>
    <w:rsid w:val="1D3963AF"/>
    <w:rsid w:val="1D6A673C"/>
    <w:rsid w:val="1D802B1D"/>
    <w:rsid w:val="1D9247AE"/>
    <w:rsid w:val="1DB567EC"/>
    <w:rsid w:val="1DD00867"/>
    <w:rsid w:val="1DF51A98"/>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706E0"/>
    <w:rsid w:val="204E48BC"/>
    <w:rsid w:val="205A3812"/>
    <w:rsid w:val="206044C4"/>
    <w:rsid w:val="208921B3"/>
    <w:rsid w:val="208D04AE"/>
    <w:rsid w:val="20973DEB"/>
    <w:rsid w:val="20B26522"/>
    <w:rsid w:val="20B44310"/>
    <w:rsid w:val="211116EB"/>
    <w:rsid w:val="214D3572"/>
    <w:rsid w:val="216133FC"/>
    <w:rsid w:val="21722A2B"/>
    <w:rsid w:val="21D56769"/>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257A47"/>
    <w:rsid w:val="245375B0"/>
    <w:rsid w:val="24642C0A"/>
    <w:rsid w:val="24B22173"/>
    <w:rsid w:val="24B95AD9"/>
    <w:rsid w:val="24BE24DA"/>
    <w:rsid w:val="24CF5825"/>
    <w:rsid w:val="24D663E6"/>
    <w:rsid w:val="24D77F2B"/>
    <w:rsid w:val="24F33E9A"/>
    <w:rsid w:val="251C31E3"/>
    <w:rsid w:val="258B00E2"/>
    <w:rsid w:val="25A917A6"/>
    <w:rsid w:val="25BE27CC"/>
    <w:rsid w:val="25F74A5C"/>
    <w:rsid w:val="2628662C"/>
    <w:rsid w:val="262A7858"/>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8EE0C22"/>
    <w:rsid w:val="29345E77"/>
    <w:rsid w:val="294C65AD"/>
    <w:rsid w:val="29806583"/>
    <w:rsid w:val="298B3C4C"/>
    <w:rsid w:val="29AD2CCD"/>
    <w:rsid w:val="29F26D24"/>
    <w:rsid w:val="2A15033F"/>
    <w:rsid w:val="2A1662C1"/>
    <w:rsid w:val="2A1C7367"/>
    <w:rsid w:val="2A2815FA"/>
    <w:rsid w:val="2A3A0AE4"/>
    <w:rsid w:val="2A4E45E1"/>
    <w:rsid w:val="2A6D6092"/>
    <w:rsid w:val="2A7D76B4"/>
    <w:rsid w:val="2ACE0CCA"/>
    <w:rsid w:val="2B2629E5"/>
    <w:rsid w:val="2B2F3538"/>
    <w:rsid w:val="2B437463"/>
    <w:rsid w:val="2B7807EE"/>
    <w:rsid w:val="2B8B3764"/>
    <w:rsid w:val="2BBF00EC"/>
    <w:rsid w:val="2BC37CFD"/>
    <w:rsid w:val="2BD5237F"/>
    <w:rsid w:val="2BDF1F09"/>
    <w:rsid w:val="2BE536CE"/>
    <w:rsid w:val="2BE758D9"/>
    <w:rsid w:val="2C09049E"/>
    <w:rsid w:val="2C0A653C"/>
    <w:rsid w:val="2C191F85"/>
    <w:rsid w:val="2C6748DC"/>
    <w:rsid w:val="2CE82D6F"/>
    <w:rsid w:val="2D343236"/>
    <w:rsid w:val="2DD15014"/>
    <w:rsid w:val="2DF72DE4"/>
    <w:rsid w:val="2E0220AF"/>
    <w:rsid w:val="2E4B082A"/>
    <w:rsid w:val="2E5D4E86"/>
    <w:rsid w:val="2E5D790B"/>
    <w:rsid w:val="2E9A3C18"/>
    <w:rsid w:val="2EBB0FEE"/>
    <w:rsid w:val="2EC63002"/>
    <w:rsid w:val="2F0A6B38"/>
    <w:rsid w:val="2F1E646B"/>
    <w:rsid w:val="2F946CCB"/>
    <w:rsid w:val="2F9B4FD0"/>
    <w:rsid w:val="2FCE6F45"/>
    <w:rsid w:val="2FD25781"/>
    <w:rsid w:val="2FFD7934"/>
    <w:rsid w:val="30733ACD"/>
    <w:rsid w:val="308C3862"/>
    <w:rsid w:val="309379D8"/>
    <w:rsid w:val="30A270F7"/>
    <w:rsid w:val="30DF1478"/>
    <w:rsid w:val="30EC586F"/>
    <w:rsid w:val="319C6071"/>
    <w:rsid w:val="31AC537E"/>
    <w:rsid w:val="31E3679B"/>
    <w:rsid w:val="31E732FD"/>
    <w:rsid w:val="31F33E31"/>
    <w:rsid w:val="32517576"/>
    <w:rsid w:val="32A83FF7"/>
    <w:rsid w:val="32BE5C2C"/>
    <w:rsid w:val="32FB6478"/>
    <w:rsid w:val="33263B3F"/>
    <w:rsid w:val="336963EB"/>
    <w:rsid w:val="33816EEB"/>
    <w:rsid w:val="33EB55CD"/>
    <w:rsid w:val="33EC4C02"/>
    <w:rsid w:val="340D2360"/>
    <w:rsid w:val="3410665D"/>
    <w:rsid w:val="34211214"/>
    <w:rsid w:val="342E63AB"/>
    <w:rsid w:val="343520A9"/>
    <w:rsid w:val="34627162"/>
    <w:rsid w:val="34950E68"/>
    <w:rsid w:val="34986E94"/>
    <w:rsid w:val="34AF62C9"/>
    <w:rsid w:val="34CB4388"/>
    <w:rsid w:val="34FA6E12"/>
    <w:rsid w:val="358D5588"/>
    <w:rsid w:val="363A3B40"/>
    <w:rsid w:val="365302AE"/>
    <w:rsid w:val="36607A0A"/>
    <w:rsid w:val="366E227C"/>
    <w:rsid w:val="366F2E0D"/>
    <w:rsid w:val="367B6A5C"/>
    <w:rsid w:val="36A74ADA"/>
    <w:rsid w:val="36AD60D5"/>
    <w:rsid w:val="36B224F9"/>
    <w:rsid w:val="36EC0CC9"/>
    <w:rsid w:val="373F410B"/>
    <w:rsid w:val="37920DA3"/>
    <w:rsid w:val="37EE7094"/>
    <w:rsid w:val="38296C89"/>
    <w:rsid w:val="383002EB"/>
    <w:rsid w:val="38586797"/>
    <w:rsid w:val="38BC0149"/>
    <w:rsid w:val="38D87D1C"/>
    <w:rsid w:val="39636459"/>
    <w:rsid w:val="396B7F6C"/>
    <w:rsid w:val="39B417A9"/>
    <w:rsid w:val="39BF1980"/>
    <w:rsid w:val="39FC5695"/>
    <w:rsid w:val="3A006D8E"/>
    <w:rsid w:val="3A3651E5"/>
    <w:rsid w:val="3A741703"/>
    <w:rsid w:val="3A744481"/>
    <w:rsid w:val="3A8C7BEF"/>
    <w:rsid w:val="3A906246"/>
    <w:rsid w:val="3B2349B7"/>
    <w:rsid w:val="3B616CFF"/>
    <w:rsid w:val="3B6259F6"/>
    <w:rsid w:val="3B6C7456"/>
    <w:rsid w:val="3B976654"/>
    <w:rsid w:val="3BBEE7F0"/>
    <w:rsid w:val="3BC01EFC"/>
    <w:rsid w:val="3BCA786A"/>
    <w:rsid w:val="3BD31E2F"/>
    <w:rsid w:val="3BF15831"/>
    <w:rsid w:val="3C105946"/>
    <w:rsid w:val="3C471448"/>
    <w:rsid w:val="3C5F759A"/>
    <w:rsid w:val="3C6C525A"/>
    <w:rsid w:val="3CBB5DCB"/>
    <w:rsid w:val="3CCE23CB"/>
    <w:rsid w:val="3CD17D17"/>
    <w:rsid w:val="3D3C7F39"/>
    <w:rsid w:val="3D440F09"/>
    <w:rsid w:val="3D4504A0"/>
    <w:rsid w:val="3D8734BB"/>
    <w:rsid w:val="3D9A11D4"/>
    <w:rsid w:val="3DA16D89"/>
    <w:rsid w:val="3DA364BE"/>
    <w:rsid w:val="3DE041CB"/>
    <w:rsid w:val="3DE45521"/>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BFFE11"/>
    <w:rsid w:val="4019356B"/>
    <w:rsid w:val="40592157"/>
    <w:rsid w:val="406E1CAE"/>
    <w:rsid w:val="40A0133A"/>
    <w:rsid w:val="40C31A53"/>
    <w:rsid w:val="40FF545D"/>
    <w:rsid w:val="410067C8"/>
    <w:rsid w:val="416F2023"/>
    <w:rsid w:val="418F0D2A"/>
    <w:rsid w:val="41D01505"/>
    <w:rsid w:val="41E433F4"/>
    <w:rsid w:val="42474939"/>
    <w:rsid w:val="424C3C57"/>
    <w:rsid w:val="42613FF3"/>
    <w:rsid w:val="42660D96"/>
    <w:rsid w:val="428667D2"/>
    <w:rsid w:val="42CD1CE0"/>
    <w:rsid w:val="42E1381E"/>
    <w:rsid w:val="42ED6459"/>
    <w:rsid w:val="42FE58DD"/>
    <w:rsid w:val="430C6EEF"/>
    <w:rsid w:val="43174B3D"/>
    <w:rsid w:val="434B790E"/>
    <w:rsid w:val="4360274F"/>
    <w:rsid w:val="43977AB6"/>
    <w:rsid w:val="43A3342B"/>
    <w:rsid w:val="43C77C27"/>
    <w:rsid w:val="43DE09EE"/>
    <w:rsid w:val="44002FAD"/>
    <w:rsid w:val="44066811"/>
    <w:rsid w:val="445F0B62"/>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6F37CED"/>
    <w:rsid w:val="477B778F"/>
    <w:rsid w:val="478203EC"/>
    <w:rsid w:val="47B025FA"/>
    <w:rsid w:val="4809698F"/>
    <w:rsid w:val="4811697D"/>
    <w:rsid w:val="48197063"/>
    <w:rsid w:val="487A3E25"/>
    <w:rsid w:val="488B5503"/>
    <w:rsid w:val="48937E21"/>
    <w:rsid w:val="489A0361"/>
    <w:rsid w:val="48B94FF3"/>
    <w:rsid w:val="48E37AAB"/>
    <w:rsid w:val="48FD4B4C"/>
    <w:rsid w:val="490A68E0"/>
    <w:rsid w:val="491055FE"/>
    <w:rsid w:val="494B4C51"/>
    <w:rsid w:val="495F5B3E"/>
    <w:rsid w:val="496F77D7"/>
    <w:rsid w:val="497654FD"/>
    <w:rsid w:val="4994413B"/>
    <w:rsid w:val="49B64211"/>
    <w:rsid w:val="49F6167F"/>
    <w:rsid w:val="4A064FA0"/>
    <w:rsid w:val="4A166124"/>
    <w:rsid w:val="4A16615C"/>
    <w:rsid w:val="4A4424D7"/>
    <w:rsid w:val="4AB82D0F"/>
    <w:rsid w:val="4AB87C02"/>
    <w:rsid w:val="4AEB7664"/>
    <w:rsid w:val="4AFD7C19"/>
    <w:rsid w:val="4B0567D1"/>
    <w:rsid w:val="4B236AAE"/>
    <w:rsid w:val="4B707271"/>
    <w:rsid w:val="4B9739F7"/>
    <w:rsid w:val="4BC7459F"/>
    <w:rsid w:val="4BEE2503"/>
    <w:rsid w:val="4C245A30"/>
    <w:rsid w:val="4CB6685F"/>
    <w:rsid w:val="4CC367FE"/>
    <w:rsid w:val="4D077F3C"/>
    <w:rsid w:val="4D0B7988"/>
    <w:rsid w:val="4D123355"/>
    <w:rsid w:val="4D2A3B31"/>
    <w:rsid w:val="4D312C52"/>
    <w:rsid w:val="4D905305"/>
    <w:rsid w:val="4D964A72"/>
    <w:rsid w:val="4D9C1254"/>
    <w:rsid w:val="4E615B84"/>
    <w:rsid w:val="4E793892"/>
    <w:rsid w:val="4E800872"/>
    <w:rsid w:val="4EC569ED"/>
    <w:rsid w:val="4ED50EA1"/>
    <w:rsid w:val="4EDB457B"/>
    <w:rsid w:val="4EEC050C"/>
    <w:rsid w:val="4F061A14"/>
    <w:rsid w:val="4F104EC3"/>
    <w:rsid w:val="4F47354A"/>
    <w:rsid w:val="4F911C54"/>
    <w:rsid w:val="4FE625E0"/>
    <w:rsid w:val="50084580"/>
    <w:rsid w:val="5021480F"/>
    <w:rsid w:val="50910706"/>
    <w:rsid w:val="50925BFB"/>
    <w:rsid w:val="50962ECB"/>
    <w:rsid w:val="50A42E38"/>
    <w:rsid w:val="50A4577F"/>
    <w:rsid w:val="50B73D1F"/>
    <w:rsid w:val="50BD5BC9"/>
    <w:rsid w:val="50C11EEE"/>
    <w:rsid w:val="50E97CFC"/>
    <w:rsid w:val="50FA4028"/>
    <w:rsid w:val="510D65B7"/>
    <w:rsid w:val="511157AB"/>
    <w:rsid w:val="51343BFF"/>
    <w:rsid w:val="5142540C"/>
    <w:rsid w:val="5177735F"/>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566482"/>
    <w:rsid w:val="5397158E"/>
    <w:rsid w:val="53F74B50"/>
    <w:rsid w:val="54013861"/>
    <w:rsid w:val="54487265"/>
    <w:rsid w:val="544D6070"/>
    <w:rsid w:val="54605E1E"/>
    <w:rsid w:val="54B3506A"/>
    <w:rsid w:val="54CA0D16"/>
    <w:rsid w:val="54DD4057"/>
    <w:rsid w:val="54E7490F"/>
    <w:rsid w:val="550764A4"/>
    <w:rsid w:val="550B2BF6"/>
    <w:rsid w:val="55214EB5"/>
    <w:rsid w:val="55364EFD"/>
    <w:rsid w:val="55534144"/>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7FE0ED"/>
    <w:rsid w:val="57921984"/>
    <w:rsid w:val="579737F0"/>
    <w:rsid w:val="57A95129"/>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A048C"/>
    <w:rsid w:val="5C80234E"/>
    <w:rsid w:val="5C8A680C"/>
    <w:rsid w:val="5D0B07E3"/>
    <w:rsid w:val="5D0C4701"/>
    <w:rsid w:val="5D0F0395"/>
    <w:rsid w:val="5D221076"/>
    <w:rsid w:val="5D397964"/>
    <w:rsid w:val="5D5A391C"/>
    <w:rsid w:val="5D5F10C0"/>
    <w:rsid w:val="5D891B7B"/>
    <w:rsid w:val="5DAD38EE"/>
    <w:rsid w:val="5E006862"/>
    <w:rsid w:val="5E0207B9"/>
    <w:rsid w:val="5E1834A1"/>
    <w:rsid w:val="5E261785"/>
    <w:rsid w:val="5E427F33"/>
    <w:rsid w:val="5E4A7017"/>
    <w:rsid w:val="5E552BBA"/>
    <w:rsid w:val="5E611C10"/>
    <w:rsid w:val="5EFC7377"/>
    <w:rsid w:val="5F06174D"/>
    <w:rsid w:val="5F3A3602"/>
    <w:rsid w:val="5F6277C6"/>
    <w:rsid w:val="5F6D0B1D"/>
    <w:rsid w:val="5F8D0B82"/>
    <w:rsid w:val="5FA2283D"/>
    <w:rsid w:val="5FCC5339"/>
    <w:rsid w:val="5FE34A5B"/>
    <w:rsid w:val="5FFE1E36"/>
    <w:rsid w:val="60232584"/>
    <w:rsid w:val="606A0956"/>
    <w:rsid w:val="607330CE"/>
    <w:rsid w:val="60825176"/>
    <w:rsid w:val="609F2AC4"/>
    <w:rsid w:val="60FA2EE8"/>
    <w:rsid w:val="61054A27"/>
    <w:rsid w:val="610A52BC"/>
    <w:rsid w:val="611D2366"/>
    <w:rsid w:val="61421856"/>
    <w:rsid w:val="615227C4"/>
    <w:rsid w:val="61654E3F"/>
    <w:rsid w:val="6182292A"/>
    <w:rsid w:val="619F7F92"/>
    <w:rsid w:val="61F94C26"/>
    <w:rsid w:val="62000E56"/>
    <w:rsid w:val="621C6A35"/>
    <w:rsid w:val="624F3E49"/>
    <w:rsid w:val="62632286"/>
    <w:rsid w:val="62885958"/>
    <w:rsid w:val="62F40B65"/>
    <w:rsid w:val="62FC2CFE"/>
    <w:rsid w:val="63024505"/>
    <w:rsid w:val="6354586C"/>
    <w:rsid w:val="635B1DB5"/>
    <w:rsid w:val="63711FED"/>
    <w:rsid w:val="63860BC4"/>
    <w:rsid w:val="63880DDC"/>
    <w:rsid w:val="638D750D"/>
    <w:rsid w:val="63AC6CC0"/>
    <w:rsid w:val="63B609B6"/>
    <w:rsid w:val="64055776"/>
    <w:rsid w:val="64240056"/>
    <w:rsid w:val="643E143A"/>
    <w:rsid w:val="648B6EEF"/>
    <w:rsid w:val="649A07D2"/>
    <w:rsid w:val="64C158BF"/>
    <w:rsid w:val="64CE2EAA"/>
    <w:rsid w:val="65392213"/>
    <w:rsid w:val="653C3090"/>
    <w:rsid w:val="65854376"/>
    <w:rsid w:val="658767BE"/>
    <w:rsid w:val="65892531"/>
    <w:rsid w:val="65CA293B"/>
    <w:rsid w:val="66195831"/>
    <w:rsid w:val="662630A5"/>
    <w:rsid w:val="662E75B1"/>
    <w:rsid w:val="662F710B"/>
    <w:rsid w:val="66342C2E"/>
    <w:rsid w:val="663E784C"/>
    <w:rsid w:val="668B6A45"/>
    <w:rsid w:val="668F4233"/>
    <w:rsid w:val="672F3F24"/>
    <w:rsid w:val="673E055F"/>
    <w:rsid w:val="67551CE3"/>
    <w:rsid w:val="67A22552"/>
    <w:rsid w:val="67B22DCC"/>
    <w:rsid w:val="67BE71AA"/>
    <w:rsid w:val="67D90273"/>
    <w:rsid w:val="67DE5875"/>
    <w:rsid w:val="67E55852"/>
    <w:rsid w:val="67EB1AB4"/>
    <w:rsid w:val="67EE3DB1"/>
    <w:rsid w:val="67F58F01"/>
    <w:rsid w:val="67FA1285"/>
    <w:rsid w:val="685228CA"/>
    <w:rsid w:val="68551F4F"/>
    <w:rsid w:val="687C10C9"/>
    <w:rsid w:val="68840C16"/>
    <w:rsid w:val="68876EFB"/>
    <w:rsid w:val="68884654"/>
    <w:rsid w:val="689F444F"/>
    <w:rsid w:val="68B96DBB"/>
    <w:rsid w:val="68CA2805"/>
    <w:rsid w:val="68E937A3"/>
    <w:rsid w:val="68EB0086"/>
    <w:rsid w:val="68F556B6"/>
    <w:rsid w:val="690A41D9"/>
    <w:rsid w:val="693E15D3"/>
    <w:rsid w:val="69627681"/>
    <w:rsid w:val="6977531D"/>
    <w:rsid w:val="69CC2BFF"/>
    <w:rsid w:val="69FD55B8"/>
    <w:rsid w:val="6A0B1C62"/>
    <w:rsid w:val="6A2406C8"/>
    <w:rsid w:val="6A8412C2"/>
    <w:rsid w:val="6A8F5E0C"/>
    <w:rsid w:val="6AD9F682"/>
    <w:rsid w:val="6ADE0BD1"/>
    <w:rsid w:val="6AE96859"/>
    <w:rsid w:val="6B147746"/>
    <w:rsid w:val="6B24787C"/>
    <w:rsid w:val="6B573233"/>
    <w:rsid w:val="6B5B6274"/>
    <w:rsid w:val="6B935D53"/>
    <w:rsid w:val="6C196F71"/>
    <w:rsid w:val="6C226FCB"/>
    <w:rsid w:val="6C31226F"/>
    <w:rsid w:val="6C552F0B"/>
    <w:rsid w:val="6C8C67B7"/>
    <w:rsid w:val="6C9D744C"/>
    <w:rsid w:val="6CE7295E"/>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193077"/>
    <w:rsid w:val="71360107"/>
    <w:rsid w:val="713B688E"/>
    <w:rsid w:val="71437D8C"/>
    <w:rsid w:val="71D43752"/>
    <w:rsid w:val="71F1796A"/>
    <w:rsid w:val="72154626"/>
    <w:rsid w:val="72262B5D"/>
    <w:rsid w:val="72283FF7"/>
    <w:rsid w:val="722E7212"/>
    <w:rsid w:val="723A0474"/>
    <w:rsid w:val="725923E4"/>
    <w:rsid w:val="72864BF7"/>
    <w:rsid w:val="729023FC"/>
    <w:rsid w:val="73C0646E"/>
    <w:rsid w:val="73F673C0"/>
    <w:rsid w:val="74183952"/>
    <w:rsid w:val="742222F5"/>
    <w:rsid w:val="74476126"/>
    <w:rsid w:val="74706664"/>
    <w:rsid w:val="747F3682"/>
    <w:rsid w:val="749C4185"/>
    <w:rsid w:val="74F14C7A"/>
    <w:rsid w:val="75067759"/>
    <w:rsid w:val="752E6DCD"/>
    <w:rsid w:val="7551380D"/>
    <w:rsid w:val="75600BE5"/>
    <w:rsid w:val="7564475C"/>
    <w:rsid w:val="7583797F"/>
    <w:rsid w:val="759939DC"/>
    <w:rsid w:val="75D20F1D"/>
    <w:rsid w:val="75DA2C18"/>
    <w:rsid w:val="75F54412"/>
    <w:rsid w:val="761D08E0"/>
    <w:rsid w:val="76530DB4"/>
    <w:rsid w:val="765D347C"/>
    <w:rsid w:val="76826699"/>
    <w:rsid w:val="76C87133"/>
    <w:rsid w:val="76CD08D5"/>
    <w:rsid w:val="76DB4B92"/>
    <w:rsid w:val="77052AA4"/>
    <w:rsid w:val="77136511"/>
    <w:rsid w:val="77340A39"/>
    <w:rsid w:val="77351FD0"/>
    <w:rsid w:val="77472422"/>
    <w:rsid w:val="777F31F2"/>
    <w:rsid w:val="77D1700D"/>
    <w:rsid w:val="77EC04CC"/>
    <w:rsid w:val="78344A7C"/>
    <w:rsid w:val="78775729"/>
    <w:rsid w:val="78A42DB0"/>
    <w:rsid w:val="78A656AB"/>
    <w:rsid w:val="78B2245C"/>
    <w:rsid w:val="78E172CC"/>
    <w:rsid w:val="78EA1D1F"/>
    <w:rsid w:val="7904172F"/>
    <w:rsid w:val="790F7E27"/>
    <w:rsid w:val="791A69E7"/>
    <w:rsid w:val="792A231A"/>
    <w:rsid w:val="79316829"/>
    <w:rsid w:val="797E66A9"/>
    <w:rsid w:val="79A97383"/>
    <w:rsid w:val="79CC1BF4"/>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AD52D7"/>
    <w:rsid w:val="7BDC21C5"/>
    <w:rsid w:val="7BEE0103"/>
    <w:rsid w:val="7C0A0FE4"/>
    <w:rsid w:val="7C254906"/>
    <w:rsid w:val="7C2816A6"/>
    <w:rsid w:val="7C5013F0"/>
    <w:rsid w:val="7C590818"/>
    <w:rsid w:val="7C7C10F6"/>
    <w:rsid w:val="7C853BEA"/>
    <w:rsid w:val="7C881368"/>
    <w:rsid w:val="7CE27788"/>
    <w:rsid w:val="7D0C32F1"/>
    <w:rsid w:val="7D0F408D"/>
    <w:rsid w:val="7D491C6C"/>
    <w:rsid w:val="7D5429C0"/>
    <w:rsid w:val="7D6E6D43"/>
    <w:rsid w:val="7DB57A34"/>
    <w:rsid w:val="7DE60973"/>
    <w:rsid w:val="7DEF0916"/>
    <w:rsid w:val="7E1E5218"/>
    <w:rsid w:val="7E480746"/>
    <w:rsid w:val="7E6A07B7"/>
    <w:rsid w:val="7E9A4E1F"/>
    <w:rsid w:val="7EA7723A"/>
    <w:rsid w:val="7EF56FBB"/>
    <w:rsid w:val="7F0768EB"/>
    <w:rsid w:val="7F143BEC"/>
    <w:rsid w:val="7F715AF2"/>
    <w:rsid w:val="7F886E69"/>
    <w:rsid w:val="7FBF0504"/>
    <w:rsid w:val="A7FF18CA"/>
    <w:rsid w:val="B7FA3098"/>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41"/>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643"/>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64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645"/>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64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64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64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651"/>
    <w:qFormat/>
    <w:uiPriority w:val="0"/>
    <w:pPr>
      <w:autoSpaceDE w:val="0"/>
      <w:autoSpaceDN w:val="0"/>
      <w:spacing w:line="360" w:lineRule="auto"/>
    </w:pPr>
    <w:rPr>
      <w:rFonts w:ascii="宋体" w:hAnsi="Arial" w:cs="Arial"/>
      <w:snapToGrid w:val="0"/>
      <w:sz w:val="24"/>
      <w:szCs w:val="21"/>
      <w:lang w:val="zh-CN"/>
    </w:rPr>
  </w:style>
  <w:style w:type="paragraph" w:styleId="6">
    <w:name w:val="Normal Indent"/>
    <w:basedOn w:val="1"/>
    <w:link w:val="642"/>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39"/>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65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654"/>
    <w:qFormat/>
    <w:uiPriority w:val="0"/>
    <w:pPr>
      <w:shd w:val="clear" w:color="auto" w:fill="000080"/>
    </w:pPr>
  </w:style>
  <w:style w:type="paragraph" w:styleId="20">
    <w:name w:val="annotation text"/>
    <w:basedOn w:val="1"/>
    <w:link w:val="649"/>
    <w:qFormat/>
    <w:uiPriority w:val="0"/>
    <w:pPr>
      <w:jc w:val="left"/>
    </w:pPr>
  </w:style>
  <w:style w:type="paragraph" w:styleId="21">
    <w:name w:val="Salutation"/>
    <w:basedOn w:val="1"/>
    <w:next w:val="1"/>
    <w:link w:val="655"/>
    <w:qFormat/>
    <w:uiPriority w:val="0"/>
    <w:rPr>
      <w:rFonts w:ascii="仿宋_GB2312" w:eastAsia="仿宋_GB2312"/>
      <w:sz w:val="28"/>
      <w:szCs w:val="20"/>
    </w:rPr>
  </w:style>
  <w:style w:type="paragraph" w:styleId="22">
    <w:name w:val="Body Text 3"/>
    <w:basedOn w:val="1"/>
    <w:link w:val="656"/>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Indent"/>
    <w:basedOn w:val="1"/>
    <w:link w:val="657"/>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65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39"/>
    <w:pPr>
      <w:ind w:left="1680" w:leftChars="800"/>
    </w:pPr>
  </w:style>
  <w:style w:type="paragraph" w:styleId="31">
    <w:name w:val="toc 3"/>
    <w:basedOn w:val="1"/>
    <w:next w:val="1"/>
    <w:qFormat/>
    <w:uiPriority w:val="39"/>
    <w:pPr>
      <w:tabs>
        <w:tab w:val="right" w:leader="dot" w:pos="8268"/>
      </w:tabs>
      <w:spacing w:line="460" w:lineRule="exact"/>
      <w:ind w:left="840" w:leftChars="400" w:firstLine="482"/>
    </w:pPr>
    <w:rPr>
      <w:rFonts w:ascii="宋体" w:hAnsi="宋体"/>
    </w:rPr>
  </w:style>
  <w:style w:type="paragraph" w:styleId="32">
    <w:name w:val="Plain Text"/>
    <w:basedOn w:val="1"/>
    <w:link w:val="659"/>
    <w:qFormat/>
    <w:uiPriority w:val="99"/>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39"/>
    <w:pPr>
      <w:ind w:left="2940" w:leftChars="1400"/>
    </w:pPr>
  </w:style>
  <w:style w:type="paragraph" w:styleId="35">
    <w:name w:val="Date"/>
    <w:basedOn w:val="1"/>
    <w:next w:val="1"/>
    <w:link w:val="660"/>
    <w:qFormat/>
    <w:uiPriority w:val="0"/>
    <w:pPr>
      <w:ind w:left="100" w:leftChars="2500"/>
    </w:pPr>
    <w:rPr>
      <w:rFonts w:ascii="宋体"/>
      <w:sz w:val="24"/>
      <w:szCs w:val="21"/>
      <w:lang w:val="zh-CN"/>
    </w:rPr>
  </w:style>
  <w:style w:type="paragraph" w:styleId="36">
    <w:name w:val="Body Text Indent 2"/>
    <w:basedOn w:val="1"/>
    <w:link w:val="661"/>
    <w:qFormat/>
    <w:uiPriority w:val="0"/>
    <w:pPr>
      <w:spacing w:line="360" w:lineRule="auto"/>
      <w:ind w:firstLine="601"/>
      <w:textAlignment w:val="baseline"/>
    </w:pPr>
    <w:rPr>
      <w:rFonts w:ascii="宋体"/>
      <w:kern w:val="0"/>
      <w:sz w:val="28"/>
      <w:szCs w:val="20"/>
    </w:rPr>
  </w:style>
  <w:style w:type="paragraph" w:styleId="37">
    <w:name w:val="endnote text"/>
    <w:basedOn w:val="1"/>
    <w:link w:val="662"/>
    <w:qFormat/>
    <w:uiPriority w:val="0"/>
    <w:rPr>
      <w:lang w:val="zh-CN"/>
    </w:rPr>
  </w:style>
  <w:style w:type="paragraph" w:styleId="38">
    <w:name w:val="Balloon Text"/>
    <w:basedOn w:val="1"/>
    <w:link w:val="663"/>
    <w:qFormat/>
    <w:uiPriority w:val="0"/>
    <w:rPr>
      <w:sz w:val="18"/>
      <w:szCs w:val="18"/>
    </w:rPr>
  </w:style>
  <w:style w:type="paragraph" w:styleId="39">
    <w:name w:val="footer"/>
    <w:basedOn w:val="1"/>
    <w:link w:val="664"/>
    <w:qFormat/>
    <w:uiPriority w:val="0"/>
    <w:pPr>
      <w:tabs>
        <w:tab w:val="center" w:pos="4153"/>
        <w:tab w:val="right" w:pos="8306"/>
      </w:tabs>
      <w:snapToGrid w:val="0"/>
      <w:jc w:val="left"/>
    </w:pPr>
    <w:rPr>
      <w:sz w:val="18"/>
      <w:szCs w:val="18"/>
    </w:rPr>
  </w:style>
  <w:style w:type="paragraph" w:styleId="40">
    <w:name w:val="header"/>
    <w:basedOn w:val="1"/>
    <w:link w:val="666"/>
    <w:qFormat/>
    <w:uiPriority w:val="0"/>
    <w:pPr>
      <w:pBdr>
        <w:bottom w:val="single" w:color="auto" w:sz="6" w:space="1"/>
      </w:pBdr>
      <w:tabs>
        <w:tab w:val="center" w:pos="4153"/>
        <w:tab w:val="right" w:pos="8306"/>
      </w:tabs>
      <w:snapToGrid w:val="0"/>
      <w:jc w:val="center"/>
    </w:pPr>
    <w:rPr>
      <w:sz w:val="18"/>
      <w:szCs w:val="18"/>
    </w:rPr>
  </w:style>
  <w:style w:type="paragraph" w:styleId="41">
    <w:name w:val="Signature"/>
    <w:basedOn w:val="1"/>
    <w:link w:val="667"/>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39"/>
  </w:style>
  <w:style w:type="paragraph" w:styleId="43">
    <w:name w:val="toc 4"/>
    <w:basedOn w:val="1"/>
    <w:next w:val="1"/>
    <w:qFormat/>
    <w:uiPriority w:val="39"/>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668"/>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6"/>
    <w:link w:val="669"/>
    <w:qFormat/>
    <w:uiPriority w:val="0"/>
    <w:pPr>
      <w:adjustRightInd/>
      <w:snapToGrid/>
      <w:spacing w:before="60" w:after="60" w:line="300" w:lineRule="exact"/>
      <w:ind w:firstLine="0"/>
    </w:pPr>
    <w:rPr>
      <w:rFonts w:ascii="Calibri"/>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670"/>
    <w:qFormat/>
    <w:uiPriority w:val="0"/>
    <w:pPr>
      <w:spacing w:line="360" w:lineRule="auto"/>
      <w:ind w:firstLine="420"/>
    </w:pPr>
    <w:rPr>
      <w:sz w:val="24"/>
      <w:szCs w:val="20"/>
    </w:rPr>
  </w:style>
  <w:style w:type="paragraph" w:styleId="53">
    <w:name w:val="toc 2"/>
    <w:basedOn w:val="1"/>
    <w:next w:val="1"/>
    <w:qFormat/>
    <w:uiPriority w:val="39"/>
    <w:pPr>
      <w:ind w:left="420" w:leftChars="200"/>
    </w:pPr>
  </w:style>
  <w:style w:type="paragraph" w:styleId="54">
    <w:name w:val="toc 9"/>
    <w:basedOn w:val="1"/>
    <w:next w:val="1"/>
    <w:qFormat/>
    <w:uiPriority w:val="39"/>
    <w:pPr>
      <w:ind w:left="3360" w:leftChars="1600"/>
    </w:pPr>
  </w:style>
  <w:style w:type="paragraph" w:styleId="55">
    <w:name w:val="Body Text 2"/>
    <w:basedOn w:val="1"/>
    <w:link w:val="671"/>
    <w:qFormat/>
    <w:uiPriority w:val="0"/>
    <w:pPr>
      <w:spacing w:after="120" w:line="480" w:lineRule="auto"/>
    </w:pPr>
  </w:style>
  <w:style w:type="paragraph" w:styleId="56">
    <w:name w:val="HTML Preformatted"/>
    <w:basedOn w:val="1"/>
    <w:link w:val="67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link w:val="673"/>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674"/>
    <w:qFormat/>
    <w:uiPriority w:val="10"/>
    <w:pPr>
      <w:widowControl/>
      <w:overflowPunct w:val="0"/>
      <w:autoSpaceDE w:val="0"/>
      <w:autoSpaceDN w:val="0"/>
      <w:jc w:val="center"/>
      <w:textAlignment w:val="baseline"/>
    </w:pPr>
    <w:rPr>
      <w:b/>
      <w:kern w:val="0"/>
      <w:sz w:val="24"/>
      <w:szCs w:val="20"/>
    </w:rPr>
  </w:style>
  <w:style w:type="paragraph" w:styleId="59">
    <w:name w:val="annotation subject"/>
    <w:basedOn w:val="20"/>
    <w:next w:val="20"/>
    <w:link w:val="650"/>
    <w:qFormat/>
    <w:uiPriority w:val="0"/>
    <w:rPr>
      <w:b/>
      <w:bCs/>
    </w:rPr>
  </w:style>
  <w:style w:type="paragraph" w:styleId="60">
    <w:name w:val="Body Text First Indent"/>
    <w:basedOn w:val="2"/>
    <w:link w:val="652"/>
    <w:qFormat/>
    <w:uiPriority w:val="0"/>
    <w:pPr>
      <w:ind w:firstLine="420"/>
    </w:pPr>
    <w:rPr>
      <w:rFonts w:hAnsi="Calibri" w:cs="Times New Roman"/>
      <w:szCs w:val="20"/>
    </w:rPr>
  </w:style>
  <w:style w:type="paragraph" w:styleId="61">
    <w:name w:val="Body Text First Indent 2"/>
    <w:basedOn w:val="24"/>
    <w:link w:val="665"/>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0"/>
    <w:rPr>
      <w:sz w:val="21"/>
      <w:szCs w:val="21"/>
    </w:rPr>
  </w:style>
  <w:style w:type="paragraph" w:customStyle="1" w:styleId="79">
    <w:name w:val="正文文本首行缩进 21"/>
    <w:basedOn w:val="24"/>
    <w:qFormat/>
    <w:uiPriority w:val="99"/>
    <w:pPr>
      <w:spacing w:line="200" w:lineRule="atLeast"/>
      <w:ind w:firstLine="420"/>
    </w:pPr>
    <w:rPr>
      <w:rFonts w:hAnsi="Courier New"/>
      <w:spacing w:val="-4"/>
      <w:sz w:val="18"/>
    </w:rPr>
  </w:style>
  <w:style w:type="paragraph" w:customStyle="1" w:styleId="80">
    <w:name w:val="正文文本首行缩进 211"/>
    <w:basedOn w:val="24"/>
    <w:qFormat/>
    <w:uiPriority w:val="99"/>
    <w:pPr>
      <w:adjustRightInd/>
      <w:spacing w:line="200" w:lineRule="atLeast"/>
      <w:ind w:firstLine="420" w:firstLineChars="0"/>
    </w:pPr>
    <w:rPr>
      <w:rFonts w:hAnsi="Courier New" w:eastAsia="??"/>
      <w:spacing w:val="-4"/>
      <w:sz w:val="18"/>
      <w:szCs w:val="28"/>
    </w:rPr>
  </w:style>
  <w:style w:type="paragraph" w:customStyle="1" w:styleId="81">
    <w:name w:val="Default"/>
    <w:link w:val="67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表格非标题文字"/>
    <w:link w:val="678"/>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3">
    <w:name w:val="*正文"/>
    <w:basedOn w:val="1"/>
    <w:link w:val="679"/>
    <w:qFormat/>
    <w:uiPriority w:val="0"/>
    <w:pPr>
      <w:spacing w:line="360" w:lineRule="auto"/>
      <w:ind w:firstLine="420"/>
    </w:pPr>
    <w:rPr>
      <w:rFonts w:ascii="仿宋" w:hAnsi="仿宋" w:eastAsia="仿宋"/>
      <w:sz w:val="24"/>
    </w:rPr>
  </w:style>
  <w:style w:type="paragraph" w:customStyle="1" w:styleId="84">
    <w:name w:val="U_正文"/>
    <w:basedOn w:val="1"/>
    <w:link w:val="687"/>
    <w:qFormat/>
    <w:uiPriority w:val="0"/>
    <w:pPr>
      <w:adjustRightInd/>
      <w:spacing w:beforeLines="20" w:afterLines="20" w:line="300" w:lineRule="auto"/>
      <w:ind w:firstLine="200" w:firstLineChars="200"/>
    </w:pPr>
    <w:rPr>
      <w:kern w:val="0"/>
      <w:sz w:val="24"/>
    </w:rPr>
  </w:style>
  <w:style w:type="paragraph" w:customStyle="1" w:styleId="85">
    <w:name w:val="哈哈正文"/>
    <w:basedOn w:val="1"/>
    <w:link w:val="693"/>
    <w:qFormat/>
    <w:uiPriority w:val="0"/>
    <w:pPr>
      <w:adjustRightInd/>
      <w:spacing w:line="360" w:lineRule="auto"/>
      <w:ind w:firstLine="200" w:firstLineChars="200"/>
    </w:pPr>
    <w:rPr>
      <w:rFonts w:ascii="宋体" w:hAnsi="宋体"/>
      <w:sz w:val="24"/>
      <w:szCs w:val="20"/>
    </w:rPr>
  </w:style>
  <w:style w:type="paragraph" w:customStyle="1" w:styleId="86">
    <w:name w:val="5正文"/>
    <w:basedOn w:val="1"/>
    <w:link w:val="706"/>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7">
    <w:name w:val="正文2"/>
    <w:basedOn w:val="1"/>
    <w:link w:val="717"/>
    <w:qFormat/>
    <w:uiPriority w:val="0"/>
    <w:pPr>
      <w:spacing w:before="156" w:line="360" w:lineRule="auto"/>
      <w:ind w:firstLine="510" w:firstLineChars="200"/>
    </w:pPr>
    <w:rPr>
      <w:sz w:val="24"/>
      <w:szCs w:val="20"/>
    </w:rPr>
  </w:style>
  <w:style w:type="paragraph" w:customStyle="1" w:styleId="88">
    <w:name w:val="无间隔1"/>
    <w:link w:val="724"/>
    <w:qFormat/>
    <w:uiPriority w:val="0"/>
    <w:rPr>
      <w:rFonts w:ascii="Times New Roman" w:hAnsi="Times New Roman" w:eastAsia="宋体" w:cs="Times New Roman"/>
      <w:sz w:val="22"/>
      <w:szCs w:val="22"/>
      <w:lang w:val="en-US" w:eastAsia="zh-CN" w:bidi="ar-SA"/>
    </w:rPr>
  </w:style>
  <w:style w:type="paragraph" w:customStyle="1" w:styleId="89">
    <w:name w:val="纯文本_0_0"/>
    <w:basedOn w:val="90"/>
    <w:link w:val="731"/>
    <w:qFormat/>
    <w:uiPriority w:val="0"/>
    <w:rPr>
      <w:rFonts w:ascii="宋体" w:hAnsi="Courier New"/>
      <w:szCs w:val="21"/>
    </w:rPr>
  </w:style>
  <w:style w:type="paragraph" w:customStyle="1" w:styleId="9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1">
    <w:name w:val="正文（绿盟科技）"/>
    <w:link w:val="741"/>
    <w:qFormat/>
    <w:uiPriority w:val="0"/>
    <w:pPr>
      <w:spacing w:line="300" w:lineRule="auto"/>
    </w:pPr>
    <w:rPr>
      <w:rFonts w:ascii="Arial" w:hAnsi="Arial" w:eastAsia="宋体" w:cs="Times New Roman"/>
      <w:sz w:val="21"/>
      <w:szCs w:val="21"/>
      <w:lang w:val="en-US" w:eastAsia="zh-CN" w:bidi="ar-SA"/>
    </w:rPr>
  </w:style>
  <w:style w:type="paragraph" w:customStyle="1" w:styleId="92">
    <w:name w:val="表格名称"/>
    <w:basedOn w:val="4"/>
    <w:link w:val="750"/>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3">
    <w:name w:val="my正文"/>
    <w:basedOn w:val="1"/>
    <w:link w:val="767"/>
    <w:qFormat/>
    <w:uiPriority w:val="0"/>
    <w:pPr>
      <w:adjustRightInd/>
      <w:spacing w:line="360" w:lineRule="auto"/>
      <w:ind w:firstLine="480" w:firstLineChars="200"/>
    </w:pPr>
    <w:rPr>
      <w:rFonts w:ascii="Tahoma" w:hAnsi="Tahoma"/>
      <w:kern w:val="0"/>
      <w:sz w:val="24"/>
    </w:rPr>
  </w:style>
  <w:style w:type="paragraph" w:customStyle="1" w:styleId="94">
    <w:name w:val="3级"/>
    <w:basedOn w:val="95"/>
    <w:link w:val="772"/>
    <w:qFormat/>
    <w:uiPriority w:val="0"/>
    <w:pPr>
      <w:ind w:left="0" w:right="466" w:firstLine="288"/>
    </w:pPr>
    <w:rPr>
      <w:rFonts w:hAnsi="宋体"/>
    </w:rPr>
  </w:style>
  <w:style w:type="paragraph" w:customStyle="1" w:styleId="95">
    <w:name w:val="样式 标题 3h33rd level3BOD 0H3l3CTHeading 3 - oldLevel 3 He..."/>
    <w:basedOn w:val="5"/>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6">
    <w:name w:val="标题4-dyf"/>
    <w:basedOn w:val="7"/>
    <w:link w:val="79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7">
    <w:name w:val="冯"/>
    <w:basedOn w:val="1"/>
    <w:link w:val="793"/>
    <w:qFormat/>
    <w:uiPriority w:val="0"/>
    <w:pPr>
      <w:widowControl/>
      <w:adjustRightInd/>
      <w:spacing w:line="360" w:lineRule="auto"/>
      <w:ind w:firstLine="480" w:firstLineChars="200"/>
    </w:pPr>
    <w:rPr>
      <w:rFonts w:ascii="宋体" w:hAnsi="宋体"/>
      <w:color w:val="000000"/>
      <w:kern w:val="0"/>
      <w:sz w:val="24"/>
    </w:rPr>
  </w:style>
  <w:style w:type="paragraph" w:customStyle="1" w:styleId="98">
    <w:name w:val="正文样式"/>
    <w:basedOn w:val="1"/>
    <w:link w:val="809"/>
    <w:qFormat/>
    <w:uiPriority w:val="0"/>
    <w:pPr>
      <w:adjustRightInd/>
      <w:spacing w:line="360" w:lineRule="auto"/>
      <w:ind w:firstLine="480" w:firstLineChars="200"/>
    </w:pPr>
    <w:rPr>
      <w:kern w:val="0"/>
      <w:sz w:val="24"/>
    </w:rPr>
  </w:style>
  <w:style w:type="paragraph" w:customStyle="1" w:styleId="99">
    <w:name w:val="gf正文1"/>
    <w:basedOn w:val="1"/>
    <w:link w:val="815"/>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0">
    <w:name w:val="列表1"/>
    <w:basedOn w:val="1"/>
    <w:next w:val="101"/>
    <w:link w:val="81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1">
    <w:name w:val="列表段落1"/>
    <w:basedOn w:val="1"/>
    <w:link w:val="819"/>
    <w:qFormat/>
    <w:uiPriority w:val="99"/>
    <w:pPr>
      <w:spacing w:line="360" w:lineRule="auto"/>
      <w:ind w:firstLine="200" w:firstLineChars="200"/>
    </w:pPr>
    <w:rPr>
      <w:rFonts w:eastAsia="楷体_GB2312" w:cs="Lucida Sans"/>
      <w:sz w:val="24"/>
    </w:rPr>
  </w:style>
  <w:style w:type="paragraph" w:customStyle="1" w:styleId="102">
    <w:name w:val="此正文"/>
    <w:basedOn w:val="1"/>
    <w:link w:val="840"/>
    <w:qFormat/>
    <w:uiPriority w:val="0"/>
    <w:pPr>
      <w:adjustRightInd/>
      <w:spacing w:line="360" w:lineRule="auto"/>
      <w:ind w:firstLine="200" w:firstLineChars="200"/>
    </w:pPr>
    <w:rPr>
      <w:sz w:val="24"/>
    </w:rPr>
  </w:style>
  <w:style w:type="paragraph" w:customStyle="1" w:styleId="103">
    <w:name w:val="样式 样式 标题 4h4H4Fab-4T5Ref Heading 1rh1Heading sqlsect 1.2.3.... +..."/>
    <w:basedOn w:val="104"/>
    <w:link w:val="856"/>
    <w:qFormat/>
    <w:uiPriority w:val="0"/>
    <w:pPr>
      <w:tabs>
        <w:tab w:val="left" w:pos="2356"/>
      </w:tabs>
    </w:pPr>
  </w:style>
  <w:style w:type="paragraph" w:customStyle="1" w:styleId="104">
    <w:name w:val="样式 标题 4h4H4Fab-4T5Ref Heading 1rh1Heading sqlsect 1.2.3...."/>
    <w:basedOn w:val="7"/>
    <w:link w:val="857"/>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5">
    <w:name w:val="Item List"/>
    <w:link w:val="86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6">
    <w:name w:val="纯文本1"/>
    <w:basedOn w:val="1"/>
    <w:link w:val="867"/>
    <w:qFormat/>
    <w:uiPriority w:val="0"/>
    <w:pPr>
      <w:adjustRightInd/>
    </w:pPr>
    <w:rPr>
      <w:rFonts w:ascii="宋体" w:hAnsi="Courier New"/>
      <w:kern w:val="0"/>
      <w:sz w:val="20"/>
      <w:szCs w:val="20"/>
    </w:rPr>
  </w:style>
  <w:style w:type="paragraph" w:customStyle="1" w:styleId="107">
    <w:name w:val="正文说明"/>
    <w:basedOn w:val="1"/>
    <w:link w:val="876"/>
    <w:qFormat/>
    <w:uiPriority w:val="0"/>
    <w:pPr>
      <w:adjustRightInd/>
      <w:spacing w:line="360" w:lineRule="auto"/>
    </w:pPr>
    <w:rPr>
      <w:kern w:val="0"/>
      <w:sz w:val="24"/>
    </w:rPr>
  </w:style>
  <w:style w:type="paragraph" w:customStyle="1" w:styleId="108">
    <w:name w:val="Table Text"/>
    <w:basedOn w:val="1"/>
    <w:link w:val="882"/>
    <w:qFormat/>
    <w:uiPriority w:val="0"/>
    <w:pPr>
      <w:widowControl/>
      <w:spacing w:before="60" w:after="60"/>
      <w:jc w:val="left"/>
    </w:pPr>
    <w:rPr>
      <w:kern w:val="0"/>
      <w:sz w:val="24"/>
    </w:rPr>
  </w:style>
  <w:style w:type="paragraph" w:customStyle="1" w:styleId="109">
    <w:name w:val="公文正文"/>
    <w:basedOn w:val="1"/>
    <w:link w:val="892"/>
    <w:qFormat/>
    <w:uiPriority w:val="0"/>
    <w:pPr>
      <w:adjustRightInd/>
      <w:spacing w:before="156" w:line="360" w:lineRule="auto"/>
      <w:ind w:firstLine="360" w:firstLineChars="200"/>
    </w:pPr>
    <w:rPr>
      <w:rFonts w:ascii="仿宋_GB2312" w:eastAsia="仿宋_GB2312"/>
      <w:sz w:val="24"/>
    </w:rPr>
  </w:style>
  <w:style w:type="paragraph" w:customStyle="1" w:styleId="110">
    <w:name w:val="正文（缩进2汉字）"/>
    <w:basedOn w:val="1"/>
    <w:link w:val="89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1">
    <w:name w:val="b11_01b"/>
    <w:basedOn w:val="1"/>
    <w:next w:val="1"/>
    <w:link w:val="91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2">
    <w:name w:val="段落"/>
    <w:basedOn w:val="1"/>
    <w:link w:val="922"/>
    <w:qFormat/>
    <w:uiPriority w:val="0"/>
    <w:pPr>
      <w:adjustRightInd/>
      <w:spacing w:line="360" w:lineRule="auto"/>
      <w:ind w:firstLine="480" w:firstLineChars="200"/>
    </w:pPr>
    <w:rPr>
      <w:rFonts w:ascii="宋体" w:hAnsi="宋体"/>
      <w:kern w:val="0"/>
      <w:sz w:val="24"/>
      <w:szCs w:val="20"/>
    </w:rPr>
  </w:style>
  <w:style w:type="paragraph" w:customStyle="1" w:styleId="113">
    <w:name w:val="正文段"/>
    <w:basedOn w:val="1"/>
    <w:link w:val="928"/>
    <w:qFormat/>
    <w:uiPriority w:val="0"/>
    <w:pPr>
      <w:widowControl/>
      <w:snapToGrid w:val="0"/>
      <w:spacing w:after="156" w:afterLines="50"/>
      <w:ind w:firstLine="200" w:firstLineChars="200"/>
    </w:pPr>
    <w:rPr>
      <w:kern w:val="0"/>
      <w:sz w:val="24"/>
      <w:szCs w:val="20"/>
    </w:rPr>
  </w:style>
  <w:style w:type="paragraph" w:customStyle="1" w:styleId="114">
    <w:name w:val="冯广丽"/>
    <w:basedOn w:val="1"/>
    <w:link w:val="931"/>
    <w:qFormat/>
    <w:uiPriority w:val="0"/>
    <w:pPr>
      <w:adjustRightInd/>
      <w:spacing w:line="360" w:lineRule="auto"/>
      <w:ind w:firstLine="480" w:firstLineChars="200"/>
    </w:pPr>
    <w:rPr>
      <w:rFonts w:ascii="宋体" w:hAnsi="宋体"/>
      <w:sz w:val="24"/>
      <w:szCs w:val="22"/>
    </w:rPr>
  </w:style>
  <w:style w:type="paragraph" w:customStyle="1" w:styleId="115">
    <w:name w:val="编号，小四"/>
    <w:basedOn w:val="1"/>
    <w:link w:val="937"/>
    <w:qFormat/>
    <w:uiPriority w:val="0"/>
    <w:pPr>
      <w:tabs>
        <w:tab w:val="left" w:pos="432"/>
      </w:tabs>
      <w:adjustRightInd/>
      <w:spacing w:line="360" w:lineRule="auto"/>
      <w:ind w:left="432" w:hanging="432"/>
    </w:pPr>
    <w:rPr>
      <w:rFonts w:ascii="Arial" w:hAnsi="Arial"/>
      <w:kern w:val="0"/>
      <w:sz w:val="24"/>
      <w:szCs w:val="20"/>
    </w:rPr>
  </w:style>
  <w:style w:type="paragraph" w:customStyle="1" w:styleId="116">
    <w:name w:val="仿宋正文"/>
    <w:basedOn w:val="1"/>
    <w:link w:val="943"/>
    <w:qFormat/>
    <w:uiPriority w:val="0"/>
    <w:pPr>
      <w:adjustRightInd/>
      <w:spacing w:line="360" w:lineRule="auto"/>
      <w:ind w:firstLine="480" w:firstLineChars="200"/>
    </w:pPr>
    <w:rPr>
      <w:rFonts w:ascii="仿宋_GB2312" w:eastAsia="仿宋_GB2312"/>
      <w:sz w:val="24"/>
      <w:szCs w:val="20"/>
    </w:rPr>
  </w:style>
  <w:style w:type="paragraph" w:customStyle="1" w:styleId="117">
    <w:name w:val="样式 正文缩进 + 首行缩进:  2 字符"/>
    <w:basedOn w:val="6"/>
    <w:link w:val="955"/>
    <w:qFormat/>
    <w:uiPriority w:val="0"/>
    <w:pPr>
      <w:widowControl w:val="0"/>
      <w:adjustRightInd/>
      <w:snapToGrid/>
      <w:spacing w:line="360" w:lineRule="auto"/>
      <w:ind w:firstLine="200" w:firstLineChars="200"/>
    </w:pPr>
    <w:rPr>
      <w:rFonts w:ascii="Calibri"/>
      <w:color w:val="auto"/>
      <w:kern w:val="2"/>
      <w:sz w:val="24"/>
    </w:rPr>
  </w:style>
  <w:style w:type="paragraph" w:customStyle="1" w:styleId="118">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0">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1">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2">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3">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4">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5">
    <w:name w:val="标题4_自定义"/>
    <w:basedOn w:val="7"/>
    <w:qFormat/>
    <w:uiPriority w:val="0"/>
    <w:pPr>
      <w:adjustRightInd/>
      <w:spacing w:before="0" w:after="0" w:line="360" w:lineRule="auto"/>
    </w:pPr>
    <w:rPr>
      <w:rFonts w:ascii="Verdana" w:eastAsia="Verdana"/>
      <w:sz w:val="21"/>
      <w:lang w:val="en-US"/>
    </w:rPr>
  </w:style>
  <w:style w:type="paragraph" w:customStyle="1" w:styleId="126">
    <w:name w:val="正文 内标 序号标"/>
    <w:basedOn w:val="127"/>
    <w:qFormat/>
    <w:uiPriority w:val="0"/>
    <w:pPr>
      <w:tabs>
        <w:tab w:val="left" w:pos="0"/>
      </w:tabs>
      <w:adjustRightInd/>
      <w:spacing w:before="0"/>
      <w:ind w:firstLine="482"/>
    </w:pPr>
    <w:rPr>
      <w:rFonts w:ascii="微软雅黑" w:hAnsi="微软雅黑"/>
      <w:sz w:val="24"/>
      <w:szCs w:val="24"/>
    </w:rPr>
  </w:style>
  <w:style w:type="paragraph" w:customStyle="1" w:styleId="127">
    <w:name w:val="My正文"/>
    <w:basedOn w:val="1"/>
    <w:qFormat/>
    <w:uiPriority w:val="0"/>
    <w:pPr>
      <w:spacing w:before="120" w:line="360" w:lineRule="auto"/>
      <w:ind w:firstLine="567"/>
    </w:pPr>
    <w:rPr>
      <w:rFonts w:ascii="Arial" w:hAnsi="Arial"/>
      <w:sz w:val="20"/>
      <w:szCs w:val="20"/>
    </w:rPr>
  </w:style>
  <w:style w:type="paragraph" w:customStyle="1" w:styleId="128">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29">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0">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1">
    <w:name w:val="修订2"/>
    <w:qFormat/>
    <w:uiPriority w:val="0"/>
    <w:rPr>
      <w:rFonts w:ascii="Times New Roman" w:hAnsi="Times New Roman" w:eastAsia="宋体" w:cs="Times New Roman"/>
      <w:kern w:val="2"/>
      <w:sz w:val="21"/>
      <w:lang w:val="en-US" w:eastAsia="zh-CN" w:bidi="ar-SA"/>
    </w:rPr>
  </w:style>
  <w:style w:type="paragraph" w:customStyle="1" w:styleId="132">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3">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4">
    <w:name w:val="文章标题"/>
    <w:next w:val="135"/>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35">
    <w:name w:val="封面公司名"/>
    <w:qFormat/>
    <w:uiPriority w:val="0"/>
    <w:pPr>
      <w:jc w:val="center"/>
    </w:pPr>
    <w:rPr>
      <w:rFonts w:ascii="Arial" w:hAnsi="Arial" w:eastAsia="楷体_GB2312" w:cs="宋体"/>
      <w:bCs/>
      <w:kern w:val="2"/>
      <w:sz w:val="28"/>
      <w:lang w:val="en-US" w:eastAsia="zh-CN" w:bidi="ar-SA"/>
    </w:rPr>
  </w:style>
  <w:style w:type="paragraph" w:customStyle="1" w:styleId="136">
    <w:name w:val="Char1 Char Char Char5"/>
    <w:basedOn w:val="1"/>
    <w:qFormat/>
    <w:uiPriority w:val="0"/>
    <w:pPr>
      <w:adjustRightInd/>
      <w:ind w:firstLine="200" w:firstLineChars="200"/>
    </w:pPr>
    <w:rPr>
      <w:rFonts w:ascii="Tahoma" w:hAnsi="Tahoma"/>
      <w:sz w:val="24"/>
      <w:szCs w:val="20"/>
    </w:rPr>
  </w:style>
  <w:style w:type="paragraph" w:customStyle="1" w:styleId="137">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38">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39">
    <w:name w:val="Char Char Char Char Char Char Char Char"/>
    <w:basedOn w:val="1"/>
    <w:qFormat/>
    <w:uiPriority w:val="0"/>
    <w:pPr>
      <w:tabs>
        <w:tab w:val="left" w:pos="360"/>
      </w:tabs>
    </w:pPr>
    <w:rPr>
      <w:sz w:val="24"/>
      <w:szCs w:val="20"/>
    </w:rPr>
  </w:style>
  <w:style w:type="paragraph" w:customStyle="1" w:styleId="140">
    <w:name w:val="Char Char11 Char Char Char"/>
    <w:basedOn w:val="1"/>
    <w:qFormat/>
    <w:uiPriority w:val="0"/>
    <w:pPr>
      <w:spacing w:line="360" w:lineRule="auto"/>
    </w:pPr>
    <w:rPr>
      <w:szCs w:val="20"/>
    </w:rPr>
  </w:style>
  <w:style w:type="paragraph" w:customStyle="1" w:styleId="141">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142">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3">
    <w:name w:val="样式3"/>
    <w:basedOn w:val="144"/>
    <w:qFormat/>
    <w:uiPriority w:val="0"/>
    <w:pPr>
      <w:tabs>
        <w:tab w:val="left" w:pos="2790"/>
        <w:tab w:val="left" w:pos="4230"/>
      </w:tabs>
      <w:spacing w:before="312" w:beforeLines="100"/>
      <w:jc w:val="left"/>
    </w:pPr>
  </w:style>
  <w:style w:type="paragraph" w:customStyle="1" w:styleId="144">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5">
    <w:name w:val="Char Char1 Char Char1 Char Char1"/>
    <w:basedOn w:val="1"/>
    <w:qFormat/>
    <w:uiPriority w:val="0"/>
    <w:pPr>
      <w:tabs>
        <w:tab w:val="left" w:pos="840"/>
      </w:tabs>
      <w:ind w:left="840" w:hanging="420"/>
    </w:pPr>
    <w:rPr>
      <w:rFonts w:ascii="Tahoma" w:hAnsi="Tahoma"/>
      <w:sz w:val="24"/>
    </w:rPr>
  </w:style>
  <w:style w:type="paragraph" w:customStyle="1" w:styleId="146">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7">
    <w:name w:val="标书标题2"/>
    <w:basedOn w:val="4"/>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48">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49">
    <w:name w:val="正文21"/>
    <w:basedOn w:val="1"/>
    <w:qFormat/>
    <w:uiPriority w:val="0"/>
    <w:pPr>
      <w:adjustRightInd/>
      <w:spacing w:before="156" w:line="360" w:lineRule="auto"/>
      <w:ind w:firstLine="510" w:firstLineChars="200"/>
    </w:pPr>
    <w:rPr>
      <w:sz w:val="24"/>
      <w:szCs w:val="20"/>
    </w:rPr>
  </w:style>
  <w:style w:type="paragraph" w:customStyle="1" w:styleId="150">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1">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2">
    <w:name w:val="Char1"/>
    <w:basedOn w:val="1"/>
    <w:qFormat/>
    <w:uiPriority w:val="0"/>
    <w:rPr>
      <w:rFonts w:ascii="仿宋_GB2312" w:eastAsia="仿宋_GB2312"/>
      <w:b/>
      <w:sz w:val="32"/>
      <w:szCs w:val="32"/>
    </w:rPr>
  </w:style>
  <w:style w:type="paragraph" w:customStyle="1" w:styleId="153">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4">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5">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6">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7">
    <w:name w:val="6级标题"/>
    <w:basedOn w:val="158"/>
    <w:qFormat/>
    <w:uiPriority w:val="0"/>
    <w:pPr>
      <w:keepNext/>
      <w:tabs>
        <w:tab w:val="left" w:pos="360"/>
      </w:tabs>
      <w:spacing w:before="0" w:after="0"/>
      <w:outlineLvl w:val="5"/>
    </w:pPr>
  </w:style>
  <w:style w:type="paragraph" w:customStyle="1" w:styleId="158">
    <w:name w:val="5级标题"/>
    <w:basedOn w:val="159"/>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59">
    <w:name w:val="4级标题"/>
    <w:basedOn w:val="10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0">
    <w:name w:val="样式 正文文本缩进 + 段前: 2 字符"/>
    <w:basedOn w:val="1"/>
    <w:qFormat/>
    <w:uiPriority w:val="0"/>
    <w:pPr>
      <w:adjustRightInd/>
      <w:ind w:left="420" w:leftChars="200"/>
      <w:jc w:val="left"/>
    </w:pPr>
    <w:rPr>
      <w:sz w:val="28"/>
      <w:szCs w:val="20"/>
      <w:lang w:eastAsia="zh-TW"/>
    </w:rPr>
  </w:style>
  <w:style w:type="paragraph" w:customStyle="1" w:styleId="161">
    <w:name w:val="Char2 Char Char"/>
    <w:basedOn w:val="1"/>
    <w:qFormat/>
    <w:uiPriority w:val="0"/>
    <w:pPr>
      <w:adjustRightInd/>
    </w:pPr>
    <w:rPr>
      <w:rFonts w:ascii="Tahoma" w:hAnsi="Tahoma"/>
      <w:sz w:val="24"/>
      <w:szCs w:val="20"/>
    </w:rPr>
  </w:style>
  <w:style w:type="paragraph" w:customStyle="1" w:styleId="162">
    <w:name w:val="_Style 11"/>
    <w:basedOn w:val="1"/>
    <w:qFormat/>
    <w:uiPriority w:val="34"/>
    <w:pPr>
      <w:adjustRightInd/>
      <w:ind w:firstLine="420" w:firstLineChars="200"/>
    </w:pPr>
    <w:rPr>
      <w:rFonts w:eastAsia="仿宋_GB2312"/>
      <w:sz w:val="28"/>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4">
    <w:name w:val="Char Char Char"/>
    <w:basedOn w:val="1"/>
    <w:qFormat/>
    <w:uiPriority w:val="0"/>
    <w:rPr>
      <w:rFonts w:ascii="Tahoma" w:hAnsi="Tahoma"/>
      <w:sz w:val="24"/>
      <w:szCs w:val="20"/>
    </w:rPr>
  </w:style>
  <w:style w:type="paragraph" w:customStyle="1" w:styleId="165">
    <w:name w:val="数字标题6"/>
    <w:basedOn w:val="9"/>
    <w:next w:val="1"/>
    <w:qFormat/>
    <w:uiPriority w:val="0"/>
    <w:pPr>
      <w:tabs>
        <w:tab w:val="left" w:pos="1080"/>
        <w:tab w:val="clear" w:pos="1152"/>
      </w:tabs>
      <w:ind w:left="1080" w:hanging="1080"/>
    </w:pPr>
    <w:rPr>
      <w:rFonts w:ascii="Times New Roman" w:hAnsi="Times New Roman" w:eastAsia="宋体"/>
      <w:i/>
    </w:rPr>
  </w:style>
  <w:style w:type="paragraph" w:customStyle="1" w:styleId="16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7">
    <w:name w:val="无间隔2"/>
    <w:basedOn w:val="1"/>
    <w:link w:val="959"/>
    <w:qFormat/>
    <w:uiPriority w:val="99"/>
    <w:rPr>
      <w:szCs w:val="22"/>
    </w:rPr>
  </w:style>
  <w:style w:type="paragraph" w:customStyle="1" w:styleId="16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69">
    <w:name w:val="Char Char Char Char Char Char Char Char Char Char Char Char1 Char1"/>
    <w:basedOn w:val="1"/>
    <w:qFormat/>
    <w:uiPriority w:val="6"/>
    <w:rPr>
      <w:rFonts w:ascii="Tahoma" w:hAnsi="Tahoma" w:cs="仿宋_GB2312"/>
      <w:sz w:val="24"/>
      <w:szCs w:val="20"/>
    </w:rPr>
  </w:style>
  <w:style w:type="paragraph" w:customStyle="1" w:styleId="170">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1">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2">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3">
    <w:name w:val="MM Topic 2"/>
    <w:basedOn w:val="4"/>
    <w:qFormat/>
    <w:uiPriority w:val="0"/>
    <w:pPr>
      <w:tabs>
        <w:tab w:val="left" w:pos="1260"/>
        <w:tab w:val="clear" w:pos="432"/>
      </w:tabs>
      <w:ind w:left="1260" w:hanging="420"/>
    </w:pPr>
    <w:rPr>
      <w:rFonts w:ascii="Arial" w:hAnsi="Arial" w:eastAsia="黑体"/>
      <w:lang w:val="en-US"/>
    </w:rPr>
  </w:style>
  <w:style w:type="paragraph" w:customStyle="1" w:styleId="174">
    <w:name w:val="五级无标题条"/>
    <w:basedOn w:val="1"/>
    <w:qFormat/>
    <w:uiPriority w:val="0"/>
    <w:pPr>
      <w:adjustRightInd/>
    </w:pPr>
  </w:style>
  <w:style w:type="paragraph" w:customStyle="1" w:styleId="175">
    <w:name w:val="Char5"/>
    <w:basedOn w:val="1"/>
    <w:qFormat/>
    <w:uiPriority w:val="0"/>
    <w:rPr>
      <w:rFonts w:ascii="仿宋_GB2312" w:eastAsia="仿宋_GB2312"/>
      <w:b/>
      <w:sz w:val="32"/>
      <w:szCs w:val="32"/>
    </w:rPr>
  </w:style>
  <w:style w:type="paragraph" w:customStyle="1" w:styleId="176">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7">
    <w:name w:val="彩色列表 - 强调文字颜色 12"/>
    <w:basedOn w:val="1"/>
    <w:qFormat/>
    <w:uiPriority w:val="0"/>
    <w:pPr>
      <w:adjustRightInd/>
      <w:ind w:firstLine="420" w:firstLineChars="200"/>
    </w:pPr>
    <w:rPr>
      <w:rFonts w:ascii="Calibri" w:hAnsi="Calibri"/>
      <w:szCs w:val="22"/>
    </w:rPr>
  </w:style>
  <w:style w:type="paragraph" w:customStyle="1" w:styleId="178">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79">
    <w:name w:val="Char2"/>
    <w:basedOn w:val="1"/>
    <w:qFormat/>
    <w:uiPriority w:val="0"/>
    <w:rPr>
      <w:rFonts w:ascii="仿宋_GB2312" w:eastAsia="仿宋_GB2312"/>
      <w:b/>
      <w:sz w:val="32"/>
      <w:szCs w:val="32"/>
    </w:rPr>
  </w:style>
  <w:style w:type="paragraph" w:customStyle="1" w:styleId="180">
    <w:name w:val="数字标题3"/>
    <w:basedOn w:val="5"/>
    <w:next w:val="1"/>
    <w:qFormat/>
    <w:uiPriority w:val="0"/>
    <w:pPr>
      <w:spacing w:line="240" w:lineRule="auto"/>
    </w:pPr>
    <w:rPr>
      <w:sz w:val="28"/>
      <w:szCs w:val="28"/>
    </w:rPr>
  </w:style>
  <w:style w:type="paragraph" w:customStyle="1" w:styleId="181">
    <w:name w:val="FA正文"/>
    <w:basedOn w:val="1"/>
    <w:qFormat/>
    <w:uiPriority w:val="0"/>
    <w:pPr>
      <w:spacing w:line="360" w:lineRule="auto"/>
      <w:ind w:firstLine="480" w:firstLineChars="200"/>
    </w:pPr>
    <w:rPr>
      <w:rFonts w:hAnsi="宋体"/>
      <w:sz w:val="24"/>
      <w:szCs w:val="20"/>
    </w:rPr>
  </w:style>
  <w:style w:type="paragraph" w:customStyle="1" w:styleId="182">
    <w:name w:val="MM Topic 5"/>
    <w:basedOn w:val="8"/>
    <w:qFormat/>
    <w:uiPriority w:val="0"/>
    <w:pPr>
      <w:tabs>
        <w:tab w:val="left" w:pos="2520"/>
        <w:tab w:val="clear" w:pos="1008"/>
      </w:tabs>
      <w:adjustRightInd/>
      <w:ind w:left="2520" w:hanging="420"/>
    </w:pPr>
  </w:style>
  <w:style w:type="paragraph" w:customStyle="1" w:styleId="183">
    <w:name w:val="Char Char Char Char Char Char Char Char Char Char1"/>
    <w:basedOn w:val="1"/>
    <w:qFormat/>
    <w:uiPriority w:val="0"/>
    <w:rPr>
      <w:rFonts w:ascii="仿宋_GB2312" w:eastAsia="仿宋_GB2312"/>
      <w:b/>
      <w:sz w:val="32"/>
      <w:szCs w:val="32"/>
    </w:rPr>
  </w:style>
  <w:style w:type="paragraph" w:customStyle="1" w:styleId="18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5">
    <w:name w:val="修订1"/>
    <w:qFormat/>
    <w:uiPriority w:val="99"/>
    <w:rPr>
      <w:rFonts w:ascii="Times New Roman" w:hAnsi="Times New Roman" w:eastAsia="宋体" w:cs="Times New Roman"/>
      <w:color w:val="000000"/>
      <w:kern w:val="1"/>
      <w:sz w:val="21"/>
      <w:lang w:val="en-US" w:eastAsia="zh-CN" w:bidi="ar-SA"/>
    </w:rPr>
  </w:style>
  <w:style w:type="paragraph" w:customStyle="1" w:styleId="186">
    <w:name w:val="Char2 Char Char Char"/>
    <w:basedOn w:val="1"/>
    <w:qFormat/>
    <w:uiPriority w:val="0"/>
    <w:rPr>
      <w:rFonts w:ascii="仿宋_GB2312" w:eastAsia="仿宋_GB2312"/>
      <w:b/>
      <w:sz w:val="32"/>
      <w:szCs w:val="32"/>
    </w:rPr>
  </w:style>
  <w:style w:type="paragraph" w:customStyle="1" w:styleId="187">
    <w:name w:val="Char2 Char Char Char1"/>
    <w:basedOn w:val="1"/>
    <w:qFormat/>
    <w:uiPriority w:val="6"/>
    <w:rPr>
      <w:rFonts w:ascii="仿宋_GB2312" w:eastAsia="仿宋_GB2312"/>
      <w:b/>
      <w:sz w:val="32"/>
      <w:szCs w:val="32"/>
    </w:rPr>
  </w:style>
  <w:style w:type="paragraph" w:customStyle="1" w:styleId="188">
    <w:name w:val="默认段落样式"/>
    <w:basedOn w:val="87"/>
    <w:qFormat/>
    <w:uiPriority w:val="0"/>
    <w:pPr>
      <w:spacing w:before="0"/>
      <w:ind w:firstLine="480"/>
      <w:outlineLvl w:val="2"/>
    </w:pPr>
    <w:rPr>
      <w:rFonts w:ascii="仿宋_GB2312" w:hAnsi="宋体" w:eastAsia="仿宋_GB2312"/>
      <w:color w:val="000000"/>
      <w:szCs w:val="24"/>
    </w:rPr>
  </w:style>
  <w:style w:type="paragraph" w:customStyle="1" w:styleId="189">
    <w:name w:val="图中文字"/>
    <w:basedOn w:val="1"/>
    <w:qFormat/>
    <w:uiPriority w:val="0"/>
    <w:pPr>
      <w:snapToGrid w:val="0"/>
      <w:spacing w:line="0" w:lineRule="atLeast"/>
      <w:ind w:firstLine="200" w:firstLineChars="200"/>
      <w:jc w:val="center"/>
    </w:pPr>
    <w:rPr>
      <w:sz w:val="24"/>
      <w:szCs w:val="20"/>
    </w:rPr>
  </w:style>
  <w:style w:type="paragraph" w:customStyle="1" w:styleId="190">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1">
    <w:name w:val="MM Topic 3"/>
    <w:basedOn w:val="5"/>
    <w:qFormat/>
    <w:uiPriority w:val="0"/>
    <w:pPr>
      <w:tabs>
        <w:tab w:val="left" w:pos="1680"/>
        <w:tab w:val="clear" w:pos="900"/>
      </w:tabs>
      <w:adjustRightInd/>
      <w:ind w:left="1680" w:hanging="420"/>
    </w:pPr>
  </w:style>
  <w:style w:type="paragraph" w:customStyle="1" w:styleId="192">
    <w:name w:val="标准小四"/>
    <w:basedOn w:val="1"/>
    <w:qFormat/>
    <w:uiPriority w:val="0"/>
    <w:pPr>
      <w:spacing w:line="360" w:lineRule="auto"/>
      <w:ind w:firstLine="480" w:firstLineChars="200"/>
    </w:pPr>
    <w:rPr>
      <w:rFonts w:ascii="Arial" w:hAnsi="Arial"/>
      <w:sz w:val="24"/>
      <w:szCs w:val="21"/>
    </w:rPr>
  </w:style>
  <w:style w:type="paragraph" w:customStyle="1" w:styleId="193">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194">
    <w:name w:val="表格（小）"/>
    <w:basedOn w:val="1"/>
    <w:qFormat/>
    <w:uiPriority w:val="0"/>
    <w:pPr>
      <w:adjustRightInd/>
      <w:snapToGrid w:val="0"/>
      <w:spacing w:line="300" w:lineRule="auto"/>
    </w:pPr>
    <w:rPr>
      <w:rFonts w:eastAsia="仿宋"/>
      <w:szCs w:val="21"/>
    </w:rPr>
  </w:style>
  <w:style w:type="paragraph" w:customStyle="1" w:styleId="19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6">
    <w:name w:val="Char2 Char Char1"/>
    <w:basedOn w:val="1"/>
    <w:qFormat/>
    <w:uiPriority w:val="6"/>
    <w:pPr>
      <w:adjustRightInd/>
    </w:pPr>
    <w:rPr>
      <w:rFonts w:ascii="Tahoma" w:hAnsi="Tahoma"/>
      <w:sz w:val="24"/>
      <w:szCs w:val="20"/>
    </w:rPr>
  </w:style>
  <w:style w:type="paragraph" w:customStyle="1" w:styleId="197">
    <w:name w:val="列出段落5"/>
    <w:basedOn w:val="1"/>
    <w:qFormat/>
    <w:uiPriority w:val="0"/>
    <w:pPr>
      <w:spacing w:line="360" w:lineRule="auto"/>
      <w:ind w:firstLine="200" w:firstLineChars="200"/>
    </w:pPr>
    <w:rPr>
      <w:rFonts w:eastAsia="楷体_GB2312" w:cs="Lucida Sans"/>
      <w:sz w:val="24"/>
    </w:rPr>
  </w:style>
  <w:style w:type="paragraph" w:customStyle="1" w:styleId="198">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99">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200">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1">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3">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4">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5">
    <w:name w:val="_Style 3"/>
    <w:basedOn w:val="1"/>
    <w:qFormat/>
    <w:uiPriority w:val="0"/>
    <w:pPr>
      <w:adjustRightInd/>
      <w:ind w:firstLine="420" w:firstLineChars="200"/>
    </w:pPr>
    <w:rPr>
      <w:rFonts w:eastAsia="仿宋_GB2312"/>
      <w:sz w:val="28"/>
    </w:rPr>
  </w:style>
  <w:style w:type="paragraph" w:customStyle="1" w:styleId="20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7">
    <w:name w:val="Bulleting First Indent 1"/>
    <w:basedOn w:val="60"/>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08">
    <w:name w:val="左对齐表格文字"/>
    <w:basedOn w:val="1"/>
    <w:qFormat/>
    <w:uiPriority w:val="0"/>
    <w:pPr>
      <w:adjustRightInd/>
      <w:ind w:firstLine="200" w:firstLineChars="200"/>
      <w:jc w:val="right"/>
    </w:pPr>
  </w:style>
  <w:style w:type="paragraph" w:customStyle="1" w:styleId="209">
    <w:name w:val="Char Char11 Char Char Char Char Char Char Char Char Char"/>
    <w:basedOn w:val="1"/>
    <w:qFormat/>
    <w:uiPriority w:val="0"/>
    <w:pPr>
      <w:spacing w:line="360" w:lineRule="auto"/>
    </w:pPr>
    <w:rPr>
      <w:szCs w:val="20"/>
    </w:rPr>
  </w:style>
  <w:style w:type="paragraph" w:customStyle="1" w:styleId="210">
    <w:name w:val="正文1.25"/>
    <w:basedOn w:val="1"/>
    <w:qFormat/>
    <w:uiPriority w:val="0"/>
    <w:pPr>
      <w:adjustRightInd/>
      <w:spacing w:line="300" w:lineRule="auto"/>
      <w:ind w:firstLine="480" w:firstLineChars="200"/>
    </w:pPr>
    <w:rPr>
      <w:sz w:val="24"/>
      <w:szCs w:val="20"/>
    </w:rPr>
  </w:style>
  <w:style w:type="paragraph" w:customStyle="1" w:styleId="211">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2">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3">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4">
    <w:name w:val="Char Char1 Char Char Char1"/>
    <w:basedOn w:val="1"/>
    <w:qFormat/>
    <w:uiPriority w:val="6"/>
    <w:rPr>
      <w:rFonts w:ascii="仿宋_GB2312" w:eastAsia="仿宋_GB2312"/>
      <w:b/>
      <w:sz w:val="32"/>
      <w:szCs w:val="20"/>
    </w:rPr>
  </w:style>
  <w:style w:type="paragraph" w:customStyle="1" w:styleId="215">
    <w:name w:val="列出段落2"/>
    <w:basedOn w:val="1"/>
    <w:qFormat/>
    <w:uiPriority w:val="0"/>
    <w:pPr>
      <w:adjustRightInd/>
      <w:ind w:firstLine="420" w:firstLineChars="200"/>
    </w:pPr>
    <w:rPr>
      <w:rFonts w:ascii="宋体" w:hAnsi="宋体"/>
      <w:sz w:val="24"/>
    </w:rPr>
  </w:style>
  <w:style w:type="paragraph" w:customStyle="1" w:styleId="216">
    <w:name w:val="默认段落字体 Para Char Char Char Char Char Char Char"/>
    <w:basedOn w:val="1"/>
    <w:qFormat/>
    <w:uiPriority w:val="0"/>
    <w:rPr>
      <w:rFonts w:eastAsia="仿宋_GB2312"/>
      <w:sz w:val="28"/>
      <w:szCs w:val="20"/>
    </w:rPr>
  </w:style>
  <w:style w:type="paragraph" w:customStyle="1" w:styleId="217">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18">
    <w:name w:val="样式 标题 4PIM 4H4h4bulletblbbH41H42H43H44H45H46H47H48...1"/>
    <w:basedOn w:val="7"/>
    <w:qFormat/>
    <w:uiPriority w:val="0"/>
    <w:pPr>
      <w:widowControl/>
      <w:jc w:val="left"/>
    </w:pPr>
    <w:rPr>
      <w:rFonts w:cs="宋体"/>
      <w:sz w:val="24"/>
      <w:szCs w:val="20"/>
    </w:rPr>
  </w:style>
  <w:style w:type="paragraph" w:customStyle="1" w:styleId="219">
    <w:name w:val="彩色列表 - 强调文字颜色 11"/>
    <w:basedOn w:val="1"/>
    <w:qFormat/>
    <w:uiPriority w:val="0"/>
    <w:pPr>
      <w:adjustRightInd/>
      <w:ind w:firstLine="420" w:firstLineChars="200"/>
    </w:pPr>
    <w:rPr>
      <w:rFonts w:ascii="Calibri" w:hAnsi="Calibri"/>
      <w:szCs w:val="22"/>
    </w:rPr>
  </w:style>
  <w:style w:type="paragraph" w:customStyle="1" w:styleId="220">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1">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2">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3">
    <w:name w:val="Char Char Char1 Char1"/>
    <w:basedOn w:val="1"/>
    <w:qFormat/>
    <w:uiPriority w:val="6"/>
    <w:rPr>
      <w:szCs w:val="20"/>
    </w:rPr>
  </w:style>
  <w:style w:type="paragraph" w:customStyle="1" w:styleId="224">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5">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6">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7">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28">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29">
    <w:name w:val="CM14"/>
    <w:basedOn w:val="81"/>
    <w:next w:val="81"/>
    <w:qFormat/>
    <w:uiPriority w:val="0"/>
    <w:pPr>
      <w:spacing w:after="68"/>
    </w:pPr>
    <w:rPr>
      <w:rFonts w:ascii="FHLHE E+ Futura Bk" w:eastAsia="FHLHE E+ Futura Bk" w:cs="Times New Roman"/>
      <w:color w:val="auto"/>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2">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3">
    <w:name w:val="正文文字 2"/>
    <w:basedOn w:val="81"/>
    <w:next w:val="81"/>
    <w:qFormat/>
    <w:uiPriority w:val="0"/>
    <w:rPr>
      <w:rFonts w:ascii="宋体" w:eastAsia="宋体" w:cs="Times New Roman"/>
      <w:color w:val="auto"/>
    </w:rPr>
  </w:style>
  <w:style w:type="paragraph" w:customStyle="1" w:styleId="234">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5">
    <w:name w:val="Char Char1 Char"/>
    <w:basedOn w:val="1"/>
    <w:qFormat/>
    <w:uiPriority w:val="0"/>
    <w:rPr>
      <w:rFonts w:ascii="仿宋_GB2312" w:eastAsia="仿宋_GB2312"/>
      <w:b/>
      <w:sz w:val="32"/>
      <w:szCs w:val="32"/>
    </w:rPr>
  </w:style>
  <w:style w:type="paragraph" w:customStyle="1" w:styleId="236">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7">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38">
    <w:name w:val="Char Char111"/>
    <w:basedOn w:val="1"/>
    <w:qFormat/>
    <w:uiPriority w:val="0"/>
    <w:pPr>
      <w:spacing w:line="360" w:lineRule="auto"/>
    </w:pPr>
    <w:rPr>
      <w:szCs w:val="20"/>
    </w:rPr>
  </w:style>
  <w:style w:type="paragraph" w:customStyle="1" w:styleId="239">
    <w:name w:val="Char"/>
    <w:basedOn w:val="1"/>
    <w:qFormat/>
    <w:uiPriority w:val="0"/>
    <w:rPr>
      <w:rFonts w:ascii="仿宋_GB2312" w:eastAsia="仿宋_GB2312"/>
      <w:b/>
      <w:sz w:val="32"/>
      <w:szCs w:val="32"/>
    </w:rPr>
  </w:style>
  <w:style w:type="paragraph" w:customStyle="1" w:styleId="240">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2">
    <w:name w:val="Char Char Char1 Char"/>
    <w:basedOn w:val="1"/>
    <w:qFormat/>
    <w:uiPriority w:val="0"/>
    <w:rPr>
      <w:szCs w:val="20"/>
    </w:rPr>
  </w:style>
  <w:style w:type="paragraph" w:customStyle="1" w:styleId="243">
    <w:name w:val="正文标准"/>
    <w:basedOn w:val="1"/>
    <w:qFormat/>
    <w:uiPriority w:val="0"/>
    <w:pPr>
      <w:adjustRightInd/>
      <w:spacing w:line="360" w:lineRule="auto"/>
      <w:ind w:firstLine="200" w:firstLineChars="200"/>
    </w:pPr>
    <w:rPr>
      <w:rFonts w:ascii="宋体" w:hAnsi="Calibri"/>
      <w:sz w:val="24"/>
    </w:rPr>
  </w:style>
  <w:style w:type="paragraph" w:customStyle="1" w:styleId="244">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5">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6">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7">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48">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49">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0">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1">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2">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3">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5">
    <w:name w:val="标准有序列表（L1）"/>
    <w:basedOn w:val="6"/>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6">
    <w:name w:val="Char Char Char Char Char Char Char Char Char Char"/>
    <w:basedOn w:val="1"/>
    <w:qFormat/>
    <w:uiPriority w:val="0"/>
    <w:rPr>
      <w:rFonts w:ascii="仿宋_GB2312" w:eastAsia="仿宋_GB2312"/>
      <w:b/>
      <w:sz w:val="32"/>
      <w:szCs w:val="32"/>
    </w:rPr>
  </w:style>
  <w:style w:type="paragraph" w:customStyle="1" w:styleId="25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58">
    <w:name w:val="_正文段落"/>
    <w:basedOn w:val="1"/>
    <w:qFormat/>
    <w:uiPriority w:val="0"/>
    <w:pPr>
      <w:adjustRightInd/>
      <w:ind w:firstLine="560"/>
    </w:pPr>
    <w:rPr>
      <w:rFonts w:ascii="仿宋_GB2312" w:hAnsi="仿宋" w:eastAsia="仿宋_GB2312"/>
      <w:kern w:val="0"/>
      <w:sz w:val="28"/>
      <w:szCs w:val="28"/>
    </w:rPr>
  </w:style>
  <w:style w:type="paragraph" w:customStyle="1" w:styleId="259">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1">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4">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5">
    <w:name w:val="Char Char Char1 Char2"/>
    <w:basedOn w:val="1"/>
    <w:qFormat/>
    <w:uiPriority w:val="0"/>
    <w:rPr>
      <w:szCs w:val="20"/>
    </w:rPr>
  </w:style>
  <w:style w:type="paragraph" w:customStyle="1" w:styleId="266">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7">
    <w:name w:val="默认段落字体 Para Char"/>
    <w:basedOn w:val="1"/>
    <w:qFormat/>
    <w:uiPriority w:val="0"/>
    <w:rPr>
      <w:rFonts w:ascii="Tahoma" w:hAnsi="Tahoma"/>
      <w:sz w:val="24"/>
      <w:szCs w:val="20"/>
    </w:rPr>
  </w:style>
  <w:style w:type="paragraph" w:customStyle="1" w:styleId="268">
    <w:name w:val="标题五"/>
    <w:basedOn w:val="1"/>
    <w:qFormat/>
    <w:uiPriority w:val="0"/>
    <w:pPr>
      <w:adjustRightInd/>
      <w:spacing w:before="156" w:beforeLines="50" w:line="360" w:lineRule="auto"/>
    </w:pPr>
    <w:rPr>
      <w:b/>
      <w:sz w:val="24"/>
    </w:rPr>
  </w:style>
  <w:style w:type="paragraph" w:customStyle="1" w:styleId="269">
    <w:name w:val="Char Char1101"/>
    <w:basedOn w:val="1"/>
    <w:qFormat/>
    <w:uiPriority w:val="0"/>
    <w:pPr>
      <w:spacing w:line="360" w:lineRule="auto"/>
    </w:pPr>
    <w:rPr>
      <w:rFonts w:ascii="Tahoma" w:hAnsi="Tahoma"/>
      <w:sz w:val="24"/>
      <w:szCs w:val="20"/>
    </w:rPr>
  </w:style>
  <w:style w:type="paragraph" w:customStyle="1" w:styleId="270">
    <w:name w:val="Char Char Char Char Char Char Char Char1"/>
    <w:basedOn w:val="1"/>
    <w:qFormat/>
    <w:uiPriority w:val="0"/>
    <w:pPr>
      <w:tabs>
        <w:tab w:val="left" w:pos="360"/>
      </w:tabs>
    </w:pPr>
    <w:rPr>
      <w:sz w:val="24"/>
      <w:szCs w:val="20"/>
    </w:rPr>
  </w:style>
  <w:style w:type="paragraph" w:customStyle="1" w:styleId="271">
    <w:name w:val="Char Char Char 字元 字元"/>
    <w:basedOn w:val="1"/>
    <w:qFormat/>
    <w:uiPriority w:val="0"/>
    <w:pPr>
      <w:adjustRightInd/>
      <w:spacing w:line="360" w:lineRule="auto"/>
      <w:ind w:firstLine="200" w:firstLineChars="200"/>
    </w:pPr>
    <w:rPr>
      <w:szCs w:val="20"/>
    </w:rPr>
  </w:style>
  <w:style w:type="paragraph" w:customStyle="1" w:styleId="272">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3">
    <w:name w:val="Char Char Char Char Char Char Char"/>
    <w:basedOn w:val="1"/>
    <w:qFormat/>
    <w:uiPriority w:val="0"/>
    <w:rPr>
      <w:rFonts w:ascii="仿宋_GB2312" w:eastAsia="仿宋_GB2312"/>
      <w:b/>
      <w:sz w:val="32"/>
      <w:szCs w:val="32"/>
    </w:rPr>
  </w:style>
  <w:style w:type="paragraph" w:customStyle="1" w:styleId="274">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5">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6">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7">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78">
    <w:name w:val="批注框文本 Char Char"/>
    <w:basedOn w:val="1"/>
    <w:qFormat/>
    <w:uiPriority w:val="0"/>
    <w:pPr>
      <w:adjustRightInd/>
    </w:pPr>
    <w:rPr>
      <w:sz w:val="18"/>
      <w:szCs w:val="20"/>
    </w:rPr>
  </w:style>
  <w:style w:type="paragraph" w:customStyle="1" w:styleId="27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0">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283">
    <w:name w:val="索引 11"/>
    <w:basedOn w:val="1"/>
    <w:next w:val="1"/>
    <w:qFormat/>
    <w:uiPriority w:val="99"/>
    <w:pPr>
      <w:adjustRightInd/>
      <w:spacing w:line="360" w:lineRule="auto"/>
    </w:pPr>
    <w:rPr>
      <w:rFonts w:ascii="仿宋_GB2312" w:eastAsia="仿宋_GB2312"/>
      <w:sz w:val="24"/>
      <w:szCs w:val="20"/>
    </w:rPr>
  </w:style>
  <w:style w:type="paragraph" w:customStyle="1" w:styleId="284">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6">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7">
    <w:name w:val="文档正文"/>
    <w:basedOn w:val="1"/>
    <w:qFormat/>
    <w:uiPriority w:val="0"/>
    <w:pPr>
      <w:spacing w:line="480" w:lineRule="atLeast"/>
      <w:ind w:firstLine="567"/>
      <w:textAlignment w:val="baseline"/>
    </w:pPr>
    <w:rPr>
      <w:kern w:val="0"/>
      <w:sz w:val="24"/>
      <w:szCs w:val="20"/>
    </w:rPr>
  </w:style>
  <w:style w:type="paragraph" w:customStyle="1" w:styleId="288">
    <w:name w:val="正文文字表格居中"/>
    <w:basedOn w:val="1"/>
    <w:next w:val="55"/>
    <w:qFormat/>
    <w:uiPriority w:val="0"/>
    <w:pPr>
      <w:snapToGrid w:val="0"/>
      <w:spacing w:line="360" w:lineRule="auto"/>
    </w:pPr>
    <w:rPr>
      <w:rFonts w:ascii="宋体"/>
      <w:b/>
      <w:sz w:val="24"/>
      <w:szCs w:val="20"/>
    </w:rPr>
  </w:style>
  <w:style w:type="paragraph" w:customStyle="1" w:styleId="289">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90">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1">
    <w:name w:val="Plain Text1"/>
    <w:basedOn w:val="1"/>
    <w:qFormat/>
    <w:uiPriority w:val="7"/>
    <w:pPr>
      <w:adjustRightInd/>
    </w:pPr>
    <w:rPr>
      <w:rFonts w:ascii="宋体" w:hAnsi="Courier New"/>
    </w:rPr>
  </w:style>
  <w:style w:type="paragraph" w:customStyle="1" w:styleId="292">
    <w:name w:val="Char3"/>
    <w:basedOn w:val="1"/>
    <w:qFormat/>
    <w:uiPriority w:val="0"/>
    <w:pPr>
      <w:adjustRightInd/>
    </w:pPr>
    <w:rPr>
      <w:rFonts w:ascii="仿宋_GB2312" w:eastAsia="仿宋_GB2312"/>
      <w:b/>
      <w:sz w:val="32"/>
      <w:szCs w:val="32"/>
    </w:rPr>
  </w:style>
  <w:style w:type="paragraph" w:customStyle="1" w:styleId="293">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5">
    <w:name w:val="标题2"/>
    <w:basedOn w:val="4"/>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6">
    <w:name w:val="List Paragraph1"/>
    <w:basedOn w:val="1"/>
    <w:qFormat/>
    <w:uiPriority w:val="0"/>
    <w:pPr>
      <w:spacing w:line="360" w:lineRule="auto"/>
      <w:ind w:firstLine="200" w:firstLineChars="200"/>
    </w:pPr>
    <w:rPr>
      <w:rFonts w:eastAsia="楷体_GB2312" w:cs="Lucida Sans"/>
      <w:sz w:val="24"/>
    </w:rPr>
  </w:style>
  <w:style w:type="paragraph" w:customStyle="1" w:styleId="297">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29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99">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0">
    <w:name w:val="Char3 Char Char Char"/>
    <w:basedOn w:val="1"/>
    <w:qFormat/>
    <w:uiPriority w:val="0"/>
    <w:pPr>
      <w:widowControl/>
      <w:adjustRightInd/>
      <w:spacing w:after="160" w:line="240" w:lineRule="exact"/>
      <w:jc w:val="left"/>
    </w:pPr>
    <w:rPr>
      <w:szCs w:val="20"/>
    </w:rPr>
  </w:style>
  <w:style w:type="paragraph" w:customStyle="1" w:styleId="301">
    <w:name w:val="表格标题2"/>
    <w:basedOn w:val="302"/>
    <w:qFormat/>
    <w:uiPriority w:val="0"/>
    <w:rPr>
      <w:b/>
    </w:rPr>
  </w:style>
  <w:style w:type="paragraph" w:customStyle="1" w:styleId="302">
    <w:name w:val="表格内文"/>
    <w:basedOn w:val="1"/>
    <w:qFormat/>
    <w:uiPriority w:val="0"/>
    <w:pPr>
      <w:adjustRightInd/>
      <w:spacing w:line="360" w:lineRule="auto"/>
    </w:pPr>
    <w:rPr>
      <w:rFonts w:ascii="宋体" w:hAnsi="宋体" w:cs="宋体"/>
      <w:color w:val="000000"/>
      <w:szCs w:val="20"/>
    </w:rPr>
  </w:style>
  <w:style w:type="paragraph" w:customStyle="1" w:styleId="303">
    <w:name w:val="Char Char Char Char Char Char Char Char Char Char2"/>
    <w:basedOn w:val="1"/>
    <w:qFormat/>
    <w:uiPriority w:val="0"/>
    <w:rPr>
      <w:rFonts w:ascii="仿宋_GB2312" w:eastAsia="仿宋_GB2312"/>
      <w:b/>
      <w:sz w:val="32"/>
      <w:szCs w:val="32"/>
    </w:rPr>
  </w:style>
  <w:style w:type="paragraph" w:customStyle="1" w:styleId="304">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5">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6">
    <w:name w:val="Char Char11 Char Char Char Char Char Char Char Char Char11"/>
    <w:basedOn w:val="1"/>
    <w:qFormat/>
    <w:uiPriority w:val="0"/>
    <w:pPr>
      <w:spacing w:line="360" w:lineRule="auto"/>
    </w:pPr>
    <w:rPr>
      <w:szCs w:val="20"/>
    </w:rPr>
  </w:style>
  <w:style w:type="paragraph" w:customStyle="1" w:styleId="307">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08">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09">
    <w:name w:val="MM Topic 1"/>
    <w:basedOn w:val="3"/>
    <w:qFormat/>
    <w:uiPriority w:val="0"/>
    <w:pPr>
      <w:tabs>
        <w:tab w:val="left" w:pos="840"/>
        <w:tab w:val="clear" w:pos="432"/>
      </w:tabs>
      <w:adjustRightInd/>
      <w:ind w:left="840" w:hanging="420"/>
    </w:pPr>
  </w:style>
  <w:style w:type="paragraph" w:customStyle="1" w:styleId="310">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311">
    <w:name w:val="文本正文 Char"/>
    <w:basedOn w:val="1"/>
    <w:qFormat/>
    <w:uiPriority w:val="0"/>
    <w:pPr>
      <w:spacing w:line="360" w:lineRule="auto"/>
      <w:ind w:firstLine="200" w:firstLineChars="200"/>
    </w:pPr>
    <w:rPr>
      <w:kern w:val="0"/>
      <w:sz w:val="24"/>
      <w:szCs w:val="20"/>
    </w:rPr>
  </w:style>
  <w:style w:type="paragraph" w:customStyle="1" w:styleId="312">
    <w:name w:val="表格"/>
    <w:basedOn w:val="1"/>
    <w:qFormat/>
    <w:uiPriority w:val="0"/>
    <w:pPr>
      <w:snapToGrid w:val="0"/>
      <w:ind w:firstLine="42" w:firstLineChars="21"/>
    </w:pPr>
    <w:rPr>
      <w:rFonts w:ascii="宋体" w:hAnsi="宋体"/>
      <w:kern w:val="0"/>
      <w:sz w:val="20"/>
      <w:szCs w:val="20"/>
    </w:rPr>
  </w:style>
  <w:style w:type="paragraph" w:customStyle="1" w:styleId="313">
    <w:name w:val="标书标题4"/>
    <w:basedOn w:val="7"/>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4">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15">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6">
    <w:name w:val="表格项目符号 2"/>
    <w:basedOn w:val="28"/>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7">
    <w:name w:val="EB_表格"/>
    <w:basedOn w:val="1"/>
    <w:qFormat/>
    <w:uiPriority w:val="0"/>
    <w:pPr>
      <w:adjustRightInd/>
      <w:spacing w:line="300" w:lineRule="auto"/>
      <w:jc w:val="center"/>
    </w:pPr>
  </w:style>
  <w:style w:type="paragraph" w:customStyle="1" w:styleId="318">
    <w:name w:val="_Style 6"/>
    <w:basedOn w:val="1"/>
    <w:qFormat/>
    <w:uiPriority w:val="34"/>
    <w:pPr>
      <w:adjustRightInd/>
      <w:ind w:firstLine="420" w:firstLineChars="200"/>
    </w:pPr>
    <w:rPr>
      <w:rFonts w:eastAsia="仿宋_GB2312"/>
      <w:sz w:val="28"/>
    </w:rPr>
  </w:style>
  <w:style w:type="paragraph" w:customStyle="1" w:styleId="31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0">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1">
    <w:name w:val="!大节"/>
    <w:basedOn w:val="4"/>
    <w:qFormat/>
    <w:uiPriority w:val="0"/>
    <w:pPr>
      <w:spacing w:before="260" w:after="260" w:line="415" w:lineRule="auto"/>
      <w:ind w:left="420" w:hanging="420"/>
    </w:pPr>
    <w:rPr>
      <w:rFonts w:ascii="Arial" w:hAnsi="Arial" w:eastAsia="微软雅黑"/>
      <w:lang w:val="en-US"/>
    </w:rPr>
  </w:style>
  <w:style w:type="paragraph" w:customStyle="1" w:styleId="322">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3">
    <w:name w:val="正文表标题"/>
    <w:next w:val="324"/>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5">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26">
    <w:name w:val="trademark"/>
    <w:qFormat/>
    <w:uiPriority w:val="0"/>
    <w:pPr>
      <w:spacing w:after="60"/>
    </w:pPr>
    <w:rPr>
      <w:rFonts w:ascii="Futura Bk" w:hAnsi="Futura Bk" w:eastAsia="宋体" w:cs="Times New Roman"/>
      <w:sz w:val="15"/>
      <w:lang w:val="en-US" w:eastAsia="en-US" w:bidi="ar-SA"/>
    </w:rPr>
  </w:style>
  <w:style w:type="paragraph" w:customStyle="1" w:styleId="3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28">
    <w:name w:val="Char Char1 Char Char Char Char Char Char1"/>
    <w:basedOn w:val="1"/>
    <w:qFormat/>
    <w:uiPriority w:val="0"/>
    <w:rPr>
      <w:rFonts w:ascii="仿宋_GB2312" w:eastAsia="仿宋_GB2312"/>
      <w:b/>
      <w:sz w:val="32"/>
      <w:szCs w:val="20"/>
    </w:rPr>
  </w:style>
  <w:style w:type="paragraph" w:customStyle="1" w:styleId="329">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0">
    <w:name w:val="Char1 Char Char Char1"/>
    <w:basedOn w:val="1"/>
    <w:qFormat/>
    <w:uiPriority w:val="0"/>
    <w:pPr>
      <w:adjustRightInd/>
      <w:ind w:firstLine="200" w:firstLineChars="200"/>
    </w:pPr>
    <w:rPr>
      <w:rFonts w:ascii="Tahoma" w:hAnsi="Tahoma"/>
      <w:sz w:val="24"/>
      <w:szCs w:val="20"/>
    </w:rPr>
  </w:style>
  <w:style w:type="paragraph" w:customStyle="1" w:styleId="331">
    <w:name w:val="a1"/>
    <w:basedOn w:val="1"/>
    <w:qFormat/>
    <w:uiPriority w:val="0"/>
    <w:pPr>
      <w:widowControl/>
      <w:spacing w:line="300" w:lineRule="atLeast"/>
      <w:jc w:val="left"/>
    </w:pPr>
    <w:rPr>
      <w:rFonts w:ascii="宋体" w:hAnsi="宋体"/>
      <w:kern w:val="0"/>
      <w:sz w:val="18"/>
      <w:szCs w:val="20"/>
    </w:rPr>
  </w:style>
  <w:style w:type="paragraph" w:customStyle="1" w:styleId="332">
    <w:name w:val="样式7"/>
    <w:basedOn w:val="333"/>
    <w:next w:val="1"/>
    <w:qFormat/>
    <w:uiPriority w:val="0"/>
    <w:pPr>
      <w:spacing w:after="156" w:afterLines="50"/>
      <w:jc w:val="left"/>
      <w:outlineLvl w:val="3"/>
    </w:pPr>
    <w:rPr>
      <w:sz w:val="24"/>
      <w:szCs w:val="24"/>
    </w:rPr>
  </w:style>
  <w:style w:type="paragraph" w:customStyle="1" w:styleId="3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6">
    <w:name w:val="样式 样式2 + 左侧:  1 字符 右侧:  1 字符"/>
    <w:basedOn w:val="144"/>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7">
    <w:name w:val="Char2 Char Char2"/>
    <w:basedOn w:val="1"/>
    <w:qFormat/>
    <w:uiPriority w:val="0"/>
    <w:pPr>
      <w:adjustRightInd/>
    </w:pPr>
    <w:rPr>
      <w:rFonts w:ascii="Tahoma" w:hAnsi="Tahoma"/>
      <w:sz w:val="24"/>
      <w:szCs w:val="20"/>
    </w:rPr>
  </w:style>
  <w:style w:type="paragraph" w:customStyle="1" w:styleId="338">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39">
    <w:name w:val="三级条标题"/>
    <w:basedOn w:val="340"/>
    <w:next w:val="324"/>
    <w:qFormat/>
    <w:uiPriority w:val="0"/>
    <w:pPr>
      <w:tabs>
        <w:tab w:val="left" w:pos="1260"/>
        <w:tab w:val="left" w:pos="1680"/>
        <w:tab w:val="left" w:pos="2100"/>
        <w:tab w:val="left" w:pos="2520"/>
      </w:tabs>
      <w:ind w:left="2520"/>
      <w:outlineLvl w:val="4"/>
    </w:pPr>
  </w:style>
  <w:style w:type="paragraph" w:customStyle="1" w:styleId="340">
    <w:name w:val="二级条标题"/>
    <w:basedOn w:val="341"/>
    <w:next w:val="324"/>
    <w:qFormat/>
    <w:uiPriority w:val="0"/>
    <w:pPr>
      <w:tabs>
        <w:tab w:val="left" w:pos="1260"/>
        <w:tab w:val="left" w:pos="1680"/>
        <w:tab w:val="left" w:pos="2100"/>
      </w:tabs>
      <w:ind w:left="0"/>
      <w:outlineLvl w:val="3"/>
    </w:pPr>
  </w:style>
  <w:style w:type="paragraph" w:customStyle="1" w:styleId="341">
    <w:name w:val="一级条标题"/>
    <w:basedOn w:val="342"/>
    <w:next w:val="324"/>
    <w:qFormat/>
    <w:uiPriority w:val="0"/>
    <w:pPr>
      <w:tabs>
        <w:tab w:val="left" w:pos="1260"/>
        <w:tab w:val="left" w:pos="1680"/>
      </w:tabs>
      <w:spacing w:before="0" w:beforeLines="0" w:after="0" w:afterLines="0"/>
      <w:ind w:left="1680"/>
      <w:outlineLvl w:val="2"/>
    </w:pPr>
  </w:style>
  <w:style w:type="paragraph" w:customStyle="1" w:styleId="342">
    <w:name w:val="章标题"/>
    <w:next w:val="324"/>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43">
    <w:name w:val="数字标题2"/>
    <w:basedOn w:val="4"/>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5">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6">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7">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48">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49">
    <w:name w:val="正文 项目2"/>
    <w:basedOn w:val="350"/>
    <w:qFormat/>
    <w:uiPriority w:val="0"/>
    <w:pPr>
      <w:tabs>
        <w:tab w:val="left" w:pos="840"/>
      </w:tabs>
      <w:spacing w:after="0"/>
      <w:ind w:left="900"/>
    </w:pPr>
  </w:style>
  <w:style w:type="paragraph" w:customStyle="1" w:styleId="35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1">
    <w:name w:val="Body Text 2*"/>
    <w:basedOn w:val="1"/>
    <w:qFormat/>
    <w:uiPriority w:val="6"/>
    <w:pPr>
      <w:widowControl/>
      <w:adjustRightInd/>
      <w:ind w:left="720" w:hanging="720"/>
    </w:pPr>
    <w:rPr>
      <w:color w:val="000000"/>
      <w:kern w:val="0"/>
      <w:sz w:val="24"/>
      <w:szCs w:val="20"/>
    </w:rPr>
  </w:style>
  <w:style w:type="paragraph" w:customStyle="1" w:styleId="352">
    <w:name w:val="表1"/>
    <w:basedOn w:val="1"/>
    <w:qFormat/>
    <w:uiPriority w:val="0"/>
    <w:pPr>
      <w:tabs>
        <w:tab w:val="left" w:pos="703"/>
      </w:tabs>
      <w:adjustRightInd/>
      <w:spacing w:line="360" w:lineRule="auto"/>
      <w:ind w:left="703"/>
      <w:jc w:val="center"/>
    </w:pPr>
  </w:style>
  <w:style w:type="paragraph" w:customStyle="1" w:styleId="353">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4">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56">
    <w:name w:val="2级标题"/>
    <w:basedOn w:val="357"/>
    <w:qFormat/>
    <w:uiPriority w:val="0"/>
    <w:pPr>
      <w:jc w:val="left"/>
      <w:outlineLvl w:val="1"/>
    </w:pPr>
    <w:rPr>
      <w:rFonts w:ascii="Times New Roman" w:hAnsi="Times New Roman" w:eastAsia="仿宋"/>
      <w:sz w:val="30"/>
    </w:rPr>
  </w:style>
  <w:style w:type="paragraph" w:customStyle="1" w:styleId="357">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58">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59">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1">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2">
    <w:name w:val="bullet"/>
    <w:basedOn w:val="1"/>
    <w:qFormat/>
    <w:uiPriority w:val="0"/>
    <w:pPr>
      <w:tabs>
        <w:tab w:val="left" w:pos="840"/>
      </w:tabs>
      <w:adjustRightInd/>
      <w:ind w:left="840" w:hanging="420"/>
    </w:pPr>
  </w:style>
  <w:style w:type="paragraph" w:customStyle="1" w:styleId="363">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6">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7">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68">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69">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0">
    <w:name w:val="MM Topic 4"/>
    <w:basedOn w:val="7"/>
    <w:qFormat/>
    <w:uiPriority w:val="0"/>
    <w:pPr>
      <w:tabs>
        <w:tab w:val="left" w:pos="2100"/>
        <w:tab w:val="clear" w:pos="864"/>
      </w:tabs>
      <w:adjustRightInd/>
      <w:ind w:left="2100" w:hanging="420"/>
    </w:pPr>
    <w:rPr>
      <w:lang w:val="en-US"/>
    </w:rPr>
  </w:style>
  <w:style w:type="paragraph" w:customStyle="1" w:styleId="371">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373">
    <w:name w:val="Char Char11 Char Char Char Char Char Char Char Char Char1"/>
    <w:basedOn w:val="1"/>
    <w:qFormat/>
    <w:uiPriority w:val="6"/>
    <w:pPr>
      <w:spacing w:line="360" w:lineRule="auto"/>
    </w:pPr>
    <w:rPr>
      <w:szCs w:val="20"/>
    </w:rPr>
  </w:style>
  <w:style w:type="paragraph" w:customStyle="1" w:styleId="374">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5">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6">
    <w:name w:val="body text bold"/>
    <w:basedOn w:val="2"/>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78">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79">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0">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1">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2">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3">
    <w:name w:val="单元格居中"/>
    <w:basedOn w:val="1"/>
    <w:qFormat/>
    <w:uiPriority w:val="0"/>
    <w:pPr>
      <w:adjustRightInd/>
      <w:spacing w:line="360" w:lineRule="auto"/>
      <w:jc w:val="center"/>
    </w:pPr>
    <w:rPr>
      <w:sz w:val="24"/>
    </w:rPr>
  </w:style>
  <w:style w:type="paragraph" w:customStyle="1" w:styleId="384">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85">
    <w:name w:val="Char Char Char Char Char Char Char1"/>
    <w:basedOn w:val="1"/>
    <w:qFormat/>
    <w:uiPriority w:val="6"/>
    <w:rPr>
      <w:rFonts w:ascii="仿宋_GB2312" w:eastAsia="仿宋_GB2312"/>
      <w:b/>
      <w:sz w:val="32"/>
      <w:szCs w:val="32"/>
    </w:rPr>
  </w:style>
  <w:style w:type="paragraph" w:customStyle="1" w:styleId="386">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87">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8">
    <w:name w:val="Char3 Char Char Char11"/>
    <w:basedOn w:val="1"/>
    <w:qFormat/>
    <w:uiPriority w:val="0"/>
    <w:pPr>
      <w:widowControl/>
      <w:adjustRightInd/>
      <w:spacing w:after="160" w:line="240" w:lineRule="exact"/>
      <w:jc w:val="left"/>
    </w:pPr>
    <w:rPr>
      <w:szCs w:val="20"/>
    </w:rPr>
  </w:style>
  <w:style w:type="paragraph" w:customStyle="1" w:styleId="389">
    <w:name w:val="Char Char1121"/>
    <w:basedOn w:val="1"/>
    <w:qFormat/>
    <w:uiPriority w:val="0"/>
    <w:pPr>
      <w:spacing w:line="360" w:lineRule="auto"/>
    </w:pPr>
    <w:rPr>
      <w:szCs w:val="20"/>
    </w:rPr>
  </w:style>
  <w:style w:type="paragraph" w:customStyle="1" w:styleId="39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1">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392">
    <w:name w:val="Normal0"/>
    <w:qFormat/>
    <w:uiPriority w:val="0"/>
    <w:rPr>
      <w:rFonts w:ascii="Times New Roman" w:hAnsi="Times New Roman" w:eastAsia="宋体" w:cs="Times New Roman"/>
      <w:lang w:val="en-US" w:eastAsia="en-US" w:bidi="ar-SA"/>
    </w:rPr>
  </w:style>
  <w:style w:type="paragraph" w:customStyle="1" w:styleId="393">
    <w:name w:val="带编号样式"/>
    <w:basedOn w:val="311"/>
    <w:qFormat/>
    <w:uiPriority w:val="0"/>
    <w:pPr>
      <w:tabs>
        <w:tab w:val="left" w:pos="840"/>
      </w:tabs>
      <w:snapToGrid w:val="0"/>
      <w:ind w:left="840" w:hanging="420" w:firstLineChars="0"/>
    </w:pPr>
    <w:rPr>
      <w:rFonts w:ascii="仿宋_GB2312" w:eastAsia="仿宋_GB2312"/>
      <w:color w:val="000000"/>
    </w:rPr>
  </w:style>
  <w:style w:type="paragraph" w:customStyle="1" w:styleId="394">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5">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6">
    <w:name w:val="封面"/>
    <w:basedOn w:val="1"/>
    <w:qFormat/>
    <w:uiPriority w:val="0"/>
    <w:pPr>
      <w:spacing w:line="360" w:lineRule="atLeast"/>
      <w:jc w:val="right"/>
      <w:textAlignment w:val="baseline"/>
    </w:pPr>
    <w:rPr>
      <w:rFonts w:ascii="Symbol" w:hAnsi="Symbol"/>
      <w:kern w:val="0"/>
      <w:szCs w:val="20"/>
    </w:rPr>
  </w:style>
  <w:style w:type="paragraph" w:customStyle="1" w:styleId="397">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399">
    <w:name w:val="默认段落字体 Para Char Char Char1 Char"/>
    <w:basedOn w:val="1"/>
    <w:qFormat/>
    <w:uiPriority w:val="0"/>
    <w:pPr>
      <w:spacing w:line="240" w:lineRule="atLeast"/>
      <w:ind w:left="420" w:firstLine="420"/>
    </w:pPr>
    <w:rPr>
      <w:sz w:val="24"/>
    </w:rPr>
  </w:style>
  <w:style w:type="paragraph" w:customStyle="1" w:styleId="400">
    <w:name w:val="WW-正文文字缩进 2"/>
    <w:basedOn w:val="1"/>
    <w:qFormat/>
    <w:uiPriority w:val="0"/>
    <w:pPr>
      <w:suppressAutoHyphens/>
      <w:adjustRightInd/>
      <w:ind w:firstLine="420"/>
    </w:pPr>
    <w:rPr>
      <w:kern w:val="1"/>
      <w:szCs w:val="20"/>
    </w:rPr>
  </w:style>
  <w:style w:type="paragraph" w:customStyle="1" w:styleId="40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2">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403">
    <w:name w:val="有符号正文"/>
    <w:basedOn w:val="1"/>
    <w:qFormat/>
    <w:uiPriority w:val="0"/>
    <w:pPr>
      <w:adjustRightInd/>
      <w:spacing w:line="400" w:lineRule="exact"/>
      <w:ind w:firstLine="200" w:firstLineChars="200"/>
    </w:pPr>
    <w:rPr>
      <w:rFonts w:ascii="Arial" w:hAnsi="Arial"/>
    </w:rPr>
  </w:style>
  <w:style w:type="paragraph" w:customStyle="1" w:styleId="404">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5">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6">
    <w:name w:val="4"/>
    <w:basedOn w:val="1"/>
    <w:next w:val="36"/>
    <w:qFormat/>
    <w:uiPriority w:val="0"/>
    <w:pPr>
      <w:spacing w:after="120" w:line="480" w:lineRule="auto"/>
      <w:ind w:left="420" w:leftChars="200"/>
    </w:pPr>
    <w:rPr>
      <w:sz w:val="24"/>
      <w:szCs w:val="20"/>
    </w:rPr>
  </w:style>
  <w:style w:type="paragraph" w:customStyle="1" w:styleId="407">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09">
    <w:name w:val="样式 标题 3H3 + 两端对齐"/>
    <w:basedOn w:val="5"/>
    <w:qFormat/>
    <w:uiPriority w:val="0"/>
    <w:pPr>
      <w:spacing w:before="0" w:after="0" w:line="240" w:lineRule="auto"/>
      <w:jc w:val="left"/>
    </w:pPr>
    <w:rPr>
      <w:rFonts w:cs="宋体"/>
      <w:sz w:val="21"/>
      <w:szCs w:val="20"/>
    </w:rPr>
  </w:style>
  <w:style w:type="paragraph" w:customStyle="1" w:styleId="410">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1">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2">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3">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14">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5">
    <w:name w:val="Char Char1 Char Char Char"/>
    <w:basedOn w:val="1"/>
    <w:qFormat/>
    <w:uiPriority w:val="0"/>
    <w:rPr>
      <w:rFonts w:ascii="仿宋_GB2312" w:eastAsia="仿宋_GB2312"/>
      <w:b/>
      <w:sz w:val="32"/>
      <w:szCs w:val="20"/>
    </w:rPr>
  </w:style>
  <w:style w:type="paragraph" w:customStyle="1" w:styleId="416">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1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8">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19">
    <w:name w:val="Char Char1 Char Char Char2"/>
    <w:basedOn w:val="1"/>
    <w:qFormat/>
    <w:uiPriority w:val="0"/>
    <w:rPr>
      <w:rFonts w:ascii="仿宋_GB2312" w:eastAsia="仿宋_GB2312"/>
      <w:b/>
      <w:sz w:val="32"/>
      <w:szCs w:val="32"/>
    </w:rPr>
  </w:style>
  <w:style w:type="paragraph" w:customStyle="1" w:styleId="420">
    <w:name w:val="Char3 Char Char Char1"/>
    <w:basedOn w:val="1"/>
    <w:qFormat/>
    <w:uiPriority w:val="6"/>
    <w:pPr>
      <w:widowControl/>
      <w:adjustRightInd/>
      <w:spacing w:after="160" w:line="240" w:lineRule="exact"/>
      <w:jc w:val="left"/>
    </w:pPr>
    <w:rPr>
      <w:szCs w:val="20"/>
    </w:rPr>
  </w:style>
  <w:style w:type="paragraph" w:customStyle="1" w:styleId="421">
    <w:name w:val="Char1 Char Char Char21"/>
    <w:basedOn w:val="1"/>
    <w:qFormat/>
    <w:uiPriority w:val="0"/>
    <w:rPr>
      <w:rFonts w:ascii="Tahoma" w:hAnsi="Tahoma"/>
      <w:sz w:val="24"/>
      <w:szCs w:val="20"/>
    </w:rPr>
  </w:style>
  <w:style w:type="paragraph" w:customStyle="1" w:styleId="422">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3">
    <w:name w:val="正文（标题三）"/>
    <w:basedOn w:val="1"/>
    <w:qFormat/>
    <w:uiPriority w:val="0"/>
    <w:pPr>
      <w:spacing w:line="360" w:lineRule="auto"/>
      <w:ind w:firstLine="200" w:firstLineChars="200"/>
    </w:pPr>
    <w:rPr>
      <w:sz w:val="24"/>
    </w:rPr>
  </w:style>
  <w:style w:type="paragraph" w:customStyle="1" w:styleId="424">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5">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6">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8">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29">
    <w:name w:val="Char1 Char Char Char4"/>
    <w:basedOn w:val="1"/>
    <w:qFormat/>
    <w:uiPriority w:val="0"/>
    <w:pPr>
      <w:adjustRightInd/>
      <w:ind w:firstLine="200" w:firstLineChars="200"/>
    </w:pPr>
    <w:rPr>
      <w:rFonts w:ascii="Tahoma" w:hAnsi="Tahoma"/>
      <w:sz w:val="24"/>
      <w:szCs w:val="20"/>
    </w:rPr>
  </w:style>
  <w:style w:type="paragraph" w:customStyle="1" w:styleId="430">
    <w:name w:val="_标题2"/>
    <w:basedOn w:val="397"/>
    <w:next w:val="397"/>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1">
    <w:name w:val="样式1 + (中宋体"/>
    <w:basedOn w:val="40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2">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3">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4">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5">
    <w:name w:val="四号　首行缩进"/>
    <w:basedOn w:val="1"/>
    <w:qFormat/>
    <w:uiPriority w:val="0"/>
    <w:pPr>
      <w:adjustRightInd/>
      <w:spacing w:line="360" w:lineRule="auto"/>
    </w:pPr>
    <w:rPr>
      <w:rFonts w:ascii="宋体" w:hAnsi="宋体"/>
      <w:szCs w:val="20"/>
    </w:rPr>
  </w:style>
  <w:style w:type="paragraph" w:customStyle="1" w:styleId="436">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7">
    <w:name w:val="Char Char Char Char Char Char Char Char Char Char Char1 Char"/>
    <w:basedOn w:val="1"/>
    <w:qFormat/>
    <w:uiPriority w:val="0"/>
    <w:pPr>
      <w:adjustRightInd/>
    </w:pPr>
    <w:rPr>
      <w:rFonts w:ascii="Tahoma" w:hAnsi="Tahoma"/>
      <w:sz w:val="24"/>
    </w:rPr>
  </w:style>
  <w:style w:type="paragraph" w:customStyle="1" w:styleId="438">
    <w:name w:val="Char Char Char Char11"/>
    <w:basedOn w:val="1"/>
    <w:qFormat/>
    <w:uiPriority w:val="0"/>
    <w:rPr>
      <w:rFonts w:ascii="Tahoma" w:hAnsi="Tahoma"/>
      <w:sz w:val="24"/>
      <w:szCs w:val="20"/>
    </w:rPr>
  </w:style>
  <w:style w:type="paragraph" w:customStyle="1" w:styleId="43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0">
    <w:name w:val="Char Char Char Char"/>
    <w:basedOn w:val="1"/>
    <w:qFormat/>
    <w:uiPriority w:val="0"/>
    <w:rPr>
      <w:rFonts w:ascii="Tahoma" w:hAnsi="Tahoma"/>
      <w:sz w:val="24"/>
      <w:szCs w:val="20"/>
    </w:rPr>
  </w:style>
  <w:style w:type="paragraph" w:customStyle="1" w:styleId="441">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2">
    <w:name w:val="Char19"/>
    <w:basedOn w:val="1"/>
    <w:qFormat/>
    <w:uiPriority w:val="0"/>
    <w:pPr>
      <w:adjustRightInd/>
    </w:pPr>
    <w:rPr>
      <w:szCs w:val="20"/>
    </w:rPr>
  </w:style>
  <w:style w:type="paragraph" w:customStyle="1" w:styleId="44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4">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45">
    <w:name w:val="_Style 5"/>
    <w:basedOn w:val="1"/>
    <w:qFormat/>
    <w:uiPriority w:val="34"/>
    <w:pPr>
      <w:adjustRightInd/>
      <w:ind w:firstLine="420" w:firstLineChars="200"/>
    </w:pPr>
    <w:rPr>
      <w:rFonts w:eastAsia="仿宋_GB2312"/>
      <w:sz w:val="28"/>
    </w:rPr>
  </w:style>
  <w:style w:type="paragraph" w:customStyle="1" w:styleId="446">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7">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49">
    <w:name w:val="标书表格字体格式"/>
    <w:next w:val="443"/>
    <w:qFormat/>
    <w:uiPriority w:val="0"/>
    <w:rPr>
      <w:rFonts w:ascii="Times New Roman" w:hAnsi="Times New Roman" w:eastAsia="宋体" w:cs="Times New Roman"/>
      <w:kern w:val="2"/>
      <w:sz w:val="21"/>
      <w:szCs w:val="24"/>
      <w:lang w:val="en-US" w:eastAsia="zh-CN" w:bidi="ar-SA"/>
    </w:rPr>
  </w:style>
  <w:style w:type="paragraph" w:customStyle="1" w:styleId="450">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1">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2">
    <w:name w:val="修订3"/>
    <w:qFormat/>
    <w:uiPriority w:val="0"/>
    <w:rPr>
      <w:rFonts w:ascii="Times New Roman" w:hAnsi="Times New Roman" w:eastAsia="宋体" w:cs="Times New Roman"/>
      <w:kern w:val="2"/>
      <w:sz w:val="21"/>
      <w:lang w:val="en-US" w:eastAsia="zh-CN" w:bidi="ar-SA"/>
    </w:rPr>
  </w:style>
  <w:style w:type="paragraph" w:customStyle="1" w:styleId="453">
    <w:name w:val="CSS1级正文 Char"/>
    <w:basedOn w:val="2"/>
    <w:qFormat/>
    <w:uiPriority w:val="0"/>
    <w:pPr>
      <w:snapToGrid w:val="0"/>
      <w:ind w:firstLine="480" w:firstLineChars="200"/>
    </w:pPr>
    <w:rPr>
      <w:rFonts w:ascii="Times New Roman"/>
      <w:szCs w:val="24"/>
      <w:lang w:val="en-US"/>
    </w:rPr>
  </w:style>
  <w:style w:type="paragraph" w:customStyle="1" w:styleId="454">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5">
    <w:name w:val="表文字"/>
    <w:qFormat/>
    <w:uiPriority w:val="0"/>
    <w:rPr>
      <w:rFonts w:ascii="宋体" w:hAnsi="Times New Roman" w:eastAsia="宋体" w:cs="Times New Roman"/>
      <w:kern w:val="2"/>
      <w:lang w:val="en-US" w:eastAsia="zh-CN" w:bidi="ar-SA"/>
    </w:rPr>
  </w:style>
  <w:style w:type="paragraph" w:customStyle="1" w:styleId="456">
    <w:name w:val="MM Title"/>
    <w:basedOn w:val="58"/>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8">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59">
    <w:name w:val="Char Char Char Char Char Char Char Char2"/>
    <w:basedOn w:val="1"/>
    <w:qFormat/>
    <w:uiPriority w:val="0"/>
    <w:pPr>
      <w:tabs>
        <w:tab w:val="left" w:pos="360"/>
      </w:tabs>
    </w:pPr>
    <w:rPr>
      <w:sz w:val="24"/>
      <w:szCs w:val="20"/>
    </w:rPr>
  </w:style>
  <w:style w:type="paragraph" w:customStyle="1" w:styleId="460">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1">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2">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3">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5">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66">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7">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68">
    <w:name w:val="p0"/>
    <w:basedOn w:val="1"/>
    <w:qFormat/>
    <w:uiPriority w:val="0"/>
    <w:pPr>
      <w:widowControl/>
      <w:adjustRightInd/>
    </w:pPr>
    <w:rPr>
      <w:kern w:val="0"/>
      <w:szCs w:val="21"/>
    </w:rPr>
  </w:style>
  <w:style w:type="paragraph" w:customStyle="1" w:styleId="469">
    <w:name w:val="Char6"/>
    <w:basedOn w:val="1"/>
    <w:qFormat/>
    <w:uiPriority w:val="0"/>
    <w:rPr>
      <w:rFonts w:ascii="仿宋_GB2312" w:eastAsia="仿宋_GB2312"/>
      <w:b/>
      <w:sz w:val="32"/>
      <w:szCs w:val="32"/>
    </w:rPr>
  </w:style>
  <w:style w:type="paragraph" w:customStyle="1" w:styleId="470">
    <w:name w:val="Char111"/>
    <w:basedOn w:val="1"/>
    <w:qFormat/>
    <w:uiPriority w:val="0"/>
    <w:rPr>
      <w:rFonts w:ascii="仿宋_GB2312" w:eastAsia="仿宋_GB2312"/>
      <w:b/>
      <w:sz w:val="32"/>
      <w:szCs w:val="32"/>
    </w:rPr>
  </w:style>
  <w:style w:type="paragraph" w:customStyle="1" w:styleId="471">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47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3">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4">
    <w:name w:val="Char1 Char Char Char2"/>
    <w:basedOn w:val="1"/>
    <w:qFormat/>
    <w:uiPriority w:val="0"/>
    <w:pPr>
      <w:adjustRightInd/>
      <w:ind w:firstLine="200" w:firstLineChars="200"/>
    </w:pPr>
    <w:rPr>
      <w:rFonts w:ascii="Tahoma" w:hAnsi="Tahoma"/>
      <w:sz w:val="24"/>
      <w:szCs w:val="20"/>
    </w:rPr>
  </w:style>
  <w:style w:type="paragraph" w:customStyle="1" w:styleId="475">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76">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7">
    <w:name w:val="Char Char Char Char Char Char Char2"/>
    <w:basedOn w:val="1"/>
    <w:qFormat/>
    <w:uiPriority w:val="0"/>
    <w:rPr>
      <w:rFonts w:ascii="仿宋_GB2312" w:eastAsia="仿宋_GB2312"/>
      <w:b/>
      <w:sz w:val="32"/>
      <w:szCs w:val="32"/>
    </w:rPr>
  </w:style>
  <w:style w:type="paragraph" w:customStyle="1" w:styleId="478">
    <w:name w:val="五级条标题"/>
    <w:basedOn w:val="479"/>
    <w:next w:val="324"/>
    <w:qFormat/>
    <w:uiPriority w:val="0"/>
    <w:pPr>
      <w:tabs>
        <w:tab w:val="left" w:pos="1260"/>
        <w:tab w:val="left" w:pos="1680"/>
        <w:tab w:val="left" w:pos="2100"/>
        <w:tab w:val="left" w:pos="2940"/>
        <w:tab w:val="left" w:pos="3360"/>
      </w:tabs>
      <w:ind w:left="3360"/>
      <w:outlineLvl w:val="6"/>
    </w:pPr>
  </w:style>
  <w:style w:type="paragraph" w:customStyle="1" w:styleId="479">
    <w:name w:val="四级条标题"/>
    <w:basedOn w:val="339"/>
    <w:next w:val="324"/>
    <w:qFormat/>
    <w:uiPriority w:val="0"/>
    <w:pPr>
      <w:tabs>
        <w:tab w:val="left" w:pos="2940"/>
        <w:tab w:val="clear" w:pos="2520"/>
      </w:tabs>
      <w:ind w:left="2940"/>
      <w:outlineLvl w:val="5"/>
    </w:pPr>
  </w:style>
  <w:style w:type="paragraph" w:customStyle="1" w:styleId="480">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1">
    <w:name w:val="Char23"/>
    <w:basedOn w:val="1"/>
    <w:qFormat/>
    <w:uiPriority w:val="0"/>
    <w:rPr>
      <w:rFonts w:ascii="仿宋_GB2312" w:eastAsia="仿宋_GB2312"/>
      <w:b/>
      <w:sz w:val="32"/>
      <w:szCs w:val="32"/>
    </w:rPr>
  </w:style>
  <w:style w:type="paragraph" w:customStyle="1" w:styleId="48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3">
    <w:name w:val="列出段落3"/>
    <w:basedOn w:val="1"/>
    <w:qFormat/>
    <w:uiPriority w:val="99"/>
    <w:pPr>
      <w:adjustRightInd/>
      <w:spacing w:line="360" w:lineRule="auto"/>
      <w:ind w:firstLine="420" w:firstLineChars="200"/>
    </w:pPr>
    <w:rPr>
      <w:rFonts w:ascii="Calibri" w:hAnsi="Calibri"/>
      <w:sz w:val="24"/>
      <w:szCs w:val="22"/>
    </w:rPr>
  </w:style>
  <w:style w:type="paragraph" w:customStyle="1" w:styleId="484">
    <w:name w:val="首行缩进"/>
    <w:basedOn w:val="1"/>
    <w:qFormat/>
    <w:uiPriority w:val="0"/>
    <w:pPr>
      <w:spacing w:line="360" w:lineRule="auto"/>
      <w:ind w:firstLine="480" w:firstLineChars="200"/>
    </w:pPr>
    <w:rPr>
      <w:rFonts w:ascii="宋体"/>
      <w:sz w:val="24"/>
      <w:szCs w:val="20"/>
    </w:rPr>
  </w:style>
  <w:style w:type="paragraph" w:customStyle="1" w:styleId="48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6">
    <w:name w:val="单元格左对齐"/>
    <w:basedOn w:val="1"/>
    <w:qFormat/>
    <w:uiPriority w:val="0"/>
    <w:pPr>
      <w:adjustRightInd/>
      <w:spacing w:line="360" w:lineRule="auto"/>
    </w:pPr>
    <w:rPr>
      <w:sz w:val="24"/>
    </w:rPr>
  </w:style>
  <w:style w:type="paragraph" w:customStyle="1" w:styleId="487">
    <w:name w:val="正文主体"/>
    <w:basedOn w:val="308"/>
    <w:qFormat/>
    <w:uiPriority w:val="0"/>
  </w:style>
  <w:style w:type="paragraph" w:customStyle="1" w:styleId="48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8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1">
    <w:name w:val="正文（首行缩进2字符）"/>
    <w:basedOn w:val="1"/>
    <w:qFormat/>
    <w:uiPriority w:val="0"/>
    <w:pPr>
      <w:adjustRightInd/>
      <w:spacing w:line="360" w:lineRule="auto"/>
      <w:ind w:firstLine="480" w:firstLineChars="200"/>
    </w:pPr>
    <w:rPr>
      <w:sz w:val="24"/>
      <w:szCs w:val="20"/>
    </w:rPr>
  </w:style>
  <w:style w:type="paragraph" w:customStyle="1" w:styleId="492">
    <w:name w:val="P1"/>
    <w:basedOn w:val="1"/>
    <w:qFormat/>
    <w:uiPriority w:val="0"/>
    <w:pPr>
      <w:adjustRightInd/>
      <w:spacing w:line="288" w:lineRule="auto"/>
      <w:ind w:firstLine="425" w:firstLineChars="200"/>
    </w:pPr>
  </w:style>
  <w:style w:type="paragraph" w:customStyle="1" w:styleId="493">
    <w:name w:val="列表内容"/>
    <w:basedOn w:val="1"/>
    <w:next w:val="1"/>
    <w:qFormat/>
    <w:uiPriority w:val="0"/>
    <w:pPr>
      <w:widowControl/>
      <w:tabs>
        <w:tab w:val="left" w:pos="840"/>
      </w:tabs>
      <w:ind w:left="840" w:hanging="420"/>
      <w:jc w:val="left"/>
    </w:pPr>
    <w:rPr>
      <w:kern w:val="0"/>
      <w:sz w:val="18"/>
    </w:rPr>
  </w:style>
  <w:style w:type="paragraph" w:customStyle="1" w:styleId="494">
    <w:name w:val="Char Char11 Char Char Char1"/>
    <w:basedOn w:val="1"/>
    <w:qFormat/>
    <w:uiPriority w:val="6"/>
    <w:pPr>
      <w:spacing w:line="360" w:lineRule="auto"/>
    </w:pPr>
    <w:rPr>
      <w:szCs w:val="20"/>
    </w:rPr>
  </w:style>
  <w:style w:type="paragraph" w:customStyle="1" w:styleId="49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6">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497">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499">
    <w:name w:val="正文文字缩进2字"/>
    <w:basedOn w:val="2"/>
    <w:qFormat/>
    <w:uiPriority w:val="0"/>
    <w:pPr>
      <w:adjustRightInd/>
      <w:spacing w:before="60" w:after="60"/>
      <w:ind w:firstLine="200" w:firstLineChars="200"/>
    </w:pPr>
    <w:rPr>
      <w:rFonts w:ascii="Times New Roman"/>
      <w:szCs w:val="20"/>
      <w:lang w:val="en-US"/>
    </w:rPr>
  </w:style>
  <w:style w:type="paragraph" w:customStyle="1" w:styleId="500">
    <w:name w:val="默认段落字体 Para Char Char Char Char"/>
    <w:basedOn w:val="1"/>
    <w:qFormat/>
    <w:uiPriority w:val="0"/>
    <w:pPr>
      <w:spacing w:line="360" w:lineRule="auto"/>
    </w:pPr>
    <w:rPr>
      <w:szCs w:val="20"/>
    </w:rPr>
  </w:style>
  <w:style w:type="paragraph" w:customStyle="1" w:styleId="50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3">
    <w:name w:val="Char2 Char Char Char2"/>
    <w:basedOn w:val="1"/>
    <w:qFormat/>
    <w:uiPriority w:val="0"/>
    <w:rPr>
      <w:rFonts w:ascii="仿宋_GB2312" w:eastAsia="仿宋_GB2312"/>
      <w:b/>
      <w:sz w:val="32"/>
      <w:szCs w:val="32"/>
    </w:rPr>
  </w:style>
  <w:style w:type="paragraph" w:customStyle="1" w:styleId="50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6">
    <w:name w:val="正文 首行缩进:  2 字符 Char"/>
    <w:basedOn w:val="1"/>
    <w:qFormat/>
    <w:uiPriority w:val="0"/>
    <w:pPr>
      <w:adjustRightInd/>
      <w:spacing w:line="360" w:lineRule="auto"/>
      <w:ind w:firstLine="480"/>
    </w:pPr>
    <w:rPr>
      <w:rFonts w:cs="宋体"/>
      <w:sz w:val="24"/>
      <w:szCs w:val="20"/>
    </w:rPr>
  </w:style>
  <w:style w:type="paragraph" w:customStyle="1" w:styleId="507">
    <w:name w:val="Char Char4 Char Char"/>
    <w:basedOn w:val="1"/>
    <w:qFormat/>
    <w:uiPriority w:val="0"/>
    <w:pPr>
      <w:widowControl/>
      <w:adjustRightInd/>
      <w:spacing w:after="160" w:line="240" w:lineRule="exact"/>
      <w:jc w:val="left"/>
    </w:pPr>
  </w:style>
  <w:style w:type="paragraph" w:customStyle="1" w:styleId="50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09">
    <w:name w:val="Char Char11 Char Char Char2"/>
    <w:basedOn w:val="1"/>
    <w:qFormat/>
    <w:uiPriority w:val="0"/>
    <w:pPr>
      <w:spacing w:line="360" w:lineRule="auto"/>
    </w:pPr>
    <w:rPr>
      <w:szCs w:val="20"/>
    </w:rPr>
  </w:style>
  <w:style w:type="paragraph" w:customStyle="1" w:styleId="51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2">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6">
    <w:name w:val="Char311"/>
    <w:basedOn w:val="1"/>
    <w:qFormat/>
    <w:uiPriority w:val="0"/>
    <w:pPr>
      <w:adjustRightInd/>
      <w:ind w:firstLine="200" w:firstLineChars="200"/>
    </w:pPr>
    <w:rPr>
      <w:rFonts w:ascii="Tahoma" w:hAnsi="Tahoma"/>
      <w:sz w:val="24"/>
      <w:szCs w:val="20"/>
    </w:rPr>
  </w:style>
  <w:style w:type="paragraph" w:customStyle="1" w:styleId="517">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19">
    <w:name w:val="正文 内标"/>
    <w:basedOn w:val="434"/>
    <w:qFormat/>
    <w:uiPriority w:val="0"/>
    <w:pPr>
      <w:tabs>
        <w:tab w:val="left" w:pos="0"/>
      </w:tabs>
      <w:ind w:left="900" w:firstLine="0" w:firstLineChars="0"/>
    </w:pPr>
  </w:style>
  <w:style w:type="paragraph" w:customStyle="1" w:styleId="520">
    <w:name w:val="Bulleted List"/>
    <w:basedOn w:val="1"/>
    <w:qFormat/>
    <w:uiPriority w:val="0"/>
    <w:pPr>
      <w:tabs>
        <w:tab w:val="left" w:pos="1260"/>
      </w:tabs>
      <w:adjustRightInd/>
      <w:ind w:left="1260" w:hanging="420"/>
    </w:pPr>
  </w:style>
  <w:style w:type="paragraph" w:customStyle="1" w:styleId="521">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522">
    <w:name w:val="样式 左侧:  0.85 厘米"/>
    <w:basedOn w:val="1"/>
    <w:qFormat/>
    <w:uiPriority w:val="2"/>
    <w:pPr>
      <w:adjustRightInd/>
      <w:spacing w:line="360" w:lineRule="auto"/>
    </w:pPr>
    <w:rPr>
      <w:rFonts w:cs="宋体"/>
      <w:sz w:val="24"/>
      <w:szCs w:val="20"/>
    </w:rPr>
  </w:style>
  <w:style w:type="paragraph" w:customStyle="1" w:styleId="523">
    <w:name w:val="Char Char Char Char Char Char Char Char Char Char Char Char1 Char"/>
    <w:basedOn w:val="1"/>
    <w:qFormat/>
    <w:uiPriority w:val="0"/>
    <w:rPr>
      <w:rFonts w:ascii="Tahoma" w:hAnsi="Tahoma" w:cs="仿宋_GB2312"/>
      <w:sz w:val="24"/>
      <w:szCs w:val="20"/>
    </w:rPr>
  </w:style>
  <w:style w:type="paragraph" w:customStyle="1" w:styleId="524">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19"/>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1"/>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6"/>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2"/>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5"/>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3"/>
    <w:qFormat/>
    <w:uiPriority w:val="0"/>
    <w:rPr>
      <w:b w:val="0"/>
      <w:sz w:val="20"/>
    </w:rPr>
  </w:style>
  <w:style w:type="paragraph" w:customStyle="1" w:styleId="578">
    <w:name w:val="正文首行缩进1"/>
    <w:basedOn w:val="2"/>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8"/>
    <w:next w:val="1"/>
    <w:qFormat/>
    <w:uiPriority w:val="0"/>
    <w:pPr>
      <w:tabs>
        <w:tab w:val="left" w:pos="1080"/>
        <w:tab w:val="clear" w:pos="1008"/>
      </w:tabs>
      <w:ind w:left="1080" w:hanging="1080"/>
    </w:pPr>
  </w:style>
  <w:style w:type="paragraph" w:customStyle="1" w:styleId="581">
    <w:name w:val="数字标题1"/>
    <w:basedOn w:val="3"/>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7"/>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6"/>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64"/>
    <w:qFormat/>
    <w:uiPriority w:val="0"/>
    <w:pPr>
      <w:adjustRightInd/>
      <w:spacing w:line="360" w:lineRule="auto"/>
      <w:ind w:firstLine="480" w:firstLineChars="200"/>
    </w:pPr>
    <w:rPr>
      <w:rFonts w:cs="宋体"/>
      <w:sz w:val="24"/>
      <w:szCs w:val="20"/>
    </w:rPr>
  </w:style>
  <w:style w:type="paragraph" w:customStyle="1" w:styleId="607">
    <w:name w:val="_Style 947"/>
    <w:basedOn w:val="1"/>
    <w:next w:val="101"/>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Normal]"/>
    <w:qFormat/>
    <w:uiPriority w:val="0"/>
    <w:rPr>
      <w:rFonts w:ascii="宋体" w:hAnsi="宋体" w:eastAsia="宋体" w:cs="Times New Roman"/>
      <w:sz w:val="24"/>
      <w:szCs w:val="22"/>
      <w:lang w:val="zh-CN" w:eastAsia="zh-CN" w:bidi="ar-SA"/>
    </w:rPr>
  </w:style>
  <w:style w:type="paragraph" w:customStyle="1" w:styleId="620">
    <w:name w:val="jd-正文1"/>
    <w:basedOn w:val="1"/>
    <w:qFormat/>
    <w:uiPriority w:val="0"/>
    <w:pPr>
      <w:widowControl/>
      <w:adjustRightInd/>
      <w:spacing w:line="360" w:lineRule="auto"/>
      <w:ind w:firstLine="482" w:firstLineChars="200"/>
    </w:pPr>
    <w:rPr>
      <w:rFonts w:ascii="宋体" w:hAnsi="宋体" w:cs="宋体"/>
      <w:sz w:val="24"/>
      <w:szCs w:val="20"/>
    </w:rPr>
  </w:style>
  <w:style w:type="paragraph" w:customStyle="1" w:styleId="621">
    <w:name w:val="_正文"/>
    <w:basedOn w:val="1"/>
    <w:link w:val="982"/>
    <w:qFormat/>
    <w:uiPriority w:val="0"/>
    <w:pPr>
      <w:tabs>
        <w:tab w:val="left" w:pos="840"/>
      </w:tabs>
      <w:adjustRightInd/>
      <w:spacing w:line="360" w:lineRule="auto"/>
      <w:ind w:firstLine="200" w:firstLineChars="200"/>
    </w:pPr>
    <w:rPr>
      <w:sz w:val="24"/>
    </w:rPr>
  </w:style>
  <w:style w:type="paragraph" w:customStyle="1" w:styleId="622">
    <w:name w:val="亚运 5级标题"/>
    <w:basedOn w:val="8"/>
    <w:link w:val="983"/>
    <w:qFormat/>
    <w:uiPriority w:val="0"/>
    <w:pPr>
      <w:numPr>
        <w:ilvl w:val="4"/>
        <w:numId w:val="1"/>
      </w:numPr>
      <w:tabs>
        <w:tab w:val="left" w:pos="700"/>
        <w:tab w:val="left" w:pos="840"/>
        <w:tab w:val="clear" w:pos="1008"/>
      </w:tabs>
      <w:spacing w:before="0" w:after="0" w:line="360" w:lineRule="auto"/>
      <w:textAlignment w:val="baseline"/>
    </w:pPr>
    <w:rPr>
      <w:rFonts w:ascii="宋体" w:hAnsi="宋体"/>
      <w:color w:val="000000"/>
      <w:sz w:val="24"/>
    </w:rPr>
  </w:style>
  <w:style w:type="paragraph" w:customStyle="1" w:styleId="623">
    <w:name w:val="修订4"/>
    <w:semiHidden/>
    <w:qFormat/>
    <w:uiPriority w:val="99"/>
    <w:rPr>
      <w:rFonts w:ascii="Times New Roman" w:hAnsi="Times New Roman" w:eastAsia="宋体" w:cs="Times New Roman"/>
      <w:kern w:val="2"/>
      <w:sz w:val="21"/>
      <w:szCs w:val="24"/>
      <w:lang w:val="en-US" w:eastAsia="zh-CN" w:bidi="ar-SA"/>
    </w:rPr>
  </w:style>
  <w:style w:type="paragraph" w:customStyle="1" w:styleId="624">
    <w:name w:val="修订5"/>
    <w:semiHidden/>
    <w:qFormat/>
    <w:uiPriority w:val="99"/>
    <w:rPr>
      <w:rFonts w:ascii="Times New Roman" w:hAnsi="Times New Roman" w:eastAsia="宋体" w:cs="Times New Roman"/>
      <w:kern w:val="2"/>
      <w:sz w:val="21"/>
      <w:szCs w:val="24"/>
      <w:lang w:val="en-US" w:eastAsia="zh-CN" w:bidi="ar-SA"/>
    </w:rPr>
  </w:style>
  <w:style w:type="paragraph" w:customStyle="1" w:styleId="625">
    <w:name w:val="正文缩"/>
    <w:basedOn w:val="1"/>
    <w:link w:val="984"/>
    <w:qFormat/>
    <w:uiPriority w:val="0"/>
    <w:pPr>
      <w:adjustRightInd/>
      <w:spacing w:line="360" w:lineRule="auto"/>
      <w:ind w:firstLine="200" w:firstLineChars="200"/>
    </w:pPr>
    <w:rPr>
      <w:rFonts w:eastAsia="楷体_GB2312"/>
      <w:sz w:val="24"/>
    </w:rPr>
  </w:style>
  <w:style w:type="paragraph" w:customStyle="1" w:styleId="626">
    <w:name w:val="亚运3级标题"/>
    <w:basedOn w:val="1"/>
    <w:link w:val="986"/>
    <w:qFormat/>
    <w:uiPriority w:val="0"/>
    <w:pPr>
      <w:keepNext/>
      <w:keepLines/>
      <w:tabs>
        <w:tab w:val="left" w:pos="720"/>
        <w:tab w:val="left" w:pos="840"/>
      </w:tabs>
      <w:snapToGrid w:val="0"/>
      <w:spacing w:line="360" w:lineRule="auto"/>
      <w:outlineLvl w:val="2"/>
    </w:pPr>
    <w:rPr>
      <w:rFonts w:ascii="黑体" w:hAnsi="黑体" w:eastAsia="仿宋" w:cs="Arial"/>
      <w:bCs/>
      <w:sz w:val="30"/>
      <w:szCs w:val="30"/>
    </w:rPr>
  </w:style>
  <w:style w:type="paragraph" w:customStyle="1" w:styleId="627">
    <w:name w:val="亚运 4级标题"/>
    <w:basedOn w:val="7"/>
    <w:link w:val="987"/>
    <w:qFormat/>
    <w:uiPriority w:val="0"/>
    <w:pPr>
      <w:tabs>
        <w:tab w:val="left" w:pos="840"/>
        <w:tab w:val="clear" w:pos="864"/>
      </w:tabs>
      <w:snapToGrid w:val="0"/>
      <w:spacing w:before="0" w:after="0" w:line="360" w:lineRule="auto"/>
      <w:ind w:left="0" w:firstLine="0"/>
      <w:textAlignment w:val="baseline"/>
    </w:pPr>
    <w:rPr>
      <w:rFonts w:ascii="黑体" w:hAnsi="黑体" w:eastAsia="仿宋"/>
      <w:b w:val="0"/>
      <w:color w:val="000000"/>
      <w:kern w:val="0"/>
      <w:sz w:val="30"/>
      <w:szCs w:val="30"/>
      <w:lang w:val="en-US"/>
    </w:rPr>
  </w:style>
  <w:style w:type="paragraph" w:customStyle="1" w:styleId="628">
    <w:name w:val="修订6"/>
    <w:hidden/>
    <w:semiHidden/>
    <w:qFormat/>
    <w:uiPriority w:val="99"/>
    <w:rPr>
      <w:rFonts w:ascii="Times New Roman" w:hAnsi="Times New Roman" w:eastAsia="宋体" w:cs="Times New Roman"/>
      <w:kern w:val="2"/>
      <w:sz w:val="21"/>
      <w:szCs w:val="24"/>
      <w:lang w:val="en-US" w:eastAsia="zh-CN" w:bidi="ar-SA"/>
    </w:rPr>
  </w:style>
  <w:style w:type="paragraph" w:customStyle="1" w:styleId="629">
    <w:name w:val="修订7"/>
    <w:hidden/>
    <w:semiHidden/>
    <w:qFormat/>
    <w:uiPriority w:val="99"/>
    <w:rPr>
      <w:rFonts w:ascii="Times New Roman" w:hAnsi="Times New Roman" w:eastAsia="宋体" w:cs="Times New Roman"/>
      <w:kern w:val="2"/>
      <w:sz w:val="21"/>
      <w:szCs w:val="24"/>
      <w:lang w:val="en-US" w:eastAsia="zh-CN" w:bidi="ar-SA"/>
    </w:rPr>
  </w:style>
  <w:style w:type="paragraph" w:customStyle="1" w:styleId="630">
    <w:name w:val="修订8"/>
    <w:hidden/>
    <w:semiHidden/>
    <w:qFormat/>
    <w:uiPriority w:val="99"/>
    <w:rPr>
      <w:rFonts w:ascii="Times New Roman" w:hAnsi="Times New Roman" w:eastAsia="宋体" w:cs="Times New Roman"/>
      <w:kern w:val="2"/>
      <w:sz w:val="21"/>
      <w:szCs w:val="24"/>
      <w:lang w:val="en-US" w:eastAsia="zh-CN" w:bidi="ar-SA"/>
    </w:rPr>
  </w:style>
  <w:style w:type="paragraph" w:customStyle="1" w:styleId="631">
    <w:name w:val="样式 宋体 小四 行距: 1.5 倍行距 首行缩进:  2 字符"/>
    <w:basedOn w:val="1"/>
    <w:qFormat/>
    <w:uiPriority w:val="0"/>
    <w:pPr>
      <w:adjustRightInd/>
      <w:spacing w:line="360" w:lineRule="auto"/>
      <w:ind w:firstLine="200" w:firstLineChars="200"/>
    </w:pPr>
    <w:rPr>
      <w:rFonts w:ascii="宋体" w:hAnsi="宋体" w:cs="宋体"/>
      <w:sz w:val="24"/>
    </w:rPr>
  </w:style>
  <w:style w:type="paragraph" w:customStyle="1" w:styleId="632">
    <w:name w:val="列表段落2"/>
    <w:basedOn w:val="1"/>
    <w:qFormat/>
    <w:uiPriority w:val="34"/>
    <w:pPr>
      <w:widowControl/>
      <w:adjustRightInd/>
      <w:ind w:firstLine="200" w:firstLineChars="200"/>
      <w:jc w:val="left"/>
    </w:pPr>
    <w:rPr>
      <w:rFonts w:ascii="??" w:hAnsi="??" w:eastAsia="??" w:cs="??"/>
      <w:kern w:val="0"/>
      <w:sz w:val="24"/>
    </w:rPr>
  </w:style>
  <w:style w:type="paragraph" w:customStyle="1" w:styleId="633">
    <w:name w:val="图名"/>
    <w:next w:val="1"/>
    <w:qFormat/>
    <w:uiPriority w:val="1"/>
    <w:pPr>
      <w:spacing w:line="360" w:lineRule="auto"/>
      <w:jc w:val="center"/>
    </w:pPr>
    <w:rPr>
      <w:rFonts w:ascii="宋体" w:hAnsi="宋体" w:eastAsia="宋体" w:cs="宋体"/>
      <w:b/>
      <w:color w:val="000000"/>
      <w:sz w:val="28"/>
      <w:szCs w:val="28"/>
      <w:lang w:val="en-US" w:eastAsia="zh-CN" w:bidi="ar-SA"/>
    </w:rPr>
  </w:style>
  <w:style w:type="paragraph" w:customStyle="1" w:styleId="634">
    <w:name w:val="pa-67"/>
    <w:basedOn w:val="1"/>
    <w:qFormat/>
    <w:uiPriority w:val="0"/>
    <w:pPr>
      <w:widowControl/>
      <w:adjustRightInd/>
      <w:spacing w:line="360" w:lineRule="atLeast"/>
      <w:ind w:firstLine="480"/>
      <w:jc w:val="center"/>
    </w:pPr>
    <w:rPr>
      <w:rFonts w:ascii="宋体" w:hAnsi="宋体" w:cs="宋体"/>
      <w:kern w:val="0"/>
      <w:sz w:val="24"/>
    </w:rPr>
  </w:style>
  <w:style w:type="paragraph" w:customStyle="1" w:styleId="635">
    <w:name w:val="pa-68"/>
    <w:basedOn w:val="1"/>
    <w:qFormat/>
    <w:uiPriority w:val="0"/>
    <w:pPr>
      <w:widowControl/>
      <w:adjustRightInd/>
      <w:spacing w:line="330" w:lineRule="atLeast"/>
      <w:jc w:val="left"/>
    </w:pPr>
    <w:rPr>
      <w:rFonts w:ascii="宋体" w:hAnsi="宋体" w:cs="宋体"/>
      <w:kern w:val="0"/>
      <w:sz w:val="24"/>
    </w:rPr>
  </w:style>
  <w:style w:type="paragraph" w:customStyle="1" w:styleId="636">
    <w:name w:val="pa-69"/>
    <w:basedOn w:val="1"/>
    <w:qFormat/>
    <w:uiPriority w:val="0"/>
    <w:pPr>
      <w:widowControl/>
      <w:adjustRightInd/>
      <w:spacing w:line="330" w:lineRule="atLeast"/>
      <w:ind w:firstLine="3840"/>
      <w:jc w:val="left"/>
    </w:pPr>
    <w:rPr>
      <w:rFonts w:ascii="宋体" w:hAnsi="宋体" w:cs="宋体"/>
      <w:kern w:val="0"/>
      <w:sz w:val="24"/>
    </w:rPr>
  </w:style>
  <w:style w:type="paragraph" w:customStyle="1" w:styleId="637">
    <w:name w:val="BodyText"/>
    <w:basedOn w:val="1"/>
    <w:next w:val="1"/>
    <w:qFormat/>
    <w:uiPriority w:val="0"/>
    <w:pPr>
      <w:adjustRightInd/>
      <w:textAlignment w:val="baseline"/>
    </w:pPr>
    <w:rPr>
      <w:rFonts w:ascii="Calibri" w:hAnsi="Calibri"/>
      <w:b/>
      <w:sz w:val="30"/>
      <w:szCs w:val="22"/>
    </w:rPr>
  </w:style>
  <w:style w:type="paragraph" w:customStyle="1" w:styleId="638">
    <w:name w:val="UserStyle_0"/>
    <w:basedOn w:val="1"/>
    <w:qFormat/>
    <w:uiPriority w:val="0"/>
    <w:pPr>
      <w:spacing w:before="156" w:line="360" w:lineRule="auto"/>
      <w:ind w:firstLine="510" w:firstLineChars="200"/>
      <w:textAlignment w:val="baseline"/>
    </w:pPr>
    <w:rPr>
      <w:rFonts w:ascii="Calibri" w:hAnsi="Calibri"/>
      <w:sz w:val="24"/>
      <w:szCs w:val="22"/>
    </w:rPr>
  </w:style>
  <w:style w:type="paragraph" w:customStyle="1" w:styleId="639">
    <w:name w:val="1册标题1"/>
    <w:basedOn w:val="1"/>
    <w:next w:val="1"/>
    <w:qFormat/>
    <w:uiPriority w:val="0"/>
    <w:pPr>
      <w:adjustRightInd/>
      <w:spacing w:before="156" w:beforeLines="50" w:after="156" w:afterLines="50" w:line="300" w:lineRule="auto"/>
      <w:jc w:val="center"/>
      <w:outlineLvl w:val="0"/>
    </w:pPr>
    <w:rPr>
      <w:rFonts w:ascii="Arial" w:hAnsi="Arial" w:eastAsia="黑体"/>
      <w:b/>
      <w:bCs/>
      <w:sz w:val="48"/>
      <w:szCs w:val="20"/>
    </w:rPr>
  </w:style>
  <w:style w:type="paragraph" w:customStyle="1" w:styleId="640">
    <w:name w:val="List Paragraph"/>
    <w:basedOn w:val="1"/>
    <w:qFormat/>
    <w:uiPriority w:val="99"/>
    <w:pPr>
      <w:ind w:firstLine="420" w:firstLineChars="200"/>
    </w:pPr>
  </w:style>
  <w:style w:type="character" w:customStyle="1" w:styleId="641">
    <w:name w:val="标题 1 字符1"/>
    <w:link w:val="3"/>
    <w:qFormat/>
    <w:uiPriority w:val="9"/>
    <w:rPr>
      <w:b/>
      <w:bCs/>
      <w:kern w:val="44"/>
      <w:sz w:val="44"/>
      <w:szCs w:val="44"/>
    </w:rPr>
  </w:style>
  <w:style w:type="character" w:customStyle="1" w:styleId="642">
    <w:name w:val="正文缩进 字符2"/>
    <w:link w:val="6"/>
    <w:qFormat/>
    <w:uiPriority w:val="0"/>
    <w:rPr>
      <w:rFonts w:ascii="宋体" w:eastAsia="宋体"/>
      <w:snapToGrid w:val="0"/>
      <w:color w:val="000000"/>
      <w:kern w:val="28"/>
      <w:sz w:val="28"/>
      <w:lang w:val="en-US" w:eastAsia="zh-CN" w:bidi="ar-SA"/>
    </w:rPr>
  </w:style>
  <w:style w:type="character" w:customStyle="1" w:styleId="643">
    <w:name w:val="标题 4 字符1"/>
    <w:link w:val="7"/>
    <w:qFormat/>
    <w:uiPriority w:val="9"/>
    <w:rPr>
      <w:rFonts w:ascii="Arial" w:hAnsi="Arial" w:eastAsia="黑体"/>
      <w:b/>
      <w:bCs/>
      <w:kern w:val="2"/>
      <w:sz w:val="28"/>
      <w:szCs w:val="28"/>
      <w:lang w:val="zh-CN"/>
    </w:rPr>
  </w:style>
  <w:style w:type="character" w:customStyle="1" w:styleId="644">
    <w:name w:val="标题 5 字符"/>
    <w:link w:val="8"/>
    <w:qFormat/>
    <w:uiPriority w:val="0"/>
    <w:rPr>
      <w:b/>
      <w:bCs/>
      <w:kern w:val="2"/>
      <w:sz w:val="28"/>
      <w:szCs w:val="28"/>
    </w:rPr>
  </w:style>
  <w:style w:type="character" w:customStyle="1" w:styleId="645">
    <w:name w:val="标题 6 字符"/>
    <w:link w:val="9"/>
    <w:qFormat/>
    <w:uiPriority w:val="0"/>
    <w:rPr>
      <w:rFonts w:ascii="Arial" w:hAnsi="Arial" w:eastAsia="黑体"/>
      <w:b/>
      <w:bCs/>
      <w:kern w:val="2"/>
      <w:sz w:val="24"/>
      <w:szCs w:val="24"/>
    </w:rPr>
  </w:style>
  <w:style w:type="character" w:customStyle="1" w:styleId="646">
    <w:name w:val="标题 7 字符"/>
    <w:link w:val="10"/>
    <w:qFormat/>
    <w:uiPriority w:val="0"/>
    <w:rPr>
      <w:b/>
      <w:bCs/>
      <w:kern w:val="2"/>
      <w:sz w:val="24"/>
      <w:szCs w:val="24"/>
    </w:rPr>
  </w:style>
  <w:style w:type="character" w:customStyle="1" w:styleId="647">
    <w:name w:val="标题 8 字符"/>
    <w:link w:val="11"/>
    <w:qFormat/>
    <w:uiPriority w:val="0"/>
    <w:rPr>
      <w:rFonts w:ascii="Arial" w:hAnsi="Arial" w:eastAsia="黑体"/>
      <w:kern w:val="2"/>
      <w:sz w:val="24"/>
      <w:szCs w:val="24"/>
    </w:rPr>
  </w:style>
  <w:style w:type="character" w:customStyle="1" w:styleId="648">
    <w:name w:val="标题 9 字符"/>
    <w:link w:val="12"/>
    <w:qFormat/>
    <w:uiPriority w:val="0"/>
    <w:rPr>
      <w:rFonts w:ascii="Arial" w:hAnsi="Arial" w:eastAsia="黑体"/>
      <w:kern w:val="2"/>
      <w:sz w:val="21"/>
      <w:szCs w:val="21"/>
    </w:rPr>
  </w:style>
  <w:style w:type="character" w:customStyle="1" w:styleId="649">
    <w:name w:val="批注文字 字符1"/>
    <w:link w:val="20"/>
    <w:qFormat/>
    <w:uiPriority w:val="0"/>
    <w:rPr>
      <w:kern w:val="2"/>
      <w:sz w:val="21"/>
      <w:szCs w:val="24"/>
    </w:rPr>
  </w:style>
  <w:style w:type="character" w:customStyle="1" w:styleId="650">
    <w:name w:val="批注主题 字符"/>
    <w:link w:val="59"/>
    <w:qFormat/>
    <w:uiPriority w:val="0"/>
    <w:rPr>
      <w:b/>
      <w:bCs/>
      <w:kern w:val="2"/>
      <w:sz w:val="21"/>
      <w:szCs w:val="24"/>
    </w:rPr>
  </w:style>
  <w:style w:type="character" w:customStyle="1" w:styleId="651">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652">
    <w:name w:val="正文文本首行缩进 字符"/>
    <w:link w:val="60"/>
    <w:qFormat/>
    <w:uiPriority w:val="0"/>
    <w:rPr>
      <w:rFonts w:ascii="宋体"/>
      <w:kern w:val="2"/>
      <w:sz w:val="24"/>
      <w:lang w:val="zh-CN"/>
    </w:rPr>
  </w:style>
  <w:style w:type="character" w:customStyle="1" w:styleId="653">
    <w:name w:val="题注 字符"/>
    <w:link w:val="17"/>
    <w:qFormat/>
    <w:uiPriority w:val="0"/>
    <w:rPr>
      <w:b/>
      <w:kern w:val="2"/>
      <w:sz w:val="28"/>
    </w:rPr>
  </w:style>
  <w:style w:type="character" w:customStyle="1" w:styleId="654">
    <w:name w:val="文档结构图 字符"/>
    <w:link w:val="19"/>
    <w:qFormat/>
    <w:uiPriority w:val="0"/>
    <w:rPr>
      <w:kern w:val="2"/>
      <w:sz w:val="21"/>
      <w:szCs w:val="24"/>
      <w:shd w:val="clear" w:color="auto" w:fill="000080"/>
    </w:rPr>
  </w:style>
  <w:style w:type="character" w:customStyle="1" w:styleId="655">
    <w:name w:val="称呼 字符"/>
    <w:link w:val="21"/>
    <w:qFormat/>
    <w:uiPriority w:val="0"/>
    <w:rPr>
      <w:rFonts w:ascii="仿宋_GB2312" w:eastAsia="仿宋_GB2312"/>
      <w:kern w:val="2"/>
      <w:sz w:val="28"/>
    </w:rPr>
  </w:style>
  <w:style w:type="character" w:customStyle="1" w:styleId="656">
    <w:name w:val="正文文本 3 字符"/>
    <w:link w:val="22"/>
    <w:qFormat/>
    <w:uiPriority w:val="0"/>
    <w:rPr>
      <w:kern w:val="2"/>
      <w:sz w:val="21"/>
    </w:rPr>
  </w:style>
  <w:style w:type="character" w:customStyle="1" w:styleId="657">
    <w:name w:val="正文文本缩进 字符1"/>
    <w:link w:val="24"/>
    <w:qFormat/>
    <w:uiPriority w:val="0"/>
    <w:rPr>
      <w:rFonts w:ascii="宋体" w:hAnsi="宋体"/>
      <w:kern w:val="2"/>
      <w:sz w:val="24"/>
      <w:szCs w:val="24"/>
    </w:rPr>
  </w:style>
  <w:style w:type="character" w:customStyle="1" w:styleId="658">
    <w:name w:val="HTML 地址 字符"/>
    <w:link w:val="29"/>
    <w:qFormat/>
    <w:uiPriority w:val="0"/>
    <w:rPr>
      <w:rFonts w:ascii="宋体" w:hAnsi="宋体"/>
      <w:i/>
      <w:iCs/>
      <w:sz w:val="24"/>
      <w:szCs w:val="24"/>
    </w:rPr>
  </w:style>
  <w:style w:type="character" w:customStyle="1" w:styleId="659">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660">
    <w:name w:val="日期 字符"/>
    <w:link w:val="35"/>
    <w:qFormat/>
    <w:uiPriority w:val="0"/>
    <w:rPr>
      <w:rFonts w:ascii="宋体"/>
      <w:kern w:val="2"/>
      <w:sz w:val="24"/>
      <w:szCs w:val="21"/>
      <w:lang w:val="zh-CN"/>
    </w:rPr>
  </w:style>
  <w:style w:type="character" w:customStyle="1" w:styleId="661">
    <w:name w:val="正文文本缩进 2 字符"/>
    <w:link w:val="36"/>
    <w:qFormat/>
    <w:uiPriority w:val="0"/>
    <w:rPr>
      <w:rFonts w:ascii="宋体"/>
      <w:sz w:val="28"/>
    </w:rPr>
  </w:style>
  <w:style w:type="character" w:customStyle="1" w:styleId="662">
    <w:name w:val="尾注文本 字符"/>
    <w:link w:val="37"/>
    <w:qFormat/>
    <w:uiPriority w:val="0"/>
    <w:rPr>
      <w:kern w:val="2"/>
      <w:sz w:val="21"/>
      <w:szCs w:val="24"/>
      <w:lang w:val="zh-CN"/>
    </w:rPr>
  </w:style>
  <w:style w:type="character" w:customStyle="1" w:styleId="663">
    <w:name w:val="批注框文本 字符1"/>
    <w:link w:val="38"/>
    <w:qFormat/>
    <w:uiPriority w:val="0"/>
    <w:rPr>
      <w:kern w:val="2"/>
      <w:sz w:val="18"/>
      <w:szCs w:val="18"/>
    </w:rPr>
  </w:style>
  <w:style w:type="character" w:customStyle="1" w:styleId="664">
    <w:name w:val="页脚 字符2"/>
    <w:link w:val="39"/>
    <w:qFormat/>
    <w:locked/>
    <w:uiPriority w:val="99"/>
    <w:rPr>
      <w:kern w:val="2"/>
      <w:sz w:val="18"/>
      <w:szCs w:val="18"/>
    </w:rPr>
  </w:style>
  <w:style w:type="character" w:customStyle="1" w:styleId="665">
    <w:name w:val="正文文本首行缩进 2 字符"/>
    <w:link w:val="61"/>
    <w:qFormat/>
    <w:uiPriority w:val="0"/>
    <w:rPr>
      <w:rFonts w:ascii="宋体" w:hAnsi="宋体"/>
      <w:kern w:val="2"/>
      <w:sz w:val="21"/>
      <w:szCs w:val="24"/>
    </w:rPr>
  </w:style>
  <w:style w:type="character" w:customStyle="1" w:styleId="666">
    <w:name w:val="页眉 字符2"/>
    <w:link w:val="40"/>
    <w:qFormat/>
    <w:uiPriority w:val="99"/>
    <w:rPr>
      <w:kern w:val="2"/>
      <w:sz w:val="18"/>
      <w:szCs w:val="18"/>
    </w:rPr>
  </w:style>
  <w:style w:type="character" w:customStyle="1" w:styleId="667">
    <w:name w:val="签名 字符"/>
    <w:link w:val="41"/>
    <w:qFormat/>
    <w:uiPriority w:val="0"/>
    <w:rPr>
      <w:rFonts w:eastAsia="仿宋_GB2312"/>
      <w:sz w:val="24"/>
    </w:rPr>
  </w:style>
  <w:style w:type="character" w:customStyle="1" w:styleId="668">
    <w:name w:val="副标题 字符"/>
    <w:link w:val="46"/>
    <w:qFormat/>
    <w:uiPriority w:val="0"/>
    <w:rPr>
      <w:rFonts w:ascii="Arial" w:hAnsi="Arial" w:eastAsia="隶书"/>
      <w:b/>
      <w:bCs/>
      <w:kern w:val="28"/>
      <w:sz w:val="44"/>
      <w:szCs w:val="32"/>
      <w:lang w:val="en-US" w:eastAsia="zh-CN" w:bidi="ar-SA"/>
    </w:rPr>
  </w:style>
  <w:style w:type="character" w:customStyle="1" w:styleId="669">
    <w:name w:val="脚注文本 字符"/>
    <w:link w:val="49"/>
    <w:qFormat/>
    <w:uiPriority w:val="0"/>
    <w:rPr>
      <w:color w:val="0000FF"/>
      <w:sz w:val="21"/>
    </w:rPr>
  </w:style>
  <w:style w:type="character" w:customStyle="1" w:styleId="670">
    <w:name w:val="正文文本缩进 3 字符"/>
    <w:link w:val="52"/>
    <w:qFormat/>
    <w:uiPriority w:val="0"/>
    <w:rPr>
      <w:kern w:val="2"/>
      <w:sz w:val="24"/>
    </w:rPr>
  </w:style>
  <w:style w:type="character" w:customStyle="1" w:styleId="671">
    <w:name w:val="正文文本 2 字符1"/>
    <w:link w:val="55"/>
    <w:qFormat/>
    <w:uiPriority w:val="0"/>
    <w:rPr>
      <w:kern w:val="2"/>
      <w:sz w:val="21"/>
      <w:szCs w:val="24"/>
    </w:rPr>
  </w:style>
  <w:style w:type="character" w:customStyle="1" w:styleId="672">
    <w:name w:val="HTML 预设格式 字符"/>
    <w:link w:val="56"/>
    <w:qFormat/>
    <w:uiPriority w:val="0"/>
    <w:rPr>
      <w:rFonts w:ascii="黑体" w:hAnsi="Courier New" w:eastAsia="黑体"/>
    </w:rPr>
  </w:style>
  <w:style w:type="character" w:customStyle="1" w:styleId="673">
    <w:name w:val="普通(网站) 字符"/>
    <w:link w:val="57"/>
    <w:qFormat/>
    <w:uiPriority w:val="99"/>
    <w:rPr>
      <w:rFonts w:ascii="宋体" w:hAnsi="宋体"/>
      <w:sz w:val="24"/>
      <w:szCs w:val="24"/>
    </w:rPr>
  </w:style>
  <w:style w:type="character" w:customStyle="1" w:styleId="674">
    <w:name w:val="标题 字符"/>
    <w:link w:val="58"/>
    <w:qFormat/>
    <w:uiPriority w:val="10"/>
    <w:rPr>
      <w:b/>
      <w:sz w:val="24"/>
    </w:rPr>
  </w:style>
  <w:style w:type="character" w:customStyle="1" w:styleId="675">
    <w:name w:val="标题 2 Char"/>
    <w:qFormat/>
    <w:uiPriority w:val="0"/>
    <w:rPr>
      <w:rFonts w:ascii="Arial" w:hAnsi="Arial" w:eastAsia="黑体"/>
      <w:b/>
      <w:kern w:val="2"/>
      <w:sz w:val="32"/>
      <w:lang w:val="en-US" w:eastAsia="zh-CN"/>
    </w:rPr>
  </w:style>
  <w:style w:type="character" w:customStyle="1" w:styleId="676">
    <w:name w:val="标题 3 字符"/>
    <w:qFormat/>
    <w:uiPriority w:val="9"/>
    <w:rPr>
      <w:b/>
      <w:bCs/>
      <w:kern w:val="2"/>
      <w:sz w:val="32"/>
      <w:szCs w:val="32"/>
    </w:rPr>
  </w:style>
  <w:style w:type="character" w:customStyle="1" w:styleId="677">
    <w:name w:val="Default Char"/>
    <w:link w:val="81"/>
    <w:qFormat/>
    <w:uiPriority w:val="0"/>
    <w:rPr>
      <w:rFonts w:ascii="仿宋_GB2312" w:eastAsia="仿宋_GB2312" w:cs="仿宋_GB2312"/>
      <w:color w:val="000000"/>
      <w:sz w:val="24"/>
      <w:szCs w:val="24"/>
      <w:lang w:val="en-US" w:eastAsia="zh-CN" w:bidi="ar-SA"/>
    </w:rPr>
  </w:style>
  <w:style w:type="character" w:customStyle="1" w:styleId="678">
    <w:name w:val="表格非标题文字 Char"/>
    <w:link w:val="82"/>
    <w:qFormat/>
    <w:uiPriority w:val="0"/>
    <w:rPr>
      <w:rFonts w:ascii="Futura Bk" w:hAnsi="Futura Bk"/>
      <w:kern w:val="2"/>
      <w:sz w:val="18"/>
      <w:szCs w:val="21"/>
      <w:lang w:val="en-US" w:eastAsia="zh-CN" w:bidi="ar-SA"/>
    </w:rPr>
  </w:style>
  <w:style w:type="character" w:customStyle="1" w:styleId="679">
    <w:name w:val="*正文 Char"/>
    <w:link w:val="83"/>
    <w:qFormat/>
    <w:locked/>
    <w:uiPriority w:val="0"/>
    <w:rPr>
      <w:rFonts w:ascii="仿宋" w:hAnsi="仿宋" w:eastAsia="仿宋"/>
      <w:kern w:val="2"/>
      <w:sz w:val="24"/>
      <w:szCs w:val="24"/>
    </w:rPr>
  </w:style>
  <w:style w:type="character" w:customStyle="1" w:styleId="680">
    <w:name w:val="Char Char71"/>
    <w:semiHidden/>
    <w:qFormat/>
    <w:uiPriority w:val="0"/>
    <w:rPr>
      <w:rFonts w:eastAsia="宋体"/>
      <w:kern w:val="2"/>
      <w:sz w:val="21"/>
      <w:szCs w:val="24"/>
      <w:lang w:val="en-US" w:eastAsia="zh-CN" w:bidi="ar-SA"/>
    </w:rPr>
  </w:style>
  <w:style w:type="character" w:customStyle="1" w:styleId="681">
    <w:name w:val="Char Char6"/>
    <w:qFormat/>
    <w:uiPriority w:val="0"/>
    <w:rPr>
      <w:rFonts w:eastAsia="宋体"/>
      <w:kern w:val="2"/>
      <w:sz w:val="21"/>
      <w:szCs w:val="24"/>
      <w:lang w:val="en-US" w:eastAsia="zh-CN" w:bidi="ar-SA"/>
    </w:rPr>
  </w:style>
  <w:style w:type="character" w:customStyle="1" w:styleId="682">
    <w:name w:val="正文缩进 Char"/>
    <w:qFormat/>
    <w:uiPriority w:val="0"/>
    <w:rPr>
      <w:rFonts w:eastAsia="宋体"/>
      <w:kern w:val="2"/>
      <w:sz w:val="21"/>
      <w:lang w:val="en-US" w:eastAsia="zh-CN"/>
    </w:rPr>
  </w:style>
  <w:style w:type="character" w:customStyle="1" w:styleId="683">
    <w:name w:val="正文首行缩进 Char1"/>
    <w:qFormat/>
    <w:uiPriority w:val="0"/>
    <w:rPr>
      <w:rFonts w:ascii="宋体" w:hAnsi="Times New Roman" w:eastAsia="宋体" w:cs="Times New Roman"/>
      <w:snapToGrid w:val="0"/>
      <w:kern w:val="2"/>
      <w:sz w:val="24"/>
      <w:szCs w:val="21"/>
      <w:lang w:val="zh-CN"/>
    </w:rPr>
  </w:style>
  <w:style w:type="character" w:customStyle="1" w:styleId="684">
    <w:name w:val="Char Char28"/>
    <w:qFormat/>
    <w:uiPriority w:val="6"/>
    <w:rPr>
      <w:rFonts w:ascii="仿宋_GB2312" w:hAnsi="仿宋_GB2312" w:eastAsia="仿宋_GB2312"/>
      <w:kern w:val="1"/>
      <w:sz w:val="28"/>
    </w:rPr>
  </w:style>
  <w:style w:type="character" w:customStyle="1" w:styleId="68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86">
    <w:name w:val="Heading 1 Char"/>
    <w:qFormat/>
    <w:uiPriority w:val="6"/>
    <w:rPr>
      <w:rFonts w:ascii="Times New Roman" w:hAnsi="Times New Roman" w:eastAsia="黑体" w:cs="Times New Roman"/>
      <w:b/>
      <w:kern w:val="0"/>
      <w:sz w:val="24"/>
      <w:szCs w:val="24"/>
    </w:rPr>
  </w:style>
  <w:style w:type="character" w:customStyle="1" w:styleId="687">
    <w:name w:val="U_正文 Char"/>
    <w:link w:val="84"/>
    <w:qFormat/>
    <w:uiPriority w:val="0"/>
    <w:rPr>
      <w:sz w:val="24"/>
      <w:szCs w:val="24"/>
    </w:rPr>
  </w:style>
  <w:style w:type="character" w:customStyle="1" w:styleId="688">
    <w:name w:val="HTML 地址 Char1"/>
    <w:qFormat/>
    <w:uiPriority w:val="0"/>
    <w:rPr>
      <w:rFonts w:ascii="Times New Roman" w:hAnsi="Times New Roman" w:eastAsia="宋体" w:cs="Times New Roman"/>
      <w:i/>
      <w:iCs/>
      <w:szCs w:val="24"/>
    </w:rPr>
  </w:style>
  <w:style w:type="character" w:customStyle="1" w:styleId="689">
    <w:name w:val="Char Char51"/>
    <w:qFormat/>
    <w:uiPriority w:val="0"/>
    <w:rPr>
      <w:rFonts w:ascii="宋体" w:hAnsi="Courier New" w:eastAsia="宋体"/>
      <w:kern w:val="2"/>
      <w:sz w:val="21"/>
      <w:lang w:val="en-US" w:eastAsia="zh-CN"/>
    </w:rPr>
  </w:style>
  <w:style w:type="character" w:customStyle="1" w:styleId="690">
    <w:name w:val="表正文 Char"/>
    <w:qFormat/>
    <w:uiPriority w:val="0"/>
    <w:rPr>
      <w:rFonts w:ascii="宋体" w:eastAsia="宋体"/>
      <w:snapToGrid w:val="0"/>
      <w:color w:val="000000"/>
      <w:kern w:val="28"/>
      <w:sz w:val="28"/>
      <w:lang w:val="en-US" w:eastAsia="zh-CN" w:bidi="ar-SA"/>
    </w:rPr>
  </w:style>
  <w:style w:type="character" w:customStyle="1" w:styleId="691">
    <w:name w:val="Char Char34"/>
    <w:qFormat/>
    <w:uiPriority w:val="6"/>
    <w:rPr>
      <w:b/>
      <w:kern w:val="1"/>
      <w:sz w:val="28"/>
      <w:szCs w:val="28"/>
    </w:rPr>
  </w:style>
  <w:style w:type="character" w:customStyle="1" w:styleId="69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93">
    <w:name w:val="哈哈正文 Char"/>
    <w:link w:val="85"/>
    <w:qFormat/>
    <w:uiPriority w:val="0"/>
    <w:rPr>
      <w:rFonts w:ascii="宋体" w:hAnsi="宋体" w:eastAsia="宋体"/>
      <w:kern w:val="2"/>
      <w:sz w:val="24"/>
      <w:lang w:bidi="ar-SA"/>
    </w:rPr>
  </w:style>
  <w:style w:type="character" w:customStyle="1" w:styleId="694">
    <w:name w:val="未处理的提及1"/>
    <w:qFormat/>
    <w:uiPriority w:val="0"/>
    <w:rPr>
      <w:color w:val="808080"/>
      <w:shd w:val="clear" w:color="auto" w:fill="E6E6E6"/>
    </w:rPr>
  </w:style>
  <w:style w:type="character" w:customStyle="1" w:styleId="695">
    <w:name w:val="txt"/>
    <w:qFormat/>
    <w:uiPriority w:val="0"/>
    <w:rPr>
      <w:rFonts w:ascii="仿宋_GB2312" w:eastAsia="微软雅黑"/>
      <w:b/>
      <w:kern w:val="2"/>
      <w:sz w:val="32"/>
      <w:szCs w:val="32"/>
      <w:lang w:val="en-US" w:eastAsia="zh-CN" w:bidi="ar-SA"/>
    </w:rPr>
  </w:style>
  <w:style w:type="character" w:customStyle="1" w:styleId="696">
    <w:name w:val="二级标题 Char Char"/>
    <w:qFormat/>
    <w:uiPriority w:val="0"/>
    <w:rPr>
      <w:rFonts w:ascii="宋体" w:hAnsi="宋体" w:eastAsia="宋体"/>
      <w:b/>
      <w:snapToGrid w:val="0"/>
      <w:kern w:val="2"/>
      <w:sz w:val="24"/>
      <w:szCs w:val="24"/>
      <w:lang w:val="en-US" w:eastAsia="zh-CN" w:bidi="ar-SA"/>
    </w:rPr>
  </w:style>
  <w:style w:type="character" w:customStyle="1" w:styleId="697">
    <w:name w:val="Char Char32"/>
    <w:qFormat/>
    <w:uiPriority w:val="6"/>
    <w:rPr>
      <w:b/>
      <w:kern w:val="1"/>
      <w:sz w:val="24"/>
      <w:szCs w:val="24"/>
    </w:rPr>
  </w:style>
  <w:style w:type="character" w:customStyle="1" w:styleId="698">
    <w:name w:val="PI Char1"/>
    <w:qFormat/>
    <w:uiPriority w:val="0"/>
    <w:rPr>
      <w:rFonts w:ascii="宋体" w:hAnsi="宋体"/>
      <w:kern w:val="2"/>
      <w:sz w:val="24"/>
      <w:szCs w:val="24"/>
    </w:rPr>
  </w:style>
  <w:style w:type="character" w:customStyle="1" w:styleId="699">
    <w:name w:val="tw4winTerm"/>
    <w:qFormat/>
    <w:uiPriority w:val="0"/>
    <w:rPr>
      <w:color w:val="0000FF"/>
    </w:rPr>
  </w:style>
  <w:style w:type="character" w:customStyle="1" w:styleId="700">
    <w:name w:val="Footer Char"/>
    <w:qFormat/>
    <w:locked/>
    <w:uiPriority w:val="0"/>
    <w:rPr>
      <w:rFonts w:eastAsia="宋体"/>
      <w:kern w:val="2"/>
      <w:sz w:val="18"/>
      <w:lang w:val="en-US" w:eastAsia="zh-CN" w:bidi="ar-SA"/>
    </w:rPr>
  </w:style>
  <w:style w:type="character" w:customStyle="1" w:styleId="701">
    <w:name w:val="普通文字 Char Char1"/>
    <w:qFormat/>
    <w:uiPriority w:val="0"/>
    <w:rPr>
      <w:rFonts w:ascii="宋体" w:hAnsi="Courier New"/>
      <w:kern w:val="2"/>
      <w:sz w:val="21"/>
    </w:rPr>
  </w:style>
  <w:style w:type="character" w:customStyle="1" w:styleId="702">
    <w:name w:val="Char Char101"/>
    <w:qFormat/>
    <w:uiPriority w:val="6"/>
    <w:rPr>
      <w:rFonts w:ascii="宋体" w:hAnsi="宋体"/>
      <w:kern w:val="2"/>
      <w:sz w:val="21"/>
      <w:szCs w:val="24"/>
      <w:lang w:val="en-US" w:eastAsia="zh-CN"/>
    </w:rPr>
  </w:style>
  <w:style w:type="character" w:customStyle="1" w:styleId="703">
    <w:name w:val="标题 4 Char"/>
    <w:qFormat/>
    <w:uiPriority w:val="0"/>
    <w:rPr>
      <w:rFonts w:ascii="Arial" w:hAnsi="Arial" w:eastAsia="黑体"/>
      <w:b/>
      <w:kern w:val="2"/>
      <w:sz w:val="28"/>
    </w:rPr>
  </w:style>
  <w:style w:type="character" w:customStyle="1" w:styleId="704">
    <w:name w:val="链接"/>
    <w:qFormat/>
    <w:uiPriority w:val="0"/>
    <w:rPr>
      <w:color w:val="0000FF"/>
      <w:sz w:val="21"/>
      <w:szCs w:val="21"/>
      <w:u w:val="single"/>
    </w:rPr>
  </w:style>
  <w:style w:type="character" w:customStyle="1" w:styleId="705">
    <w:name w:val="h4 Char"/>
    <w:qFormat/>
    <w:uiPriority w:val="0"/>
    <w:rPr>
      <w:rFonts w:ascii="Arial" w:hAnsi="Arial" w:eastAsia="黑体"/>
      <w:b/>
      <w:bCs/>
      <w:kern w:val="2"/>
      <w:sz w:val="28"/>
      <w:szCs w:val="28"/>
      <w:lang w:val="zh-CN" w:eastAsia="zh-CN" w:bidi="ar-SA"/>
    </w:rPr>
  </w:style>
  <w:style w:type="character" w:customStyle="1" w:styleId="706">
    <w:name w:val="5正文 Char"/>
    <w:link w:val="86"/>
    <w:qFormat/>
    <w:uiPriority w:val="0"/>
    <w:rPr>
      <w:rFonts w:ascii="仿宋_GB2312" w:hAnsi="微软雅黑" w:eastAsia="仿宋_GB2312"/>
      <w:sz w:val="28"/>
      <w:szCs w:val="21"/>
    </w:rPr>
  </w:style>
  <w:style w:type="character" w:customStyle="1" w:styleId="707">
    <w:name w:val="样式6 Char"/>
    <w:qFormat/>
    <w:uiPriority w:val="0"/>
    <w:rPr>
      <w:rFonts w:ascii="仿宋_GB2312" w:hAnsi="宋体" w:eastAsia="仿宋_GB2312"/>
      <w:b/>
      <w:bCs/>
      <w:kern w:val="2"/>
      <w:sz w:val="24"/>
      <w:szCs w:val="24"/>
      <w:lang w:val="en-US" w:eastAsia="zh-CN" w:bidi="ar-SA"/>
    </w:rPr>
  </w:style>
  <w:style w:type="character" w:customStyle="1" w:styleId="708">
    <w:name w:val="Char Char14"/>
    <w:qFormat/>
    <w:uiPriority w:val="6"/>
    <w:rPr>
      <w:rFonts w:ascii="黑体" w:hAnsi="黑体" w:eastAsia="黑体"/>
    </w:rPr>
  </w:style>
  <w:style w:type="character" w:customStyle="1" w:styleId="709">
    <w:name w:val="Heading 2 Hidden Char"/>
    <w:qFormat/>
    <w:uiPriority w:val="0"/>
    <w:rPr>
      <w:rFonts w:ascii="仿宋_GB2312" w:eastAsia="仿宋_GB2312"/>
      <w:b/>
      <w:bCs/>
      <w:kern w:val="2"/>
      <w:sz w:val="24"/>
      <w:szCs w:val="24"/>
      <w:lang w:val="zh-CN" w:eastAsia="zh-CN" w:bidi="ar-SA"/>
    </w:rPr>
  </w:style>
  <w:style w:type="character" w:customStyle="1" w:styleId="710">
    <w:name w:val="font11"/>
    <w:basedOn w:val="69"/>
    <w:qFormat/>
    <w:uiPriority w:val="0"/>
    <w:rPr>
      <w:rFonts w:hint="default" w:ascii="Times New Roman" w:hAnsi="Times New Roman" w:cs="Times New Roman"/>
      <w:color w:val="000000"/>
      <w:sz w:val="22"/>
      <w:szCs w:val="22"/>
      <w:u w:val="none"/>
    </w:rPr>
  </w:style>
  <w:style w:type="character" w:customStyle="1" w:styleId="711">
    <w:name w:val="表正文 Char1"/>
    <w:qFormat/>
    <w:uiPriority w:val="0"/>
    <w:rPr>
      <w:rFonts w:ascii="宋体" w:eastAsia="宋体"/>
      <w:snapToGrid w:val="0"/>
      <w:color w:val="000000"/>
      <w:kern w:val="28"/>
      <w:sz w:val="28"/>
    </w:rPr>
  </w:style>
  <w:style w:type="character" w:customStyle="1" w:styleId="712">
    <w:name w:val="blue1"/>
    <w:qFormat/>
    <w:uiPriority w:val="0"/>
    <w:rPr>
      <w:rFonts w:ascii="Arial" w:hAnsi="Arial" w:eastAsia="黑体" w:cs="Arial"/>
      <w:snapToGrid w:val="0"/>
      <w:kern w:val="0"/>
      <w:szCs w:val="21"/>
    </w:rPr>
  </w:style>
  <w:style w:type="character" w:customStyle="1" w:styleId="713">
    <w:name w:val="标书1 Char"/>
    <w:qFormat/>
    <w:uiPriority w:val="0"/>
    <w:rPr>
      <w:rFonts w:eastAsia="宋体"/>
      <w:b/>
      <w:bCs/>
      <w:kern w:val="44"/>
      <w:sz w:val="44"/>
      <w:szCs w:val="44"/>
      <w:lang w:val="en-US" w:eastAsia="zh-CN" w:bidi="ar-SA"/>
    </w:rPr>
  </w:style>
  <w:style w:type="character" w:customStyle="1" w:styleId="714">
    <w:name w:val="样式5 Char"/>
    <w:qFormat/>
    <w:uiPriority w:val="0"/>
    <w:rPr>
      <w:rFonts w:ascii="仿宋_GB2312" w:hAnsi="仿宋" w:eastAsia="仿宋_GB2312"/>
      <w:kern w:val="2"/>
      <w:sz w:val="24"/>
      <w:szCs w:val="24"/>
    </w:rPr>
  </w:style>
  <w:style w:type="character" w:customStyle="1" w:styleId="715">
    <w:name w:val="样式4 Char"/>
    <w:qFormat/>
    <w:uiPriority w:val="0"/>
    <w:rPr>
      <w:rFonts w:ascii="仿宋_GB2312" w:hAnsi="仿宋" w:eastAsia="仿宋_GB2312"/>
      <w:b/>
      <w:kern w:val="2"/>
      <w:sz w:val="32"/>
      <w:szCs w:val="32"/>
      <w:lang w:bidi="ar-SA"/>
    </w:rPr>
  </w:style>
  <w:style w:type="character" w:customStyle="1" w:styleId="716">
    <w:name w:val="插图说明 Char"/>
    <w:qFormat/>
    <w:uiPriority w:val="0"/>
    <w:rPr>
      <w:rFonts w:eastAsia="黑体"/>
      <w:sz w:val="24"/>
      <w:lang w:val="en-US" w:eastAsia="zh-CN"/>
    </w:rPr>
  </w:style>
  <w:style w:type="character" w:customStyle="1" w:styleId="717">
    <w:name w:val="正文2 Char Char"/>
    <w:link w:val="87"/>
    <w:qFormat/>
    <w:uiPriority w:val="0"/>
    <w:rPr>
      <w:rFonts w:eastAsia="宋体"/>
      <w:kern w:val="2"/>
      <w:sz w:val="24"/>
      <w:lang w:val="en-US" w:eastAsia="zh-CN" w:bidi="ar-SA"/>
    </w:rPr>
  </w:style>
  <w:style w:type="character" w:customStyle="1" w:styleId="718">
    <w:name w:val="Char Char24"/>
    <w:qFormat/>
    <w:uiPriority w:val="6"/>
    <w:rPr>
      <w:kern w:val="1"/>
      <w:sz w:val="21"/>
    </w:rPr>
  </w:style>
  <w:style w:type="character" w:customStyle="1" w:styleId="719">
    <w:name w:val="普通文字 Char1 Char"/>
    <w:qFormat/>
    <w:uiPriority w:val="0"/>
    <w:rPr>
      <w:rFonts w:ascii="宋体" w:hAnsi="Courier New" w:eastAsia="宋体"/>
      <w:kern w:val="2"/>
      <w:sz w:val="21"/>
      <w:szCs w:val="24"/>
      <w:lang w:val="en-US" w:eastAsia="zh-CN" w:bidi="ar-SA"/>
    </w:rPr>
  </w:style>
  <w:style w:type="character" w:customStyle="1" w:styleId="720">
    <w:name w:val="h3 Char1"/>
    <w:qFormat/>
    <w:uiPriority w:val="0"/>
    <w:rPr>
      <w:rFonts w:eastAsia="宋体"/>
      <w:b/>
      <w:bCs/>
      <w:kern w:val="2"/>
      <w:sz w:val="32"/>
      <w:szCs w:val="32"/>
      <w:lang w:bidi="ar-SA"/>
    </w:rPr>
  </w:style>
  <w:style w:type="character" w:customStyle="1" w:styleId="721">
    <w:name w:val="标题 Char1"/>
    <w:qFormat/>
    <w:uiPriority w:val="0"/>
    <w:rPr>
      <w:rFonts w:ascii="Cambria" w:hAnsi="Cambria" w:eastAsia="宋体" w:cs="Times New Roman"/>
      <w:b/>
      <w:bCs/>
      <w:sz w:val="32"/>
      <w:szCs w:val="32"/>
      <w:lang w:bidi="ar-SA"/>
    </w:rPr>
  </w:style>
  <w:style w:type="character" w:customStyle="1" w:styleId="722">
    <w:name w:val="gf正文1 Char"/>
    <w:qFormat/>
    <w:uiPriority w:val="0"/>
    <w:rPr>
      <w:rFonts w:ascii="宋体" w:hAnsi="宋体" w:eastAsia="宋体" w:cs="宋体"/>
      <w:kern w:val="2"/>
      <w:sz w:val="24"/>
      <w:szCs w:val="24"/>
      <w:lang w:val="en-US" w:eastAsia="zh-CN" w:bidi="ar-SA"/>
    </w:rPr>
  </w:style>
  <w:style w:type="character" w:customStyle="1" w:styleId="723">
    <w:name w:val="正文文本缩进 Char1"/>
    <w:qFormat/>
    <w:uiPriority w:val="0"/>
    <w:rPr>
      <w:rFonts w:ascii="Calibri" w:hAnsi="Calibri"/>
      <w:sz w:val="28"/>
    </w:rPr>
  </w:style>
  <w:style w:type="character" w:customStyle="1" w:styleId="724">
    <w:name w:val="No Spacing Char"/>
    <w:link w:val="88"/>
    <w:qFormat/>
    <w:uiPriority w:val="1"/>
    <w:rPr>
      <w:sz w:val="22"/>
      <w:szCs w:val="22"/>
      <w:lang w:val="en-US" w:eastAsia="zh-CN" w:bidi="ar-SA"/>
    </w:rPr>
  </w:style>
  <w:style w:type="character" w:customStyle="1" w:styleId="725">
    <w:name w:val="样式7 Char"/>
    <w:qFormat/>
    <w:uiPriority w:val="0"/>
    <w:rPr>
      <w:rFonts w:ascii="仿宋_GB2312" w:hAnsi="仿宋" w:eastAsia="仿宋_GB2312"/>
      <w:b/>
      <w:kern w:val="2"/>
      <w:sz w:val="24"/>
      <w:szCs w:val="24"/>
    </w:rPr>
  </w:style>
  <w:style w:type="character" w:customStyle="1" w:styleId="726">
    <w:name w:val="font12gray1"/>
    <w:qFormat/>
    <w:uiPriority w:val="0"/>
    <w:rPr>
      <w:rFonts w:ascii="仿宋_GB2312" w:eastAsia="微软雅黑"/>
      <w:b/>
      <w:spacing w:val="300"/>
      <w:kern w:val="2"/>
      <w:sz w:val="18"/>
      <w:szCs w:val="18"/>
      <w:lang w:val="en-US" w:eastAsia="zh-CN" w:bidi="ar-SA"/>
    </w:rPr>
  </w:style>
  <w:style w:type="character" w:customStyle="1" w:styleId="727">
    <w:name w:val="Char Char7"/>
    <w:semiHidden/>
    <w:qFormat/>
    <w:uiPriority w:val="0"/>
    <w:rPr>
      <w:rFonts w:eastAsia="宋体"/>
      <w:kern w:val="2"/>
      <w:sz w:val="21"/>
      <w:szCs w:val="24"/>
      <w:lang w:val="en-US" w:eastAsia="zh-CN" w:bidi="ar-SA"/>
    </w:rPr>
  </w:style>
  <w:style w:type="character" w:customStyle="1" w:styleId="728">
    <w:name w:val="表名 Char"/>
    <w:qFormat/>
    <w:uiPriority w:val="0"/>
    <w:rPr>
      <w:rFonts w:eastAsia="宋体"/>
      <w:b/>
      <w:bCs/>
      <w:kern w:val="2"/>
      <w:sz w:val="24"/>
      <w:szCs w:val="24"/>
      <w:lang w:val="en-US" w:eastAsia="zh-CN" w:bidi="ar-SA"/>
    </w:rPr>
  </w:style>
  <w:style w:type="character" w:customStyle="1" w:styleId="729">
    <w:name w:val="Document Map Char"/>
    <w:qFormat/>
    <w:locked/>
    <w:uiPriority w:val="0"/>
    <w:rPr>
      <w:rFonts w:eastAsia="宋体"/>
      <w:kern w:val="2"/>
      <w:sz w:val="21"/>
      <w:szCs w:val="24"/>
      <w:lang w:val="en-US" w:eastAsia="zh-CN" w:bidi="ar-SA"/>
    </w:rPr>
  </w:style>
  <w:style w:type="character" w:customStyle="1" w:styleId="730">
    <w:name w:val="font41"/>
    <w:qFormat/>
    <w:uiPriority w:val="0"/>
    <w:rPr>
      <w:rFonts w:hint="eastAsia" w:ascii="仿宋_GB2312" w:eastAsia="仿宋_GB2312" w:cs="仿宋_GB2312"/>
      <w:color w:val="000000"/>
      <w:sz w:val="22"/>
      <w:szCs w:val="22"/>
      <w:u w:val="none"/>
    </w:rPr>
  </w:style>
  <w:style w:type="character" w:customStyle="1" w:styleId="731">
    <w:name w:val="纯文本 Char_0"/>
    <w:link w:val="89"/>
    <w:qFormat/>
    <w:uiPriority w:val="0"/>
    <w:rPr>
      <w:rFonts w:ascii="宋体" w:hAnsi="Courier New"/>
      <w:kern w:val="2"/>
      <w:sz w:val="21"/>
      <w:szCs w:val="21"/>
      <w:lang w:val="en-US" w:eastAsia="zh-CN"/>
    </w:rPr>
  </w:style>
  <w:style w:type="character" w:customStyle="1" w:styleId="732">
    <w:name w:val="Balloon Text Char"/>
    <w:qFormat/>
    <w:locked/>
    <w:uiPriority w:val="0"/>
    <w:rPr>
      <w:rFonts w:eastAsia="宋体"/>
      <w:kern w:val="2"/>
      <w:sz w:val="18"/>
      <w:szCs w:val="18"/>
      <w:lang w:val="en-US" w:eastAsia="zh-CN" w:bidi="ar-SA"/>
    </w:rPr>
  </w:style>
  <w:style w:type="character" w:customStyle="1" w:styleId="733">
    <w:name w:val="正文 项目2 Char"/>
    <w:qFormat/>
    <w:uiPriority w:val="0"/>
    <w:rPr>
      <w:rFonts w:ascii="仿宋_GB2312" w:hAnsi="仿宋_GB2312" w:eastAsia="仿宋_GB2312"/>
      <w:kern w:val="2"/>
      <w:sz w:val="24"/>
      <w:lang w:bidi="ar-SA"/>
    </w:rPr>
  </w:style>
  <w:style w:type="character" w:customStyle="1" w:styleId="734">
    <w:name w:val="正文 项目 Char"/>
    <w:qFormat/>
    <w:uiPriority w:val="0"/>
    <w:rPr>
      <w:rFonts w:ascii="仿宋_GB2312" w:hAnsi="仿宋_GB2312" w:eastAsia="仿宋_GB2312"/>
      <w:kern w:val="2"/>
      <w:sz w:val="24"/>
      <w:lang w:bidi="ar-SA"/>
    </w:rPr>
  </w:style>
  <w:style w:type="character" w:customStyle="1" w:styleId="735">
    <w:name w:val="h Char Char1"/>
    <w:qFormat/>
    <w:uiPriority w:val="0"/>
    <w:rPr>
      <w:rFonts w:eastAsia="宋体"/>
      <w:kern w:val="2"/>
      <w:sz w:val="18"/>
      <w:szCs w:val="18"/>
      <w:lang w:val="en-US" w:eastAsia="zh-CN" w:bidi="ar-SA"/>
    </w:rPr>
  </w:style>
  <w:style w:type="character" w:customStyle="1" w:styleId="736">
    <w:name w:val="Char Char27"/>
    <w:qFormat/>
    <w:uiPriority w:val="6"/>
    <w:rPr>
      <w:rFonts w:ascii="宋体" w:hAnsi="宋体" w:eastAsia="宋体"/>
      <w:color w:val="000000"/>
      <w:kern w:val="1"/>
      <w:sz w:val="28"/>
      <w:lang w:val="en-US" w:eastAsia="zh-CN" w:bidi="ar-SA"/>
    </w:rPr>
  </w:style>
  <w:style w:type="character" w:customStyle="1" w:styleId="737">
    <w:name w:val="px14"/>
    <w:qFormat/>
    <w:uiPriority w:val="0"/>
    <w:rPr>
      <w:rFonts w:ascii="仿宋_GB2312" w:eastAsia="微软雅黑" w:cs="Times New Roman"/>
      <w:b/>
      <w:kern w:val="2"/>
      <w:sz w:val="32"/>
      <w:szCs w:val="32"/>
      <w:lang w:val="en-US" w:eastAsia="zh-CN" w:bidi="ar-SA"/>
    </w:rPr>
  </w:style>
  <w:style w:type="character" w:customStyle="1" w:styleId="738">
    <w:name w:val="HTML 预设格式 Char1"/>
    <w:qFormat/>
    <w:uiPriority w:val="0"/>
    <w:rPr>
      <w:rFonts w:ascii="Courier New" w:hAnsi="Courier New" w:eastAsia="宋体" w:cs="Courier New"/>
      <w:sz w:val="20"/>
      <w:szCs w:val="20"/>
    </w:rPr>
  </w:style>
  <w:style w:type="character" w:customStyle="1" w:styleId="739">
    <w:name w:val="普通文字 Char1"/>
    <w:qFormat/>
    <w:uiPriority w:val="0"/>
    <w:rPr>
      <w:rFonts w:ascii="宋体" w:hAnsi="Courier New" w:eastAsia="宋体"/>
      <w:kern w:val="2"/>
      <w:sz w:val="21"/>
      <w:lang w:val="en-US" w:eastAsia="zh-CN"/>
    </w:rPr>
  </w:style>
  <w:style w:type="character" w:customStyle="1" w:styleId="740">
    <w:name w:val="hei16b1"/>
    <w:qFormat/>
    <w:uiPriority w:val="0"/>
    <w:rPr>
      <w:rFonts w:hint="default" w:ascii="Arial" w:hAnsi="Arial" w:cs="Arial"/>
      <w:b/>
      <w:bCs/>
      <w:color w:val="000000"/>
      <w:sz w:val="24"/>
      <w:szCs w:val="24"/>
    </w:rPr>
  </w:style>
  <w:style w:type="character" w:customStyle="1" w:styleId="741">
    <w:name w:val="正文（绿盟科技） Char"/>
    <w:link w:val="91"/>
    <w:qFormat/>
    <w:uiPriority w:val="0"/>
    <w:rPr>
      <w:rFonts w:ascii="Arial" w:hAnsi="Arial"/>
      <w:sz w:val="21"/>
      <w:szCs w:val="21"/>
    </w:rPr>
  </w:style>
  <w:style w:type="character" w:customStyle="1" w:styleId="742">
    <w:name w:val="Char Char19"/>
    <w:qFormat/>
    <w:uiPriority w:val="6"/>
    <w:rPr>
      <w:rFonts w:ascii="宋体" w:hAnsi="宋体"/>
      <w:i/>
      <w:sz w:val="24"/>
      <w:szCs w:val="24"/>
    </w:rPr>
  </w:style>
  <w:style w:type="character" w:customStyle="1" w:styleId="743">
    <w:name w:val="页脚 Char"/>
    <w:qFormat/>
    <w:uiPriority w:val="0"/>
    <w:rPr>
      <w:rFonts w:eastAsia="仿宋_GB2312"/>
      <w:kern w:val="2"/>
      <w:sz w:val="18"/>
      <w:lang w:val="en-US" w:eastAsia="zh-CN"/>
    </w:rPr>
  </w:style>
  <w:style w:type="character" w:customStyle="1" w:styleId="744">
    <w:name w:val="批注主题 Char"/>
    <w:qFormat/>
    <w:uiPriority w:val="0"/>
    <w:rPr>
      <w:rFonts w:eastAsia="宋体"/>
      <w:b/>
      <w:bCs/>
      <w:kern w:val="2"/>
      <w:sz w:val="21"/>
      <w:szCs w:val="24"/>
      <w:lang w:val="en-US" w:eastAsia="zh-CN" w:bidi="ar-SA"/>
    </w:rPr>
  </w:style>
  <w:style w:type="character" w:customStyle="1" w:styleId="745">
    <w:name w:val="Comment Text Char"/>
    <w:qFormat/>
    <w:locked/>
    <w:uiPriority w:val="0"/>
    <w:rPr>
      <w:rFonts w:ascii="宋体" w:hAnsi="宋体" w:eastAsia="宋体"/>
      <w:kern w:val="2"/>
      <w:sz w:val="24"/>
      <w:lang w:val="en-US" w:eastAsia="zh-CN" w:bidi="ar-SA"/>
    </w:rPr>
  </w:style>
  <w:style w:type="character" w:customStyle="1" w:styleId="746">
    <w:name w:val="标题 2 字符"/>
    <w:qFormat/>
    <w:uiPriority w:val="0"/>
    <w:rPr>
      <w:rFonts w:ascii="仿宋_GB2312" w:hAnsi="Times New Roman" w:eastAsia="仿宋_GB2312" w:cs="Times New Roman"/>
      <w:b/>
      <w:kern w:val="2"/>
      <w:sz w:val="24"/>
      <w:lang w:val="zh-CN"/>
    </w:rPr>
  </w:style>
  <w:style w:type="character" w:customStyle="1" w:styleId="747">
    <w:name w:val="Char Char72"/>
    <w:qFormat/>
    <w:uiPriority w:val="0"/>
    <w:rPr>
      <w:rFonts w:eastAsia="宋体"/>
      <w:kern w:val="2"/>
      <w:sz w:val="21"/>
      <w:szCs w:val="24"/>
      <w:lang w:val="en-US" w:eastAsia="zh-CN" w:bidi="ar-SA"/>
    </w:rPr>
  </w:style>
  <w:style w:type="character" w:customStyle="1" w:styleId="748">
    <w:name w:val="正文文本缩进 Char2"/>
    <w:qFormat/>
    <w:uiPriority w:val="0"/>
    <w:rPr>
      <w:rFonts w:ascii="Times New Roman" w:hAnsi="Times New Roman" w:eastAsia="宋体" w:cs="Times New Roman"/>
      <w:snapToGrid w:val="0"/>
      <w:kern w:val="0"/>
      <w:szCs w:val="24"/>
    </w:rPr>
  </w:style>
  <w:style w:type="character" w:customStyle="1" w:styleId="749">
    <w:name w:val="样式2 Char"/>
    <w:qFormat/>
    <w:uiPriority w:val="0"/>
    <w:rPr>
      <w:rFonts w:ascii="仿宋_GB2312" w:hAnsi="仿宋" w:eastAsia="仿宋_GB2312" w:cs="仿宋_GB2312"/>
      <w:b/>
      <w:bCs/>
      <w:sz w:val="32"/>
      <w:szCs w:val="30"/>
      <w:lang w:val="zh-CN"/>
    </w:rPr>
  </w:style>
  <w:style w:type="character" w:customStyle="1" w:styleId="750">
    <w:name w:val="表格名称[858D7CFB-ED40-4347-BF05-701D383B685F]"/>
    <w:link w:val="92"/>
    <w:qFormat/>
    <w:uiPriority w:val="0"/>
    <w:rPr>
      <w:sz w:val="32"/>
    </w:rPr>
  </w:style>
  <w:style w:type="character" w:customStyle="1" w:styleId="751">
    <w:name w:val="Char Char4"/>
    <w:qFormat/>
    <w:uiPriority w:val="0"/>
    <w:rPr>
      <w:rFonts w:eastAsia="宋体"/>
      <w:b/>
      <w:sz w:val="24"/>
      <w:lang w:eastAsia="zh-CN" w:bidi="ar-SA"/>
    </w:rPr>
  </w:style>
  <w:style w:type="character" w:customStyle="1" w:styleId="752">
    <w:name w:val="c7 style3"/>
    <w:qFormat/>
    <w:uiPriority w:val="0"/>
  </w:style>
  <w:style w:type="character" w:customStyle="1" w:styleId="753">
    <w:name w:val="正文文本 3 Char1"/>
    <w:semiHidden/>
    <w:qFormat/>
    <w:uiPriority w:val="99"/>
    <w:rPr>
      <w:rFonts w:ascii="Times New Roman" w:hAnsi="Times New Roman" w:eastAsia="宋体" w:cs="Times New Roman"/>
      <w:sz w:val="16"/>
      <w:szCs w:val="16"/>
    </w:rPr>
  </w:style>
  <w:style w:type="character" w:customStyle="1" w:styleId="754">
    <w:name w:val="tw4winInternal"/>
    <w:qFormat/>
    <w:uiPriority w:val="0"/>
    <w:rPr>
      <w:rFonts w:ascii="Courier New" w:hAnsi="Courier New" w:cs="Courier New"/>
      <w:color w:val="FF0000"/>
      <w:lang w:val="en-US" w:eastAsia="zh-CN"/>
    </w:rPr>
  </w:style>
  <w:style w:type="character" w:customStyle="1" w:styleId="755">
    <w:name w:val="Char Char10"/>
    <w:semiHidden/>
    <w:qFormat/>
    <w:uiPriority w:val="0"/>
    <w:rPr>
      <w:rFonts w:ascii="宋体" w:hAnsi="宋体"/>
      <w:kern w:val="2"/>
      <w:sz w:val="21"/>
      <w:szCs w:val="24"/>
      <w:lang w:val="en-US" w:eastAsia="zh-CN"/>
    </w:rPr>
  </w:style>
  <w:style w:type="character" w:customStyle="1" w:styleId="756">
    <w:name w:val="shadow11"/>
    <w:qFormat/>
    <w:uiPriority w:val="0"/>
    <w:rPr>
      <w:color w:val="000000"/>
      <w:sz w:val="21"/>
    </w:rPr>
  </w:style>
  <w:style w:type="character" w:customStyle="1" w:styleId="757">
    <w:name w:val="正文非缩进 Char3"/>
    <w:qFormat/>
    <w:uiPriority w:val="0"/>
    <w:rPr>
      <w:rFonts w:ascii="宋体" w:eastAsia="宋体"/>
      <w:snapToGrid w:val="0"/>
      <w:color w:val="000000"/>
      <w:kern w:val="28"/>
      <w:sz w:val="28"/>
      <w:lang w:val="en-US" w:eastAsia="zh-CN" w:bidi="ar-SA"/>
    </w:rPr>
  </w:style>
  <w:style w:type="character" w:customStyle="1" w:styleId="758">
    <w:name w:val="Char Char"/>
    <w:qFormat/>
    <w:uiPriority w:val="0"/>
    <w:rPr>
      <w:rFonts w:ascii="宋体" w:hAnsi="Courier New" w:eastAsia="宋体"/>
      <w:kern w:val="2"/>
      <w:sz w:val="21"/>
      <w:lang w:val="en-US" w:eastAsia="zh-CN" w:bidi="ar-SA"/>
    </w:rPr>
  </w:style>
  <w:style w:type="character" w:customStyle="1" w:styleId="759">
    <w:name w:val="签名 Char1"/>
    <w:qFormat/>
    <w:uiPriority w:val="0"/>
    <w:rPr>
      <w:rFonts w:ascii="Times New Roman" w:hAnsi="Times New Roman" w:eastAsia="宋体" w:cs="Times New Roman"/>
      <w:szCs w:val="24"/>
    </w:rPr>
  </w:style>
  <w:style w:type="character" w:customStyle="1" w:styleId="760">
    <w:name w:val="Char Char18"/>
    <w:qFormat/>
    <w:uiPriority w:val="6"/>
    <w:rPr>
      <w:rFonts w:ascii="宋体" w:hAnsi="宋体"/>
      <w:sz w:val="28"/>
    </w:rPr>
  </w:style>
  <w:style w:type="character" w:customStyle="1" w:styleId="761">
    <w:name w:val="批注文字 Char"/>
    <w:qFormat/>
    <w:uiPriority w:val="99"/>
    <w:rPr>
      <w:kern w:val="2"/>
      <w:sz w:val="21"/>
      <w:szCs w:val="24"/>
    </w:rPr>
  </w:style>
  <w:style w:type="character" w:customStyle="1" w:styleId="762">
    <w:name w:val="Char Char22"/>
    <w:qFormat/>
    <w:uiPriority w:val="6"/>
    <w:rPr>
      <w:rFonts w:ascii="宋体" w:hAnsi="宋体"/>
      <w:kern w:val="1"/>
      <w:sz w:val="24"/>
      <w:szCs w:val="24"/>
    </w:rPr>
  </w:style>
  <w:style w:type="character" w:customStyle="1" w:styleId="763">
    <w:name w:val="pt141"/>
    <w:qFormat/>
    <w:uiPriority w:val="0"/>
    <w:rPr>
      <w:color w:val="330066"/>
      <w:sz w:val="22"/>
      <w:szCs w:val="22"/>
    </w:rPr>
  </w:style>
  <w:style w:type="character" w:customStyle="1" w:styleId="764">
    <w:name w:val="正文文本缩进 2 Char1"/>
    <w:semiHidden/>
    <w:qFormat/>
    <w:uiPriority w:val="99"/>
    <w:rPr>
      <w:rFonts w:ascii="Times New Roman" w:hAnsi="Times New Roman" w:eastAsia="宋体" w:cs="Times New Roman"/>
      <w:szCs w:val="24"/>
    </w:rPr>
  </w:style>
  <w:style w:type="character" w:customStyle="1" w:styleId="765">
    <w:name w:val="Char Char611"/>
    <w:qFormat/>
    <w:uiPriority w:val="0"/>
    <w:rPr>
      <w:rFonts w:eastAsia="宋体"/>
      <w:kern w:val="2"/>
      <w:sz w:val="21"/>
      <w:szCs w:val="24"/>
      <w:lang w:val="en-US" w:eastAsia="zh-CN" w:bidi="ar-SA"/>
    </w:rPr>
  </w:style>
  <w:style w:type="character" w:customStyle="1" w:styleId="766">
    <w:name w:val="highlight1"/>
    <w:qFormat/>
    <w:uiPriority w:val="0"/>
    <w:rPr>
      <w:rFonts w:ascii="仿宋_GB2312" w:eastAsia="微软雅黑"/>
      <w:b/>
      <w:kern w:val="2"/>
      <w:sz w:val="23"/>
      <w:szCs w:val="23"/>
      <w:lang w:val="en-US" w:eastAsia="zh-CN" w:bidi="ar-SA"/>
    </w:rPr>
  </w:style>
  <w:style w:type="character" w:customStyle="1" w:styleId="767">
    <w:name w:val="my正文 Char"/>
    <w:link w:val="93"/>
    <w:qFormat/>
    <w:locked/>
    <w:uiPriority w:val="0"/>
    <w:rPr>
      <w:rFonts w:ascii="Tahoma" w:hAnsi="Tahoma"/>
      <w:sz w:val="24"/>
      <w:szCs w:val="24"/>
    </w:rPr>
  </w:style>
  <w:style w:type="character" w:customStyle="1" w:styleId="768">
    <w:name w:val="Used by Word for text of Help footnotes Char Char1"/>
    <w:qFormat/>
    <w:uiPriority w:val="0"/>
    <w:rPr>
      <w:color w:val="0000FF"/>
      <w:sz w:val="21"/>
    </w:rPr>
  </w:style>
  <w:style w:type="character" w:customStyle="1" w:styleId="769">
    <w:name w:val="页眉 Char"/>
    <w:qFormat/>
    <w:uiPriority w:val="0"/>
    <w:rPr>
      <w:rFonts w:eastAsia="仿宋_GB2312"/>
      <w:kern w:val="2"/>
      <w:sz w:val="18"/>
      <w:lang w:val="en-US" w:eastAsia="zh-CN"/>
    </w:rPr>
  </w:style>
  <w:style w:type="character" w:customStyle="1" w:styleId="770">
    <w:name w:val="FA正文 Char Char"/>
    <w:qFormat/>
    <w:uiPriority w:val="0"/>
    <w:rPr>
      <w:rFonts w:hAnsi="宋体"/>
      <w:kern w:val="2"/>
      <w:sz w:val="24"/>
      <w:lang w:bidi="ar-SA"/>
    </w:rPr>
  </w:style>
  <w:style w:type="character" w:customStyle="1" w:styleId="771">
    <w:name w:val="纯文本 字符"/>
    <w:qFormat/>
    <w:uiPriority w:val="0"/>
    <w:rPr>
      <w:rFonts w:ascii="宋体" w:hAnsi="Courier New" w:eastAsia="宋体" w:cs="Arial"/>
      <w:snapToGrid w:val="0"/>
      <w:kern w:val="2"/>
      <w:sz w:val="21"/>
      <w:szCs w:val="21"/>
      <w:lang w:val="en-US" w:eastAsia="zh-CN" w:bidi="ar-SA"/>
    </w:rPr>
  </w:style>
  <w:style w:type="character" w:customStyle="1" w:styleId="772">
    <w:name w:val="3级 Char"/>
    <w:link w:val="94"/>
    <w:qFormat/>
    <w:uiPriority w:val="0"/>
    <w:rPr>
      <w:rFonts w:ascii="宋体" w:hAnsi="宋体"/>
      <w:b/>
      <w:bCs/>
      <w:sz w:val="28"/>
    </w:rPr>
  </w:style>
  <w:style w:type="character" w:customStyle="1" w:styleId="773">
    <w:name w:val="myp11"/>
    <w:qFormat/>
    <w:uiPriority w:val="0"/>
    <w:rPr>
      <w:rFonts w:ascii="仿宋_GB2312" w:eastAsia="微软雅黑"/>
      <w:b/>
      <w:kern w:val="2"/>
      <w:sz w:val="32"/>
      <w:szCs w:val="32"/>
      <w:lang w:val="en-US" w:eastAsia="zh-CN" w:bidi="ar-SA"/>
    </w:rPr>
  </w:style>
  <w:style w:type="character" w:customStyle="1" w:styleId="774">
    <w:name w:val="H6 Char"/>
    <w:qFormat/>
    <w:uiPriority w:val="0"/>
    <w:rPr>
      <w:rFonts w:ascii="Arial" w:hAnsi="Arial" w:eastAsia="黑体"/>
      <w:b/>
      <w:bCs/>
      <w:kern w:val="2"/>
      <w:sz w:val="24"/>
      <w:szCs w:val="24"/>
    </w:rPr>
  </w:style>
  <w:style w:type="character" w:customStyle="1" w:styleId="775">
    <w:name w:val="Char Char91"/>
    <w:qFormat/>
    <w:uiPriority w:val="0"/>
    <w:rPr>
      <w:rFonts w:eastAsia="宋体"/>
      <w:kern w:val="2"/>
      <w:sz w:val="18"/>
      <w:szCs w:val="18"/>
      <w:lang w:val="en-US" w:eastAsia="zh-CN" w:bidi="ar-SA"/>
    </w:rPr>
  </w:style>
  <w:style w:type="character" w:customStyle="1" w:styleId="776">
    <w:name w:val="副标题 Char1"/>
    <w:qFormat/>
    <w:uiPriority w:val="0"/>
    <w:rPr>
      <w:rFonts w:ascii="Cambria" w:hAnsi="Cambria" w:eastAsia="宋体" w:cs="Times New Roman"/>
      <w:b/>
      <w:bCs/>
      <w:snapToGrid w:val="0"/>
      <w:kern w:val="28"/>
      <w:sz w:val="32"/>
      <w:szCs w:val="32"/>
    </w:rPr>
  </w:style>
  <w:style w:type="character" w:customStyle="1" w:styleId="777">
    <w:name w:val="font61"/>
    <w:qFormat/>
    <w:uiPriority w:val="0"/>
    <w:rPr>
      <w:rFonts w:hint="eastAsia" w:ascii="仿宋" w:hAnsi="仿宋" w:eastAsia="仿宋" w:cs="仿宋"/>
      <w:color w:val="000000"/>
      <w:sz w:val="20"/>
      <w:szCs w:val="20"/>
      <w:u w:val="none"/>
    </w:rPr>
  </w:style>
  <w:style w:type="character" w:customStyle="1" w:styleId="77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79">
    <w:name w:val="Char Char211"/>
    <w:qFormat/>
    <w:uiPriority w:val="0"/>
    <w:rPr>
      <w:rFonts w:eastAsia="宋体"/>
      <w:b/>
      <w:bCs/>
      <w:kern w:val="2"/>
      <w:sz w:val="21"/>
      <w:szCs w:val="24"/>
      <w:lang w:val="en-US" w:eastAsia="zh-CN" w:bidi="ar-SA"/>
    </w:rPr>
  </w:style>
  <w:style w:type="character" w:customStyle="1" w:styleId="780">
    <w:name w:val="maywed421"/>
    <w:qFormat/>
    <w:uiPriority w:val="0"/>
    <w:rPr>
      <w:color w:val="366FB6"/>
      <w:u w:val="none"/>
    </w:rPr>
  </w:style>
  <w:style w:type="character" w:customStyle="1" w:styleId="781">
    <w:name w:val="正文文本缩进 Char"/>
    <w:qFormat/>
    <w:uiPriority w:val="0"/>
    <w:rPr>
      <w:rFonts w:ascii="宋体" w:hAnsi="宋体"/>
      <w:kern w:val="2"/>
      <w:sz w:val="24"/>
      <w:szCs w:val="24"/>
    </w:rPr>
  </w:style>
  <w:style w:type="character" w:customStyle="1" w:styleId="782">
    <w:name w:val="Char Char102"/>
    <w:semiHidden/>
    <w:qFormat/>
    <w:uiPriority w:val="0"/>
    <w:rPr>
      <w:rFonts w:ascii="宋体" w:hAnsi="宋体"/>
      <w:kern w:val="2"/>
      <w:sz w:val="21"/>
      <w:szCs w:val="24"/>
      <w:lang w:val="en-US" w:eastAsia="zh-CN"/>
    </w:rPr>
  </w:style>
  <w:style w:type="character" w:customStyle="1" w:styleId="783">
    <w:name w:val="页眉 Char1"/>
    <w:qFormat/>
    <w:uiPriority w:val="0"/>
    <w:rPr>
      <w:rFonts w:eastAsia="宋体"/>
      <w:kern w:val="2"/>
      <w:sz w:val="18"/>
      <w:szCs w:val="18"/>
      <w:lang w:val="en-US" w:eastAsia="zh-CN" w:bidi="ar-SA"/>
    </w:rPr>
  </w:style>
  <w:style w:type="character" w:customStyle="1" w:styleId="784">
    <w:name w:val="md"/>
    <w:qFormat/>
    <w:uiPriority w:val="0"/>
    <w:rPr>
      <w:rFonts w:ascii="Arial" w:hAnsi="Arial" w:eastAsia="黑体" w:cs="Arial"/>
      <w:snapToGrid w:val="0"/>
      <w:kern w:val="0"/>
      <w:szCs w:val="21"/>
    </w:rPr>
  </w:style>
  <w:style w:type="character" w:customStyle="1" w:styleId="785">
    <w:name w:val="big1"/>
    <w:qFormat/>
    <w:uiPriority w:val="0"/>
    <w:rPr>
      <w:rFonts w:hint="eastAsia" w:ascii="宋体" w:hAnsi="宋体" w:eastAsia="宋体"/>
      <w:color w:val="333333"/>
      <w:sz w:val="22"/>
      <w:szCs w:val="22"/>
    </w:rPr>
  </w:style>
  <w:style w:type="character" w:customStyle="1" w:styleId="786">
    <w:name w:val="Char Char311"/>
    <w:qFormat/>
    <w:uiPriority w:val="0"/>
    <w:rPr>
      <w:rFonts w:eastAsia="宋体"/>
      <w:kern w:val="2"/>
      <w:sz w:val="21"/>
      <w:szCs w:val="24"/>
      <w:lang w:val="en-US" w:eastAsia="zh-CN" w:bidi="ar-SA"/>
    </w:rPr>
  </w:style>
  <w:style w:type="character" w:customStyle="1" w:styleId="787">
    <w:name w:val="Char Char81"/>
    <w:qFormat/>
    <w:uiPriority w:val="6"/>
    <w:rPr>
      <w:rFonts w:eastAsia="宋体"/>
      <w:b/>
      <w:sz w:val="24"/>
      <w:lang w:eastAsia="zh-CN"/>
    </w:rPr>
  </w:style>
  <w:style w:type="character" w:customStyle="1" w:styleId="788">
    <w:name w:val="样式3 Char"/>
    <w:qFormat/>
    <w:uiPriority w:val="0"/>
    <w:rPr>
      <w:rFonts w:ascii="仿宋_GB2312" w:hAnsi="仿宋" w:eastAsia="仿宋_GB2312" w:cs="仿宋_GB2312"/>
      <w:sz w:val="32"/>
      <w:szCs w:val="30"/>
      <w:lang w:val="zh-CN"/>
    </w:rPr>
  </w:style>
  <w:style w:type="character" w:customStyle="1" w:styleId="789">
    <w:name w:val="正文首行缩进 2 Char1"/>
    <w:qFormat/>
    <w:uiPriority w:val="0"/>
    <w:rPr>
      <w:rFonts w:ascii="Times New Roman" w:hAnsi="Times New Roman" w:eastAsia="宋体" w:cs="Times New Roman"/>
      <w:kern w:val="2"/>
      <w:sz w:val="24"/>
      <w:szCs w:val="24"/>
    </w:rPr>
  </w:style>
  <w:style w:type="character" w:customStyle="1" w:styleId="790">
    <w:name w:val="副标题 Char2"/>
    <w:qFormat/>
    <w:uiPriority w:val="0"/>
    <w:rPr>
      <w:rFonts w:ascii="Cambria" w:hAnsi="Cambria" w:eastAsia="宋体" w:cs="Times New Roman"/>
      <w:b/>
      <w:bCs/>
      <w:snapToGrid w:val="0"/>
      <w:kern w:val="28"/>
      <w:sz w:val="32"/>
      <w:szCs w:val="32"/>
    </w:rPr>
  </w:style>
  <w:style w:type="character" w:customStyle="1" w:styleId="791">
    <w:name w:val="标题4-dyf Char"/>
    <w:link w:val="96"/>
    <w:qFormat/>
    <w:uiPriority w:val="0"/>
    <w:rPr>
      <w:rFonts w:ascii="Cambria" w:hAnsi="Cambria"/>
      <w:b/>
      <w:bCs/>
      <w:color w:val="000000"/>
      <w:kern w:val="2"/>
      <w:sz w:val="21"/>
      <w:szCs w:val="21"/>
    </w:rPr>
  </w:style>
  <w:style w:type="character" w:customStyle="1" w:styleId="792">
    <w:name w:val="dectext1"/>
    <w:qFormat/>
    <w:uiPriority w:val="0"/>
    <w:rPr>
      <w:rFonts w:ascii="宋体" w:hAnsi="宋体" w:eastAsia="宋体"/>
      <w:color w:val="333333"/>
      <w:sz w:val="21"/>
      <w:szCs w:val="21"/>
      <w:u w:val="none"/>
    </w:rPr>
  </w:style>
  <w:style w:type="character" w:customStyle="1" w:styleId="793">
    <w:name w:val="冯 Char"/>
    <w:link w:val="97"/>
    <w:qFormat/>
    <w:uiPriority w:val="0"/>
    <w:rPr>
      <w:rFonts w:ascii="宋体" w:hAnsi="宋体"/>
      <w:color w:val="000000"/>
      <w:sz w:val="24"/>
      <w:szCs w:val="24"/>
    </w:rPr>
  </w:style>
  <w:style w:type="character" w:customStyle="1" w:styleId="794">
    <w:name w:val="Header Char"/>
    <w:qFormat/>
    <w:locked/>
    <w:uiPriority w:val="0"/>
    <w:rPr>
      <w:rFonts w:eastAsia="宋体"/>
      <w:kern w:val="2"/>
      <w:sz w:val="18"/>
      <w:szCs w:val="18"/>
      <w:lang w:val="en-US" w:eastAsia="zh-CN" w:bidi="ar-SA"/>
    </w:rPr>
  </w:style>
  <w:style w:type="character" w:customStyle="1" w:styleId="795">
    <w:name w:val="Char Char12"/>
    <w:qFormat/>
    <w:uiPriority w:val="0"/>
    <w:rPr>
      <w:rFonts w:ascii="仿宋_GB2312" w:eastAsia="仿宋_GB2312"/>
      <w:b/>
      <w:bCs/>
      <w:kern w:val="2"/>
      <w:sz w:val="24"/>
      <w:szCs w:val="24"/>
      <w:lang w:val="zh-CN" w:eastAsia="zh-CN" w:bidi="ar-SA"/>
    </w:rPr>
  </w:style>
  <w:style w:type="character" w:customStyle="1" w:styleId="796">
    <w:name w:val="普通文字 Char3"/>
    <w:qFormat/>
    <w:uiPriority w:val="0"/>
    <w:rPr>
      <w:rFonts w:ascii="宋体" w:hAnsi="Courier New" w:eastAsia="宋体"/>
      <w:kern w:val="2"/>
      <w:sz w:val="21"/>
      <w:lang w:val="en-US" w:eastAsia="zh-CN" w:bidi="ar-SA"/>
    </w:rPr>
  </w:style>
  <w:style w:type="character" w:customStyle="1" w:styleId="797">
    <w:name w:val="公文正文 Char"/>
    <w:qFormat/>
    <w:uiPriority w:val="0"/>
    <w:rPr>
      <w:rFonts w:ascii="仿宋_GB2312" w:eastAsia="仿宋_GB2312"/>
      <w:kern w:val="2"/>
      <w:sz w:val="24"/>
      <w:szCs w:val="24"/>
      <w:lang w:val="en-US" w:eastAsia="zh-CN" w:bidi="ar-SA"/>
    </w:rPr>
  </w:style>
  <w:style w:type="character" w:customStyle="1" w:styleId="798">
    <w:name w:val="正文首行缩进 Char Char Char Char Char"/>
    <w:qFormat/>
    <w:uiPriority w:val="0"/>
    <w:rPr>
      <w:rFonts w:ascii="宋体"/>
      <w:kern w:val="2"/>
      <w:sz w:val="24"/>
      <w:lang w:val="zh-CN"/>
    </w:rPr>
  </w:style>
  <w:style w:type="character" w:customStyle="1" w:styleId="799">
    <w:name w:val="PI Char"/>
    <w:qFormat/>
    <w:uiPriority w:val="0"/>
    <w:rPr>
      <w:rFonts w:ascii="宋体" w:hAnsi="宋体" w:eastAsia="宋体"/>
      <w:kern w:val="2"/>
      <w:sz w:val="24"/>
      <w:szCs w:val="24"/>
      <w:lang w:val="en-US" w:eastAsia="zh-CN" w:bidi="ar-SA"/>
    </w:rPr>
  </w:style>
  <w:style w:type="character" w:customStyle="1" w:styleId="800">
    <w:name w:val="style91"/>
    <w:qFormat/>
    <w:uiPriority w:val="0"/>
    <w:rPr>
      <w:color w:val="333333"/>
    </w:rPr>
  </w:style>
  <w:style w:type="character" w:customStyle="1" w:styleId="801">
    <w:name w:val="列出段落 Char2"/>
    <w:qFormat/>
    <w:uiPriority w:val="34"/>
    <w:rPr>
      <w:rFonts w:ascii="Calibri" w:hAnsi="Calibri"/>
      <w:kern w:val="2"/>
      <w:sz w:val="28"/>
    </w:rPr>
  </w:style>
  <w:style w:type="character" w:customStyle="1" w:styleId="802">
    <w:name w:val="mdeck"/>
    <w:qFormat/>
    <w:uiPriority w:val="0"/>
    <w:rPr>
      <w:rFonts w:ascii="仿宋_GB2312" w:eastAsia="微软雅黑"/>
      <w:b/>
      <w:kern w:val="2"/>
      <w:sz w:val="32"/>
      <w:szCs w:val="32"/>
      <w:lang w:val="en-US" w:eastAsia="zh-CN" w:bidi="ar-SA"/>
    </w:rPr>
  </w:style>
  <w:style w:type="character" w:customStyle="1" w:styleId="803">
    <w:name w:val="unnamed11"/>
    <w:qFormat/>
    <w:uiPriority w:val="0"/>
    <w:rPr>
      <w:sz w:val="20"/>
      <w:szCs w:val="20"/>
    </w:rPr>
  </w:style>
  <w:style w:type="character" w:customStyle="1" w:styleId="804">
    <w:name w:val="正文文本 Char2"/>
    <w:semiHidden/>
    <w:qFormat/>
    <w:uiPriority w:val="99"/>
    <w:rPr>
      <w:rFonts w:ascii="Times New Roman" w:hAnsi="Times New Roman" w:eastAsia="宋体" w:cs="Times New Roman"/>
      <w:snapToGrid w:val="0"/>
      <w:kern w:val="0"/>
      <w:szCs w:val="24"/>
    </w:rPr>
  </w:style>
  <w:style w:type="character" w:customStyle="1" w:styleId="805">
    <w:name w:val="标书正文格式 Char"/>
    <w:qFormat/>
    <w:uiPriority w:val="0"/>
    <w:rPr>
      <w:rFonts w:eastAsia="楷体_GB2312"/>
      <w:kern w:val="2"/>
      <w:sz w:val="24"/>
      <w:szCs w:val="24"/>
      <w:lang w:bidi="ar-SA"/>
    </w:rPr>
  </w:style>
  <w:style w:type="character" w:customStyle="1" w:styleId="806">
    <w:name w:val="Char Char11"/>
    <w:qFormat/>
    <w:locked/>
    <w:uiPriority w:val="0"/>
    <w:rPr>
      <w:rFonts w:ascii="宋体" w:hAnsi="宋体" w:eastAsia="宋体"/>
      <w:b/>
      <w:kern w:val="2"/>
      <w:sz w:val="24"/>
      <w:szCs w:val="24"/>
      <w:lang w:val="en-US" w:eastAsia="zh-CN" w:bidi="ar-SA"/>
    </w:rPr>
  </w:style>
  <w:style w:type="character" w:customStyle="1" w:styleId="807">
    <w:name w:val="ca-131"/>
    <w:qFormat/>
    <w:uiPriority w:val="0"/>
    <w:rPr>
      <w:rFonts w:hint="eastAsia" w:ascii="仿宋_GB2312" w:eastAsia="仿宋_GB2312"/>
      <w:b/>
      <w:bCs/>
      <w:color w:val="000000"/>
      <w:spacing w:val="-20"/>
      <w:sz w:val="24"/>
      <w:szCs w:val="24"/>
    </w:rPr>
  </w:style>
  <w:style w:type="character" w:customStyle="1" w:styleId="808">
    <w:name w:val="tw4winMark"/>
    <w:qFormat/>
    <w:uiPriority w:val="0"/>
    <w:rPr>
      <w:rFonts w:ascii="Courier New" w:hAnsi="Courier New" w:cs="Courier New"/>
      <w:vanish/>
      <w:color w:val="800080"/>
      <w:sz w:val="24"/>
      <w:szCs w:val="24"/>
      <w:vertAlign w:val="subscript"/>
    </w:rPr>
  </w:style>
  <w:style w:type="character" w:customStyle="1" w:styleId="809">
    <w:name w:val="正文样式 Char"/>
    <w:link w:val="98"/>
    <w:qFormat/>
    <w:uiPriority w:val="0"/>
    <w:rPr>
      <w:rFonts w:ascii="Calibri" w:hAnsi="Calibri"/>
      <w:sz w:val="24"/>
      <w:szCs w:val="24"/>
    </w:rPr>
  </w:style>
  <w:style w:type="character" w:customStyle="1" w:styleId="810">
    <w:name w:val="表正文 Char3"/>
    <w:qFormat/>
    <w:uiPriority w:val="0"/>
    <w:rPr>
      <w:rFonts w:eastAsia="宋体"/>
    </w:rPr>
  </w:style>
  <w:style w:type="character" w:customStyle="1" w:styleId="811">
    <w:name w:val="H5 Char"/>
    <w:qFormat/>
    <w:uiPriority w:val="0"/>
    <w:rPr>
      <w:b/>
      <w:bCs/>
      <w:kern w:val="2"/>
      <w:sz w:val="28"/>
      <w:szCs w:val="28"/>
    </w:rPr>
  </w:style>
  <w:style w:type="character" w:customStyle="1" w:styleId="812">
    <w:name w:val="Char Char3"/>
    <w:qFormat/>
    <w:uiPriority w:val="0"/>
    <w:rPr>
      <w:rFonts w:eastAsia="宋体"/>
      <w:kern w:val="2"/>
      <w:sz w:val="21"/>
      <w:szCs w:val="24"/>
      <w:lang w:val="en-US" w:eastAsia="zh-CN" w:bidi="ar-SA"/>
    </w:rPr>
  </w:style>
  <w:style w:type="character" w:customStyle="1" w:styleId="813">
    <w:name w:val="正文 编号 Char"/>
    <w:qFormat/>
    <w:uiPriority w:val="0"/>
    <w:rPr>
      <w:rFonts w:ascii="仿宋_GB2312" w:hAnsi="仿宋_GB2312" w:eastAsia="仿宋_GB2312"/>
      <w:kern w:val="2"/>
      <w:sz w:val="24"/>
      <w:lang w:bidi="ar-SA"/>
    </w:rPr>
  </w:style>
  <w:style w:type="character" w:customStyle="1" w:styleId="814">
    <w:name w:val="question-title2"/>
    <w:qFormat/>
    <w:uiPriority w:val="6"/>
    <w:rPr>
      <w:rFonts w:ascii="Arial" w:hAnsi="Arial" w:eastAsia="黑体" w:cs="Arial"/>
      <w:snapToGrid w:val="0"/>
      <w:kern w:val="0"/>
      <w:szCs w:val="21"/>
    </w:rPr>
  </w:style>
  <w:style w:type="character" w:customStyle="1" w:styleId="815">
    <w:name w:val="gf正文1 Char Char"/>
    <w:link w:val="99"/>
    <w:qFormat/>
    <w:uiPriority w:val="0"/>
    <w:rPr>
      <w:rFonts w:ascii="宋体" w:hAnsi="宋体" w:cs="宋体"/>
      <w:kern w:val="2"/>
      <w:sz w:val="24"/>
      <w:szCs w:val="24"/>
    </w:rPr>
  </w:style>
  <w:style w:type="character" w:customStyle="1" w:styleId="816">
    <w:name w:val="Char Char15"/>
    <w:qFormat/>
    <w:uiPriority w:val="6"/>
    <w:rPr>
      <w:rFonts w:ascii="宋体" w:hAnsi="宋体"/>
      <w:kern w:val="1"/>
      <w:sz w:val="21"/>
    </w:rPr>
  </w:style>
  <w:style w:type="character" w:customStyle="1" w:styleId="817">
    <w:name w:val="正文缩进 Char3"/>
    <w:qFormat/>
    <w:uiPriority w:val="0"/>
    <w:rPr>
      <w:rFonts w:ascii="宋体" w:eastAsia="宋体"/>
      <w:snapToGrid w:val="0"/>
      <w:color w:val="000000"/>
      <w:kern w:val="28"/>
      <w:sz w:val="28"/>
      <w:lang w:val="en-US" w:eastAsia="zh-CN" w:bidi="ar-SA"/>
    </w:rPr>
  </w:style>
  <w:style w:type="character" w:customStyle="1" w:styleId="818">
    <w:name w:val="列出段落 Char1"/>
    <w:link w:val="100"/>
    <w:qFormat/>
    <w:uiPriority w:val="0"/>
    <w:rPr>
      <w:rFonts w:ascii="Calibri" w:hAnsi="Calibri"/>
      <w:sz w:val="24"/>
      <w:lang w:eastAsia="en-US"/>
    </w:rPr>
  </w:style>
  <w:style w:type="character" w:customStyle="1" w:styleId="819">
    <w:name w:val="列表段落 字符1"/>
    <w:link w:val="101"/>
    <w:qFormat/>
    <w:locked/>
    <w:uiPriority w:val="99"/>
    <w:rPr>
      <w:rFonts w:eastAsia="楷体_GB2312" w:cs="Lucida Sans"/>
      <w:kern w:val="2"/>
      <w:sz w:val="24"/>
      <w:szCs w:val="24"/>
    </w:rPr>
  </w:style>
  <w:style w:type="character" w:customStyle="1" w:styleId="820">
    <w:name w:val="Char Char8"/>
    <w:qFormat/>
    <w:uiPriority w:val="0"/>
    <w:rPr>
      <w:rFonts w:eastAsia="宋体"/>
      <w:b/>
      <w:sz w:val="24"/>
      <w:lang w:eastAsia="zh-CN"/>
    </w:rPr>
  </w:style>
  <w:style w:type="character" w:customStyle="1" w:styleId="821">
    <w:name w:val="Normal Indent Char Char"/>
    <w:qFormat/>
    <w:uiPriority w:val="0"/>
    <w:rPr>
      <w:rFonts w:eastAsia="宋体"/>
      <w:kern w:val="2"/>
      <w:sz w:val="21"/>
      <w:lang w:val="en-US" w:eastAsia="zh-CN" w:bidi="ar-SA"/>
    </w:rPr>
  </w:style>
  <w:style w:type="character" w:customStyle="1" w:styleId="822">
    <w:name w:val="列表段落 字符"/>
    <w:qFormat/>
    <w:uiPriority w:val="99"/>
  </w:style>
  <w:style w:type="character" w:customStyle="1" w:styleId="823">
    <w:name w:val="Ò³Ã¼ Char Char1"/>
    <w:qFormat/>
    <w:uiPriority w:val="0"/>
    <w:rPr>
      <w:rFonts w:eastAsia="宋体"/>
      <w:kern w:val="2"/>
      <w:sz w:val="18"/>
      <w:szCs w:val="18"/>
      <w:lang w:val="en-US" w:eastAsia="zh-CN" w:bidi="ar-SA"/>
    </w:rPr>
  </w:style>
  <w:style w:type="character" w:customStyle="1" w:styleId="824">
    <w:name w:val="方案正文 Char"/>
    <w:qFormat/>
    <w:uiPriority w:val="0"/>
    <w:rPr>
      <w:rFonts w:ascii="仿宋_GB2312" w:eastAsia="仿宋_GB2312"/>
      <w:b/>
      <w:color w:val="000000"/>
      <w:kern w:val="2"/>
      <w:sz w:val="24"/>
      <w:lang w:val="en-US" w:eastAsia="zh-CN" w:bidi="ar-SA"/>
    </w:rPr>
  </w:style>
  <w:style w:type="character" w:customStyle="1" w:styleId="825">
    <w:name w:val="Char Char30"/>
    <w:qFormat/>
    <w:uiPriority w:val="6"/>
    <w:rPr>
      <w:rFonts w:ascii="Arial" w:hAnsi="Arial" w:eastAsia="黑体"/>
      <w:kern w:val="1"/>
      <w:sz w:val="21"/>
      <w:szCs w:val="21"/>
    </w:rPr>
  </w:style>
  <w:style w:type="character" w:customStyle="1" w:styleId="826">
    <w:name w:val="font01"/>
    <w:qFormat/>
    <w:uiPriority w:val="0"/>
    <w:rPr>
      <w:rFonts w:hint="eastAsia" w:ascii="微软雅黑" w:hAnsi="微软雅黑" w:eastAsia="微软雅黑" w:cs="微软雅黑"/>
      <w:color w:val="000000"/>
      <w:sz w:val="20"/>
      <w:szCs w:val="20"/>
      <w:u w:val="none"/>
    </w:rPr>
  </w:style>
  <w:style w:type="character" w:customStyle="1" w:styleId="827">
    <w:name w:val="Char Char20"/>
    <w:qFormat/>
    <w:uiPriority w:val="6"/>
    <w:rPr>
      <w:kern w:val="1"/>
      <w:sz w:val="24"/>
    </w:rPr>
  </w:style>
  <w:style w:type="character" w:customStyle="1" w:styleId="828">
    <w:name w:val="tw4winExternal"/>
    <w:qFormat/>
    <w:uiPriority w:val="0"/>
    <w:rPr>
      <w:rFonts w:ascii="Courier New" w:hAnsi="Courier New" w:cs="Courier New"/>
      <w:color w:val="808080"/>
      <w:lang w:val="en-US" w:eastAsia="zh-CN"/>
    </w:rPr>
  </w:style>
  <w:style w:type="character" w:customStyle="1" w:styleId="829">
    <w:name w:val="标题 4 Char1"/>
    <w:qFormat/>
    <w:uiPriority w:val="9"/>
    <w:rPr>
      <w:rFonts w:ascii="Cambria" w:hAnsi="Cambria" w:eastAsia="宋体" w:cs="Times New Roman"/>
      <w:b/>
      <w:bCs/>
      <w:kern w:val="2"/>
      <w:sz w:val="28"/>
      <w:szCs w:val="28"/>
    </w:rPr>
  </w:style>
  <w:style w:type="character" w:customStyle="1" w:styleId="830">
    <w:name w:val="批注文字 Char2"/>
    <w:qFormat/>
    <w:uiPriority w:val="99"/>
    <w:rPr>
      <w:rFonts w:ascii="Times New Roman" w:hAnsi="Times New Roman" w:eastAsia="宋体" w:cs="Times New Roman"/>
      <w:snapToGrid w:val="0"/>
      <w:kern w:val="0"/>
      <w:szCs w:val="24"/>
    </w:rPr>
  </w:style>
  <w:style w:type="character" w:customStyle="1" w:styleId="831">
    <w:name w:val="正文文本 2 Char"/>
    <w:qFormat/>
    <w:uiPriority w:val="0"/>
    <w:rPr>
      <w:rFonts w:eastAsia="宋体"/>
      <w:kern w:val="2"/>
      <w:sz w:val="21"/>
      <w:szCs w:val="24"/>
      <w:lang w:val="en-US" w:eastAsia="zh-CN" w:bidi="ar-SA"/>
    </w:rPr>
  </w:style>
  <w:style w:type="character" w:customStyle="1" w:styleId="832">
    <w:name w:val="Ò³Ã¼ Char Char"/>
    <w:qFormat/>
    <w:uiPriority w:val="0"/>
    <w:rPr>
      <w:rFonts w:eastAsia="宋体"/>
      <w:kern w:val="2"/>
      <w:sz w:val="18"/>
      <w:lang w:val="en-US" w:eastAsia="zh-CN" w:bidi="ar-SA"/>
    </w:rPr>
  </w:style>
  <w:style w:type="character" w:customStyle="1" w:styleId="833">
    <w:name w:val="message1"/>
    <w:qFormat/>
    <w:uiPriority w:val="0"/>
    <w:rPr>
      <w:rFonts w:hint="default" w:ascii="Tahoma" w:hAnsi="Tahoma" w:cs="Tahoma"/>
      <w:sz w:val="18"/>
      <w:szCs w:val="18"/>
    </w:rPr>
  </w:style>
  <w:style w:type="character" w:customStyle="1" w:styleId="834">
    <w:name w:val="Char Char23"/>
    <w:qFormat/>
    <w:uiPriority w:val="6"/>
    <w:rPr>
      <w:color w:val="0000FF"/>
      <w:sz w:val="21"/>
    </w:rPr>
  </w:style>
  <w:style w:type="character" w:customStyle="1" w:styleId="835">
    <w:name w:val="批注框文本 字符"/>
    <w:qFormat/>
    <w:uiPriority w:val="0"/>
    <w:rPr>
      <w:rFonts w:ascii="Arial" w:hAnsi="Arial" w:eastAsia="黑体" w:cs="Arial"/>
      <w:snapToGrid w:val="0"/>
      <w:kern w:val="0"/>
      <w:sz w:val="18"/>
      <w:szCs w:val="18"/>
    </w:rPr>
  </w:style>
  <w:style w:type="character" w:customStyle="1" w:styleId="836">
    <w:name w:val="纯文本 Char2"/>
    <w:semiHidden/>
    <w:qFormat/>
    <w:uiPriority w:val="99"/>
    <w:rPr>
      <w:rFonts w:ascii="宋体" w:hAnsi="Courier New" w:eastAsia="宋体" w:cs="Courier New"/>
    </w:rPr>
  </w:style>
  <w:style w:type="character" w:customStyle="1" w:styleId="837">
    <w:name w:val="Char Char25"/>
    <w:qFormat/>
    <w:uiPriority w:val="6"/>
    <w:rPr>
      <w:rFonts w:ascii="宋体" w:hAnsi="宋体"/>
      <w:kern w:val="1"/>
      <w:sz w:val="24"/>
      <w:lang w:val="zh-CN"/>
    </w:rPr>
  </w:style>
  <w:style w:type="character" w:customStyle="1" w:styleId="838">
    <w:name w:val="Char Char411"/>
    <w:qFormat/>
    <w:uiPriority w:val="0"/>
    <w:rPr>
      <w:rFonts w:eastAsia="宋体"/>
      <w:b/>
      <w:sz w:val="24"/>
      <w:lang w:eastAsia="zh-CN" w:bidi="ar-SA"/>
    </w:rPr>
  </w:style>
  <w:style w:type="character" w:customStyle="1" w:styleId="839">
    <w:name w:val="Heading 7 Char"/>
    <w:qFormat/>
    <w:locked/>
    <w:uiPriority w:val="0"/>
    <w:rPr>
      <w:rFonts w:ascii="宋体" w:hAnsi="宋体" w:eastAsia="宋体"/>
      <w:b/>
      <w:bCs/>
      <w:kern w:val="2"/>
      <w:sz w:val="24"/>
      <w:szCs w:val="24"/>
      <w:lang w:val="en-US" w:eastAsia="zh-CN" w:bidi="ar-SA"/>
    </w:rPr>
  </w:style>
  <w:style w:type="character" w:customStyle="1" w:styleId="840">
    <w:name w:val="此正文 Char"/>
    <w:link w:val="102"/>
    <w:qFormat/>
    <w:uiPriority w:val="0"/>
    <w:rPr>
      <w:kern w:val="2"/>
      <w:sz w:val="24"/>
      <w:szCs w:val="24"/>
    </w:rPr>
  </w:style>
  <w:style w:type="character" w:customStyle="1" w:styleId="841">
    <w:name w:val="Char Char2"/>
    <w:qFormat/>
    <w:uiPriority w:val="0"/>
    <w:rPr>
      <w:rFonts w:eastAsia="宋体"/>
      <w:b/>
      <w:bCs/>
      <w:kern w:val="2"/>
      <w:sz w:val="21"/>
      <w:szCs w:val="24"/>
      <w:lang w:val="en-US" w:eastAsia="zh-CN" w:bidi="ar-SA"/>
    </w:rPr>
  </w:style>
  <w:style w:type="character" w:customStyle="1" w:styleId="842">
    <w:name w:val="Footer-Even Char1"/>
    <w:qFormat/>
    <w:uiPriority w:val="0"/>
    <w:rPr>
      <w:rFonts w:eastAsia="宋体"/>
      <w:kern w:val="2"/>
      <w:sz w:val="18"/>
      <w:szCs w:val="18"/>
      <w:lang w:val="en-US" w:eastAsia="zh-CN" w:bidi="ar-SA"/>
    </w:rPr>
  </w:style>
  <w:style w:type="character" w:customStyle="1" w:styleId="843">
    <w:name w:val="Char Char29"/>
    <w:qFormat/>
    <w:uiPriority w:val="6"/>
    <w:rPr>
      <w:rFonts w:ascii="Arial" w:hAnsi="Arial" w:eastAsia="微软雅黑"/>
      <w:b/>
      <w:kern w:val="1"/>
      <w:sz w:val="44"/>
      <w:szCs w:val="32"/>
      <w:lang w:val="en-US" w:eastAsia="zh-CN" w:bidi="ar-SA"/>
    </w:rPr>
  </w:style>
  <w:style w:type="character" w:customStyle="1" w:styleId="844">
    <w:name w:val="font81"/>
    <w:qFormat/>
    <w:uiPriority w:val="0"/>
    <w:rPr>
      <w:rFonts w:ascii="微软雅黑" w:hAnsi="微软雅黑" w:eastAsia="微软雅黑" w:cs="微软雅黑"/>
      <w:color w:val="000000"/>
      <w:sz w:val="20"/>
      <w:szCs w:val="20"/>
      <w:u w:val="none"/>
    </w:rPr>
  </w:style>
  <w:style w:type="character" w:customStyle="1" w:styleId="845">
    <w:name w:val="Char Char312"/>
    <w:qFormat/>
    <w:uiPriority w:val="0"/>
    <w:rPr>
      <w:rFonts w:ascii="Times New Roman" w:hAnsi="Times New Roman" w:eastAsia="宋体" w:cs="Times New Roman"/>
      <w:b/>
      <w:kern w:val="2"/>
      <w:sz w:val="32"/>
      <w:szCs w:val="24"/>
      <w:lang w:val="en-US" w:eastAsia="zh-CN" w:bidi="ar-SA"/>
    </w:rPr>
  </w:style>
  <w:style w:type="character" w:customStyle="1" w:styleId="846">
    <w:name w:val="t21"/>
    <w:qFormat/>
    <w:uiPriority w:val="0"/>
    <w:rPr>
      <w:rFonts w:ascii="仿宋_GB2312" w:eastAsia="微软雅黑"/>
      <w:b/>
      <w:kern w:val="2"/>
      <w:sz w:val="23"/>
      <w:szCs w:val="23"/>
      <w:lang w:val="en-US" w:eastAsia="zh-CN" w:bidi="ar-SA"/>
    </w:rPr>
  </w:style>
  <w:style w:type="character" w:customStyle="1" w:styleId="847">
    <w:name w:val="样式8 Char"/>
    <w:qFormat/>
    <w:uiPriority w:val="0"/>
    <w:rPr>
      <w:rFonts w:ascii="仿宋_GB2312" w:hAnsi="宋体" w:eastAsia="仿宋_GB2312"/>
      <w:b/>
      <w:bCs/>
      <w:kern w:val="2"/>
      <w:sz w:val="24"/>
      <w:szCs w:val="24"/>
    </w:rPr>
  </w:style>
  <w:style w:type="character" w:customStyle="1" w:styleId="848">
    <w:name w:val="表格 Char Char"/>
    <w:qFormat/>
    <w:uiPriority w:val="0"/>
    <w:rPr>
      <w:rFonts w:ascii="宋体" w:hAnsi="宋体" w:eastAsia="宋体"/>
      <w:lang w:bidi="ar-SA"/>
    </w:rPr>
  </w:style>
  <w:style w:type="character" w:customStyle="1" w:styleId="849">
    <w:name w:val="正文文本 字符1"/>
    <w:qFormat/>
    <w:uiPriority w:val="0"/>
    <w:rPr>
      <w:rFonts w:ascii="Calibri" w:hAnsi="Calibri" w:eastAsia="黑体" w:cs="Arial"/>
      <w:snapToGrid w:val="0"/>
      <w:kern w:val="2"/>
      <w:sz w:val="28"/>
      <w:szCs w:val="21"/>
    </w:rPr>
  </w:style>
  <w:style w:type="character" w:customStyle="1" w:styleId="850">
    <w:name w:val="标题 6 Char1"/>
    <w:qFormat/>
    <w:uiPriority w:val="0"/>
    <w:rPr>
      <w:rFonts w:ascii="Arial" w:hAnsi="Arial" w:eastAsia="黑体" w:cs="Times New Roman"/>
      <w:b/>
      <w:sz w:val="24"/>
      <w:szCs w:val="20"/>
      <w:lang w:bidi="ar-SA"/>
    </w:rPr>
  </w:style>
  <w:style w:type="character" w:customStyle="1" w:styleId="851">
    <w:name w:val="带编号样式 Char"/>
    <w:qFormat/>
    <w:uiPriority w:val="0"/>
    <w:rPr>
      <w:rFonts w:ascii="仿宋_GB2312" w:eastAsia="仿宋_GB2312"/>
      <w:color w:val="000000"/>
      <w:sz w:val="24"/>
      <w:lang w:bidi="ar-SA"/>
    </w:rPr>
  </w:style>
  <w:style w:type="character" w:customStyle="1" w:styleId="852">
    <w:name w:val="unnamed31"/>
    <w:qFormat/>
    <w:uiPriority w:val="0"/>
    <w:rPr>
      <w:rFonts w:ascii="Tahoma" w:hAnsi="Tahoma" w:eastAsia="宋体"/>
      <w:b/>
      <w:kern w:val="2"/>
      <w:sz w:val="24"/>
      <w:szCs w:val="32"/>
      <w:u w:val="none"/>
      <w:lang w:val="en-US" w:eastAsia="zh-CN" w:bidi="ar-SA"/>
    </w:rPr>
  </w:style>
  <w:style w:type="character" w:customStyle="1" w:styleId="853">
    <w:name w:val="正文首行缩进 Char Char Char Char Char Char1"/>
    <w:qFormat/>
    <w:uiPriority w:val="0"/>
    <w:rPr>
      <w:rFonts w:ascii="宋体" w:eastAsia="宋体"/>
      <w:kern w:val="2"/>
      <w:sz w:val="24"/>
      <w:szCs w:val="24"/>
      <w:lang w:val="zh-CN" w:bidi="ar-SA"/>
    </w:rPr>
  </w:style>
  <w:style w:type="character" w:customStyle="1" w:styleId="854">
    <w:name w:val="文本正文 Char Char"/>
    <w:qFormat/>
    <w:locked/>
    <w:uiPriority w:val="0"/>
    <w:rPr>
      <w:sz w:val="24"/>
      <w:lang w:bidi="ar-SA"/>
    </w:rPr>
  </w:style>
  <w:style w:type="character" w:customStyle="1" w:styleId="855">
    <w:name w:val="正文缩进 字符"/>
    <w:qFormat/>
    <w:uiPriority w:val="0"/>
    <w:rPr>
      <w:rFonts w:ascii="宋体" w:eastAsia="宋体"/>
      <w:snapToGrid w:val="0"/>
      <w:color w:val="000000"/>
      <w:kern w:val="28"/>
      <w:sz w:val="28"/>
      <w:lang w:val="en-US" w:eastAsia="zh-CN" w:bidi="ar-SA"/>
    </w:rPr>
  </w:style>
  <w:style w:type="character" w:customStyle="1" w:styleId="856">
    <w:name w:val="样式 样式 标题 4h4H4Fab-4T5Ref Heading 1rh1Heading sqlsect 1.2.3.... +... Char"/>
    <w:link w:val="103"/>
    <w:qFormat/>
    <w:uiPriority w:val="0"/>
    <w:rPr>
      <w:rFonts w:ascii="微软雅黑" w:hAnsi="微软雅黑" w:eastAsia="微软雅黑"/>
      <w:b/>
      <w:bCs/>
      <w:kern w:val="2"/>
      <w:sz w:val="24"/>
      <w:szCs w:val="28"/>
    </w:rPr>
  </w:style>
  <w:style w:type="character" w:customStyle="1" w:styleId="857">
    <w:name w:val="样式 标题 4h4H4Fab-4T5Ref Heading 1rh1Heading sqlsect 1.2.3.... Char"/>
    <w:link w:val="104"/>
    <w:qFormat/>
    <w:uiPriority w:val="0"/>
    <w:rPr>
      <w:rFonts w:ascii="微软雅黑" w:hAnsi="微软雅黑" w:eastAsia="微软雅黑"/>
      <w:b/>
      <w:bCs/>
      <w:kern w:val="2"/>
      <w:sz w:val="24"/>
      <w:szCs w:val="28"/>
    </w:rPr>
  </w:style>
  <w:style w:type="character" w:customStyle="1" w:styleId="858">
    <w:name w:val="正文非缩进 Char"/>
    <w:qFormat/>
    <w:uiPriority w:val="0"/>
    <w:rPr>
      <w:rFonts w:ascii="宋体" w:eastAsia="宋体"/>
      <w:snapToGrid w:val="0"/>
      <w:color w:val="000000"/>
      <w:kern w:val="28"/>
      <w:sz w:val="28"/>
      <w:lang w:val="en-US" w:eastAsia="zh-CN" w:bidi="ar-SA"/>
    </w:rPr>
  </w:style>
  <w:style w:type="character" w:customStyle="1" w:styleId="859">
    <w:name w:val="Char Char5"/>
    <w:qFormat/>
    <w:uiPriority w:val="0"/>
    <w:rPr>
      <w:rFonts w:ascii="宋体" w:hAnsi="Courier New" w:eastAsia="宋体"/>
      <w:kern w:val="2"/>
      <w:sz w:val="21"/>
      <w:lang w:val="en-US" w:eastAsia="zh-CN"/>
    </w:rPr>
  </w:style>
  <w:style w:type="character" w:customStyle="1" w:styleId="860">
    <w:name w:val="称呼 Char1"/>
    <w:qFormat/>
    <w:uiPriority w:val="0"/>
    <w:rPr>
      <w:rFonts w:ascii="Times New Roman" w:hAnsi="Times New Roman" w:eastAsia="宋体" w:cs="Times New Roman"/>
      <w:szCs w:val="24"/>
    </w:rPr>
  </w:style>
  <w:style w:type="character" w:customStyle="1" w:styleId="861">
    <w:name w:val="正文1 Char"/>
    <w:qFormat/>
    <w:uiPriority w:val="0"/>
    <w:rPr>
      <w:rFonts w:ascii="宋体" w:eastAsia="宋体"/>
      <w:snapToGrid w:val="0"/>
      <w:color w:val="000000"/>
      <w:kern w:val="28"/>
      <w:sz w:val="28"/>
      <w:lang w:val="en-US" w:eastAsia="zh-CN" w:bidi="ar-SA"/>
    </w:rPr>
  </w:style>
  <w:style w:type="character" w:customStyle="1" w:styleId="862">
    <w:name w:val="正文缩进 Char1"/>
    <w:qFormat/>
    <w:uiPriority w:val="0"/>
    <w:rPr>
      <w:rFonts w:ascii="宋体" w:eastAsia="宋体"/>
      <w:snapToGrid w:val="0"/>
      <w:color w:val="000000"/>
      <w:kern w:val="28"/>
      <w:sz w:val="28"/>
      <w:lang w:val="en-US" w:eastAsia="zh-CN" w:bidi="ar-SA"/>
    </w:rPr>
  </w:style>
  <w:style w:type="character" w:customStyle="1" w:styleId="863">
    <w:name w:val="font21"/>
    <w:basedOn w:val="69"/>
    <w:qFormat/>
    <w:uiPriority w:val="0"/>
    <w:rPr>
      <w:rFonts w:hint="eastAsia" w:ascii="宋体" w:hAnsi="宋体" w:eastAsia="宋体"/>
      <w:kern w:val="2"/>
      <w:sz w:val="28"/>
      <w:szCs w:val="28"/>
      <w:lang w:val="en-US" w:eastAsia="zh-CN" w:bidi="ar-SA"/>
    </w:rPr>
  </w:style>
  <w:style w:type="character" w:customStyle="1" w:styleId="864">
    <w:name w:val="Char Char26"/>
    <w:qFormat/>
    <w:uiPriority w:val="6"/>
    <w:rPr>
      <w:kern w:val="1"/>
      <w:sz w:val="21"/>
      <w:szCs w:val="24"/>
    </w:rPr>
  </w:style>
  <w:style w:type="character" w:customStyle="1" w:styleId="865">
    <w:name w:val="Item List Char"/>
    <w:link w:val="105"/>
    <w:qFormat/>
    <w:uiPriority w:val="0"/>
    <w:rPr>
      <w:rFonts w:ascii="Arial"/>
      <w:bCs/>
      <w:sz w:val="21"/>
      <w:szCs w:val="21"/>
      <w:lang w:val="en-US" w:eastAsia="zh-CN" w:bidi="ar-SA"/>
    </w:rPr>
  </w:style>
  <w:style w:type="character" w:customStyle="1" w:styleId="866">
    <w:name w:val="批注框文本 Char1"/>
    <w:qFormat/>
    <w:uiPriority w:val="0"/>
    <w:rPr>
      <w:rFonts w:ascii="Times New Roman" w:hAnsi="Times New Roman" w:eastAsia="宋体" w:cs="Times New Roman"/>
      <w:sz w:val="18"/>
      <w:szCs w:val="18"/>
    </w:rPr>
  </w:style>
  <w:style w:type="character" w:customStyle="1" w:styleId="867">
    <w:name w:val="纯文本 Char1"/>
    <w:link w:val="106"/>
    <w:qFormat/>
    <w:uiPriority w:val="0"/>
    <w:rPr>
      <w:rFonts w:ascii="宋体" w:hAnsi="Courier New"/>
    </w:rPr>
  </w:style>
  <w:style w:type="character" w:customStyle="1" w:styleId="868">
    <w:name w:val="h3 Char"/>
    <w:qFormat/>
    <w:uiPriority w:val="0"/>
    <w:rPr>
      <w:rFonts w:eastAsia="宋体"/>
      <w:b/>
      <w:kern w:val="2"/>
      <w:sz w:val="32"/>
      <w:lang w:val="en-US" w:eastAsia="zh-CN" w:bidi="ar-SA"/>
    </w:rPr>
  </w:style>
  <w:style w:type="character" w:customStyle="1" w:styleId="869">
    <w:name w:val="dandyren_title1"/>
    <w:qFormat/>
    <w:uiPriority w:val="0"/>
    <w:rPr>
      <w:b/>
      <w:bCs/>
      <w:color w:val="FF6633"/>
      <w:sz w:val="18"/>
      <w:szCs w:val="18"/>
    </w:rPr>
  </w:style>
  <w:style w:type="character" w:customStyle="1" w:styleId="870">
    <w:name w:val="Char Char31"/>
    <w:qFormat/>
    <w:uiPriority w:val="6"/>
    <w:rPr>
      <w:rFonts w:ascii="Arial" w:hAnsi="Arial" w:eastAsia="黑体"/>
      <w:kern w:val="1"/>
      <w:sz w:val="24"/>
      <w:szCs w:val="24"/>
    </w:rPr>
  </w:style>
  <w:style w:type="character" w:customStyle="1" w:styleId="871">
    <w:name w:val="h Char1"/>
    <w:qFormat/>
    <w:uiPriority w:val="0"/>
    <w:rPr>
      <w:sz w:val="18"/>
      <w:szCs w:val="18"/>
    </w:rPr>
  </w:style>
  <w:style w:type="character" w:customStyle="1" w:styleId="872">
    <w:name w:val="solutionfonts"/>
    <w:qFormat/>
    <w:uiPriority w:val="0"/>
  </w:style>
  <w:style w:type="character" w:customStyle="1" w:styleId="873">
    <w:name w:val="首行缩进 Char"/>
    <w:qFormat/>
    <w:uiPriority w:val="0"/>
    <w:rPr>
      <w:rFonts w:ascii="宋体" w:eastAsia="宋体"/>
      <w:kern w:val="2"/>
      <w:sz w:val="24"/>
      <w:lang w:val="en-US" w:eastAsia="zh-CN" w:bidi="ar-SA"/>
    </w:rPr>
  </w:style>
  <w:style w:type="character" w:customStyle="1" w:styleId="874">
    <w:name w:val="Char Char52"/>
    <w:qFormat/>
    <w:uiPriority w:val="0"/>
    <w:rPr>
      <w:rFonts w:ascii="宋体" w:hAnsi="Courier New" w:eastAsia="宋体"/>
      <w:kern w:val="2"/>
      <w:sz w:val="21"/>
      <w:lang w:val="en-US" w:eastAsia="zh-CN"/>
    </w:rPr>
  </w:style>
  <w:style w:type="character" w:customStyle="1" w:styleId="875">
    <w:name w:val="font31"/>
    <w:basedOn w:val="69"/>
    <w:qFormat/>
    <w:uiPriority w:val="0"/>
    <w:rPr>
      <w:rFonts w:hint="eastAsia" w:ascii="仿宋" w:hAnsi="仿宋" w:eastAsia="仿宋" w:cs="仿宋"/>
      <w:color w:val="000000"/>
      <w:sz w:val="20"/>
      <w:szCs w:val="20"/>
      <w:u w:val="none"/>
    </w:rPr>
  </w:style>
  <w:style w:type="character" w:customStyle="1" w:styleId="876">
    <w:name w:val="正文说明 Char"/>
    <w:link w:val="107"/>
    <w:qFormat/>
    <w:uiPriority w:val="0"/>
    <w:rPr>
      <w:sz w:val="24"/>
      <w:szCs w:val="24"/>
    </w:rPr>
  </w:style>
  <w:style w:type="character" w:customStyle="1" w:styleId="877">
    <w:name w:val="脚注文本 Char1"/>
    <w:qFormat/>
    <w:uiPriority w:val="0"/>
    <w:rPr>
      <w:rFonts w:ascii="Times New Roman" w:hAnsi="Times New Roman" w:eastAsia="宋体" w:cs="Times New Roman"/>
      <w:sz w:val="18"/>
      <w:szCs w:val="18"/>
    </w:rPr>
  </w:style>
  <w:style w:type="character" w:customStyle="1" w:styleId="878">
    <w:name w:val="Char Char1211"/>
    <w:qFormat/>
    <w:uiPriority w:val="0"/>
    <w:rPr>
      <w:rFonts w:ascii="仿宋_GB2312" w:eastAsia="仿宋_GB2312"/>
      <w:b/>
      <w:bCs/>
      <w:kern w:val="2"/>
      <w:sz w:val="24"/>
      <w:szCs w:val="24"/>
      <w:lang w:val="zh-CN" w:eastAsia="zh-CN" w:bidi="ar-SA"/>
    </w:rPr>
  </w:style>
  <w:style w:type="character" w:customStyle="1" w:styleId="879">
    <w:name w:val="标题 Char"/>
    <w:qFormat/>
    <w:uiPriority w:val="0"/>
    <w:rPr>
      <w:rFonts w:eastAsia="宋体"/>
      <w:b/>
      <w:sz w:val="24"/>
      <w:lang w:eastAsia="zh-CN" w:bidi="ar-SA"/>
    </w:rPr>
  </w:style>
  <w:style w:type="character" w:customStyle="1" w:styleId="880">
    <w:name w:val="Char Char35"/>
    <w:qFormat/>
    <w:uiPriority w:val="6"/>
    <w:rPr>
      <w:rFonts w:ascii="Arial" w:hAnsi="Arial" w:eastAsia="黑体"/>
      <w:b/>
      <w:kern w:val="1"/>
      <w:sz w:val="28"/>
      <w:szCs w:val="28"/>
      <w:lang w:val="zh-CN"/>
    </w:rPr>
  </w:style>
  <w:style w:type="character" w:customStyle="1" w:styleId="881">
    <w:name w:val="纯文本 Char Char Char"/>
    <w:qFormat/>
    <w:uiPriority w:val="0"/>
    <w:rPr>
      <w:rFonts w:ascii="宋体" w:hAnsi="Courier New" w:eastAsia="宋体"/>
      <w:kern w:val="2"/>
      <w:sz w:val="21"/>
      <w:lang w:val="en-US" w:eastAsia="zh-CN" w:bidi="ar-SA"/>
    </w:rPr>
  </w:style>
  <w:style w:type="character" w:customStyle="1" w:styleId="882">
    <w:name w:val="Table Text Char"/>
    <w:link w:val="108"/>
    <w:qFormat/>
    <w:uiPriority w:val="0"/>
    <w:rPr>
      <w:sz w:val="24"/>
      <w:szCs w:val="24"/>
    </w:rPr>
  </w:style>
  <w:style w:type="character" w:customStyle="1" w:styleId="883">
    <w:name w:val="正文1 Char1"/>
    <w:qFormat/>
    <w:uiPriority w:val="0"/>
    <w:rPr>
      <w:rFonts w:ascii="仿宋_GB2312" w:hAnsi="Courier New" w:eastAsia="仿宋_GB2312"/>
      <w:kern w:val="28"/>
      <w:sz w:val="24"/>
      <w:szCs w:val="24"/>
      <w:lang w:val="en-US" w:eastAsia="zh-CN"/>
    </w:rPr>
  </w:style>
  <w:style w:type="character" w:customStyle="1" w:styleId="884">
    <w:name w:val="页脚 Char1"/>
    <w:qFormat/>
    <w:uiPriority w:val="0"/>
    <w:rPr>
      <w:rFonts w:eastAsia="宋体"/>
      <w:kern w:val="2"/>
      <w:sz w:val="18"/>
      <w:szCs w:val="18"/>
      <w:lang w:val="en-US" w:eastAsia="zh-CN" w:bidi="ar-SA"/>
    </w:rPr>
  </w:style>
  <w:style w:type="character" w:customStyle="1" w:styleId="885">
    <w:name w:val="Bold"/>
    <w:qFormat/>
    <w:uiPriority w:val="0"/>
    <w:rPr>
      <w:rFonts w:ascii="Arial" w:hAnsi="Arial" w:eastAsia="黑体" w:cs="Times New Roman"/>
      <w:b/>
      <w:kern w:val="2"/>
      <w:sz w:val="32"/>
      <w:szCs w:val="32"/>
      <w:lang w:val="en-US" w:eastAsia="zh-CN" w:bidi="ar-SA"/>
    </w:rPr>
  </w:style>
  <w:style w:type="character" w:customStyle="1" w:styleId="886">
    <w:name w:val="hui3"/>
    <w:qFormat/>
    <w:uiPriority w:val="0"/>
    <w:rPr>
      <w:color w:val="333333"/>
    </w:rPr>
  </w:style>
  <w:style w:type="character" w:customStyle="1" w:styleId="887">
    <w:name w:val="Char Char17"/>
    <w:qFormat/>
    <w:uiPriority w:val="6"/>
    <w:rPr>
      <w:rFonts w:eastAsia="仿宋_GB2312"/>
      <w:sz w:val="24"/>
    </w:rPr>
  </w:style>
  <w:style w:type="character" w:customStyle="1" w:styleId="888">
    <w:name w:val="标题 4 字符"/>
    <w:qFormat/>
    <w:uiPriority w:val="9"/>
    <w:rPr>
      <w:rFonts w:ascii="等线 Light" w:hAnsi="等线 Light" w:eastAsia="等线 Light" w:cs="Times New Roman"/>
      <w:b/>
      <w:bCs/>
      <w:snapToGrid w:val="0"/>
      <w:kern w:val="0"/>
      <w:sz w:val="28"/>
      <w:szCs w:val="28"/>
    </w:rPr>
  </w:style>
  <w:style w:type="character" w:customStyle="1" w:styleId="889">
    <w:name w:val="Char Char37"/>
    <w:qFormat/>
    <w:uiPriority w:val="6"/>
    <w:rPr>
      <w:b/>
      <w:kern w:val="1"/>
      <w:sz w:val="44"/>
      <w:szCs w:val="44"/>
    </w:rPr>
  </w:style>
  <w:style w:type="character" w:customStyle="1" w:styleId="890">
    <w:name w:val="列出段落 Char"/>
    <w:qFormat/>
    <w:uiPriority w:val="0"/>
    <w:rPr>
      <w:rFonts w:eastAsia="楷体_GB2312" w:cs="Lucida Sans"/>
      <w:kern w:val="2"/>
      <w:sz w:val="24"/>
      <w:szCs w:val="24"/>
      <w:lang w:val="en-US" w:eastAsia="zh-CN" w:bidi="ar-SA"/>
    </w:rPr>
  </w:style>
  <w:style w:type="character" w:customStyle="1" w:styleId="891">
    <w:name w:val="正文文本缩进 3 Char1"/>
    <w:semiHidden/>
    <w:qFormat/>
    <w:uiPriority w:val="99"/>
    <w:rPr>
      <w:rFonts w:ascii="Times New Roman" w:hAnsi="Times New Roman" w:eastAsia="宋体" w:cs="Times New Roman"/>
      <w:sz w:val="16"/>
      <w:szCs w:val="16"/>
    </w:rPr>
  </w:style>
  <w:style w:type="character" w:customStyle="1" w:styleId="892">
    <w:name w:val="公文正文 Char Char"/>
    <w:link w:val="109"/>
    <w:qFormat/>
    <w:uiPriority w:val="0"/>
    <w:rPr>
      <w:rFonts w:ascii="仿宋_GB2312" w:eastAsia="仿宋_GB2312"/>
      <w:kern w:val="2"/>
      <w:sz w:val="24"/>
      <w:szCs w:val="24"/>
    </w:rPr>
  </w:style>
  <w:style w:type="character" w:customStyle="1" w:styleId="893">
    <w:name w:val="Table Text Char1"/>
    <w:qFormat/>
    <w:uiPriority w:val="0"/>
    <w:rPr>
      <w:rFonts w:eastAsia="宋体"/>
      <w:sz w:val="24"/>
      <w:szCs w:val="24"/>
      <w:lang w:val="en-US" w:eastAsia="zh-CN" w:bidi="ar-SA"/>
    </w:rPr>
  </w:style>
  <w:style w:type="character" w:customStyle="1" w:styleId="894">
    <w:name w:val="标题 1 Char Char"/>
    <w:qFormat/>
    <w:uiPriority w:val="0"/>
    <w:rPr>
      <w:rFonts w:hint="eastAsia" w:ascii="宋体" w:hAnsi="宋体" w:eastAsia="宋体"/>
      <w:b/>
      <w:spacing w:val="-2"/>
      <w:sz w:val="24"/>
      <w:lang w:val="en-US" w:eastAsia="zh-CN" w:bidi="ar-SA"/>
    </w:rPr>
  </w:style>
  <w:style w:type="character" w:customStyle="1" w:styleId="895">
    <w:name w:val="正文（缩进2汉字） Char"/>
    <w:link w:val="110"/>
    <w:qFormat/>
    <w:uiPriority w:val="0"/>
    <w:rPr>
      <w:rFonts w:ascii="宋体"/>
    </w:rPr>
  </w:style>
  <w:style w:type="character" w:customStyle="1" w:styleId="896">
    <w:name w:val="标书表格字体格式 Char"/>
    <w:qFormat/>
    <w:uiPriority w:val="0"/>
    <w:rPr>
      <w:kern w:val="2"/>
      <w:sz w:val="21"/>
      <w:szCs w:val="24"/>
      <w:lang w:bidi="ar-SA"/>
    </w:rPr>
  </w:style>
  <w:style w:type="character" w:customStyle="1" w:styleId="897">
    <w:name w:val="tw4winError"/>
    <w:qFormat/>
    <w:uiPriority w:val="0"/>
    <w:rPr>
      <w:rFonts w:ascii="Courier New" w:hAnsi="Courier New" w:cs="Courier New"/>
      <w:color w:val="00FF00"/>
      <w:sz w:val="40"/>
      <w:szCs w:val="40"/>
    </w:rPr>
  </w:style>
  <w:style w:type="character" w:customStyle="1" w:styleId="898">
    <w:name w:val="Body Text(ch) Char Char"/>
    <w:qFormat/>
    <w:uiPriority w:val="0"/>
    <w:rPr>
      <w:rFonts w:ascii="宋体"/>
      <w:kern w:val="2"/>
      <w:sz w:val="24"/>
      <w:szCs w:val="21"/>
      <w:lang w:val="zh-CN"/>
    </w:rPr>
  </w:style>
  <w:style w:type="character" w:customStyle="1" w:styleId="899">
    <w:name w:val="正文首行缩进两字 Char"/>
    <w:qFormat/>
    <w:uiPriority w:val="0"/>
    <w:rPr>
      <w:sz w:val="24"/>
      <w:szCs w:val="24"/>
      <w:lang w:val="en-US" w:eastAsia="zh-CN" w:bidi="ar-SA"/>
    </w:rPr>
  </w:style>
  <w:style w:type="character" w:customStyle="1" w:styleId="900">
    <w:name w:val="正文文本 Char"/>
    <w:qFormat/>
    <w:uiPriority w:val="0"/>
    <w:rPr>
      <w:rFonts w:eastAsia="宋体"/>
      <w:kern w:val="2"/>
      <w:sz w:val="24"/>
      <w:szCs w:val="24"/>
      <w:lang w:val="en-US" w:eastAsia="zh-CN" w:bidi="ar-SA"/>
    </w:rPr>
  </w:style>
  <w:style w:type="character" w:customStyle="1" w:styleId="901">
    <w:name w:val="文档结构图 字符1"/>
    <w:qFormat/>
    <w:uiPriority w:val="0"/>
    <w:rPr>
      <w:rFonts w:ascii="宋体" w:hAnsi="Calibri" w:eastAsia="黑体" w:cs="Arial"/>
      <w:snapToGrid w:val="0"/>
      <w:kern w:val="2"/>
      <w:sz w:val="18"/>
      <w:szCs w:val="18"/>
    </w:rPr>
  </w:style>
  <w:style w:type="character" w:customStyle="1" w:styleId="902">
    <w:name w:val="content"/>
    <w:qFormat/>
    <w:uiPriority w:val="0"/>
  </w:style>
  <w:style w:type="character" w:customStyle="1" w:styleId="903">
    <w:name w:val="tw4winPopup"/>
    <w:qFormat/>
    <w:uiPriority w:val="0"/>
    <w:rPr>
      <w:rFonts w:ascii="Courier New" w:hAnsi="Courier New" w:cs="Courier New"/>
      <w:color w:val="008000"/>
      <w:lang w:val="en-US" w:eastAsia="zh-CN"/>
    </w:rPr>
  </w:style>
  <w:style w:type="character" w:customStyle="1" w:styleId="904">
    <w:name w:val="param-name"/>
    <w:qFormat/>
    <w:uiPriority w:val="99"/>
    <w:rPr>
      <w:rFonts w:ascii="Arial" w:hAnsi="Arial" w:eastAsia="黑体" w:cs="Arial"/>
      <w:snapToGrid w:val="0"/>
      <w:kern w:val="0"/>
      <w:szCs w:val="21"/>
    </w:rPr>
  </w:style>
  <w:style w:type="character" w:customStyle="1" w:styleId="905">
    <w:name w:val="标准正文格式 Char"/>
    <w:qFormat/>
    <w:uiPriority w:val="0"/>
    <w:rPr>
      <w:rFonts w:ascii="宋体" w:eastAsia="仿宋_GB2312" w:cs="宋体"/>
      <w:color w:val="000000"/>
      <w:sz w:val="24"/>
      <w:lang w:val="en-US" w:eastAsia="zh-CN" w:bidi="ar-SA"/>
    </w:rPr>
  </w:style>
  <w:style w:type="character" w:customStyle="1" w:styleId="906">
    <w:name w:val="Char Char212"/>
    <w:qFormat/>
    <w:uiPriority w:val="0"/>
    <w:rPr>
      <w:rFonts w:eastAsia="宋体"/>
      <w:b/>
      <w:bCs/>
      <w:kern w:val="2"/>
      <w:sz w:val="21"/>
      <w:szCs w:val="24"/>
      <w:lang w:val="en-US" w:eastAsia="zh-CN" w:bidi="ar-SA"/>
    </w:rPr>
  </w:style>
  <w:style w:type="character" w:customStyle="1" w:styleId="907">
    <w:name w:val="文档结构图 Char"/>
    <w:qFormat/>
    <w:uiPriority w:val="0"/>
    <w:rPr>
      <w:rFonts w:eastAsia="宋体"/>
      <w:kern w:val="2"/>
      <w:sz w:val="21"/>
      <w:szCs w:val="24"/>
      <w:lang w:val="en-US" w:eastAsia="zh-CN" w:bidi="ar-SA"/>
    </w:rPr>
  </w:style>
  <w:style w:type="character" w:customStyle="1" w:styleId="908">
    <w:name w:val="zbggmain style9"/>
    <w:qFormat/>
    <w:uiPriority w:val="0"/>
  </w:style>
  <w:style w:type="character" w:customStyle="1" w:styleId="909">
    <w:name w:val="Char Char16"/>
    <w:qFormat/>
    <w:uiPriority w:val="6"/>
    <w:rPr>
      <w:kern w:val="1"/>
      <w:sz w:val="18"/>
      <w:szCs w:val="18"/>
    </w:rPr>
  </w:style>
  <w:style w:type="character" w:customStyle="1" w:styleId="910">
    <w:name w:val="font51"/>
    <w:qFormat/>
    <w:uiPriority w:val="0"/>
    <w:rPr>
      <w:rFonts w:hint="eastAsia" w:ascii="仿宋" w:hAnsi="仿宋" w:eastAsia="仿宋" w:cs="仿宋"/>
      <w:color w:val="000000"/>
      <w:sz w:val="20"/>
      <w:szCs w:val="20"/>
      <w:u w:val="none"/>
    </w:rPr>
  </w:style>
  <w:style w:type="character" w:customStyle="1" w:styleId="911">
    <w:name w:val="Char Char82"/>
    <w:qFormat/>
    <w:uiPriority w:val="0"/>
    <w:rPr>
      <w:rFonts w:eastAsia="宋体"/>
      <w:b/>
      <w:sz w:val="24"/>
      <w:lang w:eastAsia="zh-CN"/>
    </w:rPr>
  </w:style>
  <w:style w:type="character" w:customStyle="1" w:styleId="912">
    <w:name w:val="日期 Char1"/>
    <w:semiHidden/>
    <w:qFormat/>
    <w:uiPriority w:val="99"/>
    <w:rPr>
      <w:rFonts w:ascii="Times New Roman" w:hAnsi="Times New Roman" w:eastAsia="宋体" w:cs="Times New Roman"/>
      <w:szCs w:val="24"/>
    </w:rPr>
  </w:style>
  <w:style w:type="character" w:customStyle="1" w:styleId="913">
    <w:name w:val="页眉 字符"/>
    <w:qFormat/>
    <w:uiPriority w:val="0"/>
    <w:rPr>
      <w:kern w:val="2"/>
      <w:sz w:val="18"/>
      <w:szCs w:val="18"/>
    </w:rPr>
  </w:style>
  <w:style w:type="character" w:customStyle="1" w:styleId="914">
    <w:name w:val="Char Char33"/>
    <w:qFormat/>
    <w:uiPriority w:val="6"/>
    <w:rPr>
      <w:rFonts w:ascii="Arial" w:hAnsi="Arial" w:eastAsia="黑体"/>
      <w:b/>
      <w:kern w:val="1"/>
      <w:sz w:val="24"/>
      <w:szCs w:val="24"/>
    </w:rPr>
  </w:style>
  <w:style w:type="character" w:customStyle="1" w:styleId="915">
    <w:name w:val="b11_01b Char"/>
    <w:link w:val="111"/>
    <w:qFormat/>
    <w:uiPriority w:val="0"/>
    <w:rPr>
      <w:rFonts w:ascii="Verdana" w:hAnsi="Verdana"/>
      <w:b/>
      <w:bCs/>
      <w:color w:val="4A82CA"/>
      <w:sz w:val="17"/>
      <w:szCs w:val="17"/>
    </w:rPr>
  </w:style>
  <w:style w:type="character" w:customStyle="1" w:styleId="916">
    <w:name w:val="Char Char121"/>
    <w:qFormat/>
    <w:uiPriority w:val="6"/>
    <w:rPr>
      <w:rFonts w:ascii="仿宋_GB2312" w:eastAsia="仿宋_GB2312"/>
      <w:b/>
      <w:bCs/>
      <w:kern w:val="2"/>
      <w:sz w:val="24"/>
      <w:szCs w:val="24"/>
      <w:lang w:val="zh-CN" w:eastAsia="zh-CN" w:bidi="ar-SA"/>
    </w:rPr>
  </w:style>
  <w:style w:type="character" w:customStyle="1" w:styleId="917">
    <w:name w:val="Footer-Even Char"/>
    <w:qFormat/>
    <w:uiPriority w:val="0"/>
    <w:rPr>
      <w:rFonts w:eastAsia="宋体"/>
      <w:kern w:val="2"/>
      <w:sz w:val="18"/>
      <w:lang w:val="en-US" w:eastAsia="zh-CN" w:bidi="ar-SA"/>
    </w:rPr>
  </w:style>
  <w:style w:type="character" w:customStyle="1" w:styleId="918">
    <w:name w:val="Char Char36"/>
    <w:qFormat/>
    <w:uiPriority w:val="6"/>
    <w:rPr>
      <w:rFonts w:ascii="仿宋_GB2312" w:hAnsi="仿宋_GB2312" w:eastAsia="仿宋_GB2312" w:cs="Arial"/>
      <w:b/>
      <w:kern w:val="1"/>
      <w:sz w:val="32"/>
      <w:szCs w:val="32"/>
      <w:lang w:val="zh-CN" w:eastAsia="zh-CN" w:bidi="ar-SA"/>
    </w:rPr>
  </w:style>
  <w:style w:type="character" w:customStyle="1" w:styleId="919">
    <w:name w:val="Char Char61"/>
    <w:qFormat/>
    <w:uiPriority w:val="6"/>
    <w:rPr>
      <w:rFonts w:eastAsia="宋体"/>
      <w:kern w:val="2"/>
      <w:sz w:val="21"/>
      <w:szCs w:val="24"/>
      <w:lang w:val="en-US" w:eastAsia="zh-CN" w:bidi="ar-SA"/>
    </w:rPr>
  </w:style>
  <w:style w:type="character" w:customStyle="1" w:styleId="920">
    <w:name w:val="正文文字缩进 2 Char Char"/>
    <w:qFormat/>
    <w:uiPriority w:val="0"/>
    <w:rPr>
      <w:rFonts w:ascii="宋体"/>
      <w:sz w:val="28"/>
    </w:rPr>
  </w:style>
  <w:style w:type="character" w:customStyle="1" w:styleId="921">
    <w:name w:val="f141"/>
    <w:qFormat/>
    <w:uiPriority w:val="0"/>
    <w:rPr>
      <w:rFonts w:ascii="Tahoma" w:hAnsi="Tahoma" w:eastAsia="宋体"/>
      <w:b/>
      <w:kern w:val="2"/>
      <w:sz w:val="21"/>
      <w:szCs w:val="21"/>
      <w:lang w:val="en-US" w:eastAsia="zh-CN" w:bidi="ar-SA"/>
    </w:rPr>
  </w:style>
  <w:style w:type="character" w:customStyle="1" w:styleId="922">
    <w:name w:val="段落 Char Char"/>
    <w:link w:val="112"/>
    <w:qFormat/>
    <w:uiPriority w:val="0"/>
    <w:rPr>
      <w:rFonts w:ascii="宋体" w:hAnsi="宋体"/>
      <w:sz w:val="24"/>
    </w:rPr>
  </w:style>
  <w:style w:type="character" w:customStyle="1" w:styleId="923">
    <w:name w:val="标题 3 Char2"/>
    <w:qFormat/>
    <w:uiPriority w:val="0"/>
    <w:rPr>
      <w:rFonts w:eastAsia="宋体"/>
      <w:b/>
      <w:bCs/>
      <w:kern w:val="2"/>
      <w:sz w:val="32"/>
      <w:szCs w:val="32"/>
      <w:lang w:val="en-US" w:eastAsia="zh-CN" w:bidi="ar-SA"/>
    </w:rPr>
  </w:style>
  <w:style w:type="character" w:customStyle="1" w:styleId="924">
    <w:name w:val="apple-converted-space"/>
    <w:qFormat/>
    <w:uiPriority w:val="0"/>
  </w:style>
  <w:style w:type="character" w:customStyle="1" w:styleId="925">
    <w:name w:val="Char Char9"/>
    <w:qFormat/>
    <w:uiPriority w:val="0"/>
    <w:rPr>
      <w:rFonts w:eastAsia="宋体"/>
      <w:kern w:val="2"/>
      <w:sz w:val="18"/>
      <w:szCs w:val="18"/>
      <w:lang w:val="en-US" w:eastAsia="zh-CN" w:bidi="ar-SA"/>
    </w:rPr>
  </w:style>
  <w:style w:type="character" w:customStyle="1" w:styleId="926">
    <w:name w:val="Char Char41"/>
    <w:qFormat/>
    <w:uiPriority w:val="0"/>
    <w:rPr>
      <w:rFonts w:eastAsia="宋体"/>
      <w:b/>
      <w:sz w:val="24"/>
      <w:lang w:eastAsia="zh-CN" w:bidi="ar-SA"/>
    </w:rPr>
  </w:style>
  <w:style w:type="character" w:customStyle="1" w:styleId="927">
    <w:name w:val="large1"/>
    <w:qFormat/>
    <w:uiPriority w:val="0"/>
    <w:rPr>
      <w:rFonts w:hint="eastAsia" w:ascii="宋体" w:hAnsi="宋体" w:eastAsia="宋体"/>
      <w:sz w:val="21"/>
      <w:szCs w:val="21"/>
    </w:rPr>
  </w:style>
  <w:style w:type="character" w:customStyle="1" w:styleId="928">
    <w:name w:val="正文段 Char"/>
    <w:link w:val="113"/>
    <w:qFormat/>
    <w:uiPriority w:val="0"/>
    <w:rPr>
      <w:sz w:val="24"/>
    </w:rPr>
  </w:style>
  <w:style w:type="character" w:customStyle="1" w:styleId="929">
    <w:name w:val="Char Char13"/>
    <w:qFormat/>
    <w:uiPriority w:val="6"/>
    <w:rPr>
      <w:rFonts w:ascii="宋体" w:hAnsi="宋体"/>
      <w:kern w:val="1"/>
      <w:sz w:val="21"/>
      <w:szCs w:val="24"/>
    </w:rPr>
  </w:style>
  <w:style w:type="character" w:customStyle="1" w:styleId="93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31">
    <w:name w:val="冯广丽 Char"/>
    <w:link w:val="114"/>
    <w:qFormat/>
    <w:uiPriority w:val="0"/>
    <w:rPr>
      <w:rFonts w:ascii="宋体" w:hAnsi="宋体"/>
      <w:kern w:val="2"/>
      <w:sz w:val="24"/>
      <w:szCs w:val="22"/>
    </w:rPr>
  </w:style>
  <w:style w:type="character" w:customStyle="1" w:styleId="932">
    <w:name w:val="批注文字 字符"/>
    <w:qFormat/>
    <w:uiPriority w:val="0"/>
    <w:rPr>
      <w:rFonts w:ascii="Arial" w:hAnsi="Arial" w:eastAsia="黑体" w:cs="Arial"/>
      <w:snapToGrid w:val="0"/>
      <w:kern w:val="0"/>
      <w:szCs w:val="21"/>
    </w:rPr>
  </w:style>
  <w:style w:type="character" w:customStyle="1" w:styleId="933">
    <w:name w:val="Char Char161"/>
    <w:qFormat/>
    <w:uiPriority w:val="0"/>
    <w:rPr>
      <w:rFonts w:eastAsia="宋体"/>
      <w:b/>
      <w:kern w:val="2"/>
      <w:sz w:val="32"/>
      <w:lang w:val="en-US" w:eastAsia="zh-CN"/>
    </w:rPr>
  </w:style>
  <w:style w:type="character" w:customStyle="1" w:styleId="934">
    <w:name w:val="javascript"/>
    <w:qFormat/>
    <w:uiPriority w:val="0"/>
  </w:style>
  <w:style w:type="character" w:customStyle="1" w:styleId="935">
    <w:name w:val="图名 Char"/>
    <w:qFormat/>
    <w:uiPriority w:val="0"/>
    <w:rPr>
      <w:rFonts w:ascii="Arial" w:hAnsi="Arial" w:eastAsia="黑体"/>
      <w:kern w:val="2"/>
      <w:sz w:val="24"/>
      <w:szCs w:val="24"/>
      <w:lang w:val="en-US" w:eastAsia="zh-CN" w:bidi="ar-SA"/>
    </w:rPr>
  </w:style>
  <w:style w:type="character" w:customStyle="1" w:styleId="936">
    <w:name w:val="Used by Word for text of Help footnotes Char Char"/>
    <w:qFormat/>
    <w:uiPriority w:val="0"/>
    <w:rPr>
      <w:rFonts w:ascii="Times New Roman" w:hAnsi="Times New Roman" w:eastAsia="宋体" w:cs="Times New Roman"/>
      <w:sz w:val="20"/>
      <w:szCs w:val="20"/>
    </w:rPr>
  </w:style>
  <w:style w:type="character" w:customStyle="1" w:styleId="937">
    <w:name w:val="编号，小四 Char"/>
    <w:link w:val="115"/>
    <w:qFormat/>
    <w:uiPriority w:val="0"/>
    <w:rPr>
      <w:rFonts w:ascii="Arial" w:hAnsi="Arial"/>
      <w:sz w:val="24"/>
    </w:rPr>
  </w:style>
  <w:style w:type="character" w:customStyle="1" w:styleId="938">
    <w:name w:val="Font Style82"/>
    <w:qFormat/>
    <w:uiPriority w:val="99"/>
    <w:rPr>
      <w:rFonts w:ascii="宋体" w:eastAsia="宋体" w:cs="宋体"/>
      <w:color w:val="000000"/>
      <w:sz w:val="14"/>
      <w:szCs w:val="14"/>
    </w:rPr>
  </w:style>
  <w:style w:type="character" w:customStyle="1" w:styleId="939">
    <w:name w:val="标题 2 Char Char"/>
    <w:qFormat/>
    <w:uiPriority w:val="0"/>
    <w:rPr>
      <w:rFonts w:ascii="楷体_GB2312" w:hAnsi="Arial" w:eastAsia="楷体_GB2312"/>
      <w:b/>
      <w:bCs/>
      <w:kern w:val="2"/>
      <w:sz w:val="24"/>
      <w:szCs w:val="32"/>
      <w:lang w:val="en-US" w:eastAsia="zh-CN" w:bidi="ar-SA"/>
    </w:rPr>
  </w:style>
  <w:style w:type="character" w:customStyle="1" w:styleId="940">
    <w:name w:val="未用 Char"/>
    <w:qFormat/>
    <w:uiPriority w:val="0"/>
    <w:rPr>
      <w:rFonts w:ascii="Arial" w:hAnsi="Arial" w:eastAsia="黑体"/>
      <w:kern w:val="2"/>
      <w:sz w:val="21"/>
      <w:szCs w:val="21"/>
      <w:lang w:val="en-US" w:eastAsia="zh-CN" w:bidi="ar-SA"/>
    </w:rPr>
  </w:style>
  <w:style w:type="character" w:customStyle="1" w:styleId="941">
    <w:name w:val="myp1111"/>
    <w:qFormat/>
    <w:uiPriority w:val="0"/>
    <w:rPr>
      <w:rFonts w:hint="default" w:ascii="ˎ̥" w:hAnsi="ˎ̥"/>
      <w:color w:val="000000"/>
      <w:sz w:val="20"/>
      <w:szCs w:val="20"/>
      <w:u w:val="none"/>
    </w:rPr>
  </w:style>
  <w:style w:type="character" w:customStyle="1" w:styleId="942">
    <w:name w:val="h Char Char"/>
    <w:qFormat/>
    <w:uiPriority w:val="0"/>
    <w:rPr>
      <w:rFonts w:eastAsia="宋体"/>
      <w:kern w:val="2"/>
      <w:sz w:val="18"/>
      <w:lang w:val="en-US" w:eastAsia="zh-CN" w:bidi="ar-SA"/>
    </w:rPr>
  </w:style>
  <w:style w:type="character" w:customStyle="1" w:styleId="943">
    <w:name w:val="仿宋正文 Char"/>
    <w:link w:val="116"/>
    <w:qFormat/>
    <w:uiPriority w:val="0"/>
    <w:rPr>
      <w:rFonts w:ascii="仿宋_GB2312" w:eastAsia="仿宋_GB2312"/>
      <w:kern w:val="2"/>
      <w:sz w:val="24"/>
      <w:lang w:val="en-US" w:eastAsia="zh-CN" w:bidi="ar-SA"/>
    </w:rPr>
  </w:style>
  <w:style w:type="character" w:customStyle="1" w:styleId="944">
    <w:name w:val="正文首行缩进 Char Char Char Char Char Char"/>
    <w:qFormat/>
    <w:uiPriority w:val="0"/>
    <w:rPr>
      <w:rFonts w:ascii="宋体" w:eastAsia="宋体"/>
      <w:kern w:val="2"/>
      <w:sz w:val="24"/>
      <w:lang w:val="zh-CN" w:bidi="ar-SA"/>
    </w:rPr>
  </w:style>
  <w:style w:type="character" w:customStyle="1" w:styleId="945">
    <w:name w:val="样式 宋体"/>
    <w:qFormat/>
    <w:uiPriority w:val="0"/>
    <w:rPr>
      <w:rFonts w:ascii="宋体" w:hAnsi="宋体"/>
      <w:sz w:val="24"/>
    </w:rPr>
  </w:style>
  <w:style w:type="character" w:customStyle="1" w:styleId="946">
    <w:name w:val="tw4winJump"/>
    <w:qFormat/>
    <w:uiPriority w:val="0"/>
    <w:rPr>
      <w:rFonts w:ascii="Courier New" w:hAnsi="Courier New" w:cs="Courier New"/>
      <w:color w:val="008080"/>
      <w:lang w:val="en-US" w:eastAsia="zh-CN"/>
    </w:rPr>
  </w:style>
  <w:style w:type="character" w:customStyle="1" w:styleId="947">
    <w:name w:val="标题 1 字符"/>
    <w:qFormat/>
    <w:uiPriority w:val="9"/>
    <w:rPr>
      <w:rFonts w:ascii="Arial" w:hAnsi="Arial" w:eastAsia="黑体" w:cs="Arial"/>
      <w:b/>
      <w:bCs/>
      <w:snapToGrid w:val="0"/>
      <w:kern w:val="44"/>
      <w:sz w:val="44"/>
      <w:szCs w:val="44"/>
    </w:rPr>
  </w:style>
  <w:style w:type="character" w:customStyle="1" w:styleId="948">
    <w:name w:val="style36"/>
    <w:qFormat/>
    <w:uiPriority w:val="0"/>
    <w:rPr>
      <w:rFonts w:ascii="Arial" w:hAnsi="Arial" w:eastAsia="黑体" w:cs="Arial"/>
      <w:snapToGrid w:val="0"/>
      <w:kern w:val="0"/>
      <w:szCs w:val="21"/>
    </w:rPr>
  </w:style>
  <w:style w:type="character" w:customStyle="1" w:styleId="949">
    <w:name w:val="pt9"/>
    <w:qFormat/>
    <w:uiPriority w:val="0"/>
    <w:rPr>
      <w:rFonts w:ascii="仿宋_GB2312" w:eastAsia="微软雅黑"/>
      <w:b/>
      <w:kern w:val="2"/>
      <w:sz w:val="32"/>
      <w:szCs w:val="32"/>
      <w:lang w:val="en-US" w:eastAsia="zh-CN" w:bidi="ar-SA"/>
    </w:rPr>
  </w:style>
  <w:style w:type="character" w:customStyle="1" w:styleId="950">
    <w:name w:val="DO_NOT_TRANSLATE"/>
    <w:qFormat/>
    <w:uiPriority w:val="0"/>
    <w:rPr>
      <w:rFonts w:ascii="Courier New" w:hAnsi="Courier New" w:cs="Courier New"/>
      <w:color w:val="800000"/>
      <w:lang w:val="en-US" w:eastAsia="zh-CN"/>
    </w:rPr>
  </w:style>
  <w:style w:type="character" w:customStyle="1" w:styleId="951">
    <w:name w:val="标书1 Char1"/>
    <w:qFormat/>
    <w:uiPriority w:val="0"/>
    <w:rPr>
      <w:rFonts w:eastAsia="宋体"/>
      <w:b/>
      <w:bCs/>
      <w:kern w:val="44"/>
      <w:sz w:val="44"/>
      <w:szCs w:val="44"/>
      <w:lang w:val="en-US" w:eastAsia="zh-CN" w:bidi="ar-SA"/>
    </w:rPr>
  </w:style>
  <w:style w:type="character" w:customStyle="1" w:styleId="952">
    <w:name w:val="页脚 字符"/>
    <w:qFormat/>
    <w:uiPriority w:val="0"/>
    <w:rPr>
      <w:kern w:val="2"/>
      <w:sz w:val="18"/>
      <w:szCs w:val="18"/>
    </w:rPr>
  </w:style>
  <w:style w:type="character" w:customStyle="1" w:styleId="953">
    <w:name w:val="正文2 Char"/>
    <w:qFormat/>
    <w:uiPriority w:val="0"/>
    <w:rPr>
      <w:rFonts w:eastAsia="宋体"/>
      <w:kern w:val="2"/>
      <w:sz w:val="24"/>
      <w:lang w:val="en-US" w:eastAsia="zh-CN" w:bidi="ar-SA"/>
    </w:rPr>
  </w:style>
  <w:style w:type="character" w:customStyle="1" w:styleId="954">
    <w:name w:val="Char Char21"/>
    <w:qFormat/>
    <w:uiPriority w:val="6"/>
    <w:rPr>
      <w:rFonts w:ascii="宋体" w:hAnsi="宋体"/>
      <w:kern w:val="1"/>
      <w:sz w:val="24"/>
      <w:szCs w:val="21"/>
      <w:lang w:val="zh-CN"/>
    </w:rPr>
  </w:style>
  <w:style w:type="character" w:customStyle="1" w:styleId="955">
    <w:name w:val="样式 正文缩进 + 首行缩进:  2 字符 Char Char"/>
    <w:link w:val="117"/>
    <w:qFormat/>
    <w:uiPriority w:val="0"/>
    <w:rPr>
      <w:rFonts w:cs="宋体"/>
      <w:kern w:val="2"/>
      <w:sz w:val="24"/>
    </w:rPr>
  </w:style>
  <w:style w:type="character" w:customStyle="1" w:styleId="956">
    <w:name w:val="gray6"/>
    <w:qFormat/>
    <w:uiPriority w:val="0"/>
    <w:rPr>
      <w:rFonts w:ascii="Arial" w:hAnsi="Arial" w:eastAsia="黑体" w:cs="Arial"/>
      <w:snapToGrid w:val="0"/>
      <w:kern w:val="0"/>
      <w:szCs w:val="21"/>
    </w:rPr>
  </w:style>
  <w:style w:type="character" w:customStyle="1" w:styleId="957">
    <w:name w:val="hui"/>
    <w:qFormat/>
    <w:uiPriority w:val="0"/>
    <w:rPr>
      <w:rFonts w:ascii="Arial" w:hAnsi="Arial" w:eastAsia="黑体" w:cs="Arial"/>
      <w:snapToGrid w:val="0"/>
      <w:kern w:val="0"/>
      <w:szCs w:val="21"/>
    </w:rPr>
  </w:style>
  <w:style w:type="character" w:customStyle="1" w:styleId="958">
    <w:name w:val="哈哈正文 Char Char"/>
    <w:qFormat/>
    <w:uiPriority w:val="0"/>
    <w:rPr>
      <w:rFonts w:ascii="宋体" w:hAnsi="宋体" w:eastAsia="宋体" w:cs="宋体"/>
      <w:kern w:val="2"/>
      <w:sz w:val="24"/>
      <w:lang w:val="en-US" w:eastAsia="zh-CN" w:bidi="ar-SA"/>
    </w:rPr>
  </w:style>
  <w:style w:type="character" w:customStyle="1" w:styleId="959">
    <w:name w:val="无间隔 字符"/>
    <w:link w:val="167"/>
    <w:qFormat/>
    <w:uiPriority w:val="99"/>
    <w:rPr>
      <w:kern w:val="2"/>
      <w:sz w:val="21"/>
      <w:szCs w:val="22"/>
    </w:rPr>
  </w:style>
  <w:style w:type="character" w:customStyle="1" w:styleId="960">
    <w:name w:val="交叉引用"/>
    <w:qFormat/>
    <w:uiPriority w:val="1"/>
    <w:rPr>
      <w:rFonts w:ascii="Arial" w:hAnsi="Arial" w:eastAsia="黑体"/>
      <w:snapToGrid w:val="0"/>
      <w:color w:val="0000FF"/>
      <w:kern w:val="0"/>
      <w:sz w:val="20"/>
      <w:szCs w:val="21"/>
      <w:u w:val="single"/>
      <w:lang w:val="en-US" w:eastAsia="zh-CN"/>
    </w:rPr>
  </w:style>
  <w:style w:type="character" w:customStyle="1" w:styleId="961">
    <w:name w:val="正文缩进 字符1"/>
    <w:qFormat/>
    <w:uiPriority w:val="0"/>
    <w:rPr>
      <w:rFonts w:ascii="宋体" w:eastAsia="宋体"/>
      <w:snapToGrid w:val="0"/>
      <w:color w:val="000000"/>
      <w:kern w:val="28"/>
      <w:sz w:val="28"/>
      <w:lang w:val="en-US" w:eastAsia="zh-CN" w:bidi="ar-SA"/>
    </w:rPr>
  </w:style>
  <w:style w:type="character" w:customStyle="1" w:styleId="962">
    <w:name w:val="页脚 字符1"/>
    <w:qFormat/>
    <w:locked/>
    <w:uiPriority w:val="99"/>
    <w:rPr>
      <w:kern w:val="2"/>
      <w:sz w:val="18"/>
      <w:szCs w:val="18"/>
    </w:rPr>
  </w:style>
  <w:style w:type="character" w:customStyle="1" w:styleId="963">
    <w:name w:val="页眉 字符1"/>
    <w:qFormat/>
    <w:uiPriority w:val="99"/>
    <w:rPr>
      <w:kern w:val="2"/>
      <w:sz w:val="18"/>
      <w:szCs w:val="18"/>
    </w:rPr>
  </w:style>
  <w:style w:type="character" w:customStyle="1" w:styleId="964">
    <w:name w:val="标准文本 Char Char"/>
    <w:link w:val="606"/>
    <w:qFormat/>
    <w:uiPriority w:val="0"/>
    <w:rPr>
      <w:rFonts w:cs="宋体"/>
      <w:kern w:val="2"/>
      <w:sz w:val="24"/>
    </w:rPr>
  </w:style>
  <w:style w:type="character" w:customStyle="1" w:styleId="965">
    <w:name w:val="Char Char213"/>
    <w:qFormat/>
    <w:uiPriority w:val="0"/>
    <w:rPr>
      <w:rFonts w:eastAsia="Century Gothic"/>
      <w:b/>
      <w:bCs/>
      <w:kern w:val="44"/>
      <w:sz w:val="32"/>
      <w:szCs w:val="44"/>
      <w:lang w:val="en-US" w:eastAsia="zh-CN" w:bidi="ar-SA"/>
    </w:rPr>
  </w:style>
  <w:style w:type="character" w:customStyle="1" w:styleId="966">
    <w:name w:val="apple-style-span"/>
    <w:qFormat/>
    <w:uiPriority w:val="0"/>
    <w:rPr>
      <w:rFonts w:ascii="Arial" w:hAnsi="Arial" w:eastAsia="黑体" w:cs="Arial"/>
      <w:snapToGrid w:val="0"/>
      <w:kern w:val="0"/>
      <w:szCs w:val="21"/>
    </w:rPr>
  </w:style>
  <w:style w:type="character" w:customStyle="1" w:styleId="967">
    <w:name w:val="15"/>
    <w:qFormat/>
    <w:uiPriority w:val="0"/>
    <w:rPr>
      <w:rFonts w:hint="default" w:ascii="Calibri" w:hAnsi="Calibri"/>
      <w:color w:val="0000FF"/>
      <w:u w:val="single"/>
    </w:rPr>
  </w:style>
  <w:style w:type="character" w:customStyle="1" w:styleId="968">
    <w:name w:val="16"/>
    <w:qFormat/>
    <w:uiPriority w:val="0"/>
    <w:rPr>
      <w:rFonts w:hint="eastAsia" w:ascii="宋体" w:hAnsi="宋体" w:eastAsia="宋体"/>
      <w:color w:val="000000"/>
      <w:sz w:val="20"/>
      <w:szCs w:val="20"/>
    </w:rPr>
  </w:style>
  <w:style w:type="character" w:customStyle="1" w:styleId="969">
    <w:name w:val="edui-unclickable"/>
    <w:qFormat/>
    <w:uiPriority w:val="0"/>
    <w:rPr>
      <w:color w:val="808080"/>
    </w:rPr>
  </w:style>
  <w:style w:type="character" w:customStyle="1" w:styleId="970">
    <w:name w:val="tpc_content1"/>
    <w:qFormat/>
    <w:uiPriority w:val="0"/>
    <w:rPr>
      <w:sz w:val="20"/>
      <w:szCs w:val="20"/>
    </w:rPr>
  </w:style>
  <w:style w:type="character" w:customStyle="1" w:styleId="971">
    <w:name w:val="正文文本缩进 字符"/>
    <w:qFormat/>
    <w:uiPriority w:val="0"/>
    <w:rPr>
      <w:rFonts w:ascii="Century Gothic" w:hAnsi="Century Gothic" w:eastAsia="Century Gothic"/>
      <w:kern w:val="2"/>
      <w:sz w:val="24"/>
      <w:lang w:val="en-US" w:eastAsia="zh-CN" w:bidi="ar-SA"/>
    </w:rPr>
  </w:style>
  <w:style w:type="character" w:customStyle="1" w:styleId="972">
    <w:name w:val="正文文本 2 字符"/>
    <w:qFormat/>
    <w:uiPriority w:val="0"/>
    <w:rPr>
      <w:rFonts w:ascii="Arial" w:hAnsi="Arial" w:eastAsia="宋体"/>
      <w:kern w:val="2"/>
      <w:sz w:val="24"/>
      <w:szCs w:val="24"/>
      <w:lang w:val="en-US" w:eastAsia="zh-CN" w:bidi="ar-SA"/>
    </w:rPr>
  </w:style>
  <w:style w:type="character" w:customStyle="1" w:styleId="973">
    <w:name w:val="edui-clickable2"/>
    <w:qFormat/>
    <w:uiPriority w:val="0"/>
    <w:rPr>
      <w:color w:val="0000FF"/>
      <w:u w:val="single"/>
    </w:rPr>
  </w:style>
  <w:style w:type="character" w:customStyle="1" w:styleId="974">
    <w:name w:val="style1"/>
    <w:qFormat/>
    <w:uiPriority w:val="0"/>
    <w:rPr>
      <w:rFonts w:ascii="Arial" w:hAnsi="Arial" w:eastAsia="黑体" w:cs="Arial"/>
      <w:snapToGrid w:val="0"/>
      <w:kern w:val="0"/>
      <w:szCs w:val="21"/>
    </w:rPr>
  </w:style>
  <w:style w:type="character" w:customStyle="1" w:styleId="975">
    <w:name w:val="zbggtop11 style5"/>
    <w:qFormat/>
    <w:uiPriority w:val="0"/>
    <w:rPr>
      <w:rFonts w:ascii="Arial" w:hAnsi="Arial" w:eastAsia="黑体" w:cs="Arial"/>
      <w:snapToGrid w:val="0"/>
      <w:kern w:val="0"/>
      <w:szCs w:val="21"/>
    </w:rPr>
  </w:style>
  <w:style w:type="character" w:customStyle="1" w:styleId="97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77">
    <w:name w:val="bulletintext1"/>
    <w:qFormat/>
    <w:uiPriority w:val="0"/>
    <w:rPr>
      <w:color w:val="000000"/>
      <w:sz w:val="18"/>
    </w:rPr>
  </w:style>
  <w:style w:type="character" w:customStyle="1" w:styleId="978">
    <w:name w:val="ksfind_class_select1"/>
    <w:qFormat/>
    <w:uiPriority w:val="0"/>
    <w:rPr>
      <w:color w:val="000000"/>
      <w:shd w:val="clear" w:color="auto" w:fill="EFD200"/>
    </w:rPr>
  </w:style>
  <w:style w:type="character" w:customStyle="1" w:styleId="979">
    <w:name w:val="font71"/>
    <w:basedOn w:val="69"/>
    <w:qFormat/>
    <w:uiPriority w:val="0"/>
    <w:rPr>
      <w:rFonts w:hint="eastAsia" w:ascii="宋体" w:hAnsi="宋体" w:eastAsia="宋体" w:cs="宋体"/>
      <w:color w:val="000000"/>
      <w:sz w:val="22"/>
      <w:szCs w:val="22"/>
      <w:u w:val="none"/>
    </w:rPr>
  </w:style>
  <w:style w:type="character" w:customStyle="1" w:styleId="980">
    <w:name w:val="font91"/>
    <w:qFormat/>
    <w:uiPriority w:val="0"/>
    <w:rPr>
      <w:rFonts w:hint="eastAsia" w:ascii="仿宋" w:hAnsi="仿宋" w:eastAsia="仿宋" w:cs="仿宋"/>
      <w:color w:val="000000"/>
      <w:sz w:val="22"/>
      <w:szCs w:val="22"/>
      <w:u w:val="none"/>
    </w:rPr>
  </w:style>
  <w:style w:type="character" w:customStyle="1" w:styleId="981">
    <w:name w:val="未处理的提及2"/>
    <w:unhideWhenUsed/>
    <w:qFormat/>
    <w:uiPriority w:val="99"/>
    <w:rPr>
      <w:color w:val="605E5C"/>
      <w:shd w:val="clear" w:color="auto" w:fill="E1DFDD"/>
    </w:rPr>
  </w:style>
  <w:style w:type="character" w:customStyle="1" w:styleId="982">
    <w:name w:val="_正文 Char"/>
    <w:link w:val="621"/>
    <w:qFormat/>
    <w:uiPriority w:val="0"/>
    <w:rPr>
      <w:rFonts w:eastAsia="宋体" w:cs="Times New Roman"/>
      <w:kern w:val="2"/>
      <w:sz w:val="24"/>
      <w:szCs w:val="24"/>
    </w:rPr>
  </w:style>
  <w:style w:type="character" w:customStyle="1" w:styleId="983">
    <w:name w:val="亚运 5级标题 字符"/>
    <w:link w:val="622"/>
    <w:qFormat/>
    <w:uiPriority w:val="0"/>
    <w:rPr>
      <w:rFonts w:ascii="宋体" w:hAnsi="宋体"/>
      <w:color w:val="000000"/>
      <w:kern w:val="2"/>
      <w:sz w:val="24"/>
      <w:szCs w:val="28"/>
    </w:rPr>
  </w:style>
  <w:style w:type="character" w:customStyle="1" w:styleId="984">
    <w:name w:val="正文缩 Char"/>
    <w:link w:val="625"/>
    <w:qFormat/>
    <w:uiPriority w:val="0"/>
    <w:rPr>
      <w:rFonts w:eastAsia="楷体_GB2312"/>
      <w:kern w:val="2"/>
      <w:sz w:val="24"/>
      <w:szCs w:val="24"/>
    </w:rPr>
  </w:style>
  <w:style w:type="character" w:customStyle="1" w:styleId="985">
    <w:name w:val="未处理的提及3"/>
    <w:unhideWhenUsed/>
    <w:qFormat/>
    <w:uiPriority w:val="99"/>
    <w:rPr>
      <w:color w:val="605E5C"/>
      <w:shd w:val="clear" w:color="auto" w:fill="E1DFDD"/>
    </w:rPr>
  </w:style>
  <w:style w:type="character" w:customStyle="1" w:styleId="986">
    <w:name w:val="亚运3级标题 字符"/>
    <w:link w:val="626"/>
    <w:qFormat/>
    <w:uiPriority w:val="0"/>
    <w:rPr>
      <w:rFonts w:ascii="黑体" w:hAnsi="黑体" w:eastAsia="仿宋" w:cs="Arial"/>
      <w:bCs/>
      <w:kern w:val="2"/>
      <w:sz w:val="30"/>
      <w:szCs w:val="30"/>
    </w:rPr>
  </w:style>
  <w:style w:type="character" w:customStyle="1" w:styleId="987">
    <w:name w:val="亚运 4级标题 字符"/>
    <w:link w:val="627"/>
    <w:qFormat/>
    <w:uiPriority w:val="0"/>
    <w:rPr>
      <w:rFonts w:ascii="黑体" w:hAnsi="黑体" w:eastAsia="仿宋" w:cs="Times New Roman"/>
      <w:color w:val="000000"/>
      <w:kern w:val="0"/>
      <w:sz w:val="30"/>
      <w:szCs w:val="30"/>
    </w:rPr>
  </w:style>
  <w:style w:type="character" w:customStyle="1" w:styleId="988">
    <w:name w:val="未处理的提及4"/>
    <w:basedOn w:val="69"/>
    <w:unhideWhenUsed/>
    <w:qFormat/>
    <w:uiPriority w:val="99"/>
    <w:rPr>
      <w:color w:val="605E5C"/>
      <w:shd w:val="clear" w:color="auto" w:fill="E1DFDD"/>
    </w:rPr>
  </w:style>
  <w:style w:type="character" w:customStyle="1" w:styleId="989">
    <w:name w:val="未处理的提及5"/>
    <w:basedOn w:val="69"/>
    <w:unhideWhenUsed/>
    <w:qFormat/>
    <w:uiPriority w:val="99"/>
    <w:rPr>
      <w:color w:val="605E5C"/>
      <w:shd w:val="clear" w:color="auto" w:fill="E1DFDD"/>
    </w:rPr>
  </w:style>
  <w:style w:type="character" w:customStyle="1" w:styleId="990">
    <w:name w:val="ca-41"/>
    <w:qFormat/>
    <w:uiPriority w:val="0"/>
    <w:rPr>
      <w:rFonts w:hint="eastAsia" w:ascii="仿宋_GB2312" w:eastAsia="仿宋_GB2312"/>
      <w:sz w:val="24"/>
      <w:szCs w:val="24"/>
    </w:rPr>
  </w:style>
  <w:style w:type="character" w:customStyle="1" w:styleId="991">
    <w:name w:val="ca-61"/>
    <w:qFormat/>
    <w:uiPriority w:val="0"/>
    <w:rPr>
      <w:rFonts w:hint="eastAsia" w:ascii="仿宋_GB2312" w:eastAsia="仿宋_GB2312"/>
      <w:b/>
      <w:bCs/>
      <w:spacing w:val="-20"/>
      <w:sz w:val="24"/>
      <w:szCs w:val="24"/>
    </w:rPr>
  </w:style>
  <w:style w:type="character" w:customStyle="1" w:styleId="992">
    <w:name w:val="bookmark-item"/>
    <w:basedOn w:val="69"/>
    <w:qFormat/>
    <w:uiPriority w:val="0"/>
  </w:style>
  <w:style w:type="character" w:customStyle="1" w:styleId="993">
    <w:name w:val="font121"/>
    <w:basedOn w:val="69"/>
    <w:qFormat/>
    <w:uiPriority w:val="0"/>
    <w:rPr>
      <w:rFonts w:hint="eastAsia" w:ascii="等线" w:hAnsi="等线" w:eastAsia="等线" w:cs="等线"/>
      <w:color w:val="000000"/>
      <w:sz w:val="24"/>
      <w:szCs w:val="24"/>
      <w:u w:val="none"/>
    </w:rPr>
  </w:style>
  <w:style w:type="character" w:customStyle="1" w:styleId="994">
    <w:name w:val="font271"/>
    <w:basedOn w:val="69"/>
    <w:qFormat/>
    <w:uiPriority w:val="0"/>
    <w:rPr>
      <w:rFonts w:hint="eastAsia" w:ascii="宋体" w:hAnsi="宋体" w:eastAsia="宋体" w:cs="宋体"/>
      <w:color w:val="000000"/>
      <w:sz w:val="22"/>
      <w:szCs w:val="22"/>
      <w:u w:val="none"/>
    </w:rPr>
  </w:style>
  <w:style w:type="character" w:customStyle="1" w:styleId="995">
    <w:name w:val="font131"/>
    <w:basedOn w:val="69"/>
    <w:qFormat/>
    <w:uiPriority w:val="0"/>
    <w:rPr>
      <w:rFonts w:hint="eastAsia" w:ascii="等线" w:hAnsi="等线" w:eastAsia="等线" w:cs="等线"/>
      <w:color w:val="000000"/>
      <w:sz w:val="24"/>
      <w:szCs w:val="24"/>
      <w:u w:val="none"/>
    </w:rPr>
  </w:style>
  <w:style w:type="character" w:customStyle="1" w:styleId="996">
    <w:name w:val="font151"/>
    <w:basedOn w:val="69"/>
    <w:qFormat/>
    <w:uiPriority w:val="0"/>
    <w:rPr>
      <w:rFonts w:hint="eastAsia" w:ascii="等线" w:hAnsi="等线" w:eastAsia="等线" w:cs="等线"/>
      <w:color w:val="000000"/>
      <w:sz w:val="22"/>
      <w:szCs w:val="22"/>
      <w:u w:val="none"/>
    </w:rPr>
  </w:style>
  <w:style w:type="character" w:customStyle="1" w:styleId="997">
    <w:name w:val="font161"/>
    <w:basedOn w:val="69"/>
    <w:qFormat/>
    <w:uiPriority w:val="0"/>
    <w:rPr>
      <w:rFonts w:hint="eastAsia" w:ascii="等线" w:hAnsi="等线" w:eastAsia="等线" w:cs="等线"/>
      <w:color w:val="000000"/>
      <w:sz w:val="22"/>
      <w:szCs w:val="22"/>
      <w:u w:val="none"/>
    </w:rPr>
  </w:style>
  <w:style w:type="character" w:customStyle="1" w:styleId="998">
    <w:name w:val="font261"/>
    <w:basedOn w:val="69"/>
    <w:qFormat/>
    <w:uiPriority w:val="0"/>
    <w:rPr>
      <w:rFonts w:ascii="Arial" w:hAnsi="Arial" w:cs="Arial"/>
      <w:color w:val="000000"/>
      <w:sz w:val="22"/>
      <w:szCs w:val="22"/>
      <w:u w:val="none"/>
    </w:rPr>
  </w:style>
  <w:style w:type="character" w:customStyle="1" w:styleId="999">
    <w:name w:val="font281"/>
    <w:basedOn w:val="69"/>
    <w:qFormat/>
    <w:uiPriority w:val="0"/>
    <w:rPr>
      <w:rFonts w:hint="default" w:ascii="Arial" w:hAnsi="Arial" w:cs="Arial"/>
      <w:color w:val="000000"/>
      <w:sz w:val="16"/>
      <w:szCs w:val="16"/>
      <w:u w:val="none"/>
    </w:rPr>
  </w:style>
  <w:style w:type="character" w:customStyle="1" w:styleId="1000">
    <w:name w:val="font291"/>
    <w:basedOn w:val="69"/>
    <w:qFormat/>
    <w:uiPriority w:val="0"/>
    <w:rPr>
      <w:rFonts w:hint="eastAsia" w:ascii="宋体" w:hAnsi="宋体" w:eastAsia="宋体" w:cs="宋体"/>
      <w:color w:val="000000"/>
      <w:sz w:val="16"/>
      <w:szCs w:val="16"/>
      <w:u w:val="none"/>
    </w:rPr>
  </w:style>
  <w:style w:type="character" w:customStyle="1" w:styleId="1001">
    <w:name w:val="未处理的提及6"/>
    <w:basedOn w:val="69"/>
    <w:unhideWhenUsed/>
    <w:qFormat/>
    <w:uiPriority w:val="99"/>
    <w:rPr>
      <w:color w:val="605E5C"/>
      <w:shd w:val="clear" w:color="auto" w:fill="E1DFDD"/>
    </w:rPr>
  </w:style>
  <w:style w:type="table" w:customStyle="1" w:styleId="1002">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3">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4">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4.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3.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2.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2.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4" Type="http://schemas.openxmlformats.org/officeDocument/2006/relationships/fontTable" Target="fontTable.xml"/><Relationship Id="rId133" Type="http://schemas.openxmlformats.org/officeDocument/2006/relationships/numbering" Target="numbering.xml"/><Relationship Id="rId132" Type="http://schemas.openxmlformats.org/officeDocument/2006/relationships/customXml" Target="../customXml/item1.xml"/><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50"/>
    <customShpInfo spid="_x0000_s2049"/>
    <customShpInfo spid="_x0000_s1028" textRotate="1"/>
    <customShpInfo spid="_x0000_s1164"/>
    <customShpInfo spid="_x0000_s116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142</Pages>
  <Words>15210</Words>
  <Characters>86700</Characters>
  <Lines>722</Lines>
  <Paragraphs>203</Paragraphs>
  <TotalTime>0</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2022-02-10T09:28:00Z</dcterms:created>
  <dc:creator>Lenovo</dc:creator>
  <cp:lastModifiedBy>金佳霖</cp:lastModifiedBy>
  <cp:lastPrinted>2022-02-09T12:15:00Z</cp:lastPrinted>
  <dcterms:modified xsi:type="dcterms:W3CDTF">2022-03-12T10:30:50Z</dcterms:modified>
  <dc:title>余杭区市民之家大厅及食堂家具采购项目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1F6224EF43AE4296B01C7BA09143B041</vt:lpwstr>
  </property>
</Properties>
</file>