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spacing w:before="120" w:after="120" w:line="360" w:lineRule="auto"/>
        <w:jc w:val="center"/>
        <w:rPr>
          <w:rFonts w:hint="default" w:hAnsi="宋体" w:eastAsia="宋体" w:cs="宋体"/>
          <w:b/>
          <w:bCs/>
          <w:sz w:val="44"/>
          <w:szCs w:val="44"/>
          <w:lang w:val="en-US" w:eastAsia="zh-CN"/>
        </w:rPr>
      </w:pPr>
    </w:p>
    <w:p>
      <w:pPr>
        <w:pStyle w:val="35"/>
        <w:spacing w:before="120" w:after="120" w:line="360" w:lineRule="auto"/>
        <w:jc w:val="center"/>
        <w:rPr>
          <w:rFonts w:hint="eastAsia" w:hAnsi="宋体" w:eastAsia="宋体" w:cs="宋体"/>
          <w:b/>
          <w:bCs/>
          <w:sz w:val="44"/>
          <w:szCs w:val="44"/>
          <w:lang w:eastAsia="zh-CN"/>
        </w:rPr>
      </w:pPr>
      <w:r>
        <w:rPr>
          <w:rFonts w:hint="eastAsia" w:hAnsi="宋体" w:cs="宋体"/>
          <w:b/>
          <w:bCs/>
          <w:sz w:val="44"/>
          <w:szCs w:val="44"/>
          <w:lang w:eastAsia="zh-CN"/>
        </w:rPr>
        <w:t>梅蓉村室内乐园和临展项目</w:t>
      </w:r>
    </w:p>
    <w:p/>
    <w:p>
      <w:pPr>
        <w:pStyle w:val="35"/>
        <w:spacing w:before="120" w:after="120" w:line="360" w:lineRule="auto"/>
        <w:jc w:val="center"/>
        <w:rPr>
          <w:rFonts w:hAnsi="宋体" w:cs="宋体"/>
          <w:b/>
          <w:bCs/>
          <w:sz w:val="56"/>
          <w:szCs w:val="52"/>
        </w:rPr>
      </w:pPr>
      <w:r>
        <w:rPr>
          <w:rFonts w:hint="eastAsia" w:hAnsi="宋体" w:cs="宋体"/>
          <w:b/>
          <w:bCs/>
          <w:sz w:val="56"/>
          <w:szCs w:val="52"/>
        </w:rPr>
        <w:t>招标文件</w:t>
      </w:r>
    </w:p>
    <w:p>
      <w:pPr>
        <w:pStyle w:val="35"/>
        <w:spacing w:before="120" w:after="120" w:line="480" w:lineRule="auto"/>
        <w:jc w:val="center"/>
        <w:rPr>
          <w:rFonts w:hAnsi="宋体" w:cs="宋体"/>
          <w:sz w:val="36"/>
          <w:szCs w:val="36"/>
        </w:rPr>
      </w:pPr>
      <w:r>
        <w:rPr>
          <w:rFonts w:hint="eastAsia" w:hAnsi="宋体" w:cs="宋体"/>
          <w:sz w:val="36"/>
          <w:szCs w:val="36"/>
        </w:rPr>
        <w:t>（非政府采购项目）</w:t>
      </w:r>
    </w:p>
    <w:p>
      <w:pPr>
        <w:spacing w:line="480" w:lineRule="auto"/>
        <w:jc w:val="center"/>
        <w:rPr>
          <w:rFonts w:ascii="宋体" w:hAnsi="宋体" w:cs="宋体"/>
          <w:sz w:val="28"/>
          <w:szCs w:val="28"/>
        </w:rPr>
      </w:pPr>
      <w:r>
        <w:rPr>
          <w:rFonts w:hint="eastAsia" w:ascii="宋体" w:hAnsi="宋体" w:cs="宋体"/>
          <w:sz w:val="28"/>
          <w:szCs w:val="28"/>
        </w:rPr>
        <w:t>（编号：</w:t>
      </w:r>
      <w:r>
        <w:rPr>
          <w:rFonts w:hint="eastAsia" w:ascii="宋体" w:hAnsi="宋体" w:cs="宋体"/>
          <w:sz w:val="28"/>
          <w:szCs w:val="28"/>
          <w:lang w:eastAsia="zh-CN"/>
        </w:rPr>
        <w:t>HBCG-TL2024023</w:t>
      </w:r>
      <w:r>
        <w:rPr>
          <w:rFonts w:hint="eastAsia" w:ascii="宋体" w:hAnsi="宋体" w:cs="宋体"/>
          <w:sz w:val="28"/>
          <w:szCs w:val="28"/>
        </w:rPr>
        <w:t>）</w:t>
      </w:r>
    </w:p>
    <w:p>
      <w:pPr>
        <w:pStyle w:val="27"/>
        <w:rPr>
          <w:rFonts w:ascii="宋体" w:hAnsi="宋体" w:cs="宋体"/>
          <w:szCs w:val="22"/>
        </w:rPr>
      </w:pPr>
    </w:p>
    <w:p>
      <w:pPr>
        <w:pStyle w:val="28"/>
        <w:ind w:firstLine="280"/>
        <w:rPr>
          <w:rFonts w:ascii="宋体" w:hAnsi="宋体" w:cs="宋体"/>
          <w:sz w:val="28"/>
        </w:rPr>
      </w:pPr>
    </w:p>
    <w:p>
      <w:pPr>
        <w:rPr>
          <w:rFonts w:ascii="宋体" w:hAnsi="宋体" w:cs="宋体"/>
          <w:sz w:val="28"/>
        </w:rPr>
      </w:pPr>
    </w:p>
    <w:p>
      <w:pPr>
        <w:pStyle w:val="43"/>
      </w:pPr>
    </w:p>
    <w:p>
      <w:pPr>
        <w:pStyle w:val="28"/>
        <w:ind w:firstLine="210"/>
      </w:pPr>
    </w:p>
    <w:p>
      <w:pPr>
        <w:tabs>
          <w:tab w:val="left" w:pos="1980"/>
          <w:tab w:val="left" w:pos="3240"/>
          <w:tab w:val="left" w:pos="3420"/>
          <w:tab w:val="left" w:pos="3600"/>
          <w:tab w:val="left" w:pos="3780"/>
        </w:tabs>
        <w:spacing w:line="600" w:lineRule="auto"/>
        <w:ind w:left="1598" w:leftChars="304" w:hanging="960" w:hangingChars="300"/>
        <w:rPr>
          <w:rFonts w:ascii="宋体" w:hAnsi="宋体" w:cs="宋体"/>
          <w:sz w:val="32"/>
          <w:szCs w:val="32"/>
          <w:u w:val="single"/>
        </w:rPr>
      </w:pPr>
      <w:r>
        <w:rPr>
          <w:rFonts w:hint="eastAsia" w:ascii="宋体" w:hAnsi="宋体" w:cs="宋体"/>
          <w:sz w:val="32"/>
          <w:szCs w:val="32"/>
        </w:rPr>
        <w:t>采购单位：</w:t>
      </w:r>
      <w:r>
        <w:rPr>
          <w:rFonts w:hint="eastAsia" w:ascii="宋体" w:hAnsi="宋体" w:cs="宋体"/>
          <w:sz w:val="32"/>
          <w:szCs w:val="32"/>
          <w:highlight w:val="none"/>
          <w:u w:val="single"/>
          <w:lang w:eastAsia="zh-CN"/>
        </w:rPr>
        <w:t>杭州三江富春乡村振兴发展有限公司</w:t>
      </w:r>
      <w:r>
        <w:rPr>
          <w:rFonts w:hint="eastAsia" w:ascii="宋体" w:hAnsi="宋体" w:cs="宋体"/>
          <w:sz w:val="32"/>
          <w:szCs w:val="32"/>
          <w:u w:val="single"/>
        </w:rPr>
        <w:t>（盖章）</w:t>
      </w:r>
    </w:p>
    <w:p>
      <w:pPr>
        <w:tabs>
          <w:tab w:val="left" w:pos="1980"/>
          <w:tab w:val="left" w:pos="3240"/>
          <w:tab w:val="left" w:pos="3420"/>
          <w:tab w:val="left" w:pos="3600"/>
          <w:tab w:val="left" w:pos="3780"/>
        </w:tabs>
        <w:spacing w:line="600" w:lineRule="auto"/>
        <w:ind w:firstLine="640" w:firstLineChars="200"/>
        <w:rPr>
          <w:rFonts w:ascii="宋体" w:hAnsi="宋体" w:cs="宋体"/>
          <w:sz w:val="32"/>
          <w:szCs w:val="32"/>
          <w:u w:val="single"/>
        </w:rPr>
      </w:pPr>
      <w:r>
        <w:rPr>
          <w:rFonts w:hint="eastAsia" w:ascii="宋体" w:hAnsi="宋体" w:cs="宋体"/>
          <w:sz w:val="32"/>
          <w:szCs w:val="32"/>
        </w:rPr>
        <w:t>采购机构：</w:t>
      </w:r>
      <w:r>
        <w:rPr>
          <w:rFonts w:hint="eastAsia" w:ascii="宋体" w:hAnsi="宋体" w:cs="宋体"/>
          <w:sz w:val="32"/>
          <w:szCs w:val="32"/>
          <w:u w:val="single"/>
        </w:rPr>
        <w:t xml:space="preserve"> </w:t>
      </w:r>
      <w:r>
        <w:rPr>
          <w:rFonts w:hint="eastAsia" w:ascii="宋体" w:hAnsi="宋体" w:cs="宋体"/>
          <w:sz w:val="32"/>
          <w:szCs w:val="32"/>
          <w:u w:val="single"/>
          <w:lang w:val="en-US" w:eastAsia="zh-CN"/>
        </w:rPr>
        <w:t xml:space="preserve">      </w:t>
      </w:r>
      <w:r>
        <w:rPr>
          <w:rFonts w:hint="eastAsia" w:ascii="宋体" w:hAnsi="宋体" w:cs="宋体"/>
          <w:sz w:val="32"/>
          <w:szCs w:val="32"/>
          <w:u w:val="single"/>
        </w:rPr>
        <w:t xml:space="preserve">海标工程管理有限公司 </w:t>
      </w:r>
      <w:r>
        <w:rPr>
          <w:rFonts w:hint="eastAsia" w:ascii="宋体" w:hAnsi="宋体" w:cs="宋体"/>
          <w:sz w:val="32"/>
          <w:szCs w:val="32"/>
          <w:u w:val="single"/>
          <w:lang w:val="en-US" w:eastAsia="zh-CN"/>
        </w:rPr>
        <w:t xml:space="preserve">    </w:t>
      </w:r>
      <w:r>
        <w:rPr>
          <w:rFonts w:hint="eastAsia" w:ascii="宋体" w:hAnsi="宋体" w:cs="宋体"/>
          <w:sz w:val="32"/>
          <w:szCs w:val="32"/>
          <w:u w:val="single"/>
        </w:rPr>
        <w:t>（盖章）</w:t>
      </w:r>
    </w:p>
    <w:p>
      <w:pPr>
        <w:tabs>
          <w:tab w:val="left" w:pos="1980"/>
          <w:tab w:val="left" w:pos="3240"/>
          <w:tab w:val="left" w:pos="3420"/>
          <w:tab w:val="left" w:pos="3600"/>
          <w:tab w:val="left" w:pos="3780"/>
        </w:tabs>
        <w:spacing w:line="600" w:lineRule="auto"/>
        <w:ind w:firstLine="640" w:firstLineChars="200"/>
        <w:rPr>
          <w:rFonts w:ascii="宋体" w:hAnsi="宋体" w:cs="宋体"/>
          <w:sz w:val="32"/>
          <w:szCs w:val="32"/>
          <w:u w:val="single"/>
        </w:rPr>
      </w:pPr>
      <w:r>
        <w:rPr>
          <w:rFonts w:hint="eastAsia" w:ascii="宋体" w:hAnsi="宋体" w:cs="宋体"/>
          <w:sz w:val="32"/>
          <w:szCs w:val="32"/>
        </w:rPr>
        <w:t>主管单位：</w:t>
      </w:r>
      <w:r>
        <w:rPr>
          <w:rFonts w:hint="eastAsia" w:ascii="宋体" w:hAnsi="宋体" w:cs="宋体"/>
          <w:sz w:val="32"/>
          <w:szCs w:val="32"/>
          <w:u w:val="single"/>
          <w:lang w:val="en-US" w:eastAsia="zh-CN"/>
        </w:rPr>
        <w:t xml:space="preserve">  </w:t>
      </w:r>
      <w:r>
        <w:rPr>
          <w:rFonts w:hint="eastAsia" w:ascii="宋体" w:hAnsi="宋体" w:cs="宋体"/>
          <w:sz w:val="32"/>
          <w:szCs w:val="32"/>
          <w:u w:val="single"/>
          <w:lang w:eastAsia="zh-CN"/>
        </w:rPr>
        <w:t>桐庐县文化旅游投资集团有限公司</w:t>
      </w:r>
      <w:r>
        <w:rPr>
          <w:rFonts w:hint="eastAsia" w:ascii="宋体" w:hAnsi="宋体" w:cs="宋体"/>
          <w:sz w:val="32"/>
          <w:szCs w:val="32"/>
          <w:u w:val="single"/>
        </w:rPr>
        <w:t>（盖章）</w:t>
      </w:r>
    </w:p>
    <w:p>
      <w:pPr>
        <w:pStyle w:val="43"/>
      </w:pPr>
    </w:p>
    <w:p>
      <w:pPr>
        <w:spacing w:line="480" w:lineRule="auto"/>
        <w:ind w:right="-108"/>
        <w:jc w:val="center"/>
        <w:rPr>
          <w:rFonts w:ascii="宋体" w:hAnsi="宋体" w:cs="宋体"/>
          <w:sz w:val="32"/>
          <w:szCs w:val="32"/>
        </w:rPr>
        <w:sectPr>
          <w:headerReference r:id="rId3" w:type="default"/>
          <w:footerReference r:id="rId4" w:type="default"/>
          <w:pgSz w:w="11906" w:h="16838"/>
          <w:pgMar w:top="1417" w:right="1417" w:bottom="1417" w:left="1417" w:header="851" w:footer="851" w:gutter="0"/>
          <w:pgNumType w:chapStyle="1" w:chapSep="colon"/>
          <w:cols w:space="720" w:num="1"/>
          <w:docGrid w:linePitch="286" w:charSpace="0"/>
        </w:sectPr>
      </w:pPr>
      <w:r>
        <w:rPr>
          <w:rFonts w:ascii="宋体" w:hAnsi="宋体" w:cs="宋体"/>
          <w:sz w:val="32"/>
          <w:szCs w:val="32"/>
        </w:rPr>
        <w:t>202</w:t>
      </w:r>
      <w:r>
        <w:rPr>
          <w:rFonts w:hint="eastAsia" w:ascii="宋体" w:hAnsi="宋体" w:cs="宋体"/>
          <w:sz w:val="32"/>
          <w:szCs w:val="32"/>
          <w:lang w:val="en-US" w:eastAsia="zh-CN"/>
        </w:rPr>
        <w:t>4</w:t>
      </w:r>
      <w:r>
        <w:rPr>
          <w:rFonts w:ascii="宋体" w:hAnsi="宋体" w:cs="宋体"/>
          <w:sz w:val="32"/>
          <w:szCs w:val="32"/>
        </w:rPr>
        <w:t>年</w:t>
      </w:r>
      <w:r>
        <w:rPr>
          <w:rFonts w:hint="eastAsia" w:ascii="宋体" w:hAnsi="宋体" w:cs="宋体"/>
          <w:sz w:val="32"/>
          <w:szCs w:val="32"/>
          <w:lang w:val="en-US" w:eastAsia="zh-CN"/>
        </w:rPr>
        <w:t>4</w:t>
      </w:r>
      <w:r>
        <w:rPr>
          <w:rFonts w:hint="eastAsia" w:ascii="宋体" w:hAnsi="宋体" w:cs="宋体"/>
          <w:sz w:val="32"/>
          <w:szCs w:val="32"/>
        </w:rPr>
        <w:t>月</w:t>
      </w:r>
    </w:p>
    <w:p>
      <w:pPr>
        <w:pStyle w:val="43"/>
      </w:pPr>
    </w:p>
    <w:p>
      <w:pPr>
        <w:spacing w:line="480" w:lineRule="auto"/>
        <w:ind w:right="-108" w:firstLine="3313" w:firstLineChars="750"/>
        <w:rPr>
          <w:rFonts w:asciiTheme="minorEastAsia" w:hAnsiTheme="minorEastAsia" w:eastAsiaTheme="minorEastAsia"/>
          <w:sz w:val="44"/>
          <w:szCs w:val="44"/>
        </w:rPr>
      </w:pPr>
      <w:r>
        <w:rPr>
          <w:rFonts w:hint="eastAsia" w:asciiTheme="minorEastAsia" w:hAnsiTheme="minorEastAsia" w:eastAsiaTheme="minorEastAsia"/>
          <w:b/>
          <w:color w:val="000000"/>
          <w:sz w:val="44"/>
          <w:szCs w:val="44"/>
        </w:rPr>
        <w:t>目    录</w:t>
      </w:r>
    </w:p>
    <w:p>
      <w:pPr>
        <w:pStyle w:val="43"/>
        <w:tabs>
          <w:tab w:val="right" w:leader="dot" w:pos="8820"/>
        </w:tabs>
        <w:spacing w:line="480" w:lineRule="auto"/>
      </w:pPr>
      <w:r>
        <w:rPr>
          <w:rFonts w:asciiTheme="minorEastAsia" w:hAnsiTheme="minorEastAsia" w:eastAsiaTheme="minorEastAsia"/>
          <w:color w:val="000000"/>
          <w:sz w:val="30"/>
          <w:szCs w:val="30"/>
        </w:rPr>
        <w:fldChar w:fldCharType="begin"/>
      </w:r>
      <w:r>
        <w:rPr>
          <w:rFonts w:asciiTheme="minorEastAsia" w:hAnsiTheme="minorEastAsia" w:eastAsiaTheme="minorEastAsia"/>
          <w:color w:val="000000"/>
          <w:sz w:val="30"/>
          <w:szCs w:val="30"/>
        </w:rPr>
        <w:instrText xml:space="preserve"> TOC \o "1-1" \h \z \u </w:instrText>
      </w:r>
      <w:r>
        <w:rPr>
          <w:rFonts w:asciiTheme="minorEastAsia" w:hAnsiTheme="minorEastAsia" w:eastAsiaTheme="minorEastAsia"/>
          <w:color w:val="000000"/>
          <w:sz w:val="30"/>
          <w:szCs w:val="30"/>
        </w:rPr>
        <w:fldChar w:fldCharType="separate"/>
      </w:r>
      <w:r>
        <w:fldChar w:fldCharType="begin"/>
      </w:r>
      <w:r>
        <w:instrText xml:space="preserve"> HYPERLINK \l "_Toc15963" </w:instrText>
      </w:r>
      <w:r>
        <w:fldChar w:fldCharType="separate"/>
      </w:r>
      <w:r>
        <w:rPr>
          <w:rFonts w:hint="eastAsia" w:asciiTheme="minorEastAsia" w:hAnsiTheme="minorEastAsia" w:eastAsiaTheme="minorEastAsia"/>
        </w:rPr>
        <w:t>第一章  公开招标采购公告</w:t>
      </w:r>
      <w:r>
        <w:tab/>
      </w:r>
      <w:r>
        <w:fldChar w:fldCharType="begin"/>
      </w:r>
      <w:r>
        <w:instrText xml:space="preserve"> PAGEREF _Toc15963 \h </w:instrText>
      </w:r>
      <w:r>
        <w:fldChar w:fldCharType="separate"/>
      </w:r>
      <w:r>
        <w:t>3</w:t>
      </w:r>
      <w:r>
        <w:fldChar w:fldCharType="end"/>
      </w:r>
      <w:r>
        <w:fldChar w:fldCharType="end"/>
      </w:r>
    </w:p>
    <w:p>
      <w:pPr>
        <w:pStyle w:val="43"/>
        <w:tabs>
          <w:tab w:val="right" w:leader="dot" w:pos="8820"/>
        </w:tabs>
        <w:spacing w:line="480" w:lineRule="auto"/>
      </w:pPr>
      <w:r>
        <w:fldChar w:fldCharType="begin"/>
      </w:r>
      <w:r>
        <w:instrText xml:space="preserve"> HYPERLINK \l "_Toc27232" </w:instrText>
      </w:r>
      <w:r>
        <w:fldChar w:fldCharType="separate"/>
      </w:r>
      <w:r>
        <w:rPr>
          <w:rFonts w:hint="eastAsia" w:asciiTheme="minorEastAsia" w:hAnsiTheme="minorEastAsia" w:eastAsiaTheme="minorEastAsia"/>
          <w:szCs w:val="36"/>
        </w:rPr>
        <w:t>第二章  投标人须知</w:t>
      </w:r>
      <w:r>
        <w:tab/>
      </w:r>
      <w:r>
        <w:fldChar w:fldCharType="begin"/>
      </w:r>
      <w:r>
        <w:instrText xml:space="preserve"> PAGEREF _Toc27232 \h </w:instrText>
      </w:r>
      <w:r>
        <w:fldChar w:fldCharType="separate"/>
      </w:r>
      <w:r>
        <w:t>7</w:t>
      </w:r>
      <w:r>
        <w:fldChar w:fldCharType="end"/>
      </w:r>
      <w:r>
        <w:fldChar w:fldCharType="end"/>
      </w:r>
    </w:p>
    <w:p>
      <w:pPr>
        <w:pStyle w:val="43"/>
        <w:tabs>
          <w:tab w:val="right" w:leader="dot" w:pos="8820"/>
        </w:tabs>
        <w:spacing w:line="480" w:lineRule="auto"/>
      </w:pPr>
      <w:r>
        <w:fldChar w:fldCharType="begin"/>
      </w:r>
      <w:r>
        <w:instrText xml:space="preserve"> HYPERLINK \l "_Toc31492" </w:instrText>
      </w:r>
      <w:r>
        <w:fldChar w:fldCharType="separate"/>
      </w:r>
      <w:r>
        <w:rPr>
          <w:rFonts w:hint="eastAsia" w:asciiTheme="minorEastAsia" w:hAnsiTheme="minorEastAsia" w:eastAsiaTheme="minorEastAsia"/>
          <w:szCs w:val="36"/>
        </w:rPr>
        <w:t>第三章  评标办法及评分标准</w:t>
      </w:r>
      <w:r>
        <w:tab/>
      </w:r>
      <w:r>
        <w:fldChar w:fldCharType="begin"/>
      </w:r>
      <w:r>
        <w:instrText xml:space="preserve"> PAGEREF _Toc31492 \h </w:instrText>
      </w:r>
      <w:r>
        <w:fldChar w:fldCharType="separate"/>
      </w:r>
      <w:r>
        <w:t>19</w:t>
      </w:r>
      <w:r>
        <w:fldChar w:fldCharType="end"/>
      </w:r>
      <w:r>
        <w:fldChar w:fldCharType="end"/>
      </w:r>
    </w:p>
    <w:p>
      <w:pPr>
        <w:pStyle w:val="43"/>
        <w:tabs>
          <w:tab w:val="right" w:leader="dot" w:pos="8820"/>
        </w:tabs>
        <w:spacing w:line="480" w:lineRule="auto"/>
      </w:pPr>
      <w:r>
        <w:fldChar w:fldCharType="begin"/>
      </w:r>
      <w:r>
        <w:instrText xml:space="preserve"> HYPERLINK \l "_Toc25398" </w:instrText>
      </w:r>
      <w:r>
        <w:fldChar w:fldCharType="separate"/>
      </w:r>
      <w:r>
        <w:rPr>
          <w:rFonts w:hint="eastAsia" w:asciiTheme="minorEastAsia" w:hAnsiTheme="minorEastAsia" w:eastAsiaTheme="minorEastAsia"/>
          <w:szCs w:val="36"/>
        </w:rPr>
        <w:t>第四章 采购需求</w:t>
      </w:r>
      <w:r>
        <w:tab/>
      </w:r>
      <w:r>
        <w:fldChar w:fldCharType="begin"/>
      </w:r>
      <w:r>
        <w:instrText xml:space="preserve"> PAGEREF _Toc25398 \h </w:instrText>
      </w:r>
      <w:r>
        <w:fldChar w:fldCharType="separate"/>
      </w:r>
      <w:r>
        <w:t>23</w:t>
      </w:r>
      <w:r>
        <w:fldChar w:fldCharType="end"/>
      </w:r>
      <w:r>
        <w:fldChar w:fldCharType="end"/>
      </w:r>
    </w:p>
    <w:p>
      <w:pPr>
        <w:pStyle w:val="43"/>
        <w:tabs>
          <w:tab w:val="right" w:leader="dot" w:pos="8820"/>
        </w:tabs>
        <w:spacing w:line="480" w:lineRule="auto"/>
        <w:rPr>
          <w:rFonts w:hint="eastAsia" w:eastAsia="仿宋"/>
          <w:lang w:val="en-US" w:eastAsia="zh-CN"/>
        </w:rPr>
      </w:pPr>
      <w:r>
        <w:fldChar w:fldCharType="begin"/>
      </w:r>
      <w:r>
        <w:instrText xml:space="preserve"> HYPERLINK \l "_Toc7466" </w:instrText>
      </w:r>
      <w:r>
        <w:fldChar w:fldCharType="separate"/>
      </w:r>
      <w:r>
        <w:rPr>
          <w:rFonts w:hint="eastAsia" w:asciiTheme="minorEastAsia" w:hAnsiTheme="minorEastAsia" w:eastAsiaTheme="minorEastAsia"/>
          <w:szCs w:val="36"/>
        </w:rPr>
        <w:t>第五章  采购合同</w:t>
      </w:r>
      <w:r>
        <w:tab/>
      </w:r>
      <w:r>
        <w:rPr>
          <w:rFonts w:hint="eastAsia"/>
          <w:lang w:val="en-US" w:eastAsia="zh-CN"/>
        </w:rPr>
        <w:t>4</w:t>
      </w:r>
      <w:r>
        <w:fldChar w:fldCharType="end"/>
      </w:r>
      <w:r>
        <w:rPr>
          <w:rFonts w:hint="eastAsia"/>
          <w:lang w:val="en-US" w:eastAsia="zh-CN"/>
        </w:rPr>
        <w:t>9</w:t>
      </w:r>
    </w:p>
    <w:p>
      <w:pPr>
        <w:pStyle w:val="43"/>
        <w:tabs>
          <w:tab w:val="right" w:leader="dot" w:pos="8820"/>
        </w:tabs>
        <w:spacing w:line="480" w:lineRule="auto"/>
      </w:pPr>
      <w:r>
        <w:fldChar w:fldCharType="begin"/>
      </w:r>
      <w:r>
        <w:instrText xml:space="preserve"> HYPERLINK \l "_Toc31239" </w:instrText>
      </w:r>
      <w:r>
        <w:fldChar w:fldCharType="separate"/>
      </w:r>
      <w:r>
        <w:rPr>
          <w:rFonts w:hint="eastAsia" w:asciiTheme="minorEastAsia" w:hAnsiTheme="minorEastAsia" w:eastAsiaTheme="minorEastAsia"/>
          <w:szCs w:val="36"/>
        </w:rPr>
        <w:t>第六章  投标文件格式附件</w:t>
      </w:r>
      <w:r>
        <w:tab/>
      </w:r>
      <w:r>
        <w:fldChar w:fldCharType="begin"/>
      </w:r>
      <w:r>
        <w:instrText xml:space="preserve"> PAGEREF _Toc31239 \h </w:instrText>
      </w:r>
      <w:r>
        <w:fldChar w:fldCharType="separate"/>
      </w:r>
      <w:r>
        <w:t>56</w:t>
      </w:r>
      <w:r>
        <w:fldChar w:fldCharType="end"/>
      </w:r>
      <w:r>
        <w:fldChar w:fldCharType="end"/>
      </w:r>
    </w:p>
    <w:p>
      <w:pPr>
        <w:snapToGrid w:val="0"/>
        <w:spacing w:beforeLines="50" w:afterLines="50" w:line="480" w:lineRule="auto"/>
        <w:ind w:left="165"/>
        <w:rPr>
          <w:rFonts w:asciiTheme="minorEastAsia" w:hAnsiTheme="minorEastAsia" w:eastAsiaTheme="minorEastAsia"/>
          <w:color w:val="000000"/>
          <w:sz w:val="30"/>
          <w:szCs w:val="30"/>
        </w:rPr>
      </w:pPr>
      <w:r>
        <w:rPr>
          <w:rFonts w:asciiTheme="minorEastAsia" w:hAnsiTheme="minorEastAsia" w:eastAsiaTheme="minorEastAsia"/>
          <w:color w:val="000000"/>
          <w:szCs w:val="30"/>
        </w:rPr>
        <w:fldChar w:fldCharType="end"/>
      </w:r>
    </w:p>
    <w:p>
      <w:pPr>
        <w:pStyle w:val="2"/>
        <w:rPr>
          <w:rFonts w:asciiTheme="minorEastAsia" w:hAnsiTheme="minorEastAsia" w:eastAsiaTheme="minorEastAsia"/>
        </w:rPr>
      </w:pPr>
      <w:r>
        <w:rPr>
          <w:rFonts w:asciiTheme="minorEastAsia" w:hAnsiTheme="minorEastAsia" w:eastAsiaTheme="minorEastAsia"/>
          <w:sz w:val="32"/>
          <w:szCs w:val="32"/>
        </w:rPr>
        <w:br w:type="page"/>
      </w:r>
      <w:bookmarkStart w:id="0" w:name="_Toc15963"/>
      <w:r>
        <w:rPr>
          <w:rFonts w:hint="eastAsia" w:asciiTheme="minorEastAsia" w:hAnsiTheme="minorEastAsia" w:eastAsiaTheme="minorEastAsia"/>
        </w:rPr>
        <w:t>第一章  公开招标采购公告</w:t>
      </w:r>
      <w:bookmarkEnd w:id="0"/>
    </w:p>
    <w:p>
      <w:pPr>
        <w:snapToGrid w:val="0"/>
        <w:spacing w:line="360" w:lineRule="auto"/>
        <w:rPr>
          <w:rFonts w:cs="仿宋" w:asciiTheme="minorEastAsia" w:hAnsiTheme="minorEastAsia" w:eastAsiaTheme="minorEastAsia"/>
          <w:sz w:val="24"/>
          <w:szCs w:val="24"/>
        </w:rPr>
      </w:pPr>
      <w:r>
        <w:rPr>
          <w:rFonts w:hint="eastAsia" w:asciiTheme="minorEastAsia" w:hAnsiTheme="minorEastAsia" w:eastAsiaTheme="minorEastAsia"/>
          <w:sz w:val="24"/>
          <w:szCs w:val="24"/>
        </w:rPr>
        <w:t xml:space="preserve">     经</w:t>
      </w:r>
      <w:r>
        <w:rPr>
          <w:rFonts w:hint="eastAsia" w:cs="Courier New" w:asciiTheme="minorEastAsia" w:hAnsiTheme="minorEastAsia" w:eastAsiaTheme="minorEastAsia"/>
          <w:sz w:val="24"/>
          <w:szCs w:val="24"/>
        </w:rPr>
        <w:t>有关部门</w:t>
      </w:r>
      <w:r>
        <w:rPr>
          <w:rFonts w:hint="eastAsia" w:asciiTheme="minorEastAsia" w:hAnsiTheme="minorEastAsia" w:eastAsiaTheme="minorEastAsia"/>
          <w:sz w:val="24"/>
          <w:szCs w:val="24"/>
        </w:rPr>
        <w:t>批准，现就</w:t>
      </w:r>
      <w:r>
        <w:rPr>
          <w:rFonts w:hint="eastAsia" w:asciiTheme="minorEastAsia" w:hAnsiTheme="minorEastAsia" w:eastAsiaTheme="minorEastAsia"/>
          <w:b/>
          <w:sz w:val="24"/>
          <w:szCs w:val="24"/>
          <w:lang w:eastAsia="zh-CN"/>
        </w:rPr>
        <w:t>梅蓉村室内乐园和临展项目</w:t>
      </w:r>
      <w:r>
        <w:rPr>
          <w:rFonts w:hint="eastAsia" w:asciiTheme="minorEastAsia" w:hAnsiTheme="minorEastAsia" w:eastAsiaTheme="minorEastAsia"/>
          <w:sz w:val="24"/>
          <w:szCs w:val="24"/>
        </w:rPr>
        <w:t>进行公开招标采购，欢迎符合资格条件的供应商前来投标：</w:t>
      </w:r>
    </w:p>
    <w:p>
      <w:pPr>
        <w:pStyle w:val="3"/>
        <w:spacing w:before="0" w:after="0" w:line="360" w:lineRule="auto"/>
        <w:ind w:left="425"/>
        <w:rPr>
          <w:rFonts w:cs="仿宋" w:asciiTheme="minorEastAsia" w:hAnsiTheme="minorEastAsia" w:eastAsiaTheme="minorEastAsia"/>
          <w:bCs w:val="0"/>
          <w:sz w:val="24"/>
          <w:szCs w:val="24"/>
        </w:rPr>
      </w:pPr>
      <w:bookmarkStart w:id="1" w:name="_Toc35393629"/>
      <w:bookmarkStart w:id="2" w:name="_Toc58230994"/>
      <w:bookmarkStart w:id="3" w:name="_Toc28359012"/>
      <w:bookmarkStart w:id="4" w:name="_Toc28359089"/>
      <w:bookmarkStart w:id="5" w:name="_Toc35393798"/>
      <w:r>
        <w:rPr>
          <w:rFonts w:hint="eastAsia" w:cs="仿宋" w:asciiTheme="minorEastAsia" w:hAnsiTheme="minorEastAsia" w:eastAsiaTheme="minorEastAsia"/>
          <w:bCs w:val="0"/>
          <w:sz w:val="24"/>
          <w:szCs w:val="24"/>
        </w:rPr>
        <w:t>一、项目基本情况</w:t>
      </w:r>
      <w:bookmarkEnd w:id="1"/>
      <w:bookmarkEnd w:id="2"/>
      <w:bookmarkEnd w:id="3"/>
      <w:bookmarkEnd w:id="4"/>
      <w:bookmarkEnd w:id="5"/>
    </w:p>
    <w:p>
      <w:pPr>
        <w:spacing w:line="360" w:lineRule="auto"/>
        <w:ind w:firstLine="480" w:firstLineChars="200"/>
        <w:rPr>
          <w:rFonts w:hint="eastAsia" w:cs="仿宋" w:asciiTheme="minorEastAsia" w:hAnsiTheme="minorEastAsia" w:eastAsiaTheme="minorEastAsia"/>
          <w:sz w:val="24"/>
          <w:lang w:eastAsia="zh-CN"/>
        </w:rPr>
      </w:pPr>
      <w:r>
        <w:rPr>
          <w:rFonts w:hint="eastAsia" w:cs="仿宋" w:asciiTheme="minorEastAsia" w:hAnsiTheme="minorEastAsia" w:eastAsiaTheme="minorEastAsia"/>
          <w:sz w:val="24"/>
        </w:rPr>
        <w:t>（一）项目编号：</w:t>
      </w:r>
      <w:r>
        <w:rPr>
          <w:rFonts w:hint="eastAsia" w:cs="仿宋" w:asciiTheme="minorEastAsia" w:hAnsiTheme="minorEastAsia" w:eastAsiaTheme="minorEastAsia"/>
          <w:sz w:val="24"/>
          <w:lang w:eastAsia="zh-CN"/>
        </w:rPr>
        <w:t>HBCG-TL2024023</w:t>
      </w:r>
    </w:p>
    <w:p>
      <w:pPr>
        <w:spacing w:line="360" w:lineRule="auto"/>
        <w:ind w:firstLine="480" w:firstLineChars="200"/>
        <w:rPr>
          <w:rFonts w:cs="仿宋" w:asciiTheme="minorEastAsia" w:hAnsiTheme="minorEastAsia" w:eastAsiaTheme="minorEastAsia"/>
          <w:sz w:val="24"/>
          <w:u w:val="single"/>
        </w:rPr>
      </w:pPr>
      <w:r>
        <w:rPr>
          <w:rFonts w:hint="eastAsia" w:cs="仿宋" w:asciiTheme="minorEastAsia" w:hAnsiTheme="minorEastAsia" w:eastAsiaTheme="minorEastAsia"/>
          <w:sz w:val="24"/>
        </w:rPr>
        <w:t>（二）采购组织类型：国企采购（非政府采购项目）</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（三）采购方式：公开招标</w:t>
      </w:r>
    </w:p>
    <w:p>
      <w:pPr>
        <w:spacing w:line="360" w:lineRule="auto"/>
        <w:ind w:firstLine="480" w:firstLineChars="200"/>
      </w:pPr>
      <w:r>
        <w:rPr>
          <w:rFonts w:hint="eastAsia" w:cs="仿宋" w:asciiTheme="minorEastAsia" w:hAnsiTheme="minorEastAsia" w:eastAsiaTheme="minorEastAsia"/>
          <w:sz w:val="24"/>
        </w:rPr>
        <w:t>（四）预算金额：</w:t>
      </w:r>
      <w:r>
        <w:rPr>
          <w:rFonts w:hint="eastAsia" w:cs="仿宋" w:asciiTheme="minorEastAsia" w:hAnsiTheme="minorEastAsia" w:eastAsiaTheme="minorEastAsia"/>
          <w:sz w:val="24"/>
          <w:highlight w:val="none"/>
          <w:lang w:eastAsia="zh-CN"/>
        </w:rPr>
        <w:t>4900000</w:t>
      </w:r>
      <w:r>
        <w:rPr>
          <w:rFonts w:cs="仿宋" w:asciiTheme="minorEastAsia" w:hAnsiTheme="minorEastAsia" w:eastAsiaTheme="minorEastAsia"/>
          <w:sz w:val="24"/>
        </w:rPr>
        <w:t>元</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（五）最高限价：</w:t>
      </w:r>
      <w:r>
        <w:rPr>
          <w:rFonts w:hint="eastAsia" w:cs="仿宋" w:asciiTheme="minorEastAsia" w:hAnsiTheme="minorEastAsia" w:eastAsiaTheme="minorEastAsia"/>
          <w:sz w:val="24"/>
          <w:lang w:val="en-US" w:eastAsia="zh-CN"/>
        </w:rPr>
        <w:t>4900000</w:t>
      </w:r>
      <w:r>
        <w:rPr>
          <w:rFonts w:cs="仿宋" w:asciiTheme="minorEastAsia" w:hAnsiTheme="minorEastAsia" w:eastAsiaTheme="minorEastAsia"/>
          <w:sz w:val="24"/>
        </w:rPr>
        <w:t>元</w:t>
      </w:r>
    </w:p>
    <w:p>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pPr>
      <w:r>
        <w:rPr>
          <w:rFonts w:hint="eastAsia" w:cs="仿宋" w:asciiTheme="minorEastAsia" w:hAnsiTheme="minorEastAsia" w:eastAsiaTheme="minorEastAsia"/>
          <w:sz w:val="24"/>
        </w:rPr>
        <w:t>（六）采购内容：</w:t>
      </w:r>
      <w:r>
        <w:rPr>
          <w:rFonts w:hint="eastAsia" w:cs="仿宋" w:asciiTheme="minorEastAsia" w:hAnsiTheme="minorEastAsia" w:eastAsiaTheme="minorEastAsia"/>
          <w:kern w:val="2"/>
          <w:sz w:val="24"/>
          <w:szCs w:val="22"/>
          <w:lang w:val="en-US" w:eastAsia="zh-CN" w:bidi="ar-SA"/>
        </w:rPr>
        <w:t>对梅蓉村现有三处存量物业进行IP主题乐园整体串联策划设计、供货、安装，同时策划夏季主题开园活动展示并完成设计制作安装。具体详见采购需求。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cs="仿宋" w:asciiTheme="minorEastAsia" w:hAnsiTheme="minorEastAsia" w:eastAsiaTheme="minorEastAsia"/>
          <w:sz w:val="24"/>
        </w:rPr>
      </w:pPr>
      <w:r>
        <w:rPr>
          <w:rFonts w:hint="eastAsia" w:cs="仿宋" w:asciiTheme="minorEastAsia" w:hAnsiTheme="minorEastAsia" w:eastAsiaTheme="minorEastAsia"/>
          <w:sz w:val="24"/>
        </w:rPr>
        <w:t>（七）</w:t>
      </w:r>
      <w:r>
        <w:rPr>
          <w:rFonts w:hint="eastAsia" w:cs="仿宋" w:asciiTheme="minorEastAsia" w:hAnsiTheme="minorEastAsia" w:eastAsiaTheme="minorEastAsia"/>
          <w:sz w:val="24"/>
          <w:lang w:val="en-US" w:eastAsia="zh-CN"/>
        </w:rPr>
        <w:t>供货期</w:t>
      </w:r>
      <w:r>
        <w:rPr>
          <w:rFonts w:hint="eastAsia" w:cs="仿宋" w:asciiTheme="minorEastAsia" w:hAnsiTheme="minorEastAsia" w:eastAsiaTheme="minorEastAsia"/>
          <w:kern w:val="2"/>
          <w:sz w:val="24"/>
          <w:szCs w:val="22"/>
          <w:lang w:val="en-US" w:eastAsia="zh-CN" w:bidi="ar-SA"/>
        </w:rPr>
        <w:t>：项目整体供货期45天，即须在45天内完成本项目所有工作内容并通过履约验收，其中试营业节点前必须完成以下内容：除水世界区块外，其他所有游乐设施设备必须在</w:t>
      </w:r>
      <w:r>
        <w:rPr>
          <w:rFonts w:hint="eastAsia" w:cs="仿宋" w:asciiTheme="minorEastAsia" w:hAnsiTheme="minorEastAsia" w:eastAsiaTheme="minorEastAsia"/>
          <w:kern w:val="2"/>
          <w:sz w:val="24"/>
          <w:szCs w:val="22"/>
          <w:highlight w:val="yellow"/>
          <w:lang w:val="en-US" w:eastAsia="zh-CN" w:bidi="ar-SA"/>
        </w:rPr>
        <w:t>5月24日前</w:t>
      </w:r>
      <w:r>
        <w:rPr>
          <w:rFonts w:hint="eastAsia" w:cs="仿宋" w:asciiTheme="minorEastAsia" w:hAnsiTheme="minorEastAsia" w:eastAsiaTheme="minorEastAsia"/>
          <w:kern w:val="2"/>
          <w:sz w:val="24"/>
          <w:szCs w:val="22"/>
          <w:lang w:val="en-US" w:eastAsia="zh-CN" w:bidi="ar-SA"/>
        </w:rPr>
        <w:t>完成安装调试通过试运行并完成验收，现场的布展宣发内容（包括场地清理）必须在5月30日前完成。</w:t>
      </w:r>
    </w:p>
    <w:p>
      <w:pPr>
        <w:pStyle w:val="3"/>
        <w:snapToGrid w:val="0"/>
        <w:spacing w:before="0" w:after="0" w:line="360" w:lineRule="auto"/>
        <w:ind w:left="425"/>
        <w:rPr>
          <w:rFonts w:cs="仿宋" w:asciiTheme="minorEastAsia" w:hAnsiTheme="minorEastAsia" w:eastAsiaTheme="minorEastAsia"/>
          <w:bCs w:val="0"/>
          <w:sz w:val="24"/>
          <w:szCs w:val="24"/>
        </w:rPr>
      </w:pPr>
      <w:bookmarkStart w:id="6" w:name="_Toc28359090"/>
      <w:bookmarkStart w:id="7" w:name="_Toc28359013"/>
      <w:bookmarkStart w:id="8" w:name="_Toc58230995"/>
      <w:bookmarkStart w:id="9" w:name="_Toc35393799"/>
      <w:bookmarkStart w:id="10" w:name="_Toc35393630"/>
      <w:r>
        <w:rPr>
          <w:rFonts w:hint="eastAsia" w:cs="仿宋" w:asciiTheme="minorEastAsia" w:hAnsiTheme="minorEastAsia" w:eastAsiaTheme="minorEastAsia"/>
          <w:bCs w:val="0"/>
          <w:sz w:val="24"/>
          <w:szCs w:val="24"/>
        </w:rPr>
        <w:t>二、申请人的资格要求：</w:t>
      </w:r>
      <w:bookmarkEnd w:id="6"/>
      <w:bookmarkEnd w:id="7"/>
      <w:bookmarkEnd w:id="8"/>
      <w:bookmarkEnd w:id="9"/>
      <w:bookmarkEnd w:id="10"/>
    </w:p>
    <w:p>
      <w:pPr>
        <w:spacing w:line="360" w:lineRule="auto"/>
        <w:ind w:firstLine="480" w:firstLineChars="200"/>
        <w:rPr>
          <w:rFonts w:hint="eastAsia" w:cs="仿宋" w:asciiTheme="minorEastAsia" w:hAnsiTheme="minorEastAsia" w:eastAsiaTheme="minorEastAsia"/>
          <w:sz w:val="24"/>
          <w:lang w:val="en-US" w:eastAsia="zh-CN"/>
        </w:rPr>
      </w:pPr>
      <w:bookmarkStart w:id="11" w:name="_Toc35393631"/>
      <w:bookmarkStart w:id="12" w:name="_Toc28359014"/>
      <w:bookmarkStart w:id="13" w:name="_Toc35393800"/>
      <w:bookmarkStart w:id="14" w:name="_Toc58230996"/>
      <w:bookmarkStart w:id="15" w:name="_Toc28359091"/>
      <w:r>
        <w:rPr>
          <w:rFonts w:hint="eastAsia" w:cs="仿宋" w:asciiTheme="minorEastAsia" w:hAnsiTheme="minorEastAsia" w:eastAsiaTheme="minorEastAsia"/>
          <w:sz w:val="24"/>
          <w:lang w:val="en-US" w:eastAsia="zh-CN"/>
        </w:rPr>
        <w:t>（一）根据桐国资办发[2023]1号文件规定，供应商应具备下列条件：</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 xml:space="preserve">1、具有独立承担民事责任的能力；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2、</w:t>
      </w:r>
      <w:r>
        <w:rPr>
          <w:rFonts w:hint="default" w:cs="仿宋" w:asciiTheme="minorEastAsia" w:hAnsiTheme="minorEastAsia" w:eastAsiaTheme="minorEastAsia"/>
          <w:sz w:val="24"/>
          <w:lang w:val="en-US" w:eastAsia="zh-CN"/>
        </w:rPr>
        <w:t xml:space="preserve">具有良好的商业信誉和健全的财务会计制度；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3、</w:t>
      </w:r>
      <w:r>
        <w:rPr>
          <w:rFonts w:hint="default" w:cs="仿宋" w:asciiTheme="minorEastAsia" w:hAnsiTheme="minorEastAsia" w:eastAsiaTheme="minorEastAsia"/>
          <w:sz w:val="24"/>
          <w:lang w:val="en-US" w:eastAsia="zh-CN"/>
        </w:rPr>
        <w:t xml:space="preserve">具有履行合同所必需的设备和专业技术、售后保障等能力；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4、</w:t>
      </w:r>
      <w:r>
        <w:rPr>
          <w:rFonts w:hint="default" w:cs="仿宋" w:asciiTheme="minorEastAsia" w:hAnsiTheme="minorEastAsia" w:eastAsiaTheme="minorEastAsia"/>
          <w:sz w:val="24"/>
          <w:lang w:val="en-US" w:eastAsia="zh-CN"/>
        </w:rPr>
        <w:t xml:space="preserve">有依法缴纳税收和社会保障资金的良好记录；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5、</w:t>
      </w:r>
      <w:r>
        <w:rPr>
          <w:rFonts w:hint="default" w:cs="仿宋" w:asciiTheme="minorEastAsia" w:hAnsiTheme="minorEastAsia" w:eastAsiaTheme="minorEastAsia"/>
          <w:sz w:val="24"/>
          <w:lang w:val="en-US" w:eastAsia="zh-CN"/>
        </w:rPr>
        <w:t xml:space="preserve">参加采购、招投标等活动前三年内，在经营活动中没有重大违法记录、严重失信行为和行贿记录； </w:t>
      </w:r>
    </w:p>
    <w:p>
      <w:pPr>
        <w:spacing w:line="360" w:lineRule="auto"/>
        <w:ind w:firstLine="480" w:firstLineChars="200"/>
        <w:rPr>
          <w:rFonts w:hint="default"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6、</w:t>
      </w:r>
      <w:r>
        <w:rPr>
          <w:rFonts w:hint="default" w:cs="仿宋" w:asciiTheme="minorEastAsia" w:hAnsiTheme="minorEastAsia" w:eastAsiaTheme="minorEastAsia"/>
          <w:sz w:val="24"/>
          <w:lang w:val="en-US" w:eastAsia="zh-CN"/>
        </w:rPr>
        <w:t xml:space="preserve">法律、行政法规规定的其他条件。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（二）未被“信用中国”（www.creditchina.gov.cn)、中国政府采购网（www.ccgp.gov.cn）列入失信被执行人、重大税收违法案件当事人名单、政府采购严重违法失信行为记录名单；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三）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pStyle w:val="3"/>
        <w:spacing w:before="0" w:after="0" w:line="360" w:lineRule="auto"/>
        <w:ind w:left="425"/>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三、获取采购文件</w:t>
      </w:r>
      <w:bookmarkEnd w:id="11"/>
      <w:bookmarkEnd w:id="12"/>
      <w:bookmarkEnd w:id="13"/>
      <w:bookmarkEnd w:id="14"/>
      <w:bookmarkEnd w:id="15"/>
    </w:p>
    <w:p>
      <w:pPr>
        <w:spacing w:line="360" w:lineRule="auto"/>
        <w:ind w:firstLine="540"/>
        <w:rPr>
          <w:rFonts w:cs="仿宋" w:asciiTheme="minorEastAsia" w:hAnsiTheme="minorEastAsia" w:eastAsiaTheme="minorEastAsia"/>
          <w:color w:val="FF0000"/>
          <w:sz w:val="24"/>
        </w:rPr>
      </w:pPr>
      <w:r>
        <w:rPr>
          <w:rFonts w:hint="eastAsia" w:cs="仿宋" w:asciiTheme="minorEastAsia" w:hAnsiTheme="minorEastAsia" w:eastAsiaTheme="minorEastAsia"/>
          <w:color w:val="FF0000"/>
          <w:sz w:val="24"/>
        </w:rPr>
        <w:t>时间：</w:t>
      </w:r>
      <w:r>
        <w:rPr>
          <w:rFonts w:hint="eastAsia" w:cs="仿宋" w:asciiTheme="minorEastAsia" w:hAnsiTheme="minorEastAsia" w:eastAsiaTheme="minorEastAsia"/>
          <w:color w:val="FF0000"/>
          <w:sz w:val="24"/>
          <w:u w:val="single"/>
        </w:rPr>
        <w:t>/</w:t>
      </w:r>
      <w:r>
        <w:rPr>
          <w:rFonts w:hint="eastAsia" w:cs="仿宋" w:asciiTheme="minorEastAsia" w:hAnsiTheme="minorEastAsia" w:eastAsiaTheme="minorEastAsia"/>
          <w:color w:val="FF0000"/>
          <w:sz w:val="24"/>
        </w:rPr>
        <w:t>至</w:t>
      </w:r>
      <w:r>
        <w:rPr>
          <w:rFonts w:cs="仿宋" w:asciiTheme="minorEastAsia" w:hAnsiTheme="minorEastAsia" w:eastAsiaTheme="minorEastAsia"/>
          <w:color w:val="FF0000"/>
          <w:sz w:val="24"/>
          <w:u w:val="single"/>
        </w:rPr>
        <w:t>202</w:t>
      </w:r>
      <w:r>
        <w:rPr>
          <w:rFonts w:hint="eastAsia" w:cs="仿宋" w:asciiTheme="minorEastAsia" w:hAnsiTheme="minorEastAsia" w:eastAsiaTheme="minorEastAsia"/>
          <w:color w:val="FF0000"/>
          <w:sz w:val="24"/>
          <w:u w:val="single"/>
          <w:lang w:val="en-US" w:eastAsia="zh-CN"/>
        </w:rPr>
        <w:t>4</w:t>
      </w:r>
      <w:r>
        <w:rPr>
          <w:rFonts w:cs="仿宋" w:asciiTheme="minorEastAsia" w:hAnsiTheme="minorEastAsia" w:eastAsiaTheme="minorEastAsia"/>
          <w:color w:val="FF0000"/>
          <w:sz w:val="24"/>
          <w:u w:val="single"/>
        </w:rPr>
        <w:t>年</w:t>
      </w:r>
      <w:r>
        <w:rPr>
          <w:rFonts w:hint="eastAsia" w:cs="仿宋" w:asciiTheme="minorEastAsia" w:hAnsiTheme="minorEastAsia" w:eastAsiaTheme="minorEastAsia"/>
          <w:color w:val="FF0000"/>
          <w:sz w:val="24"/>
          <w:u w:val="single"/>
          <w:lang w:val="en-US" w:eastAsia="zh-CN"/>
        </w:rPr>
        <w:t>4</w:t>
      </w:r>
      <w:r>
        <w:rPr>
          <w:rFonts w:hint="eastAsia" w:cs="仿宋" w:asciiTheme="minorEastAsia" w:hAnsiTheme="minorEastAsia" w:eastAsiaTheme="minorEastAsia"/>
          <w:color w:val="FF0000"/>
          <w:sz w:val="24"/>
          <w:u w:val="single"/>
        </w:rPr>
        <w:t>月</w:t>
      </w:r>
      <w:r>
        <w:rPr>
          <w:rFonts w:hint="eastAsia" w:cs="仿宋" w:asciiTheme="minorEastAsia" w:hAnsiTheme="minorEastAsia" w:eastAsiaTheme="minorEastAsia"/>
          <w:color w:val="FF0000"/>
          <w:sz w:val="24"/>
          <w:u w:val="single"/>
          <w:lang w:val="en-US" w:eastAsia="zh-CN"/>
        </w:rPr>
        <w:t>22</w:t>
      </w:r>
      <w:r>
        <w:rPr>
          <w:rFonts w:hint="eastAsia" w:cs="仿宋" w:asciiTheme="minorEastAsia" w:hAnsiTheme="minorEastAsia" w:eastAsiaTheme="minorEastAsia"/>
          <w:color w:val="FF0000"/>
          <w:sz w:val="24"/>
          <w:u w:val="single"/>
        </w:rPr>
        <w:t>日</w:t>
      </w:r>
      <w:r>
        <w:rPr>
          <w:rFonts w:hint="eastAsia" w:cs="仿宋" w:asciiTheme="minorEastAsia" w:hAnsiTheme="minorEastAsia" w:eastAsiaTheme="minorEastAsia"/>
          <w:color w:val="FF0000"/>
          <w:sz w:val="24"/>
        </w:rPr>
        <w:t>，每天上午</w:t>
      </w:r>
      <w:r>
        <w:rPr>
          <w:rFonts w:hint="eastAsia" w:cs="仿宋" w:asciiTheme="minorEastAsia" w:hAnsiTheme="minorEastAsia" w:eastAsiaTheme="minorEastAsia"/>
          <w:color w:val="FF0000"/>
          <w:sz w:val="24"/>
          <w:u w:val="single"/>
        </w:rPr>
        <w:t>00:00</w:t>
      </w:r>
      <w:r>
        <w:rPr>
          <w:rFonts w:hint="eastAsia" w:cs="仿宋" w:asciiTheme="minorEastAsia" w:hAnsiTheme="minorEastAsia" w:eastAsiaTheme="minorEastAsia"/>
          <w:color w:val="FF0000"/>
          <w:sz w:val="24"/>
        </w:rPr>
        <w:t>至</w:t>
      </w:r>
      <w:r>
        <w:rPr>
          <w:rFonts w:hint="eastAsia" w:cs="仿宋" w:asciiTheme="minorEastAsia" w:hAnsiTheme="minorEastAsia" w:eastAsiaTheme="minorEastAsia"/>
          <w:color w:val="FF0000"/>
          <w:sz w:val="24"/>
          <w:u w:val="single"/>
        </w:rPr>
        <w:t>12:00</w:t>
      </w:r>
      <w:r>
        <w:rPr>
          <w:rFonts w:hint="eastAsia" w:cs="仿宋" w:asciiTheme="minorEastAsia" w:hAnsiTheme="minorEastAsia" w:eastAsiaTheme="minorEastAsia"/>
          <w:color w:val="FF0000"/>
          <w:sz w:val="24"/>
        </w:rPr>
        <w:t>，下午</w:t>
      </w:r>
      <w:r>
        <w:rPr>
          <w:rFonts w:hint="eastAsia" w:cs="仿宋" w:asciiTheme="minorEastAsia" w:hAnsiTheme="minorEastAsia" w:eastAsiaTheme="minorEastAsia"/>
          <w:color w:val="FF0000"/>
          <w:sz w:val="24"/>
          <w:u w:val="single"/>
        </w:rPr>
        <w:t>12:00</w:t>
      </w:r>
      <w:r>
        <w:rPr>
          <w:rFonts w:hint="eastAsia" w:cs="仿宋" w:asciiTheme="minorEastAsia" w:hAnsiTheme="minorEastAsia" w:eastAsiaTheme="minorEastAsia"/>
          <w:color w:val="FF0000"/>
          <w:sz w:val="24"/>
        </w:rPr>
        <w:t>至</w:t>
      </w:r>
      <w:r>
        <w:rPr>
          <w:rFonts w:hint="eastAsia" w:cs="仿宋" w:asciiTheme="minorEastAsia" w:hAnsiTheme="minorEastAsia" w:eastAsiaTheme="minorEastAsia"/>
          <w:color w:val="FF0000"/>
          <w:sz w:val="24"/>
          <w:u w:val="single"/>
        </w:rPr>
        <w:t>23:59</w:t>
      </w:r>
      <w:r>
        <w:rPr>
          <w:rFonts w:hint="eastAsia" w:cs="仿宋" w:asciiTheme="minorEastAsia" w:hAnsiTheme="minorEastAsia" w:eastAsiaTheme="minorEastAsia"/>
          <w:color w:val="FF0000"/>
          <w:sz w:val="24"/>
        </w:rPr>
        <w:t>（北京时间，法定节假日除外 ）</w:t>
      </w:r>
    </w:p>
    <w:p>
      <w:pPr>
        <w:spacing w:line="360" w:lineRule="auto"/>
        <w:ind w:firstLine="540"/>
        <w:rPr>
          <w:rFonts w:cs="仿宋" w:asciiTheme="minorEastAsia" w:hAnsiTheme="minorEastAsia" w:eastAsiaTheme="minorEastAsia"/>
          <w:sz w:val="24"/>
        </w:rPr>
      </w:pPr>
      <w:r>
        <w:rPr>
          <w:rFonts w:hint="eastAsia" w:cs="仿宋" w:asciiTheme="minorEastAsia" w:hAnsiTheme="minorEastAsia" w:eastAsiaTheme="minorEastAsia"/>
          <w:sz w:val="24"/>
        </w:rPr>
        <w:t>地点：政采云平台（https://www.zcygov.cn/）或乐采云平台（https://www.lecaiyun.com/）。</w:t>
      </w:r>
    </w:p>
    <w:p>
      <w:pPr>
        <w:pStyle w:val="54"/>
        <w:spacing w:before="0" w:beforeAutospacing="0" w:after="0" w:afterAutospacing="0" w:line="360" w:lineRule="auto"/>
        <w:ind w:firstLine="480" w:firstLineChars="200"/>
        <w:rPr>
          <w:rFonts w:cs="仿宋" w:asciiTheme="minorEastAsia" w:hAnsiTheme="minorEastAsia" w:eastAsiaTheme="minorEastAsia"/>
          <w:kern w:val="2"/>
        </w:rPr>
      </w:pPr>
      <w:r>
        <w:rPr>
          <w:rFonts w:hint="eastAsia" w:cs="仿宋" w:asciiTheme="minorEastAsia" w:hAnsiTheme="minorEastAsia" w:eastAsiaTheme="minorEastAsia"/>
          <w:kern w:val="2"/>
        </w:rPr>
        <w:t xml:space="preserve">方式：潜在供应商登录政采云平台，在线申请获取采购文件（进入“项目采购”应用，在获取采购文件菜单中选择项目，申请获取采购文件，本项目采购文件不收取工本费；仅需浏览采购文件的供应商可点击“游客，浏览采购文件”直接下载采购文件浏览）。 </w:t>
      </w:r>
    </w:p>
    <w:p>
      <w:pPr>
        <w:pStyle w:val="54"/>
        <w:spacing w:before="0" w:beforeAutospacing="0" w:after="0" w:afterAutospacing="0" w:line="360" w:lineRule="auto"/>
        <w:ind w:firstLine="480" w:firstLineChars="200"/>
        <w:rPr>
          <w:rFonts w:cs="仿宋" w:asciiTheme="minorEastAsia" w:hAnsiTheme="minorEastAsia" w:eastAsiaTheme="minorEastAsia"/>
          <w:kern w:val="2"/>
        </w:rPr>
      </w:pPr>
      <w:r>
        <w:rPr>
          <w:rFonts w:hint="eastAsia" w:cs="仿宋" w:asciiTheme="minorEastAsia" w:hAnsiTheme="minorEastAsia" w:eastAsiaTheme="minorEastAsia"/>
          <w:kern w:val="2"/>
        </w:rPr>
        <w:t xml:space="preserve"> 售价（元）：0 </w:t>
      </w:r>
    </w:p>
    <w:p>
      <w:pPr>
        <w:pStyle w:val="3"/>
        <w:spacing w:before="0" w:after="0" w:line="360" w:lineRule="auto"/>
        <w:ind w:left="425"/>
        <w:rPr>
          <w:rFonts w:cs="仿宋" w:asciiTheme="minorEastAsia" w:hAnsiTheme="minorEastAsia" w:eastAsiaTheme="minorEastAsia"/>
          <w:bCs w:val="0"/>
          <w:sz w:val="24"/>
          <w:szCs w:val="24"/>
        </w:rPr>
      </w:pPr>
      <w:bookmarkStart w:id="16" w:name="_Toc28359015"/>
      <w:bookmarkStart w:id="17" w:name="_Toc28359092"/>
      <w:bookmarkStart w:id="18" w:name="_Toc35393801"/>
      <w:bookmarkStart w:id="19" w:name="_Toc58230997"/>
      <w:bookmarkStart w:id="20" w:name="_Toc35393632"/>
      <w:r>
        <w:rPr>
          <w:rFonts w:hint="eastAsia" w:cs="仿宋" w:asciiTheme="minorEastAsia" w:hAnsiTheme="minorEastAsia" w:eastAsiaTheme="minorEastAsia"/>
          <w:bCs w:val="0"/>
          <w:sz w:val="24"/>
          <w:szCs w:val="24"/>
        </w:rPr>
        <w:t>四、投标文件提交</w:t>
      </w:r>
      <w:bookmarkEnd w:id="16"/>
      <w:bookmarkEnd w:id="17"/>
      <w:bookmarkEnd w:id="18"/>
      <w:bookmarkEnd w:id="19"/>
      <w:bookmarkEnd w:id="20"/>
    </w:p>
    <w:p>
      <w:pPr>
        <w:snapToGrid w:val="0"/>
        <w:spacing w:line="360" w:lineRule="auto"/>
        <w:ind w:firstLine="482" w:firstLineChars="200"/>
        <w:rPr>
          <w:rFonts w:cs="仿宋" w:asciiTheme="minorEastAsia" w:hAnsiTheme="minorEastAsia" w:eastAsiaTheme="minorEastAsia"/>
          <w:b/>
          <w:sz w:val="24"/>
          <w:u w:val="single"/>
        </w:rPr>
      </w:pPr>
      <w:r>
        <w:rPr>
          <w:rFonts w:hint="eastAsia" w:cs="仿宋" w:asciiTheme="minorEastAsia" w:hAnsiTheme="minorEastAsia" w:eastAsiaTheme="minorEastAsia"/>
          <w:b/>
          <w:sz w:val="24"/>
        </w:rPr>
        <w:t>截止时间：</w:t>
      </w:r>
      <w:r>
        <w:rPr>
          <w:rFonts w:hint="eastAsia" w:cs="仿宋" w:asciiTheme="minorEastAsia" w:hAnsiTheme="minorEastAsia" w:eastAsiaTheme="minorEastAsia"/>
          <w:b/>
          <w:color w:val="FF0000"/>
          <w:sz w:val="24"/>
          <w:u w:val="single"/>
        </w:rPr>
        <w:t>/至</w:t>
      </w:r>
      <w:r>
        <w:rPr>
          <w:rFonts w:cs="仿宋" w:asciiTheme="minorEastAsia" w:hAnsiTheme="minorEastAsia" w:eastAsiaTheme="minorEastAsia"/>
          <w:b/>
          <w:color w:val="FF0000"/>
          <w:sz w:val="24"/>
          <w:u w:val="single"/>
        </w:rPr>
        <w:t>202</w:t>
      </w:r>
      <w:r>
        <w:rPr>
          <w:rFonts w:hint="eastAsia" w:cs="仿宋" w:asciiTheme="minorEastAsia" w:hAnsiTheme="minorEastAsia" w:eastAsiaTheme="minorEastAsia"/>
          <w:b/>
          <w:color w:val="FF0000"/>
          <w:sz w:val="24"/>
          <w:u w:val="single"/>
          <w:lang w:val="en-US" w:eastAsia="zh-CN"/>
        </w:rPr>
        <w:t>4</w:t>
      </w:r>
      <w:r>
        <w:rPr>
          <w:rFonts w:cs="仿宋" w:asciiTheme="minorEastAsia" w:hAnsiTheme="minorEastAsia" w:eastAsiaTheme="minorEastAsia"/>
          <w:b/>
          <w:color w:val="FF0000"/>
          <w:sz w:val="24"/>
          <w:u w:val="single"/>
        </w:rPr>
        <w:t>年</w:t>
      </w:r>
      <w:r>
        <w:rPr>
          <w:rFonts w:hint="eastAsia" w:cs="仿宋" w:asciiTheme="minorEastAsia" w:hAnsiTheme="minorEastAsia" w:eastAsiaTheme="minorEastAsia"/>
          <w:b/>
          <w:color w:val="FF0000"/>
          <w:sz w:val="24"/>
          <w:u w:val="single"/>
          <w:lang w:val="en-US" w:eastAsia="zh-CN"/>
        </w:rPr>
        <w:t>4</w:t>
      </w:r>
      <w:r>
        <w:rPr>
          <w:rFonts w:hint="eastAsia" w:cs="仿宋" w:asciiTheme="minorEastAsia" w:hAnsiTheme="minorEastAsia" w:eastAsiaTheme="minorEastAsia"/>
          <w:b/>
          <w:color w:val="FF0000"/>
          <w:sz w:val="24"/>
          <w:u w:val="single"/>
        </w:rPr>
        <w:t>月</w:t>
      </w:r>
      <w:r>
        <w:rPr>
          <w:rFonts w:hint="eastAsia" w:cs="仿宋" w:asciiTheme="minorEastAsia" w:hAnsiTheme="minorEastAsia" w:eastAsiaTheme="minorEastAsia"/>
          <w:b/>
          <w:color w:val="FF0000"/>
          <w:sz w:val="24"/>
          <w:u w:val="single"/>
          <w:lang w:val="en-US" w:eastAsia="zh-CN"/>
        </w:rPr>
        <w:t>22</w:t>
      </w:r>
      <w:r>
        <w:rPr>
          <w:rFonts w:hint="eastAsia" w:cs="仿宋" w:asciiTheme="minorEastAsia" w:hAnsiTheme="minorEastAsia" w:eastAsiaTheme="minorEastAsia"/>
          <w:b/>
          <w:color w:val="FF0000"/>
          <w:sz w:val="24"/>
          <w:u w:val="single"/>
        </w:rPr>
        <w:t>日</w:t>
      </w:r>
      <w:r>
        <w:rPr>
          <w:rFonts w:hint="eastAsia" w:cs="仿宋" w:asciiTheme="minorEastAsia" w:hAnsiTheme="minorEastAsia" w:eastAsiaTheme="minorEastAsia"/>
          <w:b/>
          <w:color w:val="FF0000"/>
          <w:sz w:val="24"/>
          <w:u w:val="single"/>
          <w:lang w:val="en-US" w:eastAsia="zh-CN"/>
        </w:rPr>
        <w:t>10</w:t>
      </w:r>
      <w:r>
        <w:rPr>
          <w:rFonts w:hint="eastAsia" w:cs="仿宋" w:asciiTheme="minorEastAsia" w:hAnsiTheme="minorEastAsia" w:eastAsiaTheme="minorEastAsia"/>
          <w:b/>
          <w:color w:val="FF0000"/>
          <w:sz w:val="24"/>
          <w:u w:val="single"/>
        </w:rPr>
        <w:t>时</w:t>
      </w:r>
      <w:r>
        <w:rPr>
          <w:rFonts w:hint="eastAsia" w:cs="仿宋" w:asciiTheme="minorEastAsia" w:hAnsiTheme="minorEastAsia" w:eastAsiaTheme="minorEastAsia"/>
          <w:b/>
          <w:color w:val="FF0000"/>
          <w:sz w:val="24"/>
          <w:u w:val="single"/>
          <w:lang w:val="en-US" w:eastAsia="zh-CN"/>
        </w:rPr>
        <w:t>00</w:t>
      </w:r>
      <w:r>
        <w:rPr>
          <w:rFonts w:hint="eastAsia" w:cs="仿宋" w:asciiTheme="minorEastAsia" w:hAnsiTheme="minorEastAsia" w:eastAsiaTheme="minorEastAsia"/>
          <w:b/>
          <w:color w:val="FF0000"/>
          <w:sz w:val="24"/>
          <w:u w:val="single"/>
        </w:rPr>
        <w:t>分</w:t>
      </w:r>
      <w:r>
        <w:rPr>
          <w:rFonts w:hint="eastAsia" w:cs="仿宋" w:asciiTheme="minorEastAsia" w:hAnsiTheme="minorEastAsia" w:eastAsiaTheme="minorEastAsia"/>
          <w:b/>
          <w:sz w:val="24"/>
        </w:rPr>
        <w:t>（北京时间）</w:t>
      </w:r>
    </w:p>
    <w:p>
      <w:pPr>
        <w:snapToGrid w:val="0"/>
        <w:spacing w:line="360" w:lineRule="auto"/>
        <w:ind w:firstLine="480" w:firstLineChars="200"/>
        <w:rPr>
          <w:rFonts w:cs="仿宋" w:asciiTheme="minorEastAsia" w:hAnsiTheme="minorEastAsia" w:eastAsiaTheme="minorEastAsia"/>
          <w:sz w:val="24"/>
        </w:rPr>
      </w:pPr>
      <w:bookmarkStart w:id="21" w:name="_Toc35393802"/>
      <w:bookmarkStart w:id="22" w:name="_Toc28359093"/>
      <w:bookmarkStart w:id="23" w:name="_Toc35393633"/>
      <w:bookmarkStart w:id="24" w:name="_Toc58230998"/>
      <w:bookmarkStart w:id="25" w:name="_Toc28359016"/>
      <w:r>
        <w:rPr>
          <w:rFonts w:hint="eastAsia" w:cs="仿宋" w:asciiTheme="minorEastAsia" w:hAnsiTheme="minorEastAsia" w:eastAsiaTheme="minorEastAsia"/>
          <w:sz w:val="24"/>
        </w:rPr>
        <w:t>线上地点：政采云平台（https://www.zcygov.cn/）或乐采云平台（https://www.lecaiyun.com/）</w:t>
      </w:r>
    </w:p>
    <w:p>
      <w:pPr>
        <w:pStyle w:val="3"/>
        <w:snapToGrid w:val="0"/>
        <w:spacing w:before="0" w:after="0" w:line="360" w:lineRule="auto"/>
        <w:ind w:left="425"/>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五、</w:t>
      </w:r>
      <w:bookmarkEnd w:id="21"/>
      <w:bookmarkEnd w:id="22"/>
      <w:bookmarkEnd w:id="23"/>
      <w:bookmarkEnd w:id="24"/>
      <w:bookmarkEnd w:id="25"/>
      <w:r>
        <w:rPr>
          <w:rFonts w:hint="eastAsia" w:cs="仿宋" w:asciiTheme="minorEastAsia" w:hAnsiTheme="minorEastAsia" w:eastAsiaTheme="minorEastAsia"/>
          <w:bCs w:val="0"/>
          <w:sz w:val="24"/>
          <w:szCs w:val="24"/>
        </w:rPr>
        <w:t>开标地点</w:t>
      </w:r>
    </w:p>
    <w:p>
      <w:pPr>
        <w:snapToGrid w:val="0"/>
        <w:spacing w:line="360" w:lineRule="auto"/>
        <w:ind w:firstLine="482" w:firstLineChars="200"/>
        <w:rPr>
          <w:rFonts w:cs="仿宋" w:asciiTheme="minorEastAsia" w:hAnsiTheme="minorEastAsia" w:eastAsiaTheme="minorEastAsia"/>
          <w:b/>
          <w:sz w:val="24"/>
          <w:u w:val="single"/>
        </w:rPr>
      </w:pPr>
      <w:r>
        <w:rPr>
          <w:rFonts w:hint="eastAsia" w:cs="仿宋" w:asciiTheme="minorEastAsia" w:hAnsiTheme="minorEastAsia" w:eastAsiaTheme="minorEastAsia"/>
          <w:b/>
          <w:sz w:val="24"/>
        </w:rPr>
        <w:t>时间：</w:t>
      </w:r>
      <w:r>
        <w:rPr>
          <w:rFonts w:hint="eastAsia" w:cs="仿宋" w:asciiTheme="minorEastAsia" w:hAnsiTheme="minorEastAsia" w:eastAsiaTheme="minorEastAsia"/>
          <w:b/>
          <w:color w:val="FF0000"/>
          <w:sz w:val="24"/>
          <w:u w:val="single"/>
        </w:rPr>
        <w:t>/至</w:t>
      </w:r>
      <w:r>
        <w:rPr>
          <w:rFonts w:cs="仿宋" w:asciiTheme="minorEastAsia" w:hAnsiTheme="minorEastAsia" w:eastAsiaTheme="minorEastAsia"/>
          <w:b/>
          <w:color w:val="FF0000"/>
          <w:sz w:val="24"/>
          <w:u w:val="single"/>
        </w:rPr>
        <w:t>202</w:t>
      </w:r>
      <w:r>
        <w:rPr>
          <w:rFonts w:hint="eastAsia" w:cs="仿宋" w:asciiTheme="minorEastAsia" w:hAnsiTheme="minorEastAsia" w:eastAsiaTheme="minorEastAsia"/>
          <w:b/>
          <w:color w:val="FF0000"/>
          <w:sz w:val="24"/>
          <w:u w:val="single"/>
          <w:lang w:val="en-US" w:eastAsia="zh-CN"/>
        </w:rPr>
        <w:t>4</w:t>
      </w:r>
      <w:r>
        <w:rPr>
          <w:rFonts w:cs="仿宋" w:asciiTheme="minorEastAsia" w:hAnsiTheme="minorEastAsia" w:eastAsiaTheme="minorEastAsia"/>
          <w:b/>
          <w:color w:val="FF0000"/>
          <w:sz w:val="24"/>
          <w:u w:val="single"/>
        </w:rPr>
        <w:t>年</w:t>
      </w:r>
      <w:r>
        <w:rPr>
          <w:rFonts w:hint="eastAsia" w:cs="仿宋" w:asciiTheme="minorEastAsia" w:hAnsiTheme="minorEastAsia" w:eastAsiaTheme="minorEastAsia"/>
          <w:b/>
          <w:color w:val="FF0000"/>
          <w:sz w:val="24"/>
          <w:u w:val="single"/>
          <w:lang w:val="en-US" w:eastAsia="zh-CN"/>
        </w:rPr>
        <w:t>4</w:t>
      </w:r>
      <w:r>
        <w:rPr>
          <w:rFonts w:hint="eastAsia" w:cs="仿宋" w:asciiTheme="minorEastAsia" w:hAnsiTheme="minorEastAsia" w:eastAsiaTheme="minorEastAsia"/>
          <w:b/>
          <w:color w:val="FF0000"/>
          <w:sz w:val="24"/>
          <w:u w:val="single"/>
        </w:rPr>
        <w:t>月</w:t>
      </w:r>
      <w:r>
        <w:rPr>
          <w:rFonts w:hint="eastAsia" w:cs="仿宋" w:asciiTheme="minorEastAsia" w:hAnsiTheme="minorEastAsia" w:eastAsiaTheme="minorEastAsia"/>
          <w:b/>
          <w:color w:val="FF0000"/>
          <w:sz w:val="24"/>
          <w:u w:val="single"/>
          <w:lang w:val="en-US" w:eastAsia="zh-CN"/>
        </w:rPr>
        <w:t>22</w:t>
      </w:r>
      <w:r>
        <w:rPr>
          <w:rFonts w:hint="eastAsia" w:cs="仿宋" w:asciiTheme="minorEastAsia" w:hAnsiTheme="minorEastAsia" w:eastAsiaTheme="minorEastAsia"/>
          <w:b/>
          <w:color w:val="FF0000"/>
          <w:sz w:val="24"/>
          <w:u w:val="single"/>
        </w:rPr>
        <w:t>日</w:t>
      </w:r>
      <w:r>
        <w:rPr>
          <w:rFonts w:hint="eastAsia" w:cs="仿宋" w:asciiTheme="minorEastAsia" w:hAnsiTheme="minorEastAsia" w:eastAsiaTheme="minorEastAsia"/>
          <w:b/>
          <w:color w:val="FF0000"/>
          <w:sz w:val="24"/>
          <w:u w:val="single"/>
          <w:lang w:val="en-US" w:eastAsia="zh-CN"/>
        </w:rPr>
        <w:t>10</w:t>
      </w:r>
      <w:r>
        <w:rPr>
          <w:rFonts w:hint="eastAsia" w:cs="仿宋" w:asciiTheme="minorEastAsia" w:hAnsiTheme="minorEastAsia" w:eastAsiaTheme="minorEastAsia"/>
          <w:b/>
          <w:color w:val="FF0000"/>
          <w:sz w:val="24"/>
          <w:u w:val="single"/>
        </w:rPr>
        <w:t>时</w:t>
      </w:r>
      <w:r>
        <w:rPr>
          <w:rFonts w:hint="eastAsia" w:cs="仿宋" w:asciiTheme="minorEastAsia" w:hAnsiTheme="minorEastAsia" w:eastAsiaTheme="minorEastAsia"/>
          <w:b/>
          <w:color w:val="FF0000"/>
          <w:sz w:val="24"/>
          <w:u w:val="single"/>
          <w:lang w:val="en-US" w:eastAsia="zh-CN"/>
        </w:rPr>
        <w:t>00</w:t>
      </w:r>
      <w:r>
        <w:rPr>
          <w:rFonts w:hint="eastAsia" w:cs="仿宋" w:asciiTheme="minorEastAsia" w:hAnsiTheme="minorEastAsia" w:eastAsiaTheme="minorEastAsia"/>
          <w:b/>
          <w:color w:val="FF0000"/>
          <w:sz w:val="24"/>
          <w:u w:val="single"/>
        </w:rPr>
        <w:t>分</w:t>
      </w:r>
      <w:r>
        <w:rPr>
          <w:rFonts w:hint="eastAsia" w:cs="仿宋" w:asciiTheme="minorEastAsia" w:hAnsiTheme="minorEastAsia" w:eastAsiaTheme="minorEastAsia"/>
          <w:b/>
          <w:sz w:val="24"/>
        </w:rPr>
        <w:t>（北京时间）</w:t>
      </w:r>
    </w:p>
    <w:p>
      <w:pPr>
        <w:snapToGrid w:val="0"/>
        <w:spacing w:line="360" w:lineRule="auto"/>
        <w:ind w:firstLine="480" w:firstLineChars="200"/>
        <w:rPr>
          <w:rFonts w:cs="仿宋" w:asciiTheme="minorEastAsia" w:hAnsiTheme="minorEastAsia" w:eastAsiaTheme="minorEastAsia"/>
          <w:sz w:val="24"/>
        </w:rPr>
      </w:pPr>
      <w:bookmarkStart w:id="26" w:name="_Toc35393634"/>
      <w:bookmarkStart w:id="27" w:name="_Toc35393803"/>
      <w:bookmarkStart w:id="28" w:name="_Toc28359094"/>
      <w:bookmarkStart w:id="29" w:name="_Toc58230999"/>
      <w:bookmarkStart w:id="30" w:name="_Toc28359017"/>
      <w:r>
        <w:rPr>
          <w:rFonts w:hint="eastAsia" w:cs="仿宋" w:asciiTheme="minorEastAsia" w:hAnsiTheme="minorEastAsia" w:eastAsiaTheme="minorEastAsia"/>
          <w:sz w:val="24"/>
        </w:rPr>
        <w:t>线上地点：政采云平台（https://www.zcygov.cn/）或乐采云平台（https://www.lecaiyun.com/）</w:t>
      </w:r>
    </w:p>
    <w:p>
      <w:pPr>
        <w:pStyle w:val="3"/>
        <w:spacing w:before="0" w:after="0" w:line="360" w:lineRule="auto"/>
        <w:ind w:left="425"/>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六、公告期限</w:t>
      </w:r>
      <w:bookmarkEnd w:id="26"/>
      <w:bookmarkEnd w:id="27"/>
      <w:bookmarkEnd w:id="28"/>
      <w:bookmarkEnd w:id="29"/>
      <w:bookmarkEnd w:id="30"/>
    </w:p>
    <w:p>
      <w:pPr>
        <w:spacing w:line="360" w:lineRule="auto"/>
        <w:ind w:firstLine="480" w:firstLineChars="200"/>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自本公告发布之日起5个工作日。</w:t>
      </w:r>
    </w:p>
    <w:p>
      <w:pPr>
        <w:pStyle w:val="3"/>
        <w:numPr>
          <w:ilvl w:val="0"/>
          <w:numId w:val="30"/>
        </w:numPr>
        <w:adjustRightInd w:val="0"/>
        <w:spacing w:before="0" w:after="0" w:line="360" w:lineRule="auto"/>
        <w:ind w:left="425"/>
        <w:jc w:val="left"/>
        <w:rPr>
          <w:rFonts w:cs="仿宋" w:asciiTheme="minorEastAsia" w:hAnsiTheme="minorEastAsia" w:eastAsiaTheme="minorEastAsia"/>
          <w:bCs w:val="0"/>
          <w:sz w:val="24"/>
          <w:szCs w:val="24"/>
        </w:rPr>
      </w:pPr>
      <w:bookmarkStart w:id="31" w:name="_Toc35393804"/>
      <w:bookmarkStart w:id="32" w:name="_Toc58231000"/>
      <w:bookmarkStart w:id="33" w:name="_Toc35393635"/>
      <w:r>
        <w:rPr>
          <w:rFonts w:hint="eastAsia" w:cs="仿宋" w:asciiTheme="minorEastAsia" w:hAnsiTheme="minorEastAsia" w:eastAsiaTheme="minorEastAsia"/>
          <w:bCs w:val="0"/>
          <w:sz w:val="24"/>
          <w:szCs w:val="24"/>
        </w:rPr>
        <w:t>其他补充事宜</w:t>
      </w:r>
      <w:bookmarkEnd w:id="31"/>
      <w:bookmarkEnd w:id="32"/>
      <w:bookmarkEnd w:id="33"/>
    </w:p>
    <w:p>
      <w:pPr>
        <w:spacing w:line="360" w:lineRule="auto"/>
        <w:ind w:firstLine="480" w:firstLineChars="200"/>
        <w:rPr>
          <w:rFonts w:cs="仿宋" w:asciiTheme="minorEastAsia" w:hAnsiTheme="minorEastAsia" w:eastAsiaTheme="minorEastAsia"/>
          <w:sz w:val="24"/>
        </w:rPr>
      </w:pPr>
      <w:bookmarkStart w:id="34" w:name="_Toc35393636"/>
      <w:bookmarkStart w:id="35" w:name="_Toc58231001"/>
      <w:bookmarkStart w:id="36" w:name="_Toc35393805"/>
      <w:bookmarkStart w:id="37" w:name="_Toc28359018"/>
      <w:bookmarkStart w:id="38" w:name="_Toc28359095"/>
      <w:r>
        <w:rPr>
          <w:rFonts w:hint="eastAsia" w:cs="仿宋" w:asciiTheme="minorEastAsia" w:hAnsiTheme="minorEastAsia" w:eastAsiaTheme="minorEastAsia"/>
          <w:sz w:val="24"/>
        </w:rPr>
        <w:t>1.在线电子响应说明</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通过政府采购云平台在线电子响应，供应商应先安装政采云电子交易客户端（政采云投标客户端），并按照采购文件和政府采购云平台的要求，通过政采云电子交易客户端（政采云投标客户端）编制加密投标文件；</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政采云电子交易客户端（政采云投标客户端）请自行前往“浙江政府采购网-下载专区-电子交易客户端”进行下载，通过政府采购云平台参与在线电子响应时如遇平台技术问题详询400-881-7190。</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为确保在线操作合法、有效和安全，供应商应当在投标文件提交截止时间前完成在政府采购云平台的身份认证，使用政采云电子交易客户端（政采云投标客户端）需要提前申领CA数字证书，申领流程请自行前往“浙江政府采购网-下载专区-电子交易客户端-</w:t>
      </w:r>
      <w:r>
        <w:fldChar w:fldCharType="begin"/>
      </w:r>
      <w:r>
        <w:instrText xml:space="preserve"> HYPERLINK "http://zfcg.czt.zj.gov.cn/bidClientTemplate/2019-05-27/12945.html" \o "CA驱动和申领流程" </w:instrText>
      </w:r>
      <w:r>
        <w:fldChar w:fldCharType="separate"/>
      </w:r>
      <w:r>
        <w:rPr>
          <w:rFonts w:hint="eastAsia" w:cs="仿宋" w:asciiTheme="minorEastAsia" w:hAnsiTheme="minorEastAsia" w:eastAsiaTheme="minorEastAsia"/>
          <w:sz w:val="24"/>
        </w:rPr>
        <w:t>CA驱动和申领流程</w:t>
      </w:r>
      <w:r>
        <w:rPr>
          <w:rFonts w:hint="eastAsia" w:cs="仿宋" w:asciiTheme="minorEastAsia" w:hAnsiTheme="minorEastAsia" w:eastAsiaTheme="minorEastAsia"/>
          <w:sz w:val="24"/>
        </w:rPr>
        <w:fldChar w:fldCharType="end"/>
      </w:r>
      <w:r>
        <w:rPr>
          <w:rFonts w:hint="eastAsia" w:cs="仿宋" w:asciiTheme="minorEastAsia" w:hAnsiTheme="minorEastAsia" w:eastAsiaTheme="minorEastAsia"/>
          <w:sz w:val="24"/>
        </w:rPr>
        <w:t>”进行查阅；</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3）供应商应当在投标文件提交截止时间前将在政采云电子交易客户端（政采云投标客户端）生成的电子加密投标文件上传至政府采购云平台；</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供应商在政府采购云平台完成电子加密投标文件的上传后，可以邮寄形式在投标文件提交截止时间之前递交以介质（U盘）存储的数据电文形式的备份投标文件，备份投标文件应当密封包装并在包装上标注响应项目名称、供应商名称并加盖公章。“备份投标文件”在开标之前送达</w:t>
      </w:r>
      <w:r>
        <w:rPr>
          <w:rFonts w:hint="eastAsia" w:cs="仿宋" w:asciiTheme="minorEastAsia" w:hAnsiTheme="minorEastAsia" w:eastAsiaTheme="minorEastAsia"/>
          <w:sz w:val="24"/>
          <w:lang w:val="zh-CN"/>
        </w:rPr>
        <w:t>海标工程管理有限公司（桐庐县迎春南路279号立山国际中心904室）并签收</w:t>
      </w:r>
      <w:r>
        <w:rPr>
          <w:rFonts w:hint="eastAsia" w:cs="仿宋" w:asciiTheme="minorEastAsia" w:hAnsiTheme="minorEastAsia" w:eastAsiaTheme="minorEastAsia"/>
          <w:sz w:val="24"/>
        </w:rPr>
        <w:t>，否则视作供应商未提交“备份投标文件”。</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5）通过政府采购云平台上传的电子加密投标文件无法按时解密但供应商已递交备份投标文件的，以备份投标文件为依据，否则视为投标文件撤回；通过政府采购云平台上传的电子加密投标文件已按时解密的，备份投标文件自动失效。</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备注：</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供应商可通过浙江省“电子交易/不见面开评标”学习专题提前进行专题学习，熟悉操作，避免影响采购活动（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Fonts w:hint="eastAsia" w:cs="仿宋" w:asciiTheme="minorEastAsia" w:hAnsiTheme="minorEastAsia" w:eastAsiaTheme="minorEastAsia"/>
          <w:sz w:val="24"/>
        </w:rPr>
        <w:t>https://edu.zcygov.cn/luban/e-biding</w:t>
      </w:r>
      <w:r>
        <w:rPr>
          <w:rFonts w:hint="eastAsia" w:cs="仿宋" w:asciiTheme="minorEastAsia" w:hAnsiTheme="minorEastAsia" w:eastAsiaTheme="minorEastAsia"/>
          <w:sz w:val="24"/>
        </w:rPr>
        <w:fldChar w:fldCharType="end"/>
      </w:r>
      <w:r>
        <w:rPr>
          <w:rFonts w:hint="eastAsia" w:cs="仿宋" w:asciiTheme="minorEastAsia" w:hAnsiTheme="minorEastAsia" w:eastAsiaTheme="minorEastAsia"/>
          <w:sz w:val="24"/>
        </w:rPr>
        <w:t>）。</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2.质疑和投诉</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供应商依法获取采购文件后认为采购文件使自己的权益受到损害的，可以自采购文件公告期限届满之日起7个工作日内，以书面形式向招标采购单位一次性提出针对同一采购程序环节的质疑。质疑供应商对采购人、采购代理机构的答复不满意或者采购人、采购代理机构未在规定的时间内作出答复的，可以在答复期满后十五个工作日内向同级采购监督管理部门投诉。质疑函范本、投诉书范本请到浙江政府采购网下载专区下载。</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3.信用记录</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根据财库[2016]125号《关于在政府采购活动中查询及使用信用记录有关问题的通知》要求，采购代理机构会对供应商信用记录进行查询并甄别。</w:t>
      </w:r>
    </w:p>
    <w:p>
      <w:pPr>
        <w:numPr>
          <w:ilvl w:val="0"/>
          <w:numId w:val="31"/>
        </w:num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信用信息查询的截止时点：投标文件提交截止时间；</w:t>
      </w:r>
    </w:p>
    <w:p>
      <w:pPr>
        <w:numPr>
          <w:ilvl w:val="0"/>
          <w:numId w:val="31"/>
        </w:num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查询渠道：“信用中国”（www.creditchina.gov.cn）、“中国政府采购网”（www.ccgp.gov.cn）；</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3）信用信息的使用规则：供应商被列入失信被执行人、重大税收违法案件当事人名单、政府采购严重违法失信行为记录名单的，拒绝其参与政府采购活动。</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4.投标保证金</w:t>
      </w:r>
    </w:p>
    <w:p>
      <w:pPr>
        <w:widowControl/>
        <w:spacing w:line="360" w:lineRule="auto"/>
        <w:ind w:firstLine="480" w:firstLineChars="200"/>
        <w:rPr>
          <w:rFonts w:cs="仿宋" w:asciiTheme="minorEastAsia" w:hAnsiTheme="minorEastAsia" w:eastAsiaTheme="minorEastAsia"/>
          <w:b/>
          <w:sz w:val="24"/>
          <w:szCs w:val="24"/>
        </w:rPr>
      </w:pPr>
      <w:r>
        <w:rPr>
          <w:rFonts w:hint="eastAsia" w:cs="仿宋" w:asciiTheme="minorEastAsia" w:hAnsiTheme="minorEastAsia" w:eastAsiaTheme="minorEastAsia"/>
          <w:sz w:val="24"/>
        </w:rPr>
        <w:t>本项目不缴纳投标保证金</w:t>
      </w:r>
    </w:p>
    <w:p>
      <w:pPr>
        <w:pStyle w:val="3"/>
        <w:spacing w:before="0" w:after="0" w:line="36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八、凡对本次采购提出询问，请按以下方式联系。</w:t>
      </w:r>
      <w:bookmarkEnd w:id="34"/>
      <w:bookmarkEnd w:id="35"/>
      <w:bookmarkEnd w:id="36"/>
      <w:bookmarkEnd w:id="37"/>
      <w:bookmarkEnd w:id="38"/>
    </w:p>
    <w:p>
      <w:pPr>
        <w:snapToGrid w:val="0"/>
        <w:spacing w:line="360" w:lineRule="auto"/>
        <w:ind w:firstLine="480" w:firstLineChars="200"/>
        <w:rPr>
          <w:rFonts w:ascii="宋体" w:hAnsi="宋体" w:cs="宋体"/>
          <w:color w:val="000000"/>
          <w:kern w:val="0"/>
          <w:sz w:val="24"/>
          <w:szCs w:val="21"/>
        </w:rPr>
      </w:pPr>
      <w:r>
        <w:rPr>
          <w:rFonts w:hint="eastAsia" w:ascii="宋体" w:hAnsi="宋体" w:cs="宋体"/>
          <w:color w:val="000000"/>
          <w:kern w:val="0"/>
          <w:sz w:val="24"/>
          <w:szCs w:val="21"/>
        </w:rPr>
        <w:t>1.采购人信息</w:t>
      </w:r>
    </w:p>
    <w:p>
      <w:pPr>
        <w:snapToGrid w:val="0"/>
        <w:spacing w:line="360" w:lineRule="auto"/>
        <w:ind w:firstLine="480" w:firstLineChars="200"/>
        <w:rPr>
          <w:rFonts w:hint="eastAsia" w:ascii="宋体" w:hAnsi="宋体" w:eastAsia="宋体" w:cs="宋体"/>
          <w:color w:val="000000"/>
          <w:kern w:val="0"/>
          <w:sz w:val="24"/>
          <w:szCs w:val="21"/>
          <w:lang w:eastAsia="zh-CN"/>
        </w:rPr>
      </w:pPr>
      <w:r>
        <w:rPr>
          <w:rFonts w:hint="eastAsia" w:ascii="宋体" w:hAnsi="宋体" w:cs="宋体"/>
          <w:color w:val="000000"/>
          <w:kern w:val="0"/>
          <w:sz w:val="24"/>
          <w:szCs w:val="21"/>
        </w:rPr>
        <w:t>采购人名称：</w:t>
      </w:r>
      <w:r>
        <w:rPr>
          <w:rFonts w:hint="eastAsia" w:ascii="宋体" w:hAnsi="宋体" w:cs="宋体"/>
          <w:color w:val="000000"/>
          <w:kern w:val="0"/>
          <w:sz w:val="24"/>
          <w:szCs w:val="21"/>
          <w:lang w:eastAsia="zh-CN"/>
        </w:rPr>
        <w:t>杭州三江富春乡村振兴发展有限公司</w:t>
      </w:r>
    </w:p>
    <w:p>
      <w:pPr>
        <w:snapToGrid w:val="0"/>
        <w:spacing w:line="360" w:lineRule="auto"/>
        <w:ind w:firstLine="480" w:firstLineChars="200"/>
        <w:rPr>
          <w:rFonts w:hint="default" w:ascii="宋体" w:hAnsi="宋体" w:cs="宋体"/>
          <w:color w:val="000000"/>
          <w:kern w:val="0"/>
          <w:sz w:val="24"/>
          <w:szCs w:val="21"/>
          <w:lang w:val="en-US"/>
        </w:rPr>
      </w:pPr>
      <w:r>
        <w:rPr>
          <w:rFonts w:hint="eastAsia" w:ascii="宋体" w:hAnsi="宋体" w:cs="宋体"/>
          <w:color w:val="000000"/>
          <w:kern w:val="0"/>
          <w:sz w:val="24"/>
          <w:szCs w:val="21"/>
        </w:rPr>
        <w:t>地址：</w:t>
      </w:r>
      <w:r>
        <w:rPr>
          <w:rFonts w:hint="eastAsia" w:ascii="宋体" w:hAnsi="宋体" w:cs="宋体"/>
          <w:color w:val="000000"/>
          <w:kern w:val="0"/>
          <w:sz w:val="24"/>
          <w:szCs w:val="21"/>
          <w:lang w:val="en-US" w:eastAsia="zh-CN"/>
        </w:rPr>
        <w:t>浙江省杭州市桐庐县桐君街道梅蓉村村民委员会</w:t>
      </w:r>
    </w:p>
    <w:p>
      <w:pPr>
        <w:snapToGrid w:val="0"/>
        <w:spacing w:line="360" w:lineRule="auto"/>
        <w:ind w:firstLine="480" w:firstLineChars="200"/>
        <w:rPr>
          <w:rFonts w:hint="eastAsia" w:ascii="宋体" w:hAnsi="宋体" w:eastAsia="宋体" w:cs="宋体"/>
          <w:color w:val="000000"/>
          <w:kern w:val="0"/>
          <w:sz w:val="24"/>
          <w:szCs w:val="21"/>
          <w:lang w:eastAsia="zh-CN"/>
        </w:rPr>
      </w:pPr>
      <w:r>
        <w:rPr>
          <w:rFonts w:hint="eastAsia" w:ascii="宋体" w:hAnsi="宋体" w:cs="宋体"/>
          <w:color w:val="000000"/>
          <w:kern w:val="0"/>
          <w:sz w:val="24"/>
          <w:szCs w:val="21"/>
        </w:rPr>
        <w:t>项目联系人（询问）：</w:t>
      </w:r>
      <w:r>
        <w:rPr>
          <w:rFonts w:hint="eastAsia" w:ascii="宋体" w:hAnsi="宋体" w:cs="宋体"/>
          <w:color w:val="000000"/>
          <w:kern w:val="0"/>
          <w:sz w:val="24"/>
          <w:szCs w:val="21"/>
          <w:lang w:eastAsia="zh-CN"/>
        </w:rPr>
        <w:t>汪璐</w:t>
      </w:r>
    </w:p>
    <w:p>
      <w:pPr>
        <w:snapToGrid w:val="0"/>
        <w:spacing w:line="360" w:lineRule="auto"/>
        <w:ind w:firstLine="480" w:firstLineChars="200"/>
        <w:rPr>
          <w:rFonts w:hint="eastAsia" w:ascii="宋体" w:hAnsi="宋体" w:cs="宋体"/>
          <w:color w:val="000000"/>
          <w:kern w:val="0"/>
          <w:sz w:val="24"/>
          <w:szCs w:val="21"/>
          <w:lang w:val="en-US" w:eastAsia="zh-CN"/>
        </w:rPr>
      </w:pPr>
      <w:r>
        <w:rPr>
          <w:rFonts w:hint="eastAsia" w:ascii="宋体" w:hAnsi="宋体" w:cs="宋体"/>
          <w:color w:val="000000"/>
          <w:kern w:val="0"/>
          <w:sz w:val="24"/>
          <w:szCs w:val="21"/>
        </w:rPr>
        <w:t>项目联系方式（询问）：</w:t>
      </w:r>
      <w:r>
        <w:rPr>
          <w:rFonts w:hint="eastAsia" w:ascii="宋体" w:hAnsi="宋体" w:cs="宋体"/>
          <w:color w:val="000000"/>
          <w:kern w:val="0"/>
          <w:sz w:val="24"/>
          <w:szCs w:val="21"/>
          <w:lang w:val="en-US" w:eastAsia="zh-CN"/>
        </w:rPr>
        <w:t>15951763908</w:t>
      </w:r>
    </w:p>
    <w:p>
      <w:pPr>
        <w:snapToGrid w:val="0"/>
        <w:spacing w:line="360" w:lineRule="auto"/>
        <w:ind w:firstLine="480" w:firstLineChars="200"/>
        <w:rPr>
          <w:rFonts w:ascii="宋体"/>
          <w:sz w:val="24"/>
          <w:szCs w:val="24"/>
        </w:rPr>
      </w:pPr>
      <w:r>
        <w:rPr>
          <w:rFonts w:hint="eastAsia" w:ascii="宋体" w:hAnsi="宋体" w:cs="宋体"/>
          <w:sz w:val="24"/>
          <w:szCs w:val="24"/>
        </w:rPr>
        <w:t>质疑联系人：范莉虹</w:t>
      </w:r>
      <w:r>
        <w:rPr>
          <w:rFonts w:ascii="宋体" w:hAnsi="宋体" w:cs="宋体"/>
          <w:sz w:val="24"/>
          <w:szCs w:val="24"/>
        </w:rPr>
        <w:t xml:space="preserve">          </w:t>
      </w:r>
    </w:p>
    <w:p>
      <w:pPr>
        <w:pStyle w:val="27"/>
        <w:ind w:firstLine="480" w:firstLineChars="200"/>
        <w:rPr>
          <w:rFonts w:hint="eastAsia" w:eastAsia="宋体"/>
          <w:lang w:val="en-US" w:eastAsia="zh-CN"/>
        </w:rPr>
      </w:pPr>
      <w:r>
        <w:rPr>
          <w:rFonts w:hint="eastAsia" w:ascii="宋体" w:hAnsi="宋体" w:cs="宋体"/>
          <w:sz w:val="24"/>
          <w:szCs w:val="24"/>
        </w:rPr>
        <w:t>质疑联系方式：</w:t>
      </w:r>
      <w:r>
        <w:rPr>
          <w:rFonts w:hint="eastAsia" w:ascii="宋体" w:hAnsi="宋体" w:cs="宋体"/>
          <w:sz w:val="24"/>
          <w:szCs w:val="24"/>
          <w:lang w:eastAsia="zh-CN"/>
        </w:rPr>
        <w:t>15381173791</w:t>
      </w:r>
    </w:p>
    <w:p>
      <w:pPr>
        <w:numPr>
          <w:ilvl w:val="0"/>
          <w:numId w:val="0"/>
        </w:numPr>
        <w:snapToGrid w:val="0"/>
        <w:spacing w:line="360" w:lineRule="auto"/>
        <w:ind w:firstLine="480" w:firstLineChars="200"/>
        <w:rPr>
          <w:rFonts w:ascii="宋体" w:hAnsi="宋体" w:cs="宋体"/>
          <w:color w:val="000000"/>
          <w:kern w:val="0"/>
          <w:sz w:val="24"/>
          <w:szCs w:val="21"/>
        </w:rPr>
      </w:pPr>
      <w:r>
        <w:rPr>
          <w:rFonts w:hint="eastAsia" w:ascii="宋体" w:hAnsi="宋体" w:cs="宋体"/>
          <w:color w:val="000000"/>
          <w:kern w:val="0"/>
          <w:sz w:val="24"/>
          <w:szCs w:val="21"/>
          <w:lang w:val="en-US" w:eastAsia="zh-CN"/>
        </w:rPr>
        <w:t>2.</w:t>
      </w:r>
      <w:r>
        <w:rPr>
          <w:rFonts w:hint="eastAsia" w:ascii="宋体" w:hAnsi="宋体" w:cs="宋体"/>
          <w:color w:val="000000"/>
          <w:kern w:val="0"/>
          <w:sz w:val="24"/>
          <w:szCs w:val="21"/>
        </w:rPr>
        <w:t>采购代理机构信息</w:t>
      </w:r>
    </w:p>
    <w:p>
      <w:pPr>
        <w:snapToGrid w:val="0"/>
        <w:spacing w:line="360" w:lineRule="auto"/>
        <w:ind w:firstLine="480" w:firstLineChars="200"/>
        <w:rPr>
          <w:rFonts w:ascii="宋体" w:hAnsi="宋体" w:cs="宋体"/>
          <w:color w:val="000000"/>
          <w:kern w:val="0"/>
          <w:sz w:val="24"/>
          <w:szCs w:val="21"/>
        </w:rPr>
      </w:pPr>
      <w:r>
        <w:rPr>
          <w:rFonts w:hint="eastAsia" w:ascii="宋体" w:hAnsi="宋体" w:cs="宋体"/>
          <w:color w:val="000000"/>
          <w:kern w:val="0"/>
          <w:sz w:val="24"/>
          <w:szCs w:val="21"/>
        </w:rPr>
        <w:t>名称：海标工程管理有限公司</w:t>
      </w:r>
    </w:p>
    <w:p>
      <w:pPr>
        <w:snapToGrid w:val="0"/>
        <w:spacing w:line="360" w:lineRule="auto"/>
        <w:ind w:firstLine="480" w:firstLineChars="200"/>
        <w:rPr>
          <w:rFonts w:hint="eastAsia" w:ascii="宋体" w:hAnsi="宋体" w:eastAsia="宋体" w:cs="宋体"/>
          <w:color w:val="000000"/>
          <w:kern w:val="0"/>
          <w:sz w:val="24"/>
          <w:szCs w:val="21"/>
          <w:lang w:eastAsia="zh-CN"/>
        </w:rPr>
      </w:pPr>
      <w:r>
        <w:rPr>
          <w:rFonts w:hint="eastAsia" w:ascii="宋体" w:hAnsi="宋体" w:cs="宋体"/>
          <w:color w:val="000000"/>
          <w:kern w:val="0"/>
          <w:sz w:val="24"/>
          <w:szCs w:val="21"/>
        </w:rPr>
        <w:t>地址：</w:t>
      </w:r>
      <w:r>
        <w:rPr>
          <w:rFonts w:hint="eastAsia" w:ascii="宋体" w:hAnsi="宋体" w:cs="宋体"/>
          <w:color w:val="000000"/>
          <w:kern w:val="0"/>
          <w:sz w:val="24"/>
          <w:szCs w:val="21"/>
          <w:lang w:eastAsia="zh-CN"/>
        </w:rPr>
        <w:t>浙江省杭州市余杭区南苑街道汀城街9号701室</w:t>
      </w:r>
    </w:p>
    <w:p>
      <w:pPr>
        <w:snapToGrid w:val="0"/>
        <w:spacing w:line="360" w:lineRule="auto"/>
        <w:ind w:firstLine="480" w:firstLineChars="200"/>
        <w:rPr>
          <w:rFonts w:hint="eastAsia" w:ascii="宋体" w:hAnsi="宋体" w:eastAsia="宋体" w:cs="宋体"/>
          <w:color w:val="000000"/>
          <w:kern w:val="0"/>
          <w:sz w:val="24"/>
          <w:szCs w:val="21"/>
          <w:lang w:eastAsia="zh-CN"/>
        </w:rPr>
      </w:pPr>
      <w:r>
        <w:rPr>
          <w:rFonts w:hint="eastAsia" w:ascii="宋体" w:hAnsi="宋体" w:cs="宋体"/>
          <w:color w:val="000000"/>
          <w:kern w:val="0"/>
          <w:sz w:val="24"/>
          <w:szCs w:val="21"/>
        </w:rPr>
        <w:t>项目联系人（询问）：</w:t>
      </w:r>
      <w:r>
        <w:rPr>
          <w:rFonts w:hint="eastAsia" w:ascii="宋体" w:hAnsi="宋体" w:cs="宋体"/>
          <w:color w:val="000000"/>
          <w:kern w:val="0"/>
          <w:sz w:val="24"/>
          <w:szCs w:val="21"/>
          <w:lang w:eastAsia="zh-CN"/>
        </w:rPr>
        <w:t>吴祁俊</w:t>
      </w:r>
    </w:p>
    <w:p>
      <w:pPr>
        <w:snapToGrid w:val="0"/>
        <w:spacing w:line="360" w:lineRule="auto"/>
        <w:ind w:firstLine="480" w:firstLineChars="200"/>
        <w:rPr>
          <w:rFonts w:hint="eastAsia" w:ascii="宋体" w:hAnsi="宋体" w:cs="宋体"/>
          <w:color w:val="000000"/>
          <w:kern w:val="0"/>
          <w:sz w:val="24"/>
          <w:szCs w:val="21"/>
          <w:lang w:eastAsia="zh-CN"/>
        </w:rPr>
      </w:pPr>
      <w:r>
        <w:rPr>
          <w:rFonts w:hint="eastAsia" w:ascii="宋体" w:hAnsi="宋体" w:cs="宋体"/>
          <w:color w:val="000000"/>
          <w:kern w:val="0"/>
          <w:sz w:val="24"/>
          <w:szCs w:val="21"/>
        </w:rPr>
        <w:t>项目联系方式（询问）：</w:t>
      </w:r>
      <w:r>
        <w:rPr>
          <w:rFonts w:hint="eastAsia" w:ascii="宋体" w:hAnsi="宋体" w:cs="宋体"/>
          <w:color w:val="000000"/>
          <w:kern w:val="0"/>
          <w:sz w:val="24"/>
          <w:szCs w:val="21"/>
          <w:lang w:eastAsia="zh-CN"/>
        </w:rPr>
        <w:t>13567170360</w:t>
      </w:r>
    </w:p>
    <w:p>
      <w:pPr>
        <w:snapToGrid w:val="0"/>
        <w:spacing w:line="360" w:lineRule="auto"/>
        <w:ind w:firstLine="480" w:firstLineChars="200"/>
        <w:rPr>
          <w:rFonts w:ascii="宋体"/>
          <w:sz w:val="24"/>
          <w:szCs w:val="24"/>
        </w:rPr>
      </w:pPr>
      <w:r>
        <w:rPr>
          <w:rFonts w:hint="eastAsia" w:ascii="宋体" w:hAnsi="宋体" w:cs="宋体"/>
          <w:sz w:val="24"/>
          <w:szCs w:val="24"/>
        </w:rPr>
        <w:t>质疑联系人：</w:t>
      </w:r>
      <w:r>
        <w:rPr>
          <w:rFonts w:hint="eastAsia" w:ascii="宋体" w:hAnsi="宋体" w:cs="宋体"/>
          <w:sz w:val="24"/>
          <w:szCs w:val="24"/>
          <w:lang w:eastAsia="zh-CN"/>
        </w:rPr>
        <w:t>樊袁烽</w:t>
      </w:r>
      <w:r>
        <w:rPr>
          <w:rFonts w:ascii="宋体" w:hAnsi="宋体" w:cs="宋体"/>
          <w:sz w:val="24"/>
          <w:szCs w:val="24"/>
        </w:rPr>
        <w:t xml:space="preserve">          </w:t>
      </w:r>
    </w:p>
    <w:p>
      <w:pPr>
        <w:pStyle w:val="27"/>
        <w:ind w:firstLine="480" w:firstLineChars="200"/>
        <w:rPr>
          <w:rFonts w:hint="default"/>
          <w:lang w:val="en-US" w:eastAsia="zh-CN"/>
        </w:rPr>
      </w:pPr>
      <w:r>
        <w:rPr>
          <w:rFonts w:hint="eastAsia" w:ascii="宋体" w:hAnsi="宋体" w:cs="宋体"/>
          <w:sz w:val="24"/>
          <w:szCs w:val="24"/>
        </w:rPr>
        <w:t>质疑联系方式：</w:t>
      </w:r>
      <w:r>
        <w:rPr>
          <w:rFonts w:hint="eastAsia" w:ascii="宋体" w:hAnsi="宋体" w:cs="宋体"/>
          <w:sz w:val="24"/>
          <w:szCs w:val="24"/>
          <w:lang w:val="en-US" w:eastAsia="zh-CN"/>
        </w:rPr>
        <w:t>13588383174</w:t>
      </w:r>
    </w:p>
    <w:p>
      <w:pPr>
        <w:pStyle w:val="54"/>
        <w:spacing w:before="0" w:beforeAutospacing="0" w:after="0" w:afterAutospacing="0" w:line="360" w:lineRule="auto"/>
        <w:ind w:firstLine="480" w:firstLineChars="200"/>
        <w:rPr>
          <w:rFonts w:cs="仿宋" w:asciiTheme="minorEastAsia" w:hAnsiTheme="minorEastAsia" w:eastAsiaTheme="minorEastAsia"/>
        </w:rPr>
      </w:pPr>
      <w:r>
        <w:rPr>
          <w:rFonts w:hint="eastAsia" w:cs="仿宋" w:asciiTheme="minorEastAsia" w:hAnsiTheme="minorEastAsia" w:eastAsiaTheme="minorEastAsia"/>
        </w:rPr>
        <w:t>3.同级采购监督管理部门</w:t>
      </w:r>
    </w:p>
    <w:p>
      <w:pPr>
        <w:pStyle w:val="54"/>
        <w:tabs>
          <w:tab w:val="left" w:pos="420"/>
        </w:tabs>
        <w:spacing w:before="0" w:beforeAutospacing="0" w:after="0" w:afterAutospacing="0" w:line="360" w:lineRule="auto"/>
        <w:ind w:firstLine="480" w:firstLineChars="200"/>
        <w:rPr>
          <w:rFonts w:hint="eastAsia" w:cs="仿宋" w:asciiTheme="minorEastAsia" w:hAnsiTheme="minorEastAsia" w:eastAsiaTheme="minorEastAsia"/>
          <w:lang w:eastAsia="zh-CN"/>
        </w:rPr>
      </w:pPr>
      <w:r>
        <w:rPr>
          <w:rFonts w:hint="eastAsia" w:cs="仿宋" w:asciiTheme="minorEastAsia" w:hAnsiTheme="minorEastAsia" w:eastAsiaTheme="minorEastAsia"/>
        </w:rPr>
        <w:t>名称：</w:t>
      </w:r>
      <w:r>
        <w:rPr>
          <w:rFonts w:hint="eastAsia" w:asciiTheme="minorEastAsia" w:hAnsiTheme="minorEastAsia" w:eastAsiaTheme="minorEastAsia"/>
          <w:lang w:eastAsia="zh-CN"/>
        </w:rPr>
        <w:t>桐庐县文化旅游投资集团有限公司</w:t>
      </w:r>
    </w:p>
    <w:p>
      <w:pPr>
        <w:pStyle w:val="54"/>
        <w:spacing w:before="0" w:beforeAutospacing="0" w:after="0" w:afterAutospacing="0" w:line="360" w:lineRule="auto"/>
        <w:ind w:firstLine="480" w:firstLineChars="200"/>
        <w:rPr>
          <w:rFonts w:hint="eastAsia" w:cs="仿宋" w:asciiTheme="minorEastAsia" w:hAnsiTheme="minorEastAsia" w:eastAsiaTheme="minorEastAsia"/>
          <w:lang w:eastAsia="zh-CN"/>
        </w:rPr>
      </w:pPr>
      <w:r>
        <w:rPr>
          <w:rFonts w:hint="eastAsia" w:cs="仿宋" w:asciiTheme="minorEastAsia" w:hAnsiTheme="minorEastAsia" w:eastAsiaTheme="minorEastAsia"/>
        </w:rPr>
        <w:t>地址：</w:t>
      </w:r>
      <w:r>
        <w:rPr>
          <w:rFonts w:hint="eastAsia" w:asciiTheme="minorEastAsia" w:hAnsiTheme="minorEastAsia" w:eastAsiaTheme="minorEastAsia"/>
          <w:lang w:eastAsia="zh-CN"/>
        </w:rPr>
        <w:t>桐庐县城南街道春江西路滨江大厦16楼</w:t>
      </w:r>
    </w:p>
    <w:p>
      <w:pPr>
        <w:pStyle w:val="54"/>
        <w:spacing w:before="0" w:beforeAutospacing="0" w:after="0" w:afterAutospacing="0" w:line="360" w:lineRule="auto"/>
        <w:rPr>
          <w:rFonts w:hint="eastAsia" w:asciiTheme="minorEastAsia" w:hAnsiTheme="minorEastAsia" w:eastAsiaTheme="minorEastAsia"/>
          <w:highlight w:val="none"/>
          <w:lang w:val="en-US" w:eastAsia="zh-CN"/>
        </w:rPr>
      </w:pPr>
      <w:r>
        <w:rPr>
          <w:rFonts w:hint="eastAsia" w:cs="仿宋" w:asciiTheme="minorEastAsia" w:hAnsiTheme="minorEastAsia" w:eastAsiaTheme="minorEastAsia"/>
        </w:rPr>
        <w:t> </w:t>
      </w:r>
      <w:r>
        <w:rPr>
          <w:rFonts w:hint="eastAsia" w:cs="仿宋" w:asciiTheme="minorEastAsia" w:hAnsiTheme="minorEastAsia" w:eastAsiaTheme="minorEastAsia"/>
          <w:lang w:val="en-US" w:eastAsia="zh-CN"/>
        </w:rPr>
        <w:t xml:space="preserve"> </w:t>
      </w:r>
      <w:r>
        <w:rPr>
          <w:rFonts w:hint="eastAsia" w:cs="仿宋" w:asciiTheme="minorEastAsia" w:hAnsiTheme="minorEastAsia" w:eastAsiaTheme="minorEastAsia"/>
          <w:highlight w:val="none"/>
          <w:lang w:val="en-US" w:eastAsia="zh-CN"/>
        </w:rPr>
        <w:t xml:space="preserve"> </w:t>
      </w:r>
      <w:r>
        <w:rPr>
          <w:rFonts w:hint="eastAsia" w:asciiTheme="minorEastAsia" w:hAnsiTheme="minorEastAsia" w:eastAsiaTheme="minorEastAsia"/>
          <w:highlight w:val="none"/>
        </w:rPr>
        <w:t>联系人：</w:t>
      </w:r>
      <w:r>
        <w:rPr>
          <w:rFonts w:hint="eastAsia" w:asciiTheme="minorEastAsia" w:hAnsiTheme="minorEastAsia" w:eastAsiaTheme="minorEastAsia"/>
          <w:highlight w:val="none"/>
          <w:lang w:eastAsia="zh-CN"/>
        </w:rPr>
        <w:t>吕先生</w:t>
      </w:r>
    </w:p>
    <w:p>
      <w:pPr>
        <w:pStyle w:val="54"/>
        <w:spacing w:before="0" w:beforeAutospacing="0" w:after="0" w:afterAutospacing="0" w:line="360" w:lineRule="auto"/>
        <w:ind w:firstLine="480" w:firstLineChars="200"/>
        <w:rPr>
          <w:rFonts w:hint="default" w:asciiTheme="minorEastAsia" w:hAnsiTheme="minorEastAsia" w:eastAsiaTheme="minorEastAsia"/>
          <w:highlight w:val="none"/>
          <w:lang w:val="en-US" w:eastAsia="zh-CN"/>
        </w:rPr>
      </w:pPr>
      <w:r>
        <w:rPr>
          <w:rFonts w:hint="eastAsia" w:asciiTheme="minorEastAsia" w:hAnsiTheme="minorEastAsia" w:eastAsiaTheme="minorEastAsia"/>
          <w:highlight w:val="none"/>
        </w:rPr>
        <w:t>监督投诉电话：</w:t>
      </w:r>
      <w:r>
        <w:rPr>
          <w:rFonts w:hint="eastAsia" w:ascii="宋体" w:hAnsi="宋体" w:cs="宋体"/>
          <w:color w:val="000000"/>
          <w:sz w:val="24"/>
          <w:szCs w:val="24"/>
          <w:highlight w:val="none"/>
        </w:rPr>
        <w:t>0571-58587278</w:t>
      </w:r>
    </w:p>
    <w:p>
      <w:pPr>
        <w:snapToGrid w:val="0"/>
        <w:spacing w:line="360" w:lineRule="auto"/>
        <w:ind w:firstLine="420"/>
        <w:rPr>
          <w:rFonts w:cs="仿宋" w:asciiTheme="minorEastAsia" w:hAnsiTheme="minorEastAsia" w:eastAsiaTheme="minorEastAsia"/>
          <w:sz w:val="24"/>
        </w:rPr>
      </w:pPr>
    </w:p>
    <w:p>
      <w:pPr>
        <w:snapToGrid w:val="0"/>
        <w:spacing w:line="360" w:lineRule="auto"/>
        <w:ind w:firstLine="480" w:firstLineChars="200"/>
        <w:rPr>
          <w:rFonts w:asciiTheme="minorEastAsia" w:hAnsiTheme="minorEastAsia" w:eastAsiaTheme="minorEastAsia"/>
        </w:rPr>
      </w:pPr>
      <w:r>
        <w:rPr>
          <w:rFonts w:hint="eastAsia" w:cs="仿宋" w:asciiTheme="minorEastAsia" w:hAnsiTheme="minorEastAsia" w:eastAsiaTheme="minorEastAsia"/>
          <w:sz w:val="24"/>
        </w:rPr>
        <w:t>政采云网站客服联系电话：</w:t>
      </w:r>
      <w:r>
        <w:rPr>
          <w:rFonts w:hint="eastAsia" w:cs="仿宋" w:asciiTheme="minorEastAsia" w:hAnsiTheme="minorEastAsia" w:eastAsiaTheme="minorEastAsia"/>
          <w:sz w:val="24"/>
          <w:lang w:eastAsia="zh-CN"/>
        </w:rPr>
        <w:t>95763</w:t>
      </w:r>
      <w:r>
        <w:rPr>
          <w:rFonts w:hint="eastAsia" w:cs="仿宋" w:asciiTheme="minorEastAsia" w:hAnsiTheme="minorEastAsia" w:eastAsiaTheme="minorEastAsia"/>
          <w:sz w:val="24"/>
        </w:rPr>
        <w:t>（注册、账号等问题）/</w:t>
      </w:r>
      <w:r>
        <w:rPr>
          <w:rFonts w:hint="eastAsia" w:cs="仿宋" w:asciiTheme="minorEastAsia" w:hAnsiTheme="minorEastAsia" w:eastAsiaTheme="minorEastAsia"/>
          <w:sz w:val="24"/>
          <w:lang w:eastAsia="zh-CN"/>
        </w:rPr>
        <w:t>95763</w:t>
      </w:r>
      <w:r>
        <w:rPr>
          <w:rFonts w:hint="eastAsia" w:cs="仿宋" w:asciiTheme="minorEastAsia" w:hAnsiTheme="minorEastAsia" w:eastAsiaTheme="minorEastAsia"/>
          <w:sz w:val="24"/>
        </w:rPr>
        <w:t>（其他问题）</w:t>
      </w:r>
    </w:p>
    <w:p>
      <w:pPr>
        <w:rPr>
          <w:rFonts w:asciiTheme="minorEastAsia" w:hAnsiTheme="minorEastAsia" w:eastAsiaTheme="minorEastAsia"/>
          <w:b/>
          <w:color w:val="000000"/>
          <w:sz w:val="36"/>
          <w:szCs w:val="36"/>
        </w:rPr>
      </w:pPr>
      <w:r>
        <w:rPr>
          <w:rFonts w:hint="eastAsia" w:asciiTheme="minorEastAsia" w:hAnsiTheme="minorEastAsia" w:eastAsiaTheme="minorEastAsia"/>
          <w:b/>
          <w:color w:val="000000"/>
          <w:sz w:val="36"/>
          <w:szCs w:val="36"/>
        </w:rPr>
        <w:br w:type="page"/>
      </w:r>
    </w:p>
    <w:p>
      <w:pPr>
        <w:pStyle w:val="35"/>
        <w:spacing w:beforeLines="0" w:afterLines="0" w:line="360" w:lineRule="auto"/>
        <w:ind w:left="630" w:leftChars="300" w:firstLine="181" w:firstLineChars="50"/>
        <w:jc w:val="center"/>
        <w:outlineLvl w:val="0"/>
        <w:rPr>
          <w:rFonts w:asciiTheme="minorEastAsia" w:hAnsiTheme="minorEastAsia" w:eastAsiaTheme="minorEastAsia"/>
          <w:b/>
          <w:color w:val="000000"/>
          <w:sz w:val="36"/>
          <w:szCs w:val="36"/>
        </w:rPr>
      </w:pPr>
      <w:bookmarkStart w:id="39" w:name="_Toc27232"/>
      <w:r>
        <w:rPr>
          <w:rFonts w:hint="eastAsia" w:asciiTheme="minorEastAsia" w:hAnsiTheme="minorEastAsia" w:eastAsiaTheme="minorEastAsia"/>
          <w:b/>
          <w:color w:val="000000"/>
          <w:sz w:val="36"/>
          <w:szCs w:val="36"/>
        </w:rPr>
        <w:t>第二章  投标人须知</w:t>
      </w:r>
      <w:bookmarkEnd w:id="39"/>
    </w:p>
    <w:p>
      <w:pPr>
        <w:snapToGrid w:val="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前附表</w:t>
      </w:r>
    </w:p>
    <w:tbl>
      <w:tblPr>
        <w:tblStyle w:val="59"/>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7"/>
        <w:gridCol w:w="1904"/>
        <w:gridCol w:w="69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内  容</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ind w:firstLine="1680" w:firstLineChars="7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项目名称及数量</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bCs/>
                <w:sz w:val="24"/>
                <w:szCs w:val="24"/>
              </w:rPr>
              <w:t>详见《公开招标采购公告》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信用记录</w:t>
            </w:r>
          </w:p>
        </w:tc>
        <w:tc>
          <w:tcPr>
            <w:tcW w:w="694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通过“信用中国”网站（www.creditchina.gov.cn）、</w:t>
            </w:r>
            <w:r>
              <w:rPr>
                <w:rFonts w:hint="eastAsia" w:cs="仿宋" w:asciiTheme="minorEastAsia" w:hAnsiTheme="minorEastAsia" w:eastAsiaTheme="minorEastAsia"/>
                <w:sz w:val="24"/>
                <w:szCs w:val="24"/>
              </w:rPr>
              <w:t>“中国政府采购网”（www.ccgp.gov.cn）</w:t>
            </w:r>
            <w:r>
              <w:rPr>
                <w:rFonts w:hint="eastAsia" w:asciiTheme="minorEastAsia" w:hAnsiTheme="minorEastAsia" w:eastAsiaTheme="minorEastAsia"/>
                <w:sz w:val="24"/>
                <w:szCs w:val="24"/>
              </w:rPr>
              <w:t>，以开标当日网页查询记录为准。对列入失信被执行人、重大税收违法案件当事人名单、政府采购严重违法失信行为记录名单的供应商，</w:t>
            </w:r>
            <w:r>
              <w:rPr>
                <w:rFonts w:hint="eastAsia" w:asciiTheme="minorEastAsia" w:hAnsiTheme="minorEastAsia" w:eastAsiaTheme="minorEastAsia"/>
                <w:b/>
                <w:sz w:val="24"/>
                <w:szCs w:val="24"/>
              </w:rPr>
              <w:t>其投标将作无效标处理</w:t>
            </w: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答疑与澄清</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bCs/>
                <w:sz w:val="24"/>
                <w:szCs w:val="24"/>
              </w:rPr>
            </w:pPr>
            <w:r>
              <w:rPr>
                <w:rFonts w:hint="eastAsia" w:asciiTheme="minorEastAsia" w:hAnsiTheme="minorEastAsia" w:eastAsiaTheme="minorEastAsia"/>
                <w:sz w:val="24"/>
                <w:szCs w:val="24"/>
              </w:rPr>
              <w:t>投标人如对招标文件有异议，应当于公告发布之日起至</w:t>
            </w:r>
            <w:r>
              <w:rPr>
                <w:rFonts w:hint="eastAsia" w:asciiTheme="minorEastAsia" w:hAnsiTheme="minorEastAsia" w:eastAsiaTheme="minorEastAsia"/>
                <w:bCs/>
                <w:sz w:val="24"/>
                <w:szCs w:val="24"/>
              </w:rPr>
              <w:t>公告期限满7个工作日内</w:t>
            </w:r>
            <w:r>
              <w:rPr>
                <w:rFonts w:hint="eastAsia" w:asciiTheme="minorEastAsia" w:hAnsiTheme="minorEastAsia" w:eastAsiaTheme="minorEastAsia"/>
                <w:sz w:val="24"/>
                <w:szCs w:val="24"/>
              </w:rPr>
              <w:t>，以书面形式向采购机构或采购人提出，逾期不予受理。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是否允许采购进口产品：</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是否允许转包与分包</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转包：否</w:t>
            </w:r>
          </w:p>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分包：否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是否接受联合体投标</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是否现场踏勘</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否，由投标单位自行踏勘现场。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8</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是否提供演示</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9</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投标文件组成</w:t>
            </w:r>
          </w:p>
        </w:tc>
        <w:tc>
          <w:tcPr>
            <w:tcW w:w="6949"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heme="minorEastAsia" w:hAnsiTheme="minorEastAsia" w:eastAsiaTheme="minorEastAsia"/>
                <w:color w:val="FF0000"/>
                <w:sz w:val="24"/>
                <w:szCs w:val="24"/>
              </w:rPr>
            </w:pPr>
            <w:r>
              <w:rPr>
                <w:rFonts w:asciiTheme="minorEastAsia" w:hAnsiTheme="minorEastAsia" w:eastAsiaTheme="minorEastAsia"/>
                <w:color w:val="FF0000"/>
                <w:sz w:val="24"/>
                <w:szCs w:val="24"/>
              </w:rPr>
              <w:t>1.形式：本项目实行网上投标</w:t>
            </w:r>
            <w:r>
              <w:rPr>
                <w:rFonts w:hint="eastAsia" w:asciiTheme="minorEastAsia" w:hAnsiTheme="minorEastAsia" w:eastAsiaTheme="minorEastAsia"/>
                <w:color w:val="FF0000"/>
                <w:sz w:val="24"/>
                <w:szCs w:val="24"/>
              </w:rPr>
              <w:t>；电子投标文件（包括“电子加密投标文件”和“备份投标文件”，在投标文件编制完成后同时生成）</w:t>
            </w:r>
            <w:r>
              <w:rPr>
                <w:rFonts w:asciiTheme="minorEastAsia" w:hAnsiTheme="minorEastAsia" w:eastAsiaTheme="minorEastAsia"/>
                <w:color w:val="FF0000"/>
                <w:sz w:val="24"/>
                <w:szCs w:val="24"/>
              </w:rPr>
              <w:t>。</w:t>
            </w:r>
          </w:p>
          <w:p>
            <w:pPr>
              <w:autoSpaceDE w:val="0"/>
              <w:autoSpaceDN w:val="0"/>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（1）</w:t>
            </w:r>
            <w:r>
              <w:rPr>
                <w:rFonts w:asciiTheme="minorEastAsia" w:hAnsiTheme="minorEastAsia" w:eastAsiaTheme="minorEastAsia"/>
                <w:color w:val="FF0000"/>
                <w:sz w:val="24"/>
                <w:szCs w:val="24"/>
              </w:rPr>
              <w:t>电子投标文件，按政采云平台项目采购-电子招投标操作指南及本招标文件要求递交。</w:t>
            </w:r>
          </w:p>
          <w:p>
            <w:pPr>
              <w:autoSpaceDE w:val="0"/>
              <w:autoSpaceDN w:val="0"/>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（2）“备份投标文件”是指与“电子加密投标文件”同时生成的数据电文形式的电子文件（备份标书），其他方式编制的备份投标文件视为无效备份投标文件。</w:t>
            </w:r>
          </w:p>
          <w:p>
            <w:pPr>
              <w:snapToGrid w:val="0"/>
              <w:ind w:firstLine="480" w:firstLineChars="200"/>
              <w:jc w:val="left"/>
              <w:rPr>
                <w:b/>
              </w:rPr>
            </w:pPr>
            <w:r>
              <w:rPr>
                <w:rFonts w:asciiTheme="minorEastAsia" w:hAnsiTheme="minorEastAsia" w:eastAsiaTheme="minorEastAsia"/>
                <w:color w:val="FF0000"/>
                <w:sz w:val="24"/>
                <w:szCs w:val="24"/>
              </w:rPr>
              <w:t>备注：以供应商解密成功的上传电子投标文件为准，</w:t>
            </w:r>
            <w:r>
              <w:rPr>
                <w:rFonts w:hint="eastAsia" w:asciiTheme="minorEastAsia" w:hAnsiTheme="minorEastAsia" w:eastAsiaTheme="minorEastAsia"/>
                <w:color w:val="FF0000"/>
                <w:sz w:val="24"/>
                <w:szCs w:val="24"/>
              </w:rPr>
              <w:t>因</w:t>
            </w:r>
            <w:r>
              <w:rPr>
                <w:rFonts w:asciiTheme="minorEastAsia" w:hAnsiTheme="minorEastAsia" w:eastAsiaTheme="minorEastAsia"/>
                <w:color w:val="FF0000"/>
                <w:sz w:val="24"/>
                <w:szCs w:val="24"/>
              </w:rPr>
              <w:t>供应商原因导致的电子投标文件上传不全、无法打开、显示缺陷等</w:t>
            </w:r>
            <w:r>
              <w:rPr>
                <w:rFonts w:hint="eastAsia" w:asciiTheme="minorEastAsia" w:hAnsiTheme="minorEastAsia" w:eastAsiaTheme="minorEastAsia"/>
                <w:color w:val="FF0000"/>
                <w:sz w:val="24"/>
                <w:szCs w:val="24"/>
              </w:rPr>
              <w:t>情况，作无效标处理</w:t>
            </w:r>
            <w:r>
              <w:rPr>
                <w:rFonts w:asciiTheme="minorEastAsia" w:hAnsiTheme="minorEastAsia" w:eastAsiaTheme="minorEastAsia"/>
                <w:color w:val="FF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10</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成交结果公示</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cs="仿宋" w:asciiTheme="minorEastAsia" w:hAnsiTheme="minorEastAsia" w:eastAsiaTheme="minorEastAsia"/>
                <w:bCs/>
                <w:sz w:val="24"/>
                <w:szCs w:val="24"/>
              </w:rPr>
              <w:t>成交结果公示于浙江政府采购网（</w:t>
            </w:r>
            <w:r>
              <w:fldChar w:fldCharType="begin"/>
            </w:r>
            <w:r>
              <w:instrText xml:space="preserve"> HYPERLINK "http://zfcg.czt.zj.gov.cn)等相关网站或媒体，公示期1" </w:instrText>
            </w:r>
            <w:r>
              <w:fldChar w:fldCharType="separate"/>
            </w:r>
            <w:r>
              <w:rPr>
                <w:rFonts w:hint="eastAsia" w:cs="仿宋" w:asciiTheme="minorEastAsia" w:hAnsiTheme="minorEastAsia" w:eastAsiaTheme="minorEastAsia"/>
                <w:bCs/>
                <w:sz w:val="24"/>
                <w:szCs w:val="24"/>
              </w:rPr>
              <w:t>http://zfcg.czt.zj.gov.cn）等相关网站或媒体，公示期1</w:t>
            </w:r>
            <w:r>
              <w:rPr>
                <w:rFonts w:hint="eastAsia" w:cs="仿宋" w:asciiTheme="minorEastAsia" w:hAnsiTheme="minorEastAsia" w:eastAsiaTheme="minorEastAsia"/>
                <w:bCs/>
                <w:sz w:val="24"/>
                <w:szCs w:val="24"/>
              </w:rPr>
              <w:fldChar w:fldCharType="end"/>
            </w:r>
            <w:r>
              <w:rPr>
                <w:rFonts w:hint="eastAsia" w:cs="仿宋" w:asciiTheme="minorEastAsia" w:hAnsiTheme="minorEastAsia" w:eastAsiaTheme="minorEastAsia"/>
                <w:bCs/>
                <w:sz w:val="24"/>
                <w:szCs w:val="24"/>
              </w:rPr>
              <w:t>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11</w:t>
            </w:r>
          </w:p>
        </w:tc>
        <w:tc>
          <w:tcPr>
            <w:tcW w:w="190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投标保证金</w:t>
            </w:r>
          </w:p>
        </w:tc>
        <w:tc>
          <w:tcPr>
            <w:tcW w:w="694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12</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合同签订时间</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13</w:t>
            </w:r>
          </w:p>
        </w:tc>
        <w:tc>
          <w:tcPr>
            <w:tcW w:w="190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履约保证金</w:t>
            </w:r>
          </w:p>
        </w:tc>
        <w:tc>
          <w:tcPr>
            <w:tcW w:w="6949"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cs="仿宋" w:asciiTheme="minorEastAsia" w:hAnsiTheme="minorEastAsia" w:eastAsiaTheme="minorEastAsia"/>
                <w:bCs/>
                <w:sz w:val="24"/>
                <w:szCs w:val="24"/>
              </w:rPr>
            </w:pPr>
            <w:r>
              <w:rPr>
                <w:rFonts w:hint="eastAsia" w:cs="仿宋" w:asciiTheme="minorEastAsia" w:hAnsiTheme="minorEastAsia" w:eastAsiaTheme="minorEastAsia"/>
                <w:bCs/>
                <w:sz w:val="24"/>
                <w:szCs w:val="24"/>
              </w:rPr>
              <w:t>签订合同前，中标供应商须向采购人交纳</w:t>
            </w:r>
            <w:r>
              <w:rPr>
                <w:rFonts w:hint="eastAsia" w:cs="仿宋" w:asciiTheme="minorEastAsia" w:hAnsiTheme="minorEastAsia" w:eastAsiaTheme="minorEastAsia"/>
                <w:bCs/>
                <w:sz w:val="24"/>
                <w:szCs w:val="24"/>
                <w:highlight w:val="yellow"/>
              </w:rPr>
              <w:t>中标价</w:t>
            </w:r>
            <w:r>
              <w:rPr>
                <w:rFonts w:hint="eastAsia" w:cs="仿宋" w:asciiTheme="minorEastAsia" w:hAnsiTheme="minorEastAsia" w:eastAsiaTheme="minorEastAsia"/>
                <w:bCs/>
                <w:sz w:val="24"/>
                <w:szCs w:val="24"/>
                <w:highlight w:val="yellow"/>
                <w:lang w:val="en-US" w:eastAsia="zh-CN"/>
              </w:rPr>
              <w:t>2</w:t>
            </w:r>
            <w:r>
              <w:rPr>
                <w:rFonts w:hint="eastAsia" w:cs="仿宋" w:asciiTheme="minorEastAsia" w:hAnsiTheme="minorEastAsia" w:eastAsiaTheme="minorEastAsia"/>
                <w:bCs/>
                <w:sz w:val="24"/>
                <w:szCs w:val="24"/>
                <w:highlight w:val="yellow"/>
              </w:rPr>
              <w:t>%</w:t>
            </w:r>
            <w:r>
              <w:rPr>
                <w:rFonts w:hint="eastAsia" w:cs="仿宋" w:asciiTheme="minorEastAsia" w:hAnsiTheme="minorEastAsia" w:eastAsiaTheme="minorEastAsia"/>
                <w:bCs/>
                <w:sz w:val="24"/>
                <w:szCs w:val="24"/>
              </w:rPr>
              <w:t>的履约保证金（接受转账或保函的形式），以保证乙方遵守本合同的一切条款、条件和承诺；安装完成并通过验收后14天内退还，不计息。</w:t>
            </w:r>
          </w:p>
          <w:p>
            <w:pPr>
              <w:snapToGrid w:val="0"/>
              <w:jc w:val="left"/>
              <w:rPr>
                <w:rFonts w:hint="eastAsia" w:cs="仿宋" w:asciiTheme="minorEastAsia" w:hAnsiTheme="minorEastAsia" w:eastAsiaTheme="minorEastAsia"/>
                <w:bCs/>
                <w:sz w:val="24"/>
                <w:szCs w:val="24"/>
              </w:rPr>
            </w:pPr>
            <w:r>
              <w:rPr>
                <w:rFonts w:hint="eastAsia" w:cs="仿宋" w:asciiTheme="minorEastAsia" w:hAnsiTheme="minorEastAsia" w:eastAsiaTheme="minorEastAsia"/>
                <w:bCs/>
                <w:sz w:val="24"/>
                <w:szCs w:val="24"/>
                <w:lang w:eastAsia="zh-CN"/>
              </w:rPr>
              <w:t>（</w:t>
            </w:r>
            <w:r>
              <w:rPr>
                <w:rFonts w:hint="eastAsia" w:cs="仿宋" w:asciiTheme="minorEastAsia" w:hAnsiTheme="minorEastAsia" w:eastAsiaTheme="minorEastAsia"/>
                <w:bCs/>
                <w:sz w:val="24"/>
                <w:szCs w:val="24"/>
                <w:lang w:val="en-US" w:eastAsia="zh-CN"/>
              </w:rPr>
              <w:t>关于各类履约保函要求：一、中标供应商提交的履约保函中保证人承担责任的条件须与采购合同、招标文件的要求一致；二、中标供应商提交的履约保函必须是不可撤销见索即付的的保函；三若因中标供应商提交的履约保函中承担责任的内容条件及赔付方式与采购合同、招标文件要求不完全一致导致担保人拒不承担担保责任的，由中标人按招标文件规定的履约保证金金额向招标人履行赔付责任。履约保函格式详见附件一</w:t>
            </w:r>
            <w:r>
              <w:rPr>
                <w:rFonts w:hint="eastAsia" w:cs="仿宋" w:asciiTheme="minorEastAsia" w:hAnsiTheme="minorEastAsia" w:eastAsia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14</w:t>
            </w:r>
          </w:p>
        </w:tc>
        <w:tc>
          <w:tcPr>
            <w:tcW w:w="190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sz w:val="24"/>
                <w:szCs w:val="24"/>
              </w:rPr>
            </w:pPr>
            <w:r>
              <w:rPr>
                <w:rFonts w:hint="eastAsia" w:asciiTheme="minorEastAsia" w:hAnsiTheme="minorEastAsia" w:eastAsiaTheme="minorEastAsia"/>
                <w:sz w:val="24"/>
                <w:szCs w:val="24"/>
              </w:rPr>
              <w:t>付款方式</w:t>
            </w:r>
          </w:p>
        </w:tc>
        <w:tc>
          <w:tcPr>
            <w:tcW w:w="694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color w:val="000000"/>
                <w:sz w:val="24"/>
                <w:szCs w:val="24"/>
                <w:highlight w:val="yellow"/>
              </w:rPr>
            </w:pPr>
            <w:r>
              <w:rPr>
                <w:rFonts w:hint="eastAsia" w:asciiTheme="minorEastAsia" w:hAnsiTheme="minorEastAsia" w:eastAsiaTheme="minorEastAsia"/>
                <w:sz w:val="24"/>
                <w:szCs w:val="24"/>
              </w:rPr>
              <w:t>采购人直接支付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15</w:t>
            </w:r>
          </w:p>
        </w:tc>
        <w:tc>
          <w:tcPr>
            <w:tcW w:w="190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投标文件有效期</w:t>
            </w:r>
          </w:p>
        </w:tc>
        <w:tc>
          <w:tcPr>
            <w:tcW w:w="694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color w:val="000000"/>
                <w:sz w:val="24"/>
                <w:szCs w:val="24"/>
              </w:rPr>
            </w:pPr>
            <w:r>
              <w:rPr>
                <w:rFonts w:hint="eastAsia" w:cs="Arial" w:asciiTheme="minorEastAsia" w:hAnsiTheme="minorEastAsia" w:eastAsiaTheme="minorEastAsia"/>
                <w:sz w:val="24"/>
                <w:szCs w:val="24"/>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16</w:t>
            </w:r>
          </w:p>
        </w:tc>
        <w:tc>
          <w:tcPr>
            <w:tcW w:w="190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投标文件的递交及解密</w:t>
            </w:r>
          </w:p>
        </w:tc>
        <w:tc>
          <w:tcPr>
            <w:tcW w:w="69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（1）“电子加密投标文件”的上传、递交：</w:t>
            </w:r>
          </w:p>
          <w:p>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a.投标供应商应在投标截止时间前将“电子加密投标文件”成功上传递交至“政府采购云平台”，否则投标无效。</w:t>
            </w:r>
          </w:p>
          <w:p>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b.“电子加密投标文件”成功上传递交后，供应商可自行打印投标文件接收回执。</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（2）“备份投标文件”的密封包装、递交：</w:t>
            </w:r>
          </w:p>
          <w:p>
            <w:pPr>
              <w:spacing w:line="360" w:lineRule="auto"/>
              <w:rPr>
                <w:rFonts w:asciiTheme="minorEastAsia" w:hAnsiTheme="minorEastAsia" w:eastAsiaTheme="minorEastAsia"/>
                <w:b/>
                <w:color w:val="FF0000"/>
                <w:sz w:val="24"/>
                <w:szCs w:val="24"/>
              </w:rPr>
            </w:pPr>
            <w:r>
              <w:rPr>
                <w:rFonts w:hint="eastAsia" w:asciiTheme="minorEastAsia" w:hAnsiTheme="minorEastAsia" w:eastAsiaTheme="minorEastAsia"/>
                <w:b/>
                <w:color w:val="FF0000"/>
                <w:sz w:val="24"/>
                <w:szCs w:val="24"/>
              </w:rPr>
              <w:t>a．投标供应商在“政府采购云平台”完成“电子加密投标文件”的上传递交后，还可以（以E</w:t>
            </w:r>
            <w:r>
              <w:rPr>
                <w:rFonts w:asciiTheme="minorEastAsia" w:hAnsiTheme="minorEastAsia" w:eastAsiaTheme="minorEastAsia"/>
                <w:b/>
                <w:color w:val="FF0000"/>
                <w:sz w:val="24"/>
                <w:szCs w:val="24"/>
              </w:rPr>
              <w:t>MS</w:t>
            </w:r>
            <w:r>
              <w:rPr>
                <w:rFonts w:hint="eastAsia" w:asciiTheme="minorEastAsia" w:hAnsiTheme="minorEastAsia" w:eastAsiaTheme="minorEastAsia"/>
                <w:b/>
                <w:color w:val="FF0000"/>
                <w:sz w:val="24"/>
                <w:szCs w:val="24"/>
              </w:rPr>
              <w:t>邮寄、快递等形式）在投标截止时间之前递交以介质（U盘）存储的 “备份投标文件”（一份）；（邮寄地址：桐庐县迎春南路279号立山国际中心904</w:t>
            </w:r>
            <w:r>
              <w:rPr>
                <w:rFonts w:hint="eastAsia" w:asciiTheme="minorEastAsia" w:hAnsiTheme="minorEastAsia" w:eastAsiaTheme="minorEastAsia"/>
                <w:b/>
                <w:color w:val="FF0000"/>
                <w:sz w:val="24"/>
                <w:szCs w:val="24"/>
                <w:lang w:eastAsia="zh-CN"/>
              </w:rPr>
              <w:t>；</w:t>
            </w:r>
            <w:r>
              <w:rPr>
                <w:rFonts w:hint="eastAsia" w:asciiTheme="minorEastAsia" w:hAnsiTheme="minorEastAsia" w:eastAsiaTheme="minorEastAsia"/>
                <w:b/>
                <w:color w:val="FF0000"/>
                <w:sz w:val="24"/>
                <w:szCs w:val="24"/>
              </w:rPr>
              <w:t>室</w:t>
            </w:r>
            <w:r>
              <w:rPr>
                <w:rFonts w:hint="eastAsia" w:asciiTheme="minorEastAsia" w:hAnsiTheme="minorEastAsia" w:eastAsiaTheme="minorEastAsia"/>
                <w:b/>
                <w:color w:val="FF0000"/>
                <w:sz w:val="24"/>
                <w:szCs w:val="24"/>
                <w:lang w:val="en-US" w:eastAsia="zh-CN"/>
              </w:rPr>
              <w:t>收件人：</w:t>
            </w:r>
            <w:r>
              <w:rPr>
                <w:rFonts w:hint="eastAsia" w:asciiTheme="minorEastAsia" w:hAnsiTheme="minorEastAsia" w:eastAsiaTheme="minorEastAsia"/>
                <w:b/>
                <w:color w:val="FF0000"/>
                <w:sz w:val="24"/>
                <w:szCs w:val="24"/>
                <w:lang w:eastAsia="zh-CN"/>
              </w:rPr>
              <w:t>吴祁俊；</w:t>
            </w:r>
            <w:r>
              <w:rPr>
                <w:rFonts w:hint="eastAsia" w:asciiTheme="minorEastAsia" w:hAnsiTheme="minorEastAsia" w:eastAsiaTheme="minorEastAsia"/>
                <w:b/>
                <w:color w:val="FF0000"/>
                <w:sz w:val="24"/>
                <w:szCs w:val="24"/>
                <w:lang w:val="en-US" w:eastAsia="zh-CN"/>
              </w:rPr>
              <w:t>电话：</w:t>
            </w:r>
            <w:r>
              <w:rPr>
                <w:rFonts w:hint="eastAsia" w:cs="Times New Roman" w:asciiTheme="minorEastAsia" w:hAnsiTheme="minorEastAsia" w:eastAsiaTheme="minorEastAsia"/>
                <w:b/>
                <w:color w:val="FF0000"/>
                <w:sz w:val="24"/>
                <w:szCs w:val="24"/>
              </w:rPr>
              <w:t>13567170360</w:t>
            </w:r>
            <w:r>
              <w:rPr>
                <w:rFonts w:hint="eastAsia" w:asciiTheme="minorEastAsia" w:hAnsiTheme="minorEastAsia" w:eastAsiaTheme="minorEastAsia"/>
                <w:b/>
                <w:color w:val="FF0000"/>
                <w:sz w:val="24"/>
                <w:szCs w:val="24"/>
              </w:rPr>
              <w:t>）。</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b．“备份投标文件”应当密封包装，并在包装上标注投标项目名称、投标单位名称并加盖公章。没有密封包装或者逾期邮寄送达投标地点的“备份投标文件”将不予接收；</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c．通过“政府采购云平台”成功上传递交的“电子加密投标文件”已按时解密的，“备份投标文件”自动失效。</w:t>
            </w:r>
          </w:p>
          <w:p>
            <w:pPr>
              <w:spacing w:line="360" w:lineRule="auto"/>
              <w:rPr>
                <w:rFonts w:cs="宋体" w:asciiTheme="minorEastAsia" w:hAnsiTheme="minorEastAsia" w:eastAsiaTheme="minorEastAsia"/>
                <w:b/>
                <w:bCs/>
                <w:color w:val="000000"/>
                <w:sz w:val="24"/>
                <w:szCs w:val="24"/>
              </w:rPr>
            </w:pPr>
            <w:r>
              <w:rPr>
                <w:rFonts w:hint="eastAsia" w:asciiTheme="minorEastAsia" w:hAnsiTheme="minorEastAsia" w:eastAsiaTheme="minorEastAsia"/>
                <w:sz w:val="24"/>
                <w:szCs w:val="24"/>
              </w:rPr>
              <w:t>（3）</w:t>
            </w:r>
            <w:r>
              <w:rPr>
                <w:rFonts w:hint="eastAsia" w:cs="宋体" w:asciiTheme="minorEastAsia" w:hAnsiTheme="minorEastAsia" w:eastAsiaTheme="minorEastAsia"/>
                <w:b/>
                <w:bCs/>
                <w:color w:val="000000"/>
                <w:sz w:val="24"/>
                <w:szCs w:val="24"/>
              </w:rPr>
              <w:t>电子加密投标文件的解密和异常情况处理：</w:t>
            </w:r>
          </w:p>
          <w:p>
            <w:pPr>
              <w:spacing w:line="360" w:lineRule="auto"/>
              <w:ind w:firstLine="360" w:firstLineChars="1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a.开标后，采购组织机构将向各投标供应商发出“电子加密投标文件”的解密通知，各投标供应商代表应当在接到解密通知后</w:t>
            </w:r>
            <w:r>
              <w:rPr>
                <w:rFonts w:hint="eastAsia" w:cs="宋体" w:asciiTheme="minorEastAsia" w:hAnsiTheme="minorEastAsia" w:eastAsiaTheme="minorEastAsia"/>
                <w:b/>
                <w:color w:val="FF0000"/>
                <w:sz w:val="24"/>
                <w:szCs w:val="24"/>
              </w:rPr>
              <w:t>30分钟</w:t>
            </w:r>
            <w:r>
              <w:rPr>
                <w:rFonts w:hint="eastAsia" w:cs="宋体" w:asciiTheme="minorEastAsia" w:hAnsiTheme="minorEastAsia" w:eastAsiaTheme="minorEastAsia"/>
                <w:color w:val="000000"/>
                <w:sz w:val="24"/>
                <w:szCs w:val="24"/>
              </w:rPr>
              <w:t>内自行完成“电子加密投标文件”的在线解密。</w:t>
            </w:r>
          </w:p>
          <w:p>
            <w:pPr>
              <w:spacing w:line="360" w:lineRule="auto"/>
              <w:ind w:firstLine="360" w:firstLineChars="1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b.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autoSpaceDE w:val="0"/>
              <w:autoSpaceDN w:val="0"/>
              <w:snapToGrid w:val="0"/>
              <w:jc w:val="left"/>
              <w:textAlignment w:val="bottom"/>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 xml:space="preserve">   c．投标截止时间前，投标供应商仅递交了“备份投标文件”而未将电子加密投标文件上传至“政府采购云平台”的，投标无效。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bCs w:val="0"/>
                <w:color w:val="000000"/>
                <w:sz w:val="24"/>
                <w:szCs w:val="24"/>
              </w:rPr>
              <w:t>17</w:t>
            </w:r>
          </w:p>
        </w:tc>
        <w:tc>
          <w:tcPr>
            <w:tcW w:w="190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招标代理服务费</w:t>
            </w:r>
          </w:p>
        </w:tc>
        <w:tc>
          <w:tcPr>
            <w:tcW w:w="6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jc w:val="left"/>
              <w:textAlignment w:val="bottom"/>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本项目的招标代理服务费</w:t>
            </w:r>
            <w:r>
              <w:rPr>
                <w:rFonts w:hint="eastAsia" w:cs="宋体" w:asciiTheme="minorEastAsia" w:hAnsiTheme="minorEastAsia" w:eastAsiaTheme="minorEastAsia"/>
                <w:color w:val="000000"/>
                <w:sz w:val="24"/>
                <w:szCs w:val="24"/>
                <w:lang w:val="en-US" w:eastAsia="zh-CN"/>
              </w:rPr>
              <w:t>按</w:t>
            </w:r>
            <w:r>
              <w:rPr>
                <w:rFonts w:hint="eastAsia" w:cs="宋体" w:asciiTheme="minorEastAsia" w:hAnsiTheme="minorEastAsia" w:eastAsiaTheme="minorEastAsia"/>
                <w:color w:val="000000"/>
                <w:sz w:val="24"/>
                <w:szCs w:val="24"/>
                <w:u w:val="single"/>
              </w:rPr>
              <w:t>29800</w:t>
            </w:r>
            <w:r>
              <w:rPr>
                <w:rFonts w:hint="eastAsia" w:cs="宋体" w:asciiTheme="minorEastAsia" w:hAnsiTheme="minorEastAsia" w:eastAsiaTheme="minorEastAsia"/>
                <w:color w:val="000000"/>
                <w:sz w:val="24"/>
                <w:szCs w:val="24"/>
                <w:u w:val="none"/>
                <w:lang w:val="en-US" w:eastAsia="zh-CN"/>
              </w:rPr>
              <w:t>元</w:t>
            </w:r>
            <w:r>
              <w:rPr>
                <w:rFonts w:hint="eastAsia" w:cs="宋体" w:asciiTheme="minorEastAsia" w:hAnsiTheme="minorEastAsia" w:eastAsiaTheme="minorEastAsia"/>
                <w:color w:val="000000"/>
                <w:sz w:val="24"/>
                <w:szCs w:val="24"/>
                <w:lang w:val="en-US" w:eastAsia="zh-CN"/>
              </w:rPr>
              <w:t>计取</w:t>
            </w:r>
            <w:r>
              <w:rPr>
                <w:rFonts w:hint="eastAsia" w:cs="宋体" w:asciiTheme="minorEastAsia" w:hAnsiTheme="minorEastAsia" w:eastAsiaTheme="minorEastAsia"/>
                <w:color w:val="000000"/>
                <w:sz w:val="24"/>
                <w:szCs w:val="24"/>
              </w:rPr>
              <w:t>由中标单位支付，中标单位在领取中标通知书时，一次性支付给代理公司，上述费用应含在投标报价中（不得单独列项），投标人在投标报价让利中考虑上述费用。</w:t>
            </w:r>
          </w:p>
        </w:tc>
      </w:tr>
    </w:tbl>
    <w:p>
      <w:pPr>
        <w:pStyle w:val="35"/>
        <w:snapToGrid w:val="0"/>
        <w:spacing w:before="120" w:afterLines="0" w:line="360" w:lineRule="auto"/>
        <w:ind w:firstLine="416" w:firstLineChars="139"/>
        <w:jc w:val="center"/>
        <w:rPr>
          <w:rFonts w:asciiTheme="minorEastAsia" w:hAnsiTheme="minorEastAsia" w:eastAsiaTheme="minorEastAsia"/>
          <w:b/>
          <w:sz w:val="30"/>
          <w:szCs w:val="30"/>
        </w:rPr>
      </w:pPr>
      <w:r>
        <w:rPr>
          <w:rFonts w:asciiTheme="minorEastAsia" w:hAnsiTheme="minorEastAsia" w:eastAsiaTheme="minorEastAsia"/>
          <w:color w:val="000000"/>
          <w:sz w:val="30"/>
          <w:szCs w:val="30"/>
        </w:rPr>
        <w:br w:type="page"/>
      </w:r>
      <w:r>
        <w:rPr>
          <w:rFonts w:hint="eastAsia" w:asciiTheme="minorEastAsia" w:hAnsiTheme="minorEastAsia" w:eastAsiaTheme="minorEastAsia"/>
          <w:b/>
          <w:sz w:val="30"/>
          <w:szCs w:val="30"/>
        </w:rPr>
        <w:t>一、总  则</w:t>
      </w:r>
    </w:p>
    <w:p>
      <w:pPr>
        <w:snapToGrid w:val="0"/>
        <w:spacing w:line="360" w:lineRule="auto"/>
        <w:ind w:firstLine="482" w:firstLineChars="200"/>
        <w:jc w:val="left"/>
        <w:outlineLvl w:val="1"/>
        <w:rPr>
          <w:rFonts w:asciiTheme="minorEastAsia" w:hAnsiTheme="minorEastAsia" w:eastAsiaTheme="minorEastAsia"/>
          <w:b/>
          <w:sz w:val="24"/>
          <w:szCs w:val="24"/>
        </w:rPr>
      </w:pPr>
      <w:r>
        <w:rPr>
          <w:rFonts w:hint="eastAsia" w:asciiTheme="minorEastAsia" w:hAnsiTheme="minorEastAsia" w:eastAsiaTheme="minorEastAsia"/>
          <w:b/>
          <w:sz w:val="24"/>
          <w:szCs w:val="24"/>
        </w:rPr>
        <w:t>（一）适用范围</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仅适用于本次招标文件中采购项目的招标、投标、评标、定标、验收、合同履约、付款等行为（法律、法规另有规定的，从其规定）。</w:t>
      </w:r>
    </w:p>
    <w:p>
      <w:pPr>
        <w:snapToGrid w:val="0"/>
        <w:spacing w:line="360" w:lineRule="auto"/>
        <w:ind w:firstLine="482" w:firstLineChars="200"/>
        <w:jc w:val="left"/>
        <w:outlineLvl w:val="1"/>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（二）定义 </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1、“采购人”系指招标公告中载明的本项目的采购人。</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2、“采购机构”系指招标公告中载明的本项目的采购机构。</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3、“投标人”系指是指响应招标、参加投标竞争的法人、其他组织或者自然人。</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4、“货物”系指招标文件规定投标人须向采购人提供的一切材料、设备、机械、仪器仪表、工具及其他有关技术资料和文字材料。</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5、“服务”系指招标文件规定投标人须承担的劳务以及其他类似的义务。</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6、“项目”系指投标人按招标文件规定向采购人提供的需求总称。</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7、“▲” 系指实质性要求条款。</w:t>
      </w:r>
    </w:p>
    <w:p>
      <w:pPr>
        <w:snapToGrid w:val="0"/>
        <w:spacing w:line="360" w:lineRule="auto"/>
        <w:ind w:firstLine="482" w:firstLineChars="200"/>
        <w:jc w:val="left"/>
        <w:outlineLvl w:val="1"/>
        <w:rPr>
          <w:rFonts w:asciiTheme="minorEastAsia" w:hAnsiTheme="minorEastAsia" w:eastAsiaTheme="minorEastAsia"/>
          <w:b/>
          <w:sz w:val="24"/>
          <w:szCs w:val="24"/>
        </w:rPr>
      </w:pPr>
      <w:r>
        <w:rPr>
          <w:rFonts w:hint="eastAsia" w:asciiTheme="minorEastAsia" w:hAnsiTheme="minorEastAsia" w:eastAsiaTheme="minorEastAsia"/>
          <w:b/>
          <w:sz w:val="24"/>
          <w:szCs w:val="24"/>
        </w:rPr>
        <w:t>（三）投标人及委托有关说明</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1、如授权代表不是法定代表人，须有法定代表人出具的授权委托书（投标文件中提供，格式见附件）。</w:t>
      </w:r>
    </w:p>
    <w:p>
      <w:pPr>
        <w:pStyle w:val="35"/>
        <w:snapToGrid w:val="0"/>
        <w:spacing w:beforeLines="0" w:afterLines="0" w:line="360" w:lineRule="auto"/>
        <w:ind w:firstLine="480" w:firstLineChars="200"/>
        <w:rPr>
          <w:rFonts w:cs="Arial" w:asciiTheme="minorEastAsia" w:hAnsiTheme="minorEastAsia" w:eastAsiaTheme="minorEastAsia"/>
        </w:rPr>
      </w:pPr>
      <w:r>
        <w:rPr>
          <w:rFonts w:hint="eastAsia" w:cs="Arial" w:asciiTheme="minorEastAsia" w:hAnsiTheme="minorEastAsia" w:eastAsiaTheme="minorEastAsia"/>
        </w:rPr>
        <w:t>2、投标人投标所使用的资格、信誉、荣誉、业绩与企业认证必须为本法人所拥有。投标人投标所使用的采购项目实施人员必须为投标人员工（或投标人控股公司正式员工）。</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3、单位负责人为同一人或者存在直接控股、管理关系的不同供应商，不得参加同一合同项下的采购活动。</w:t>
      </w:r>
    </w:p>
    <w:p>
      <w:pPr>
        <w:pStyle w:val="35"/>
        <w:snapToGrid w:val="0"/>
        <w:spacing w:beforeLines="0" w:afterLines="0" w:line="360" w:lineRule="auto"/>
        <w:ind w:firstLine="480" w:firstLineChars="200"/>
        <w:rPr>
          <w:rFonts w:cs="Arial" w:asciiTheme="minorEastAsia" w:hAnsiTheme="minorEastAsia" w:eastAsiaTheme="minorEastAsia"/>
        </w:rPr>
      </w:pPr>
      <w:r>
        <w:rPr>
          <w:rFonts w:hint="eastAsia" w:cs="Arial" w:asciiTheme="minorEastAsia" w:hAnsiTheme="minorEastAsia" w:eastAsiaTheme="minorEastAsia"/>
        </w:rPr>
        <w:t>4、投标人应仔细阅读招标文件的所有内容，按照招标文件的要求提交投标文件，并对所提供的全部资料的真实性承担法律责任。</w:t>
      </w:r>
    </w:p>
    <w:p>
      <w:pPr>
        <w:snapToGrid w:val="0"/>
        <w:spacing w:line="360" w:lineRule="auto"/>
        <w:ind w:firstLine="482" w:firstLineChars="200"/>
        <w:jc w:val="left"/>
        <w:outlineLvl w:val="1"/>
        <w:rPr>
          <w:rFonts w:asciiTheme="minorEastAsia" w:hAnsiTheme="minorEastAsia" w:eastAsiaTheme="minorEastAsia"/>
          <w:b/>
          <w:sz w:val="24"/>
          <w:szCs w:val="24"/>
        </w:rPr>
      </w:pPr>
      <w:r>
        <w:rPr>
          <w:rFonts w:hint="eastAsia" w:asciiTheme="minorEastAsia" w:hAnsiTheme="minorEastAsia" w:eastAsiaTheme="minorEastAsia"/>
          <w:b/>
          <w:sz w:val="24"/>
          <w:szCs w:val="24"/>
        </w:rPr>
        <w:t>（四）投标费用</w:t>
      </w:r>
    </w:p>
    <w:p>
      <w:pPr>
        <w:snapToGrid w:val="0"/>
        <w:spacing w:line="360" w:lineRule="auto"/>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1、不论投标结果如何，投标人均应自行承担所有与投标有关的全部费用（招标文件有其他规定除外）。</w:t>
      </w:r>
    </w:p>
    <w:p>
      <w:pPr>
        <w:snapToGrid w:val="0"/>
        <w:spacing w:line="360" w:lineRule="auto"/>
        <w:ind w:firstLine="482" w:firstLineChars="200"/>
        <w:jc w:val="left"/>
        <w:outlineLvl w:val="1"/>
        <w:rPr>
          <w:rFonts w:asciiTheme="minorEastAsia" w:hAnsiTheme="minorEastAsia" w:eastAsiaTheme="minorEastAsia"/>
          <w:b/>
          <w:sz w:val="24"/>
          <w:szCs w:val="24"/>
        </w:rPr>
      </w:pPr>
      <w:r>
        <w:rPr>
          <w:rFonts w:hint="eastAsia" w:asciiTheme="minorEastAsia" w:hAnsiTheme="minorEastAsia" w:eastAsiaTheme="minorEastAsia"/>
          <w:b/>
          <w:sz w:val="24"/>
          <w:szCs w:val="24"/>
        </w:rPr>
        <w:t>（五）质疑</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1、投标人认为招标过程或中标结果使自己的合法权益受到损害的，可以在知道或者应知其权益受到损害之日起七个工作日内，以书面形式向招标采购单位一次性提出针对同一采购程序环节的质疑。</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质疑应当采用书面形式并署名。质疑人为法人或其他组织的，应当由法定代表人或主要负责人签字（或盖章）并加盖单位公章。质疑应明确阐述招标过程或中标结果中使自己合法权益受到损害的实质性内容，提供相关事实、依据和证据及其来源或线索，便于有关单位调查、答复和处理，</w:t>
      </w:r>
      <w:r>
        <w:rPr>
          <w:rFonts w:hint="eastAsia" w:cs="Arial" w:asciiTheme="minorEastAsia" w:hAnsiTheme="minorEastAsia" w:eastAsiaTheme="minorEastAsia"/>
          <w:b/>
          <w:sz w:val="24"/>
          <w:szCs w:val="24"/>
        </w:rPr>
        <w:t>否则，</w:t>
      </w:r>
      <w:r>
        <w:rPr>
          <w:rFonts w:cs="Arial" w:asciiTheme="minorEastAsia" w:hAnsiTheme="minorEastAsia" w:eastAsiaTheme="minorEastAsia"/>
          <w:b/>
          <w:sz w:val="24"/>
          <w:szCs w:val="24"/>
        </w:rPr>
        <w:t>采购机构</w:t>
      </w:r>
      <w:r>
        <w:rPr>
          <w:rFonts w:hint="eastAsia" w:cs="Arial" w:asciiTheme="minorEastAsia" w:hAnsiTheme="minorEastAsia" w:eastAsiaTheme="minorEastAsia"/>
          <w:b/>
          <w:sz w:val="24"/>
          <w:szCs w:val="24"/>
        </w:rPr>
        <w:t>将不予受理。</w:t>
      </w:r>
      <w:r>
        <w:rPr>
          <w:rFonts w:hint="eastAsia" w:cs="Arial" w:asciiTheme="minorEastAsia" w:hAnsiTheme="minorEastAsia" w:eastAsiaTheme="minorEastAsia"/>
          <w:sz w:val="24"/>
          <w:szCs w:val="24"/>
        </w:rPr>
        <w:t>质疑应当包括下列主要内容：</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a质疑人的名称、地址、邮政编码、联系人、联系电话，以及被质疑人名称及联系方式；</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b被质疑采购项目名称、编号及采购内容；</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c具体的质疑事项及事实依据；</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d认为自己合法权益受到损害或可能受到损害的相关证据材料；</w:t>
      </w:r>
    </w:p>
    <w:p>
      <w:pPr>
        <w:widowControl/>
        <w:snapToGrid w:val="0"/>
        <w:spacing w:line="360" w:lineRule="auto"/>
        <w:ind w:firstLine="480" w:firstLineChars="200"/>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e提出质疑的日期。</w:t>
      </w:r>
    </w:p>
    <w:p>
      <w:pPr>
        <w:snapToGrid w:val="0"/>
        <w:spacing w:line="360" w:lineRule="auto"/>
        <w:ind w:firstLine="482" w:firstLineChars="200"/>
        <w:jc w:val="left"/>
        <w:outlineLvl w:val="1"/>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（六）招标文件的澄清与修改 </w:t>
      </w:r>
    </w:p>
    <w:p>
      <w:pPr>
        <w:pStyle w:val="35"/>
        <w:snapToGrid w:val="0"/>
        <w:spacing w:beforeLines="0" w:afterLines="0" w:line="360" w:lineRule="auto"/>
        <w:ind w:firstLine="480" w:firstLineChars="200"/>
        <w:rPr>
          <w:rFonts w:asciiTheme="minorEastAsia" w:hAnsiTheme="minorEastAsia" w:eastAsiaTheme="minorEastAsia"/>
        </w:rPr>
      </w:pPr>
      <w:r>
        <w:rPr>
          <w:rFonts w:hint="eastAsia" w:asciiTheme="minorEastAsia" w:hAnsiTheme="minorEastAsia" w:eastAsiaTheme="minorEastAsia"/>
        </w:rPr>
        <w:t>1、</w:t>
      </w:r>
      <w:r>
        <w:rPr>
          <w:rFonts w:hint="eastAsia" w:asciiTheme="minorEastAsia" w:hAnsiTheme="minorEastAsia" w:eastAsiaTheme="minorEastAsia"/>
          <w:bCs/>
        </w:rPr>
        <w:t>投标人应认真阅读本招标文件，发现其中有误或有不合理要求的，投标人</w:t>
      </w:r>
      <w:r>
        <w:rPr>
          <w:rFonts w:hint="eastAsia" w:asciiTheme="minorEastAsia" w:hAnsiTheme="minorEastAsia" w:eastAsiaTheme="minorEastAsia"/>
          <w:lang w:eastAsia="zh-CN"/>
        </w:rPr>
        <w:t>可以</w:t>
      </w:r>
      <w:r>
        <w:rPr>
          <w:rFonts w:hint="eastAsia" w:cs="Arial" w:asciiTheme="minorEastAsia" w:hAnsiTheme="minorEastAsia" w:eastAsiaTheme="minorEastAsia"/>
          <w:sz w:val="24"/>
          <w:szCs w:val="24"/>
        </w:rPr>
        <w:t>在知道或者应知其权益受到损害之日起七个工作日内</w:t>
      </w:r>
      <w:r>
        <w:rPr>
          <w:rFonts w:hint="eastAsia" w:asciiTheme="minorEastAsia" w:hAnsiTheme="minorEastAsia" w:eastAsiaTheme="minorEastAsia"/>
          <w:bCs/>
        </w:rPr>
        <w:t>，以书面形式向招标采购单位一次性提出针对同一采购程序环节的质疑。</w:t>
      </w:r>
      <w:r>
        <w:rPr>
          <w:rFonts w:asciiTheme="minorEastAsia" w:hAnsiTheme="minorEastAsia" w:eastAsiaTheme="minorEastAsia"/>
          <w:bCs/>
        </w:rPr>
        <w:t>采购机构</w:t>
      </w:r>
      <w:r>
        <w:rPr>
          <w:rFonts w:hint="eastAsia" w:asciiTheme="minorEastAsia" w:hAnsiTheme="minorEastAsia" w:eastAsiaTheme="minorEastAsia"/>
          <w:bCs/>
        </w:rPr>
        <w:t>将在规定的时间内，在指定的采购信息发布媒体上发布更正公告，</w:t>
      </w:r>
      <w:r>
        <w:rPr>
          <w:rFonts w:hint="eastAsia" w:asciiTheme="minorEastAsia" w:hAnsiTheme="minorEastAsia" w:eastAsiaTheme="minorEastAsia"/>
        </w:rPr>
        <w:t>并以书面形式通知所有招标文件收受人。</w:t>
      </w:r>
      <w:r>
        <w:rPr>
          <w:rFonts w:hint="eastAsia" w:asciiTheme="minorEastAsia" w:hAnsiTheme="minorEastAsia" w:eastAsiaTheme="minorEastAsia"/>
          <w:b/>
        </w:rPr>
        <w:t>逾期提出</w:t>
      </w:r>
      <w:r>
        <w:rPr>
          <w:rFonts w:asciiTheme="minorEastAsia" w:hAnsiTheme="minorEastAsia" w:eastAsiaTheme="minorEastAsia"/>
          <w:b/>
        </w:rPr>
        <w:t>采购机构</w:t>
      </w:r>
      <w:r>
        <w:rPr>
          <w:rFonts w:hint="eastAsia" w:asciiTheme="minorEastAsia" w:hAnsiTheme="minorEastAsia" w:eastAsiaTheme="minorEastAsia"/>
          <w:b/>
        </w:rPr>
        <w:t>将不予受理。</w:t>
      </w:r>
    </w:p>
    <w:p>
      <w:pPr>
        <w:pStyle w:val="35"/>
        <w:snapToGrid w:val="0"/>
        <w:spacing w:beforeLines="0" w:afterLines="0" w:line="360" w:lineRule="auto"/>
        <w:ind w:firstLine="48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采购机构</w:t>
      </w:r>
      <w:r>
        <w:rPr>
          <w:rFonts w:hint="eastAsia" w:asciiTheme="minorEastAsia" w:hAnsiTheme="minorEastAsia" w:eastAsiaTheme="minorEastAsia"/>
        </w:rPr>
        <w:t>主动进行的澄清、修改：</w:t>
      </w:r>
      <w:r>
        <w:rPr>
          <w:rFonts w:asciiTheme="minorEastAsia" w:hAnsiTheme="minorEastAsia" w:eastAsiaTheme="minorEastAsia"/>
        </w:rPr>
        <w:t>采购机构</w:t>
      </w:r>
      <w:r>
        <w:rPr>
          <w:rFonts w:hint="eastAsia" w:asciiTheme="minorEastAsia" w:hAnsiTheme="minorEastAsia" w:eastAsiaTheme="minorEastAsia"/>
        </w:rPr>
        <w:t>无论出于何种原因，均可主动对招标文件中的相关事项，用补充文件等方式进行澄清和修改。</w:t>
      </w:r>
    </w:p>
    <w:p>
      <w:pPr>
        <w:pStyle w:val="35"/>
        <w:snapToGrid w:val="0"/>
        <w:spacing w:beforeLines="0" w:afterLines="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3、招标文件澄清、答复、修改、补充的内容为招标文件的组成部分。当招标文件与招标文件的答复、澄清、修改、补充通知就同一内容的表述不一致时，以最后发出的书面文件为准。</w:t>
      </w:r>
    </w:p>
    <w:p>
      <w:pPr>
        <w:pStyle w:val="35"/>
        <w:snapToGrid w:val="0"/>
        <w:spacing w:beforeLines="0" w:afterLines="0" w:line="360" w:lineRule="auto"/>
        <w:ind w:firstLine="419" w:firstLineChars="139"/>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二、投标文件的编制</w:t>
      </w:r>
    </w:p>
    <w:p>
      <w:pPr>
        <w:snapToGrid w:val="0"/>
        <w:spacing w:line="360" w:lineRule="auto"/>
        <w:ind w:firstLine="482" w:firstLineChars="200"/>
        <w:jc w:val="left"/>
        <w:rPr>
          <w:rFonts w:ascii="宋体" w:hAnsi="宋体" w:cs="宋体"/>
          <w:b/>
          <w:sz w:val="24"/>
          <w:szCs w:val="24"/>
          <w:highlight w:val="none"/>
        </w:rPr>
      </w:pPr>
      <w:r>
        <w:rPr>
          <w:rFonts w:hint="eastAsia" w:ascii="宋体" w:hAnsi="宋体" w:cs="宋体"/>
          <w:b/>
          <w:sz w:val="24"/>
          <w:szCs w:val="24"/>
        </w:rPr>
        <w:t>（一）投标文件的组成</w:t>
      </w:r>
      <w:r>
        <w:rPr>
          <w:rFonts w:hint="eastAsia" w:ascii="宋体" w:hAnsi="宋体" w:cs="宋体"/>
          <w:b/>
          <w:sz w:val="24"/>
          <w:szCs w:val="24"/>
          <w:highlight w:val="none"/>
        </w:rPr>
        <w:t>（电子投标文件，按“政采云供应商项目采购-电子招投标操作指南”及本招标文件要求制作、加密并递交）</w:t>
      </w:r>
    </w:p>
    <w:p>
      <w:pPr>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投标文件由资质文件、技术及商务文件、报价文件三部分组成，</w:t>
      </w:r>
      <w:r>
        <w:rPr>
          <w:rFonts w:hint="eastAsia" w:ascii="宋体" w:hAnsi="宋体" w:cs="宋体"/>
          <w:b/>
          <w:sz w:val="24"/>
          <w:szCs w:val="24"/>
          <w:highlight w:val="none"/>
        </w:rPr>
        <w:t>电子投标文件中所须加盖公章部分均采用CA签章</w:t>
      </w:r>
      <w:r>
        <w:rPr>
          <w:rFonts w:hint="eastAsia" w:ascii="宋体" w:hAnsi="宋体" w:cs="宋体"/>
          <w:sz w:val="24"/>
          <w:szCs w:val="24"/>
          <w:highlight w:val="none"/>
        </w:rPr>
        <w:t>。</w:t>
      </w:r>
    </w:p>
    <w:p>
      <w:pPr>
        <w:snapToGrid w:val="0"/>
        <w:spacing w:line="360" w:lineRule="auto"/>
        <w:ind w:firstLine="482" w:firstLineChars="200"/>
        <w:jc w:val="left"/>
        <w:rPr>
          <w:rFonts w:ascii="宋体" w:hAnsi="宋体" w:cs="宋体"/>
          <w:b/>
          <w:sz w:val="24"/>
          <w:szCs w:val="24"/>
        </w:rPr>
      </w:pPr>
      <w:r>
        <w:rPr>
          <w:rFonts w:hint="eastAsia" w:ascii="宋体" w:hAnsi="宋体" w:cs="宋体"/>
          <w:b/>
          <w:sz w:val="24"/>
          <w:szCs w:val="24"/>
        </w:rPr>
        <w:t>1、资质文件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（1）符合参加政府采购活动应当具备的一般条件的承诺函（格式见附件）；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（2）法定代表人授权委托书（格式见附件）；</w:t>
      </w:r>
    </w:p>
    <w:p>
      <w:pPr>
        <w:snapToGrid w:val="0"/>
        <w:spacing w:line="360" w:lineRule="auto"/>
        <w:ind w:firstLine="482" w:firstLineChars="200"/>
        <w:jc w:val="left"/>
        <w:rPr>
          <w:rFonts w:ascii="宋体" w:hAnsi="宋体" w:cs="宋体"/>
          <w:b/>
          <w:sz w:val="24"/>
          <w:szCs w:val="24"/>
          <w:highlight w:val="none"/>
        </w:rPr>
      </w:pPr>
      <w:r>
        <w:rPr>
          <w:rFonts w:hint="eastAsia" w:ascii="宋体" w:hAnsi="宋体" w:cs="宋体"/>
          <w:b/>
          <w:sz w:val="24"/>
          <w:szCs w:val="24"/>
          <w:highlight w:val="none"/>
        </w:rPr>
        <w:t>2、技术及商务文件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（1）评分对应表；（格式见附件，主要用于评委对应评分内容）</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（2）商务技术偏离表；（格式见附件）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（3）投标人的基本情况介绍；（格式</w:t>
      </w:r>
      <w:r>
        <w:rPr>
          <w:rFonts w:hint="eastAsia" w:ascii="宋体" w:hAnsi="宋体" w:cs="宋体"/>
          <w:sz w:val="24"/>
          <w:szCs w:val="24"/>
          <w:lang w:val="en-US" w:eastAsia="zh-CN"/>
        </w:rPr>
        <w:t>自拟</w:t>
      </w:r>
      <w:r>
        <w:rPr>
          <w:rFonts w:hint="eastAsia" w:ascii="宋体" w:hAnsi="宋体" w:cs="宋体"/>
          <w:sz w:val="24"/>
          <w:szCs w:val="24"/>
        </w:rPr>
        <w:t>）</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cs="宋体"/>
          <w:sz w:val="24"/>
          <w:szCs w:val="24"/>
          <w:lang w:eastAsia="zh-CN"/>
        </w:rPr>
        <w:t>项目理解</w:t>
      </w:r>
      <w:r>
        <w:rPr>
          <w:rFonts w:hint="eastAsia" w:ascii="宋体" w:hAnsi="宋体" w:eastAsia="宋体" w:cs="宋体"/>
          <w:sz w:val="24"/>
          <w:szCs w:val="24"/>
        </w:rPr>
        <w:t>；</w:t>
      </w:r>
    </w:p>
    <w:p>
      <w:pPr>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cs="宋体"/>
          <w:sz w:val="24"/>
          <w:szCs w:val="24"/>
          <w:lang w:eastAsia="zh-CN"/>
        </w:rPr>
        <w:t>IP主题资源；</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cs="宋体"/>
          <w:sz w:val="24"/>
          <w:szCs w:val="24"/>
          <w:lang w:eastAsia="zh-CN"/>
        </w:rPr>
        <w:t>设计效果</w:t>
      </w:r>
      <w:r>
        <w:rPr>
          <w:rFonts w:hint="eastAsia" w:ascii="宋体" w:hAnsi="宋体" w:eastAsia="宋体" w:cs="宋体"/>
          <w:sz w:val="24"/>
          <w:szCs w:val="24"/>
        </w:rPr>
        <w:t>；</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cs="宋体"/>
          <w:sz w:val="24"/>
          <w:lang w:eastAsia="zh-CN"/>
        </w:rPr>
        <w:t>产品技术指标</w:t>
      </w:r>
      <w:r>
        <w:rPr>
          <w:rFonts w:hint="eastAsia" w:ascii="宋体" w:hAnsi="宋体" w:eastAsia="宋体" w:cs="宋体"/>
          <w:sz w:val="24"/>
          <w:szCs w:val="24"/>
        </w:rPr>
        <w:t>；</w:t>
      </w:r>
    </w:p>
    <w:p>
      <w:pPr>
        <w:autoSpaceDE w:val="0"/>
        <w:autoSpaceDN w:val="0"/>
        <w:adjustRightInd w:val="0"/>
        <w:snapToGrid w:val="0"/>
        <w:spacing w:line="360" w:lineRule="auto"/>
        <w:ind w:firstLine="480" w:firstLineChars="200"/>
        <w:textAlignment w:val="bottom"/>
        <w:rPr>
          <w:rFonts w:hint="eastAsia" w:ascii="宋体" w:hAnsi="宋体" w:cs="宋体"/>
          <w:sz w:val="24"/>
          <w:szCs w:val="24"/>
        </w:rPr>
      </w:pPr>
      <w:r>
        <w:rPr>
          <w:rFonts w:hint="eastAsia" w:ascii="宋体" w:hAnsi="宋体" w:cs="宋体"/>
          <w:sz w:val="24"/>
          <w:szCs w:val="24"/>
        </w:rPr>
        <w:t>（8）</w:t>
      </w:r>
      <w:r>
        <w:rPr>
          <w:rFonts w:hint="eastAsia" w:ascii="宋体" w:hAnsi="宋体" w:cs="宋体"/>
          <w:sz w:val="24"/>
          <w:lang w:eastAsia="zh-CN"/>
        </w:rPr>
        <w:t>供货方案</w:t>
      </w:r>
      <w:r>
        <w:rPr>
          <w:rFonts w:hint="eastAsia" w:ascii="宋体" w:hAnsi="宋体" w:cs="宋体"/>
          <w:sz w:val="24"/>
          <w:szCs w:val="24"/>
        </w:rPr>
        <w:t>；</w:t>
      </w:r>
    </w:p>
    <w:p>
      <w:pPr>
        <w:autoSpaceDE w:val="0"/>
        <w:autoSpaceDN w:val="0"/>
        <w:adjustRightInd w:val="0"/>
        <w:snapToGrid w:val="0"/>
        <w:spacing w:line="360" w:lineRule="auto"/>
        <w:ind w:firstLine="480" w:firstLineChars="200"/>
        <w:textAlignment w:val="bottom"/>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9</w:t>
      </w:r>
      <w:r>
        <w:rPr>
          <w:rFonts w:hint="eastAsia" w:ascii="宋体" w:hAnsi="宋体" w:cs="宋体"/>
          <w:sz w:val="24"/>
          <w:szCs w:val="24"/>
        </w:rPr>
        <w:t>）</w:t>
      </w:r>
      <w:r>
        <w:rPr>
          <w:rFonts w:hint="eastAsia" w:ascii="宋体" w:hAnsi="宋体" w:cs="宋体"/>
          <w:sz w:val="24"/>
          <w:lang w:eastAsia="zh-CN"/>
        </w:rPr>
        <w:t>安装、调试、验收方案</w:t>
      </w:r>
      <w:r>
        <w:rPr>
          <w:rFonts w:hint="eastAsia" w:ascii="宋体" w:hAnsi="宋体" w:cs="宋体"/>
          <w:sz w:val="24"/>
          <w:szCs w:val="24"/>
        </w:rPr>
        <w:t>；</w:t>
      </w:r>
    </w:p>
    <w:p>
      <w:pPr>
        <w:autoSpaceDE w:val="0"/>
        <w:autoSpaceDN w:val="0"/>
        <w:adjustRightInd w:val="0"/>
        <w:snapToGrid w:val="0"/>
        <w:spacing w:line="360" w:lineRule="auto"/>
        <w:ind w:firstLine="480" w:firstLineChars="200"/>
        <w:textAlignment w:val="bottom"/>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10</w:t>
      </w:r>
      <w:r>
        <w:rPr>
          <w:rFonts w:hint="eastAsia" w:ascii="宋体" w:hAnsi="宋体" w:cs="宋体"/>
          <w:sz w:val="24"/>
          <w:szCs w:val="24"/>
        </w:rPr>
        <w:t>）</w:t>
      </w:r>
      <w:r>
        <w:rPr>
          <w:rFonts w:hint="eastAsia" w:ascii="宋体" w:hAnsi="宋体" w:cs="宋体"/>
          <w:sz w:val="24"/>
          <w:lang w:eastAsia="zh-CN"/>
        </w:rPr>
        <w:t>培训方案</w:t>
      </w:r>
      <w:r>
        <w:rPr>
          <w:rFonts w:hint="eastAsia" w:ascii="宋体" w:hAnsi="宋体" w:cs="宋体"/>
          <w:sz w:val="24"/>
          <w:szCs w:val="24"/>
        </w:rPr>
        <w:t>；</w:t>
      </w:r>
    </w:p>
    <w:p>
      <w:pPr>
        <w:autoSpaceDE w:val="0"/>
        <w:autoSpaceDN w:val="0"/>
        <w:adjustRightInd w:val="0"/>
        <w:snapToGrid w:val="0"/>
        <w:spacing w:line="360" w:lineRule="auto"/>
        <w:ind w:firstLine="480" w:firstLineChars="200"/>
        <w:textAlignment w:val="bottom"/>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11</w:t>
      </w:r>
      <w:r>
        <w:rPr>
          <w:rFonts w:hint="eastAsia" w:ascii="宋体" w:hAnsi="宋体" w:cs="宋体"/>
          <w:sz w:val="24"/>
          <w:szCs w:val="24"/>
        </w:rPr>
        <w:t>）</w:t>
      </w:r>
      <w:r>
        <w:rPr>
          <w:rFonts w:hint="eastAsia" w:ascii="宋体" w:hAnsi="宋体" w:cs="宋体"/>
          <w:sz w:val="24"/>
          <w:lang w:eastAsia="zh-CN"/>
        </w:rPr>
        <w:t>售后服务方案</w:t>
      </w:r>
      <w:r>
        <w:rPr>
          <w:rFonts w:hint="eastAsia" w:ascii="宋体" w:hAnsi="宋体" w:cs="宋体"/>
          <w:sz w:val="24"/>
          <w:szCs w:val="24"/>
        </w:rPr>
        <w:t>；</w:t>
      </w:r>
    </w:p>
    <w:p>
      <w:pPr>
        <w:autoSpaceDE w:val="0"/>
        <w:autoSpaceDN w:val="0"/>
        <w:adjustRightInd w:val="0"/>
        <w:snapToGrid w:val="0"/>
        <w:spacing w:line="360" w:lineRule="auto"/>
        <w:ind w:firstLine="480" w:firstLineChars="200"/>
        <w:textAlignment w:val="bottom"/>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12</w:t>
      </w:r>
      <w:r>
        <w:rPr>
          <w:rFonts w:hint="eastAsia" w:ascii="宋体" w:hAnsi="宋体" w:cs="宋体"/>
          <w:sz w:val="24"/>
          <w:szCs w:val="24"/>
        </w:rPr>
        <w:t>）</w:t>
      </w:r>
      <w:r>
        <w:rPr>
          <w:rFonts w:hint="eastAsia" w:ascii="宋体" w:hAnsi="宋体" w:cs="宋体"/>
          <w:sz w:val="24"/>
          <w:lang w:eastAsia="zh-CN"/>
        </w:rPr>
        <w:t>突发事件应急响应服务方案</w:t>
      </w:r>
      <w:r>
        <w:rPr>
          <w:rFonts w:hint="eastAsia" w:ascii="宋体" w:hAnsi="宋体" w:cs="宋体"/>
          <w:sz w:val="24"/>
          <w:szCs w:val="24"/>
        </w:rPr>
        <w:t>；</w:t>
      </w:r>
    </w:p>
    <w:p>
      <w:pPr>
        <w:autoSpaceDE w:val="0"/>
        <w:autoSpaceDN w:val="0"/>
        <w:adjustRightInd w:val="0"/>
        <w:snapToGrid w:val="0"/>
        <w:spacing w:line="360" w:lineRule="auto"/>
        <w:ind w:firstLine="480" w:firstLineChars="200"/>
        <w:textAlignment w:val="bottom"/>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13</w:t>
      </w:r>
      <w:r>
        <w:rPr>
          <w:rFonts w:hint="eastAsia" w:ascii="宋体" w:hAnsi="宋体" w:cs="宋体"/>
          <w:sz w:val="24"/>
          <w:szCs w:val="24"/>
        </w:rPr>
        <w:t>）</w:t>
      </w:r>
      <w:r>
        <w:rPr>
          <w:rFonts w:hint="eastAsia" w:ascii="宋体" w:hAnsi="宋体" w:cs="宋体"/>
          <w:sz w:val="24"/>
          <w:lang w:eastAsia="zh-CN"/>
        </w:rPr>
        <w:t>类似业绩</w:t>
      </w:r>
      <w:r>
        <w:rPr>
          <w:rFonts w:hint="eastAsia" w:ascii="宋体" w:hAnsi="宋体" w:cs="宋体"/>
          <w:sz w:val="24"/>
          <w:szCs w:val="24"/>
        </w:rPr>
        <w:t>；</w:t>
      </w:r>
    </w:p>
    <w:p>
      <w:pPr>
        <w:autoSpaceDE w:val="0"/>
        <w:autoSpaceDN w:val="0"/>
        <w:adjustRightInd w:val="0"/>
        <w:snapToGrid w:val="0"/>
        <w:spacing w:line="360" w:lineRule="auto"/>
        <w:ind w:firstLine="480" w:firstLineChars="200"/>
        <w:textAlignment w:val="bottom"/>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14</w:t>
      </w:r>
      <w:r>
        <w:rPr>
          <w:rFonts w:hint="eastAsia" w:ascii="宋体" w:hAnsi="宋体" w:cs="宋体"/>
          <w:sz w:val="24"/>
          <w:szCs w:val="24"/>
        </w:rPr>
        <w:t>）投标方认为需要的其他文件资料。</w:t>
      </w:r>
    </w:p>
    <w:p>
      <w:pPr>
        <w:snapToGrid w:val="0"/>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3、报价文件：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（1）投标函（格式见附件）；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（2）投标报价一览表（格式见附件）；</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（3）投标人认为需要的其他文件。</w:t>
      </w:r>
    </w:p>
    <w:p>
      <w:pPr>
        <w:pStyle w:val="52"/>
        <w:widowControl w:val="0"/>
        <w:spacing w:before="0" w:afterLines="0" w:line="360" w:lineRule="auto"/>
        <w:ind w:firstLine="482" w:firstLineChars="200"/>
        <w:jc w:val="both"/>
        <w:rPr>
          <w:rFonts w:cs="宋体"/>
          <w:color w:val="auto"/>
        </w:rPr>
      </w:pPr>
      <w:r>
        <w:rPr>
          <w:rFonts w:hint="eastAsia" w:cs="宋体"/>
          <w:b/>
          <w:bCs/>
          <w:color w:val="auto"/>
        </w:rPr>
        <w:t>注：资质文件、技术及商务文件中不得出现项目报价信息，否则将作无效标处理。</w:t>
      </w:r>
    </w:p>
    <w:p>
      <w:pPr>
        <w:snapToGrid w:val="0"/>
        <w:spacing w:line="360" w:lineRule="auto"/>
        <w:ind w:firstLine="482" w:firstLineChars="200"/>
        <w:jc w:val="left"/>
        <w:rPr>
          <w:rFonts w:ascii="宋体" w:hAnsi="宋体" w:cs="宋体"/>
          <w:b/>
          <w:sz w:val="24"/>
          <w:szCs w:val="24"/>
        </w:rPr>
      </w:pPr>
      <w:r>
        <w:rPr>
          <w:rFonts w:hint="eastAsia" w:ascii="宋体" w:hAnsi="宋体" w:cs="宋体"/>
          <w:b/>
          <w:sz w:val="24"/>
          <w:szCs w:val="24"/>
        </w:rPr>
        <w:t>（二）投标文件的语言及计量</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1、投标文件以及投标人与采购方就有关投标事宜的所有来往函电，均应以中文简体字书写。除签名、盖章、专用名称等特殊情形外，投标文件中以中文汉语以外的文字表述部分视同未提供。</w:t>
      </w:r>
    </w:p>
    <w:p>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2、投标计量单位，招标文件已有明确规定的，使用招标文件规定的计量单位；招标文件没有规定的，应采用中华人民共和国法定计量单位（货币单位：人民币元），</w:t>
      </w:r>
      <w:r>
        <w:rPr>
          <w:rFonts w:hint="eastAsia" w:ascii="宋体" w:hAnsi="宋体" w:cs="宋体"/>
          <w:b/>
          <w:bCs/>
          <w:sz w:val="24"/>
          <w:szCs w:val="24"/>
        </w:rPr>
        <w:t>否则将作无效标处理</w:t>
      </w:r>
      <w:r>
        <w:rPr>
          <w:rFonts w:hint="eastAsia" w:ascii="宋体" w:hAnsi="宋体" w:cs="宋体"/>
          <w:sz w:val="24"/>
          <w:szCs w:val="24"/>
        </w:rPr>
        <w:t>。</w:t>
      </w:r>
    </w:p>
    <w:p>
      <w:pPr>
        <w:pStyle w:val="16"/>
        <w:widowControl w:val="0"/>
        <w:tabs>
          <w:tab w:val="clear" w:pos="454"/>
        </w:tabs>
        <w:snapToGrid w:val="0"/>
        <w:spacing w:afterLines="0" w:line="360" w:lineRule="auto"/>
        <w:ind w:left="0" w:firstLine="482" w:firstLineChars="200"/>
        <w:rPr>
          <w:rFonts w:ascii="宋体" w:hAnsi="宋体" w:cs="宋体"/>
          <w:b/>
          <w:szCs w:val="24"/>
        </w:rPr>
      </w:pPr>
      <w:r>
        <w:rPr>
          <w:rFonts w:hint="eastAsia" w:ascii="宋体" w:hAnsi="宋体" w:cs="宋体"/>
          <w:b/>
          <w:szCs w:val="24"/>
        </w:rPr>
        <w:t>（三）投标文件的有效期</w:t>
      </w:r>
    </w:p>
    <w:p>
      <w:pPr>
        <w:pStyle w:val="16"/>
        <w:widowControl w:val="0"/>
        <w:tabs>
          <w:tab w:val="clear" w:pos="454"/>
        </w:tabs>
        <w:snapToGrid w:val="0"/>
        <w:spacing w:afterLines="0" w:line="360" w:lineRule="auto"/>
        <w:ind w:left="0" w:firstLine="480" w:firstLineChars="200"/>
        <w:rPr>
          <w:rFonts w:ascii="宋体" w:hAnsi="宋体" w:cs="宋体"/>
          <w:b/>
          <w:szCs w:val="24"/>
        </w:rPr>
      </w:pPr>
      <w:r>
        <w:rPr>
          <w:rFonts w:hint="eastAsia" w:ascii="宋体" w:hAnsi="宋体" w:cs="宋体"/>
          <w:szCs w:val="24"/>
        </w:rPr>
        <w:t>1、自投标截止日起90天内投标文件应保持有效。</w:t>
      </w:r>
      <w:r>
        <w:rPr>
          <w:rFonts w:hint="eastAsia" w:ascii="宋体" w:hAnsi="宋体" w:cs="宋体"/>
          <w:b/>
          <w:szCs w:val="24"/>
        </w:rPr>
        <w:t>有效期不足的投标文件</w:t>
      </w:r>
      <w:r>
        <w:rPr>
          <w:rFonts w:hint="eastAsia" w:ascii="宋体" w:hAnsi="宋体" w:cs="宋体"/>
          <w:b/>
          <w:bCs/>
          <w:szCs w:val="24"/>
        </w:rPr>
        <w:t>将作无效标处理</w:t>
      </w:r>
      <w:r>
        <w:rPr>
          <w:rFonts w:hint="eastAsia" w:ascii="宋体" w:hAnsi="宋体" w:cs="宋体"/>
          <w:b/>
          <w:szCs w:val="24"/>
        </w:rPr>
        <w:t>。</w:t>
      </w:r>
    </w:p>
    <w:p>
      <w:pPr>
        <w:snapToGrid w:val="0"/>
        <w:spacing w:line="360" w:lineRule="auto"/>
        <w:ind w:left="559" w:leftChars="266"/>
        <w:jc w:val="left"/>
        <w:rPr>
          <w:rFonts w:hint="eastAsia" w:ascii="宋体" w:hAnsi="宋体" w:cs="宋体"/>
          <w:sz w:val="24"/>
          <w:szCs w:val="24"/>
        </w:rPr>
      </w:pPr>
      <w:r>
        <w:rPr>
          <w:rFonts w:hint="eastAsia" w:ascii="宋体" w:hAnsi="宋体" w:cs="宋体"/>
          <w:sz w:val="24"/>
          <w:szCs w:val="24"/>
        </w:rPr>
        <w:t>2、中标人的投标文件自开标之日起至合同履行完毕止均应保持有效。</w:t>
      </w:r>
    </w:p>
    <w:p>
      <w:pPr>
        <w:snapToGrid w:val="0"/>
        <w:spacing w:line="360" w:lineRule="auto"/>
        <w:ind w:left="559" w:leftChars="266"/>
        <w:jc w:val="left"/>
        <w:rPr>
          <w:rFonts w:ascii="宋体" w:hAnsi="宋体" w:cs="宋体"/>
          <w:b/>
          <w:sz w:val="24"/>
          <w:szCs w:val="24"/>
        </w:rPr>
      </w:pPr>
      <w:r>
        <w:rPr>
          <w:rFonts w:hint="eastAsia" w:ascii="宋体" w:hAnsi="宋体" w:cs="宋体"/>
          <w:b/>
          <w:sz w:val="24"/>
          <w:szCs w:val="24"/>
        </w:rPr>
        <w:t>（四）投标文件的签署和份数</w:t>
      </w:r>
    </w:p>
    <w:p>
      <w:pPr>
        <w:snapToGrid w:val="0"/>
        <w:spacing w:line="360" w:lineRule="auto"/>
        <w:ind w:firstLine="480" w:firstLineChars="200"/>
        <w:jc w:val="left"/>
        <w:rPr>
          <w:rFonts w:ascii="宋体" w:hAnsi="宋体" w:cs="宋体"/>
          <w:color w:val="FF0000"/>
          <w:sz w:val="24"/>
          <w:szCs w:val="24"/>
        </w:rPr>
      </w:pPr>
      <w:r>
        <w:rPr>
          <w:rFonts w:hint="eastAsia" w:ascii="宋体" w:hAnsi="宋体" w:cs="宋体"/>
          <w:color w:val="FF0000"/>
          <w:sz w:val="24"/>
          <w:szCs w:val="24"/>
        </w:rPr>
        <w:t>1、本项目采用电子投标文件递交，投标人应根据“政采云供应商项目采购-电子招投标操作指南”及本招标文件规定的格式和顺序编制电子投标文件并进行关联定位。</w:t>
      </w:r>
    </w:p>
    <w:p>
      <w:pPr>
        <w:snapToGrid w:val="0"/>
        <w:spacing w:line="360" w:lineRule="auto"/>
        <w:ind w:firstLine="480" w:firstLineChars="200"/>
        <w:jc w:val="left"/>
        <w:rPr>
          <w:rFonts w:ascii="宋体" w:hAnsi="宋体" w:cs="宋体"/>
          <w:color w:val="FF0000"/>
          <w:sz w:val="24"/>
          <w:szCs w:val="24"/>
        </w:rPr>
      </w:pPr>
      <w:r>
        <w:rPr>
          <w:rFonts w:hint="eastAsia" w:ascii="宋体" w:hAnsi="宋体" w:cs="宋体"/>
          <w:color w:val="FF0000"/>
          <w:sz w:val="24"/>
          <w:szCs w:val="24"/>
        </w:rPr>
        <w:t>2、中标单位在中标公示结束后7天内向采购机构提供纸质投标文件一式五份。</w:t>
      </w:r>
    </w:p>
    <w:p>
      <w:pPr>
        <w:snapToGrid w:val="0"/>
        <w:spacing w:line="360" w:lineRule="auto"/>
        <w:ind w:firstLine="482" w:firstLineChars="200"/>
        <w:jc w:val="left"/>
        <w:rPr>
          <w:rFonts w:ascii="宋体" w:hAnsi="宋体" w:cs="宋体"/>
          <w:b/>
          <w:sz w:val="24"/>
          <w:szCs w:val="24"/>
        </w:rPr>
      </w:pPr>
      <w:r>
        <w:rPr>
          <w:rFonts w:hint="eastAsia" w:ascii="宋体" w:hAnsi="宋体" w:cs="宋体"/>
          <w:b/>
          <w:sz w:val="24"/>
          <w:szCs w:val="24"/>
        </w:rPr>
        <w:t>（五）投标报价</w:t>
      </w:r>
    </w:p>
    <w:p>
      <w:pPr>
        <w:pStyle w:val="16"/>
        <w:widowControl w:val="0"/>
        <w:tabs>
          <w:tab w:val="clear" w:pos="454"/>
        </w:tabs>
        <w:snapToGrid w:val="0"/>
        <w:spacing w:afterLines="0" w:line="360" w:lineRule="auto"/>
        <w:ind w:left="0" w:leftChars="0" w:firstLine="480" w:firstLineChars="200"/>
        <w:rPr>
          <w:rFonts w:ascii="宋体" w:hAnsi="宋体" w:cs="宋体"/>
          <w:szCs w:val="24"/>
          <w:lang w:val="zh-CN"/>
        </w:rPr>
      </w:pPr>
      <w:r>
        <w:rPr>
          <w:rFonts w:hint="eastAsia" w:ascii="宋体" w:hAnsi="宋体" w:cs="宋体"/>
          <w:szCs w:val="24"/>
          <w:lang w:val="zh-CN"/>
        </w:rPr>
        <w:t>1、投标报价应按招标文件中相关附表格式填写。投标报价超预算金额（最高限价）均作无效标处理。</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2、投标报价中应包含与项目相关的一切费用。</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3、投标报价是履行合同的最终价格，应包括一切税金和费用。</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4、投标期间发生的费用由供应商自行承担。</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5、除非本招标文件或补充通知另有规定，采购范围包括本须知所述的全部内容，以供应商提交的总报价金额为支付基础。</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6、本合同实施过程中，对由供应商的失误造成的漏项，不允许再补列，也不承担任何经济责任。</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7、除非有特别说明，本项目合同实施过程中的一切风险，均由供应商考虑并承担。</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8、投标报价应充分考虑在服务期间的涨价风险，成交后在合同执行中不再更改或调整价格。</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9、投标文件只允许有一个报价，有选择性的报价将不予接受。</w:t>
      </w:r>
      <w:r>
        <w:rPr>
          <w:rFonts w:hint="eastAsia" w:ascii="宋体" w:hAnsi="宋体" w:cs="宋体"/>
          <w:szCs w:val="24"/>
        </w:rPr>
        <w:t>不允许出现报价优惠等字样（明细出现“0”元，视同赠送）。</w:t>
      </w:r>
    </w:p>
    <w:p>
      <w:pPr>
        <w:pStyle w:val="16"/>
        <w:widowControl w:val="0"/>
        <w:tabs>
          <w:tab w:val="clear" w:pos="454"/>
        </w:tabs>
        <w:snapToGrid w:val="0"/>
        <w:spacing w:afterLines="0" w:line="360" w:lineRule="auto"/>
        <w:ind w:left="0" w:firstLine="480" w:firstLineChars="200"/>
        <w:rPr>
          <w:rFonts w:ascii="宋体" w:hAnsi="宋体" w:cs="宋体"/>
          <w:szCs w:val="24"/>
        </w:rPr>
      </w:pPr>
      <w:r>
        <w:rPr>
          <w:rFonts w:hint="eastAsia" w:ascii="宋体" w:hAnsi="宋体" w:cs="宋体"/>
          <w:szCs w:val="24"/>
        </w:rPr>
        <w:t>10、投标报价总价金额到元为止，如投标报价总价出现角、分，将被抹除。</w:t>
      </w:r>
    </w:p>
    <w:p>
      <w:pPr>
        <w:pStyle w:val="16"/>
        <w:widowControl w:val="0"/>
        <w:tabs>
          <w:tab w:val="clear" w:pos="454"/>
        </w:tabs>
        <w:snapToGrid w:val="0"/>
        <w:spacing w:afterLines="0" w:line="360" w:lineRule="auto"/>
        <w:ind w:left="0" w:firstLine="482" w:firstLineChars="200"/>
        <w:rPr>
          <w:rFonts w:ascii="宋体" w:hAnsi="宋体" w:cs="宋体"/>
          <w:b/>
          <w:szCs w:val="24"/>
        </w:rPr>
      </w:pPr>
      <w:r>
        <w:rPr>
          <w:rFonts w:hint="eastAsia" w:ascii="宋体" w:hAnsi="宋体" w:cs="宋体"/>
          <w:b/>
          <w:szCs w:val="24"/>
        </w:rPr>
        <w:t>（六）投标保证金</w:t>
      </w:r>
    </w:p>
    <w:p>
      <w:pPr>
        <w:pStyle w:val="16"/>
        <w:widowControl w:val="0"/>
        <w:tabs>
          <w:tab w:val="clear" w:pos="454"/>
        </w:tabs>
        <w:snapToGrid w:val="0"/>
        <w:spacing w:afterLines="0" w:line="360" w:lineRule="auto"/>
        <w:ind w:left="0" w:firstLine="480" w:firstLineChars="200"/>
        <w:rPr>
          <w:rFonts w:ascii="宋体" w:hAnsi="宋体" w:cs="宋体"/>
          <w:szCs w:val="24"/>
          <w:lang w:val="zh-CN"/>
        </w:rPr>
      </w:pPr>
      <w:r>
        <w:rPr>
          <w:rFonts w:hint="eastAsia" w:ascii="宋体" w:hAnsi="宋体" w:cs="宋体"/>
          <w:szCs w:val="24"/>
          <w:lang w:val="zh-CN"/>
        </w:rPr>
        <w:t>1、本项目不设置投标保证金。</w:t>
      </w:r>
    </w:p>
    <w:p>
      <w:pPr>
        <w:snapToGrid w:val="0"/>
        <w:spacing w:line="360" w:lineRule="auto"/>
        <w:ind w:firstLine="482" w:firstLineChars="200"/>
        <w:jc w:val="left"/>
        <w:outlineLvl w:val="1"/>
        <w:rPr>
          <w:rFonts w:ascii="宋体" w:hAnsi="宋体" w:cs="宋体"/>
          <w:b/>
          <w:sz w:val="24"/>
          <w:szCs w:val="24"/>
        </w:rPr>
      </w:pPr>
      <w:r>
        <w:rPr>
          <w:rFonts w:hint="eastAsia" w:ascii="宋体" w:hAnsi="宋体" w:cs="宋体"/>
          <w:b/>
          <w:sz w:val="24"/>
          <w:szCs w:val="24"/>
        </w:rPr>
        <w:t>（七）串通投标认定</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有下列情形之一的，视为投标人串通投标，其投标无效：</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1、不同投标人的投标文件由同一单位或者个人编制；</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2、不同投标人委托同一单位或者个人办理投标事宜；</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3、不同投标人的投标文件载明的项目管理成员或者联系人员为同一人；</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4、不同投标人的投标文件异常一致或者投标报价呈规律性差异；</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5、不同投标人的投标文件相互混装。</w:t>
      </w:r>
    </w:p>
    <w:p>
      <w:pPr>
        <w:snapToGrid w:val="0"/>
        <w:spacing w:line="360" w:lineRule="auto"/>
        <w:ind w:firstLine="482" w:firstLineChars="200"/>
        <w:rPr>
          <w:rFonts w:ascii="宋体" w:hAnsi="宋体" w:cs="宋体"/>
          <w:b/>
          <w:sz w:val="24"/>
          <w:szCs w:val="24"/>
        </w:rPr>
      </w:pPr>
      <w:r>
        <w:rPr>
          <w:rFonts w:hint="eastAsia" w:ascii="宋体" w:hAnsi="宋体" w:cs="宋体"/>
          <w:b/>
          <w:sz w:val="24"/>
          <w:szCs w:val="24"/>
        </w:rPr>
        <w:t>（八）投标无效的情形</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在评审时，如发现下列情形之一的，投标文件将被视为无效：</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bCs/>
          <w:sz w:val="24"/>
          <w:szCs w:val="24"/>
        </w:rPr>
        <w:t>、</w:t>
      </w:r>
      <w:r>
        <w:rPr>
          <w:rFonts w:hint="eastAsia" w:ascii="宋体" w:hAnsi="宋体" w:cs="宋体"/>
          <w:sz w:val="24"/>
          <w:szCs w:val="24"/>
        </w:rPr>
        <w:t>投标方未能提供合格的资格文件、投标有效期不足的；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2、投标人被列入失信被执行人、重大税收违法案件当事人名单、采购严重违法失信行为记录名单的；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3、投标文件未按招标文件要求签署、盖章的；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4、与招标文件有重大偏离、未满足带“▲”号实质性指标的投标文件；</w:t>
      </w:r>
    </w:p>
    <w:p>
      <w:pPr>
        <w:snapToGrid w:val="0"/>
        <w:spacing w:line="360" w:lineRule="auto"/>
        <w:ind w:firstLine="480" w:firstLineChars="200"/>
        <w:rPr>
          <w:rFonts w:ascii="宋体" w:hAnsi="宋体" w:cs="宋体"/>
          <w:sz w:val="24"/>
          <w:szCs w:val="24"/>
        </w:rPr>
      </w:pPr>
      <w:r>
        <w:rPr>
          <w:rFonts w:hint="eastAsia" w:ascii="宋体" w:hAnsi="宋体" w:cs="宋体"/>
          <w:snapToGrid w:val="0"/>
          <w:sz w:val="24"/>
          <w:szCs w:val="24"/>
        </w:rPr>
        <w:t>5</w:t>
      </w:r>
      <w:r>
        <w:rPr>
          <w:rFonts w:hint="eastAsia" w:ascii="宋体" w:hAnsi="宋体" w:cs="宋体"/>
          <w:sz w:val="24"/>
          <w:szCs w:val="24"/>
        </w:rPr>
        <w:t>、资质文件、技术及商务文件中出现投标价格信息的、投标报价超出招标文件中规定的预算金额或者最高限价的；</w:t>
      </w:r>
    </w:p>
    <w:p>
      <w:pPr>
        <w:snapToGrid w:val="0"/>
        <w:spacing w:line="360" w:lineRule="auto"/>
        <w:ind w:firstLine="480" w:firstLineChars="200"/>
        <w:rPr>
          <w:rFonts w:ascii="宋体" w:hAnsi="宋体" w:cs="宋体"/>
          <w:sz w:val="24"/>
          <w:szCs w:val="24"/>
        </w:rPr>
      </w:pPr>
      <w:r>
        <w:rPr>
          <w:rFonts w:hint="eastAsia" w:ascii="宋体" w:hAnsi="宋体" w:cs="宋体"/>
          <w:snapToGrid w:val="0"/>
          <w:sz w:val="24"/>
          <w:szCs w:val="24"/>
        </w:rPr>
        <w:t>6、</w:t>
      </w:r>
      <w:r>
        <w:rPr>
          <w:rFonts w:hint="eastAsia" w:ascii="宋体" w:hAnsi="宋体" w:cs="宋体"/>
          <w:sz w:val="24"/>
          <w:szCs w:val="24"/>
        </w:rPr>
        <w:t>标项以赠送方式投标的、对一个标项提供两个投标方案或两个报价的；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7、评标委员会认为投标人的报价明显低于其他通过符合性审查投标人的报价，有可能影响产品质量或者不能诚信履约，且不能证明其报价合理性的；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8、投标人不接受报价文件中修正后的报价的；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9、投标文件含有采购人不能接受的附加条件的；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10、投标人被视为串通投标的；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11、电子投标文件未按采购文件要求上传的；</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12、不符合法律法规和本招标文件规定的其他实质性要求的。</w:t>
      </w:r>
    </w:p>
    <w:p>
      <w:pPr>
        <w:pStyle w:val="35"/>
        <w:snapToGrid w:val="0"/>
        <w:spacing w:beforeLines="0" w:afterLines="0" w:line="360" w:lineRule="auto"/>
        <w:ind w:firstLine="482" w:firstLineChars="200"/>
        <w:rPr>
          <w:rFonts w:hAnsi="宋体" w:cs="宋体"/>
        </w:rPr>
      </w:pPr>
      <w:r>
        <w:rPr>
          <w:rFonts w:hint="eastAsia" w:hAnsi="宋体" w:cs="宋体"/>
          <w:b/>
        </w:rPr>
        <w:t>（九）错误修正</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投标文件报价出现前后不一致的，除招标文件另有规定外，按照下列规定修正：</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1、投标文件中报价明细表内容与投标文件中相应内容不一致的，以报价明细表为准；</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2、大写金额和小写金额不一致的，以大写金额为准；</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3、单价金额小数点或者百分比有明显错位的，以报价明细表的总价为准，并修改单价；</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4、总价金额与按单价汇总金额不一致的，以单价金额计算结果为准。</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同时出现两种以上不一致的，按照前款规定的顺序修正。修正后的报价按照经投标人加盖公章，或者由法定代表人或其授权的代表签字确认后产生约束力，投标人不确认的，其投标无效。</w:t>
      </w:r>
    </w:p>
    <w:p>
      <w:pPr>
        <w:pStyle w:val="35"/>
        <w:snapToGrid w:val="0"/>
        <w:spacing w:beforeLines="0" w:afterLines="0" w:line="360" w:lineRule="auto"/>
        <w:ind w:firstLine="419" w:firstLineChars="139"/>
        <w:jc w:val="center"/>
        <w:rPr>
          <w:rFonts w:hint="eastAsia" w:asciiTheme="minorEastAsia" w:hAnsiTheme="minorEastAsia" w:eastAsiaTheme="minorEastAsia"/>
          <w:b/>
          <w:sz w:val="30"/>
          <w:szCs w:val="30"/>
        </w:rPr>
      </w:pPr>
    </w:p>
    <w:p>
      <w:pPr>
        <w:pStyle w:val="35"/>
        <w:snapToGrid w:val="0"/>
        <w:spacing w:beforeLines="0" w:afterLines="0" w:line="360" w:lineRule="auto"/>
        <w:ind w:firstLine="419" w:firstLineChars="139"/>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三、组织开、评标程序及评标委员会的评审程序</w:t>
      </w:r>
    </w:p>
    <w:p>
      <w:pPr>
        <w:pStyle w:val="35"/>
        <w:snapToGrid w:val="0"/>
        <w:spacing w:beforeLines="0" w:afterLines="0" w:line="360" w:lineRule="auto"/>
        <w:ind w:firstLine="482" w:firstLineChars="200"/>
        <w:rPr>
          <w:rFonts w:hint="eastAsia" w:hAnsi="宋体" w:cs="宋体"/>
          <w:b/>
        </w:rPr>
      </w:pPr>
      <w:r>
        <w:rPr>
          <w:rFonts w:hint="eastAsia" w:hAnsi="宋体" w:cs="宋体"/>
          <w:b/>
        </w:rPr>
        <w:t>（一）电子招投标开标及评审程序</w:t>
      </w:r>
    </w:p>
    <w:p>
      <w:pPr>
        <w:pStyle w:val="38"/>
        <w:spacing w:line="360" w:lineRule="auto"/>
        <w:ind w:left="0" w:leftChars="0" w:firstLine="480" w:firstLineChars="200"/>
        <w:rPr>
          <w:rFonts w:ascii="宋体" w:cs="宋体"/>
          <w:b w:val="0"/>
          <w:bCs w:val="0"/>
          <w:color w:val="auto"/>
        </w:rPr>
      </w:pPr>
      <w:r>
        <w:rPr>
          <w:rFonts w:hint="eastAsia" w:ascii="宋体" w:cs="宋体"/>
          <w:b w:val="0"/>
          <w:bCs w:val="0"/>
          <w:color w:val="auto"/>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pStyle w:val="38"/>
        <w:spacing w:line="360" w:lineRule="auto"/>
        <w:ind w:left="0" w:leftChars="0" w:firstLine="480" w:firstLineChars="200"/>
        <w:rPr>
          <w:rFonts w:ascii="宋体" w:cs="宋体"/>
          <w:b w:val="0"/>
          <w:bCs w:val="0"/>
          <w:color w:val="FF0000"/>
        </w:rPr>
      </w:pPr>
      <w:r>
        <w:rPr>
          <w:rFonts w:hint="eastAsia" w:ascii="宋体" w:cs="宋体"/>
          <w:b w:val="0"/>
          <w:bCs w:val="0"/>
          <w:color w:val="FF0000"/>
        </w:rPr>
        <w:t>2、投标截止时间后，投标人登录政采云平台，用“项目采购-开标评标”功能对电子投标文件进行在线解密。在线解密电子投标文件时间为开标时间起半个小时内。</w:t>
      </w:r>
    </w:p>
    <w:p>
      <w:pPr>
        <w:pStyle w:val="38"/>
        <w:spacing w:line="360" w:lineRule="auto"/>
        <w:ind w:left="0" w:leftChars="0" w:firstLine="480" w:firstLineChars="200"/>
        <w:rPr>
          <w:rFonts w:ascii="宋体" w:cs="宋体"/>
          <w:b w:val="0"/>
          <w:bCs w:val="0"/>
          <w:color w:val="auto"/>
        </w:rPr>
      </w:pPr>
      <w:r>
        <w:rPr>
          <w:rFonts w:hint="eastAsia" w:ascii="宋体" w:cs="宋体"/>
          <w:b w:val="0"/>
          <w:bCs w:val="0"/>
          <w:color w:val="auto"/>
        </w:rPr>
        <w:t>3、评标委员会对资信和商务技术投标文件进行评审；</w:t>
      </w:r>
    </w:p>
    <w:p>
      <w:pPr>
        <w:pStyle w:val="38"/>
        <w:spacing w:line="360" w:lineRule="auto"/>
        <w:ind w:left="0" w:leftChars="0" w:firstLine="480" w:firstLineChars="200"/>
        <w:rPr>
          <w:rFonts w:ascii="宋体" w:cs="宋体"/>
          <w:b w:val="0"/>
          <w:bCs w:val="0"/>
          <w:color w:val="auto"/>
        </w:rPr>
      </w:pPr>
      <w:r>
        <w:rPr>
          <w:rFonts w:hint="eastAsia" w:ascii="宋体" w:cs="宋体"/>
          <w:b w:val="0"/>
          <w:bCs w:val="0"/>
          <w:color w:val="auto"/>
        </w:rPr>
        <w:t>4、在系统上公开资信和商务技术评审结果；</w:t>
      </w:r>
    </w:p>
    <w:p>
      <w:pPr>
        <w:pStyle w:val="38"/>
        <w:spacing w:line="360" w:lineRule="auto"/>
        <w:ind w:left="0" w:leftChars="0" w:firstLine="480" w:firstLineChars="200"/>
        <w:rPr>
          <w:rFonts w:ascii="宋体" w:cs="宋体"/>
          <w:b w:val="0"/>
          <w:bCs w:val="0"/>
          <w:color w:val="auto"/>
        </w:rPr>
      </w:pPr>
      <w:r>
        <w:rPr>
          <w:rFonts w:hint="eastAsia" w:ascii="宋体" w:cs="宋体"/>
          <w:b w:val="0"/>
          <w:bCs w:val="0"/>
          <w:color w:val="auto"/>
        </w:rPr>
        <w:t>5、在系统上公开报价开标情况；</w:t>
      </w:r>
    </w:p>
    <w:p>
      <w:pPr>
        <w:pStyle w:val="38"/>
        <w:spacing w:line="360" w:lineRule="auto"/>
        <w:ind w:left="0" w:leftChars="0" w:firstLine="480" w:firstLineChars="200"/>
        <w:rPr>
          <w:rFonts w:ascii="宋体" w:cs="宋体"/>
          <w:b w:val="0"/>
          <w:bCs w:val="0"/>
          <w:color w:val="auto"/>
        </w:rPr>
      </w:pPr>
      <w:r>
        <w:rPr>
          <w:rFonts w:hint="eastAsia" w:ascii="宋体" w:cs="宋体"/>
          <w:b w:val="0"/>
          <w:bCs w:val="0"/>
          <w:color w:val="auto"/>
        </w:rPr>
        <w:t>6、评标委员会对报价情况进行评审；</w:t>
      </w:r>
    </w:p>
    <w:p>
      <w:pPr>
        <w:pStyle w:val="38"/>
        <w:spacing w:line="360" w:lineRule="auto"/>
        <w:ind w:left="0" w:leftChars="0" w:firstLine="480" w:firstLineChars="200"/>
        <w:rPr>
          <w:rFonts w:ascii="宋体" w:cs="宋体"/>
          <w:b w:val="0"/>
          <w:bCs w:val="0"/>
          <w:color w:val="auto"/>
        </w:rPr>
      </w:pPr>
      <w:r>
        <w:rPr>
          <w:rFonts w:hint="eastAsia" w:ascii="宋体" w:cs="宋体"/>
          <w:b w:val="0"/>
          <w:bCs w:val="0"/>
          <w:color w:val="auto"/>
        </w:rPr>
        <w:t>7、在系统上公布评审结果。</w:t>
      </w:r>
    </w:p>
    <w:p>
      <w:pPr>
        <w:pStyle w:val="35"/>
        <w:snapToGrid w:val="0"/>
        <w:spacing w:beforeLines="0" w:afterLines="0" w:line="360" w:lineRule="auto"/>
        <w:ind w:firstLine="482" w:firstLineChars="200"/>
        <w:rPr>
          <w:rFonts w:hAnsi="宋体" w:cs="宋体"/>
          <w:b/>
          <w:bCs/>
        </w:rPr>
      </w:pPr>
      <w:r>
        <w:rPr>
          <w:rFonts w:hint="eastAsia" w:hAnsi="宋体" w:cs="宋体"/>
          <w:b/>
          <w:bCs/>
        </w:rPr>
        <w:t>特别说明：政采云公司如对电子化开标及评审程序有调整的，按调整后的程序操作。</w:t>
      </w:r>
    </w:p>
    <w:p>
      <w:pPr>
        <w:pStyle w:val="35"/>
        <w:snapToGrid w:val="0"/>
        <w:spacing w:beforeLines="0" w:afterLines="0" w:line="360" w:lineRule="auto"/>
        <w:ind w:firstLine="482" w:firstLineChars="200"/>
        <w:rPr>
          <w:rFonts w:hAnsi="宋体" w:cs="宋体"/>
          <w:b/>
        </w:rPr>
      </w:pPr>
      <w:r>
        <w:rPr>
          <w:rFonts w:hint="eastAsia" w:hAnsi="宋体" w:cs="宋体"/>
          <w:b/>
        </w:rPr>
        <w:t>（二）组织评标程序</w:t>
      </w:r>
    </w:p>
    <w:p>
      <w:pPr>
        <w:pStyle w:val="35"/>
        <w:snapToGrid w:val="0"/>
        <w:spacing w:beforeLines="0" w:afterLines="0" w:line="360" w:lineRule="auto"/>
        <w:ind w:firstLine="480" w:firstLineChars="200"/>
        <w:rPr>
          <w:rFonts w:hAnsi="宋体" w:cs="宋体"/>
          <w:bCs/>
        </w:rPr>
      </w:pPr>
      <w:r>
        <w:rPr>
          <w:rFonts w:hint="eastAsia" w:hAnsi="宋体" w:cs="宋体"/>
          <w:bCs/>
        </w:rPr>
        <w:t>采购机构将按照招标文件规定的时间、地点和程序组织评标，各评审专家及相关人员应参加评审活动并接受核验、签到，无关人员不得进入评审现场。</w:t>
      </w:r>
    </w:p>
    <w:p>
      <w:pPr>
        <w:pStyle w:val="35"/>
        <w:snapToGrid w:val="0"/>
        <w:spacing w:beforeLines="0" w:afterLines="0" w:line="360" w:lineRule="auto"/>
        <w:ind w:firstLine="480" w:firstLineChars="200"/>
        <w:rPr>
          <w:rFonts w:hAnsi="宋体" w:cs="宋体"/>
          <w:bCs/>
        </w:rPr>
      </w:pPr>
      <w:r>
        <w:rPr>
          <w:rFonts w:hint="eastAsia" w:hAnsi="宋体" w:cs="宋体"/>
          <w:bCs/>
        </w:rPr>
        <w:t>1、按规定统一收缴、保存评标现场相关人员通信工具。</w:t>
      </w:r>
    </w:p>
    <w:p>
      <w:pPr>
        <w:pStyle w:val="35"/>
        <w:snapToGrid w:val="0"/>
        <w:spacing w:beforeLines="0" w:afterLines="0" w:line="360" w:lineRule="auto"/>
        <w:ind w:firstLine="480" w:firstLineChars="200"/>
        <w:rPr>
          <w:rFonts w:hAnsi="宋体" w:cs="宋体"/>
          <w:bCs/>
        </w:rPr>
      </w:pPr>
      <w:r>
        <w:rPr>
          <w:rFonts w:hint="eastAsia" w:hAnsi="宋体" w:cs="宋体"/>
          <w:bCs/>
        </w:rPr>
        <w:t>2、介绍评审现场的人员情况，宣布评审工作纪律，告知评审人员应当回避情形；组织推选评标委员会组长。</w:t>
      </w:r>
    </w:p>
    <w:p>
      <w:pPr>
        <w:pStyle w:val="35"/>
        <w:snapToGrid w:val="0"/>
        <w:spacing w:beforeLines="0" w:afterLines="0" w:line="360" w:lineRule="auto"/>
        <w:ind w:firstLine="480" w:firstLineChars="200"/>
        <w:rPr>
          <w:rFonts w:hAnsi="宋体" w:cs="宋体"/>
          <w:bCs/>
        </w:rPr>
      </w:pPr>
      <w:r>
        <w:rPr>
          <w:rFonts w:hint="eastAsia" w:hAnsi="宋体" w:cs="宋体"/>
          <w:bCs/>
        </w:rPr>
        <w:t>3、宣读提交投标文件的供应商名单，组织评标委员会各位成员签订《政府采购评审人员廉洁自律承诺书》。</w:t>
      </w:r>
    </w:p>
    <w:p>
      <w:pPr>
        <w:pStyle w:val="35"/>
        <w:snapToGrid w:val="0"/>
        <w:spacing w:beforeLines="0" w:afterLines="0" w:line="360" w:lineRule="auto"/>
        <w:ind w:firstLine="480" w:firstLineChars="200"/>
        <w:rPr>
          <w:rFonts w:hAnsi="宋体" w:cs="宋体"/>
          <w:bCs/>
        </w:rPr>
      </w:pPr>
      <w:r>
        <w:rPr>
          <w:rFonts w:hint="eastAsia" w:hAnsi="宋体" w:cs="宋体"/>
          <w:bCs/>
        </w:rPr>
        <w:t>4、采购人可以在评标前说明项目背景和采购需求，说明内容不得含有歧视性、倾向性意见，不得超出招标文件所述范围。说明应当提交书面材料，并随采购文件一并存档。</w:t>
      </w:r>
    </w:p>
    <w:p>
      <w:pPr>
        <w:pStyle w:val="35"/>
        <w:snapToGrid w:val="0"/>
        <w:spacing w:beforeLines="0" w:afterLines="0" w:line="360" w:lineRule="auto"/>
        <w:ind w:firstLine="480" w:firstLineChars="200"/>
        <w:rPr>
          <w:rFonts w:hAnsi="宋体" w:cs="宋体"/>
          <w:bCs/>
        </w:rPr>
      </w:pPr>
      <w:r>
        <w:rPr>
          <w:rFonts w:hint="eastAsia" w:hAnsi="宋体" w:cs="宋体"/>
          <w:bCs/>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pPr>
        <w:pStyle w:val="35"/>
        <w:snapToGrid w:val="0"/>
        <w:spacing w:beforeLines="0" w:afterLines="0" w:line="360" w:lineRule="auto"/>
        <w:ind w:firstLine="480" w:firstLineChars="200"/>
        <w:rPr>
          <w:rFonts w:hAnsi="宋体" w:cs="宋体"/>
          <w:bCs/>
        </w:rPr>
      </w:pPr>
      <w:r>
        <w:rPr>
          <w:rFonts w:hint="eastAsia" w:hAnsi="宋体" w:cs="宋体"/>
          <w:bCs/>
        </w:rPr>
        <w:t>6、采购人代表或由采购人委托的评标委员会对投标人资格文件进行审查并</w:t>
      </w:r>
      <w:r>
        <w:rPr>
          <w:rFonts w:hint="eastAsia" w:hAnsi="宋体" w:cs="宋体"/>
        </w:rPr>
        <w:t>以开标当日为准</w:t>
      </w:r>
      <w:r>
        <w:rPr>
          <w:rFonts w:hint="eastAsia" w:hAnsi="宋体" w:cs="宋体"/>
          <w:bCs/>
        </w:rPr>
        <w:t>对投标人“信用中国”网站（www.creditchina.gov.cn）、中国政府采购网（www.ccgp.gov.cn）信用记录情况进行核实，资格不符合的，应组织相关投标人代表进行陈述、澄清或申辩。</w:t>
      </w:r>
    </w:p>
    <w:p>
      <w:pPr>
        <w:pStyle w:val="35"/>
        <w:snapToGrid w:val="0"/>
        <w:spacing w:beforeLines="0" w:afterLines="0" w:line="360" w:lineRule="auto"/>
        <w:ind w:firstLine="480" w:firstLineChars="200"/>
        <w:rPr>
          <w:rFonts w:hAnsi="宋体" w:cs="宋体"/>
          <w:bCs/>
        </w:rPr>
      </w:pPr>
      <w:r>
        <w:rPr>
          <w:rFonts w:hint="eastAsia" w:hAnsi="宋体" w:cs="宋体"/>
          <w:bCs/>
        </w:rPr>
        <w:t>7、评标委员会组长组织评审人员独立评审。评标委员会对拟认定为投标文件无效，应组织相关投标人代表进行陈述、澄清或申辩；采购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35"/>
        <w:snapToGrid w:val="0"/>
        <w:spacing w:beforeLines="0" w:afterLines="0" w:line="360" w:lineRule="auto"/>
        <w:ind w:firstLine="480" w:firstLineChars="200"/>
        <w:rPr>
          <w:rFonts w:hAnsi="宋体" w:cs="宋体"/>
          <w:bCs/>
        </w:rPr>
      </w:pPr>
      <w:r>
        <w:rPr>
          <w:rFonts w:hint="eastAsia" w:hAnsi="宋体" w:cs="宋体"/>
          <w:bCs/>
        </w:rPr>
        <w:t>8、做好评审现场相关记录，协助评标委员会组长做好评审报告起草、有关内容电脑文字录入等工作，并要求评标委员会各成员签字确认。</w:t>
      </w:r>
    </w:p>
    <w:p>
      <w:pPr>
        <w:pStyle w:val="35"/>
        <w:snapToGrid w:val="0"/>
        <w:spacing w:beforeLines="0" w:afterLines="0" w:line="360" w:lineRule="auto"/>
        <w:ind w:firstLine="480" w:firstLineChars="200"/>
        <w:rPr>
          <w:rFonts w:ascii="宋体" w:hAnsi="宋体" w:cs="宋体"/>
          <w:b/>
          <w:sz w:val="24"/>
          <w:szCs w:val="24"/>
        </w:rPr>
      </w:pPr>
      <w:r>
        <w:rPr>
          <w:rFonts w:hint="eastAsia" w:hAnsi="宋体" w:cs="宋体"/>
          <w:bCs/>
        </w:rPr>
        <w:t>9、评审结束后，采购机构应对评标委员会各成员的专业水平、职业道德、遵纪守法等情况进行评价；同时按规定向评审专家发放评审费，并交还评审人员及其他现场相关人员的通讯工具。</w:t>
      </w:r>
    </w:p>
    <w:p>
      <w:pPr>
        <w:pStyle w:val="35"/>
        <w:snapToGrid w:val="0"/>
        <w:spacing w:beforeLines="0" w:afterLines="0" w:line="360" w:lineRule="auto"/>
        <w:ind w:firstLine="482" w:firstLineChars="200"/>
        <w:rPr>
          <w:rFonts w:hint="eastAsia" w:hAnsi="宋体" w:cs="宋体"/>
          <w:b/>
        </w:rPr>
      </w:pPr>
      <w:r>
        <w:rPr>
          <w:rFonts w:hint="eastAsia" w:hAnsi="宋体" w:cs="宋体"/>
          <w:b/>
        </w:rPr>
        <w:t>（三）评审程序</w:t>
      </w:r>
    </w:p>
    <w:p>
      <w:pPr>
        <w:pStyle w:val="35"/>
        <w:snapToGrid w:val="0"/>
        <w:spacing w:beforeLines="0" w:afterLines="0" w:line="360" w:lineRule="auto"/>
        <w:ind w:firstLine="480" w:firstLineChars="200"/>
        <w:rPr>
          <w:rFonts w:hAnsi="宋体" w:cs="宋体"/>
          <w:bCs/>
        </w:rPr>
      </w:pPr>
      <w:r>
        <w:rPr>
          <w:rFonts w:hint="eastAsia" w:hAnsi="宋体" w:cs="宋体"/>
          <w:bCs/>
        </w:rPr>
        <w:t>1、在评审专家中推选评标委员会组长。</w:t>
      </w:r>
    </w:p>
    <w:p>
      <w:pPr>
        <w:pStyle w:val="35"/>
        <w:snapToGrid w:val="0"/>
        <w:spacing w:beforeLines="0" w:afterLines="0" w:line="360" w:lineRule="auto"/>
        <w:ind w:firstLine="480" w:firstLineChars="200"/>
        <w:rPr>
          <w:rFonts w:hAnsi="宋体" w:cs="宋体"/>
          <w:bCs/>
        </w:rPr>
      </w:pPr>
      <w:r>
        <w:rPr>
          <w:rFonts w:hint="eastAsia" w:hAnsi="宋体" w:cs="宋体"/>
          <w:bCs/>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pStyle w:val="35"/>
        <w:snapToGrid w:val="0"/>
        <w:spacing w:beforeLines="0" w:afterLines="0" w:line="360" w:lineRule="auto"/>
        <w:ind w:firstLine="480" w:firstLineChars="200"/>
        <w:rPr>
          <w:rFonts w:hAnsi="宋体" w:cs="宋体"/>
          <w:bCs/>
        </w:rPr>
      </w:pPr>
      <w:r>
        <w:rPr>
          <w:rFonts w:hint="eastAsia" w:hAnsi="宋体" w:cs="宋体"/>
          <w:bCs/>
        </w:rPr>
        <w:t>3、评审人员对各投标人投标文件的有效性、符合性、完整性和响应程度进行审查，确定是否对招标文件作出实质性响应。</w:t>
      </w:r>
    </w:p>
    <w:p>
      <w:pPr>
        <w:pStyle w:val="35"/>
        <w:snapToGrid w:val="0"/>
        <w:spacing w:beforeLines="0" w:afterLines="0" w:line="360" w:lineRule="auto"/>
        <w:ind w:firstLine="480" w:firstLineChars="200"/>
        <w:rPr>
          <w:rFonts w:hAnsi="宋体" w:cs="宋体"/>
          <w:bCs/>
        </w:rPr>
      </w:pPr>
      <w:r>
        <w:rPr>
          <w:rFonts w:hint="eastAsia" w:hAnsi="宋体" w:cs="宋体"/>
          <w:bCs/>
        </w:rPr>
        <w:t>4、评审人员按招标文件规定的评审方法和评审标准，依法独立对投标人投标文件进行评估、比较，并给予评价或打分，不受任何单位和个人的干预。</w:t>
      </w:r>
    </w:p>
    <w:p>
      <w:pPr>
        <w:pStyle w:val="35"/>
        <w:snapToGrid w:val="0"/>
        <w:spacing w:beforeLines="0" w:afterLines="0" w:line="360" w:lineRule="auto"/>
        <w:ind w:firstLine="480" w:firstLineChars="200"/>
        <w:rPr>
          <w:rFonts w:hAnsi="宋体" w:cs="宋体"/>
          <w:bCs/>
        </w:rPr>
      </w:pPr>
      <w:r>
        <w:rPr>
          <w:rFonts w:hint="eastAsia" w:hAnsi="宋体" w:cs="宋体"/>
          <w:bCs/>
        </w:rPr>
        <w:t>5、评审人员对各供应商投标文件非实质性内容有疑义或异议，或者审查发现明显的文字或计算错误等，及时向评标委员会组长提出。经评标委员会商议认为需要供应商作出必要澄清或说明的，应通知该投标人以书面形式作出澄清或说明。授权代表未到场或拒绝澄清说明或澄清说明的内容改变了投标文件的实质性内容的，评标委员会有权对该投标文件作出不利于投标人的评判。书面通知及澄清说明文件应作为采购项目档案归档留存。</w:t>
      </w:r>
    </w:p>
    <w:p>
      <w:pPr>
        <w:pStyle w:val="35"/>
        <w:snapToGrid w:val="0"/>
        <w:spacing w:beforeLines="0" w:afterLines="0" w:line="360" w:lineRule="auto"/>
        <w:ind w:firstLine="480" w:firstLineChars="200"/>
        <w:rPr>
          <w:rFonts w:hAnsi="宋体" w:cs="宋体"/>
          <w:bCs/>
        </w:rPr>
      </w:pPr>
      <w:r>
        <w:rPr>
          <w:rFonts w:hint="eastAsia" w:hAnsi="宋体" w:cs="宋体"/>
          <w:bCs/>
        </w:rPr>
        <w:t>6、评审人员需对采购机构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pStyle w:val="35"/>
        <w:snapToGrid w:val="0"/>
        <w:spacing w:beforeLines="0" w:afterLines="0" w:line="360" w:lineRule="auto"/>
        <w:ind w:firstLine="480" w:firstLineChars="200"/>
        <w:rPr>
          <w:rFonts w:hAnsi="宋体" w:cs="宋体"/>
          <w:bCs/>
        </w:rPr>
      </w:pPr>
      <w:r>
        <w:rPr>
          <w:rFonts w:hint="eastAsia" w:hAnsi="宋体" w:cs="宋体"/>
          <w:bCs/>
        </w:rPr>
        <w:t xml:space="preserve">7、评标委员会根据评审汇总情况和招标文件规定确定中标候选供应商排序名单。 </w:t>
      </w:r>
    </w:p>
    <w:p>
      <w:pPr>
        <w:pStyle w:val="35"/>
        <w:snapToGrid w:val="0"/>
        <w:spacing w:beforeLines="0" w:afterLines="0" w:line="360" w:lineRule="auto"/>
        <w:ind w:firstLine="480" w:firstLineChars="200"/>
        <w:rPr>
          <w:rFonts w:hAnsi="宋体" w:cs="宋体"/>
          <w:bCs/>
        </w:rPr>
      </w:pPr>
      <w:r>
        <w:rPr>
          <w:rFonts w:hint="eastAsia" w:hAnsi="宋体" w:cs="宋体"/>
          <w:bCs/>
        </w:rPr>
        <w:t>8、起草评审报告，所有评审人员须在评审报告上签字确认。</w:t>
      </w:r>
    </w:p>
    <w:p>
      <w:pPr>
        <w:pStyle w:val="35"/>
        <w:tabs>
          <w:tab w:val="left" w:pos="3668"/>
          <w:tab w:val="center" w:pos="4678"/>
        </w:tabs>
        <w:snapToGrid w:val="0"/>
        <w:spacing w:beforeLines="0" w:afterLines="0" w:line="360" w:lineRule="auto"/>
        <w:ind w:firstLine="419" w:firstLineChars="139"/>
        <w:jc w:val="left"/>
        <w:rPr>
          <w:rFonts w:asciiTheme="minorEastAsia" w:hAnsiTheme="minorEastAsia" w:eastAsiaTheme="minorEastAsia"/>
          <w:b/>
          <w:sz w:val="30"/>
          <w:szCs w:val="30"/>
        </w:rPr>
      </w:pPr>
      <w:r>
        <w:rPr>
          <w:rFonts w:hint="eastAsia" w:asciiTheme="minorEastAsia" w:hAnsiTheme="minorEastAsia" w:eastAsiaTheme="minorEastAsia"/>
          <w:b/>
          <w:sz w:val="30"/>
          <w:szCs w:val="30"/>
        </w:rPr>
        <w:tab/>
      </w:r>
      <w:r>
        <w:rPr>
          <w:rFonts w:hint="eastAsia" w:asciiTheme="minorEastAsia" w:hAnsiTheme="minorEastAsia" w:eastAsiaTheme="minorEastAsia"/>
          <w:b/>
          <w:sz w:val="30"/>
          <w:szCs w:val="30"/>
        </w:rPr>
        <w:t>四、评审原则</w:t>
      </w:r>
    </w:p>
    <w:p>
      <w:pPr>
        <w:pStyle w:val="35"/>
        <w:snapToGrid w:val="0"/>
        <w:spacing w:beforeLines="0" w:afterLines="0" w:line="360" w:lineRule="auto"/>
        <w:ind w:firstLine="480" w:firstLineChars="200"/>
        <w:rPr>
          <w:rFonts w:hAnsi="宋体" w:cs="宋体"/>
        </w:rPr>
      </w:pPr>
      <w:r>
        <w:rPr>
          <w:rFonts w:hint="eastAsia" w:hAnsi="宋体" w:cs="宋体"/>
        </w:rPr>
        <w:t>1、评标委员会必须公平、公正、客观，不带任何倾向性和启发性；不得向外界透露任何与评标有关的内容；任何单位和个人不得干扰、影响评标的正常进行；评标委员会及有关工作人员不得私下与投标人接触。</w:t>
      </w:r>
    </w:p>
    <w:p>
      <w:pPr>
        <w:pStyle w:val="35"/>
        <w:snapToGrid w:val="0"/>
        <w:spacing w:beforeLines="0" w:afterLines="0" w:line="360" w:lineRule="auto"/>
        <w:ind w:firstLine="480" w:firstLineChars="200"/>
        <w:rPr>
          <w:rFonts w:hAnsi="宋体" w:cs="宋体"/>
          <w:bCs/>
        </w:rPr>
      </w:pPr>
      <w:r>
        <w:rPr>
          <w:rFonts w:hint="eastAsia" w:hAnsi="宋体" w:cs="宋体"/>
          <w:bCs/>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pPr>
        <w:pStyle w:val="35"/>
        <w:snapToGrid w:val="0"/>
        <w:spacing w:beforeLines="0" w:afterLines="0" w:line="360" w:lineRule="auto"/>
        <w:ind w:firstLine="480" w:firstLineChars="200"/>
        <w:rPr>
          <w:rFonts w:hAnsi="宋体" w:cs="宋体"/>
          <w:bCs/>
        </w:rPr>
      </w:pPr>
      <w:r>
        <w:rPr>
          <w:rFonts w:hint="eastAsia" w:hAnsi="宋体" w:cs="宋体"/>
          <w:bCs/>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pPr>
        <w:pStyle w:val="35"/>
        <w:snapToGrid w:val="0"/>
        <w:spacing w:beforeLines="0" w:afterLines="0" w:line="360" w:lineRule="auto"/>
        <w:ind w:firstLine="419" w:firstLineChars="139"/>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五、确定中标供应商的原则</w:t>
      </w:r>
    </w:p>
    <w:p>
      <w:pPr>
        <w:pStyle w:val="35"/>
        <w:snapToGrid w:val="0"/>
        <w:spacing w:beforeLines="0" w:afterLines="0" w:line="360" w:lineRule="auto"/>
        <w:ind w:firstLine="480" w:firstLineChars="200"/>
        <w:rPr>
          <w:rFonts w:hAnsi="宋体" w:cs="宋体"/>
        </w:rPr>
      </w:pPr>
      <w:r>
        <w:rPr>
          <w:rFonts w:hint="eastAsia" w:hAnsi="宋体" w:cs="宋体"/>
        </w:rPr>
        <w:t>1、项目由评标委员会根据第三章《评标办法与评分标准》规定提出中标候选人排序。</w:t>
      </w:r>
    </w:p>
    <w:p>
      <w:pPr>
        <w:pStyle w:val="35"/>
        <w:snapToGrid w:val="0"/>
        <w:spacing w:beforeLines="0" w:afterLines="0" w:line="360" w:lineRule="auto"/>
        <w:ind w:firstLine="480" w:firstLineChars="200"/>
        <w:rPr>
          <w:rFonts w:hAnsi="宋体" w:cs="宋体"/>
        </w:rPr>
      </w:pPr>
      <w:r>
        <w:rPr>
          <w:rFonts w:hint="eastAsia" w:hAnsi="宋体" w:cs="宋体"/>
        </w:rPr>
        <w:t>2、采购人应当自收到评标报告之日起</w:t>
      </w:r>
      <w:r>
        <w:rPr>
          <w:rFonts w:hint="eastAsia" w:hAnsi="宋体" w:cs="宋体"/>
          <w:lang w:val="en-US" w:eastAsia="zh-CN"/>
        </w:rPr>
        <w:t>5</w:t>
      </w:r>
      <w:r>
        <w:rPr>
          <w:rFonts w:hint="eastAsia" w:hAnsi="宋体" w:cs="宋体"/>
        </w:rPr>
        <w:t>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中标候选人为中标人。</w:t>
      </w:r>
    </w:p>
    <w:p>
      <w:pPr>
        <w:pStyle w:val="35"/>
        <w:snapToGrid w:val="0"/>
        <w:spacing w:beforeLines="0" w:afterLines="0" w:line="360" w:lineRule="auto"/>
        <w:ind w:firstLine="480" w:firstLineChars="200"/>
        <w:rPr>
          <w:rFonts w:hAnsi="宋体" w:cs="宋体"/>
        </w:rPr>
      </w:pPr>
      <w:r>
        <w:rPr>
          <w:rFonts w:hint="eastAsia" w:hAnsi="宋体" w:cs="宋体"/>
        </w:rPr>
        <w:t>3、采购结果经采购人确认后，采购机构将于2个工作日内在浙江政府采购网上发布中标公告，并向中标方签发书面《中标通知书》，服务台根据报名时预留地址寄送中标通知书。</w:t>
      </w:r>
    </w:p>
    <w:p>
      <w:pPr>
        <w:pStyle w:val="35"/>
        <w:snapToGrid w:val="0"/>
        <w:spacing w:beforeLines="0" w:afterLines="0" w:line="360" w:lineRule="auto"/>
        <w:ind w:firstLine="419" w:firstLineChars="139"/>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六、合同授予</w:t>
      </w:r>
    </w:p>
    <w:p>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（一）签订合同</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1、采购人与中标人应当在《中标通知书》发出之日起30日内签订采购合同。</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2、中标人拖延、拒签合同的，将被取消中标资格。</w:t>
      </w:r>
    </w:p>
    <w:p>
      <w:pPr>
        <w:rPr>
          <w:rFonts w:asciiTheme="minorEastAsia" w:hAnsiTheme="minorEastAsia" w:eastAsiaTheme="minorEastAsia"/>
          <w:b/>
          <w:color w:val="000000"/>
          <w:sz w:val="36"/>
          <w:szCs w:val="36"/>
        </w:rPr>
      </w:pPr>
      <w:r>
        <w:rPr>
          <w:rFonts w:hint="eastAsia" w:asciiTheme="minorEastAsia" w:hAnsiTheme="minorEastAsia" w:eastAsiaTheme="minorEastAsia"/>
          <w:b/>
          <w:color w:val="000000"/>
          <w:sz w:val="36"/>
          <w:szCs w:val="36"/>
        </w:rPr>
        <w:br w:type="page"/>
      </w:r>
    </w:p>
    <w:p>
      <w:pPr>
        <w:pStyle w:val="35"/>
        <w:snapToGrid w:val="0"/>
        <w:spacing w:beforeLines="0" w:afterLines="0" w:line="360" w:lineRule="auto"/>
        <w:ind w:firstLine="502" w:firstLineChars="139"/>
        <w:jc w:val="center"/>
        <w:outlineLvl w:val="0"/>
        <w:rPr>
          <w:rFonts w:asciiTheme="minorEastAsia" w:hAnsiTheme="minorEastAsia" w:eastAsiaTheme="minorEastAsia"/>
          <w:b/>
          <w:color w:val="000000"/>
          <w:sz w:val="36"/>
          <w:szCs w:val="36"/>
          <w:highlight w:val="none"/>
        </w:rPr>
      </w:pPr>
      <w:bookmarkStart w:id="40" w:name="_Toc31492"/>
      <w:bookmarkStart w:id="59" w:name="_GoBack"/>
      <w:bookmarkEnd w:id="59"/>
      <w:r>
        <w:rPr>
          <w:rFonts w:hint="eastAsia" w:asciiTheme="minorEastAsia" w:hAnsiTheme="minorEastAsia" w:eastAsiaTheme="minorEastAsia"/>
          <w:b/>
          <w:color w:val="000000"/>
          <w:sz w:val="36"/>
          <w:szCs w:val="36"/>
          <w:highlight w:val="none"/>
        </w:rPr>
        <w:t>第三章  评标办法及评分标准</w:t>
      </w:r>
      <w:bookmarkEnd w:id="40"/>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根据有关法律法规，结合本项目的实际需求，制定本办法。</w:t>
      </w:r>
    </w:p>
    <w:p>
      <w:pPr>
        <w:snapToGrid w:val="0"/>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一、总则</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1、本次评标采用综合评分法，总分为100分。合格投标人的综合得分为各项目汇总得分，中标候选资格按评标得分由高到低顺序排列，得分相同的，按投标报价由低到高顺序排列；得分且投标报价相同的，按</w:t>
      </w:r>
      <w:r>
        <w:rPr>
          <w:rFonts w:hint="eastAsia" w:asciiTheme="minorEastAsia" w:hAnsiTheme="minorEastAsia" w:eastAsiaTheme="minorEastAsia"/>
          <w:b/>
          <w:sz w:val="24"/>
          <w:szCs w:val="24"/>
        </w:rPr>
        <w:t>技术及商务</w:t>
      </w:r>
      <w:r>
        <w:rPr>
          <w:rFonts w:hint="eastAsia" w:asciiTheme="minorEastAsia" w:hAnsiTheme="minorEastAsia" w:eastAsiaTheme="minorEastAsia"/>
          <w:sz w:val="24"/>
          <w:szCs w:val="24"/>
        </w:rPr>
        <w:t>得分由高到低顺序排列；按照上述方式排列仍有并列的，采取随机抽取的方式确定。推荐综合得分排名第一的投标人为中标候选人。</w:t>
      </w:r>
    </w:p>
    <w:p>
      <w:pPr>
        <w:snapToGrid w:val="0"/>
        <w:spacing w:line="360" w:lineRule="auto"/>
        <w:ind w:firstLine="480" w:firstLineChars="200"/>
        <w:rPr>
          <w:rFonts w:asciiTheme="minorEastAsia" w:hAnsiTheme="minorEastAsia" w:eastAsiaTheme="minorEastAsia"/>
          <w:bCs/>
          <w:sz w:val="24"/>
          <w:szCs w:val="24"/>
        </w:rPr>
      </w:pPr>
      <w:r>
        <w:rPr>
          <w:rFonts w:hint="eastAsia" w:asciiTheme="minorEastAsia" w:hAnsiTheme="minorEastAsia" w:eastAsiaTheme="minorEastAsia"/>
          <w:sz w:val="24"/>
          <w:szCs w:val="24"/>
        </w:rPr>
        <w:t>评分过</w:t>
      </w:r>
      <w:r>
        <w:rPr>
          <w:rFonts w:hint="eastAsia" w:asciiTheme="minorEastAsia" w:hAnsiTheme="minorEastAsia" w:eastAsiaTheme="minorEastAsia"/>
          <w:bCs/>
          <w:sz w:val="24"/>
          <w:szCs w:val="24"/>
        </w:rPr>
        <w:t>程中采用四舍五入法，并保留小数2位。</w:t>
      </w:r>
    </w:p>
    <w:p>
      <w:pPr>
        <w:snapToGrid w:val="0"/>
        <w:spacing w:line="360" w:lineRule="auto"/>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二、分值的计算</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技术及商务分按照评标委员会成员的独立评分结果汇总后的算术平均分计算，计算公式为：</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技术及商务分=评标委员会所有成员评分合计数/评标委员会组成人数</w:t>
      </w:r>
    </w:p>
    <w:p>
      <w:pPr>
        <w:snapToGrid w:val="0"/>
        <w:spacing w:line="360" w:lineRule="auto"/>
        <w:ind w:firstLine="333" w:firstLineChars="139"/>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投标人评标得分=价格分+技术及商务分</w:t>
      </w:r>
    </w:p>
    <w:p>
      <w:pPr>
        <w:snapToGrid w:val="0"/>
        <w:spacing w:line="360" w:lineRule="auto"/>
        <w:ind w:firstLine="335" w:firstLineChars="139"/>
        <w:rPr>
          <w:rFonts w:asciiTheme="minorEastAsia" w:hAnsiTheme="minorEastAsia" w:eastAsiaTheme="minorEastAsia"/>
          <w:sz w:val="24"/>
          <w:szCs w:val="24"/>
        </w:rPr>
      </w:pPr>
      <w:r>
        <w:rPr>
          <w:rFonts w:hint="eastAsia" w:asciiTheme="minorEastAsia" w:hAnsiTheme="minorEastAsia" w:eastAsiaTheme="minorEastAsia"/>
          <w:b/>
          <w:bCs/>
          <w:sz w:val="24"/>
          <w:szCs w:val="24"/>
        </w:rPr>
        <w:t>三、评标内容及标准</w:t>
      </w:r>
    </w:p>
    <w:p>
      <w:pPr>
        <w:pStyle w:val="869"/>
        <w:ind w:firstLine="482"/>
        <w:rPr>
          <w:rFonts w:cs="宋体"/>
          <w:b/>
          <w:bCs/>
        </w:rPr>
      </w:pPr>
      <w:bookmarkStart w:id="41" w:name="报价明细表"/>
      <w:bookmarkEnd w:id="41"/>
      <w:r>
        <w:rPr>
          <w:rFonts w:hint="eastAsia" w:cs="宋体"/>
          <w:b/>
        </w:rPr>
        <w:t>（一）</w:t>
      </w:r>
      <w:r>
        <w:rPr>
          <w:rFonts w:hint="eastAsia" w:cs="宋体"/>
          <w:b/>
          <w:bCs/>
        </w:rPr>
        <w:t>价格分（</w:t>
      </w:r>
      <w:r>
        <w:rPr>
          <w:rFonts w:hint="eastAsia" w:cs="宋体"/>
          <w:b/>
          <w:bCs/>
          <w:lang w:val="en-US" w:eastAsia="zh-CN"/>
        </w:rPr>
        <w:t>30</w:t>
      </w:r>
      <w:r>
        <w:rPr>
          <w:rFonts w:hint="eastAsia" w:cs="宋体"/>
          <w:b/>
          <w:bCs/>
        </w:rPr>
        <w:t>分）</w:t>
      </w:r>
    </w:p>
    <w:p>
      <w:pPr>
        <w:tabs>
          <w:tab w:val="left" w:pos="3870"/>
          <w:tab w:val="left" w:pos="4085"/>
        </w:tabs>
        <w:snapToGrid w:val="0"/>
        <w:spacing w:afterLines="50" w:line="410" w:lineRule="exact"/>
        <w:ind w:firstLine="480" w:firstLineChars="200"/>
        <w:jc w:val="left"/>
        <w:rPr>
          <w:rFonts w:ascii="宋体" w:hAnsi="宋体" w:cs="宋体"/>
          <w:sz w:val="24"/>
        </w:rPr>
      </w:pPr>
      <w:r>
        <w:rPr>
          <w:rFonts w:hint="eastAsia" w:ascii="宋体" w:hAnsi="宋体" w:cs="宋体"/>
          <w:sz w:val="24"/>
        </w:rPr>
        <w:t>1.价格分采用低价优先法计算，即满足招标文件要求且投标价格最低的投标报价为评标基准价，其他投标人的价格分按照下列公式计算：</w:t>
      </w:r>
    </w:p>
    <w:p>
      <w:pPr>
        <w:tabs>
          <w:tab w:val="left" w:pos="3870"/>
          <w:tab w:val="left" w:pos="4085"/>
        </w:tabs>
        <w:snapToGrid w:val="0"/>
        <w:spacing w:afterLines="50" w:line="410" w:lineRule="exact"/>
        <w:ind w:firstLine="480" w:firstLineChars="200"/>
        <w:jc w:val="left"/>
        <w:rPr>
          <w:rFonts w:ascii="宋体" w:hAnsi="宋体" w:cs="宋体"/>
          <w:sz w:val="24"/>
        </w:rPr>
      </w:pPr>
      <w:r>
        <w:rPr>
          <w:rFonts w:hint="eastAsia" w:ascii="宋体" w:hAnsi="宋体" w:cs="宋体"/>
          <w:sz w:val="24"/>
        </w:rPr>
        <w:t>价格分=（评标基准价/投标报价）×</w:t>
      </w:r>
      <w:r>
        <w:rPr>
          <w:rFonts w:hint="eastAsia" w:ascii="宋体" w:hAnsi="宋体" w:cs="宋体"/>
          <w:sz w:val="24"/>
          <w:lang w:val="en-US" w:eastAsia="zh-CN"/>
        </w:rPr>
        <w:t>30</w:t>
      </w:r>
      <w:r>
        <w:rPr>
          <w:rFonts w:hint="eastAsia" w:ascii="宋体" w:hAnsi="宋体" w:cs="宋体"/>
          <w:sz w:val="24"/>
        </w:rPr>
        <w:t>。</w:t>
      </w:r>
    </w:p>
    <w:p>
      <w:pPr>
        <w:snapToGrid w:val="0"/>
        <w:spacing w:line="360" w:lineRule="auto"/>
        <w:ind w:firstLine="480" w:firstLineChars="200"/>
        <w:jc w:val="left"/>
        <w:rPr>
          <w:rFonts w:ascii="宋体" w:hAnsi="宋体" w:cs="宋体"/>
          <w:sz w:val="24"/>
        </w:rPr>
      </w:pPr>
      <w:r>
        <w:rPr>
          <w:rFonts w:hint="eastAsia" w:ascii="宋体" w:hAnsi="宋体" w:cs="宋体"/>
          <w:sz w:val="24"/>
        </w:rPr>
        <w:t>2.投标人的投标报价超过设定的上限单价的作为无效标处理。</w:t>
      </w:r>
    </w:p>
    <w:p>
      <w:pPr>
        <w:snapToGrid w:val="0"/>
        <w:spacing w:line="360" w:lineRule="auto"/>
        <w:ind w:left="480"/>
        <w:jc w:val="left"/>
        <w:rPr>
          <w:rFonts w:ascii="宋体" w:hAnsi="宋体" w:cs="宋体"/>
          <w:sz w:val="24"/>
        </w:rPr>
      </w:pPr>
      <w:r>
        <w:rPr>
          <w:rFonts w:hint="eastAsia" w:ascii="宋体" w:hAnsi="宋体" w:cs="宋体"/>
          <w:sz w:val="24"/>
        </w:rPr>
        <w:t>3.报价是中标的一个重要因素，但最低报价不是中标的唯一依据。</w:t>
      </w:r>
    </w:p>
    <w:p>
      <w:pPr>
        <w:pStyle w:val="869"/>
        <w:ind w:firstLine="482"/>
        <w:rPr>
          <w:rFonts w:cs="宋体"/>
          <w:b/>
        </w:rPr>
      </w:pPr>
      <w:r>
        <w:rPr>
          <w:rFonts w:hint="eastAsia" w:cs="宋体"/>
          <w:b/>
        </w:rPr>
        <w:t>（二）技术及商务分（</w:t>
      </w:r>
      <w:r>
        <w:rPr>
          <w:rFonts w:hint="eastAsia" w:cs="宋体"/>
          <w:b/>
          <w:lang w:val="en-US" w:eastAsia="zh-CN"/>
        </w:rPr>
        <w:t>70</w:t>
      </w:r>
      <w:r>
        <w:rPr>
          <w:rFonts w:hint="eastAsia" w:cs="宋体"/>
          <w:b/>
        </w:rPr>
        <w:t>分）</w:t>
      </w:r>
    </w:p>
    <w:tbl>
      <w:tblPr>
        <w:tblStyle w:val="59"/>
        <w:tblW w:w="10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7494"/>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024"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评分项</w:t>
            </w:r>
          </w:p>
        </w:tc>
        <w:tc>
          <w:tcPr>
            <w:tcW w:w="7494"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kern w:val="0"/>
                <w:sz w:val="24"/>
                <w:szCs w:val="24"/>
                <w:lang w:val="zh-CN"/>
              </w:rPr>
              <w:t>评分细则</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kern w:val="0"/>
                <w:sz w:val="24"/>
                <w:szCs w:val="24"/>
                <w:lang w:val="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2024" w:type="dxa"/>
            <w:vMerge w:val="restart"/>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项目理解</w:t>
            </w:r>
          </w:p>
          <w:p>
            <w:pPr>
              <w:autoSpaceDE w:val="0"/>
              <w:autoSpaceDN w:val="0"/>
              <w:adjustRightInd w:val="0"/>
              <w:snapToGrid w:val="0"/>
              <w:spacing w:line="360" w:lineRule="auto"/>
              <w:jc w:val="center"/>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w:t>
            </w:r>
            <w:r>
              <w:rPr>
                <w:rFonts w:hint="eastAsia" w:ascii="宋体" w:hAnsi="宋体" w:eastAsia="宋体" w:cs="宋体"/>
                <w:bCs/>
                <w:kern w:val="0"/>
                <w:sz w:val="24"/>
                <w:szCs w:val="24"/>
                <w:lang w:val="en-US" w:eastAsia="zh-CN"/>
              </w:rPr>
              <w:t>4分</w:t>
            </w:r>
            <w:r>
              <w:rPr>
                <w:rFonts w:hint="eastAsia" w:ascii="宋体" w:hAnsi="宋体" w:eastAsia="宋体" w:cs="宋体"/>
                <w:bCs/>
                <w:kern w:val="0"/>
                <w:sz w:val="24"/>
                <w:szCs w:val="24"/>
                <w:lang w:val="zh-CN"/>
              </w:rPr>
              <w:t>）</w:t>
            </w:r>
          </w:p>
        </w:tc>
        <w:tc>
          <w:tcPr>
            <w:tcW w:w="7494" w:type="dxa"/>
            <w:shd w:val="clear" w:color="auto" w:fill="FFFFFF"/>
            <w:noWrap/>
            <w:vAlign w:val="center"/>
          </w:tcPr>
          <w:p>
            <w:pPr>
              <w:autoSpaceDE w:val="0"/>
              <w:autoSpaceDN w:val="0"/>
              <w:adjustRightInd w:val="0"/>
              <w:snapToGrid w:val="0"/>
              <w:spacing w:line="360" w:lineRule="auto"/>
              <w:jc w:val="both"/>
              <w:rPr>
                <w:rFonts w:hint="default" w:ascii="宋体" w:hAnsi="宋体" w:eastAsia="宋体" w:cs="宋体"/>
                <w:bCs/>
                <w:kern w:val="0"/>
                <w:sz w:val="24"/>
                <w:szCs w:val="24"/>
                <w:lang w:val="en-US"/>
              </w:rPr>
            </w:pPr>
            <w:r>
              <w:rPr>
                <w:rFonts w:hint="eastAsia" w:ascii="宋体" w:hAnsi="宋体" w:eastAsia="宋体" w:cs="宋体"/>
                <w:bCs/>
                <w:kern w:val="0"/>
                <w:sz w:val="24"/>
                <w:szCs w:val="24"/>
                <w:lang w:val="en-US" w:eastAsia="zh-CN"/>
              </w:rPr>
              <w:t>1、供应商根据采购需求提出自身对项目背景及建设目标的理解，并根据项目理解提出设计理念。对项目理解全面，设计理念可行，符合采购需求的（1-2分）；对项目理解存在偏差或缺漏，设计理念可行性较差的（0-1分）。本项最高得2分。</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2024" w:type="dxa"/>
            <w:vMerge w:val="continue"/>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kern w:val="0"/>
                <w:sz w:val="24"/>
                <w:szCs w:val="24"/>
                <w:lang w:val="zh-CN"/>
              </w:rPr>
            </w:pPr>
          </w:p>
        </w:tc>
        <w:tc>
          <w:tcPr>
            <w:tcW w:w="7494" w:type="dxa"/>
            <w:shd w:val="clear" w:color="auto" w:fill="FFFFFF"/>
            <w:noWrap/>
            <w:vAlign w:val="center"/>
          </w:tcPr>
          <w:p>
            <w:pPr>
              <w:autoSpaceDE w:val="0"/>
              <w:autoSpaceDN w:val="0"/>
              <w:adjustRightInd w:val="0"/>
              <w:snapToGrid w:val="0"/>
              <w:spacing w:line="360" w:lineRule="auto"/>
              <w:jc w:val="both"/>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w:t>
            </w:r>
            <w:r>
              <w:rPr>
                <w:rFonts w:hint="eastAsia" w:ascii="宋体"/>
                <w:sz w:val="24"/>
              </w:rPr>
              <w:t>供应商针对本项目建设过程中对安装场地及周边环境现状的重点难点进行分析，并提出相应解</w:t>
            </w:r>
            <w:r>
              <w:rPr>
                <w:rFonts w:hint="eastAsia" w:ascii="宋体"/>
                <w:sz w:val="24"/>
                <w:highlight w:val="none"/>
              </w:rPr>
              <w:t>决方案。</w:t>
            </w:r>
            <w:r>
              <w:rPr>
                <w:rFonts w:hint="eastAsia" w:ascii="宋体"/>
                <w:sz w:val="24"/>
                <w:highlight w:val="none"/>
                <w:lang w:eastAsia="zh-CN"/>
              </w:rPr>
              <w:t>重难点分析到位，能结合</w:t>
            </w:r>
            <w:r>
              <w:rPr>
                <w:rFonts w:hint="eastAsia" w:ascii="宋体" w:hAnsi="宋体" w:eastAsia="宋体" w:cs="宋体"/>
                <w:bCs/>
                <w:kern w:val="0"/>
                <w:sz w:val="24"/>
                <w:szCs w:val="24"/>
                <w:highlight w:val="none"/>
                <w:lang w:val="en-US" w:eastAsia="zh-CN"/>
              </w:rPr>
              <w:t>现场踏勘照片进行分析，</w:t>
            </w:r>
            <w:r>
              <w:rPr>
                <w:rFonts w:hint="eastAsia" w:ascii="宋体"/>
                <w:sz w:val="24"/>
                <w:highlight w:val="none"/>
                <w:lang w:eastAsia="zh-CN"/>
              </w:rPr>
              <w:t>解决方案合理可行的（</w:t>
            </w:r>
            <w:r>
              <w:rPr>
                <w:rFonts w:hint="eastAsia" w:ascii="宋体"/>
                <w:sz w:val="24"/>
                <w:highlight w:val="none"/>
                <w:lang w:val="en-US" w:eastAsia="zh-CN"/>
              </w:rPr>
              <w:t>1-2分）；对现状重难点</w:t>
            </w:r>
            <w:r>
              <w:rPr>
                <w:rFonts w:hint="eastAsia" w:ascii="宋体" w:hAnsi="宋体" w:eastAsia="宋体" w:cs="宋体"/>
                <w:bCs/>
                <w:kern w:val="0"/>
                <w:sz w:val="24"/>
                <w:szCs w:val="24"/>
                <w:highlight w:val="none"/>
                <w:lang w:val="en-US" w:eastAsia="zh-CN"/>
              </w:rPr>
              <w:t>分析与实际情况偏差较大，解决方案可行性较</w:t>
            </w:r>
            <w:r>
              <w:rPr>
                <w:rFonts w:hint="eastAsia" w:ascii="宋体" w:hAnsi="宋体" w:eastAsia="宋体" w:cs="宋体"/>
                <w:bCs/>
                <w:kern w:val="0"/>
                <w:sz w:val="24"/>
                <w:szCs w:val="24"/>
                <w:lang w:val="en-US" w:eastAsia="zh-CN"/>
              </w:rPr>
              <w:t>差的（0-1分）。本项最高得2分。</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7" w:hRule="atLeast"/>
          <w:jc w:val="center"/>
        </w:trPr>
        <w:tc>
          <w:tcPr>
            <w:tcW w:w="2024"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IP主题资源</w:t>
            </w:r>
          </w:p>
          <w:p>
            <w:pPr>
              <w:pStyle w:val="58"/>
              <w:ind w:left="0" w:leftChars="0" w:firstLine="0" w:firstLineChars="0"/>
              <w:jc w:val="center"/>
              <w:rPr>
                <w:rFonts w:hint="default"/>
                <w:lang w:val="en-US" w:eastAsia="zh-CN"/>
              </w:rPr>
            </w:pPr>
            <w:r>
              <w:rPr>
                <w:rFonts w:hint="eastAsia" w:ascii="宋体" w:hAnsi="宋体" w:eastAsia="宋体" w:cs="宋体"/>
                <w:bCs/>
                <w:kern w:val="0"/>
                <w:sz w:val="24"/>
                <w:szCs w:val="24"/>
                <w:lang w:val="en-US" w:eastAsia="zh-CN"/>
              </w:rPr>
              <w:t>（10分）</w:t>
            </w:r>
          </w:p>
        </w:tc>
        <w:tc>
          <w:tcPr>
            <w:tcW w:w="7494" w:type="dxa"/>
            <w:shd w:val="clear" w:color="auto" w:fill="FFFFFF"/>
            <w:noWrap/>
            <w:vAlign w:val="center"/>
          </w:tcPr>
          <w:p>
            <w:pPr>
              <w:autoSpaceDE w:val="0"/>
              <w:autoSpaceDN w:val="0"/>
              <w:adjustRightInd w:val="0"/>
              <w:snapToGrid w:val="0"/>
              <w:spacing w:line="360" w:lineRule="auto"/>
              <w:jc w:val="both"/>
              <w:rPr>
                <w:rFonts w:hint="default"/>
                <w:lang w:val="en-US" w:eastAsia="zh-CN"/>
              </w:rPr>
            </w:pPr>
            <w:r>
              <w:rPr>
                <w:rFonts w:hint="eastAsia" w:ascii="宋体" w:eastAsia="宋体" w:cs="Times New Roman"/>
                <w:sz w:val="24"/>
                <w:lang w:val="en-US" w:eastAsia="zh-CN"/>
              </w:rPr>
              <w:t>供应商须向本项目提供拥有合法版权或使用权的国内影视主流动漫IP主题资源，并且提供不少于1年的IP版权宣发使用权。</w:t>
            </w:r>
            <w:r>
              <w:rPr>
                <w:rFonts w:hint="eastAsia" w:ascii="宋体" w:eastAsia="宋体" w:cs="Times New Roman"/>
                <w:sz w:val="24"/>
                <w:highlight w:val="yellow"/>
                <w:lang w:val="en-US" w:eastAsia="zh-CN"/>
              </w:rPr>
              <w:t>供应商提供单个IP主题资源的不得分，供应商提供2个IP主题资源的得5分，供应商提供3个及以上IP主题资源的得10分。本项最高得10分。</w:t>
            </w:r>
            <w:r>
              <w:rPr>
                <w:rFonts w:hint="eastAsia" w:ascii="宋体" w:hAnsi="宋体" w:eastAsia="宋体" w:cs="宋体"/>
                <w:b w:val="0"/>
                <w:bCs w:val="0"/>
                <w:sz w:val="24"/>
                <w:szCs w:val="24"/>
              </w:rPr>
              <w:t>【</w:t>
            </w:r>
            <w:r>
              <w:rPr>
                <w:rFonts w:hint="eastAsia" w:ascii="宋体" w:eastAsia="宋体" w:cs="Times New Roman"/>
                <w:sz w:val="24"/>
                <w:lang w:val="en-US" w:eastAsia="zh-CN"/>
              </w:rPr>
              <w:t>证明材料：供应商须提供所投IP资源的版权保护行政主管部门颁发的作品登记证（作品类别为：“美术”或“</w:t>
            </w:r>
            <w:r>
              <w:rPr>
                <w:rFonts w:hint="eastAsia" w:ascii="宋体" w:eastAsia="宋体" w:cs="Times New Roman"/>
                <w:sz w:val="24"/>
                <w:highlight w:val="none"/>
                <w:lang w:val="en-US" w:eastAsia="zh-CN"/>
              </w:rPr>
              <w:t>电影作品和以类似摄制电影的方法创作的作品”）或注册商标或所投IP资源版权所有人出具的有效授权证明（有效授权内容须包括：被授权的有效期能覆盖从本项目开标当日起计算365天的、针对本项目实施事项在被授权事项范围内的，同时须提供授权人的作品类别为“美术”或“电影作品和以类似摄制电影的方法创作的作品”的版权保护行政主管部门颁发的作品登记证或商标</w:t>
            </w:r>
            <w:r>
              <w:rPr>
                <w:rFonts w:hint="eastAsia" w:ascii="宋体" w:cs="Times New Roman"/>
                <w:sz w:val="24"/>
                <w:highlight w:val="none"/>
                <w:lang w:val="en-US" w:eastAsia="zh-CN"/>
              </w:rPr>
              <w:t>注册证明</w:t>
            </w:r>
            <w:r>
              <w:rPr>
                <w:rFonts w:hint="eastAsia" w:ascii="宋体" w:eastAsia="宋体" w:cs="Times New Roman"/>
                <w:sz w:val="24"/>
                <w:highlight w:val="none"/>
                <w:lang w:val="en-US" w:eastAsia="zh-CN"/>
              </w:rPr>
              <w:t>），否则不得分】</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4" w:type="dxa"/>
            <w:vMerge w:val="restart"/>
            <w:shd w:val="clear" w:color="auto" w:fill="FFFFFF"/>
            <w:noWrap/>
            <w:vAlign w:val="center"/>
          </w:tcPr>
          <w:p>
            <w:pPr>
              <w:keepNext w:val="0"/>
              <w:keepLines w:val="0"/>
              <w:widowControl/>
              <w:suppressLineNumbers w:val="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设计</w:t>
            </w:r>
            <w:r>
              <w:rPr>
                <w:rFonts w:hint="eastAsia" w:ascii="宋体" w:hAnsi="宋体" w:eastAsia="宋体" w:cs="宋体"/>
                <w:kern w:val="0"/>
                <w:sz w:val="24"/>
                <w:szCs w:val="24"/>
                <w:lang w:eastAsia="zh-CN"/>
              </w:rPr>
              <w:t>效果</w:t>
            </w:r>
          </w:p>
          <w:p>
            <w:pPr>
              <w:keepNext w:val="0"/>
              <w:keepLines w:val="0"/>
              <w:widowControl/>
              <w:suppressLineNumbers w:val="0"/>
              <w:jc w:val="center"/>
              <w:rPr>
                <w:rFonts w:hint="eastAsia" w:ascii="宋体" w:hAnsi="宋体" w:eastAsia="宋体" w:cs="宋体"/>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18分</w:t>
            </w:r>
            <w:r>
              <w:rPr>
                <w:rFonts w:hint="eastAsia" w:ascii="宋体" w:hAnsi="宋体" w:eastAsia="宋体" w:cs="宋体"/>
                <w:kern w:val="0"/>
                <w:sz w:val="24"/>
                <w:szCs w:val="24"/>
                <w:lang w:eastAsia="zh-CN"/>
              </w:rPr>
              <w:t>）</w:t>
            </w:r>
          </w:p>
        </w:tc>
        <w:tc>
          <w:tcPr>
            <w:tcW w:w="7494" w:type="dxa"/>
            <w:shd w:val="clear" w:color="auto" w:fill="FFFFFF"/>
            <w:noWrap/>
            <w:vAlign w:val="center"/>
          </w:tcPr>
          <w:p>
            <w:pPr>
              <w:adjustRightInd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根据投标人设计方案的</w:t>
            </w:r>
            <w:r>
              <w:rPr>
                <w:rFonts w:hint="eastAsia" w:ascii="宋体" w:hAnsi="宋体" w:eastAsia="宋体" w:cs="宋体"/>
                <w:sz w:val="24"/>
                <w:szCs w:val="24"/>
                <w:lang w:eastAsia="zh-CN"/>
              </w:rPr>
              <w:t>内容</w:t>
            </w:r>
            <w:r>
              <w:rPr>
                <w:rFonts w:hint="eastAsia" w:ascii="宋体" w:hAnsi="宋体" w:eastAsia="宋体" w:cs="宋体"/>
                <w:sz w:val="24"/>
                <w:szCs w:val="24"/>
              </w:rPr>
              <w:t>完整性、</w:t>
            </w:r>
            <w:r>
              <w:rPr>
                <w:rFonts w:hint="eastAsia" w:ascii="宋体" w:hAnsi="宋体" w:eastAsia="宋体" w:cs="宋体"/>
                <w:sz w:val="24"/>
                <w:szCs w:val="24"/>
                <w:lang w:eastAsia="zh-CN"/>
              </w:rPr>
              <w:t>实施可行</w:t>
            </w:r>
            <w:r>
              <w:rPr>
                <w:rFonts w:hint="eastAsia" w:ascii="宋体" w:hAnsi="宋体" w:eastAsia="宋体" w:cs="宋体"/>
                <w:sz w:val="24"/>
                <w:szCs w:val="24"/>
              </w:rPr>
              <w:t>性</w:t>
            </w:r>
            <w:r>
              <w:rPr>
                <w:rFonts w:hint="eastAsia" w:ascii="宋体" w:hAnsi="宋体" w:eastAsia="宋体" w:cs="宋体"/>
                <w:sz w:val="24"/>
                <w:szCs w:val="24"/>
                <w:lang w:eastAsia="zh-CN"/>
              </w:rPr>
              <w:t>、主题元素的融合、构思是否新颖巧妙</w:t>
            </w:r>
            <w:r>
              <w:rPr>
                <w:rFonts w:hint="eastAsia" w:ascii="宋体" w:hAnsi="宋体" w:eastAsia="宋体" w:cs="宋体"/>
                <w:sz w:val="24"/>
                <w:szCs w:val="24"/>
              </w:rPr>
              <w:t>进行综合评审，包括是否满足采购文件需求进行评审。</w:t>
            </w:r>
            <w:r>
              <w:rPr>
                <w:rFonts w:hint="eastAsia" w:ascii="宋体" w:hAnsi="宋体" w:eastAsia="宋体" w:cs="宋体"/>
                <w:sz w:val="24"/>
                <w:szCs w:val="24"/>
                <w:lang w:eastAsia="zh-CN"/>
              </w:rPr>
              <w:t>投标人根据采购需求和现场踏勘结果，至少需提供</w:t>
            </w:r>
            <w:r>
              <w:rPr>
                <w:rFonts w:hint="eastAsia" w:ascii="宋体" w:hAnsi="宋体" w:eastAsia="宋体" w:cs="宋体"/>
                <w:sz w:val="24"/>
                <w:szCs w:val="24"/>
                <w:highlight w:val="yellow"/>
                <w:lang w:eastAsia="zh-CN"/>
              </w:rPr>
              <w:t>整体</w:t>
            </w:r>
            <w:r>
              <w:rPr>
                <w:rFonts w:hint="eastAsia" w:ascii="宋体" w:hAnsi="宋体" w:eastAsia="宋体" w:cs="宋体"/>
                <w:sz w:val="24"/>
                <w:szCs w:val="24"/>
                <w:lang w:eastAsia="zh-CN"/>
              </w:rPr>
              <w:t>项目平面图</w:t>
            </w:r>
            <w:r>
              <w:rPr>
                <w:rFonts w:hint="eastAsia" w:ascii="宋体" w:hAnsi="宋体" w:eastAsia="宋体" w:cs="宋体"/>
                <w:sz w:val="24"/>
                <w:szCs w:val="24"/>
                <w:lang w:val="en-US" w:eastAsia="zh-CN"/>
              </w:rPr>
              <w:t>、户外乐园区块</w:t>
            </w:r>
            <w:r>
              <w:rPr>
                <w:rFonts w:hint="eastAsia" w:ascii="宋体" w:hAnsi="宋体" w:eastAsia="宋体" w:cs="宋体"/>
                <w:sz w:val="24"/>
                <w:szCs w:val="24"/>
                <w:highlight w:val="yellow"/>
                <w:lang w:val="en-US" w:eastAsia="zh-CN"/>
              </w:rPr>
              <w:t>整体</w:t>
            </w:r>
            <w:r>
              <w:rPr>
                <w:rFonts w:hint="eastAsia" w:ascii="宋体" w:hAnsi="宋体" w:eastAsia="宋体" w:cs="宋体"/>
                <w:sz w:val="24"/>
                <w:szCs w:val="24"/>
                <w:highlight w:val="none"/>
                <w:lang w:val="en-US" w:eastAsia="zh-CN"/>
              </w:rPr>
              <w:t>平面图和</w:t>
            </w:r>
            <w:r>
              <w:rPr>
                <w:rFonts w:hint="eastAsia" w:ascii="宋体" w:hAnsi="宋体" w:eastAsia="宋体" w:cs="宋体"/>
                <w:sz w:val="24"/>
                <w:szCs w:val="24"/>
                <w:lang w:val="en-US" w:eastAsia="zh-CN"/>
              </w:rPr>
              <w:t>效果图、水世界区块</w:t>
            </w:r>
            <w:r>
              <w:rPr>
                <w:rFonts w:hint="eastAsia" w:ascii="宋体" w:hAnsi="宋体" w:eastAsia="宋体" w:cs="宋体"/>
                <w:sz w:val="24"/>
                <w:szCs w:val="24"/>
                <w:highlight w:val="yellow"/>
                <w:lang w:val="en-US" w:eastAsia="zh-CN"/>
              </w:rPr>
              <w:t>整体</w:t>
            </w:r>
            <w:r>
              <w:rPr>
                <w:rFonts w:hint="eastAsia" w:ascii="宋体" w:hAnsi="宋体" w:eastAsia="宋体" w:cs="宋体"/>
                <w:sz w:val="24"/>
                <w:szCs w:val="24"/>
                <w:lang w:val="en-US" w:eastAsia="zh-CN"/>
              </w:rPr>
              <w:t>平面图和效果图、亲子展区块</w:t>
            </w:r>
            <w:r>
              <w:rPr>
                <w:rFonts w:hint="eastAsia" w:ascii="宋体" w:hAnsi="宋体" w:eastAsia="宋体" w:cs="宋体"/>
                <w:sz w:val="24"/>
                <w:szCs w:val="24"/>
                <w:highlight w:val="yellow"/>
                <w:lang w:val="en-US" w:eastAsia="zh-CN"/>
              </w:rPr>
              <w:t>整体</w:t>
            </w:r>
            <w:r>
              <w:rPr>
                <w:rFonts w:hint="eastAsia" w:ascii="宋体" w:hAnsi="宋体" w:eastAsia="宋体" w:cs="宋体"/>
                <w:sz w:val="24"/>
                <w:szCs w:val="24"/>
                <w:lang w:val="en-US" w:eastAsia="zh-CN"/>
              </w:rPr>
              <w:t>平面图、亲子展区块场景效果图、主要产品效果图、具体节点场景效果图、现场踏勘照片结合设计方案进行评审。</w:t>
            </w:r>
          </w:p>
          <w:p>
            <w:pPr>
              <w:numPr>
                <w:ilvl w:val="0"/>
                <w:numId w:val="0"/>
              </w:numPr>
              <w:adjustRightInd w:val="0"/>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lang w:eastAsia="zh-CN"/>
              </w:rPr>
              <w:t>满足</w:t>
            </w:r>
            <w:r>
              <w:rPr>
                <w:rFonts w:hint="eastAsia" w:ascii="宋体" w:hAnsi="宋体" w:eastAsia="宋体" w:cs="宋体"/>
                <w:sz w:val="24"/>
                <w:szCs w:val="24"/>
              </w:rPr>
              <w:t>采购</w:t>
            </w:r>
            <w:r>
              <w:rPr>
                <w:rFonts w:hint="eastAsia" w:ascii="宋体" w:hAnsi="宋体" w:eastAsia="宋体" w:cs="宋体"/>
                <w:sz w:val="24"/>
                <w:szCs w:val="24"/>
                <w:lang w:eastAsia="zh-CN"/>
              </w:rPr>
              <w:t>清单</w:t>
            </w:r>
            <w:r>
              <w:rPr>
                <w:rFonts w:hint="eastAsia" w:ascii="宋体" w:hAnsi="宋体" w:eastAsia="宋体" w:cs="宋体"/>
                <w:sz w:val="24"/>
                <w:szCs w:val="24"/>
              </w:rPr>
              <w:t>要求</w:t>
            </w:r>
            <w:r>
              <w:rPr>
                <w:rFonts w:hint="eastAsia" w:ascii="宋体" w:hAnsi="宋体" w:eastAsia="宋体" w:cs="宋体"/>
                <w:sz w:val="24"/>
                <w:szCs w:val="24"/>
                <w:lang w:eastAsia="zh-CN"/>
              </w:rPr>
              <w:t>且设计方案详实、设计深化程度高</w:t>
            </w:r>
            <w:r>
              <w:rPr>
                <w:rFonts w:hint="eastAsia" w:ascii="宋体" w:hAnsi="宋体" w:eastAsia="宋体" w:cs="宋体"/>
                <w:sz w:val="24"/>
                <w:szCs w:val="24"/>
              </w:rPr>
              <w:t>，主题</w:t>
            </w:r>
            <w:r>
              <w:rPr>
                <w:rFonts w:hint="eastAsia" w:ascii="宋体" w:hAnsi="宋体" w:eastAsia="宋体" w:cs="宋体"/>
                <w:sz w:val="24"/>
                <w:szCs w:val="24"/>
                <w:lang w:eastAsia="zh-CN"/>
              </w:rPr>
              <w:t>鲜明</w:t>
            </w:r>
            <w:r>
              <w:rPr>
                <w:rFonts w:hint="eastAsia" w:ascii="宋体" w:hAnsi="宋体" w:eastAsia="宋体" w:cs="宋体"/>
                <w:sz w:val="24"/>
                <w:szCs w:val="24"/>
              </w:rPr>
              <w:t>，形式多样，</w:t>
            </w:r>
            <w:r>
              <w:rPr>
                <w:rFonts w:hint="eastAsia" w:ascii="宋体" w:hAnsi="宋体" w:eastAsia="宋体" w:cs="宋体"/>
                <w:sz w:val="24"/>
                <w:szCs w:val="24"/>
                <w:lang w:eastAsia="zh-CN"/>
              </w:rPr>
              <w:t>设计美观，风格协调统一、</w:t>
            </w:r>
            <w:r>
              <w:rPr>
                <w:rFonts w:hint="eastAsia" w:ascii="宋体" w:hAnsi="宋体" w:eastAsia="宋体" w:cs="宋体"/>
                <w:sz w:val="24"/>
                <w:szCs w:val="24"/>
              </w:rPr>
              <w:t>设计方案与</w:t>
            </w:r>
            <w:r>
              <w:rPr>
                <w:rFonts w:hint="eastAsia" w:ascii="宋体" w:hAnsi="宋体" w:eastAsia="宋体" w:cs="宋体"/>
                <w:sz w:val="24"/>
                <w:szCs w:val="24"/>
                <w:lang w:eastAsia="zh-CN"/>
              </w:rPr>
              <w:t>采购需求</w:t>
            </w:r>
            <w:r>
              <w:rPr>
                <w:rFonts w:hint="eastAsia" w:ascii="宋体" w:hAnsi="宋体" w:eastAsia="宋体" w:cs="宋体"/>
                <w:sz w:val="24"/>
                <w:szCs w:val="24"/>
              </w:rPr>
              <w:t>吻合程度好（</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rPr>
              <w:t>分）；</w:t>
            </w:r>
            <w:r>
              <w:rPr>
                <w:rFonts w:hint="eastAsia" w:ascii="宋体" w:hAnsi="宋体" w:eastAsia="宋体" w:cs="宋体"/>
                <w:sz w:val="24"/>
                <w:szCs w:val="24"/>
                <w:lang w:eastAsia="zh-CN"/>
              </w:rPr>
              <w:t>能满足</w:t>
            </w:r>
            <w:r>
              <w:rPr>
                <w:rFonts w:hint="eastAsia" w:ascii="宋体" w:hAnsi="宋体" w:eastAsia="宋体" w:cs="宋体"/>
                <w:sz w:val="24"/>
                <w:szCs w:val="24"/>
              </w:rPr>
              <w:t>采购</w:t>
            </w:r>
            <w:r>
              <w:rPr>
                <w:rFonts w:hint="eastAsia" w:ascii="宋体" w:hAnsi="宋体" w:eastAsia="宋体" w:cs="宋体"/>
                <w:sz w:val="24"/>
                <w:szCs w:val="24"/>
                <w:lang w:eastAsia="zh-CN"/>
              </w:rPr>
              <w:t>清单</w:t>
            </w:r>
            <w:r>
              <w:rPr>
                <w:rFonts w:hint="eastAsia" w:ascii="宋体" w:hAnsi="宋体" w:eastAsia="宋体" w:cs="宋体"/>
                <w:sz w:val="24"/>
                <w:szCs w:val="24"/>
              </w:rPr>
              <w:t>基本要求</w:t>
            </w:r>
            <w:r>
              <w:rPr>
                <w:rFonts w:hint="eastAsia" w:ascii="宋体" w:hAnsi="宋体" w:eastAsia="宋体" w:cs="宋体"/>
                <w:sz w:val="24"/>
                <w:szCs w:val="24"/>
                <w:lang w:eastAsia="zh-CN"/>
              </w:rPr>
              <w:t>，设计深化程度一般，</w:t>
            </w:r>
            <w:r>
              <w:rPr>
                <w:rFonts w:hint="eastAsia" w:ascii="宋体" w:hAnsi="宋体" w:eastAsia="宋体" w:cs="宋体"/>
                <w:sz w:val="24"/>
                <w:szCs w:val="24"/>
              </w:rPr>
              <w:t>能表达主题，</w:t>
            </w:r>
            <w:r>
              <w:rPr>
                <w:rFonts w:hint="eastAsia" w:ascii="宋体" w:hAnsi="宋体" w:eastAsia="宋体" w:cs="宋体"/>
                <w:sz w:val="24"/>
                <w:szCs w:val="24"/>
                <w:lang w:eastAsia="zh-CN"/>
              </w:rPr>
              <w:t>视觉效果一般，风格基本统一，</w:t>
            </w:r>
            <w:r>
              <w:rPr>
                <w:rFonts w:hint="eastAsia" w:ascii="宋体" w:hAnsi="宋体" w:eastAsia="宋体" w:cs="宋体"/>
                <w:sz w:val="24"/>
                <w:szCs w:val="24"/>
              </w:rPr>
              <w:t>设计方案与</w:t>
            </w:r>
            <w:r>
              <w:rPr>
                <w:rFonts w:hint="eastAsia" w:ascii="宋体" w:hAnsi="宋体" w:eastAsia="宋体" w:cs="宋体"/>
                <w:sz w:val="24"/>
                <w:szCs w:val="24"/>
                <w:lang w:eastAsia="zh-CN"/>
              </w:rPr>
              <w:t>采购需求</w:t>
            </w:r>
            <w:r>
              <w:rPr>
                <w:rFonts w:hint="eastAsia" w:ascii="宋体" w:hAnsi="宋体" w:eastAsia="宋体" w:cs="宋体"/>
                <w:sz w:val="24"/>
                <w:szCs w:val="24"/>
              </w:rPr>
              <w:t>吻合程度（</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rPr>
              <w:t>分）；</w:t>
            </w:r>
            <w:r>
              <w:rPr>
                <w:rFonts w:hint="eastAsia" w:ascii="宋体" w:hAnsi="宋体" w:eastAsia="宋体" w:cs="宋体"/>
                <w:sz w:val="24"/>
                <w:szCs w:val="24"/>
                <w:lang w:eastAsia="zh-CN"/>
              </w:rPr>
              <w:t>设计深化程度差，</w:t>
            </w:r>
            <w:r>
              <w:rPr>
                <w:rFonts w:hint="eastAsia" w:ascii="宋体" w:hAnsi="宋体" w:eastAsia="宋体" w:cs="宋体"/>
                <w:sz w:val="24"/>
                <w:szCs w:val="24"/>
              </w:rPr>
              <w:t>主题不突出，形式单一，内容与形式</w:t>
            </w:r>
            <w:r>
              <w:rPr>
                <w:rFonts w:hint="eastAsia" w:ascii="宋体" w:hAnsi="宋体" w:eastAsia="宋体" w:cs="宋体"/>
                <w:sz w:val="24"/>
                <w:szCs w:val="24"/>
                <w:lang w:eastAsia="zh-CN"/>
              </w:rPr>
              <w:t>杂乱</w:t>
            </w:r>
            <w:r>
              <w:rPr>
                <w:rFonts w:hint="eastAsia" w:ascii="宋体" w:hAnsi="宋体" w:eastAsia="宋体" w:cs="宋体"/>
                <w:sz w:val="24"/>
                <w:szCs w:val="24"/>
              </w:rPr>
              <w:t>；设计方案与</w:t>
            </w:r>
            <w:r>
              <w:rPr>
                <w:rFonts w:hint="eastAsia" w:ascii="宋体" w:hAnsi="宋体" w:eastAsia="宋体" w:cs="宋体"/>
                <w:sz w:val="24"/>
                <w:szCs w:val="24"/>
                <w:lang w:eastAsia="zh-CN"/>
              </w:rPr>
              <w:t>采购需求</w:t>
            </w:r>
            <w:r>
              <w:rPr>
                <w:rFonts w:hint="eastAsia" w:ascii="宋体" w:hAnsi="宋体" w:eastAsia="宋体" w:cs="宋体"/>
                <w:sz w:val="24"/>
                <w:szCs w:val="24"/>
              </w:rPr>
              <w:t>吻合程度差（0</w:t>
            </w:r>
            <w:r>
              <w:rPr>
                <w:rFonts w:hint="eastAsia" w:ascii="宋体" w:hAnsi="宋体" w:eastAsia="宋体" w:cs="宋体"/>
                <w:sz w:val="24"/>
                <w:szCs w:val="24"/>
                <w:lang w:val="en-US" w:eastAsia="zh-CN"/>
              </w:rPr>
              <w:t>—2</w:t>
            </w:r>
            <w:r>
              <w:rPr>
                <w:rFonts w:hint="eastAsia" w:ascii="宋体" w:hAnsi="宋体" w:eastAsia="宋体" w:cs="宋体"/>
                <w:sz w:val="24"/>
                <w:szCs w:val="24"/>
              </w:rPr>
              <w:t>分）</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4" w:type="dxa"/>
            <w:vMerge w:val="continue"/>
            <w:shd w:val="clear" w:color="auto" w:fill="FFFFFF"/>
            <w:noWrap/>
            <w:vAlign w:val="center"/>
          </w:tcPr>
          <w:p>
            <w:pPr>
              <w:keepNext w:val="0"/>
              <w:keepLines w:val="0"/>
              <w:widowControl/>
              <w:suppressLineNumbers w:val="0"/>
              <w:jc w:val="center"/>
              <w:rPr>
                <w:rFonts w:hint="eastAsia" w:ascii="宋体" w:hAnsi="宋体" w:eastAsia="宋体" w:cs="宋体"/>
                <w:kern w:val="0"/>
                <w:sz w:val="24"/>
                <w:szCs w:val="24"/>
              </w:rPr>
            </w:pPr>
          </w:p>
        </w:tc>
        <w:tc>
          <w:tcPr>
            <w:tcW w:w="7494" w:type="dxa"/>
            <w:shd w:val="clear" w:color="auto" w:fill="FFFFFF"/>
            <w:noWrap/>
            <w:vAlign w:val="center"/>
          </w:tcPr>
          <w:p>
            <w:pPr>
              <w:adjustRightIn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（2）空间</w:t>
            </w:r>
            <w:r>
              <w:rPr>
                <w:rFonts w:hint="eastAsia" w:ascii="宋体" w:hAnsi="宋体" w:eastAsia="宋体" w:cs="宋体"/>
                <w:sz w:val="24"/>
                <w:szCs w:val="24"/>
                <w:highlight w:val="none"/>
                <w:lang w:val="en-US" w:eastAsia="zh-CN"/>
              </w:rPr>
              <w:t>布局、动线设计：</w:t>
            </w:r>
            <w:r>
              <w:rPr>
                <w:rFonts w:hint="eastAsia" w:ascii="宋体" w:hAnsi="宋体" w:eastAsia="宋体" w:cs="宋体"/>
                <w:sz w:val="24"/>
                <w:szCs w:val="24"/>
                <w:highlight w:val="none"/>
                <w:lang w:eastAsia="zh-CN"/>
              </w:rPr>
              <w:t>整体布局科学、合理，游览路线流畅合理，故事线设计互动性强（</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分）；整体布局较为合理，游览路线基本流畅，故事线设计普通（</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分）；整体布局不合理，游览路线杂乱故事线设计较差（0</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分）</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4" w:type="dxa"/>
            <w:vMerge w:val="continue"/>
            <w:shd w:val="clear" w:color="auto" w:fill="FFFFFF"/>
            <w:noWrap/>
            <w:vAlign w:val="center"/>
          </w:tcPr>
          <w:p>
            <w:pPr>
              <w:keepNext w:val="0"/>
              <w:keepLines w:val="0"/>
              <w:widowControl/>
              <w:suppressLineNumbers w:val="0"/>
              <w:jc w:val="center"/>
              <w:rPr>
                <w:rFonts w:hint="eastAsia" w:ascii="宋体" w:hAnsi="宋体" w:eastAsia="宋体" w:cs="宋体"/>
                <w:kern w:val="0"/>
                <w:sz w:val="24"/>
                <w:szCs w:val="24"/>
                <w:lang w:eastAsia="zh-CN"/>
              </w:rPr>
            </w:pPr>
          </w:p>
        </w:tc>
        <w:tc>
          <w:tcPr>
            <w:tcW w:w="7494" w:type="dxa"/>
            <w:shd w:val="clear" w:color="auto" w:fill="FFFFFF"/>
            <w:noWrap/>
            <w:vAlign w:val="center"/>
          </w:tcPr>
          <w:p>
            <w:pPr>
              <w:adjustRightInd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IP主题元素的融合情况：能将IP主题元素完美融合到主要设备造型，场景运用巧妙，外观精美，作品还原度高（4-6分）；主要设备设计基本能展示IP主题元素，场景设计基本能运用IP主题元素，外观普通，作品还原度一般（2-4分）；设备设计、场景设计运用IP主题元素视觉效果差，外观粗糙，作品还原度差（0-2分）。</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jc w:val="center"/>
        </w:trPr>
        <w:tc>
          <w:tcPr>
            <w:tcW w:w="2024" w:type="dxa"/>
            <w:shd w:val="clear" w:color="auto" w:fill="FFFFFF"/>
            <w:noWrap/>
            <w:vAlign w:val="center"/>
          </w:tcPr>
          <w:p>
            <w:pPr>
              <w:keepNext w:val="0"/>
              <w:keepLines w:val="0"/>
              <w:widowControl/>
              <w:suppressLineNumbers w:val="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产品技术指标</w:t>
            </w:r>
          </w:p>
          <w:p>
            <w:pPr>
              <w:keepNext w:val="0"/>
              <w:keepLines w:val="0"/>
              <w:widowControl/>
              <w:suppressLineNumbers w:val="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10分</w:t>
            </w:r>
            <w:r>
              <w:rPr>
                <w:rFonts w:hint="eastAsia" w:ascii="宋体" w:hAnsi="宋体" w:eastAsia="宋体" w:cs="宋体"/>
                <w:kern w:val="0"/>
                <w:sz w:val="24"/>
                <w:szCs w:val="24"/>
                <w:lang w:eastAsia="zh-CN"/>
              </w:rPr>
              <w:t>）</w:t>
            </w:r>
          </w:p>
        </w:tc>
        <w:tc>
          <w:tcPr>
            <w:tcW w:w="7494" w:type="dxa"/>
            <w:shd w:val="clear" w:color="auto" w:fill="FFFFFF"/>
            <w:noWrap/>
            <w:vAlign w:val="center"/>
          </w:tcPr>
          <w:p>
            <w:pPr>
              <w:adjustRightInd w:val="0"/>
              <w:spacing w:line="360" w:lineRule="auto"/>
              <w:rPr>
                <w:rFonts w:hint="eastAsia" w:ascii="宋体" w:hAnsi="宋体" w:eastAsia="宋体" w:cs="宋体"/>
                <w:sz w:val="24"/>
                <w:szCs w:val="24"/>
              </w:rPr>
            </w:pPr>
            <w:r>
              <w:rPr>
                <w:rFonts w:hint="eastAsia" w:ascii="宋体" w:hAnsi="宋体" w:eastAsia="宋体" w:cs="宋体"/>
                <w:sz w:val="24"/>
                <w:szCs w:val="24"/>
              </w:rPr>
              <w:t>评委根据投标</w:t>
            </w:r>
            <w:r>
              <w:rPr>
                <w:rFonts w:hint="eastAsia" w:ascii="宋体" w:hAnsi="宋体" w:eastAsia="宋体" w:cs="宋体"/>
                <w:sz w:val="24"/>
                <w:szCs w:val="24"/>
                <w:lang w:eastAsia="zh-CN"/>
              </w:rPr>
              <w:t>产品</w:t>
            </w:r>
            <w:r>
              <w:rPr>
                <w:rFonts w:hint="eastAsia" w:ascii="宋体" w:hAnsi="宋体" w:eastAsia="宋体" w:cs="宋体"/>
                <w:sz w:val="24"/>
                <w:szCs w:val="24"/>
              </w:rPr>
              <w:t>的技术参数与招标文件“</w:t>
            </w:r>
            <w:r>
              <w:rPr>
                <w:rFonts w:hint="eastAsia" w:ascii="宋体" w:hAnsi="宋体" w:eastAsia="宋体" w:cs="宋体"/>
                <w:sz w:val="24"/>
                <w:szCs w:val="24"/>
                <w:lang w:eastAsia="zh-CN"/>
              </w:rPr>
              <w:t>货物技术参数</w:t>
            </w:r>
            <w:r>
              <w:rPr>
                <w:rFonts w:hint="eastAsia" w:ascii="宋体" w:hAnsi="宋体" w:cs="宋体"/>
                <w:sz w:val="24"/>
                <w:szCs w:val="24"/>
                <w:lang w:eastAsia="zh-CN"/>
              </w:rPr>
              <w:t>及设计要求</w:t>
            </w:r>
            <w:r>
              <w:rPr>
                <w:rFonts w:hint="eastAsia" w:ascii="宋体" w:hAnsi="宋体" w:eastAsia="宋体" w:cs="宋体"/>
                <w:sz w:val="24"/>
                <w:szCs w:val="24"/>
              </w:rPr>
              <w:t>”的偏离情况进行打分:</w:t>
            </w:r>
          </w:p>
          <w:p>
            <w:pPr>
              <w:adjustRightInd w:val="0"/>
              <w:spacing w:line="360" w:lineRule="auto"/>
              <w:rPr>
                <w:rFonts w:hint="eastAsia" w:ascii="宋体" w:hAnsi="宋体" w:cs="宋体"/>
                <w:sz w:val="24"/>
                <w:szCs w:val="24"/>
              </w:rPr>
            </w:pPr>
            <w:r>
              <w:rPr>
                <w:rFonts w:hint="eastAsia" w:ascii="宋体" w:hAnsi="宋体" w:cs="宋体"/>
                <w:sz w:val="24"/>
                <w:szCs w:val="24"/>
                <w:lang w:eastAsia="zh-CN"/>
              </w:rPr>
              <w:t>完全</w:t>
            </w:r>
            <w:r>
              <w:rPr>
                <w:rFonts w:hint="eastAsia" w:ascii="宋体" w:hAnsi="宋体" w:cs="宋体"/>
                <w:sz w:val="24"/>
                <w:szCs w:val="24"/>
              </w:rPr>
              <w:t>符合技术指标参数得</w:t>
            </w:r>
            <w:r>
              <w:rPr>
                <w:rFonts w:hint="eastAsia" w:ascii="宋体" w:hAnsi="宋体" w:cs="宋体"/>
                <w:sz w:val="24"/>
                <w:szCs w:val="24"/>
                <w:lang w:val="en-US" w:eastAsia="zh-CN"/>
              </w:rPr>
              <w:t>10</w:t>
            </w:r>
            <w:r>
              <w:rPr>
                <w:rFonts w:hint="eastAsia" w:ascii="宋体" w:hAnsi="宋体" w:cs="宋体"/>
                <w:sz w:val="24"/>
                <w:szCs w:val="24"/>
              </w:rPr>
              <w:t>分。对性能指标及技术参数属负偏离或缺漏项的每项扣</w:t>
            </w:r>
            <w:r>
              <w:rPr>
                <w:rFonts w:hint="eastAsia" w:ascii="宋体" w:hAnsi="宋体" w:cs="宋体"/>
                <w:sz w:val="24"/>
                <w:szCs w:val="24"/>
                <w:lang w:val="en-US" w:eastAsia="zh-CN"/>
              </w:rPr>
              <w:t>1</w:t>
            </w:r>
            <w:r>
              <w:rPr>
                <w:rFonts w:hint="eastAsia" w:ascii="宋体" w:hAnsi="宋体" w:cs="宋体"/>
                <w:sz w:val="24"/>
                <w:szCs w:val="24"/>
              </w:rPr>
              <w:t>分，扣完为止。</w:t>
            </w:r>
          </w:p>
          <w:p>
            <w:pPr>
              <w:adjustRightInd w:val="0"/>
              <w:spacing w:line="360" w:lineRule="auto"/>
              <w:rPr>
                <w:rFonts w:hint="eastAsia" w:ascii="宋体" w:hAnsi="宋体" w:eastAsia="宋体" w:cs="宋体"/>
                <w:sz w:val="24"/>
                <w:szCs w:val="24"/>
                <w:lang w:val="zh-CN"/>
              </w:rPr>
            </w:pPr>
            <w:r>
              <w:rPr>
                <w:rFonts w:hint="eastAsia" w:ascii="宋体" w:hAnsi="宋体" w:cs="宋体"/>
                <w:sz w:val="24"/>
                <w:szCs w:val="24"/>
              </w:rPr>
              <w:t>（</w:t>
            </w:r>
            <w:r>
              <w:rPr>
                <w:rFonts w:hint="eastAsia" w:ascii="宋体" w:hAnsi="宋体" w:cs="宋体"/>
                <w:sz w:val="24"/>
                <w:szCs w:val="24"/>
                <w:lang w:eastAsia="zh-CN"/>
              </w:rPr>
              <w:t>注：供应商需</w:t>
            </w:r>
            <w:r>
              <w:rPr>
                <w:rFonts w:hint="eastAsia" w:ascii="宋体" w:hAnsi="宋体" w:cs="宋体"/>
                <w:sz w:val="24"/>
                <w:szCs w:val="24"/>
              </w:rPr>
              <w:t>提供</w:t>
            </w:r>
            <w:r>
              <w:rPr>
                <w:rFonts w:hint="eastAsia" w:ascii="宋体" w:hAnsi="宋体" w:cs="宋体"/>
                <w:sz w:val="24"/>
                <w:szCs w:val="24"/>
                <w:lang w:eastAsia="zh-CN"/>
              </w:rPr>
              <w:t>所投产品的具体参数配置表，</w:t>
            </w:r>
            <w:r>
              <w:rPr>
                <w:rFonts w:hint="eastAsia" w:ascii="宋体" w:hAnsi="宋体" w:cs="宋体"/>
                <w:sz w:val="24"/>
                <w:szCs w:val="24"/>
              </w:rPr>
              <w:t>提供不全或不提供的视为该项参数负偏离）</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4" w:type="dxa"/>
            <w:shd w:val="clear" w:color="auto" w:fill="FFFFFF"/>
            <w:noWrap/>
            <w:vAlign w:val="center"/>
          </w:tcPr>
          <w:p>
            <w:pPr>
              <w:adjustRightInd w:val="0"/>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供货</w:t>
            </w:r>
            <w:r>
              <w:rPr>
                <w:rFonts w:hint="eastAsia" w:ascii="宋体" w:hAnsi="宋体" w:eastAsia="宋体" w:cs="宋体"/>
                <w:sz w:val="24"/>
                <w:szCs w:val="24"/>
              </w:rPr>
              <w:t>方案</w:t>
            </w:r>
          </w:p>
          <w:p>
            <w:pPr>
              <w:pStyle w:val="58"/>
              <w:ind w:left="0" w:leftChars="0" w:firstLine="0" w:firstLineChars="0"/>
              <w:jc w:val="center"/>
              <w:rPr>
                <w:rFonts w:hint="eastAsia" w:eastAsia="宋体"/>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6分</w:t>
            </w:r>
            <w:r>
              <w:rPr>
                <w:rFonts w:hint="eastAsia" w:ascii="宋体" w:hAnsi="宋体" w:eastAsia="宋体" w:cs="宋体"/>
                <w:sz w:val="24"/>
                <w:szCs w:val="24"/>
                <w:lang w:eastAsia="zh-CN"/>
              </w:rPr>
              <w:t>）</w:t>
            </w:r>
          </w:p>
        </w:tc>
        <w:tc>
          <w:tcPr>
            <w:tcW w:w="7494" w:type="dxa"/>
            <w:shd w:val="clear" w:color="auto" w:fill="FFFFFF"/>
            <w:noWrap/>
            <w:vAlign w:val="center"/>
          </w:tcPr>
          <w:p>
            <w:pPr>
              <w:adjustRightInd w:val="0"/>
              <w:spacing w:line="360" w:lineRule="auto"/>
              <w:jc w:val="left"/>
              <w:rPr>
                <w:rFonts w:hint="eastAsia" w:ascii="宋体" w:hAnsi="宋体" w:eastAsia="宋体" w:cs="宋体"/>
                <w:sz w:val="24"/>
                <w:szCs w:val="24"/>
                <w:lang w:val="en-US" w:eastAsia="zh-CN"/>
              </w:rPr>
            </w:pPr>
            <w:r>
              <w:rPr>
                <w:rFonts w:hint="eastAsia" w:ascii="宋体" w:hAnsi="宋体" w:cs="宋体"/>
                <w:sz w:val="24"/>
              </w:rPr>
              <w:t>评委根据供应商提供的项目实施方案（包括主要从机械的配备</w:t>
            </w:r>
            <w:r>
              <w:rPr>
                <w:rFonts w:hint="eastAsia" w:ascii="宋体" w:hAnsi="宋体" w:cs="宋体"/>
                <w:sz w:val="24"/>
                <w:lang w:eastAsia="zh-CN"/>
              </w:rPr>
              <w:t>，</w:t>
            </w:r>
            <w:r>
              <w:rPr>
                <w:rFonts w:hint="eastAsia" w:ascii="宋体" w:hAnsi="宋体" w:cs="宋体"/>
                <w:sz w:val="24"/>
              </w:rPr>
              <w:t>原材料的采购、制作、安装、运输实施方案</w:t>
            </w:r>
            <w:r>
              <w:rPr>
                <w:rFonts w:hint="eastAsia" w:ascii="宋体" w:hAnsi="宋体" w:cs="宋体"/>
                <w:sz w:val="24"/>
                <w:lang w:eastAsia="zh-CN"/>
              </w:rPr>
              <w:t>，质量、</w:t>
            </w:r>
            <w:r>
              <w:rPr>
                <w:rFonts w:hint="eastAsia" w:ascii="宋体" w:hAnsi="宋体" w:cs="宋体"/>
                <w:sz w:val="24"/>
              </w:rPr>
              <w:t>进度</w:t>
            </w:r>
            <w:r>
              <w:rPr>
                <w:rFonts w:hint="eastAsia" w:ascii="宋体" w:hAnsi="宋体" w:cs="宋体"/>
                <w:sz w:val="24"/>
                <w:lang w:eastAsia="zh-CN"/>
              </w:rPr>
              <w:t>、安全、文明施工</w:t>
            </w:r>
            <w:r>
              <w:rPr>
                <w:rFonts w:hint="eastAsia" w:ascii="宋体" w:hAnsi="宋体" w:cs="宋体"/>
                <w:sz w:val="24"/>
              </w:rPr>
              <w:t>保障措施等方面）的全面性、合理性、科学性进行打分。</w:t>
            </w:r>
            <w:r>
              <w:rPr>
                <w:rFonts w:hint="eastAsia" w:ascii="宋体" w:hAnsi="宋体" w:eastAsia="宋体" w:cs="宋体"/>
                <w:sz w:val="24"/>
                <w:szCs w:val="24"/>
                <w:lang w:val="en-US" w:eastAsia="zh-CN"/>
              </w:rPr>
              <w:t>提供的方案完整、科学、合理、可行，说明叙述全面（4-6分）；提供的方案基本完整，基本符合招标文件要求，方式简单但尚能实施（2-4分）；提供的方案不够完整，重要环节缺漏项，可行性差（ 0-2 分）。</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4" w:type="dxa"/>
            <w:shd w:val="clear" w:color="auto" w:fill="FFFFFF"/>
            <w:noWrap/>
            <w:vAlign w:val="center"/>
          </w:tcPr>
          <w:p>
            <w:pPr>
              <w:adjustRightInd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安装、调试、验收方案</w:t>
            </w:r>
          </w:p>
          <w:p>
            <w:pPr>
              <w:pStyle w:val="58"/>
              <w:ind w:left="0" w:leftChars="0" w:firstLine="0" w:firstLineChars="0"/>
              <w:jc w:val="center"/>
              <w:rPr>
                <w:rFonts w:hint="eastAsia"/>
                <w:lang w:eastAsia="zh-CN"/>
              </w:rPr>
            </w:pPr>
            <w:r>
              <w:rPr>
                <w:rFonts w:hint="eastAsia" w:ascii="宋体" w:hAnsi="宋体" w:eastAsia="宋体" w:cs="宋体"/>
                <w:sz w:val="24"/>
                <w:szCs w:val="24"/>
                <w:lang w:val="en-US" w:eastAsia="zh-CN"/>
              </w:rPr>
              <w:t>（5分）</w:t>
            </w:r>
          </w:p>
        </w:tc>
        <w:tc>
          <w:tcPr>
            <w:tcW w:w="7494" w:type="dxa"/>
            <w:shd w:val="clear" w:color="auto" w:fill="FFFFFF"/>
            <w:noWrap/>
            <w:vAlign w:val="center"/>
          </w:tcPr>
          <w:p>
            <w:pPr>
              <w:adjustRightInd w:val="0"/>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根据投标人关于本项目安装、调试、验收的具体方案和措施优劣情况打分。方案全面、针对性强的（3.5-5分）；方案不完整、有一定针对性的（2-3.5分）；方案内容不完整或不合理的（0-2分）。</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4" w:type="dxa"/>
            <w:shd w:val="clear" w:color="auto" w:fill="FFFFFF"/>
            <w:noWrap/>
            <w:vAlign w:val="center"/>
          </w:tcPr>
          <w:p>
            <w:pPr>
              <w:adjustRightInd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培训方案</w:t>
            </w:r>
          </w:p>
          <w:p>
            <w:pPr>
              <w:adjustRightInd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（5分）</w:t>
            </w:r>
          </w:p>
        </w:tc>
        <w:tc>
          <w:tcPr>
            <w:tcW w:w="7494" w:type="dxa"/>
            <w:shd w:val="clear" w:color="auto" w:fill="FFFFFF"/>
            <w:noWrap/>
            <w:vAlign w:val="center"/>
          </w:tcPr>
          <w:p>
            <w:pPr>
              <w:adjustRightIn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根据投标人的培训方案，以及提供的操作手册、培训方案等技术材料和培训人员能力情况进行打分。 提供的培训方案合理、完善针对性强（3.5-5分）；提供的培训方案较合理、完善，具有一定的针对性（2-3.5分）；提供的培训方案简单（0-2分）。</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024" w:type="dxa"/>
            <w:shd w:val="clear" w:color="auto" w:fill="FFFFFF"/>
            <w:noWrap/>
            <w:vAlign w:val="center"/>
          </w:tcPr>
          <w:p>
            <w:pPr>
              <w:adjustRightInd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售后服务方案</w:t>
            </w:r>
          </w:p>
          <w:p>
            <w:pPr>
              <w:pStyle w:val="58"/>
              <w:ind w:left="0" w:leftChars="0" w:firstLine="0" w:firstLineChars="0"/>
              <w:jc w:val="center"/>
              <w:rPr>
                <w:rFonts w:hint="eastAsia"/>
                <w:lang w:val="en-US" w:eastAsia="zh-CN"/>
              </w:rPr>
            </w:pPr>
            <w:r>
              <w:rPr>
                <w:rFonts w:hint="eastAsia" w:ascii="宋体" w:hAnsi="宋体" w:eastAsia="宋体" w:cs="宋体"/>
                <w:sz w:val="24"/>
                <w:szCs w:val="24"/>
                <w:lang w:val="en-US" w:eastAsia="zh-CN"/>
              </w:rPr>
              <w:t>（5分）</w:t>
            </w:r>
          </w:p>
        </w:tc>
        <w:tc>
          <w:tcPr>
            <w:tcW w:w="7494" w:type="dxa"/>
            <w:shd w:val="clear" w:color="auto" w:fill="FFFFFF"/>
            <w:noWrap/>
            <w:vAlign w:val="center"/>
          </w:tcPr>
          <w:p>
            <w:pPr>
              <w:adjustRightIn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投标人提供的技术支持和售后服务方案（服务标准、售后服务机构情况、售后服务人员配置情况、响应及到达现场时间）、回访制度、备品备件及优惠承诺、合理化建议等进行打分。方案内容完整，有明确的服务响应时间，技术支持的（3.5-5分）；方案内容基本完整，基本合理可行的（2-3.5分）；方案内容不完整的（0-2分）。</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024"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突发事件应急响应服务方案</w:t>
            </w:r>
          </w:p>
          <w:p>
            <w:pPr>
              <w:pStyle w:val="58"/>
              <w:ind w:left="0" w:leftChars="0" w:firstLine="0" w:firstLineChars="0"/>
              <w:jc w:val="center"/>
              <w:rPr>
                <w:rFonts w:hint="eastAsia" w:eastAsia="宋体"/>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4分</w:t>
            </w:r>
            <w:r>
              <w:rPr>
                <w:rFonts w:hint="eastAsia" w:ascii="宋体" w:hAnsi="宋体" w:eastAsia="宋体" w:cs="宋体"/>
                <w:sz w:val="24"/>
                <w:szCs w:val="24"/>
                <w:lang w:eastAsia="zh-CN"/>
              </w:rPr>
              <w:t>）</w:t>
            </w:r>
          </w:p>
        </w:tc>
        <w:tc>
          <w:tcPr>
            <w:tcW w:w="7494" w:type="dxa"/>
            <w:shd w:val="clear" w:color="auto" w:fill="FFFFFF"/>
            <w:noWrap/>
            <w:vAlign w:val="center"/>
          </w:tcPr>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突发事件应急响应服务方案：按照要求</w:t>
            </w:r>
            <w:r>
              <w:rPr>
                <w:rFonts w:hint="eastAsia" w:ascii="宋体" w:hAnsi="宋体" w:eastAsia="宋体" w:cs="宋体"/>
                <w:sz w:val="24"/>
                <w:szCs w:val="24"/>
                <w:lang w:eastAsia="zh-CN"/>
              </w:rPr>
              <w:t>制定</w:t>
            </w:r>
            <w:r>
              <w:rPr>
                <w:rFonts w:hint="eastAsia" w:ascii="宋体" w:hAnsi="宋体" w:eastAsia="宋体" w:cs="宋体"/>
                <w:sz w:val="24"/>
                <w:szCs w:val="24"/>
              </w:rPr>
              <w:t>发生突发事件时的应急预案及相应的措施；方案科学合理，有利于质量目标实现的得</w:t>
            </w:r>
            <w:r>
              <w:rPr>
                <w:rFonts w:hint="eastAsia" w:ascii="宋体" w:hAnsi="宋体" w:eastAsia="宋体" w:cs="宋体"/>
                <w:sz w:val="24"/>
                <w:szCs w:val="24"/>
                <w:lang w:eastAsia="zh-CN"/>
              </w:rPr>
              <w:t>（</w:t>
            </w:r>
            <w:r>
              <w:rPr>
                <w:rFonts w:hint="eastAsia" w:ascii="宋体" w:hAnsi="宋体" w:eastAsia="宋体" w:cs="宋体"/>
                <w:bCs/>
                <w:kern w:val="28"/>
                <w:sz w:val="24"/>
                <w:szCs w:val="24"/>
                <w:lang w:val="en-US" w:eastAsia="zh-CN"/>
              </w:rPr>
              <w:t>3</w:t>
            </w:r>
            <w:r>
              <w:rPr>
                <w:rFonts w:hint="eastAsia" w:ascii="宋体" w:hAnsi="宋体" w:eastAsia="宋体" w:cs="宋体"/>
                <w:bCs/>
                <w:kern w:val="28"/>
                <w:sz w:val="24"/>
                <w:szCs w:val="24"/>
              </w:rPr>
              <w:t>-</w:t>
            </w:r>
            <w:r>
              <w:rPr>
                <w:rFonts w:hint="eastAsia" w:ascii="宋体" w:hAnsi="宋体" w:eastAsia="宋体" w:cs="宋体"/>
                <w:bCs/>
                <w:kern w:val="28"/>
                <w:sz w:val="24"/>
                <w:szCs w:val="24"/>
                <w:lang w:val="en-US" w:eastAsia="zh-CN"/>
              </w:rPr>
              <w:t>4</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；措施基本项目需求、有较大可行性的得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bCs/>
                <w:kern w:val="28"/>
                <w:sz w:val="24"/>
                <w:szCs w:val="24"/>
              </w:rPr>
              <w:t>-</w:t>
            </w:r>
            <w:r>
              <w:rPr>
                <w:rFonts w:hint="eastAsia" w:ascii="宋体" w:hAnsi="宋体" w:eastAsia="宋体" w:cs="宋体"/>
                <w:bCs/>
                <w:kern w:val="28"/>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；措施过于简单或存在缺漏，得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w:t>
            </w:r>
            <w:r>
              <w:rPr>
                <w:rFonts w:hint="eastAsia" w:ascii="宋体" w:hAnsi="宋体" w:eastAsia="宋体" w:cs="宋体"/>
                <w:sz w:val="24"/>
                <w:szCs w:val="24"/>
              </w:rPr>
              <w:t>-</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w:t>
            </w:r>
          </w:p>
        </w:tc>
        <w:tc>
          <w:tcPr>
            <w:tcW w:w="727"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024" w:type="dxa"/>
            <w:shd w:val="clear" w:color="auto" w:fill="FFFFFF"/>
            <w:noWrap/>
            <w:vAlign w:val="center"/>
          </w:tcPr>
          <w:p>
            <w:pPr>
              <w:autoSpaceDE w:val="0"/>
              <w:autoSpaceDN w:val="0"/>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类似业绩</w:t>
            </w:r>
          </w:p>
          <w:p>
            <w:pPr>
              <w:autoSpaceDE w:val="0"/>
              <w:autoSpaceDN w:val="0"/>
              <w:adjustRightInd w:val="0"/>
              <w:snapToGrid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3分</w:t>
            </w:r>
            <w:r>
              <w:rPr>
                <w:rFonts w:hint="eastAsia" w:ascii="宋体" w:hAnsi="宋体" w:eastAsia="宋体" w:cs="宋体"/>
                <w:sz w:val="24"/>
                <w:szCs w:val="24"/>
                <w:lang w:eastAsia="zh-CN"/>
              </w:rPr>
              <w:t>）</w:t>
            </w:r>
          </w:p>
        </w:tc>
        <w:tc>
          <w:tcPr>
            <w:tcW w:w="7494" w:type="dxa"/>
            <w:shd w:val="clear" w:color="auto" w:fill="FFFFFF"/>
            <w:noWrap/>
            <w:vAlign w:val="center"/>
          </w:tcPr>
          <w:p>
            <w:pPr>
              <w:spacing w:line="340" w:lineRule="exact"/>
              <w:rPr>
                <w:rFonts w:hint="eastAsia" w:ascii="宋体" w:hAnsi="宋体" w:eastAsia="宋体" w:cs="宋体"/>
                <w:sz w:val="24"/>
                <w:szCs w:val="24"/>
                <w:lang w:val="en-US" w:eastAsia="zh-CN"/>
              </w:rPr>
            </w:pPr>
            <w:r>
              <w:rPr>
                <w:rFonts w:hint="eastAsia" w:ascii="宋体" w:hAnsi="宋体" w:eastAsia="宋体" w:cs="宋体"/>
                <w:b w:val="0"/>
                <w:bCs w:val="0"/>
                <w:sz w:val="24"/>
                <w:szCs w:val="24"/>
              </w:rPr>
              <w:t>投标人自20</w:t>
            </w: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年1月1日</w:t>
            </w:r>
            <w:r>
              <w:rPr>
                <w:rFonts w:hint="eastAsia" w:ascii="宋体" w:hAnsi="宋体" w:eastAsia="宋体" w:cs="宋体"/>
                <w:sz w:val="24"/>
                <w:szCs w:val="24"/>
              </w:rPr>
              <w:t>成功承担过</w:t>
            </w:r>
            <w:r>
              <w:rPr>
                <w:rFonts w:hint="eastAsia" w:ascii="宋体" w:hAnsi="宋体" w:eastAsia="宋体" w:cs="宋体"/>
                <w:sz w:val="24"/>
                <w:szCs w:val="24"/>
                <w:lang w:eastAsia="zh-CN"/>
              </w:rPr>
              <w:t>类似游乐设施</w:t>
            </w:r>
            <w:r>
              <w:rPr>
                <w:rFonts w:hint="eastAsia" w:ascii="宋体" w:hAnsi="宋体" w:eastAsia="宋体" w:cs="宋体"/>
                <w:sz w:val="24"/>
                <w:szCs w:val="24"/>
              </w:rPr>
              <w:t>项目</w:t>
            </w:r>
            <w:r>
              <w:rPr>
                <w:rFonts w:hint="eastAsia" w:ascii="宋体" w:hAnsi="宋体" w:eastAsia="宋体" w:cs="宋体"/>
                <w:sz w:val="24"/>
                <w:szCs w:val="24"/>
                <w:lang w:eastAsia="zh-CN"/>
              </w:rPr>
              <w:t>的</w:t>
            </w:r>
            <w:r>
              <w:rPr>
                <w:rFonts w:hint="eastAsia" w:ascii="宋体" w:hAnsi="宋体" w:eastAsia="宋体" w:cs="宋体"/>
                <w:sz w:val="24"/>
                <w:szCs w:val="24"/>
              </w:rPr>
              <w:t>，根据合同项目实例证明，每一个案例得</w:t>
            </w:r>
            <w:r>
              <w:rPr>
                <w:rFonts w:hint="eastAsia" w:ascii="宋体" w:hAnsi="宋体" w:eastAsia="宋体" w:cs="宋体"/>
                <w:sz w:val="24"/>
                <w:szCs w:val="24"/>
                <w:lang w:val="en-US" w:eastAsia="zh-CN"/>
              </w:rPr>
              <w:t>1</w:t>
            </w:r>
            <w:r>
              <w:rPr>
                <w:rFonts w:hint="eastAsia" w:ascii="宋体" w:hAnsi="宋体" w:eastAsia="宋体" w:cs="宋体"/>
                <w:sz w:val="24"/>
                <w:szCs w:val="24"/>
              </w:rPr>
              <w:t>分，最高得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p>
          <w:p>
            <w:pPr>
              <w:widowControl/>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提供合同并加盖公章，合同内容须能体现实施内容为类似项目。</w:t>
            </w:r>
            <w:r>
              <w:rPr>
                <w:rFonts w:hint="eastAsia" w:ascii="宋体" w:hAnsi="宋体" w:eastAsia="宋体" w:cs="宋体"/>
                <w:sz w:val="24"/>
                <w:szCs w:val="24"/>
              </w:rPr>
              <w:t>未按要求提供</w:t>
            </w:r>
            <w:r>
              <w:rPr>
                <w:rFonts w:hint="eastAsia" w:ascii="宋体" w:hAnsi="宋体" w:eastAsia="宋体" w:cs="宋体"/>
                <w:sz w:val="24"/>
                <w:szCs w:val="24"/>
                <w:lang w:eastAsia="zh-CN"/>
              </w:rPr>
              <w:t>证明</w:t>
            </w:r>
            <w:r>
              <w:rPr>
                <w:rFonts w:hint="eastAsia" w:ascii="宋体" w:hAnsi="宋体" w:eastAsia="宋体" w:cs="宋体"/>
                <w:sz w:val="24"/>
                <w:szCs w:val="24"/>
              </w:rPr>
              <w:t>材料的，不得分</w:t>
            </w:r>
            <w:r>
              <w:rPr>
                <w:rFonts w:hint="eastAsia" w:ascii="宋体" w:hAnsi="宋体" w:eastAsia="宋体" w:cs="宋体"/>
                <w:sz w:val="24"/>
                <w:szCs w:val="24"/>
                <w:lang w:eastAsia="zh-CN"/>
              </w:rPr>
              <w:t>。</w:t>
            </w:r>
            <w:r>
              <w:rPr>
                <w:rFonts w:hint="eastAsia" w:ascii="宋体" w:hAnsi="宋体" w:eastAsia="宋体" w:cs="宋体"/>
                <w:b w:val="0"/>
                <w:bCs w:val="0"/>
                <w:sz w:val="24"/>
                <w:szCs w:val="24"/>
              </w:rPr>
              <w:t>】</w:t>
            </w:r>
          </w:p>
        </w:tc>
        <w:tc>
          <w:tcPr>
            <w:tcW w:w="727" w:type="dxa"/>
            <w:shd w:val="clear" w:color="auto" w:fill="FFFFFF"/>
            <w:noWrap/>
            <w:vAlign w:val="center"/>
          </w:tcPr>
          <w:p>
            <w:pPr>
              <w:autoSpaceDE w:val="0"/>
              <w:autoSpaceDN w:val="0"/>
              <w:adjustRightInd w:val="0"/>
              <w:snapToGrid w:val="0"/>
              <w:spacing w:line="360" w:lineRule="auto"/>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p>
        </w:tc>
      </w:tr>
    </w:tbl>
    <w:p>
      <w:pPr>
        <w:pStyle w:val="869"/>
        <w:ind w:firstLine="482"/>
        <w:rPr>
          <w:rFonts w:cs="宋体"/>
          <w:b/>
        </w:rPr>
      </w:pPr>
    </w:p>
    <w:p>
      <w:pPr>
        <w:pStyle w:val="869"/>
        <w:ind w:firstLine="482"/>
        <w:rPr>
          <w:rFonts w:cs="宋体"/>
          <w:b/>
        </w:rPr>
      </w:pPr>
      <w:r>
        <w:rPr>
          <w:rFonts w:hint="eastAsia" w:cs="宋体"/>
          <w:b/>
        </w:rPr>
        <w:t>（三）技术及商务分的计算</w:t>
      </w:r>
    </w:p>
    <w:p>
      <w:pPr>
        <w:pStyle w:val="869"/>
        <w:rPr>
          <w:rFonts w:cs="宋体"/>
        </w:rPr>
      </w:pPr>
      <w:r>
        <w:rPr>
          <w:rFonts w:hint="eastAsia" w:cs="宋体"/>
        </w:rPr>
        <w:t>技术及商务分按照评标委员会成员的独立评分结果的算术平均分计算，计算公式为：</w:t>
      </w:r>
    </w:p>
    <w:p>
      <w:pPr>
        <w:spacing w:line="360" w:lineRule="auto"/>
        <w:ind w:firstLine="480" w:firstLineChars="200"/>
        <w:jc w:val="left"/>
        <w:rPr>
          <w:rFonts w:asciiTheme="minorEastAsia" w:hAnsiTheme="minorEastAsia" w:eastAsiaTheme="minorEastAsia"/>
          <w:sz w:val="24"/>
          <w:szCs w:val="24"/>
        </w:rPr>
      </w:pPr>
      <w:r>
        <w:rPr>
          <w:rFonts w:hint="eastAsia" w:ascii="宋体" w:hAnsi="宋体" w:cs="宋体"/>
          <w:color w:val="000000"/>
          <w:kern w:val="0"/>
          <w:sz w:val="24"/>
          <w:szCs w:val="21"/>
        </w:rPr>
        <w:t>技术及商务分=评标委员会所有成员评分合计数/评标委员会组成人员数</w:t>
      </w:r>
    </w:p>
    <w:p>
      <w:pPr>
        <w:pStyle w:val="35"/>
        <w:snapToGrid w:val="0"/>
        <w:spacing w:beforeLines="0" w:afterLines="0" w:line="360" w:lineRule="auto"/>
        <w:ind w:firstLine="241"/>
        <w:outlineLvl w:val="0"/>
        <w:rPr>
          <w:rFonts w:asciiTheme="minorEastAsia" w:hAnsiTheme="minorEastAsia" w:eastAsiaTheme="minorEastAsia"/>
          <w:b/>
        </w:rPr>
      </w:pPr>
      <w:bookmarkStart w:id="42" w:name="_Toc72322603"/>
      <w:bookmarkStart w:id="43" w:name="_Toc73457978"/>
      <w:bookmarkStart w:id="44" w:name="_Toc73457890"/>
      <w:bookmarkStart w:id="45" w:name="_Toc1900"/>
      <w:bookmarkStart w:id="46" w:name="_Toc73548027"/>
      <w:r>
        <w:rPr>
          <w:rFonts w:hint="eastAsia" w:asciiTheme="minorEastAsia" w:hAnsiTheme="minorEastAsia" w:eastAsiaTheme="minorEastAsia"/>
          <w:b/>
        </w:rPr>
        <w:t>注：1、若投标人提供的相应证书、合同等材料复印件或扫描件不清晰难以辨认的，将不予计分。</w:t>
      </w:r>
      <w:bookmarkEnd w:id="42"/>
      <w:bookmarkEnd w:id="43"/>
      <w:bookmarkEnd w:id="44"/>
      <w:bookmarkEnd w:id="45"/>
      <w:bookmarkEnd w:id="46"/>
    </w:p>
    <w:p>
      <w:pPr>
        <w:pStyle w:val="35"/>
        <w:snapToGrid w:val="0"/>
        <w:spacing w:beforeLines="0" w:afterLines="0" w:line="360" w:lineRule="auto"/>
        <w:ind w:firstLine="640"/>
        <w:jc w:val="left"/>
        <w:outlineLvl w:val="0"/>
        <w:rPr>
          <w:rFonts w:asciiTheme="minorEastAsia" w:hAnsiTheme="minorEastAsia" w:eastAsiaTheme="minorEastAsia"/>
          <w:b/>
          <w:color w:val="000000"/>
          <w:sz w:val="36"/>
          <w:szCs w:val="36"/>
        </w:rPr>
      </w:pPr>
      <w:bookmarkStart w:id="47" w:name="_Toc73548028"/>
      <w:bookmarkStart w:id="48" w:name="_Toc29164"/>
      <w:r>
        <w:rPr>
          <w:rFonts w:hint="eastAsia" w:asciiTheme="minorEastAsia" w:hAnsiTheme="minorEastAsia" w:eastAsiaTheme="minorEastAsia"/>
          <w:b/>
        </w:rPr>
        <w:t>2、所有文件、合同、证书、资质等需要真实有效。若发现资料作假的视为虚假投标行为，取消中标资格并通报主管部门进行后续处理。</w:t>
      </w:r>
      <w:bookmarkEnd w:id="47"/>
      <w:bookmarkEnd w:id="48"/>
    </w:p>
    <w:p>
      <w:pPr>
        <w:rPr>
          <w:rFonts w:asciiTheme="minorEastAsia" w:hAnsiTheme="minorEastAsia" w:eastAsiaTheme="minorEastAsia"/>
          <w:b/>
          <w:color w:val="000000"/>
          <w:sz w:val="30"/>
          <w:szCs w:val="30"/>
        </w:rPr>
      </w:pPr>
      <w:bookmarkStart w:id="49" w:name="_Toc73457984"/>
      <w:r>
        <w:rPr>
          <w:rFonts w:hint="eastAsia" w:asciiTheme="minorEastAsia" w:hAnsiTheme="minorEastAsia" w:eastAsiaTheme="minorEastAsia"/>
          <w:b/>
          <w:color w:val="000000"/>
          <w:sz w:val="30"/>
          <w:szCs w:val="30"/>
        </w:rPr>
        <w:br w:type="page"/>
      </w:r>
    </w:p>
    <w:p>
      <w:pPr>
        <w:pStyle w:val="35"/>
        <w:keepNext w:val="0"/>
        <w:keepLines w:val="0"/>
        <w:pageBreakBefore w:val="0"/>
        <w:widowControl w:val="0"/>
        <w:numPr>
          <w:ilvl w:val="0"/>
          <w:numId w:val="32"/>
        </w:numPr>
        <w:kinsoku/>
        <w:wordWrap/>
        <w:overflowPunct/>
        <w:topLinePunct w:val="0"/>
        <w:autoSpaceDE/>
        <w:autoSpaceDN/>
        <w:bidi w:val="0"/>
        <w:adjustRightInd w:val="0"/>
        <w:snapToGrid w:val="0"/>
        <w:spacing w:beforeLines="0" w:after="157" w:afterLines="50" w:line="500" w:lineRule="exact"/>
        <w:jc w:val="center"/>
        <w:textAlignment w:val="auto"/>
        <w:outlineLvl w:val="0"/>
        <w:rPr>
          <w:rFonts w:asciiTheme="minorEastAsia" w:hAnsiTheme="minorEastAsia" w:eastAsiaTheme="minorEastAsia"/>
          <w:b/>
          <w:bCs/>
          <w:kern w:val="0"/>
          <w:sz w:val="36"/>
          <w:szCs w:val="36"/>
        </w:rPr>
      </w:pPr>
      <w:bookmarkStart w:id="50" w:name="_Toc25398"/>
      <w:r>
        <w:rPr>
          <w:rFonts w:hint="eastAsia" w:asciiTheme="minorEastAsia" w:hAnsiTheme="minorEastAsia" w:eastAsiaTheme="minorEastAsia"/>
          <w:b/>
          <w:bCs/>
          <w:kern w:val="0"/>
          <w:sz w:val="36"/>
          <w:szCs w:val="36"/>
        </w:rPr>
        <w:t>采购需求</w:t>
      </w:r>
      <w:bookmarkEnd w:id="50"/>
    </w:p>
    <w:bookmarkEnd w:id="49"/>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lang w:val="en-US" w:eastAsia="zh-CN"/>
        </w:rPr>
      </w:pPr>
      <w:bookmarkStart w:id="51" w:name="_Toc9096"/>
      <w:bookmarkStart w:id="52" w:name="_Toc30315"/>
      <w:bookmarkStart w:id="53" w:name="_Toc7466"/>
      <w:r>
        <w:rPr>
          <w:rFonts w:hint="eastAsia" w:ascii="宋体" w:hAnsi="宋体" w:eastAsia="宋体" w:cs="宋体"/>
          <w:b/>
          <w:bCs/>
          <w:sz w:val="24"/>
          <w:szCs w:val="24"/>
          <w:lang w:val="en-US" w:eastAsia="zh-CN"/>
        </w:rPr>
        <w:t>（一）项目背景</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选址桐庐县桐君街道梅蓉村，距桐庐县城10公里，距杭州主城区70公里。梅蓉村具有悠久的历史文化和优渥的自然景观资源以及良好的地理位置，近年来梅蓉村着力探索产业融合、乡村文旅引流模式，在乡村振兴建设共富富裕的新篇章中一直走在前列。在此背景下，通过引入国内动漫优质IP资源，打造爆款文旅产品（IP+乡村文旅新模式），将对盘活现有存量物业、实现可持续性引流、赋能梅蓉村文旅产业新发展、共创美好乡村新生活起到巨大的推动作用。</w:t>
      </w:r>
    </w:p>
    <w:p>
      <w:pPr>
        <w:pStyle w:val="5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2" w:firstLineChars="200"/>
        <w:textAlignment w:val="auto"/>
        <w:outlineLvl w:val="1"/>
        <w:rPr>
          <w:rFonts w:hint="eastAsia" w:ascii="宋体" w:hAnsi="宋体" w:eastAsia="宋体" w:cs="宋体"/>
          <w:b/>
          <w:bCs/>
          <w:sz w:val="24"/>
          <w:szCs w:val="24"/>
          <w:lang w:val="en-US" w:eastAsia="zh-CN"/>
        </w:rPr>
      </w:pPr>
      <w:bookmarkStart w:id="54" w:name="_Toc24229"/>
      <w:r>
        <w:rPr>
          <w:rFonts w:hint="eastAsia" w:ascii="宋体" w:hAnsi="宋体" w:eastAsia="宋体" w:cs="宋体"/>
          <w:b/>
          <w:bCs/>
          <w:spacing w:val="0"/>
          <w:kern w:val="2"/>
          <w:sz w:val="24"/>
          <w:szCs w:val="24"/>
          <w:lang w:val="en-US" w:eastAsia="zh-CN" w:bidi="ar-SA"/>
        </w:rPr>
        <w:t>（二）</w:t>
      </w:r>
      <w:r>
        <w:rPr>
          <w:rFonts w:hint="eastAsia" w:ascii="宋体" w:hAnsi="宋体" w:eastAsia="宋体" w:cs="宋体"/>
          <w:b/>
          <w:bCs/>
          <w:sz w:val="24"/>
          <w:szCs w:val="24"/>
          <w:lang w:val="en-US" w:eastAsia="zh-CN"/>
        </w:rPr>
        <w:t>建设目标</w:t>
      </w:r>
      <w:bookmarkEnd w:id="54"/>
    </w:p>
    <w:p>
      <w:pPr>
        <w:pStyle w:val="5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项目核心目标以儿童、亲子家庭为核心受众，通过</w:t>
      </w:r>
      <w:r>
        <w:rPr>
          <w:rFonts w:hint="eastAsia" w:ascii="宋体" w:hAnsi="宋体" w:eastAsia="宋体" w:cs="宋体"/>
          <w:b w:val="0"/>
          <w:bCs w:val="0"/>
          <w:spacing w:val="0"/>
          <w:kern w:val="2"/>
          <w:sz w:val="24"/>
          <w:szCs w:val="24"/>
          <w:lang w:val="en-US" w:eastAsia="zh-CN" w:bidi="ar-SA"/>
        </w:rPr>
        <w:t>单一IP或者多IP组合方式与户外乐园展览、室内科普等展览活动、水世界等延展</w:t>
      </w:r>
      <w:r>
        <w:rPr>
          <w:rFonts w:hint="eastAsia" w:ascii="宋体" w:hAnsi="宋体" w:eastAsia="宋体" w:cs="宋体"/>
          <w:b w:val="0"/>
          <w:bCs w:val="0"/>
          <w:sz w:val="24"/>
          <w:szCs w:val="24"/>
          <w:lang w:val="en-US" w:eastAsia="zh-CN"/>
        </w:rPr>
        <w:t>性项目，以各种亲子互动娱乐项目和IP结合，打造出以IP和乡村结合的亲子家庭游乐圣地。同时，项目拟开业时间正值初夏，以夏季活动为主题，同步策划开园活动计划于六一开业时落地，吸引客流拍照打卡传播，提高项目知名度和名誉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sz w:val="24"/>
          <w:szCs w:val="24"/>
          <w:highlight w:val="none"/>
          <w:lang w:val="en-US" w:eastAsia="zh-CN"/>
        </w:rPr>
      </w:pPr>
      <w:bookmarkStart w:id="55" w:name="_Toc31341"/>
      <w:r>
        <w:rPr>
          <w:rFonts w:hint="eastAsia" w:ascii="宋体" w:hAnsi="宋体" w:eastAsia="宋体" w:cs="宋体"/>
          <w:b/>
          <w:bCs/>
          <w:sz w:val="24"/>
          <w:szCs w:val="24"/>
          <w:lang w:val="en-US" w:eastAsia="zh-CN"/>
        </w:rPr>
        <w:t>（三）采购内容</w:t>
      </w:r>
      <w:bookmarkEnd w:id="55"/>
    </w:p>
    <w:p>
      <w:pPr>
        <w:pStyle w:val="5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对梅蓉村现有三处存量物业进行IP主题乐园整体串联策划设计、供货、安装，同时策划夏季主题开园活动展示并完成设计制作安装。具体详见采购需求。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sz w:val="24"/>
          <w:szCs w:val="24"/>
          <w:lang w:val="en-US" w:eastAsia="zh-CN"/>
        </w:rPr>
      </w:pPr>
      <w:bookmarkStart w:id="56" w:name="_Toc7593"/>
      <w:r>
        <w:rPr>
          <w:rFonts w:hint="eastAsia" w:ascii="宋体" w:hAnsi="宋体" w:eastAsia="宋体" w:cs="宋体"/>
          <w:b/>
          <w:bCs/>
          <w:sz w:val="24"/>
          <w:szCs w:val="24"/>
          <w:highlight w:val="none"/>
          <w:lang w:val="en-US" w:eastAsia="zh-CN"/>
        </w:rPr>
        <w:t>1、设计任务书</w:t>
      </w:r>
      <w:bookmarkEnd w:id="5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pacing w:val="0"/>
          <w:kern w:val="2"/>
          <w:sz w:val="24"/>
          <w:szCs w:val="24"/>
          <w:highlight w:val="none"/>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b w:val="0"/>
          <w:bCs w:val="0"/>
          <w:spacing w:val="0"/>
          <w:kern w:val="2"/>
          <w:sz w:val="24"/>
          <w:szCs w:val="24"/>
          <w:highlight w:val="none"/>
          <w:lang w:val="en-US" w:eastAsia="zh-CN" w:bidi="ar-SA"/>
        </w:rPr>
        <w:t xml:space="preserve"> </w:t>
      </w:r>
      <w:r>
        <w:rPr>
          <w:rFonts w:hint="eastAsia" w:ascii="宋体" w:hAnsi="宋体" w:eastAsia="宋体" w:cs="宋体"/>
          <w:b/>
          <w:bCs/>
          <w:spacing w:val="0"/>
          <w:kern w:val="2"/>
          <w:sz w:val="24"/>
          <w:szCs w:val="24"/>
          <w:highlight w:val="none"/>
          <w:lang w:val="en-US" w:eastAsia="zh-CN" w:bidi="ar-SA"/>
        </w:rPr>
        <w:t>（1）空间布局要求：</w:t>
      </w:r>
      <w:r>
        <w:rPr>
          <w:rFonts w:hint="eastAsia" w:ascii="宋体" w:hAnsi="宋体" w:eastAsia="宋体" w:cs="宋体"/>
          <w:b w:val="0"/>
          <w:bCs w:val="0"/>
          <w:spacing w:val="0"/>
          <w:kern w:val="2"/>
          <w:sz w:val="24"/>
          <w:szCs w:val="24"/>
          <w:highlight w:val="none"/>
          <w:lang w:val="en-US" w:eastAsia="zh-CN" w:bidi="ar-SA"/>
        </w:rPr>
        <w:t>项目初步空间布局规划如下平面示意图所示，户外乐园区块现状为空置厂区，规划面积约1200平方米，要求按户外主题乐园进行功能设计；水世界区块现状为空置小学操场，规划面积约1000平方米，要求按夏季水世界主题进行功能设计；亲子展区块现状为文化礼堂，面积约400平方米，要求按亲子乐园和室内科普展览活动进行功能设计；三个区块间必须设计串联成整体，每个区块外围设计一组大型主题气模，三个区块间的游览路线设计一组IP主题观光小火车（游览路线约800米，设置3个车站），沿途至少布置4个DP打卡点，动漫主题墙绘总面积不少于120平方米。</w:t>
      </w:r>
    </w:p>
    <w:p>
      <w:pPr>
        <w:pStyle w:val="58"/>
        <w:rPr>
          <w:rFonts w:hint="eastAsia"/>
          <w:lang w:val="en-US" w:eastAsia="zh-CN"/>
        </w:rPr>
      </w:pPr>
    </w:p>
    <w:p>
      <w:pPr>
        <w:pStyle w:val="58"/>
        <w:ind w:left="0" w:leftChars="0" w:firstLine="0" w:firstLineChars="0"/>
        <w:jc w:val="both"/>
        <w:rPr>
          <w:rFonts w:hint="eastAsia" w:eastAsia="宋体" w:cs="Times New Roman"/>
          <w:b w:val="0"/>
          <w:bCs w:val="0"/>
          <w:spacing w:val="0"/>
          <w:kern w:val="2"/>
          <w:sz w:val="28"/>
          <w:szCs w:val="28"/>
          <w:highlight w:val="none"/>
          <w:lang w:val="en-US" w:eastAsia="zh-CN" w:bidi="ar-SA"/>
        </w:rPr>
      </w:pPr>
    </w:p>
    <w:p>
      <w:pPr>
        <w:rPr>
          <w:rFonts w:hint="eastAsia" w:eastAsia="宋体" w:cs="Times New Roman"/>
          <w:b w:val="0"/>
          <w:bCs w:val="0"/>
          <w:spacing w:val="0"/>
          <w:kern w:val="2"/>
          <w:sz w:val="28"/>
          <w:szCs w:val="28"/>
          <w:highlight w:val="none"/>
          <w:lang w:val="en-US" w:eastAsia="zh-CN" w:bidi="ar-SA"/>
        </w:rPr>
      </w:pPr>
    </w:p>
    <w:p>
      <w:pPr>
        <w:pStyle w:val="56"/>
        <w:rPr>
          <w:rFonts w:hint="eastAsia" w:eastAsia="宋体" w:cs="Times New Roman"/>
          <w:b w:val="0"/>
          <w:bCs w:val="0"/>
          <w:spacing w:val="0"/>
          <w:kern w:val="2"/>
          <w:sz w:val="28"/>
          <w:szCs w:val="28"/>
          <w:highlight w:val="none"/>
          <w:lang w:val="en-US" w:eastAsia="zh-CN" w:bidi="ar-SA"/>
        </w:rPr>
      </w:pPr>
    </w:p>
    <w:p>
      <w:pPr>
        <w:rPr>
          <w:rFonts w:hint="eastAsia"/>
          <w:lang w:val="en-US" w:eastAsia="zh-CN"/>
        </w:rPr>
      </w:pPr>
    </w:p>
    <w:p>
      <w:pPr>
        <w:pStyle w:val="58"/>
        <w:ind w:left="0" w:leftChars="0" w:firstLine="0" w:firstLineChars="0"/>
        <w:jc w:val="center"/>
        <w:rPr>
          <w:rFonts w:hint="default"/>
          <w:lang w:val="en-US" w:eastAsia="zh-CN"/>
        </w:rPr>
      </w:pPr>
      <w:r>
        <w:rPr>
          <w:rFonts w:hint="eastAsia" w:eastAsia="宋体" w:cs="Times New Roman"/>
          <w:b w:val="0"/>
          <w:bCs w:val="0"/>
          <w:spacing w:val="0"/>
          <w:kern w:val="2"/>
          <w:sz w:val="28"/>
          <w:szCs w:val="28"/>
          <w:highlight w:val="none"/>
          <w:lang w:val="en-US" w:eastAsia="zh-CN" w:bidi="ar-SA"/>
        </w:rPr>
        <w:t>乐园</w:t>
      </w:r>
      <w:r>
        <w:rPr>
          <w:rFonts w:hint="eastAsia" w:ascii="Times New Roman" w:hAnsi="Times New Roman" w:eastAsia="宋体" w:cs="Times New Roman"/>
          <w:b w:val="0"/>
          <w:bCs w:val="0"/>
          <w:spacing w:val="0"/>
          <w:kern w:val="2"/>
          <w:sz w:val="28"/>
          <w:szCs w:val="28"/>
          <w:highlight w:val="none"/>
          <w:lang w:val="en-US" w:eastAsia="zh-CN" w:bidi="ar-SA"/>
        </w:rPr>
        <w:t>初步空间布局规划</w:t>
      </w:r>
      <w:r>
        <w:rPr>
          <w:rFonts w:hint="eastAsia" w:eastAsia="宋体" w:cs="Times New Roman"/>
          <w:b w:val="0"/>
          <w:bCs w:val="0"/>
          <w:spacing w:val="0"/>
          <w:kern w:val="2"/>
          <w:sz w:val="28"/>
          <w:szCs w:val="28"/>
          <w:highlight w:val="none"/>
          <w:lang w:val="en-US" w:eastAsia="zh-CN" w:bidi="ar-SA"/>
        </w:rPr>
        <w:t>平面示意图</w:t>
      </w:r>
    </w:p>
    <w:p>
      <w:pPr>
        <w:pStyle w:val="58"/>
        <w:numPr>
          <w:ilvl w:val="0"/>
          <w:numId w:val="0"/>
        </w:numPr>
        <w:jc w:val="center"/>
      </w:pPr>
      <w:r>
        <w:drawing>
          <wp:inline distT="0" distB="0" distL="114300" distR="114300">
            <wp:extent cx="5266690" cy="3234055"/>
            <wp:effectExtent l="0" t="0" r="1016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6690" cy="3234055"/>
                    </a:xfrm>
                    <a:prstGeom prst="rect">
                      <a:avLst/>
                    </a:prstGeom>
                    <a:noFill/>
                    <a:ln>
                      <a:noFill/>
                    </a:ln>
                  </pic:spPr>
                </pic:pic>
              </a:graphicData>
            </a:graphic>
          </wp:inline>
        </w:drawing>
      </w:r>
    </w:p>
    <w:p>
      <w:pPr>
        <w:pStyle w:val="58"/>
        <w:ind w:left="0" w:leftChars="0" w:firstLine="0" w:firstLineChars="0"/>
        <w:jc w:val="both"/>
        <w:rPr>
          <w:rFonts w:hint="eastAsia" w:eastAsia="宋体" w:cs="Times New Roman"/>
          <w:b w:val="0"/>
          <w:bCs w:val="0"/>
          <w:spacing w:val="0"/>
          <w:kern w:val="2"/>
          <w:sz w:val="28"/>
          <w:szCs w:val="28"/>
          <w:highlight w:val="none"/>
          <w:lang w:val="en-US" w:eastAsia="zh-CN" w:bidi="ar-SA"/>
        </w:rPr>
      </w:pPr>
    </w:p>
    <w:p>
      <w:pPr>
        <w:rPr>
          <w:rFonts w:hint="eastAsia"/>
          <w:lang w:val="en-US" w:eastAsia="zh-CN"/>
        </w:rPr>
      </w:pPr>
    </w:p>
    <w:p>
      <w:pPr>
        <w:rPr>
          <w:rFonts w:hint="eastAsia"/>
          <w:lang w:val="en-US" w:eastAsia="zh-CN"/>
        </w:rPr>
      </w:pPr>
    </w:p>
    <w:p>
      <w:pPr>
        <w:pStyle w:val="58"/>
        <w:ind w:left="0" w:leftChars="0" w:firstLine="0" w:firstLineChars="0"/>
        <w:jc w:val="center"/>
        <w:rPr>
          <w:rFonts w:hint="eastAsia" w:eastAsia="宋体" w:cs="Times New Roman"/>
          <w:b w:val="0"/>
          <w:bCs w:val="0"/>
          <w:spacing w:val="0"/>
          <w:kern w:val="2"/>
          <w:sz w:val="28"/>
          <w:szCs w:val="28"/>
          <w:highlight w:val="none"/>
          <w:lang w:val="en-US" w:eastAsia="zh-CN" w:bidi="ar-SA"/>
        </w:rPr>
      </w:pPr>
      <w:r>
        <w:rPr>
          <w:rFonts w:hint="eastAsia" w:eastAsia="宋体" w:cs="Times New Roman"/>
          <w:b w:val="0"/>
          <w:bCs w:val="0"/>
          <w:spacing w:val="0"/>
          <w:kern w:val="2"/>
          <w:sz w:val="28"/>
          <w:szCs w:val="28"/>
          <w:highlight w:val="none"/>
          <w:lang w:val="en-US" w:eastAsia="zh-CN" w:bidi="ar-SA"/>
        </w:rPr>
        <w:t>户外乐园区块平面示意图</w:t>
      </w:r>
    </w:p>
    <w:p>
      <w:pPr>
        <w:jc w:val="center"/>
        <w:rPr>
          <w:rFonts w:hint="eastAsia" w:ascii="Times New Roman" w:hAnsi="Times New Roman" w:eastAsia="宋体" w:cs="Times New Roman"/>
          <w:b w:val="0"/>
          <w:bCs w:val="0"/>
          <w:spacing w:val="0"/>
          <w:kern w:val="2"/>
          <w:sz w:val="28"/>
          <w:szCs w:val="28"/>
          <w:highlight w:val="none"/>
          <w:lang w:val="en-US" w:eastAsia="zh-CN" w:bidi="ar-SA"/>
        </w:rPr>
      </w:pPr>
      <w:r>
        <w:rPr>
          <w:rFonts w:hint="eastAsia"/>
          <w:lang w:val="en-US" w:eastAsia="zh-CN"/>
        </w:rPr>
        <w:drawing>
          <wp:inline distT="0" distB="0" distL="114300" distR="114300">
            <wp:extent cx="4649470" cy="4003040"/>
            <wp:effectExtent l="0" t="0" r="17780" b="16510"/>
            <wp:docPr id="8" name="图片 2" descr="区块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区块一"/>
                    <pic:cNvPicPr>
                      <a:picLocks noChangeAspect="1"/>
                    </pic:cNvPicPr>
                  </pic:nvPicPr>
                  <pic:blipFill>
                    <a:blip r:embed="rId12"/>
                    <a:stretch>
                      <a:fillRect/>
                    </a:stretch>
                  </pic:blipFill>
                  <pic:spPr>
                    <a:xfrm>
                      <a:off x="0" y="0"/>
                      <a:ext cx="4649470" cy="4003040"/>
                    </a:xfrm>
                    <a:prstGeom prst="rect">
                      <a:avLst/>
                    </a:prstGeom>
                    <a:noFill/>
                    <a:ln>
                      <a:noFill/>
                    </a:ln>
                  </pic:spPr>
                </pic:pic>
              </a:graphicData>
            </a:graphic>
          </wp:inline>
        </w:drawing>
      </w:r>
    </w:p>
    <w:p>
      <w:pPr>
        <w:jc w:val="both"/>
        <w:rPr>
          <w:rFonts w:hint="eastAsia" w:ascii="Times New Roman" w:hAnsi="Times New Roman" w:eastAsia="宋体" w:cs="Times New Roman"/>
          <w:b w:val="0"/>
          <w:bCs w:val="0"/>
          <w:spacing w:val="0"/>
          <w:kern w:val="2"/>
          <w:sz w:val="28"/>
          <w:szCs w:val="28"/>
          <w:highlight w:val="none"/>
          <w:lang w:val="en-US" w:eastAsia="zh-CN" w:bidi="ar-SA"/>
        </w:rPr>
      </w:pPr>
    </w:p>
    <w:p>
      <w:pPr>
        <w:pStyle w:val="28"/>
        <w:rPr>
          <w:rFonts w:hint="eastAsia"/>
          <w:lang w:val="en-US" w:eastAsia="zh-CN"/>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r>
        <w:rPr>
          <w:rFonts w:hint="eastAsia" w:ascii="Times New Roman" w:hAnsi="Times New Roman" w:eastAsia="宋体" w:cs="Times New Roman"/>
          <w:b w:val="0"/>
          <w:bCs w:val="0"/>
          <w:spacing w:val="0"/>
          <w:kern w:val="2"/>
          <w:sz w:val="28"/>
          <w:szCs w:val="28"/>
          <w:highlight w:val="none"/>
          <w:lang w:val="en-US" w:eastAsia="zh-CN" w:bidi="ar-SA"/>
        </w:rPr>
        <w:t>水世界区块平面示意图</w:t>
      </w:r>
    </w:p>
    <w:p>
      <w:pPr>
        <w:jc w:val="center"/>
        <w:rPr>
          <w:rFonts w:hint="eastAsia"/>
          <w:lang w:val="en-US" w:eastAsia="zh-CN"/>
        </w:rPr>
      </w:pPr>
      <w:r>
        <w:rPr>
          <w:rFonts w:hint="eastAsia"/>
          <w:lang w:val="en-US" w:eastAsia="zh-CN"/>
        </w:rPr>
        <w:drawing>
          <wp:inline distT="0" distB="0" distL="114300" distR="114300">
            <wp:extent cx="4940300" cy="5607050"/>
            <wp:effectExtent l="0" t="0" r="12700" b="12700"/>
            <wp:docPr id="7" name="图片 3" descr="区块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区块二"/>
                    <pic:cNvPicPr>
                      <a:picLocks noChangeAspect="1"/>
                    </pic:cNvPicPr>
                  </pic:nvPicPr>
                  <pic:blipFill>
                    <a:blip r:embed="rId13"/>
                    <a:srcRect t="11673" r="6209"/>
                    <a:stretch>
                      <a:fillRect/>
                    </a:stretch>
                  </pic:blipFill>
                  <pic:spPr>
                    <a:xfrm>
                      <a:off x="0" y="0"/>
                      <a:ext cx="4940300" cy="5607050"/>
                    </a:xfrm>
                    <a:prstGeom prst="rect">
                      <a:avLst/>
                    </a:prstGeom>
                    <a:noFill/>
                    <a:ln>
                      <a:noFill/>
                    </a:ln>
                  </pic:spPr>
                </pic:pic>
              </a:graphicData>
            </a:graphic>
          </wp:inline>
        </w:drawing>
      </w:r>
    </w:p>
    <w:p>
      <w:pPr>
        <w:pStyle w:val="56"/>
        <w:rPr>
          <w:rFonts w:hint="eastAsia"/>
          <w:lang w:val="en-US" w:eastAsia="zh-CN"/>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pStyle w:val="56"/>
        <w:rPr>
          <w:rFonts w:hint="eastAsia" w:ascii="Times New Roman" w:hAnsi="Times New Roman" w:eastAsia="宋体" w:cs="Times New Roman"/>
          <w:b w:val="0"/>
          <w:bCs w:val="0"/>
          <w:spacing w:val="0"/>
          <w:kern w:val="2"/>
          <w:sz w:val="28"/>
          <w:szCs w:val="28"/>
          <w:highlight w:val="none"/>
          <w:lang w:val="en-US" w:eastAsia="zh-CN" w:bidi="ar-SA"/>
        </w:rPr>
      </w:pPr>
    </w:p>
    <w:p>
      <w:pPr>
        <w:rPr>
          <w:rFonts w:hint="eastAsia"/>
          <w:lang w:val="en-US" w:eastAsia="zh-CN"/>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p>
    <w:p>
      <w:pPr>
        <w:jc w:val="center"/>
        <w:rPr>
          <w:rFonts w:hint="eastAsia" w:ascii="Times New Roman" w:hAnsi="Times New Roman" w:eastAsia="宋体" w:cs="Times New Roman"/>
          <w:b w:val="0"/>
          <w:bCs w:val="0"/>
          <w:spacing w:val="0"/>
          <w:kern w:val="2"/>
          <w:sz w:val="28"/>
          <w:szCs w:val="28"/>
          <w:highlight w:val="none"/>
          <w:lang w:val="en-US" w:eastAsia="zh-CN" w:bidi="ar-SA"/>
        </w:rPr>
      </w:pPr>
      <w:r>
        <w:rPr>
          <w:rFonts w:hint="eastAsia" w:ascii="Times New Roman" w:hAnsi="Times New Roman" w:eastAsia="宋体" w:cs="Times New Roman"/>
          <w:b w:val="0"/>
          <w:bCs w:val="0"/>
          <w:spacing w:val="0"/>
          <w:kern w:val="2"/>
          <w:sz w:val="28"/>
          <w:szCs w:val="28"/>
          <w:highlight w:val="none"/>
          <w:lang w:val="en-US" w:eastAsia="zh-CN" w:bidi="ar-SA"/>
        </w:rPr>
        <w:t>亲子展区块平面示意图</w:t>
      </w:r>
    </w:p>
    <w:p>
      <w:pPr>
        <w:pStyle w:val="56"/>
        <w:rPr>
          <w:rFonts w:hint="eastAsia"/>
          <w:lang w:val="en-US" w:eastAsia="zh-CN"/>
        </w:rPr>
      </w:pPr>
      <w:r>
        <w:rPr>
          <w:rFonts w:hint="eastAsia"/>
          <w:lang w:val="en-US" w:eastAsia="zh-CN"/>
        </w:rPr>
        <w:drawing>
          <wp:inline distT="0" distB="0" distL="114300" distR="114300">
            <wp:extent cx="5266690" cy="6029325"/>
            <wp:effectExtent l="0" t="0" r="10160" b="9525"/>
            <wp:docPr id="5" name="图片 4" descr="区块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区块三"/>
                    <pic:cNvPicPr>
                      <a:picLocks noChangeAspect="1"/>
                    </pic:cNvPicPr>
                  </pic:nvPicPr>
                  <pic:blipFill>
                    <a:blip r:embed="rId14"/>
                    <a:stretch>
                      <a:fillRect/>
                    </a:stretch>
                  </pic:blipFill>
                  <pic:spPr>
                    <a:xfrm>
                      <a:off x="0" y="0"/>
                      <a:ext cx="5266690" cy="6029325"/>
                    </a:xfrm>
                    <a:prstGeom prst="rect">
                      <a:avLst/>
                    </a:prstGeom>
                    <a:noFill/>
                    <a:ln>
                      <a:noFill/>
                    </a:ln>
                  </pic:spPr>
                </pic:pic>
              </a:graphicData>
            </a:graphic>
          </wp:inline>
        </w:drawing>
      </w:r>
    </w:p>
    <w:p>
      <w:pPr>
        <w:pStyle w:val="56"/>
        <w:rPr>
          <w:rFonts w:hint="eastAsia"/>
          <w:lang w:val="en-US"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val="0"/>
          <w:bCs w:val="0"/>
          <w:spacing w:val="0"/>
          <w:kern w:val="2"/>
          <w:sz w:val="24"/>
          <w:szCs w:val="24"/>
          <w:highlight w:val="yellow"/>
          <w:lang w:val="en-US" w:eastAsia="zh-CN" w:bidi="ar-SA"/>
        </w:rPr>
      </w:pPr>
      <w:r>
        <w:rPr>
          <w:rFonts w:hint="eastAsia" w:ascii="宋体" w:hAnsi="宋体" w:eastAsia="宋体" w:cs="宋体"/>
          <w:b w:val="0"/>
          <w:bCs w:val="0"/>
          <w:spacing w:val="0"/>
          <w:kern w:val="2"/>
          <w:sz w:val="24"/>
          <w:szCs w:val="24"/>
          <w:highlight w:val="yellow"/>
          <w:lang w:val="en-US" w:eastAsia="zh-CN" w:bidi="ar-SA"/>
        </w:rPr>
        <w:t>注：上述关于区块面积和游览路线的长度数据仅供投标参考，不作为实际实施依据。</w:t>
      </w:r>
      <w:r>
        <w:rPr>
          <w:rFonts w:hint="eastAsia" w:ascii="宋体" w:hAnsi="宋体" w:eastAsia="宋体" w:cs="宋体"/>
          <w:b w:val="0"/>
          <w:bCs w:val="0"/>
          <w:color w:val="FF0000"/>
          <w:spacing w:val="0"/>
          <w:kern w:val="2"/>
          <w:sz w:val="24"/>
          <w:szCs w:val="24"/>
          <w:highlight w:val="yellow"/>
          <w:lang w:val="en-US" w:eastAsia="zh-CN" w:bidi="ar-SA"/>
        </w:rPr>
        <w:t>建议投标供应商进行实地踏勘后结合实际情况进行策划设计，</w:t>
      </w:r>
      <w:r>
        <w:rPr>
          <w:rFonts w:hint="eastAsia" w:ascii="宋体" w:hAnsi="宋体" w:eastAsia="宋体" w:cs="宋体"/>
          <w:b w:val="0"/>
          <w:bCs w:val="0"/>
          <w:spacing w:val="0"/>
          <w:kern w:val="2"/>
          <w:sz w:val="24"/>
          <w:szCs w:val="24"/>
          <w:highlight w:val="yellow"/>
          <w:lang w:val="en-US" w:eastAsia="zh-CN" w:bidi="ar-SA"/>
        </w:rPr>
        <w:t>供应商须为自己所投方案的设计规模、产品尺寸负责。</w:t>
      </w:r>
    </w:p>
    <w:p>
      <w:pPr>
        <w:pStyle w:val="58"/>
        <w:keepNext w:val="0"/>
        <w:keepLines w:val="0"/>
        <w:pageBreakBefore w:val="0"/>
        <w:widowControl w:val="0"/>
        <w:numPr>
          <w:ilvl w:val="0"/>
          <w:numId w:val="0"/>
        </w:numPr>
        <w:kinsoku/>
        <w:wordWrap/>
        <w:overflowPunct/>
        <w:topLinePunct w:val="0"/>
        <w:bidi w:val="0"/>
        <w:adjustRightInd w:val="0"/>
        <w:snapToGrid w:val="0"/>
        <w:spacing w:after="0" w:line="360" w:lineRule="auto"/>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pacing w:val="0"/>
          <w:kern w:val="2"/>
          <w:sz w:val="24"/>
          <w:szCs w:val="24"/>
          <w:lang w:val="en-US" w:eastAsia="zh-CN" w:bidi="ar-SA"/>
        </w:rPr>
        <w:t>（2）IP</w:t>
      </w:r>
      <w:r>
        <w:rPr>
          <w:rFonts w:hint="eastAsia" w:ascii="宋体" w:hAnsi="宋体" w:eastAsia="宋体" w:cs="宋体"/>
          <w:b/>
          <w:bCs/>
          <w:sz w:val="24"/>
          <w:szCs w:val="24"/>
          <w:lang w:val="en-US" w:eastAsia="zh-CN"/>
        </w:rPr>
        <w:t>主题设计要求：</w:t>
      </w:r>
      <w:r>
        <w:rPr>
          <w:rFonts w:hint="eastAsia" w:ascii="宋体" w:hAnsi="宋体" w:eastAsia="宋体" w:cs="宋体"/>
          <w:b w:val="0"/>
          <w:bCs w:val="0"/>
          <w:spacing w:val="0"/>
          <w:kern w:val="2"/>
          <w:sz w:val="24"/>
          <w:szCs w:val="24"/>
          <w:highlight w:val="none"/>
          <w:lang w:val="en-US" w:eastAsia="zh-CN" w:bidi="ar-SA"/>
        </w:rPr>
        <w:t>本项目核心建设目标是通过</w:t>
      </w:r>
      <w:r>
        <w:rPr>
          <w:rFonts w:hint="eastAsia" w:ascii="宋体" w:hAnsi="宋体" w:eastAsia="宋体" w:cs="宋体"/>
          <w:b w:val="0"/>
          <w:bCs w:val="0"/>
          <w:sz w:val="24"/>
          <w:szCs w:val="24"/>
          <w:lang w:val="en-US" w:eastAsia="zh-CN"/>
        </w:rPr>
        <w:t>引入国内动漫优质IP资源，以儿童、亲子家庭为核心受众，通过</w:t>
      </w:r>
      <w:r>
        <w:rPr>
          <w:rFonts w:hint="eastAsia" w:ascii="宋体" w:hAnsi="宋体" w:eastAsia="宋体" w:cs="宋体"/>
          <w:b w:val="0"/>
          <w:bCs w:val="0"/>
          <w:spacing w:val="0"/>
          <w:kern w:val="2"/>
          <w:sz w:val="24"/>
          <w:szCs w:val="24"/>
          <w:lang w:val="en-US" w:eastAsia="zh-CN" w:bidi="ar-SA"/>
        </w:rPr>
        <w:t>单一IP或者多IP组合方式，与户外乐园展览、室内科普展览活动、水世界等</w:t>
      </w:r>
      <w:r>
        <w:rPr>
          <w:rFonts w:hint="eastAsia" w:ascii="宋体" w:hAnsi="宋体" w:eastAsia="宋体" w:cs="宋体"/>
          <w:b w:val="0"/>
          <w:bCs w:val="0"/>
          <w:sz w:val="24"/>
          <w:szCs w:val="24"/>
          <w:lang w:val="en-US" w:eastAsia="zh-CN"/>
        </w:rPr>
        <w:t>项目以各种亲子互动娱乐项目和IP结合，打造出以IP</w:t>
      </w:r>
      <w:r>
        <w:rPr>
          <w:rFonts w:hint="eastAsia" w:ascii="宋体" w:hAnsi="宋体" w:eastAsia="宋体" w:cs="宋体"/>
          <w:b w:val="0"/>
          <w:bCs w:val="0"/>
          <w:sz w:val="24"/>
          <w:szCs w:val="24"/>
          <w:highlight w:val="none"/>
          <w:lang w:val="en-US" w:eastAsia="zh-CN"/>
        </w:rPr>
        <w:t>和乡村</w:t>
      </w:r>
      <w:r>
        <w:rPr>
          <w:rFonts w:hint="eastAsia" w:ascii="宋体" w:hAnsi="宋体" w:eastAsia="宋体" w:cs="宋体"/>
          <w:b w:val="0"/>
          <w:bCs w:val="0"/>
          <w:sz w:val="24"/>
          <w:szCs w:val="24"/>
          <w:lang w:val="en-US" w:eastAsia="zh-CN"/>
        </w:rPr>
        <w:t>结合的亲子家庭游乐圣地。具体要求如下：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b w:val="0"/>
          <w:bCs w:val="0"/>
          <w:spacing w:val="0"/>
          <w:kern w:val="2"/>
          <w:sz w:val="24"/>
          <w:szCs w:val="24"/>
          <w:lang w:val="en-US" w:eastAsia="zh-CN" w:bidi="ar-SA"/>
        </w:rPr>
        <w:t>① IP主题资源目标要求：要求提供国内影视主流动漫IP，</w:t>
      </w:r>
      <w:r>
        <w:rPr>
          <w:rFonts w:hint="eastAsia" w:ascii="宋体" w:hAnsi="宋体" w:eastAsia="宋体" w:cs="宋体"/>
          <w:b w:val="0"/>
          <w:bCs w:val="0"/>
          <w:spacing w:val="0"/>
          <w:kern w:val="2"/>
          <w:sz w:val="24"/>
          <w:szCs w:val="24"/>
          <w:highlight w:val="none"/>
          <w:lang w:val="en-US" w:eastAsia="zh-CN" w:bidi="ar-SA"/>
        </w:rPr>
        <w:t>如熊出没、喜羊羊和灰太狼、猪猪侠</w:t>
      </w:r>
      <w:r>
        <w:rPr>
          <w:rFonts w:hint="eastAsia" w:ascii="宋体" w:hAnsi="宋体" w:eastAsia="宋体" w:cs="宋体"/>
          <w:b w:val="0"/>
          <w:bCs w:val="0"/>
          <w:spacing w:val="0"/>
          <w:kern w:val="2"/>
          <w:sz w:val="24"/>
          <w:szCs w:val="24"/>
          <w:lang w:val="en-US" w:eastAsia="zh-CN" w:bidi="ar-SA"/>
        </w:rPr>
        <w:t>等</w:t>
      </w:r>
      <w:r>
        <w:rPr>
          <w:rFonts w:hint="eastAsia" w:ascii="宋体" w:hAnsi="宋体" w:eastAsia="宋体" w:cs="宋体"/>
          <w:b w:val="0"/>
          <w:bCs w:val="0"/>
          <w:sz w:val="24"/>
          <w:szCs w:val="24"/>
          <w:lang w:val="en-US" w:eastAsia="zh-CN"/>
        </w:rPr>
        <w:t>以</w:t>
      </w:r>
      <w:r>
        <w:rPr>
          <w:rFonts w:hint="eastAsia" w:ascii="宋体" w:hAnsi="宋体" w:eastAsia="宋体" w:cs="宋体"/>
          <w:b w:val="0"/>
          <w:bCs w:val="0"/>
          <w:sz w:val="24"/>
          <w:szCs w:val="24"/>
          <w:highlight w:val="yellow"/>
          <w:lang w:val="en-US" w:eastAsia="zh-CN"/>
        </w:rPr>
        <w:t>儿童</w:t>
      </w:r>
      <w:r>
        <w:rPr>
          <w:rFonts w:hint="eastAsia" w:ascii="宋体" w:hAnsi="宋体" w:eastAsia="宋体" w:cs="宋体"/>
          <w:b w:val="0"/>
          <w:bCs w:val="0"/>
          <w:sz w:val="24"/>
          <w:szCs w:val="24"/>
          <w:highlight w:val="none"/>
          <w:lang w:val="en-US" w:eastAsia="zh-CN"/>
        </w:rPr>
        <w:t>和亲子家庭</w:t>
      </w:r>
      <w:r>
        <w:rPr>
          <w:rFonts w:hint="eastAsia" w:ascii="宋体" w:hAnsi="宋体" w:eastAsia="宋体" w:cs="宋体"/>
          <w:b w:val="0"/>
          <w:bCs w:val="0"/>
          <w:sz w:val="24"/>
          <w:szCs w:val="24"/>
          <w:lang w:val="en-US" w:eastAsia="zh-CN"/>
        </w:rPr>
        <w:t>为核心受众的国内动漫优质IP主题资源。</w:t>
      </w:r>
      <w:r>
        <w:rPr>
          <w:rFonts w:hint="eastAsia" w:ascii="宋体" w:hAnsi="宋体" w:eastAsia="宋体" w:cs="宋体"/>
          <w:b w:val="0"/>
          <w:bCs w:val="0"/>
          <w:sz w:val="24"/>
          <w:szCs w:val="24"/>
          <w:highlight w:val="yellow"/>
          <w:lang w:val="en-US" w:eastAsia="zh-CN"/>
        </w:rPr>
        <w:t>推荐</w:t>
      </w:r>
      <w:r>
        <w:rPr>
          <w:rFonts w:hint="eastAsia" w:ascii="宋体" w:hAnsi="宋体" w:eastAsia="宋体" w:cs="宋体"/>
          <w:b w:val="0"/>
          <w:bCs w:val="0"/>
          <w:spacing w:val="0"/>
          <w:kern w:val="2"/>
          <w:sz w:val="24"/>
          <w:szCs w:val="24"/>
          <w:highlight w:val="yellow"/>
          <w:lang w:val="en-US" w:eastAsia="zh-CN" w:bidi="ar-SA"/>
        </w:rPr>
        <w:t>IP</w:t>
      </w:r>
      <w:r>
        <w:rPr>
          <w:rFonts w:hint="eastAsia" w:ascii="宋体" w:hAnsi="宋体" w:eastAsia="宋体" w:cs="宋体"/>
          <w:b w:val="0"/>
          <w:bCs w:val="0"/>
          <w:sz w:val="24"/>
          <w:szCs w:val="24"/>
          <w:highlight w:val="yellow"/>
          <w:lang w:val="en-US" w:eastAsia="zh-CN"/>
        </w:rPr>
        <w:t>仅为方便描述项目的采购需求定位，并不限制或拒绝供应商以其他能满足采购需求的类似IP优质资源参与投标。</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val="0"/>
          <w:bCs w:val="0"/>
          <w:spacing w:val="0"/>
          <w:kern w:val="2"/>
          <w:sz w:val="24"/>
          <w:szCs w:val="24"/>
          <w:highlight w:val="yellow"/>
          <w:lang w:val="en-US" w:eastAsia="zh-CN" w:bidi="ar-SA"/>
        </w:rPr>
      </w:pPr>
      <w:r>
        <w:rPr>
          <w:rFonts w:hint="eastAsia" w:ascii="宋体" w:hAnsi="宋体" w:eastAsia="宋体" w:cs="宋体"/>
          <w:sz w:val="24"/>
          <w:szCs w:val="24"/>
          <w:lang w:val="en-US" w:eastAsia="zh-CN"/>
        </w:rPr>
        <w:t xml:space="preserve">② </w:t>
      </w:r>
      <w:r>
        <w:rPr>
          <w:rFonts w:hint="eastAsia" w:ascii="宋体" w:hAnsi="宋体" w:eastAsia="宋体" w:cs="宋体"/>
          <w:b w:val="0"/>
          <w:bCs w:val="0"/>
          <w:spacing w:val="0"/>
          <w:kern w:val="2"/>
          <w:sz w:val="24"/>
          <w:szCs w:val="24"/>
          <w:lang w:val="en-US" w:eastAsia="zh-CN" w:bidi="ar-SA"/>
        </w:rPr>
        <w:t>IP版权使用要求：要求供应商具有所投IP资源的合法版权或使用权，供应商应为本项目提供不少于1年的IP版权宣发使用权，且在IP版权宣发使用权期限内，供应商应具有版权保护能力，确保项目实施不产生知识产权纠纷。如在投标人承诺的IP版权宣发使用期限内，本项目实施发生IP资源的知识产权纠纷，所有责任均由中标供应商承担。IP版权宣发使用期满，采购人仍可以继续正常使用供应商为本项目所投的IP主题游乐设施设备和现场展览布置。</w:t>
      </w:r>
      <w:r>
        <w:rPr>
          <w:rFonts w:hint="eastAsia" w:ascii="宋体" w:hAnsi="宋体" w:eastAsia="宋体" w:cs="宋体"/>
          <w:b w:val="0"/>
          <w:bCs w:val="0"/>
          <w:spacing w:val="0"/>
          <w:kern w:val="2"/>
          <w:sz w:val="24"/>
          <w:szCs w:val="24"/>
          <w:highlight w:val="yellow"/>
          <w:lang w:val="en-US" w:eastAsia="zh-CN" w:bidi="ar-SA"/>
        </w:rPr>
        <w:t>▲供应商须提供所投IP资源的版权保护行政主管部门颁发的作品登记证（作品类别为：“美术”或“电影作品和以类似摄制电影的方法创作的作品”）或注册商标或所投IP资源版权所有人出具的有效授权证明（有效授权内容须包括：被授权的有效期能覆盖从本项目开标当日起计算365天的、针对本项目实施事项在被授权事项范围内的，同时须提供授权人的作品类别为“美术”或“电影作品和以类似摄制电影的方法创作的作品”的版权保护行政主管部门颁发的作品登记证或注册商标），如供应商不能提供上述佐证资料的，视为供应商不具有所投IP资源的合法版权或使用权，按未实质性响应采购需求作无效标处理。</w:t>
      </w:r>
    </w:p>
    <w:p>
      <w:pPr>
        <w:pStyle w:val="58"/>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textAlignment w:val="auto"/>
        <w:rPr>
          <w:rFonts w:hint="eastAsia" w:ascii="宋体" w:hAnsi="宋体" w:eastAsia="宋体" w:cs="宋体"/>
          <w:b w:val="0"/>
          <w:bCs w:val="0"/>
          <w:spacing w:val="0"/>
          <w:kern w:val="2"/>
          <w:sz w:val="24"/>
          <w:szCs w:val="24"/>
          <w:highlight w:val="yellow"/>
          <w:lang w:val="en-US" w:eastAsia="zh-CN" w:bidi="ar-SA"/>
        </w:rPr>
      </w:pPr>
      <w:r>
        <w:rPr>
          <w:rFonts w:hint="eastAsia" w:ascii="宋体" w:hAnsi="宋体" w:eastAsia="宋体" w:cs="宋体"/>
          <w:spacing w:val="0"/>
          <w:kern w:val="2"/>
          <w:sz w:val="24"/>
          <w:szCs w:val="24"/>
          <w:highlight w:val="none"/>
          <w:lang w:val="en-US" w:eastAsia="zh-CN" w:bidi="ar-SA"/>
        </w:rPr>
        <w:t xml:space="preserve">③ </w:t>
      </w:r>
      <w:r>
        <w:rPr>
          <w:rFonts w:hint="eastAsia" w:ascii="宋体" w:hAnsi="宋体" w:eastAsia="宋体" w:cs="宋体"/>
          <w:b w:val="0"/>
          <w:bCs w:val="0"/>
          <w:spacing w:val="0"/>
          <w:kern w:val="2"/>
          <w:sz w:val="24"/>
          <w:szCs w:val="24"/>
          <w:highlight w:val="none"/>
          <w:lang w:val="en-US" w:eastAsia="zh-CN" w:bidi="ar-SA"/>
        </w:rPr>
        <w:t>IP设计应用：供应商以单一IP或者多IP组合方式提供整体设计。如使用多IP组合方式设计的，要求区域设计主题风格元素统一，游乐区功能布局场景串联合理，游览路线流畅。具体要求详见采购清单。</w:t>
      </w:r>
      <w:r>
        <w:rPr>
          <w:rFonts w:hint="eastAsia" w:ascii="宋体" w:hAnsi="宋体" w:eastAsia="宋体" w:cs="宋体"/>
          <w:b w:val="0"/>
          <w:bCs w:val="0"/>
          <w:spacing w:val="0"/>
          <w:kern w:val="2"/>
          <w:sz w:val="24"/>
          <w:szCs w:val="24"/>
          <w:highlight w:val="yellow"/>
          <w:lang w:val="en-US" w:eastAsia="zh-CN" w:bidi="ar-SA"/>
        </w:rPr>
        <w:t>▲采购清单中标注“IP主题”设计的项目，必须结合IP主题设计，未按采购清单要求进行IP主题设计的产品将被采购人拒绝，供应商应在投标文件中提供产品效果图，如效果图中未能体现投标产品的IP主题元素，则按其未实质性响应采购需求作无效标处理。</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bCs/>
          <w:spacing w:val="0"/>
          <w:kern w:val="2"/>
          <w:sz w:val="24"/>
          <w:szCs w:val="24"/>
          <w:lang w:val="en-US" w:eastAsia="zh-CN" w:bidi="ar-SA"/>
        </w:rPr>
        <w:t>（3）夏季开园主题活动：</w:t>
      </w:r>
      <w:r>
        <w:rPr>
          <w:rFonts w:hint="eastAsia" w:ascii="宋体" w:hAnsi="宋体" w:eastAsia="宋体" w:cs="宋体"/>
          <w:b w:val="0"/>
          <w:bCs w:val="0"/>
          <w:spacing w:val="0"/>
          <w:kern w:val="2"/>
          <w:sz w:val="24"/>
          <w:szCs w:val="24"/>
          <w:lang w:val="en-US" w:eastAsia="zh-CN" w:bidi="ar-SA"/>
        </w:rPr>
        <w:t>要求以夏季开园为契机，融合IP特色，在乐园布展中同步策划夏季主题“去野一夏”动漫文旅活动场景，既要体现</w:t>
      </w:r>
      <w:r>
        <w:rPr>
          <w:rFonts w:hint="eastAsia" w:ascii="宋体" w:hAnsi="宋体" w:eastAsia="宋体" w:cs="宋体"/>
          <w:b w:val="0"/>
          <w:bCs w:val="0"/>
          <w:spacing w:val="0"/>
          <w:kern w:val="2"/>
          <w:sz w:val="24"/>
          <w:szCs w:val="24"/>
          <w:highlight w:val="none"/>
          <w:lang w:val="en-US" w:eastAsia="zh-CN" w:bidi="ar-SA"/>
        </w:rPr>
        <w:t>农文旅</w:t>
      </w:r>
      <w:r>
        <w:rPr>
          <w:rFonts w:hint="eastAsia" w:ascii="宋体" w:hAnsi="宋体" w:eastAsia="宋体" w:cs="宋体"/>
          <w:b w:val="0"/>
          <w:bCs w:val="0"/>
          <w:spacing w:val="0"/>
          <w:kern w:val="2"/>
          <w:sz w:val="24"/>
          <w:szCs w:val="24"/>
          <w:lang w:val="en-US" w:eastAsia="zh-CN" w:bidi="ar-SA"/>
        </w:rPr>
        <w:t>的自由野趣，又要符合夏季活动的特色。</w:t>
      </w:r>
    </w:p>
    <w:p>
      <w:pPr>
        <w:pStyle w:val="56"/>
        <w:keepNext w:val="0"/>
        <w:keepLines w:val="0"/>
        <w:pageBreakBefore w:val="0"/>
        <w:widowControl w:val="0"/>
        <w:kinsoku/>
        <w:wordWrap/>
        <w:overflowPunct/>
        <w:topLinePunct w:val="0"/>
        <w:bidi w:val="0"/>
        <w:adjustRightInd w:val="0"/>
        <w:snapToGrid w:val="0"/>
        <w:spacing w:before="0" w:after="0" w:line="360" w:lineRule="auto"/>
        <w:ind w:firstLine="482" w:firstLineChars="200"/>
        <w:jc w:val="left"/>
        <w:textAlignment w:val="auto"/>
        <w:rPr>
          <w:rFonts w:hint="eastAsia" w:ascii="宋体" w:hAnsi="宋体" w:eastAsia="宋体" w:cs="宋体"/>
          <w:b/>
          <w:bCs/>
          <w:spacing w:val="0"/>
          <w:kern w:val="2"/>
          <w:sz w:val="24"/>
          <w:szCs w:val="24"/>
          <w:highlight w:val="none"/>
          <w:lang w:val="en-US" w:eastAsia="zh-CN" w:bidi="ar-SA"/>
        </w:rPr>
      </w:pPr>
      <w:r>
        <w:rPr>
          <w:rFonts w:hint="eastAsia" w:ascii="宋体" w:hAnsi="宋体" w:eastAsia="宋体" w:cs="宋体"/>
          <w:b/>
          <w:bCs/>
          <w:spacing w:val="0"/>
          <w:kern w:val="2"/>
          <w:sz w:val="24"/>
          <w:szCs w:val="24"/>
          <w:highlight w:val="none"/>
          <w:lang w:val="en-US" w:eastAsia="zh-CN" w:bidi="ar-SA"/>
        </w:rPr>
        <w:t>（4）故事线设计：</w:t>
      </w:r>
      <w:r>
        <w:rPr>
          <w:rFonts w:hint="eastAsia" w:ascii="宋体" w:hAnsi="宋体" w:eastAsia="宋体" w:cs="宋体"/>
          <w:b w:val="0"/>
          <w:bCs w:val="0"/>
          <w:spacing w:val="0"/>
          <w:kern w:val="2"/>
          <w:sz w:val="24"/>
          <w:szCs w:val="24"/>
          <w:highlight w:val="none"/>
          <w:lang w:val="en-US" w:eastAsia="zh-CN" w:bidi="ar-SA"/>
        </w:rPr>
        <w:t>设计不少于一组故事线，通过闯关任务获得奖励，增加游乐趣味性、互动性和亲子体验获得感。</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pacing w:val="0"/>
          <w:kern w:val="2"/>
          <w:sz w:val="24"/>
          <w:szCs w:val="24"/>
          <w:lang w:val="en-US" w:eastAsia="zh-CN" w:bidi="ar-SA"/>
        </w:rPr>
        <w:t>（5）</w:t>
      </w:r>
      <w:r>
        <w:rPr>
          <w:rFonts w:hint="eastAsia" w:ascii="宋体" w:hAnsi="宋体" w:eastAsia="宋体" w:cs="宋体"/>
          <w:b/>
          <w:bCs/>
          <w:sz w:val="24"/>
          <w:szCs w:val="24"/>
          <w:highlight w:val="none"/>
          <w:lang w:val="en-US" w:eastAsia="zh-CN"/>
        </w:rPr>
        <w:t>技术设计要求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b w:val="0"/>
          <w:bCs w:val="0"/>
          <w:spacing w:val="0"/>
          <w:kern w:val="2"/>
          <w:sz w:val="24"/>
          <w:szCs w:val="24"/>
          <w:lang w:val="en-US" w:eastAsia="zh-CN" w:bidi="ar-SA"/>
        </w:rPr>
        <w:t xml:space="preserve">① </w:t>
      </w:r>
      <w:r>
        <w:rPr>
          <w:rFonts w:hint="eastAsia" w:ascii="宋体" w:hAnsi="宋体" w:eastAsia="宋体" w:cs="宋体"/>
          <w:sz w:val="24"/>
          <w:szCs w:val="24"/>
        </w:rPr>
        <w:t>本部分提出了功能、性能、设计等方面的最低限度的技术要求，但未对所有技术细节作规定，也未充分引述有关规范和标准的相关条款，故投标供应商有责任根据所提供产品的实际情况对设备进行更科学合理的优化设计及实施方案，并对所提供产品的工艺、安全性、先进性负责，符合技术规格书的要求</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spacing w:val="0"/>
          <w:kern w:val="2"/>
          <w:sz w:val="24"/>
          <w:szCs w:val="24"/>
          <w:lang w:val="en-US" w:eastAsia="zh-CN" w:bidi="ar-SA"/>
        </w:rPr>
        <w:t>② 所有设备的技术指标应符合国内已经制定的国家及行业</w:t>
      </w:r>
      <w:r>
        <w:rPr>
          <w:rFonts w:hint="eastAsia" w:ascii="宋体" w:hAnsi="宋体" w:eastAsia="宋体" w:cs="宋体"/>
          <w:sz w:val="24"/>
          <w:szCs w:val="24"/>
        </w:rPr>
        <w:t>技术标准，如果没有相关国内标准，也可参照相关国际技术标准执行。</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t>③ 供应商必须对全部招标内容进行投标，不允许只对其中部分内容进行投标。</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spacing w:val="0"/>
          <w:kern w:val="2"/>
          <w:sz w:val="24"/>
          <w:szCs w:val="24"/>
          <w:lang w:val="en-US" w:eastAsia="zh-CN" w:bidi="ar-SA"/>
        </w:rPr>
        <w:fldChar w:fldCharType="begin"/>
      </w:r>
      <w:r>
        <w:rPr>
          <w:rFonts w:hint="eastAsia" w:ascii="宋体" w:hAnsi="宋体" w:eastAsia="宋体" w:cs="宋体"/>
          <w:b w:val="0"/>
          <w:bCs w:val="0"/>
          <w:spacing w:val="0"/>
          <w:kern w:val="2"/>
          <w:sz w:val="24"/>
          <w:szCs w:val="24"/>
          <w:lang w:val="en-US" w:eastAsia="zh-CN" w:bidi="ar-SA"/>
        </w:rPr>
        <w:instrText xml:space="preserve"> = 4 \* GB3 \* MERGEFORMAT </w:instrText>
      </w:r>
      <w:r>
        <w:rPr>
          <w:rFonts w:hint="eastAsia" w:ascii="宋体" w:hAnsi="宋体" w:eastAsia="宋体" w:cs="宋体"/>
          <w:b w:val="0"/>
          <w:bCs w:val="0"/>
          <w:spacing w:val="0"/>
          <w:kern w:val="2"/>
          <w:sz w:val="24"/>
          <w:szCs w:val="24"/>
          <w:lang w:val="en-US" w:eastAsia="zh-CN" w:bidi="ar-SA"/>
        </w:rPr>
        <w:fldChar w:fldCharType="separate"/>
      </w:r>
      <w:r>
        <w:rPr>
          <w:rFonts w:hint="eastAsia" w:ascii="宋体" w:hAnsi="宋体" w:eastAsia="宋体" w:cs="宋体"/>
          <w:b w:val="0"/>
          <w:bCs w:val="0"/>
          <w:spacing w:val="0"/>
          <w:kern w:val="2"/>
          <w:sz w:val="24"/>
          <w:szCs w:val="24"/>
          <w:lang w:val="en-US" w:eastAsia="zh-CN" w:bidi="ar-SA"/>
        </w:rPr>
        <w:t>④</w:t>
      </w:r>
      <w:r>
        <w:rPr>
          <w:rFonts w:hint="eastAsia" w:ascii="宋体" w:hAnsi="宋体" w:eastAsia="宋体" w:cs="宋体"/>
          <w:b w:val="0"/>
          <w:bCs w:val="0"/>
          <w:spacing w:val="0"/>
          <w:kern w:val="2"/>
          <w:sz w:val="24"/>
          <w:szCs w:val="24"/>
          <w:lang w:val="en-US" w:eastAsia="zh-CN" w:bidi="ar-SA"/>
        </w:rPr>
        <w:fldChar w:fldCharType="end"/>
      </w:r>
      <w:r>
        <w:rPr>
          <w:rFonts w:hint="eastAsia" w:ascii="宋体" w:hAnsi="宋体" w:eastAsia="宋体" w:cs="宋体"/>
          <w:b w:val="0"/>
          <w:bCs w:val="0"/>
          <w:spacing w:val="0"/>
          <w:kern w:val="2"/>
          <w:sz w:val="24"/>
          <w:szCs w:val="24"/>
          <w:lang w:val="en-US" w:eastAsia="zh-CN" w:bidi="ar-SA"/>
        </w:rPr>
        <w:t xml:space="preserve"> </w:t>
      </w:r>
      <w:r>
        <w:rPr>
          <w:rFonts w:hint="eastAsia" w:ascii="宋体" w:hAnsi="宋体" w:eastAsia="宋体" w:cs="宋体"/>
          <w:sz w:val="24"/>
          <w:szCs w:val="24"/>
        </w:rPr>
        <w:t>供应商须保证所提供材料产品为厂家原装正品，符合国家有关规定。供应商须保证所提供产品具有合法的版权或使用权。本项目采购的产品，如在本项目范围内使用过程中出现版权或使用权纠纷，应由中标人负责，采购人不承担责任。</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fldChar w:fldCharType="begin"/>
      </w:r>
      <w:r>
        <w:rPr>
          <w:rFonts w:hint="eastAsia" w:ascii="宋体" w:hAnsi="宋体" w:eastAsia="宋体" w:cs="宋体"/>
          <w:b w:val="0"/>
          <w:bCs w:val="0"/>
          <w:spacing w:val="0"/>
          <w:kern w:val="2"/>
          <w:sz w:val="24"/>
          <w:szCs w:val="24"/>
          <w:lang w:val="en-US" w:eastAsia="zh-CN" w:bidi="ar-SA"/>
        </w:rPr>
        <w:instrText xml:space="preserve"> = 5 \* GB3 \* MERGEFORMAT </w:instrText>
      </w:r>
      <w:r>
        <w:rPr>
          <w:rFonts w:hint="eastAsia" w:ascii="宋体" w:hAnsi="宋体" w:eastAsia="宋体" w:cs="宋体"/>
          <w:b w:val="0"/>
          <w:bCs w:val="0"/>
          <w:spacing w:val="0"/>
          <w:kern w:val="2"/>
          <w:sz w:val="24"/>
          <w:szCs w:val="24"/>
          <w:lang w:val="en-US" w:eastAsia="zh-CN" w:bidi="ar-SA"/>
        </w:rPr>
        <w:fldChar w:fldCharType="separate"/>
      </w:r>
      <w:r>
        <w:rPr>
          <w:rFonts w:hint="eastAsia" w:ascii="宋体" w:hAnsi="宋体" w:eastAsia="宋体" w:cs="宋体"/>
          <w:b w:val="0"/>
          <w:bCs w:val="0"/>
          <w:spacing w:val="0"/>
          <w:kern w:val="2"/>
          <w:sz w:val="24"/>
          <w:szCs w:val="24"/>
          <w:lang w:val="en-US" w:eastAsia="zh-CN" w:bidi="ar-SA"/>
        </w:rPr>
        <w:t>⑤</w:t>
      </w:r>
      <w:r>
        <w:rPr>
          <w:rFonts w:hint="eastAsia" w:ascii="宋体" w:hAnsi="宋体" w:eastAsia="宋体" w:cs="宋体"/>
          <w:b w:val="0"/>
          <w:bCs w:val="0"/>
          <w:spacing w:val="0"/>
          <w:kern w:val="2"/>
          <w:sz w:val="24"/>
          <w:szCs w:val="24"/>
          <w:lang w:val="en-US" w:eastAsia="zh-CN" w:bidi="ar-SA"/>
        </w:rPr>
        <w:fldChar w:fldCharType="end"/>
      </w:r>
      <w:r>
        <w:rPr>
          <w:rFonts w:hint="eastAsia" w:ascii="宋体" w:hAnsi="宋体" w:eastAsia="宋体" w:cs="宋体"/>
          <w:b w:val="0"/>
          <w:bCs w:val="0"/>
          <w:spacing w:val="0"/>
          <w:kern w:val="2"/>
          <w:sz w:val="24"/>
          <w:szCs w:val="24"/>
          <w:lang w:val="en-US" w:eastAsia="zh-CN" w:bidi="ar-SA"/>
        </w:rPr>
        <w:t xml:space="preserve"> 产品必须符合相关国家设计安全技术规范和《特种设备安全监察条例》要求。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fldChar w:fldCharType="begin"/>
      </w:r>
      <w:r>
        <w:rPr>
          <w:rFonts w:hint="eastAsia" w:ascii="宋体" w:hAnsi="宋体" w:eastAsia="宋体" w:cs="宋体"/>
          <w:b w:val="0"/>
          <w:bCs w:val="0"/>
          <w:spacing w:val="0"/>
          <w:kern w:val="2"/>
          <w:sz w:val="24"/>
          <w:szCs w:val="24"/>
          <w:lang w:val="en-US" w:eastAsia="zh-CN" w:bidi="ar-SA"/>
        </w:rPr>
        <w:instrText xml:space="preserve"> = 6 \* GB3 \* MERGEFORMAT </w:instrText>
      </w:r>
      <w:r>
        <w:rPr>
          <w:rFonts w:hint="eastAsia" w:ascii="宋体" w:hAnsi="宋体" w:eastAsia="宋体" w:cs="宋体"/>
          <w:b w:val="0"/>
          <w:bCs w:val="0"/>
          <w:spacing w:val="0"/>
          <w:kern w:val="2"/>
          <w:sz w:val="24"/>
          <w:szCs w:val="24"/>
          <w:lang w:val="en-US" w:eastAsia="zh-CN" w:bidi="ar-SA"/>
        </w:rPr>
        <w:fldChar w:fldCharType="separate"/>
      </w:r>
      <w:r>
        <w:rPr>
          <w:rFonts w:hint="eastAsia" w:ascii="宋体" w:hAnsi="宋体" w:eastAsia="宋体" w:cs="宋体"/>
          <w:b w:val="0"/>
          <w:bCs w:val="0"/>
          <w:spacing w:val="0"/>
          <w:kern w:val="2"/>
          <w:sz w:val="24"/>
          <w:szCs w:val="24"/>
          <w:lang w:val="en-US" w:eastAsia="zh-CN" w:bidi="ar-SA"/>
        </w:rPr>
        <w:t>⑥</w:t>
      </w:r>
      <w:r>
        <w:rPr>
          <w:rFonts w:hint="eastAsia" w:ascii="宋体" w:hAnsi="宋体" w:eastAsia="宋体" w:cs="宋体"/>
          <w:b w:val="0"/>
          <w:bCs w:val="0"/>
          <w:spacing w:val="0"/>
          <w:kern w:val="2"/>
          <w:sz w:val="24"/>
          <w:szCs w:val="24"/>
          <w:lang w:val="en-US" w:eastAsia="zh-CN" w:bidi="ar-SA"/>
        </w:rPr>
        <w:fldChar w:fldCharType="end"/>
      </w:r>
      <w:r>
        <w:rPr>
          <w:rFonts w:hint="eastAsia" w:ascii="宋体" w:hAnsi="宋体" w:eastAsia="宋体" w:cs="宋体"/>
          <w:b w:val="0"/>
          <w:bCs w:val="0"/>
          <w:spacing w:val="0"/>
          <w:kern w:val="2"/>
          <w:sz w:val="24"/>
          <w:szCs w:val="24"/>
          <w:lang w:val="en-US" w:eastAsia="zh-CN" w:bidi="ar-SA"/>
        </w:rPr>
        <w:t xml:space="preserve"> 设计、制造、安装、检验验收应执行最新国家标准及游乐设施安全技术监察规程的有关规定。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fldChar w:fldCharType="begin"/>
      </w:r>
      <w:r>
        <w:rPr>
          <w:rFonts w:hint="eastAsia" w:ascii="宋体" w:hAnsi="宋体" w:eastAsia="宋体" w:cs="宋体"/>
          <w:b w:val="0"/>
          <w:bCs w:val="0"/>
          <w:spacing w:val="0"/>
          <w:kern w:val="2"/>
          <w:sz w:val="24"/>
          <w:szCs w:val="24"/>
          <w:lang w:val="en-US" w:eastAsia="zh-CN" w:bidi="ar-SA"/>
        </w:rPr>
        <w:instrText xml:space="preserve"> = 7 \* GB3 \* MERGEFORMAT </w:instrText>
      </w:r>
      <w:r>
        <w:rPr>
          <w:rFonts w:hint="eastAsia" w:ascii="宋体" w:hAnsi="宋体" w:eastAsia="宋体" w:cs="宋体"/>
          <w:b w:val="0"/>
          <w:bCs w:val="0"/>
          <w:spacing w:val="0"/>
          <w:kern w:val="2"/>
          <w:sz w:val="24"/>
          <w:szCs w:val="24"/>
          <w:lang w:val="en-US" w:eastAsia="zh-CN" w:bidi="ar-SA"/>
        </w:rPr>
        <w:fldChar w:fldCharType="separate"/>
      </w:r>
      <w:r>
        <w:rPr>
          <w:rFonts w:hint="eastAsia" w:ascii="宋体" w:hAnsi="宋体" w:eastAsia="宋体" w:cs="宋体"/>
          <w:b w:val="0"/>
          <w:bCs w:val="0"/>
          <w:spacing w:val="0"/>
          <w:kern w:val="2"/>
          <w:sz w:val="24"/>
          <w:szCs w:val="24"/>
          <w:lang w:val="en-US" w:eastAsia="zh-CN" w:bidi="ar-SA"/>
        </w:rPr>
        <w:t>⑦</w:t>
      </w:r>
      <w:r>
        <w:rPr>
          <w:rFonts w:hint="eastAsia" w:ascii="宋体" w:hAnsi="宋体" w:eastAsia="宋体" w:cs="宋体"/>
          <w:b w:val="0"/>
          <w:bCs w:val="0"/>
          <w:spacing w:val="0"/>
          <w:kern w:val="2"/>
          <w:sz w:val="24"/>
          <w:szCs w:val="24"/>
          <w:lang w:val="en-US" w:eastAsia="zh-CN" w:bidi="ar-SA"/>
        </w:rPr>
        <w:fldChar w:fldCharType="end"/>
      </w:r>
      <w:r>
        <w:rPr>
          <w:rFonts w:hint="eastAsia" w:ascii="宋体" w:hAnsi="宋体" w:eastAsia="宋体" w:cs="宋体"/>
          <w:b w:val="0"/>
          <w:bCs w:val="0"/>
          <w:spacing w:val="0"/>
          <w:kern w:val="2"/>
          <w:sz w:val="24"/>
          <w:szCs w:val="24"/>
          <w:lang w:val="en-US" w:eastAsia="zh-CN" w:bidi="ar-SA"/>
        </w:rPr>
        <w:t xml:space="preserve"> 载荷计算及载荷组合及安全系数须满足最新国家标准的规定。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 w:val="0"/>
          <w:bCs w:val="0"/>
          <w:spacing w:val="0"/>
          <w:kern w:val="2"/>
          <w:sz w:val="24"/>
          <w:szCs w:val="24"/>
          <w:lang w:val="en-US" w:eastAsia="zh-CN" w:bidi="ar-SA"/>
        </w:rPr>
        <w:fldChar w:fldCharType="begin"/>
      </w:r>
      <w:r>
        <w:rPr>
          <w:rFonts w:hint="eastAsia" w:ascii="宋体" w:hAnsi="宋体" w:eastAsia="宋体" w:cs="宋体"/>
          <w:b w:val="0"/>
          <w:bCs w:val="0"/>
          <w:spacing w:val="0"/>
          <w:kern w:val="2"/>
          <w:sz w:val="24"/>
          <w:szCs w:val="24"/>
          <w:lang w:val="en-US" w:eastAsia="zh-CN" w:bidi="ar-SA"/>
        </w:rPr>
        <w:instrText xml:space="preserve"> = 8 \* GB3 \* MERGEFORMAT </w:instrText>
      </w:r>
      <w:r>
        <w:rPr>
          <w:rFonts w:hint="eastAsia" w:ascii="宋体" w:hAnsi="宋体" w:eastAsia="宋体" w:cs="宋体"/>
          <w:b w:val="0"/>
          <w:bCs w:val="0"/>
          <w:spacing w:val="0"/>
          <w:kern w:val="2"/>
          <w:sz w:val="24"/>
          <w:szCs w:val="24"/>
          <w:lang w:val="en-US" w:eastAsia="zh-CN" w:bidi="ar-SA"/>
        </w:rPr>
        <w:fldChar w:fldCharType="separate"/>
      </w:r>
      <w:r>
        <w:rPr>
          <w:rFonts w:hint="eastAsia" w:ascii="宋体" w:hAnsi="宋体" w:eastAsia="宋体" w:cs="宋体"/>
          <w:b w:val="0"/>
          <w:bCs w:val="0"/>
          <w:spacing w:val="0"/>
          <w:kern w:val="2"/>
          <w:sz w:val="24"/>
          <w:szCs w:val="24"/>
          <w:lang w:val="en-US" w:eastAsia="zh-CN" w:bidi="ar-SA"/>
        </w:rPr>
        <w:t>⑧</w:t>
      </w:r>
      <w:r>
        <w:rPr>
          <w:rFonts w:hint="eastAsia" w:ascii="宋体" w:hAnsi="宋体" w:eastAsia="宋体" w:cs="宋体"/>
          <w:b w:val="0"/>
          <w:bCs w:val="0"/>
          <w:spacing w:val="0"/>
          <w:kern w:val="2"/>
          <w:sz w:val="24"/>
          <w:szCs w:val="24"/>
          <w:lang w:val="en-US" w:eastAsia="zh-CN" w:bidi="ar-SA"/>
        </w:rPr>
        <w:fldChar w:fldCharType="end"/>
      </w:r>
      <w:r>
        <w:rPr>
          <w:rFonts w:hint="eastAsia" w:ascii="宋体" w:hAnsi="宋体" w:eastAsia="宋体" w:cs="宋体"/>
          <w:b w:val="0"/>
          <w:bCs w:val="0"/>
          <w:spacing w:val="0"/>
          <w:kern w:val="2"/>
          <w:sz w:val="24"/>
          <w:szCs w:val="24"/>
          <w:lang w:val="en-US" w:eastAsia="zh-CN" w:bidi="ar-SA"/>
        </w:rPr>
        <w:t xml:space="preserve"> </w:t>
      </w:r>
      <w:r>
        <w:rPr>
          <w:rFonts w:hint="eastAsia" w:ascii="宋体" w:hAnsi="宋体" w:eastAsia="宋体" w:cs="宋体"/>
          <w:sz w:val="24"/>
          <w:szCs w:val="24"/>
        </w:rPr>
        <w:t>钢结构构件及其连接的疲劳计算须符合最新国家标准疲劳计算的规定。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 9 \* GB3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⑨</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游艺设备采用的金属材料应符合相应的国家标准、行业保准的规定。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 10 \* GB3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⑩</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玻璃钢应符合国家有关标准的要求，表面应光滑无裂纹，色调均匀，转角处过渡要圆滑，不应有尖锐、明显的棱角及毛刺；采用树脂应有良好的耐水性和抗老化性能；玻璃纤维，应采用无碱玻璃纤维，纤维的表面须有良好的侵润性；厚度应不小于5mm，法兰部位厚度应不小于9mm；色彩应保证鲜艳牢固。</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⑪</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rPr>
        <w:t>凡乘客可触及之处，均不允许有外露锐边、尖角、毛刺等伤害突出物。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⑫</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rPr>
        <w:t>重要的受力焊缝、不同材质的焊缝，必须由具有相应资质的技术工人完成，必须进行无损检测，焊缝的设计应遵守“等强度”原则，符合国家相关标准的要求。</w:t>
      </w:r>
      <w:r>
        <w:rPr>
          <w:rFonts w:hint="eastAsia" w:ascii="宋体" w:hAnsi="宋体" w:eastAsia="宋体" w:cs="宋体"/>
          <w:sz w:val="24"/>
          <w:szCs w:val="24"/>
          <w:highlight w:val="none"/>
        </w:rPr>
        <w:t>焊缝表面不应存在漏焊、烧穿、裂纹、未熔合、未焊透、未填满、弧坑、严重咬边以及肉眼可见的气控、夹渣等缺陷；焊缝与母材应圆滑过渡；所有焊渣、焊瘤应清除干净。</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⑬</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根据游乐设施的性能、结构及运行方式的不同，合理设置相应形式的安全装置：安全带应有足够的破断强度，与乘载体的固定必须牢靠，开启扣必须有效可靠，运行较为激烈又无安全压杠的设备，应配备安全扶手及可伸缩安全带；安全压杠必须有足够的锁紧力，其销紧机构不能由乘客开启，开启扣必须有效可靠；舱门必须设锁紧装置，必须灵活可靠；制动装置应该平稳可靠，制动能力（力或力矩）大于或等于1.5倍额定负荷轴扭矩（或冲力），当断电时，制动装置应处于制动状态；可能产生硬撞击的部件都应设计缓冲装置，确保游客乘坐的舒适性及安全性。</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⑭</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液压或气动系统应设有过压保护装置，必须设置监控系统工作状况的仪表；液压系统不应有渗漏，气动系统不应有明显的漏气。</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⑮</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游乐设施中压力容器的设计、制造、安装、使用应符合《压力容器安全技术监察规程》的要求。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⑯</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座舱支承轴轴承应保证润滑良好、转动灵活，轴承及接触面有相对运动部位，应有润滑措施并便于填加润滑剂，各润滑部位设计应避免渗油现象。</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⑰</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设备油漆要求，外露金属构件使用正规品牌厂家的金属漆喷涂工艺（或喷塑工艺），隐蔽的的设备支架需用富锌底漆喷涂防腐工艺处理。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⑱</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游乐设施电气系统的设计功能必须满足该游乐设施的运行控制和安全保护的需要，并满足当地环境条件下正常使用的要求。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⑲</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游乐设施的低压配电系统的接地型式应采用TN-C系统；电气设备金属外壳及不带电金属结构等必须可靠接地；低压配电系统的保护重复接地电阻不大于10欧姆；接地装置的设计和施工应符合最新国家标准的规定；带电回路与地之间的绝缘电阻应不小于1兆欧。</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⑳</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必须配置具有电气安全保护功能（如过流、过压、欠压、缺相、短路、漏电、连锁等）的装置，其装置中的保护元件应与保护特性相匹配，并在操作控制柜等明显位置设置紧急停止按钮、必要的声光报警装置和语音提醒装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㉑</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电气系统中配备的智能化控制设备、电力驱动装置、电子元器件等技术性能（如容量、电压等级，速度、温度、防护等级、频率、抗干扰性能等）和电线电缆的规格必须符合该游乐设施的正常安全使用；应符合国家相应电气技术规范、标准要求；应能保证安全并满足运行工况；国家明令禁止的或淘汰的产品不得选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rPr>
        <w:t>㉒</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当动力电源突然断电或设备发生故障，必须设有自动或手动的紧急停车装置（应设有减速制动装置，不管是采用机械、电动、手动），制动器构件都应有足够的强度，制动器制动时应平稳可靠，不应使乘人感受到明显的冲击或使设备结构有明显的振动、摇晃，应有使空中乘人装置降到地面的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㉓</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提供的游艺设备，应配备有电气控制台或电气控制柜，其设计和电气设备、电器元器件的安装位置应方便人员操作、维护和检修，控制按钮应有明显的识别标志、信号灯，按钮应符合《电工成套装置中的指示灯和按钮颜色》的规定，必须安装紧急停止按钮。由乘客可操作的电器开关、人体可触及的灯饰、控制元件等应采用12V的安全电压，超过12v的应用隔离变压器隔离。</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㉔</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室外或需防潮防雨的场所使用的电子元器件、执行元器件、装饰灯具等应有防雨措施或者选用防雨防潮的设备和器件，选用和布置必须确保人身安全。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㉕</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灯光应采用LED灯，并适合室外环境要求，防水防潮、质量好、寿命长，数量和布局符合样品要求。不能单一色彩，多种色彩鲜艳柔和。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㉖</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电气控制元件应采用国际或国内知名品牌的产品，低劣、假冒电气元件产品，需方有权拒绝接受，供应商需承担索赔责任，所有电气线路都要有套管或桥架工艺。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㉗</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提供设备应有运行背景音乐及语音提示功能，在设备起动前及运行结束后，都具有必要的警铃及语音提示功能。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spacing w:val="0"/>
          <w:kern w:val="2"/>
          <w:sz w:val="24"/>
          <w:szCs w:val="24"/>
          <w:lang w:val="en-US" w:eastAsia="zh-CN" w:bidi="ar-SA"/>
        </w:rPr>
      </w:pPr>
      <w:r>
        <w:rPr>
          <w:rFonts w:hint="eastAsia" w:ascii="宋体" w:hAnsi="宋体" w:eastAsia="宋体" w:cs="宋体"/>
          <w:sz w:val="24"/>
          <w:szCs w:val="24"/>
          <w:highlight w:val="none"/>
        </w:rPr>
        <w:t>㉘</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设备安装完毕后要做空载、满载、偏载试验，做偏载试验时，对座舱连续加入额定载荷，运转应平稳，不应有异常现象。在满载和设计允许偏载状态下，电动机电流应不大于电动机的额定电流，在频繁起动的情况下电动机选型应合理，起动电流宜不大于额定电流值的4.5倍。有可能超速的游乐设施应设有防止超速的自动控制装置，控制装置应安全可靠。在空载、满载、偏载试验过程中运行均应正常，金属结构、传动系统、安全设施和电气控制系统均应符合技术标准规定的要求</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㉙</w:t>
      </w:r>
      <w:r>
        <w:rPr>
          <w:rFonts w:hint="eastAsia" w:ascii="宋体" w:hAnsi="宋体" w:eastAsia="宋体" w:cs="宋体"/>
          <w:sz w:val="24"/>
          <w:szCs w:val="24"/>
          <w:highlight w:val="yellow"/>
          <w:lang w:eastAsia="zh-CN"/>
        </w:rPr>
        <w:t>本项目</w:t>
      </w:r>
      <w:r>
        <w:rPr>
          <w:rFonts w:hint="eastAsia" w:ascii="宋体" w:hAnsi="宋体" w:eastAsia="宋体" w:cs="宋体"/>
          <w:sz w:val="24"/>
          <w:szCs w:val="24"/>
          <w:highlight w:val="yellow"/>
          <w:lang w:val="en-US" w:eastAsia="zh-CN"/>
        </w:rPr>
        <w:t>所有动力游乐</w:t>
      </w:r>
      <w:r>
        <w:rPr>
          <w:rFonts w:hint="eastAsia" w:ascii="宋体" w:hAnsi="宋体" w:eastAsia="宋体" w:cs="宋体"/>
          <w:sz w:val="24"/>
          <w:szCs w:val="24"/>
          <w:highlight w:val="yellow"/>
          <w:lang w:eastAsia="zh-CN"/>
        </w:rPr>
        <w:t>设备，要求在正常使用、保养条件下，设计使用寿命不少于</w:t>
      </w:r>
      <w:r>
        <w:rPr>
          <w:rFonts w:hint="eastAsia" w:ascii="宋体" w:hAnsi="宋体" w:eastAsia="宋体" w:cs="宋体"/>
          <w:sz w:val="24"/>
          <w:szCs w:val="24"/>
          <w:highlight w:val="yellow"/>
          <w:lang w:val="en-US" w:eastAsia="zh-CN"/>
        </w:rPr>
        <w:t>5年。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1"/>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㉚</w:t>
      </w:r>
      <w:r>
        <w:rPr>
          <w:rFonts w:hint="eastAsia" w:ascii="宋体" w:hAnsi="宋体" w:eastAsia="宋体" w:cs="宋体"/>
          <w:sz w:val="24"/>
          <w:szCs w:val="24"/>
          <w:highlight w:val="none"/>
          <w:lang w:eastAsia="zh-CN"/>
        </w:rPr>
        <w:t>本项目设备定制选型，应充分考虑低龄儿童特性。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2、采购清单</w:t>
      </w:r>
      <w:bookmarkEnd w:id="52"/>
    </w:p>
    <w:tbl>
      <w:tblPr>
        <w:tblStyle w:val="59"/>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75"/>
        <w:gridCol w:w="3316"/>
        <w:gridCol w:w="15"/>
        <w:gridCol w:w="2579"/>
        <w:gridCol w:w="765"/>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80" w:type="dxa"/>
            <w:gridSpan w:val="7"/>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80" w:type="dxa"/>
            <w:gridSpan w:val="7"/>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户外乐园区块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sz w:val="21"/>
                <w:szCs w:val="21"/>
                <w:u w:val="none"/>
                <w:lang w:eastAsia="zh-CN"/>
              </w:rPr>
              <w:t>货物技术参数</w:t>
            </w:r>
            <w:r>
              <w:rPr>
                <w:rFonts w:hint="eastAsia" w:ascii="宋体" w:hAnsi="宋体" w:cs="宋体"/>
                <w:b/>
                <w:bCs/>
                <w:i w:val="0"/>
                <w:iCs w:val="0"/>
                <w:color w:val="000000"/>
                <w:sz w:val="21"/>
                <w:szCs w:val="21"/>
                <w:u w:val="none"/>
                <w:lang w:eastAsia="zh-CN"/>
              </w:rPr>
              <w:t>及设计要求</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2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乐园入口门</w:t>
            </w:r>
          </w:p>
        </w:tc>
        <w:tc>
          <w:tcPr>
            <w:tcW w:w="5910" w:type="dxa"/>
            <w:gridSpan w:val="3"/>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采用钢木结构烤漆工艺，制</w:t>
            </w:r>
            <w:r>
              <w:rPr>
                <w:rFonts w:hint="eastAsia" w:ascii="宋体" w:hAnsi="宋体" w:eastAsia="宋体" w:cs="宋体"/>
                <w:i w:val="0"/>
                <w:iCs w:val="0"/>
                <w:color w:val="000000"/>
                <w:kern w:val="0"/>
                <w:sz w:val="21"/>
                <w:szCs w:val="21"/>
                <w:highlight w:val="none"/>
                <w:u w:val="none"/>
                <w:lang w:val="en-US" w:eastAsia="zh-CN" w:bidi="ar"/>
              </w:rPr>
              <w:t>作拱形门洞效果</w:t>
            </w:r>
            <w:r>
              <w:rPr>
                <w:rFonts w:hint="eastAsia" w:ascii="宋体" w:hAnsi="宋体" w:eastAsia="宋体" w:cs="宋体"/>
                <w:i w:val="0"/>
                <w:iCs w:val="0"/>
                <w:color w:val="auto"/>
                <w:kern w:val="0"/>
                <w:sz w:val="21"/>
                <w:szCs w:val="21"/>
                <w:highlight w:val="none"/>
                <w:u w:val="none"/>
                <w:lang w:val="en-US" w:eastAsia="zh-CN" w:bidi="ar"/>
              </w:rPr>
              <w:t>，长度不小于4.5m，高度不小于2.7m，</w:t>
            </w:r>
            <w:r>
              <w:rPr>
                <w:rFonts w:hint="eastAsia" w:ascii="宋体" w:hAnsi="宋体" w:eastAsia="宋体" w:cs="宋体"/>
                <w:i w:val="0"/>
                <w:iCs w:val="0"/>
                <w:color w:val="000000"/>
                <w:kern w:val="0"/>
                <w:sz w:val="21"/>
                <w:szCs w:val="21"/>
                <w:highlight w:val="none"/>
                <w:u w:val="none"/>
                <w:lang w:val="en-US" w:eastAsia="zh-CN" w:bidi="ar"/>
              </w:rPr>
              <w:t>主题发</w:t>
            </w:r>
            <w:r>
              <w:rPr>
                <w:rFonts w:hint="eastAsia" w:ascii="宋体" w:hAnsi="宋体" w:eastAsia="宋体" w:cs="宋体"/>
                <w:i w:val="0"/>
                <w:iCs w:val="0"/>
                <w:color w:val="000000"/>
                <w:kern w:val="0"/>
                <w:sz w:val="21"/>
                <w:szCs w:val="21"/>
                <w:u w:val="none"/>
                <w:lang w:val="en-US" w:eastAsia="zh-CN" w:bidi="ar"/>
              </w:rPr>
              <w:t>光logo及</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元素装饰，要求标志醒目，色彩牢固鲜艳。</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乐园入口围栏</w:t>
            </w:r>
          </w:p>
        </w:tc>
        <w:tc>
          <w:tcPr>
            <w:tcW w:w="5910" w:type="dxa"/>
            <w:gridSpan w:val="3"/>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入口围栏改造，拆除部分原状围墙长度约4m，制作安装长度不小于4m、高度不少于1.2m的铁艺烤漆围栏。</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IP主题入口标志性构筑物</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选择：可以是标志性建筑、场景，也可以是代表性动漫人物；</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规格</w:t>
            </w:r>
            <w:r>
              <w:rPr>
                <w:rFonts w:hint="eastAsia" w:ascii="宋体" w:hAnsi="宋体" w:eastAsia="宋体" w:cs="宋体"/>
                <w:i w:val="0"/>
                <w:iCs w:val="0"/>
                <w:color w:val="000000"/>
                <w:kern w:val="0"/>
                <w:sz w:val="21"/>
                <w:szCs w:val="21"/>
                <w:highlight w:val="none"/>
                <w:u w:val="none"/>
                <w:lang w:val="en-US" w:eastAsia="zh-CN" w:bidi="ar"/>
              </w:rPr>
              <w:t>：按占地不小于4</w:t>
            </w:r>
            <w:r>
              <w:rPr>
                <w:rFonts w:hint="eastAsia" w:ascii="宋体" w:hAnsi="宋体" w:eastAsia="宋体" w:cs="宋体"/>
                <w:i w:val="0"/>
                <w:iCs w:val="0"/>
                <w:color w:val="000000"/>
                <w:kern w:val="0"/>
                <w:sz w:val="21"/>
                <w:szCs w:val="21"/>
                <w:u w:val="none"/>
                <w:lang w:val="en-US" w:eastAsia="zh-CN" w:bidi="ar"/>
              </w:rPr>
              <w:t>m²，</w:t>
            </w:r>
            <w:r>
              <w:rPr>
                <w:rFonts w:hint="eastAsia" w:ascii="宋体" w:hAnsi="宋体" w:eastAsia="宋体" w:cs="宋体"/>
                <w:i w:val="0"/>
                <w:iCs w:val="0"/>
                <w:color w:val="000000"/>
                <w:kern w:val="0"/>
                <w:sz w:val="21"/>
                <w:szCs w:val="21"/>
                <w:highlight w:val="none"/>
                <w:u w:val="none"/>
                <w:lang w:val="en-US" w:eastAsia="zh-CN" w:bidi="ar"/>
              </w:rPr>
              <w:t>高度不小于3.5</w:t>
            </w:r>
            <w:r>
              <w:rPr>
                <w:rFonts w:hint="eastAsia" w:ascii="宋体" w:hAnsi="宋体" w:eastAsia="宋体" w:cs="宋体"/>
                <w:i w:val="0"/>
                <w:iCs w:val="0"/>
                <w:color w:val="000000"/>
                <w:kern w:val="0"/>
                <w:sz w:val="21"/>
                <w:szCs w:val="21"/>
                <w:u w:val="none"/>
                <w:lang w:val="en-US" w:eastAsia="zh-CN" w:bidi="ar"/>
              </w:rPr>
              <w:t>m设计安装</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材质：钢木结构+玻璃钢；</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FF0000"/>
                <w:sz w:val="21"/>
                <w:szCs w:val="21"/>
                <w:u w:val="none"/>
                <w:lang w:val="en-US"/>
              </w:rPr>
            </w:pPr>
            <w:r>
              <w:rPr>
                <w:rFonts w:hint="eastAsia" w:ascii="宋体" w:hAnsi="宋体" w:eastAsia="宋体" w:cs="宋体"/>
                <w:i w:val="0"/>
                <w:iCs w:val="0"/>
                <w:color w:val="000000"/>
                <w:kern w:val="0"/>
                <w:sz w:val="21"/>
                <w:szCs w:val="21"/>
                <w:highlight w:val="none"/>
                <w:u w:val="none"/>
                <w:lang w:val="en-US" w:eastAsia="zh-CN" w:bidi="ar"/>
              </w:rPr>
              <w:t>烤漆工艺</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5"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highlight w:val="none"/>
                <w:u w:val="none"/>
                <w:lang w:val="en-US" w:eastAsia="zh-CN" w:bidi="ar"/>
              </w:rPr>
              <w:t>定制IP主题旋转木马</w:t>
            </w:r>
          </w:p>
        </w:tc>
        <w:tc>
          <w:tcPr>
            <w:tcW w:w="331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整体项目占地按35m²设计（包括场地平整、基础、设备、控制器、接线通电、安全设施、安全围栏、标识标牌等满足设备正常运行的全部内容），融合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设备内容：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设备规格：直径5m（±0.2m），高度3.5m（±0.2m）；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设备主要材质：钢结构+玻璃钢+LED灯；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功能：运行速度低于2m/秒，运行高度不超过2m；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电压：220V；</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载客：12人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安全围栏：外围</w:t>
            </w:r>
            <w:r>
              <w:rPr>
                <w:rFonts w:hint="eastAsia" w:ascii="宋体" w:hAnsi="宋体" w:eastAsia="宋体" w:cs="宋体"/>
                <w:color w:val="auto"/>
                <w:kern w:val="0"/>
                <w:sz w:val="21"/>
                <w:szCs w:val="21"/>
                <w:highlight w:val="none"/>
              </w:rPr>
              <w:t>围栏</w:t>
            </w:r>
            <w:r>
              <w:rPr>
                <w:rFonts w:hint="eastAsia" w:ascii="宋体" w:hAnsi="宋体" w:eastAsia="宋体" w:cs="宋体"/>
                <w:color w:val="auto"/>
                <w:kern w:val="0"/>
                <w:sz w:val="21"/>
                <w:szCs w:val="21"/>
                <w:highlight w:val="none"/>
                <w:lang w:eastAsia="zh-CN"/>
              </w:rPr>
              <w:t>采用亚克力材质，立柱结构</w:t>
            </w:r>
            <w:r>
              <w:rPr>
                <w:rFonts w:hint="eastAsia" w:ascii="宋体" w:hAnsi="宋体" w:eastAsia="宋体" w:cs="宋体"/>
                <w:color w:val="auto"/>
                <w:kern w:val="0"/>
                <w:sz w:val="21"/>
                <w:szCs w:val="21"/>
                <w:highlight w:val="none"/>
              </w:rPr>
              <w:t>采用铁</w:t>
            </w:r>
            <w:r>
              <w:rPr>
                <w:rFonts w:hint="eastAsia" w:ascii="宋体" w:hAnsi="宋体" w:eastAsia="宋体" w:cs="宋体"/>
                <w:color w:val="auto"/>
                <w:kern w:val="0"/>
                <w:sz w:val="21"/>
                <w:szCs w:val="21"/>
                <w:highlight w:val="none"/>
                <w:lang w:eastAsia="zh-CN"/>
              </w:rPr>
              <w:t>艺烤漆</w:t>
            </w:r>
            <w:r>
              <w:rPr>
                <w:rFonts w:hint="eastAsia" w:ascii="宋体" w:hAnsi="宋体" w:eastAsia="宋体" w:cs="宋体"/>
                <w:color w:val="auto"/>
                <w:kern w:val="0"/>
                <w:sz w:val="21"/>
                <w:szCs w:val="21"/>
                <w:highlight w:val="none"/>
              </w:rPr>
              <w:t>材料</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高</w:t>
            </w:r>
            <w:r>
              <w:rPr>
                <w:rFonts w:hint="eastAsia" w:ascii="宋体" w:hAnsi="宋体" w:eastAsia="宋体" w:cs="宋体"/>
                <w:color w:val="auto"/>
                <w:kern w:val="0"/>
                <w:sz w:val="21"/>
                <w:szCs w:val="21"/>
                <w:highlight w:val="none"/>
                <w:lang w:eastAsia="zh-CN"/>
              </w:rPr>
              <w:t>度不低</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米</w:t>
            </w:r>
            <w:r>
              <w:rPr>
                <w:rFonts w:hint="eastAsia" w:ascii="宋体" w:hAnsi="宋体" w:eastAsia="宋体" w:cs="宋体"/>
                <w:color w:val="auto"/>
                <w:kern w:val="0"/>
                <w:sz w:val="21"/>
                <w:szCs w:val="21"/>
                <w:highlight w:val="none"/>
                <w:lang w:eastAsia="zh-CN"/>
              </w:rPr>
              <w:t>；</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tc>
        <w:tc>
          <w:tcPr>
            <w:tcW w:w="2594"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000000"/>
                <w:kern w:val="0"/>
                <w:sz w:val="21"/>
                <w:szCs w:val="21"/>
                <w:highlight w:val="green"/>
                <w:u w:val="none"/>
                <w:lang w:val="en-US" w:eastAsia="zh-CN" w:bidi="ar"/>
              </w:rPr>
            </w:pPr>
            <w:r>
              <w:rPr>
                <w:rFonts w:hint="eastAsia" w:ascii="宋体" w:hAnsi="宋体" w:cs="宋体"/>
                <w:i w:val="0"/>
                <w:iCs w:val="0"/>
                <w:color w:val="000000"/>
                <w:kern w:val="0"/>
                <w:sz w:val="21"/>
                <w:szCs w:val="21"/>
                <w:highlight w:val="green"/>
                <w:u w:val="none"/>
                <w:lang w:val="en-US" w:eastAsia="zh-CN" w:bidi="ar"/>
              </w:rPr>
              <w:t>旋转木马设备内容：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设备</w:t>
            </w:r>
            <w:r>
              <w:rPr>
                <w:rFonts w:hint="eastAsia" w:ascii="宋体" w:hAnsi="宋体" w:eastAsia="宋体" w:cs="宋体"/>
                <w:i w:val="0"/>
                <w:iCs w:val="0"/>
                <w:color w:val="000000"/>
                <w:kern w:val="0"/>
                <w:sz w:val="21"/>
                <w:szCs w:val="21"/>
                <w:u w:val="none"/>
                <w:lang w:val="en-US" w:eastAsia="zh-CN" w:bidi="ar"/>
              </w:rPr>
              <w:t>规格：直径5m（±0.2m），高度3.5m（±0.2m）；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设备主要材质：钢结构+玻璃钢+LED灯；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功能：运行速度低于2m/秒，运行高度不超过2m；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电压：220V；</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载客：12人</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u w:val="none"/>
                <w:lang w:val="en-US" w:eastAsia="zh-CN" w:bidi="ar"/>
              </w:rPr>
              <w:t>（含控制设备）</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316" w:type="dxa"/>
            <w:vMerge w:val="continue"/>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p>
        </w:tc>
        <w:tc>
          <w:tcPr>
            <w:tcW w:w="2594" w:type="dxa"/>
            <w:gridSpan w:val="2"/>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场地搭建内容：根据设计要求，除设备以外的全部内容（</w:t>
            </w:r>
            <w:r>
              <w:rPr>
                <w:rFonts w:hint="eastAsia" w:ascii="宋体" w:hAnsi="宋体" w:eastAsia="宋体" w:cs="宋体"/>
                <w:b w:val="0"/>
                <w:bCs/>
                <w:i w:val="0"/>
                <w:iCs w:val="0"/>
                <w:color w:val="000000"/>
                <w:kern w:val="0"/>
                <w:sz w:val="21"/>
                <w:szCs w:val="21"/>
                <w:u w:val="none"/>
                <w:lang w:val="en-US" w:eastAsia="zh-CN" w:bidi="ar"/>
              </w:rPr>
              <w:t>包括安全设施、安全围栏、标识标牌等满足设备正常运行的全部内容）</w:t>
            </w:r>
          </w:p>
          <w:p>
            <w:pPr>
              <w:keepNext w:val="0"/>
              <w:keepLines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宋体" w:hAnsi="宋体" w:eastAsia="宋体" w:cs="宋体"/>
                <w:b w:val="0"/>
                <w:bCs/>
                <w:i w:val="0"/>
                <w:iCs w:val="0"/>
                <w:color w:val="000000"/>
                <w:kern w:val="0"/>
                <w:sz w:val="21"/>
                <w:szCs w:val="21"/>
                <w:u w:val="none"/>
                <w:lang w:val="en-US" w:eastAsia="zh-CN" w:bidi="ar"/>
              </w:rPr>
              <w:t>（备注：场地平整</w:t>
            </w:r>
            <w:r>
              <w:rPr>
                <w:rFonts w:hint="eastAsia" w:ascii="宋体" w:hAnsi="宋体" w:cs="宋体"/>
                <w:b w:val="0"/>
                <w:bCs/>
                <w:i w:val="0"/>
                <w:iCs w:val="0"/>
                <w:color w:val="000000"/>
                <w:kern w:val="0"/>
                <w:sz w:val="21"/>
                <w:szCs w:val="21"/>
                <w:u w:val="none"/>
                <w:lang w:val="en-US" w:eastAsia="zh-CN" w:bidi="ar"/>
              </w:rPr>
              <w:t>和</w:t>
            </w:r>
            <w:r>
              <w:rPr>
                <w:rFonts w:hint="eastAsia" w:ascii="宋体" w:hAnsi="宋体" w:eastAsia="宋体" w:cs="宋体"/>
                <w:b w:val="0"/>
                <w:bCs/>
                <w:i w:val="0"/>
                <w:iCs w:val="0"/>
                <w:color w:val="000000"/>
                <w:kern w:val="0"/>
                <w:sz w:val="21"/>
                <w:szCs w:val="21"/>
                <w:u w:val="none"/>
                <w:lang w:val="en-US" w:eastAsia="zh-CN" w:bidi="ar"/>
              </w:rPr>
              <w:t>基础改造</w:t>
            </w:r>
            <w:r>
              <w:rPr>
                <w:rFonts w:hint="eastAsia" w:ascii="宋体" w:hAnsi="宋体" w:cs="宋体"/>
                <w:b w:val="0"/>
                <w:bCs/>
                <w:i w:val="0"/>
                <w:iCs w:val="0"/>
                <w:color w:val="000000"/>
                <w:kern w:val="0"/>
                <w:sz w:val="21"/>
                <w:szCs w:val="21"/>
                <w:u w:val="none"/>
                <w:lang w:val="en-US" w:eastAsia="zh-CN" w:bidi="ar"/>
              </w:rPr>
              <w:t>费用、电力接入费用、给水接入费用已在</w:t>
            </w:r>
            <w:r>
              <w:rPr>
                <w:rFonts w:hint="eastAsia" w:ascii="宋体" w:hAnsi="宋体" w:eastAsia="宋体" w:cs="宋体"/>
                <w:b w:val="0"/>
                <w:bCs/>
                <w:i w:val="0"/>
                <w:iCs w:val="0"/>
                <w:color w:val="000000"/>
                <w:kern w:val="0"/>
                <w:sz w:val="21"/>
                <w:szCs w:val="21"/>
                <w:u w:val="none"/>
                <w:lang w:val="en-US" w:eastAsia="zh-CN" w:bidi="ar"/>
              </w:rPr>
              <w:t>采购清单中单独列项</w:t>
            </w:r>
            <w:r>
              <w:rPr>
                <w:rFonts w:hint="eastAsia" w:ascii="宋体" w:hAnsi="宋体" w:cs="宋体"/>
                <w:b w:val="0"/>
                <w:bCs/>
                <w:i w:val="0"/>
                <w:iCs w:val="0"/>
                <w:color w:val="000000"/>
                <w:kern w:val="0"/>
                <w:sz w:val="21"/>
                <w:szCs w:val="21"/>
                <w:u w:val="none"/>
                <w:lang w:val="en-US" w:eastAsia="zh-CN" w:bidi="ar"/>
              </w:rPr>
              <w:t>，本项报价时不计入这三种费用；</w:t>
            </w:r>
            <w:r>
              <w:rPr>
                <w:rFonts w:hint="eastAsia" w:ascii="宋体" w:hAnsi="宋体" w:eastAsia="宋体" w:cs="宋体"/>
                <w:b w:val="0"/>
                <w:bCs/>
                <w:i w:val="0"/>
                <w:iCs w:val="0"/>
                <w:color w:val="000000"/>
                <w:kern w:val="0"/>
                <w:sz w:val="21"/>
                <w:szCs w:val="21"/>
                <w:u w:val="none"/>
                <w:lang w:val="en-US" w:eastAsia="zh-CN" w:bidi="ar"/>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none"/>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大型扭蛋装置</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整体项目占地按15m²设计安装，融合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设备规格：长度6.5m（±0.2m），高度3.5m（±0.2m）；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材质：玻璃钢+钢结构；</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功率：≦1000W；</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包括场地平整处理、接线通电等配套处理。</w:t>
            </w:r>
          </w:p>
          <w:p>
            <w:pPr>
              <w:rPr>
                <w:rFonts w:hint="eastAsia" w:ascii="宋体" w:hAnsi="宋体" w:cs="宋体"/>
                <w:b w:val="0"/>
                <w:i w:val="0"/>
                <w:iCs w:val="0"/>
                <w:color w:val="000000"/>
                <w:kern w:val="0"/>
                <w:sz w:val="21"/>
                <w:szCs w:val="21"/>
                <w:highlight w:val="yellow"/>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5"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定制IP主题升降旋转飞机</w:t>
            </w:r>
          </w:p>
        </w:tc>
        <w:tc>
          <w:tcPr>
            <w:tcW w:w="331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整体项目占地按36m²设计（包括</w:t>
            </w:r>
            <w:r>
              <w:rPr>
                <w:rFonts w:hint="eastAsia" w:ascii="宋体" w:hAnsi="宋体" w:eastAsia="宋体" w:cs="宋体"/>
                <w:i w:val="0"/>
                <w:iCs w:val="0"/>
                <w:color w:val="000000"/>
                <w:kern w:val="0"/>
                <w:sz w:val="21"/>
                <w:szCs w:val="21"/>
                <w:u w:val="none"/>
                <w:lang w:val="en-US" w:eastAsia="zh-CN" w:bidi="ar"/>
              </w:rPr>
              <w:t>场地平整、基础、</w:t>
            </w:r>
            <w:r>
              <w:rPr>
                <w:rFonts w:hint="eastAsia" w:ascii="宋体" w:hAnsi="宋体" w:eastAsia="宋体" w:cs="宋体"/>
                <w:i w:val="0"/>
                <w:iCs w:val="0"/>
                <w:color w:val="000000"/>
                <w:kern w:val="0"/>
                <w:sz w:val="21"/>
                <w:szCs w:val="21"/>
                <w:highlight w:val="none"/>
                <w:u w:val="none"/>
                <w:lang w:val="en-US" w:eastAsia="zh-CN" w:bidi="ar"/>
              </w:rPr>
              <w:t>设备、控制器、</w:t>
            </w:r>
            <w:r>
              <w:rPr>
                <w:rFonts w:hint="eastAsia" w:ascii="宋体" w:hAnsi="宋体" w:eastAsia="宋体" w:cs="宋体"/>
                <w:i w:val="0"/>
                <w:iCs w:val="0"/>
                <w:color w:val="000000"/>
                <w:kern w:val="0"/>
                <w:sz w:val="21"/>
                <w:szCs w:val="21"/>
                <w:u w:val="none"/>
                <w:lang w:val="en-US" w:eastAsia="zh-CN" w:bidi="ar"/>
              </w:rPr>
              <w:t>接线通电、</w:t>
            </w:r>
            <w:r>
              <w:rPr>
                <w:rFonts w:hint="eastAsia" w:ascii="宋体" w:hAnsi="宋体" w:eastAsia="宋体" w:cs="宋体"/>
                <w:i w:val="0"/>
                <w:iCs w:val="0"/>
                <w:color w:val="000000"/>
                <w:kern w:val="0"/>
                <w:sz w:val="21"/>
                <w:szCs w:val="21"/>
                <w:highlight w:val="none"/>
                <w:u w:val="none"/>
                <w:lang w:val="en-US" w:eastAsia="zh-CN" w:bidi="ar"/>
              </w:rPr>
              <w:t>安全设施、安全围栏、标识标牌等</w:t>
            </w:r>
            <w:r>
              <w:rPr>
                <w:rFonts w:hint="eastAsia" w:ascii="宋体" w:hAnsi="宋体" w:eastAsia="宋体" w:cs="宋体"/>
                <w:i w:val="0"/>
                <w:iCs w:val="0"/>
                <w:color w:val="000000"/>
                <w:kern w:val="0"/>
                <w:sz w:val="21"/>
                <w:szCs w:val="21"/>
                <w:u w:val="none"/>
                <w:lang w:val="en-US" w:eastAsia="zh-CN" w:bidi="ar"/>
              </w:rPr>
              <w:t>完成等满足设备正常运行的全部内容</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设备规格：直径5.5m（±0.2m），高度2.6m（±0.2m）；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材质：钢结构+玻璃钢+LED灯；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功能：运行速度低于2m/秒，运行高度不超过2m；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载客：8-10人；每架飞机按两人位设计。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安全围栏：外围</w:t>
            </w:r>
            <w:r>
              <w:rPr>
                <w:rFonts w:hint="eastAsia" w:ascii="宋体" w:hAnsi="宋体" w:eastAsia="宋体" w:cs="宋体"/>
                <w:color w:val="auto"/>
                <w:kern w:val="0"/>
                <w:sz w:val="21"/>
                <w:szCs w:val="21"/>
                <w:highlight w:val="none"/>
              </w:rPr>
              <w:t>围栏</w:t>
            </w:r>
            <w:r>
              <w:rPr>
                <w:rFonts w:hint="eastAsia" w:ascii="宋体" w:hAnsi="宋体" w:eastAsia="宋体" w:cs="宋体"/>
                <w:color w:val="auto"/>
                <w:kern w:val="0"/>
                <w:sz w:val="21"/>
                <w:szCs w:val="21"/>
                <w:highlight w:val="none"/>
                <w:lang w:eastAsia="zh-CN"/>
              </w:rPr>
              <w:t>采用亚克力材质，立柱结构</w:t>
            </w:r>
            <w:r>
              <w:rPr>
                <w:rFonts w:hint="eastAsia" w:ascii="宋体" w:hAnsi="宋体" w:eastAsia="宋体" w:cs="宋体"/>
                <w:color w:val="auto"/>
                <w:kern w:val="0"/>
                <w:sz w:val="21"/>
                <w:szCs w:val="21"/>
                <w:highlight w:val="none"/>
              </w:rPr>
              <w:t>采用铁</w:t>
            </w:r>
            <w:r>
              <w:rPr>
                <w:rFonts w:hint="eastAsia" w:ascii="宋体" w:hAnsi="宋体" w:eastAsia="宋体" w:cs="宋体"/>
                <w:color w:val="auto"/>
                <w:kern w:val="0"/>
                <w:sz w:val="21"/>
                <w:szCs w:val="21"/>
                <w:highlight w:val="none"/>
                <w:lang w:eastAsia="zh-CN"/>
              </w:rPr>
              <w:t>艺烤漆</w:t>
            </w:r>
            <w:r>
              <w:rPr>
                <w:rFonts w:hint="eastAsia" w:ascii="宋体" w:hAnsi="宋体" w:eastAsia="宋体" w:cs="宋体"/>
                <w:color w:val="auto"/>
                <w:kern w:val="0"/>
                <w:sz w:val="21"/>
                <w:szCs w:val="21"/>
                <w:highlight w:val="none"/>
              </w:rPr>
              <w:t>材料</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高</w:t>
            </w:r>
            <w:r>
              <w:rPr>
                <w:rFonts w:hint="eastAsia" w:ascii="宋体" w:hAnsi="宋体" w:eastAsia="宋体" w:cs="宋体"/>
                <w:color w:val="auto"/>
                <w:kern w:val="0"/>
                <w:sz w:val="21"/>
                <w:szCs w:val="21"/>
                <w:highlight w:val="none"/>
                <w:lang w:eastAsia="zh-CN"/>
              </w:rPr>
              <w:t>度不低</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米</w:t>
            </w:r>
            <w:r>
              <w:rPr>
                <w:rFonts w:hint="eastAsia" w:ascii="宋体" w:hAnsi="宋体" w:eastAsia="宋体" w:cs="宋体"/>
                <w:color w:val="auto"/>
                <w:kern w:val="0"/>
                <w:sz w:val="21"/>
                <w:szCs w:val="21"/>
                <w:highlight w:val="none"/>
                <w:lang w:eastAsia="zh-CN"/>
              </w:rPr>
              <w:t>；</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tc>
        <w:tc>
          <w:tcPr>
            <w:tcW w:w="2594"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升降旋转飞机</w:t>
            </w:r>
            <w:r>
              <w:rPr>
                <w:rFonts w:hint="eastAsia" w:ascii="宋体" w:hAnsi="宋体" w:cs="宋体"/>
                <w:i w:val="0"/>
                <w:iCs w:val="0"/>
                <w:color w:val="000000"/>
                <w:kern w:val="0"/>
                <w:sz w:val="21"/>
                <w:szCs w:val="21"/>
                <w:highlight w:val="green"/>
                <w:u w:val="none"/>
                <w:lang w:val="en-US" w:eastAsia="zh-CN" w:bidi="ar"/>
              </w:rPr>
              <w:t>设备内容：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设备规格：直径5.5m（±0.2m），高度2.6m（±0.2m）；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材质：钢结构+玻璃钢+LED灯；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功能：运行速度低于2m/秒，运行高度不超过2m；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载客：8-10人；每架飞机按两人位设计。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val="0"/>
                <w:i w:val="0"/>
                <w:iCs w:val="0"/>
                <w:color w:val="000000"/>
                <w:kern w:val="0"/>
                <w:sz w:val="21"/>
                <w:szCs w:val="21"/>
                <w:u w:val="none"/>
                <w:lang w:val="en-US" w:eastAsia="zh-CN" w:bidi="ar"/>
              </w:rPr>
              <w:t>（含控制设备）</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316" w:type="dxa"/>
            <w:vMerge w:val="continue"/>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p>
        </w:tc>
        <w:tc>
          <w:tcPr>
            <w:tcW w:w="2594" w:type="dxa"/>
            <w:gridSpan w:val="2"/>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场地搭建内容：根据设计要求，除设备以外的全部内容（</w:t>
            </w:r>
            <w:r>
              <w:rPr>
                <w:rFonts w:hint="eastAsia" w:ascii="宋体" w:hAnsi="宋体" w:eastAsia="宋体" w:cs="宋体"/>
                <w:b w:val="0"/>
                <w:bCs/>
                <w:i w:val="0"/>
                <w:iCs w:val="0"/>
                <w:color w:val="000000"/>
                <w:kern w:val="0"/>
                <w:sz w:val="21"/>
                <w:szCs w:val="21"/>
                <w:u w:val="none"/>
                <w:lang w:val="en-US" w:eastAsia="zh-CN" w:bidi="ar"/>
              </w:rPr>
              <w:t>包括安全设施、安全围栏、标识标牌等满足设备正常运行的全部内容）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宋体" w:hAnsi="宋体" w:eastAsia="宋体" w:cs="宋体"/>
                <w:b w:val="0"/>
                <w:bCs/>
                <w:i w:val="0"/>
                <w:iCs w:val="0"/>
                <w:color w:val="000000"/>
                <w:kern w:val="0"/>
                <w:sz w:val="21"/>
                <w:szCs w:val="21"/>
                <w:u w:val="none"/>
                <w:lang w:val="en-US" w:eastAsia="zh-CN" w:bidi="ar"/>
              </w:rPr>
              <w:t>（备注：场地平整</w:t>
            </w:r>
            <w:r>
              <w:rPr>
                <w:rFonts w:hint="eastAsia" w:ascii="宋体" w:hAnsi="宋体" w:cs="宋体"/>
                <w:b w:val="0"/>
                <w:bCs/>
                <w:i w:val="0"/>
                <w:iCs w:val="0"/>
                <w:color w:val="000000"/>
                <w:kern w:val="0"/>
                <w:sz w:val="21"/>
                <w:szCs w:val="21"/>
                <w:u w:val="none"/>
                <w:lang w:val="en-US" w:eastAsia="zh-CN" w:bidi="ar"/>
              </w:rPr>
              <w:t>和</w:t>
            </w:r>
            <w:r>
              <w:rPr>
                <w:rFonts w:hint="eastAsia" w:ascii="宋体" w:hAnsi="宋体" w:eastAsia="宋体" w:cs="宋体"/>
                <w:b w:val="0"/>
                <w:bCs/>
                <w:i w:val="0"/>
                <w:iCs w:val="0"/>
                <w:color w:val="000000"/>
                <w:kern w:val="0"/>
                <w:sz w:val="21"/>
                <w:szCs w:val="21"/>
                <w:u w:val="none"/>
                <w:lang w:val="en-US" w:eastAsia="zh-CN" w:bidi="ar"/>
              </w:rPr>
              <w:t>基础改造</w:t>
            </w:r>
            <w:r>
              <w:rPr>
                <w:rFonts w:hint="eastAsia" w:ascii="宋体" w:hAnsi="宋体" w:cs="宋体"/>
                <w:b w:val="0"/>
                <w:bCs/>
                <w:i w:val="0"/>
                <w:iCs w:val="0"/>
                <w:color w:val="000000"/>
                <w:kern w:val="0"/>
                <w:sz w:val="21"/>
                <w:szCs w:val="21"/>
                <w:u w:val="none"/>
                <w:lang w:val="en-US" w:eastAsia="zh-CN" w:bidi="ar"/>
              </w:rPr>
              <w:t>费用、电力接入费用、给水接入费用已在</w:t>
            </w:r>
            <w:r>
              <w:rPr>
                <w:rFonts w:hint="eastAsia" w:ascii="宋体" w:hAnsi="宋体" w:eastAsia="宋体" w:cs="宋体"/>
                <w:b w:val="0"/>
                <w:bCs/>
                <w:i w:val="0"/>
                <w:iCs w:val="0"/>
                <w:color w:val="000000"/>
                <w:kern w:val="0"/>
                <w:sz w:val="21"/>
                <w:szCs w:val="21"/>
                <w:u w:val="none"/>
                <w:lang w:val="en-US" w:eastAsia="zh-CN" w:bidi="ar"/>
              </w:rPr>
              <w:t>采购清单中单独列项</w:t>
            </w:r>
            <w:r>
              <w:rPr>
                <w:rFonts w:hint="eastAsia" w:ascii="宋体" w:hAnsi="宋体" w:cs="宋体"/>
                <w:b w:val="0"/>
                <w:bCs/>
                <w:i w:val="0"/>
                <w:iCs w:val="0"/>
                <w:color w:val="000000"/>
                <w:kern w:val="0"/>
                <w:sz w:val="21"/>
                <w:szCs w:val="21"/>
                <w:u w:val="none"/>
                <w:lang w:val="en-US" w:eastAsia="zh-CN" w:bidi="ar"/>
              </w:rPr>
              <w:t>，本项报价时不计入这三种费用；</w:t>
            </w:r>
            <w:r>
              <w:rPr>
                <w:rFonts w:hint="eastAsia" w:ascii="宋体" w:hAnsi="宋体" w:eastAsia="宋体" w:cs="宋体"/>
                <w:b w:val="0"/>
                <w:bCs/>
                <w:i w:val="0"/>
                <w:iCs w:val="0"/>
                <w:color w:val="000000"/>
                <w:kern w:val="0"/>
                <w:sz w:val="21"/>
                <w:szCs w:val="21"/>
                <w:u w:val="none"/>
                <w:lang w:val="en-US" w:eastAsia="zh-CN" w:bidi="ar"/>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定制IP主题爬山车</w:t>
            </w:r>
          </w:p>
        </w:tc>
        <w:tc>
          <w:tcPr>
            <w:tcW w:w="331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整体项目占地按150m²设计（包括</w:t>
            </w:r>
            <w:r>
              <w:rPr>
                <w:rFonts w:hint="eastAsia" w:ascii="宋体" w:hAnsi="宋体" w:eastAsia="宋体" w:cs="宋体"/>
                <w:i w:val="0"/>
                <w:iCs w:val="0"/>
                <w:color w:val="000000"/>
                <w:kern w:val="0"/>
                <w:sz w:val="21"/>
                <w:szCs w:val="21"/>
                <w:u w:val="none"/>
                <w:lang w:val="en-US" w:eastAsia="zh-CN" w:bidi="ar"/>
              </w:rPr>
              <w:t>场地平整、基础</w:t>
            </w:r>
            <w:r>
              <w:rPr>
                <w:rFonts w:hint="eastAsia" w:ascii="宋体" w:hAnsi="宋体" w:eastAsia="宋体" w:cs="宋体"/>
                <w:i w:val="0"/>
                <w:iCs w:val="0"/>
                <w:color w:val="000000"/>
                <w:kern w:val="0"/>
                <w:sz w:val="21"/>
                <w:szCs w:val="21"/>
                <w:highlight w:val="none"/>
                <w:u w:val="none"/>
                <w:lang w:val="en-US" w:eastAsia="zh-CN" w:bidi="ar"/>
              </w:rPr>
              <w:t>、铺设仿真草皮、设备（包括轨道、爬山车组、控制器、安全设施等）、</w:t>
            </w:r>
            <w:r>
              <w:rPr>
                <w:rFonts w:hint="eastAsia" w:ascii="宋体" w:hAnsi="宋体" w:eastAsia="宋体" w:cs="宋体"/>
                <w:i w:val="0"/>
                <w:iCs w:val="0"/>
                <w:color w:val="000000"/>
                <w:kern w:val="0"/>
                <w:sz w:val="21"/>
                <w:szCs w:val="21"/>
                <w:u w:val="none"/>
                <w:lang w:val="en-US" w:eastAsia="zh-CN" w:bidi="ar"/>
              </w:rPr>
              <w:t>接线通电、</w:t>
            </w:r>
            <w:r>
              <w:rPr>
                <w:rFonts w:hint="eastAsia" w:ascii="宋体" w:hAnsi="宋体" w:eastAsia="宋体" w:cs="宋体"/>
                <w:i w:val="0"/>
                <w:iCs w:val="0"/>
                <w:color w:val="000000"/>
                <w:kern w:val="0"/>
                <w:sz w:val="21"/>
                <w:szCs w:val="21"/>
                <w:highlight w:val="none"/>
                <w:u w:val="none"/>
                <w:lang w:val="en-US" w:eastAsia="zh-CN" w:bidi="ar"/>
              </w:rPr>
              <w:t>造型美陈、安全围栏、标识标牌等</w:t>
            </w:r>
            <w:r>
              <w:rPr>
                <w:rFonts w:hint="eastAsia" w:ascii="宋体" w:hAnsi="宋体" w:eastAsia="宋体" w:cs="宋体"/>
                <w:i w:val="0"/>
                <w:iCs w:val="0"/>
                <w:color w:val="000000"/>
                <w:kern w:val="0"/>
                <w:sz w:val="21"/>
                <w:szCs w:val="21"/>
                <w:u w:val="none"/>
                <w:lang w:val="en-US" w:eastAsia="zh-CN" w:bidi="ar"/>
              </w:rPr>
              <w:t>完成等满足设备正常运行的全部内容</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轨道材质：钢材；</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车材质：玻璃钢+钢结构；</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爬山车：10辆，每辆车载客2人；</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造型美陈：玻璃钢造型雕塑，高度不小于2.5m；</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安全围栏：外围</w:t>
            </w:r>
            <w:r>
              <w:rPr>
                <w:rFonts w:hint="eastAsia" w:ascii="宋体" w:hAnsi="宋体" w:eastAsia="宋体" w:cs="宋体"/>
                <w:color w:val="auto"/>
                <w:kern w:val="0"/>
                <w:sz w:val="21"/>
                <w:szCs w:val="21"/>
                <w:highlight w:val="none"/>
              </w:rPr>
              <w:t>围栏</w:t>
            </w:r>
            <w:r>
              <w:rPr>
                <w:rFonts w:hint="eastAsia" w:ascii="宋体" w:hAnsi="宋体" w:eastAsia="宋体" w:cs="宋体"/>
                <w:color w:val="auto"/>
                <w:kern w:val="0"/>
                <w:sz w:val="21"/>
                <w:szCs w:val="21"/>
                <w:highlight w:val="none"/>
                <w:lang w:eastAsia="zh-CN"/>
              </w:rPr>
              <w:t>采用亚克力材质，立柱结构</w:t>
            </w:r>
            <w:r>
              <w:rPr>
                <w:rFonts w:hint="eastAsia" w:ascii="宋体" w:hAnsi="宋体" w:eastAsia="宋体" w:cs="宋体"/>
                <w:color w:val="auto"/>
                <w:kern w:val="0"/>
                <w:sz w:val="21"/>
                <w:szCs w:val="21"/>
                <w:highlight w:val="none"/>
              </w:rPr>
              <w:t>采用铁</w:t>
            </w:r>
            <w:r>
              <w:rPr>
                <w:rFonts w:hint="eastAsia" w:ascii="宋体" w:hAnsi="宋体" w:eastAsia="宋体" w:cs="宋体"/>
                <w:color w:val="auto"/>
                <w:kern w:val="0"/>
                <w:sz w:val="21"/>
                <w:szCs w:val="21"/>
                <w:highlight w:val="none"/>
                <w:lang w:eastAsia="zh-CN"/>
              </w:rPr>
              <w:t>艺烤漆</w:t>
            </w:r>
            <w:r>
              <w:rPr>
                <w:rFonts w:hint="eastAsia" w:ascii="宋体" w:hAnsi="宋体" w:eastAsia="宋体" w:cs="宋体"/>
                <w:color w:val="auto"/>
                <w:kern w:val="0"/>
                <w:sz w:val="21"/>
                <w:szCs w:val="21"/>
                <w:highlight w:val="none"/>
              </w:rPr>
              <w:t>材料</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高</w:t>
            </w:r>
            <w:r>
              <w:rPr>
                <w:rFonts w:hint="eastAsia" w:ascii="宋体" w:hAnsi="宋体" w:eastAsia="宋体" w:cs="宋体"/>
                <w:color w:val="auto"/>
                <w:kern w:val="0"/>
                <w:sz w:val="21"/>
                <w:szCs w:val="21"/>
                <w:highlight w:val="none"/>
                <w:lang w:eastAsia="zh-CN"/>
              </w:rPr>
              <w:t>度不低</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米</w:t>
            </w:r>
            <w:r>
              <w:rPr>
                <w:rFonts w:hint="eastAsia" w:ascii="宋体" w:hAnsi="宋体" w:eastAsia="宋体" w:cs="宋体"/>
                <w:color w:val="auto"/>
                <w:kern w:val="0"/>
                <w:sz w:val="21"/>
                <w:szCs w:val="21"/>
                <w:highlight w:val="none"/>
                <w:lang w:eastAsia="zh-CN"/>
              </w:rPr>
              <w:t>；</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tc>
        <w:tc>
          <w:tcPr>
            <w:tcW w:w="2594"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爬山车</w:t>
            </w:r>
            <w:r>
              <w:rPr>
                <w:rFonts w:hint="eastAsia" w:ascii="宋体" w:hAnsi="宋体" w:cs="宋体"/>
                <w:i w:val="0"/>
                <w:iCs w:val="0"/>
                <w:color w:val="000000"/>
                <w:kern w:val="0"/>
                <w:sz w:val="21"/>
                <w:szCs w:val="21"/>
                <w:highlight w:val="green"/>
                <w:u w:val="none"/>
                <w:lang w:val="en-US" w:eastAsia="zh-CN" w:bidi="ar"/>
              </w:rPr>
              <w:t>设备内容：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轨道材质：钢材；</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车材质：玻璃钢+钢结构；</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爬山车：10辆，每辆车载客2人；</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u w:val="none"/>
                <w:lang w:val="en-US" w:eastAsia="zh-CN" w:bidi="ar"/>
              </w:rPr>
              <w:t>（含控制设备及安全设施）</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316" w:type="dxa"/>
            <w:vMerge w:val="continue"/>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p>
        </w:tc>
        <w:tc>
          <w:tcPr>
            <w:tcW w:w="2594" w:type="dxa"/>
            <w:gridSpan w:val="2"/>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场地搭建内容：根据设计要求，除设备以外的全部内容</w:t>
            </w:r>
            <w:r>
              <w:rPr>
                <w:rFonts w:hint="eastAsia" w:ascii="宋体" w:hAnsi="宋体" w:eastAsia="宋体" w:cs="宋体"/>
                <w:b w:val="0"/>
                <w:bCs w:val="0"/>
                <w:i w:val="0"/>
                <w:iCs w:val="0"/>
                <w:color w:val="000000"/>
                <w:kern w:val="0"/>
                <w:sz w:val="21"/>
                <w:szCs w:val="21"/>
                <w:highlight w:val="none"/>
                <w:u w:val="none"/>
                <w:lang w:val="en-US" w:eastAsia="zh-CN" w:bidi="ar"/>
              </w:rPr>
              <w:t>（包括铺设仿真草皮、造型美陈、安全围栏、标识标牌等</w:t>
            </w:r>
            <w:r>
              <w:rPr>
                <w:rFonts w:hint="eastAsia" w:ascii="宋体" w:hAnsi="宋体" w:eastAsia="宋体" w:cs="宋体"/>
                <w:b w:val="0"/>
                <w:bCs w:val="0"/>
                <w:i w:val="0"/>
                <w:iCs w:val="0"/>
                <w:color w:val="000000"/>
                <w:kern w:val="0"/>
                <w:sz w:val="21"/>
                <w:szCs w:val="21"/>
                <w:u w:val="none"/>
                <w:lang w:val="en-US" w:eastAsia="zh-CN" w:bidi="ar"/>
              </w:rPr>
              <w:t>完成等满足设备正常运行的全部内容</w:t>
            </w:r>
            <w:r>
              <w:rPr>
                <w:rFonts w:hint="eastAsia" w:ascii="宋体" w:hAnsi="宋体" w:eastAsia="宋体" w:cs="宋体"/>
                <w:b w:val="0"/>
                <w:bCs w:val="0"/>
                <w:i w:val="0"/>
                <w:iCs w:val="0"/>
                <w:color w:val="000000"/>
                <w:kern w:val="0"/>
                <w:sz w:val="21"/>
                <w:szCs w:val="21"/>
                <w:highlight w:val="none"/>
                <w:u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宋体" w:hAnsi="宋体" w:eastAsia="宋体" w:cs="宋体"/>
                <w:b w:val="0"/>
                <w:bCs/>
                <w:i w:val="0"/>
                <w:iCs w:val="0"/>
                <w:color w:val="000000"/>
                <w:kern w:val="0"/>
                <w:sz w:val="21"/>
                <w:szCs w:val="21"/>
                <w:u w:val="none"/>
                <w:lang w:val="en-US" w:eastAsia="zh-CN" w:bidi="ar"/>
              </w:rPr>
              <w:t>（备注：场地平整</w:t>
            </w:r>
            <w:r>
              <w:rPr>
                <w:rFonts w:hint="eastAsia" w:ascii="宋体" w:hAnsi="宋体" w:cs="宋体"/>
                <w:b w:val="0"/>
                <w:bCs/>
                <w:i w:val="0"/>
                <w:iCs w:val="0"/>
                <w:color w:val="000000"/>
                <w:kern w:val="0"/>
                <w:sz w:val="21"/>
                <w:szCs w:val="21"/>
                <w:u w:val="none"/>
                <w:lang w:val="en-US" w:eastAsia="zh-CN" w:bidi="ar"/>
              </w:rPr>
              <w:t>和</w:t>
            </w:r>
            <w:r>
              <w:rPr>
                <w:rFonts w:hint="eastAsia" w:ascii="宋体" w:hAnsi="宋体" w:eastAsia="宋体" w:cs="宋体"/>
                <w:b w:val="0"/>
                <w:bCs/>
                <w:i w:val="0"/>
                <w:iCs w:val="0"/>
                <w:color w:val="000000"/>
                <w:kern w:val="0"/>
                <w:sz w:val="21"/>
                <w:szCs w:val="21"/>
                <w:u w:val="none"/>
                <w:lang w:val="en-US" w:eastAsia="zh-CN" w:bidi="ar"/>
              </w:rPr>
              <w:t>基础改造</w:t>
            </w:r>
            <w:r>
              <w:rPr>
                <w:rFonts w:hint="eastAsia" w:ascii="宋体" w:hAnsi="宋体" w:cs="宋体"/>
                <w:b w:val="0"/>
                <w:bCs/>
                <w:i w:val="0"/>
                <w:iCs w:val="0"/>
                <w:color w:val="000000"/>
                <w:kern w:val="0"/>
                <w:sz w:val="21"/>
                <w:szCs w:val="21"/>
                <w:u w:val="none"/>
                <w:lang w:val="en-US" w:eastAsia="zh-CN" w:bidi="ar"/>
              </w:rPr>
              <w:t>费用、电力接入费用、给水接入费用已在</w:t>
            </w:r>
            <w:r>
              <w:rPr>
                <w:rFonts w:hint="eastAsia" w:ascii="宋体" w:hAnsi="宋体" w:eastAsia="宋体" w:cs="宋体"/>
                <w:b w:val="0"/>
                <w:bCs/>
                <w:i w:val="0"/>
                <w:iCs w:val="0"/>
                <w:color w:val="000000"/>
                <w:kern w:val="0"/>
                <w:sz w:val="21"/>
                <w:szCs w:val="21"/>
                <w:u w:val="none"/>
                <w:lang w:val="en-US" w:eastAsia="zh-CN" w:bidi="ar"/>
              </w:rPr>
              <w:t>采购清单中单独列项</w:t>
            </w:r>
            <w:r>
              <w:rPr>
                <w:rFonts w:hint="eastAsia" w:ascii="宋体" w:hAnsi="宋体" w:cs="宋体"/>
                <w:b w:val="0"/>
                <w:bCs/>
                <w:i w:val="0"/>
                <w:iCs w:val="0"/>
                <w:color w:val="000000"/>
                <w:kern w:val="0"/>
                <w:sz w:val="21"/>
                <w:szCs w:val="21"/>
                <w:u w:val="none"/>
                <w:lang w:val="en-US" w:eastAsia="zh-CN" w:bidi="ar"/>
              </w:rPr>
              <w:t>，本项报价时不计入这三种费用；</w:t>
            </w:r>
            <w:r>
              <w:rPr>
                <w:rFonts w:hint="eastAsia" w:ascii="宋体" w:hAnsi="宋体" w:eastAsia="宋体" w:cs="宋体"/>
                <w:b w:val="0"/>
                <w:bCs/>
                <w:i w:val="0"/>
                <w:iCs w:val="0"/>
                <w:color w:val="000000"/>
                <w:kern w:val="0"/>
                <w:sz w:val="21"/>
                <w:szCs w:val="21"/>
                <w:u w:val="none"/>
                <w:lang w:val="en-US" w:eastAsia="zh-CN" w:bidi="ar"/>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1"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卡丁车</w:t>
            </w:r>
          </w:p>
        </w:tc>
        <w:tc>
          <w:tcPr>
            <w:tcW w:w="331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整体项目占地按300m²设计（包括场地基础处理、地面标识、设备（包括赛道、卡丁车组</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、领奖台、道旗、</w:t>
            </w:r>
            <w:r>
              <w:rPr>
                <w:rFonts w:hint="eastAsia" w:ascii="宋体" w:hAnsi="宋体" w:eastAsia="宋体" w:cs="宋体"/>
                <w:i w:val="0"/>
                <w:iCs w:val="0"/>
                <w:color w:val="000000"/>
                <w:kern w:val="0"/>
                <w:sz w:val="21"/>
                <w:szCs w:val="21"/>
                <w:u w:val="none"/>
                <w:lang w:val="en-US" w:eastAsia="zh-CN" w:bidi="ar"/>
              </w:rPr>
              <w:t>接线通电、</w:t>
            </w:r>
            <w:r>
              <w:rPr>
                <w:rFonts w:hint="eastAsia" w:ascii="宋体" w:hAnsi="宋体" w:eastAsia="宋体" w:cs="宋体"/>
                <w:i w:val="0"/>
                <w:iCs w:val="0"/>
                <w:color w:val="000000"/>
                <w:kern w:val="0"/>
                <w:sz w:val="21"/>
                <w:szCs w:val="21"/>
                <w:highlight w:val="none"/>
                <w:u w:val="none"/>
                <w:lang w:val="en-US" w:eastAsia="zh-CN" w:bidi="ar"/>
              </w:rPr>
              <w:t>安全设施等设施、安全围栏、标识标牌等</w:t>
            </w:r>
            <w:r>
              <w:rPr>
                <w:rFonts w:hint="eastAsia" w:ascii="宋体" w:hAnsi="宋体" w:eastAsia="宋体" w:cs="宋体"/>
                <w:i w:val="0"/>
                <w:iCs w:val="0"/>
                <w:color w:val="000000"/>
                <w:kern w:val="0"/>
                <w:sz w:val="21"/>
                <w:szCs w:val="21"/>
                <w:u w:val="none"/>
                <w:lang w:val="en-US" w:eastAsia="zh-CN" w:bidi="ar"/>
              </w:rPr>
              <w:t>完成等满足设备正常运行的全部内容</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赛道：赛道地面须做平整和硬化处理，地面喷涂指示标志、造型图案，</w:t>
            </w:r>
            <w:r>
              <w:rPr>
                <w:rFonts w:hint="eastAsia" w:ascii="宋体" w:hAnsi="宋体" w:cs="宋体"/>
                <w:i w:val="0"/>
                <w:iCs w:val="0"/>
                <w:color w:val="000000"/>
                <w:kern w:val="0"/>
                <w:sz w:val="21"/>
                <w:szCs w:val="21"/>
                <w:highlight w:val="none"/>
                <w:u w:val="none"/>
                <w:lang w:val="en-US" w:eastAsia="zh-CN" w:bidi="ar"/>
              </w:rPr>
              <w:t>赛道围栏</w:t>
            </w:r>
            <w:r>
              <w:rPr>
                <w:rFonts w:hint="eastAsia" w:ascii="宋体" w:hAnsi="宋体" w:eastAsia="宋体" w:cs="宋体"/>
                <w:i w:val="0"/>
                <w:iCs w:val="0"/>
                <w:color w:val="000000"/>
                <w:kern w:val="0"/>
                <w:sz w:val="21"/>
                <w:szCs w:val="21"/>
                <w:highlight w:val="none"/>
                <w:u w:val="none"/>
                <w:lang w:val="en-US" w:eastAsia="zh-CN" w:bidi="ar"/>
              </w:rPr>
              <w:t>采用水马围栏，围栏长度按300m设计；道旗不少于10个；</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卡丁车：5辆电动</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卡丁车；</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颁奖台背景板：钢结构+定制UV精印背景，画面内容结合主题设计，面积按不小于9m²设计。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领奖台：长3m，高2.5m，钢木结构烤漆材质，地台3个，按1、2、3名不同高度不同色彩设计，每个占地0.48m²，分高低中3个高度；</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安全围栏：</w:t>
            </w:r>
            <w:r>
              <w:rPr>
                <w:rFonts w:hint="eastAsia" w:ascii="宋体" w:hAnsi="宋体" w:eastAsia="宋体" w:cs="宋体"/>
                <w:kern w:val="0"/>
                <w:sz w:val="21"/>
                <w:szCs w:val="21"/>
              </w:rPr>
              <w:t>围栏高</w:t>
            </w:r>
            <w:r>
              <w:rPr>
                <w:rFonts w:hint="eastAsia" w:ascii="宋体" w:hAnsi="宋体" w:eastAsia="宋体" w:cs="宋体"/>
                <w:kern w:val="0"/>
                <w:sz w:val="21"/>
                <w:szCs w:val="21"/>
                <w:lang w:eastAsia="zh-CN"/>
              </w:rPr>
              <w:t>度不低</w:t>
            </w:r>
            <w:r>
              <w:rPr>
                <w:rFonts w:hint="eastAsia" w:ascii="宋体" w:hAnsi="宋体" w:eastAsia="宋体" w:cs="宋体"/>
                <w:kern w:val="0"/>
                <w:sz w:val="21"/>
                <w:szCs w:val="21"/>
                <w:lang w:val="en-US" w:eastAsia="zh-CN"/>
              </w:rPr>
              <w:t>0.65</w:t>
            </w:r>
            <w:r>
              <w:rPr>
                <w:rFonts w:hint="eastAsia" w:ascii="宋体" w:hAnsi="宋体" w:eastAsia="宋体" w:cs="宋体"/>
                <w:kern w:val="0"/>
                <w:sz w:val="21"/>
                <w:szCs w:val="21"/>
              </w:rPr>
              <w:t>米，采用</w:t>
            </w:r>
            <w:r>
              <w:rPr>
                <w:rFonts w:hint="eastAsia" w:ascii="宋体" w:hAnsi="宋体" w:eastAsia="宋体" w:cs="宋体"/>
                <w:kern w:val="0"/>
                <w:sz w:val="21"/>
                <w:szCs w:val="21"/>
                <w:lang w:eastAsia="zh-CN"/>
              </w:rPr>
              <w:t>钢木结构围栏，围栏</w:t>
            </w:r>
            <w:r>
              <w:rPr>
                <w:rFonts w:hint="eastAsia" w:ascii="宋体" w:hAnsi="宋体" w:eastAsia="宋体" w:cs="宋体"/>
                <w:kern w:val="0"/>
                <w:sz w:val="21"/>
                <w:szCs w:val="21"/>
                <w:lang w:val="en-US" w:eastAsia="zh-CN"/>
              </w:rPr>
              <w:t>制作</w:t>
            </w:r>
            <w:r>
              <w:rPr>
                <w:rFonts w:hint="eastAsia" w:ascii="宋体" w:hAnsi="宋体" w:eastAsia="宋体" w:cs="宋体"/>
                <w:kern w:val="0"/>
                <w:sz w:val="21"/>
                <w:szCs w:val="21"/>
                <w:lang w:eastAsia="zh-CN"/>
              </w:rPr>
              <w:t>美化装饰。</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tc>
        <w:tc>
          <w:tcPr>
            <w:tcW w:w="2594" w:type="dxa"/>
            <w:gridSpan w:val="2"/>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cs="宋体"/>
                <w:b w:val="0"/>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u w:val="none"/>
                <w:lang w:val="en-US" w:eastAsia="zh-CN" w:bidi="ar"/>
              </w:rPr>
              <w:t>卡丁车</w:t>
            </w:r>
            <w:r>
              <w:rPr>
                <w:rFonts w:hint="eastAsia" w:ascii="宋体" w:hAnsi="宋体" w:cs="宋体"/>
                <w:b w:val="0"/>
                <w:i w:val="0"/>
                <w:iCs w:val="0"/>
                <w:color w:val="000000"/>
                <w:kern w:val="0"/>
                <w:sz w:val="21"/>
                <w:szCs w:val="21"/>
                <w:highlight w:val="green"/>
                <w:u w:val="none"/>
                <w:lang w:val="en-US" w:eastAsia="zh-CN" w:bidi="ar"/>
              </w:rPr>
              <w:t>设备内容：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赛道围栏</w:t>
            </w:r>
            <w:r>
              <w:rPr>
                <w:rFonts w:hint="eastAsia" w:ascii="宋体" w:hAnsi="宋体" w:eastAsia="宋体" w:cs="宋体"/>
                <w:i w:val="0"/>
                <w:iCs w:val="0"/>
                <w:color w:val="000000"/>
                <w:kern w:val="0"/>
                <w:sz w:val="21"/>
                <w:szCs w:val="21"/>
                <w:highlight w:val="none"/>
                <w:u w:val="none"/>
                <w:lang w:val="en-US" w:eastAsia="zh-CN" w:bidi="ar"/>
              </w:rPr>
              <w:t>采用水马围栏，围栏长度按300m设计；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lang w:val="en-US" w:eastAsia="zh-CN"/>
              </w:rPr>
            </w:pPr>
            <w:r>
              <w:rPr>
                <w:rFonts w:hint="eastAsia" w:ascii="宋体" w:hAnsi="宋体" w:eastAsia="宋体" w:cs="宋体"/>
                <w:i w:val="0"/>
                <w:iCs w:val="0"/>
                <w:color w:val="000000"/>
                <w:kern w:val="0"/>
                <w:sz w:val="21"/>
                <w:szCs w:val="21"/>
                <w:highlight w:val="none"/>
                <w:u w:val="none"/>
                <w:lang w:val="en-US" w:eastAsia="zh-CN" w:bidi="ar"/>
              </w:rPr>
              <w:t>卡丁车：5辆电动</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卡丁车；</w:t>
            </w:r>
          </w:p>
          <w:p>
            <w:pPr>
              <w:rPr>
                <w:rFonts w:hint="eastAsia"/>
                <w:lang w:val="en-US" w:eastAsia="zh-CN"/>
              </w:rPr>
            </w:pP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16" w:type="dxa"/>
            <w:vMerge w:val="continue"/>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p>
        </w:tc>
        <w:tc>
          <w:tcPr>
            <w:tcW w:w="2594" w:type="dxa"/>
            <w:gridSpan w:val="2"/>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cs="宋体"/>
                <w:b w:val="0"/>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u w:val="none"/>
                <w:lang w:val="en-US" w:eastAsia="zh-CN" w:bidi="ar"/>
              </w:rPr>
              <w:t>场地搭建内容：</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cs="宋体"/>
                <w:b w:val="0"/>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根据设计要求，除设备以外的全部内容（</w:t>
            </w:r>
            <w:r>
              <w:rPr>
                <w:rFonts w:hint="eastAsia" w:ascii="宋体" w:hAnsi="宋体" w:cs="宋体"/>
                <w:b w:val="0"/>
                <w:i w:val="0"/>
                <w:iCs w:val="0"/>
                <w:color w:val="000000"/>
                <w:kern w:val="0"/>
                <w:sz w:val="21"/>
                <w:szCs w:val="21"/>
                <w:u w:val="none"/>
                <w:lang w:val="en-US" w:eastAsia="zh-CN" w:bidi="ar"/>
              </w:rPr>
              <w:t>包括地面标识、领奖台、道旗、安全设施等设施、安全围栏、标识标牌等完成等满足设备正常运行的全部内容）。</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u w:val="none"/>
                <w:lang w:val="en-US" w:eastAsia="zh-CN" w:bidi="ar"/>
              </w:rPr>
              <w:t>（备注：场地平整和基础改造费用、电力接入费用、给水接入费用已在采购清单中单独列项，本项报价时不计入这三种费用；）</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IP主题形象真人娃娃机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整体项目占地按10m²设计安装，</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kern w:val="0"/>
                <w:sz w:val="21"/>
                <w:szCs w:val="21"/>
                <w:highlight w:val="none"/>
                <w:u w:val="none"/>
                <w:lang w:val="en-US" w:eastAsia="zh-CN" w:bidi="ar"/>
              </w:rPr>
              <w:t>包括完成</w:t>
            </w:r>
            <w:r>
              <w:rPr>
                <w:rFonts w:hint="eastAsia" w:ascii="宋体" w:hAnsi="宋体" w:eastAsia="宋体" w:cs="宋体"/>
                <w:i w:val="0"/>
                <w:iCs w:val="0"/>
                <w:color w:val="000000"/>
                <w:kern w:val="0"/>
                <w:sz w:val="21"/>
                <w:szCs w:val="21"/>
                <w:u w:val="none"/>
                <w:lang w:val="en-US" w:eastAsia="zh-CN" w:bidi="ar"/>
              </w:rPr>
              <w:t>接线通电场地搭设等满足设备正常运行的全部内容。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规格：不小于3m*3m*3m；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材质：钢结构；</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最大承载重量：100KG；</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含不少</w:t>
            </w:r>
            <w:r>
              <w:rPr>
                <w:rFonts w:hint="eastAsia" w:ascii="宋体" w:hAnsi="宋体" w:eastAsia="宋体" w:cs="宋体"/>
                <w:i w:val="0"/>
                <w:iCs w:val="0"/>
                <w:color w:val="000000"/>
                <w:kern w:val="0"/>
                <w:sz w:val="21"/>
                <w:szCs w:val="21"/>
                <w:highlight w:val="none"/>
                <w:u w:val="none"/>
                <w:lang w:val="en-US" w:eastAsia="zh-CN" w:bidi="ar"/>
              </w:rPr>
              <w:t>于150件配套礼</w:t>
            </w:r>
            <w:r>
              <w:rPr>
                <w:rFonts w:hint="eastAsia" w:ascii="宋体" w:hAnsi="宋体" w:eastAsia="宋体" w:cs="宋体"/>
                <w:i w:val="0"/>
                <w:iCs w:val="0"/>
                <w:color w:val="000000"/>
                <w:kern w:val="0"/>
                <w:sz w:val="21"/>
                <w:szCs w:val="21"/>
                <w:u w:val="none"/>
                <w:lang w:val="en-US" w:eastAsia="zh-CN" w:bidi="ar"/>
              </w:rPr>
              <w:t>品。</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p>
            <w:pPr>
              <w:keepNext w:val="0"/>
              <w:keepLines w:val="0"/>
              <w:pageBreakBefore w:val="0"/>
              <w:kinsoku/>
              <w:wordWrap/>
              <w:overflowPunct/>
              <w:topLinePunct w:val="0"/>
              <w:autoSpaceDE/>
              <w:autoSpaceDN/>
              <w:bidi w:val="0"/>
              <w:adjustRightInd/>
              <w:snapToGrid/>
              <w:spacing w:line="400" w:lineRule="exact"/>
              <w:rPr>
                <w:rFonts w:hint="eastAsia"/>
                <w:lang w:val="en-US" w:eastAsia="zh-CN"/>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定制IP主题弹跳蹦床</w:t>
            </w:r>
          </w:p>
        </w:tc>
        <w:tc>
          <w:tcPr>
            <w:tcW w:w="3331" w:type="dxa"/>
            <w:gridSpan w:val="2"/>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项目整体供货应达到的设计要求：</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整体项目占地按45m²设计，</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kern w:val="0"/>
                <w:sz w:val="21"/>
                <w:szCs w:val="21"/>
                <w:highlight w:val="none"/>
                <w:u w:val="none"/>
                <w:lang w:val="en-US" w:eastAsia="zh-CN" w:bidi="ar"/>
              </w:rPr>
              <w:t>包括完成</w:t>
            </w:r>
            <w:r>
              <w:rPr>
                <w:rFonts w:hint="eastAsia" w:ascii="宋体" w:hAnsi="宋体" w:eastAsia="宋体" w:cs="宋体"/>
                <w:i w:val="0"/>
                <w:iCs w:val="0"/>
                <w:color w:val="000000"/>
                <w:kern w:val="0"/>
                <w:sz w:val="21"/>
                <w:szCs w:val="21"/>
                <w:u w:val="none"/>
                <w:lang w:val="en-US" w:eastAsia="zh-CN" w:bidi="ar"/>
              </w:rPr>
              <w:t>接线通电场地搭设等满足设备正常运行的全部内容。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材质：玻璃钢+钢结构+LED灯；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设备规格：6m*6m*3.5m</w:t>
            </w:r>
            <w:r>
              <w:rPr>
                <w:rFonts w:hint="eastAsia" w:ascii="宋体" w:hAnsi="宋体" w:eastAsia="宋体" w:cs="宋体"/>
                <w:i w:val="0"/>
                <w:iCs w:val="0"/>
                <w:color w:val="000000"/>
                <w:kern w:val="0"/>
                <w:sz w:val="21"/>
                <w:szCs w:val="21"/>
                <w:highlight w:val="none"/>
                <w:u w:val="none"/>
                <w:lang w:val="en-US" w:eastAsia="zh-CN" w:bidi="ar"/>
              </w:rPr>
              <w:t>（±0.2m）</w:t>
            </w:r>
            <w:r>
              <w:rPr>
                <w:rFonts w:hint="eastAsia" w:ascii="宋体" w:hAnsi="宋体" w:eastAsia="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功能：45秒/圈；</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载客：6人；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配备安全装置；</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安全围栏：外围</w:t>
            </w:r>
            <w:r>
              <w:rPr>
                <w:rFonts w:hint="eastAsia" w:ascii="宋体" w:hAnsi="宋体" w:eastAsia="宋体" w:cs="宋体"/>
                <w:color w:val="auto"/>
                <w:kern w:val="0"/>
                <w:sz w:val="21"/>
                <w:szCs w:val="21"/>
                <w:highlight w:val="none"/>
              </w:rPr>
              <w:t>围栏</w:t>
            </w:r>
            <w:r>
              <w:rPr>
                <w:rFonts w:hint="eastAsia" w:ascii="宋体" w:hAnsi="宋体" w:eastAsia="宋体" w:cs="宋体"/>
                <w:color w:val="auto"/>
                <w:kern w:val="0"/>
                <w:sz w:val="21"/>
                <w:szCs w:val="21"/>
                <w:highlight w:val="none"/>
                <w:lang w:eastAsia="zh-CN"/>
              </w:rPr>
              <w:t>采用亚克力材质，立柱结构</w:t>
            </w:r>
            <w:r>
              <w:rPr>
                <w:rFonts w:hint="eastAsia" w:ascii="宋体" w:hAnsi="宋体" w:eastAsia="宋体" w:cs="宋体"/>
                <w:color w:val="auto"/>
                <w:kern w:val="0"/>
                <w:sz w:val="21"/>
                <w:szCs w:val="21"/>
                <w:highlight w:val="none"/>
              </w:rPr>
              <w:t>采用铁</w:t>
            </w:r>
            <w:r>
              <w:rPr>
                <w:rFonts w:hint="eastAsia" w:ascii="宋体" w:hAnsi="宋体" w:eastAsia="宋体" w:cs="宋体"/>
                <w:color w:val="auto"/>
                <w:kern w:val="0"/>
                <w:sz w:val="21"/>
                <w:szCs w:val="21"/>
                <w:highlight w:val="none"/>
                <w:lang w:eastAsia="zh-CN"/>
              </w:rPr>
              <w:t>艺烤漆</w:t>
            </w:r>
            <w:r>
              <w:rPr>
                <w:rFonts w:hint="eastAsia" w:ascii="宋体" w:hAnsi="宋体" w:eastAsia="宋体" w:cs="宋体"/>
                <w:color w:val="auto"/>
                <w:kern w:val="0"/>
                <w:sz w:val="21"/>
                <w:szCs w:val="21"/>
                <w:highlight w:val="none"/>
              </w:rPr>
              <w:t>材料</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高</w:t>
            </w:r>
            <w:r>
              <w:rPr>
                <w:rFonts w:hint="eastAsia" w:ascii="宋体" w:hAnsi="宋体" w:eastAsia="宋体" w:cs="宋体"/>
                <w:color w:val="auto"/>
                <w:kern w:val="0"/>
                <w:sz w:val="21"/>
                <w:szCs w:val="21"/>
                <w:highlight w:val="none"/>
                <w:lang w:eastAsia="zh-CN"/>
              </w:rPr>
              <w:t>度不低</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米</w:t>
            </w:r>
            <w:r>
              <w:rPr>
                <w:rFonts w:hint="eastAsia" w:ascii="宋体" w:hAnsi="宋体" w:eastAsia="宋体" w:cs="宋体"/>
                <w:color w:val="auto"/>
                <w:kern w:val="0"/>
                <w:sz w:val="21"/>
                <w:szCs w:val="21"/>
                <w:highlight w:val="none"/>
                <w:lang w:eastAsia="zh-CN"/>
              </w:rPr>
              <w:t>；</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p>
            <w:pPr>
              <w:rPr>
                <w:rFonts w:hint="eastAsia"/>
                <w:lang w:val="en-US" w:eastAsia="zh-CN"/>
              </w:rPr>
            </w:pPr>
          </w:p>
        </w:tc>
        <w:tc>
          <w:tcPr>
            <w:tcW w:w="257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弹跳蹦床</w:t>
            </w:r>
            <w:r>
              <w:rPr>
                <w:rFonts w:hint="eastAsia" w:ascii="宋体" w:hAnsi="宋体" w:cs="宋体"/>
                <w:i w:val="0"/>
                <w:iCs w:val="0"/>
                <w:color w:val="000000"/>
                <w:kern w:val="0"/>
                <w:sz w:val="21"/>
                <w:szCs w:val="21"/>
                <w:highlight w:val="green"/>
                <w:u w:val="none"/>
                <w:lang w:val="en-US" w:eastAsia="zh-CN" w:bidi="ar"/>
              </w:rPr>
              <w:t>设备内容：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材质：玻璃钢+钢结构+LED灯；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设备规格：6m*6m*3.5m</w:t>
            </w:r>
            <w:r>
              <w:rPr>
                <w:rFonts w:hint="eastAsia" w:ascii="宋体" w:hAnsi="宋体" w:eastAsia="宋体" w:cs="宋体"/>
                <w:i w:val="0"/>
                <w:iCs w:val="0"/>
                <w:color w:val="000000"/>
                <w:kern w:val="0"/>
                <w:sz w:val="21"/>
                <w:szCs w:val="21"/>
                <w:highlight w:val="none"/>
                <w:u w:val="none"/>
                <w:lang w:val="en-US" w:eastAsia="zh-CN" w:bidi="ar"/>
              </w:rPr>
              <w:t>（±0.2m）</w:t>
            </w:r>
            <w:r>
              <w:rPr>
                <w:rFonts w:hint="eastAsia" w:ascii="宋体" w:hAnsi="宋体" w:eastAsia="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功能：45秒/圈；</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载客：6人；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lang w:val="en-US" w:eastAsia="zh-CN"/>
              </w:rPr>
            </w:pPr>
            <w:r>
              <w:rPr>
                <w:rFonts w:hint="eastAsia" w:ascii="宋体" w:hAnsi="宋体" w:eastAsia="宋体" w:cs="宋体"/>
                <w:i w:val="0"/>
                <w:iCs w:val="0"/>
                <w:color w:val="000000"/>
                <w:kern w:val="0"/>
                <w:sz w:val="21"/>
                <w:szCs w:val="21"/>
                <w:highlight w:val="none"/>
                <w:u w:val="none"/>
                <w:lang w:val="en-US" w:eastAsia="zh-CN" w:bidi="ar"/>
              </w:rPr>
              <w:t>配备安全装置；</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31" w:type="dxa"/>
            <w:gridSpan w:val="2"/>
            <w:vMerge w:val="continue"/>
            <w:noWrap w:val="0"/>
            <w:vAlign w:val="center"/>
          </w:tcPr>
          <w:p>
            <w:pPr>
              <w:rPr>
                <w:rFonts w:hint="eastAsia"/>
                <w:lang w:val="en-US" w:eastAsia="zh-CN"/>
              </w:rPr>
            </w:pPr>
          </w:p>
        </w:tc>
        <w:tc>
          <w:tcPr>
            <w:tcW w:w="2579" w:type="dxa"/>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场地搭建内容：根据设计要求，除设备以外的全部内容（</w:t>
            </w:r>
            <w:r>
              <w:rPr>
                <w:rFonts w:hint="eastAsia" w:ascii="宋体" w:hAnsi="宋体" w:eastAsia="宋体" w:cs="宋体"/>
                <w:b w:val="0"/>
                <w:bCs/>
                <w:i w:val="0"/>
                <w:iCs w:val="0"/>
                <w:color w:val="000000"/>
                <w:kern w:val="0"/>
                <w:sz w:val="21"/>
                <w:szCs w:val="21"/>
                <w:u w:val="none"/>
                <w:lang w:val="en-US" w:eastAsia="zh-CN" w:bidi="ar"/>
              </w:rPr>
              <w:t>包括安全围栏、标识标牌等满足设备正常运行的全部内容）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kern w:val="2"/>
                <w:sz w:val="21"/>
                <w:szCs w:val="22"/>
                <w:lang w:val="en-US" w:eastAsia="zh-CN" w:bidi="ar-SA"/>
              </w:rPr>
            </w:pPr>
            <w:r>
              <w:rPr>
                <w:rFonts w:hint="eastAsia" w:ascii="宋体" w:hAnsi="宋体" w:eastAsia="宋体" w:cs="宋体"/>
                <w:b w:val="0"/>
                <w:bCs/>
                <w:i w:val="0"/>
                <w:iCs w:val="0"/>
                <w:color w:val="000000"/>
                <w:kern w:val="0"/>
                <w:sz w:val="21"/>
                <w:szCs w:val="21"/>
                <w:u w:val="none"/>
                <w:lang w:val="en-US" w:eastAsia="zh-CN" w:bidi="ar"/>
              </w:rPr>
              <w:t>（备注：场地平整</w:t>
            </w:r>
            <w:r>
              <w:rPr>
                <w:rFonts w:hint="eastAsia" w:ascii="宋体" w:hAnsi="宋体" w:cs="宋体"/>
                <w:b w:val="0"/>
                <w:bCs/>
                <w:i w:val="0"/>
                <w:iCs w:val="0"/>
                <w:color w:val="000000"/>
                <w:kern w:val="0"/>
                <w:sz w:val="21"/>
                <w:szCs w:val="21"/>
                <w:u w:val="none"/>
                <w:lang w:val="en-US" w:eastAsia="zh-CN" w:bidi="ar"/>
              </w:rPr>
              <w:t>和</w:t>
            </w:r>
            <w:r>
              <w:rPr>
                <w:rFonts w:hint="eastAsia" w:ascii="宋体" w:hAnsi="宋体" w:eastAsia="宋体" w:cs="宋体"/>
                <w:b w:val="0"/>
                <w:bCs/>
                <w:i w:val="0"/>
                <w:iCs w:val="0"/>
                <w:color w:val="000000"/>
                <w:kern w:val="0"/>
                <w:sz w:val="21"/>
                <w:szCs w:val="21"/>
                <w:u w:val="none"/>
                <w:lang w:val="en-US" w:eastAsia="zh-CN" w:bidi="ar"/>
              </w:rPr>
              <w:t>基础改造</w:t>
            </w:r>
            <w:r>
              <w:rPr>
                <w:rFonts w:hint="eastAsia" w:ascii="宋体" w:hAnsi="宋体" w:cs="宋体"/>
                <w:b w:val="0"/>
                <w:bCs/>
                <w:i w:val="0"/>
                <w:iCs w:val="0"/>
                <w:color w:val="000000"/>
                <w:kern w:val="0"/>
                <w:sz w:val="21"/>
                <w:szCs w:val="21"/>
                <w:u w:val="none"/>
                <w:lang w:val="en-US" w:eastAsia="zh-CN" w:bidi="ar"/>
              </w:rPr>
              <w:t>费用、电力接入费用、给水接入费用已在</w:t>
            </w:r>
            <w:r>
              <w:rPr>
                <w:rFonts w:hint="eastAsia" w:ascii="宋体" w:hAnsi="宋体" w:eastAsia="宋体" w:cs="宋体"/>
                <w:b w:val="0"/>
                <w:bCs/>
                <w:i w:val="0"/>
                <w:iCs w:val="0"/>
                <w:color w:val="000000"/>
                <w:kern w:val="0"/>
                <w:sz w:val="21"/>
                <w:szCs w:val="21"/>
                <w:u w:val="none"/>
                <w:lang w:val="en-US" w:eastAsia="zh-CN" w:bidi="ar"/>
              </w:rPr>
              <w:t>采购清单中单独列项</w:t>
            </w:r>
            <w:r>
              <w:rPr>
                <w:rFonts w:hint="eastAsia" w:ascii="宋体" w:hAnsi="宋体" w:cs="宋体"/>
                <w:b w:val="0"/>
                <w:bCs/>
                <w:i w:val="0"/>
                <w:iCs w:val="0"/>
                <w:color w:val="000000"/>
                <w:kern w:val="0"/>
                <w:sz w:val="21"/>
                <w:szCs w:val="21"/>
                <w:u w:val="none"/>
                <w:lang w:val="en-US" w:eastAsia="zh-CN" w:bidi="ar"/>
              </w:rPr>
              <w:t>，本项报价时不计入这三种费用；</w:t>
            </w:r>
            <w:r>
              <w:rPr>
                <w:rFonts w:hint="eastAsia" w:ascii="宋体" w:hAnsi="宋体" w:eastAsia="宋体" w:cs="宋体"/>
                <w:b w:val="0"/>
                <w:bCs/>
                <w:i w:val="0"/>
                <w:iCs w:val="0"/>
                <w:color w:val="000000"/>
                <w:kern w:val="0"/>
                <w:sz w:val="21"/>
                <w:szCs w:val="21"/>
                <w:u w:val="none"/>
                <w:lang w:val="en-US" w:eastAsia="zh-CN" w:bidi="ar"/>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定制IP主题海盗船</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材质：玻璃钢+钢结构+LED灯；</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规</w:t>
            </w:r>
            <w:r>
              <w:rPr>
                <w:rFonts w:hint="eastAsia" w:ascii="宋体" w:hAnsi="宋体" w:eastAsia="宋体" w:cs="宋体"/>
                <w:i w:val="0"/>
                <w:iCs w:val="0"/>
                <w:color w:val="000000"/>
                <w:kern w:val="0"/>
                <w:sz w:val="21"/>
                <w:szCs w:val="21"/>
                <w:highlight w:val="none"/>
                <w:u w:val="none"/>
                <w:lang w:val="en-US" w:eastAsia="zh-CN" w:bidi="ar"/>
              </w:rPr>
              <w:t>格：2.2m*6.5m*3.5m（±0.2m）；</w:t>
            </w:r>
          </w:p>
          <w:p>
            <w:pPr>
              <w:pStyle w:val="28"/>
              <w:keepNext w:val="0"/>
              <w:keepLines w:val="0"/>
              <w:pageBreakBefore w:val="0"/>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运行速度低于2m/秒</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载客：8人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完成</w:t>
            </w:r>
            <w:r>
              <w:rPr>
                <w:rFonts w:hint="eastAsia" w:ascii="宋体" w:hAnsi="宋体" w:eastAsia="宋体" w:cs="宋体"/>
                <w:i w:val="0"/>
                <w:iCs w:val="0"/>
                <w:color w:val="000000"/>
                <w:kern w:val="0"/>
                <w:sz w:val="21"/>
                <w:szCs w:val="21"/>
                <w:u w:val="none"/>
                <w:lang w:val="en-US" w:eastAsia="zh-CN" w:bidi="ar"/>
              </w:rPr>
              <w:t>接线通电场地搭设等满足设备正常运行的全部内容。融合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p>
            <w:pPr>
              <w:keepNext w:val="0"/>
              <w:keepLines w:val="0"/>
              <w:pageBreakBefore w:val="0"/>
              <w:kinsoku/>
              <w:wordWrap/>
              <w:overflowPunct/>
              <w:topLinePunct w:val="0"/>
              <w:autoSpaceDE/>
              <w:autoSpaceDN/>
              <w:bidi w:val="0"/>
              <w:adjustRightInd/>
              <w:snapToGrid/>
              <w:spacing w:line="400" w:lineRule="exact"/>
              <w:rPr>
                <w:rFonts w:hint="eastAsia"/>
                <w:lang w:val="en-US" w:eastAsia="zh-CN"/>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定制IP主题手工区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儿童捞鱼池（含配套物品）：</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捞鱼池：规格按可以同时容纳至少8位儿童设计；材质：玻璃钢；须配备过滤设备。</w:t>
            </w:r>
            <w:r>
              <w:rPr>
                <w:rFonts w:hint="eastAsia" w:ascii="宋体" w:hAnsi="宋体" w:eastAsia="宋体" w:cs="宋体"/>
                <w:i w:val="0"/>
                <w:iCs w:val="0"/>
                <w:color w:val="000000"/>
                <w:kern w:val="0"/>
                <w:sz w:val="21"/>
                <w:szCs w:val="21"/>
                <w:highlight w:val="none"/>
                <w:u w:val="none"/>
                <w:lang w:val="en-US" w:eastAsia="zh-CN" w:bidi="ar"/>
              </w:rPr>
              <w:t>完成</w:t>
            </w:r>
            <w:r>
              <w:rPr>
                <w:rFonts w:hint="eastAsia" w:ascii="宋体" w:hAnsi="宋体" w:eastAsia="宋体" w:cs="宋体"/>
                <w:i w:val="0"/>
                <w:iCs w:val="0"/>
                <w:color w:val="000000"/>
                <w:kern w:val="0"/>
                <w:sz w:val="21"/>
                <w:szCs w:val="21"/>
                <w:u w:val="none"/>
                <w:lang w:val="en-US" w:eastAsia="zh-CN" w:bidi="ar"/>
              </w:rPr>
              <w:t>接线通电场地搭设。</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配套物品：每台捞鱼池至少包含150条鱼+8个捞网+8个篮子+8个板凳。</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儿童玩具桌（含配套物品）：</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玩具桌：规格按可以同时容纳至少6位儿童设计；材质：玻璃钢；</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配套物品：至少包含积木玩具不少</w:t>
            </w:r>
            <w:r>
              <w:rPr>
                <w:rFonts w:hint="eastAsia" w:ascii="宋体" w:hAnsi="宋体" w:eastAsia="宋体" w:cs="宋体"/>
                <w:b w:val="0"/>
                <w:bCs/>
                <w:i w:val="0"/>
                <w:iCs w:val="0"/>
                <w:color w:val="000000"/>
                <w:kern w:val="0"/>
                <w:sz w:val="21"/>
                <w:szCs w:val="21"/>
                <w:highlight w:val="none"/>
                <w:u w:val="none"/>
                <w:lang w:val="en-US" w:eastAsia="zh-CN" w:bidi="ar"/>
              </w:rPr>
              <w:t>于10kg+配</w:t>
            </w:r>
            <w:r>
              <w:rPr>
                <w:rFonts w:hint="eastAsia" w:ascii="宋体" w:hAnsi="宋体" w:eastAsia="宋体" w:cs="宋体"/>
                <w:b w:val="0"/>
                <w:bCs/>
                <w:i w:val="0"/>
                <w:iCs w:val="0"/>
                <w:color w:val="000000"/>
                <w:kern w:val="0"/>
                <w:sz w:val="21"/>
                <w:szCs w:val="21"/>
                <w:u w:val="none"/>
                <w:lang w:val="en-US" w:eastAsia="zh-CN" w:bidi="ar"/>
              </w:rPr>
              <w:t>套工具教程+6个板凳。</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儿童太空沙桌（含配套物品）：</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太空沙桌：规格按可以同时容纳至少6位儿童设计；材质：玻璃钢；</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配套物品：至少包含太空沙不少于3</w:t>
            </w:r>
            <w:r>
              <w:rPr>
                <w:rFonts w:hint="eastAsia" w:ascii="宋体" w:hAnsi="宋体" w:eastAsia="宋体" w:cs="宋体"/>
                <w:i w:val="0"/>
                <w:iCs w:val="0"/>
                <w:color w:val="000000"/>
                <w:kern w:val="0"/>
                <w:sz w:val="21"/>
                <w:szCs w:val="21"/>
                <w:highlight w:val="none"/>
                <w:u w:val="none"/>
                <w:lang w:val="en-US" w:eastAsia="zh-CN" w:bidi="ar"/>
              </w:rPr>
              <w:t>0kg+60</w:t>
            </w:r>
            <w:r>
              <w:rPr>
                <w:rFonts w:hint="eastAsia" w:ascii="宋体" w:hAnsi="宋体" w:eastAsia="宋体" w:cs="宋体"/>
                <w:i w:val="0"/>
                <w:iCs w:val="0"/>
                <w:color w:val="000000"/>
                <w:kern w:val="0"/>
                <w:sz w:val="21"/>
                <w:szCs w:val="21"/>
                <w:u w:val="none"/>
                <w:lang w:val="en-US" w:eastAsia="zh-CN" w:bidi="ar"/>
              </w:rPr>
              <w:t>个模具+6个板凳。</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儿童考古桌（含配套物品）：</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考古桌：规格按可以同时容纳至少6位儿童设计；材质：木质烤漆+免漆板；</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配套物品：至少包含不少于200个化石玩具+6套工具+6个板凳</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儿童陈列柜（不含陈列品）：</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陈列柜：按</w:t>
            </w:r>
            <w:r>
              <w:rPr>
                <w:rFonts w:hint="eastAsia" w:ascii="宋体" w:hAnsi="宋体" w:eastAsia="宋体" w:cs="宋体"/>
                <w:i w:val="0"/>
                <w:iCs w:val="0"/>
                <w:color w:val="000000"/>
                <w:kern w:val="0"/>
                <w:sz w:val="21"/>
                <w:szCs w:val="21"/>
                <w:highlight w:val="yellow"/>
                <w:u w:val="none"/>
                <w:lang w:val="en-US" w:eastAsia="zh-CN" w:bidi="ar"/>
              </w:rPr>
              <w:t>总</w:t>
            </w:r>
            <w:r>
              <w:rPr>
                <w:rFonts w:hint="eastAsia" w:ascii="宋体" w:hAnsi="宋体" w:eastAsia="宋体" w:cs="宋体"/>
                <w:i w:val="0"/>
                <w:iCs w:val="0"/>
                <w:color w:val="000000"/>
                <w:kern w:val="0"/>
                <w:sz w:val="21"/>
                <w:szCs w:val="21"/>
                <w:u w:val="none"/>
                <w:lang w:val="en-US" w:eastAsia="zh-CN" w:bidi="ar"/>
              </w:rPr>
              <w:t>陈列容量不小于2.5m³考虑，数量2-4个；</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材质：木质烤漆+LED灯装饰</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配套8个板凳</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遮阳棚：手工区游乐设施须搭设遮阳棚，颜色样式要与整体环境协调统一，体现童趣。整体投影面积按不小于15</w:t>
            </w:r>
            <w:r>
              <w:rPr>
                <w:rFonts w:hint="eastAsia" w:ascii="宋体" w:hAnsi="宋体" w:eastAsia="宋体" w:cs="宋体"/>
                <w:i w:val="0"/>
                <w:iCs w:val="0"/>
                <w:color w:val="000000"/>
                <w:kern w:val="0"/>
                <w:sz w:val="21"/>
                <w:szCs w:val="21"/>
                <w:highlight w:val="none"/>
                <w:u w:val="none"/>
                <w:lang w:val="en-US" w:eastAsia="zh-CN" w:bidi="ar"/>
              </w:rPr>
              <w:t>m²考虑。</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127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IP主题角色雕塑</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角色雕塑，高度不低于1.8m。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3个均布置在乐园内打卡点。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27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角色雕塑，高度不低于1.2m。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（备注：2个布置在乐园入口打卡点，2个布置在乐园内，1个布置在乐园休息区）</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定制IP主题感应汽车装置</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车辆：电动，采用玻璃钢材质，限载2人；</w:t>
            </w:r>
            <w:r>
              <w:rPr>
                <w:rFonts w:hint="eastAsia" w:ascii="宋体" w:hAnsi="宋体" w:eastAsia="宋体" w:cs="宋体"/>
                <w:sz w:val="21"/>
                <w:szCs w:val="21"/>
                <w:lang w:val="en-US" w:eastAsia="zh-CN"/>
              </w:rPr>
              <w:t>要求采用感应型设计，须根据乐园场内整体布局设计车辆行驶路线，路线须注意与其他游乐设备保持安全距离，车辆可通过感应在固定路线行驶，同时具备防撞感应功能。本项包括感应辅助线及敷设安装。</w:t>
            </w:r>
            <w:r>
              <w:rPr>
                <w:rFonts w:hint="eastAsia" w:ascii="宋体" w:hAnsi="宋体" w:eastAsia="宋体" w:cs="宋体"/>
                <w:i w:val="0"/>
                <w:iCs w:val="0"/>
                <w:color w:val="000000"/>
                <w:kern w:val="0"/>
                <w:sz w:val="21"/>
                <w:szCs w:val="21"/>
                <w:highlight w:val="none"/>
                <w:u w:val="none"/>
                <w:lang w:val="en-US" w:eastAsia="zh-CN" w:bidi="ar"/>
              </w:rPr>
              <w:t>完成</w:t>
            </w:r>
            <w:r>
              <w:rPr>
                <w:rFonts w:hint="eastAsia" w:ascii="宋体" w:hAnsi="宋体" w:eastAsia="宋体" w:cs="宋体"/>
                <w:i w:val="0"/>
                <w:iCs w:val="0"/>
                <w:color w:val="000000"/>
                <w:kern w:val="0"/>
                <w:sz w:val="21"/>
                <w:szCs w:val="21"/>
                <w:u w:val="none"/>
                <w:lang w:val="en-US" w:eastAsia="zh-CN" w:bidi="ar"/>
              </w:rPr>
              <w:t>接线通电场地搭设等满足设备正常运行的全部内容。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充分考虑儿童特性设计。</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车辆停靠站：模拟现实场景，在行驶路线设置</w:t>
            </w:r>
            <w:r>
              <w:rPr>
                <w:rFonts w:hint="eastAsia" w:ascii="宋体" w:hAnsi="宋体" w:eastAsia="宋体" w:cs="宋体"/>
                <w:i w:val="0"/>
                <w:iCs w:val="0"/>
                <w:color w:val="000000"/>
                <w:kern w:val="0"/>
                <w:sz w:val="21"/>
                <w:szCs w:val="21"/>
                <w:highlight w:val="none"/>
                <w:u w:val="none"/>
                <w:lang w:val="en-US" w:eastAsia="zh-CN" w:bidi="ar"/>
              </w:rPr>
              <w:t>3个</w:t>
            </w:r>
            <w:r>
              <w:rPr>
                <w:rFonts w:hint="eastAsia" w:ascii="宋体" w:hAnsi="宋体" w:eastAsia="宋体" w:cs="宋体"/>
                <w:i w:val="0"/>
                <w:iCs w:val="0"/>
                <w:color w:val="000000"/>
                <w:kern w:val="0"/>
                <w:sz w:val="21"/>
                <w:szCs w:val="21"/>
                <w:u w:val="none"/>
                <w:lang w:val="en-US" w:eastAsia="zh-CN" w:bidi="ar"/>
              </w:rPr>
              <w:t>打卡停靠站，停靠站场景采用玻璃钢一体设计，每个停靠站占地约1.2-1.5</w:t>
            </w:r>
            <w:r>
              <w:rPr>
                <w:rFonts w:hint="eastAsia" w:ascii="宋体" w:hAnsi="宋体" w:eastAsia="宋体" w:cs="宋体"/>
                <w:i w:val="0"/>
                <w:iCs w:val="0"/>
                <w:color w:val="000000"/>
                <w:kern w:val="0"/>
                <w:sz w:val="21"/>
                <w:szCs w:val="21"/>
                <w:highlight w:val="none"/>
                <w:u w:val="none"/>
                <w:lang w:val="en-US" w:eastAsia="zh-CN" w:bidi="ar"/>
              </w:rPr>
              <w:t>m²，场景内容为加油站、商店等模拟生活场景，增加游玩乐趣。包括完成</w:t>
            </w:r>
            <w:r>
              <w:rPr>
                <w:rFonts w:hint="eastAsia" w:ascii="宋体" w:hAnsi="宋体" w:eastAsia="宋体" w:cs="宋体"/>
                <w:i w:val="0"/>
                <w:iCs w:val="0"/>
                <w:color w:val="000000"/>
                <w:kern w:val="0"/>
                <w:sz w:val="21"/>
                <w:szCs w:val="21"/>
                <w:u w:val="none"/>
                <w:lang w:val="en-US" w:eastAsia="zh-CN" w:bidi="ar"/>
              </w:rPr>
              <w:t>接线通电场地搭设等满足设备正常运行的全部内容。</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充分考虑儿童特性设计。</w:t>
            </w:r>
          </w:p>
          <w:p>
            <w:pPr>
              <w:keepNext w:val="0"/>
              <w:keepLines w:val="0"/>
              <w:pageBreakBefore w:val="0"/>
              <w:kinsoku/>
              <w:wordWrap/>
              <w:overflowPunct/>
              <w:topLinePunct w:val="0"/>
              <w:autoSpaceDE/>
              <w:autoSpaceDN/>
              <w:bidi w:val="0"/>
              <w:adjustRightInd/>
              <w:snapToGrid/>
              <w:spacing w:line="400" w:lineRule="exact"/>
              <w:rPr>
                <w:rFonts w:hint="eastAsia"/>
                <w:lang w:val="en-US" w:eastAsia="zh-CN"/>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自助售卖区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站亭：</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按占地45m²设计，高2.5m，采用钢木结构烤漆材质搭建。</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自助售水机：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智能屏，支持微信、支付宝扫码支付，全钢机身，整体发泡一体成型可调整货道，</w:t>
            </w:r>
            <w:r>
              <w:rPr>
                <w:rFonts w:hint="eastAsia" w:ascii="宋体" w:hAnsi="宋体" w:eastAsia="宋体" w:cs="宋体"/>
                <w:i w:val="0"/>
                <w:iCs w:val="0"/>
                <w:color w:val="auto"/>
                <w:kern w:val="0"/>
                <w:sz w:val="21"/>
                <w:szCs w:val="21"/>
                <w:highlight w:val="none"/>
                <w:u w:val="none"/>
                <w:lang w:val="en-US" w:eastAsia="zh-CN" w:bidi="ar"/>
              </w:rPr>
              <w:t>单台售卖机</w:t>
            </w:r>
            <w:r>
              <w:rPr>
                <w:rFonts w:hint="eastAsia" w:ascii="宋体" w:hAnsi="宋体" w:eastAsia="宋体" w:cs="宋体"/>
                <w:i w:val="0"/>
                <w:iCs w:val="0"/>
                <w:color w:val="000000"/>
                <w:kern w:val="0"/>
                <w:sz w:val="21"/>
                <w:szCs w:val="21"/>
                <w:highlight w:val="none"/>
                <w:u w:val="none"/>
                <w:lang w:val="en-US" w:eastAsia="zh-CN" w:bidi="ar"/>
              </w:rPr>
              <w:t>不少于40货道，具备风冷制冷功能。</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包括完成接线通电场地搭设等满足设备正常运行的全部内容。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玩具零售自助机：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智能屏，支持微信、支付宝扫码支付，全钢机身，整体发泡一体成型可调整货道，</w:t>
            </w:r>
            <w:r>
              <w:rPr>
                <w:rFonts w:hint="eastAsia" w:ascii="宋体" w:hAnsi="宋体" w:eastAsia="宋体" w:cs="宋体"/>
                <w:i w:val="0"/>
                <w:iCs w:val="0"/>
                <w:color w:val="auto"/>
                <w:kern w:val="0"/>
                <w:sz w:val="21"/>
                <w:szCs w:val="21"/>
                <w:highlight w:val="none"/>
                <w:u w:val="none"/>
                <w:lang w:val="en-US" w:eastAsia="zh-CN" w:bidi="ar"/>
              </w:rPr>
              <w:t>单台售卖机</w:t>
            </w:r>
            <w:r>
              <w:rPr>
                <w:rFonts w:hint="eastAsia" w:ascii="宋体" w:hAnsi="宋体" w:eastAsia="宋体" w:cs="宋体"/>
                <w:i w:val="0"/>
                <w:iCs w:val="0"/>
                <w:color w:val="000000"/>
                <w:kern w:val="0"/>
                <w:sz w:val="21"/>
                <w:szCs w:val="21"/>
                <w:highlight w:val="none"/>
                <w:u w:val="none"/>
                <w:lang w:val="en-US" w:eastAsia="zh-CN" w:bidi="ar"/>
              </w:rPr>
              <w:t>不少于80货道。</w:t>
            </w:r>
          </w:p>
          <w:p>
            <w:pPr>
              <w:pStyle w:val="28"/>
              <w:ind w:left="0" w:leftChars="0" w:firstLine="0" w:firstLineChars="0"/>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包括完成接线通电场地搭设等满足设备正常运行的全部内容。</w:t>
            </w:r>
          </w:p>
          <w:p>
            <w:pPr>
              <w:pStyle w:val="29"/>
              <w:ind w:left="0" w:leftChars="0" w:firstLine="0" w:firstLineChars="0"/>
              <w:jc w:val="both"/>
              <w:rPr>
                <w:rFonts w:hint="eastAsia"/>
                <w:lang w:val="en-US" w:eastAsia="zh-CN"/>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餐车</w:t>
            </w: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材质：钢木结构烤漆，防雨顶棚，发光灯带及童趣形象装饰。</w:t>
            </w:r>
          </w:p>
          <w:p>
            <w:pPr>
              <w:keepNext w:val="0"/>
              <w:keepLines w:val="0"/>
              <w:pageBreakBefore w:val="0"/>
              <w:widowControl/>
              <w:suppressLineNumbers w:val="0"/>
              <w:kinsoku/>
              <w:wordWrap/>
              <w:overflowPunct/>
              <w:topLinePunct w:val="0"/>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尺寸：1.8m*1m*2m（H）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IP主题零售区</w:t>
            </w: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本项区域为5m*7.5m*3.5m（H）的室内空间区域，基础装饰内容包括：</w:t>
            </w:r>
          </w:p>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地面找平，全地面铺设塑胶地板；</w:t>
            </w:r>
          </w:p>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墙面找平，批腻子刷乳胶漆，墙面装饰采用UV高清软膜装饰+铝合金护角条；</w:t>
            </w:r>
          </w:p>
          <w:p>
            <w:pPr>
              <w:keepNext w:val="0"/>
              <w:keepLines w:val="0"/>
              <w:pageBreakBefore w:val="0"/>
              <w:widowControl/>
              <w:numPr>
                <w:ilvl w:val="0"/>
                <w:numId w:val="0"/>
              </w:numPr>
              <w:suppressLineNumbers w:val="0"/>
              <w:kinsoku/>
              <w:wordWrap/>
              <w:overflowPunct/>
              <w:topLinePunct w:val="0"/>
              <w:bidi w:val="0"/>
              <w:adjustRightInd/>
              <w:snapToGrid/>
              <w:spacing w:line="400" w:lineRule="exact"/>
              <w:ind w:left="0" w:leftChars="0" w:firstLine="0" w:firstLineChars="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顶部喷涂油漆。</w:t>
            </w:r>
          </w:p>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画面设计：结合主题设计。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b w:val="0"/>
                <w:i w:val="0"/>
                <w:iCs w:val="0"/>
                <w:color w:val="000000"/>
                <w:kern w:val="0"/>
                <w:sz w:val="21"/>
                <w:szCs w:val="21"/>
                <w:highlight w:val="none"/>
                <w:lang w:val="en-US" w:eastAsia="zh-CN" w:bidi="ar"/>
              </w:rPr>
            </w:pPr>
            <w:r>
              <w:rPr>
                <w:rFonts w:hint="eastAsia" w:ascii="宋体" w:hAnsi="宋体" w:eastAsia="宋体" w:cs="宋体"/>
                <w:i w:val="0"/>
                <w:iCs w:val="0"/>
                <w:color w:val="000000"/>
                <w:kern w:val="0"/>
                <w:sz w:val="21"/>
                <w:szCs w:val="21"/>
                <w:highlight w:val="none"/>
                <w:lang w:val="en-US" w:eastAsia="zh-CN" w:bidi="ar"/>
              </w:rPr>
              <w:t>灯光改造：安装轨道射灯，30w COB芯片射灯 +铝合金轨道；兼顾照明和氛围；（含完成照明线路改造所需的电线、套管、开关等配套辅材）</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b w:val="0"/>
                <w:i w:val="0"/>
                <w:iCs w:val="0"/>
                <w:color w:val="000000"/>
                <w:kern w:val="0"/>
                <w:sz w:val="21"/>
                <w:szCs w:val="21"/>
                <w:highlight w:val="none"/>
                <w:lang w:val="en-US" w:eastAsia="zh-CN" w:bidi="ar"/>
              </w:rPr>
            </w:pPr>
            <w:r>
              <w:rPr>
                <w:rFonts w:hint="eastAsia" w:ascii="宋体" w:hAnsi="宋体" w:eastAsia="宋体" w:cs="宋体"/>
                <w:i w:val="0"/>
                <w:iCs w:val="0"/>
                <w:color w:val="000000"/>
                <w:kern w:val="0"/>
                <w:sz w:val="21"/>
                <w:szCs w:val="21"/>
                <w:highlight w:val="none"/>
                <w:lang w:val="en-US" w:eastAsia="zh-CN" w:bidi="ar"/>
              </w:rPr>
              <w:t>更换卷闸门一樘，门洞尺寸约3.6m*3.3m</w:t>
            </w:r>
            <w:r>
              <w:rPr>
                <w:rFonts w:hint="eastAsia" w:ascii="宋体" w:hAnsi="宋体" w:eastAsia="宋体" w:cs="宋体"/>
                <w:i w:val="0"/>
                <w:iCs w:val="0"/>
                <w:color w:val="000000"/>
                <w:kern w:val="0"/>
                <w:sz w:val="21"/>
                <w:szCs w:val="21"/>
                <w:highlight w:val="none"/>
                <w:u w:val="none"/>
                <w:lang w:val="en-US" w:eastAsia="zh-CN" w:bidi="ar"/>
              </w:rPr>
              <w:t>（H）；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0"/>
                <w:sz w:val="21"/>
                <w:szCs w:val="21"/>
                <w:highlight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更换铝合金推拉窗，面积约3.6m*2.3m；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高货柜：采用木质烤漆材质，内置灯带，色彩协调，顶部设置</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形象灯箱，内置LED灯带；</w:t>
            </w:r>
          </w:p>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规格尺寸：1.2m*0.4m*2m（H）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中岛货柜：采用木质烤漆材质，内置灯带，色彩协调；</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规格尺寸：1.2m*0.6m*1.2m（H）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收银台：采用木质烤漆材质，色彩协调</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规格尺寸：1.8m*0.6m*1m（H）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空调：3P柜机，制冷量不小于3000W，变频，能效等级一级；</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推荐使用美的、格力、奥克斯品牌，同时也欢迎品牌品质都不低于推荐品牌的其他品牌前来投标。</w:t>
            </w:r>
            <w:r>
              <w:rPr>
                <w:rFonts w:hint="eastAsia" w:ascii="宋体" w:hAnsi="宋体" w:cs="宋体"/>
                <w:i w:val="0"/>
                <w:iCs w:val="0"/>
                <w:color w:val="000000"/>
                <w:kern w:val="0"/>
                <w:sz w:val="21"/>
                <w:szCs w:val="21"/>
                <w:u w:val="none"/>
                <w:lang w:val="en-US" w:eastAsia="zh-CN" w:bidi="ar"/>
              </w:rPr>
              <w:t>含铜管支架等辅材。</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玻璃钢IP主题角色雕塑，高度不低于2m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休息区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天幕：天幕面积按展开投影</w:t>
            </w:r>
            <w:r>
              <w:rPr>
                <w:rFonts w:hint="eastAsia" w:ascii="宋体" w:hAnsi="宋体" w:eastAsia="宋体" w:cs="宋体"/>
                <w:i w:val="0"/>
                <w:iCs w:val="0"/>
                <w:color w:val="000000"/>
                <w:kern w:val="0"/>
                <w:sz w:val="21"/>
                <w:szCs w:val="21"/>
                <w:highlight w:val="yellow"/>
                <w:u w:val="none"/>
                <w:lang w:val="en-US" w:eastAsia="zh-CN" w:bidi="ar"/>
              </w:rPr>
              <w:t>总</w:t>
            </w:r>
            <w:r>
              <w:rPr>
                <w:rFonts w:hint="eastAsia" w:ascii="宋体" w:hAnsi="宋体" w:eastAsia="宋体" w:cs="宋体"/>
                <w:i w:val="0"/>
                <w:iCs w:val="0"/>
                <w:color w:val="000000"/>
                <w:kern w:val="0"/>
                <w:sz w:val="21"/>
                <w:szCs w:val="21"/>
                <w:u w:val="none"/>
                <w:lang w:val="en-US" w:eastAsia="zh-CN" w:bidi="ar"/>
              </w:rPr>
              <w:t>面积不少于30</w:t>
            </w:r>
            <w:r>
              <w:rPr>
                <w:rFonts w:hint="eastAsia" w:ascii="宋体" w:hAnsi="宋体" w:eastAsia="宋体" w:cs="宋体"/>
                <w:i w:val="0"/>
                <w:iCs w:val="0"/>
                <w:color w:val="000000"/>
                <w:kern w:val="0"/>
                <w:sz w:val="21"/>
                <w:szCs w:val="21"/>
                <w:highlight w:val="none"/>
                <w:u w:val="none"/>
                <w:lang w:val="en-US" w:eastAsia="zh-CN" w:bidi="ar"/>
              </w:rPr>
              <w:t>㎡考虑。灯带氛围装饰。</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桌子：</w:t>
            </w:r>
          </w:p>
          <w:p>
            <w:pPr>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b w:val="0"/>
                <w:bCs/>
                <w:i w:val="0"/>
                <w:iCs w:val="0"/>
                <w:color w:val="000000"/>
                <w:sz w:val="21"/>
                <w:szCs w:val="21"/>
                <w:highlight w:val="none"/>
                <w:u w:val="none"/>
                <w:lang w:val="en-US" w:eastAsia="zh-CN"/>
              </w:rPr>
            </w:pPr>
            <w:r>
              <w:rPr>
                <w:rFonts w:hint="eastAsia" w:ascii="宋体" w:hAnsi="宋体" w:eastAsia="宋体" w:cs="宋体"/>
                <w:b w:val="0"/>
                <w:bCs/>
                <w:i w:val="0"/>
                <w:iCs w:val="0"/>
                <w:color w:val="000000"/>
                <w:kern w:val="0"/>
                <w:sz w:val="21"/>
                <w:szCs w:val="21"/>
                <w:highlight w:val="none"/>
                <w:u w:val="none"/>
                <w:lang w:val="en-US" w:eastAsia="zh-CN" w:bidi="ar"/>
              </w:rPr>
              <w:t>材质：铁艺+烤漆；</w:t>
            </w:r>
          </w:p>
          <w:p>
            <w:pPr>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b/>
                <w:kern w:val="0"/>
                <w:sz w:val="21"/>
                <w:szCs w:val="21"/>
                <w:lang w:val="en-US" w:eastAsia="zh-CN" w:bidi="ar-SA"/>
              </w:rPr>
            </w:pPr>
            <w:r>
              <w:rPr>
                <w:rFonts w:hint="eastAsia" w:ascii="宋体" w:hAnsi="宋体" w:eastAsia="宋体" w:cs="宋体"/>
                <w:i w:val="0"/>
                <w:iCs w:val="0"/>
                <w:color w:val="000000"/>
                <w:sz w:val="21"/>
                <w:szCs w:val="21"/>
                <w:highlight w:val="none"/>
                <w:u w:val="none"/>
                <w:lang w:val="en-US" w:eastAsia="zh-CN"/>
              </w:rPr>
              <w:t>尺寸：高0.6m，桌面不小于1</w:t>
            </w:r>
            <w:r>
              <w:rPr>
                <w:rFonts w:hint="eastAsia" w:ascii="宋体" w:hAnsi="宋体" w:eastAsia="宋体" w:cs="宋体"/>
                <w:i w:val="0"/>
                <w:iCs w:val="0"/>
                <w:color w:val="000000"/>
                <w:kern w:val="0"/>
                <w:sz w:val="21"/>
                <w:szCs w:val="21"/>
                <w:highlight w:val="none"/>
                <w:u w:val="none"/>
                <w:lang w:val="en-US" w:eastAsia="zh-CN" w:bidi="ar"/>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长凳：</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i w:val="0"/>
                <w:iCs w:val="0"/>
                <w:color w:val="000000"/>
                <w:sz w:val="21"/>
                <w:szCs w:val="21"/>
                <w:highlight w:val="none"/>
                <w:u w:val="none"/>
                <w:lang w:val="en-US" w:eastAsia="zh-CN"/>
              </w:rPr>
            </w:pPr>
            <w:r>
              <w:rPr>
                <w:rFonts w:hint="eastAsia" w:ascii="宋体" w:hAnsi="宋体" w:eastAsia="宋体" w:cs="宋体"/>
                <w:b w:val="0"/>
                <w:bCs/>
                <w:i w:val="0"/>
                <w:iCs w:val="0"/>
                <w:color w:val="000000"/>
                <w:sz w:val="21"/>
                <w:szCs w:val="21"/>
                <w:highlight w:val="none"/>
                <w:u w:val="none"/>
                <w:lang w:val="en-US" w:eastAsia="zh-CN"/>
              </w:rPr>
              <w:t>材质：铁艺+烤漆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i w:val="0"/>
                <w:iCs w:val="0"/>
                <w:color w:val="000000"/>
                <w:sz w:val="21"/>
                <w:szCs w:val="21"/>
                <w:highlight w:val="none"/>
                <w:u w:val="none"/>
                <w:lang w:val="en-US" w:eastAsia="zh-CN"/>
              </w:rPr>
              <w:t>尺寸：1.8m*0.4m*0.45m。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乐园氛围装饰</w:t>
            </w:r>
          </w:p>
        </w:tc>
        <w:tc>
          <w:tcPr>
            <w:tcW w:w="5910" w:type="dxa"/>
            <w:gridSpan w:val="3"/>
            <w:noWrap w:val="0"/>
            <w:vAlign w:val="center"/>
          </w:tcPr>
          <w:p>
            <w:pPr>
              <w:pStyle w:val="56"/>
              <w:keepNext w:val="0"/>
              <w:keepLines w:val="0"/>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i w:val="0"/>
                <w:iCs w:val="0"/>
                <w:color w:val="000000"/>
                <w:kern w:val="2"/>
                <w:sz w:val="21"/>
                <w:szCs w:val="21"/>
                <w:highlight w:val="none"/>
                <w:u w:val="none"/>
                <w:lang w:val="en-US" w:eastAsia="zh-CN" w:bidi="ar-SA"/>
              </w:rPr>
            </w:pPr>
            <w:r>
              <w:rPr>
                <w:rFonts w:hint="eastAsia" w:ascii="宋体" w:hAnsi="宋体" w:eastAsia="宋体" w:cs="宋体"/>
                <w:b w:val="0"/>
                <w:i w:val="0"/>
                <w:iCs w:val="0"/>
                <w:color w:val="000000"/>
                <w:kern w:val="2"/>
                <w:sz w:val="21"/>
                <w:szCs w:val="21"/>
                <w:highlight w:val="none"/>
                <w:u w:val="none"/>
                <w:lang w:val="en-US" w:eastAsia="zh-CN" w:bidi="ar-SA"/>
              </w:rPr>
              <w:t>基础改造：</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基础改造包括场地平整及硬化处理不少于800㎡（混凝土标号不小于C20，厚度不小于5cm）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b w:val="0"/>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地坪漆彩绘面积不小于200㎡。画面结合乐园主题和开园主题设计。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外立面吊旗：</w:t>
            </w:r>
          </w:p>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厂房建筑外立面采用金属框架UV软膜吊旗装饰，装饰总面积不小于200㎡。吊旗内容结合乐园主题和开园主题设计。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电力接入</w:t>
            </w: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乐园区块内所有游乐设备的电力电缆及配件需接入采购人指定配电箱，投标供应商自行踏勘现场综合考虑报价。</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给水接入</w:t>
            </w:r>
          </w:p>
        </w:tc>
        <w:tc>
          <w:tcPr>
            <w:tcW w:w="5910" w:type="dxa"/>
            <w:gridSpan w:val="3"/>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游乐园内所有设备的给水接入采购人指定阀门，投标供应商自行踏勘现场综合考虑报价。</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480" w:type="dxa"/>
            <w:gridSpan w:val="7"/>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水世界区块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eastAsia="zh-CN"/>
              </w:rPr>
              <w:t>货物技术参数</w:t>
            </w:r>
            <w:r>
              <w:rPr>
                <w:rFonts w:hint="eastAsia" w:ascii="宋体" w:hAnsi="宋体" w:cs="宋体"/>
                <w:b/>
                <w:bCs/>
                <w:i w:val="0"/>
                <w:iCs w:val="0"/>
                <w:color w:val="000000"/>
                <w:sz w:val="21"/>
                <w:szCs w:val="21"/>
                <w:u w:val="none"/>
                <w:lang w:eastAsia="zh-CN"/>
              </w:rPr>
              <w:t>及设计要求</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入口长廊</w:t>
            </w:r>
          </w:p>
        </w:tc>
        <w:tc>
          <w:tcPr>
            <w:tcW w:w="5910" w:type="dxa"/>
            <w:gridSpan w:val="3"/>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入口长廊：按拱形镂空长廊设计，采用钢木结构烤漆工艺，长廊体量</w:t>
            </w:r>
            <w:r>
              <w:rPr>
                <w:rFonts w:hint="eastAsia" w:ascii="宋体" w:hAnsi="宋体" w:eastAsia="宋体" w:cs="宋体"/>
                <w:i w:val="0"/>
                <w:iCs w:val="0"/>
                <w:color w:val="000000"/>
                <w:kern w:val="0"/>
                <w:sz w:val="21"/>
                <w:szCs w:val="21"/>
                <w:highlight w:val="none"/>
                <w:u w:val="none"/>
                <w:lang w:val="en-US" w:eastAsia="zh-CN" w:bidi="ar"/>
              </w:rPr>
              <w:t>按长4m*深4.5m*高2.7m（±0.2m</w:t>
            </w:r>
            <w:r>
              <w:rPr>
                <w:rFonts w:hint="eastAsia" w:ascii="宋体" w:hAnsi="宋体" w:eastAsia="宋体" w:cs="宋体"/>
                <w:i w:val="0"/>
                <w:iCs w:val="0"/>
                <w:color w:val="000000"/>
                <w:kern w:val="0"/>
                <w:sz w:val="21"/>
                <w:szCs w:val="21"/>
                <w:u w:val="none"/>
                <w:lang w:val="en-US" w:eastAsia="zh-CN" w:bidi="ar"/>
              </w:rPr>
              <w:t>）考虑。</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形象装饰：顶部设置logo灯箱，</w:t>
            </w:r>
            <w:r>
              <w:rPr>
                <w:rFonts w:hint="eastAsia" w:ascii="宋体" w:hAnsi="宋体" w:eastAsia="宋体" w:cs="宋体"/>
                <w:b w:val="0"/>
                <w:i w:val="0"/>
                <w:iCs w:val="0"/>
                <w:color w:val="000000"/>
                <w:kern w:val="0"/>
                <w:sz w:val="21"/>
                <w:szCs w:val="21"/>
                <w:highlight w:val="yellow"/>
                <w:u w:val="none"/>
                <w:lang w:val="en-US" w:eastAsia="zh-CN" w:bidi="ar"/>
              </w:rPr>
              <w:t>IP主题</w:t>
            </w:r>
            <w:r>
              <w:rPr>
                <w:rFonts w:hint="eastAsia" w:ascii="宋体" w:hAnsi="宋体" w:eastAsia="宋体" w:cs="宋体"/>
                <w:b w:val="0"/>
                <w:i w:val="0"/>
                <w:iCs w:val="0"/>
                <w:color w:val="000000"/>
                <w:kern w:val="0"/>
                <w:sz w:val="21"/>
                <w:szCs w:val="21"/>
                <w:u w:val="none"/>
                <w:lang w:val="en-US" w:eastAsia="zh-CN" w:bidi="ar"/>
              </w:rPr>
              <w:t>装饰，配备发光灯带，画面由供应商根据主题元素深化设计。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入口地面</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highlight w:val="none"/>
                <w:u w:val="none"/>
                <w:lang w:val="en-US" w:eastAsia="zh-CN" w:bidi="ar"/>
              </w:rPr>
              <w:t>地面铺设不少于20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b w:val="0"/>
                <w:i w:val="0"/>
                <w:iCs w:val="0"/>
                <w:color w:val="000000"/>
                <w:kern w:val="0"/>
                <w:sz w:val="21"/>
                <w:szCs w:val="21"/>
                <w:highlight w:val="none"/>
                <w:u w:val="none"/>
                <w:lang w:val="en-US" w:eastAsia="zh-CN" w:bidi="ar"/>
              </w:rPr>
              <w:t>塑胶地板，画</w:t>
            </w:r>
            <w:r>
              <w:rPr>
                <w:rFonts w:hint="eastAsia" w:ascii="宋体" w:hAnsi="宋体" w:eastAsia="宋体" w:cs="宋体"/>
                <w:b w:val="0"/>
                <w:i w:val="0"/>
                <w:iCs w:val="0"/>
                <w:color w:val="000000"/>
                <w:kern w:val="0"/>
                <w:sz w:val="21"/>
                <w:szCs w:val="21"/>
                <w:u w:val="none"/>
                <w:lang w:val="en-US" w:eastAsia="zh-CN" w:bidi="ar"/>
              </w:rPr>
              <w:t>面由供应商根据主题元素深化设计。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隔墙</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原小学和幼儿园室外场地搭建固定隔墙做场地封闭。采用彩钢夹芯保温板，尺寸：28m*3.5m（H），墙体厚度不小于10cm；两面彩钢板不小于2mm，采用钢龙骨固定，固定方式投标单位可自行深化，需满足隔墙安全，不宜倒塌，</w:t>
            </w:r>
            <w:r>
              <w:rPr>
                <w:rFonts w:hint="eastAsia" w:ascii="宋体" w:hAnsi="宋体" w:eastAsia="宋体" w:cs="宋体"/>
                <w:i w:val="0"/>
                <w:iCs w:val="0"/>
                <w:color w:val="000000"/>
                <w:kern w:val="0"/>
                <w:sz w:val="21"/>
                <w:szCs w:val="21"/>
                <w:u w:val="none"/>
                <w:lang w:val="en-US" w:eastAsia="zh-CN" w:bidi="ar"/>
              </w:rPr>
              <w:t>墙体设计施工均须符合国家相关技术规范标准。</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墙面单面采用高清软膜，画面结合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和水世界主题设计。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照明灯塔</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一个灯柱配 4个灯头</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钢质灯柱，高度不小于6m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LED灯头：功率200W*4</w:t>
            </w:r>
          </w:p>
          <w:p>
            <w:pPr>
              <w:pStyle w:val="58"/>
              <w:ind w:left="0" w:leftChars="0" w:firstLine="0" w:firstLineChars="0"/>
              <w:rPr>
                <w:rFonts w:hint="eastAsia" w:ascii="宋体" w:hAnsi="宋体" w:eastAsia="宋体" w:cs="宋体"/>
                <w:sz w:val="21"/>
                <w:szCs w:val="21"/>
                <w:lang w:val="en-US" w:eastAsia="zh-CN"/>
              </w:rPr>
            </w:pPr>
            <w:r>
              <w:rPr>
                <w:rFonts w:hint="eastAsia" w:ascii="宋体" w:hAnsi="宋体" w:eastAsia="宋体" w:cs="宋体"/>
                <w:i w:val="0"/>
                <w:iCs w:val="0"/>
                <w:color w:val="000000"/>
                <w:spacing w:val="0"/>
                <w:kern w:val="0"/>
                <w:sz w:val="21"/>
                <w:szCs w:val="21"/>
                <w:u w:val="none"/>
                <w:lang w:val="en-US" w:eastAsia="zh-CN" w:bidi="ar"/>
              </w:rPr>
              <w:t>含基础、接地</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定制IP主题水上游乐区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以</w:t>
            </w:r>
            <w:r>
              <w:rPr>
                <w:rFonts w:hint="eastAsia" w:ascii="宋体" w:hAnsi="宋体" w:eastAsia="宋体" w:cs="宋体"/>
                <w:i w:val="0"/>
                <w:iCs w:val="0"/>
                <w:color w:val="000000"/>
                <w:kern w:val="0"/>
                <w:sz w:val="21"/>
                <w:szCs w:val="21"/>
                <w:highlight w:val="none"/>
                <w:u w:val="none"/>
                <w:lang w:val="en-US" w:eastAsia="zh-CN" w:bidi="ar"/>
              </w:rPr>
              <w:t>主题IP形</w:t>
            </w:r>
            <w:r>
              <w:rPr>
                <w:rFonts w:hint="eastAsia" w:ascii="宋体" w:hAnsi="宋体" w:eastAsia="宋体" w:cs="宋体"/>
                <w:i w:val="0"/>
                <w:iCs w:val="0"/>
                <w:color w:val="000000"/>
                <w:kern w:val="0"/>
                <w:sz w:val="21"/>
                <w:szCs w:val="21"/>
                <w:u w:val="none"/>
                <w:lang w:val="en-US" w:eastAsia="zh-CN" w:bidi="ar"/>
              </w:rPr>
              <w:t>象定制进行整体设计安装大型充气城堡水上乐园，外观上需要考虑色彩和形象的整体协调，分布错落有致；功能上要兼顾趣味性、安全性和低龄儿童特性。采用PVC夹网布材料定制充气游乐设备，配备水循环系统不少于4套。</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功能分区要求，设置5个功能分区：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水上海洋球单元：整体区域占地200</w:t>
            </w:r>
            <w:r>
              <w:rPr>
                <w:rFonts w:hint="eastAsia" w:ascii="宋体" w:hAnsi="宋体" w:eastAsia="宋体" w:cs="宋体"/>
                <w:i w:val="0"/>
                <w:iCs w:val="0"/>
                <w:color w:val="000000"/>
                <w:kern w:val="0"/>
                <w:sz w:val="21"/>
                <w:szCs w:val="21"/>
                <w:highlight w:val="none"/>
                <w:u w:val="none"/>
                <w:lang w:val="en-US" w:eastAsia="zh-CN" w:bidi="ar"/>
              </w:rPr>
              <w:t>㎡，充气设备需要设计</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元素造型，配备不少于3万个海洋球；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lang w:val="en-US" w:eastAsia="zh-CN" w:bidi="ar"/>
              </w:rPr>
              <w:t>2、</w:t>
            </w:r>
            <w:r>
              <w:rPr>
                <w:rFonts w:hint="eastAsia" w:ascii="宋体" w:hAnsi="宋体" w:eastAsia="宋体" w:cs="宋体"/>
                <w:i w:val="0"/>
                <w:iCs w:val="0"/>
                <w:color w:val="000000"/>
                <w:kern w:val="0"/>
                <w:sz w:val="21"/>
                <w:szCs w:val="21"/>
                <w:u w:val="none"/>
                <w:lang w:val="en-US" w:eastAsia="zh-CN" w:bidi="ar"/>
              </w:rPr>
              <w:t>水上冲关单元：整体区域占地200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设置不同趣味关卡不少于6个</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b w:val="0"/>
                <w:i w:val="0"/>
                <w:iCs w:val="0"/>
                <w:color w:val="000000"/>
                <w:kern w:val="0"/>
                <w:sz w:val="21"/>
                <w:szCs w:val="21"/>
                <w:u w:val="none"/>
                <w:lang w:val="en-US" w:eastAsia="zh-CN" w:bidi="ar"/>
              </w:rPr>
              <w:t>充分考虑儿童特性设计，</w:t>
            </w:r>
            <w:r>
              <w:rPr>
                <w:rFonts w:hint="eastAsia" w:ascii="宋体" w:hAnsi="宋体" w:eastAsia="宋体" w:cs="宋体"/>
                <w:i w:val="0"/>
                <w:iCs w:val="0"/>
                <w:color w:val="000000"/>
                <w:kern w:val="0"/>
                <w:sz w:val="21"/>
                <w:szCs w:val="21"/>
                <w:highlight w:val="none"/>
                <w:u w:val="none"/>
                <w:lang w:val="en-US" w:eastAsia="zh-CN" w:bidi="ar"/>
              </w:rPr>
              <w:t>充气设备需要设计</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元素造型</w:t>
            </w:r>
            <w:r>
              <w:rPr>
                <w:rFonts w:hint="eastAsia" w:ascii="宋体" w:hAnsi="宋体" w:eastAsia="宋体" w:cs="宋体"/>
                <w:b w:val="0"/>
                <w:i w:val="0"/>
                <w:iCs w:val="0"/>
                <w:color w:val="000000"/>
                <w:kern w:val="0"/>
                <w:sz w:val="21"/>
                <w:szCs w:val="21"/>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3、</w:t>
            </w:r>
            <w:r>
              <w:rPr>
                <w:rFonts w:hint="eastAsia" w:ascii="宋体" w:hAnsi="宋体" w:eastAsia="宋体" w:cs="宋体"/>
                <w:i w:val="0"/>
                <w:iCs w:val="0"/>
                <w:color w:val="000000"/>
                <w:kern w:val="0"/>
                <w:sz w:val="21"/>
                <w:szCs w:val="21"/>
                <w:u w:val="none"/>
                <w:lang w:val="en-US" w:eastAsia="zh-CN" w:bidi="ar"/>
              </w:rPr>
              <w:t>水上蹦蹦云单元：整体区域占地200</w:t>
            </w:r>
            <w:r>
              <w:rPr>
                <w:rFonts w:hint="eastAsia" w:ascii="宋体" w:hAnsi="宋体" w:eastAsia="宋体" w:cs="宋体"/>
                <w:i w:val="0"/>
                <w:iCs w:val="0"/>
                <w:color w:val="000000"/>
                <w:kern w:val="0"/>
                <w:sz w:val="21"/>
                <w:szCs w:val="21"/>
                <w:highlight w:val="none"/>
                <w:u w:val="none"/>
                <w:lang w:val="en-US" w:eastAsia="zh-CN" w:bidi="ar"/>
              </w:rPr>
              <w:t>㎡，充气设备需要设计</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元素造型</w:t>
            </w:r>
            <w:r>
              <w:rPr>
                <w:rFonts w:hint="eastAsia" w:ascii="宋体" w:hAnsi="宋体" w:eastAsia="宋体" w:cs="宋体"/>
                <w:i w:val="0"/>
                <w:iCs w:val="0"/>
                <w:color w:val="000000"/>
                <w:kern w:val="0"/>
                <w:sz w:val="21"/>
                <w:szCs w:val="21"/>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4、水上游戏区：整体区域占地200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含水上漂浮玩具不少于20件；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5、水滑梯：充气设备占地约100</w:t>
            </w:r>
            <w:r>
              <w:rPr>
                <w:rFonts w:hint="eastAsia" w:ascii="宋体" w:hAnsi="宋体" w:eastAsia="宋体" w:cs="宋体"/>
                <w:i w:val="0"/>
                <w:iCs w:val="0"/>
                <w:color w:val="000000"/>
                <w:kern w:val="0"/>
                <w:sz w:val="21"/>
                <w:szCs w:val="21"/>
                <w:highlight w:val="none"/>
                <w:u w:val="none"/>
                <w:lang w:val="en-US" w:eastAsia="zh-CN" w:bidi="ar"/>
              </w:rPr>
              <w:t>㎡，设计</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元素造型，高度不小于3.5米，至少安排2个滑道，滑道可设计在其他功能区水域内</w:t>
            </w:r>
            <w:r>
              <w:rPr>
                <w:rFonts w:hint="eastAsia" w:ascii="宋体" w:hAnsi="宋体" w:eastAsia="宋体" w:cs="宋体"/>
                <w:i w:val="0"/>
                <w:iCs w:val="0"/>
                <w:color w:val="000000"/>
                <w:kern w:val="0"/>
                <w:sz w:val="21"/>
                <w:szCs w:val="21"/>
                <w:u w:val="none"/>
                <w:lang w:val="en-US" w:eastAsia="zh-CN" w:bidi="ar"/>
              </w:rPr>
              <w:t>；</w:t>
            </w:r>
          </w:p>
          <w:p>
            <w:pPr>
              <w:pStyle w:val="58"/>
              <w:keepNext w:val="0"/>
              <w:keepLines w:val="0"/>
              <w:pageBreakBefore w:val="0"/>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原则上功能分区串联设计为整体布局，若功能分区蓄水池造型为曲线型时，允许因造型设计而裸露地面，但裸露的地面应铺设仿真草坪。实施内容应包含接通水电。</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遮阳伞和休息椅</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游乐区周边配套度假风情落地遮阳伞和休息椅打卡点，以一伞二椅为一组，遮阳伞直径不小于2.7m，躺椅全铝合金框架。</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玻璃钢IP主题角色雕塑</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角色雕塑，高度不低于</w:t>
            </w:r>
            <w:r>
              <w:rPr>
                <w:rFonts w:hint="eastAsia" w:ascii="宋体" w:hAnsi="宋体" w:eastAsia="宋体" w:cs="宋体"/>
                <w:i w:val="0"/>
                <w:iCs w:val="0"/>
                <w:color w:val="000000"/>
                <w:kern w:val="0"/>
                <w:sz w:val="21"/>
                <w:szCs w:val="21"/>
                <w:highlight w:val="none"/>
                <w:u w:val="none"/>
                <w:lang w:val="en-US" w:eastAsia="zh-CN" w:bidi="ar"/>
              </w:rPr>
              <w:t>0.7m。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按适合低龄儿童打卡考虑造型。</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移动遮阳棚</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移动遮阳棚展开投影总面积不少于50㎡</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9</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淋浴间</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户外成品淋浴间，彩钢保温板材质，单个占地1.5㎡，高度不低于2m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储物柜</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钢制储物柜，采用智能储物系统，支持扫码储物，单个储物格内部尺寸不小于宽30cm*深40cm*高25cm，提供不少于100格储物格，可以是多个设备组合。</w:t>
            </w:r>
          </w:p>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储物柜体需要设计主题元素图案。</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室内休息区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地面改造100㎡，包含地面找平、铺设主题元素塑胶地板；</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墙面改造面积不少于100㎡，墙面找平，铺设UV高清软膜，画面体现主题元素；</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钢木结构桌椅</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桌子20个，规格1.2m*0.6m*0.7m（H）</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双人椅30个，规格1.2m*0.45m*凳面高度0.4m（含椅背高度不小于0.8m）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电力接入</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本区块内所有游乐设备的电力电缆及配件需接入采购人指定配电箱，投标供应商自行踏勘现场综合考虑报价。</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给水接入</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游乐园内所有设备的给水接入采购人指定阀门，投标供应商自行踏勘现场综合考虑报价。</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480" w:type="dxa"/>
            <w:gridSpan w:val="7"/>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亲子展区块</w:t>
            </w:r>
          </w:p>
        </w:tc>
      </w:tr>
      <w:tr>
        <w:tblPrEx>
          <w:tblCellMar>
            <w:top w:w="0" w:type="dxa"/>
            <w:left w:w="108" w:type="dxa"/>
            <w:bottom w:w="0" w:type="dxa"/>
            <w:right w:w="108" w:type="dxa"/>
          </w:tblCellMar>
        </w:tblPrEx>
        <w:trPr>
          <w:trHeight w:val="54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sz w:val="21"/>
                <w:szCs w:val="21"/>
                <w:u w:val="none"/>
                <w:lang w:eastAsia="zh-CN"/>
              </w:rPr>
              <w:t>货物技术参数</w:t>
            </w:r>
            <w:r>
              <w:rPr>
                <w:rFonts w:hint="eastAsia" w:ascii="宋体" w:hAnsi="宋体" w:cs="宋体"/>
                <w:b/>
                <w:bCs/>
                <w:i w:val="0"/>
                <w:iCs w:val="0"/>
                <w:color w:val="000000"/>
                <w:sz w:val="21"/>
                <w:szCs w:val="21"/>
                <w:u w:val="none"/>
                <w:lang w:eastAsia="zh-CN"/>
              </w:rPr>
              <w:t>及设计要求</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室外入口门</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采用钢木结构烤漆工艺，制作造型门洞，长5m*高3m，主题发光logo及</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元素装饰，要求标志醒目，色彩牢固鲜艳。</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墙面装饰</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室内整体墙面长度约70m，高度约3.5m，对整体墙面进行装饰改造。</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做法：采用10cm厚聚氨酯夹心板装饰；铺设UV高清软膜，画面设计以科普知识展示为主要方向。</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地面改造</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铺设塑胶地板，不少于300㎡；PE材质</w:t>
            </w:r>
            <w:r>
              <w:rPr>
                <w:rFonts w:hint="eastAsia" w:ascii="宋体" w:hAnsi="宋体" w:eastAsia="宋体" w:cs="宋体"/>
                <w:i w:val="0"/>
                <w:iCs w:val="0"/>
                <w:color w:val="000000"/>
                <w:kern w:val="0"/>
                <w:sz w:val="21"/>
                <w:szCs w:val="21"/>
                <w:u w:val="none"/>
                <w:lang w:val="en-US" w:eastAsia="zh-CN" w:bidi="ar"/>
              </w:rPr>
              <w:t>高密度地垫不少于200</w:t>
            </w:r>
            <w:r>
              <w:rPr>
                <w:rFonts w:hint="eastAsia" w:ascii="宋体" w:hAnsi="宋体" w:eastAsia="宋体" w:cs="宋体"/>
                <w:i w:val="0"/>
                <w:iCs w:val="0"/>
                <w:color w:val="000000"/>
                <w:kern w:val="0"/>
                <w:sz w:val="21"/>
                <w:szCs w:val="21"/>
                <w:highlight w:val="none"/>
                <w:u w:val="none"/>
                <w:lang w:val="en-US" w:eastAsia="zh-CN" w:bidi="ar"/>
              </w:rPr>
              <w:t>㎡。</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照明灯光</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安装30W COB芯片射灯+铝合金轨道</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本项包含照明线路改造所需的电线、套管、开关等配套辅材。</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sz w:val="21"/>
                <w:szCs w:val="21"/>
                <w:highlight w:val="none"/>
                <w:u w:val="none"/>
                <w:lang w:val="en-US" w:eastAsia="zh-CN"/>
              </w:rPr>
              <w:t>40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sz w:val="21"/>
                <w:szCs w:val="21"/>
                <w:highlight w:val="none"/>
                <w:u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氛围灯光</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造型氛围灯，体现主题元素，不少于30个。本项包含线路改造所需的电线、套管、开关等配套辅材。</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3匹柜式空调</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3P柜机，制冷量不小于3000W，变频，能效等级一级；</w:t>
            </w:r>
            <w:r>
              <w:rPr>
                <w:rFonts w:hint="eastAsia" w:ascii="宋体" w:hAnsi="宋体" w:cs="宋体"/>
                <w:i w:val="0"/>
                <w:iCs w:val="0"/>
                <w:color w:val="000000"/>
                <w:sz w:val="21"/>
                <w:szCs w:val="21"/>
                <w:u w:val="none"/>
                <w:lang w:val="en-US" w:eastAsia="zh-CN"/>
              </w:rPr>
              <w:t>新风空调</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推荐使用美的、格力、奥克斯品牌，同时也欢迎品牌品质都不低于推荐品牌的其他品牌前来投标。</w:t>
            </w:r>
            <w:r>
              <w:rPr>
                <w:rFonts w:hint="eastAsia" w:ascii="宋体" w:hAnsi="宋体" w:cs="宋体"/>
                <w:i w:val="0"/>
                <w:iCs w:val="0"/>
                <w:color w:val="000000"/>
                <w:kern w:val="0"/>
                <w:sz w:val="21"/>
                <w:szCs w:val="21"/>
                <w:u w:val="none"/>
                <w:lang w:val="en-US" w:eastAsia="zh-CN" w:bidi="ar"/>
              </w:rPr>
              <w:t>含铜管支架等辅材。</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6</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障碍挑战区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sz w:val="21"/>
                <w:szCs w:val="21"/>
                <w:u w:val="none"/>
                <w:lang w:val="en-US" w:eastAsia="zh-CN"/>
              </w:rPr>
              <w:t>按占地面积50㎡设计安装；</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sz w:val="21"/>
                <w:szCs w:val="21"/>
                <w:u w:val="none"/>
                <w:lang w:val="en-US" w:eastAsia="zh-CN"/>
              </w:rPr>
              <w:t>应考虑趣味性和安全性，场内设施包括围档、海绵池、趣味关卡，全部采用木结构仿皮防撞软包。围挡高度不小于0.8m；</w:t>
            </w:r>
            <w:r>
              <w:rPr>
                <w:rFonts w:hint="eastAsia" w:ascii="宋体" w:hAnsi="宋体" w:eastAsia="宋体" w:cs="宋体"/>
                <w:i w:val="0"/>
                <w:iCs w:val="0"/>
                <w:color w:val="000000"/>
                <w:kern w:val="0"/>
                <w:sz w:val="21"/>
                <w:szCs w:val="21"/>
                <w:u w:val="none"/>
                <w:lang w:val="en-US" w:eastAsia="zh-CN" w:bidi="ar"/>
              </w:rPr>
              <w:t>海绵池配备不少于</w:t>
            </w:r>
            <w:r>
              <w:rPr>
                <w:rFonts w:hint="eastAsia" w:ascii="宋体" w:hAnsi="宋体" w:eastAsia="宋体" w:cs="宋体"/>
                <w:i w:val="0"/>
                <w:iCs w:val="0"/>
                <w:color w:val="000000"/>
                <w:kern w:val="0"/>
                <w:sz w:val="21"/>
                <w:szCs w:val="21"/>
                <w:highlight w:val="none"/>
                <w:u w:val="none"/>
                <w:lang w:val="en-US" w:eastAsia="zh-CN" w:bidi="ar"/>
              </w:rPr>
              <w:t>1000个海绵积木</w:t>
            </w:r>
            <w:r>
              <w:rPr>
                <w:rFonts w:hint="eastAsia" w:ascii="宋体" w:hAnsi="宋体" w:eastAsia="宋体" w:cs="宋体"/>
                <w:i w:val="0"/>
                <w:iCs w:val="0"/>
                <w:color w:val="000000"/>
                <w:kern w:val="0"/>
                <w:sz w:val="21"/>
                <w:szCs w:val="21"/>
                <w:u w:val="none"/>
                <w:lang w:val="en-US" w:eastAsia="zh-CN" w:bidi="ar"/>
              </w:rPr>
              <w:t>；趣味关卡应</w:t>
            </w:r>
            <w:r>
              <w:rPr>
                <w:rFonts w:hint="eastAsia" w:ascii="宋体" w:hAnsi="宋体" w:eastAsia="宋体" w:cs="宋体"/>
                <w:b w:val="0"/>
                <w:i w:val="0"/>
                <w:iCs w:val="0"/>
                <w:color w:val="000000"/>
                <w:kern w:val="0"/>
                <w:sz w:val="21"/>
                <w:szCs w:val="21"/>
                <w:u w:val="none"/>
                <w:lang w:val="en-US" w:eastAsia="zh-CN" w:bidi="ar"/>
              </w:rPr>
              <w:t>充分考虑低龄儿童特性。</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沙池</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按占地面积30㎡设计安装；</w:t>
            </w:r>
            <w:r>
              <w:rPr>
                <w:rFonts w:hint="eastAsia" w:ascii="宋体" w:hAnsi="宋体" w:eastAsia="宋体" w:cs="宋体"/>
                <w:i w:val="0"/>
                <w:iCs w:val="0"/>
                <w:color w:val="000000"/>
                <w:kern w:val="0"/>
                <w:sz w:val="21"/>
                <w:szCs w:val="21"/>
                <w:u w:val="none"/>
                <w:lang w:val="en-US" w:eastAsia="zh-CN" w:bidi="ar"/>
              </w:rPr>
              <w:t>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sz w:val="21"/>
                <w:szCs w:val="21"/>
                <w:u w:val="none"/>
                <w:lang w:val="en-US" w:eastAsia="zh-CN"/>
              </w:rPr>
              <w:t>场内设施包</w:t>
            </w:r>
            <w:r>
              <w:rPr>
                <w:rFonts w:hint="eastAsia" w:ascii="宋体" w:hAnsi="宋体" w:eastAsia="宋体" w:cs="宋体"/>
                <w:i w:val="0"/>
                <w:iCs w:val="0"/>
                <w:color w:val="000000"/>
                <w:kern w:val="0"/>
                <w:sz w:val="21"/>
                <w:szCs w:val="21"/>
                <w:u w:val="none"/>
                <w:lang w:val="en-US" w:eastAsia="zh-CN" w:bidi="ar"/>
              </w:rPr>
              <w:t>含</w:t>
            </w:r>
            <w:r>
              <w:rPr>
                <w:rFonts w:hint="eastAsia" w:ascii="宋体" w:hAnsi="宋体" w:eastAsia="宋体" w:cs="宋体"/>
                <w:i w:val="0"/>
                <w:iCs w:val="0"/>
                <w:color w:val="000000"/>
                <w:sz w:val="21"/>
                <w:szCs w:val="21"/>
                <w:u w:val="none"/>
                <w:lang w:val="en-US" w:eastAsia="zh-CN"/>
              </w:rPr>
              <w:t>木结构仿皮防撞软包围挡高度不小于0.8</w:t>
            </w:r>
            <w:r>
              <w:rPr>
                <w:rFonts w:hint="eastAsia" w:ascii="宋体" w:hAnsi="宋体" w:eastAsia="宋体" w:cs="宋体"/>
                <w:i w:val="0"/>
                <w:iCs w:val="0"/>
                <w:color w:val="000000"/>
                <w:sz w:val="21"/>
                <w:szCs w:val="21"/>
                <w:highlight w:val="none"/>
                <w:u w:val="none"/>
                <w:lang w:val="en-US" w:eastAsia="zh-CN"/>
              </w:rPr>
              <w:t>m，与</w:t>
            </w:r>
            <w:r>
              <w:rPr>
                <w:rFonts w:hint="eastAsia" w:ascii="宋体" w:hAnsi="宋体" w:eastAsia="宋体" w:cs="宋体"/>
                <w:i w:val="0"/>
                <w:iCs w:val="0"/>
                <w:color w:val="000000"/>
                <w:kern w:val="0"/>
                <w:sz w:val="21"/>
                <w:szCs w:val="21"/>
                <w:highlight w:val="none"/>
                <w:u w:val="none"/>
                <w:lang w:val="en-US" w:eastAsia="zh-CN" w:bidi="ar"/>
              </w:rPr>
              <w:t>白色仿瓷砂不少于1500kg、游乐玩具不少于20套，互动玩具装置一台。</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海洋球区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按占地面积80㎡设计安装；融合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sz w:val="21"/>
                <w:szCs w:val="21"/>
                <w:u w:val="none"/>
                <w:lang w:val="en-US" w:eastAsia="zh-CN"/>
              </w:rPr>
              <w:t>场内设施</w:t>
            </w:r>
            <w:r>
              <w:rPr>
                <w:rFonts w:hint="eastAsia" w:ascii="宋体" w:hAnsi="宋体" w:eastAsia="宋体" w:cs="宋体"/>
                <w:i w:val="0"/>
                <w:iCs w:val="0"/>
                <w:color w:val="000000"/>
                <w:sz w:val="21"/>
                <w:szCs w:val="21"/>
                <w:highlight w:val="none"/>
                <w:u w:val="none"/>
                <w:lang w:val="en-US" w:eastAsia="zh-CN"/>
              </w:rPr>
              <w:t>包</w:t>
            </w:r>
            <w:r>
              <w:rPr>
                <w:rFonts w:hint="eastAsia" w:ascii="宋体" w:hAnsi="宋体" w:eastAsia="宋体" w:cs="宋体"/>
                <w:i w:val="0"/>
                <w:iCs w:val="0"/>
                <w:color w:val="000000"/>
                <w:kern w:val="0"/>
                <w:sz w:val="21"/>
                <w:szCs w:val="21"/>
                <w:highlight w:val="none"/>
                <w:u w:val="none"/>
                <w:lang w:val="en-US" w:eastAsia="zh-CN" w:bidi="ar"/>
              </w:rPr>
              <w:t>含钢管立柱、结构支撑软包处理，</w:t>
            </w:r>
            <w:r>
              <w:rPr>
                <w:rFonts w:hint="eastAsia" w:ascii="宋体" w:hAnsi="宋体" w:eastAsia="宋体" w:cs="宋体"/>
                <w:i w:val="0"/>
                <w:iCs w:val="0"/>
                <w:color w:val="000000"/>
                <w:sz w:val="21"/>
                <w:szCs w:val="21"/>
                <w:highlight w:val="none"/>
                <w:u w:val="none"/>
                <w:lang w:val="en-US" w:eastAsia="zh-CN"/>
              </w:rPr>
              <w:t>木结构仿皮防撞软包围挡高度不小于0.8m，不少于5万个</w:t>
            </w:r>
            <w:r>
              <w:rPr>
                <w:rFonts w:hint="eastAsia" w:ascii="宋体" w:hAnsi="宋体" w:eastAsia="宋体" w:cs="宋体"/>
                <w:i w:val="0"/>
                <w:iCs w:val="0"/>
                <w:color w:val="000000"/>
                <w:kern w:val="0"/>
                <w:sz w:val="21"/>
                <w:szCs w:val="21"/>
                <w:highlight w:val="none"/>
                <w:u w:val="none"/>
                <w:lang w:val="en-US" w:eastAsia="zh-CN" w:bidi="ar"/>
              </w:rPr>
              <w:t>海洋球，设计滑梯、尼龙绳网等</w:t>
            </w:r>
            <w:r>
              <w:rPr>
                <w:rFonts w:hint="eastAsia" w:ascii="宋体" w:hAnsi="宋体" w:eastAsia="宋体" w:cs="宋体"/>
                <w:i w:val="0"/>
                <w:iCs w:val="0"/>
                <w:color w:val="000000"/>
                <w:kern w:val="0"/>
                <w:sz w:val="21"/>
                <w:szCs w:val="21"/>
                <w:u w:val="none"/>
                <w:lang w:val="en-US" w:eastAsia="zh-CN" w:bidi="ar"/>
              </w:rPr>
              <w:t>趣味设施。</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水床</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按占地面积50㎡设计安装；融合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sz w:val="21"/>
                <w:szCs w:val="21"/>
                <w:u w:val="none"/>
                <w:lang w:val="en-US" w:eastAsia="zh-CN"/>
              </w:rPr>
              <w:t>场内设施包</w:t>
            </w:r>
            <w:r>
              <w:rPr>
                <w:rFonts w:hint="eastAsia" w:ascii="宋体" w:hAnsi="宋体" w:eastAsia="宋体" w:cs="宋体"/>
                <w:i w:val="0"/>
                <w:iCs w:val="0"/>
                <w:color w:val="000000"/>
                <w:kern w:val="0"/>
                <w:sz w:val="21"/>
                <w:szCs w:val="21"/>
                <w:u w:val="none"/>
                <w:lang w:val="en-US" w:eastAsia="zh-CN" w:bidi="ar"/>
              </w:rPr>
              <w:t>含</w:t>
            </w:r>
            <w:r>
              <w:rPr>
                <w:rFonts w:hint="eastAsia" w:ascii="宋体" w:hAnsi="宋体" w:eastAsia="宋体" w:cs="宋体"/>
                <w:i w:val="0"/>
                <w:iCs w:val="0"/>
                <w:color w:val="000000"/>
                <w:sz w:val="21"/>
                <w:szCs w:val="21"/>
                <w:u w:val="none"/>
                <w:lang w:val="en-US" w:eastAsia="zh-CN"/>
              </w:rPr>
              <w:t>木结构仿皮防撞软包围挡高度不小于0.8m，</w:t>
            </w:r>
            <w:r>
              <w:rPr>
                <w:rFonts w:hint="eastAsia" w:ascii="宋体" w:hAnsi="宋体" w:eastAsia="宋体" w:cs="宋体"/>
                <w:i w:val="0"/>
                <w:iCs w:val="0"/>
                <w:color w:val="000000"/>
                <w:kern w:val="0"/>
                <w:sz w:val="21"/>
                <w:szCs w:val="21"/>
                <w:u w:val="none"/>
                <w:lang w:val="en-US" w:eastAsia="zh-CN" w:bidi="ar"/>
              </w:rPr>
              <w:t>PVC材质水床不小于40㎡，水床高度0.5m，含光影投射效果。</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碰碰车区域（室外）</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按占地面积80㎡设计安装；融合</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形象设计；</w:t>
            </w:r>
            <w:r>
              <w:rPr>
                <w:rFonts w:hint="eastAsia" w:ascii="宋体" w:hAnsi="宋体" w:eastAsia="宋体" w:cs="宋体"/>
                <w:i w:val="0"/>
                <w:iCs w:val="0"/>
                <w:color w:val="000000"/>
                <w:kern w:val="0"/>
                <w:sz w:val="21"/>
                <w:szCs w:val="21"/>
                <w:highlight w:val="none"/>
                <w:u w:val="none"/>
                <w:lang w:val="en-US" w:eastAsia="zh-CN" w:bidi="ar"/>
              </w:rPr>
              <w:t>包括</w:t>
            </w:r>
            <w:r>
              <w:rPr>
                <w:rFonts w:hint="eastAsia" w:ascii="宋体" w:hAnsi="宋体" w:eastAsia="宋体" w:cs="宋体"/>
                <w:i w:val="0"/>
                <w:iCs w:val="0"/>
                <w:color w:val="000000"/>
                <w:kern w:val="0"/>
                <w:sz w:val="21"/>
                <w:szCs w:val="21"/>
                <w:u w:val="none"/>
                <w:lang w:val="en-US" w:eastAsia="zh-CN" w:bidi="ar"/>
              </w:rPr>
              <w:t>场地平整、</w:t>
            </w:r>
            <w:r>
              <w:rPr>
                <w:rFonts w:hint="eastAsia" w:ascii="宋体" w:hAnsi="宋体" w:eastAsia="宋体" w:cs="宋体"/>
                <w:i w:val="0"/>
                <w:iCs w:val="0"/>
                <w:color w:val="000000"/>
                <w:kern w:val="0"/>
                <w:sz w:val="21"/>
                <w:szCs w:val="21"/>
                <w:highlight w:val="none"/>
                <w:u w:val="none"/>
                <w:lang w:val="en-US" w:eastAsia="zh-CN" w:bidi="ar"/>
              </w:rPr>
              <w:t>设备、控制器、水马围栏、安全设施、标识标牌、接线通电等</w:t>
            </w:r>
            <w:r>
              <w:rPr>
                <w:rFonts w:hint="eastAsia" w:ascii="宋体" w:hAnsi="宋体" w:eastAsia="宋体" w:cs="宋体"/>
                <w:i w:val="0"/>
                <w:iCs w:val="0"/>
                <w:color w:val="000000"/>
                <w:kern w:val="0"/>
                <w:sz w:val="21"/>
                <w:szCs w:val="21"/>
                <w:u w:val="none"/>
                <w:lang w:val="en-US" w:eastAsia="zh-CN" w:bidi="ar"/>
              </w:rPr>
              <w:t>完成等满足设备正常运行的全部内容</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围栏：注</w:t>
            </w:r>
            <w:r>
              <w:rPr>
                <w:rFonts w:hint="eastAsia" w:ascii="宋体" w:hAnsi="宋体" w:eastAsia="宋体" w:cs="宋体"/>
                <w:i w:val="0"/>
                <w:iCs w:val="0"/>
                <w:color w:val="000000"/>
                <w:kern w:val="0"/>
                <w:sz w:val="21"/>
                <w:szCs w:val="21"/>
                <w:highlight w:val="none"/>
                <w:u w:val="none"/>
                <w:lang w:val="en-US" w:eastAsia="zh-CN" w:bidi="ar"/>
              </w:rPr>
              <w:t>水防撞水马、PVC材质</w:t>
            </w:r>
          </w:p>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i w:val="0"/>
                <w:iCs w:val="0"/>
                <w:color w:val="000000"/>
                <w:kern w:val="0"/>
                <w:sz w:val="21"/>
                <w:szCs w:val="21"/>
                <w:highlight w:val="none"/>
                <w:u w:val="none"/>
                <w:lang w:val="en-US" w:eastAsia="zh-CN" w:bidi="ar"/>
              </w:rPr>
              <w:t>碰碰车：5辆，</w:t>
            </w:r>
            <w:r>
              <w:rPr>
                <w:rFonts w:hint="eastAsia" w:ascii="宋体" w:hAnsi="宋体" w:eastAsia="宋体" w:cs="宋体"/>
                <w:i w:val="0"/>
                <w:iCs w:val="0"/>
                <w:color w:val="000000"/>
                <w:kern w:val="0"/>
                <w:sz w:val="21"/>
                <w:szCs w:val="21"/>
                <w:highlight w:val="none"/>
                <w:u w:val="none"/>
                <w:lang w:val="en-US" w:eastAsia="zh-CN" w:bidi="ar"/>
              </w:rPr>
              <w:t>限载2人，最大运行速度不超过2m/s；</w:t>
            </w:r>
          </w:p>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b w:val="0"/>
                <w:i w:val="0"/>
                <w:iCs w:val="0"/>
                <w:color w:val="000000"/>
                <w:kern w:val="0"/>
                <w:sz w:val="21"/>
                <w:szCs w:val="21"/>
                <w:highlight w:val="none"/>
                <w:u w:val="none"/>
                <w:lang w:val="en-US" w:eastAsia="zh-CN" w:bidi="ar"/>
              </w:rPr>
            </w:pPr>
            <w:r>
              <w:rPr>
                <w:rFonts w:hint="eastAsia" w:ascii="宋体" w:hAnsi="宋体" w:eastAsia="宋体" w:cs="宋体"/>
                <w:b w:val="0"/>
                <w:i w:val="0"/>
                <w:iCs w:val="0"/>
                <w:color w:val="000000"/>
                <w:kern w:val="0"/>
                <w:sz w:val="21"/>
                <w:szCs w:val="21"/>
                <w:highlight w:val="none"/>
                <w:u w:val="none"/>
                <w:lang w:val="en-US" w:eastAsia="zh-CN" w:bidi="ar"/>
              </w:rPr>
              <w:t>场地需配备遮阳棚，投影面积不少于</w:t>
            </w:r>
            <w:r>
              <w:rPr>
                <w:rFonts w:hint="eastAsia" w:ascii="宋体" w:hAnsi="宋体" w:eastAsia="宋体" w:cs="宋体"/>
                <w:i w:val="0"/>
                <w:iCs w:val="0"/>
                <w:color w:val="000000"/>
                <w:kern w:val="0"/>
                <w:sz w:val="21"/>
                <w:szCs w:val="21"/>
                <w:highlight w:val="none"/>
                <w:u w:val="none"/>
                <w:lang w:val="en-US" w:eastAsia="zh-CN" w:bidi="ar"/>
              </w:rPr>
              <w:t>80㎡</w:t>
            </w:r>
          </w:p>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充分考虑儿童特性设计。场地须设置安全告知牌。</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主题打卡区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角色雕塑，高度不低</w:t>
            </w:r>
            <w:r>
              <w:rPr>
                <w:rFonts w:hint="eastAsia" w:ascii="宋体" w:hAnsi="宋体" w:eastAsia="宋体" w:cs="宋体"/>
                <w:i w:val="0"/>
                <w:iCs w:val="0"/>
                <w:color w:val="000000"/>
                <w:kern w:val="0"/>
                <w:sz w:val="21"/>
                <w:szCs w:val="21"/>
                <w:highlight w:val="none"/>
                <w:u w:val="none"/>
                <w:lang w:val="en-US" w:eastAsia="zh-CN" w:bidi="ar"/>
              </w:rPr>
              <w:t>于1.5m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钢木结构烤漆背景板，不小于1.8m*3m，背景板画面由供应商根据主题元素或科普知识设计，灯箱、灯带装饰</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造型：</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cyan"/>
                <w:lang w:val="en-US" w:eastAsia="zh-CN"/>
              </w:rPr>
            </w:pPr>
            <w:r>
              <w:rPr>
                <w:rFonts w:hint="eastAsia" w:ascii="宋体" w:hAnsi="宋体" w:eastAsia="宋体" w:cs="宋体"/>
                <w:i w:val="0"/>
                <w:iCs w:val="0"/>
                <w:color w:val="000000"/>
                <w:kern w:val="0"/>
                <w:sz w:val="21"/>
                <w:szCs w:val="21"/>
                <w:u w:val="none"/>
                <w:lang w:val="en-US" w:eastAsia="zh-CN" w:bidi="ar"/>
              </w:rPr>
              <w:t>造型吊灯，钢木结构+UV软膜+灯带，UV软膜包裹展示面积不小于2</w:t>
            </w:r>
            <w:r>
              <w:rPr>
                <w:rFonts w:hint="eastAsia" w:ascii="宋体" w:hAnsi="宋体" w:eastAsia="宋体" w:cs="宋体"/>
                <w:i w:val="0"/>
                <w:iCs w:val="0"/>
                <w:color w:val="000000"/>
                <w:kern w:val="0"/>
                <w:sz w:val="21"/>
                <w:szCs w:val="21"/>
                <w:highlight w:val="none"/>
                <w:u w:val="none"/>
                <w:lang w:val="en-US" w:eastAsia="zh-CN" w:bidi="ar"/>
              </w:rPr>
              <w:t>㎡。造型及画面由供应商根据</w:t>
            </w:r>
            <w:r>
              <w:rPr>
                <w:rFonts w:hint="eastAsia" w:ascii="宋体" w:hAnsi="宋体" w:eastAsia="宋体" w:cs="宋体"/>
                <w:i w:val="0"/>
                <w:iCs w:val="0"/>
                <w:color w:val="000000"/>
                <w:kern w:val="0"/>
                <w:sz w:val="21"/>
                <w:szCs w:val="21"/>
                <w:u w:val="none"/>
                <w:lang w:val="en-US" w:eastAsia="zh-CN" w:bidi="ar"/>
              </w:rPr>
              <w:t>主题元素或科普元素设计</w:t>
            </w:r>
          </w:p>
          <w:p>
            <w:pPr>
              <w:pStyle w:val="56"/>
              <w:keepNext w:val="0"/>
              <w:keepLines w:val="0"/>
              <w:pageBreakBefore w:val="0"/>
              <w:widowControl/>
              <w:kinsoku/>
              <w:wordWrap/>
              <w:overflowPunct/>
              <w:topLinePunct w:val="0"/>
              <w:autoSpaceDE/>
              <w:autoSpaceDN/>
              <w:bidi w:val="0"/>
              <w:adjustRightInd/>
              <w:snapToGrid/>
              <w:spacing w:before="0" w:after="0" w:line="400" w:lineRule="exact"/>
              <w:jc w:val="left"/>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本项包含线路改造所需的电线、套管、开关等配套辅材。</w:t>
            </w:r>
          </w:p>
          <w:p>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供应商可在通过设计优化增加其他造型内容，并进行投标报价。</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green"/>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55寸液晶电视机（含内容）</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播放展示采用55寸液晶电视机，推荐使用小米、海信、创维品牌，同时也欢迎品牌品质都不低于推荐品牌的其他品牌前来投标。</w:t>
            </w:r>
          </w:p>
          <w:p>
            <w:pPr>
              <w:pStyle w:val="28"/>
              <w:ind w:left="0" w:leftChars="0" w:firstLine="0" w:firstLineChars="0"/>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含播放内容制作，内容根据主题元素或科普元素设计。</w:t>
            </w:r>
          </w:p>
          <w:p>
            <w:pPr>
              <w:pStyle w:val="29"/>
              <w:ind w:left="0" w:leftChars="0" w:firstLine="0" w:firstLineChars="0"/>
              <w:rPr>
                <w:rFonts w:hint="eastAsia"/>
                <w:lang w:val="en-US" w:eastAsia="zh-CN"/>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127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主题零售区</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货柜</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材质：木结构烤漆；</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规格：1.2m*0.4m*2m（H），灯带装饰</w:t>
            </w:r>
          </w:p>
          <w:p>
            <w:pPr>
              <w:pStyle w:val="28"/>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含配套设施等</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收银台</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材质：木结构烤漆</w:t>
            </w:r>
          </w:p>
          <w:p>
            <w:pPr>
              <w:pStyle w:val="28"/>
              <w:ind w:left="0" w:leftChars="0" w:firstLine="0" w:firstLineChars="0"/>
              <w:rPr>
                <w:rFonts w:hint="eastAsia" w:ascii="宋体" w:hAnsi="宋体" w:eastAsia="宋体" w:cs="宋体"/>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尺寸：1.2m*0.6m*1m（H）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7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科技主题造型灯箱</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按直径不小于2m设计制作</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玻璃钢IP主题角色雕塑</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角色雕塑，高度不低于1m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（主题打卡区、主题零售区）</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鞋柜</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材质：木结构烤漆</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规格：1.5m*0.35m*1.5m（H）</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主题形象雪弗板</w:t>
            </w:r>
          </w:p>
        </w:tc>
        <w:tc>
          <w:tcPr>
            <w:tcW w:w="5910" w:type="dxa"/>
            <w:gridSpan w:val="3"/>
            <w:noWrap w:val="0"/>
            <w:vAlign w:val="center"/>
          </w:tcPr>
          <w:p>
            <w:pPr>
              <w:pStyle w:val="28"/>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IP主题或科技主题形象雪弗板</w:t>
            </w:r>
          </w:p>
          <w:p>
            <w:pPr>
              <w:pStyle w:val="28"/>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高密度5mm雪弗板</w:t>
            </w:r>
          </w:p>
          <w:p>
            <w:pPr>
              <w:pStyle w:val="28"/>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规格：1.5m*0.4m</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电力接入</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本区块内所有游乐设备的电力电缆及配件需接入采购人指定配电箱，投标供应商自行踏勘现场综合考虑报价。</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480" w:type="dxa"/>
            <w:gridSpan w:val="7"/>
            <w:shd w:val="clear" w:color="auto" w:fill="DCE6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游览路线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b/>
                <w:bCs/>
                <w:i w:val="0"/>
                <w:iCs w:val="0"/>
                <w:color w:val="000000"/>
                <w:kern w:val="0"/>
                <w:sz w:val="21"/>
                <w:szCs w:val="21"/>
                <w:u w:val="none"/>
                <w:lang w:val="en-US" w:eastAsia="zh-CN" w:bidi="ar"/>
              </w:rPr>
              <w:t>项目名称</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sz w:val="21"/>
                <w:szCs w:val="21"/>
                <w:u w:val="none"/>
                <w:lang w:eastAsia="zh-CN"/>
              </w:rPr>
              <w:t>货物技术参数</w:t>
            </w:r>
            <w:r>
              <w:rPr>
                <w:rFonts w:hint="eastAsia" w:ascii="宋体" w:hAnsi="宋体" w:cs="宋体"/>
                <w:b/>
                <w:bCs/>
                <w:i w:val="0"/>
                <w:iCs w:val="0"/>
                <w:color w:val="000000"/>
                <w:sz w:val="21"/>
                <w:szCs w:val="21"/>
                <w:u w:val="none"/>
                <w:lang w:eastAsia="zh-CN"/>
              </w:rPr>
              <w:t>及设计要求</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气模组1</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游览路线设置醒目大型气模。气模造型根据</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green"/>
                <w:u w:val="none"/>
                <w:lang w:val="en-US" w:eastAsia="zh-CN" w:bidi="ar"/>
              </w:rPr>
            </w:pPr>
            <w:r>
              <w:rPr>
                <w:rFonts w:hint="eastAsia" w:ascii="宋体" w:hAnsi="宋体" w:eastAsia="宋体" w:cs="宋体"/>
                <w:i w:val="0"/>
                <w:iCs w:val="0"/>
                <w:color w:val="000000"/>
                <w:kern w:val="0"/>
                <w:sz w:val="21"/>
                <w:szCs w:val="21"/>
                <w:u w:val="none"/>
                <w:lang w:val="en-US" w:eastAsia="zh-CN" w:bidi="ar"/>
              </w:rPr>
              <w:t>占地面积不少于8</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高度不</w:t>
            </w:r>
            <w:r>
              <w:rPr>
                <w:rFonts w:hint="eastAsia" w:ascii="宋体" w:hAnsi="宋体" w:eastAsia="宋体" w:cs="宋体"/>
                <w:i w:val="0"/>
                <w:iCs w:val="0"/>
                <w:color w:val="000000"/>
                <w:kern w:val="0"/>
                <w:sz w:val="21"/>
                <w:szCs w:val="21"/>
                <w:highlight w:val="none"/>
                <w:u w:val="none"/>
                <w:lang w:val="en-US" w:eastAsia="zh-CN" w:bidi="ar"/>
              </w:rPr>
              <w:t>低于5m的气模2个为1组；</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1"/>
                <w:szCs w:val="21"/>
                <w:u w:val="none"/>
                <w:lang w:val="en-US" w:eastAsia="zh-CN" w:bidi="ar"/>
              </w:rPr>
              <w:t>含充气泵、配重、灯光、电线辅料、配电箱、地面处理、围栏以及场景造型配套设施（如地台、地胶、小品，投</w:t>
            </w:r>
            <w:r>
              <w:rPr>
                <w:rFonts w:hint="eastAsia" w:ascii="宋体" w:hAnsi="宋体" w:eastAsia="宋体" w:cs="宋体"/>
                <w:i w:val="0"/>
                <w:iCs w:val="0"/>
                <w:color w:val="000000"/>
                <w:kern w:val="0"/>
                <w:sz w:val="21"/>
                <w:szCs w:val="21"/>
                <w:highlight w:val="none"/>
                <w:u w:val="none"/>
                <w:lang w:val="en-US" w:eastAsia="zh-CN" w:bidi="ar"/>
              </w:rPr>
              <w:t>标人自行深化设计）</w:t>
            </w:r>
            <w:r>
              <w:rPr>
                <w:rFonts w:hint="eastAsia" w:ascii="宋体" w:hAnsi="宋体" w:eastAsia="宋体" w:cs="宋体"/>
                <w:i w:val="0"/>
                <w:iCs w:val="0"/>
                <w:color w:val="000000"/>
                <w:sz w:val="21"/>
                <w:szCs w:val="21"/>
                <w:highlight w:val="none"/>
                <w:u w:val="none"/>
                <w:lang w:val="en-US" w:eastAsia="zh-CN"/>
              </w:rPr>
              <w:t>等</w:t>
            </w:r>
          </w:p>
          <w:p>
            <w:pPr>
              <w:pStyle w:val="56"/>
              <w:keepNext w:val="0"/>
              <w:keepLines w:val="0"/>
              <w:pageBreakBefore w:val="0"/>
              <w:kinsoku/>
              <w:wordWrap/>
              <w:overflowPunct/>
              <w:topLinePunct w:val="0"/>
              <w:autoSpaceDE/>
              <w:autoSpaceDN/>
              <w:bidi w:val="0"/>
              <w:adjustRightInd/>
              <w:snapToGrid/>
              <w:spacing w:before="0" w:after="0" w:line="400" w:lineRule="exact"/>
              <w:jc w:val="left"/>
              <w:rPr>
                <w:rFonts w:hint="eastAsia" w:ascii="宋体" w:hAnsi="宋体" w:eastAsia="宋体" w:cs="宋体"/>
                <w:b/>
                <w:bCs/>
                <w:kern w:val="2"/>
                <w:sz w:val="21"/>
                <w:szCs w:val="21"/>
                <w:lang w:val="en-US" w:eastAsia="zh-CN" w:bidi="ar-SA"/>
              </w:rPr>
            </w:pPr>
            <w:r>
              <w:rPr>
                <w:rFonts w:hint="eastAsia" w:ascii="宋体" w:hAnsi="宋体" w:eastAsia="宋体" w:cs="宋体"/>
                <w:b w:val="0"/>
                <w:i w:val="0"/>
                <w:iCs w:val="0"/>
                <w:color w:val="000000"/>
                <w:kern w:val="0"/>
                <w:sz w:val="21"/>
                <w:szCs w:val="21"/>
                <w:highlight w:val="none"/>
                <w:u w:val="none"/>
                <w:lang w:val="en-US" w:eastAsia="zh-CN" w:bidi="ar"/>
              </w:rPr>
              <w:t>（注：气模组所有气模应设计不同造型）</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气模组2</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游览路线设置醒目大型气模。气模造型根据</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占地面积不少于8</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高度不低于5m</w:t>
            </w:r>
            <w:r>
              <w:rPr>
                <w:rFonts w:hint="eastAsia" w:ascii="宋体" w:hAnsi="宋体" w:eastAsia="宋体" w:cs="宋体"/>
                <w:i w:val="0"/>
                <w:iCs w:val="0"/>
                <w:color w:val="000000"/>
                <w:kern w:val="0"/>
                <w:sz w:val="21"/>
                <w:szCs w:val="21"/>
                <w:highlight w:val="none"/>
                <w:u w:val="none"/>
                <w:lang w:val="en-US" w:eastAsia="zh-CN" w:bidi="ar"/>
              </w:rPr>
              <w:t>的气模1个；</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含充气泵、配重、灯光、电线辅料、配电箱、地面处理、围栏以及场景造型配套设施（如地台、地胶、小品，投标人自行深化设计）</w:t>
            </w:r>
            <w:r>
              <w:rPr>
                <w:rFonts w:hint="eastAsia" w:ascii="宋体" w:hAnsi="宋体" w:eastAsia="宋体" w:cs="宋体"/>
                <w:i w:val="0"/>
                <w:iCs w:val="0"/>
                <w:color w:val="000000"/>
                <w:sz w:val="21"/>
                <w:szCs w:val="21"/>
                <w:highlight w:val="none"/>
                <w:u w:val="none"/>
                <w:lang w:val="en-US" w:eastAsia="zh-CN"/>
              </w:rPr>
              <w:t>等</w:t>
            </w:r>
          </w:p>
          <w:p>
            <w:pPr>
              <w:pStyle w:val="56"/>
              <w:keepNext w:val="0"/>
              <w:keepLines w:val="0"/>
              <w:pageBreakBefore w:val="0"/>
              <w:kinsoku/>
              <w:wordWrap/>
              <w:overflowPunct/>
              <w:topLinePunct w:val="0"/>
              <w:autoSpaceDE/>
              <w:autoSpaceDN/>
              <w:bidi w:val="0"/>
              <w:adjustRightInd/>
              <w:snapToGrid/>
              <w:spacing w:before="0" w:after="0" w:line="400" w:lineRule="exact"/>
              <w:jc w:val="left"/>
              <w:rPr>
                <w:rFonts w:hint="eastAsia" w:ascii="宋体" w:hAnsi="宋体" w:eastAsia="宋体" w:cs="宋体"/>
                <w:b w:val="0"/>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highlight w:val="none"/>
                <w:u w:val="none"/>
                <w:lang w:val="en-US" w:eastAsia="zh-CN" w:bidi="ar"/>
              </w:rPr>
              <w:t>（注：气模组所有气模应设计不同造型）</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green"/>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气模组3</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游览路线设置醒目气模。气模造型根据</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占地面积不少于4</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高度不低于3m；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1"/>
                <w:szCs w:val="21"/>
                <w:u w:val="none"/>
                <w:lang w:val="en-US" w:eastAsia="zh-CN" w:bidi="ar"/>
              </w:rPr>
              <w:t>含充气泵、配重、灯光、电</w:t>
            </w:r>
            <w:r>
              <w:rPr>
                <w:rFonts w:hint="eastAsia" w:ascii="宋体" w:hAnsi="宋体" w:eastAsia="宋体" w:cs="宋体"/>
                <w:i w:val="0"/>
                <w:iCs w:val="0"/>
                <w:color w:val="000000"/>
                <w:kern w:val="0"/>
                <w:sz w:val="21"/>
                <w:szCs w:val="21"/>
                <w:highlight w:val="none"/>
                <w:u w:val="none"/>
                <w:lang w:val="en-US" w:eastAsia="zh-CN" w:bidi="ar"/>
              </w:rPr>
              <w:t>线辅料、配电箱、地面处理、围栏以及场景造型配套设施（如地台、地胶、小品，投标人自行深化设计）</w:t>
            </w:r>
            <w:r>
              <w:rPr>
                <w:rFonts w:hint="eastAsia" w:ascii="宋体" w:hAnsi="宋体" w:eastAsia="宋体" w:cs="宋体"/>
                <w:i w:val="0"/>
                <w:iCs w:val="0"/>
                <w:color w:val="000000"/>
                <w:sz w:val="21"/>
                <w:szCs w:val="21"/>
                <w:highlight w:val="none"/>
                <w:u w:val="none"/>
                <w:lang w:val="en-US" w:eastAsia="zh-CN"/>
              </w:rPr>
              <w:t>等</w:t>
            </w:r>
          </w:p>
          <w:p>
            <w:pPr>
              <w:pStyle w:val="56"/>
              <w:keepNext w:val="0"/>
              <w:keepLines w:val="0"/>
              <w:pageBreakBefore w:val="0"/>
              <w:kinsoku/>
              <w:wordWrap/>
              <w:overflowPunct/>
              <w:topLinePunct w:val="0"/>
              <w:autoSpaceDE/>
              <w:autoSpaceDN/>
              <w:bidi w:val="0"/>
              <w:adjustRightInd/>
              <w:snapToGrid/>
              <w:spacing w:before="0" w:after="0" w:line="400" w:lineRule="exact"/>
              <w:jc w:val="both"/>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highlight w:val="none"/>
                <w:u w:val="none"/>
                <w:lang w:val="en-US" w:eastAsia="zh-CN" w:bidi="ar"/>
              </w:rPr>
              <w:t>（注：气模组所有气模应设计不同造型）</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玻璃钢IP主题角色雕塑</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角色雕塑，高度</w:t>
            </w:r>
            <w:r>
              <w:rPr>
                <w:rFonts w:hint="eastAsia" w:ascii="宋体" w:hAnsi="宋体" w:eastAsia="宋体" w:cs="宋体"/>
                <w:i w:val="0"/>
                <w:iCs w:val="0"/>
                <w:color w:val="000000"/>
                <w:kern w:val="0"/>
                <w:sz w:val="21"/>
                <w:szCs w:val="21"/>
                <w:highlight w:val="none"/>
                <w:u w:val="none"/>
                <w:lang w:val="en-US" w:eastAsia="zh-CN" w:bidi="ar"/>
              </w:rPr>
              <w:t>不低于1.2m</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（气模组）</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定制IP主题小火车</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设计。</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电动，非轨道火车，续航里程不少于35km；行驶速度≦6km/h；</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玻璃钢车身，LED灯装饰；</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编组：1个车头+3个车厢，乘坐人数不少于13人（含司机）</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配备安全装置。</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1275" w:type="dxa"/>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车站</w:t>
            </w:r>
          </w:p>
        </w:tc>
        <w:tc>
          <w:tcPr>
            <w:tcW w:w="5910" w:type="dxa"/>
            <w:gridSpan w:val="3"/>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场景按占地面积不小于2㎡设计，包含：</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1、站牌1块，钢木结构烤漆工艺，高度1.8m；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2、户外长椅1个：水泥仿木长椅，色彩造型童趣设计，长度不小于1.5m；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雕塑1个，高度不少于1米；</w:t>
            </w:r>
          </w:p>
          <w:p>
            <w:pPr>
              <w:pStyle w:val="28"/>
              <w:keepNext w:val="0"/>
              <w:keepLines w:val="0"/>
              <w:pageBreakBefore w:val="0"/>
              <w:kinsoku/>
              <w:wordWrap/>
              <w:topLinePunct w:val="0"/>
              <w:bidi w:val="0"/>
              <w:snapToGrid/>
              <w:spacing w:after="0" w:line="360" w:lineRule="auto"/>
              <w:ind w:left="0" w:leftChars="0" w:firstLine="0" w:firstLineChars="0"/>
              <w:rPr>
                <w:rFonts w:hint="eastAsia" w:ascii="宋体" w:hAnsi="宋体" w:eastAsia="宋体" w:cs="宋体"/>
                <w:sz w:val="21"/>
                <w:szCs w:val="21"/>
                <w:highlight w:val="cyan"/>
                <w:lang w:val="en-US" w:eastAsia="zh-CN"/>
              </w:rPr>
            </w:pPr>
            <w:r>
              <w:rPr>
                <w:rFonts w:hint="eastAsia" w:ascii="宋体" w:hAnsi="宋体" w:eastAsia="宋体" w:cs="宋体"/>
                <w:i w:val="0"/>
                <w:iCs w:val="0"/>
                <w:color w:val="000000"/>
                <w:kern w:val="0"/>
                <w:sz w:val="21"/>
                <w:szCs w:val="21"/>
                <w:highlight w:val="none"/>
                <w:u w:val="none"/>
                <w:lang w:val="en-US" w:eastAsia="zh-CN" w:bidi="ar"/>
              </w:rPr>
              <w:t>4、玻璃钢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雕塑1个，高度不少于0.5米；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u w:val="none"/>
                <w:lang w:val="en-US" w:eastAsia="zh-CN" w:bidi="ar"/>
              </w:rPr>
              <w:t>场景造型配套设施（如地台、地胶、小品，由投标人自行深化设计）</w:t>
            </w:r>
          </w:p>
          <w:p>
            <w:pPr>
              <w:pStyle w:val="56"/>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（注：3个车站的场景设计不能完全相同）</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DP点1</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DP打卡场景按占地面积不小于4</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设计，至少包含</w:t>
            </w:r>
            <w:r>
              <w:rPr>
                <w:rFonts w:hint="eastAsia" w:ascii="宋体" w:hAnsi="宋体" w:eastAsia="宋体" w:cs="宋体"/>
                <w:i w:val="0"/>
                <w:iCs w:val="0"/>
                <w:color w:val="000000"/>
                <w:kern w:val="0"/>
                <w:sz w:val="21"/>
                <w:szCs w:val="21"/>
                <w:highlight w:val="none"/>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雕塑1个（高度不少于1米），</w:t>
            </w:r>
            <w:r>
              <w:rPr>
                <w:rFonts w:hint="eastAsia" w:ascii="宋体" w:hAnsi="宋体" w:eastAsia="宋体" w:cs="宋体"/>
                <w:i w:val="0"/>
                <w:iCs w:val="0"/>
                <w:color w:val="000000"/>
                <w:kern w:val="0"/>
                <w:sz w:val="21"/>
                <w:szCs w:val="21"/>
                <w:u w:val="none"/>
                <w:lang w:val="en-US" w:eastAsia="zh-CN" w:bidi="ar"/>
              </w:rPr>
              <w:t>场景造型配套设施（如地台、地胶、小品，投标人自行深化设计），配套设施的设计要求体现游客互动性</w:t>
            </w:r>
          </w:p>
          <w:p>
            <w:pPr>
              <w:pStyle w:val="56"/>
              <w:keepNext w:val="0"/>
              <w:keepLines w:val="0"/>
              <w:pageBreakBefore w:val="0"/>
              <w:kinsoku/>
              <w:wordWrap/>
              <w:overflowPunct/>
              <w:topLinePunct w:val="0"/>
              <w:autoSpaceDE/>
              <w:autoSpaceDN/>
              <w:bidi w:val="0"/>
              <w:adjustRightInd/>
              <w:snapToGrid/>
              <w:spacing w:before="0" w:after="0" w:line="400" w:lineRule="exact"/>
              <w:jc w:val="both"/>
              <w:rPr>
                <w:rFonts w:hint="eastAsia" w:ascii="宋体" w:hAnsi="宋体" w:eastAsia="宋体" w:cs="宋体"/>
                <w:sz w:val="21"/>
                <w:szCs w:val="21"/>
                <w:lang w:val="en-US" w:eastAsia="zh-CN"/>
              </w:rPr>
            </w:pPr>
            <w:r>
              <w:rPr>
                <w:rFonts w:hint="eastAsia" w:ascii="宋体" w:hAnsi="宋体" w:eastAsia="宋体" w:cs="宋体"/>
                <w:b w:val="0"/>
                <w:i w:val="0"/>
                <w:iCs w:val="0"/>
                <w:color w:val="000000"/>
                <w:kern w:val="0"/>
                <w:sz w:val="21"/>
                <w:szCs w:val="21"/>
                <w:u w:val="none"/>
                <w:lang w:val="en-US" w:eastAsia="zh-CN" w:bidi="ar"/>
              </w:rPr>
              <w:t>（注：4个DP点的场景设计不能有太高的相似度，游客互动装置应有差异性）</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DP点2</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DP打卡场景按占地面积不小于4</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设计，至少包含</w:t>
            </w:r>
            <w:r>
              <w:rPr>
                <w:rFonts w:hint="eastAsia" w:ascii="宋体" w:hAnsi="宋体" w:eastAsia="宋体" w:cs="宋体"/>
                <w:i w:val="0"/>
                <w:iCs w:val="0"/>
                <w:color w:val="000000"/>
                <w:kern w:val="0"/>
                <w:sz w:val="21"/>
                <w:szCs w:val="21"/>
                <w:highlight w:val="none"/>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雕塑1个（高度不少于1米），</w:t>
            </w:r>
            <w:r>
              <w:rPr>
                <w:rFonts w:hint="eastAsia" w:ascii="宋体" w:hAnsi="宋体" w:eastAsia="宋体" w:cs="宋体"/>
                <w:i w:val="0"/>
                <w:iCs w:val="0"/>
                <w:color w:val="000000"/>
                <w:kern w:val="0"/>
                <w:sz w:val="21"/>
                <w:szCs w:val="21"/>
                <w:u w:val="none"/>
                <w:lang w:val="en-US" w:eastAsia="zh-CN" w:bidi="ar"/>
              </w:rPr>
              <w:t>场景造型配套设施（如地台、地胶、小品，投标人自行深化设计），配套设施的设计要求体现游客互动性</w:t>
            </w:r>
          </w:p>
          <w:p>
            <w:pPr>
              <w:pStyle w:val="56"/>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（注：4个DP点的场景设计不能有太高的相似度，游客互动装置应有差异性）</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DP点3</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DP打卡场景按占地面积不小于4</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设计，至少包含</w:t>
            </w:r>
            <w:r>
              <w:rPr>
                <w:rFonts w:hint="eastAsia" w:ascii="宋体" w:hAnsi="宋体" w:eastAsia="宋体" w:cs="宋体"/>
                <w:i w:val="0"/>
                <w:iCs w:val="0"/>
                <w:color w:val="000000"/>
                <w:kern w:val="0"/>
                <w:sz w:val="21"/>
                <w:szCs w:val="21"/>
                <w:highlight w:val="none"/>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雕塑1个（高度不少于1米），</w:t>
            </w:r>
            <w:r>
              <w:rPr>
                <w:rFonts w:hint="eastAsia" w:ascii="宋体" w:hAnsi="宋体" w:eastAsia="宋体" w:cs="宋体"/>
                <w:i w:val="0"/>
                <w:iCs w:val="0"/>
                <w:color w:val="000000"/>
                <w:kern w:val="0"/>
                <w:sz w:val="21"/>
                <w:szCs w:val="21"/>
                <w:u w:val="none"/>
                <w:lang w:val="en-US" w:eastAsia="zh-CN" w:bidi="ar"/>
              </w:rPr>
              <w:t>场景造型配套设施（如地台、地胶、小品，投标人自行深化设计），配套设施的设计要求体现游客互动性</w:t>
            </w:r>
          </w:p>
          <w:p>
            <w:pPr>
              <w:pStyle w:val="56"/>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（注：4个DP点的场景设计不能有太高的相似度，游客互动装置应有差异性）</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DP点4</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DP打卡场景按占地面积不小于4</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设计，至少包含</w:t>
            </w:r>
            <w:r>
              <w:rPr>
                <w:rFonts w:hint="eastAsia" w:ascii="宋体" w:hAnsi="宋体" w:eastAsia="宋体" w:cs="宋体"/>
                <w:i w:val="0"/>
                <w:iCs w:val="0"/>
                <w:color w:val="000000"/>
                <w:kern w:val="0"/>
                <w:sz w:val="21"/>
                <w:szCs w:val="21"/>
                <w:highlight w:val="none"/>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雕塑1个（高度不少于1米），</w:t>
            </w:r>
            <w:r>
              <w:rPr>
                <w:rFonts w:hint="eastAsia" w:ascii="宋体" w:hAnsi="宋体" w:eastAsia="宋体" w:cs="宋体"/>
                <w:i w:val="0"/>
                <w:iCs w:val="0"/>
                <w:color w:val="000000"/>
                <w:kern w:val="0"/>
                <w:sz w:val="21"/>
                <w:szCs w:val="21"/>
                <w:u w:val="none"/>
                <w:lang w:val="en-US" w:eastAsia="zh-CN" w:bidi="ar"/>
              </w:rPr>
              <w:t>场景造型配套设施（如地台、地胶、小品，投标人自行深化设计），配套设施的设计要求体现游客互动性</w:t>
            </w:r>
          </w:p>
          <w:p>
            <w:pPr>
              <w:pStyle w:val="56"/>
              <w:keepNext w:val="0"/>
              <w:keepLines w:val="0"/>
              <w:pageBreakBefore w:val="0"/>
              <w:kinsoku/>
              <w:wordWrap/>
              <w:overflowPunct/>
              <w:topLinePunct w:val="0"/>
              <w:autoSpaceDE/>
              <w:autoSpaceDN/>
              <w:bidi w:val="0"/>
              <w:adjustRightInd/>
              <w:snapToGrid/>
              <w:spacing w:before="0" w:after="0" w:line="400" w:lineRule="exact"/>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i w:val="0"/>
                <w:iCs w:val="0"/>
                <w:color w:val="000000"/>
                <w:kern w:val="0"/>
                <w:sz w:val="21"/>
                <w:szCs w:val="21"/>
                <w:u w:val="none"/>
                <w:lang w:val="en-US" w:eastAsia="zh-CN" w:bidi="ar"/>
              </w:rPr>
              <w:t>（注：4个DP点的场景设计不能有太高的相似度，游客互动装置应有差异性）</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动漫墙绘</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沿路村居建筑外立面动漫主题墙绘，面积不少于120㎡</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材料：防水丙烯颜料</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本项含墙面基础处理，画面由供应商深化设计。</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12</w:t>
            </w:r>
          </w:p>
        </w:tc>
        <w:tc>
          <w:tcPr>
            <w:tcW w:w="127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垃圾桶</w:t>
            </w:r>
          </w:p>
        </w:tc>
        <w:tc>
          <w:tcPr>
            <w:tcW w:w="591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乐园全场地设置120L HDPE分类垃圾桶，特厚，带盖，两轮，分绿色、黑灰色。</w:t>
            </w:r>
          </w:p>
        </w:tc>
        <w:tc>
          <w:tcPr>
            <w:tcW w:w="7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w:t>
            </w:r>
          </w:p>
        </w:tc>
        <w:tc>
          <w:tcPr>
            <w:tcW w:w="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备注：①供应商所投产品技术参数在上表清单所列参数区间值范围的，均不算偏离。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投标总价格应包含但不仅限于以下费用：IP版权费、创意设计费（含方案设计、深化设计、定制类货物设计、活动策划设计、出图费等所有跟设计有关的费用）、货款（包括完成本项目所需的全部设备设施、装饰和场地搭建物料）、安装、运输、装卸、加工处理（含二次加工处理）、配件、措施费、安装场地的施工及恢复、仓储保管、损耗、保修期内的保修费用、采购代理费、税金、管理费、调试、试运行、检测、人员培训、备品备件、招标代理服务费等一切费用</w:t>
      </w:r>
      <w:r>
        <w:rPr>
          <w:rFonts w:hint="eastAsia" w:ascii="宋体" w:hAnsi="宋体" w:eastAsia="宋体" w:cs="宋体"/>
          <w:sz w:val="24"/>
          <w:szCs w:val="24"/>
        </w:rPr>
        <w:t>(包括不可预见费用)</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highlight w:val="yellow"/>
          <w:lang w:val="en-US" w:eastAsia="zh-CN"/>
        </w:rPr>
        <w:t>③上表为本项目的工作量清单，</w:t>
      </w:r>
      <w:r>
        <w:rPr>
          <w:rFonts w:hint="eastAsia" w:ascii="宋体" w:hAnsi="宋体" w:eastAsia="宋体" w:cs="宋体"/>
          <w:sz w:val="24"/>
          <w:szCs w:val="24"/>
          <w:highlight w:val="yellow"/>
        </w:rPr>
        <w:t>投标人必须响应采购清单</w:t>
      </w:r>
      <w:r>
        <w:rPr>
          <w:rFonts w:hint="eastAsia" w:ascii="宋体" w:hAnsi="宋体" w:eastAsia="宋体" w:cs="宋体"/>
          <w:color w:val="000000"/>
          <w:sz w:val="24"/>
          <w:szCs w:val="24"/>
          <w:highlight w:val="yellow"/>
        </w:rPr>
        <w:t>中</w:t>
      </w:r>
      <w:r>
        <w:rPr>
          <w:rFonts w:hint="eastAsia" w:ascii="宋体" w:hAnsi="宋体" w:eastAsia="宋体" w:cs="宋体"/>
          <w:color w:val="000000"/>
          <w:sz w:val="24"/>
          <w:szCs w:val="24"/>
          <w:highlight w:val="yellow"/>
          <w:lang w:eastAsia="zh-CN"/>
        </w:rPr>
        <w:t>的</w:t>
      </w:r>
      <w:r>
        <w:rPr>
          <w:rFonts w:hint="eastAsia" w:ascii="宋体" w:hAnsi="宋体" w:eastAsia="宋体" w:cs="宋体"/>
          <w:color w:val="000000"/>
          <w:sz w:val="24"/>
          <w:szCs w:val="24"/>
          <w:highlight w:val="yellow"/>
        </w:rPr>
        <w:t>数量，即投标人不得减少表格中的数量和项目，否则视为未实质性响应采购文件要求，按无效标处理。投标单位</w:t>
      </w:r>
      <w:r>
        <w:rPr>
          <w:rFonts w:hint="eastAsia" w:ascii="宋体" w:hAnsi="宋体" w:eastAsia="宋体" w:cs="宋体"/>
          <w:color w:val="000000"/>
          <w:sz w:val="24"/>
          <w:szCs w:val="24"/>
          <w:highlight w:val="yellow"/>
          <w:lang w:eastAsia="zh-CN"/>
        </w:rPr>
        <w:t>可根据现场踏勘结果，对清单内容进行增加补充，但不能减少采购清单的数量和项目。</w:t>
      </w:r>
      <w:r>
        <w:rPr>
          <w:rFonts w:hint="eastAsia" w:ascii="宋体" w:hAnsi="宋体" w:eastAsia="宋体" w:cs="宋体"/>
          <w:b/>
          <w:bCs/>
          <w:color w:val="FF0000"/>
          <w:sz w:val="24"/>
          <w:szCs w:val="24"/>
          <w:highlight w:val="yellow"/>
        </w:rPr>
        <w:t>清单中设备的数量按实结算，但清单中明确要求一次性包干的或以“项”为数量单位的项目费用一次性包干。</w:t>
      </w:r>
      <w:r>
        <w:rPr>
          <w:rFonts w:hint="eastAsia" w:ascii="宋体" w:hAnsi="宋体" w:eastAsia="宋体" w:cs="宋体"/>
          <w:color w:val="000000"/>
          <w:sz w:val="24"/>
          <w:szCs w:val="24"/>
          <w:highlight w:val="yellow"/>
        </w:rPr>
        <w:t>应结合采购人需求、踏勘现场及自身实力，综合考虑风险因素，谨慎报价。</w:t>
      </w:r>
    </w:p>
    <w:p>
      <w:pPr>
        <w:keepNext w:val="0"/>
        <w:keepLines w:val="0"/>
        <w:pageBreakBefore w:val="0"/>
        <w:widowControl w:val="0"/>
        <w:kinsoku/>
        <w:wordWrap/>
        <w:overflowPunct/>
        <w:topLinePunct w:val="0"/>
        <w:autoSpaceDE/>
        <w:autoSpaceDN/>
        <w:bidi w:val="0"/>
        <w:adjustRightIn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④招标文件所列采购清单中，只列明主要设备的名称、数量、技术参数等要求，其他未列明的又属于设备安装运行必要的辅助配套设施，均应包括在相应设备器材中，投标人在报价时自行考虑。</w:t>
      </w:r>
    </w:p>
    <w:p>
      <w:pPr>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jc w:val="left"/>
        <w:textAlignment w:val="baseline"/>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fldChar w:fldCharType="begin"/>
      </w:r>
      <w:r>
        <w:rPr>
          <w:rFonts w:hint="eastAsia" w:ascii="宋体" w:hAnsi="宋体" w:eastAsia="宋体" w:cs="宋体"/>
          <w:kern w:val="0"/>
          <w:sz w:val="24"/>
          <w:szCs w:val="24"/>
          <w:lang w:val="en-US" w:eastAsia="zh-CN"/>
        </w:rPr>
        <w:instrText xml:space="preserve"> = 5 \* GB3 \* MERGEFORMAT </w:instrText>
      </w:r>
      <w:r>
        <w:rPr>
          <w:rFonts w:hint="eastAsia" w:ascii="宋体" w:hAnsi="宋体" w:eastAsia="宋体" w:cs="宋体"/>
          <w:kern w:val="0"/>
          <w:sz w:val="24"/>
          <w:szCs w:val="24"/>
          <w:lang w:val="en-US" w:eastAsia="zh-CN"/>
        </w:rPr>
        <w:fldChar w:fldCharType="separate"/>
      </w:r>
      <w:r>
        <w:rPr>
          <w:rFonts w:hint="eastAsia" w:ascii="宋体" w:hAnsi="宋体" w:eastAsia="宋体" w:cs="宋体"/>
          <w:kern w:val="0"/>
          <w:sz w:val="24"/>
          <w:szCs w:val="24"/>
          <w:lang w:val="en-US" w:eastAsia="zh-CN"/>
        </w:rPr>
        <w:t>⑤</w:t>
      </w:r>
      <w:r>
        <w:rPr>
          <w:rFonts w:hint="eastAsia" w:ascii="宋体" w:hAnsi="宋体" w:eastAsia="宋体" w:cs="宋体"/>
          <w:kern w:val="0"/>
          <w:sz w:val="24"/>
          <w:szCs w:val="24"/>
          <w:lang w:val="en-US" w:eastAsia="zh-CN"/>
        </w:rPr>
        <w:fldChar w:fldCharType="end"/>
      </w:r>
      <w:r>
        <w:rPr>
          <w:rFonts w:hint="eastAsia" w:ascii="宋体" w:hAnsi="宋体" w:eastAsia="宋体" w:cs="宋体"/>
          <w:kern w:val="0"/>
          <w:sz w:val="24"/>
          <w:szCs w:val="24"/>
        </w:rPr>
        <w:t>采购清单中所列产品尺寸规格是由使用单位根据自身场地条件测算，在不影响安装、整体美观以及实际使用功能的前提下，允许合理的尺寸偏差</w:t>
      </w:r>
      <w:r>
        <w:rPr>
          <w:rFonts w:hint="eastAsia" w:ascii="宋体" w:hAnsi="宋体" w:eastAsia="宋体" w:cs="宋体"/>
          <w:color w:val="000000"/>
          <w:kern w:val="0"/>
          <w:sz w:val="24"/>
          <w:szCs w:val="24"/>
        </w:rPr>
        <w:t>。建议投标人在投标前自行到</w:t>
      </w:r>
      <w:r>
        <w:rPr>
          <w:rFonts w:hint="eastAsia" w:ascii="宋体" w:hAnsi="宋体" w:eastAsia="宋体" w:cs="宋体"/>
          <w:color w:val="000000"/>
          <w:kern w:val="0"/>
          <w:sz w:val="24"/>
          <w:szCs w:val="24"/>
          <w:lang w:val="en-US" w:eastAsia="zh-CN"/>
        </w:rPr>
        <w:t>现场</w:t>
      </w:r>
      <w:r>
        <w:rPr>
          <w:rFonts w:hint="eastAsia" w:ascii="宋体" w:hAnsi="宋体" w:eastAsia="宋体" w:cs="宋体"/>
          <w:color w:val="000000"/>
          <w:kern w:val="0"/>
          <w:sz w:val="24"/>
          <w:szCs w:val="24"/>
        </w:rPr>
        <w:t>进行现场踏勘实量，以确定产品尺寸符合现场条件，</w:t>
      </w:r>
      <w:r>
        <w:rPr>
          <w:rFonts w:hint="eastAsia" w:ascii="宋体" w:hAnsi="宋体" w:eastAsia="宋体" w:cs="宋体"/>
          <w:color w:val="000000"/>
          <w:kern w:val="0"/>
          <w:sz w:val="24"/>
          <w:szCs w:val="24"/>
          <w:lang w:eastAsia="zh-CN"/>
        </w:rPr>
        <w:t>提供</w:t>
      </w:r>
      <w:r>
        <w:rPr>
          <w:rFonts w:hint="eastAsia" w:ascii="宋体" w:hAnsi="宋体" w:eastAsia="宋体" w:cs="宋体"/>
          <w:color w:val="000000"/>
          <w:kern w:val="0"/>
          <w:sz w:val="24"/>
          <w:szCs w:val="24"/>
        </w:rPr>
        <w:t>设计平面图和效果图，如供应商未进行现场踏勘，因此而产生的后果均由供应商负责，中标供应商须接受修正</w:t>
      </w:r>
      <w:r>
        <w:rPr>
          <w:rFonts w:hint="eastAsia" w:ascii="宋体" w:hAnsi="宋体" w:eastAsia="宋体" w:cs="宋体"/>
          <w:color w:val="000000"/>
          <w:kern w:val="0"/>
          <w:sz w:val="24"/>
          <w:szCs w:val="24"/>
          <w:lang w:eastAsia="zh-CN"/>
        </w:rPr>
        <w:t>定</w:t>
      </w:r>
      <w:r>
        <w:rPr>
          <w:rFonts w:hint="eastAsia" w:ascii="宋体" w:hAnsi="宋体" w:eastAsia="宋体" w:cs="宋体"/>
          <w:color w:val="000000"/>
          <w:kern w:val="0"/>
          <w:sz w:val="24"/>
          <w:szCs w:val="24"/>
        </w:rPr>
        <w:t>制产品以满足</w:t>
      </w:r>
      <w:r>
        <w:rPr>
          <w:rFonts w:hint="eastAsia" w:ascii="宋体" w:hAnsi="宋体" w:eastAsia="宋体" w:cs="宋体"/>
          <w:color w:val="000000"/>
          <w:kern w:val="0"/>
          <w:sz w:val="24"/>
          <w:szCs w:val="24"/>
          <w:lang w:val="en-US" w:eastAsia="zh-CN"/>
        </w:rPr>
        <w:t>采购人</w:t>
      </w:r>
      <w:r>
        <w:rPr>
          <w:rFonts w:hint="eastAsia" w:ascii="宋体" w:hAnsi="宋体" w:eastAsia="宋体" w:cs="宋体"/>
          <w:color w:val="000000"/>
          <w:kern w:val="0"/>
          <w:sz w:val="24"/>
          <w:szCs w:val="24"/>
        </w:rPr>
        <w:t>的要求。投标人应接受采购人提出的因场地原因造成的部分尺寸调整，各投标人综合评估该风险因素，计入投标报价中，投标人在投标报价让利中综合考虑。</w:t>
      </w:r>
    </w:p>
    <w:p>
      <w:pPr>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jc w:val="left"/>
        <w:textAlignment w:val="baseline"/>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fldChar w:fldCharType="begin"/>
      </w:r>
      <w:r>
        <w:rPr>
          <w:rFonts w:hint="eastAsia" w:ascii="宋体" w:hAnsi="宋体" w:eastAsia="宋体" w:cs="宋体"/>
          <w:kern w:val="0"/>
          <w:sz w:val="24"/>
          <w:szCs w:val="24"/>
          <w:lang w:val="en-US" w:eastAsia="zh-CN"/>
        </w:rPr>
        <w:instrText xml:space="preserve"> = 6 \* GB3 \* MERGEFORMAT </w:instrText>
      </w:r>
      <w:r>
        <w:rPr>
          <w:rFonts w:hint="eastAsia" w:ascii="宋体" w:hAnsi="宋体" w:eastAsia="宋体" w:cs="宋体"/>
          <w:kern w:val="0"/>
          <w:sz w:val="24"/>
          <w:szCs w:val="24"/>
          <w:lang w:val="en-US" w:eastAsia="zh-CN"/>
        </w:rPr>
        <w:fldChar w:fldCharType="separate"/>
      </w:r>
      <w:r>
        <w:rPr>
          <w:rFonts w:hint="eastAsia" w:ascii="宋体" w:hAnsi="宋体" w:eastAsia="宋体" w:cs="宋体"/>
          <w:kern w:val="0"/>
          <w:sz w:val="24"/>
          <w:szCs w:val="24"/>
          <w:lang w:val="en-US" w:eastAsia="zh-CN"/>
        </w:rPr>
        <w:t>⑥</w:t>
      </w:r>
      <w:r>
        <w:rPr>
          <w:rFonts w:hint="eastAsia" w:ascii="宋体" w:hAnsi="宋体" w:eastAsia="宋体" w:cs="宋体"/>
          <w:kern w:val="0"/>
          <w:sz w:val="24"/>
          <w:szCs w:val="24"/>
          <w:lang w:val="en-US" w:eastAsia="zh-CN"/>
        </w:rPr>
        <w:fldChar w:fldCharType="end"/>
      </w:r>
      <w:r>
        <w:rPr>
          <w:rFonts w:hint="eastAsia" w:ascii="宋体" w:hAnsi="宋体" w:eastAsia="宋体" w:cs="宋体"/>
          <w:kern w:val="0"/>
          <w:sz w:val="24"/>
          <w:szCs w:val="24"/>
          <w:lang w:val="en-US" w:eastAsia="zh-CN"/>
        </w:rPr>
        <w:t>中标</w:t>
      </w:r>
      <w:r>
        <w:rPr>
          <w:rFonts w:hint="eastAsia" w:ascii="宋体" w:hAnsi="宋体" w:eastAsia="宋体" w:cs="宋体"/>
          <w:color w:val="000000"/>
          <w:kern w:val="0"/>
          <w:sz w:val="24"/>
          <w:szCs w:val="24"/>
        </w:rPr>
        <w:t>人在整体设计时，应考虑整体</w:t>
      </w:r>
      <w:r>
        <w:rPr>
          <w:rFonts w:hint="eastAsia" w:ascii="宋体" w:hAnsi="宋体" w:eastAsia="宋体" w:cs="宋体"/>
          <w:color w:val="000000"/>
          <w:kern w:val="0"/>
          <w:sz w:val="24"/>
          <w:szCs w:val="24"/>
          <w:lang w:eastAsia="zh-CN"/>
        </w:rPr>
        <w:t>主题风格、</w:t>
      </w:r>
      <w:r>
        <w:rPr>
          <w:rFonts w:hint="eastAsia" w:ascii="宋体" w:hAnsi="宋体" w:eastAsia="宋体" w:cs="宋体"/>
          <w:color w:val="000000"/>
          <w:kern w:val="0"/>
          <w:sz w:val="24"/>
          <w:szCs w:val="24"/>
        </w:rPr>
        <w:t>色彩的协调美观。</w:t>
      </w:r>
      <w:r>
        <w:rPr>
          <w:rFonts w:hint="eastAsia" w:ascii="宋体" w:hAnsi="宋体" w:eastAsia="宋体" w:cs="宋体"/>
          <w:color w:val="000000"/>
          <w:kern w:val="0"/>
          <w:sz w:val="24"/>
          <w:szCs w:val="24"/>
          <w:lang w:eastAsia="zh-CN"/>
        </w:rPr>
        <w:t>但项目实施时，</w:t>
      </w:r>
      <w:r>
        <w:rPr>
          <w:rFonts w:hint="eastAsia" w:ascii="宋体" w:hAnsi="宋体" w:eastAsia="宋体" w:cs="宋体"/>
          <w:kern w:val="0"/>
          <w:sz w:val="24"/>
          <w:szCs w:val="24"/>
          <w:lang w:val="en-US" w:eastAsia="zh-CN"/>
        </w:rPr>
        <w:t>采购清单中所涉及的画面、造型、颜色、尺寸等外观设计，仍须经采购人认可后方可实施。</w:t>
      </w:r>
    </w:p>
    <w:p>
      <w:pPr>
        <w:keepNext w:val="0"/>
        <w:keepLines w:val="0"/>
        <w:pageBreakBefore w:val="0"/>
        <w:numPr>
          <w:ilvl w:val="0"/>
          <w:numId w:val="0"/>
        </w:numPr>
        <w:kinsoku/>
        <w:wordWrap/>
        <w:overflowPunct/>
        <w:topLinePunct w:val="0"/>
        <w:bidi w:val="0"/>
        <w:spacing w:line="360" w:lineRule="auto"/>
        <w:ind w:firstLine="480" w:firstLineChars="200"/>
        <w:jc w:val="left"/>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fldChar w:fldCharType="begin"/>
      </w:r>
      <w:r>
        <w:rPr>
          <w:rFonts w:hint="eastAsia" w:ascii="宋体" w:hAnsi="宋体" w:eastAsia="宋体" w:cs="宋体"/>
          <w:kern w:val="0"/>
          <w:sz w:val="24"/>
          <w:szCs w:val="24"/>
          <w:lang w:val="en-US" w:eastAsia="zh-CN"/>
        </w:rPr>
        <w:instrText xml:space="preserve"> = 7 \* GB3 \* MERGEFORMAT </w:instrText>
      </w:r>
      <w:r>
        <w:rPr>
          <w:rFonts w:hint="eastAsia" w:ascii="宋体" w:hAnsi="宋体" w:eastAsia="宋体" w:cs="宋体"/>
          <w:kern w:val="0"/>
          <w:sz w:val="24"/>
          <w:szCs w:val="24"/>
          <w:lang w:val="en-US" w:eastAsia="zh-CN"/>
        </w:rPr>
        <w:fldChar w:fldCharType="separate"/>
      </w:r>
      <w:r>
        <w:rPr>
          <w:rFonts w:hint="eastAsia" w:ascii="宋体" w:hAnsi="宋体" w:eastAsia="宋体" w:cs="宋体"/>
          <w:kern w:val="0"/>
          <w:sz w:val="24"/>
          <w:szCs w:val="24"/>
          <w:lang w:val="en-US" w:eastAsia="zh-CN"/>
        </w:rPr>
        <w:t>⑦</w:t>
      </w:r>
      <w:r>
        <w:rPr>
          <w:rFonts w:hint="eastAsia" w:ascii="宋体" w:hAnsi="宋体" w:eastAsia="宋体" w:cs="宋体"/>
          <w:kern w:val="0"/>
          <w:sz w:val="24"/>
          <w:szCs w:val="24"/>
          <w:lang w:val="en-US" w:eastAsia="zh-CN"/>
        </w:rPr>
        <w:fldChar w:fldCharType="end"/>
      </w:r>
      <w:r>
        <w:rPr>
          <w:rFonts w:hint="eastAsia" w:ascii="宋体" w:hAnsi="宋体" w:cs="宋体"/>
          <w:kern w:val="0"/>
          <w:sz w:val="24"/>
          <w:szCs w:val="24"/>
          <w:lang w:val="en-US" w:eastAsia="zh-CN"/>
        </w:rPr>
        <w:t>本项目采购内容包含版权服务、策划设计、设备及配套设施、临展搭建（含物料）及相关技术支持服务，采购清单中已标注设备内容（包括动力设备和电器类货物）。</w:t>
      </w:r>
      <w:r>
        <w:rPr>
          <w:rFonts w:hint="eastAsia" w:ascii="宋体" w:hAnsi="宋体" w:cs="宋体"/>
          <w:sz w:val="24"/>
          <w:szCs w:val="24"/>
          <w:highlight w:val="yellow"/>
          <w:lang w:val="en-GB" w:eastAsia="zh-CN"/>
        </w:rPr>
        <w:t>（备注：中标人应根据税务政策要求开具规范税务发票，税率金额由投标人综合考虑在投标报价中。）</w:t>
      </w:r>
    </w:p>
    <w:p>
      <w:pPr>
        <w:keepNext w:val="0"/>
        <w:keepLines w:val="0"/>
        <w:pageBreakBefore w:val="0"/>
        <w:kinsoku/>
        <w:wordWrap/>
        <w:overflowPunct/>
        <w:topLinePunct w:val="0"/>
        <w:bidi w:val="0"/>
        <w:spacing w:line="360" w:lineRule="auto"/>
        <w:ind w:firstLine="482" w:firstLineChars="200"/>
        <w:outlineLvl w:val="1"/>
        <w:rPr>
          <w:rFonts w:hint="eastAsia" w:ascii="宋体" w:hAnsi="宋体" w:eastAsia="宋体" w:cs="宋体"/>
          <w:b/>
          <w:bCs/>
          <w:sz w:val="24"/>
          <w:szCs w:val="24"/>
          <w:lang w:val="en-US" w:eastAsia="zh-CN"/>
        </w:rPr>
      </w:pPr>
      <w:bookmarkStart w:id="57" w:name="_Toc29239"/>
      <w:r>
        <w:rPr>
          <w:rFonts w:hint="eastAsia" w:ascii="宋体" w:hAnsi="宋体" w:eastAsia="宋体" w:cs="宋体"/>
          <w:b/>
          <w:bCs/>
          <w:sz w:val="24"/>
          <w:szCs w:val="24"/>
          <w:lang w:val="en-US" w:eastAsia="zh-CN"/>
        </w:rPr>
        <w:t>（四）技术及商务条款</w:t>
      </w:r>
      <w:bookmarkEnd w:id="57"/>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yellow"/>
          <w:lang w:val="en-US" w:eastAsia="zh-CN"/>
        </w:rPr>
        <w:t>▲1、供应商须安排1名现场负责人专职于本项目负责项目整体管理、协调对接各项事宜。供应商须在投标文件中明确现场负责人身份和投标人单位对现场负责人的书面委任证明，加盖投标人公章，否则按未实质性响应招标文件要求，作无效标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sz w:val="24"/>
          <w:szCs w:val="24"/>
          <w:highlight w:val="none"/>
          <w:lang w:val="en-US" w:eastAsia="zh-CN"/>
        </w:rPr>
        <w:t>2、中标后，供应商须提供设计及安装方案，方案经采购人认可后</w:t>
      </w:r>
      <w:r>
        <w:rPr>
          <w:rFonts w:hint="eastAsia" w:ascii="宋体" w:hAnsi="宋体" w:eastAsia="宋体" w:cs="宋体"/>
          <w:sz w:val="24"/>
          <w:szCs w:val="24"/>
          <w:lang w:val="en-US" w:eastAsia="zh-CN"/>
        </w:rPr>
        <w:t>方可实施。所有材料设备均须提交采购人选样通过后方可实施，否则因供应商擅自施工安装造成的返工，责任由供应商自行承担。安装前，供应商应充分了解场地情况并提供设备安装图纸、基础施工图纸、管线预埋接地要求等资料。</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b w:val="0"/>
          <w:bCs w:val="0"/>
          <w:spacing w:val="0"/>
          <w:kern w:val="2"/>
          <w:sz w:val="24"/>
          <w:szCs w:val="24"/>
          <w:highlight w:val="none"/>
          <w:lang w:val="en-US" w:eastAsia="zh-CN" w:bidi="ar-SA"/>
        </w:rPr>
      </w:pPr>
      <w:r>
        <w:rPr>
          <w:rFonts w:hint="eastAsia" w:ascii="宋体" w:hAnsi="宋体" w:eastAsia="宋体" w:cs="宋体"/>
          <w:b w:val="0"/>
          <w:bCs w:val="0"/>
          <w:spacing w:val="0"/>
          <w:kern w:val="2"/>
          <w:sz w:val="24"/>
          <w:szCs w:val="24"/>
          <w:highlight w:val="none"/>
          <w:lang w:val="en-US" w:eastAsia="zh-CN" w:bidi="ar-SA"/>
        </w:rPr>
        <w:t>3、因设计施工未采用国家相关技术规范标准或设计缺陷导致的一切质量、安全责任事故，由中标供应商承担全部责任，由中标供应商赔偿由此造成的全部经济损失。</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t>4、所有货物要求完全供货，满足采购单位的使用需求，并具有可靠的售后服务体系，质量可靠、使用安全。本次招标的供货除包括上述设备外，还应包括随机的辅助设备、专用电线电缆、随机软件、技术资料（包括设备的原厂证明、设备的相关材质证明，设备使用说明书、保修卡等必要有关资料）、设备运行所必需的随机消耗材料，相应的技术服务与质量保证。产品须符合行业质量认证，具有出厂合格证明及相关检测报告等，采购人要求提供而不能提供的，采购人有权解除合同，拒付货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b w:val="0"/>
          <w:bCs w:val="0"/>
          <w:spacing w:val="0"/>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t>5、中标供应商应保证所供货物是全新的、未使用过的，是用先进工艺生产的，并完全符合合同规定的质量、规格和性能的要求。中标供应商应保证其货物在正确安装、正常使用和保养条件下，在其使用寿命期内应具有满意的性能。在货物验收合格后的质量保证期内，应对由于自身设计、工艺或元器件、材料的缺陷而产生的故障负责。</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本次采购涉及现场安装，需要电焊工等特殊工种作业人员施工作业的，必须持证上岗，严禁无证操作。否则一经发现，从严处罚，每发现一次罚款2万元。因供应商违规操作造成的一切后果，均由供应商承担。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中标供应商要按规范做好施工防护，</w:t>
      </w:r>
      <w:r>
        <w:rPr>
          <w:rFonts w:hint="eastAsia" w:ascii="宋体" w:hAnsi="宋体" w:eastAsia="宋体" w:cs="宋体"/>
          <w:kern w:val="0"/>
          <w:sz w:val="24"/>
          <w:szCs w:val="24"/>
          <w:lang w:eastAsia="zh-CN"/>
        </w:rPr>
        <w:t>做到安全施工、文明施工，</w:t>
      </w:r>
      <w:r>
        <w:rPr>
          <w:rFonts w:hint="eastAsia" w:ascii="宋体" w:hAnsi="宋体" w:eastAsia="宋体" w:cs="宋体"/>
          <w:kern w:val="0"/>
          <w:sz w:val="24"/>
          <w:szCs w:val="24"/>
        </w:rPr>
        <w:t>在货物进场的运输、装卸、安装，切实做好防护，避免对第三方人员造成人身伤害。因中标供应商原因造成的一切安全、经济责任事故，均由中标供应商承担。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zh-CN" w:eastAsia="zh-CN"/>
        </w:rPr>
      </w:pPr>
      <w:r>
        <w:rPr>
          <w:rFonts w:hint="eastAsia" w:ascii="宋体" w:hAnsi="宋体" w:eastAsia="宋体" w:cs="宋体"/>
          <w:kern w:val="0"/>
          <w:sz w:val="24"/>
          <w:szCs w:val="24"/>
          <w:highlight w:val="none"/>
          <w:lang w:val="en-US" w:eastAsia="zh-CN"/>
        </w:rPr>
        <w:t>8、中标供应商应</w:t>
      </w:r>
      <w:r>
        <w:rPr>
          <w:rFonts w:hint="eastAsia" w:ascii="宋体" w:hAnsi="宋体" w:eastAsia="宋体" w:cs="宋体"/>
          <w:kern w:val="0"/>
          <w:sz w:val="24"/>
          <w:szCs w:val="24"/>
          <w:highlight w:val="none"/>
          <w:lang w:val="zh-CN" w:eastAsia="zh-CN"/>
        </w:rPr>
        <w:t>遵守地方政府和有关部门对安装场地交通、环卫、安全和施工噪音等管理规定，并办理相关审批手续。</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9、供应商应对安装现场进行保洁管理，安装场地每天做到“工完、料净、场地清”。采购人</w:t>
      </w:r>
      <w:r>
        <w:rPr>
          <w:rFonts w:hint="eastAsia" w:ascii="宋体" w:hAnsi="宋体" w:eastAsia="宋体" w:cs="宋体"/>
          <w:kern w:val="0"/>
          <w:sz w:val="24"/>
          <w:szCs w:val="24"/>
          <w:highlight w:val="none"/>
          <w:lang w:val="zh-CN" w:eastAsia="zh-CN"/>
        </w:rPr>
        <w:t>不定期进行安全文明施工检查，供应商应及时整改，被一次警告后不作处罚，限期整改，被再次警告的扣罚供应商</w:t>
      </w: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lang w:val="zh-CN" w:eastAsia="zh-CN"/>
        </w:rPr>
        <w:t>000元</w:t>
      </w:r>
      <w:r>
        <w:rPr>
          <w:rFonts w:hint="eastAsia" w:ascii="宋体" w:hAnsi="宋体" w:eastAsia="宋体" w:cs="宋体"/>
          <w:kern w:val="0"/>
          <w:sz w:val="24"/>
          <w:szCs w:val="24"/>
          <w:highlight w:val="none"/>
          <w:lang w:val="en-US" w:eastAsia="zh-CN"/>
        </w:rPr>
        <w:t>/次违约金。</w:t>
      </w:r>
      <w:r>
        <w:rPr>
          <w:rFonts w:hint="eastAsia" w:ascii="宋体" w:hAnsi="宋体" w:eastAsia="宋体" w:cs="宋体"/>
          <w:kern w:val="0"/>
          <w:sz w:val="24"/>
          <w:szCs w:val="24"/>
          <w:highlight w:val="none"/>
          <w:lang w:val="zh-CN" w:eastAsia="zh-CN"/>
        </w:rPr>
        <w:t>另若由于施工不文明、不安全而被新闻单位曝光或交通或有关管理部门检查后通报或发生安全事故的，由供应商承担所有责任，赔偿一切损失，同时采购人保留向供应商追究责任的权利，采购人将视情节严重程度，扣罚供应商</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lang w:val="zh-CN" w:eastAsia="zh-CN"/>
        </w:rPr>
        <w:t>000元以上的</w:t>
      </w:r>
      <w:r>
        <w:rPr>
          <w:rFonts w:hint="eastAsia" w:ascii="宋体" w:hAnsi="宋体" w:eastAsia="宋体" w:cs="宋体"/>
          <w:kern w:val="0"/>
          <w:sz w:val="24"/>
          <w:szCs w:val="24"/>
          <w:highlight w:val="none"/>
          <w:lang w:val="en-US" w:eastAsia="zh-CN"/>
        </w:rPr>
        <w:t>违约金，直至扣罚所有履约保证金（含风险保证金），终止合同。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10、完工退场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完工后，供应商须对安装场地进行退场清理，才可以向采购人移交场地。区块安装工作完成，试运行成功后，履约验收前，承包人应按以下要求对安装现场进行清理：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（1）安装现场内残留的垃圾已全部清除出场；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（2）临时工程已拆除，场地已进行清理、平整或复原；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（3）作业人员、施工设备和剩余的材料，包括废弃的施工设备和材料，已撤离安装现场；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（4）安装现场周边的施工堆积物，已全部清理；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如完工后，供应商不能及时移交场地的，采购人将对供应商扣罚2000元/天的违约金；如供应商拖延移交场地导致进度滞后，采购人有权安排其他保洁队伍进场清理作业，费用从供应商的合同金额中支出，供应商须无条件接受。 </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11、</w:t>
      </w:r>
      <w:r>
        <w:rPr>
          <w:rFonts w:hint="eastAsia" w:ascii="宋体" w:hAnsi="宋体" w:eastAsia="宋体" w:cs="宋体"/>
          <w:kern w:val="0"/>
          <w:sz w:val="24"/>
          <w:szCs w:val="24"/>
          <w:highlight w:val="none"/>
        </w:rPr>
        <w:t>服务与培训要求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 质量保证：</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①</w:t>
      </w:r>
      <w:r>
        <w:rPr>
          <w:rFonts w:hint="eastAsia" w:ascii="宋体" w:hAnsi="宋体" w:eastAsia="宋体" w:cs="宋体"/>
          <w:sz w:val="24"/>
          <w:szCs w:val="24"/>
          <w:highlight w:val="none"/>
          <w:lang w:val="en-US" w:eastAsia="zh-CN"/>
        </w:rPr>
        <w:t>本项目质保期1年</w:t>
      </w:r>
      <w:r>
        <w:rPr>
          <w:rFonts w:hint="eastAsia" w:ascii="宋体" w:hAnsi="宋体" w:eastAsia="宋体" w:cs="宋体"/>
          <w:color w:val="FF0000"/>
          <w:sz w:val="24"/>
          <w:szCs w:val="24"/>
          <w:highlight w:val="none"/>
          <w:lang w:val="en-US" w:eastAsia="zh-CN"/>
        </w:rPr>
        <w:t>（</w:t>
      </w:r>
      <w:r>
        <w:rPr>
          <w:rFonts w:hint="eastAsia" w:ascii="宋体" w:hAnsi="宋体" w:eastAsia="宋体" w:cs="宋体"/>
          <w:color w:val="FF0000"/>
          <w:sz w:val="24"/>
          <w:szCs w:val="24"/>
          <w:highlight w:val="none"/>
        </w:rPr>
        <w:t>原厂质保期高于中标方质保承诺的按原厂执行</w:t>
      </w:r>
      <w:r>
        <w:rPr>
          <w:rFonts w:hint="eastAsia" w:ascii="宋体" w:hAnsi="宋体" w:eastAsia="宋体" w:cs="宋体"/>
          <w:color w:val="FF0000"/>
          <w:sz w:val="24"/>
          <w:szCs w:val="24"/>
          <w:highlight w:val="none"/>
          <w:lang w:val="en-US" w:eastAsia="zh-CN"/>
        </w:rPr>
        <w:t>）</w:t>
      </w:r>
      <w:r>
        <w:rPr>
          <w:rFonts w:hint="eastAsia" w:ascii="宋体" w:hAnsi="宋体" w:eastAsia="宋体" w:cs="宋体"/>
          <w:sz w:val="24"/>
          <w:szCs w:val="24"/>
          <w:highlight w:val="none"/>
          <w:lang w:val="en-US" w:eastAsia="zh-CN"/>
        </w:rPr>
        <w:t>，质保期内产品质量缺陷或非人为因素造成的使用故障，供应商应无条件维修更换。时间从产品安装验收通过、业主接受并使用之日起计算并提供产品制造商的质保承诺函。因产品质量问题被更换的，质保期从被更换且验收合格之日起重新计算。</w:t>
      </w:r>
      <w:r>
        <w:rPr>
          <w:rFonts w:hint="eastAsia" w:ascii="宋体" w:hAnsi="宋体" w:eastAsia="宋体" w:cs="宋体"/>
          <w:sz w:val="24"/>
          <w:szCs w:val="24"/>
          <w:highlight w:val="none"/>
        </w:rPr>
        <w:t>中标人必须对货物提供终身维修维护服务并负责售后服务。</w:t>
      </w:r>
      <w:r>
        <w:rPr>
          <w:rFonts w:hint="eastAsia" w:ascii="宋体" w:hAnsi="宋体" w:eastAsia="宋体" w:cs="宋体"/>
          <w:sz w:val="24"/>
          <w:szCs w:val="24"/>
          <w:highlight w:val="none"/>
          <w:lang w:val="en-US" w:eastAsia="zh-CN"/>
        </w:rPr>
        <w:t>超过保质期</w:t>
      </w:r>
      <w:r>
        <w:rPr>
          <w:rFonts w:hint="eastAsia" w:ascii="宋体" w:hAnsi="宋体" w:eastAsia="宋体" w:cs="宋体"/>
          <w:sz w:val="24"/>
          <w:szCs w:val="24"/>
          <w:lang w:val="en-US" w:eastAsia="zh-CN"/>
        </w:rPr>
        <w:t>后有偿终身维护，</w:t>
      </w:r>
      <w:r>
        <w:rPr>
          <w:rFonts w:hint="eastAsia" w:ascii="宋体" w:hAnsi="宋体" w:eastAsia="宋体" w:cs="宋体"/>
          <w:kern w:val="0"/>
          <w:sz w:val="24"/>
          <w:szCs w:val="24"/>
        </w:rPr>
        <w:t>维修按成本价酌</w:t>
      </w:r>
      <w:r>
        <w:rPr>
          <w:rFonts w:hint="eastAsia" w:ascii="宋体" w:hAnsi="宋体" w:eastAsia="宋体" w:cs="宋体"/>
          <w:sz w:val="24"/>
          <w:szCs w:val="24"/>
        </w:rPr>
        <w:t>情收费</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②投标货物必须是符合国家技术规范和质量标准的合格产品，满足采购单位的使用需求，并具有可靠的售后服务体系，质量可靠、使用安全。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③投标人保证其提供的货物中所有预装和为本项目安装的资源库、功能应用模块均为具有合法版权或使用权的正版软件且无质量瑕疵。投标人须保证所提供</w:t>
      </w:r>
      <w:r>
        <w:rPr>
          <w:rFonts w:hint="eastAsia" w:ascii="宋体" w:hAnsi="宋体" w:eastAsia="宋体" w:cs="宋体"/>
          <w:sz w:val="24"/>
          <w:szCs w:val="24"/>
          <w:lang w:eastAsia="zh-CN"/>
        </w:rPr>
        <w:t>设备</w:t>
      </w:r>
      <w:r>
        <w:rPr>
          <w:rFonts w:hint="eastAsia" w:ascii="宋体" w:hAnsi="宋体" w:eastAsia="宋体" w:cs="宋体"/>
          <w:sz w:val="24"/>
          <w:szCs w:val="24"/>
        </w:rPr>
        <w:t>产品包括相关附件为相应</w:t>
      </w:r>
      <w:r>
        <w:rPr>
          <w:rFonts w:hint="eastAsia" w:ascii="宋体" w:hAnsi="宋体" w:eastAsia="宋体" w:cs="宋体"/>
          <w:sz w:val="24"/>
          <w:szCs w:val="24"/>
          <w:lang w:eastAsia="zh-CN"/>
        </w:rPr>
        <w:t>设备</w:t>
      </w:r>
      <w:r>
        <w:rPr>
          <w:rFonts w:hint="eastAsia" w:ascii="宋体" w:hAnsi="宋体" w:eastAsia="宋体" w:cs="宋体"/>
          <w:sz w:val="24"/>
          <w:szCs w:val="24"/>
        </w:rPr>
        <w:t>厂家原装正品，符合国家有关规定。本项目采购的产品，如在本项目范围内使用过程中出现版权或使用权纠纷，应由中标人负责。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④须写明各项辅助设备的品牌与规格；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⑤在质保期内，如遇软件产品升级、改版，应免费提供更新、升级服务。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 要求投标人提供的服务不得低于标准服务，即与投标设备制造厂商通过网站等对外公布的有效服务标准相一致（投标人不得另行制作网页）。在标准服务基础上，投标人还应达到以下标准：</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outlineLvl w:val="9"/>
        <w:rPr>
          <w:rFonts w:hint="eastAsia" w:ascii="宋体" w:hAnsi="宋体" w:eastAsia="宋体" w:cs="宋体"/>
          <w:sz w:val="24"/>
          <w:szCs w:val="24"/>
        </w:rPr>
      </w:pPr>
      <w:r>
        <w:rPr>
          <w:rFonts w:hint="eastAsia" w:ascii="宋体" w:hAnsi="宋体" w:eastAsia="宋体" w:cs="宋体"/>
          <w:sz w:val="24"/>
          <w:szCs w:val="24"/>
        </w:rPr>
        <w:t>①在投标货物质保期内，供应商应提供不低于</w:t>
      </w:r>
      <w:r>
        <w:rPr>
          <w:rFonts w:hint="eastAsia" w:ascii="宋体" w:hAnsi="宋体" w:eastAsia="宋体" w:cs="宋体"/>
          <w:sz w:val="24"/>
          <w:szCs w:val="24"/>
          <w:lang w:val="en-US" w:eastAsia="zh-CN"/>
        </w:rPr>
        <w:t>7</w:t>
      </w:r>
      <w:r>
        <w:rPr>
          <w:rFonts w:hint="eastAsia" w:ascii="宋体" w:hAnsi="宋体" w:eastAsia="宋体" w:cs="宋体"/>
          <w:sz w:val="24"/>
          <w:szCs w:val="24"/>
        </w:rPr>
        <w:t>*8小时的质保和技术支持服务，对故障在2小时内响应，4小时以内到现场，8小时以内解决问题；不能当场修复的，必须采取提供备品、备件或备机等措施，以保证采购单位的正常使用。如果逾期未作出响应，供应商应承担由于故障所造成的全部损失。</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outlineLvl w:val="9"/>
        <w:rPr>
          <w:rFonts w:hint="eastAsia" w:ascii="宋体" w:hAnsi="宋体" w:eastAsia="宋体" w:cs="宋体"/>
          <w:sz w:val="24"/>
          <w:szCs w:val="24"/>
        </w:rPr>
      </w:pPr>
      <w:r>
        <w:rPr>
          <w:rFonts w:hint="eastAsia" w:ascii="宋体" w:hAnsi="宋体" w:eastAsia="宋体" w:cs="宋体"/>
          <w:sz w:val="24"/>
          <w:szCs w:val="24"/>
        </w:rPr>
        <w:t>②供应商在</w:t>
      </w:r>
      <w:r>
        <w:rPr>
          <w:rFonts w:hint="eastAsia" w:ascii="宋体" w:hAnsi="宋体" w:eastAsia="宋体" w:cs="宋体"/>
          <w:sz w:val="24"/>
          <w:szCs w:val="24"/>
          <w:lang w:eastAsia="zh-CN"/>
        </w:rPr>
        <w:t>售后服务期提供</w:t>
      </w:r>
      <w:r>
        <w:rPr>
          <w:rFonts w:hint="eastAsia" w:ascii="宋体" w:hAnsi="宋体" w:eastAsia="宋体" w:cs="宋体"/>
          <w:sz w:val="24"/>
          <w:szCs w:val="24"/>
        </w:rPr>
        <w:t>的零配件，必须是投标设备制造厂商原产的或是经其认可的。所有的替代零配件必须是新的未使用和未经修复的，除非最终用户提供书面许可，否则不可使用此范围外的其他（非新的）配件。供应商</w:t>
      </w:r>
      <w:r>
        <w:rPr>
          <w:rFonts w:hint="eastAsia" w:ascii="宋体" w:hAnsi="宋体" w:eastAsia="宋体" w:cs="宋体"/>
          <w:sz w:val="24"/>
          <w:szCs w:val="24"/>
          <w:lang w:eastAsia="zh-CN"/>
        </w:rPr>
        <w:t>应保证设备常用配件</w:t>
      </w:r>
      <w:r>
        <w:rPr>
          <w:rFonts w:hint="eastAsia" w:ascii="宋体" w:hAnsi="宋体" w:eastAsia="宋体" w:cs="宋体"/>
          <w:sz w:val="24"/>
          <w:szCs w:val="24"/>
        </w:rPr>
        <w:t>的</w:t>
      </w:r>
      <w:r>
        <w:rPr>
          <w:rFonts w:hint="eastAsia" w:ascii="宋体" w:hAnsi="宋体" w:eastAsia="宋体" w:cs="宋体"/>
          <w:sz w:val="24"/>
          <w:szCs w:val="24"/>
          <w:lang w:eastAsia="zh-CN"/>
        </w:rPr>
        <w:t>长期</w:t>
      </w:r>
      <w:r>
        <w:rPr>
          <w:rFonts w:hint="eastAsia" w:ascii="宋体" w:hAnsi="宋体" w:eastAsia="宋体" w:cs="宋体"/>
          <w:sz w:val="24"/>
          <w:szCs w:val="24"/>
        </w:rPr>
        <w:t>供应支持，便于</w:t>
      </w:r>
      <w:r>
        <w:rPr>
          <w:rFonts w:hint="eastAsia" w:ascii="宋体" w:hAnsi="宋体" w:eastAsia="宋体" w:cs="宋体"/>
          <w:sz w:val="24"/>
          <w:szCs w:val="24"/>
          <w:lang w:eastAsia="zh-CN"/>
        </w:rPr>
        <w:t>采购人</w:t>
      </w:r>
      <w:r>
        <w:rPr>
          <w:rFonts w:hint="eastAsia" w:ascii="宋体" w:hAnsi="宋体" w:eastAsia="宋体" w:cs="宋体"/>
          <w:sz w:val="24"/>
          <w:szCs w:val="24"/>
        </w:rPr>
        <w:t>日后的正常设备维护。</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outlineLvl w:val="9"/>
        <w:rPr>
          <w:rFonts w:hint="eastAsia" w:ascii="宋体" w:hAnsi="宋体" w:eastAsia="宋体" w:cs="宋体"/>
          <w:sz w:val="24"/>
          <w:szCs w:val="24"/>
        </w:rPr>
      </w:pPr>
      <w:r>
        <w:rPr>
          <w:rFonts w:hint="eastAsia" w:ascii="宋体" w:hAnsi="宋体" w:eastAsia="宋体" w:cs="宋体"/>
          <w:sz w:val="24"/>
          <w:szCs w:val="24"/>
        </w:rPr>
        <w:t>③在质保期内，供应商有责任解决所提供的投标设备的任何问题，在质保期满后，当需要时，供应商仍须对因投标设备本身的固有缺陷和瑕疵承担相应责任。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lang w:eastAsia="zh-CN"/>
        </w:rPr>
        <w:t>④质保期满后，供应商仍须为所提供的产品提供必要的备品配件服务，如该产品停产，则供应商至少应准备该产品设计使用寿命期限内</w:t>
      </w:r>
      <w:r>
        <w:rPr>
          <w:rFonts w:hint="eastAsia" w:ascii="宋体" w:hAnsi="宋体" w:eastAsia="宋体" w:cs="宋体"/>
          <w:sz w:val="24"/>
          <w:szCs w:val="24"/>
          <w:highlight w:val="yellow"/>
          <w:lang w:val="en-US" w:eastAsia="zh-CN"/>
        </w:rPr>
        <w:t>的备品</w:t>
      </w:r>
      <w:r>
        <w:rPr>
          <w:rFonts w:hint="eastAsia" w:ascii="宋体" w:hAnsi="宋体" w:eastAsia="宋体" w:cs="宋体"/>
          <w:sz w:val="24"/>
          <w:szCs w:val="24"/>
          <w:highlight w:val="yellow"/>
          <w:lang w:eastAsia="zh-CN"/>
        </w:rPr>
        <w:t>配</w:t>
      </w:r>
      <w:r>
        <w:rPr>
          <w:rFonts w:hint="eastAsia" w:ascii="宋体" w:hAnsi="宋体" w:eastAsia="宋体" w:cs="宋体"/>
          <w:sz w:val="24"/>
          <w:szCs w:val="24"/>
          <w:highlight w:val="yellow"/>
          <w:lang w:val="en-US" w:eastAsia="zh-CN"/>
        </w:rPr>
        <w:t>件，</w:t>
      </w:r>
      <w:r>
        <w:rPr>
          <w:rFonts w:hint="eastAsia" w:ascii="宋体" w:hAnsi="宋体" w:eastAsia="宋体" w:cs="宋体"/>
          <w:sz w:val="24"/>
          <w:szCs w:val="24"/>
          <w:highlight w:val="yellow"/>
        </w:rPr>
        <w:t>所有零部件等的更换按</w:t>
      </w:r>
      <w:r>
        <w:rPr>
          <w:rFonts w:hint="eastAsia" w:ascii="宋体" w:hAnsi="宋体" w:eastAsia="宋体" w:cs="宋体"/>
          <w:sz w:val="24"/>
          <w:szCs w:val="24"/>
          <w:highlight w:val="yellow"/>
          <w:lang w:eastAsia="zh-CN"/>
        </w:rPr>
        <w:t>不高于</w:t>
      </w:r>
      <w:r>
        <w:rPr>
          <w:rFonts w:hint="eastAsia" w:ascii="宋体" w:hAnsi="宋体" w:eastAsia="宋体" w:cs="宋体"/>
          <w:sz w:val="24"/>
          <w:szCs w:val="24"/>
          <w:highlight w:val="yellow"/>
        </w:rPr>
        <w:t>同期市场价提供</w:t>
      </w:r>
      <w:r>
        <w:rPr>
          <w:rFonts w:hint="eastAsia" w:ascii="宋体" w:hAnsi="宋体" w:eastAsia="宋体" w:cs="宋体"/>
          <w:sz w:val="24"/>
          <w:szCs w:val="24"/>
          <w:highlight w:val="yellow"/>
          <w:lang w:eastAsia="zh-CN"/>
        </w:rPr>
        <w:t>；当采购人需要时，供应商仍须对所投产品提供免费技术咨询服务，如须提供现场技术服务的，采购人支付技术人员的差旅费。</w:t>
      </w:r>
      <w:r>
        <w:rPr>
          <w:rFonts w:hint="eastAsia" w:ascii="宋体" w:hAnsi="宋体" w:eastAsia="宋体" w:cs="宋体"/>
          <w:sz w:val="24"/>
          <w:szCs w:val="24"/>
          <w:highlight w:val="yellow"/>
          <w:lang w:val="en-US" w:eastAsia="zh-CN"/>
        </w:rPr>
        <w:t>投标供应商须在投标文件中对本项内容进行承诺，否则按未实质性响应招标文件要求，作无效标处理。</w:t>
      </w:r>
      <w:r>
        <w:rPr>
          <w:rFonts w:hint="eastAsia" w:ascii="宋体" w:hAnsi="宋体" w:eastAsia="宋体" w:cs="宋体"/>
          <w:sz w:val="24"/>
          <w:szCs w:val="24"/>
          <w:highlight w:val="yellow"/>
          <w:lang w:eastAsia="zh-CN"/>
        </w:rPr>
        <w:t>如在产品设计使用寿命期限内，因供应商未按本项承诺提供售后服务内容，导致产品故障无法使用的，供应商应承担由此给采购人造成的损失。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）对设备服务要求的有效响应将被视为投标人对其所投标设备的服务承诺。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在质保期结束时，须由专业维修机构及维修人员对设备进行一次测试，任何故障须由供货方自费解决并取得业主的同意。维修完成后，中标人需送交报告给业主，包括故障原因，解决措施，完成修理所费时间及恢复正常运行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）培训要求</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要求中标人提供设备</w:t>
      </w:r>
      <w:r>
        <w:rPr>
          <w:rFonts w:hint="eastAsia" w:ascii="宋体" w:hAnsi="宋体" w:eastAsia="宋体" w:cs="宋体"/>
          <w:sz w:val="24"/>
          <w:szCs w:val="24"/>
          <w:lang w:eastAsia="zh-CN"/>
        </w:rPr>
        <w:t>使用、设备操作和管理维护</w:t>
      </w:r>
      <w:r>
        <w:rPr>
          <w:rFonts w:hint="eastAsia" w:ascii="宋体" w:hAnsi="宋体" w:eastAsia="宋体" w:cs="宋体"/>
          <w:sz w:val="24"/>
          <w:szCs w:val="24"/>
        </w:rPr>
        <w:t>培训，直到用户会使用、会维护保养为止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并提供专业维修工具2套。试营业期间，供应商提供不少于3名技术人员驻项目服务。</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12、</w:t>
      </w:r>
      <w:r>
        <w:rPr>
          <w:rFonts w:hint="eastAsia" w:ascii="宋体" w:hAnsi="宋体" w:eastAsia="宋体" w:cs="宋体"/>
          <w:sz w:val="24"/>
          <w:szCs w:val="24"/>
          <w:lang w:val="en-US" w:eastAsia="zh-CN"/>
        </w:rPr>
        <w:t>验收：根据中华人民共和国现行技术标准，按照招标文件及相关验收评定标准等规范，</w:t>
      </w:r>
      <w:r>
        <w:rPr>
          <w:rFonts w:hint="eastAsia" w:ascii="宋体" w:hAnsi="宋体" w:eastAsia="宋体" w:cs="宋体"/>
          <w:color w:val="000000"/>
          <w:sz w:val="24"/>
          <w:szCs w:val="24"/>
        </w:rPr>
        <w:t>清点设备装箱内容符合装箱单所列并符合招标文件要求和投标产品承诺；</w:t>
      </w:r>
      <w:r>
        <w:rPr>
          <w:rFonts w:hint="eastAsia" w:ascii="宋体" w:hAnsi="宋体" w:eastAsia="宋体" w:cs="宋体"/>
          <w:sz w:val="24"/>
          <w:szCs w:val="24"/>
        </w:rPr>
        <w:t>所有设备安装调试到位，</w:t>
      </w:r>
      <w:r>
        <w:rPr>
          <w:rFonts w:hint="eastAsia" w:ascii="宋体" w:hAnsi="宋体" w:eastAsia="宋体" w:cs="宋体"/>
          <w:color w:val="000000"/>
          <w:sz w:val="24"/>
          <w:szCs w:val="24"/>
        </w:rPr>
        <w:t>设备应通电开机后进行所规定时间的试验运行后，</w:t>
      </w:r>
      <w:r>
        <w:rPr>
          <w:rFonts w:hint="eastAsia" w:ascii="宋体" w:hAnsi="宋体" w:eastAsia="宋体" w:cs="宋体"/>
          <w:sz w:val="24"/>
          <w:szCs w:val="24"/>
        </w:rPr>
        <w:t>设备品牌、品质及环保标准均达到</w:t>
      </w:r>
      <w:r>
        <w:rPr>
          <w:rFonts w:hint="eastAsia" w:ascii="宋体" w:hAnsi="宋体" w:eastAsia="宋体" w:cs="宋体"/>
          <w:sz w:val="24"/>
          <w:szCs w:val="24"/>
          <w:lang w:val="en-US" w:eastAsia="zh-CN"/>
        </w:rPr>
        <w:t>采购人</w:t>
      </w:r>
      <w:r>
        <w:rPr>
          <w:rFonts w:hint="eastAsia" w:ascii="宋体" w:hAnsi="宋体" w:eastAsia="宋体" w:cs="宋体"/>
          <w:sz w:val="24"/>
          <w:szCs w:val="24"/>
        </w:rPr>
        <w:t>要求后方提出整体验收申请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直至验收通过为止。</w:t>
      </w:r>
    </w:p>
    <w:p>
      <w:pPr>
        <w:pStyle w:val="35"/>
        <w:keepNext w:val="0"/>
        <w:keepLines w:val="0"/>
        <w:pageBreakBefore w:val="0"/>
        <w:kinsoku/>
        <w:wordWrap/>
        <w:overflowPunct/>
        <w:topLinePunct w:val="0"/>
        <w:bidi w:val="0"/>
        <w:snapToGrid w:val="0"/>
        <w:spacing w:beforeLines="0" w:afterLines="0" w:line="360" w:lineRule="auto"/>
        <w:ind w:firstLine="480" w:firstLineChars="200"/>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sz w:val="24"/>
          <w:szCs w:val="24"/>
          <w:lang w:val="en-US" w:eastAsia="zh-CN"/>
        </w:rPr>
        <w:t>13、供货期：</w:t>
      </w:r>
      <w:r>
        <w:rPr>
          <w:rFonts w:hint="eastAsia" w:ascii="宋体" w:hAnsi="宋体" w:eastAsia="宋体" w:cs="宋体"/>
          <w:b w:val="0"/>
          <w:bCs w:val="0"/>
          <w:sz w:val="24"/>
          <w:szCs w:val="24"/>
          <w:highlight w:val="yellow"/>
          <w:lang w:val="en-US" w:eastAsia="zh-CN"/>
        </w:rPr>
        <w:t>项目整体供货期45天，即须在45天内完成本项目所有工作内容并通过履约验收，其中试营业节点前必须完成以下内容：除水世界区块外，其他所有游乐设施设备必须在</w:t>
      </w:r>
      <w:r>
        <w:rPr>
          <w:rFonts w:hint="eastAsia" w:hAnsi="宋体" w:cs="宋体"/>
          <w:b w:val="0"/>
          <w:bCs w:val="0"/>
          <w:sz w:val="24"/>
          <w:szCs w:val="24"/>
          <w:highlight w:val="yellow"/>
          <w:lang w:val="en-US" w:eastAsia="zh-CN"/>
        </w:rPr>
        <w:t>5月24日</w:t>
      </w:r>
      <w:r>
        <w:rPr>
          <w:rFonts w:hint="eastAsia" w:ascii="宋体" w:hAnsi="宋体" w:eastAsia="宋体" w:cs="宋体"/>
          <w:b w:val="0"/>
          <w:bCs w:val="0"/>
          <w:sz w:val="24"/>
          <w:szCs w:val="24"/>
          <w:highlight w:val="yellow"/>
          <w:lang w:val="en-US" w:eastAsia="zh-CN"/>
        </w:rPr>
        <w:t>前完成安装调试通过试运行并完成验收，现场的布展宣发内容（包括场地清理）必须在5月30日前完成。</w:t>
      </w:r>
      <w:r>
        <w:rPr>
          <w:rFonts w:hint="eastAsia" w:ascii="宋体" w:hAnsi="宋体" w:eastAsia="宋体" w:cs="宋体"/>
          <w:sz w:val="24"/>
          <w:szCs w:val="24"/>
        </w:rPr>
        <w:t>因中标人原因未能按</w:t>
      </w:r>
      <w:r>
        <w:rPr>
          <w:rFonts w:hint="eastAsia" w:ascii="宋体" w:hAnsi="宋体" w:eastAsia="宋体" w:cs="宋体"/>
          <w:sz w:val="24"/>
          <w:szCs w:val="24"/>
          <w:lang w:eastAsia="zh-CN"/>
        </w:rPr>
        <w:t>供货进度及时完成</w:t>
      </w:r>
      <w:r>
        <w:rPr>
          <w:rFonts w:hint="eastAsia" w:ascii="宋体" w:hAnsi="宋体" w:eastAsia="宋体" w:cs="宋体"/>
          <w:sz w:val="24"/>
          <w:szCs w:val="24"/>
        </w:rPr>
        <w:t>的</w:t>
      </w:r>
      <w:r>
        <w:rPr>
          <w:rFonts w:hint="eastAsia" w:ascii="宋体" w:hAnsi="宋体" w:eastAsia="宋体" w:cs="宋体"/>
          <w:sz w:val="24"/>
          <w:szCs w:val="24"/>
          <w:lang w:eastAsia="zh-CN"/>
        </w:rPr>
        <w:t>（包括试</w:t>
      </w:r>
      <w:r>
        <w:rPr>
          <w:rFonts w:hint="eastAsia" w:ascii="宋体" w:hAnsi="宋体" w:eastAsia="宋体" w:cs="宋体"/>
          <w:b w:val="0"/>
          <w:bCs w:val="0"/>
          <w:sz w:val="24"/>
          <w:szCs w:val="24"/>
          <w:highlight w:val="none"/>
          <w:lang w:val="en-US" w:eastAsia="zh-CN"/>
        </w:rPr>
        <w:t xml:space="preserve">营业节点要求），每延误一天处以2000元违约金，违约金直接从合同价款中扣除。延误时间超过30天的，采购人有权终止合同，并没收全部履约保证金（含风险保证金），如造成采购人损失超过履约保证金（含风险保证金）的，超出部分由中标人继续承担赔偿责任。另外，因中标人逾期交货或其他违约行为导致采购人解除合同的，中标人应向采购人支付合同总值5%的违约金。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14、付款方式</w:t>
      </w:r>
    </w:p>
    <w:p>
      <w:pPr>
        <w:keepNext w:val="0"/>
        <w:keepLines w:val="0"/>
        <w:pageBreakBefore w:val="0"/>
        <w:kinsoku/>
        <w:wordWrap/>
        <w:overflowPunct/>
        <w:topLinePunct w:val="0"/>
        <w:bidi w:val="0"/>
        <w:spacing w:line="360" w:lineRule="auto"/>
        <w:ind w:firstLine="480" w:firstLineChars="200"/>
        <w:outlineLvl w:val="9"/>
        <w:rPr>
          <w:rFonts w:hint="eastAsia" w:ascii="宋体" w:hAnsi="宋体" w:eastAsia="宋体" w:cs="宋体"/>
          <w:sz w:val="24"/>
          <w:szCs w:val="24"/>
          <w:highlight w:val="yellow"/>
        </w:rPr>
      </w:pPr>
      <w:r>
        <w:rPr>
          <w:rFonts w:hint="eastAsia" w:ascii="宋体" w:hAnsi="宋体" w:eastAsia="宋体" w:cs="宋体"/>
          <w:sz w:val="24"/>
          <w:szCs w:val="24"/>
          <w:highlight w:val="yellow"/>
        </w:rPr>
        <w:fldChar w:fldCharType="begin"/>
      </w:r>
      <w:r>
        <w:rPr>
          <w:rFonts w:hint="eastAsia" w:ascii="宋体" w:hAnsi="宋体" w:eastAsia="宋体" w:cs="宋体"/>
          <w:sz w:val="24"/>
          <w:szCs w:val="24"/>
          <w:highlight w:val="yellow"/>
        </w:rPr>
        <w:instrText xml:space="preserve"> = 1 \* GB3 \* MERGEFORMAT </w:instrText>
      </w:r>
      <w:r>
        <w:rPr>
          <w:rFonts w:hint="eastAsia" w:ascii="宋体" w:hAnsi="宋体" w:eastAsia="宋体" w:cs="宋体"/>
          <w:sz w:val="24"/>
          <w:szCs w:val="24"/>
          <w:highlight w:val="yellow"/>
        </w:rPr>
        <w:fldChar w:fldCharType="separate"/>
      </w:r>
      <w:r>
        <w:rPr>
          <w:rFonts w:hint="eastAsia" w:ascii="宋体" w:hAnsi="宋体" w:eastAsia="宋体" w:cs="宋体"/>
          <w:sz w:val="24"/>
          <w:szCs w:val="24"/>
          <w:highlight w:val="yellow"/>
        </w:rPr>
        <w:t>①</w:t>
      </w:r>
      <w:r>
        <w:rPr>
          <w:rFonts w:hint="eastAsia" w:ascii="宋体" w:hAnsi="宋体" w:eastAsia="宋体" w:cs="宋体"/>
          <w:sz w:val="24"/>
          <w:szCs w:val="24"/>
          <w:highlight w:val="yellow"/>
        </w:rPr>
        <w:fldChar w:fldCharType="end"/>
      </w:r>
      <w:r>
        <w:rPr>
          <w:rFonts w:hint="eastAsia" w:ascii="宋体" w:hAnsi="宋体" w:eastAsia="宋体" w:cs="宋体"/>
          <w:sz w:val="24"/>
          <w:szCs w:val="24"/>
          <w:highlight w:val="yellow"/>
          <w:lang w:val="en-GB"/>
        </w:rPr>
        <w:t>合同签订后，</w:t>
      </w:r>
      <w:r>
        <w:rPr>
          <w:rFonts w:hint="eastAsia" w:ascii="宋体" w:hAnsi="宋体" w:eastAsia="宋体" w:cs="宋体"/>
          <w:sz w:val="24"/>
          <w:szCs w:val="24"/>
          <w:highlight w:val="yellow"/>
          <w:lang w:val="en-US" w:eastAsia="zh-CN"/>
        </w:rPr>
        <w:t>提供深化设计方案、</w:t>
      </w:r>
      <w:r>
        <w:rPr>
          <w:rFonts w:hint="eastAsia" w:ascii="宋体" w:hAnsi="宋体" w:eastAsia="宋体" w:cs="宋体"/>
          <w:sz w:val="24"/>
          <w:szCs w:val="24"/>
          <w:highlight w:val="yellow"/>
        </w:rPr>
        <w:t>供货方案、产品选样</w:t>
      </w:r>
      <w:r>
        <w:rPr>
          <w:rFonts w:hint="eastAsia" w:ascii="宋体" w:hAnsi="宋体" w:eastAsia="宋体" w:cs="宋体"/>
          <w:sz w:val="24"/>
          <w:szCs w:val="24"/>
          <w:highlight w:val="yellow"/>
          <w:lang w:val="en-US" w:eastAsia="zh-CN"/>
        </w:rPr>
        <w:t>等</w:t>
      </w:r>
      <w:r>
        <w:rPr>
          <w:rFonts w:hint="eastAsia" w:ascii="宋体" w:hAnsi="宋体" w:eastAsia="宋体" w:cs="宋体"/>
          <w:sz w:val="24"/>
          <w:szCs w:val="24"/>
          <w:highlight w:val="yellow"/>
        </w:rPr>
        <w:t>经过采购人认可后5个工作日内，采购人支付合同总价的</w:t>
      </w:r>
      <w:r>
        <w:rPr>
          <w:rFonts w:hint="eastAsia" w:ascii="宋体" w:hAnsi="宋体" w:eastAsia="宋体" w:cs="宋体"/>
          <w:sz w:val="24"/>
          <w:szCs w:val="24"/>
          <w:highlight w:val="yellow"/>
          <w:lang w:val="en-US" w:eastAsia="zh-CN"/>
        </w:rPr>
        <w:t>50</w:t>
      </w:r>
      <w:r>
        <w:rPr>
          <w:rFonts w:hint="eastAsia" w:ascii="宋体" w:hAnsi="宋体" w:eastAsia="宋体" w:cs="宋体"/>
          <w:sz w:val="24"/>
          <w:szCs w:val="24"/>
          <w:highlight w:val="yellow"/>
        </w:rPr>
        <w:t>%作为预付款。</w:t>
      </w:r>
    </w:p>
    <w:p>
      <w:pPr>
        <w:keepNext w:val="0"/>
        <w:keepLines w:val="0"/>
        <w:pageBreakBefore w:val="0"/>
        <w:kinsoku/>
        <w:wordWrap/>
        <w:overflowPunct/>
        <w:topLinePunct w:val="0"/>
        <w:bidi w:val="0"/>
        <w:spacing w:line="360" w:lineRule="auto"/>
        <w:ind w:firstLine="480" w:firstLineChars="200"/>
        <w:outlineLvl w:val="9"/>
        <w:rPr>
          <w:rFonts w:hint="eastAsia" w:ascii="宋体" w:hAnsi="宋体" w:eastAsia="宋体" w:cs="宋体"/>
          <w:sz w:val="24"/>
          <w:szCs w:val="24"/>
          <w:highlight w:val="yellow"/>
        </w:rPr>
      </w:pPr>
      <w:r>
        <w:rPr>
          <w:rFonts w:hint="eastAsia" w:ascii="宋体" w:hAnsi="宋体" w:eastAsia="宋体" w:cs="宋体"/>
          <w:sz w:val="24"/>
          <w:szCs w:val="24"/>
          <w:highlight w:val="yellow"/>
        </w:rPr>
        <w:fldChar w:fldCharType="begin"/>
      </w:r>
      <w:r>
        <w:rPr>
          <w:rFonts w:hint="eastAsia" w:ascii="宋体" w:hAnsi="宋体" w:eastAsia="宋体" w:cs="宋体"/>
          <w:sz w:val="24"/>
          <w:szCs w:val="24"/>
          <w:highlight w:val="yellow"/>
        </w:rPr>
        <w:instrText xml:space="preserve"> = 2 \* GB3 \* MERGEFORMAT </w:instrText>
      </w:r>
      <w:r>
        <w:rPr>
          <w:rFonts w:hint="eastAsia" w:ascii="宋体" w:hAnsi="宋体" w:eastAsia="宋体" w:cs="宋体"/>
          <w:sz w:val="24"/>
          <w:szCs w:val="24"/>
          <w:highlight w:val="yellow"/>
        </w:rPr>
        <w:fldChar w:fldCharType="separate"/>
      </w:r>
      <w:r>
        <w:rPr>
          <w:rFonts w:hint="eastAsia" w:ascii="宋体" w:hAnsi="宋体" w:eastAsia="宋体" w:cs="宋体"/>
          <w:sz w:val="24"/>
          <w:szCs w:val="24"/>
          <w:highlight w:val="yellow"/>
        </w:rPr>
        <w:t>②</w:t>
      </w:r>
      <w:r>
        <w:rPr>
          <w:rFonts w:hint="eastAsia" w:ascii="宋体" w:hAnsi="宋体" w:eastAsia="宋体" w:cs="宋体"/>
          <w:sz w:val="24"/>
          <w:szCs w:val="24"/>
          <w:highlight w:val="yellow"/>
        </w:rPr>
        <w:fldChar w:fldCharType="end"/>
      </w:r>
      <w:r>
        <w:rPr>
          <w:rFonts w:hint="eastAsia" w:ascii="宋体" w:hAnsi="宋体" w:eastAsia="宋体" w:cs="宋体"/>
          <w:sz w:val="24"/>
          <w:szCs w:val="24"/>
          <w:highlight w:val="yellow"/>
          <w:lang w:eastAsia="zh-CN"/>
        </w:rPr>
        <w:t>采购清单内</w:t>
      </w:r>
      <w:r>
        <w:rPr>
          <w:rFonts w:hint="eastAsia" w:ascii="宋体" w:hAnsi="宋体" w:eastAsia="宋体" w:cs="宋体"/>
          <w:sz w:val="24"/>
          <w:szCs w:val="24"/>
          <w:highlight w:val="yellow"/>
          <w:lang w:val="en-GB"/>
        </w:rPr>
        <w:t>所有货物安装到位，所有设备安装、调试完成，试运行</w:t>
      </w:r>
      <w:r>
        <w:rPr>
          <w:rFonts w:hint="eastAsia" w:ascii="宋体" w:hAnsi="宋体" w:eastAsia="宋体" w:cs="宋体"/>
          <w:sz w:val="24"/>
          <w:szCs w:val="24"/>
          <w:highlight w:val="yellow"/>
          <w:lang w:val="en-GB" w:eastAsia="zh-CN"/>
        </w:rPr>
        <w:t>（设备</w:t>
      </w:r>
      <w:r>
        <w:rPr>
          <w:rFonts w:hint="eastAsia" w:ascii="宋体" w:hAnsi="宋体" w:eastAsia="宋体" w:cs="宋体"/>
          <w:sz w:val="24"/>
          <w:szCs w:val="24"/>
          <w:highlight w:val="yellow"/>
          <w:lang w:val="en-GB"/>
        </w:rPr>
        <w:t>空载、满载、偏载试验</w:t>
      </w:r>
      <w:r>
        <w:rPr>
          <w:rFonts w:hint="eastAsia" w:ascii="宋体" w:hAnsi="宋体" w:eastAsia="宋体" w:cs="宋体"/>
          <w:sz w:val="24"/>
          <w:szCs w:val="24"/>
          <w:highlight w:val="yellow"/>
          <w:lang w:val="en-GB" w:eastAsia="zh-CN"/>
        </w:rPr>
        <w:t>）</w:t>
      </w:r>
      <w:r>
        <w:rPr>
          <w:rFonts w:hint="eastAsia" w:ascii="宋体" w:hAnsi="宋体" w:eastAsia="宋体" w:cs="宋体"/>
          <w:sz w:val="24"/>
          <w:szCs w:val="24"/>
          <w:highlight w:val="yellow"/>
          <w:lang w:val="en-GB"/>
        </w:rPr>
        <w:t>成功后，支付至合同总价的</w:t>
      </w:r>
      <w:r>
        <w:rPr>
          <w:rFonts w:hint="eastAsia" w:ascii="宋体" w:hAnsi="宋体" w:eastAsia="宋体" w:cs="宋体"/>
          <w:sz w:val="24"/>
          <w:szCs w:val="24"/>
          <w:highlight w:val="yellow"/>
        </w:rPr>
        <w:t>85</w:t>
      </w:r>
      <w:r>
        <w:rPr>
          <w:rFonts w:hint="eastAsia" w:ascii="宋体" w:hAnsi="宋体" w:eastAsia="宋体" w:cs="宋体"/>
          <w:sz w:val="24"/>
          <w:szCs w:val="24"/>
          <w:highlight w:val="yellow"/>
          <w:lang w:val="en-GB"/>
        </w:rPr>
        <w:t>%。</w:t>
      </w:r>
    </w:p>
    <w:p>
      <w:pPr>
        <w:keepNext w:val="0"/>
        <w:keepLines w:val="0"/>
        <w:pageBreakBefore w:val="0"/>
        <w:numPr>
          <w:ilvl w:val="0"/>
          <w:numId w:val="0"/>
        </w:numPr>
        <w:kinsoku/>
        <w:wordWrap/>
        <w:overflowPunct/>
        <w:topLinePunct w:val="0"/>
        <w:bidi w:val="0"/>
        <w:spacing w:line="360" w:lineRule="auto"/>
        <w:jc w:val="left"/>
        <w:outlineLvl w:val="9"/>
        <w:rPr>
          <w:rFonts w:hint="eastAsia" w:ascii="宋体" w:hAnsi="宋体" w:eastAsia="宋体" w:cs="宋体"/>
          <w:sz w:val="24"/>
          <w:szCs w:val="24"/>
          <w:highlight w:val="yellow"/>
          <w:lang w:val="en-GB"/>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yellow"/>
        </w:rPr>
        <w:fldChar w:fldCharType="begin"/>
      </w:r>
      <w:r>
        <w:rPr>
          <w:rFonts w:hint="eastAsia" w:ascii="宋体" w:hAnsi="宋体" w:eastAsia="宋体" w:cs="宋体"/>
          <w:sz w:val="24"/>
          <w:szCs w:val="24"/>
          <w:highlight w:val="yellow"/>
        </w:rPr>
        <w:instrText xml:space="preserve"> = 3 \* GB3 \* MERGEFORMAT </w:instrText>
      </w:r>
      <w:r>
        <w:rPr>
          <w:rFonts w:hint="eastAsia" w:ascii="宋体" w:hAnsi="宋体" w:eastAsia="宋体" w:cs="宋体"/>
          <w:sz w:val="24"/>
          <w:szCs w:val="24"/>
          <w:highlight w:val="yellow"/>
        </w:rPr>
        <w:fldChar w:fldCharType="separate"/>
      </w:r>
      <w:r>
        <w:rPr>
          <w:rFonts w:hint="eastAsia" w:ascii="宋体" w:hAnsi="宋体" w:eastAsia="宋体" w:cs="宋体"/>
          <w:sz w:val="24"/>
          <w:szCs w:val="24"/>
          <w:highlight w:val="yellow"/>
        </w:rPr>
        <w:t>③</w:t>
      </w:r>
      <w:r>
        <w:rPr>
          <w:rFonts w:hint="eastAsia" w:ascii="宋体" w:hAnsi="宋体" w:eastAsia="宋体" w:cs="宋体"/>
          <w:sz w:val="24"/>
          <w:szCs w:val="24"/>
          <w:highlight w:val="yellow"/>
        </w:rPr>
        <w:fldChar w:fldCharType="end"/>
      </w:r>
      <w:r>
        <w:rPr>
          <w:rFonts w:hint="eastAsia" w:ascii="宋体" w:hAnsi="宋体" w:eastAsia="宋体" w:cs="宋体"/>
          <w:sz w:val="24"/>
          <w:szCs w:val="24"/>
          <w:highlight w:val="yellow"/>
        </w:rPr>
        <w:t>项目</w:t>
      </w:r>
      <w:r>
        <w:rPr>
          <w:rFonts w:hint="eastAsia" w:ascii="宋体" w:hAnsi="宋体" w:eastAsia="宋体" w:cs="宋体"/>
          <w:sz w:val="24"/>
          <w:szCs w:val="24"/>
          <w:highlight w:val="yellow"/>
          <w:lang w:val="en-US" w:eastAsia="zh-CN"/>
        </w:rPr>
        <w:t>履约</w:t>
      </w:r>
      <w:r>
        <w:rPr>
          <w:rFonts w:hint="eastAsia" w:ascii="宋体" w:hAnsi="宋体" w:eastAsia="宋体" w:cs="宋体"/>
          <w:sz w:val="24"/>
          <w:szCs w:val="24"/>
          <w:highlight w:val="yellow"/>
        </w:rPr>
        <w:t>验收合格，</w:t>
      </w:r>
      <w:r>
        <w:rPr>
          <w:rFonts w:hint="eastAsia" w:ascii="宋体" w:hAnsi="宋体" w:eastAsia="宋体" w:cs="宋体"/>
          <w:sz w:val="24"/>
          <w:szCs w:val="24"/>
          <w:highlight w:val="yellow"/>
          <w:lang w:val="en-GB"/>
        </w:rPr>
        <w:t>并按采购人要求移交所有资料后</w:t>
      </w:r>
      <w:r>
        <w:rPr>
          <w:rFonts w:hint="eastAsia" w:ascii="宋体" w:hAnsi="宋体" w:eastAsia="宋体" w:cs="宋体"/>
          <w:sz w:val="24"/>
          <w:szCs w:val="24"/>
          <w:highlight w:val="yellow"/>
          <w:lang w:val="en-GB" w:eastAsia="zh-CN"/>
        </w:rPr>
        <w:t>，经结算审计审核后，按审定金额为最终结算价</w:t>
      </w:r>
      <w:r>
        <w:rPr>
          <w:rFonts w:hint="eastAsia" w:ascii="宋体" w:hAnsi="宋体" w:eastAsia="宋体" w:cs="宋体"/>
          <w:sz w:val="24"/>
          <w:szCs w:val="24"/>
          <w:highlight w:val="yellow"/>
          <w:lang w:val="en-GB"/>
        </w:rPr>
        <w:t>支付余款。</w:t>
      </w:r>
    </w:p>
    <w:p>
      <w:pPr>
        <w:keepNext w:val="0"/>
        <w:keepLines w:val="0"/>
        <w:pageBreakBefore w:val="0"/>
        <w:numPr>
          <w:ilvl w:val="0"/>
          <w:numId w:val="0"/>
        </w:numPr>
        <w:kinsoku/>
        <w:wordWrap/>
        <w:overflowPunct/>
        <w:topLinePunct w:val="0"/>
        <w:bidi w:val="0"/>
        <w:spacing w:line="360" w:lineRule="auto"/>
        <w:ind w:firstLine="480" w:firstLineChars="200"/>
        <w:jc w:val="left"/>
        <w:outlineLvl w:val="9"/>
        <w:rPr>
          <w:rFonts w:hint="eastAsia" w:ascii="宋体" w:hAnsi="宋体" w:eastAsia="宋体" w:cs="宋体"/>
          <w:sz w:val="24"/>
          <w:szCs w:val="24"/>
          <w:highlight w:val="yellow"/>
          <w:lang w:val="en-GB" w:eastAsia="zh-CN"/>
        </w:rPr>
      </w:pPr>
      <w:r>
        <w:rPr>
          <w:rFonts w:hint="eastAsia" w:ascii="宋体" w:hAnsi="宋体" w:cs="宋体"/>
          <w:sz w:val="24"/>
          <w:szCs w:val="24"/>
          <w:highlight w:val="yellow"/>
          <w:lang w:val="en-GB" w:eastAsia="zh-CN"/>
        </w:rPr>
        <w:t>（备注：中标人应根据税务政策要求开具规范税务发票）</w:t>
      </w:r>
    </w:p>
    <w:p>
      <w:pPr>
        <w:pStyle w:val="56"/>
        <w:keepNext w:val="0"/>
        <w:keepLines w:val="0"/>
        <w:pageBreakBefore w:val="0"/>
        <w:numPr>
          <w:ilvl w:val="0"/>
          <w:numId w:val="0"/>
        </w:numPr>
        <w:kinsoku/>
        <w:wordWrap/>
        <w:overflowPunct/>
        <w:topLinePunct w:val="0"/>
        <w:bidi w:val="0"/>
        <w:spacing w:before="0" w:after="0" w:line="360" w:lineRule="auto"/>
        <w:ind w:firstLine="482" w:firstLineChars="200"/>
        <w:jc w:val="both"/>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15、其他要求</w:t>
      </w:r>
    </w:p>
    <w:p>
      <w:pPr>
        <w:keepNext w:val="0"/>
        <w:keepLines w:val="0"/>
        <w:pageBreakBefore w:val="0"/>
        <w:widowControl/>
        <w:kinsoku/>
        <w:wordWrap/>
        <w:overflowPunct/>
        <w:topLinePunct w:val="0"/>
        <w:autoSpaceDE w:val="0"/>
        <w:autoSpaceDN w:val="0"/>
        <w:bidi w:val="0"/>
        <w:adjustRightInd w:val="0"/>
        <w:spacing w:line="360" w:lineRule="auto"/>
        <w:ind w:firstLine="480" w:firstLineChars="200"/>
        <w:textAlignment w:val="bottom"/>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）履约保证金：</w:t>
      </w:r>
    </w:p>
    <w:p>
      <w:pPr>
        <w:keepNext w:val="0"/>
        <w:keepLines w:val="0"/>
        <w:pageBreakBefore w:val="0"/>
        <w:kinsoku/>
        <w:wordWrap/>
        <w:overflowPunct/>
        <w:topLinePunct w:val="0"/>
        <w:bidi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rPr>
        <w:t>签订合同前，中标供应商须向采购人交纳中标价</w:t>
      </w:r>
      <w:r>
        <w:rPr>
          <w:rFonts w:hint="eastAsia" w:ascii="宋体" w:hAnsi="宋体" w:cs="宋体"/>
          <w:sz w:val="24"/>
          <w:szCs w:val="24"/>
          <w:lang w:val="en-US" w:eastAsia="zh-CN"/>
        </w:rPr>
        <w:t>2</w:t>
      </w:r>
      <w:r>
        <w:rPr>
          <w:rFonts w:hint="eastAsia" w:ascii="宋体" w:hAnsi="宋体" w:eastAsia="宋体" w:cs="宋体"/>
          <w:sz w:val="24"/>
          <w:szCs w:val="24"/>
        </w:rPr>
        <w:t>%的履约保证金（接受转账或保函的形式），以保证乙方遵守本合同的一切条款、条件和承诺；安装完成并通过验收后</w:t>
      </w:r>
      <w:r>
        <w:rPr>
          <w:rFonts w:hint="eastAsia" w:ascii="宋体" w:hAnsi="宋体" w:eastAsia="宋体" w:cs="宋体"/>
          <w:sz w:val="24"/>
          <w:szCs w:val="24"/>
          <w:highlight w:val="none"/>
        </w:rPr>
        <w:t>14天内退还，不计息。</w:t>
      </w:r>
    </w:p>
    <w:p>
      <w:pPr>
        <w:pStyle w:val="28"/>
        <w:keepNext w:val="0"/>
        <w:keepLines w:val="0"/>
        <w:pageBreakBefore w:val="0"/>
        <w:kinsoku/>
        <w:wordWrap/>
        <w:overflowPunct/>
        <w:topLinePunct w:val="0"/>
        <w:bidi w:val="0"/>
        <w:spacing w:after="0"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关于各类履约保函要求：一、中标供应商提交的履约保函中保证人承担责任的条件须与采购合同、招标文件的要求一致；二、中标供应商提交的履约保函必须是不可撤销见索即付的的保函；三若因中标供应商提交的履约保函中承担责任的内容条件及赔付方式与采购合同、招标文件要求不完全一致导致担保人拒不承担担保责任的，由中标人按招标文件规定的履约保证金金额向招标人履行赔付责任。</w:t>
      </w:r>
      <w:r>
        <w:rPr>
          <w:rFonts w:hint="eastAsia" w:ascii="宋体" w:hAnsi="宋体" w:cs="宋体"/>
          <w:sz w:val="24"/>
          <w:szCs w:val="24"/>
          <w:highlight w:val="yellow"/>
          <w:lang w:val="en-US" w:eastAsia="zh-CN"/>
        </w:rPr>
        <w:t>履约保函格式详见附件一</w:t>
      </w:r>
      <w:r>
        <w:rPr>
          <w:rFonts w:hint="eastAsia" w:ascii="宋体" w:hAnsi="宋体" w:eastAsia="宋体" w:cs="宋体"/>
          <w:sz w:val="24"/>
          <w:szCs w:val="24"/>
          <w:highlight w:val="none"/>
          <w:lang w:eastAsia="zh-CN"/>
        </w:rPr>
        <w:t>）</w:t>
      </w:r>
    </w:p>
    <w:p>
      <w:pPr>
        <w:pStyle w:val="28"/>
        <w:keepNext w:val="0"/>
        <w:keepLines w:val="0"/>
        <w:pageBreakBefore w:val="0"/>
        <w:kinsoku/>
        <w:wordWrap/>
        <w:overflowPunct/>
        <w:topLinePunct w:val="0"/>
        <w:bidi w:val="0"/>
        <w:spacing w:after="0"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）风险保证金：</w:t>
      </w:r>
    </w:p>
    <w:p>
      <w:pPr>
        <w:pStyle w:val="28"/>
        <w:keepNext w:val="0"/>
        <w:keepLines w:val="0"/>
        <w:pageBreakBefore w:val="0"/>
        <w:kinsoku/>
        <w:wordWrap/>
        <w:overflowPunct/>
        <w:topLinePunct w:val="0"/>
        <w:bidi w:val="0"/>
        <w:spacing w:after="0"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参照杭州市招投标相关规定，为防止投标人低价抢标，</w:t>
      </w:r>
      <w:r>
        <w:rPr>
          <w:rFonts w:hint="eastAsia" w:ascii="宋体" w:hAnsi="宋体" w:eastAsia="宋体" w:cs="宋体"/>
          <w:sz w:val="24"/>
          <w:szCs w:val="24"/>
          <w:highlight w:val="yellow"/>
        </w:rPr>
        <w:t>设最高投标限价的80％作为风险控制价，</w:t>
      </w:r>
      <w:r>
        <w:rPr>
          <w:rFonts w:hint="eastAsia" w:ascii="宋体" w:hAnsi="宋体" w:eastAsia="宋体" w:cs="宋体"/>
          <w:b/>
          <w:bCs/>
          <w:color w:val="FF0000"/>
          <w:sz w:val="24"/>
          <w:szCs w:val="24"/>
          <w:highlight w:val="yellow"/>
        </w:rPr>
        <w:t>风险控制价为</w:t>
      </w:r>
      <w:r>
        <w:rPr>
          <w:rFonts w:hint="eastAsia" w:ascii="宋体" w:hAnsi="宋体" w:eastAsia="宋体" w:cs="宋体"/>
          <w:b/>
          <w:bCs/>
          <w:color w:val="FF0000"/>
          <w:sz w:val="24"/>
          <w:szCs w:val="24"/>
          <w:highlight w:val="yellow"/>
          <w:lang w:val="en-US" w:eastAsia="zh-CN"/>
        </w:rPr>
        <w:t>392</w:t>
      </w:r>
      <w:r>
        <w:rPr>
          <w:rFonts w:hint="eastAsia" w:ascii="宋体" w:hAnsi="宋体" w:eastAsia="宋体" w:cs="宋体"/>
          <w:b/>
          <w:bCs/>
          <w:color w:val="FF0000"/>
          <w:sz w:val="24"/>
          <w:szCs w:val="24"/>
          <w:highlight w:val="yellow"/>
        </w:rPr>
        <w:t>万元</w:t>
      </w:r>
      <w:r>
        <w:rPr>
          <w:rFonts w:hint="eastAsia" w:ascii="宋体" w:hAnsi="宋体" w:eastAsia="宋体" w:cs="宋体"/>
          <w:sz w:val="24"/>
          <w:szCs w:val="24"/>
          <w:highlight w:val="yellow"/>
        </w:rPr>
        <w:t>，</w:t>
      </w:r>
      <w:r>
        <w:rPr>
          <w:rFonts w:hint="eastAsia" w:ascii="宋体" w:hAnsi="宋体" w:eastAsia="宋体" w:cs="宋体"/>
          <w:sz w:val="24"/>
          <w:szCs w:val="24"/>
        </w:rPr>
        <w:t>若低于风险控制价中标的须向采购人缴纳风险保</w:t>
      </w:r>
      <w:r>
        <w:rPr>
          <w:rFonts w:hint="eastAsia" w:ascii="宋体" w:hAnsi="宋体" w:eastAsia="宋体" w:cs="宋体"/>
          <w:sz w:val="24"/>
          <w:szCs w:val="24"/>
          <w:highlight w:val="none"/>
        </w:rPr>
        <w:t>证金</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接受转账形式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，风险</w:t>
      </w:r>
      <w:r>
        <w:rPr>
          <w:rFonts w:hint="eastAsia" w:ascii="宋体" w:hAnsi="宋体" w:eastAsia="宋体" w:cs="宋体"/>
          <w:sz w:val="24"/>
          <w:szCs w:val="24"/>
        </w:rPr>
        <w:t>保证金金额＝风险控制价－中标价。风险保证金用途和退还同履约保证金。</w:t>
      </w:r>
    </w:p>
    <w:p>
      <w:pPr>
        <w:pStyle w:val="863"/>
        <w:keepNext w:val="0"/>
        <w:keepLines w:val="0"/>
        <w:pageBreakBefore w:val="0"/>
        <w:numPr>
          <w:ilvl w:val="0"/>
          <w:numId w:val="0"/>
        </w:numPr>
        <w:kinsoku/>
        <w:wordWrap/>
        <w:overflowPunct/>
        <w:topLinePunct w:val="0"/>
        <w:bidi w:val="0"/>
        <w:adjustRightInd w:val="0"/>
        <w:spacing w:line="360" w:lineRule="auto"/>
        <w:ind w:left="0" w:leftChars="0" w:firstLine="480" w:firstLineChars="200"/>
        <w:outlineLvl w:val="9"/>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（3）</w:t>
      </w:r>
      <w:r>
        <w:rPr>
          <w:rFonts w:hint="eastAsia" w:ascii="宋体" w:hAnsi="宋体" w:eastAsia="宋体" w:cs="宋体"/>
          <w:b w:val="0"/>
          <w:bCs w:val="0"/>
          <w:sz w:val="24"/>
          <w:szCs w:val="24"/>
        </w:rPr>
        <w:t>项目实施地在</w:t>
      </w:r>
      <w:r>
        <w:rPr>
          <w:rFonts w:hint="eastAsia" w:ascii="宋体" w:hAnsi="宋体" w:eastAsia="宋体" w:cs="宋体"/>
          <w:b w:val="0"/>
          <w:bCs w:val="0"/>
          <w:sz w:val="24"/>
          <w:szCs w:val="24"/>
          <w:lang w:eastAsia="zh-CN"/>
        </w:rPr>
        <w:t>梅蓉村村居点内</w:t>
      </w:r>
      <w:r>
        <w:rPr>
          <w:rFonts w:hint="eastAsia" w:ascii="宋体" w:hAnsi="宋体" w:eastAsia="宋体" w:cs="宋体"/>
          <w:b w:val="0"/>
          <w:bCs w:val="0"/>
          <w:sz w:val="24"/>
          <w:szCs w:val="24"/>
        </w:rPr>
        <w:t>，中标供应商要按规范做好施工防护，在货物进场的运输、装卸、安装过程中，</w:t>
      </w:r>
      <w:r>
        <w:rPr>
          <w:rFonts w:hint="eastAsia" w:ascii="宋体" w:hAnsi="宋体" w:eastAsia="宋体" w:cs="宋体"/>
          <w:b w:val="0"/>
          <w:bCs w:val="0"/>
          <w:sz w:val="24"/>
          <w:szCs w:val="24"/>
          <w:lang w:eastAsia="zh-CN"/>
        </w:rPr>
        <w:t>应</w:t>
      </w:r>
      <w:r>
        <w:rPr>
          <w:rFonts w:hint="eastAsia" w:ascii="宋体" w:hAnsi="宋体" w:eastAsia="宋体" w:cs="宋体"/>
          <w:b w:val="0"/>
          <w:bCs w:val="0"/>
          <w:sz w:val="24"/>
          <w:szCs w:val="24"/>
        </w:rPr>
        <w:t>避免对第三方人员造成人身伤害，避免</w:t>
      </w:r>
      <w:r>
        <w:rPr>
          <w:rFonts w:hint="eastAsia" w:ascii="宋体" w:hAnsi="宋体" w:eastAsia="宋体" w:cs="宋体"/>
          <w:b w:val="0"/>
          <w:bCs w:val="0"/>
          <w:sz w:val="24"/>
          <w:szCs w:val="24"/>
          <w:lang w:eastAsia="zh-CN"/>
        </w:rPr>
        <w:t>因施工导致村民出行困难等不利情况，避免跟村民发生纠纷</w:t>
      </w:r>
      <w:r>
        <w:rPr>
          <w:rFonts w:hint="eastAsia" w:ascii="宋体" w:hAnsi="宋体" w:eastAsia="宋体" w:cs="宋体"/>
          <w:b w:val="0"/>
          <w:bCs w:val="0"/>
          <w:sz w:val="24"/>
          <w:szCs w:val="24"/>
        </w:rPr>
        <w:t>。因中标供应商原因造成的一切安全、经济</w:t>
      </w:r>
      <w:r>
        <w:rPr>
          <w:rFonts w:hint="eastAsia" w:ascii="宋体" w:hAnsi="宋体" w:eastAsia="宋体" w:cs="宋体"/>
          <w:b w:val="0"/>
          <w:bCs w:val="0"/>
          <w:sz w:val="24"/>
          <w:szCs w:val="24"/>
          <w:lang w:eastAsia="zh-CN"/>
        </w:rPr>
        <w:t>等</w:t>
      </w:r>
      <w:r>
        <w:rPr>
          <w:rFonts w:hint="eastAsia" w:ascii="宋体" w:hAnsi="宋体" w:eastAsia="宋体" w:cs="宋体"/>
          <w:b w:val="0"/>
          <w:bCs w:val="0"/>
          <w:sz w:val="24"/>
          <w:szCs w:val="24"/>
        </w:rPr>
        <w:t>责任事故，均由中标供应商承担。</w:t>
      </w:r>
    </w:p>
    <w:p>
      <w:pPr>
        <w:jc w:val="left"/>
        <w:rPr>
          <w:rFonts w:hint="eastAsia"/>
          <w:sz w:val="28"/>
          <w:szCs w:val="28"/>
        </w:rPr>
      </w:pPr>
    </w:p>
    <w:p>
      <w:pPr>
        <w:jc w:val="left"/>
        <w:rPr>
          <w:rFonts w:hint="eastAsia"/>
          <w:lang w:val="en-US" w:eastAsia="zh-CN"/>
        </w:rPr>
      </w:pPr>
      <w:r>
        <w:rPr>
          <w:rFonts w:hint="eastAsia"/>
          <w:sz w:val="28"/>
          <w:szCs w:val="28"/>
        </w:rPr>
        <w:t>附件一</w:t>
      </w:r>
      <w:r>
        <w:rPr>
          <w:rFonts w:hint="eastAsia"/>
          <w:sz w:val="28"/>
          <w:szCs w:val="28"/>
          <w:lang w:eastAsia="zh-CN"/>
        </w:rPr>
        <w:t>：</w:t>
      </w:r>
      <w:r>
        <w:rPr>
          <w:rFonts w:hint="eastAsia"/>
          <w:sz w:val="28"/>
          <w:szCs w:val="28"/>
          <w:lang w:val="en-US" w:eastAsia="zh-CN"/>
        </w:rPr>
        <w:t xml:space="preserve"> </w:t>
      </w:r>
      <w:r>
        <w:rPr>
          <w:rFonts w:hint="eastAsia"/>
          <w:lang w:val="en-US" w:eastAsia="zh-CN"/>
        </w:rPr>
        <w:t xml:space="preserve">                        </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履约保函格式</w:t>
      </w:r>
    </w:p>
    <w:p>
      <w:pPr>
        <w:jc w:val="center"/>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致：</w:t>
      </w:r>
      <w:r>
        <w:rPr>
          <w:rFonts w:hint="eastAsia" w:ascii="仿宋_GB2312" w:hAnsi="仿宋_GB2312" w:eastAsia="仿宋_GB2312" w:cs="仿宋_GB2312"/>
          <w:sz w:val="28"/>
          <w:szCs w:val="28"/>
          <w:highlight w:val="yellow"/>
          <w:lang w:val="en-US" w:eastAsia="zh-CN"/>
        </w:rPr>
        <w:t>**********</w:t>
      </w:r>
      <w:r>
        <w:rPr>
          <w:rFonts w:hint="eastAsia" w:ascii="仿宋_GB2312" w:hAnsi="仿宋_GB2312" w:eastAsia="仿宋_GB2312" w:cs="仿宋_GB2312"/>
          <w:sz w:val="28"/>
          <w:szCs w:val="28"/>
          <w:highlight w:val="yellow"/>
        </w:rPr>
        <w:t>有限公司</w:t>
      </w:r>
      <w:r>
        <w:rPr>
          <w:rFonts w:hint="eastAsia" w:ascii="仿宋_GB2312" w:hAnsi="仿宋_GB2312" w:eastAsia="仿宋_GB2312" w:cs="仿宋_GB2312"/>
          <w:sz w:val="28"/>
          <w:szCs w:val="28"/>
        </w:rPr>
        <w:t>（以下简称“甲方”）</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邮编：</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根据甲方与</w:t>
      </w:r>
      <w:r>
        <w:rPr>
          <w:rFonts w:hint="eastAsia" w:ascii="仿宋_GB2312" w:hAnsi="仿宋_GB2312" w:eastAsia="仿宋_GB2312" w:cs="仿宋_GB2312"/>
          <w:sz w:val="28"/>
          <w:szCs w:val="28"/>
          <w:highlight w:val="yellow"/>
        </w:rPr>
        <w:t>【项目公司名称】</w:t>
      </w:r>
      <w:r>
        <w:rPr>
          <w:rFonts w:hint="eastAsia" w:ascii="仿宋_GB2312" w:hAnsi="仿宋_GB2312" w:eastAsia="仿宋_GB2312" w:cs="仿宋_GB2312"/>
          <w:sz w:val="28"/>
          <w:szCs w:val="28"/>
        </w:rPr>
        <w:t>（以下简称“乙方”）于</w:t>
      </w:r>
      <w:r>
        <w:rPr>
          <w:rFonts w:hint="eastAsia" w:ascii="仿宋_GB2312" w:hAnsi="仿宋_GB2312" w:eastAsia="仿宋_GB2312" w:cs="仿宋_GB2312"/>
          <w:sz w:val="28"/>
          <w:szCs w:val="28"/>
          <w:highlight w:val="yellow"/>
        </w:rPr>
        <w:t>【年/月/日】</w:t>
      </w:r>
      <w:r>
        <w:rPr>
          <w:rFonts w:hint="eastAsia" w:ascii="仿宋_GB2312" w:hAnsi="仿宋_GB2312" w:eastAsia="仿宋_GB2312" w:cs="仿宋_GB2312"/>
          <w:sz w:val="28"/>
          <w:szCs w:val="28"/>
        </w:rPr>
        <w:t>签署的</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yellow"/>
        </w:rPr>
        <w:t>《</w:t>
      </w:r>
      <w:r>
        <w:rPr>
          <w:rFonts w:hint="eastAsia" w:ascii="仿宋_GB2312" w:hAnsi="仿宋_GB2312" w:eastAsia="仿宋_GB2312" w:cs="仿宋_GB2312"/>
          <w:sz w:val="28"/>
          <w:szCs w:val="28"/>
          <w:highlight w:val="yellow"/>
          <w:lang w:val="en-US" w:eastAsia="zh-CN"/>
        </w:rPr>
        <w:t>*******项目采购合同</w:t>
      </w:r>
      <w:r>
        <w:rPr>
          <w:rFonts w:hint="eastAsia" w:ascii="仿宋_GB2312" w:hAnsi="仿宋_GB2312" w:eastAsia="仿宋_GB2312" w:cs="仿宋_GB2312"/>
          <w:sz w:val="28"/>
          <w:szCs w:val="28"/>
          <w:highlight w:val="yellow"/>
        </w:rPr>
        <w:t>》（以下简称“《项目</w:t>
      </w:r>
      <w:r>
        <w:rPr>
          <w:rFonts w:hint="eastAsia" w:ascii="仿宋_GB2312" w:hAnsi="仿宋_GB2312" w:eastAsia="仿宋_GB2312" w:cs="仿宋_GB2312"/>
          <w:sz w:val="28"/>
          <w:szCs w:val="28"/>
          <w:highlight w:val="yellow"/>
          <w:lang w:val="en-US" w:eastAsia="zh-CN"/>
        </w:rPr>
        <w:t>采购合同</w:t>
      </w:r>
      <w:r>
        <w:rPr>
          <w:rFonts w:hint="eastAsia" w:ascii="仿宋_GB2312" w:hAnsi="仿宋_GB2312" w:eastAsia="仿宋_GB2312" w:cs="仿宋_GB2312"/>
          <w:sz w:val="28"/>
          <w:szCs w:val="28"/>
          <w:highlight w:val="yellow"/>
        </w:rPr>
        <w:t>》”）</w:t>
      </w:r>
      <w:r>
        <w:rPr>
          <w:rFonts w:hint="eastAsia" w:ascii="仿宋_GB2312" w:hAnsi="仿宋_GB2312" w:eastAsia="仿宋_GB2312" w:cs="仿宋_GB2312"/>
          <w:sz w:val="28"/>
          <w:szCs w:val="28"/>
        </w:rPr>
        <w:t>，乙方应完成</w:t>
      </w:r>
      <w:r>
        <w:rPr>
          <w:rFonts w:hint="eastAsia" w:ascii="仿宋_GB2312" w:hAnsi="仿宋_GB2312" w:eastAsia="仿宋_GB2312" w:cs="仿宋_GB2312"/>
          <w:sz w:val="28"/>
          <w:szCs w:val="28"/>
          <w:highlight w:val="yellow"/>
          <w:lang w:val="en-US" w:eastAsia="zh-CN"/>
        </w:rPr>
        <w:t>*****</w:t>
      </w:r>
      <w:r>
        <w:rPr>
          <w:rFonts w:hint="eastAsia" w:ascii="仿宋_GB2312" w:hAnsi="仿宋_GB2312" w:eastAsia="仿宋_GB2312" w:cs="仿宋_GB2312"/>
          <w:sz w:val="28"/>
          <w:szCs w:val="28"/>
          <w:highlight w:val="yellow"/>
        </w:rPr>
        <w:t>项目的</w:t>
      </w:r>
      <w:r>
        <w:rPr>
          <w:rFonts w:hint="eastAsia" w:ascii="仿宋_GB2312" w:hAnsi="仿宋_GB2312" w:eastAsia="仿宋_GB2312" w:cs="仿宋_GB2312"/>
          <w:sz w:val="28"/>
          <w:szCs w:val="28"/>
          <w:highlight w:val="yellow"/>
          <w:u w:val="single"/>
          <w:lang w:val="en-US" w:eastAsia="zh-CN"/>
        </w:rPr>
        <w:t xml:space="preserve">                       </w:t>
      </w:r>
      <w:r>
        <w:rPr>
          <w:rFonts w:hint="eastAsia" w:ascii="仿宋_GB2312" w:hAnsi="仿宋_GB2312" w:eastAsia="仿宋_GB2312" w:cs="仿宋_GB2312"/>
          <w:sz w:val="28"/>
          <w:szCs w:val="28"/>
          <w:highlight w:val="yellow"/>
        </w:rPr>
        <w:t>工作</w:t>
      </w:r>
      <w:r>
        <w:rPr>
          <w:rFonts w:hint="eastAsia" w:ascii="仿宋_GB2312" w:hAnsi="仿宋_GB2312" w:eastAsia="仿宋_GB2312" w:cs="仿宋_GB2312"/>
          <w:sz w:val="28"/>
          <w:szCs w:val="28"/>
        </w:rPr>
        <w:t>。</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应乙方的要求，我们</w:t>
      </w:r>
      <w:r>
        <w:rPr>
          <w:rFonts w:hint="eastAsia" w:ascii="仿宋_GB2312" w:hAnsi="仿宋_GB2312" w:eastAsia="仿宋_GB2312" w:cs="仿宋_GB2312"/>
          <w:sz w:val="28"/>
          <w:szCs w:val="28"/>
          <w:highlight w:val="yellow"/>
        </w:rPr>
        <w:t>【银行/金融机构名称】</w:t>
      </w:r>
      <w:r>
        <w:rPr>
          <w:rFonts w:hint="eastAsia" w:ascii="仿宋_GB2312" w:hAnsi="仿宋_GB2312" w:eastAsia="仿宋_GB2312" w:cs="仿宋_GB2312"/>
          <w:sz w:val="28"/>
          <w:szCs w:val="28"/>
        </w:rPr>
        <w:t>作为担保人，兹开立以甲方为受益人，金额</w:t>
      </w:r>
      <w:r>
        <w:rPr>
          <w:rFonts w:hint="eastAsia" w:ascii="仿宋_GB2312" w:hAnsi="仿宋_GB2312" w:eastAsia="仿宋_GB2312" w:cs="仿宋_GB2312"/>
          <w:sz w:val="28"/>
          <w:szCs w:val="28"/>
          <w:highlight w:val="yellow"/>
        </w:rPr>
        <w:t>为【】的第【】号</w:t>
      </w:r>
      <w:r>
        <w:rPr>
          <w:rFonts w:hint="eastAsia" w:ascii="仿宋_GB2312" w:hAnsi="仿宋_GB2312" w:eastAsia="仿宋_GB2312" w:cs="仿宋_GB2312"/>
          <w:sz w:val="28"/>
          <w:szCs w:val="28"/>
        </w:rPr>
        <w:t>不可撤销的担保函，乙方将根据《</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》的条款和条件，以不可撤销及无条件的担保</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履行其在《</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项下</w:t>
      </w:r>
      <w:r>
        <w:rPr>
          <w:rFonts w:hint="eastAsia" w:ascii="仿宋_GB2312" w:hAnsi="仿宋_GB2312" w:eastAsia="仿宋_GB2312" w:cs="仿宋_GB2312"/>
          <w:sz w:val="28"/>
          <w:szCs w:val="28"/>
        </w:rPr>
        <w:t>的全部义务。如乙方未根据《</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》的条款和条件履行《</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》项下的全部或部分义务，担保人将履行在本保函项下的支付义务。</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担保人保证在收到甲方在本保函有效期内出具的</w:t>
      </w:r>
      <w:r>
        <w:rPr>
          <w:rFonts w:hint="eastAsia" w:ascii="仿宋_GB2312" w:hAnsi="仿宋_GB2312" w:eastAsia="仿宋_GB2312" w:cs="仿宋_GB2312"/>
          <w:color w:val="FF0000"/>
          <w:sz w:val="28"/>
          <w:szCs w:val="28"/>
        </w:rPr>
        <w:t>见索即付的书面要求</w:t>
      </w:r>
      <w:r>
        <w:rPr>
          <w:rFonts w:hint="eastAsia" w:ascii="仿宋_GB2312" w:hAnsi="仿宋_GB2312" w:eastAsia="仿宋_GB2312" w:cs="仿宋_GB2312"/>
          <w:sz w:val="28"/>
          <w:szCs w:val="28"/>
        </w:rPr>
        <w:t>后的第五（5）个营业日内，即向甲方支付甲方要求的不超过上述金额的款项，而无须要求甲方确证该支付要求满足本保函项下的支付要求，甲方只需在其书面要求中说明其要求支付的款项是由于乙方未履行《</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》项下的某一项或某几项义务。我们在此放弃要求甲方在向我方提出付款要求之前首先向乙方提出付款要求或对乙方提起诉讼或仲裁的要求。</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我们承诺并保证，甲方与乙方之间可能对《</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》或任何其它文件的条款所作的任何更改或补充或任何其它修改，不免除我方在本担保项下应承担的责任，我们在此放弃对此类更改、补充或修改给予通知的要求。</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本保函有效期自</w:t>
      </w:r>
      <w:r>
        <w:rPr>
          <w:rFonts w:hint="eastAsia" w:ascii="仿宋_GB2312" w:hAnsi="仿宋_GB2312" w:eastAsia="仿宋_GB2312" w:cs="仿宋_GB2312"/>
          <w:sz w:val="28"/>
          <w:szCs w:val="28"/>
          <w:highlight w:val="yellow"/>
        </w:rPr>
        <w:t>【】年【】月【】日</w:t>
      </w:r>
      <w:r>
        <w:rPr>
          <w:rFonts w:hint="eastAsia" w:ascii="仿宋_GB2312" w:hAnsi="仿宋_GB2312" w:eastAsia="仿宋_GB2312" w:cs="仿宋_GB2312"/>
          <w:sz w:val="28"/>
          <w:szCs w:val="28"/>
        </w:rPr>
        <w:t>起，至本保函生效之日后</w:t>
      </w:r>
      <w:r>
        <w:rPr>
          <w:rFonts w:hint="eastAsia" w:ascii="仿宋_GB2312" w:hAnsi="仿宋_GB2312" w:eastAsia="仿宋_GB2312" w:cs="仿宋_GB2312"/>
          <w:color w:val="FF0000"/>
          <w:sz w:val="28"/>
          <w:szCs w:val="28"/>
        </w:rPr>
        <w:t>十二（12）个月</w:t>
      </w:r>
      <w:r>
        <w:rPr>
          <w:rFonts w:hint="eastAsia" w:ascii="仿宋_GB2312" w:hAnsi="仿宋_GB2312" w:eastAsia="仿宋_GB2312" w:cs="仿宋_GB2312"/>
          <w:sz w:val="28"/>
          <w:szCs w:val="28"/>
        </w:rPr>
        <w:t>结束之日，即</w:t>
      </w:r>
      <w:r>
        <w:rPr>
          <w:rFonts w:hint="eastAsia" w:ascii="仿宋_GB2312" w:hAnsi="仿宋_GB2312" w:eastAsia="仿宋_GB2312" w:cs="仿宋_GB2312"/>
          <w:sz w:val="28"/>
          <w:szCs w:val="28"/>
          <w:highlight w:val="yellow"/>
        </w:rPr>
        <w:t>【】年【】月【】日</w:t>
      </w:r>
      <w:r>
        <w:rPr>
          <w:rFonts w:hint="eastAsia" w:ascii="仿宋_GB2312" w:hAnsi="仿宋_GB2312" w:eastAsia="仿宋_GB2312" w:cs="仿宋_GB2312"/>
          <w:sz w:val="28"/>
          <w:szCs w:val="28"/>
        </w:rPr>
        <w:t>止。</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本保函中使用的所有术语具有《</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》中规定的含义（我们确认已</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收到《</w:t>
      </w:r>
      <w:r>
        <w:rPr>
          <w:rFonts w:hint="eastAsia" w:ascii="仿宋_GB2312" w:hAnsi="仿宋_GB2312" w:eastAsia="仿宋_GB2312" w:cs="仿宋_GB2312"/>
          <w:sz w:val="28"/>
          <w:szCs w:val="28"/>
          <w:lang w:eastAsia="zh-CN"/>
        </w:rPr>
        <w:t>项目采购合同</w:t>
      </w:r>
      <w:r>
        <w:rPr>
          <w:rFonts w:hint="eastAsia" w:ascii="仿宋_GB2312" w:hAnsi="仿宋_GB2312" w:eastAsia="仿宋_GB2312" w:cs="仿宋_GB2312"/>
          <w:sz w:val="28"/>
          <w:szCs w:val="28"/>
        </w:rPr>
        <w:t>》的一份复印件）。</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担保人特此声明：</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1.担保人具有签署及履行本保函的权利和行为能力，并且担保人已经获得充</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分有效的授权以签署和履行本保函。</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2.本保函对担保人的受让人和承继人均有约束力。</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3.与本保函有关的各项通知和/或信函，包括但不限于索偿通知等经传真或信件等形式发往担保人的如下地址，即应视为担保人已经收到该等通知和/或信函。</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收件人：</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电话：</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注：</w:t>
      </w:r>
      <w:r>
        <w:rPr>
          <w:rFonts w:hint="eastAsia" w:ascii="仿宋_GB2312" w:hAnsi="仿宋_GB2312" w:eastAsia="仿宋_GB2312" w:cs="仿宋_GB2312"/>
          <w:sz w:val="28"/>
          <w:szCs w:val="28"/>
        </w:rPr>
        <w:t>1.本保函一经担保人法定代表人或负责人或授权代表签字并加盖担保人公章即行生效。</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2.担保人在本保函项下的义务是独立的。</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本保函应适用中国法律并根据中国法律解释。</w:t>
      </w:r>
    </w:p>
    <w:p>
      <w:pPr>
        <w:wordWrap w:val="0"/>
        <w:ind w:firstLine="280" w:firstLineChars="100"/>
        <w:jc w:val="right"/>
        <w:rPr>
          <w:rFonts w:hint="eastAsia" w:ascii="仿宋_GB2312" w:hAnsi="仿宋_GB2312" w:eastAsia="仿宋_GB2312" w:cs="仿宋_GB2312"/>
          <w:sz w:val="28"/>
          <w:szCs w:val="28"/>
          <w:highlight w:val="yellow"/>
        </w:rPr>
      </w:pPr>
    </w:p>
    <w:p>
      <w:pPr>
        <w:wordWrap w:val="0"/>
        <w:ind w:firstLine="280" w:firstLineChars="100"/>
        <w:jc w:val="right"/>
        <w:rPr>
          <w:rFonts w:hint="eastAsia" w:ascii="仿宋_GB2312" w:hAnsi="仿宋_GB2312" w:eastAsia="仿宋_GB2312" w:cs="仿宋_GB2312"/>
          <w:sz w:val="28"/>
          <w:szCs w:val="28"/>
          <w:highlight w:val="yellow"/>
        </w:rPr>
      </w:pPr>
    </w:p>
    <w:p>
      <w:pPr>
        <w:wordWrap w:val="0"/>
        <w:ind w:firstLine="280" w:firstLineChars="100"/>
        <w:jc w:val="righ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yellow"/>
        </w:rPr>
        <w:t>银行/金融机构盖章</w:t>
      </w:r>
      <w:r>
        <w:rPr>
          <w:rFonts w:hint="eastAsia" w:ascii="仿宋_GB2312" w:hAnsi="仿宋_GB2312" w:eastAsia="仿宋_GB2312" w:cs="仿宋_GB2312"/>
          <w:sz w:val="28"/>
          <w:szCs w:val="28"/>
          <w:lang w:val="en-US" w:eastAsia="zh-CN"/>
        </w:rPr>
        <w:t xml:space="preserve">    </w:t>
      </w:r>
    </w:p>
    <w:p>
      <w:pPr>
        <w:jc w:val="right"/>
        <w:rPr>
          <w:rFonts w:hint="eastAsia" w:ascii="仿宋_GB2312" w:hAnsi="仿宋_GB2312" w:eastAsia="仿宋_GB2312" w:cs="仿宋_GB2312"/>
          <w:sz w:val="28"/>
          <w:szCs w:val="28"/>
        </w:rPr>
      </w:pPr>
    </w:p>
    <w:p>
      <w:pPr>
        <w:wordWrap w:val="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yellow"/>
        </w:rPr>
        <w:t>银行/金融机构名称:</w:t>
      </w:r>
      <w:r>
        <w:rPr>
          <w:rFonts w:hint="eastAsia" w:ascii="仿宋_GB2312" w:hAnsi="仿宋_GB2312" w:eastAsia="仿宋_GB2312" w:cs="仿宋_GB2312"/>
          <w:sz w:val="28"/>
          <w:szCs w:val="28"/>
          <w:highlight w:val="yellow"/>
          <w:u w:val="single"/>
          <w:lang w:val="en-US" w:eastAsia="zh-CN"/>
        </w:rPr>
        <w:t xml:space="preserve">             </w:t>
      </w:r>
      <w:r>
        <w:rPr>
          <w:rFonts w:hint="eastAsia" w:ascii="仿宋_GB2312" w:hAnsi="仿宋_GB2312" w:eastAsia="仿宋_GB2312" w:cs="仿宋_GB2312"/>
          <w:sz w:val="28"/>
          <w:szCs w:val="28"/>
          <w:lang w:val="en-US" w:eastAsia="zh-CN"/>
        </w:rPr>
        <w:t xml:space="preserve">  </w:t>
      </w:r>
    </w:p>
    <w:p>
      <w:pPr>
        <w:wordWrap w:val="0"/>
        <w:jc w:val="right"/>
        <w:rPr>
          <w:rFonts w:hint="default" w:ascii="仿宋_GB2312" w:hAnsi="仿宋_GB2312" w:eastAsia="仿宋_GB2312" w:cs="仿宋_GB2312"/>
          <w:sz w:val="28"/>
          <w:szCs w:val="28"/>
          <w:highlight w:val="yellow"/>
          <w:lang w:val="en-US" w:eastAsia="zh-CN"/>
        </w:rPr>
      </w:pPr>
      <w:r>
        <w:rPr>
          <w:rFonts w:hint="eastAsia" w:ascii="仿宋_GB2312" w:hAnsi="仿宋_GB2312" w:eastAsia="仿宋_GB2312" w:cs="仿宋_GB2312"/>
          <w:sz w:val="28"/>
          <w:szCs w:val="28"/>
          <w:highlight w:val="yellow"/>
        </w:rPr>
        <w:t>银行/金融机构地址：</w:t>
      </w:r>
      <w:r>
        <w:rPr>
          <w:rFonts w:hint="eastAsia" w:ascii="仿宋_GB2312" w:hAnsi="仿宋_GB2312" w:eastAsia="仿宋_GB2312" w:cs="仿宋_GB2312"/>
          <w:sz w:val="28"/>
          <w:szCs w:val="28"/>
          <w:highlight w:val="yellow"/>
          <w:u w:val="single"/>
          <w:lang w:val="en-US" w:eastAsia="zh-CN"/>
        </w:rPr>
        <w:t xml:space="preserve">              </w:t>
      </w:r>
    </w:p>
    <w:p>
      <w:pPr>
        <w:jc w:val="center"/>
        <w:rPr>
          <w:rFonts w:hint="eastAsia" w:ascii="仿宋_GB2312" w:hAnsi="仿宋_GB2312" w:eastAsia="仿宋_GB2312" w:cs="仿宋_GB2312"/>
          <w:sz w:val="28"/>
          <w:szCs w:val="28"/>
          <w:highlight w:val="yellow"/>
          <w:u w:val="single"/>
          <w:lang w:val="en-US" w:eastAsia="zh-CN"/>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yellow"/>
        </w:rPr>
        <w:t>法定代表人或授权代表签字：</w:t>
      </w:r>
      <w:r>
        <w:rPr>
          <w:rFonts w:hint="eastAsia" w:ascii="仿宋_GB2312" w:hAnsi="仿宋_GB2312" w:eastAsia="仿宋_GB2312" w:cs="仿宋_GB2312"/>
          <w:sz w:val="28"/>
          <w:szCs w:val="28"/>
          <w:highlight w:val="yellow"/>
          <w:u w:val="single"/>
          <w:lang w:val="en-US" w:eastAsia="zh-CN"/>
        </w:rPr>
        <w:t xml:space="preserve">    </w:t>
      </w:r>
    </w:p>
    <w:p>
      <w:pPr>
        <w:wordWrap w:val="0"/>
        <w:jc w:val="right"/>
        <w:rPr>
          <w:rFonts w:hint="default" w:ascii="仿宋_GB2312" w:hAnsi="仿宋_GB2312" w:eastAsia="仿宋_GB2312" w:cs="仿宋_GB2312"/>
          <w:sz w:val="28"/>
          <w:szCs w:val="28"/>
          <w:highlight w:val="yellow"/>
          <w:u w:val="single"/>
          <w:lang w:val="en-US" w:eastAsia="zh-CN"/>
        </w:rPr>
      </w:pPr>
      <w:r>
        <w:rPr>
          <w:rFonts w:hint="eastAsia" w:ascii="仿宋_GB2312" w:hAnsi="仿宋_GB2312" w:eastAsia="仿宋_GB2312" w:cs="仿宋_GB2312"/>
          <w:sz w:val="28"/>
          <w:szCs w:val="28"/>
          <w:highlight w:val="yellow"/>
        </w:rPr>
        <w:t>职务:</w:t>
      </w:r>
      <w:r>
        <w:rPr>
          <w:rFonts w:hint="eastAsia" w:ascii="仿宋_GB2312" w:hAnsi="仿宋_GB2312" w:eastAsia="仿宋_GB2312" w:cs="仿宋_GB2312"/>
          <w:sz w:val="28"/>
          <w:szCs w:val="28"/>
          <w:highlight w:val="yellow"/>
          <w:u w:val="single"/>
          <w:lang w:val="en-US" w:eastAsia="zh-CN"/>
        </w:rPr>
        <w:t xml:space="preserve">                            </w:t>
      </w:r>
    </w:p>
    <w:p>
      <w:pPr>
        <w:ind w:firstLine="3640" w:firstLineChars="130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yellow"/>
        </w:rPr>
        <w:t>日期:</w:t>
      </w:r>
      <w:r>
        <w:rPr>
          <w:rFonts w:hint="eastAsia" w:ascii="仿宋_GB2312" w:hAnsi="仿宋_GB2312" w:eastAsia="仿宋_GB2312" w:cs="仿宋_GB2312"/>
          <w:sz w:val="28"/>
          <w:szCs w:val="28"/>
          <w:highlight w:val="yellow"/>
          <w:u w:val="single"/>
          <w:lang w:val="en-US" w:eastAsia="zh-CN"/>
        </w:rPr>
        <w:t xml:space="preserve">                            </w:t>
      </w:r>
    </w:p>
    <w:p>
      <w:pPr>
        <w:pStyle w:val="863"/>
        <w:keepNext w:val="0"/>
        <w:keepLines w:val="0"/>
        <w:pageBreakBefore w:val="0"/>
        <w:numPr>
          <w:ilvl w:val="0"/>
          <w:numId w:val="0"/>
        </w:numPr>
        <w:kinsoku/>
        <w:wordWrap/>
        <w:overflowPunct/>
        <w:topLinePunct w:val="0"/>
        <w:bidi w:val="0"/>
        <w:adjustRightInd w:val="0"/>
        <w:spacing w:line="360" w:lineRule="auto"/>
        <w:ind w:firstLine="723" w:firstLineChars="200"/>
        <w:outlineLvl w:val="9"/>
        <w:rPr>
          <w:rFonts w:hint="eastAsia" w:asciiTheme="minorEastAsia" w:hAnsiTheme="minorEastAsia" w:eastAsiaTheme="minorEastAsia"/>
          <w:b/>
          <w:color w:val="000000"/>
          <w:sz w:val="36"/>
          <w:szCs w:val="36"/>
        </w:rPr>
      </w:pPr>
      <w:r>
        <w:rPr>
          <w:rFonts w:hint="eastAsia" w:asciiTheme="minorEastAsia" w:hAnsiTheme="minorEastAsia" w:eastAsiaTheme="minorEastAsia"/>
          <w:b/>
          <w:color w:val="000000"/>
          <w:sz w:val="36"/>
          <w:szCs w:val="36"/>
        </w:rPr>
        <w:br w:type="page"/>
      </w:r>
    </w:p>
    <w:p>
      <w:pPr>
        <w:numPr>
          <w:ilvl w:val="0"/>
          <w:numId w:val="0"/>
        </w:numPr>
        <w:spacing w:line="360" w:lineRule="auto"/>
        <w:jc w:val="center"/>
        <w:rPr>
          <w:rFonts w:asciiTheme="minorEastAsia" w:hAnsiTheme="minorEastAsia" w:eastAsiaTheme="minorEastAsia"/>
          <w:b/>
          <w:color w:val="000000"/>
          <w:sz w:val="36"/>
          <w:szCs w:val="36"/>
        </w:rPr>
      </w:pPr>
      <w:r>
        <w:rPr>
          <w:rFonts w:hint="eastAsia" w:asciiTheme="minorEastAsia" w:hAnsiTheme="minorEastAsia" w:eastAsiaTheme="minorEastAsia"/>
          <w:b/>
          <w:color w:val="000000"/>
          <w:sz w:val="36"/>
          <w:szCs w:val="36"/>
        </w:rPr>
        <w:t>第五章  采购合同</w:t>
      </w:r>
      <w:bookmarkEnd w:id="53"/>
    </w:p>
    <w:p>
      <w:pPr>
        <w:pStyle w:val="468"/>
        <w:spacing w:before="0"/>
        <w:ind w:firstLineChars="0"/>
        <w:jc w:val="center"/>
        <w:outlineLvl w:val="9"/>
        <w:rPr>
          <w:rFonts w:hint="eastAsia" w:ascii="宋体" w:hAnsi="宋体" w:eastAsia="宋体" w:cs="宋体"/>
          <w:sz w:val="24"/>
          <w:szCs w:val="24"/>
          <w:highlight w:val="yellow"/>
        </w:rPr>
      </w:pPr>
      <w:r>
        <w:rPr>
          <w:rFonts w:hint="eastAsia" w:ascii="宋体" w:hAnsi="宋体" w:eastAsia="宋体" w:cs="宋体"/>
          <w:sz w:val="24"/>
          <w:szCs w:val="24"/>
          <w:highlight w:val="yellow"/>
        </w:rPr>
        <w:t>（具体文本以实际签署的为准）</w:t>
      </w:r>
    </w:p>
    <w:p>
      <w:pPr>
        <w:keepNext w:val="0"/>
        <w:keepLines w:val="0"/>
        <w:pageBreakBefore w:val="0"/>
        <w:kinsoku/>
        <w:wordWrap/>
        <w:overflowPunct/>
        <w:topLinePunct w:val="0"/>
        <w:bidi w:val="0"/>
        <w:adjustRightInd w:val="0"/>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项目名称：项目编号：</w:t>
      </w:r>
    </w:p>
    <w:p>
      <w:pPr>
        <w:keepNext w:val="0"/>
        <w:keepLines w:val="0"/>
        <w:pageBreakBefore w:val="0"/>
        <w:kinsoku/>
        <w:wordWrap/>
        <w:overflowPunct/>
        <w:topLinePunct w:val="0"/>
        <w:bidi w:val="0"/>
        <w:adjustRightInd w:val="0"/>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甲方：（采购人）</w:t>
      </w:r>
    </w:p>
    <w:p>
      <w:pPr>
        <w:keepNext w:val="0"/>
        <w:keepLines w:val="0"/>
        <w:pageBreakBefore w:val="0"/>
        <w:kinsoku/>
        <w:wordWrap/>
        <w:overflowPunct/>
        <w:topLinePunct w:val="0"/>
        <w:bidi w:val="0"/>
        <w:adjustRightInd w:val="0"/>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乙方：（中标人）</w:t>
      </w:r>
    </w:p>
    <w:p>
      <w:pPr>
        <w:pStyle w:val="549"/>
        <w:keepNext w:val="0"/>
        <w:keepLines w:val="0"/>
        <w:pageBreakBefore w:val="0"/>
        <w:kinsoku/>
        <w:wordWrap/>
        <w:overflowPunct/>
        <w:topLinePunct w:val="0"/>
        <w:bidi w:val="0"/>
        <w:adjustRightInd w:val="0"/>
        <w:snapToGrid w:val="0"/>
        <w:spacing w:line="360" w:lineRule="auto"/>
        <w:ind w:left="-134" w:leftChars="-64"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双方根据依照《</w:t>
      </w:r>
      <w:r>
        <w:rPr>
          <w:rFonts w:hint="eastAsia" w:ascii="宋体" w:hAnsi="宋体" w:eastAsia="宋体" w:cs="宋体"/>
          <w:sz w:val="24"/>
          <w:szCs w:val="24"/>
          <w:lang w:val="zh-CN"/>
        </w:rPr>
        <w:t>中华人民共和国民法典</w:t>
      </w:r>
      <w:r>
        <w:rPr>
          <w:rFonts w:hint="eastAsia" w:ascii="宋体" w:hAnsi="宋体" w:eastAsia="宋体" w:cs="宋体"/>
          <w:sz w:val="24"/>
          <w:szCs w:val="24"/>
        </w:rPr>
        <w:t>》及其他有关法律、行政法规，遵循平等、自愿、公平和诚实信用的原则，关于____________项目（于    年  月   日以      方式）采购的结果，签署本合同。</w:t>
      </w:r>
    </w:p>
    <w:p>
      <w:pPr>
        <w:pStyle w:val="35"/>
        <w:keepNext w:val="0"/>
        <w:keepLines w:val="0"/>
        <w:pageBreakBefore w:val="0"/>
        <w:numPr>
          <w:ilvl w:val="0"/>
          <w:numId w:val="33"/>
        </w:numPr>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招标货物清单及价格</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（按中标产品填入）</w:t>
      </w:r>
    </w:p>
    <w:p>
      <w:pPr>
        <w:pStyle w:val="35"/>
        <w:keepNext w:val="0"/>
        <w:keepLines w:val="0"/>
        <w:pageBreakBefore w:val="0"/>
        <w:kinsoku/>
        <w:wordWrap/>
        <w:overflowPunct/>
        <w:topLinePunct w:val="0"/>
        <w:bidi w:val="0"/>
        <w:adjustRightInd w:val="0"/>
        <w:snapToGrid w:val="0"/>
        <w:spacing w:beforeLines="0" w:afterLines="0" w:line="360" w:lineRule="auto"/>
        <w:ind w:firstLine="482"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二、合同金额</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本合同金额为（大写）：元（￥元）人民币。</w:t>
      </w:r>
    </w:p>
    <w:p>
      <w:pPr>
        <w:keepNext w:val="0"/>
        <w:keepLines w:val="0"/>
        <w:pageBreakBefore w:val="0"/>
        <w:numPr>
          <w:ilvl w:val="0"/>
          <w:numId w:val="33"/>
        </w:numPr>
        <w:kinsoku/>
        <w:wordWrap/>
        <w:overflowPunct/>
        <w:topLinePunct w:val="0"/>
        <w:bidi w:val="0"/>
        <w:adjustRightInd w:val="0"/>
        <w:snapToGrid w:val="0"/>
        <w:spacing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技术及商务要求</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（按采购需求和投标承诺填入）</w:t>
      </w:r>
    </w:p>
    <w:p>
      <w:pPr>
        <w:pStyle w:val="35"/>
        <w:keepNext w:val="0"/>
        <w:keepLines w:val="0"/>
        <w:pageBreakBefore w:val="0"/>
        <w:kinsoku/>
        <w:wordWrap/>
        <w:overflowPunct/>
        <w:topLinePunct w:val="0"/>
        <w:bidi w:val="0"/>
        <w:adjustRightInd w:val="0"/>
        <w:snapToGrid w:val="0"/>
        <w:spacing w:beforeLines="0" w:afterLines="0" w:line="360" w:lineRule="auto"/>
        <w:ind w:left="420" w:leftChars="200" w:firstLine="70" w:firstLineChars="29"/>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四、知识产权</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bCs/>
          <w:color w:val="000000"/>
          <w:sz w:val="24"/>
          <w:szCs w:val="24"/>
        </w:rPr>
      </w:pPr>
      <w:r>
        <w:rPr>
          <w:rFonts w:hint="eastAsia" w:ascii="宋体" w:hAnsi="宋体" w:eastAsia="宋体" w:cs="宋体"/>
          <w:color w:val="000000"/>
          <w:sz w:val="24"/>
          <w:szCs w:val="24"/>
        </w:rPr>
        <w:t>乙方应保证所提供的货物或其任何一部分均不会侵犯任何第三方的知识产权</w:t>
      </w:r>
      <w:r>
        <w:rPr>
          <w:rFonts w:hint="eastAsia" w:ascii="宋体" w:hAnsi="宋体" w:eastAsia="宋体" w:cs="宋体"/>
          <w:bCs/>
          <w:color w:val="000000"/>
          <w:sz w:val="24"/>
          <w:szCs w:val="24"/>
        </w:rPr>
        <w:t>。</w:t>
      </w:r>
    </w:p>
    <w:p>
      <w:pPr>
        <w:pStyle w:val="35"/>
        <w:keepNext w:val="0"/>
        <w:keepLines w:val="0"/>
        <w:pageBreakBefore w:val="0"/>
        <w:kinsoku/>
        <w:wordWrap/>
        <w:overflowPunct/>
        <w:topLinePunct w:val="0"/>
        <w:bidi w:val="0"/>
        <w:adjustRightInd w:val="0"/>
        <w:snapToGrid w:val="0"/>
        <w:spacing w:beforeLines="0" w:afterLines="0" w:line="360" w:lineRule="auto"/>
        <w:ind w:firstLine="482" w:firstLineChars="200"/>
        <w:outlineLvl w:val="9"/>
        <w:rPr>
          <w:rFonts w:hint="eastAsia" w:ascii="宋体" w:hAnsi="宋体" w:eastAsia="宋体" w:cs="宋体"/>
          <w:color w:val="000000"/>
          <w:sz w:val="24"/>
          <w:szCs w:val="24"/>
          <w:u w:val="single"/>
        </w:rPr>
      </w:pPr>
      <w:r>
        <w:rPr>
          <w:rFonts w:hint="eastAsia" w:ascii="宋体" w:hAnsi="宋体" w:eastAsia="宋体" w:cs="宋体"/>
          <w:b/>
          <w:color w:val="000000"/>
          <w:sz w:val="24"/>
          <w:szCs w:val="24"/>
        </w:rPr>
        <w:t>五、产权担保</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乙方保证所交付的货物的所有权完全属于乙方且无任何抵押、查封等产权瑕疵。</w:t>
      </w:r>
    </w:p>
    <w:p>
      <w:pPr>
        <w:pStyle w:val="35"/>
        <w:keepNext w:val="0"/>
        <w:keepLines w:val="0"/>
        <w:pageBreakBefore w:val="0"/>
        <w:numPr>
          <w:ilvl w:val="0"/>
          <w:numId w:val="34"/>
        </w:numPr>
        <w:kinsoku/>
        <w:wordWrap/>
        <w:overflowPunct/>
        <w:topLinePunct w:val="0"/>
        <w:bidi w:val="0"/>
        <w:adjustRightInd w:val="0"/>
        <w:snapToGrid w:val="0"/>
        <w:spacing w:beforeLines="0" w:afterLines="0" w:line="360" w:lineRule="auto"/>
        <w:ind w:left="420" w:leftChars="200" w:firstLine="72" w:firstLineChars="30"/>
        <w:outlineLvl w:val="9"/>
        <w:rPr>
          <w:rFonts w:hint="eastAsia" w:ascii="宋体" w:hAnsi="宋体" w:eastAsia="宋体" w:cs="宋体"/>
          <w:b/>
          <w:bCs w:val="0"/>
          <w:sz w:val="24"/>
          <w:szCs w:val="24"/>
        </w:rPr>
      </w:pPr>
      <w:r>
        <w:rPr>
          <w:rFonts w:hint="eastAsia" w:ascii="宋体" w:hAnsi="宋体" w:eastAsia="宋体" w:cs="宋体"/>
          <w:b/>
          <w:bCs w:val="0"/>
          <w:color w:val="000000"/>
          <w:sz w:val="24"/>
          <w:szCs w:val="24"/>
        </w:rPr>
        <w:t>履约保证金</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ottom"/>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）履约保证金：</w:t>
      </w:r>
    </w:p>
    <w:p>
      <w:pPr>
        <w:keepNext w:val="0"/>
        <w:keepLines w:val="0"/>
        <w:pageBreakBefore w:val="0"/>
        <w:kinsoku/>
        <w:wordWrap/>
        <w:overflowPunct/>
        <w:topLinePunct w:val="0"/>
        <w:bidi w:val="0"/>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rPr>
        <w:t>签订合同</w:t>
      </w:r>
      <w:r>
        <w:rPr>
          <w:rFonts w:hint="eastAsia" w:ascii="宋体" w:hAnsi="宋体" w:eastAsia="宋体" w:cs="宋体"/>
          <w:sz w:val="24"/>
          <w:szCs w:val="24"/>
          <w:highlight w:val="none"/>
        </w:rPr>
        <w:t>前，中标供应商须向采购人交纳中标价</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%的履约保证金（接受转账或保函的形式），以保证乙方遵守本合同的一切条款、条件和承诺；安装完成并通过验收后14天内退还，不计息。</w:t>
      </w:r>
    </w:p>
    <w:p>
      <w:pPr>
        <w:pStyle w:val="28"/>
        <w:keepNext w:val="0"/>
        <w:keepLines w:val="0"/>
        <w:pageBreakBefore w:val="0"/>
        <w:kinsoku/>
        <w:wordWrap/>
        <w:overflowPunct/>
        <w:topLinePunct w:val="0"/>
        <w:bidi w:val="0"/>
        <w:adjustRightInd w:val="0"/>
        <w:snapToGrid w:val="0"/>
        <w:spacing w:after="0"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关于各类履约保函要求：一、中标供应商提交的履约保函中保证人承担责任的条件须与采购合同、招标文件的要求一致；二、中标供应商提交的履约保函必须是不可撤销见索即付的的保函；三若因中标供应商提交的履约保函中承担责任的内容条件及赔付方式与采购合同、招标文件要求不完全一致导致担保人拒不承担担保责任的，由中标人按招标文件规定的履约保证金金额向招标人履行赔付责任。</w:t>
      </w:r>
      <w:r>
        <w:rPr>
          <w:rFonts w:hint="eastAsia" w:ascii="宋体" w:hAnsi="宋体" w:eastAsia="宋体" w:cs="宋体"/>
          <w:sz w:val="24"/>
          <w:szCs w:val="24"/>
          <w:highlight w:val="none"/>
          <w:lang w:eastAsia="zh-CN"/>
        </w:rPr>
        <w:t>）</w:t>
      </w:r>
    </w:p>
    <w:p>
      <w:pPr>
        <w:pStyle w:val="28"/>
        <w:keepNext w:val="0"/>
        <w:keepLines w:val="0"/>
        <w:pageBreakBefore w:val="0"/>
        <w:kinsoku/>
        <w:wordWrap/>
        <w:overflowPunct/>
        <w:topLinePunct w:val="0"/>
        <w:bidi w:val="0"/>
        <w:adjustRightInd w:val="0"/>
        <w:snapToGrid w:val="0"/>
        <w:spacing w:after="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）风险保证金：</w:t>
      </w:r>
    </w:p>
    <w:p>
      <w:pPr>
        <w:pStyle w:val="28"/>
        <w:keepNext w:val="0"/>
        <w:keepLines w:val="0"/>
        <w:pageBreakBefore w:val="0"/>
        <w:kinsoku/>
        <w:wordWrap/>
        <w:overflowPunct/>
        <w:topLinePunct w:val="0"/>
        <w:bidi w:val="0"/>
        <w:adjustRightInd w:val="0"/>
        <w:snapToGrid w:val="0"/>
        <w:spacing w:after="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参照杭州市招投标相关规定，为防止投标人低价抢标，设最高投标限价的80％作为风险控制价，</w:t>
      </w:r>
      <w:r>
        <w:rPr>
          <w:rFonts w:hint="eastAsia" w:ascii="宋体" w:hAnsi="宋体" w:eastAsia="宋体" w:cs="宋体"/>
          <w:b/>
          <w:bCs/>
          <w:color w:val="FF0000"/>
          <w:sz w:val="24"/>
          <w:szCs w:val="24"/>
          <w:highlight w:val="none"/>
        </w:rPr>
        <w:t>风险控制价为</w:t>
      </w:r>
      <w:r>
        <w:rPr>
          <w:rFonts w:hint="eastAsia" w:ascii="宋体" w:hAnsi="宋体" w:eastAsia="宋体" w:cs="宋体"/>
          <w:b/>
          <w:bCs/>
          <w:color w:val="FF0000"/>
          <w:sz w:val="24"/>
          <w:szCs w:val="24"/>
          <w:highlight w:val="none"/>
          <w:lang w:val="en-US" w:eastAsia="zh-CN"/>
        </w:rPr>
        <w:t>392</w:t>
      </w:r>
      <w:r>
        <w:rPr>
          <w:rFonts w:hint="eastAsia" w:ascii="宋体" w:hAnsi="宋体" w:eastAsia="宋体" w:cs="宋体"/>
          <w:b/>
          <w:bCs/>
          <w:color w:val="FF0000"/>
          <w:sz w:val="24"/>
          <w:szCs w:val="24"/>
          <w:highlight w:val="none"/>
        </w:rPr>
        <w:t>万元</w:t>
      </w:r>
      <w:r>
        <w:rPr>
          <w:rFonts w:hint="eastAsia" w:ascii="宋体" w:hAnsi="宋体" w:eastAsia="宋体" w:cs="宋体"/>
          <w:sz w:val="24"/>
          <w:szCs w:val="24"/>
          <w:highlight w:val="none"/>
        </w:rPr>
        <w:t>，若低于风险控制价中标的须向采购人缴纳风险保证金</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接受转账形式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，风险保证金金额＝风险控制价－中标价。风险保证金用途和退还同履约保证金。</w:t>
      </w:r>
    </w:p>
    <w:p>
      <w:pPr>
        <w:pStyle w:val="35"/>
        <w:keepNext w:val="0"/>
        <w:keepLines w:val="0"/>
        <w:pageBreakBefore w:val="0"/>
        <w:kinsoku/>
        <w:wordWrap/>
        <w:overflowPunct/>
        <w:topLinePunct w:val="0"/>
        <w:bidi w:val="0"/>
        <w:adjustRightInd w:val="0"/>
        <w:snapToGrid w:val="0"/>
        <w:spacing w:beforeLines="0" w:afterLines="0" w:line="360" w:lineRule="auto"/>
        <w:ind w:firstLine="482" w:firstLineChars="200"/>
        <w:outlineLvl w:val="9"/>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七、质保期</w:t>
      </w:r>
    </w:p>
    <w:p>
      <w:pPr>
        <w:pStyle w:val="35"/>
        <w:keepNext w:val="0"/>
        <w:keepLines w:val="0"/>
        <w:pageBreakBefore w:val="0"/>
        <w:kinsoku/>
        <w:wordWrap/>
        <w:overflowPunct/>
        <w:topLinePunct w:val="0"/>
        <w:bidi w:val="0"/>
        <w:adjustRightInd w:val="0"/>
        <w:snapToGrid w:val="0"/>
        <w:spacing w:beforeLines="0" w:afterLines="0" w:line="360" w:lineRule="auto"/>
        <w:ind w:left="315" w:leftChars="150" w:firstLine="120" w:firstLineChars="5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7.1 质保期</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年。</w:t>
      </w:r>
    </w:p>
    <w:p>
      <w:pPr>
        <w:pStyle w:val="35"/>
        <w:keepNext w:val="0"/>
        <w:keepLines w:val="0"/>
        <w:pageBreakBefore w:val="0"/>
        <w:kinsoku/>
        <w:wordWrap/>
        <w:overflowPunct/>
        <w:topLinePunct w:val="0"/>
        <w:bidi w:val="0"/>
        <w:adjustRightInd w:val="0"/>
        <w:snapToGrid w:val="0"/>
        <w:spacing w:beforeLines="0" w:afterLines="0" w:line="360" w:lineRule="auto"/>
        <w:ind w:firstLine="482" w:firstLineChars="200"/>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八、交货期、交货方式及交货地点</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bCs/>
          <w:color w:val="000000"/>
          <w:sz w:val="24"/>
          <w:szCs w:val="24"/>
          <w:highlight w:val="none"/>
        </w:rPr>
      </w:pPr>
      <w:r>
        <w:rPr>
          <w:rFonts w:hint="eastAsia" w:ascii="宋体" w:hAnsi="宋体" w:eastAsia="宋体" w:cs="宋体"/>
          <w:sz w:val="24"/>
          <w:szCs w:val="24"/>
          <w:highlight w:val="none"/>
        </w:rPr>
        <w:t>8.1 交货期：</w:t>
      </w:r>
      <w:r>
        <w:rPr>
          <w:rFonts w:hint="eastAsia" w:ascii="宋体" w:hAnsi="宋体" w:eastAsia="宋体" w:cs="宋体"/>
          <w:b w:val="0"/>
          <w:bCs w:val="0"/>
          <w:sz w:val="24"/>
          <w:szCs w:val="24"/>
          <w:highlight w:val="none"/>
          <w:lang w:val="en-US" w:eastAsia="zh-CN"/>
        </w:rPr>
        <w:t>项目整体供货期45天，即须在45天内完成本项目所有工作内容并通过履约验收，其中试营业节点前必须完成以下内容：除水世界区块外，其他所有游乐设施设备必须在</w:t>
      </w:r>
      <w:r>
        <w:rPr>
          <w:rFonts w:hint="eastAsia" w:hAnsi="宋体" w:cs="宋体"/>
          <w:b w:val="0"/>
          <w:bCs w:val="0"/>
          <w:sz w:val="24"/>
          <w:szCs w:val="24"/>
          <w:highlight w:val="none"/>
          <w:lang w:val="en-US" w:eastAsia="zh-CN"/>
        </w:rPr>
        <w:t>5月24日</w:t>
      </w:r>
      <w:r>
        <w:rPr>
          <w:rFonts w:hint="eastAsia" w:ascii="宋体" w:hAnsi="宋体" w:eastAsia="宋体" w:cs="宋体"/>
          <w:b w:val="0"/>
          <w:bCs w:val="0"/>
          <w:sz w:val="24"/>
          <w:szCs w:val="24"/>
          <w:highlight w:val="none"/>
          <w:lang w:val="en-US" w:eastAsia="zh-CN"/>
        </w:rPr>
        <w:t>前完成安装调试通过试运行并完成验收，现场的布展宣发内容（包括场地清理）必须在5月30日前完成。</w:t>
      </w:r>
      <w:r>
        <w:rPr>
          <w:rFonts w:hint="eastAsia" w:ascii="宋体" w:hAnsi="宋体" w:eastAsia="宋体" w:cs="宋体"/>
          <w:sz w:val="24"/>
          <w:szCs w:val="24"/>
          <w:highlight w:val="none"/>
        </w:rPr>
        <w:t>因中标人原因未能按</w:t>
      </w:r>
      <w:r>
        <w:rPr>
          <w:rFonts w:hint="eastAsia" w:ascii="宋体" w:hAnsi="宋体" w:eastAsia="宋体" w:cs="宋体"/>
          <w:sz w:val="24"/>
          <w:szCs w:val="24"/>
          <w:highlight w:val="none"/>
          <w:lang w:eastAsia="zh-CN"/>
        </w:rPr>
        <w:t>供货进度及时完成</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（包括试</w:t>
      </w:r>
      <w:r>
        <w:rPr>
          <w:rFonts w:hint="eastAsia" w:ascii="宋体" w:hAnsi="宋体" w:eastAsia="宋体" w:cs="宋体"/>
          <w:b w:val="0"/>
          <w:bCs w:val="0"/>
          <w:sz w:val="24"/>
          <w:szCs w:val="24"/>
          <w:highlight w:val="none"/>
          <w:lang w:val="en-US" w:eastAsia="zh-CN"/>
        </w:rPr>
        <w:t xml:space="preserve">营业节点要求），每延误一天处以2000元违约金，违约金直接从合同价款中扣除。延误时间超过30天的，采购人有权终止合同，并没收全部履约保证金（含风险保证金），如造成采购人损失超过履约保证金（含风险保证金）的，超出部分由中标人继续承担赔偿责任。另外，因中标人逾期交货或其他违约行为导致采购人解除合同的，中标人应向采购人支付合同总值5%的违约金。 </w:t>
      </w:r>
    </w:p>
    <w:p>
      <w:pPr>
        <w:pStyle w:val="35"/>
        <w:keepNext w:val="0"/>
        <w:keepLines w:val="0"/>
        <w:pageBreakBefore w:val="0"/>
        <w:kinsoku/>
        <w:wordWrap/>
        <w:overflowPunct/>
        <w:topLinePunct w:val="0"/>
        <w:bidi w:val="0"/>
        <w:adjustRightInd w:val="0"/>
        <w:snapToGrid w:val="0"/>
        <w:spacing w:beforeLines="0" w:afterLines="0" w:line="360" w:lineRule="auto"/>
        <w:ind w:firstLine="400"/>
        <w:outlineLvl w:val="9"/>
        <w:rPr>
          <w:rFonts w:hint="eastAsia" w:ascii="宋体" w:hAnsi="宋体" w:eastAsia="宋体" w:cs="宋体"/>
          <w:bCs/>
          <w:color w:val="000000"/>
          <w:sz w:val="24"/>
          <w:szCs w:val="24"/>
          <w:highlight w:val="none"/>
          <w:lang w:eastAsia="zh-CN"/>
        </w:rPr>
      </w:pPr>
      <w:r>
        <w:rPr>
          <w:rFonts w:hint="eastAsia" w:ascii="宋体" w:hAnsi="宋体" w:eastAsia="宋体" w:cs="宋体"/>
          <w:bCs/>
          <w:color w:val="000000"/>
          <w:sz w:val="24"/>
          <w:szCs w:val="24"/>
          <w:highlight w:val="none"/>
        </w:rPr>
        <w:t>8.2 交货方式：</w:t>
      </w:r>
      <w:r>
        <w:rPr>
          <w:rFonts w:hint="eastAsia" w:ascii="宋体" w:hAnsi="宋体" w:eastAsia="宋体" w:cs="宋体"/>
          <w:bCs/>
          <w:color w:val="000000"/>
          <w:sz w:val="24"/>
          <w:szCs w:val="24"/>
          <w:highlight w:val="none"/>
          <w:lang w:val="en-US" w:eastAsia="zh-CN"/>
        </w:rPr>
        <w:t>乙方</w:t>
      </w:r>
      <w:r>
        <w:rPr>
          <w:rFonts w:hint="eastAsia" w:ascii="宋体" w:hAnsi="宋体" w:eastAsia="宋体" w:cs="宋体"/>
          <w:bCs/>
          <w:color w:val="000000"/>
          <w:sz w:val="24"/>
          <w:szCs w:val="24"/>
          <w:highlight w:val="none"/>
        </w:rPr>
        <w:t>送货上门</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费用由</w:t>
      </w:r>
      <w:r>
        <w:rPr>
          <w:rFonts w:hint="eastAsia" w:ascii="宋体" w:hAnsi="宋体" w:eastAsia="宋体" w:cs="宋体"/>
          <w:bCs/>
          <w:color w:val="000000"/>
          <w:sz w:val="24"/>
          <w:szCs w:val="24"/>
          <w:highlight w:val="none"/>
          <w:lang w:val="en-US" w:eastAsia="zh-CN"/>
        </w:rPr>
        <w:t>乙</w:t>
      </w:r>
      <w:r>
        <w:rPr>
          <w:rFonts w:hint="eastAsia" w:ascii="宋体" w:hAnsi="宋体" w:eastAsia="宋体" w:cs="宋体"/>
          <w:bCs/>
          <w:color w:val="000000"/>
          <w:sz w:val="24"/>
          <w:szCs w:val="24"/>
          <w:highlight w:val="none"/>
        </w:rPr>
        <w:t>方承担</w:t>
      </w:r>
      <w:r>
        <w:rPr>
          <w:rFonts w:hint="eastAsia" w:ascii="宋体" w:hAnsi="宋体" w:eastAsia="宋体" w:cs="宋体"/>
          <w:bCs/>
          <w:color w:val="000000"/>
          <w:sz w:val="24"/>
          <w:szCs w:val="24"/>
          <w:highlight w:val="none"/>
          <w:lang w:eastAsia="zh-CN"/>
        </w:rPr>
        <w:t>。</w:t>
      </w:r>
    </w:p>
    <w:p>
      <w:pPr>
        <w:pStyle w:val="35"/>
        <w:keepNext w:val="0"/>
        <w:keepLines w:val="0"/>
        <w:pageBreakBefore w:val="0"/>
        <w:kinsoku/>
        <w:wordWrap/>
        <w:overflowPunct/>
        <w:topLinePunct w:val="0"/>
        <w:bidi w:val="0"/>
        <w:adjustRightInd w:val="0"/>
        <w:snapToGrid w:val="0"/>
        <w:spacing w:beforeLines="0" w:afterLines="0" w:line="360" w:lineRule="auto"/>
        <w:ind w:firstLine="400"/>
        <w:outlineLvl w:val="9"/>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highlight w:val="none"/>
        </w:rPr>
        <w:t>8.3 交货地点：</w:t>
      </w:r>
      <w:r>
        <w:rPr>
          <w:rFonts w:hint="eastAsia" w:ascii="宋体" w:hAnsi="宋体" w:eastAsia="宋体" w:cs="宋体"/>
          <w:bCs/>
          <w:color w:val="000000"/>
          <w:sz w:val="24"/>
          <w:szCs w:val="24"/>
          <w:highlight w:val="none"/>
          <w:lang w:val="en-US" w:eastAsia="zh-CN"/>
        </w:rPr>
        <w:t>梅蓉村</w:t>
      </w:r>
      <w:r>
        <w:rPr>
          <w:rFonts w:hint="eastAsia" w:ascii="宋体" w:hAnsi="宋体" w:eastAsia="宋体" w:cs="宋体"/>
          <w:bCs/>
          <w:color w:val="000000"/>
          <w:sz w:val="24"/>
          <w:szCs w:val="24"/>
          <w:highlight w:val="none"/>
        </w:rPr>
        <w:t>，具体由甲方指定</w:t>
      </w:r>
      <w:r>
        <w:rPr>
          <w:rFonts w:hint="eastAsia" w:ascii="宋体" w:hAnsi="宋体" w:eastAsia="宋体" w:cs="宋体"/>
          <w:sz w:val="24"/>
          <w:szCs w:val="24"/>
          <w:highlight w:val="none"/>
        </w:rPr>
        <w:t>。</w:t>
      </w:r>
    </w:p>
    <w:p>
      <w:pPr>
        <w:keepNext w:val="0"/>
        <w:keepLines w:val="0"/>
        <w:pageBreakBefore w:val="0"/>
        <w:kinsoku/>
        <w:wordWrap/>
        <w:overflowPunct/>
        <w:topLinePunct w:val="0"/>
        <w:bidi w:val="0"/>
        <w:adjustRightInd w:val="0"/>
        <w:snapToGrid w:val="0"/>
        <w:spacing w:line="360" w:lineRule="auto"/>
        <w:ind w:firstLine="482" w:firstLineChars="200"/>
        <w:jc w:val="left"/>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九、付款方式</w:t>
      </w:r>
    </w:p>
    <w:p>
      <w:pPr>
        <w:keepNext w:val="0"/>
        <w:keepLines w:val="0"/>
        <w:pageBreakBefore w:val="0"/>
        <w:kinsoku/>
        <w:wordWrap/>
        <w:overflowPunct/>
        <w:topLinePunct w:val="0"/>
        <w:bidi w:val="0"/>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 1 \* GB3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①</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GB"/>
        </w:rPr>
        <w:t>合同签订后，</w:t>
      </w:r>
      <w:r>
        <w:rPr>
          <w:rFonts w:hint="eastAsia" w:ascii="宋体" w:hAnsi="宋体" w:eastAsia="宋体" w:cs="宋体"/>
          <w:sz w:val="24"/>
          <w:szCs w:val="24"/>
          <w:highlight w:val="none"/>
          <w:lang w:val="en-US" w:eastAsia="zh-CN"/>
        </w:rPr>
        <w:t>提供深化设计方案、</w:t>
      </w:r>
      <w:r>
        <w:rPr>
          <w:rFonts w:hint="eastAsia" w:ascii="宋体" w:hAnsi="宋体" w:eastAsia="宋体" w:cs="宋体"/>
          <w:sz w:val="24"/>
          <w:szCs w:val="24"/>
          <w:highlight w:val="none"/>
        </w:rPr>
        <w:t>供货方案、产品选样</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rPr>
        <w:t>经过采购人认可后5个工作日内，采购人支付合同总价的</w:t>
      </w:r>
      <w:r>
        <w:rPr>
          <w:rFonts w:hint="eastAsia" w:ascii="宋体" w:hAnsi="宋体" w:eastAsia="宋体" w:cs="宋体"/>
          <w:sz w:val="24"/>
          <w:szCs w:val="24"/>
          <w:highlight w:val="none"/>
          <w:lang w:val="en-US" w:eastAsia="zh-CN"/>
        </w:rPr>
        <w:t>50</w:t>
      </w:r>
      <w:r>
        <w:rPr>
          <w:rFonts w:hint="eastAsia" w:ascii="宋体" w:hAnsi="宋体" w:eastAsia="宋体" w:cs="宋体"/>
          <w:sz w:val="24"/>
          <w:szCs w:val="24"/>
          <w:highlight w:val="none"/>
        </w:rPr>
        <w:t>%作为预付款。</w:t>
      </w:r>
    </w:p>
    <w:p>
      <w:pPr>
        <w:keepNext w:val="0"/>
        <w:keepLines w:val="0"/>
        <w:pageBreakBefore w:val="0"/>
        <w:kinsoku/>
        <w:wordWrap/>
        <w:overflowPunct/>
        <w:topLinePunct w:val="0"/>
        <w:bidi w:val="0"/>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 2 \* GB3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②</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lang w:eastAsia="zh-CN"/>
        </w:rPr>
        <w:t>采购清单内</w:t>
      </w:r>
      <w:r>
        <w:rPr>
          <w:rFonts w:hint="eastAsia" w:ascii="宋体" w:hAnsi="宋体" w:eastAsia="宋体" w:cs="宋体"/>
          <w:color w:val="auto"/>
          <w:sz w:val="24"/>
          <w:szCs w:val="24"/>
          <w:highlight w:val="none"/>
          <w:lang w:val="en-GB"/>
        </w:rPr>
        <w:t>所有货物安装到位，所有设备安装、调试完成，试运行</w:t>
      </w:r>
      <w:r>
        <w:rPr>
          <w:rFonts w:hint="eastAsia" w:ascii="宋体" w:hAnsi="宋体" w:eastAsia="宋体" w:cs="宋体"/>
          <w:color w:val="auto"/>
          <w:sz w:val="24"/>
          <w:szCs w:val="24"/>
          <w:highlight w:val="none"/>
          <w:lang w:val="en-GB" w:eastAsia="zh-CN"/>
        </w:rPr>
        <w:t>（设备</w:t>
      </w:r>
      <w:r>
        <w:rPr>
          <w:rFonts w:hint="eastAsia" w:ascii="宋体" w:hAnsi="宋体" w:eastAsia="宋体" w:cs="宋体"/>
          <w:color w:val="auto"/>
          <w:sz w:val="24"/>
          <w:szCs w:val="24"/>
          <w:highlight w:val="none"/>
          <w:lang w:val="en-GB"/>
        </w:rPr>
        <w:t>空载、满载、偏载试验</w:t>
      </w:r>
      <w:r>
        <w:rPr>
          <w:rFonts w:hint="eastAsia" w:ascii="宋体" w:hAnsi="宋体" w:eastAsia="宋体" w:cs="宋体"/>
          <w:color w:val="auto"/>
          <w:sz w:val="24"/>
          <w:szCs w:val="24"/>
          <w:highlight w:val="none"/>
          <w:lang w:val="en-GB" w:eastAsia="zh-CN"/>
        </w:rPr>
        <w:t>）</w:t>
      </w:r>
      <w:r>
        <w:rPr>
          <w:rFonts w:hint="eastAsia" w:ascii="宋体" w:hAnsi="宋体" w:eastAsia="宋体" w:cs="宋体"/>
          <w:color w:val="auto"/>
          <w:sz w:val="24"/>
          <w:szCs w:val="24"/>
          <w:highlight w:val="none"/>
          <w:lang w:val="en-GB"/>
        </w:rPr>
        <w:t>成功后，</w:t>
      </w:r>
      <w:r>
        <w:rPr>
          <w:rFonts w:hint="eastAsia" w:ascii="宋体" w:hAnsi="宋体" w:eastAsia="宋体" w:cs="宋体"/>
          <w:sz w:val="24"/>
          <w:szCs w:val="24"/>
          <w:highlight w:val="none"/>
          <w:lang w:val="en-GB"/>
        </w:rPr>
        <w:t>支付至合同总价的</w:t>
      </w:r>
      <w:r>
        <w:rPr>
          <w:rFonts w:hint="eastAsia" w:ascii="宋体" w:hAnsi="宋体" w:eastAsia="宋体" w:cs="宋体"/>
          <w:sz w:val="24"/>
          <w:szCs w:val="24"/>
          <w:highlight w:val="none"/>
        </w:rPr>
        <w:t>85</w:t>
      </w:r>
      <w:r>
        <w:rPr>
          <w:rFonts w:hint="eastAsia" w:ascii="宋体" w:hAnsi="宋体" w:eastAsia="宋体" w:cs="宋体"/>
          <w:sz w:val="24"/>
          <w:szCs w:val="24"/>
          <w:highlight w:val="none"/>
          <w:lang w:val="en-GB"/>
        </w:rPr>
        <w:t>%。</w:t>
      </w:r>
    </w:p>
    <w:p>
      <w:pPr>
        <w:keepNext w:val="0"/>
        <w:keepLines w:val="0"/>
        <w:pageBreakBefore w:val="0"/>
        <w:numPr>
          <w:ilvl w:val="0"/>
          <w:numId w:val="0"/>
        </w:numPr>
        <w:kinsoku/>
        <w:wordWrap/>
        <w:overflowPunct/>
        <w:topLinePunct w:val="0"/>
        <w:bidi w:val="0"/>
        <w:adjustRightInd w:val="0"/>
        <w:snapToGrid w:val="0"/>
        <w:spacing w:line="360" w:lineRule="auto"/>
        <w:jc w:val="left"/>
        <w:outlineLvl w:val="9"/>
        <w:rPr>
          <w:rFonts w:hint="eastAsia" w:ascii="宋体" w:hAnsi="宋体" w:eastAsia="宋体" w:cs="宋体"/>
          <w:sz w:val="24"/>
          <w:szCs w:val="24"/>
          <w:highlight w:val="none"/>
          <w:lang w:val="en-GB"/>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 3 \* GB3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③</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val="en-US" w:eastAsia="zh-CN"/>
        </w:rPr>
        <w:t>履约</w:t>
      </w:r>
      <w:r>
        <w:rPr>
          <w:rFonts w:hint="eastAsia" w:ascii="宋体" w:hAnsi="宋体" w:eastAsia="宋体" w:cs="宋体"/>
          <w:sz w:val="24"/>
          <w:szCs w:val="24"/>
          <w:highlight w:val="none"/>
        </w:rPr>
        <w:t>验收合格，</w:t>
      </w:r>
      <w:r>
        <w:rPr>
          <w:rFonts w:hint="eastAsia" w:ascii="宋体" w:hAnsi="宋体" w:eastAsia="宋体" w:cs="宋体"/>
          <w:sz w:val="24"/>
          <w:szCs w:val="24"/>
          <w:highlight w:val="none"/>
          <w:lang w:val="en-GB"/>
        </w:rPr>
        <w:t>并按采购人要求移交所有资料后</w:t>
      </w:r>
      <w:r>
        <w:rPr>
          <w:rFonts w:hint="eastAsia" w:ascii="宋体" w:hAnsi="宋体" w:eastAsia="宋体" w:cs="宋体"/>
          <w:sz w:val="24"/>
          <w:szCs w:val="24"/>
          <w:highlight w:val="none"/>
          <w:lang w:val="en-GB" w:eastAsia="zh-CN"/>
        </w:rPr>
        <w:t>，经结算审计审核后，按审定金额为最终结算价</w:t>
      </w:r>
      <w:r>
        <w:rPr>
          <w:rFonts w:hint="eastAsia" w:ascii="宋体" w:hAnsi="宋体" w:eastAsia="宋体" w:cs="宋体"/>
          <w:sz w:val="24"/>
          <w:szCs w:val="24"/>
          <w:highlight w:val="none"/>
          <w:lang w:val="en-GB"/>
        </w:rPr>
        <w:t>支付余款。</w:t>
      </w:r>
    </w:p>
    <w:p>
      <w:pPr>
        <w:keepNext w:val="0"/>
        <w:keepLines w:val="0"/>
        <w:pageBreakBefore w:val="0"/>
        <w:numPr>
          <w:ilvl w:val="0"/>
          <w:numId w:val="0"/>
        </w:numPr>
        <w:kinsoku/>
        <w:wordWrap/>
        <w:overflowPunct/>
        <w:topLinePunct w:val="0"/>
        <w:bidi w:val="0"/>
        <w:spacing w:line="360" w:lineRule="auto"/>
        <w:ind w:firstLine="480" w:firstLineChars="200"/>
        <w:jc w:val="left"/>
        <w:outlineLvl w:val="9"/>
        <w:rPr>
          <w:rFonts w:hint="eastAsia" w:ascii="宋体" w:hAnsi="宋体" w:eastAsia="宋体" w:cs="宋体"/>
          <w:sz w:val="24"/>
          <w:szCs w:val="24"/>
          <w:highlight w:val="none"/>
          <w:lang w:val="en-GB"/>
        </w:rPr>
      </w:pPr>
      <w:r>
        <w:rPr>
          <w:rFonts w:hint="eastAsia" w:ascii="宋体" w:hAnsi="宋体" w:cs="宋体"/>
          <w:sz w:val="24"/>
          <w:szCs w:val="24"/>
          <w:highlight w:val="yellow"/>
          <w:lang w:val="en-GB" w:eastAsia="zh-CN"/>
        </w:rPr>
        <w:t>（备注：中标人应根据税务政策要求开具规范税务发票）</w:t>
      </w:r>
    </w:p>
    <w:p>
      <w:pPr>
        <w:keepNext w:val="0"/>
        <w:keepLines w:val="0"/>
        <w:pageBreakBefore w:val="0"/>
        <w:kinsoku/>
        <w:wordWrap/>
        <w:overflowPunct/>
        <w:topLinePunct w:val="0"/>
        <w:bidi w:val="0"/>
        <w:adjustRightInd w:val="0"/>
        <w:snapToGrid w:val="0"/>
        <w:spacing w:line="360" w:lineRule="auto"/>
        <w:ind w:firstLine="482" w:firstLineChars="200"/>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十.税</w:t>
      </w:r>
    </w:p>
    <w:p>
      <w:pPr>
        <w:keepNext w:val="0"/>
        <w:keepLines w:val="0"/>
        <w:pageBreakBefore w:val="0"/>
        <w:kinsoku/>
        <w:wordWrap/>
        <w:overflowPunct/>
        <w:topLinePunct w:val="0"/>
        <w:bidi w:val="0"/>
        <w:adjustRightInd w:val="0"/>
        <w:snapToGrid w:val="0"/>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本合同执行中相关的一切税费均由供方负担。</w:t>
      </w:r>
    </w:p>
    <w:p>
      <w:pPr>
        <w:pStyle w:val="35"/>
        <w:keepNext w:val="0"/>
        <w:keepLines w:val="0"/>
        <w:pageBreakBefore w:val="0"/>
        <w:kinsoku/>
        <w:wordWrap/>
        <w:overflowPunct/>
        <w:topLinePunct w:val="0"/>
        <w:bidi w:val="0"/>
        <w:adjustRightInd w:val="0"/>
        <w:snapToGrid w:val="0"/>
        <w:spacing w:beforeLines="0" w:afterLines="0" w:line="360" w:lineRule="auto"/>
        <w:ind w:firstLine="482" w:firstLineChars="200"/>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十一、质量保证及售后服务</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11.1 乙方应按招标文件规定的货物性能、技术要求、质量标准向甲方提供未经使用的全新产品。</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11.2乙方提供的货物在质量期内因货物本身的质量问题发生故障，乙方应负责免费更换。</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sz w:val="24"/>
          <w:szCs w:val="24"/>
        </w:rPr>
        <w:t>11.3具体的质量保证及售后服务（包括上述未涉及的内容）以投标文件为准，若投标文件上出现前后矛盾的情况，则倾向于有利甲方的为准。</w:t>
      </w:r>
    </w:p>
    <w:p>
      <w:pPr>
        <w:pStyle w:val="35"/>
        <w:keepNext w:val="0"/>
        <w:keepLines w:val="0"/>
        <w:pageBreakBefore w:val="0"/>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十二、调试和验收</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12.1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12.2 乙方交货前应对产品做出全面检查和对验收文件进行整理，并列出清单，作为甲方收货验收和使用的技术条件依据，检验的结果应随货物交甲方。</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12.3 甲方对乙方提供的货物在使用前进行调试时，乙方需负责安装并培训甲方的使用操作人员，并协助甲方一起调试，直到符合技术要求，甲方才做最终验收。</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b/>
          <w:color w:val="000000"/>
          <w:sz w:val="24"/>
          <w:szCs w:val="24"/>
        </w:rPr>
      </w:pPr>
      <w:r>
        <w:rPr>
          <w:rFonts w:hint="eastAsia" w:ascii="宋体" w:hAnsi="宋体" w:eastAsia="宋体" w:cs="宋体"/>
          <w:color w:val="000000"/>
          <w:sz w:val="24"/>
          <w:szCs w:val="24"/>
        </w:rPr>
        <w:t>12.4 验收时乙方必须在现场，验收完毕后作出验收结果报告；验收费用由乙方负责。</w:t>
      </w:r>
    </w:p>
    <w:p>
      <w:pPr>
        <w:pStyle w:val="35"/>
        <w:keepNext w:val="0"/>
        <w:keepLines w:val="0"/>
        <w:pageBreakBefore w:val="0"/>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十三、货物包装、发运及运输</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13.1 乙方应在货物发运前对其进行满足运输距离等要求包装，以保证货物安全运达甲方指定地点。</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13.2 使用说明书、质量检验证明书、随配附件和工具以及清单一并附于货物内。</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13.3 乙方在货物发运手续办理完毕后24小时内或货到甲方48小时前通知甲方，以准备接货。</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13.4 货物在交付甲方前发生的风险均由乙方负责。</w:t>
      </w:r>
    </w:p>
    <w:p>
      <w:pPr>
        <w:pStyle w:val="35"/>
        <w:keepNext w:val="0"/>
        <w:keepLines w:val="0"/>
        <w:pageBreakBefore w:val="0"/>
        <w:kinsoku/>
        <w:wordWrap/>
        <w:overflowPunct/>
        <w:topLinePunct w:val="0"/>
        <w:bidi w:val="0"/>
        <w:adjustRightInd w:val="0"/>
        <w:snapToGrid w:val="0"/>
        <w:spacing w:beforeLines="0" w:afterLines="0" w:line="360" w:lineRule="auto"/>
        <w:ind w:right="26" w:firstLine="480" w:firstLineChars="200"/>
        <w:outlineLvl w:val="9"/>
        <w:rPr>
          <w:rFonts w:hint="eastAsia" w:ascii="宋体" w:hAnsi="宋体" w:eastAsia="宋体" w:cs="宋体"/>
          <w:b/>
          <w:color w:val="000000"/>
          <w:sz w:val="24"/>
          <w:szCs w:val="24"/>
        </w:rPr>
      </w:pPr>
      <w:r>
        <w:rPr>
          <w:rFonts w:hint="eastAsia" w:ascii="宋体" w:hAnsi="宋体" w:eastAsia="宋体" w:cs="宋体"/>
          <w:color w:val="000000"/>
          <w:sz w:val="24"/>
          <w:szCs w:val="24"/>
        </w:rPr>
        <w:t>13.5 货物在规定的交付期限内由乙方送达甲方指定的地点视为交付，乙方同时需通知甲方货物已送达。</w:t>
      </w:r>
    </w:p>
    <w:p>
      <w:pPr>
        <w:pStyle w:val="35"/>
        <w:keepNext w:val="0"/>
        <w:keepLines w:val="0"/>
        <w:pageBreakBefore w:val="0"/>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十四、违约责任</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14.1 甲方无正当理由拒收货物的，甲方向乙方偿付拒收货款总值的百分之五违约金。</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14.2 甲方无故逾期验收和办理货款支付手续的，甲方应按逾期付款总额每日万分之五向乙方支付违约金。</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color w:val="000000"/>
          <w:sz w:val="24"/>
          <w:szCs w:val="24"/>
          <w:highlight w:val="none"/>
        </w:rPr>
        <w:t xml:space="preserve">14.3 </w:t>
      </w:r>
      <w:r>
        <w:rPr>
          <w:rFonts w:hint="eastAsia" w:ascii="宋体" w:hAnsi="宋体" w:eastAsia="宋体" w:cs="宋体"/>
          <w:sz w:val="24"/>
          <w:szCs w:val="24"/>
          <w:highlight w:val="none"/>
        </w:rPr>
        <w:t>因</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原因未能按</w:t>
      </w:r>
      <w:r>
        <w:rPr>
          <w:rFonts w:hint="eastAsia" w:ascii="宋体" w:hAnsi="宋体" w:eastAsia="宋体" w:cs="宋体"/>
          <w:sz w:val="24"/>
          <w:szCs w:val="24"/>
          <w:highlight w:val="none"/>
          <w:lang w:eastAsia="zh-CN"/>
        </w:rPr>
        <w:t>供货进度及时完成</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（包括试</w:t>
      </w:r>
      <w:r>
        <w:rPr>
          <w:rFonts w:hint="eastAsia" w:ascii="宋体" w:hAnsi="宋体" w:eastAsia="宋体" w:cs="宋体"/>
          <w:b w:val="0"/>
          <w:bCs w:val="0"/>
          <w:sz w:val="24"/>
          <w:szCs w:val="24"/>
          <w:highlight w:val="none"/>
          <w:lang w:val="en-US" w:eastAsia="zh-CN"/>
        </w:rPr>
        <w:t xml:space="preserve">营业节点要求），每延误一天处以2000元违约金，违约金直接从合同价款中扣除。延误时间超过30天的，采购人有权终止合同，并没收全部履约保证金（含风险保证金），如造成采购人损失超过履约保证金（含风险保证金）的，超出部分由中标人继续承担赔偿责任。另外，因中标人逾期交货或其他违约行为导致采购人解除合同的，中标人应向采购人支付合同总值5%的违约金。 </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14.4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5"/>
        <w:keepNext w:val="0"/>
        <w:keepLines w:val="0"/>
        <w:pageBreakBefore w:val="0"/>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十五、不可抗力事件处理</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15.1 在合同有效期内，任何一方因不可抗力事件导致不能履行合同，则合同履行期可延长，其延长期与不可抗力影响期相同。</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15.2 不可抗力事件延续120天以上，双方应通过友好协商，确定是否继续履行合同。</w:t>
      </w:r>
    </w:p>
    <w:p>
      <w:pPr>
        <w:pStyle w:val="35"/>
        <w:keepNext w:val="0"/>
        <w:keepLines w:val="0"/>
        <w:pageBreakBefore w:val="0"/>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十六、诉讼</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b/>
          <w:color w:val="000000"/>
          <w:sz w:val="24"/>
          <w:szCs w:val="24"/>
        </w:rPr>
      </w:pPr>
      <w:r>
        <w:rPr>
          <w:rFonts w:hint="eastAsia" w:ascii="宋体" w:hAnsi="宋体" w:eastAsia="宋体" w:cs="宋体"/>
          <w:color w:val="000000"/>
          <w:sz w:val="24"/>
          <w:szCs w:val="24"/>
        </w:rPr>
        <w:t>双方在执行合同中所发生的一切争议，应通过协商解决。如协商不成，可向合同签订地法院起诉，合同签订地在此约定为桐庐县。</w:t>
      </w:r>
    </w:p>
    <w:p>
      <w:pPr>
        <w:pStyle w:val="35"/>
        <w:keepNext w:val="0"/>
        <w:keepLines w:val="0"/>
        <w:pageBreakBefore w:val="0"/>
        <w:kinsoku/>
        <w:wordWrap/>
        <w:overflowPunct/>
        <w:topLinePunct w:val="0"/>
        <w:bidi w:val="0"/>
        <w:adjustRightInd w:val="0"/>
        <w:snapToGrid w:val="0"/>
        <w:spacing w:beforeLines="0" w:afterLines="0" w:line="360" w:lineRule="auto"/>
        <w:ind w:firstLine="40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十七、合同生效及其他</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17.1 合同经双方法定代表人或授权委托代理人签字并加盖单位公章后生效。</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 合同执行中涉及采购资金和采购内容修改或补充的，须经主管部门审批，方可作为主合同不可分割的一部分。</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sz w:val="24"/>
          <w:szCs w:val="24"/>
        </w:rPr>
      </w:pPr>
      <w:r>
        <w:rPr>
          <w:rFonts w:hint="eastAsia" w:ascii="宋体" w:hAnsi="宋体" w:eastAsia="宋体" w:cs="宋体"/>
          <w:color w:val="000000"/>
          <w:sz w:val="24"/>
          <w:szCs w:val="24"/>
        </w:rPr>
        <w:t>17.3本合同未尽事宜，遵照《</w:t>
      </w:r>
      <w:r>
        <w:rPr>
          <w:rFonts w:hint="eastAsia" w:ascii="宋体" w:hAnsi="宋体" w:eastAsia="宋体" w:cs="宋体"/>
          <w:color w:val="000000"/>
          <w:sz w:val="24"/>
          <w:szCs w:val="24"/>
          <w:lang w:val="en-US" w:eastAsia="zh-CN"/>
        </w:rPr>
        <w:t>中华人民共和国</w:t>
      </w:r>
      <w:r>
        <w:rPr>
          <w:rFonts w:hint="eastAsia" w:ascii="宋体" w:hAnsi="宋体" w:eastAsia="宋体" w:cs="宋体"/>
          <w:color w:val="000000"/>
          <w:sz w:val="24"/>
          <w:szCs w:val="24"/>
        </w:rPr>
        <w:t>民法典》有关条文执行。</w:t>
      </w:r>
    </w:p>
    <w:p>
      <w:pPr>
        <w:pStyle w:val="35"/>
        <w:keepNext w:val="0"/>
        <w:keepLines w:val="0"/>
        <w:pageBreakBefore w:val="0"/>
        <w:kinsoku/>
        <w:wordWrap/>
        <w:overflowPunct/>
        <w:topLinePunct w:val="0"/>
        <w:bidi w:val="0"/>
        <w:adjustRightInd w:val="0"/>
        <w:snapToGrid w:val="0"/>
        <w:spacing w:beforeLines="0" w:afterLines="0"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17.4本合同一式</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份，具有同等法律效力，甲方执二份，乙方执二份；代理公司执一份</w:t>
      </w:r>
      <w:r>
        <w:rPr>
          <w:rFonts w:hint="eastAsia" w:ascii="宋体" w:hAnsi="宋体" w:eastAsia="宋体" w:cs="宋体"/>
          <w:color w:val="000000"/>
          <w:sz w:val="24"/>
          <w:szCs w:val="24"/>
          <w:lang w:eastAsia="zh-CN"/>
        </w:rPr>
        <w:t>，备案一份</w:t>
      </w:r>
      <w:r>
        <w:rPr>
          <w:rFonts w:hint="eastAsia" w:ascii="宋体" w:hAnsi="宋体" w:eastAsia="宋体" w:cs="宋体"/>
          <w:color w:val="000000"/>
          <w:sz w:val="24"/>
          <w:szCs w:val="24"/>
        </w:rPr>
        <w:t>。</w:t>
      </w:r>
    </w:p>
    <w:p>
      <w:pPr>
        <w:pStyle w:val="35"/>
        <w:keepNext w:val="0"/>
        <w:keepLines w:val="0"/>
        <w:pageBreakBefore w:val="0"/>
        <w:kinsoku/>
        <w:wordWrap/>
        <w:overflowPunct/>
        <w:topLinePunct w:val="0"/>
        <w:bidi w:val="0"/>
        <w:adjustRightInd w:val="0"/>
        <w:snapToGrid w:val="0"/>
        <w:spacing w:beforeLines="0" w:afterLines="0" w:line="360" w:lineRule="auto"/>
        <w:ind w:left="479" w:leftChars="114" w:hanging="240" w:hangingChars="100"/>
        <w:outlineLvl w:val="9"/>
        <w:rPr>
          <w:rFonts w:hint="eastAsia" w:ascii="宋体" w:hAnsi="宋体" w:eastAsia="宋体" w:cs="宋体"/>
          <w:sz w:val="24"/>
          <w:szCs w:val="24"/>
        </w:rPr>
      </w:pPr>
    </w:p>
    <w:p>
      <w:pPr>
        <w:pStyle w:val="35"/>
        <w:keepNext w:val="0"/>
        <w:keepLines w:val="0"/>
        <w:pageBreakBefore w:val="0"/>
        <w:widowControl w:val="0"/>
        <w:kinsoku/>
        <w:wordWrap/>
        <w:overflowPunct/>
        <w:topLinePunct w:val="0"/>
        <w:autoSpaceDE/>
        <w:autoSpaceDN/>
        <w:bidi w:val="0"/>
        <w:adjustRightInd w:val="0"/>
        <w:snapToGrid w:val="0"/>
        <w:spacing w:beforeLines="0" w:afterLines="0" w:line="72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甲方：                                   乙方： </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72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地址： </w:t>
      </w:r>
    </w:p>
    <w:p>
      <w:pPr>
        <w:pStyle w:val="35"/>
        <w:keepNext w:val="0"/>
        <w:keepLines w:val="0"/>
        <w:pageBreakBefore w:val="0"/>
        <w:widowControl w:val="0"/>
        <w:kinsoku/>
        <w:wordWrap/>
        <w:overflowPunct/>
        <w:topLinePunct w:val="0"/>
        <w:autoSpaceDE/>
        <w:autoSpaceDN/>
        <w:bidi w:val="0"/>
        <w:adjustRightInd w:val="0"/>
        <w:snapToGrid w:val="0"/>
        <w:spacing w:beforeLines="0" w:afterLines="0" w:line="72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法定（授权）代表人：                     法定（授权）代表人：</w:t>
      </w:r>
    </w:p>
    <w:p>
      <w:pPr>
        <w:keepNext w:val="0"/>
        <w:keepLines w:val="0"/>
        <w:pageBreakBefore w:val="0"/>
        <w:widowControl w:val="0"/>
        <w:kinsoku/>
        <w:wordWrap/>
        <w:overflowPunct/>
        <w:topLinePunct w:val="0"/>
        <w:autoSpaceDE/>
        <w:autoSpaceDN/>
        <w:bidi w:val="0"/>
        <w:adjustRightInd w:val="0"/>
        <w:snapToGrid w:val="0"/>
        <w:spacing w:line="720" w:lineRule="auto"/>
        <w:textAlignment w:val="auto"/>
        <w:rPr>
          <w:rFonts w:eastAsia="方正大标宋简体"/>
          <w:b/>
          <w:sz w:val="44"/>
        </w:rPr>
      </w:pPr>
      <w:r>
        <w:rPr>
          <w:rFonts w:hint="eastAsia" w:ascii="宋体" w:hAnsi="宋体" w:eastAsia="宋体" w:cs="宋体"/>
          <w:color w:val="000000"/>
          <w:sz w:val="24"/>
          <w:szCs w:val="24"/>
        </w:rPr>
        <w:t xml:space="preserve">日期：      年  月  日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日期：      年  月  日</w:t>
      </w:r>
      <w:r>
        <w:rPr>
          <w:rFonts w:hint="eastAsia" w:eastAsia="方正大标宋简体"/>
          <w:b/>
          <w:sz w:val="44"/>
        </w:rPr>
        <w:br w:type="page"/>
      </w:r>
    </w:p>
    <w:p>
      <w:pPr>
        <w:pStyle w:val="35"/>
        <w:numPr>
          <w:ilvl w:val="0"/>
          <w:numId w:val="32"/>
        </w:numPr>
        <w:spacing w:before="120" w:after="120" w:line="360" w:lineRule="auto"/>
        <w:jc w:val="center"/>
        <w:outlineLvl w:val="0"/>
        <w:rPr>
          <w:rFonts w:asciiTheme="minorEastAsia" w:hAnsiTheme="minorEastAsia" w:eastAsiaTheme="minorEastAsia"/>
          <w:b/>
          <w:color w:val="000000"/>
          <w:sz w:val="36"/>
          <w:szCs w:val="36"/>
        </w:rPr>
      </w:pPr>
      <w:bookmarkStart w:id="58" w:name="_Toc31239"/>
      <w:r>
        <w:rPr>
          <w:rFonts w:hint="eastAsia" w:asciiTheme="minorEastAsia" w:hAnsiTheme="minorEastAsia" w:eastAsiaTheme="minorEastAsia"/>
          <w:b/>
          <w:color w:val="000000"/>
          <w:sz w:val="36"/>
          <w:szCs w:val="36"/>
        </w:rPr>
        <w:t xml:space="preserve"> 投标文件格式附件</w:t>
      </w:r>
      <w:bookmarkEnd w:id="58"/>
    </w:p>
    <w:p>
      <w:pPr>
        <w:snapToGrid w:val="0"/>
        <w:spacing w:line="360" w:lineRule="auto"/>
        <w:ind w:right="480"/>
        <w:jc w:val="left"/>
      </w:pPr>
      <w:r>
        <w:rPr>
          <w:rFonts w:hint="eastAsia" w:asciiTheme="minorEastAsia" w:hAnsiTheme="minorEastAsia" w:eastAsiaTheme="minorEastAsia"/>
          <w:sz w:val="30"/>
          <w:szCs w:val="30"/>
        </w:rPr>
        <w:t>附件1</w:t>
      </w:r>
      <w:r>
        <w:rPr>
          <w:rFonts w:hint="eastAsia" w:asciiTheme="minorEastAsia" w:hAnsiTheme="minorEastAsia" w:eastAsiaTheme="minorEastAsia"/>
          <w:b/>
          <w:sz w:val="30"/>
          <w:szCs w:val="30"/>
        </w:rPr>
        <w:t>：</w:t>
      </w:r>
    </w:p>
    <w:p>
      <w:pPr>
        <w:snapToGrid w:val="0"/>
        <w:spacing w:beforeLines="50" w:after="50"/>
        <w:jc w:val="right"/>
        <w:rPr>
          <w:rFonts w:asciiTheme="minorEastAsia" w:hAnsiTheme="minorEastAsia" w:eastAsiaTheme="minorEastAsia"/>
          <w:b/>
          <w:sz w:val="30"/>
          <w:szCs w:val="30"/>
        </w:rPr>
      </w:pPr>
      <w:r>
        <w:rPr>
          <w:rFonts w:hint="eastAsia" w:asciiTheme="minorEastAsia" w:hAnsiTheme="minorEastAsia" w:eastAsiaTheme="minorEastAsia"/>
          <w:bCs/>
          <w:sz w:val="30"/>
          <w:szCs w:val="30"/>
        </w:rPr>
        <w:t>正本或副本</w:t>
      </w:r>
    </w:p>
    <w:p>
      <w:pPr>
        <w:snapToGrid w:val="0"/>
        <w:spacing w:beforeLines="50" w:after="50"/>
        <w:jc w:val="right"/>
        <w:rPr>
          <w:rFonts w:asciiTheme="minorEastAsia" w:hAnsiTheme="minorEastAsia" w:eastAsiaTheme="minorEastAsia"/>
          <w:bCs/>
          <w:sz w:val="30"/>
          <w:szCs w:val="30"/>
        </w:rPr>
      </w:pPr>
    </w:p>
    <w:p>
      <w:pPr>
        <w:snapToGrid w:val="0"/>
        <w:spacing w:line="360" w:lineRule="auto"/>
        <w:ind w:right="-110"/>
        <w:jc w:val="center"/>
        <w:rPr>
          <w:rFonts w:asciiTheme="minorEastAsia" w:hAnsiTheme="minorEastAsia" w:eastAsiaTheme="minorEastAsia"/>
          <w:sz w:val="36"/>
          <w:szCs w:val="36"/>
        </w:rPr>
      </w:pPr>
      <w:r>
        <w:rPr>
          <w:rFonts w:hint="eastAsia" w:asciiTheme="minorEastAsia" w:hAnsiTheme="minorEastAsia" w:eastAsiaTheme="minorEastAsia"/>
          <w:spacing w:val="40"/>
          <w:sz w:val="52"/>
          <w:szCs w:val="52"/>
        </w:rPr>
        <w:t>项目名称</w:t>
      </w:r>
    </w:p>
    <w:p>
      <w:pPr>
        <w:snapToGrid w:val="0"/>
        <w:spacing w:beforeLines="100" w:line="360" w:lineRule="auto"/>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 xml:space="preserve">项目编号： </w:t>
      </w:r>
    </w:p>
    <w:p>
      <w:pPr>
        <w:spacing w:after="100" w:afterAutospacing="1" w:line="800" w:lineRule="exact"/>
        <w:ind w:right="-108"/>
        <w:jc w:val="center"/>
        <w:rPr>
          <w:rFonts w:asciiTheme="minorEastAsia" w:hAnsiTheme="minorEastAsia" w:eastAsiaTheme="minorEastAsia"/>
          <w:b/>
          <w:spacing w:val="40"/>
          <w:sz w:val="84"/>
          <w:szCs w:val="84"/>
        </w:rPr>
      </w:pPr>
    </w:p>
    <w:p>
      <w:pPr>
        <w:snapToGrid w:val="0"/>
        <w:ind w:right="-108"/>
        <w:jc w:val="center"/>
        <w:rPr>
          <w:rFonts w:asciiTheme="minorEastAsia" w:hAnsiTheme="minorEastAsia" w:eastAsiaTheme="minorEastAsia"/>
          <w:b/>
          <w:spacing w:val="40"/>
          <w:sz w:val="72"/>
          <w:szCs w:val="72"/>
        </w:rPr>
      </w:pPr>
      <w:r>
        <w:rPr>
          <w:rFonts w:hint="eastAsia" w:asciiTheme="minorEastAsia" w:hAnsiTheme="minorEastAsia" w:eastAsiaTheme="minorEastAsia"/>
          <w:b/>
          <w:spacing w:val="40"/>
          <w:sz w:val="72"/>
          <w:szCs w:val="72"/>
        </w:rPr>
        <w:t>资</w:t>
      </w:r>
    </w:p>
    <w:p>
      <w:pPr>
        <w:snapToGrid w:val="0"/>
        <w:ind w:right="-108"/>
        <w:jc w:val="center"/>
        <w:rPr>
          <w:rFonts w:asciiTheme="minorEastAsia" w:hAnsiTheme="minorEastAsia" w:eastAsiaTheme="minorEastAsia"/>
          <w:b/>
          <w:spacing w:val="40"/>
          <w:sz w:val="52"/>
          <w:szCs w:val="52"/>
        </w:rPr>
      </w:pPr>
    </w:p>
    <w:p>
      <w:pPr>
        <w:snapToGrid w:val="0"/>
        <w:ind w:right="-108"/>
        <w:jc w:val="center"/>
        <w:rPr>
          <w:rFonts w:asciiTheme="minorEastAsia" w:hAnsiTheme="minorEastAsia" w:eastAsiaTheme="minorEastAsia"/>
          <w:b/>
          <w:spacing w:val="40"/>
          <w:sz w:val="72"/>
          <w:szCs w:val="72"/>
        </w:rPr>
      </w:pPr>
      <w:r>
        <w:rPr>
          <w:rFonts w:hint="eastAsia" w:asciiTheme="minorEastAsia" w:hAnsiTheme="minorEastAsia" w:eastAsiaTheme="minorEastAsia"/>
          <w:b/>
          <w:spacing w:val="40"/>
          <w:sz w:val="72"/>
          <w:szCs w:val="72"/>
        </w:rPr>
        <w:t>质</w:t>
      </w:r>
    </w:p>
    <w:p>
      <w:pPr>
        <w:tabs>
          <w:tab w:val="left" w:pos="2535"/>
        </w:tabs>
        <w:snapToGrid w:val="0"/>
        <w:ind w:right="-108"/>
        <w:rPr>
          <w:rFonts w:asciiTheme="minorEastAsia" w:hAnsiTheme="minorEastAsia" w:eastAsiaTheme="minorEastAsia"/>
          <w:b/>
          <w:spacing w:val="40"/>
          <w:sz w:val="52"/>
          <w:szCs w:val="52"/>
        </w:rPr>
      </w:pPr>
      <w:r>
        <w:rPr>
          <w:rFonts w:asciiTheme="minorEastAsia" w:hAnsiTheme="minorEastAsia" w:eastAsiaTheme="minorEastAsia"/>
          <w:b/>
          <w:spacing w:val="40"/>
          <w:sz w:val="72"/>
          <w:szCs w:val="72"/>
        </w:rPr>
        <w:tab/>
      </w:r>
    </w:p>
    <w:p>
      <w:pPr>
        <w:snapToGrid w:val="0"/>
        <w:ind w:right="-108"/>
        <w:jc w:val="center"/>
        <w:rPr>
          <w:rFonts w:asciiTheme="minorEastAsia" w:hAnsiTheme="minorEastAsia" w:eastAsiaTheme="minorEastAsia"/>
          <w:b/>
          <w:spacing w:val="40"/>
          <w:sz w:val="72"/>
          <w:szCs w:val="72"/>
        </w:rPr>
      </w:pPr>
      <w:r>
        <w:rPr>
          <w:rFonts w:hint="eastAsia" w:asciiTheme="minorEastAsia" w:hAnsiTheme="minorEastAsia" w:eastAsiaTheme="minorEastAsia"/>
          <w:b/>
          <w:spacing w:val="40"/>
          <w:sz w:val="72"/>
          <w:szCs w:val="72"/>
        </w:rPr>
        <w:t>文</w:t>
      </w:r>
    </w:p>
    <w:p>
      <w:pPr>
        <w:snapToGrid w:val="0"/>
        <w:ind w:right="-108"/>
        <w:jc w:val="center"/>
        <w:rPr>
          <w:rFonts w:asciiTheme="minorEastAsia" w:hAnsiTheme="minorEastAsia" w:eastAsiaTheme="minorEastAsia"/>
          <w:b/>
          <w:spacing w:val="40"/>
          <w:sz w:val="52"/>
          <w:szCs w:val="52"/>
        </w:rPr>
      </w:pPr>
    </w:p>
    <w:p>
      <w:pPr>
        <w:snapToGrid w:val="0"/>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72"/>
          <w:szCs w:val="72"/>
        </w:rPr>
        <w:t>件</w:t>
      </w:r>
    </w:p>
    <w:p>
      <w:pPr>
        <w:spacing w:line="600" w:lineRule="exact"/>
        <w:ind w:right="532"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投标人名称：</w:t>
      </w:r>
    </w:p>
    <w:p>
      <w:pPr>
        <w:spacing w:line="600" w:lineRule="exact"/>
        <w:ind w:right="532"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地    址：</w:t>
      </w:r>
    </w:p>
    <w:p>
      <w:pPr>
        <w:spacing w:line="600" w:lineRule="exact"/>
        <w:ind w:right="532"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时    间：</w:t>
      </w:r>
    </w:p>
    <w:p>
      <w:pPr>
        <w:rPr>
          <w:rFonts w:asciiTheme="minorEastAsia" w:hAnsiTheme="minorEastAsia" w:eastAsiaTheme="minorEastAsia"/>
          <w:sz w:val="30"/>
          <w:szCs w:val="30"/>
        </w:rPr>
      </w:pPr>
      <w:r>
        <w:rPr>
          <w:rFonts w:hint="eastAsia" w:asciiTheme="minorEastAsia" w:hAnsiTheme="minorEastAsia" w:eastAsiaTheme="minorEastAsia"/>
          <w:sz w:val="30"/>
          <w:szCs w:val="30"/>
        </w:rPr>
        <w:br w:type="page"/>
      </w:r>
    </w:p>
    <w:p>
      <w:pPr>
        <w:snapToGrid w:val="0"/>
        <w:spacing w:line="360" w:lineRule="auto"/>
        <w:ind w:right="480"/>
        <w:jc w:val="left"/>
        <w:rPr>
          <w:rFonts w:asciiTheme="minorEastAsia" w:hAnsiTheme="minorEastAsia" w:eastAsiaTheme="minorEastAsia"/>
          <w:b/>
          <w:sz w:val="30"/>
          <w:szCs w:val="30"/>
        </w:rPr>
      </w:pPr>
      <w:r>
        <w:rPr>
          <w:rFonts w:hint="eastAsia" w:asciiTheme="minorEastAsia" w:hAnsiTheme="minorEastAsia" w:eastAsiaTheme="minorEastAsia"/>
          <w:sz w:val="30"/>
          <w:szCs w:val="30"/>
        </w:rPr>
        <w:t>附件2</w:t>
      </w:r>
      <w:r>
        <w:rPr>
          <w:rFonts w:hint="eastAsia" w:asciiTheme="minorEastAsia" w:hAnsiTheme="minorEastAsia" w:eastAsiaTheme="minorEastAsia"/>
          <w:b/>
          <w:sz w:val="30"/>
          <w:szCs w:val="30"/>
        </w:rPr>
        <w:t>：</w:t>
      </w: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hint="eastAsia" w:ascii="宋体" w:hAnsi="宋体" w:cs="宋体"/>
          <w:sz w:val="24"/>
        </w:rPr>
      </w:pPr>
      <w:r>
        <w:rPr>
          <w:rFonts w:hint="eastAsia" w:ascii="宋体" w:hAnsi="宋体" w:cs="宋体"/>
          <w:sz w:val="24"/>
        </w:rPr>
        <w:t>我方参与（项目名称）【招标编号：（）】政府采购活动，郑重承诺：</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（一）具备桐国资办发[2023]1号文件规定的供应商应具备的条件：</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 xml:space="preserve">1、具有独立承担民事责任的能力；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2、</w:t>
      </w:r>
      <w:r>
        <w:rPr>
          <w:rFonts w:hint="default" w:cs="仿宋" w:asciiTheme="minorEastAsia" w:hAnsiTheme="minorEastAsia" w:eastAsiaTheme="minorEastAsia"/>
          <w:sz w:val="24"/>
          <w:lang w:val="en-US" w:eastAsia="zh-CN"/>
        </w:rPr>
        <w:t xml:space="preserve">具有良好的商业信誉和健全的财务会计制度；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3、</w:t>
      </w:r>
      <w:r>
        <w:rPr>
          <w:rFonts w:hint="default" w:cs="仿宋" w:asciiTheme="minorEastAsia" w:hAnsiTheme="minorEastAsia" w:eastAsiaTheme="minorEastAsia"/>
          <w:sz w:val="24"/>
          <w:lang w:val="en-US" w:eastAsia="zh-CN"/>
        </w:rPr>
        <w:t xml:space="preserve">具有履行合同所必需的设备和专业技术、售后保障等能力；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4、</w:t>
      </w:r>
      <w:r>
        <w:rPr>
          <w:rFonts w:hint="default" w:cs="仿宋" w:asciiTheme="minorEastAsia" w:hAnsiTheme="minorEastAsia" w:eastAsiaTheme="minorEastAsia"/>
          <w:sz w:val="24"/>
          <w:lang w:val="en-US" w:eastAsia="zh-CN"/>
        </w:rPr>
        <w:t xml:space="preserve">有依法缴纳税收和社会保障资金的良好记录；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5、</w:t>
      </w:r>
      <w:r>
        <w:rPr>
          <w:rFonts w:hint="default" w:cs="仿宋" w:asciiTheme="minorEastAsia" w:hAnsiTheme="minorEastAsia" w:eastAsiaTheme="minorEastAsia"/>
          <w:sz w:val="24"/>
          <w:lang w:val="en-US" w:eastAsia="zh-CN"/>
        </w:rPr>
        <w:t xml:space="preserve">参加采购、招投标等活动前三年内，在经营活动中没有重大违法记录、严重失信行为和行贿记录； </w:t>
      </w:r>
    </w:p>
    <w:p>
      <w:pPr>
        <w:spacing w:line="360" w:lineRule="auto"/>
        <w:ind w:firstLine="480" w:firstLineChars="200"/>
        <w:rPr>
          <w:rFonts w:hint="default"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6、</w:t>
      </w:r>
      <w:r>
        <w:rPr>
          <w:rFonts w:hint="default" w:cs="仿宋" w:asciiTheme="minorEastAsia" w:hAnsiTheme="minorEastAsia" w:eastAsiaTheme="minorEastAsia"/>
          <w:sz w:val="24"/>
          <w:lang w:val="en-US" w:eastAsia="zh-CN"/>
        </w:rPr>
        <w:t xml:space="preserve">法律、行政法规规定的其他条件。 </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（二）未被“信用中国”（www.creditchina.gov.cn)、中国政府采购网（www.ccgp.gov.cn）列入失信被执行人、重大税收违法案件当事人名单、政府采购严重违法失信行为记录名单；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（三）不得存在以下情况：</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1、单位负责人为同一人或者存在直接控股、管理关系的不同供应商，不得参加同一合同项下的采购活动；</w:t>
      </w:r>
    </w:p>
    <w:p>
      <w:pPr>
        <w:spacing w:line="360" w:lineRule="auto"/>
        <w:ind w:firstLine="480" w:firstLineChars="200"/>
        <w:rPr>
          <w:rFonts w:hint="eastAsia"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2、为采购项目提供整体设计、规范编制或者项目管理、监理、检测等服务后不得再参加该采购项目的其他采购活动。</w:t>
      </w:r>
    </w:p>
    <w:p>
      <w:pPr>
        <w:pStyle w:val="28"/>
      </w:pPr>
    </w:p>
    <w:p/>
    <w:p>
      <w:pPr>
        <w:snapToGrid w:val="0"/>
        <w:spacing w:line="360" w:lineRule="auto"/>
        <w:rPr>
          <w:rFonts w:ascii="宋体" w:hAnsi="宋体" w:cs="宋体"/>
          <w:kern w:val="0"/>
          <w:sz w:val="24"/>
        </w:rPr>
      </w:pPr>
      <w:r>
        <w:rPr>
          <w:rFonts w:hint="eastAsia" w:ascii="宋体" w:hAnsi="宋体" w:cs="宋体"/>
          <w:kern w:val="0"/>
          <w:sz w:val="24"/>
          <w:lang w:val="zh-CN"/>
        </w:rPr>
        <w:t>投标人名称（电子签章）：</w:t>
      </w:r>
    </w:p>
    <w:p>
      <w:pPr>
        <w:pStyle w:val="20"/>
        <w:pageBreakBefore w:val="0"/>
        <w:kinsoku/>
        <w:wordWrap/>
        <w:overflowPunct/>
        <w:topLinePunct w:val="0"/>
        <w:bidi w:val="0"/>
        <w:spacing w:line="560" w:lineRule="exact"/>
        <w:ind w:left="0" w:leftChars="0" w:firstLine="0" w:firstLineChars="0"/>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snapToGrid w:val="0"/>
        <w:spacing w:before="50" w:afterLines="50"/>
        <w:jc w:val="left"/>
        <w:rPr>
          <w:rFonts w:asciiTheme="minorEastAsia" w:hAnsiTheme="minorEastAsia" w:eastAsiaTheme="minorEastAsia"/>
          <w:b/>
          <w:sz w:val="30"/>
          <w:szCs w:val="30"/>
        </w:rPr>
      </w:pPr>
    </w:p>
    <w:p>
      <w:pPr>
        <w:snapToGrid w:val="0"/>
        <w:spacing w:before="50" w:afterLines="50"/>
        <w:jc w:val="left"/>
        <w:rPr>
          <w:rFonts w:asciiTheme="minorEastAsia" w:hAnsiTheme="minorEastAsia" w:eastAsiaTheme="minorEastAsia"/>
          <w:b/>
          <w:sz w:val="30"/>
          <w:szCs w:val="30"/>
        </w:rPr>
      </w:pPr>
    </w:p>
    <w:p>
      <w:pPr>
        <w:rPr>
          <w:rFonts w:asciiTheme="minorEastAsia" w:hAnsiTheme="minorEastAsia" w:eastAsiaTheme="minorEastAsia"/>
          <w:sz w:val="30"/>
          <w:szCs w:val="30"/>
        </w:rPr>
      </w:pPr>
      <w:r>
        <w:rPr>
          <w:rFonts w:hint="eastAsia" w:asciiTheme="minorEastAsia" w:hAnsiTheme="minorEastAsia" w:eastAsiaTheme="minorEastAsia"/>
          <w:sz w:val="30"/>
          <w:szCs w:val="30"/>
        </w:rPr>
        <w:br w:type="page"/>
      </w:r>
    </w:p>
    <w:p>
      <w:pPr>
        <w:snapToGrid w:val="0"/>
        <w:spacing w:before="50" w:afterLines="50"/>
        <w:jc w:val="left"/>
        <w:rPr>
          <w:rFonts w:asciiTheme="minorEastAsia" w:hAnsiTheme="minorEastAsia" w:eastAsiaTheme="minorEastAsia"/>
          <w:sz w:val="30"/>
          <w:szCs w:val="30"/>
        </w:rPr>
      </w:pPr>
      <w:r>
        <w:rPr>
          <w:rFonts w:hint="eastAsia" w:asciiTheme="minorEastAsia" w:hAnsiTheme="minorEastAsia" w:eastAsiaTheme="minorEastAsia"/>
          <w:sz w:val="30"/>
          <w:szCs w:val="30"/>
        </w:rPr>
        <w:t>附件3：</w:t>
      </w:r>
    </w:p>
    <w:p>
      <w:pPr>
        <w:pStyle w:val="20"/>
        <w:pageBreakBefore w:val="0"/>
        <w:kinsoku/>
        <w:wordWrap/>
        <w:overflowPunct/>
        <w:topLinePunct w:val="0"/>
        <w:bidi w:val="0"/>
        <w:spacing w:line="560" w:lineRule="exact"/>
        <w:jc w:val="center"/>
        <w:rPr>
          <w:rFonts w:hint="eastAsia" w:ascii="宋体" w:hAnsi="宋体" w:eastAsia="宋体" w:cs="宋体"/>
          <w:b/>
          <w:bCs/>
          <w:snapToGrid w:val="0"/>
          <w:sz w:val="24"/>
          <w:szCs w:val="24"/>
          <w:highlight w:val="none"/>
          <w:lang w:val="en-US" w:eastAsia="zh-CN"/>
        </w:rPr>
      </w:pPr>
      <w:r>
        <w:rPr>
          <w:rFonts w:hint="eastAsia" w:ascii="宋体" w:hAnsi="宋体" w:eastAsia="宋体" w:cs="宋体"/>
          <w:b/>
          <w:bCs/>
          <w:snapToGrid w:val="0"/>
          <w:sz w:val="24"/>
          <w:szCs w:val="24"/>
          <w:highlight w:val="none"/>
        </w:rPr>
        <w:t>法定代表人资格证明书</w:t>
      </w:r>
      <w:r>
        <w:rPr>
          <w:rFonts w:hint="eastAsia" w:ascii="宋体" w:hAnsi="宋体" w:eastAsia="宋体" w:cs="宋体"/>
          <w:b/>
          <w:bCs/>
          <w:snapToGrid w:val="0"/>
          <w:sz w:val="24"/>
          <w:szCs w:val="24"/>
          <w:highlight w:val="none"/>
          <w:lang w:eastAsia="zh-CN"/>
        </w:rPr>
        <w:t>（</w:t>
      </w:r>
      <w:r>
        <w:rPr>
          <w:rFonts w:hint="eastAsia" w:ascii="宋体" w:hAnsi="宋体" w:eastAsia="宋体" w:cs="宋体"/>
          <w:b/>
          <w:bCs/>
          <w:snapToGrid w:val="0"/>
          <w:sz w:val="24"/>
          <w:szCs w:val="24"/>
          <w:highlight w:val="none"/>
          <w:lang w:val="en-US" w:eastAsia="zh-CN"/>
        </w:rPr>
        <w:t>如</w:t>
      </w:r>
      <w:r>
        <w:rPr>
          <w:rFonts w:hint="eastAsia" w:ascii="宋体" w:hAnsi="宋体" w:eastAsia="宋体" w:cs="宋体"/>
          <w:b/>
          <w:bCs/>
          <w:snapToGrid w:val="0"/>
          <w:sz w:val="24"/>
          <w:szCs w:val="24"/>
          <w:highlight w:val="none"/>
        </w:rPr>
        <w:t>法定代表人</w:t>
      </w:r>
      <w:r>
        <w:rPr>
          <w:rFonts w:hint="eastAsia" w:ascii="宋体" w:hAnsi="宋体" w:eastAsia="宋体" w:cs="宋体"/>
          <w:b/>
          <w:bCs/>
          <w:snapToGrid w:val="0"/>
          <w:sz w:val="24"/>
          <w:szCs w:val="24"/>
          <w:highlight w:val="none"/>
          <w:lang w:val="en-US" w:eastAsia="zh-CN"/>
        </w:rPr>
        <w:t>投标时提供）</w:t>
      </w:r>
    </w:p>
    <w:p>
      <w:pPr>
        <w:pStyle w:val="20"/>
        <w:pageBreakBefore w:val="0"/>
        <w:kinsoku/>
        <w:wordWrap/>
        <w:overflowPunct/>
        <w:topLinePunct w:val="0"/>
        <w:bidi w:val="0"/>
        <w:spacing w:line="560" w:lineRule="exact"/>
        <w:rPr>
          <w:rFonts w:hint="eastAsia" w:ascii="宋体" w:hAnsi="宋体" w:eastAsia="宋体" w:cs="宋体"/>
          <w:b/>
          <w:bCs/>
          <w:snapToGrid w:val="0"/>
          <w:sz w:val="24"/>
          <w:szCs w:val="24"/>
          <w:highlight w:val="none"/>
        </w:rPr>
      </w:pPr>
    </w:p>
    <w:p>
      <w:pPr>
        <w:pStyle w:val="20"/>
        <w:pageBreakBefore w:val="0"/>
        <w:kinsoku/>
        <w:wordWrap/>
        <w:overflowPunct/>
        <w:topLinePunct w:val="0"/>
        <w:bidi w:val="0"/>
        <w:spacing w:line="560" w:lineRule="exact"/>
        <w:ind w:firstLine="464" w:firstLineChars="200"/>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系</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的法定代表人。身份证号：</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w:t>
      </w:r>
    </w:p>
    <w:p>
      <w:pPr>
        <w:pStyle w:val="20"/>
        <w:pageBreakBefore w:val="0"/>
        <w:kinsoku/>
        <w:wordWrap/>
        <w:overflowPunct/>
        <w:topLinePunct w:val="0"/>
        <w:bidi w:val="0"/>
        <w:spacing w:line="560" w:lineRule="exact"/>
        <w:rPr>
          <w:rStyle w:val="866"/>
          <w:rFonts w:hint="eastAsia" w:ascii="宋体" w:hAnsi="宋体" w:eastAsia="宋体" w:cs="宋体"/>
          <w:spacing w:val="0"/>
          <w:sz w:val="24"/>
          <w:szCs w:val="24"/>
          <w:highlight w:val="none"/>
        </w:rPr>
      </w:pPr>
      <w:r>
        <w:rPr>
          <w:rStyle w:val="866"/>
          <w:rFonts w:hint="eastAsia" w:ascii="宋体" w:hAnsi="宋体" w:eastAsia="宋体" w:cs="宋体"/>
          <w:spacing w:val="0"/>
          <w:sz w:val="24"/>
          <w:szCs w:val="24"/>
          <w:highlight w:val="none"/>
        </w:rPr>
        <w:t>特此证明</w:t>
      </w:r>
    </w:p>
    <w:p>
      <w:pPr>
        <w:pStyle w:val="20"/>
        <w:pageBreakBefore w:val="0"/>
        <w:kinsoku/>
        <w:wordWrap/>
        <w:overflowPunct/>
        <w:topLinePunct w:val="0"/>
        <w:bidi w:val="0"/>
        <w:spacing w:line="560" w:lineRule="exact"/>
        <w:rPr>
          <w:rStyle w:val="866"/>
          <w:rFonts w:hint="eastAsia" w:ascii="宋体" w:hAnsi="宋体" w:eastAsia="宋体" w:cs="宋体"/>
          <w:spacing w:val="0"/>
          <w:sz w:val="24"/>
          <w:szCs w:val="24"/>
          <w:highlight w:val="none"/>
        </w:rPr>
      </w:pPr>
      <w:r>
        <w:rPr>
          <w:rStyle w:val="866"/>
          <w:rFonts w:hint="eastAsia" w:ascii="宋体" w:hAnsi="宋体" w:eastAsia="宋体" w:cs="宋体"/>
          <w:spacing w:val="0"/>
          <w:sz w:val="24"/>
          <w:szCs w:val="24"/>
          <w:highlight w:val="none"/>
        </w:rPr>
        <w:t>投标人</w:t>
      </w:r>
      <w:r>
        <w:rPr>
          <w:rStyle w:val="866"/>
          <w:rFonts w:hint="eastAsia" w:ascii="宋体" w:hAnsi="宋体" w:eastAsia="宋体" w:cs="宋体"/>
          <w:spacing w:val="0"/>
          <w:sz w:val="24"/>
          <w:szCs w:val="24"/>
          <w:highlight w:val="none"/>
          <w:lang w:val="en-US" w:eastAsia="zh-CN"/>
        </w:rPr>
        <w:t>名称</w:t>
      </w:r>
      <w:r>
        <w:rPr>
          <w:rStyle w:val="866"/>
          <w:rFonts w:hint="eastAsia" w:ascii="宋体" w:hAnsi="宋体" w:eastAsia="宋体" w:cs="宋体"/>
          <w:spacing w:val="0"/>
          <w:sz w:val="24"/>
          <w:szCs w:val="24"/>
          <w:highlight w:val="none"/>
        </w:rPr>
        <w:t>：(</w:t>
      </w:r>
      <w:r>
        <w:rPr>
          <w:rFonts w:hint="eastAsia" w:ascii="宋体" w:hAnsi="宋体" w:cs="宋体"/>
          <w:kern w:val="0"/>
          <w:sz w:val="24"/>
          <w:lang w:val="zh-CN"/>
        </w:rPr>
        <w:t>电子签章</w:t>
      </w:r>
      <w:r>
        <w:rPr>
          <w:rStyle w:val="866"/>
          <w:rFonts w:hint="eastAsia" w:ascii="宋体" w:hAnsi="宋体" w:eastAsia="宋体" w:cs="宋体"/>
          <w:spacing w:val="0"/>
          <w:sz w:val="24"/>
          <w:szCs w:val="24"/>
          <w:highlight w:val="none"/>
        </w:rPr>
        <w:t>)</w:t>
      </w:r>
    </w:p>
    <w:p>
      <w:pPr>
        <w:pStyle w:val="20"/>
        <w:pageBreakBefore w:val="0"/>
        <w:kinsoku/>
        <w:wordWrap/>
        <w:overflowPunct/>
        <w:topLinePunct w:val="0"/>
        <w:bidi w:val="0"/>
        <w:spacing w:line="560" w:lineRule="exact"/>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pageBreakBefore w:val="0"/>
        <w:kinsoku/>
        <w:wordWrap/>
        <w:overflowPunct/>
        <w:topLinePunct w:val="0"/>
        <w:bidi w:val="0"/>
        <w:adjustRightInd w:val="0"/>
        <w:spacing w:line="560" w:lineRule="exact"/>
        <w:rPr>
          <w:rFonts w:hint="eastAsia" w:ascii="宋体" w:hAnsi="宋体" w:eastAsia="宋体" w:cs="宋体"/>
          <w:snapToGrid w:val="0"/>
          <w:sz w:val="24"/>
          <w:szCs w:val="24"/>
          <w:highlight w:val="none"/>
        </w:rPr>
      </w:pPr>
    </w:p>
    <w:p>
      <w:pPr>
        <w:pageBreakBefore w:val="0"/>
        <w:kinsoku/>
        <w:wordWrap/>
        <w:overflowPunct/>
        <w:topLinePunct w:val="0"/>
        <w:bidi w:val="0"/>
        <w:adjustRightInd w:val="0"/>
        <w:spacing w:line="560" w:lineRule="exact"/>
        <w:ind w:firstLine="482" w:firstLineChars="200"/>
        <w:rPr>
          <w:rStyle w:val="866"/>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附：法定代表人身份证复印件（正反面）</w:t>
      </w: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p>
    <w:p>
      <w:pPr>
        <w:pageBreakBefore w:val="0"/>
        <w:kinsoku/>
        <w:wordWrap/>
        <w:overflowPunct/>
        <w:topLinePunct w:val="0"/>
        <w:bidi w:val="0"/>
        <w:spacing w:line="560" w:lineRule="exact"/>
        <w:jc w:val="center"/>
        <w:rPr>
          <w:rStyle w:val="866"/>
          <w:rFonts w:hint="eastAsia" w:ascii="宋体" w:hAnsi="宋体" w:eastAsia="宋体" w:cs="宋体"/>
          <w:b/>
          <w:sz w:val="24"/>
          <w:szCs w:val="24"/>
          <w:highlight w:val="none"/>
        </w:rPr>
      </w:pPr>
      <w:r>
        <w:rPr>
          <w:rStyle w:val="866"/>
          <w:rFonts w:hint="eastAsia" w:ascii="宋体" w:hAnsi="宋体" w:eastAsia="宋体" w:cs="宋体"/>
          <w:b/>
          <w:sz w:val="24"/>
          <w:szCs w:val="24"/>
          <w:highlight w:val="none"/>
          <w:lang w:val="en-US" w:eastAsia="zh-CN"/>
        </w:rPr>
        <w:br w:type="page"/>
      </w:r>
      <w:r>
        <w:rPr>
          <w:rStyle w:val="866"/>
          <w:rFonts w:hint="eastAsia" w:ascii="宋体" w:hAnsi="宋体" w:eastAsia="宋体" w:cs="宋体"/>
          <w:b/>
          <w:sz w:val="24"/>
          <w:szCs w:val="24"/>
          <w:highlight w:val="none"/>
        </w:rPr>
        <w:t>法定代表人授权书</w:t>
      </w:r>
      <w:r>
        <w:rPr>
          <w:rFonts w:hint="eastAsia" w:ascii="宋体" w:hAnsi="宋体" w:eastAsia="宋体" w:cs="宋体"/>
          <w:b/>
          <w:bCs/>
          <w:snapToGrid w:val="0"/>
          <w:sz w:val="24"/>
          <w:szCs w:val="24"/>
          <w:highlight w:val="none"/>
          <w:lang w:eastAsia="zh-CN"/>
        </w:rPr>
        <w:t>（</w:t>
      </w:r>
      <w:r>
        <w:rPr>
          <w:rFonts w:hint="eastAsia" w:ascii="宋体" w:hAnsi="宋体" w:eastAsia="宋体" w:cs="宋体"/>
          <w:b/>
          <w:bCs/>
          <w:snapToGrid w:val="0"/>
          <w:sz w:val="24"/>
          <w:szCs w:val="24"/>
          <w:highlight w:val="none"/>
          <w:lang w:val="en-US" w:eastAsia="zh-CN"/>
        </w:rPr>
        <w:t>如授权委托</w:t>
      </w:r>
      <w:r>
        <w:rPr>
          <w:rFonts w:hint="eastAsia" w:ascii="宋体" w:hAnsi="宋体" w:eastAsia="宋体" w:cs="宋体"/>
          <w:b/>
          <w:bCs/>
          <w:snapToGrid w:val="0"/>
          <w:sz w:val="24"/>
          <w:szCs w:val="24"/>
          <w:highlight w:val="none"/>
        </w:rPr>
        <w:t>人</w:t>
      </w:r>
      <w:r>
        <w:rPr>
          <w:rFonts w:hint="eastAsia" w:ascii="宋体" w:hAnsi="宋体" w:eastAsia="宋体" w:cs="宋体"/>
          <w:b/>
          <w:bCs/>
          <w:snapToGrid w:val="0"/>
          <w:sz w:val="24"/>
          <w:szCs w:val="24"/>
          <w:highlight w:val="none"/>
          <w:lang w:val="en-US" w:eastAsia="zh-CN"/>
        </w:rPr>
        <w:t>投标时提供）</w:t>
      </w:r>
    </w:p>
    <w:p>
      <w:pPr>
        <w:pageBreakBefore w:val="0"/>
        <w:kinsoku/>
        <w:wordWrap/>
        <w:overflowPunct/>
        <w:topLinePunct w:val="0"/>
        <w:bidi w:val="0"/>
        <w:snapToGrid w:val="0"/>
        <w:spacing w:before="120" w:after="50" w:line="560" w:lineRule="exact"/>
        <w:rPr>
          <w:rStyle w:val="866"/>
          <w:rFonts w:hint="eastAsia" w:ascii="宋体" w:hAnsi="宋体" w:eastAsia="宋体" w:cs="宋体"/>
          <w:b/>
          <w:bCs/>
          <w:sz w:val="24"/>
          <w:szCs w:val="24"/>
          <w:highlight w:val="none"/>
        </w:rPr>
      </w:pPr>
      <w:r>
        <w:rPr>
          <w:rStyle w:val="866"/>
          <w:rFonts w:hint="eastAsia" w:ascii="宋体" w:hAnsi="宋体" w:eastAsia="宋体" w:cs="宋体"/>
          <w:bCs/>
          <w:sz w:val="24"/>
          <w:szCs w:val="24"/>
          <w:highlight w:val="none"/>
        </w:rPr>
        <w:t>致：</w:t>
      </w:r>
      <w:r>
        <w:rPr>
          <w:rStyle w:val="866"/>
          <w:rFonts w:hint="eastAsia" w:ascii="宋体" w:hAnsi="宋体" w:eastAsia="宋体" w:cs="宋体"/>
          <w:bCs/>
          <w:sz w:val="24"/>
          <w:szCs w:val="24"/>
          <w:highlight w:val="none"/>
          <w:u w:val="single"/>
          <w:lang w:val="en-US" w:eastAsia="zh-CN"/>
        </w:rPr>
        <w:t xml:space="preserve">            </w:t>
      </w:r>
      <w:r>
        <w:rPr>
          <w:rStyle w:val="866"/>
          <w:rFonts w:hint="eastAsia" w:ascii="宋体" w:hAnsi="宋体" w:eastAsia="宋体" w:cs="宋体"/>
          <w:sz w:val="24"/>
          <w:szCs w:val="24"/>
          <w:highlight w:val="none"/>
        </w:rPr>
        <w:t>（</w:t>
      </w:r>
      <w:r>
        <w:rPr>
          <w:rFonts w:hint="eastAsia" w:ascii="宋体" w:hAnsi="宋体" w:eastAsia="宋体" w:cs="宋体"/>
          <w:bCs/>
          <w:sz w:val="24"/>
          <w:szCs w:val="24"/>
          <w:highlight w:val="none"/>
          <w:lang w:val="en-US" w:eastAsia="zh-CN"/>
        </w:rPr>
        <w:t>采购人、</w:t>
      </w:r>
      <w:r>
        <w:rPr>
          <w:rStyle w:val="866"/>
          <w:rFonts w:hint="eastAsia" w:ascii="宋体" w:hAnsi="宋体" w:eastAsia="宋体" w:cs="宋体"/>
          <w:sz w:val="24"/>
          <w:szCs w:val="24"/>
          <w:highlight w:val="none"/>
        </w:rPr>
        <w:t>采购机构名称）</w:t>
      </w:r>
      <w:r>
        <w:rPr>
          <w:rStyle w:val="866"/>
          <w:rFonts w:hint="eastAsia" w:ascii="宋体" w:hAnsi="宋体" w:eastAsia="宋体" w:cs="宋体"/>
          <w:b/>
          <w:bCs/>
          <w:sz w:val="24"/>
          <w:szCs w:val="24"/>
          <w:highlight w:val="none"/>
        </w:rPr>
        <w:t xml:space="preserve"> </w:t>
      </w:r>
      <w:r>
        <w:rPr>
          <w:rStyle w:val="866"/>
          <w:rFonts w:hint="eastAsia" w:ascii="宋体" w:hAnsi="宋体" w:eastAsia="宋体" w:cs="宋体"/>
          <w:sz w:val="24"/>
          <w:szCs w:val="24"/>
          <w:highlight w:val="none"/>
        </w:rPr>
        <w:t>：</w:t>
      </w:r>
    </w:p>
    <w:p>
      <w:pPr>
        <w:pageBreakBefore w:val="0"/>
        <w:kinsoku/>
        <w:wordWrap/>
        <w:overflowPunct/>
        <w:topLinePunct w:val="0"/>
        <w:bidi w:val="0"/>
        <w:snapToGrid w:val="0"/>
        <w:spacing w:before="120" w:after="50" w:line="560" w:lineRule="exact"/>
        <w:ind w:firstLine="720" w:firstLineChars="300"/>
        <w:rPr>
          <w:rStyle w:val="866"/>
          <w:rFonts w:hint="eastAsia" w:ascii="宋体" w:hAnsi="宋体" w:eastAsia="宋体" w:cs="宋体"/>
          <w:sz w:val="24"/>
          <w:szCs w:val="24"/>
          <w:highlight w:val="none"/>
        </w:rPr>
      </w:pPr>
      <w:r>
        <w:rPr>
          <w:rStyle w:val="866"/>
          <w:rFonts w:hint="eastAsia" w:ascii="宋体" w:hAnsi="宋体" w:eastAsia="宋体" w:cs="宋体"/>
          <w:sz w:val="24"/>
          <w:szCs w:val="24"/>
          <w:highlight w:val="none"/>
        </w:rPr>
        <w:t>我</w:t>
      </w:r>
      <w:r>
        <w:rPr>
          <w:rStyle w:val="866"/>
          <w:rFonts w:hint="eastAsia" w:ascii="宋体" w:hAnsi="宋体" w:eastAsia="宋体" w:cs="宋体"/>
          <w:sz w:val="24"/>
          <w:szCs w:val="24"/>
          <w:highlight w:val="none"/>
          <w:u w:val="single"/>
          <w:lang w:val="en-US" w:eastAsia="zh-CN"/>
        </w:rPr>
        <w:t xml:space="preserve">              </w:t>
      </w:r>
      <w:r>
        <w:rPr>
          <w:rStyle w:val="866"/>
          <w:rFonts w:hint="eastAsia" w:ascii="宋体" w:hAnsi="宋体" w:eastAsia="宋体" w:cs="宋体"/>
          <w:sz w:val="24"/>
          <w:szCs w:val="24"/>
          <w:highlight w:val="none"/>
        </w:rPr>
        <w:t>（姓名）系</w:t>
      </w:r>
      <w:r>
        <w:rPr>
          <w:rStyle w:val="866"/>
          <w:rFonts w:hint="eastAsia" w:ascii="宋体" w:hAnsi="宋体" w:eastAsia="宋体" w:cs="宋体"/>
          <w:sz w:val="24"/>
          <w:szCs w:val="24"/>
          <w:highlight w:val="none"/>
          <w:u w:val="single"/>
          <w:lang w:val="en-US" w:eastAsia="zh-CN"/>
        </w:rPr>
        <w:t xml:space="preserve">        </w:t>
      </w:r>
      <w:r>
        <w:rPr>
          <w:rStyle w:val="866"/>
          <w:rFonts w:hint="eastAsia" w:ascii="宋体" w:hAnsi="宋体" w:eastAsia="宋体" w:cs="宋体"/>
          <w:sz w:val="24"/>
          <w:szCs w:val="24"/>
          <w:highlight w:val="none"/>
        </w:rPr>
        <w:t xml:space="preserve">（投标人名称）的法定代表人，现授权委托 </w:t>
      </w:r>
      <w:r>
        <w:rPr>
          <w:rStyle w:val="866"/>
          <w:rFonts w:hint="eastAsia" w:ascii="宋体" w:hAnsi="宋体" w:eastAsia="宋体" w:cs="宋体"/>
          <w:sz w:val="24"/>
          <w:szCs w:val="24"/>
          <w:highlight w:val="none"/>
          <w:u w:val="single"/>
        </w:rPr>
        <w:t xml:space="preserve">          </w:t>
      </w:r>
      <w:r>
        <w:rPr>
          <w:rStyle w:val="866"/>
          <w:rFonts w:hint="eastAsia" w:ascii="宋体" w:hAnsi="宋体" w:eastAsia="宋体" w:cs="宋体"/>
          <w:sz w:val="24"/>
          <w:szCs w:val="24"/>
          <w:highlight w:val="none"/>
        </w:rPr>
        <w:t>（姓名）以我方的名义参加</w:t>
      </w:r>
      <w:r>
        <w:rPr>
          <w:rStyle w:val="866"/>
          <w:rFonts w:hint="eastAsia" w:ascii="宋体" w:hAnsi="宋体" w:eastAsia="宋体" w:cs="宋体"/>
          <w:sz w:val="24"/>
          <w:szCs w:val="24"/>
          <w:highlight w:val="none"/>
          <w:u w:val="single"/>
        </w:rPr>
        <w:t xml:space="preserve">              </w:t>
      </w:r>
      <w:r>
        <w:rPr>
          <w:rStyle w:val="866"/>
          <w:rFonts w:hint="eastAsia" w:ascii="宋体" w:hAnsi="宋体" w:eastAsia="宋体" w:cs="宋体"/>
          <w:sz w:val="24"/>
          <w:szCs w:val="24"/>
          <w:highlight w:val="none"/>
        </w:rPr>
        <w:t>项目的投标活动，并代表我方全权办理针对上述项目的投标、开标、评标、签约等具体事务和签署相关文件。</w:t>
      </w:r>
    </w:p>
    <w:p>
      <w:pPr>
        <w:pageBreakBefore w:val="0"/>
        <w:kinsoku/>
        <w:wordWrap/>
        <w:overflowPunct/>
        <w:topLinePunct w:val="0"/>
        <w:bidi w:val="0"/>
        <w:snapToGrid w:val="0"/>
        <w:spacing w:before="120" w:after="50" w:line="560" w:lineRule="exact"/>
        <w:rPr>
          <w:rStyle w:val="866"/>
          <w:rFonts w:hint="eastAsia" w:ascii="宋体" w:hAnsi="宋体" w:eastAsia="宋体" w:cs="宋体"/>
          <w:sz w:val="24"/>
          <w:szCs w:val="24"/>
          <w:highlight w:val="none"/>
        </w:rPr>
      </w:pPr>
      <w:r>
        <w:rPr>
          <w:rStyle w:val="866"/>
          <w:rFonts w:hint="eastAsia" w:ascii="宋体" w:hAnsi="宋体" w:eastAsia="宋体" w:cs="宋体"/>
          <w:sz w:val="24"/>
          <w:szCs w:val="24"/>
          <w:highlight w:val="none"/>
        </w:rPr>
        <w:t xml:space="preserve">    我方对被授权人的签名负全部责任。</w:t>
      </w:r>
    </w:p>
    <w:p>
      <w:pPr>
        <w:pageBreakBefore w:val="0"/>
        <w:kinsoku/>
        <w:wordWrap/>
        <w:overflowPunct/>
        <w:topLinePunct w:val="0"/>
        <w:bidi w:val="0"/>
        <w:snapToGrid w:val="0"/>
        <w:spacing w:before="120" w:after="50" w:line="560" w:lineRule="exact"/>
        <w:ind w:firstLine="480"/>
        <w:rPr>
          <w:rStyle w:val="866"/>
          <w:rFonts w:hint="eastAsia" w:ascii="宋体" w:hAnsi="宋体" w:eastAsia="宋体" w:cs="宋体"/>
          <w:sz w:val="24"/>
          <w:szCs w:val="24"/>
          <w:highlight w:val="none"/>
        </w:rPr>
      </w:pPr>
      <w:r>
        <w:rPr>
          <w:rStyle w:val="866"/>
          <w:rFonts w:hint="eastAsia" w:ascii="宋体" w:hAnsi="宋体" w:eastAsia="宋体" w:cs="宋体"/>
          <w:sz w:val="24"/>
          <w:szCs w:val="24"/>
          <w:highlight w:val="none"/>
        </w:rPr>
        <w:t>在撤销授权的书面通知以前，本授权书一直有效。被授权人在授权书有效期内签署的所有文件不因授权的撤销而失效。</w:t>
      </w:r>
    </w:p>
    <w:p>
      <w:pPr>
        <w:pageBreakBefore w:val="0"/>
        <w:kinsoku/>
        <w:wordWrap/>
        <w:overflowPunct/>
        <w:topLinePunct w:val="0"/>
        <w:bidi w:val="0"/>
        <w:snapToGrid w:val="0"/>
        <w:spacing w:before="120" w:after="50" w:line="560" w:lineRule="exact"/>
        <w:ind w:firstLine="480"/>
        <w:rPr>
          <w:rStyle w:val="866"/>
          <w:rFonts w:hint="eastAsia" w:ascii="宋体" w:hAnsi="宋体" w:eastAsia="宋体" w:cs="宋体"/>
          <w:sz w:val="24"/>
          <w:szCs w:val="24"/>
          <w:highlight w:val="none"/>
        </w:rPr>
      </w:pPr>
      <w:r>
        <w:rPr>
          <w:rStyle w:val="866"/>
          <w:rFonts w:hint="eastAsia" w:ascii="宋体" w:hAnsi="宋体" w:eastAsia="宋体" w:cs="宋体"/>
          <w:sz w:val="24"/>
          <w:szCs w:val="24"/>
          <w:highlight w:val="none"/>
        </w:rPr>
        <w:t>被授权人无转委托权，特此委托。</w:t>
      </w:r>
    </w:p>
    <w:p>
      <w:pPr>
        <w:pageBreakBefore w:val="0"/>
        <w:kinsoku/>
        <w:wordWrap/>
        <w:overflowPunct/>
        <w:topLinePunct w:val="0"/>
        <w:bidi w:val="0"/>
        <w:snapToGrid w:val="0"/>
        <w:spacing w:before="120" w:after="50" w:line="560" w:lineRule="exact"/>
        <w:rPr>
          <w:rStyle w:val="866"/>
          <w:rFonts w:hint="eastAsia" w:ascii="宋体" w:hAnsi="宋体" w:eastAsia="宋体" w:cs="宋体"/>
          <w:sz w:val="24"/>
          <w:szCs w:val="24"/>
          <w:highlight w:val="none"/>
        </w:rPr>
      </w:pPr>
    </w:p>
    <w:p>
      <w:pPr>
        <w:pageBreakBefore w:val="0"/>
        <w:kinsoku/>
        <w:wordWrap/>
        <w:overflowPunct/>
        <w:topLinePunct w:val="0"/>
        <w:bidi w:val="0"/>
        <w:snapToGrid w:val="0"/>
        <w:spacing w:before="120" w:after="50" w:line="560" w:lineRule="exact"/>
        <w:rPr>
          <w:rStyle w:val="866"/>
          <w:rFonts w:hint="eastAsia" w:ascii="宋体" w:hAnsi="宋体" w:eastAsia="宋体" w:cs="宋体"/>
          <w:sz w:val="24"/>
          <w:szCs w:val="24"/>
          <w:highlight w:val="none"/>
          <w:u w:val="single"/>
        </w:rPr>
      </w:pPr>
      <w:r>
        <w:rPr>
          <w:rStyle w:val="866"/>
          <w:rFonts w:hint="eastAsia" w:ascii="宋体" w:hAnsi="宋体" w:eastAsia="宋体" w:cs="宋体"/>
          <w:sz w:val="24"/>
          <w:szCs w:val="24"/>
          <w:highlight w:val="none"/>
        </w:rPr>
        <w:t>被授权人签名：</w:t>
      </w:r>
      <w:r>
        <w:rPr>
          <w:rStyle w:val="866"/>
          <w:rFonts w:hint="eastAsia" w:ascii="宋体" w:hAnsi="宋体" w:eastAsia="宋体" w:cs="宋体"/>
          <w:sz w:val="24"/>
          <w:szCs w:val="24"/>
          <w:highlight w:val="none"/>
          <w:u w:val="single"/>
        </w:rPr>
        <w:t xml:space="preserve">          </w:t>
      </w:r>
      <w:r>
        <w:rPr>
          <w:rStyle w:val="866"/>
          <w:rFonts w:hint="eastAsia" w:ascii="宋体" w:hAnsi="宋体" w:eastAsia="宋体" w:cs="宋体"/>
          <w:sz w:val="24"/>
          <w:szCs w:val="24"/>
          <w:highlight w:val="none"/>
        </w:rPr>
        <w:t xml:space="preserve">                 法定代表人签字或盖章：</w:t>
      </w:r>
      <w:r>
        <w:rPr>
          <w:rStyle w:val="866"/>
          <w:rFonts w:hint="eastAsia" w:ascii="宋体" w:hAnsi="宋体" w:eastAsia="宋体" w:cs="宋体"/>
          <w:sz w:val="24"/>
          <w:szCs w:val="24"/>
          <w:highlight w:val="none"/>
          <w:u w:val="single"/>
        </w:rPr>
        <w:t xml:space="preserve">          </w:t>
      </w:r>
    </w:p>
    <w:p>
      <w:pPr>
        <w:pageBreakBefore w:val="0"/>
        <w:kinsoku/>
        <w:wordWrap/>
        <w:overflowPunct/>
        <w:topLinePunct w:val="0"/>
        <w:bidi w:val="0"/>
        <w:snapToGrid w:val="0"/>
        <w:spacing w:before="120" w:after="50" w:line="560" w:lineRule="exact"/>
        <w:ind w:firstLine="960" w:firstLineChars="400"/>
        <w:rPr>
          <w:rStyle w:val="866"/>
          <w:rFonts w:hint="eastAsia" w:ascii="宋体" w:hAnsi="宋体" w:eastAsia="宋体" w:cs="宋体"/>
          <w:sz w:val="24"/>
          <w:szCs w:val="24"/>
          <w:highlight w:val="none"/>
        </w:rPr>
      </w:pPr>
      <w:r>
        <w:rPr>
          <w:rStyle w:val="866"/>
          <w:rFonts w:hint="eastAsia" w:ascii="宋体" w:hAnsi="宋体" w:eastAsia="宋体" w:cs="宋体"/>
          <w:sz w:val="24"/>
          <w:szCs w:val="24"/>
          <w:highlight w:val="none"/>
        </w:rPr>
        <w:t>职务：</w:t>
      </w:r>
      <w:r>
        <w:rPr>
          <w:rStyle w:val="866"/>
          <w:rFonts w:hint="eastAsia" w:ascii="宋体" w:hAnsi="宋体" w:eastAsia="宋体" w:cs="宋体"/>
          <w:sz w:val="24"/>
          <w:szCs w:val="24"/>
          <w:highlight w:val="none"/>
          <w:u w:val="single"/>
        </w:rPr>
        <w:t xml:space="preserve">           </w:t>
      </w:r>
      <w:r>
        <w:rPr>
          <w:rStyle w:val="866"/>
          <w:rFonts w:hint="eastAsia" w:ascii="宋体" w:hAnsi="宋体" w:eastAsia="宋体" w:cs="宋体"/>
          <w:sz w:val="24"/>
          <w:szCs w:val="24"/>
          <w:highlight w:val="none"/>
        </w:rPr>
        <w:t xml:space="preserve">                          职务：</w:t>
      </w:r>
      <w:r>
        <w:rPr>
          <w:rStyle w:val="866"/>
          <w:rFonts w:hint="eastAsia" w:ascii="宋体" w:hAnsi="宋体" w:eastAsia="宋体" w:cs="宋体"/>
          <w:sz w:val="24"/>
          <w:szCs w:val="24"/>
          <w:highlight w:val="none"/>
          <w:u w:val="single"/>
        </w:rPr>
        <w:t xml:space="preserve">           </w:t>
      </w:r>
    </w:p>
    <w:p>
      <w:pPr>
        <w:pageBreakBefore w:val="0"/>
        <w:kinsoku/>
        <w:wordWrap/>
        <w:overflowPunct/>
        <w:topLinePunct w:val="0"/>
        <w:bidi w:val="0"/>
        <w:adjustRightInd w:val="0"/>
        <w:spacing w:line="560" w:lineRule="exact"/>
        <w:rPr>
          <w:rStyle w:val="866"/>
          <w:rFonts w:hint="eastAsia" w:ascii="宋体" w:hAnsi="宋体" w:eastAsia="宋体" w:cs="宋体"/>
          <w:sz w:val="24"/>
          <w:szCs w:val="24"/>
          <w:highlight w:val="none"/>
          <w:lang w:val="en-US" w:eastAsia="zh-CN"/>
        </w:rPr>
      </w:pPr>
    </w:p>
    <w:p>
      <w:pPr>
        <w:pageBreakBefore w:val="0"/>
        <w:kinsoku/>
        <w:wordWrap/>
        <w:overflowPunct/>
        <w:topLinePunct w:val="0"/>
        <w:bidi w:val="0"/>
        <w:adjustRightInd w:val="0"/>
        <w:spacing w:line="560" w:lineRule="exact"/>
        <w:rPr>
          <w:rStyle w:val="866"/>
          <w:rFonts w:hint="eastAsia" w:ascii="宋体" w:hAnsi="宋体" w:eastAsia="宋体" w:cs="宋体"/>
          <w:b/>
          <w:sz w:val="24"/>
          <w:szCs w:val="24"/>
          <w:highlight w:val="none"/>
        </w:rPr>
      </w:pPr>
      <w:r>
        <w:rPr>
          <w:rStyle w:val="866"/>
          <w:rFonts w:hint="eastAsia" w:ascii="宋体" w:hAnsi="宋体" w:eastAsia="宋体" w:cs="宋体"/>
          <w:sz w:val="24"/>
          <w:szCs w:val="24"/>
          <w:highlight w:val="none"/>
          <w:lang w:val="en-US" w:eastAsia="zh-CN"/>
        </w:rPr>
        <w:t>被授权人</w:t>
      </w:r>
      <w:r>
        <w:rPr>
          <w:rStyle w:val="866"/>
          <w:rFonts w:hint="eastAsia" w:ascii="宋体" w:hAnsi="宋体" w:eastAsia="宋体" w:cs="宋体"/>
          <w:sz w:val="24"/>
          <w:szCs w:val="24"/>
          <w:highlight w:val="none"/>
        </w:rPr>
        <w:t>身份证复印件（正反面）</w:t>
      </w:r>
    </w:p>
    <w:p>
      <w:pPr>
        <w:pageBreakBefore w:val="0"/>
        <w:kinsoku/>
        <w:wordWrap/>
        <w:overflowPunct/>
        <w:topLinePunct w:val="0"/>
        <w:bidi w:val="0"/>
        <w:snapToGrid w:val="0"/>
        <w:spacing w:before="120" w:after="50" w:line="560" w:lineRule="exact"/>
        <w:rPr>
          <w:rStyle w:val="866"/>
          <w:rFonts w:hint="eastAsia" w:ascii="宋体" w:hAnsi="宋体" w:eastAsia="宋体" w:cs="宋体"/>
          <w:sz w:val="24"/>
          <w:szCs w:val="24"/>
          <w:highlight w:val="none"/>
        </w:rPr>
      </w:pPr>
      <w:r>
        <w:rPr>
          <w:rStyle w:val="866"/>
          <w:rFonts w:hint="eastAsia" w:ascii="宋体" w:hAnsi="宋体" w:eastAsia="宋体" w:cs="宋体"/>
          <w:sz w:val="24"/>
          <w:szCs w:val="24"/>
          <w:highlight w:val="none"/>
        </w:rPr>
        <w:t xml:space="preserve">                           </w:t>
      </w:r>
    </w:p>
    <w:p>
      <w:pPr>
        <w:pStyle w:val="20"/>
        <w:pageBreakBefore w:val="0"/>
        <w:kinsoku/>
        <w:wordWrap/>
        <w:overflowPunct/>
        <w:topLinePunct w:val="0"/>
        <w:bidi w:val="0"/>
        <w:spacing w:line="560" w:lineRule="exact"/>
        <w:ind w:left="0" w:leftChars="0" w:firstLine="0" w:firstLineChars="0"/>
        <w:rPr>
          <w:rStyle w:val="866"/>
          <w:rFonts w:hint="eastAsia" w:ascii="宋体" w:hAnsi="宋体" w:eastAsia="宋体" w:cs="宋体"/>
          <w:spacing w:val="0"/>
          <w:sz w:val="24"/>
          <w:szCs w:val="24"/>
          <w:highlight w:val="none"/>
        </w:rPr>
      </w:pPr>
      <w:r>
        <w:rPr>
          <w:rStyle w:val="866"/>
          <w:rFonts w:hint="eastAsia" w:ascii="宋体" w:hAnsi="宋体" w:eastAsia="宋体" w:cs="宋体"/>
          <w:spacing w:val="0"/>
          <w:sz w:val="24"/>
          <w:szCs w:val="24"/>
          <w:highlight w:val="none"/>
        </w:rPr>
        <w:t>投标人</w:t>
      </w:r>
      <w:r>
        <w:rPr>
          <w:rStyle w:val="866"/>
          <w:rFonts w:hint="eastAsia" w:ascii="宋体" w:hAnsi="宋体" w:eastAsia="宋体" w:cs="宋体"/>
          <w:spacing w:val="0"/>
          <w:sz w:val="24"/>
          <w:szCs w:val="24"/>
          <w:highlight w:val="none"/>
          <w:lang w:val="en-US" w:eastAsia="zh-CN"/>
        </w:rPr>
        <w:t>名称</w:t>
      </w:r>
      <w:r>
        <w:rPr>
          <w:rStyle w:val="866"/>
          <w:rFonts w:hint="eastAsia" w:ascii="宋体" w:hAnsi="宋体" w:eastAsia="宋体" w:cs="宋体"/>
          <w:spacing w:val="0"/>
          <w:sz w:val="24"/>
          <w:szCs w:val="24"/>
          <w:highlight w:val="none"/>
        </w:rPr>
        <w:t>：(</w:t>
      </w:r>
      <w:r>
        <w:rPr>
          <w:rFonts w:hint="eastAsia" w:ascii="宋体" w:hAnsi="宋体" w:cs="宋体"/>
          <w:kern w:val="0"/>
          <w:sz w:val="24"/>
          <w:lang w:val="zh-CN"/>
        </w:rPr>
        <w:t>电子签章</w:t>
      </w:r>
      <w:r>
        <w:rPr>
          <w:rStyle w:val="866"/>
          <w:rFonts w:hint="eastAsia" w:ascii="宋体" w:hAnsi="宋体" w:eastAsia="宋体" w:cs="宋体"/>
          <w:spacing w:val="0"/>
          <w:sz w:val="24"/>
          <w:szCs w:val="24"/>
          <w:highlight w:val="none"/>
        </w:rPr>
        <w:t>)</w:t>
      </w:r>
    </w:p>
    <w:p>
      <w:pPr>
        <w:pStyle w:val="20"/>
        <w:pageBreakBefore w:val="0"/>
        <w:kinsoku/>
        <w:wordWrap/>
        <w:overflowPunct/>
        <w:topLinePunct w:val="0"/>
        <w:bidi w:val="0"/>
        <w:spacing w:line="560" w:lineRule="exact"/>
        <w:ind w:left="0" w:leftChars="0" w:firstLine="0" w:firstLineChars="0"/>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widowControl/>
        <w:jc w:val="left"/>
        <w:rPr>
          <w:rFonts w:asciiTheme="minorEastAsia" w:hAnsiTheme="minorEastAsia" w:eastAsiaTheme="minorEastAsia"/>
          <w:sz w:val="30"/>
          <w:szCs w:val="30"/>
          <w:u w:val="single"/>
        </w:rPr>
      </w:pPr>
    </w:p>
    <w:p>
      <w:pPr>
        <w:pStyle w:val="28"/>
        <w:ind w:firstLine="210"/>
      </w:pPr>
    </w:p>
    <w:p>
      <w:pPr>
        <w:pStyle w:val="28"/>
        <w:ind w:firstLine="210"/>
      </w:pPr>
    </w:p>
    <w:p/>
    <w:p>
      <w:pPr>
        <w:pStyle w:val="28"/>
        <w:ind w:firstLine="210"/>
      </w:pPr>
    </w:p>
    <w:p/>
    <w:p>
      <w:pPr>
        <w:pStyle w:val="28"/>
        <w:ind w:firstLine="210"/>
      </w:pPr>
    </w:p>
    <w:p>
      <w:pPr>
        <w:rPr>
          <w:rFonts w:asciiTheme="minorEastAsia" w:hAnsiTheme="minorEastAsia" w:eastAsiaTheme="minorEastAsia"/>
          <w:sz w:val="30"/>
          <w:szCs w:val="30"/>
        </w:rPr>
      </w:pPr>
      <w:r>
        <w:rPr>
          <w:rFonts w:hint="eastAsia" w:asciiTheme="minorEastAsia" w:hAnsiTheme="minorEastAsia" w:eastAsiaTheme="minorEastAsia"/>
          <w:sz w:val="30"/>
          <w:szCs w:val="30"/>
        </w:rPr>
        <w:br w:type="page"/>
      </w:r>
    </w:p>
    <w:p>
      <w:pPr>
        <w:snapToGrid w:val="0"/>
        <w:spacing w:beforeLines="50" w:after="50"/>
        <w:rPr>
          <w:rFonts w:asciiTheme="minorEastAsia" w:hAnsiTheme="minorEastAsia" w:eastAsiaTheme="minorEastAsia"/>
          <w:b/>
          <w:sz w:val="30"/>
          <w:szCs w:val="30"/>
        </w:rPr>
      </w:pPr>
      <w:r>
        <w:rPr>
          <w:rFonts w:hint="eastAsia" w:asciiTheme="minorEastAsia" w:hAnsiTheme="minorEastAsia" w:eastAsiaTheme="minorEastAsia"/>
          <w:sz w:val="30"/>
          <w:szCs w:val="30"/>
        </w:rPr>
        <w:t>附件4</w:t>
      </w:r>
      <w:r>
        <w:rPr>
          <w:rFonts w:hint="eastAsia" w:asciiTheme="minorEastAsia" w:hAnsiTheme="minorEastAsia" w:eastAsiaTheme="minorEastAsia"/>
          <w:b/>
          <w:sz w:val="30"/>
          <w:szCs w:val="30"/>
        </w:rPr>
        <w:t>：</w:t>
      </w:r>
    </w:p>
    <w:p>
      <w:pPr>
        <w:snapToGrid w:val="0"/>
        <w:spacing w:beforeLines="50" w:after="50"/>
        <w:jc w:val="right"/>
        <w:rPr>
          <w:rFonts w:asciiTheme="minorEastAsia" w:hAnsiTheme="minorEastAsia" w:eastAsiaTheme="minorEastAsia"/>
          <w:b/>
          <w:sz w:val="30"/>
          <w:szCs w:val="30"/>
        </w:rPr>
      </w:pPr>
      <w:r>
        <w:rPr>
          <w:rFonts w:hint="eastAsia" w:asciiTheme="minorEastAsia" w:hAnsiTheme="minorEastAsia" w:eastAsiaTheme="minorEastAsia"/>
          <w:sz w:val="30"/>
          <w:szCs w:val="30"/>
        </w:rPr>
        <w:t xml:space="preserve"> 正本或副本</w:t>
      </w:r>
    </w:p>
    <w:p>
      <w:pPr>
        <w:ind w:right="-110"/>
        <w:jc w:val="center"/>
        <w:rPr>
          <w:rFonts w:asciiTheme="minorEastAsia" w:hAnsiTheme="minorEastAsia" w:eastAsiaTheme="minorEastAsia"/>
          <w:spacing w:val="40"/>
          <w:sz w:val="52"/>
          <w:szCs w:val="52"/>
        </w:rPr>
      </w:pPr>
      <w:r>
        <w:rPr>
          <w:rFonts w:hint="eastAsia" w:asciiTheme="minorEastAsia" w:hAnsiTheme="minorEastAsia" w:eastAsiaTheme="minorEastAsia"/>
          <w:spacing w:val="40"/>
          <w:sz w:val="52"/>
          <w:szCs w:val="52"/>
        </w:rPr>
        <w:t>项目名称</w:t>
      </w:r>
    </w:p>
    <w:p>
      <w:pPr>
        <w:spacing w:beforeLines="100" w:line="240" w:lineRule="atLeast"/>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 xml:space="preserve">项目编号： </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技</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术</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及</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商</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务</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文</w:t>
      </w:r>
    </w:p>
    <w:p>
      <w:pPr>
        <w:spacing w:line="1200" w:lineRule="exact"/>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件</w:t>
      </w:r>
    </w:p>
    <w:p>
      <w:pPr>
        <w:spacing w:line="600" w:lineRule="exact"/>
        <w:ind w:right="532"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响应人名称：</w:t>
      </w:r>
    </w:p>
    <w:p>
      <w:pPr>
        <w:spacing w:line="600" w:lineRule="exact"/>
        <w:ind w:right="-108"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地    址：</w:t>
      </w:r>
    </w:p>
    <w:p>
      <w:pPr>
        <w:spacing w:line="600" w:lineRule="exact"/>
        <w:ind w:right="-108"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时    间：</w:t>
      </w:r>
    </w:p>
    <w:p>
      <w:pPr>
        <w:snapToGrid w:val="0"/>
        <w:spacing w:before="50" w:after="50"/>
        <w:rPr>
          <w:rFonts w:asciiTheme="minorEastAsia" w:hAnsiTheme="minorEastAsia" w:eastAsiaTheme="minorEastAsia"/>
          <w:sz w:val="30"/>
          <w:szCs w:val="30"/>
        </w:rPr>
      </w:pPr>
    </w:p>
    <w:p>
      <w:pPr>
        <w:snapToGrid w:val="0"/>
        <w:spacing w:before="50" w:after="50"/>
        <w:rPr>
          <w:rFonts w:asciiTheme="minorEastAsia" w:hAnsiTheme="minorEastAsia" w:eastAsiaTheme="minorEastAsia"/>
          <w:sz w:val="30"/>
          <w:szCs w:val="30"/>
        </w:rPr>
      </w:pPr>
    </w:p>
    <w:p>
      <w:pPr>
        <w:snapToGrid w:val="0"/>
        <w:spacing w:before="50"/>
        <w:jc w:val="left"/>
        <w:rPr>
          <w:rFonts w:asciiTheme="minorEastAsia" w:hAnsiTheme="minorEastAsia" w:eastAsiaTheme="minorEastAsia"/>
          <w:sz w:val="30"/>
          <w:szCs w:val="30"/>
        </w:rPr>
      </w:pPr>
      <w:r>
        <w:rPr>
          <w:rFonts w:hint="eastAsia" w:asciiTheme="minorEastAsia" w:hAnsiTheme="minorEastAsia" w:eastAsiaTheme="minorEastAsia"/>
          <w:sz w:val="36"/>
          <w:szCs w:val="36"/>
        </w:rPr>
        <w:br w:type="page"/>
      </w:r>
      <w:r>
        <w:rPr>
          <w:rFonts w:hint="eastAsia" w:asciiTheme="minorEastAsia" w:hAnsiTheme="minorEastAsia" w:eastAsiaTheme="minorEastAsia"/>
          <w:sz w:val="30"/>
          <w:szCs w:val="30"/>
        </w:rPr>
        <w:t>附件5：</w:t>
      </w:r>
    </w:p>
    <w:p>
      <w:pPr>
        <w:snapToGrid w:val="0"/>
        <w:spacing w:before="50" w:after="50"/>
        <w:jc w:val="center"/>
        <w:rPr>
          <w:rFonts w:asciiTheme="minorEastAsia" w:hAnsiTheme="minorEastAsia" w:eastAsiaTheme="minorEastAsia"/>
          <w:sz w:val="30"/>
          <w:szCs w:val="30"/>
          <w:u w:val="single"/>
        </w:rPr>
      </w:pPr>
      <w:r>
        <w:rPr>
          <w:rFonts w:hint="eastAsia" w:asciiTheme="minorEastAsia" w:hAnsiTheme="minorEastAsia" w:eastAsiaTheme="minorEastAsia"/>
          <w:b/>
          <w:sz w:val="36"/>
          <w:szCs w:val="36"/>
        </w:rPr>
        <w:t>评分对应表</w:t>
      </w:r>
    </w:p>
    <w:tbl>
      <w:tblPr>
        <w:tblStyle w:val="5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3888"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r>
              <w:rPr>
                <w:rFonts w:hint="eastAsia" w:asciiTheme="minorEastAsia" w:hAnsiTheme="minorEastAsia" w:eastAsiaTheme="minorEastAsia"/>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r>
              <w:rPr>
                <w:rFonts w:hint="eastAsia" w:asciiTheme="minorEastAsia" w:hAnsiTheme="minorEastAsia" w:eastAsiaTheme="minorEastAsia"/>
                <w:sz w:val="30"/>
                <w:szCs w:val="30"/>
              </w:rPr>
              <w:t>……</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3888"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eastAsiaTheme="minorEastAsia"/>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Lines="50"/>
              <w:rPr>
                <w:rFonts w:asciiTheme="minorEastAsia" w:hAnsiTheme="minorEastAsia" w:eastAsiaTheme="minorEastAsia"/>
                <w:sz w:val="30"/>
                <w:szCs w:val="30"/>
              </w:rPr>
            </w:pPr>
          </w:p>
        </w:tc>
      </w:tr>
    </w:tbl>
    <w:p>
      <w:pPr>
        <w:snapToGrid w:val="0"/>
        <w:spacing w:beforeLines="50"/>
        <w:rPr>
          <w:rFonts w:asciiTheme="minorEastAsia" w:hAnsiTheme="minorEastAsia" w:eastAsiaTheme="minorEastAsia"/>
          <w:b/>
          <w:sz w:val="30"/>
          <w:szCs w:val="30"/>
        </w:rPr>
      </w:pPr>
    </w:p>
    <w:p>
      <w:pPr>
        <w:snapToGrid w:val="0"/>
        <w:spacing w:before="50" w:afterLines="50"/>
        <w:jc w:val="left"/>
        <w:rPr>
          <w:rFonts w:asciiTheme="minorEastAsia" w:hAnsiTheme="minorEastAsia" w:eastAsiaTheme="minorEastAsia"/>
          <w:sz w:val="30"/>
          <w:szCs w:val="30"/>
        </w:rPr>
      </w:pPr>
    </w:p>
    <w:p>
      <w:pPr>
        <w:snapToGrid w:val="0"/>
        <w:spacing w:before="50" w:afterLines="50"/>
        <w:jc w:val="left"/>
        <w:rPr>
          <w:rFonts w:asciiTheme="minorEastAsia" w:hAnsiTheme="minorEastAsia" w:eastAsiaTheme="minorEastAsia"/>
          <w:sz w:val="30"/>
          <w:szCs w:val="30"/>
        </w:rPr>
      </w:pPr>
    </w:p>
    <w:p>
      <w:pPr>
        <w:snapToGrid w:val="0"/>
        <w:spacing w:before="50" w:afterLines="50"/>
        <w:jc w:val="left"/>
      </w:pPr>
      <w:r>
        <w:rPr>
          <w:rFonts w:hint="eastAsia" w:asciiTheme="minorEastAsia" w:hAnsiTheme="minorEastAsia" w:eastAsiaTheme="minorEastAsia"/>
          <w:sz w:val="30"/>
          <w:szCs w:val="30"/>
        </w:rPr>
        <w:br w:type="page"/>
      </w:r>
    </w:p>
    <w:p>
      <w:pPr>
        <w:snapToGrid w:val="0"/>
        <w:spacing w:before="50" w:afterLines="50"/>
        <w:jc w:val="left"/>
        <w:rPr>
          <w:rFonts w:asciiTheme="minorEastAsia" w:hAnsiTheme="minorEastAsia" w:eastAsiaTheme="minorEastAsia"/>
          <w:b/>
          <w:sz w:val="36"/>
          <w:szCs w:val="36"/>
        </w:rPr>
      </w:pPr>
      <w:r>
        <w:rPr>
          <w:rFonts w:hint="eastAsia" w:asciiTheme="minorEastAsia" w:hAnsiTheme="minorEastAsia" w:eastAsiaTheme="minorEastAsia"/>
          <w:sz w:val="30"/>
          <w:szCs w:val="30"/>
        </w:rPr>
        <w:t>附件6：</w:t>
      </w:r>
    </w:p>
    <w:p>
      <w:pPr>
        <w:snapToGrid w:val="0"/>
        <w:spacing w:before="50" w:after="50"/>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商务技术偏离表</w:t>
      </w:r>
    </w:p>
    <w:tbl>
      <w:tblPr>
        <w:tblStyle w:val="6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序号</w:t>
            </w:r>
          </w:p>
        </w:tc>
        <w:tc>
          <w:tcPr>
            <w:tcW w:w="3683" w:type="dxa"/>
            <w:vAlign w:val="center"/>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招标文件章节及具体内容</w:t>
            </w:r>
          </w:p>
        </w:tc>
        <w:tc>
          <w:tcPr>
            <w:tcW w:w="3546" w:type="dxa"/>
            <w:vAlign w:val="center"/>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投标文件章节及具体内容</w:t>
            </w:r>
          </w:p>
        </w:tc>
        <w:tc>
          <w:tcPr>
            <w:tcW w:w="1276" w:type="dxa"/>
            <w:vAlign w:val="center"/>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pPr>
              <w:jc w:val="center"/>
              <w:rPr>
                <w:rFonts w:cs="仿宋_GB2312" w:asciiTheme="minorEastAsia" w:hAnsiTheme="minorEastAsia" w:eastAsiaTheme="minorEastAsia"/>
                <w:kern w:val="0"/>
                <w:sz w:val="24"/>
              </w:rPr>
            </w:pPr>
            <w:r>
              <w:rPr>
                <w:rFonts w:cs="仿宋_GB2312" w:asciiTheme="minorEastAsia" w:hAnsiTheme="minorEastAsia" w:eastAsiaTheme="minorEastAsia"/>
                <w:kern w:val="0"/>
                <w:sz w:val="24"/>
              </w:rPr>
              <w:t>1</w:t>
            </w:r>
          </w:p>
        </w:tc>
        <w:tc>
          <w:tcPr>
            <w:tcW w:w="3683" w:type="dxa"/>
            <w:vAlign w:val="center"/>
          </w:tcPr>
          <w:p>
            <w:pPr>
              <w:jc w:val="center"/>
              <w:rPr>
                <w:rFonts w:cs="仿宋_GB2312" w:asciiTheme="minorEastAsia" w:hAnsiTheme="minorEastAsia" w:eastAsiaTheme="minorEastAsia"/>
                <w:b/>
                <w:kern w:val="0"/>
                <w:sz w:val="32"/>
                <w:szCs w:val="32"/>
              </w:rPr>
            </w:pPr>
          </w:p>
        </w:tc>
        <w:tc>
          <w:tcPr>
            <w:tcW w:w="3546" w:type="dxa"/>
            <w:vAlign w:val="center"/>
          </w:tcPr>
          <w:p>
            <w:pPr>
              <w:jc w:val="center"/>
              <w:rPr>
                <w:rFonts w:cs="仿宋_GB2312" w:asciiTheme="minorEastAsia" w:hAnsiTheme="minorEastAsia" w:eastAsiaTheme="minorEastAsia"/>
                <w:b/>
                <w:kern w:val="0"/>
                <w:sz w:val="32"/>
                <w:szCs w:val="32"/>
              </w:rPr>
            </w:pPr>
          </w:p>
        </w:tc>
        <w:tc>
          <w:tcPr>
            <w:tcW w:w="1276" w:type="dxa"/>
            <w:vAlign w:val="center"/>
          </w:tcPr>
          <w:p>
            <w:pPr>
              <w:jc w:val="center"/>
              <w:rPr>
                <w:rFonts w:cs="仿宋_GB2312" w:asciiTheme="minorEastAsia" w:hAnsiTheme="minorEastAsia" w:eastAsia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pPr>
              <w:jc w:val="center"/>
              <w:rPr>
                <w:rFonts w:cs="仿宋_GB2312" w:asciiTheme="minorEastAsia" w:hAnsiTheme="minorEastAsia" w:eastAsiaTheme="minorEastAsia"/>
                <w:kern w:val="0"/>
                <w:sz w:val="24"/>
              </w:rPr>
            </w:pPr>
            <w:r>
              <w:rPr>
                <w:rFonts w:cs="仿宋_GB2312" w:asciiTheme="minorEastAsia" w:hAnsiTheme="minorEastAsia" w:eastAsiaTheme="minorEastAsia"/>
                <w:kern w:val="0"/>
                <w:sz w:val="24"/>
              </w:rPr>
              <w:t>2</w:t>
            </w:r>
          </w:p>
        </w:tc>
        <w:tc>
          <w:tcPr>
            <w:tcW w:w="3683" w:type="dxa"/>
            <w:vAlign w:val="center"/>
          </w:tcPr>
          <w:p>
            <w:pPr>
              <w:jc w:val="center"/>
              <w:rPr>
                <w:rFonts w:cs="仿宋_GB2312" w:asciiTheme="minorEastAsia" w:hAnsiTheme="minorEastAsia" w:eastAsiaTheme="minorEastAsia"/>
                <w:b/>
                <w:kern w:val="0"/>
                <w:sz w:val="32"/>
                <w:szCs w:val="32"/>
              </w:rPr>
            </w:pPr>
          </w:p>
        </w:tc>
        <w:tc>
          <w:tcPr>
            <w:tcW w:w="3546" w:type="dxa"/>
            <w:vAlign w:val="center"/>
          </w:tcPr>
          <w:p>
            <w:pPr>
              <w:jc w:val="center"/>
              <w:rPr>
                <w:rFonts w:cs="仿宋_GB2312" w:asciiTheme="minorEastAsia" w:hAnsiTheme="minorEastAsia" w:eastAsiaTheme="minorEastAsia"/>
                <w:b/>
                <w:kern w:val="0"/>
                <w:sz w:val="32"/>
                <w:szCs w:val="32"/>
              </w:rPr>
            </w:pPr>
          </w:p>
        </w:tc>
        <w:tc>
          <w:tcPr>
            <w:tcW w:w="1276" w:type="dxa"/>
            <w:vAlign w:val="center"/>
          </w:tcPr>
          <w:p>
            <w:pPr>
              <w:jc w:val="center"/>
              <w:rPr>
                <w:rFonts w:cs="仿宋_GB2312" w:asciiTheme="minorEastAsia" w:hAnsiTheme="minorEastAsia" w:eastAsia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1" w:hRule="atLeast"/>
        </w:trPr>
        <w:tc>
          <w:tcPr>
            <w:tcW w:w="959" w:type="dxa"/>
            <w:vAlign w:val="center"/>
          </w:tcPr>
          <w:p>
            <w:pPr>
              <w:jc w:val="center"/>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w:t>
            </w:r>
          </w:p>
        </w:tc>
        <w:tc>
          <w:tcPr>
            <w:tcW w:w="3683" w:type="dxa"/>
            <w:vAlign w:val="center"/>
          </w:tcPr>
          <w:p>
            <w:pPr>
              <w:jc w:val="center"/>
              <w:rPr>
                <w:rFonts w:cs="仿宋_GB2312" w:asciiTheme="minorEastAsia" w:hAnsiTheme="minorEastAsia" w:eastAsiaTheme="minorEastAsia"/>
                <w:b/>
                <w:kern w:val="0"/>
                <w:sz w:val="32"/>
                <w:szCs w:val="32"/>
              </w:rPr>
            </w:pPr>
          </w:p>
        </w:tc>
        <w:tc>
          <w:tcPr>
            <w:tcW w:w="3546" w:type="dxa"/>
            <w:vAlign w:val="center"/>
          </w:tcPr>
          <w:p>
            <w:pPr>
              <w:jc w:val="center"/>
              <w:rPr>
                <w:rFonts w:cs="仿宋_GB2312" w:asciiTheme="minorEastAsia" w:hAnsiTheme="minorEastAsia" w:eastAsiaTheme="minorEastAsia"/>
                <w:b/>
                <w:kern w:val="0"/>
                <w:sz w:val="32"/>
                <w:szCs w:val="32"/>
              </w:rPr>
            </w:pPr>
          </w:p>
        </w:tc>
        <w:tc>
          <w:tcPr>
            <w:tcW w:w="1276" w:type="dxa"/>
            <w:vAlign w:val="center"/>
          </w:tcPr>
          <w:p>
            <w:pPr>
              <w:jc w:val="center"/>
              <w:rPr>
                <w:rFonts w:cs="仿宋_GB2312" w:asciiTheme="minorEastAsia" w:hAnsiTheme="minorEastAsia" w:eastAsiaTheme="minorEastAsia"/>
                <w:b/>
                <w:kern w:val="0"/>
                <w:sz w:val="32"/>
                <w:szCs w:val="32"/>
              </w:rPr>
            </w:pPr>
          </w:p>
        </w:tc>
      </w:tr>
    </w:tbl>
    <w:p>
      <w:pPr>
        <w:jc w:val="left"/>
        <w:rPr>
          <w:rFonts w:cs="仿宋_GB2312" w:asciiTheme="minorEastAsia" w:hAnsiTheme="minorEastAsia" w:eastAsiaTheme="minorEastAsia"/>
          <w:b/>
          <w:bCs/>
          <w:color w:val="000000" w:themeColor="text1"/>
          <w:kern w:val="0"/>
          <w:sz w:val="24"/>
        </w:rPr>
      </w:pPr>
    </w:p>
    <w:p>
      <w:pPr>
        <w:jc w:val="left"/>
        <w:rPr>
          <w:rFonts w:cs="仿宋_GB2312" w:asciiTheme="minorEastAsia" w:hAnsiTheme="minorEastAsia" w:eastAsiaTheme="minorEastAsia"/>
          <w:b/>
          <w:bCs/>
          <w:color w:val="000000" w:themeColor="text1"/>
          <w:kern w:val="0"/>
          <w:sz w:val="24"/>
        </w:rPr>
      </w:pPr>
      <w:r>
        <w:rPr>
          <w:rFonts w:hint="eastAsia" w:cs="仿宋_GB2312" w:asciiTheme="minorEastAsia" w:hAnsiTheme="minorEastAsia" w:eastAsiaTheme="minorEastAsia"/>
          <w:b/>
          <w:bCs/>
          <w:color w:val="000000" w:themeColor="text1"/>
          <w:kern w:val="0"/>
          <w:sz w:val="24"/>
        </w:rPr>
        <w:t>投标人保证：除商务技术偏离表列出的偏离外，投标人响应招标文件的全部要求。</w:t>
      </w:r>
    </w:p>
    <w:p>
      <w:pPr>
        <w:pStyle w:val="40"/>
      </w:pP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投标人全称（</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法定代表人或授权代表（</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w:t>
      </w:r>
    </w:p>
    <w:p>
      <w:pPr>
        <w:pStyle w:val="2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rPr>
          <w:rFonts w:asciiTheme="minorEastAsia" w:hAnsiTheme="minorEastAsia" w:eastAsiaTheme="minorEastAsia"/>
          <w:sz w:val="30"/>
          <w:szCs w:val="30"/>
        </w:rPr>
      </w:pPr>
      <w:r>
        <w:rPr>
          <w:rFonts w:hint="eastAsia" w:asciiTheme="minorEastAsia" w:hAnsiTheme="minorEastAsia" w:eastAsiaTheme="minorEastAsia"/>
          <w:sz w:val="30"/>
          <w:szCs w:val="30"/>
        </w:rPr>
        <w:br w:type="page"/>
      </w:r>
    </w:p>
    <w:p>
      <w:pPr>
        <w:snapToGrid w:val="0"/>
        <w:spacing w:before="50" w:afterLines="50"/>
        <w:jc w:val="left"/>
        <w:rPr>
          <w:rFonts w:asciiTheme="minorEastAsia" w:hAnsiTheme="minorEastAsia" w:eastAsiaTheme="minorEastAsia"/>
          <w:sz w:val="30"/>
          <w:szCs w:val="30"/>
        </w:rPr>
      </w:pPr>
      <w:r>
        <w:rPr>
          <w:rFonts w:hint="eastAsia" w:asciiTheme="minorEastAsia" w:hAnsiTheme="minorEastAsia" w:eastAsiaTheme="minorEastAsia"/>
          <w:sz w:val="30"/>
          <w:szCs w:val="30"/>
        </w:rPr>
        <w:t>附件7：</w:t>
      </w:r>
    </w:p>
    <w:p>
      <w:pPr>
        <w:snapToGrid w:val="0"/>
        <w:spacing w:before="50" w:afterLines="50"/>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投标人业绩汇总表</w:t>
      </w:r>
    </w:p>
    <w:tbl>
      <w:tblPr>
        <w:tblStyle w:val="59"/>
        <w:tblpPr w:leftFromText="180" w:rightFromText="180" w:vertAnchor="text" w:horzAnchor="page" w:tblpX="1087" w:tblpY="64"/>
        <w:tblOverlap w:val="never"/>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710"/>
        <w:gridCol w:w="1798"/>
        <w:gridCol w:w="2037"/>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885" w:type="dxa"/>
            <w:noWrap/>
            <w:vAlign w:val="center"/>
          </w:tcPr>
          <w:p>
            <w:pPr>
              <w:snapToGrid w:val="0"/>
              <w:spacing w:line="360" w:lineRule="auto"/>
              <w:jc w:val="center"/>
              <w:rPr>
                <w:rFonts w:asciiTheme="minorEastAsia" w:hAnsiTheme="minorEastAsia" w:eastAsiaTheme="minorEastAsia"/>
                <w:sz w:val="24"/>
              </w:rPr>
            </w:pPr>
            <w:r>
              <w:rPr>
                <w:rFonts w:asciiTheme="minorEastAsia" w:hAnsiTheme="minorEastAsia" w:eastAsiaTheme="minorEastAsia"/>
                <w:sz w:val="24"/>
              </w:rPr>
              <w:t>序号</w:t>
            </w:r>
          </w:p>
        </w:tc>
        <w:tc>
          <w:tcPr>
            <w:tcW w:w="1710" w:type="dxa"/>
            <w:noWrap/>
            <w:vAlign w:val="center"/>
          </w:tcPr>
          <w:p>
            <w:pPr>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合同签订时间</w:t>
            </w:r>
          </w:p>
        </w:tc>
        <w:tc>
          <w:tcPr>
            <w:tcW w:w="1798" w:type="dxa"/>
            <w:noWrap/>
            <w:vAlign w:val="center"/>
          </w:tcPr>
          <w:p>
            <w:pPr>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项目业主单位</w:t>
            </w:r>
          </w:p>
        </w:tc>
        <w:tc>
          <w:tcPr>
            <w:tcW w:w="2037" w:type="dxa"/>
            <w:noWrap/>
            <w:vAlign w:val="center"/>
          </w:tcPr>
          <w:p>
            <w:pPr>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业主单位联系人</w:t>
            </w:r>
          </w:p>
        </w:tc>
        <w:tc>
          <w:tcPr>
            <w:tcW w:w="3180" w:type="dxa"/>
            <w:noWrap/>
            <w:vAlign w:val="center"/>
          </w:tcPr>
          <w:p>
            <w:pPr>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项目性质、合同内容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noWrap/>
            <w:vAlign w:val="center"/>
          </w:tcPr>
          <w:p>
            <w:pPr>
              <w:snapToGrid w:val="0"/>
              <w:spacing w:line="360" w:lineRule="auto"/>
              <w:jc w:val="center"/>
              <w:rPr>
                <w:rFonts w:asciiTheme="minorEastAsia" w:hAnsiTheme="minorEastAsia" w:eastAsiaTheme="minorEastAsia"/>
                <w:sz w:val="24"/>
              </w:rPr>
            </w:pPr>
          </w:p>
        </w:tc>
        <w:tc>
          <w:tcPr>
            <w:tcW w:w="1710" w:type="dxa"/>
            <w:noWrap/>
            <w:vAlign w:val="center"/>
          </w:tcPr>
          <w:p>
            <w:pPr>
              <w:snapToGrid w:val="0"/>
              <w:spacing w:line="360" w:lineRule="auto"/>
              <w:jc w:val="center"/>
              <w:rPr>
                <w:rFonts w:asciiTheme="minorEastAsia" w:hAnsiTheme="minorEastAsia" w:eastAsiaTheme="minorEastAsia"/>
                <w:sz w:val="24"/>
              </w:rPr>
            </w:pPr>
          </w:p>
        </w:tc>
        <w:tc>
          <w:tcPr>
            <w:tcW w:w="1798" w:type="dxa"/>
            <w:noWrap/>
            <w:vAlign w:val="center"/>
          </w:tcPr>
          <w:p>
            <w:pPr>
              <w:snapToGrid w:val="0"/>
              <w:spacing w:line="360" w:lineRule="auto"/>
              <w:jc w:val="center"/>
              <w:rPr>
                <w:rFonts w:asciiTheme="minorEastAsia" w:hAnsiTheme="minorEastAsia" w:eastAsiaTheme="minorEastAsia"/>
                <w:sz w:val="24"/>
              </w:rPr>
            </w:pPr>
          </w:p>
        </w:tc>
        <w:tc>
          <w:tcPr>
            <w:tcW w:w="2037" w:type="dxa"/>
            <w:noWrap/>
            <w:vAlign w:val="center"/>
          </w:tcPr>
          <w:p>
            <w:pPr>
              <w:snapToGrid w:val="0"/>
              <w:spacing w:line="360" w:lineRule="auto"/>
              <w:jc w:val="center"/>
              <w:rPr>
                <w:rFonts w:asciiTheme="minorEastAsia" w:hAnsiTheme="minorEastAsia" w:eastAsiaTheme="minorEastAsia"/>
                <w:sz w:val="24"/>
              </w:rPr>
            </w:pPr>
          </w:p>
        </w:tc>
        <w:tc>
          <w:tcPr>
            <w:tcW w:w="3180" w:type="dxa"/>
            <w:noWrap/>
            <w:vAlign w:val="center"/>
          </w:tcPr>
          <w:p>
            <w:pPr>
              <w:snapToGrid w:val="0"/>
              <w:spacing w:line="360" w:lineRule="auto"/>
              <w:jc w:val="center"/>
              <w:rPr>
                <w:rFonts w:asciiTheme="minorEastAsia" w:hAnsiTheme="minorEastAsia" w:eastAsiaTheme="minorEastAsia"/>
                <w:sz w:val="24"/>
              </w:rPr>
            </w:pPr>
          </w:p>
        </w:tc>
      </w:tr>
    </w:tbl>
    <w:p>
      <w:pPr>
        <w:snapToGrid w:val="0"/>
        <w:spacing w:beforeLines="50"/>
        <w:rPr>
          <w:rFonts w:asciiTheme="minorEastAsia" w:hAnsiTheme="minorEastAsia" w:eastAsiaTheme="minorEastAsia"/>
          <w:bCs/>
          <w:sz w:val="30"/>
          <w:szCs w:val="30"/>
        </w:rPr>
      </w:pPr>
    </w:p>
    <w:p>
      <w:pPr>
        <w:snapToGrid w:val="0"/>
        <w:spacing w:beforeLines="50"/>
        <w:rPr>
          <w:rFonts w:asciiTheme="minorEastAsia" w:hAnsiTheme="minorEastAsia" w:eastAsiaTheme="minorEastAsia"/>
          <w:bCs/>
          <w:sz w:val="30"/>
          <w:szCs w:val="30"/>
        </w:rPr>
      </w:pP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投标人全称（</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法定代表人或授权代表（</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w:t>
      </w:r>
    </w:p>
    <w:p>
      <w:pPr>
        <w:pStyle w:val="2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rPr>
          <w:rFonts w:asciiTheme="minorEastAsia" w:hAnsiTheme="minorEastAsia" w:eastAsiaTheme="minorEastAsia"/>
          <w:sz w:val="30"/>
          <w:szCs w:val="30"/>
        </w:rPr>
      </w:pPr>
      <w:r>
        <w:rPr>
          <w:rFonts w:hint="eastAsia" w:asciiTheme="minorEastAsia" w:hAnsiTheme="minorEastAsia" w:eastAsiaTheme="minorEastAsia"/>
          <w:sz w:val="30"/>
          <w:szCs w:val="30"/>
        </w:rPr>
        <w:br w:type="page"/>
      </w:r>
    </w:p>
    <w:p>
      <w:pPr>
        <w:snapToGrid w:val="0"/>
        <w:spacing w:beforeLines="50" w:after="50"/>
        <w:rPr>
          <w:rFonts w:asciiTheme="minorEastAsia" w:hAnsiTheme="minorEastAsia" w:eastAsiaTheme="minorEastAsia"/>
          <w:b/>
          <w:sz w:val="30"/>
          <w:szCs w:val="30"/>
        </w:rPr>
      </w:pPr>
      <w:r>
        <w:rPr>
          <w:rFonts w:hint="eastAsia" w:asciiTheme="minorEastAsia" w:hAnsiTheme="minorEastAsia" w:eastAsiaTheme="minorEastAsia"/>
          <w:sz w:val="30"/>
          <w:szCs w:val="30"/>
        </w:rPr>
        <w:t>附件8</w:t>
      </w:r>
      <w:r>
        <w:rPr>
          <w:rFonts w:hint="eastAsia" w:asciiTheme="minorEastAsia" w:hAnsiTheme="minorEastAsia" w:eastAsiaTheme="minorEastAsia"/>
          <w:b/>
          <w:sz w:val="30"/>
          <w:szCs w:val="30"/>
        </w:rPr>
        <w:t xml:space="preserve">：  </w:t>
      </w:r>
    </w:p>
    <w:p>
      <w:pPr>
        <w:snapToGrid w:val="0"/>
        <w:spacing w:beforeLines="50" w:after="50"/>
        <w:ind w:firstLine="1200" w:firstLineChars="400"/>
        <w:jc w:val="right"/>
        <w:rPr>
          <w:rFonts w:asciiTheme="minorEastAsia" w:hAnsiTheme="minorEastAsia" w:eastAsiaTheme="minorEastAsia"/>
          <w:b/>
          <w:sz w:val="30"/>
          <w:szCs w:val="30"/>
        </w:rPr>
      </w:pPr>
      <w:r>
        <w:rPr>
          <w:rFonts w:hint="eastAsia" w:asciiTheme="minorEastAsia" w:hAnsiTheme="minorEastAsia" w:eastAsiaTheme="minorEastAsia"/>
          <w:sz w:val="30"/>
          <w:szCs w:val="30"/>
        </w:rPr>
        <w:t xml:space="preserve"> 正本或副本</w:t>
      </w:r>
    </w:p>
    <w:p>
      <w:pPr>
        <w:ind w:right="-110"/>
        <w:jc w:val="center"/>
        <w:rPr>
          <w:rFonts w:asciiTheme="minorEastAsia" w:hAnsiTheme="minorEastAsia" w:eastAsiaTheme="minorEastAsia"/>
          <w:spacing w:val="40"/>
          <w:sz w:val="52"/>
          <w:szCs w:val="52"/>
        </w:rPr>
      </w:pPr>
      <w:r>
        <w:rPr>
          <w:rFonts w:hint="eastAsia" w:asciiTheme="minorEastAsia" w:hAnsiTheme="minorEastAsia" w:eastAsiaTheme="minorEastAsia"/>
          <w:spacing w:val="40"/>
          <w:sz w:val="52"/>
          <w:szCs w:val="52"/>
        </w:rPr>
        <w:t>项目名称</w:t>
      </w:r>
    </w:p>
    <w:p>
      <w:pPr>
        <w:spacing w:beforeLines="100" w:line="240" w:lineRule="atLeast"/>
        <w:jc w:val="center"/>
        <w:rPr>
          <w:rFonts w:asciiTheme="minorEastAsia" w:hAnsiTheme="minorEastAsia" w:eastAsiaTheme="minorEastAsia"/>
          <w:sz w:val="36"/>
          <w:szCs w:val="36"/>
        </w:rPr>
      </w:pPr>
    </w:p>
    <w:p>
      <w:pPr>
        <w:spacing w:beforeLines="100" w:line="240" w:lineRule="atLeast"/>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 xml:space="preserve">项目编号： </w:t>
      </w:r>
    </w:p>
    <w:p>
      <w:pPr>
        <w:spacing w:after="100" w:afterAutospacing="1" w:line="800" w:lineRule="exact"/>
        <w:ind w:right="-108"/>
        <w:jc w:val="center"/>
        <w:rPr>
          <w:rFonts w:asciiTheme="minorEastAsia" w:hAnsiTheme="minorEastAsia" w:eastAsiaTheme="minorEastAsia"/>
          <w:b/>
          <w:spacing w:val="40"/>
          <w:sz w:val="84"/>
          <w:szCs w:val="84"/>
        </w:rPr>
      </w:pPr>
    </w:p>
    <w:p>
      <w:pPr>
        <w:spacing w:after="100" w:afterAutospacing="1"/>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报</w:t>
      </w:r>
    </w:p>
    <w:p>
      <w:pPr>
        <w:spacing w:after="100" w:afterAutospacing="1"/>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价</w:t>
      </w:r>
    </w:p>
    <w:p>
      <w:pPr>
        <w:spacing w:after="100" w:afterAutospacing="1"/>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文</w:t>
      </w:r>
    </w:p>
    <w:p>
      <w:pPr>
        <w:spacing w:after="100" w:afterAutospacing="1"/>
        <w:ind w:right="-108"/>
        <w:jc w:val="center"/>
        <w:rPr>
          <w:rFonts w:asciiTheme="minorEastAsia" w:hAnsiTheme="minorEastAsia" w:eastAsiaTheme="minorEastAsia"/>
          <w:b/>
          <w:spacing w:val="40"/>
          <w:sz w:val="84"/>
          <w:szCs w:val="84"/>
        </w:rPr>
      </w:pPr>
      <w:r>
        <w:rPr>
          <w:rFonts w:hint="eastAsia" w:asciiTheme="minorEastAsia" w:hAnsiTheme="minorEastAsia" w:eastAsiaTheme="minorEastAsia"/>
          <w:b/>
          <w:spacing w:val="40"/>
          <w:sz w:val="84"/>
          <w:szCs w:val="84"/>
        </w:rPr>
        <w:t>件</w:t>
      </w:r>
    </w:p>
    <w:p>
      <w:pPr>
        <w:spacing w:line="500" w:lineRule="exact"/>
        <w:ind w:right="532"/>
        <w:jc w:val="center"/>
        <w:rPr>
          <w:rFonts w:asciiTheme="minorEastAsia" w:hAnsiTheme="minorEastAsia" w:eastAsiaTheme="minorEastAsia"/>
          <w:sz w:val="36"/>
          <w:szCs w:val="36"/>
        </w:rPr>
      </w:pPr>
    </w:p>
    <w:p>
      <w:pPr>
        <w:spacing w:line="500" w:lineRule="exact"/>
        <w:ind w:right="532"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响应人名称：</w:t>
      </w:r>
    </w:p>
    <w:p>
      <w:pPr>
        <w:wordWrap w:val="0"/>
        <w:spacing w:line="500" w:lineRule="exact"/>
        <w:ind w:right="-108"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地    址：</w:t>
      </w:r>
    </w:p>
    <w:p>
      <w:pPr>
        <w:wordWrap w:val="0"/>
        <w:spacing w:line="500" w:lineRule="exact"/>
        <w:ind w:right="-108" w:firstLine="720" w:firstLineChars="200"/>
        <w:rPr>
          <w:rFonts w:asciiTheme="minorEastAsia" w:hAnsiTheme="minorEastAsia" w:eastAsiaTheme="minorEastAsia"/>
          <w:sz w:val="36"/>
          <w:szCs w:val="36"/>
        </w:rPr>
      </w:pPr>
      <w:r>
        <w:rPr>
          <w:rFonts w:hint="eastAsia" w:asciiTheme="minorEastAsia" w:hAnsiTheme="minorEastAsia" w:eastAsiaTheme="minorEastAsia"/>
          <w:sz w:val="36"/>
          <w:szCs w:val="36"/>
        </w:rPr>
        <w:t>时    间：</w:t>
      </w:r>
    </w:p>
    <w:p>
      <w:pPr>
        <w:snapToGrid w:val="0"/>
        <w:spacing w:before="50" w:after="50"/>
        <w:rPr>
          <w:rFonts w:asciiTheme="minorEastAsia" w:hAnsiTheme="minorEastAsia" w:eastAsiaTheme="minorEastAsia"/>
          <w:sz w:val="30"/>
          <w:szCs w:val="30"/>
        </w:rPr>
      </w:pPr>
    </w:p>
    <w:p>
      <w:pPr>
        <w:spacing w:line="360" w:lineRule="auto"/>
        <w:rPr>
          <w:rFonts w:asciiTheme="minorEastAsia" w:hAnsiTheme="minorEastAsia" w:eastAsiaTheme="minorEastAsia"/>
          <w:color w:val="000000"/>
          <w:sz w:val="28"/>
          <w:szCs w:val="28"/>
        </w:rPr>
      </w:pPr>
      <w:r>
        <w:rPr>
          <w:rFonts w:hint="eastAsia" w:asciiTheme="minorEastAsia" w:hAnsiTheme="minorEastAsia" w:eastAsiaTheme="minorEastAsia"/>
          <w:kern w:val="0"/>
        </w:rPr>
        <w:br w:type="page"/>
      </w:r>
      <w:r>
        <w:rPr>
          <w:rFonts w:hint="eastAsia" w:asciiTheme="minorEastAsia" w:hAnsiTheme="minorEastAsia" w:eastAsiaTheme="minorEastAsia"/>
          <w:color w:val="000000"/>
          <w:sz w:val="28"/>
          <w:szCs w:val="28"/>
        </w:rPr>
        <w:t>附件9：</w:t>
      </w:r>
    </w:p>
    <w:p>
      <w:pPr>
        <w:spacing w:line="360" w:lineRule="auto"/>
        <w:jc w:val="center"/>
        <w:rPr>
          <w:rFonts w:asciiTheme="minorEastAsia" w:hAnsiTheme="minorEastAsia" w:eastAsiaTheme="minorEastAsia"/>
          <w:b/>
          <w:bCs/>
          <w:sz w:val="32"/>
          <w:szCs w:val="32"/>
        </w:rPr>
      </w:pPr>
      <w:r>
        <w:rPr>
          <w:rFonts w:hint="eastAsia" w:asciiTheme="minorEastAsia" w:hAnsiTheme="minorEastAsia" w:eastAsiaTheme="minorEastAsia"/>
          <w:b/>
          <w:sz w:val="32"/>
          <w:szCs w:val="32"/>
        </w:rPr>
        <w:t>投 标 函</w:t>
      </w:r>
    </w:p>
    <w:p>
      <w:pPr>
        <w:snapToGrid w:val="0"/>
        <w:spacing w:line="360" w:lineRule="auto"/>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致：</w:t>
      </w:r>
      <w:r>
        <w:rPr>
          <w:rFonts w:hint="eastAsia" w:asciiTheme="minorEastAsia" w:hAnsiTheme="minorEastAsia" w:eastAsiaTheme="minorEastAsia"/>
          <w:color w:val="FF0000"/>
          <w:sz w:val="24"/>
          <w:szCs w:val="24"/>
        </w:rPr>
        <w:t>海标工程管理有限公司</w:t>
      </w:r>
    </w:p>
    <w:p>
      <w:pPr>
        <w:snapToGrid w:val="0"/>
        <w:spacing w:line="360" w:lineRule="auto"/>
        <w:ind w:firstLine="540"/>
        <w:rPr>
          <w:rFonts w:asciiTheme="minorEastAsia" w:hAnsiTheme="minorEastAsia" w:eastAsiaTheme="minorEastAsia"/>
          <w:sz w:val="24"/>
          <w:szCs w:val="24"/>
        </w:rPr>
      </w:pPr>
      <w:r>
        <w:rPr>
          <w:rFonts w:hint="eastAsia" w:asciiTheme="minorEastAsia" w:hAnsiTheme="minorEastAsia" w:eastAsiaTheme="minorEastAsia"/>
          <w:sz w:val="24"/>
          <w:szCs w:val="24"/>
        </w:rPr>
        <w:t>根据贵方招标文件的要求，正式授权下述签字人</w:t>
      </w:r>
      <w:r>
        <w:rPr>
          <w:rFonts w:hint="eastAsia" w:asciiTheme="minorEastAsia" w:hAnsiTheme="minorEastAsia" w:eastAsiaTheme="minorEastAsia"/>
          <w:sz w:val="24"/>
          <w:szCs w:val="24"/>
          <w:u w:val="single"/>
        </w:rPr>
        <w:t>（姓名）</w:t>
      </w:r>
      <w:r>
        <w:rPr>
          <w:rFonts w:hint="eastAsia" w:asciiTheme="minorEastAsia" w:hAnsiTheme="minorEastAsia" w:eastAsiaTheme="minorEastAsia"/>
          <w:sz w:val="24"/>
          <w:szCs w:val="24"/>
        </w:rPr>
        <w:t xml:space="preserve">代表投标人 </w:t>
      </w:r>
      <w:r>
        <w:rPr>
          <w:rFonts w:hint="eastAsia" w:asciiTheme="minorEastAsia" w:hAnsiTheme="minorEastAsia" w:eastAsiaTheme="minorEastAsia"/>
          <w:sz w:val="24"/>
          <w:szCs w:val="24"/>
          <w:u w:val="single"/>
        </w:rPr>
        <w:t xml:space="preserve">（投标人名称） </w:t>
      </w:r>
      <w:r>
        <w:rPr>
          <w:rFonts w:hint="eastAsia" w:asciiTheme="minorEastAsia" w:hAnsiTheme="minorEastAsia" w:eastAsiaTheme="minorEastAsia"/>
          <w:sz w:val="24"/>
          <w:szCs w:val="24"/>
        </w:rPr>
        <w:t>，提交下述文件。据此函，签字人兹宣布同意如下：</w:t>
      </w:r>
    </w:p>
    <w:p>
      <w:pPr>
        <w:snapToGrid w:val="0"/>
        <w:spacing w:line="360" w:lineRule="auto"/>
        <w:ind w:firstLine="540"/>
        <w:rPr>
          <w:rFonts w:asciiTheme="minorEastAsia" w:hAnsiTheme="minorEastAsia" w:eastAsiaTheme="minorEastAsia"/>
          <w:sz w:val="24"/>
          <w:szCs w:val="24"/>
        </w:rPr>
      </w:pPr>
      <w:r>
        <w:rPr>
          <w:rFonts w:hint="eastAsia" w:asciiTheme="minorEastAsia" w:hAnsiTheme="minorEastAsia" w:eastAsiaTheme="minorEastAsia"/>
          <w:sz w:val="24"/>
          <w:szCs w:val="24"/>
        </w:rPr>
        <w:t>1.我方已仔细研究了______________（项目名称） 的招标文件的全部内容，愿意以承诺以下内容：</w:t>
      </w:r>
    </w:p>
    <w:p>
      <w:pPr>
        <w:snapToGrid w:val="0"/>
        <w:spacing w:line="360" w:lineRule="auto"/>
        <w:ind w:firstLine="540"/>
        <w:rPr>
          <w:rFonts w:asciiTheme="minorEastAsia" w:hAnsiTheme="minorEastAsia" w:eastAsiaTheme="minorEastAsia"/>
          <w:sz w:val="24"/>
          <w:szCs w:val="24"/>
        </w:rPr>
      </w:pPr>
      <w:r>
        <w:rPr>
          <w:rFonts w:hint="eastAsia" w:asciiTheme="minorEastAsia" w:hAnsiTheme="minorEastAsia" w:eastAsiaTheme="minorEastAsia"/>
          <w:b/>
          <w:bCs/>
          <w:sz w:val="24"/>
          <w:szCs w:val="24"/>
        </w:rPr>
        <w:t>人民币（大写）___（小写___）</w:t>
      </w:r>
      <w:r>
        <w:rPr>
          <w:rFonts w:hint="eastAsia" w:asciiTheme="minorEastAsia" w:hAnsiTheme="minorEastAsia" w:eastAsiaTheme="minorEastAsia"/>
          <w:sz w:val="24"/>
          <w:szCs w:val="24"/>
        </w:rPr>
        <w:t>的投标总报价。质量目标达到</w:t>
      </w:r>
      <w:r>
        <w:rPr>
          <w:rFonts w:hint="eastAsia" w:asciiTheme="minorEastAsia" w:hAnsiTheme="minorEastAsia" w:eastAsiaTheme="minorEastAsia"/>
          <w:sz w:val="24"/>
          <w:szCs w:val="24"/>
          <w:u w:val="single"/>
        </w:rPr>
        <w:t xml:space="preserve">采购人要求 </w:t>
      </w:r>
      <w:r>
        <w:rPr>
          <w:rFonts w:hint="eastAsia" w:asciiTheme="minorEastAsia" w:hAnsiTheme="minorEastAsia" w:eastAsiaTheme="minorEastAsia"/>
          <w:sz w:val="24"/>
          <w:szCs w:val="24"/>
        </w:rPr>
        <w:t>。</w:t>
      </w:r>
    </w:p>
    <w:p>
      <w:pPr>
        <w:pStyle w:val="28"/>
        <w:snapToGrid w:val="0"/>
        <w:spacing w:after="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2.我方在投标之前已经与贵方进行了充分的沟通，完全理解并接受招标文件的各项规定和要求，对招标文件的合理性、合法性不再有异议。（包括修改文件）</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3.我方承诺在投标有效期内（从开标之日起</w:t>
      </w:r>
      <w:r>
        <w:rPr>
          <w:rFonts w:hint="eastAsia" w:asciiTheme="minorEastAsia" w:hAnsiTheme="minorEastAsia" w:eastAsiaTheme="minorEastAsia"/>
          <w:sz w:val="24"/>
          <w:u w:val="single"/>
        </w:rPr>
        <w:t>90</w:t>
      </w:r>
      <w:r>
        <w:rPr>
          <w:rFonts w:hint="eastAsia" w:asciiTheme="minorEastAsia" w:hAnsiTheme="minorEastAsia" w:eastAsiaTheme="minorEastAsia"/>
          <w:sz w:val="24"/>
        </w:rPr>
        <w:t>天），其投标文件中的所有内容对我方具有约束力。如在此有效期内，我方出现下列行为之一者，同意无条件支付贰万元违约保证金。</w:t>
      </w:r>
    </w:p>
    <w:p>
      <w:pPr>
        <w:spacing w:line="360" w:lineRule="auto"/>
        <w:ind w:firstLine="480" w:firstLineChars="200"/>
        <w:jc w:val="left"/>
        <w:rPr>
          <w:rFonts w:asciiTheme="minorEastAsia" w:hAnsiTheme="minorEastAsia" w:eastAsiaTheme="minorEastAsia"/>
          <w:kern w:val="0"/>
          <w:sz w:val="24"/>
        </w:rPr>
      </w:pPr>
      <w:r>
        <w:rPr>
          <w:rFonts w:hint="eastAsia" w:asciiTheme="minorEastAsia" w:hAnsiTheme="minorEastAsia" w:eastAsiaTheme="minorEastAsia"/>
          <w:kern w:val="0"/>
          <w:sz w:val="24"/>
        </w:rPr>
        <w:t>1）在投标有效期内撤回投标文件；</w:t>
      </w:r>
    </w:p>
    <w:p>
      <w:pPr>
        <w:spacing w:line="360" w:lineRule="auto"/>
        <w:ind w:firstLine="480"/>
        <w:jc w:val="left"/>
        <w:rPr>
          <w:rFonts w:asciiTheme="minorEastAsia" w:hAnsiTheme="minorEastAsia" w:eastAsiaTheme="minorEastAsia"/>
          <w:kern w:val="0"/>
          <w:sz w:val="24"/>
        </w:rPr>
      </w:pPr>
      <w:r>
        <w:rPr>
          <w:rFonts w:hint="eastAsia" w:asciiTheme="minorEastAsia" w:hAnsiTheme="minorEastAsia" w:eastAsiaTheme="minorEastAsia"/>
          <w:kern w:val="0"/>
          <w:sz w:val="24"/>
        </w:rPr>
        <w:t>2）在投标过程中弄虚作假、提供虚假材料的；</w:t>
      </w:r>
    </w:p>
    <w:p>
      <w:pPr>
        <w:spacing w:line="360" w:lineRule="auto"/>
        <w:ind w:firstLine="480"/>
        <w:jc w:val="left"/>
        <w:rPr>
          <w:rFonts w:asciiTheme="minorEastAsia" w:hAnsiTheme="minorEastAsia" w:eastAsiaTheme="minorEastAsia"/>
          <w:kern w:val="0"/>
          <w:sz w:val="24"/>
        </w:rPr>
      </w:pPr>
      <w:r>
        <w:rPr>
          <w:rFonts w:hint="eastAsia" w:asciiTheme="minorEastAsia" w:hAnsiTheme="minorEastAsia" w:eastAsiaTheme="minorEastAsia"/>
          <w:kern w:val="0"/>
          <w:sz w:val="24"/>
        </w:rPr>
        <w:t>3）如果中标不与采购人签订合同的；</w:t>
      </w:r>
    </w:p>
    <w:p>
      <w:pPr>
        <w:spacing w:line="360" w:lineRule="auto"/>
        <w:ind w:firstLine="480"/>
        <w:jc w:val="left"/>
        <w:rPr>
          <w:rFonts w:asciiTheme="minorEastAsia" w:hAnsiTheme="minorEastAsia" w:eastAsiaTheme="minorEastAsia"/>
          <w:kern w:val="0"/>
          <w:sz w:val="24"/>
        </w:rPr>
      </w:pPr>
      <w:r>
        <w:rPr>
          <w:rFonts w:hint="eastAsia" w:asciiTheme="minorEastAsia" w:hAnsiTheme="minorEastAsia" w:eastAsiaTheme="minorEastAsia"/>
          <w:kern w:val="0"/>
          <w:sz w:val="24"/>
        </w:rPr>
        <w:t>4）有其他严重扰乱招投标程序的。</w:t>
      </w:r>
    </w:p>
    <w:p>
      <w:pPr>
        <w:snapToGrid w:val="0"/>
        <w:spacing w:line="360" w:lineRule="auto"/>
        <w:ind w:firstLine="540"/>
        <w:rPr>
          <w:rFonts w:asciiTheme="minorEastAsia" w:hAnsiTheme="minorEastAsia" w:eastAsiaTheme="minorEastAsia"/>
          <w:sz w:val="24"/>
        </w:rPr>
      </w:pPr>
      <w:r>
        <w:rPr>
          <w:rFonts w:hint="eastAsia" w:asciiTheme="minorEastAsia" w:hAnsiTheme="minorEastAsia" w:eastAsiaTheme="minorEastAsia"/>
          <w:sz w:val="24"/>
        </w:rPr>
        <w:t>4.如我方中标，我方承诺：</w:t>
      </w:r>
    </w:p>
    <w:p>
      <w:pPr>
        <w:snapToGrid w:val="0"/>
        <w:spacing w:line="360" w:lineRule="auto"/>
        <w:ind w:firstLine="540"/>
        <w:rPr>
          <w:rFonts w:asciiTheme="minorEastAsia" w:hAnsiTheme="minorEastAsia" w:eastAsiaTheme="minorEastAsia"/>
          <w:sz w:val="24"/>
        </w:rPr>
      </w:pPr>
      <w:r>
        <w:rPr>
          <w:rFonts w:hint="eastAsia" w:asciiTheme="minorEastAsia" w:hAnsiTheme="minorEastAsia" w:eastAsiaTheme="minorEastAsia"/>
          <w:sz w:val="24"/>
        </w:rPr>
        <w:t>1）收到中标通知书后，在中标通知书规定的期限内与采购人签订合同。</w:t>
      </w:r>
    </w:p>
    <w:p>
      <w:pPr>
        <w:snapToGrid w:val="0"/>
        <w:spacing w:line="360" w:lineRule="auto"/>
        <w:ind w:firstLine="540"/>
        <w:rPr>
          <w:rFonts w:asciiTheme="minorEastAsia" w:hAnsiTheme="minorEastAsia" w:eastAsiaTheme="minorEastAsia"/>
          <w:sz w:val="24"/>
        </w:rPr>
      </w:pPr>
      <w:r>
        <w:rPr>
          <w:rFonts w:hint="eastAsia" w:asciiTheme="minorEastAsia" w:hAnsiTheme="minorEastAsia" w:eastAsiaTheme="minorEastAsia"/>
          <w:sz w:val="24"/>
        </w:rPr>
        <w:t>2）在合同约定的期限内完成全部工作内容。</w:t>
      </w:r>
    </w:p>
    <w:p>
      <w:pPr>
        <w:snapToGrid w:val="0"/>
        <w:spacing w:line="360" w:lineRule="auto"/>
        <w:ind w:firstLine="540"/>
        <w:rPr>
          <w:rFonts w:asciiTheme="minorEastAsia" w:hAnsiTheme="minorEastAsia" w:eastAsiaTheme="minorEastAsia"/>
          <w:sz w:val="24"/>
        </w:rPr>
      </w:pPr>
      <w:r>
        <w:rPr>
          <w:rFonts w:hint="eastAsia" w:asciiTheme="minorEastAsia" w:hAnsiTheme="minorEastAsia" w:eastAsiaTheme="minorEastAsia"/>
          <w:sz w:val="24"/>
        </w:rPr>
        <w:t>5.我方在此声明，所递交的投标文件及有关资料内容完整、真实和准确。</w:t>
      </w:r>
    </w:p>
    <w:p>
      <w:pPr>
        <w:snapToGrid w:val="0"/>
        <w:spacing w:line="360" w:lineRule="auto"/>
        <w:ind w:firstLine="540"/>
        <w:rPr>
          <w:rFonts w:asciiTheme="minorEastAsia" w:hAnsiTheme="minorEastAsia" w:eastAsiaTheme="minorEastAsia"/>
          <w:sz w:val="24"/>
        </w:rPr>
      </w:pPr>
      <w:r>
        <w:rPr>
          <w:rFonts w:hint="eastAsia" w:asciiTheme="minorEastAsia" w:hAnsiTheme="minorEastAsia" w:eastAsiaTheme="minorEastAsia"/>
          <w:sz w:val="24"/>
        </w:rPr>
        <w:t>6.我方理解贵方不一定接受最低报价的投标人，且对招标文件中规定的付款方式无异议。</w:t>
      </w:r>
    </w:p>
    <w:p>
      <w:pPr>
        <w:snapToGrid w:val="0"/>
        <w:spacing w:line="360" w:lineRule="auto"/>
        <w:ind w:left="2940" w:leftChars="257" w:hanging="2400" w:hangingChars="1000"/>
        <w:rPr>
          <w:rFonts w:asciiTheme="minorEastAsia" w:hAnsiTheme="minorEastAsia" w:eastAsiaTheme="minorEastAsia"/>
          <w:b/>
          <w:sz w:val="30"/>
          <w:szCs w:val="30"/>
        </w:rPr>
      </w:pPr>
      <w:r>
        <w:rPr>
          <w:rFonts w:hint="eastAsia" w:asciiTheme="minorEastAsia" w:hAnsiTheme="minorEastAsia" w:eastAsiaTheme="minorEastAsia"/>
          <w:sz w:val="24"/>
        </w:rPr>
        <w:t>7.（投标人认为需要的其他补充说明）</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rPr>
        <w:t>。</w:t>
      </w:r>
    </w:p>
    <w:p>
      <w:pPr>
        <w:snapToGrid w:val="0"/>
        <w:spacing w:line="360" w:lineRule="auto"/>
        <w:rPr>
          <w:rFonts w:asciiTheme="minorEastAsia" w:hAnsiTheme="minorEastAsia" w:eastAsiaTheme="minorEastAsia"/>
          <w:b/>
          <w:sz w:val="28"/>
          <w:szCs w:val="28"/>
        </w:rPr>
      </w:pP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投标人全称（</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法定代表人或授权代表（</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w:t>
      </w:r>
    </w:p>
    <w:p>
      <w:pPr>
        <w:pStyle w:val="2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pStyle w:val="35"/>
        <w:snapToGrid w:val="0"/>
        <w:spacing w:before="120" w:after="120"/>
        <w:jc w:val="left"/>
        <w:rPr>
          <w:rFonts w:hAnsi="宋体"/>
          <w:sz w:val="30"/>
          <w:szCs w:val="30"/>
        </w:rPr>
        <w:sectPr>
          <w:headerReference r:id="rId6" w:type="first"/>
          <w:footerReference r:id="rId9" w:type="first"/>
          <w:headerReference r:id="rId5" w:type="default"/>
          <w:footerReference r:id="rId7" w:type="default"/>
          <w:footerReference r:id="rId8" w:type="even"/>
          <w:pgSz w:w="11906" w:h="16838"/>
          <w:pgMar w:top="1558" w:right="1531" w:bottom="468" w:left="1531" w:header="851" w:footer="851" w:gutter="0"/>
          <w:pgNumType w:chapStyle="1" w:chapSep="colon"/>
          <w:cols w:space="720" w:num="1"/>
          <w:docGrid w:linePitch="312" w:charSpace="0"/>
        </w:sectPr>
      </w:pPr>
    </w:p>
    <w:p>
      <w:pPr>
        <w:pStyle w:val="35"/>
        <w:snapToGrid w:val="0"/>
        <w:spacing w:before="120" w:after="120"/>
        <w:jc w:val="left"/>
        <w:rPr>
          <w:rFonts w:hint="eastAsia" w:ascii="宋体" w:hAnsi="宋体" w:eastAsia="宋体" w:cs="宋体"/>
          <w:kern w:val="2"/>
          <w:sz w:val="32"/>
          <w:szCs w:val="32"/>
        </w:rPr>
      </w:pPr>
      <w:r>
        <w:rPr>
          <w:rFonts w:hint="eastAsia" w:hAnsi="宋体"/>
          <w:sz w:val="30"/>
          <w:szCs w:val="30"/>
        </w:rPr>
        <w:t>附件10：</w:t>
      </w:r>
    </w:p>
    <w:p>
      <w:pPr>
        <w:pStyle w:val="580"/>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59"/>
        <w:tblW w:w="14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755"/>
        <w:gridCol w:w="3007"/>
        <w:gridCol w:w="3008"/>
        <w:gridCol w:w="825"/>
        <w:gridCol w:w="810"/>
        <w:gridCol w:w="1530"/>
        <w:gridCol w:w="1312"/>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41" w:type="dxa"/>
            <w:gridSpan w:val="9"/>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41" w:type="dxa"/>
            <w:gridSpan w:val="9"/>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户外乐园区块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cs="宋体"/>
                <w:b/>
                <w:sz w:val="21"/>
                <w:szCs w:val="21"/>
              </w:rPr>
              <w:t>品牌（如果有）</w:t>
            </w: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cs="宋体"/>
                <w:b/>
                <w:sz w:val="21"/>
                <w:szCs w:val="21"/>
              </w:rPr>
              <w:t>规格型号</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合计（元）</w:t>
            </w: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乐园入口门</w:t>
            </w:r>
          </w:p>
        </w:tc>
        <w:tc>
          <w:tcPr>
            <w:tcW w:w="3007"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乐园入口围栏</w:t>
            </w:r>
          </w:p>
        </w:tc>
        <w:tc>
          <w:tcPr>
            <w:tcW w:w="3007"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val="0"/>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val="0"/>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IP主题入口标志性构筑物</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FF0000"/>
                <w:sz w:val="21"/>
                <w:szCs w:val="21"/>
                <w:u w:val="none"/>
                <w:lang w:val="en-US"/>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FF0000"/>
                <w:sz w:val="21"/>
                <w:szCs w:val="21"/>
                <w:u w:val="none"/>
                <w:lang w:val="en-US"/>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highlight w:val="none"/>
                <w:u w:val="none"/>
                <w:lang w:val="en-US" w:eastAsia="zh-CN" w:bidi="ar"/>
              </w:rPr>
              <w:t>定制IP主题旋转木马</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座</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旋转木马设备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none"/>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大型扭蛋装置</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定制IP主题升降旋转飞机</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座</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升降旋转飞机</w:t>
            </w:r>
            <w:r>
              <w:rPr>
                <w:rFonts w:hint="eastAsia" w:ascii="宋体" w:hAnsi="宋体" w:cs="宋体"/>
                <w:i w:val="0"/>
                <w:iCs w:val="0"/>
                <w:color w:val="000000"/>
                <w:kern w:val="0"/>
                <w:sz w:val="21"/>
                <w:szCs w:val="21"/>
                <w:highlight w:val="none"/>
                <w:u w:val="none"/>
                <w:lang w:val="en-US" w:eastAsia="zh-CN" w:bidi="ar"/>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定制IP主题爬山车</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爬山车设备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w:t>
            </w:r>
            <w:r>
              <w:rPr>
                <w:rFonts w:hint="eastAsia" w:ascii="宋体" w:hAnsi="宋体" w:eastAsia="宋体" w:cs="宋体"/>
                <w:i w:val="0"/>
                <w:iCs w:val="0"/>
                <w:color w:val="000000"/>
                <w:kern w:val="0"/>
                <w:sz w:val="21"/>
                <w:szCs w:val="21"/>
                <w:highlight w:val="none"/>
                <w:u w:val="none"/>
                <w:lang w:val="en-US" w:eastAsia="zh-CN" w:bidi="ar"/>
              </w:rPr>
              <w:t>卡丁车</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val="0"/>
                <w:i w:val="0"/>
                <w:iCs w:val="0"/>
                <w:color w:val="000000"/>
                <w:kern w:val="0"/>
                <w:sz w:val="21"/>
                <w:szCs w:val="21"/>
                <w:highlight w:val="none"/>
                <w:u w:val="none"/>
                <w:lang w:val="en-US" w:eastAsia="zh-CN" w:bidi="ar"/>
              </w:rPr>
              <w:t>卡丁车设备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u w:val="none"/>
                <w:lang w:val="en-US" w:eastAsia="zh-CN" w:bidi="ar"/>
              </w:rPr>
              <w:t>搭建内容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IP主题形象真人娃娃机</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定制IP主题弹跳蹦床</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弹跳蹦床设备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场地搭建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定制IP主题海盗船</w:t>
            </w: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定制IP主题手工区</w:t>
            </w: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1"/>
                <w:szCs w:val="21"/>
                <w:lang w:val="en-US" w:eastAsia="zh-CN"/>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儿童捞鱼池（含配套物品）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儿童玩具桌（含配套物品）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儿童太空沙桌（含配套物品）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儿童考古桌（含配套物品）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儿童陈列柜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b w:val="0"/>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b w:val="0"/>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遮阳棚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175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IP主题角色雕塑</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kern w:val="0"/>
                <w:sz w:val="21"/>
                <w:szCs w:val="21"/>
                <w:lang w:val="en-US" w:eastAsia="zh-CN" w:bidi="ar-SA"/>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kern w:val="0"/>
                <w:sz w:val="21"/>
                <w:szCs w:val="21"/>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75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定制IP主题感应汽车装置</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车辆</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车辆停靠站</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备注：本项清单整条内容按设备内容。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自助售卖区</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站亭</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自助售水机</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7" w:type="dxa"/>
            <w:noWrap w:val="0"/>
            <w:vAlign w:val="center"/>
          </w:tcPr>
          <w:p>
            <w:pPr>
              <w:pStyle w:val="28"/>
              <w:ind w:left="0" w:leftChars="0" w:firstLine="0" w:firstLineChars="0"/>
              <w:rPr>
                <w:rFonts w:hint="eastAsia" w:ascii="宋体" w:hAnsi="宋体" w:eastAsia="宋体" w:cs="宋体"/>
                <w:sz w:val="21"/>
                <w:szCs w:val="21"/>
                <w:highlight w:val="none"/>
                <w:lang w:val="en-US" w:eastAsia="zh-CN"/>
              </w:rPr>
            </w:pPr>
          </w:p>
        </w:tc>
        <w:tc>
          <w:tcPr>
            <w:tcW w:w="3008" w:type="dxa"/>
            <w:noWrap w:val="0"/>
            <w:vAlign w:val="center"/>
          </w:tcPr>
          <w:p>
            <w:pPr>
              <w:pStyle w:val="28"/>
              <w:ind w:left="0" w:leftChars="0" w:firstLine="0" w:firstLineChars="0"/>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玩具零售自助机</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餐车</w:t>
            </w:r>
          </w:p>
        </w:tc>
        <w:tc>
          <w:tcPr>
            <w:tcW w:w="3007"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IP主题零售区</w:t>
            </w:r>
          </w:p>
        </w:tc>
        <w:tc>
          <w:tcPr>
            <w:tcW w:w="3007" w:type="dxa"/>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sz w:val="21"/>
                <w:szCs w:val="21"/>
                <w:highlight w:val="none"/>
                <w:lang w:val="en-US" w:eastAsia="zh-CN"/>
              </w:rPr>
            </w:pPr>
          </w:p>
        </w:tc>
        <w:tc>
          <w:tcPr>
            <w:tcW w:w="3008" w:type="dxa"/>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基础装饰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b w:val="0"/>
                <w:i w:val="0"/>
                <w:iCs w:val="0"/>
                <w:color w:val="000000"/>
                <w:kern w:val="0"/>
                <w:sz w:val="21"/>
                <w:szCs w:val="21"/>
                <w:highlight w:val="none"/>
                <w:lang w:val="en-US" w:eastAsia="zh-CN" w:bidi="ar"/>
              </w:rPr>
            </w:pPr>
          </w:p>
        </w:tc>
        <w:tc>
          <w:tcPr>
            <w:tcW w:w="3008" w:type="dxa"/>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b w:val="0"/>
                <w:i w:val="0"/>
                <w:iCs w:val="0"/>
                <w:color w:val="000000"/>
                <w:kern w:val="0"/>
                <w:sz w:val="21"/>
                <w:szCs w:val="21"/>
                <w:highlight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灯光改造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b w:val="0"/>
                <w:i w:val="0"/>
                <w:iCs w:val="0"/>
                <w:color w:val="000000"/>
                <w:kern w:val="0"/>
                <w:sz w:val="21"/>
                <w:szCs w:val="21"/>
                <w:highlight w:val="none"/>
                <w:lang w:val="en-US" w:eastAsia="zh-CN" w:bidi="ar"/>
              </w:rPr>
            </w:pPr>
          </w:p>
        </w:tc>
        <w:tc>
          <w:tcPr>
            <w:tcW w:w="3008" w:type="dxa"/>
            <w:noWrap w:val="0"/>
            <w:vAlign w:val="center"/>
          </w:tcPr>
          <w:p>
            <w:pPr>
              <w:keepNext w:val="0"/>
              <w:keepLines w:val="0"/>
              <w:pageBreakBefore w:val="0"/>
              <w:widowControl/>
              <w:numPr>
                <w:ilvl w:val="0"/>
                <w:numId w:val="0"/>
              </w:numPr>
              <w:suppressLineNumbers w:val="0"/>
              <w:kinsoku/>
              <w:wordWrap/>
              <w:overflowPunct/>
              <w:topLinePunct w:val="0"/>
              <w:bidi w:val="0"/>
              <w:adjustRightInd/>
              <w:snapToGrid/>
              <w:spacing w:line="400" w:lineRule="exact"/>
              <w:jc w:val="left"/>
              <w:textAlignment w:val="center"/>
              <w:rPr>
                <w:rFonts w:hint="eastAsia" w:ascii="宋体" w:hAnsi="宋体" w:eastAsia="宋体" w:cs="宋体"/>
                <w:b w:val="0"/>
                <w:i w:val="0"/>
                <w:iCs w:val="0"/>
                <w:color w:val="000000"/>
                <w:kern w:val="0"/>
                <w:sz w:val="21"/>
                <w:szCs w:val="21"/>
                <w:highlight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樘</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更换卷闸门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topLinePunct w:val="0"/>
              <w:bidi w:val="0"/>
              <w:snapToGrid/>
              <w:spacing w:line="400" w:lineRule="exact"/>
              <w:jc w:val="both"/>
              <w:rPr>
                <w:rFonts w:hint="eastAsia" w:ascii="宋体" w:hAnsi="宋体" w:eastAsia="宋体" w:cs="宋体"/>
                <w:b w:val="0"/>
                <w:i w:val="0"/>
                <w:iCs w:val="0"/>
                <w:color w:val="000000"/>
                <w:kern w:val="0"/>
                <w:sz w:val="21"/>
                <w:szCs w:val="21"/>
                <w:highlight w:val="none"/>
                <w:lang w:val="en-US" w:eastAsia="zh-CN" w:bidi="ar"/>
              </w:rPr>
            </w:pPr>
          </w:p>
        </w:tc>
        <w:tc>
          <w:tcPr>
            <w:tcW w:w="3008" w:type="dxa"/>
            <w:noWrap w:val="0"/>
            <w:vAlign w:val="center"/>
          </w:tcPr>
          <w:p>
            <w:pPr>
              <w:pStyle w:val="56"/>
              <w:keepNext w:val="0"/>
              <w:keepLines w:val="0"/>
              <w:pageBreakBefore w:val="0"/>
              <w:widowControl/>
              <w:kinsoku/>
              <w:wordWrap/>
              <w:topLinePunct w:val="0"/>
              <w:bidi w:val="0"/>
              <w:snapToGrid/>
              <w:spacing w:line="400" w:lineRule="exact"/>
              <w:jc w:val="both"/>
              <w:rPr>
                <w:rFonts w:hint="eastAsia" w:ascii="宋体" w:hAnsi="宋体" w:eastAsia="宋体" w:cs="宋体"/>
                <w:b w:val="0"/>
                <w:i w:val="0"/>
                <w:iCs w:val="0"/>
                <w:color w:val="000000"/>
                <w:kern w:val="0"/>
                <w:sz w:val="21"/>
                <w:szCs w:val="21"/>
                <w:highlight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更换铝合金推拉窗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中岛货柜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空调</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休息区</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天幕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b/>
                <w:kern w:val="0"/>
                <w:sz w:val="21"/>
                <w:szCs w:val="21"/>
                <w:lang w:val="en-US" w:eastAsia="zh-CN" w:bidi="ar-SA"/>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jc w:val="both"/>
              <w:rPr>
                <w:rFonts w:hint="eastAsia" w:ascii="宋体" w:hAnsi="宋体" w:eastAsia="宋体" w:cs="宋体"/>
                <w:b/>
                <w:kern w:val="0"/>
                <w:sz w:val="21"/>
                <w:szCs w:val="21"/>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highlight w:val="none"/>
                <w:u w:val="none"/>
                <w:lang w:val="en-US" w:eastAsia="zh-CN"/>
              </w:rPr>
              <w:t>桌子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highlight w:val="none"/>
                <w:u w:val="none"/>
                <w:lang w:val="en-US" w:eastAsia="zh-CN"/>
              </w:rPr>
              <w:t>长凳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乐园氛围装饰</w:t>
            </w: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highlight w:val="none"/>
                <w:lang w:val="en-US" w:eastAsia="zh-CN"/>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i w:val="0"/>
                <w:iCs w:val="0"/>
                <w:color w:val="000000"/>
                <w:kern w:val="2"/>
                <w:sz w:val="21"/>
                <w:szCs w:val="21"/>
                <w:highlight w:val="none"/>
                <w:u w:val="none"/>
                <w:lang w:val="en-US" w:eastAsia="zh-CN" w:bidi="ar-SA"/>
              </w:rPr>
              <w:t>基础改造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b w:val="0"/>
                <w:i w:val="0"/>
                <w:iCs w:val="0"/>
                <w:color w:val="000000"/>
                <w:kern w:val="2"/>
                <w:sz w:val="21"/>
                <w:szCs w:val="21"/>
                <w:highlight w:val="none"/>
                <w:u w:val="none"/>
                <w:lang w:val="en-US" w:eastAsia="zh-CN" w:bidi="ar-SA"/>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b w:val="0"/>
                <w:i w:val="0"/>
                <w:iCs w:val="0"/>
                <w:color w:val="000000"/>
                <w:kern w:val="2"/>
                <w:sz w:val="21"/>
                <w:szCs w:val="21"/>
                <w:highlight w:val="none"/>
                <w:u w:val="none"/>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地坪漆彩绘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sz w:val="21"/>
                <w:szCs w:val="21"/>
                <w:highlight w:val="none"/>
                <w:lang w:val="en-US" w:eastAsia="zh-CN"/>
              </w:rPr>
            </w:pPr>
          </w:p>
        </w:tc>
        <w:tc>
          <w:tcPr>
            <w:tcW w:w="3008"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外立面吊旗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电力接入</w:t>
            </w:r>
          </w:p>
        </w:tc>
        <w:tc>
          <w:tcPr>
            <w:tcW w:w="3007"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给水接入</w:t>
            </w:r>
          </w:p>
        </w:tc>
        <w:tc>
          <w:tcPr>
            <w:tcW w:w="3007"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741" w:type="dxa"/>
            <w:gridSpan w:val="9"/>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水世界区块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sz w:val="21"/>
                <w:szCs w:val="21"/>
              </w:rPr>
              <w:t>品牌（如果有）</w:t>
            </w: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cs="宋体"/>
                <w:b/>
                <w:sz w:val="21"/>
                <w:szCs w:val="21"/>
              </w:rPr>
              <w:t>规格型号</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合计（元）</w:t>
            </w: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入口长廊</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入口地面</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val="0"/>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b w:val="0"/>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隔墙</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照明灯塔</w:t>
            </w:r>
          </w:p>
        </w:tc>
        <w:tc>
          <w:tcPr>
            <w:tcW w:w="3007" w:type="dxa"/>
            <w:noWrap w:val="0"/>
            <w:vAlign w:val="center"/>
          </w:tcPr>
          <w:p>
            <w:pPr>
              <w:pStyle w:val="58"/>
              <w:ind w:left="0" w:leftChars="0" w:firstLine="0" w:firstLineChars="0"/>
              <w:rPr>
                <w:rFonts w:hint="eastAsia" w:ascii="宋体" w:hAnsi="宋体" w:eastAsia="宋体" w:cs="宋体"/>
                <w:sz w:val="21"/>
                <w:szCs w:val="21"/>
                <w:lang w:val="en-US" w:eastAsia="zh-CN"/>
              </w:rPr>
            </w:pPr>
          </w:p>
        </w:tc>
        <w:tc>
          <w:tcPr>
            <w:tcW w:w="3008" w:type="dxa"/>
            <w:noWrap w:val="0"/>
            <w:vAlign w:val="center"/>
          </w:tcPr>
          <w:p>
            <w:pPr>
              <w:pStyle w:val="58"/>
              <w:ind w:left="0" w:leftChars="0" w:firstLine="0" w:firstLineChars="0"/>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定制IP主题水上游乐区</w:t>
            </w:r>
          </w:p>
        </w:tc>
        <w:tc>
          <w:tcPr>
            <w:tcW w:w="3007" w:type="dxa"/>
            <w:noWrap w:val="0"/>
            <w:vAlign w:val="center"/>
          </w:tcPr>
          <w:p>
            <w:pPr>
              <w:pStyle w:val="58"/>
              <w:keepNext w:val="0"/>
              <w:keepLines w:val="0"/>
              <w:pageBreakBefore w:val="0"/>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p>
        </w:tc>
        <w:tc>
          <w:tcPr>
            <w:tcW w:w="3008" w:type="dxa"/>
            <w:noWrap w:val="0"/>
            <w:vAlign w:val="center"/>
          </w:tcPr>
          <w:p>
            <w:pPr>
              <w:pStyle w:val="58"/>
              <w:keepNext w:val="0"/>
              <w:keepLines w:val="0"/>
              <w:pageBreakBefore w:val="0"/>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遮阳伞和休息椅</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玻璃钢IP主题角色雕塑</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移动遮阳棚</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9</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淋浴间</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间</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储物柜</w:t>
            </w:r>
          </w:p>
        </w:tc>
        <w:tc>
          <w:tcPr>
            <w:tcW w:w="3007" w:type="dxa"/>
            <w:noWrap w:val="0"/>
            <w:vAlign w:val="center"/>
          </w:tcPr>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p>
        </w:tc>
        <w:tc>
          <w:tcPr>
            <w:tcW w:w="3008" w:type="dxa"/>
            <w:noWrap w:val="0"/>
            <w:vAlign w:val="center"/>
          </w:tcPr>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室内休息区</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地面改造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墙面改造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电力接入</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给水接入</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741" w:type="dxa"/>
            <w:gridSpan w:val="9"/>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亲子展区块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81"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75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3007"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sz w:val="21"/>
                <w:szCs w:val="21"/>
              </w:rPr>
              <w:t>品牌（如果有）</w:t>
            </w:r>
          </w:p>
        </w:tc>
        <w:tc>
          <w:tcPr>
            <w:tcW w:w="3008"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cs="宋体"/>
                <w:b/>
                <w:sz w:val="21"/>
                <w:szCs w:val="21"/>
              </w:rPr>
              <w:t>规格型号</w:t>
            </w:r>
          </w:p>
        </w:tc>
        <w:tc>
          <w:tcPr>
            <w:tcW w:w="8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810"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c>
          <w:tcPr>
            <w:tcW w:w="1530"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312"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合计（元）</w:t>
            </w:r>
          </w:p>
        </w:tc>
        <w:tc>
          <w:tcPr>
            <w:tcW w:w="131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室外入口门</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墙面装饰</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kern w:val="2"/>
                <w:sz w:val="21"/>
                <w:szCs w:val="21"/>
                <w:lang w:val="en-US" w:eastAsia="zh-CN" w:bidi="ar-SA"/>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kern w:val="2"/>
                <w:sz w:val="21"/>
                <w:szCs w:val="21"/>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地面改造</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照明灯光</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sz w:val="21"/>
                <w:szCs w:val="21"/>
                <w:highlight w:val="none"/>
                <w:u w:val="none"/>
                <w:lang w:val="en-US" w:eastAsia="zh-CN"/>
              </w:rPr>
              <w:t>40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sz w:val="21"/>
                <w:szCs w:val="21"/>
                <w:highlight w:val="none"/>
                <w:u w:val="none"/>
                <w:lang w:val="en-US" w:eastAsia="zh-CN"/>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lang w:val="en-US" w:eastAsia="zh-CN"/>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氛围灯光</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3匹柜式空调</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6</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障碍挑战区</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沙池</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海洋球区</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水床</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碰碰车区域（室外）</w:t>
            </w:r>
          </w:p>
        </w:tc>
        <w:tc>
          <w:tcPr>
            <w:tcW w:w="3007" w:type="dxa"/>
            <w:noWrap w:val="0"/>
            <w:vAlign w:val="center"/>
          </w:tcPr>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p>
        </w:tc>
        <w:tc>
          <w:tcPr>
            <w:tcW w:w="3008" w:type="dxa"/>
            <w:noWrap w:val="0"/>
            <w:vAlign w:val="center"/>
          </w:tcPr>
          <w:p>
            <w:pPr>
              <w:pStyle w:val="58"/>
              <w:keepNext w:val="0"/>
              <w:keepLines w:val="0"/>
              <w:pageBreakBefore w:val="0"/>
              <w:widowControl/>
              <w:kinsoku/>
              <w:wordWrap/>
              <w:overflowPunct/>
              <w:topLinePunct w:val="0"/>
              <w:autoSpaceDE/>
              <w:autoSpaceDN/>
              <w:bidi w:val="0"/>
              <w:adjustRightInd/>
              <w:snapToGrid/>
              <w:spacing w:after="0" w:line="400" w:lineRule="exact"/>
              <w:ind w:left="0" w:leftChars="0" w:firstLine="0" w:firstLineChars="0"/>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主题打卡区</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w:t>
            </w:r>
            <w:r>
              <w:rPr>
                <w:rFonts w:hint="eastAsia" w:ascii="宋体" w:hAnsi="宋体" w:eastAsia="宋体" w:cs="宋体"/>
                <w:i w:val="0"/>
                <w:iCs w:val="0"/>
                <w:color w:val="000000"/>
                <w:kern w:val="0"/>
                <w:sz w:val="21"/>
                <w:szCs w:val="21"/>
                <w:highlight w:val="yellow"/>
                <w:u w:val="none"/>
                <w:lang w:val="en-US" w:eastAsia="zh-CN" w:bidi="ar"/>
              </w:rPr>
              <w:t>IP主题</w:t>
            </w:r>
            <w:r>
              <w:rPr>
                <w:rFonts w:hint="eastAsia" w:ascii="宋体" w:hAnsi="宋体" w:eastAsia="宋体" w:cs="宋体"/>
                <w:i w:val="0"/>
                <w:iCs w:val="0"/>
                <w:color w:val="000000"/>
                <w:kern w:val="0"/>
                <w:sz w:val="21"/>
                <w:szCs w:val="21"/>
                <w:u w:val="none"/>
                <w:lang w:val="en-US" w:eastAsia="zh-CN" w:bidi="ar"/>
              </w:rPr>
              <w:t>角色雕塑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背景板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kinsoku/>
              <w:wordWrap/>
              <w:overflowPunct/>
              <w:topLinePunct w:val="0"/>
              <w:bidi w:val="0"/>
              <w:adjustRightInd/>
              <w:snapToGrid/>
              <w:spacing w:line="400" w:lineRule="exact"/>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green"/>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green"/>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green"/>
                <w:u w:val="none"/>
                <w:lang w:val="en-US" w:eastAsia="zh-CN" w:bidi="ar"/>
              </w:rPr>
            </w:pPr>
            <w:r>
              <w:rPr>
                <w:rFonts w:hint="eastAsia" w:ascii="宋体" w:hAnsi="宋体" w:eastAsia="宋体" w:cs="宋体"/>
                <w:i w:val="0"/>
                <w:iCs w:val="0"/>
                <w:color w:val="000000"/>
                <w:kern w:val="0"/>
                <w:sz w:val="21"/>
                <w:szCs w:val="21"/>
                <w:u w:val="none"/>
                <w:lang w:val="en-US" w:eastAsia="zh-CN" w:bidi="ar"/>
              </w:rPr>
              <w:t>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28"/>
              <w:ind w:left="0" w:leftChars="0" w:firstLine="0" w:firstLineChars="0"/>
              <w:rPr>
                <w:rFonts w:hint="eastAsia" w:ascii="宋体" w:hAnsi="宋体" w:eastAsia="宋体" w:cs="宋体"/>
                <w:sz w:val="21"/>
                <w:szCs w:val="21"/>
                <w:lang w:val="en-US" w:eastAsia="zh-CN"/>
              </w:rPr>
            </w:pPr>
          </w:p>
        </w:tc>
        <w:tc>
          <w:tcPr>
            <w:tcW w:w="3008" w:type="dxa"/>
            <w:noWrap w:val="0"/>
            <w:vAlign w:val="center"/>
          </w:tcPr>
          <w:p>
            <w:pPr>
              <w:pStyle w:val="28"/>
              <w:ind w:left="0" w:leftChars="0" w:firstLine="0" w:firstLineChars="0"/>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55寸液晶电视机</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1755"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主题零售区</w:t>
            </w:r>
          </w:p>
        </w:tc>
        <w:tc>
          <w:tcPr>
            <w:tcW w:w="3007" w:type="dxa"/>
            <w:noWrap w:val="0"/>
            <w:vAlign w:val="center"/>
          </w:tcPr>
          <w:p>
            <w:pPr>
              <w:pStyle w:val="28"/>
              <w:ind w:left="0" w:leftChars="0" w:firstLine="0" w:firstLineChars="0"/>
              <w:rPr>
                <w:rFonts w:hint="eastAsia" w:ascii="宋体" w:hAnsi="宋体" w:eastAsia="宋体" w:cs="宋体"/>
                <w:kern w:val="2"/>
                <w:sz w:val="21"/>
                <w:szCs w:val="21"/>
                <w:lang w:val="en-US" w:eastAsia="zh-CN" w:bidi="ar-SA"/>
              </w:rPr>
            </w:pPr>
          </w:p>
        </w:tc>
        <w:tc>
          <w:tcPr>
            <w:tcW w:w="3008" w:type="dxa"/>
            <w:noWrap w:val="0"/>
            <w:vAlign w:val="center"/>
          </w:tcPr>
          <w:p>
            <w:pPr>
              <w:pStyle w:val="28"/>
              <w:ind w:left="0" w:leftChars="0" w:firstLine="0" w:firstLineChars="0"/>
              <w:rPr>
                <w:rFonts w:hint="eastAsia" w:ascii="宋体" w:hAnsi="宋体" w:eastAsia="宋体" w:cs="宋体"/>
                <w:kern w:val="2"/>
                <w:sz w:val="21"/>
                <w:szCs w:val="21"/>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pStyle w:val="28"/>
              <w:ind w:left="0" w:leftChars="0" w:firstLine="0" w:firstLineChars="0"/>
              <w:rPr>
                <w:rFonts w:hint="eastAsia" w:ascii="宋体" w:hAnsi="宋体" w:eastAsia="宋体" w:cs="宋体"/>
                <w:kern w:val="2"/>
                <w:sz w:val="21"/>
                <w:szCs w:val="21"/>
                <w:highlight w:val="none"/>
                <w:lang w:val="en-US" w:eastAsia="zh-CN" w:bidi="ar-SA"/>
              </w:rPr>
            </w:pPr>
          </w:p>
        </w:tc>
        <w:tc>
          <w:tcPr>
            <w:tcW w:w="3008" w:type="dxa"/>
            <w:noWrap w:val="0"/>
            <w:vAlign w:val="center"/>
          </w:tcPr>
          <w:p>
            <w:pPr>
              <w:pStyle w:val="28"/>
              <w:ind w:left="0" w:leftChars="0" w:firstLine="0" w:firstLineChars="0"/>
              <w:rPr>
                <w:rFonts w:hint="eastAsia" w:ascii="宋体" w:hAnsi="宋体" w:eastAsia="宋体" w:cs="宋体"/>
                <w:kern w:val="2"/>
                <w:sz w:val="21"/>
                <w:szCs w:val="21"/>
                <w:highlight w:val="none"/>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收银台</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55"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2"/>
                <w:sz w:val="21"/>
                <w:szCs w:val="21"/>
                <w:highlight w:val="none"/>
                <w:u w:val="none"/>
                <w:lang w:val="en-US" w:eastAsia="zh-CN" w:bidi="ar-SA"/>
              </w:rPr>
              <w:t>灯箱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玻璃钢IP主题角色雕塑</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鞋柜</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u w:val="none"/>
                <w:lang w:val="en-US" w:eastAsia="zh-CN" w:bidi="ar-SA"/>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2"/>
                <w:sz w:val="21"/>
                <w:szCs w:val="21"/>
                <w:u w:val="none"/>
                <w:lang w:val="en-US" w:eastAsia="zh-CN" w:bidi="ar-SA"/>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主题形象雪弗板</w:t>
            </w:r>
          </w:p>
        </w:tc>
        <w:tc>
          <w:tcPr>
            <w:tcW w:w="3007" w:type="dxa"/>
            <w:noWrap w:val="0"/>
            <w:vAlign w:val="center"/>
          </w:tcPr>
          <w:p>
            <w:pPr>
              <w:pStyle w:val="28"/>
              <w:ind w:left="0" w:leftChars="0" w:firstLine="0" w:firstLineChars="0"/>
              <w:rPr>
                <w:rFonts w:hint="eastAsia" w:ascii="宋体" w:hAnsi="宋体" w:eastAsia="宋体" w:cs="宋体"/>
                <w:sz w:val="21"/>
                <w:szCs w:val="21"/>
                <w:highlight w:val="none"/>
                <w:lang w:val="en-US" w:eastAsia="zh-CN"/>
              </w:rPr>
            </w:pPr>
          </w:p>
        </w:tc>
        <w:tc>
          <w:tcPr>
            <w:tcW w:w="3008" w:type="dxa"/>
            <w:noWrap w:val="0"/>
            <w:vAlign w:val="center"/>
          </w:tcPr>
          <w:p>
            <w:pPr>
              <w:pStyle w:val="28"/>
              <w:ind w:left="0" w:leftChars="0" w:firstLine="0" w:firstLineChars="0"/>
              <w:rPr>
                <w:rFonts w:hint="eastAsia" w:ascii="宋体" w:hAnsi="宋体" w:eastAsia="宋体" w:cs="宋体"/>
                <w:sz w:val="21"/>
                <w:szCs w:val="21"/>
                <w:highlight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电力接入</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sz w:val="21"/>
                <w:szCs w:val="21"/>
                <w:u w:val="none"/>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sz w:val="21"/>
                <w:szCs w:val="21"/>
                <w:u w:val="none"/>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741" w:type="dxa"/>
            <w:gridSpan w:val="9"/>
            <w:shd w:val="clear" w:color="auto" w:fill="DCE6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游览路线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81"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75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3007"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sz w:val="21"/>
                <w:szCs w:val="21"/>
              </w:rPr>
              <w:t>品牌（如果有）</w:t>
            </w:r>
          </w:p>
        </w:tc>
        <w:tc>
          <w:tcPr>
            <w:tcW w:w="3008"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cs="宋体"/>
                <w:b/>
                <w:sz w:val="21"/>
                <w:szCs w:val="21"/>
              </w:rPr>
              <w:t>规格型号</w:t>
            </w:r>
          </w:p>
        </w:tc>
        <w:tc>
          <w:tcPr>
            <w:tcW w:w="8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810"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c>
          <w:tcPr>
            <w:tcW w:w="1530"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312"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合计（元）</w:t>
            </w:r>
          </w:p>
        </w:tc>
        <w:tc>
          <w:tcPr>
            <w:tcW w:w="131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气模组1</w:t>
            </w:r>
          </w:p>
        </w:tc>
        <w:tc>
          <w:tcPr>
            <w:tcW w:w="3007" w:type="dxa"/>
            <w:noWrap w:val="0"/>
            <w:vAlign w:val="center"/>
          </w:tcPr>
          <w:p>
            <w:pPr>
              <w:pStyle w:val="56"/>
              <w:jc w:val="left"/>
              <w:rPr>
                <w:rFonts w:hint="eastAsia" w:ascii="宋体" w:hAnsi="宋体" w:eastAsia="宋体" w:cs="宋体"/>
                <w:sz w:val="21"/>
                <w:szCs w:val="21"/>
                <w:lang w:val="en-US" w:eastAsia="zh-CN"/>
              </w:rPr>
            </w:pPr>
          </w:p>
        </w:tc>
        <w:tc>
          <w:tcPr>
            <w:tcW w:w="3008" w:type="dxa"/>
            <w:noWrap w:val="0"/>
            <w:vAlign w:val="center"/>
          </w:tcPr>
          <w:p>
            <w:pPr>
              <w:pStyle w:val="56"/>
              <w:jc w:val="left"/>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气模组2</w:t>
            </w:r>
          </w:p>
        </w:tc>
        <w:tc>
          <w:tcPr>
            <w:tcW w:w="3007" w:type="dxa"/>
            <w:noWrap w:val="0"/>
            <w:vAlign w:val="center"/>
          </w:tcPr>
          <w:p>
            <w:pPr>
              <w:pStyle w:val="56"/>
              <w:jc w:val="left"/>
              <w:rPr>
                <w:rFonts w:hint="eastAsia" w:ascii="宋体" w:hAnsi="宋体" w:eastAsia="宋体" w:cs="宋体"/>
                <w:b w:val="0"/>
                <w:i w:val="0"/>
                <w:iCs w:val="0"/>
                <w:color w:val="000000"/>
                <w:kern w:val="0"/>
                <w:sz w:val="21"/>
                <w:szCs w:val="21"/>
                <w:u w:val="none"/>
                <w:lang w:val="en-US" w:eastAsia="zh-CN" w:bidi="ar"/>
              </w:rPr>
            </w:pPr>
          </w:p>
        </w:tc>
        <w:tc>
          <w:tcPr>
            <w:tcW w:w="3008" w:type="dxa"/>
            <w:noWrap w:val="0"/>
            <w:vAlign w:val="center"/>
          </w:tcPr>
          <w:p>
            <w:pPr>
              <w:pStyle w:val="56"/>
              <w:jc w:val="left"/>
              <w:rPr>
                <w:rFonts w:hint="eastAsia" w:ascii="宋体" w:hAnsi="宋体" w:eastAsia="宋体" w:cs="宋体"/>
                <w:b w:val="0"/>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green"/>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气模组3</w:t>
            </w:r>
          </w:p>
        </w:tc>
        <w:tc>
          <w:tcPr>
            <w:tcW w:w="3007" w:type="dxa"/>
            <w:noWrap w:val="0"/>
            <w:vAlign w:val="center"/>
          </w:tcPr>
          <w:p>
            <w:pPr>
              <w:pStyle w:val="56"/>
              <w:jc w:val="both"/>
              <w:rPr>
                <w:rFonts w:hint="eastAsia" w:ascii="宋体" w:hAnsi="宋体" w:eastAsia="宋体" w:cs="宋体"/>
                <w:sz w:val="21"/>
                <w:szCs w:val="21"/>
                <w:lang w:val="en-US" w:eastAsia="zh-CN"/>
              </w:rPr>
            </w:pPr>
          </w:p>
        </w:tc>
        <w:tc>
          <w:tcPr>
            <w:tcW w:w="3008" w:type="dxa"/>
            <w:noWrap w:val="0"/>
            <w:vAlign w:val="center"/>
          </w:tcPr>
          <w:p>
            <w:pPr>
              <w:pStyle w:val="56"/>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玻璃钢IP主题角色雕塑</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定制IP主题小火车</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i w:val="0"/>
                <w:iCs w:val="0"/>
                <w:color w:val="000000"/>
                <w:kern w:val="0"/>
                <w:sz w:val="21"/>
                <w:szCs w:val="21"/>
                <w:highlight w:val="green"/>
                <w:u w:val="none"/>
                <w:lang w:val="en-US" w:eastAsia="zh-CN" w:bidi="ar"/>
              </w:rPr>
              <w:t>本项清单整条内容按设备内容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1755" w:type="dxa"/>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车站</w:t>
            </w:r>
          </w:p>
        </w:tc>
        <w:tc>
          <w:tcPr>
            <w:tcW w:w="3007" w:type="dxa"/>
            <w:noWrap w:val="0"/>
            <w:vAlign w:val="center"/>
          </w:tcPr>
          <w:p>
            <w:pPr>
              <w:pStyle w:val="56"/>
              <w:keepNext w:val="0"/>
              <w:keepLines w:val="0"/>
              <w:pageBreakBefore w:val="0"/>
              <w:kinsoku/>
              <w:wordWrap/>
              <w:topLinePunct w:val="0"/>
              <w:bidi w:val="0"/>
              <w:snapToGrid/>
              <w:spacing w:line="360" w:lineRule="auto"/>
              <w:jc w:val="both"/>
              <w:rPr>
                <w:rFonts w:hint="eastAsia" w:ascii="宋体" w:hAnsi="宋体" w:eastAsia="宋体" w:cs="宋体"/>
                <w:sz w:val="21"/>
                <w:szCs w:val="21"/>
                <w:lang w:val="en-US" w:eastAsia="zh-CN"/>
              </w:rPr>
            </w:pPr>
          </w:p>
        </w:tc>
        <w:tc>
          <w:tcPr>
            <w:tcW w:w="3008" w:type="dxa"/>
            <w:noWrap w:val="0"/>
            <w:vAlign w:val="center"/>
          </w:tcPr>
          <w:p>
            <w:pPr>
              <w:pStyle w:val="56"/>
              <w:keepNext w:val="0"/>
              <w:keepLines w:val="0"/>
              <w:pageBreakBefore w:val="0"/>
              <w:kinsoku/>
              <w:wordWrap/>
              <w:topLinePunct w:val="0"/>
              <w:bidi w:val="0"/>
              <w:snapToGrid/>
              <w:spacing w:line="360" w:lineRule="auto"/>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DP点1</w:t>
            </w:r>
          </w:p>
        </w:tc>
        <w:tc>
          <w:tcPr>
            <w:tcW w:w="3007" w:type="dxa"/>
            <w:noWrap w:val="0"/>
            <w:vAlign w:val="center"/>
          </w:tcPr>
          <w:p>
            <w:pPr>
              <w:pStyle w:val="56"/>
              <w:jc w:val="both"/>
              <w:rPr>
                <w:rFonts w:hint="eastAsia" w:ascii="宋体" w:hAnsi="宋体" w:eastAsia="宋体" w:cs="宋体"/>
                <w:sz w:val="21"/>
                <w:szCs w:val="21"/>
                <w:lang w:val="en-US" w:eastAsia="zh-CN"/>
              </w:rPr>
            </w:pPr>
          </w:p>
        </w:tc>
        <w:tc>
          <w:tcPr>
            <w:tcW w:w="3008" w:type="dxa"/>
            <w:noWrap w:val="0"/>
            <w:vAlign w:val="center"/>
          </w:tcPr>
          <w:p>
            <w:pPr>
              <w:pStyle w:val="56"/>
              <w:jc w:val="both"/>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DP点2</w:t>
            </w:r>
          </w:p>
        </w:tc>
        <w:tc>
          <w:tcPr>
            <w:tcW w:w="3007" w:type="dxa"/>
            <w:noWrap w:val="0"/>
            <w:vAlign w:val="center"/>
          </w:tcPr>
          <w:p>
            <w:pPr>
              <w:pStyle w:val="56"/>
              <w:jc w:val="both"/>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pStyle w:val="56"/>
              <w:jc w:val="both"/>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DP点3</w:t>
            </w:r>
          </w:p>
        </w:tc>
        <w:tc>
          <w:tcPr>
            <w:tcW w:w="3007" w:type="dxa"/>
            <w:noWrap w:val="0"/>
            <w:vAlign w:val="center"/>
          </w:tcPr>
          <w:p>
            <w:pPr>
              <w:pStyle w:val="56"/>
              <w:jc w:val="both"/>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pStyle w:val="56"/>
              <w:jc w:val="both"/>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DP点4</w:t>
            </w:r>
          </w:p>
        </w:tc>
        <w:tc>
          <w:tcPr>
            <w:tcW w:w="3007" w:type="dxa"/>
            <w:noWrap w:val="0"/>
            <w:vAlign w:val="center"/>
          </w:tcPr>
          <w:p>
            <w:pPr>
              <w:pStyle w:val="56"/>
              <w:jc w:val="both"/>
              <w:rPr>
                <w:rFonts w:hint="eastAsia" w:ascii="宋体" w:hAnsi="宋体" w:eastAsia="宋体" w:cs="宋体"/>
                <w:i w:val="0"/>
                <w:iCs w:val="0"/>
                <w:color w:val="000000"/>
                <w:kern w:val="0"/>
                <w:sz w:val="21"/>
                <w:szCs w:val="21"/>
                <w:u w:val="none"/>
                <w:lang w:val="en-US" w:eastAsia="zh-CN" w:bidi="ar"/>
              </w:rPr>
            </w:pPr>
          </w:p>
        </w:tc>
        <w:tc>
          <w:tcPr>
            <w:tcW w:w="3008" w:type="dxa"/>
            <w:noWrap w:val="0"/>
            <w:vAlign w:val="center"/>
          </w:tcPr>
          <w:p>
            <w:pPr>
              <w:pStyle w:val="56"/>
              <w:jc w:val="both"/>
              <w:rPr>
                <w:rFonts w:hint="eastAsia" w:ascii="宋体" w:hAnsi="宋体" w:eastAsia="宋体" w:cs="宋体"/>
                <w:i w:val="0"/>
                <w:iCs w:val="0"/>
                <w:color w:val="000000"/>
                <w:kern w:val="0"/>
                <w:sz w:val="21"/>
                <w:szCs w:val="21"/>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动漫墙绘</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sz w:val="21"/>
                <w:szCs w:val="21"/>
                <w:lang w:val="en-US" w:eastAsia="zh-CN"/>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12</w:t>
            </w:r>
          </w:p>
        </w:tc>
        <w:tc>
          <w:tcPr>
            <w:tcW w:w="17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垃圾桶</w:t>
            </w:r>
          </w:p>
        </w:tc>
        <w:tc>
          <w:tcPr>
            <w:tcW w:w="30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w:t>
            </w:r>
          </w:p>
        </w:tc>
        <w:tc>
          <w:tcPr>
            <w:tcW w:w="8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3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51" w:type="dxa"/>
            <w:gridSpan w:val="4"/>
            <w:noWrap w:val="0"/>
            <w:vAlign w:val="center"/>
          </w:tcPr>
          <w:p>
            <w:pPr>
              <w:spacing w:line="360" w:lineRule="auto"/>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cs="宋体"/>
                <w:b/>
                <w:sz w:val="24"/>
              </w:rPr>
              <w:t>投标报价</w:t>
            </w:r>
            <w:r>
              <w:rPr>
                <w:rFonts w:hint="eastAsia" w:ascii="宋体" w:hAnsi="宋体" w:cs="宋体"/>
                <w:b/>
                <w:sz w:val="24"/>
                <w:lang w:val="en-US" w:eastAsia="zh-CN"/>
              </w:rPr>
              <w:t>总价</w:t>
            </w:r>
            <w:r>
              <w:rPr>
                <w:rFonts w:hint="eastAsia" w:ascii="宋体" w:hAnsi="宋体" w:cs="宋体"/>
                <w:b/>
                <w:sz w:val="24"/>
              </w:rPr>
              <w:t>（小写）</w:t>
            </w:r>
          </w:p>
        </w:tc>
        <w:tc>
          <w:tcPr>
            <w:tcW w:w="57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51" w:type="dxa"/>
            <w:gridSpan w:val="4"/>
            <w:noWrap w:val="0"/>
            <w:vAlign w:val="center"/>
          </w:tcPr>
          <w:p>
            <w:pPr>
              <w:spacing w:line="360" w:lineRule="auto"/>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cs="宋体"/>
                <w:b/>
                <w:sz w:val="24"/>
              </w:rPr>
              <w:t>投标报价</w:t>
            </w:r>
            <w:r>
              <w:rPr>
                <w:rFonts w:hint="eastAsia" w:ascii="宋体" w:hAnsi="宋体" w:cs="宋体"/>
                <w:b/>
                <w:sz w:val="24"/>
                <w:lang w:val="en-US" w:eastAsia="zh-CN"/>
              </w:rPr>
              <w:t>总价</w:t>
            </w:r>
            <w:r>
              <w:rPr>
                <w:rFonts w:hint="eastAsia" w:ascii="宋体" w:hAnsi="宋体" w:cs="宋体"/>
                <w:b/>
                <w:sz w:val="24"/>
              </w:rPr>
              <w:t>（大写）</w:t>
            </w:r>
          </w:p>
        </w:tc>
        <w:tc>
          <w:tcPr>
            <w:tcW w:w="57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投标人全称（</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autoSpaceDE/>
        <w:autoSpaceDN/>
        <w:bidi w:val="0"/>
        <w:adjustRightInd/>
        <w:snapToGrid w:val="0"/>
        <w:spacing w:beforeLines="50"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法定代表人或授权代表（</w:t>
      </w:r>
      <w:r>
        <w:rPr>
          <w:rFonts w:hint="eastAsia" w:ascii="宋体" w:hAnsi="宋体" w:eastAsia="宋体" w:cs="宋体"/>
          <w:bCs/>
          <w:sz w:val="24"/>
          <w:szCs w:val="24"/>
          <w:lang w:val="en-US" w:eastAsia="zh-CN"/>
        </w:rPr>
        <w:t>电子签章</w:t>
      </w:r>
      <w:r>
        <w:rPr>
          <w:rFonts w:hint="eastAsia" w:ascii="宋体" w:hAnsi="宋体" w:eastAsia="宋体" w:cs="宋体"/>
          <w:bCs/>
          <w:sz w:val="24"/>
          <w:szCs w:val="24"/>
        </w:rPr>
        <w:t>）：</w:t>
      </w:r>
    </w:p>
    <w:p>
      <w:pPr>
        <w:pStyle w:val="2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snapToGrid w:val="0"/>
          <w:sz w:val="24"/>
          <w:szCs w:val="24"/>
          <w:highlight w:val="none"/>
        </w:rPr>
      </w:pPr>
      <w:r>
        <w:rPr>
          <w:rStyle w:val="866"/>
          <w:rFonts w:hint="eastAsia" w:ascii="宋体" w:hAnsi="宋体" w:eastAsia="宋体" w:cs="宋体"/>
          <w:spacing w:val="0"/>
          <w:sz w:val="24"/>
          <w:szCs w:val="24"/>
          <w:highlight w:val="none"/>
        </w:rPr>
        <w:t>日期：</w:t>
      </w:r>
      <w:r>
        <w:rPr>
          <w:rFonts w:hint="eastAsia" w:ascii="宋体" w:hAnsi="宋体" w:eastAsia="宋体" w:cs="宋体"/>
          <w:snapToGrid w:val="0"/>
          <w:sz w:val="24"/>
          <w:szCs w:val="24"/>
          <w:highlight w:val="none"/>
          <w:u w:val="single"/>
        </w:rPr>
        <w:t xml:space="preserve">      </w:t>
      </w:r>
      <w:r>
        <w:rPr>
          <w:rFonts w:hint="eastAsia" w:ascii="宋体" w:hAnsi="宋体" w:eastAsia="宋体" w:cs="宋体"/>
          <w:snapToGrid w:val="0"/>
          <w:sz w:val="24"/>
          <w:szCs w:val="24"/>
          <w:highlight w:val="none"/>
        </w:rPr>
        <w:t>年</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月</w:t>
      </w:r>
      <w:r>
        <w:rPr>
          <w:rFonts w:hint="eastAsia" w:ascii="宋体" w:hAnsi="宋体" w:eastAsia="宋体" w:cs="宋体"/>
          <w:snapToGrid w:val="0"/>
          <w:sz w:val="24"/>
          <w:szCs w:val="24"/>
          <w:highlight w:val="none"/>
          <w:u w:val="single"/>
        </w:rPr>
        <w:t xml:space="preserve">     </w:t>
      </w:r>
      <w:r>
        <w:rPr>
          <w:rStyle w:val="866"/>
          <w:rFonts w:hint="eastAsia" w:ascii="宋体" w:hAnsi="宋体" w:eastAsia="宋体" w:cs="宋体"/>
          <w:spacing w:val="0"/>
          <w:sz w:val="24"/>
          <w:szCs w:val="24"/>
          <w:highlight w:val="none"/>
        </w:rPr>
        <w:t>日</w:t>
      </w:r>
    </w:p>
    <w:p>
      <w:pPr>
        <w:snapToGrid w:val="0"/>
        <w:spacing w:line="360" w:lineRule="auto"/>
        <w:rPr>
          <w:rFonts w:hint="eastAsia" w:ascii="宋体" w:hAnsi="宋体" w:cs="宋体"/>
          <w:b/>
          <w:kern w:val="0"/>
          <w:sz w:val="24"/>
          <w:lang w:val="zh-CN"/>
        </w:rPr>
      </w:pPr>
    </w:p>
    <w:p>
      <w:pPr>
        <w:snapToGrid w:val="0"/>
        <w:spacing w:line="360" w:lineRule="auto"/>
        <w:rPr>
          <w:rFonts w:ascii="宋体" w:hAnsi="宋体" w:cs="宋体"/>
          <w:b/>
          <w:kern w:val="0"/>
          <w:sz w:val="24"/>
          <w:lang w:val="zh-CN"/>
        </w:rPr>
      </w:pPr>
      <w:r>
        <w:rPr>
          <w:rFonts w:hint="eastAsia" w:ascii="宋体" w:hAnsi="宋体" w:cs="宋体"/>
          <w:b/>
          <w:kern w:val="0"/>
          <w:sz w:val="24"/>
          <w:lang w:val="zh-CN"/>
        </w:rPr>
        <w:t>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kern w:val="0"/>
          <w:sz w:val="24"/>
          <w:lang w:val="zh-CN"/>
        </w:rPr>
      </w:pPr>
      <w:r>
        <w:rPr>
          <w:rFonts w:hint="eastAsia" w:ascii="宋体" w:hAnsi="宋体" w:cs="宋体"/>
          <w:kern w:val="0"/>
          <w:sz w:val="24"/>
          <w:lang w:val="zh-CN"/>
        </w:rPr>
        <w:t>1、</w:t>
      </w:r>
      <w:r>
        <w:rPr>
          <w:rFonts w:hint="eastAsia" w:ascii="宋体" w:hAnsi="宋体" w:cs="宋体"/>
          <w:sz w:val="24"/>
        </w:rPr>
        <w:t>投标人的报价是投标人响应招标项目要求的全部工作内容的价格体现</w:t>
      </w:r>
      <w:r>
        <w:rPr>
          <w:rFonts w:hint="eastAsia" w:ascii="宋体" w:hAnsi="宋体" w:cs="宋体"/>
          <w:sz w:val="24"/>
          <w:lang w:eastAsia="zh-CN"/>
        </w:rPr>
        <w:t>，</w:t>
      </w:r>
      <w:r>
        <w:rPr>
          <w:rFonts w:hint="eastAsia" w:ascii="宋体" w:hAnsi="宋体" w:cs="宋体"/>
          <w:sz w:val="24"/>
          <w:lang w:val="en-US" w:eastAsia="zh-CN"/>
        </w:rPr>
        <w:t>投标报价含本项目全部费用，不做调整。</w:t>
      </w:r>
    </w:p>
    <w:p>
      <w:pPr>
        <w:keepNext w:val="0"/>
        <w:keepLines w:val="0"/>
        <w:pageBreakBefore w:val="0"/>
        <w:widowControl w:val="0"/>
        <w:kinsoku/>
        <w:wordWrap/>
        <w:overflowPunct/>
        <w:topLinePunct w:val="0"/>
        <w:autoSpaceDE/>
        <w:autoSpaceDN/>
        <w:bidi w:val="0"/>
        <w:adjustRightInd/>
        <w:snapToGrid/>
        <w:spacing w:line="360" w:lineRule="auto"/>
        <w:ind w:left="-2" w:leftChars="-1" w:firstLine="480" w:firstLineChars="200"/>
        <w:textAlignment w:val="auto"/>
        <w:rPr>
          <w:rFonts w:ascii="宋体" w:hAnsi="宋体" w:cs="宋体"/>
          <w:kern w:val="0"/>
          <w:sz w:val="24"/>
          <w:lang w:val="zh-CN"/>
        </w:rPr>
      </w:pPr>
      <w:r>
        <w:rPr>
          <w:rFonts w:hint="eastAsia" w:ascii="宋体" w:hAnsi="宋体" w:cs="宋体"/>
          <w:kern w:val="0"/>
          <w:sz w:val="24"/>
          <w:lang w:val="en-US" w:eastAsia="zh-CN"/>
        </w:rPr>
        <w:t>2、</w:t>
      </w:r>
      <w:r>
        <w:rPr>
          <w:rFonts w:hint="eastAsia" w:ascii="宋体" w:hAnsi="宋体" w:cs="宋体"/>
          <w:kern w:val="0"/>
          <w:sz w:val="24"/>
          <w:lang w:val="zh-CN"/>
        </w:rPr>
        <w:t>投标人需按本表格式填写</w:t>
      </w:r>
      <w:r>
        <w:rPr>
          <w:rFonts w:hint="eastAsia" w:ascii="宋体" w:hAnsi="宋体" w:cs="宋体"/>
          <w:b/>
          <w:color w:val="FF0000"/>
          <w:kern w:val="0"/>
          <w:sz w:val="24"/>
          <w:lang w:val="en-US" w:eastAsia="zh-CN"/>
        </w:rPr>
        <w:t>不得减少</w:t>
      </w:r>
      <w:r>
        <w:rPr>
          <w:rFonts w:hint="eastAsia" w:ascii="宋体" w:hAnsi="宋体" w:cs="宋体"/>
          <w:b/>
          <w:color w:val="FF0000"/>
          <w:sz w:val="24"/>
        </w:rPr>
        <w:t>，</w:t>
      </w:r>
      <w:r>
        <w:rPr>
          <w:rFonts w:hint="eastAsia" w:ascii="宋体" w:hAnsi="宋体" w:cs="宋体"/>
          <w:b/>
          <w:color w:val="FF0000"/>
          <w:sz w:val="24"/>
          <w:lang w:val="en-US" w:eastAsia="zh-CN"/>
        </w:rPr>
        <w:t>否则</w:t>
      </w:r>
      <w:r>
        <w:rPr>
          <w:rFonts w:hint="eastAsia" w:ascii="宋体" w:hAnsi="宋体" w:cs="宋体"/>
          <w:b/>
          <w:color w:val="FF0000"/>
          <w:sz w:val="24"/>
        </w:rPr>
        <w:t>投标无效</w:t>
      </w:r>
      <w:r>
        <w:rPr>
          <w:rFonts w:hint="eastAsia" w:ascii="宋体" w:hAnsi="宋体" w:cs="宋体"/>
          <w:b/>
          <w:color w:val="FF0000"/>
          <w:kern w:val="0"/>
          <w:sz w:val="24"/>
          <w:lang w:val="zh-CN"/>
        </w:rPr>
        <w:t>；</w:t>
      </w:r>
      <w:r>
        <w:rPr>
          <w:rFonts w:hint="eastAsia" w:ascii="宋体" w:hAnsi="宋体" w:cs="宋体"/>
          <w:b/>
          <w:color w:val="FF0000"/>
          <w:kern w:val="0"/>
          <w:sz w:val="24"/>
          <w:lang w:val="en-US" w:eastAsia="zh-CN"/>
        </w:rPr>
        <w:t>可以增加或者对同一项进行细化展开</w:t>
      </w:r>
      <w:r>
        <w:rPr>
          <w:rFonts w:hint="eastAsia" w:ascii="宋体" w:hAnsi="宋体" w:cs="宋体"/>
          <w:kern w:val="0"/>
          <w:sz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FF0000"/>
          <w:kern w:val="0"/>
          <w:sz w:val="24"/>
        </w:rPr>
      </w:pPr>
      <w:r>
        <w:rPr>
          <w:rFonts w:hint="eastAsia" w:ascii="宋体" w:hAnsi="宋体" w:cs="宋体"/>
          <w:kern w:val="0"/>
          <w:sz w:val="24"/>
          <w:lang w:val="en-US" w:eastAsia="zh-CN"/>
        </w:rPr>
        <w:t>3</w:t>
      </w:r>
      <w:r>
        <w:rPr>
          <w:rFonts w:hint="eastAsia" w:ascii="宋体" w:hAnsi="宋体" w:cs="宋体"/>
          <w:kern w:val="0"/>
          <w:sz w:val="24"/>
          <w:lang w:val="zh-CN"/>
        </w:rPr>
        <w:t>、有关本项目实施所涉及的一切费用均计入报价。</w:t>
      </w:r>
      <w:r>
        <w:rPr>
          <w:rFonts w:hint="eastAsia" w:ascii="宋体" w:hAnsi="宋体" w:cs="宋体"/>
          <w:b/>
          <w:color w:val="FF0000"/>
          <w:kern w:val="0"/>
          <w:sz w:val="24"/>
          <w:lang w:val="zh-CN"/>
        </w:rPr>
        <w:t>采购人将以合同形式有偿取得货物或服务，不接受投标人给予的赠品、回扣或者与采购无关的其他商品、服务</w:t>
      </w:r>
      <w:r>
        <w:rPr>
          <w:rFonts w:hint="eastAsia" w:ascii="宋体" w:hAnsi="宋体" w:cs="宋体"/>
          <w:color w:val="FF0000"/>
          <w:kern w:val="0"/>
          <w:sz w:val="24"/>
          <w:lang w:val="zh-CN"/>
        </w:rPr>
        <w:t>，</w:t>
      </w:r>
      <w:r>
        <w:rPr>
          <w:rFonts w:hint="eastAsia" w:ascii="宋体" w:hAnsi="宋体" w:cs="宋体"/>
          <w:b/>
          <w:color w:val="FF0000"/>
          <w:kern w:val="0"/>
          <w:sz w:val="24"/>
          <w:lang w:val="zh-CN"/>
        </w:rPr>
        <w:t>不得出现“0元”“免费赠送”等形式的无偿报价，</w:t>
      </w:r>
      <w:r>
        <w:rPr>
          <w:rFonts w:hint="eastAsia" w:ascii="宋体" w:hAnsi="宋体" w:cs="宋体"/>
          <w:b/>
          <w:color w:val="FF0000"/>
          <w:kern w:val="0"/>
          <w:sz w:val="24"/>
        </w:rPr>
        <w:t>否则视为</w:t>
      </w:r>
      <w:r>
        <w:rPr>
          <w:rFonts w:hint="eastAsia" w:ascii="宋体" w:hAnsi="宋体" w:cs="宋体"/>
          <w:b/>
          <w:color w:val="FF0000"/>
          <w:sz w:val="24"/>
        </w:rPr>
        <w:t>投标文件含有采购人不能接受的附加条件，投标无效</w:t>
      </w:r>
      <w:r>
        <w:rPr>
          <w:rFonts w:hint="eastAsia" w:ascii="宋体" w:hAnsi="宋体" w:cs="宋体"/>
          <w:b/>
          <w:color w:val="FF0000"/>
          <w:kern w:val="0"/>
          <w:sz w:val="24"/>
          <w:lang w:val="zh-CN"/>
        </w:rPr>
        <w:t>；采购内容未包含在《开标一览表（报价表）》名称栏中，投标人不能作出合理解释的，</w:t>
      </w:r>
      <w:r>
        <w:rPr>
          <w:rFonts w:hint="eastAsia" w:ascii="宋体" w:hAnsi="宋体" w:cs="宋体"/>
          <w:b/>
          <w:color w:val="FF0000"/>
          <w:kern w:val="0"/>
          <w:sz w:val="24"/>
        </w:rPr>
        <w:t>视为</w:t>
      </w:r>
      <w:r>
        <w:rPr>
          <w:rFonts w:hint="eastAsia" w:ascii="宋体" w:hAnsi="宋体" w:cs="宋体"/>
          <w:b/>
          <w:color w:val="FF0000"/>
          <w:sz w:val="24"/>
        </w:rPr>
        <w:t>投标文件含有采购人不能接受的附加条件的，投标无效。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sectPr>
          <w:pgSz w:w="16838" w:h="11906" w:orient="landscape"/>
          <w:pgMar w:top="1531" w:right="1558" w:bottom="1531" w:left="468" w:header="851" w:footer="851" w:gutter="0"/>
          <w:pgNumType w:chapStyle="1" w:chapSep="colon"/>
          <w:cols w:space="720" w:num="1"/>
          <w:docGrid w:linePitch="312" w:charSpace="0"/>
        </w:sectPr>
      </w:pPr>
    </w:p>
    <w:p>
      <w:pPr>
        <w:pStyle w:val="28"/>
        <w:ind w:firstLine="0" w:firstLineChars="0"/>
        <w:rPr>
          <w:rFonts w:asciiTheme="minorEastAsia" w:hAnsiTheme="minorEastAsia" w:eastAsiaTheme="minorEastAsia"/>
          <w:color w:val="000000"/>
          <w:sz w:val="30"/>
          <w:szCs w:val="30"/>
        </w:rPr>
      </w:pPr>
      <w:r>
        <w:rPr>
          <w:rFonts w:hint="eastAsia" w:asciiTheme="minorEastAsia" w:hAnsiTheme="minorEastAsia" w:eastAsiaTheme="minorEastAsia"/>
          <w:color w:val="000000"/>
          <w:sz w:val="30"/>
          <w:szCs w:val="30"/>
        </w:rPr>
        <w:t>附件11：</w:t>
      </w:r>
    </w:p>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pStyle w:val="19"/>
        <w:ind w:firstLine="0"/>
      </w:pPr>
    </w:p>
    <w:sectPr>
      <w:pgSz w:w="11906" w:h="16838"/>
      <w:pgMar w:top="1558" w:right="1531" w:bottom="468" w:left="1531" w:header="851" w:footer="851" w:gutter="0"/>
      <w:pgNumType w:chapStyle="1" w:chapSep="colon"/>
      <w:cols w:space="720" w:num="1"/>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2C80194-6463-4874-B99C-7329F2E685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FF3D0573-0AA0-4144-AE71-7EFC4BB9199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E0CA7C0A-FEEC-4BB0-8454-D46F5AF4C09C}"/>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4" w:fontKey="{D1B6A90C-DA1A-44F9-A57F-C0EE89116DEB}"/>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Garamond">
    <w:panose1 w:val="02020502050306020203"/>
    <w:charset w:val="00"/>
    <w:family w:val="roman"/>
    <w:pitch w:val="default"/>
    <w:sig w:usb0="00000007" w:usb1="00000000" w:usb2="00000000" w:usb3="00000000" w:csb0="00000093" w:csb1="00000000"/>
  </w:font>
  <w:font w:name="Arial Unicode MS">
    <w:altName w:val="宋体"/>
    <w:panose1 w:val="020B0604020202020204"/>
    <w:charset w:val="86"/>
    <w:family w:val="swiss"/>
    <w:pitch w:val="default"/>
    <w:sig w:usb0="00000000" w:usb1="00000000" w:usb2="0000003F" w:usb3="00000000" w:csb0="603F01FF" w:csb1="FFFF0000"/>
  </w:font>
  <w:font w:name="Book Antiqua">
    <w:altName w:val="Segoe Print"/>
    <w:panose1 w:val="02040602050305030304"/>
    <w:charset w:val="00"/>
    <w:family w:val="roman"/>
    <w:pitch w:val="default"/>
    <w:sig w:usb0="00000000"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Latha">
    <w:altName w:val="Segoe Print"/>
    <w:panose1 w:val="020B0604020202020204"/>
    <w:charset w:val="00"/>
    <w:family w:val="swiss"/>
    <w:pitch w:val="default"/>
    <w:sig w:usb0="00000000" w:usb1="00000000" w:usb2="00000000" w:usb3="00000000" w:csb0="00000001" w:csb1="00000000"/>
  </w:font>
  <w:font w:name="华文行楷">
    <w:altName w:val="微软雅黑"/>
    <w:panose1 w:val="02010800040101010101"/>
    <w:charset w:val="86"/>
    <w:family w:val="auto"/>
    <w:pitch w:val="default"/>
    <w:sig w:usb0="00000000" w:usb1="00000000" w:usb2="00000000" w:usb3="00000000" w:csb0="00040000" w:csb1="00000000"/>
  </w:font>
  <w:font w:name="Century Schoolbook">
    <w:altName w:val="Segoe Print"/>
    <w:panose1 w:val="00000000000000000000"/>
    <w:charset w:val="00"/>
    <w:family w:val="roman"/>
    <w:pitch w:val="default"/>
    <w:sig w:usb0="00000000" w:usb1="00000000" w:usb2="00000000" w:usb3="00000000" w:csb0="2000009F" w:csb1="DFD70000"/>
  </w:font>
  <w:font w:name="Helvetica">
    <w:panose1 w:val="020B0504020202030204"/>
    <w:charset w:val="00"/>
    <w:family w:val="swiss"/>
    <w:pitch w:val="default"/>
    <w:sig w:usb0="00000007" w:usb1="00000000" w:usb2="00000000" w:usb3="00000000" w:csb0="00000093" w:csb1="00000000"/>
  </w:font>
  <w:font w:name="Comic Sans MS">
    <w:panose1 w:val="030F0702030302020204"/>
    <w:charset w:val="00"/>
    <w:family w:val="script"/>
    <w:pitch w:val="default"/>
    <w:sig w:usb0="00000287" w:usb1="00000013" w:usb2="00000000" w:usb3="00000000" w:csb0="2000009F" w:csb1="00000000"/>
  </w:font>
  <w:font w:name="方正姚体">
    <w:altName w:val="宋体"/>
    <w:panose1 w:val="02010601030101010101"/>
    <w:charset w:val="86"/>
    <w:family w:val="auto"/>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Optima">
    <w:altName w:val="Segoe Print"/>
    <w:panose1 w:val="00000000000000000000"/>
    <w:charset w:val="00"/>
    <w:family w:val="swiss"/>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方正小标宋简体">
    <w:panose1 w:val="02000000000000000000"/>
    <w:charset w:val="86"/>
    <w:family w:val="auto"/>
    <w:pitch w:val="default"/>
    <w:sig w:usb0="00000001" w:usb1="08000000" w:usb2="00000000" w:usb3="00000000" w:csb0="00040000" w:csb1="00000000"/>
    <w:embedRegular r:id="rId5" w:fontKey="{9FED3A52-84CA-4C34-86A3-C1CFD6137884}"/>
  </w:font>
  <w:font w:name="方正大标宋简体">
    <w:altName w:val="微软雅黑"/>
    <w:panose1 w:val="00000000000000000000"/>
    <w:charset w:val="86"/>
    <w:family w:val="script"/>
    <w:pitch w:val="default"/>
    <w:sig w:usb0="00000000" w:usb1="00000000" w:usb2="00000012" w:usb3="00000000" w:csb0="00040001" w:csb1="00000000"/>
    <w:embedRegular r:id="rId6" w:fontKey="{D62BD6B9-A8DA-4587-A4E7-7CE0A56AB2DA}"/>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line="14" w:lineRule="auto"/>
      <w:rPr>
        <w:sz w:val="12"/>
      </w:rPr>
    </w:pPr>
    <w:r>
      <w:rPr>
        <w:sz w:val="12"/>
      </w:rP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901" w:rightChars="429" w:firstLine="180" w:firstLineChars="100"/>
      <w:jc w:val="center"/>
    </w:pPr>
    <w:r>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26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65"/>
      </w:rPr>
    </w:pPr>
    <w:r>
      <w:fldChar w:fldCharType="begin"/>
    </w:r>
    <w:r>
      <w:rPr>
        <w:rStyle w:val="65"/>
      </w:rPr>
      <w:instrText xml:space="preserve">PAGE  </w:instrText>
    </w:r>
    <w:r>
      <w:fldChar w:fldCharType="end"/>
    </w:r>
  </w:p>
  <w:p>
    <w:pPr>
      <w:pStyle w:val="4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tabs>
        <w:tab w:val="right" w:pos="8279"/>
        <w:tab w:val="clear" w:pos="8306"/>
      </w:tabs>
      <w:jc w:val="righ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78D40"/>
    <w:multiLevelType w:val="singleLevel"/>
    <w:tmpl w:val="92678D40"/>
    <w:lvl w:ilvl="0" w:tentative="0">
      <w:start w:val="1"/>
      <w:numFmt w:val="decimal"/>
      <w:suff w:val="nothing"/>
      <w:lvlText w:val="%1）"/>
      <w:lvlJc w:val="left"/>
    </w:lvl>
  </w:abstractNum>
  <w:abstractNum w:abstractNumId="1">
    <w:nsid w:val="9339C3C7"/>
    <w:multiLevelType w:val="singleLevel"/>
    <w:tmpl w:val="9339C3C7"/>
    <w:lvl w:ilvl="0" w:tentative="0">
      <w:start w:val="6"/>
      <w:numFmt w:val="chineseCounting"/>
      <w:suff w:val="nothing"/>
      <w:lvlText w:val="%1、"/>
      <w:lvlJc w:val="left"/>
      <w:rPr>
        <w:rFonts w:hint="eastAsia"/>
      </w:rPr>
    </w:lvl>
  </w:abstractNum>
  <w:abstractNum w:abstractNumId="2">
    <w:nsid w:val="C3FC70DF"/>
    <w:multiLevelType w:val="singleLevel"/>
    <w:tmpl w:val="C3FC70DF"/>
    <w:lvl w:ilvl="0" w:tentative="0">
      <w:start w:val="4"/>
      <w:numFmt w:val="chineseCounting"/>
      <w:suff w:val="space"/>
      <w:lvlText w:val="第%1章"/>
      <w:lvlJc w:val="left"/>
      <w:rPr>
        <w:rFonts w:hint="eastAsia"/>
      </w:rPr>
    </w:lvl>
  </w:abstractNum>
  <w:abstractNum w:abstractNumId="3">
    <w:nsid w:val="DE17924B"/>
    <w:multiLevelType w:val="singleLevel"/>
    <w:tmpl w:val="DE17924B"/>
    <w:lvl w:ilvl="0" w:tentative="0">
      <w:start w:val="7"/>
      <w:numFmt w:val="chineseCounting"/>
      <w:suff w:val="nothing"/>
      <w:lvlText w:val="%1、"/>
      <w:lvlJc w:val="left"/>
      <w:rPr>
        <w:rFonts w:hint="eastAsia"/>
      </w:rPr>
    </w:lvl>
  </w:abstractNum>
  <w:abstractNum w:abstractNumId="4">
    <w:nsid w:val="FFFFFF7E"/>
    <w:multiLevelType w:val="singleLevel"/>
    <w:tmpl w:val="FFFFFF7E"/>
    <w:lvl w:ilvl="0" w:tentative="0">
      <w:start w:val="1"/>
      <w:numFmt w:val="decimal"/>
      <w:pStyle w:val="30"/>
      <w:lvlText w:val="%1."/>
      <w:lvlJc w:val="left"/>
      <w:pPr>
        <w:tabs>
          <w:tab w:val="left" w:pos="1200"/>
        </w:tabs>
        <w:ind w:left="1200" w:hanging="360"/>
      </w:pPr>
    </w:lvl>
  </w:abstractNum>
  <w:abstractNum w:abstractNumId="5">
    <w:nsid w:val="FFFFFF80"/>
    <w:multiLevelType w:val="singleLevel"/>
    <w:tmpl w:val="FFFFFF80"/>
    <w:lvl w:ilvl="0" w:tentative="0">
      <w:start w:val="1"/>
      <w:numFmt w:val="bullet"/>
      <w:pStyle w:val="36"/>
      <w:lvlText w:val=""/>
      <w:lvlJc w:val="left"/>
      <w:pPr>
        <w:tabs>
          <w:tab w:val="left" w:pos="2182"/>
        </w:tabs>
        <w:ind w:left="2182" w:hanging="360"/>
      </w:pPr>
      <w:rPr>
        <w:rFonts w:hint="default" w:ascii="Wingdings" w:hAnsi="Wingdings"/>
      </w:rPr>
    </w:lvl>
  </w:abstractNum>
  <w:abstractNum w:abstractNumId="6">
    <w:nsid w:val="FFFFFF81"/>
    <w:multiLevelType w:val="singleLevel"/>
    <w:tmpl w:val="FFFFFF81"/>
    <w:lvl w:ilvl="0" w:tentative="0">
      <w:start w:val="1"/>
      <w:numFmt w:val="bullet"/>
      <w:pStyle w:val="15"/>
      <w:lvlText w:val=""/>
      <w:lvlJc w:val="left"/>
      <w:pPr>
        <w:tabs>
          <w:tab w:val="left" w:pos="1620"/>
        </w:tabs>
        <w:ind w:left="1620" w:hanging="360"/>
      </w:pPr>
      <w:rPr>
        <w:rFonts w:hint="default" w:ascii="Wingdings" w:hAnsi="Wingdings"/>
      </w:rPr>
    </w:lvl>
  </w:abstractNum>
  <w:abstractNum w:abstractNumId="7">
    <w:nsid w:val="0000001F"/>
    <w:multiLevelType w:val="multilevel"/>
    <w:tmpl w:val="0000001F"/>
    <w:lvl w:ilvl="0" w:tentative="0">
      <w:start w:val="1"/>
      <w:numFmt w:val="decimal"/>
      <w:pStyle w:val="835"/>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655"/>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45"/>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716"/>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01EE354D"/>
    <w:multiLevelType w:val="multilevel"/>
    <w:tmpl w:val="01EE354D"/>
    <w:lvl w:ilvl="0" w:tentative="0">
      <w:start w:val="1"/>
      <w:numFmt w:val="decimal"/>
      <w:pStyle w:val="631"/>
      <w:lvlText w:val="%1."/>
      <w:lvlJc w:val="left"/>
      <w:pPr>
        <w:ind w:left="420" w:hanging="420"/>
      </w:pPr>
      <w:rPr>
        <w:rFonts w:hint="eastAsia"/>
      </w:rPr>
    </w:lvl>
    <w:lvl w:ilvl="1" w:tentative="0">
      <w:start w:val="1"/>
      <w:numFmt w:val="lowerLetter"/>
      <w:pStyle w:val="78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3D91EA9"/>
    <w:multiLevelType w:val="multilevel"/>
    <w:tmpl w:val="13D91EA9"/>
    <w:lvl w:ilvl="0" w:tentative="0">
      <w:start w:val="1"/>
      <w:numFmt w:val="decimal"/>
      <w:pStyle w:val="465"/>
      <w:lvlText w:val="%1."/>
      <w:lvlJc w:val="left"/>
      <w:pPr>
        <w:ind w:left="425" w:hanging="425"/>
      </w:pPr>
    </w:lvl>
    <w:lvl w:ilvl="1" w:tentative="0">
      <w:start w:val="1"/>
      <w:numFmt w:val="decimal"/>
      <w:pStyle w:val="449"/>
      <w:lvlText w:val="%1.%2."/>
      <w:lvlJc w:val="left"/>
      <w:pPr>
        <w:ind w:left="567" w:hanging="567"/>
      </w:pPr>
    </w:lvl>
    <w:lvl w:ilvl="2" w:tentative="0">
      <w:start w:val="1"/>
      <w:numFmt w:val="decimal"/>
      <w:pStyle w:val="732"/>
      <w:lvlText w:val="%1.%2.%3."/>
      <w:lvlJc w:val="left"/>
      <w:pPr>
        <w:ind w:left="709" w:hanging="709"/>
      </w:pPr>
    </w:lvl>
    <w:lvl w:ilvl="3" w:tentative="0">
      <w:start w:val="1"/>
      <w:numFmt w:val="decimal"/>
      <w:pStyle w:val="383"/>
      <w:lvlText w:val="%1.%2.%3.%4."/>
      <w:lvlJc w:val="left"/>
      <w:pPr>
        <w:ind w:left="851" w:hanging="851"/>
      </w:pPr>
    </w:lvl>
    <w:lvl w:ilvl="4" w:tentative="0">
      <w:start w:val="1"/>
      <w:numFmt w:val="decimal"/>
      <w:pStyle w:val="759"/>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18A777E8"/>
    <w:multiLevelType w:val="multilevel"/>
    <w:tmpl w:val="18A777E8"/>
    <w:lvl w:ilvl="0" w:tentative="0">
      <w:start w:val="1"/>
      <w:numFmt w:val="decimal"/>
      <w:pStyle w:val="39"/>
      <w:suff w:val="nothing"/>
      <w:lvlText w:val="%1."/>
      <w:lvlJc w:val="left"/>
      <w:pPr>
        <w:ind w:left="0" w:firstLine="0"/>
      </w:pPr>
      <w:rPr>
        <w:rFonts w:hint="eastAsia"/>
        <w:b/>
        <w:i w:val="0"/>
        <w:sz w:val="32"/>
        <w:szCs w:val="32"/>
      </w:rPr>
    </w:lvl>
    <w:lvl w:ilvl="1" w:tentative="0">
      <w:start w:val="0"/>
      <w:numFmt w:val="decimal"/>
      <w:pStyle w:val="790"/>
      <w:suff w:val="nothing"/>
      <w:lvlText w:val="%1.%2."/>
      <w:lvlJc w:val="left"/>
      <w:pPr>
        <w:ind w:left="380" w:hanging="380"/>
      </w:pPr>
      <w:rPr>
        <w:rFonts w:hint="eastAsia"/>
        <w:b/>
        <w:i w:val="0"/>
        <w:sz w:val="28"/>
        <w:szCs w:val="28"/>
      </w:rPr>
    </w:lvl>
    <w:lvl w:ilvl="2" w:tentative="0">
      <w:start w:val="1"/>
      <w:numFmt w:val="decimal"/>
      <w:pStyle w:val="446"/>
      <w:suff w:val="nothing"/>
      <w:lvlText w:val="%1.%2.%3."/>
      <w:lvlJc w:val="left"/>
      <w:pPr>
        <w:ind w:left="0" w:firstLine="0"/>
      </w:pPr>
      <w:rPr>
        <w:rFonts w:hint="eastAsia"/>
        <w:b/>
        <w:i w:val="0"/>
        <w:sz w:val="24"/>
        <w:szCs w:val="24"/>
      </w:rPr>
    </w:lvl>
    <w:lvl w:ilvl="3" w:tentative="0">
      <w:start w:val="1"/>
      <w:numFmt w:val="decimal"/>
      <w:pStyle w:val="507"/>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4">
    <w:nsid w:val="1B9E447F"/>
    <w:multiLevelType w:val="multilevel"/>
    <w:tmpl w:val="1B9E447F"/>
    <w:lvl w:ilvl="0" w:tentative="0">
      <w:start w:val="1"/>
      <w:numFmt w:val="bullet"/>
      <w:pStyle w:val="475"/>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830"/>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2213619F"/>
    <w:multiLevelType w:val="multilevel"/>
    <w:tmpl w:val="2213619F"/>
    <w:lvl w:ilvl="0" w:tentative="0">
      <w:start w:val="1"/>
      <w:numFmt w:val="decimal"/>
      <w:pStyle w:val="14"/>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7">
    <w:nsid w:val="27F10E20"/>
    <w:multiLevelType w:val="multilevel"/>
    <w:tmpl w:val="27F10E20"/>
    <w:lvl w:ilvl="0" w:tentative="0">
      <w:start w:val="1"/>
      <w:numFmt w:val="chineseCountingThousand"/>
      <w:pStyle w:val="781"/>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289D5833"/>
    <w:multiLevelType w:val="singleLevel"/>
    <w:tmpl w:val="289D5833"/>
    <w:lvl w:ilvl="0" w:tentative="0">
      <w:start w:val="1"/>
      <w:numFmt w:val="chineseCounting"/>
      <w:suff w:val="nothing"/>
      <w:lvlText w:val="%1、"/>
      <w:lvlJc w:val="left"/>
      <w:rPr>
        <w:rFonts w:hint="eastAsia"/>
      </w:rPr>
    </w:lvl>
  </w:abstractNum>
  <w:abstractNum w:abstractNumId="19">
    <w:nsid w:val="35B05358"/>
    <w:multiLevelType w:val="multilevel"/>
    <w:tmpl w:val="35B05358"/>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6E406B1"/>
    <w:multiLevelType w:val="multilevel"/>
    <w:tmpl w:val="36E406B1"/>
    <w:lvl w:ilvl="0" w:tentative="0">
      <w:start w:val="1"/>
      <w:numFmt w:val="bullet"/>
      <w:pStyle w:val="44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810"/>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854"/>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3CFD7D5B"/>
    <w:multiLevelType w:val="multilevel"/>
    <w:tmpl w:val="3CFD7D5B"/>
    <w:lvl w:ilvl="0" w:tentative="0">
      <w:start w:val="1"/>
      <w:numFmt w:val="chineseCountingThousand"/>
      <w:pStyle w:val="363"/>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3">
    <w:nsid w:val="3E1A3692"/>
    <w:multiLevelType w:val="multilevel"/>
    <w:tmpl w:val="3E1A3692"/>
    <w:lvl w:ilvl="0" w:tentative="0">
      <w:start w:val="1"/>
      <w:numFmt w:val="chineseCountingThousand"/>
      <w:pStyle w:val="587"/>
      <w:suff w:val="space"/>
      <w:lvlText w:val="%1."/>
      <w:lvlJc w:val="left"/>
      <w:rPr>
        <w:rFonts w:hint="eastAsia" w:cs="Times New Roman"/>
      </w:rPr>
    </w:lvl>
    <w:lvl w:ilvl="1" w:tentative="0">
      <w:start w:val="1"/>
      <w:numFmt w:val="chineseCountingThousand"/>
      <w:pStyle w:val="744"/>
      <w:suff w:val="space"/>
      <w:lvlText w:val="(%2)"/>
      <w:lvlJc w:val="left"/>
      <w:rPr>
        <w:rFonts w:hint="eastAsia" w:cs="Times New Roman"/>
      </w:rPr>
    </w:lvl>
    <w:lvl w:ilvl="2" w:tentative="0">
      <w:start w:val="1"/>
      <w:numFmt w:val="decimal"/>
      <w:pStyle w:val="555"/>
      <w:suff w:val="space"/>
      <w:lvlText w:val="%3."/>
      <w:lvlJc w:val="left"/>
      <w:pPr>
        <w:ind w:firstLine="284"/>
      </w:pPr>
      <w:rPr>
        <w:rFonts w:hint="eastAsia" w:cs="Times New Roman"/>
      </w:rPr>
    </w:lvl>
    <w:lvl w:ilvl="3" w:tentative="0">
      <w:start w:val="1"/>
      <w:numFmt w:val="decimal"/>
      <w:pStyle w:val="493"/>
      <w:suff w:val="space"/>
      <w:lvlText w:val="(%4)"/>
      <w:lvlJc w:val="left"/>
      <w:pPr>
        <w:ind w:firstLine="284"/>
      </w:pPr>
      <w:rPr>
        <w:rFonts w:hint="eastAsia" w:cs="Times New Roman"/>
      </w:rPr>
    </w:lvl>
    <w:lvl w:ilvl="4" w:tentative="0">
      <w:start w:val="1"/>
      <w:numFmt w:val="decimal"/>
      <w:pStyle w:val="617"/>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4">
    <w:nsid w:val="4AF31D51"/>
    <w:multiLevelType w:val="multilevel"/>
    <w:tmpl w:val="4AF31D51"/>
    <w:lvl w:ilvl="0" w:tentative="0">
      <w:start w:val="1"/>
      <w:numFmt w:val="bullet"/>
      <w:pStyle w:val="457"/>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5">
    <w:nsid w:val="4B9D13A2"/>
    <w:multiLevelType w:val="multilevel"/>
    <w:tmpl w:val="4B9D13A2"/>
    <w:lvl w:ilvl="0" w:tentative="0">
      <w:start w:val="1"/>
      <w:numFmt w:val="bullet"/>
      <w:pStyle w:val="841"/>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4E7107F0"/>
    <w:multiLevelType w:val="multilevel"/>
    <w:tmpl w:val="4E7107F0"/>
    <w:lvl w:ilvl="0" w:tentative="0">
      <w:start w:val="1"/>
      <w:numFmt w:val="bullet"/>
      <w:pStyle w:val="215"/>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7">
    <w:nsid w:val="54267737"/>
    <w:multiLevelType w:val="multilevel"/>
    <w:tmpl w:val="54267737"/>
    <w:lvl w:ilvl="0" w:tentative="0">
      <w:start w:val="1"/>
      <w:numFmt w:val="bullet"/>
      <w:pStyle w:val="775"/>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28">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605"/>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9">
    <w:nsid w:val="58E8074C"/>
    <w:multiLevelType w:val="multilevel"/>
    <w:tmpl w:val="58E8074C"/>
    <w:lvl w:ilvl="0" w:tentative="0">
      <w:start w:val="1"/>
      <w:numFmt w:val="decimal"/>
      <w:pStyle w:val="659"/>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0">
    <w:nsid w:val="67403E98"/>
    <w:multiLevelType w:val="singleLevel"/>
    <w:tmpl w:val="67403E98"/>
    <w:lvl w:ilvl="0" w:tentative="0">
      <w:start w:val="1"/>
      <w:numFmt w:val="bullet"/>
      <w:pStyle w:val="612"/>
      <w:lvlText w:val=""/>
      <w:lvlJc w:val="left"/>
      <w:pPr>
        <w:tabs>
          <w:tab w:val="left" w:pos="360"/>
        </w:tabs>
        <w:ind w:left="360" w:hanging="360"/>
      </w:pPr>
      <w:rPr>
        <w:rFonts w:hint="default" w:ascii="Symbol" w:hAnsi="Symbol"/>
      </w:rPr>
    </w:lvl>
  </w:abstractNum>
  <w:abstractNum w:abstractNumId="31">
    <w:nsid w:val="698619EB"/>
    <w:multiLevelType w:val="multilevel"/>
    <w:tmpl w:val="698619EB"/>
    <w:lvl w:ilvl="0" w:tentative="0">
      <w:start w:val="1"/>
      <w:numFmt w:val="decimal"/>
      <w:pStyle w:val="162"/>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2">
    <w:nsid w:val="76D52E27"/>
    <w:multiLevelType w:val="multilevel"/>
    <w:tmpl w:val="76D52E27"/>
    <w:lvl w:ilvl="0" w:tentative="0">
      <w:start w:val="1"/>
      <w:numFmt w:val="bullet"/>
      <w:pStyle w:val="528"/>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3">
    <w:nsid w:val="7755585C"/>
    <w:multiLevelType w:val="multilevel"/>
    <w:tmpl w:val="7755585C"/>
    <w:lvl w:ilvl="0" w:tentative="0">
      <w:start w:val="1"/>
      <w:numFmt w:val="bullet"/>
      <w:pStyle w:val="272"/>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6"/>
  </w:num>
  <w:num w:numId="2">
    <w:abstractNumId w:val="6"/>
  </w:num>
  <w:num w:numId="3">
    <w:abstractNumId w:val="4"/>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num>
  <w:num w:numId="7">
    <w:abstractNumId w:val="26"/>
  </w:num>
  <w:num w:numId="8">
    <w:abstractNumId w:val="1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2"/>
  </w:num>
  <w:num w:numId="11">
    <w:abstractNumId w:val="12"/>
  </w:num>
  <w:num w:numId="12">
    <w:abstractNumId w:val="9"/>
  </w:num>
  <w:num w:numId="13">
    <w:abstractNumId w:val="20"/>
  </w:num>
  <w:num w:numId="14">
    <w:abstractNumId w:val="24"/>
  </w:num>
  <w:num w:numId="15">
    <w:abstractNumId w:val="14"/>
  </w:num>
  <w:num w:numId="16">
    <w:abstractNumId w:val="23"/>
  </w:num>
  <w:num w:numId="17">
    <w:abstractNumId w:val="32"/>
  </w:num>
  <w:num w:numId="18">
    <w:abstractNumId w:val="28"/>
  </w:num>
  <w:num w:numId="19">
    <w:abstractNumId w:val="30"/>
  </w:num>
  <w:num w:numId="20">
    <w:abstractNumId w:val="11"/>
  </w:num>
  <w:num w:numId="21">
    <w:abstractNumId w:val="8"/>
  </w:num>
  <w:num w:numId="22">
    <w:abstractNumId w:val="29"/>
  </w:num>
  <w:num w:numId="23">
    <w:abstractNumId w:val="10"/>
  </w:num>
  <w:num w:numId="24">
    <w:abstractNumId w:val="27"/>
  </w:num>
  <w:num w:numId="25">
    <w:abstractNumId w:val="17"/>
  </w:num>
  <w:num w:numId="26">
    <w:abstractNumId w:val="15"/>
  </w:num>
  <w:num w:numId="27">
    <w:abstractNumId w:val="7"/>
  </w:num>
  <w:num w:numId="28">
    <w:abstractNumId w:val="25"/>
  </w:num>
  <w:num w:numId="29">
    <w:abstractNumId w:val="21"/>
  </w:num>
  <w:num w:numId="30">
    <w:abstractNumId w:val="3"/>
  </w:num>
  <w:num w:numId="31">
    <w:abstractNumId w:val="0"/>
  </w:num>
  <w:num w:numId="32">
    <w:abstractNumId w:val="2"/>
  </w:num>
  <w:num w:numId="33">
    <w:abstractNumId w:val="18"/>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NjMTkzM2Y3NWYyMzNmZWE1ZjFmYWE3MGZjOWQzYmYifQ=="/>
  </w:docVars>
  <w:rsids>
    <w:rsidRoot w:val="00334D61"/>
    <w:rsid w:val="000007E7"/>
    <w:rsid w:val="0000150C"/>
    <w:rsid w:val="00002288"/>
    <w:rsid w:val="00002C67"/>
    <w:rsid w:val="00003CB6"/>
    <w:rsid w:val="00003DA7"/>
    <w:rsid w:val="00004042"/>
    <w:rsid w:val="000041A5"/>
    <w:rsid w:val="000043A0"/>
    <w:rsid w:val="000048A6"/>
    <w:rsid w:val="00004F14"/>
    <w:rsid w:val="00005111"/>
    <w:rsid w:val="000056B4"/>
    <w:rsid w:val="000058C6"/>
    <w:rsid w:val="00005EAA"/>
    <w:rsid w:val="00006304"/>
    <w:rsid w:val="00006B8D"/>
    <w:rsid w:val="00007144"/>
    <w:rsid w:val="00007171"/>
    <w:rsid w:val="00007558"/>
    <w:rsid w:val="00007584"/>
    <w:rsid w:val="000077D6"/>
    <w:rsid w:val="000105B0"/>
    <w:rsid w:val="00010987"/>
    <w:rsid w:val="000115D5"/>
    <w:rsid w:val="00012105"/>
    <w:rsid w:val="000130E4"/>
    <w:rsid w:val="00013556"/>
    <w:rsid w:val="0001498A"/>
    <w:rsid w:val="00014E09"/>
    <w:rsid w:val="0001547E"/>
    <w:rsid w:val="000158E3"/>
    <w:rsid w:val="00015F97"/>
    <w:rsid w:val="0001731A"/>
    <w:rsid w:val="000175E0"/>
    <w:rsid w:val="00017888"/>
    <w:rsid w:val="00017AD3"/>
    <w:rsid w:val="00017E56"/>
    <w:rsid w:val="00020A64"/>
    <w:rsid w:val="00020ABB"/>
    <w:rsid w:val="0002181D"/>
    <w:rsid w:val="0002188F"/>
    <w:rsid w:val="00021DF4"/>
    <w:rsid w:val="00022765"/>
    <w:rsid w:val="00022998"/>
    <w:rsid w:val="0002451C"/>
    <w:rsid w:val="00024B4E"/>
    <w:rsid w:val="00024C0D"/>
    <w:rsid w:val="00024EF6"/>
    <w:rsid w:val="0002527D"/>
    <w:rsid w:val="0002531C"/>
    <w:rsid w:val="00025B40"/>
    <w:rsid w:val="00026954"/>
    <w:rsid w:val="00026B8A"/>
    <w:rsid w:val="00026BB8"/>
    <w:rsid w:val="00027023"/>
    <w:rsid w:val="00027712"/>
    <w:rsid w:val="00030445"/>
    <w:rsid w:val="00030E5A"/>
    <w:rsid w:val="000310B8"/>
    <w:rsid w:val="000310CF"/>
    <w:rsid w:val="0003142A"/>
    <w:rsid w:val="00031E05"/>
    <w:rsid w:val="00031E13"/>
    <w:rsid w:val="0003208C"/>
    <w:rsid w:val="000325E6"/>
    <w:rsid w:val="000327A0"/>
    <w:rsid w:val="00032C15"/>
    <w:rsid w:val="00034FAA"/>
    <w:rsid w:val="0003600B"/>
    <w:rsid w:val="000360CB"/>
    <w:rsid w:val="00036761"/>
    <w:rsid w:val="000370D2"/>
    <w:rsid w:val="000371FE"/>
    <w:rsid w:val="00037CA1"/>
    <w:rsid w:val="000400B9"/>
    <w:rsid w:val="00040625"/>
    <w:rsid w:val="000409F9"/>
    <w:rsid w:val="00040A06"/>
    <w:rsid w:val="00040A15"/>
    <w:rsid w:val="000410A4"/>
    <w:rsid w:val="00041B23"/>
    <w:rsid w:val="00041D4E"/>
    <w:rsid w:val="00041D87"/>
    <w:rsid w:val="00041E7E"/>
    <w:rsid w:val="00042290"/>
    <w:rsid w:val="000427DA"/>
    <w:rsid w:val="000433CC"/>
    <w:rsid w:val="00045960"/>
    <w:rsid w:val="00045C8E"/>
    <w:rsid w:val="00045CF0"/>
    <w:rsid w:val="00045D0E"/>
    <w:rsid w:val="00045FCE"/>
    <w:rsid w:val="00047516"/>
    <w:rsid w:val="00047A43"/>
    <w:rsid w:val="00047C7A"/>
    <w:rsid w:val="0005020B"/>
    <w:rsid w:val="00050CAF"/>
    <w:rsid w:val="000517B7"/>
    <w:rsid w:val="00051D87"/>
    <w:rsid w:val="00052036"/>
    <w:rsid w:val="00053306"/>
    <w:rsid w:val="00055160"/>
    <w:rsid w:val="00055310"/>
    <w:rsid w:val="000553E1"/>
    <w:rsid w:val="000553EC"/>
    <w:rsid w:val="00055AFD"/>
    <w:rsid w:val="00056351"/>
    <w:rsid w:val="000568E8"/>
    <w:rsid w:val="00056D53"/>
    <w:rsid w:val="000570F0"/>
    <w:rsid w:val="00057EC8"/>
    <w:rsid w:val="00057FA9"/>
    <w:rsid w:val="000608C7"/>
    <w:rsid w:val="00060952"/>
    <w:rsid w:val="000612B2"/>
    <w:rsid w:val="000615EB"/>
    <w:rsid w:val="00061FDA"/>
    <w:rsid w:val="00062AD3"/>
    <w:rsid w:val="00062E3B"/>
    <w:rsid w:val="00063425"/>
    <w:rsid w:val="00063C27"/>
    <w:rsid w:val="0006494C"/>
    <w:rsid w:val="00064C30"/>
    <w:rsid w:val="00065008"/>
    <w:rsid w:val="00065283"/>
    <w:rsid w:val="000663BC"/>
    <w:rsid w:val="00066ADC"/>
    <w:rsid w:val="00066C4B"/>
    <w:rsid w:val="00066D1E"/>
    <w:rsid w:val="00066E10"/>
    <w:rsid w:val="000672A6"/>
    <w:rsid w:val="0006766C"/>
    <w:rsid w:val="000677D2"/>
    <w:rsid w:val="000709DF"/>
    <w:rsid w:val="00070F6F"/>
    <w:rsid w:val="0007122C"/>
    <w:rsid w:val="0007246F"/>
    <w:rsid w:val="00073602"/>
    <w:rsid w:val="00074384"/>
    <w:rsid w:val="00074D6C"/>
    <w:rsid w:val="00074D7D"/>
    <w:rsid w:val="00075898"/>
    <w:rsid w:val="000767B6"/>
    <w:rsid w:val="00076B23"/>
    <w:rsid w:val="00077530"/>
    <w:rsid w:val="0008028F"/>
    <w:rsid w:val="00081707"/>
    <w:rsid w:val="00081EF1"/>
    <w:rsid w:val="0008225D"/>
    <w:rsid w:val="000840FD"/>
    <w:rsid w:val="00085E7F"/>
    <w:rsid w:val="00086506"/>
    <w:rsid w:val="00086B87"/>
    <w:rsid w:val="00086D59"/>
    <w:rsid w:val="000870F4"/>
    <w:rsid w:val="000871B0"/>
    <w:rsid w:val="000873C5"/>
    <w:rsid w:val="0008758F"/>
    <w:rsid w:val="00087BCE"/>
    <w:rsid w:val="00087DEA"/>
    <w:rsid w:val="00087E7F"/>
    <w:rsid w:val="00087F46"/>
    <w:rsid w:val="00087F82"/>
    <w:rsid w:val="00090D30"/>
    <w:rsid w:val="000910E0"/>
    <w:rsid w:val="000917C2"/>
    <w:rsid w:val="00091FB1"/>
    <w:rsid w:val="0009205E"/>
    <w:rsid w:val="0009302B"/>
    <w:rsid w:val="000937A3"/>
    <w:rsid w:val="000939A8"/>
    <w:rsid w:val="00093B12"/>
    <w:rsid w:val="00093D08"/>
    <w:rsid w:val="00094032"/>
    <w:rsid w:val="00094432"/>
    <w:rsid w:val="000948A2"/>
    <w:rsid w:val="000953CD"/>
    <w:rsid w:val="00095953"/>
    <w:rsid w:val="00095F50"/>
    <w:rsid w:val="00096032"/>
    <w:rsid w:val="0009690B"/>
    <w:rsid w:val="00096D33"/>
    <w:rsid w:val="0009740B"/>
    <w:rsid w:val="00097E0A"/>
    <w:rsid w:val="000A0118"/>
    <w:rsid w:val="000A0491"/>
    <w:rsid w:val="000A055F"/>
    <w:rsid w:val="000A059A"/>
    <w:rsid w:val="000A0B68"/>
    <w:rsid w:val="000A0BB6"/>
    <w:rsid w:val="000A13BF"/>
    <w:rsid w:val="000A1704"/>
    <w:rsid w:val="000A1AF0"/>
    <w:rsid w:val="000A1D37"/>
    <w:rsid w:val="000A1F99"/>
    <w:rsid w:val="000A24F5"/>
    <w:rsid w:val="000A2B5C"/>
    <w:rsid w:val="000A35BB"/>
    <w:rsid w:val="000A3641"/>
    <w:rsid w:val="000A41C9"/>
    <w:rsid w:val="000A4915"/>
    <w:rsid w:val="000A4AC4"/>
    <w:rsid w:val="000A57B4"/>
    <w:rsid w:val="000A597F"/>
    <w:rsid w:val="000A5E53"/>
    <w:rsid w:val="000A640C"/>
    <w:rsid w:val="000A699E"/>
    <w:rsid w:val="000A7C90"/>
    <w:rsid w:val="000B04E9"/>
    <w:rsid w:val="000B0892"/>
    <w:rsid w:val="000B09FF"/>
    <w:rsid w:val="000B1B34"/>
    <w:rsid w:val="000B3279"/>
    <w:rsid w:val="000B419A"/>
    <w:rsid w:val="000B43C5"/>
    <w:rsid w:val="000B453A"/>
    <w:rsid w:val="000B4B19"/>
    <w:rsid w:val="000B4B8C"/>
    <w:rsid w:val="000B4CB8"/>
    <w:rsid w:val="000B6670"/>
    <w:rsid w:val="000B7579"/>
    <w:rsid w:val="000B7B1A"/>
    <w:rsid w:val="000C02D9"/>
    <w:rsid w:val="000C0E09"/>
    <w:rsid w:val="000C2E25"/>
    <w:rsid w:val="000C2EF8"/>
    <w:rsid w:val="000C3CB3"/>
    <w:rsid w:val="000C43CF"/>
    <w:rsid w:val="000C4621"/>
    <w:rsid w:val="000C4F6A"/>
    <w:rsid w:val="000C6043"/>
    <w:rsid w:val="000C6CBC"/>
    <w:rsid w:val="000C6DE3"/>
    <w:rsid w:val="000C6FD1"/>
    <w:rsid w:val="000C7111"/>
    <w:rsid w:val="000C77B1"/>
    <w:rsid w:val="000C7F31"/>
    <w:rsid w:val="000D03EC"/>
    <w:rsid w:val="000D0925"/>
    <w:rsid w:val="000D24A1"/>
    <w:rsid w:val="000D28D8"/>
    <w:rsid w:val="000D2A75"/>
    <w:rsid w:val="000D2F4B"/>
    <w:rsid w:val="000D2FC9"/>
    <w:rsid w:val="000D348F"/>
    <w:rsid w:val="000D3FD1"/>
    <w:rsid w:val="000D48F1"/>
    <w:rsid w:val="000D5B04"/>
    <w:rsid w:val="000D5B31"/>
    <w:rsid w:val="000D5CD9"/>
    <w:rsid w:val="000D6581"/>
    <w:rsid w:val="000D6E97"/>
    <w:rsid w:val="000D6ED3"/>
    <w:rsid w:val="000D73DA"/>
    <w:rsid w:val="000D7684"/>
    <w:rsid w:val="000E0733"/>
    <w:rsid w:val="000E0B47"/>
    <w:rsid w:val="000E0C9E"/>
    <w:rsid w:val="000E13AB"/>
    <w:rsid w:val="000E16F0"/>
    <w:rsid w:val="000E17A7"/>
    <w:rsid w:val="000E1EF6"/>
    <w:rsid w:val="000E267F"/>
    <w:rsid w:val="000E2E68"/>
    <w:rsid w:val="000E45C8"/>
    <w:rsid w:val="000E4C14"/>
    <w:rsid w:val="000E5E35"/>
    <w:rsid w:val="000E5E97"/>
    <w:rsid w:val="000E5F53"/>
    <w:rsid w:val="000E5F93"/>
    <w:rsid w:val="000E6539"/>
    <w:rsid w:val="000E705A"/>
    <w:rsid w:val="000E79FE"/>
    <w:rsid w:val="000F08D2"/>
    <w:rsid w:val="000F0FAC"/>
    <w:rsid w:val="000F2B01"/>
    <w:rsid w:val="000F2CC2"/>
    <w:rsid w:val="000F2CFD"/>
    <w:rsid w:val="000F33A8"/>
    <w:rsid w:val="000F4E84"/>
    <w:rsid w:val="000F4EC3"/>
    <w:rsid w:val="000F530A"/>
    <w:rsid w:val="000F5946"/>
    <w:rsid w:val="000F69BA"/>
    <w:rsid w:val="000F6CB5"/>
    <w:rsid w:val="000F7308"/>
    <w:rsid w:val="000F7701"/>
    <w:rsid w:val="00100280"/>
    <w:rsid w:val="001004A6"/>
    <w:rsid w:val="00100ED3"/>
    <w:rsid w:val="001010A5"/>
    <w:rsid w:val="0010146A"/>
    <w:rsid w:val="00101D91"/>
    <w:rsid w:val="00102392"/>
    <w:rsid w:val="001028C7"/>
    <w:rsid w:val="00103278"/>
    <w:rsid w:val="00103DB2"/>
    <w:rsid w:val="0010459A"/>
    <w:rsid w:val="00104794"/>
    <w:rsid w:val="001047E7"/>
    <w:rsid w:val="00104AB0"/>
    <w:rsid w:val="00104F6E"/>
    <w:rsid w:val="00105090"/>
    <w:rsid w:val="00105E09"/>
    <w:rsid w:val="00106D50"/>
    <w:rsid w:val="00107DC3"/>
    <w:rsid w:val="001101DE"/>
    <w:rsid w:val="00110FCD"/>
    <w:rsid w:val="00110FED"/>
    <w:rsid w:val="001113D7"/>
    <w:rsid w:val="001117BF"/>
    <w:rsid w:val="00113681"/>
    <w:rsid w:val="001137C5"/>
    <w:rsid w:val="001138BE"/>
    <w:rsid w:val="00113B97"/>
    <w:rsid w:val="00113E20"/>
    <w:rsid w:val="00113EC5"/>
    <w:rsid w:val="001146D9"/>
    <w:rsid w:val="001149C6"/>
    <w:rsid w:val="00114D0D"/>
    <w:rsid w:val="001159D1"/>
    <w:rsid w:val="001163C4"/>
    <w:rsid w:val="00116A24"/>
    <w:rsid w:val="00116DD3"/>
    <w:rsid w:val="00116FD8"/>
    <w:rsid w:val="0012057D"/>
    <w:rsid w:val="00120D8A"/>
    <w:rsid w:val="00120E41"/>
    <w:rsid w:val="0012168B"/>
    <w:rsid w:val="001216B8"/>
    <w:rsid w:val="001221CB"/>
    <w:rsid w:val="001222BE"/>
    <w:rsid w:val="001223D1"/>
    <w:rsid w:val="00122EEB"/>
    <w:rsid w:val="00122F86"/>
    <w:rsid w:val="00123AEB"/>
    <w:rsid w:val="001240EE"/>
    <w:rsid w:val="00125024"/>
    <w:rsid w:val="00125CFA"/>
    <w:rsid w:val="001265E9"/>
    <w:rsid w:val="001276B6"/>
    <w:rsid w:val="00127C67"/>
    <w:rsid w:val="00127EC4"/>
    <w:rsid w:val="00127F47"/>
    <w:rsid w:val="00130244"/>
    <w:rsid w:val="0013173E"/>
    <w:rsid w:val="0013193D"/>
    <w:rsid w:val="001319C6"/>
    <w:rsid w:val="00131F3F"/>
    <w:rsid w:val="001328F6"/>
    <w:rsid w:val="0013332C"/>
    <w:rsid w:val="00134D7F"/>
    <w:rsid w:val="0013533D"/>
    <w:rsid w:val="0013583A"/>
    <w:rsid w:val="00135C50"/>
    <w:rsid w:val="0013622D"/>
    <w:rsid w:val="00136376"/>
    <w:rsid w:val="00136A47"/>
    <w:rsid w:val="00136EF0"/>
    <w:rsid w:val="00137508"/>
    <w:rsid w:val="00137AE0"/>
    <w:rsid w:val="00140483"/>
    <w:rsid w:val="001404B9"/>
    <w:rsid w:val="00140556"/>
    <w:rsid w:val="00140A15"/>
    <w:rsid w:val="00140FE0"/>
    <w:rsid w:val="001419CD"/>
    <w:rsid w:val="00141D14"/>
    <w:rsid w:val="00142748"/>
    <w:rsid w:val="00142BE2"/>
    <w:rsid w:val="0014355C"/>
    <w:rsid w:val="0014366E"/>
    <w:rsid w:val="001445ED"/>
    <w:rsid w:val="00144B74"/>
    <w:rsid w:val="0014582A"/>
    <w:rsid w:val="0014660B"/>
    <w:rsid w:val="001468C3"/>
    <w:rsid w:val="001473C5"/>
    <w:rsid w:val="00147A86"/>
    <w:rsid w:val="00147C64"/>
    <w:rsid w:val="00150C68"/>
    <w:rsid w:val="00150C8C"/>
    <w:rsid w:val="00151EDE"/>
    <w:rsid w:val="001524F2"/>
    <w:rsid w:val="00152791"/>
    <w:rsid w:val="00153226"/>
    <w:rsid w:val="0015380A"/>
    <w:rsid w:val="00153989"/>
    <w:rsid w:val="00154ABE"/>
    <w:rsid w:val="00155EAF"/>
    <w:rsid w:val="00155EED"/>
    <w:rsid w:val="00156525"/>
    <w:rsid w:val="00156AC4"/>
    <w:rsid w:val="00156B26"/>
    <w:rsid w:val="001571E1"/>
    <w:rsid w:val="001572E2"/>
    <w:rsid w:val="00157456"/>
    <w:rsid w:val="001576DC"/>
    <w:rsid w:val="00157834"/>
    <w:rsid w:val="00157A3C"/>
    <w:rsid w:val="0016055E"/>
    <w:rsid w:val="001606E6"/>
    <w:rsid w:val="001615EA"/>
    <w:rsid w:val="0016169A"/>
    <w:rsid w:val="00161F6E"/>
    <w:rsid w:val="00162589"/>
    <w:rsid w:val="00162617"/>
    <w:rsid w:val="00162B1A"/>
    <w:rsid w:val="00163039"/>
    <w:rsid w:val="00163A8F"/>
    <w:rsid w:val="00163F83"/>
    <w:rsid w:val="001641BF"/>
    <w:rsid w:val="00164300"/>
    <w:rsid w:val="001645BF"/>
    <w:rsid w:val="00164670"/>
    <w:rsid w:val="001646CC"/>
    <w:rsid w:val="00164DED"/>
    <w:rsid w:val="00165BEC"/>
    <w:rsid w:val="00165C4E"/>
    <w:rsid w:val="00165E4F"/>
    <w:rsid w:val="00166FD2"/>
    <w:rsid w:val="0016717A"/>
    <w:rsid w:val="001677E3"/>
    <w:rsid w:val="00167AF8"/>
    <w:rsid w:val="001707C4"/>
    <w:rsid w:val="001707D0"/>
    <w:rsid w:val="001716E7"/>
    <w:rsid w:val="0017249C"/>
    <w:rsid w:val="00173007"/>
    <w:rsid w:val="00173259"/>
    <w:rsid w:val="0017359F"/>
    <w:rsid w:val="001735E6"/>
    <w:rsid w:val="001736A4"/>
    <w:rsid w:val="00173808"/>
    <w:rsid w:val="00173848"/>
    <w:rsid w:val="001739B2"/>
    <w:rsid w:val="00173A65"/>
    <w:rsid w:val="00173CFE"/>
    <w:rsid w:val="00174331"/>
    <w:rsid w:val="00174DE7"/>
    <w:rsid w:val="00175A59"/>
    <w:rsid w:val="001763F7"/>
    <w:rsid w:val="001767B2"/>
    <w:rsid w:val="00177B65"/>
    <w:rsid w:val="00180DA8"/>
    <w:rsid w:val="00181168"/>
    <w:rsid w:val="00181354"/>
    <w:rsid w:val="00181ED4"/>
    <w:rsid w:val="00182862"/>
    <w:rsid w:val="00182E47"/>
    <w:rsid w:val="00183728"/>
    <w:rsid w:val="00183D5A"/>
    <w:rsid w:val="001853FD"/>
    <w:rsid w:val="0018543D"/>
    <w:rsid w:val="0018565F"/>
    <w:rsid w:val="00185926"/>
    <w:rsid w:val="00185C81"/>
    <w:rsid w:val="00186785"/>
    <w:rsid w:val="00186A15"/>
    <w:rsid w:val="0019001E"/>
    <w:rsid w:val="001907CD"/>
    <w:rsid w:val="0019115E"/>
    <w:rsid w:val="001917CB"/>
    <w:rsid w:val="00191EC2"/>
    <w:rsid w:val="00192A55"/>
    <w:rsid w:val="001935F3"/>
    <w:rsid w:val="001936DD"/>
    <w:rsid w:val="00193921"/>
    <w:rsid w:val="00193D1F"/>
    <w:rsid w:val="001947C4"/>
    <w:rsid w:val="00194EF6"/>
    <w:rsid w:val="001950C9"/>
    <w:rsid w:val="00195AA4"/>
    <w:rsid w:val="001967F1"/>
    <w:rsid w:val="00197555"/>
    <w:rsid w:val="00197559"/>
    <w:rsid w:val="00197E8B"/>
    <w:rsid w:val="001A066E"/>
    <w:rsid w:val="001A0FD5"/>
    <w:rsid w:val="001A1005"/>
    <w:rsid w:val="001A1932"/>
    <w:rsid w:val="001A1DAC"/>
    <w:rsid w:val="001A2AFE"/>
    <w:rsid w:val="001A3CCF"/>
    <w:rsid w:val="001A41CA"/>
    <w:rsid w:val="001A436E"/>
    <w:rsid w:val="001A4B9F"/>
    <w:rsid w:val="001A511D"/>
    <w:rsid w:val="001A552B"/>
    <w:rsid w:val="001A5664"/>
    <w:rsid w:val="001A5A92"/>
    <w:rsid w:val="001A6924"/>
    <w:rsid w:val="001A6956"/>
    <w:rsid w:val="001A6A7B"/>
    <w:rsid w:val="001A7294"/>
    <w:rsid w:val="001A75FA"/>
    <w:rsid w:val="001A780D"/>
    <w:rsid w:val="001B01C0"/>
    <w:rsid w:val="001B1D44"/>
    <w:rsid w:val="001B2353"/>
    <w:rsid w:val="001B30F6"/>
    <w:rsid w:val="001B3429"/>
    <w:rsid w:val="001B348B"/>
    <w:rsid w:val="001B37E8"/>
    <w:rsid w:val="001B4072"/>
    <w:rsid w:val="001B44CC"/>
    <w:rsid w:val="001B4BD8"/>
    <w:rsid w:val="001B5460"/>
    <w:rsid w:val="001B55E6"/>
    <w:rsid w:val="001B5BE5"/>
    <w:rsid w:val="001B6226"/>
    <w:rsid w:val="001B6746"/>
    <w:rsid w:val="001B6FE0"/>
    <w:rsid w:val="001B7036"/>
    <w:rsid w:val="001B721D"/>
    <w:rsid w:val="001B7AC8"/>
    <w:rsid w:val="001B7B6A"/>
    <w:rsid w:val="001B7FE0"/>
    <w:rsid w:val="001C16FE"/>
    <w:rsid w:val="001C3221"/>
    <w:rsid w:val="001C39A9"/>
    <w:rsid w:val="001C3D72"/>
    <w:rsid w:val="001C3FE7"/>
    <w:rsid w:val="001C56D4"/>
    <w:rsid w:val="001C614A"/>
    <w:rsid w:val="001C6179"/>
    <w:rsid w:val="001C637A"/>
    <w:rsid w:val="001C64AA"/>
    <w:rsid w:val="001C712B"/>
    <w:rsid w:val="001C737A"/>
    <w:rsid w:val="001C748E"/>
    <w:rsid w:val="001C75B0"/>
    <w:rsid w:val="001D0348"/>
    <w:rsid w:val="001D04C7"/>
    <w:rsid w:val="001D1956"/>
    <w:rsid w:val="001D1C4E"/>
    <w:rsid w:val="001D2121"/>
    <w:rsid w:val="001D3B25"/>
    <w:rsid w:val="001D3D1A"/>
    <w:rsid w:val="001D4197"/>
    <w:rsid w:val="001D48C5"/>
    <w:rsid w:val="001D4FCF"/>
    <w:rsid w:val="001D5044"/>
    <w:rsid w:val="001D53CE"/>
    <w:rsid w:val="001D5799"/>
    <w:rsid w:val="001D61F7"/>
    <w:rsid w:val="001D6202"/>
    <w:rsid w:val="001D6730"/>
    <w:rsid w:val="001E0682"/>
    <w:rsid w:val="001E0760"/>
    <w:rsid w:val="001E11E9"/>
    <w:rsid w:val="001E1A59"/>
    <w:rsid w:val="001E20B8"/>
    <w:rsid w:val="001E20E8"/>
    <w:rsid w:val="001E33B2"/>
    <w:rsid w:val="001E38DC"/>
    <w:rsid w:val="001E3E32"/>
    <w:rsid w:val="001E3F57"/>
    <w:rsid w:val="001E4090"/>
    <w:rsid w:val="001E4363"/>
    <w:rsid w:val="001E4C61"/>
    <w:rsid w:val="001E53D6"/>
    <w:rsid w:val="001E6167"/>
    <w:rsid w:val="001E625C"/>
    <w:rsid w:val="001E6C93"/>
    <w:rsid w:val="001E7169"/>
    <w:rsid w:val="001E7D97"/>
    <w:rsid w:val="001F01A8"/>
    <w:rsid w:val="001F01EE"/>
    <w:rsid w:val="001F165C"/>
    <w:rsid w:val="001F176D"/>
    <w:rsid w:val="001F1D34"/>
    <w:rsid w:val="001F1D8C"/>
    <w:rsid w:val="001F2075"/>
    <w:rsid w:val="001F2269"/>
    <w:rsid w:val="001F2846"/>
    <w:rsid w:val="001F2929"/>
    <w:rsid w:val="001F2B14"/>
    <w:rsid w:val="001F3266"/>
    <w:rsid w:val="001F34EA"/>
    <w:rsid w:val="001F3C5C"/>
    <w:rsid w:val="001F3CA9"/>
    <w:rsid w:val="001F3F09"/>
    <w:rsid w:val="001F4F78"/>
    <w:rsid w:val="001F5704"/>
    <w:rsid w:val="001F5B23"/>
    <w:rsid w:val="001F5E2E"/>
    <w:rsid w:val="001F64E4"/>
    <w:rsid w:val="001F65B5"/>
    <w:rsid w:val="001F65BB"/>
    <w:rsid w:val="001F6818"/>
    <w:rsid w:val="001F6823"/>
    <w:rsid w:val="001F6F61"/>
    <w:rsid w:val="001F72F1"/>
    <w:rsid w:val="001F77DB"/>
    <w:rsid w:val="001F78F6"/>
    <w:rsid w:val="001F79A1"/>
    <w:rsid w:val="001F7EB0"/>
    <w:rsid w:val="001F7FE9"/>
    <w:rsid w:val="0020053E"/>
    <w:rsid w:val="002011E8"/>
    <w:rsid w:val="00201866"/>
    <w:rsid w:val="0020299C"/>
    <w:rsid w:val="00202C7E"/>
    <w:rsid w:val="00202DD2"/>
    <w:rsid w:val="00202F7F"/>
    <w:rsid w:val="00203176"/>
    <w:rsid w:val="00203320"/>
    <w:rsid w:val="00203968"/>
    <w:rsid w:val="00203FD9"/>
    <w:rsid w:val="00204290"/>
    <w:rsid w:val="00205598"/>
    <w:rsid w:val="00205F87"/>
    <w:rsid w:val="0020749E"/>
    <w:rsid w:val="00207B81"/>
    <w:rsid w:val="00207B9E"/>
    <w:rsid w:val="0021000E"/>
    <w:rsid w:val="0021052B"/>
    <w:rsid w:val="0021083F"/>
    <w:rsid w:val="0021091B"/>
    <w:rsid w:val="00210EE5"/>
    <w:rsid w:val="00210F3C"/>
    <w:rsid w:val="002110B1"/>
    <w:rsid w:val="0021235A"/>
    <w:rsid w:val="00212768"/>
    <w:rsid w:val="002131A1"/>
    <w:rsid w:val="0021407A"/>
    <w:rsid w:val="00214B0C"/>
    <w:rsid w:val="00214C62"/>
    <w:rsid w:val="00214CB9"/>
    <w:rsid w:val="00215894"/>
    <w:rsid w:val="00215912"/>
    <w:rsid w:val="0021635F"/>
    <w:rsid w:val="002166BB"/>
    <w:rsid w:val="002170BE"/>
    <w:rsid w:val="002174AA"/>
    <w:rsid w:val="0021788B"/>
    <w:rsid w:val="002204E2"/>
    <w:rsid w:val="0022053F"/>
    <w:rsid w:val="00220964"/>
    <w:rsid w:val="00220DCD"/>
    <w:rsid w:val="00220FFE"/>
    <w:rsid w:val="0022108C"/>
    <w:rsid w:val="00221182"/>
    <w:rsid w:val="00221209"/>
    <w:rsid w:val="0022154C"/>
    <w:rsid w:val="00221BD6"/>
    <w:rsid w:val="00221CC5"/>
    <w:rsid w:val="00221E4E"/>
    <w:rsid w:val="0022207C"/>
    <w:rsid w:val="00222371"/>
    <w:rsid w:val="00223158"/>
    <w:rsid w:val="0022327B"/>
    <w:rsid w:val="00223479"/>
    <w:rsid w:val="00224429"/>
    <w:rsid w:val="002248BB"/>
    <w:rsid w:val="0022528E"/>
    <w:rsid w:val="002252AE"/>
    <w:rsid w:val="0022535B"/>
    <w:rsid w:val="0022685D"/>
    <w:rsid w:val="00226ADB"/>
    <w:rsid w:val="0022742B"/>
    <w:rsid w:val="00227C39"/>
    <w:rsid w:val="00227EB8"/>
    <w:rsid w:val="00231E23"/>
    <w:rsid w:val="00231F7E"/>
    <w:rsid w:val="00232EF4"/>
    <w:rsid w:val="00233778"/>
    <w:rsid w:val="00235202"/>
    <w:rsid w:val="00235987"/>
    <w:rsid w:val="002362AB"/>
    <w:rsid w:val="00236A14"/>
    <w:rsid w:val="002370DC"/>
    <w:rsid w:val="00237D95"/>
    <w:rsid w:val="002407C0"/>
    <w:rsid w:val="00240E10"/>
    <w:rsid w:val="0024187E"/>
    <w:rsid w:val="00241B5B"/>
    <w:rsid w:val="002421FD"/>
    <w:rsid w:val="002423E4"/>
    <w:rsid w:val="0024285B"/>
    <w:rsid w:val="00242A22"/>
    <w:rsid w:val="002430F4"/>
    <w:rsid w:val="00243A23"/>
    <w:rsid w:val="002441A5"/>
    <w:rsid w:val="00244595"/>
    <w:rsid w:val="00244783"/>
    <w:rsid w:val="0024515A"/>
    <w:rsid w:val="002454A9"/>
    <w:rsid w:val="002454C7"/>
    <w:rsid w:val="002455E4"/>
    <w:rsid w:val="002457B4"/>
    <w:rsid w:val="002460B4"/>
    <w:rsid w:val="0025021D"/>
    <w:rsid w:val="00250715"/>
    <w:rsid w:val="00250B08"/>
    <w:rsid w:val="00250D67"/>
    <w:rsid w:val="00251C73"/>
    <w:rsid w:val="00252D0A"/>
    <w:rsid w:val="00253240"/>
    <w:rsid w:val="0025360D"/>
    <w:rsid w:val="00253D8D"/>
    <w:rsid w:val="0025412D"/>
    <w:rsid w:val="00254B57"/>
    <w:rsid w:val="00254C94"/>
    <w:rsid w:val="00255577"/>
    <w:rsid w:val="00255EB0"/>
    <w:rsid w:val="0025605B"/>
    <w:rsid w:val="002569CD"/>
    <w:rsid w:val="00256D72"/>
    <w:rsid w:val="00257644"/>
    <w:rsid w:val="0026039C"/>
    <w:rsid w:val="00260FEC"/>
    <w:rsid w:val="00261762"/>
    <w:rsid w:val="00262715"/>
    <w:rsid w:val="002639E3"/>
    <w:rsid w:val="00263CCB"/>
    <w:rsid w:val="0026531A"/>
    <w:rsid w:val="00265481"/>
    <w:rsid w:val="00265D7F"/>
    <w:rsid w:val="0026608E"/>
    <w:rsid w:val="002667EA"/>
    <w:rsid w:val="00266DCF"/>
    <w:rsid w:val="002672E0"/>
    <w:rsid w:val="002675E0"/>
    <w:rsid w:val="002675EC"/>
    <w:rsid w:val="002706E8"/>
    <w:rsid w:val="00270756"/>
    <w:rsid w:val="00271755"/>
    <w:rsid w:val="002720A9"/>
    <w:rsid w:val="0027384E"/>
    <w:rsid w:val="0027567D"/>
    <w:rsid w:val="0027569E"/>
    <w:rsid w:val="002756EE"/>
    <w:rsid w:val="00275B09"/>
    <w:rsid w:val="00275CC1"/>
    <w:rsid w:val="00275DB6"/>
    <w:rsid w:val="0027715C"/>
    <w:rsid w:val="00277A19"/>
    <w:rsid w:val="00277E62"/>
    <w:rsid w:val="0028057D"/>
    <w:rsid w:val="0028076F"/>
    <w:rsid w:val="00280ECE"/>
    <w:rsid w:val="00281268"/>
    <w:rsid w:val="002814DA"/>
    <w:rsid w:val="002817AB"/>
    <w:rsid w:val="002820D9"/>
    <w:rsid w:val="00282B7C"/>
    <w:rsid w:val="002830D3"/>
    <w:rsid w:val="002838B4"/>
    <w:rsid w:val="002843D3"/>
    <w:rsid w:val="00284F40"/>
    <w:rsid w:val="00285389"/>
    <w:rsid w:val="002858EA"/>
    <w:rsid w:val="0028619A"/>
    <w:rsid w:val="00286308"/>
    <w:rsid w:val="0028650F"/>
    <w:rsid w:val="00286ABD"/>
    <w:rsid w:val="00286C2C"/>
    <w:rsid w:val="00286D83"/>
    <w:rsid w:val="00286D93"/>
    <w:rsid w:val="002874A6"/>
    <w:rsid w:val="00287BC6"/>
    <w:rsid w:val="00287C6F"/>
    <w:rsid w:val="00291308"/>
    <w:rsid w:val="00291AC2"/>
    <w:rsid w:val="00291BC6"/>
    <w:rsid w:val="00291F19"/>
    <w:rsid w:val="00292005"/>
    <w:rsid w:val="0029240A"/>
    <w:rsid w:val="00294161"/>
    <w:rsid w:val="0029421D"/>
    <w:rsid w:val="002942EC"/>
    <w:rsid w:val="00294550"/>
    <w:rsid w:val="00294D0D"/>
    <w:rsid w:val="0029620C"/>
    <w:rsid w:val="00297105"/>
    <w:rsid w:val="002A0139"/>
    <w:rsid w:val="002A08E5"/>
    <w:rsid w:val="002A096D"/>
    <w:rsid w:val="002A17B6"/>
    <w:rsid w:val="002A29B6"/>
    <w:rsid w:val="002A2D5B"/>
    <w:rsid w:val="002A2FF8"/>
    <w:rsid w:val="002A415E"/>
    <w:rsid w:val="002A4320"/>
    <w:rsid w:val="002A56BA"/>
    <w:rsid w:val="002A5CE8"/>
    <w:rsid w:val="002A5EE3"/>
    <w:rsid w:val="002A68CE"/>
    <w:rsid w:val="002A6966"/>
    <w:rsid w:val="002A791F"/>
    <w:rsid w:val="002A7E46"/>
    <w:rsid w:val="002B04A9"/>
    <w:rsid w:val="002B0C26"/>
    <w:rsid w:val="002B0FA1"/>
    <w:rsid w:val="002B1270"/>
    <w:rsid w:val="002B1300"/>
    <w:rsid w:val="002B1335"/>
    <w:rsid w:val="002B1635"/>
    <w:rsid w:val="002B4672"/>
    <w:rsid w:val="002B4929"/>
    <w:rsid w:val="002B52AD"/>
    <w:rsid w:val="002B5A74"/>
    <w:rsid w:val="002B5E90"/>
    <w:rsid w:val="002B62B2"/>
    <w:rsid w:val="002B7496"/>
    <w:rsid w:val="002B77BA"/>
    <w:rsid w:val="002B7860"/>
    <w:rsid w:val="002C0EF3"/>
    <w:rsid w:val="002C1BD4"/>
    <w:rsid w:val="002C3413"/>
    <w:rsid w:val="002C34DB"/>
    <w:rsid w:val="002C3A32"/>
    <w:rsid w:val="002C3EB3"/>
    <w:rsid w:val="002C3FB8"/>
    <w:rsid w:val="002C43FB"/>
    <w:rsid w:val="002C4857"/>
    <w:rsid w:val="002C56C3"/>
    <w:rsid w:val="002C5919"/>
    <w:rsid w:val="002C7531"/>
    <w:rsid w:val="002C7978"/>
    <w:rsid w:val="002C799A"/>
    <w:rsid w:val="002C7FF3"/>
    <w:rsid w:val="002D02BF"/>
    <w:rsid w:val="002D03C5"/>
    <w:rsid w:val="002D04A9"/>
    <w:rsid w:val="002D09D8"/>
    <w:rsid w:val="002D0D97"/>
    <w:rsid w:val="002D1274"/>
    <w:rsid w:val="002D12A3"/>
    <w:rsid w:val="002D13B2"/>
    <w:rsid w:val="002D233E"/>
    <w:rsid w:val="002D2AB5"/>
    <w:rsid w:val="002D34F7"/>
    <w:rsid w:val="002D3B93"/>
    <w:rsid w:val="002D3FC8"/>
    <w:rsid w:val="002D49C1"/>
    <w:rsid w:val="002D4CE5"/>
    <w:rsid w:val="002D4DBE"/>
    <w:rsid w:val="002D550C"/>
    <w:rsid w:val="002D572B"/>
    <w:rsid w:val="002D5BDA"/>
    <w:rsid w:val="002D5D51"/>
    <w:rsid w:val="002D61AE"/>
    <w:rsid w:val="002D6DD7"/>
    <w:rsid w:val="002D6E1E"/>
    <w:rsid w:val="002D6E28"/>
    <w:rsid w:val="002D7B66"/>
    <w:rsid w:val="002D7FB0"/>
    <w:rsid w:val="002E0814"/>
    <w:rsid w:val="002E0A39"/>
    <w:rsid w:val="002E10ED"/>
    <w:rsid w:val="002E1195"/>
    <w:rsid w:val="002E1570"/>
    <w:rsid w:val="002E1CEB"/>
    <w:rsid w:val="002E1EDB"/>
    <w:rsid w:val="002E2633"/>
    <w:rsid w:val="002E2BC8"/>
    <w:rsid w:val="002E2EAA"/>
    <w:rsid w:val="002E3846"/>
    <w:rsid w:val="002E3CCD"/>
    <w:rsid w:val="002E4A80"/>
    <w:rsid w:val="002E4E1F"/>
    <w:rsid w:val="002E4FD2"/>
    <w:rsid w:val="002E5BD1"/>
    <w:rsid w:val="002E5E97"/>
    <w:rsid w:val="002E5EF6"/>
    <w:rsid w:val="002E69F3"/>
    <w:rsid w:val="002E6B8E"/>
    <w:rsid w:val="002E6BED"/>
    <w:rsid w:val="002E729E"/>
    <w:rsid w:val="002E7D66"/>
    <w:rsid w:val="002F05B5"/>
    <w:rsid w:val="002F09E7"/>
    <w:rsid w:val="002F0EA9"/>
    <w:rsid w:val="002F13FD"/>
    <w:rsid w:val="002F173B"/>
    <w:rsid w:val="002F1786"/>
    <w:rsid w:val="002F2200"/>
    <w:rsid w:val="002F23BF"/>
    <w:rsid w:val="002F279E"/>
    <w:rsid w:val="002F35D7"/>
    <w:rsid w:val="002F3D19"/>
    <w:rsid w:val="002F3DEE"/>
    <w:rsid w:val="002F3F9C"/>
    <w:rsid w:val="002F4011"/>
    <w:rsid w:val="002F49F1"/>
    <w:rsid w:val="002F4B7E"/>
    <w:rsid w:val="002F56CA"/>
    <w:rsid w:val="002F5993"/>
    <w:rsid w:val="002F6558"/>
    <w:rsid w:val="002F7B9E"/>
    <w:rsid w:val="002F7FB2"/>
    <w:rsid w:val="00300492"/>
    <w:rsid w:val="003005FD"/>
    <w:rsid w:val="00300CD8"/>
    <w:rsid w:val="003011A5"/>
    <w:rsid w:val="0030154F"/>
    <w:rsid w:val="0030213B"/>
    <w:rsid w:val="0030250D"/>
    <w:rsid w:val="00303066"/>
    <w:rsid w:val="00303102"/>
    <w:rsid w:val="003036FE"/>
    <w:rsid w:val="003039C5"/>
    <w:rsid w:val="00303F21"/>
    <w:rsid w:val="00304E78"/>
    <w:rsid w:val="003053DB"/>
    <w:rsid w:val="00305923"/>
    <w:rsid w:val="003068EE"/>
    <w:rsid w:val="003107D0"/>
    <w:rsid w:val="003112DE"/>
    <w:rsid w:val="00311BFA"/>
    <w:rsid w:val="0031200B"/>
    <w:rsid w:val="0031262E"/>
    <w:rsid w:val="00312872"/>
    <w:rsid w:val="00312BE5"/>
    <w:rsid w:val="00314042"/>
    <w:rsid w:val="00314D51"/>
    <w:rsid w:val="0031605A"/>
    <w:rsid w:val="00316DD0"/>
    <w:rsid w:val="00316F42"/>
    <w:rsid w:val="0031710B"/>
    <w:rsid w:val="00317CB0"/>
    <w:rsid w:val="0032062D"/>
    <w:rsid w:val="0032098C"/>
    <w:rsid w:val="00320A8B"/>
    <w:rsid w:val="00320DA3"/>
    <w:rsid w:val="0032127D"/>
    <w:rsid w:val="00321780"/>
    <w:rsid w:val="003221F2"/>
    <w:rsid w:val="003225BC"/>
    <w:rsid w:val="003232A4"/>
    <w:rsid w:val="00325443"/>
    <w:rsid w:val="0032591F"/>
    <w:rsid w:val="00325A67"/>
    <w:rsid w:val="00325B79"/>
    <w:rsid w:val="0032618F"/>
    <w:rsid w:val="003263AC"/>
    <w:rsid w:val="00326532"/>
    <w:rsid w:val="00327492"/>
    <w:rsid w:val="0032786A"/>
    <w:rsid w:val="00327A1E"/>
    <w:rsid w:val="00327F40"/>
    <w:rsid w:val="00327FA9"/>
    <w:rsid w:val="003300FC"/>
    <w:rsid w:val="003304CD"/>
    <w:rsid w:val="00333425"/>
    <w:rsid w:val="00333EEA"/>
    <w:rsid w:val="00334446"/>
    <w:rsid w:val="00334641"/>
    <w:rsid w:val="00334730"/>
    <w:rsid w:val="00334877"/>
    <w:rsid w:val="00334980"/>
    <w:rsid w:val="00334D2C"/>
    <w:rsid w:val="00334D61"/>
    <w:rsid w:val="00335E6B"/>
    <w:rsid w:val="00335E9C"/>
    <w:rsid w:val="00336443"/>
    <w:rsid w:val="00336E14"/>
    <w:rsid w:val="003374BB"/>
    <w:rsid w:val="00337500"/>
    <w:rsid w:val="00340E4C"/>
    <w:rsid w:val="003422FE"/>
    <w:rsid w:val="00342583"/>
    <w:rsid w:val="00342F4A"/>
    <w:rsid w:val="00343A6B"/>
    <w:rsid w:val="00344644"/>
    <w:rsid w:val="00344650"/>
    <w:rsid w:val="0034529B"/>
    <w:rsid w:val="00345F7B"/>
    <w:rsid w:val="0034628E"/>
    <w:rsid w:val="00346452"/>
    <w:rsid w:val="00347A7D"/>
    <w:rsid w:val="00347FE2"/>
    <w:rsid w:val="00350048"/>
    <w:rsid w:val="003504B4"/>
    <w:rsid w:val="003508F4"/>
    <w:rsid w:val="00350989"/>
    <w:rsid w:val="00350C11"/>
    <w:rsid w:val="00350D9D"/>
    <w:rsid w:val="0035148D"/>
    <w:rsid w:val="003518B2"/>
    <w:rsid w:val="003518FA"/>
    <w:rsid w:val="00352028"/>
    <w:rsid w:val="003520CE"/>
    <w:rsid w:val="00352219"/>
    <w:rsid w:val="003524F3"/>
    <w:rsid w:val="00353B14"/>
    <w:rsid w:val="0035423E"/>
    <w:rsid w:val="0035426A"/>
    <w:rsid w:val="00354791"/>
    <w:rsid w:val="00354CCE"/>
    <w:rsid w:val="00354F6E"/>
    <w:rsid w:val="00355724"/>
    <w:rsid w:val="003557D5"/>
    <w:rsid w:val="00356002"/>
    <w:rsid w:val="0035618F"/>
    <w:rsid w:val="003562B5"/>
    <w:rsid w:val="003567ED"/>
    <w:rsid w:val="00356E23"/>
    <w:rsid w:val="00357326"/>
    <w:rsid w:val="00357685"/>
    <w:rsid w:val="0035792B"/>
    <w:rsid w:val="0036018C"/>
    <w:rsid w:val="003604A0"/>
    <w:rsid w:val="0036087D"/>
    <w:rsid w:val="00361D3C"/>
    <w:rsid w:val="00361DE8"/>
    <w:rsid w:val="00362573"/>
    <w:rsid w:val="00362C7B"/>
    <w:rsid w:val="00363529"/>
    <w:rsid w:val="003637D6"/>
    <w:rsid w:val="00363895"/>
    <w:rsid w:val="00364247"/>
    <w:rsid w:val="003647E3"/>
    <w:rsid w:val="00364EED"/>
    <w:rsid w:val="003651F2"/>
    <w:rsid w:val="003652E8"/>
    <w:rsid w:val="00365585"/>
    <w:rsid w:val="0036580D"/>
    <w:rsid w:val="00366485"/>
    <w:rsid w:val="0036684E"/>
    <w:rsid w:val="00366EAD"/>
    <w:rsid w:val="00367367"/>
    <w:rsid w:val="003674C6"/>
    <w:rsid w:val="0037080F"/>
    <w:rsid w:val="00370CDF"/>
    <w:rsid w:val="00371BEA"/>
    <w:rsid w:val="003721D1"/>
    <w:rsid w:val="003731EA"/>
    <w:rsid w:val="00373C9A"/>
    <w:rsid w:val="00374207"/>
    <w:rsid w:val="003744F1"/>
    <w:rsid w:val="0037477B"/>
    <w:rsid w:val="003759E3"/>
    <w:rsid w:val="00375C8E"/>
    <w:rsid w:val="00376DD0"/>
    <w:rsid w:val="00377B5D"/>
    <w:rsid w:val="0038038C"/>
    <w:rsid w:val="00380B6F"/>
    <w:rsid w:val="00380D97"/>
    <w:rsid w:val="003812F4"/>
    <w:rsid w:val="00382285"/>
    <w:rsid w:val="00382292"/>
    <w:rsid w:val="00383C71"/>
    <w:rsid w:val="00384283"/>
    <w:rsid w:val="00384E71"/>
    <w:rsid w:val="00385277"/>
    <w:rsid w:val="003857C1"/>
    <w:rsid w:val="003857F6"/>
    <w:rsid w:val="00385CBA"/>
    <w:rsid w:val="003864FC"/>
    <w:rsid w:val="00386C8B"/>
    <w:rsid w:val="00386EFF"/>
    <w:rsid w:val="00387C4A"/>
    <w:rsid w:val="00390730"/>
    <w:rsid w:val="00390B9A"/>
    <w:rsid w:val="00390D3F"/>
    <w:rsid w:val="003918D8"/>
    <w:rsid w:val="00391D84"/>
    <w:rsid w:val="00391E35"/>
    <w:rsid w:val="003929CF"/>
    <w:rsid w:val="00392AB5"/>
    <w:rsid w:val="00393034"/>
    <w:rsid w:val="00393DC4"/>
    <w:rsid w:val="00393FB0"/>
    <w:rsid w:val="0039465C"/>
    <w:rsid w:val="0039515F"/>
    <w:rsid w:val="0039539C"/>
    <w:rsid w:val="00395D69"/>
    <w:rsid w:val="00396932"/>
    <w:rsid w:val="00396B3A"/>
    <w:rsid w:val="00396E0F"/>
    <w:rsid w:val="00396F86"/>
    <w:rsid w:val="00397426"/>
    <w:rsid w:val="00397477"/>
    <w:rsid w:val="00397B61"/>
    <w:rsid w:val="003A0A75"/>
    <w:rsid w:val="003A0C25"/>
    <w:rsid w:val="003A1D5B"/>
    <w:rsid w:val="003A1FC5"/>
    <w:rsid w:val="003A2730"/>
    <w:rsid w:val="003A3E9E"/>
    <w:rsid w:val="003A4212"/>
    <w:rsid w:val="003A4525"/>
    <w:rsid w:val="003A52A9"/>
    <w:rsid w:val="003A608D"/>
    <w:rsid w:val="003B0332"/>
    <w:rsid w:val="003B054D"/>
    <w:rsid w:val="003B1084"/>
    <w:rsid w:val="003B1473"/>
    <w:rsid w:val="003B17AA"/>
    <w:rsid w:val="003B19E8"/>
    <w:rsid w:val="003B1F50"/>
    <w:rsid w:val="003B2197"/>
    <w:rsid w:val="003B251C"/>
    <w:rsid w:val="003B2D96"/>
    <w:rsid w:val="003B3136"/>
    <w:rsid w:val="003B3287"/>
    <w:rsid w:val="003B3B0E"/>
    <w:rsid w:val="003B3B39"/>
    <w:rsid w:val="003B512D"/>
    <w:rsid w:val="003B5D5B"/>
    <w:rsid w:val="003B60E4"/>
    <w:rsid w:val="003B678F"/>
    <w:rsid w:val="003B76A2"/>
    <w:rsid w:val="003B76C6"/>
    <w:rsid w:val="003C14B4"/>
    <w:rsid w:val="003C16E7"/>
    <w:rsid w:val="003C172B"/>
    <w:rsid w:val="003C191C"/>
    <w:rsid w:val="003C253C"/>
    <w:rsid w:val="003C316C"/>
    <w:rsid w:val="003C3180"/>
    <w:rsid w:val="003C36E2"/>
    <w:rsid w:val="003C3FE2"/>
    <w:rsid w:val="003C4267"/>
    <w:rsid w:val="003C43FA"/>
    <w:rsid w:val="003C44E1"/>
    <w:rsid w:val="003C4866"/>
    <w:rsid w:val="003C49D5"/>
    <w:rsid w:val="003C4C3A"/>
    <w:rsid w:val="003C5F63"/>
    <w:rsid w:val="003C5FCF"/>
    <w:rsid w:val="003C6389"/>
    <w:rsid w:val="003C67C3"/>
    <w:rsid w:val="003C6901"/>
    <w:rsid w:val="003C6D11"/>
    <w:rsid w:val="003C77B0"/>
    <w:rsid w:val="003D00A7"/>
    <w:rsid w:val="003D192A"/>
    <w:rsid w:val="003D1A5E"/>
    <w:rsid w:val="003D1B3F"/>
    <w:rsid w:val="003D20CB"/>
    <w:rsid w:val="003D23D7"/>
    <w:rsid w:val="003D24CB"/>
    <w:rsid w:val="003D2A34"/>
    <w:rsid w:val="003D2DB4"/>
    <w:rsid w:val="003D2FC7"/>
    <w:rsid w:val="003D32BC"/>
    <w:rsid w:val="003D357C"/>
    <w:rsid w:val="003D4450"/>
    <w:rsid w:val="003D4758"/>
    <w:rsid w:val="003D4B81"/>
    <w:rsid w:val="003D54DC"/>
    <w:rsid w:val="003D61CD"/>
    <w:rsid w:val="003D65A6"/>
    <w:rsid w:val="003D69B9"/>
    <w:rsid w:val="003D6ADA"/>
    <w:rsid w:val="003D72E1"/>
    <w:rsid w:val="003D74AC"/>
    <w:rsid w:val="003E0010"/>
    <w:rsid w:val="003E0037"/>
    <w:rsid w:val="003E0675"/>
    <w:rsid w:val="003E0A3C"/>
    <w:rsid w:val="003E1456"/>
    <w:rsid w:val="003E1E12"/>
    <w:rsid w:val="003E1FCB"/>
    <w:rsid w:val="003E211F"/>
    <w:rsid w:val="003E2206"/>
    <w:rsid w:val="003E2D7B"/>
    <w:rsid w:val="003E3523"/>
    <w:rsid w:val="003E42DD"/>
    <w:rsid w:val="003E4678"/>
    <w:rsid w:val="003E472C"/>
    <w:rsid w:val="003E51C7"/>
    <w:rsid w:val="003E5322"/>
    <w:rsid w:val="003E5387"/>
    <w:rsid w:val="003E5D4A"/>
    <w:rsid w:val="003E626D"/>
    <w:rsid w:val="003E710E"/>
    <w:rsid w:val="003E7D92"/>
    <w:rsid w:val="003F06FA"/>
    <w:rsid w:val="003F0A4D"/>
    <w:rsid w:val="003F0ABA"/>
    <w:rsid w:val="003F0B2F"/>
    <w:rsid w:val="003F0D2C"/>
    <w:rsid w:val="003F0D84"/>
    <w:rsid w:val="003F0EF4"/>
    <w:rsid w:val="003F1EC1"/>
    <w:rsid w:val="003F20C7"/>
    <w:rsid w:val="003F27CA"/>
    <w:rsid w:val="003F2BD7"/>
    <w:rsid w:val="003F3377"/>
    <w:rsid w:val="003F39FE"/>
    <w:rsid w:val="003F3A62"/>
    <w:rsid w:val="003F3ABE"/>
    <w:rsid w:val="003F4A13"/>
    <w:rsid w:val="003F4B15"/>
    <w:rsid w:val="003F4B4F"/>
    <w:rsid w:val="003F4D20"/>
    <w:rsid w:val="003F583F"/>
    <w:rsid w:val="003F5E2E"/>
    <w:rsid w:val="003F6226"/>
    <w:rsid w:val="003F6446"/>
    <w:rsid w:val="003F6649"/>
    <w:rsid w:val="003F665F"/>
    <w:rsid w:val="003F6E5B"/>
    <w:rsid w:val="003F6F94"/>
    <w:rsid w:val="003F75B1"/>
    <w:rsid w:val="003F7731"/>
    <w:rsid w:val="003F78BD"/>
    <w:rsid w:val="003F7906"/>
    <w:rsid w:val="003F7AB1"/>
    <w:rsid w:val="003F7C40"/>
    <w:rsid w:val="0040006F"/>
    <w:rsid w:val="00400541"/>
    <w:rsid w:val="0040087B"/>
    <w:rsid w:val="00401215"/>
    <w:rsid w:val="00401823"/>
    <w:rsid w:val="00401978"/>
    <w:rsid w:val="00401B0D"/>
    <w:rsid w:val="0040245D"/>
    <w:rsid w:val="00403065"/>
    <w:rsid w:val="00403573"/>
    <w:rsid w:val="00404929"/>
    <w:rsid w:val="00405259"/>
    <w:rsid w:val="00405B86"/>
    <w:rsid w:val="00405ED2"/>
    <w:rsid w:val="0040656B"/>
    <w:rsid w:val="004070E8"/>
    <w:rsid w:val="004071F4"/>
    <w:rsid w:val="004073AC"/>
    <w:rsid w:val="00407D50"/>
    <w:rsid w:val="00407D66"/>
    <w:rsid w:val="00407DD0"/>
    <w:rsid w:val="00407EDE"/>
    <w:rsid w:val="0041000E"/>
    <w:rsid w:val="004101A3"/>
    <w:rsid w:val="00410FA2"/>
    <w:rsid w:val="00411033"/>
    <w:rsid w:val="004111FF"/>
    <w:rsid w:val="0041159A"/>
    <w:rsid w:val="00411A5A"/>
    <w:rsid w:val="00411B6A"/>
    <w:rsid w:val="0041268A"/>
    <w:rsid w:val="00414EE5"/>
    <w:rsid w:val="00415763"/>
    <w:rsid w:val="00415EC7"/>
    <w:rsid w:val="00416EB5"/>
    <w:rsid w:val="00420E0E"/>
    <w:rsid w:val="00421E4B"/>
    <w:rsid w:val="00422273"/>
    <w:rsid w:val="00422C2D"/>
    <w:rsid w:val="00422FE3"/>
    <w:rsid w:val="00423869"/>
    <w:rsid w:val="00423DF5"/>
    <w:rsid w:val="004245AB"/>
    <w:rsid w:val="00424A91"/>
    <w:rsid w:val="00424AA9"/>
    <w:rsid w:val="00425574"/>
    <w:rsid w:val="00425C7A"/>
    <w:rsid w:val="00425CFC"/>
    <w:rsid w:val="004261F4"/>
    <w:rsid w:val="00426A09"/>
    <w:rsid w:val="0042744D"/>
    <w:rsid w:val="00427A57"/>
    <w:rsid w:val="00430081"/>
    <w:rsid w:val="00430A86"/>
    <w:rsid w:val="00430BE5"/>
    <w:rsid w:val="00430C13"/>
    <w:rsid w:val="004311D4"/>
    <w:rsid w:val="00431687"/>
    <w:rsid w:val="0043234D"/>
    <w:rsid w:val="0043278B"/>
    <w:rsid w:val="00432A13"/>
    <w:rsid w:val="004337B5"/>
    <w:rsid w:val="00433CCC"/>
    <w:rsid w:val="00434084"/>
    <w:rsid w:val="004340EE"/>
    <w:rsid w:val="00434C2B"/>
    <w:rsid w:val="00434C80"/>
    <w:rsid w:val="00435096"/>
    <w:rsid w:val="00435B42"/>
    <w:rsid w:val="00435B88"/>
    <w:rsid w:val="00436F07"/>
    <w:rsid w:val="0043757B"/>
    <w:rsid w:val="00437959"/>
    <w:rsid w:val="004402C6"/>
    <w:rsid w:val="00440EB7"/>
    <w:rsid w:val="0044123F"/>
    <w:rsid w:val="00441C86"/>
    <w:rsid w:val="00441C99"/>
    <w:rsid w:val="00442CEA"/>
    <w:rsid w:val="00443372"/>
    <w:rsid w:val="004436EC"/>
    <w:rsid w:val="0044434F"/>
    <w:rsid w:val="0044479D"/>
    <w:rsid w:val="00444B78"/>
    <w:rsid w:val="00444F5E"/>
    <w:rsid w:val="00445FD3"/>
    <w:rsid w:val="00446211"/>
    <w:rsid w:val="00446634"/>
    <w:rsid w:val="00446AD2"/>
    <w:rsid w:val="00446BF5"/>
    <w:rsid w:val="00447606"/>
    <w:rsid w:val="00450309"/>
    <w:rsid w:val="0045071A"/>
    <w:rsid w:val="00450E76"/>
    <w:rsid w:val="0045102B"/>
    <w:rsid w:val="004511AF"/>
    <w:rsid w:val="0045193A"/>
    <w:rsid w:val="00452CA2"/>
    <w:rsid w:val="00452CBF"/>
    <w:rsid w:val="00452CF4"/>
    <w:rsid w:val="0045386A"/>
    <w:rsid w:val="00454820"/>
    <w:rsid w:val="00454A2E"/>
    <w:rsid w:val="00454EF6"/>
    <w:rsid w:val="004555C8"/>
    <w:rsid w:val="00455A2D"/>
    <w:rsid w:val="00456823"/>
    <w:rsid w:val="004569E1"/>
    <w:rsid w:val="00457317"/>
    <w:rsid w:val="00457742"/>
    <w:rsid w:val="00457F89"/>
    <w:rsid w:val="0046011D"/>
    <w:rsid w:val="00460233"/>
    <w:rsid w:val="004611D4"/>
    <w:rsid w:val="00461725"/>
    <w:rsid w:val="004617B1"/>
    <w:rsid w:val="00461D07"/>
    <w:rsid w:val="00461D74"/>
    <w:rsid w:val="00462A53"/>
    <w:rsid w:val="00462EA7"/>
    <w:rsid w:val="0046348C"/>
    <w:rsid w:val="004634F2"/>
    <w:rsid w:val="00463979"/>
    <w:rsid w:val="00463A0E"/>
    <w:rsid w:val="00464C89"/>
    <w:rsid w:val="004650EB"/>
    <w:rsid w:val="00465378"/>
    <w:rsid w:val="00465636"/>
    <w:rsid w:val="0046608E"/>
    <w:rsid w:val="0046634C"/>
    <w:rsid w:val="00466979"/>
    <w:rsid w:val="00467DA3"/>
    <w:rsid w:val="00471228"/>
    <w:rsid w:val="004726A6"/>
    <w:rsid w:val="004734AF"/>
    <w:rsid w:val="004736C9"/>
    <w:rsid w:val="00473D30"/>
    <w:rsid w:val="004744C4"/>
    <w:rsid w:val="004744EE"/>
    <w:rsid w:val="004751FD"/>
    <w:rsid w:val="004753C2"/>
    <w:rsid w:val="00475D3E"/>
    <w:rsid w:val="00475D40"/>
    <w:rsid w:val="004763D5"/>
    <w:rsid w:val="004779AC"/>
    <w:rsid w:val="00480151"/>
    <w:rsid w:val="00480174"/>
    <w:rsid w:val="0048107B"/>
    <w:rsid w:val="00481422"/>
    <w:rsid w:val="004819DB"/>
    <w:rsid w:val="00482FDC"/>
    <w:rsid w:val="00483249"/>
    <w:rsid w:val="00483622"/>
    <w:rsid w:val="00483B81"/>
    <w:rsid w:val="00483F38"/>
    <w:rsid w:val="0048410D"/>
    <w:rsid w:val="00484176"/>
    <w:rsid w:val="00484546"/>
    <w:rsid w:val="004847FC"/>
    <w:rsid w:val="00484DF9"/>
    <w:rsid w:val="00484F51"/>
    <w:rsid w:val="00485739"/>
    <w:rsid w:val="00485EE7"/>
    <w:rsid w:val="0049057C"/>
    <w:rsid w:val="00490931"/>
    <w:rsid w:val="004915FF"/>
    <w:rsid w:val="0049238D"/>
    <w:rsid w:val="0049253D"/>
    <w:rsid w:val="004926FD"/>
    <w:rsid w:val="00492B65"/>
    <w:rsid w:val="004942A4"/>
    <w:rsid w:val="00494751"/>
    <w:rsid w:val="004958FB"/>
    <w:rsid w:val="00495922"/>
    <w:rsid w:val="00495A7F"/>
    <w:rsid w:val="00495AD5"/>
    <w:rsid w:val="00497495"/>
    <w:rsid w:val="00497E89"/>
    <w:rsid w:val="00497EBD"/>
    <w:rsid w:val="004A0B27"/>
    <w:rsid w:val="004A0BCB"/>
    <w:rsid w:val="004A181D"/>
    <w:rsid w:val="004A19E9"/>
    <w:rsid w:val="004A1E07"/>
    <w:rsid w:val="004A1E48"/>
    <w:rsid w:val="004A2D58"/>
    <w:rsid w:val="004A2F5A"/>
    <w:rsid w:val="004A3148"/>
    <w:rsid w:val="004A31E6"/>
    <w:rsid w:val="004A31F0"/>
    <w:rsid w:val="004A42D7"/>
    <w:rsid w:val="004A4348"/>
    <w:rsid w:val="004A4E0C"/>
    <w:rsid w:val="004A53B1"/>
    <w:rsid w:val="004A607A"/>
    <w:rsid w:val="004A61EC"/>
    <w:rsid w:val="004A68CF"/>
    <w:rsid w:val="004A6FF6"/>
    <w:rsid w:val="004A7A79"/>
    <w:rsid w:val="004A7B30"/>
    <w:rsid w:val="004B01B0"/>
    <w:rsid w:val="004B0344"/>
    <w:rsid w:val="004B19A8"/>
    <w:rsid w:val="004B1A13"/>
    <w:rsid w:val="004B2158"/>
    <w:rsid w:val="004B263B"/>
    <w:rsid w:val="004B2C04"/>
    <w:rsid w:val="004B2E87"/>
    <w:rsid w:val="004B3943"/>
    <w:rsid w:val="004B4B12"/>
    <w:rsid w:val="004B4B6B"/>
    <w:rsid w:val="004B4DB9"/>
    <w:rsid w:val="004B540A"/>
    <w:rsid w:val="004B57B9"/>
    <w:rsid w:val="004B6506"/>
    <w:rsid w:val="004B65B0"/>
    <w:rsid w:val="004B71D9"/>
    <w:rsid w:val="004B76A7"/>
    <w:rsid w:val="004C1581"/>
    <w:rsid w:val="004C1622"/>
    <w:rsid w:val="004C177B"/>
    <w:rsid w:val="004C17D7"/>
    <w:rsid w:val="004C2340"/>
    <w:rsid w:val="004C2BF4"/>
    <w:rsid w:val="004C3A19"/>
    <w:rsid w:val="004C3E0C"/>
    <w:rsid w:val="004C3E43"/>
    <w:rsid w:val="004C4795"/>
    <w:rsid w:val="004C4C6D"/>
    <w:rsid w:val="004C50CE"/>
    <w:rsid w:val="004C55B2"/>
    <w:rsid w:val="004C57D2"/>
    <w:rsid w:val="004C5C5F"/>
    <w:rsid w:val="004C5E48"/>
    <w:rsid w:val="004C7882"/>
    <w:rsid w:val="004C7F10"/>
    <w:rsid w:val="004D02CE"/>
    <w:rsid w:val="004D03D2"/>
    <w:rsid w:val="004D0577"/>
    <w:rsid w:val="004D0919"/>
    <w:rsid w:val="004D17F7"/>
    <w:rsid w:val="004D2186"/>
    <w:rsid w:val="004D2302"/>
    <w:rsid w:val="004D2621"/>
    <w:rsid w:val="004D350A"/>
    <w:rsid w:val="004D38B0"/>
    <w:rsid w:val="004D396F"/>
    <w:rsid w:val="004D3CBB"/>
    <w:rsid w:val="004D4236"/>
    <w:rsid w:val="004D4B33"/>
    <w:rsid w:val="004D50DB"/>
    <w:rsid w:val="004D55D8"/>
    <w:rsid w:val="004D586C"/>
    <w:rsid w:val="004D60A5"/>
    <w:rsid w:val="004D67CB"/>
    <w:rsid w:val="004D6919"/>
    <w:rsid w:val="004D6D4C"/>
    <w:rsid w:val="004E0206"/>
    <w:rsid w:val="004E04F2"/>
    <w:rsid w:val="004E1F6B"/>
    <w:rsid w:val="004E344B"/>
    <w:rsid w:val="004E41C2"/>
    <w:rsid w:val="004E447F"/>
    <w:rsid w:val="004E458F"/>
    <w:rsid w:val="004E4B54"/>
    <w:rsid w:val="004E580A"/>
    <w:rsid w:val="004E69E5"/>
    <w:rsid w:val="004E6AEB"/>
    <w:rsid w:val="004F01E2"/>
    <w:rsid w:val="004F0541"/>
    <w:rsid w:val="004F0A32"/>
    <w:rsid w:val="004F0B14"/>
    <w:rsid w:val="004F1595"/>
    <w:rsid w:val="004F1894"/>
    <w:rsid w:val="004F2315"/>
    <w:rsid w:val="004F2492"/>
    <w:rsid w:val="004F2B99"/>
    <w:rsid w:val="004F3026"/>
    <w:rsid w:val="004F49AF"/>
    <w:rsid w:val="004F50D5"/>
    <w:rsid w:val="004F585A"/>
    <w:rsid w:val="004F67B3"/>
    <w:rsid w:val="004F6CFC"/>
    <w:rsid w:val="004F7244"/>
    <w:rsid w:val="004F74FB"/>
    <w:rsid w:val="004F7A9C"/>
    <w:rsid w:val="004F7DA6"/>
    <w:rsid w:val="005001ED"/>
    <w:rsid w:val="005008A0"/>
    <w:rsid w:val="00500F54"/>
    <w:rsid w:val="00503337"/>
    <w:rsid w:val="005035AA"/>
    <w:rsid w:val="005038F8"/>
    <w:rsid w:val="00503C0D"/>
    <w:rsid w:val="00503CF3"/>
    <w:rsid w:val="00504213"/>
    <w:rsid w:val="005046CD"/>
    <w:rsid w:val="00504749"/>
    <w:rsid w:val="00504DCA"/>
    <w:rsid w:val="005052A3"/>
    <w:rsid w:val="005055DD"/>
    <w:rsid w:val="005058D4"/>
    <w:rsid w:val="00505A71"/>
    <w:rsid w:val="00505D49"/>
    <w:rsid w:val="00507059"/>
    <w:rsid w:val="00507073"/>
    <w:rsid w:val="005073CE"/>
    <w:rsid w:val="00507A1F"/>
    <w:rsid w:val="00510448"/>
    <w:rsid w:val="005109FA"/>
    <w:rsid w:val="00510B92"/>
    <w:rsid w:val="00510CBD"/>
    <w:rsid w:val="0051102E"/>
    <w:rsid w:val="005110CE"/>
    <w:rsid w:val="00511BEC"/>
    <w:rsid w:val="00511D39"/>
    <w:rsid w:val="00511F7F"/>
    <w:rsid w:val="00512046"/>
    <w:rsid w:val="00512852"/>
    <w:rsid w:val="00512F6F"/>
    <w:rsid w:val="00513E47"/>
    <w:rsid w:val="00514225"/>
    <w:rsid w:val="00514FD9"/>
    <w:rsid w:val="005153EB"/>
    <w:rsid w:val="00515BD1"/>
    <w:rsid w:val="0051641A"/>
    <w:rsid w:val="005165D9"/>
    <w:rsid w:val="00516B67"/>
    <w:rsid w:val="00516FC2"/>
    <w:rsid w:val="00517CA5"/>
    <w:rsid w:val="005200A3"/>
    <w:rsid w:val="005208E4"/>
    <w:rsid w:val="00520C9B"/>
    <w:rsid w:val="00520EAA"/>
    <w:rsid w:val="005218B7"/>
    <w:rsid w:val="00522004"/>
    <w:rsid w:val="00522ACA"/>
    <w:rsid w:val="00522CBD"/>
    <w:rsid w:val="00522EAB"/>
    <w:rsid w:val="00523995"/>
    <w:rsid w:val="00523A02"/>
    <w:rsid w:val="0052478C"/>
    <w:rsid w:val="00524D62"/>
    <w:rsid w:val="00524FE3"/>
    <w:rsid w:val="00526330"/>
    <w:rsid w:val="00526756"/>
    <w:rsid w:val="00526762"/>
    <w:rsid w:val="005267E4"/>
    <w:rsid w:val="00527A74"/>
    <w:rsid w:val="00527D46"/>
    <w:rsid w:val="00530EA9"/>
    <w:rsid w:val="0053122D"/>
    <w:rsid w:val="00531C1C"/>
    <w:rsid w:val="00532034"/>
    <w:rsid w:val="00532063"/>
    <w:rsid w:val="00532531"/>
    <w:rsid w:val="00532D69"/>
    <w:rsid w:val="00533148"/>
    <w:rsid w:val="00533238"/>
    <w:rsid w:val="00533283"/>
    <w:rsid w:val="00533998"/>
    <w:rsid w:val="00533A2A"/>
    <w:rsid w:val="00533B97"/>
    <w:rsid w:val="00533EC0"/>
    <w:rsid w:val="005348B4"/>
    <w:rsid w:val="00536394"/>
    <w:rsid w:val="005363B1"/>
    <w:rsid w:val="00536597"/>
    <w:rsid w:val="00536880"/>
    <w:rsid w:val="00536A03"/>
    <w:rsid w:val="005370D9"/>
    <w:rsid w:val="00537EAC"/>
    <w:rsid w:val="00537F10"/>
    <w:rsid w:val="005400D5"/>
    <w:rsid w:val="005411B9"/>
    <w:rsid w:val="00541E2E"/>
    <w:rsid w:val="00541FE9"/>
    <w:rsid w:val="005423F1"/>
    <w:rsid w:val="005426A8"/>
    <w:rsid w:val="005426AA"/>
    <w:rsid w:val="00542A8C"/>
    <w:rsid w:val="00543521"/>
    <w:rsid w:val="005438C9"/>
    <w:rsid w:val="005441EA"/>
    <w:rsid w:val="00544280"/>
    <w:rsid w:val="00544996"/>
    <w:rsid w:val="00544F1F"/>
    <w:rsid w:val="005456DE"/>
    <w:rsid w:val="00546000"/>
    <w:rsid w:val="00546753"/>
    <w:rsid w:val="00546E33"/>
    <w:rsid w:val="00547B3E"/>
    <w:rsid w:val="00547FBB"/>
    <w:rsid w:val="00550573"/>
    <w:rsid w:val="00550905"/>
    <w:rsid w:val="00550EAD"/>
    <w:rsid w:val="0055178B"/>
    <w:rsid w:val="00553340"/>
    <w:rsid w:val="00553E8B"/>
    <w:rsid w:val="005547EC"/>
    <w:rsid w:val="00554B16"/>
    <w:rsid w:val="00554D55"/>
    <w:rsid w:val="0055573F"/>
    <w:rsid w:val="00555C8A"/>
    <w:rsid w:val="00555D30"/>
    <w:rsid w:val="00555DC6"/>
    <w:rsid w:val="005563C1"/>
    <w:rsid w:val="00556599"/>
    <w:rsid w:val="0055677A"/>
    <w:rsid w:val="005570AA"/>
    <w:rsid w:val="005577D8"/>
    <w:rsid w:val="00560EBD"/>
    <w:rsid w:val="00560F59"/>
    <w:rsid w:val="00561BE3"/>
    <w:rsid w:val="00561C88"/>
    <w:rsid w:val="00562AEB"/>
    <w:rsid w:val="00562F99"/>
    <w:rsid w:val="00562FD4"/>
    <w:rsid w:val="00563753"/>
    <w:rsid w:val="005646DB"/>
    <w:rsid w:val="00564BE6"/>
    <w:rsid w:val="00565903"/>
    <w:rsid w:val="0056614F"/>
    <w:rsid w:val="005663CD"/>
    <w:rsid w:val="00566A91"/>
    <w:rsid w:val="005677E2"/>
    <w:rsid w:val="005678E7"/>
    <w:rsid w:val="005708FD"/>
    <w:rsid w:val="00570C7E"/>
    <w:rsid w:val="00571156"/>
    <w:rsid w:val="00571CDA"/>
    <w:rsid w:val="00572288"/>
    <w:rsid w:val="005734E0"/>
    <w:rsid w:val="00573AB1"/>
    <w:rsid w:val="0057410C"/>
    <w:rsid w:val="00574844"/>
    <w:rsid w:val="005761C9"/>
    <w:rsid w:val="00576847"/>
    <w:rsid w:val="00576EBD"/>
    <w:rsid w:val="00576F95"/>
    <w:rsid w:val="005779EF"/>
    <w:rsid w:val="00580379"/>
    <w:rsid w:val="00580398"/>
    <w:rsid w:val="00580599"/>
    <w:rsid w:val="00580712"/>
    <w:rsid w:val="005807BF"/>
    <w:rsid w:val="00580FC0"/>
    <w:rsid w:val="0058153A"/>
    <w:rsid w:val="00581799"/>
    <w:rsid w:val="00581EC1"/>
    <w:rsid w:val="00581F1C"/>
    <w:rsid w:val="005835BD"/>
    <w:rsid w:val="0058381A"/>
    <w:rsid w:val="005840E2"/>
    <w:rsid w:val="005842E7"/>
    <w:rsid w:val="005847B6"/>
    <w:rsid w:val="005855D1"/>
    <w:rsid w:val="00585EB2"/>
    <w:rsid w:val="0058645E"/>
    <w:rsid w:val="0058666F"/>
    <w:rsid w:val="00586902"/>
    <w:rsid w:val="00586AA1"/>
    <w:rsid w:val="0058729C"/>
    <w:rsid w:val="0058798D"/>
    <w:rsid w:val="00587EC0"/>
    <w:rsid w:val="0059020A"/>
    <w:rsid w:val="00590CC1"/>
    <w:rsid w:val="00591467"/>
    <w:rsid w:val="00591881"/>
    <w:rsid w:val="00591AA1"/>
    <w:rsid w:val="00591EFB"/>
    <w:rsid w:val="00593608"/>
    <w:rsid w:val="00593FEF"/>
    <w:rsid w:val="005947B8"/>
    <w:rsid w:val="00594C23"/>
    <w:rsid w:val="00594F03"/>
    <w:rsid w:val="00595893"/>
    <w:rsid w:val="00595B0C"/>
    <w:rsid w:val="00595D3F"/>
    <w:rsid w:val="00596488"/>
    <w:rsid w:val="00597476"/>
    <w:rsid w:val="005976CD"/>
    <w:rsid w:val="005A0474"/>
    <w:rsid w:val="005A0F53"/>
    <w:rsid w:val="005A1910"/>
    <w:rsid w:val="005A2C2A"/>
    <w:rsid w:val="005A3843"/>
    <w:rsid w:val="005A39A9"/>
    <w:rsid w:val="005A4A4C"/>
    <w:rsid w:val="005A4A82"/>
    <w:rsid w:val="005A63AF"/>
    <w:rsid w:val="005A6ACE"/>
    <w:rsid w:val="005A733A"/>
    <w:rsid w:val="005A79DB"/>
    <w:rsid w:val="005A7F3F"/>
    <w:rsid w:val="005B037E"/>
    <w:rsid w:val="005B0600"/>
    <w:rsid w:val="005B0A8B"/>
    <w:rsid w:val="005B0EB0"/>
    <w:rsid w:val="005B2471"/>
    <w:rsid w:val="005B251B"/>
    <w:rsid w:val="005B270A"/>
    <w:rsid w:val="005B2EAB"/>
    <w:rsid w:val="005B40B9"/>
    <w:rsid w:val="005B4615"/>
    <w:rsid w:val="005B47B2"/>
    <w:rsid w:val="005B47F7"/>
    <w:rsid w:val="005B5B5E"/>
    <w:rsid w:val="005B6BAA"/>
    <w:rsid w:val="005B6F1F"/>
    <w:rsid w:val="005B73A6"/>
    <w:rsid w:val="005C0780"/>
    <w:rsid w:val="005C09B4"/>
    <w:rsid w:val="005C16E1"/>
    <w:rsid w:val="005C1B8E"/>
    <w:rsid w:val="005C1DAC"/>
    <w:rsid w:val="005C210E"/>
    <w:rsid w:val="005C2671"/>
    <w:rsid w:val="005C29D6"/>
    <w:rsid w:val="005C41A8"/>
    <w:rsid w:val="005C44C9"/>
    <w:rsid w:val="005C5345"/>
    <w:rsid w:val="005C593F"/>
    <w:rsid w:val="005C5FB8"/>
    <w:rsid w:val="005C61E3"/>
    <w:rsid w:val="005C66C5"/>
    <w:rsid w:val="005C789B"/>
    <w:rsid w:val="005C78B0"/>
    <w:rsid w:val="005C7962"/>
    <w:rsid w:val="005D0757"/>
    <w:rsid w:val="005D09F7"/>
    <w:rsid w:val="005D0C2C"/>
    <w:rsid w:val="005D0DB8"/>
    <w:rsid w:val="005D23BA"/>
    <w:rsid w:val="005D241F"/>
    <w:rsid w:val="005D2F3D"/>
    <w:rsid w:val="005D3095"/>
    <w:rsid w:val="005D338C"/>
    <w:rsid w:val="005D3A87"/>
    <w:rsid w:val="005D4088"/>
    <w:rsid w:val="005D411F"/>
    <w:rsid w:val="005D4149"/>
    <w:rsid w:val="005D4A9F"/>
    <w:rsid w:val="005D4FA2"/>
    <w:rsid w:val="005D55FA"/>
    <w:rsid w:val="005D5A2D"/>
    <w:rsid w:val="005D5BD6"/>
    <w:rsid w:val="005D5DE4"/>
    <w:rsid w:val="005D63A6"/>
    <w:rsid w:val="005D645E"/>
    <w:rsid w:val="005D647D"/>
    <w:rsid w:val="005D6951"/>
    <w:rsid w:val="005D6DE0"/>
    <w:rsid w:val="005D754C"/>
    <w:rsid w:val="005D75F3"/>
    <w:rsid w:val="005E0DE6"/>
    <w:rsid w:val="005E0F8B"/>
    <w:rsid w:val="005E1388"/>
    <w:rsid w:val="005E1998"/>
    <w:rsid w:val="005E1ACC"/>
    <w:rsid w:val="005E1B1C"/>
    <w:rsid w:val="005E2416"/>
    <w:rsid w:val="005E2FAC"/>
    <w:rsid w:val="005E359F"/>
    <w:rsid w:val="005E3A35"/>
    <w:rsid w:val="005E3E21"/>
    <w:rsid w:val="005E52E6"/>
    <w:rsid w:val="005E5387"/>
    <w:rsid w:val="005E53E7"/>
    <w:rsid w:val="005E55C7"/>
    <w:rsid w:val="005E5D4B"/>
    <w:rsid w:val="005E601C"/>
    <w:rsid w:val="005E6F6A"/>
    <w:rsid w:val="005E7A9C"/>
    <w:rsid w:val="005E7D65"/>
    <w:rsid w:val="005E7EC4"/>
    <w:rsid w:val="005F0ED2"/>
    <w:rsid w:val="005F10E2"/>
    <w:rsid w:val="005F110A"/>
    <w:rsid w:val="005F13D4"/>
    <w:rsid w:val="005F1498"/>
    <w:rsid w:val="005F1677"/>
    <w:rsid w:val="005F1C94"/>
    <w:rsid w:val="005F2341"/>
    <w:rsid w:val="005F23CF"/>
    <w:rsid w:val="005F2C9B"/>
    <w:rsid w:val="005F3784"/>
    <w:rsid w:val="005F38BC"/>
    <w:rsid w:val="005F4829"/>
    <w:rsid w:val="005F501A"/>
    <w:rsid w:val="005F66A9"/>
    <w:rsid w:val="005F6EE6"/>
    <w:rsid w:val="005F6F77"/>
    <w:rsid w:val="005F79F2"/>
    <w:rsid w:val="005F7FB1"/>
    <w:rsid w:val="00600996"/>
    <w:rsid w:val="00600C92"/>
    <w:rsid w:val="0060336E"/>
    <w:rsid w:val="006033D0"/>
    <w:rsid w:val="00603D9B"/>
    <w:rsid w:val="00603EE6"/>
    <w:rsid w:val="00603FBA"/>
    <w:rsid w:val="0060466C"/>
    <w:rsid w:val="006046DB"/>
    <w:rsid w:val="00604701"/>
    <w:rsid w:val="00605633"/>
    <w:rsid w:val="00605697"/>
    <w:rsid w:val="0060569A"/>
    <w:rsid w:val="00605A07"/>
    <w:rsid w:val="00606B06"/>
    <w:rsid w:val="006070C4"/>
    <w:rsid w:val="00607642"/>
    <w:rsid w:val="0060780F"/>
    <w:rsid w:val="00607F43"/>
    <w:rsid w:val="006107B7"/>
    <w:rsid w:val="00610B03"/>
    <w:rsid w:val="006122C7"/>
    <w:rsid w:val="00612345"/>
    <w:rsid w:val="006127E6"/>
    <w:rsid w:val="00612B45"/>
    <w:rsid w:val="0061430C"/>
    <w:rsid w:val="00614405"/>
    <w:rsid w:val="00614CC0"/>
    <w:rsid w:val="0061556A"/>
    <w:rsid w:val="00615765"/>
    <w:rsid w:val="0061796F"/>
    <w:rsid w:val="00617975"/>
    <w:rsid w:val="00617A13"/>
    <w:rsid w:val="00617D6C"/>
    <w:rsid w:val="00620120"/>
    <w:rsid w:val="0062029C"/>
    <w:rsid w:val="00621622"/>
    <w:rsid w:val="00621C2F"/>
    <w:rsid w:val="00621CAF"/>
    <w:rsid w:val="00622499"/>
    <w:rsid w:val="006228C9"/>
    <w:rsid w:val="00622D46"/>
    <w:rsid w:val="00623DDF"/>
    <w:rsid w:val="006248AA"/>
    <w:rsid w:val="00624AF0"/>
    <w:rsid w:val="00624E78"/>
    <w:rsid w:val="00625003"/>
    <w:rsid w:val="00625EA4"/>
    <w:rsid w:val="00625F15"/>
    <w:rsid w:val="00626355"/>
    <w:rsid w:val="006264D5"/>
    <w:rsid w:val="00626ABF"/>
    <w:rsid w:val="006279F1"/>
    <w:rsid w:val="00630276"/>
    <w:rsid w:val="00630322"/>
    <w:rsid w:val="00630A82"/>
    <w:rsid w:val="00630D44"/>
    <w:rsid w:val="00632656"/>
    <w:rsid w:val="00632C5E"/>
    <w:rsid w:val="00632E07"/>
    <w:rsid w:val="006339C4"/>
    <w:rsid w:val="00633E16"/>
    <w:rsid w:val="00636B77"/>
    <w:rsid w:val="00637634"/>
    <w:rsid w:val="0063785B"/>
    <w:rsid w:val="00640B7F"/>
    <w:rsid w:val="00641AAA"/>
    <w:rsid w:val="006425E4"/>
    <w:rsid w:val="006428AF"/>
    <w:rsid w:val="006432F5"/>
    <w:rsid w:val="006433A3"/>
    <w:rsid w:val="006433E7"/>
    <w:rsid w:val="00643598"/>
    <w:rsid w:val="00643978"/>
    <w:rsid w:val="00643D41"/>
    <w:rsid w:val="006441C8"/>
    <w:rsid w:val="00644652"/>
    <w:rsid w:val="00644B30"/>
    <w:rsid w:val="00644E53"/>
    <w:rsid w:val="006460D8"/>
    <w:rsid w:val="0064610A"/>
    <w:rsid w:val="006468BB"/>
    <w:rsid w:val="00647A95"/>
    <w:rsid w:val="006502F8"/>
    <w:rsid w:val="006506AA"/>
    <w:rsid w:val="00650B28"/>
    <w:rsid w:val="00650BCB"/>
    <w:rsid w:val="00650F0B"/>
    <w:rsid w:val="00651457"/>
    <w:rsid w:val="00651C24"/>
    <w:rsid w:val="00651CDD"/>
    <w:rsid w:val="006527A5"/>
    <w:rsid w:val="00652DED"/>
    <w:rsid w:val="0065329D"/>
    <w:rsid w:val="00653A4E"/>
    <w:rsid w:val="00653F42"/>
    <w:rsid w:val="0065538C"/>
    <w:rsid w:val="006559DB"/>
    <w:rsid w:val="00655BE3"/>
    <w:rsid w:val="00655DB3"/>
    <w:rsid w:val="00656BB0"/>
    <w:rsid w:val="00656CE7"/>
    <w:rsid w:val="00657442"/>
    <w:rsid w:val="00657D1E"/>
    <w:rsid w:val="006601E9"/>
    <w:rsid w:val="00660446"/>
    <w:rsid w:val="00660848"/>
    <w:rsid w:val="00660AC2"/>
    <w:rsid w:val="00661827"/>
    <w:rsid w:val="00661859"/>
    <w:rsid w:val="00661A1A"/>
    <w:rsid w:val="00662B63"/>
    <w:rsid w:val="006630F1"/>
    <w:rsid w:val="00663F46"/>
    <w:rsid w:val="00664A3F"/>
    <w:rsid w:val="00664F35"/>
    <w:rsid w:val="0066500E"/>
    <w:rsid w:val="00665391"/>
    <w:rsid w:val="00665564"/>
    <w:rsid w:val="00665DE7"/>
    <w:rsid w:val="00667022"/>
    <w:rsid w:val="00667B85"/>
    <w:rsid w:val="006707CB"/>
    <w:rsid w:val="00670E7B"/>
    <w:rsid w:val="0067155F"/>
    <w:rsid w:val="00671AD9"/>
    <w:rsid w:val="00672034"/>
    <w:rsid w:val="006729DB"/>
    <w:rsid w:val="00673672"/>
    <w:rsid w:val="00673E24"/>
    <w:rsid w:val="0067498C"/>
    <w:rsid w:val="00674F82"/>
    <w:rsid w:val="00675A24"/>
    <w:rsid w:val="00675D84"/>
    <w:rsid w:val="00676465"/>
    <w:rsid w:val="00676597"/>
    <w:rsid w:val="00676A98"/>
    <w:rsid w:val="00676D47"/>
    <w:rsid w:val="0067752E"/>
    <w:rsid w:val="006802A5"/>
    <w:rsid w:val="0068043D"/>
    <w:rsid w:val="00680488"/>
    <w:rsid w:val="00681121"/>
    <w:rsid w:val="0068154E"/>
    <w:rsid w:val="0068179E"/>
    <w:rsid w:val="006837F6"/>
    <w:rsid w:val="00683A7D"/>
    <w:rsid w:val="00683BC5"/>
    <w:rsid w:val="00684C7D"/>
    <w:rsid w:val="00684E65"/>
    <w:rsid w:val="006856B7"/>
    <w:rsid w:val="006861E4"/>
    <w:rsid w:val="006863CB"/>
    <w:rsid w:val="00686517"/>
    <w:rsid w:val="00686717"/>
    <w:rsid w:val="00686A27"/>
    <w:rsid w:val="00686F2B"/>
    <w:rsid w:val="00687C0D"/>
    <w:rsid w:val="00690866"/>
    <w:rsid w:val="00690A37"/>
    <w:rsid w:val="00691431"/>
    <w:rsid w:val="006927C3"/>
    <w:rsid w:val="006927CA"/>
    <w:rsid w:val="00692992"/>
    <w:rsid w:val="00692C17"/>
    <w:rsid w:val="00693016"/>
    <w:rsid w:val="006938E0"/>
    <w:rsid w:val="00693E80"/>
    <w:rsid w:val="00693F2E"/>
    <w:rsid w:val="006942DF"/>
    <w:rsid w:val="00694383"/>
    <w:rsid w:val="0069462D"/>
    <w:rsid w:val="00694AC0"/>
    <w:rsid w:val="00694B43"/>
    <w:rsid w:val="00695472"/>
    <w:rsid w:val="0069566C"/>
    <w:rsid w:val="00696001"/>
    <w:rsid w:val="006960B8"/>
    <w:rsid w:val="00697020"/>
    <w:rsid w:val="00697A42"/>
    <w:rsid w:val="006A074B"/>
    <w:rsid w:val="006A097E"/>
    <w:rsid w:val="006A0DFB"/>
    <w:rsid w:val="006A1A24"/>
    <w:rsid w:val="006A1A96"/>
    <w:rsid w:val="006A2F55"/>
    <w:rsid w:val="006A43CD"/>
    <w:rsid w:val="006A4F3D"/>
    <w:rsid w:val="006A56FA"/>
    <w:rsid w:val="006A64B1"/>
    <w:rsid w:val="006A6BE0"/>
    <w:rsid w:val="006A7BF4"/>
    <w:rsid w:val="006A7D32"/>
    <w:rsid w:val="006B04F9"/>
    <w:rsid w:val="006B296F"/>
    <w:rsid w:val="006B31F3"/>
    <w:rsid w:val="006B3CD4"/>
    <w:rsid w:val="006B3D25"/>
    <w:rsid w:val="006B3E5E"/>
    <w:rsid w:val="006B4658"/>
    <w:rsid w:val="006B4A03"/>
    <w:rsid w:val="006B4C8A"/>
    <w:rsid w:val="006B59C7"/>
    <w:rsid w:val="006B6115"/>
    <w:rsid w:val="006B6760"/>
    <w:rsid w:val="006B685B"/>
    <w:rsid w:val="006B6F1C"/>
    <w:rsid w:val="006B7360"/>
    <w:rsid w:val="006B78A3"/>
    <w:rsid w:val="006C0CEA"/>
    <w:rsid w:val="006C158C"/>
    <w:rsid w:val="006C1842"/>
    <w:rsid w:val="006C1D38"/>
    <w:rsid w:val="006C39DF"/>
    <w:rsid w:val="006C3A50"/>
    <w:rsid w:val="006C455F"/>
    <w:rsid w:val="006C51D2"/>
    <w:rsid w:val="006C58F9"/>
    <w:rsid w:val="006C62C3"/>
    <w:rsid w:val="006C6433"/>
    <w:rsid w:val="006C6574"/>
    <w:rsid w:val="006C682C"/>
    <w:rsid w:val="006D0F39"/>
    <w:rsid w:val="006D1A90"/>
    <w:rsid w:val="006D2386"/>
    <w:rsid w:val="006D2404"/>
    <w:rsid w:val="006D2689"/>
    <w:rsid w:val="006D4034"/>
    <w:rsid w:val="006D48B5"/>
    <w:rsid w:val="006D4D77"/>
    <w:rsid w:val="006D4F94"/>
    <w:rsid w:val="006D50C1"/>
    <w:rsid w:val="006D52A0"/>
    <w:rsid w:val="006D5696"/>
    <w:rsid w:val="006D5767"/>
    <w:rsid w:val="006D5BD3"/>
    <w:rsid w:val="006D5FD4"/>
    <w:rsid w:val="006D6473"/>
    <w:rsid w:val="006D682A"/>
    <w:rsid w:val="006D6E0D"/>
    <w:rsid w:val="006E015E"/>
    <w:rsid w:val="006E0990"/>
    <w:rsid w:val="006E0EA6"/>
    <w:rsid w:val="006E2447"/>
    <w:rsid w:val="006E2451"/>
    <w:rsid w:val="006E2471"/>
    <w:rsid w:val="006E27B5"/>
    <w:rsid w:val="006E3734"/>
    <w:rsid w:val="006E3755"/>
    <w:rsid w:val="006E3AE5"/>
    <w:rsid w:val="006E3DDF"/>
    <w:rsid w:val="006E4D95"/>
    <w:rsid w:val="006E568F"/>
    <w:rsid w:val="006E5C08"/>
    <w:rsid w:val="006E5C9B"/>
    <w:rsid w:val="006E5CBE"/>
    <w:rsid w:val="006E5D06"/>
    <w:rsid w:val="006E5D68"/>
    <w:rsid w:val="006E6730"/>
    <w:rsid w:val="006E6842"/>
    <w:rsid w:val="006F05A6"/>
    <w:rsid w:val="006F1320"/>
    <w:rsid w:val="006F1F9A"/>
    <w:rsid w:val="006F34F2"/>
    <w:rsid w:val="006F408C"/>
    <w:rsid w:val="006F4C0F"/>
    <w:rsid w:val="006F5304"/>
    <w:rsid w:val="006F55C6"/>
    <w:rsid w:val="006F5B53"/>
    <w:rsid w:val="006F6F1D"/>
    <w:rsid w:val="006F7A39"/>
    <w:rsid w:val="006F7BB2"/>
    <w:rsid w:val="00700734"/>
    <w:rsid w:val="00701296"/>
    <w:rsid w:val="0070183A"/>
    <w:rsid w:val="00701907"/>
    <w:rsid w:val="00701A2A"/>
    <w:rsid w:val="00702964"/>
    <w:rsid w:val="007030FF"/>
    <w:rsid w:val="0070397C"/>
    <w:rsid w:val="00705540"/>
    <w:rsid w:val="00705CBB"/>
    <w:rsid w:val="00706C5F"/>
    <w:rsid w:val="00706EB7"/>
    <w:rsid w:val="0071019E"/>
    <w:rsid w:val="00710221"/>
    <w:rsid w:val="00710228"/>
    <w:rsid w:val="00710EEB"/>
    <w:rsid w:val="0071161B"/>
    <w:rsid w:val="00711C22"/>
    <w:rsid w:val="00712658"/>
    <w:rsid w:val="00713297"/>
    <w:rsid w:val="00713744"/>
    <w:rsid w:val="00713771"/>
    <w:rsid w:val="00713AAE"/>
    <w:rsid w:val="00713F30"/>
    <w:rsid w:val="00715928"/>
    <w:rsid w:val="00716413"/>
    <w:rsid w:val="007168AA"/>
    <w:rsid w:val="00716F5D"/>
    <w:rsid w:val="007170AB"/>
    <w:rsid w:val="007174A1"/>
    <w:rsid w:val="007176D1"/>
    <w:rsid w:val="007211FB"/>
    <w:rsid w:val="0072225A"/>
    <w:rsid w:val="007223DB"/>
    <w:rsid w:val="007229DB"/>
    <w:rsid w:val="007231FB"/>
    <w:rsid w:val="00723B50"/>
    <w:rsid w:val="00724184"/>
    <w:rsid w:val="00725BA4"/>
    <w:rsid w:val="00725D0E"/>
    <w:rsid w:val="00726244"/>
    <w:rsid w:val="007262AE"/>
    <w:rsid w:val="007263DC"/>
    <w:rsid w:val="007268D6"/>
    <w:rsid w:val="00727E60"/>
    <w:rsid w:val="007300FC"/>
    <w:rsid w:val="00730630"/>
    <w:rsid w:val="00731014"/>
    <w:rsid w:val="0073127E"/>
    <w:rsid w:val="00731608"/>
    <w:rsid w:val="00732231"/>
    <w:rsid w:val="00732531"/>
    <w:rsid w:val="007345DC"/>
    <w:rsid w:val="00735345"/>
    <w:rsid w:val="0073630A"/>
    <w:rsid w:val="007365BA"/>
    <w:rsid w:val="00736B59"/>
    <w:rsid w:val="00736EAF"/>
    <w:rsid w:val="00737156"/>
    <w:rsid w:val="00737245"/>
    <w:rsid w:val="00737623"/>
    <w:rsid w:val="00737684"/>
    <w:rsid w:val="007377B3"/>
    <w:rsid w:val="007379A4"/>
    <w:rsid w:val="00737FCE"/>
    <w:rsid w:val="0074167D"/>
    <w:rsid w:val="00742CC2"/>
    <w:rsid w:val="0074371B"/>
    <w:rsid w:val="00744A43"/>
    <w:rsid w:val="00744D85"/>
    <w:rsid w:val="007458BE"/>
    <w:rsid w:val="00745B7C"/>
    <w:rsid w:val="00745BE0"/>
    <w:rsid w:val="00747599"/>
    <w:rsid w:val="0075060B"/>
    <w:rsid w:val="00750672"/>
    <w:rsid w:val="007508A4"/>
    <w:rsid w:val="007515B0"/>
    <w:rsid w:val="0075174C"/>
    <w:rsid w:val="00751AF3"/>
    <w:rsid w:val="0075275F"/>
    <w:rsid w:val="0075297E"/>
    <w:rsid w:val="00752A25"/>
    <w:rsid w:val="00752BF1"/>
    <w:rsid w:val="00752FCA"/>
    <w:rsid w:val="0075323B"/>
    <w:rsid w:val="007538F7"/>
    <w:rsid w:val="00753B68"/>
    <w:rsid w:val="007541D0"/>
    <w:rsid w:val="00754936"/>
    <w:rsid w:val="00754FC3"/>
    <w:rsid w:val="007565F3"/>
    <w:rsid w:val="0075755E"/>
    <w:rsid w:val="00757792"/>
    <w:rsid w:val="007600E4"/>
    <w:rsid w:val="00760102"/>
    <w:rsid w:val="00760755"/>
    <w:rsid w:val="00760841"/>
    <w:rsid w:val="00761317"/>
    <w:rsid w:val="00761468"/>
    <w:rsid w:val="0076178A"/>
    <w:rsid w:val="0076210C"/>
    <w:rsid w:val="00762520"/>
    <w:rsid w:val="00762547"/>
    <w:rsid w:val="00762681"/>
    <w:rsid w:val="007626EF"/>
    <w:rsid w:val="00762970"/>
    <w:rsid w:val="00762A8F"/>
    <w:rsid w:val="00762EFE"/>
    <w:rsid w:val="00763020"/>
    <w:rsid w:val="0076315D"/>
    <w:rsid w:val="007631F5"/>
    <w:rsid w:val="0076335D"/>
    <w:rsid w:val="007636CD"/>
    <w:rsid w:val="00763A44"/>
    <w:rsid w:val="00764132"/>
    <w:rsid w:val="00764780"/>
    <w:rsid w:val="00764939"/>
    <w:rsid w:val="00764BA1"/>
    <w:rsid w:val="00764E83"/>
    <w:rsid w:val="00765FAE"/>
    <w:rsid w:val="007666DC"/>
    <w:rsid w:val="00767281"/>
    <w:rsid w:val="00767361"/>
    <w:rsid w:val="0076748B"/>
    <w:rsid w:val="00767D3E"/>
    <w:rsid w:val="00770291"/>
    <w:rsid w:val="00771743"/>
    <w:rsid w:val="00771DA4"/>
    <w:rsid w:val="00772073"/>
    <w:rsid w:val="007723B1"/>
    <w:rsid w:val="0077353F"/>
    <w:rsid w:val="00775BEB"/>
    <w:rsid w:val="00775D13"/>
    <w:rsid w:val="00775D4B"/>
    <w:rsid w:val="00775DD5"/>
    <w:rsid w:val="0077777D"/>
    <w:rsid w:val="00780861"/>
    <w:rsid w:val="007810B9"/>
    <w:rsid w:val="00781208"/>
    <w:rsid w:val="0078141D"/>
    <w:rsid w:val="00781E5F"/>
    <w:rsid w:val="007822A1"/>
    <w:rsid w:val="007830BE"/>
    <w:rsid w:val="00783341"/>
    <w:rsid w:val="00783951"/>
    <w:rsid w:val="00783D4E"/>
    <w:rsid w:val="00784707"/>
    <w:rsid w:val="00784EF1"/>
    <w:rsid w:val="007852DE"/>
    <w:rsid w:val="00785364"/>
    <w:rsid w:val="007856A5"/>
    <w:rsid w:val="00787555"/>
    <w:rsid w:val="00787921"/>
    <w:rsid w:val="00787B63"/>
    <w:rsid w:val="0079024F"/>
    <w:rsid w:val="00790584"/>
    <w:rsid w:val="00791137"/>
    <w:rsid w:val="007917DB"/>
    <w:rsid w:val="00792024"/>
    <w:rsid w:val="00792031"/>
    <w:rsid w:val="007922E6"/>
    <w:rsid w:val="00793511"/>
    <w:rsid w:val="00793906"/>
    <w:rsid w:val="00794961"/>
    <w:rsid w:val="007950C4"/>
    <w:rsid w:val="007956F1"/>
    <w:rsid w:val="007A0847"/>
    <w:rsid w:val="007A09DC"/>
    <w:rsid w:val="007A18A1"/>
    <w:rsid w:val="007A21FE"/>
    <w:rsid w:val="007A2C31"/>
    <w:rsid w:val="007A40A3"/>
    <w:rsid w:val="007A44BE"/>
    <w:rsid w:val="007A47A0"/>
    <w:rsid w:val="007A4904"/>
    <w:rsid w:val="007A4A4A"/>
    <w:rsid w:val="007A4AEF"/>
    <w:rsid w:val="007A5A91"/>
    <w:rsid w:val="007A631C"/>
    <w:rsid w:val="007A6EFF"/>
    <w:rsid w:val="007A727E"/>
    <w:rsid w:val="007A7B08"/>
    <w:rsid w:val="007A7F1D"/>
    <w:rsid w:val="007B0635"/>
    <w:rsid w:val="007B1FAA"/>
    <w:rsid w:val="007B231E"/>
    <w:rsid w:val="007B2B17"/>
    <w:rsid w:val="007B311F"/>
    <w:rsid w:val="007B3540"/>
    <w:rsid w:val="007B39EE"/>
    <w:rsid w:val="007B4F29"/>
    <w:rsid w:val="007B61C1"/>
    <w:rsid w:val="007B698B"/>
    <w:rsid w:val="007B7D6F"/>
    <w:rsid w:val="007C0FF8"/>
    <w:rsid w:val="007C14BE"/>
    <w:rsid w:val="007C1CD6"/>
    <w:rsid w:val="007C1D37"/>
    <w:rsid w:val="007C1D55"/>
    <w:rsid w:val="007C1E20"/>
    <w:rsid w:val="007C2633"/>
    <w:rsid w:val="007C28A0"/>
    <w:rsid w:val="007C2FF9"/>
    <w:rsid w:val="007C32B7"/>
    <w:rsid w:val="007C3404"/>
    <w:rsid w:val="007C3AE8"/>
    <w:rsid w:val="007C4879"/>
    <w:rsid w:val="007C4A64"/>
    <w:rsid w:val="007C5374"/>
    <w:rsid w:val="007C56A7"/>
    <w:rsid w:val="007C5E5C"/>
    <w:rsid w:val="007C65AA"/>
    <w:rsid w:val="007C65D7"/>
    <w:rsid w:val="007C7EB6"/>
    <w:rsid w:val="007D05CF"/>
    <w:rsid w:val="007D164A"/>
    <w:rsid w:val="007D170E"/>
    <w:rsid w:val="007D18D4"/>
    <w:rsid w:val="007D1E00"/>
    <w:rsid w:val="007D4265"/>
    <w:rsid w:val="007D4482"/>
    <w:rsid w:val="007D4A98"/>
    <w:rsid w:val="007D4F2C"/>
    <w:rsid w:val="007D66D4"/>
    <w:rsid w:val="007D6FE7"/>
    <w:rsid w:val="007D78E1"/>
    <w:rsid w:val="007D78E3"/>
    <w:rsid w:val="007D7C2E"/>
    <w:rsid w:val="007D7D30"/>
    <w:rsid w:val="007E0DA3"/>
    <w:rsid w:val="007E1431"/>
    <w:rsid w:val="007E16BF"/>
    <w:rsid w:val="007E218B"/>
    <w:rsid w:val="007E297F"/>
    <w:rsid w:val="007E2F15"/>
    <w:rsid w:val="007E3F30"/>
    <w:rsid w:val="007E44E1"/>
    <w:rsid w:val="007E5951"/>
    <w:rsid w:val="007E5D89"/>
    <w:rsid w:val="007E62DC"/>
    <w:rsid w:val="007E7F87"/>
    <w:rsid w:val="007F00DD"/>
    <w:rsid w:val="007F0141"/>
    <w:rsid w:val="007F02E5"/>
    <w:rsid w:val="007F0517"/>
    <w:rsid w:val="007F0663"/>
    <w:rsid w:val="007F1D34"/>
    <w:rsid w:val="007F3396"/>
    <w:rsid w:val="007F42B5"/>
    <w:rsid w:val="007F4FC9"/>
    <w:rsid w:val="007F5699"/>
    <w:rsid w:val="007F6CF1"/>
    <w:rsid w:val="007F6DEA"/>
    <w:rsid w:val="007F6F7D"/>
    <w:rsid w:val="00800E30"/>
    <w:rsid w:val="00801759"/>
    <w:rsid w:val="00801EF3"/>
    <w:rsid w:val="0080256A"/>
    <w:rsid w:val="0080268B"/>
    <w:rsid w:val="00802AF0"/>
    <w:rsid w:val="00802D07"/>
    <w:rsid w:val="00803857"/>
    <w:rsid w:val="008038F6"/>
    <w:rsid w:val="00803EBA"/>
    <w:rsid w:val="00804003"/>
    <w:rsid w:val="00804B57"/>
    <w:rsid w:val="008055B3"/>
    <w:rsid w:val="00805889"/>
    <w:rsid w:val="00805E37"/>
    <w:rsid w:val="00805F84"/>
    <w:rsid w:val="008060F9"/>
    <w:rsid w:val="008065A1"/>
    <w:rsid w:val="008071AB"/>
    <w:rsid w:val="008100A4"/>
    <w:rsid w:val="0081075E"/>
    <w:rsid w:val="00811106"/>
    <w:rsid w:val="00811836"/>
    <w:rsid w:val="00811968"/>
    <w:rsid w:val="00811C1B"/>
    <w:rsid w:val="00812B0F"/>
    <w:rsid w:val="00812C53"/>
    <w:rsid w:val="00812C54"/>
    <w:rsid w:val="008134A8"/>
    <w:rsid w:val="0081408E"/>
    <w:rsid w:val="0081479B"/>
    <w:rsid w:val="00814A3B"/>
    <w:rsid w:val="008179C8"/>
    <w:rsid w:val="00817F91"/>
    <w:rsid w:val="00817FCD"/>
    <w:rsid w:val="008206EA"/>
    <w:rsid w:val="0082101E"/>
    <w:rsid w:val="00821128"/>
    <w:rsid w:val="00821A39"/>
    <w:rsid w:val="00821CBC"/>
    <w:rsid w:val="008220AC"/>
    <w:rsid w:val="008221CB"/>
    <w:rsid w:val="008224FD"/>
    <w:rsid w:val="00822A00"/>
    <w:rsid w:val="00822CD7"/>
    <w:rsid w:val="0082327C"/>
    <w:rsid w:val="008241B1"/>
    <w:rsid w:val="008246D9"/>
    <w:rsid w:val="00824767"/>
    <w:rsid w:val="008249CD"/>
    <w:rsid w:val="00824B8A"/>
    <w:rsid w:val="0082512E"/>
    <w:rsid w:val="00825D3C"/>
    <w:rsid w:val="00825D91"/>
    <w:rsid w:val="00826639"/>
    <w:rsid w:val="008269E2"/>
    <w:rsid w:val="00827321"/>
    <w:rsid w:val="008275F9"/>
    <w:rsid w:val="0082798C"/>
    <w:rsid w:val="008279A6"/>
    <w:rsid w:val="00827AD8"/>
    <w:rsid w:val="00831575"/>
    <w:rsid w:val="008323B0"/>
    <w:rsid w:val="00832D23"/>
    <w:rsid w:val="008339C5"/>
    <w:rsid w:val="00833B7F"/>
    <w:rsid w:val="00834185"/>
    <w:rsid w:val="008342AA"/>
    <w:rsid w:val="00834976"/>
    <w:rsid w:val="00834AC3"/>
    <w:rsid w:val="0083503F"/>
    <w:rsid w:val="008352CC"/>
    <w:rsid w:val="008352CD"/>
    <w:rsid w:val="008359D8"/>
    <w:rsid w:val="00836578"/>
    <w:rsid w:val="00836650"/>
    <w:rsid w:val="00836C86"/>
    <w:rsid w:val="00836F8A"/>
    <w:rsid w:val="00837162"/>
    <w:rsid w:val="00837525"/>
    <w:rsid w:val="00837F5B"/>
    <w:rsid w:val="0084023E"/>
    <w:rsid w:val="008402FE"/>
    <w:rsid w:val="00841061"/>
    <w:rsid w:val="00841659"/>
    <w:rsid w:val="00841B8E"/>
    <w:rsid w:val="0084290D"/>
    <w:rsid w:val="00842E94"/>
    <w:rsid w:val="008437EC"/>
    <w:rsid w:val="00843827"/>
    <w:rsid w:val="0084428F"/>
    <w:rsid w:val="00844E06"/>
    <w:rsid w:val="00844E73"/>
    <w:rsid w:val="008451E7"/>
    <w:rsid w:val="008452CE"/>
    <w:rsid w:val="008453A0"/>
    <w:rsid w:val="00845A79"/>
    <w:rsid w:val="00846002"/>
    <w:rsid w:val="0084630E"/>
    <w:rsid w:val="00846510"/>
    <w:rsid w:val="00846D3E"/>
    <w:rsid w:val="00846DC9"/>
    <w:rsid w:val="00847707"/>
    <w:rsid w:val="00847AC8"/>
    <w:rsid w:val="00847C70"/>
    <w:rsid w:val="0085126E"/>
    <w:rsid w:val="00851733"/>
    <w:rsid w:val="00851B21"/>
    <w:rsid w:val="00851CB5"/>
    <w:rsid w:val="00851FF5"/>
    <w:rsid w:val="008530E2"/>
    <w:rsid w:val="008534CA"/>
    <w:rsid w:val="008542D8"/>
    <w:rsid w:val="008543CA"/>
    <w:rsid w:val="00854454"/>
    <w:rsid w:val="008555C1"/>
    <w:rsid w:val="0085567B"/>
    <w:rsid w:val="00856E77"/>
    <w:rsid w:val="00856EEB"/>
    <w:rsid w:val="00857E28"/>
    <w:rsid w:val="00860221"/>
    <w:rsid w:val="00860EC8"/>
    <w:rsid w:val="00861524"/>
    <w:rsid w:val="008616CE"/>
    <w:rsid w:val="00861FF2"/>
    <w:rsid w:val="008620A3"/>
    <w:rsid w:val="0086227B"/>
    <w:rsid w:val="00863D1F"/>
    <w:rsid w:val="00864045"/>
    <w:rsid w:val="00864A6C"/>
    <w:rsid w:val="00864B4A"/>
    <w:rsid w:val="008652FB"/>
    <w:rsid w:val="00866987"/>
    <w:rsid w:val="00866C20"/>
    <w:rsid w:val="00867BFD"/>
    <w:rsid w:val="00867D63"/>
    <w:rsid w:val="00867D75"/>
    <w:rsid w:val="008719E4"/>
    <w:rsid w:val="00872384"/>
    <w:rsid w:val="00872A0B"/>
    <w:rsid w:val="008735F8"/>
    <w:rsid w:val="00873D5E"/>
    <w:rsid w:val="00874456"/>
    <w:rsid w:val="00874E00"/>
    <w:rsid w:val="00874FF2"/>
    <w:rsid w:val="0087540B"/>
    <w:rsid w:val="008754D1"/>
    <w:rsid w:val="008769BC"/>
    <w:rsid w:val="00876E26"/>
    <w:rsid w:val="00877405"/>
    <w:rsid w:val="008775E0"/>
    <w:rsid w:val="00877905"/>
    <w:rsid w:val="00877C34"/>
    <w:rsid w:val="0088039E"/>
    <w:rsid w:val="008809E7"/>
    <w:rsid w:val="008820A5"/>
    <w:rsid w:val="0088225D"/>
    <w:rsid w:val="008825A1"/>
    <w:rsid w:val="0088358F"/>
    <w:rsid w:val="008836F7"/>
    <w:rsid w:val="00883921"/>
    <w:rsid w:val="00884EAB"/>
    <w:rsid w:val="00884EF7"/>
    <w:rsid w:val="00884FA0"/>
    <w:rsid w:val="00885F80"/>
    <w:rsid w:val="0088692B"/>
    <w:rsid w:val="00887138"/>
    <w:rsid w:val="008871C3"/>
    <w:rsid w:val="0088727F"/>
    <w:rsid w:val="008874C2"/>
    <w:rsid w:val="0088751A"/>
    <w:rsid w:val="00887BD3"/>
    <w:rsid w:val="00890160"/>
    <w:rsid w:val="00890189"/>
    <w:rsid w:val="008901D4"/>
    <w:rsid w:val="008903B2"/>
    <w:rsid w:val="008903BC"/>
    <w:rsid w:val="00890D68"/>
    <w:rsid w:val="00890EF1"/>
    <w:rsid w:val="008912F4"/>
    <w:rsid w:val="008915CD"/>
    <w:rsid w:val="00891D35"/>
    <w:rsid w:val="0089240A"/>
    <w:rsid w:val="0089245C"/>
    <w:rsid w:val="008925DB"/>
    <w:rsid w:val="00892A85"/>
    <w:rsid w:val="00892C9D"/>
    <w:rsid w:val="008933AE"/>
    <w:rsid w:val="00893C17"/>
    <w:rsid w:val="008942C9"/>
    <w:rsid w:val="008943DB"/>
    <w:rsid w:val="00894663"/>
    <w:rsid w:val="0089473D"/>
    <w:rsid w:val="008950BF"/>
    <w:rsid w:val="00895641"/>
    <w:rsid w:val="008966CC"/>
    <w:rsid w:val="008972BA"/>
    <w:rsid w:val="00897E8B"/>
    <w:rsid w:val="008A064F"/>
    <w:rsid w:val="008A1A1E"/>
    <w:rsid w:val="008A1E8C"/>
    <w:rsid w:val="008A232B"/>
    <w:rsid w:val="008A23F5"/>
    <w:rsid w:val="008A2AB4"/>
    <w:rsid w:val="008A2D29"/>
    <w:rsid w:val="008A3B73"/>
    <w:rsid w:val="008A52C0"/>
    <w:rsid w:val="008A5879"/>
    <w:rsid w:val="008A5A99"/>
    <w:rsid w:val="008A5ECE"/>
    <w:rsid w:val="008A64F6"/>
    <w:rsid w:val="008A67E5"/>
    <w:rsid w:val="008A7128"/>
    <w:rsid w:val="008A7402"/>
    <w:rsid w:val="008A7459"/>
    <w:rsid w:val="008B049A"/>
    <w:rsid w:val="008B0831"/>
    <w:rsid w:val="008B08C0"/>
    <w:rsid w:val="008B0A06"/>
    <w:rsid w:val="008B19E6"/>
    <w:rsid w:val="008B1A15"/>
    <w:rsid w:val="008B2793"/>
    <w:rsid w:val="008B2884"/>
    <w:rsid w:val="008B28E0"/>
    <w:rsid w:val="008B2ACC"/>
    <w:rsid w:val="008B2B57"/>
    <w:rsid w:val="008B2CE5"/>
    <w:rsid w:val="008B37B1"/>
    <w:rsid w:val="008B406A"/>
    <w:rsid w:val="008B4166"/>
    <w:rsid w:val="008B4652"/>
    <w:rsid w:val="008B58CC"/>
    <w:rsid w:val="008B69E7"/>
    <w:rsid w:val="008B6CB6"/>
    <w:rsid w:val="008B79D1"/>
    <w:rsid w:val="008B7BAE"/>
    <w:rsid w:val="008C0E53"/>
    <w:rsid w:val="008C130E"/>
    <w:rsid w:val="008C19AB"/>
    <w:rsid w:val="008C1B38"/>
    <w:rsid w:val="008C1FA8"/>
    <w:rsid w:val="008C24EC"/>
    <w:rsid w:val="008C3256"/>
    <w:rsid w:val="008C36EF"/>
    <w:rsid w:val="008C45CC"/>
    <w:rsid w:val="008C509D"/>
    <w:rsid w:val="008C5CD0"/>
    <w:rsid w:val="008C6D10"/>
    <w:rsid w:val="008C7016"/>
    <w:rsid w:val="008C7518"/>
    <w:rsid w:val="008C75FC"/>
    <w:rsid w:val="008C79FE"/>
    <w:rsid w:val="008C7E08"/>
    <w:rsid w:val="008C7FA9"/>
    <w:rsid w:val="008D0AA4"/>
    <w:rsid w:val="008D1129"/>
    <w:rsid w:val="008D1161"/>
    <w:rsid w:val="008D12CC"/>
    <w:rsid w:val="008D1540"/>
    <w:rsid w:val="008D1877"/>
    <w:rsid w:val="008D2864"/>
    <w:rsid w:val="008D2971"/>
    <w:rsid w:val="008D2CE2"/>
    <w:rsid w:val="008D307F"/>
    <w:rsid w:val="008D33AD"/>
    <w:rsid w:val="008D351B"/>
    <w:rsid w:val="008D39E4"/>
    <w:rsid w:val="008D3D43"/>
    <w:rsid w:val="008D43AD"/>
    <w:rsid w:val="008D460C"/>
    <w:rsid w:val="008D4BAD"/>
    <w:rsid w:val="008D63CD"/>
    <w:rsid w:val="008D63F3"/>
    <w:rsid w:val="008D73E1"/>
    <w:rsid w:val="008D7725"/>
    <w:rsid w:val="008D7C89"/>
    <w:rsid w:val="008E0439"/>
    <w:rsid w:val="008E08E3"/>
    <w:rsid w:val="008E1502"/>
    <w:rsid w:val="008E1BF0"/>
    <w:rsid w:val="008E1FB9"/>
    <w:rsid w:val="008E3F2B"/>
    <w:rsid w:val="008E47AD"/>
    <w:rsid w:val="008E4F39"/>
    <w:rsid w:val="008E4F50"/>
    <w:rsid w:val="008E56C7"/>
    <w:rsid w:val="008E575A"/>
    <w:rsid w:val="008E686A"/>
    <w:rsid w:val="008E7919"/>
    <w:rsid w:val="008E79B1"/>
    <w:rsid w:val="008E7A3E"/>
    <w:rsid w:val="008E7E15"/>
    <w:rsid w:val="008F0968"/>
    <w:rsid w:val="008F0DEA"/>
    <w:rsid w:val="008F119B"/>
    <w:rsid w:val="008F1EDE"/>
    <w:rsid w:val="008F240A"/>
    <w:rsid w:val="008F2C85"/>
    <w:rsid w:val="008F3774"/>
    <w:rsid w:val="008F40A0"/>
    <w:rsid w:val="008F43F2"/>
    <w:rsid w:val="008F4985"/>
    <w:rsid w:val="008F532A"/>
    <w:rsid w:val="008F53C5"/>
    <w:rsid w:val="008F5ABA"/>
    <w:rsid w:val="008F67AC"/>
    <w:rsid w:val="008F6A56"/>
    <w:rsid w:val="008F7912"/>
    <w:rsid w:val="009002AA"/>
    <w:rsid w:val="00900357"/>
    <w:rsid w:val="00901A80"/>
    <w:rsid w:val="00901EB7"/>
    <w:rsid w:val="0090260E"/>
    <w:rsid w:val="00902C01"/>
    <w:rsid w:val="00902D8C"/>
    <w:rsid w:val="00903047"/>
    <w:rsid w:val="009033B7"/>
    <w:rsid w:val="00903678"/>
    <w:rsid w:val="00903881"/>
    <w:rsid w:val="0090414D"/>
    <w:rsid w:val="009044ED"/>
    <w:rsid w:val="009045C2"/>
    <w:rsid w:val="00904701"/>
    <w:rsid w:val="00904734"/>
    <w:rsid w:val="00904D31"/>
    <w:rsid w:val="009053A5"/>
    <w:rsid w:val="0090657E"/>
    <w:rsid w:val="009073C4"/>
    <w:rsid w:val="0090744E"/>
    <w:rsid w:val="00907520"/>
    <w:rsid w:val="00907D9C"/>
    <w:rsid w:val="009100DE"/>
    <w:rsid w:val="009102AF"/>
    <w:rsid w:val="00910640"/>
    <w:rsid w:val="00911442"/>
    <w:rsid w:val="00911F58"/>
    <w:rsid w:val="00911FA3"/>
    <w:rsid w:val="00912025"/>
    <w:rsid w:val="00912196"/>
    <w:rsid w:val="00912A15"/>
    <w:rsid w:val="00912D26"/>
    <w:rsid w:val="009134A8"/>
    <w:rsid w:val="00913F57"/>
    <w:rsid w:val="00914DC2"/>
    <w:rsid w:val="00916AD9"/>
    <w:rsid w:val="00916F72"/>
    <w:rsid w:val="00917852"/>
    <w:rsid w:val="00917971"/>
    <w:rsid w:val="009202D3"/>
    <w:rsid w:val="0092133E"/>
    <w:rsid w:val="009213A2"/>
    <w:rsid w:val="00921914"/>
    <w:rsid w:val="00922393"/>
    <w:rsid w:val="00922438"/>
    <w:rsid w:val="00922EC3"/>
    <w:rsid w:val="00923298"/>
    <w:rsid w:val="00923BB4"/>
    <w:rsid w:val="00923DC3"/>
    <w:rsid w:val="00923F75"/>
    <w:rsid w:val="00924964"/>
    <w:rsid w:val="00924E89"/>
    <w:rsid w:val="00925776"/>
    <w:rsid w:val="009257D8"/>
    <w:rsid w:val="009260D2"/>
    <w:rsid w:val="00927257"/>
    <w:rsid w:val="00927478"/>
    <w:rsid w:val="00927B11"/>
    <w:rsid w:val="00927F71"/>
    <w:rsid w:val="0093030B"/>
    <w:rsid w:val="00930BCC"/>
    <w:rsid w:val="00930E8F"/>
    <w:rsid w:val="00931127"/>
    <w:rsid w:val="009315CC"/>
    <w:rsid w:val="00931967"/>
    <w:rsid w:val="00931F6E"/>
    <w:rsid w:val="0093204A"/>
    <w:rsid w:val="009325F6"/>
    <w:rsid w:val="00933A6C"/>
    <w:rsid w:val="009344C3"/>
    <w:rsid w:val="00935590"/>
    <w:rsid w:val="00935C0F"/>
    <w:rsid w:val="00935E16"/>
    <w:rsid w:val="00935F5A"/>
    <w:rsid w:val="0094002A"/>
    <w:rsid w:val="00940A2F"/>
    <w:rsid w:val="00940FE3"/>
    <w:rsid w:val="009414CC"/>
    <w:rsid w:val="00941573"/>
    <w:rsid w:val="00941C61"/>
    <w:rsid w:val="00941CDA"/>
    <w:rsid w:val="00941DAA"/>
    <w:rsid w:val="009422B2"/>
    <w:rsid w:val="0094281C"/>
    <w:rsid w:val="00942E07"/>
    <w:rsid w:val="00942F2A"/>
    <w:rsid w:val="00943843"/>
    <w:rsid w:val="009440CA"/>
    <w:rsid w:val="009442A0"/>
    <w:rsid w:val="00944471"/>
    <w:rsid w:val="00944F35"/>
    <w:rsid w:val="00945AAC"/>
    <w:rsid w:val="00945CC1"/>
    <w:rsid w:val="00945E0F"/>
    <w:rsid w:val="0094604F"/>
    <w:rsid w:val="00946658"/>
    <w:rsid w:val="009477AC"/>
    <w:rsid w:val="009478B6"/>
    <w:rsid w:val="00947BD3"/>
    <w:rsid w:val="00950655"/>
    <w:rsid w:val="00950ACA"/>
    <w:rsid w:val="00951119"/>
    <w:rsid w:val="00951612"/>
    <w:rsid w:val="009517C8"/>
    <w:rsid w:val="0095187B"/>
    <w:rsid w:val="00951E11"/>
    <w:rsid w:val="00951E35"/>
    <w:rsid w:val="00952CF5"/>
    <w:rsid w:val="0095327C"/>
    <w:rsid w:val="00953292"/>
    <w:rsid w:val="0095392E"/>
    <w:rsid w:val="00953F43"/>
    <w:rsid w:val="00953FE3"/>
    <w:rsid w:val="009540D8"/>
    <w:rsid w:val="00954DA3"/>
    <w:rsid w:val="00954FC1"/>
    <w:rsid w:val="0095533C"/>
    <w:rsid w:val="0095571A"/>
    <w:rsid w:val="00955C42"/>
    <w:rsid w:val="009571ED"/>
    <w:rsid w:val="009576AD"/>
    <w:rsid w:val="00957810"/>
    <w:rsid w:val="009578D0"/>
    <w:rsid w:val="00957948"/>
    <w:rsid w:val="009579FB"/>
    <w:rsid w:val="00957AEA"/>
    <w:rsid w:val="00957EEB"/>
    <w:rsid w:val="00957EF2"/>
    <w:rsid w:val="009606A3"/>
    <w:rsid w:val="009608B4"/>
    <w:rsid w:val="00960E14"/>
    <w:rsid w:val="009611F6"/>
    <w:rsid w:val="00962024"/>
    <w:rsid w:val="0096243E"/>
    <w:rsid w:val="00962A46"/>
    <w:rsid w:val="00962A6C"/>
    <w:rsid w:val="0096320B"/>
    <w:rsid w:val="009638CA"/>
    <w:rsid w:val="0096468E"/>
    <w:rsid w:val="009655F6"/>
    <w:rsid w:val="0096567D"/>
    <w:rsid w:val="009661C6"/>
    <w:rsid w:val="00966931"/>
    <w:rsid w:val="00966A44"/>
    <w:rsid w:val="00966C02"/>
    <w:rsid w:val="009700B1"/>
    <w:rsid w:val="00970670"/>
    <w:rsid w:val="009706B2"/>
    <w:rsid w:val="009707C5"/>
    <w:rsid w:val="0097099F"/>
    <w:rsid w:val="009709E0"/>
    <w:rsid w:val="00970A63"/>
    <w:rsid w:val="00970E82"/>
    <w:rsid w:val="00971BFB"/>
    <w:rsid w:val="00971EC4"/>
    <w:rsid w:val="00971F37"/>
    <w:rsid w:val="00973200"/>
    <w:rsid w:val="00973EFC"/>
    <w:rsid w:val="00973F84"/>
    <w:rsid w:val="00974165"/>
    <w:rsid w:val="00974280"/>
    <w:rsid w:val="0097494B"/>
    <w:rsid w:val="0097529C"/>
    <w:rsid w:val="0097585B"/>
    <w:rsid w:val="00975FBF"/>
    <w:rsid w:val="00976D27"/>
    <w:rsid w:val="00977134"/>
    <w:rsid w:val="009777C2"/>
    <w:rsid w:val="00977C18"/>
    <w:rsid w:val="00977FFC"/>
    <w:rsid w:val="009800E3"/>
    <w:rsid w:val="0098159C"/>
    <w:rsid w:val="00981B32"/>
    <w:rsid w:val="00981B9D"/>
    <w:rsid w:val="00981DFC"/>
    <w:rsid w:val="009823CE"/>
    <w:rsid w:val="0098290B"/>
    <w:rsid w:val="00983209"/>
    <w:rsid w:val="009832FB"/>
    <w:rsid w:val="0098407B"/>
    <w:rsid w:val="00984704"/>
    <w:rsid w:val="00985215"/>
    <w:rsid w:val="00985DB8"/>
    <w:rsid w:val="00986757"/>
    <w:rsid w:val="009872E6"/>
    <w:rsid w:val="009874CA"/>
    <w:rsid w:val="00987DDD"/>
    <w:rsid w:val="009903F3"/>
    <w:rsid w:val="0099070F"/>
    <w:rsid w:val="009914C1"/>
    <w:rsid w:val="009917F4"/>
    <w:rsid w:val="00992467"/>
    <w:rsid w:val="00992772"/>
    <w:rsid w:val="0099297F"/>
    <w:rsid w:val="00992F3A"/>
    <w:rsid w:val="0099346F"/>
    <w:rsid w:val="009943C2"/>
    <w:rsid w:val="0099445D"/>
    <w:rsid w:val="00994874"/>
    <w:rsid w:val="00994F61"/>
    <w:rsid w:val="009953C4"/>
    <w:rsid w:val="009953EF"/>
    <w:rsid w:val="00995A00"/>
    <w:rsid w:val="00996231"/>
    <w:rsid w:val="00996485"/>
    <w:rsid w:val="0099681F"/>
    <w:rsid w:val="009A0039"/>
    <w:rsid w:val="009A0182"/>
    <w:rsid w:val="009A07DC"/>
    <w:rsid w:val="009A0851"/>
    <w:rsid w:val="009A1ED6"/>
    <w:rsid w:val="009A1F76"/>
    <w:rsid w:val="009A22BB"/>
    <w:rsid w:val="009A472F"/>
    <w:rsid w:val="009A4D79"/>
    <w:rsid w:val="009A4E00"/>
    <w:rsid w:val="009A4E92"/>
    <w:rsid w:val="009A5B4C"/>
    <w:rsid w:val="009A5C7B"/>
    <w:rsid w:val="009A6357"/>
    <w:rsid w:val="009A6B78"/>
    <w:rsid w:val="009B0724"/>
    <w:rsid w:val="009B17ED"/>
    <w:rsid w:val="009B188D"/>
    <w:rsid w:val="009B2060"/>
    <w:rsid w:val="009B23BC"/>
    <w:rsid w:val="009B2815"/>
    <w:rsid w:val="009B28C9"/>
    <w:rsid w:val="009B3008"/>
    <w:rsid w:val="009B3696"/>
    <w:rsid w:val="009B3DE3"/>
    <w:rsid w:val="009B4364"/>
    <w:rsid w:val="009B46A8"/>
    <w:rsid w:val="009B4A77"/>
    <w:rsid w:val="009B55F3"/>
    <w:rsid w:val="009B60AC"/>
    <w:rsid w:val="009B6404"/>
    <w:rsid w:val="009C02E4"/>
    <w:rsid w:val="009C09DE"/>
    <w:rsid w:val="009C0C1A"/>
    <w:rsid w:val="009C1B6E"/>
    <w:rsid w:val="009C1F6A"/>
    <w:rsid w:val="009C30D4"/>
    <w:rsid w:val="009C3445"/>
    <w:rsid w:val="009C4A0C"/>
    <w:rsid w:val="009C53A3"/>
    <w:rsid w:val="009C6037"/>
    <w:rsid w:val="009C6E46"/>
    <w:rsid w:val="009C794C"/>
    <w:rsid w:val="009C7CB3"/>
    <w:rsid w:val="009D059E"/>
    <w:rsid w:val="009D0D49"/>
    <w:rsid w:val="009D1F7B"/>
    <w:rsid w:val="009D27D2"/>
    <w:rsid w:val="009D29DE"/>
    <w:rsid w:val="009D2D2C"/>
    <w:rsid w:val="009D477E"/>
    <w:rsid w:val="009D5A2E"/>
    <w:rsid w:val="009D5B55"/>
    <w:rsid w:val="009D5FFF"/>
    <w:rsid w:val="009D6906"/>
    <w:rsid w:val="009D737D"/>
    <w:rsid w:val="009D76BA"/>
    <w:rsid w:val="009D77F5"/>
    <w:rsid w:val="009D7A68"/>
    <w:rsid w:val="009D7B67"/>
    <w:rsid w:val="009E096E"/>
    <w:rsid w:val="009E09F0"/>
    <w:rsid w:val="009E0E06"/>
    <w:rsid w:val="009E1A68"/>
    <w:rsid w:val="009E1B76"/>
    <w:rsid w:val="009E2AC9"/>
    <w:rsid w:val="009E2B3F"/>
    <w:rsid w:val="009E37B2"/>
    <w:rsid w:val="009E3BFA"/>
    <w:rsid w:val="009E3EDC"/>
    <w:rsid w:val="009E3FFB"/>
    <w:rsid w:val="009E5521"/>
    <w:rsid w:val="009E55C1"/>
    <w:rsid w:val="009E5DCA"/>
    <w:rsid w:val="009E5FAE"/>
    <w:rsid w:val="009E61E5"/>
    <w:rsid w:val="009E67D1"/>
    <w:rsid w:val="009E68EC"/>
    <w:rsid w:val="009E708D"/>
    <w:rsid w:val="009E75AB"/>
    <w:rsid w:val="009E791C"/>
    <w:rsid w:val="009E7B17"/>
    <w:rsid w:val="009F075E"/>
    <w:rsid w:val="009F1C97"/>
    <w:rsid w:val="009F1DB5"/>
    <w:rsid w:val="009F2BE5"/>
    <w:rsid w:val="009F3AF6"/>
    <w:rsid w:val="009F43CB"/>
    <w:rsid w:val="009F4E36"/>
    <w:rsid w:val="009F519B"/>
    <w:rsid w:val="009F5836"/>
    <w:rsid w:val="009F5E72"/>
    <w:rsid w:val="009F7034"/>
    <w:rsid w:val="00A0160E"/>
    <w:rsid w:val="00A03231"/>
    <w:rsid w:val="00A03746"/>
    <w:rsid w:val="00A03ED8"/>
    <w:rsid w:val="00A04BA7"/>
    <w:rsid w:val="00A04E9D"/>
    <w:rsid w:val="00A04FD8"/>
    <w:rsid w:val="00A05E42"/>
    <w:rsid w:val="00A0659A"/>
    <w:rsid w:val="00A06A27"/>
    <w:rsid w:val="00A06DCE"/>
    <w:rsid w:val="00A0737C"/>
    <w:rsid w:val="00A07BC2"/>
    <w:rsid w:val="00A07C33"/>
    <w:rsid w:val="00A07F66"/>
    <w:rsid w:val="00A07F78"/>
    <w:rsid w:val="00A114A4"/>
    <w:rsid w:val="00A11C53"/>
    <w:rsid w:val="00A12719"/>
    <w:rsid w:val="00A12A9B"/>
    <w:rsid w:val="00A13394"/>
    <w:rsid w:val="00A13649"/>
    <w:rsid w:val="00A14BCE"/>
    <w:rsid w:val="00A1553D"/>
    <w:rsid w:val="00A158EF"/>
    <w:rsid w:val="00A170CD"/>
    <w:rsid w:val="00A1713F"/>
    <w:rsid w:val="00A17EDB"/>
    <w:rsid w:val="00A20945"/>
    <w:rsid w:val="00A20AD9"/>
    <w:rsid w:val="00A20D56"/>
    <w:rsid w:val="00A210A2"/>
    <w:rsid w:val="00A2188B"/>
    <w:rsid w:val="00A21DFD"/>
    <w:rsid w:val="00A22267"/>
    <w:rsid w:val="00A22427"/>
    <w:rsid w:val="00A22A39"/>
    <w:rsid w:val="00A23088"/>
    <w:rsid w:val="00A23514"/>
    <w:rsid w:val="00A23723"/>
    <w:rsid w:val="00A23A6F"/>
    <w:rsid w:val="00A23FA8"/>
    <w:rsid w:val="00A24283"/>
    <w:rsid w:val="00A245CA"/>
    <w:rsid w:val="00A24ED5"/>
    <w:rsid w:val="00A2595D"/>
    <w:rsid w:val="00A26308"/>
    <w:rsid w:val="00A26538"/>
    <w:rsid w:val="00A2701B"/>
    <w:rsid w:val="00A27C85"/>
    <w:rsid w:val="00A30DB9"/>
    <w:rsid w:val="00A30F0E"/>
    <w:rsid w:val="00A3186C"/>
    <w:rsid w:val="00A3298C"/>
    <w:rsid w:val="00A32DDE"/>
    <w:rsid w:val="00A33E67"/>
    <w:rsid w:val="00A346E8"/>
    <w:rsid w:val="00A35149"/>
    <w:rsid w:val="00A35535"/>
    <w:rsid w:val="00A35919"/>
    <w:rsid w:val="00A35A7A"/>
    <w:rsid w:val="00A36999"/>
    <w:rsid w:val="00A36AC5"/>
    <w:rsid w:val="00A36B2D"/>
    <w:rsid w:val="00A36CB0"/>
    <w:rsid w:val="00A36EF5"/>
    <w:rsid w:val="00A378A9"/>
    <w:rsid w:val="00A37969"/>
    <w:rsid w:val="00A407CC"/>
    <w:rsid w:val="00A408A3"/>
    <w:rsid w:val="00A409E5"/>
    <w:rsid w:val="00A40F2F"/>
    <w:rsid w:val="00A418D1"/>
    <w:rsid w:val="00A42159"/>
    <w:rsid w:val="00A42927"/>
    <w:rsid w:val="00A4384F"/>
    <w:rsid w:val="00A43852"/>
    <w:rsid w:val="00A43CF6"/>
    <w:rsid w:val="00A449FF"/>
    <w:rsid w:val="00A44C55"/>
    <w:rsid w:val="00A4510F"/>
    <w:rsid w:val="00A457E9"/>
    <w:rsid w:val="00A45BDB"/>
    <w:rsid w:val="00A46B9A"/>
    <w:rsid w:val="00A46CA6"/>
    <w:rsid w:val="00A50A62"/>
    <w:rsid w:val="00A50CDD"/>
    <w:rsid w:val="00A50D4B"/>
    <w:rsid w:val="00A5177B"/>
    <w:rsid w:val="00A51868"/>
    <w:rsid w:val="00A51CAA"/>
    <w:rsid w:val="00A5209D"/>
    <w:rsid w:val="00A52678"/>
    <w:rsid w:val="00A53AFD"/>
    <w:rsid w:val="00A54339"/>
    <w:rsid w:val="00A54E7D"/>
    <w:rsid w:val="00A5616E"/>
    <w:rsid w:val="00A56552"/>
    <w:rsid w:val="00A56748"/>
    <w:rsid w:val="00A5727A"/>
    <w:rsid w:val="00A573A7"/>
    <w:rsid w:val="00A57C1E"/>
    <w:rsid w:val="00A57D09"/>
    <w:rsid w:val="00A6068F"/>
    <w:rsid w:val="00A60713"/>
    <w:rsid w:val="00A60DD0"/>
    <w:rsid w:val="00A61042"/>
    <w:rsid w:val="00A61197"/>
    <w:rsid w:val="00A61F66"/>
    <w:rsid w:val="00A62256"/>
    <w:rsid w:val="00A62AF9"/>
    <w:rsid w:val="00A6491E"/>
    <w:rsid w:val="00A64DEC"/>
    <w:rsid w:val="00A64F7C"/>
    <w:rsid w:val="00A64FC1"/>
    <w:rsid w:val="00A66288"/>
    <w:rsid w:val="00A665A9"/>
    <w:rsid w:val="00A667F4"/>
    <w:rsid w:val="00A66BBB"/>
    <w:rsid w:val="00A66CEB"/>
    <w:rsid w:val="00A678B8"/>
    <w:rsid w:val="00A67EAE"/>
    <w:rsid w:val="00A703D4"/>
    <w:rsid w:val="00A705A2"/>
    <w:rsid w:val="00A70839"/>
    <w:rsid w:val="00A70B86"/>
    <w:rsid w:val="00A71401"/>
    <w:rsid w:val="00A71481"/>
    <w:rsid w:val="00A71765"/>
    <w:rsid w:val="00A734EB"/>
    <w:rsid w:val="00A73D1A"/>
    <w:rsid w:val="00A761CF"/>
    <w:rsid w:val="00A7649D"/>
    <w:rsid w:val="00A77445"/>
    <w:rsid w:val="00A7764F"/>
    <w:rsid w:val="00A77DB9"/>
    <w:rsid w:val="00A77FC9"/>
    <w:rsid w:val="00A8054C"/>
    <w:rsid w:val="00A8084A"/>
    <w:rsid w:val="00A80AAA"/>
    <w:rsid w:val="00A81431"/>
    <w:rsid w:val="00A81601"/>
    <w:rsid w:val="00A81B38"/>
    <w:rsid w:val="00A81C4F"/>
    <w:rsid w:val="00A81D78"/>
    <w:rsid w:val="00A828A9"/>
    <w:rsid w:val="00A83570"/>
    <w:rsid w:val="00A83851"/>
    <w:rsid w:val="00A83EC4"/>
    <w:rsid w:val="00A83FEB"/>
    <w:rsid w:val="00A853C1"/>
    <w:rsid w:val="00A85A1F"/>
    <w:rsid w:val="00A85B70"/>
    <w:rsid w:val="00A86897"/>
    <w:rsid w:val="00A86F41"/>
    <w:rsid w:val="00A872CD"/>
    <w:rsid w:val="00A90DAB"/>
    <w:rsid w:val="00A90E62"/>
    <w:rsid w:val="00A914EE"/>
    <w:rsid w:val="00A91544"/>
    <w:rsid w:val="00A91996"/>
    <w:rsid w:val="00A92059"/>
    <w:rsid w:val="00A92552"/>
    <w:rsid w:val="00A92DD4"/>
    <w:rsid w:val="00A931B0"/>
    <w:rsid w:val="00A933B3"/>
    <w:rsid w:val="00A933B9"/>
    <w:rsid w:val="00A93859"/>
    <w:rsid w:val="00A93988"/>
    <w:rsid w:val="00A93EEC"/>
    <w:rsid w:val="00A93FC0"/>
    <w:rsid w:val="00A944C8"/>
    <w:rsid w:val="00A94A59"/>
    <w:rsid w:val="00A95936"/>
    <w:rsid w:val="00A95E1A"/>
    <w:rsid w:val="00A961F1"/>
    <w:rsid w:val="00A96C22"/>
    <w:rsid w:val="00A97031"/>
    <w:rsid w:val="00A97A96"/>
    <w:rsid w:val="00AA1105"/>
    <w:rsid w:val="00AA2BCB"/>
    <w:rsid w:val="00AA3AB2"/>
    <w:rsid w:val="00AA4557"/>
    <w:rsid w:val="00AA5632"/>
    <w:rsid w:val="00AA5647"/>
    <w:rsid w:val="00AA568B"/>
    <w:rsid w:val="00AA5FF2"/>
    <w:rsid w:val="00AA69BC"/>
    <w:rsid w:val="00AA760D"/>
    <w:rsid w:val="00AB05C7"/>
    <w:rsid w:val="00AB0ACB"/>
    <w:rsid w:val="00AB144B"/>
    <w:rsid w:val="00AB252E"/>
    <w:rsid w:val="00AB33C8"/>
    <w:rsid w:val="00AB3B25"/>
    <w:rsid w:val="00AB3CAC"/>
    <w:rsid w:val="00AB42B8"/>
    <w:rsid w:val="00AB4407"/>
    <w:rsid w:val="00AB5366"/>
    <w:rsid w:val="00AB5545"/>
    <w:rsid w:val="00AB5757"/>
    <w:rsid w:val="00AB57B6"/>
    <w:rsid w:val="00AB5807"/>
    <w:rsid w:val="00AB5DA2"/>
    <w:rsid w:val="00AB69AA"/>
    <w:rsid w:val="00AB7076"/>
    <w:rsid w:val="00AB7869"/>
    <w:rsid w:val="00AC13D5"/>
    <w:rsid w:val="00AC157C"/>
    <w:rsid w:val="00AC249A"/>
    <w:rsid w:val="00AC2522"/>
    <w:rsid w:val="00AC2549"/>
    <w:rsid w:val="00AC2E41"/>
    <w:rsid w:val="00AC311C"/>
    <w:rsid w:val="00AC337C"/>
    <w:rsid w:val="00AC3663"/>
    <w:rsid w:val="00AC374D"/>
    <w:rsid w:val="00AC4621"/>
    <w:rsid w:val="00AC5016"/>
    <w:rsid w:val="00AC5D60"/>
    <w:rsid w:val="00AC6279"/>
    <w:rsid w:val="00AC6DD1"/>
    <w:rsid w:val="00AD0C2D"/>
    <w:rsid w:val="00AD0DA0"/>
    <w:rsid w:val="00AD1158"/>
    <w:rsid w:val="00AD1287"/>
    <w:rsid w:val="00AD14F3"/>
    <w:rsid w:val="00AD1818"/>
    <w:rsid w:val="00AD19AC"/>
    <w:rsid w:val="00AD1C2A"/>
    <w:rsid w:val="00AD2116"/>
    <w:rsid w:val="00AD2AAE"/>
    <w:rsid w:val="00AD2D73"/>
    <w:rsid w:val="00AD32D4"/>
    <w:rsid w:val="00AD38BC"/>
    <w:rsid w:val="00AD3913"/>
    <w:rsid w:val="00AD3BF2"/>
    <w:rsid w:val="00AD663E"/>
    <w:rsid w:val="00AD6987"/>
    <w:rsid w:val="00AD6C3D"/>
    <w:rsid w:val="00AD6EC6"/>
    <w:rsid w:val="00AD6FF8"/>
    <w:rsid w:val="00AD72BB"/>
    <w:rsid w:val="00AE0001"/>
    <w:rsid w:val="00AE0251"/>
    <w:rsid w:val="00AE03CB"/>
    <w:rsid w:val="00AE0A5C"/>
    <w:rsid w:val="00AE0F9D"/>
    <w:rsid w:val="00AE13D6"/>
    <w:rsid w:val="00AE2374"/>
    <w:rsid w:val="00AE2388"/>
    <w:rsid w:val="00AE25AA"/>
    <w:rsid w:val="00AE260C"/>
    <w:rsid w:val="00AE2759"/>
    <w:rsid w:val="00AE28FD"/>
    <w:rsid w:val="00AE2FD9"/>
    <w:rsid w:val="00AE3064"/>
    <w:rsid w:val="00AE387B"/>
    <w:rsid w:val="00AE3D9E"/>
    <w:rsid w:val="00AE44AC"/>
    <w:rsid w:val="00AE4EE1"/>
    <w:rsid w:val="00AE5CA0"/>
    <w:rsid w:val="00AE726A"/>
    <w:rsid w:val="00AE77F5"/>
    <w:rsid w:val="00AE78C4"/>
    <w:rsid w:val="00AE78E4"/>
    <w:rsid w:val="00AE7E5C"/>
    <w:rsid w:val="00AF29CE"/>
    <w:rsid w:val="00AF2DE8"/>
    <w:rsid w:val="00AF2F1B"/>
    <w:rsid w:val="00AF31C1"/>
    <w:rsid w:val="00AF3637"/>
    <w:rsid w:val="00AF36BB"/>
    <w:rsid w:val="00AF3715"/>
    <w:rsid w:val="00AF3BBF"/>
    <w:rsid w:val="00AF3E52"/>
    <w:rsid w:val="00AF4169"/>
    <w:rsid w:val="00AF4BE6"/>
    <w:rsid w:val="00AF538B"/>
    <w:rsid w:val="00AF58F5"/>
    <w:rsid w:val="00AF60B4"/>
    <w:rsid w:val="00B002AF"/>
    <w:rsid w:val="00B00766"/>
    <w:rsid w:val="00B0116B"/>
    <w:rsid w:val="00B014FE"/>
    <w:rsid w:val="00B01967"/>
    <w:rsid w:val="00B01FFC"/>
    <w:rsid w:val="00B023CE"/>
    <w:rsid w:val="00B028F7"/>
    <w:rsid w:val="00B02F1D"/>
    <w:rsid w:val="00B031A0"/>
    <w:rsid w:val="00B03793"/>
    <w:rsid w:val="00B03D2E"/>
    <w:rsid w:val="00B03EE8"/>
    <w:rsid w:val="00B03FAA"/>
    <w:rsid w:val="00B03FFE"/>
    <w:rsid w:val="00B042F2"/>
    <w:rsid w:val="00B04796"/>
    <w:rsid w:val="00B04C6D"/>
    <w:rsid w:val="00B04F6D"/>
    <w:rsid w:val="00B0549F"/>
    <w:rsid w:val="00B05DD6"/>
    <w:rsid w:val="00B061D1"/>
    <w:rsid w:val="00B06FA9"/>
    <w:rsid w:val="00B06FF4"/>
    <w:rsid w:val="00B071D2"/>
    <w:rsid w:val="00B0740A"/>
    <w:rsid w:val="00B078A4"/>
    <w:rsid w:val="00B07C9B"/>
    <w:rsid w:val="00B103D4"/>
    <w:rsid w:val="00B106AE"/>
    <w:rsid w:val="00B1172D"/>
    <w:rsid w:val="00B118CB"/>
    <w:rsid w:val="00B13599"/>
    <w:rsid w:val="00B1361D"/>
    <w:rsid w:val="00B13AA7"/>
    <w:rsid w:val="00B13F7D"/>
    <w:rsid w:val="00B14E11"/>
    <w:rsid w:val="00B1560A"/>
    <w:rsid w:val="00B156E6"/>
    <w:rsid w:val="00B15F3D"/>
    <w:rsid w:val="00B16042"/>
    <w:rsid w:val="00B169F8"/>
    <w:rsid w:val="00B16D2D"/>
    <w:rsid w:val="00B16D61"/>
    <w:rsid w:val="00B17A1B"/>
    <w:rsid w:val="00B21357"/>
    <w:rsid w:val="00B21BE0"/>
    <w:rsid w:val="00B21FE1"/>
    <w:rsid w:val="00B22155"/>
    <w:rsid w:val="00B2241B"/>
    <w:rsid w:val="00B22730"/>
    <w:rsid w:val="00B23B15"/>
    <w:rsid w:val="00B24259"/>
    <w:rsid w:val="00B245EE"/>
    <w:rsid w:val="00B2496D"/>
    <w:rsid w:val="00B25236"/>
    <w:rsid w:val="00B25256"/>
    <w:rsid w:val="00B26B21"/>
    <w:rsid w:val="00B26C7B"/>
    <w:rsid w:val="00B279DD"/>
    <w:rsid w:val="00B30970"/>
    <w:rsid w:val="00B317ED"/>
    <w:rsid w:val="00B31843"/>
    <w:rsid w:val="00B325D9"/>
    <w:rsid w:val="00B33335"/>
    <w:rsid w:val="00B3395D"/>
    <w:rsid w:val="00B34576"/>
    <w:rsid w:val="00B348F2"/>
    <w:rsid w:val="00B34FE2"/>
    <w:rsid w:val="00B356CB"/>
    <w:rsid w:val="00B35804"/>
    <w:rsid w:val="00B35864"/>
    <w:rsid w:val="00B35909"/>
    <w:rsid w:val="00B360C9"/>
    <w:rsid w:val="00B368F8"/>
    <w:rsid w:val="00B376A6"/>
    <w:rsid w:val="00B406BD"/>
    <w:rsid w:val="00B40A0B"/>
    <w:rsid w:val="00B41E6C"/>
    <w:rsid w:val="00B423C3"/>
    <w:rsid w:val="00B42616"/>
    <w:rsid w:val="00B42A0C"/>
    <w:rsid w:val="00B4376A"/>
    <w:rsid w:val="00B44533"/>
    <w:rsid w:val="00B44592"/>
    <w:rsid w:val="00B44A5D"/>
    <w:rsid w:val="00B44CE5"/>
    <w:rsid w:val="00B45A9D"/>
    <w:rsid w:val="00B45BB8"/>
    <w:rsid w:val="00B462D9"/>
    <w:rsid w:val="00B463C8"/>
    <w:rsid w:val="00B464F6"/>
    <w:rsid w:val="00B465A7"/>
    <w:rsid w:val="00B470F2"/>
    <w:rsid w:val="00B471D9"/>
    <w:rsid w:val="00B4746A"/>
    <w:rsid w:val="00B47979"/>
    <w:rsid w:val="00B47AEF"/>
    <w:rsid w:val="00B47C0A"/>
    <w:rsid w:val="00B50EF1"/>
    <w:rsid w:val="00B51304"/>
    <w:rsid w:val="00B518E7"/>
    <w:rsid w:val="00B51A69"/>
    <w:rsid w:val="00B53047"/>
    <w:rsid w:val="00B54235"/>
    <w:rsid w:val="00B542FD"/>
    <w:rsid w:val="00B554BC"/>
    <w:rsid w:val="00B55960"/>
    <w:rsid w:val="00B566A1"/>
    <w:rsid w:val="00B56D5A"/>
    <w:rsid w:val="00B6012F"/>
    <w:rsid w:val="00B60829"/>
    <w:rsid w:val="00B60C8D"/>
    <w:rsid w:val="00B61478"/>
    <w:rsid w:val="00B6238B"/>
    <w:rsid w:val="00B624CA"/>
    <w:rsid w:val="00B6312B"/>
    <w:rsid w:val="00B632F4"/>
    <w:rsid w:val="00B63531"/>
    <w:rsid w:val="00B63A02"/>
    <w:rsid w:val="00B63AD4"/>
    <w:rsid w:val="00B64886"/>
    <w:rsid w:val="00B64986"/>
    <w:rsid w:val="00B64DC6"/>
    <w:rsid w:val="00B64E4E"/>
    <w:rsid w:val="00B64E50"/>
    <w:rsid w:val="00B653E8"/>
    <w:rsid w:val="00B65D85"/>
    <w:rsid w:val="00B66A10"/>
    <w:rsid w:val="00B675DE"/>
    <w:rsid w:val="00B67E8D"/>
    <w:rsid w:val="00B7055D"/>
    <w:rsid w:val="00B70853"/>
    <w:rsid w:val="00B70D8B"/>
    <w:rsid w:val="00B72096"/>
    <w:rsid w:val="00B722DE"/>
    <w:rsid w:val="00B72474"/>
    <w:rsid w:val="00B725E3"/>
    <w:rsid w:val="00B7264B"/>
    <w:rsid w:val="00B73BFC"/>
    <w:rsid w:val="00B74F89"/>
    <w:rsid w:val="00B75BC8"/>
    <w:rsid w:val="00B75C48"/>
    <w:rsid w:val="00B75FF3"/>
    <w:rsid w:val="00B7657B"/>
    <w:rsid w:val="00B767C0"/>
    <w:rsid w:val="00B769D2"/>
    <w:rsid w:val="00B76E7E"/>
    <w:rsid w:val="00B7715E"/>
    <w:rsid w:val="00B774D9"/>
    <w:rsid w:val="00B77FDD"/>
    <w:rsid w:val="00B8001A"/>
    <w:rsid w:val="00B800F1"/>
    <w:rsid w:val="00B80472"/>
    <w:rsid w:val="00B80514"/>
    <w:rsid w:val="00B80606"/>
    <w:rsid w:val="00B80BC9"/>
    <w:rsid w:val="00B81857"/>
    <w:rsid w:val="00B81D51"/>
    <w:rsid w:val="00B820C3"/>
    <w:rsid w:val="00B82510"/>
    <w:rsid w:val="00B829D0"/>
    <w:rsid w:val="00B830CD"/>
    <w:rsid w:val="00B831CC"/>
    <w:rsid w:val="00B83276"/>
    <w:rsid w:val="00B8367F"/>
    <w:rsid w:val="00B83C3B"/>
    <w:rsid w:val="00B83C46"/>
    <w:rsid w:val="00B84F52"/>
    <w:rsid w:val="00B85A2F"/>
    <w:rsid w:val="00B85DA4"/>
    <w:rsid w:val="00B864F5"/>
    <w:rsid w:val="00B86E73"/>
    <w:rsid w:val="00B87E8F"/>
    <w:rsid w:val="00B912D5"/>
    <w:rsid w:val="00B9141B"/>
    <w:rsid w:val="00B91E07"/>
    <w:rsid w:val="00B922B4"/>
    <w:rsid w:val="00B927E0"/>
    <w:rsid w:val="00B931AE"/>
    <w:rsid w:val="00B93424"/>
    <w:rsid w:val="00B93713"/>
    <w:rsid w:val="00B947C3"/>
    <w:rsid w:val="00B94FD6"/>
    <w:rsid w:val="00B950A4"/>
    <w:rsid w:val="00B95110"/>
    <w:rsid w:val="00B95DD2"/>
    <w:rsid w:val="00B95E4D"/>
    <w:rsid w:val="00B961D4"/>
    <w:rsid w:val="00B9648A"/>
    <w:rsid w:val="00B973B1"/>
    <w:rsid w:val="00B979C1"/>
    <w:rsid w:val="00BA0754"/>
    <w:rsid w:val="00BA0D32"/>
    <w:rsid w:val="00BA1E00"/>
    <w:rsid w:val="00BA1E36"/>
    <w:rsid w:val="00BA2946"/>
    <w:rsid w:val="00BA29AD"/>
    <w:rsid w:val="00BA2E32"/>
    <w:rsid w:val="00BA3001"/>
    <w:rsid w:val="00BA35B7"/>
    <w:rsid w:val="00BA389F"/>
    <w:rsid w:val="00BA3E56"/>
    <w:rsid w:val="00BA4171"/>
    <w:rsid w:val="00BA481A"/>
    <w:rsid w:val="00BA4C3E"/>
    <w:rsid w:val="00BA5243"/>
    <w:rsid w:val="00BA566D"/>
    <w:rsid w:val="00BA5B20"/>
    <w:rsid w:val="00BA67DF"/>
    <w:rsid w:val="00BA6968"/>
    <w:rsid w:val="00BA6AA9"/>
    <w:rsid w:val="00BA70B4"/>
    <w:rsid w:val="00BA7798"/>
    <w:rsid w:val="00BA789F"/>
    <w:rsid w:val="00BA7CF2"/>
    <w:rsid w:val="00BA7E03"/>
    <w:rsid w:val="00BB0A98"/>
    <w:rsid w:val="00BB11AE"/>
    <w:rsid w:val="00BB1E1E"/>
    <w:rsid w:val="00BB407F"/>
    <w:rsid w:val="00BB438F"/>
    <w:rsid w:val="00BB4C98"/>
    <w:rsid w:val="00BB50A5"/>
    <w:rsid w:val="00BB61A3"/>
    <w:rsid w:val="00BB6D79"/>
    <w:rsid w:val="00BB6FB8"/>
    <w:rsid w:val="00BB7371"/>
    <w:rsid w:val="00BB7A7D"/>
    <w:rsid w:val="00BC0143"/>
    <w:rsid w:val="00BC1320"/>
    <w:rsid w:val="00BC2C09"/>
    <w:rsid w:val="00BC2E8A"/>
    <w:rsid w:val="00BC3784"/>
    <w:rsid w:val="00BC3CEE"/>
    <w:rsid w:val="00BC3E12"/>
    <w:rsid w:val="00BC4125"/>
    <w:rsid w:val="00BC450B"/>
    <w:rsid w:val="00BC46C0"/>
    <w:rsid w:val="00BC4898"/>
    <w:rsid w:val="00BC699A"/>
    <w:rsid w:val="00BC6A73"/>
    <w:rsid w:val="00BC7FBF"/>
    <w:rsid w:val="00BD017A"/>
    <w:rsid w:val="00BD11DA"/>
    <w:rsid w:val="00BD1A24"/>
    <w:rsid w:val="00BD1BD2"/>
    <w:rsid w:val="00BD1DC8"/>
    <w:rsid w:val="00BD24C0"/>
    <w:rsid w:val="00BD24E7"/>
    <w:rsid w:val="00BD2614"/>
    <w:rsid w:val="00BD2697"/>
    <w:rsid w:val="00BD2A16"/>
    <w:rsid w:val="00BD2BA2"/>
    <w:rsid w:val="00BD2D77"/>
    <w:rsid w:val="00BD30C0"/>
    <w:rsid w:val="00BD415F"/>
    <w:rsid w:val="00BD5428"/>
    <w:rsid w:val="00BD54F1"/>
    <w:rsid w:val="00BD60AA"/>
    <w:rsid w:val="00BD6867"/>
    <w:rsid w:val="00BD7220"/>
    <w:rsid w:val="00BE06F9"/>
    <w:rsid w:val="00BE1180"/>
    <w:rsid w:val="00BE12F2"/>
    <w:rsid w:val="00BE1D67"/>
    <w:rsid w:val="00BE22BB"/>
    <w:rsid w:val="00BE22DE"/>
    <w:rsid w:val="00BE2AE4"/>
    <w:rsid w:val="00BE3508"/>
    <w:rsid w:val="00BE3870"/>
    <w:rsid w:val="00BE38FE"/>
    <w:rsid w:val="00BE3C56"/>
    <w:rsid w:val="00BE4B27"/>
    <w:rsid w:val="00BE4E1E"/>
    <w:rsid w:val="00BE5733"/>
    <w:rsid w:val="00BE5AE9"/>
    <w:rsid w:val="00BE650A"/>
    <w:rsid w:val="00BE6B6C"/>
    <w:rsid w:val="00BE7328"/>
    <w:rsid w:val="00BE777A"/>
    <w:rsid w:val="00BE7DD2"/>
    <w:rsid w:val="00BF0002"/>
    <w:rsid w:val="00BF19A8"/>
    <w:rsid w:val="00BF1BC7"/>
    <w:rsid w:val="00BF1DBC"/>
    <w:rsid w:val="00BF2423"/>
    <w:rsid w:val="00BF35B9"/>
    <w:rsid w:val="00BF3D92"/>
    <w:rsid w:val="00BF3E2F"/>
    <w:rsid w:val="00BF43A4"/>
    <w:rsid w:val="00BF4430"/>
    <w:rsid w:val="00BF552A"/>
    <w:rsid w:val="00BF591D"/>
    <w:rsid w:val="00BF5AE3"/>
    <w:rsid w:val="00C01093"/>
    <w:rsid w:val="00C01B28"/>
    <w:rsid w:val="00C02471"/>
    <w:rsid w:val="00C034A6"/>
    <w:rsid w:val="00C039B8"/>
    <w:rsid w:val="00C03AAA"/>
    <w:rsid w:val="00C03FE5"/>
    <w:rsid w:val="00C04258"/>
    <w:rsid w:val="00C04293"/>
    <w:rsid w:val="00C042A7"/>
    <w:rsid w:val="00C04405"/>
    <w:rsid w:val="00C0526F"/>
    <w:rsid w:val="00C054AA"/>
    <w:rsid w:val="00C059AA"/>
    <w:rsid w:val="00C05A3C"/>
    <w:rsid w:val="00C05B11"/>
    <w:rsid w:val="00C06666"/>
    <w:rsid w:val="00C0667D"/>
    <w:rsid w:val="00C06A4C"/>
    <w:rsid w:val="00C070AE"/>
    <w:rsid w:val="00C074F1"/>
    <w:rsid w:val="00C07EC0"/>
    <w:rsid w:val="00C1026A"/>
    <w:rsid w:val="00C11257"/>
    <w:rsid w:val="00C1203F"/>
    <w:rsid w:val="00C122D8"/>
    <w:rsid w:val="00C13090"/>
    <w:rsid w:val="00C14013"/>
    <w:rsid w:val="00C141E9"/>
    <w:rsid w:val="00C14239"/>
    <w:rsid w:val="00C14352"/>
    <w:rsid w:val="00C157D3"/>
    <w:rsid w:val="00C15911"/>
    <w:rsid w:val="00C15A41"/>
    <w:rsid w:val="00C15E8B"/>
    <w:rsid w:val="00C16183"/>
    <w:rsid w:val="00C16583"/>
    <w:rsid w:val="00C202EA"/>
    <w:rsid w:val="00C210B6"/>
    <w:rsid w:val="00C21F32"/>
    <w:rsid w:val="00C22AD0"/>
    <w:rsid w:val="00C23CFA"/>
    <w:rsid w:val="00C240EF"/>
    <w:rsid w:val="00C250E4"/>
    <w:rsid w:val="00C2514E"/>
    <w:rsid w:val="00C25EC6"/>
    <w:rsid w:val="00C2674B"/>
    <w:rsid w:val="00C277FD"/>
    <w:rsid w:val="00C27889"/>
    <w:rsid w:val="00C27A6B"/>
    <w:rsid w:val="00C27D65"/>
    <w:rsid w:val="00C301C1"/>
    <w:rsid w:val="00C301DF"/>
    <w:rsid w:val="00C30922"/>
    <w:rsid w:val="00C322A6"/>
    <w:rsid w:val="00C32870"/>
    <w:rsid w:val="00C32E46"/>
    <w:rsid w:val="00C33338"/>
    <w:rsid w:val="00C3382C"/>
    <w:rsid w:val="00C33B14"/>
    <w:rsid w:val="00C34074"/>
    <w:rsid w:val="00C342E3"/>
    <w:rsid w:val="00C34614"/>
    <w:rsid w:val="00C346FA"/>
    <w:rsid w:val="00C34C57"/>
    <w:rsid w:val="00C35C5E"/>
    <w:rsid w:val="00C35CED"/>
    <w:rsid w:val="00C366A3"/>
    <w:rsid w:val="00C36836"/>
    <w:rsid w:val="00C37C6E"/>
    <w:rsid w:val="00C37C91"/>
    <w:rsid w:val="00C40380"/>
    <w:rsid w:val="00C40985"/>
    <w:rsid w:val="00C40D66"/>
    <w:rsid w:val="00C40E8C"/>
    <w:rsid w:val="00C41488"/>
    <w:rsid w:val="00C41CDD"/>
    <w:rsid w:val="00C420DE"/>
    <w:rsid w:val="00C42BC5"/>
    <w:rsid w:val="00C42D96"/>
    <w:rsid w:val="00C43777"/>
    <w:rsid w:val="00C4495B"/>
    <w:rsid w:val="00C451A5"/>
    <w:rsid w:val="00C452B1"/>
    <w:rsid w:val="00C45EF7"/>
    <w:rsid w:val="00C4684C"/>
    <w:rsid w:val="00C4703A"/>
    <w:rsid w:val="00C4763F"/>
    <w:rsid w:val="00C476BA"/>
    <w:rsid w:val="00C47C1A"/>
    <w:rsid w:val="00C51016"/>
    <w:rsid w:val="00C52B30"/>
    <w:rsid w:val="00C52B90"/>
    <w:rsid w:val="00C53105"/>
    <w:rsid w:val="00C5438F"/>
    <w:rsid w:val="00C5471D"/>
    <w:rsid w:val="00C54FE7"/>
    <w:rsid w:val="00C55669"/>
    <w:rsid w:val="00C55699"/>
    <w:rsid w:val="00C56102"/>
    <w:rsid w:val="00C5616D"/>
    <w:rsid w:val="00C5659E"/>
    <w:rsid w:val="00C568C6"/>
    <w:rsid w:val="00C5732E"/>
    <w:rsid w:val="00C60D88"/>
    <w:rsid w:val="00C60E43"/>
    <w:rsid w:val="00C60EAD"/>
    <w:rsid w:val="00C6190F"/>
    <w:rsid w:val="00C61B60"/>
    <w:rsid w:val="00C6341C"/>
    <w:rsid w:val="00C6385F"/>
    <w:rsid w:val="00C63903"/>
    <w:rsid w:val="00C646C3"/>
    <w:rsid w:val="00C648F0"/>
    <w:rsid w:val="00C64FF7"/>
    <w:rsid w:val="00C6529D"/>
    <w:rsid w:val="00C654B0"/>
    <w:rsid w:val="00C65ACB"/>
    <w:rsid w:val="00C65B9D"/>
    <w:rsid w:val="00C65C8B"/>
    <w:rsid w:val="00C66442"/>
    <w:rsid w:val="00C66BC0"/>
    <w:rsid w:val="00C66F65"/>
    <w:rsid w:val="00C67481"/>
    <w:rsid w:val="00C676EE"/>
    <w:rsid w:val="00C67753"/>
    <w:rsid w:val="00C67755"/>
    <w:rsid w:val="00C67872"/>
    <w:rsid w:val="00C70BAB"/>
    <w:rsid w:val="00C71FFE"/>
    <w:rsid w:val="00C72E84"/>
    <w:rsid w:val="00C7372D"/>
    <w:rsid w:val="00C741BF"/>
    <w:rsid w:val="00C74503"/>
    <w:rsid w:val="00C752D2"/>
    <w:rsid w:val="00C75DBB"/>
    <w:rsid w:val="00C75E29"/>
    <w:rsid w:val="00C76C6E"/>
    <w:rsid w:val="00C774E8"/>
    <w:rsid w:val="00C77BBC"/>
    <w:rsid w:val="00C80535"/>
    <w:rsid w:val="00C80EE0"/>
    <w:rsid w:val="00C82512"/>
    <w:rsid w:val="00C82839"/>
    <w:rsid w:val="00C82A08"/>
    <w:rsid w:val="00C82B7E"/>
    <w:rsid w:val="00C82EBE"/>
    <w:rsid w:val="00C82F76"/>
    <w:rsid w:val="00C8305F"/>
    <w:rsid w:val="00C847A3"/>
    <w:rsid w:val="00C8499E"/>
    <w:rsid w:val="00C84CB4"/>
    <w:rsid w:val="00C84DBC"/>
    <w:rsid w:val="00C85291"/>
    <w:rsid w:val="00C852AF"/>
    <w:rsid w:val="00C85B0A"/>
    <w:rsid w:val="00C86333"/>
    <w:rsid w:val="00C86711"/>
    <w:rsid w:val="00C869CB"/>
    <w:rsid w:val="00C87414"/>
    <w:rsid w:val="00C901AC"/>
    <w:rsid w:val="00C910AD"/>
    <w:rsid w:val="00C913F7"/>
    <w:rsid w:val="00C91505"/>
    <w:rsid w:val="00C91884"/>
    <w:rsid w:val="00C91A2E"/>
    <w:rsid w:val="00C9224D"/>
    <w:rsid w:val="00C92B60"/>
    <w:rsid w:val="00C92C7B"/>
    <w:rsid w:val="00C93692"/>
    <w:rsid w:val="00C939F4"/>
    <w:rsid w:val="00C941EB"/>
    <w:rsid w:val="00C9422A"/>
    <w:rsid w:val="00C95447"/>
    <w:rsid w:val="00C96166"/>
    <w:rsid w:val="00C96559"/>
    <w:rsid w:val="00C9700C"/>
    <w:rsid w:val="00C9770C"/>
    <w:rsid w:val="00CA0019"/>
    <w:rsid w:val="00CA013E"/>
    <w:rsid w:val="00CA024A"/>
    <w:rsid w:val="00CA0A3E"/>
    <w:rsid w:val="00CA0C02"/>
    <w:rsid w:val="00CA0D37"/>
    <w:rsid w:val="00CA0F0D"/>
    <w:rsid w:val="00CA0F54"/>
    <w:rsid w:val="00CA0F99"/>
    <w:rsid w:val="00CA1C64"/>
    <w:rsid w:val="00CA1EF7"/>
    <w:rsid w:val="00CA1F93"/>
    <w:rsid w:val="00CA2078"/>
    <w:rsid w:val="00CA22DA"/>
    <w:rsid w:val="00CA2332"/>
    <w:rsid w:val="00CA2BD6"/>
    <w:rsid w:val="00CA2E42"/>
    <w:rsid w:val="00CA3DF6"/>
    <w:rsid w:val="00CA4E09"/>
    <w:rsid w:val="00CA6354"/>
    <w:rsid w:val="00CA6F24"/>
    <w:rsid w:val="00CA76A7"/>
    <w:rsid w:val="00CA7A38"/>
    <w:rsid w:val="00CA7C5A"/>
    <w:rsid w:val="00CB008D"/>
    <w:rsid w:val="00CB0B64"/>
    <w:rsid w:val="00CB1802"/>
    <w:rsid w:val="00CB1919"/>
    <w:rsid w:val="00CB3EF1"/>
    <w:rsid w:val="00CB4A91"/>
    <w:rsid w:val="00CB4A9F"/>
    <w:rsid w:val="00CB5853"/>
    <w:rsid w:val="00CB6362"/>
    <w:rsid w:val="00CB673C"/>
    <w:rsid w:val="00CB6F10"/>
    <w:rsid w:val="00CB72B1"/>
    <w:rsid w:val="00CB7405"/>
    <w:rsid w:val="00CC0433"/>
    <w:rsid w:val="00CC080B"/>
    <w:rsid w:val="00CC0B4B"/>
    <w:rsid w:val="00CC0CEB"/>
    <w:rsid w:val="00CC119D"/>
    <w:rsid w:val="00CC1282"/>
    <w:rsid w:val="00CC1560"/>
    <w:rsid w:val="00CC20F6"/>
    <w:rsid w:val="00CC3B6D"/>
    <w:rsid w:val="00CC3D91"/>
    <w:rsid w:val="00CC4031"/>
    <w:rsid w:val="00CC4537"/>
    <w:rsid w:val="00CC4733"/>
    <w:rsid w:val="00CC4A44"/>
    <w:rsid w:val="00CC504C"/>
    <w:rsid w:val="00CC5543"/>
    <w:rsid w:val="00CC56AA"/>
    <w:rsid w:val="00CC6442"/>
    <w:rsid w:val="00CC69C6"/>
    <w:rsid w:val="00CC6FF0"/>
    <w:rsid w:val="00CC74F4"/>
    <w:rsid w:val="00CC7C02"/>
    <w:rsid w:val="00CD0115"/>
    <w:rsid w:val="00CD0D99"/>
    <w:rsid w:val="00CD1BA2"/>
    <w:rsid w:val="00CD215D"/>
    <w:rsid w:val="00CD235A"/>
    <w:rsid w:val="00CD2588"/>
    <w:rsid w:val="00CD29DC"/>
    <w:rsid w:val="00CD2B82"/>
    <w:rsid w:val="00CD2D88"/>
    <w:rsid w:val="00CD3483"/>
    <w:rsid w:val="00CD3687"/>
    <w:rsid w:val="00CD3914"/>
    <w:rsid w:val="00CD44CF"/>
    <w:rsid w:val="00CD46D9"/>
    <w:rsid w:val="00CD4772"/>
    <w:rsid w:val="00CD4A4E"/>
    <w:rsid w:val="00CD4DCE"/>
    <w:rsid w:val="00CD5532"/>
    <w:rsid w:val="00CD5B22"/>
    <w:rsid w:val="00CD5E81"/>
    <w:rsid w:val="00CD63B4"/>
    <w:rsid w:val="00CD6923"/>
    <w:rsid w:val="00CD6DBD"/>
    <w:rsid w:val="00CD7609"/>
    <w:rsid w:val="00CD7660"/>
    <w:rsid w:val="00CE043D"/>
    <w:rsid w:val="00CE0649"/>
    <w:rsid w:val="00CE125A"/>
    <w:rsid w:val="00CE1832"/>
    <w:rsid w:val="00CE1BC9"/>
    <w:rsid w:val="00CE264E"/>
    <w:rsid w:val="00CE2BBA"/>
    <w:rsid w:val="00CE37E6"/>
    <w:rsid w:val="00CE4C1A"/>
    <w:rsid w:val="00CE53A8"/>
    <w:rsid w:val="00CE5664"/>
    <w:rsid w:val="00CE57E0"/>
    <w:rsid w:val="00CE5BAF"/>
    <w:rsid w:val="00CE5E5B"/>
    <w:rsid w:val="00CE60A6"/>
    <w:rsid w:val="00CE6170"/>
    <w:rsid w:val="00CE665A"/>
    <w:rsid w:val="00CE6B1C"/>
    <w:rsid w:val="00CE6BAE"/>
    <w:rsid w:val="00CE6CE5"/>
    <w:rsid w:val="00CE7261"/>
    <w:rsid w:val="00CE7C1F"/>
    <w:rsid w:val="00CE7CFB"/>
    <w:rsid w:val="00CF0FF6"/>
    <w:rsid w:val="00CF1F64"/>
    <w:rsid w:val="00CF2836"/>
    <w:rsid w:val="00CF320E"/>
    <w:rsid w:val="00CF3487"/>
    <w:rsid w:val="00CF38F3"/>
    <w:rsid w:val="00CF38F5"/>
    <w:rsid w:val="00CF3CA3"/>
    <w:rsid w:val="00CF41C0"/>
    <w:rsid w:val="00CF4612"/>
    <w:rsid w:val="00CF4CD9"/>
    <w:rsid w:val="00CF4D55"/>
    <w:rsid w:val="00CF5BFF"/>
    <w:rsid w:val="00CF63C2"/>
    <w:rsid w:val="00CF679A"/>
    <w:rsid w:val="00CF6A64"/>
    <w:rsid w:val="00CF6AEF"/>
    <w:rsid w:val="00CF6D13"/>
    <w:rsid w:val="00CF6F7A"/>
    <w:rsid w:val="00CF70C0"/>
    <w:rsid w:val="00CF721E"/>
    <w:rsid w:val="00CF77F9"/>
    <w:rsid w:val="00CF788F"/>
    <w:rsid w:val="00D001DB"/>
    <w:rsid w:val="00D01A24"/>
    <w:rsid w:val="00D01ECF"/>
    <w:rsid w:val="00D01FEB"/>
    <w:rsid w:val="00D0318B"/>
    <w:rsid w:val="00D03C41"/>
    <w:rsid w:val="00D04313"/>
    <w:rsid w:val="00D0467A"/>
    <w:rsid w:val="00D048F7"/>
    <w:rsid w:val="00D04FBB"/>
    <w:rsid w:val="00D0544A"/>
    <w:rsid w:val="00D0625E"/>
    <w:rsid w:val="00D0690E"/>
    <w:rsid w:val="00D06BA6"/>
    <w:rsid w:val="00D06CF0"/>
    <w:rsid w:val="00D07001"/>
    <w:rsid w:val="00D071AA"/>
    <w:rsid w:val="00D07506"/>
    <w:rsid w:val="00D07CB3"/>
    <w:rsid w:val="00D100A5"/>
    <w:rsid w:val="00D10395"/>
    <w:rsid w:val="00D11069"/>
    <w:rsid w:val="00D1117B"/>
    <w:rsid w:val="00D1135D"/>
    <w:rsid w:val="00D1137B"/>
    <w:rsid w:val="00D113AF"/>
    <w:rsid w:val="00D11731"/>
    <w:rsid w:val="00D12030"/>
    <w:rsid w:val="00D12B2F"/>
    <w:rsid w:val="00D12B76"/>
    <w:rsid w:val="00D12E69"/>
    <w:rsid w:val="00D13CAA"/>
    <w:rsid w:val="00D13E65"/>
    <w:rsid w:val="00D14146"/>
    <w:rsid w:val="00D144EC"/>
    <w:rsid w:val="00D14A3D"/>
    <w:rsid w:val="00D14D3C"/>
    <w:rsid w:val="00D14D4C"/>
    <w:rsid w:val="00D14EA6"/>
    <w:rsid w:val="00D15387"/>
    <w:rsid w:val="00D154F9"/>
    <w:rsid w:val="00D1700F"/>
    <w:rsid w:val="00D172EC"/>
    <w:rsid w:val="00D178F2"/>
    <w:rsid w:val="00D17A39"/>
    <w:rsid w:val="00D20F51"/>
    <w:rsid w:val="00D21552"/>
    <w:rsid w:val="00D21586"/>
    <w:rsid w:val="00D215B1"/>
    <w:rsid w:val="00D21AC3"/>
    <w:rsid w:val="00D21D87"/>
    <w:rsid w:val="00D21EA8"/>
    <w:rsid w:val="00D2266C"/>
    <w:rsid w:val="00D2307E"/>
    <w:rsid w:val="00D23110"/>
    <w:rsid w:val="00D231D8"/>
    <w:rsid w:val="00D233A7"/>
    <w:rsid w:val="00D242B3"/>
    <w:rsid w:val="00D24345"/>
    <w:rsid w:val="00D24AE8"/>
    <w:rsid w:val="00D24F85"/>
    <w:rsid w:val="00D2578E"/>
    <w:rsid w:val="00D2608E"/>
    <w:rsid w:val="00D265AB"/>
    <w:rsid w:val="00D2660B"/>
    <w:rsid w:val="00D273A0"/>
    <w:rsid w:val="00D3169F"/>
    <w:rsid w:val="00D31748"/>
    <w:rsid w:val="00D323B3"/>
    <w:rsid w:val="00D32CB5"/>
    <w:rsid w:val="00D34D6D"/>
    <w:rsid w:val="00D35165"/>
    <w:rsid w:val="00D359E8"/>
    <w:rsid w:val="00D36B82"/>
    <w:rsid w:val="00D374C7"/>
    <w:rsid w:val="00D374DB"/>
    <w:rsid w:val="00D37ED3"/>
    <w:rsid w:val="00D404EF"/>
    <w:rsid w:val="00D40697"/>
    <w:rsid w:val="00D40A43"/>
    <w:rsid w:val="00D40DF4"/>
    <w:rsid w:val="00D41BC5"/>
    <w:rsid w:val="00D41C10"/>
    <w:rsid w:val="00D42552"/>
    <w:rsid w:val="00D42AF1"/>
    <w:rsid w:val="00D42B8F"/>
    <w:rsid w:val="00D42E4D"/>
    <w:rsid w:val="00D42FDF"/>
    <w:rsid w:val="00D43F85"/>
    <w:rsid w:val="00D4445B"/>
    <w:rsid w:val="00D4566A"/>
    <w:rsid w:val="00D45D62"/>
    <w:rsid w:val="00D462B4"/>
    <w:rsid w:val="00D462C7"/>
    <w:rsid w:val="00D4665F"/>
    <w:rsid w:val="00D46CC8"/>
    <w:rsid w:val="00D4710E"/>
    <w:rsid w:val="00D47739"/>
    <w:rsid w:val="00D5151E"/>
    <w:rsid w:val="00D5185E"/>
    <w:rsid w:val="00D51911"/>
    <w:rsid w:val="00D51C8E"/>
    <w:rsid w:val="00D531D7"/>
    <w:rsid w:val="00D53CE1"/>
    <w:rsid w:val="00D54632"/>
    <w:rsid w:val="00D54B1E"/>
    <w:rsid w:val="00D55343"/>
    <w:rsid w:val="00D55C1E"/>
    <w:rsid w:val="00D55D9B"/>
    <w:rsid w:val="00D55DD8"/>
    <w:rsid w:val="00D55FFA"/>
    <w:rsid w:val="00D5647F"/>
    <w:rsid w:val="00D57499"/>
    <w:rsid w:val="00D575D8"/>
    <w:rsid w:val="00D57A95"/>
    <w:rsid w:val="00D57C97"/>
    <w:rsid w:val="00D57EE6"/>
    <w:rsid w:val="00D6044D"/>
    <w:rsid w:val="00D60E17"/>
    <w:rsid w:val="00D6122E"/>
    <w:rsid w:val="00D61844"/>
    <w:rsid w:val="00D6215F"/>
    <w:rsid w:val="00D625E3"/>
    <w:rsid w:val="00D626EC"/>
    <w:rsid w:val="00D62745"/>
    <w:rsid w:val="00D627D1"/>
    <w:rsid w:val="00D64272"/>
    <w:rsid w:val="00D64318"/>
    <w:rsid w:val="00D64677"/>
    <w:rsid w:val="00D64750"/>
    <w:rsid w:val="00D658BA"/>
    <w:rsid w:val="00D70422"/>
    <w:rsid w:val="00D70A8B"/>
    <w:rsid w:val="00D70B72"/>
    <w:rsid w:val="00D710A2"/>
    <w:rsid w:val="00D71819"/>
    <w:rsid w:val="00D718AB"/>
    <w:rsid w:val="00D71A7D"/>
    <w:rsid w:val="00D72261"/>
    <w:rsid w:val="00D72374"/>
    <w:rsid w:val="00D72570"/>
    <w:rsid w:val="00D72A64"/>
    <w:rsid w:val="00D73A49"/>
    <w:rsid w:val="00D73CB3"/>
    <w:rsid w:val="00D741C4"/>
    <w:rsid w:val="00D744AC"/>
    <w:rsid w:val="00D75446"/>
    <w:rsid w:val="00D767AB"/>
    <w:rsid w:val="00D77130"/>
    <w:rsid w:val="00D77629"/>
    <w:rsid w:val="00D80064"/>
    <w:rsid w:val="00D808EF"/>
    <w:rsid w:val="00D812CF"/>
    <w:rsid w:val="00D82C91"/>
    <w:rsid w:val="00D8324C"/>
    <w:rsid w:val="00D835C7"/>
    <w:rsid w:val="00D836D4"/>
    <w:rsid w:val="00D84393"/>
    <w:rsid w:val="00D84537"/>
    <w:rsid w:val="00D84640"/>
    <w:rsid w:val="00D84D44"/>
    <w:rsid w:val="00D84EC0"/>
    <w:rsid w:val="00D85344"/>
    <w:rsid w:val="00D85361"/>
    <w:rsid w:val="00D85383"/>
    <w:rsid w:val="00D86180"/>
    <w:rsid w:val="00D86F47"/>
    <w:rsid w:val="00D870D2"/>
    <w:rsid w:val="00D87236"/>
    <w:rsid w:val="00D8738E"/>
    <w:rsid w:val="00D87465"/>
    <w:rsid w:val="00D87F0C"/>
    <w:rsid w:val="00D90D2C"/>
    <w:rsid w:val="00D91688"/>
    <w:rsid w:val="00D916C9"/>
    <w:rsid w:val="00D917A8"/>
    <w:rsid w:val="00D91B0C"/>
    <w:rsid w:val="00D91B37"/>
    <w:rsid w:val="00D91B61"/>
    <w:rsid w:val="00D92254"/>
    <w:rsid w:val="00D92506"/>
    <w:rsid w:val="00D92ED2"/>
    <w:rsid w:val="00D930EB"/>
    <w:rsid w:val="00D930FB"/>
    <w:rsid w:val="00D937D2"/>
    <w:rsid w:val="00D94749"/>
    <w:rsid w:val="00D956AA"/>
    <w:rsid w:val="00D95D0C"/>
    <w:rsid w:val="00D963E9"/>
    <w:rsid w:val="00D96526"/>
    <w:rsid w:val="00D9662B"/>
    <w:rsid w:val="00D96E1F"/>
    <w:rsid w:val="00D96FE3"/>
    <w:rsid w:val="00D97A97"/>
    <w:rsid w:val="00D97F72"/>
    <w:rsid w:val="00D97FA5"/>
    <w:rsid w:val="00DA0679"/>
    <w:rsid w:val="00DA07B2"/>
    <w:rsid w:val="00DA0803"/>
    <w:rsid w:val="00DA0C60"/>
    <w:rsid w:val="00DA0D7E"/>
    <w:rsid w:val="00DA1138"/>
    <w:rsid w:val="00DA1BC8"/>
    <w:rsid w:val="00DA2AD2"/>
    <w:rsid w:val="00DA2C4B"/>
    <w:rsid w:val="00DA322C"/>
    <w:rsid w:val="00DA3544"/>
    <w:rsid w:val="00DA35FD"/>
    <w:rsid w:val="00DA3AF0"/>
    <w:rsid w:val="00DA3E1E"/>
    <w:rsid w:val="00DA3FE0"/>
    <w:rsid w:val="00DA47E9"/>
    <w:rsid w:val="00DA4F2A"/>
    <w:rsid w:val="00DA5EB8"/>
    <w:rsid w:val="00DA6048"/>
    <w:rsid w:val="00DA6146"/>
    <w:rsid w:val="00DA77F2"/>
    <w:rsid w:val="00DA7B8B"/>
    <w:rsid w:val="00DA7BD2"/>
    <w:rsid w:val="00DB1471"/>
    <w:rsid w:val="00DB244C"/>
    <w:rsid w:val="00DB27D4"/>
    <w:rsid w:val="00DB38B5"/>
    <w:rsid w:val="00DB399F"/>
    <w:rsid w:val="00DB45B6"/>
    <w:rsid w:val="00DB4B69"/>
    <w:rsid w:val="00DB5DF9"/>
    <w:rsid w:val="00DB6722"/>
    <w:rsid w:val="00DB6A6B"/>
    <w:rsid w:val="00DB77E2"/>
    <w:rsid w:val="00DB7E90"/>
    <w:rsid w:val="00DC0747"/>
    <w:rsid w:val="00DC1103"/>
    <w:rsid w:val="00DC16C9"/>
    <w:rsid w:val="00DC1907"/>
    <w:rsid w:val="00DC1BC5"/>
    <w:rsid w:val="00DC1FCB"/>
    <w:rsid w:val="00DC210A"/>
    <w:rsid w:val="00DC2FF4"/>
    <w:rsid w:val="00DC319E"/>
    <w:rsid w:val="00DC337D"/>
    <w:rsid w:val="00DC4419"/>
    <w:rsid w:val="00DC45C8"/>
    <w:rsid w:val="00DC5716"/>
    <w:rsid w:val="00DC5AB3"/>
    <w:rsid w:val="00DC5F6F"/>
    <w:rsid w:val="00DC64E3"/>
    <w:rsid w:val="00DC65D6"/>
    <w:rsid w:val="00DC6917"/>
    <w:rsid w:val="00DC69B9"/>
    <w:rsid w:val="00DC6FFA"/>
    <w:rsid w:val="00DC789A"/>
    <w:rsid w:val="00DC79C7"/>
    <w:rsid w:val="00DC7EE9"/>
    <w:rsid w:val="00DD05CF"/>
    <w:rsid w:val="00DD0682"/>
    <w:rsid w:val="00DD1797"/>
    <w:rsid w:val="00DD1B7E"/>
    <w:rsid w:val="00DD24E9"/>
    <w:rsid w:val="00DD2663"/>
    <w:rsid w:val="00DD2C8E"/>
    <w:rsid w:val="00DD3BE8"/>
    <w:rsid w:val="00DD436B"/>
    <w:rsid w:val="00DD4AC3"/>
    <w:rsid w:val="00DD4C5B"/>
    <w:rsid w:val="00DD4F1D"/>
    <w:rsid w:val="00DD5490"/>
    <w:rsid w:val="00DD5526"/>
    <w:rsid w:val="00DD591D"/>
    <w:rsid w:val="00DD67E3"/>
    <w:rsid w:val="00DD6C27"/>
    <w:rsid w:val="00DD7D9F"/>
    <w:rsid w:val="00DE0D4E"/>
    <w:rsid w:val="00DE0EDD"/>
    <w:rsid w:val="00DE1631"/>
    <w:rsid w:val="00DE24E4"/>
    <w:rsid w:val="00DE2564"/>
    <w:rsid w:val="00DE2C23"/>
    <w:rsid w:val="00DE3066"/>
    <w:rsid w:val="00DE3718"/>
    <w:rsid w:val="00DE4A39"/>
    <w:rsid w:val="00DE5120"/>
    <w:rsid w:val="00DE53DB"/>
    <w:rsid w:val="00DE63D6"/>
    <w:rsid w:val="00DE6594"/>
    <w:rsid w:val="00DE71A4"/>
    <w:rsid w:val="00DE739B"/>
    <w:rsid w:val="00DE7D38"/>
    <w:rsid w:val="00DE7EB7"/>
    <w:rsid w:val="00DF00A1"/>
    <w:rsid w:val="00DF025F"/>
    <w:rsid w:val="00DF0906"/>
    <w:rsid w:val="00DF0AE0"/>
    <w:rsid w:val="00DF1A46"/>
    <w:rsid w:val="00DF1B46"/>
    <w:rsid w:val="00DF232C"/>
    <w:rsid w:val="00DF2662"/>
    <w:rsid w:val="00DF2DE1"/>
    <w:rsid w:val="00DF3697"/>
    <w:rsid w:val="00DF394B"/>
    <w:rsid w:val="00DF5880"/>
    <w:rsid w:val="00DF59FB"/>
    <w:rsid w:val="00DF5DC5"/>
    <w:rsid w:val="00DF62E1"/>
    <w:rsid w:val="00DF67DF"/>
    <w:rsid w:val="00DF7B69"/>
    <w:rsid w:val="00DF7CA5"/>
    <w:rsid w:val="00E003B2"/>
    <w:rsid w:val="00E00DD2"/>
    <w:rsid w:val="00E014D3"/>
    <w:rsid w:val="00E02E93"/>
    <w:rsid w:val="00E0301E"/>
    <w:rsid w:val="00E03A4E"/>
    <w:rsid w:val="00E04478"/>
    <w:rsid w:val="00E04612"/>
    <w:rsid w:val="00E0558A"/>
    <w:rsid w:val="00E05641"/>
    <w:rsid w:val="00E059BB"/>
    <w:rsid w:val="00E077C6"/>
    <w:rsid w:val="00E07908"/>
    <w:rsid w:val="00E07A79"/>
    <w:rsid w:val="00E10039"/>
    <w:rsid w:val="00E10299"/>
    <w:rsid w:val="00E10451"/>
    <w:rsid w:val="00E10E83"/>
    <w:rsid w:val="00E1101D"/>
    <w:rsid w:val="00E11231"/>
    <w:rsid w:val="00E1133F"/>
    <w:rsid w:val="00E1136C"/>
    <w:rsid w:val="00E11BAE"/>
    <w:rsid w:val="00E11F67"/>
    <w:rsid w:val="00E128BB"/>
    <w:rsid w:val="00E12FAE"/>
    <w:rsid w:val="00E1317E"/>
    <w:rsid w:val="00E13AE6"/>
    <w:rsid w:val="00E13CD9"/>
    <w:rsid w:val="00E14E72"/>
    <w:rsid w:val="00E151B4"/>
    <w:rsid w:val="00E16AAD"/>
    <w:rsid w:val="00E16ACD"/>
    <w:rsid w:val="00E16B6E"/>
    <w:rsid w:val="00E171FD"/>
    <w:rsid w:val="00E17232"/>
    <w:rsid w:val="00E178E7"/>
    <w:rsid w:val="00E205BA"/>
    <w:rsid w:val="00E2098D"/>
    <w:rsid w:val="00E2160D"/>
    <w:rsid w:val="00E21D79"/>
    <w:rsid w:val="00E2202F"/>
    <w:rsid w:val="00E22234"/>
    <w:rsid w:val="00E227FE"/>
    <w:rsid w:val="00E23595"/>
    <w:rsid w:val="00E23D5D"/>
    <w:rsid w:val="00E24485"/>
    <w:rsid w:val="00E24884"/>
    <w:rsid w:val="00E2572A"/>
    <w:rsid w:val="00E26D2B"/>
    <w:rsid w:val="00E275D0"/>
    <w:rsid w:val="00E278C0"/>
    <w:rsid w:val="00E27F5B"/>
    <w:rsid w:val="00E307CB"/>
    <w:rsid w:val="00E308AE"/>
    <w:rsid w:val="00E30AD2"/>
    <w:rsid w:val="00E31694"/>
    <w:rsid w:val="00E32262"/>
    <w:rsid w:val="00E33D24"/>
    <w:rsid w:val="00E345CE"/>
    <w:rsid w:val="00E35694"/>
    <w:rsid w:val="00E366EF"/>
    <w:rsid w:val="00E37126"/>
    <w:rsid w:val="00E402E9"/>
    <w:rsid w:val="00E4155B"/>
    <w:rsid w:val="00E418EA"/>
    <w:rsid w:val="00E419E1"/>
    <w:rsid w:val="00E42030"/>
    <w:rsid w:val="00E4223D"/>
    <w:rsid w:val="00E42776"/>
    <w:rsid w:val="00E4327E"/>
    <w:rsid w:val="00E43C51"/>
    <w:rsid w:val="00E44890"/>
    <w:rsid w:val="00E44B58"/>
    <w:rsid w:val="00E46A7C"/>
    <w:rsid w:val="00E46C71"/>
    <w:rsid w:val="00E47970"/>
    <w:rsid w:val="00E500DE"/>
    <w:rsid w:val="00E500F6"/>
    <w:rsid w:val="00E5090E"/>
    <w:rsid w:val="00E50C64"/>
    <w:rsid w:val="00E52149"/>
    <w:rsid w:val="00E5228F"/>
    <w:rsid w:val="00E530DE"/>
    <w:rsid w:val="00E534AE"/>
    <w:rsid w:val="00E53AFF"/>
    <w:rsid w:val="00E53C82"/>
    <w:rsid w:val="00E53F32"/>
    <w:rsid w:val="00E549FF"/>
    <w:rsid w:val="00E54AE0"/>
    <w:rsid w:val="00E5537C"/>
    <w:rsid w:val="00E554E6"/>
    <w:rsid w:val="00E55A21"/>
    <w:rsid w:val="00E55EFF"/>
    <w:rsid w:val="00E55F17"/>
    <w:rsid w:val="00E560A5"/>
    <w:rsid w:val="00E5635F"/>
    <w:rsid w:val="00E56526"/>
    <w:rsid w:val="00E56794"/>
    <w:rsid w:val="00E56DD8"/>
    <w:rsid w:val="00E574AF"/>
    <w:rsid w:val="00E57F51"/>
    <w:rsid w:val="00E60BE0"/>
    <w:rsid w:val="00E60D9B"/>
    <w:rsid w:val="00E61975"/>
    <w:rsid w:val="00E61D62"/>
    <w:rsid w:val="00E61DFF"/>
    <w:rsid w:val="00E62805"/>
    <w:rsid w:val="00E62A0A"/>
    <w:rsid w:val="00E6318D"/>
    <w:rsid w:val="00E63210"/>
    <w:rsid w:val="00E6351A"/>
    <w:rsid w:val="00E6355E"/>
    <w:rsid w:val="00E63636"/>
    <w:rsid w:val="00E639A3"/>
    <w:rsid w:val="00E639E4"/>
    <w:rsid w:val="00E63AAA"/>
    <w:rsid w:val="00E64448"/>
    <w:rsid w:val="00E64AEB"/>
    <w:rsid w:val="00E64D6C"/>
    <w:rsid w:val="00E6518A"/>
    <w:rsid w:val="00E663D8"/>
    <w:rsid w:val="00E67F5A"/>
    <w:rsid w:val="00E67F87"/>
    <w:rsid w:val="00E70295"/>
    <w:rsid w:val="00E70CF8"/>
    <w:rsid w:val="00E71183"/>
    <w:rsid w:val="00E722AB"/>
    <w:rsid w:val="00E73815"/>
    <w:rsid w:val="00E74A7A"/>
    <w:rsid w:val="00E7559F"/>
    <w:rsid w:val="00E758F7"/>
    <w:rsid w:val="00E76284"/>
    <w:rsid w:val="00E7650B"/>
    <w:rsid w:val="00E76B81"/>
    <w:rsid w:val="00E80F9F"/>
    <w:rsid w:val="00E8230B"/>
    <w:rsid w:val="00E82833"/>
    <w:rsid w:val="00E82E6F"/>
    <w:rsid w:val="00E83A51"/>
    <w:rsid w:val="00E83E81"/>
    <w:rsid w:val="00E84821"/>
    <w:rsid w:val="00E84859"/>
    <w:rsid w:val="00E8488D"/>
    <w:rsid w:val="00E84D15"/>
    <w:rsid w:val="00E84E52"/>
    <w:rsid w:val="00E85E63"/>
    <w:rsid w:val="00E86235"/>
    <w:rsid w:val="00E86B97"/>
    <w:rsid w:val="00E86C0F"/>
    <w:rsid w:val="00E870C8"/>
    <w:rsid w:val="00E87587"/>
    <w:rsid w:val="00E87609"/>
    <w:rsid w:val="00E8765A"/>
    <w:rsid w:val="00E90F7B"/>
    <w:rsid w:val="00E9178A"/>
    <w:rsid w:val="00E91800"/>
    <w:rsid w:val="00E91EB3"/>
    <w:rsid w:val="00E91FF9"/>
    <w:rsid w:val="00E92285"/>
    <w:rsid w:val="00E9264C"/>
    <w:rsid w:val="00E929B7"/>
    <w:rsid w:val="00E93831"/>
    <w:rsid w:val="00E93AE5"/>
    <w:rsid w:val="00E93B35"/>
    <w:rsid w:val="00E93DDC"/>
    <w:rsid w:val="00E94890"/>
    <w:rsid w:val="00E956B7"/>
    <w:rsid w:val="00E96A61"/>
    <w:rsid w:val="00E97076"/>
    <w:rsid w:val="00EA0315"/>
    <w:rsid w:val="00EA0A88"/>
    <w:rsid w:val="00EA12A1"/>
    <w:rsid w:val="00EA196C"/>
    <w:rsid w:val="00EA1F9F"/>
    <w:rsid w:val="00EA2712"/>
    <w:rsid w:val="00EA2E4A"/>
    <w:rsid w:val="00EA33A4"/>
    <w:rsid w:val="00EA360F"/>
    <w:rsid w:val="00EA3C26"/>
    <w:rsid w:val="00EA3D5D"/>
    <w:rsid w:val="00EA4837"/>
    <w:rsid w:val="00EA49A9"/>
    <w:rsid w:val="00EA4A72"/>
    <w:rsid w:val="00EA4A79"/>
    <w:rsid w:val="00EA5519"/>
    <w:rsid w:val="00EA5BD8"/>
    <w:rsid w:val="00EA69C3"/>
    <w:rsid w:val="00EA76A6"/>
    <w:rsid w:val="00EA7A08"/>
    <w:rsid w:val="00EA7A74"/>
    <w:rsid w:val="00EB0163"/>
    <w:rsid w:val="00EB0EED"/>
    <w:rsid w:val="00EB12B9"/>
    <w:rsid w:val="00EB1F4D"/>
    <w:rsid w:val="00EB2143"/>
    <w:rsid w:val="00EB21F8"/>
    <w:rsid w:val="00EB2C21"/>
    <w:rsid w:val="00EB33D5"/>
    <w:rsid w:val="00EB35B9"/>
    <w:rsid w:val="00EB429B"/>
    <w:rsid w:val="00EB43B8"/>
    <w:rsid w:val="00EB44CB"/>
    <w:rsid w:val="00EB4B81"/>
    <w:rsid w:val="00EB4DA0"/>
    <w:rsid w:val="00EB5036"/>
    <w:rsid w:val="00EB5045"/>
    <w:rsid w:val="00EB50A7"/>
    <w:rsid w:val="00EB5B80"/>
    <w:rsid w:val="00EB6066"/>
    <w:rsid w:val="00EB66C2"/>
    <w:rsid w:val="00EB687B"/>
    <w:rsid w:val="00EB6995"/>
    <w:rsid w:val="00EB6A55"/>
    <w:rsid w:val="00EB6E79"/>
    <w:rsid w:val="00EB73C0"/>
    <w:rsid w:val="00EB7D35"/>
    <w:rsid w:val="00EB7DE5"/>
    <w:rsid w:val="00EB7F65"/>
    <w:rsid w:val="00EC020B"/>
    <w:rsid w:val="00EC0430"/>
    <w:rsid w:val="00EC0B9A"/>
    <w:rsid w:val="00EC0FA4"/>
    <w:rsid w:val="00EC15AC"/>
    <w:rsid w:val="00EC1D1F"/>
    <w:rsid w:val="00EC216A"/>
    <w:rsid w:val="00EC23E7"/>
    <w:rsid w:val="00EC46E7"/>
    <w:rsid w:val="00EC492E"/>
    <w:rsid w:val="00EC4C4D"/>
    <w:rsid w:val="00EC4F80"/>
    <w:rsid w:val="00EC4FFF"/>
    <w:rsid w:val="00EC5C45"/>
    <w:rsid w:val="00EC5D65"/>
    <w:rsid w:val="00EC5DC8"/>
    <w:rsid w:val="00EC6070"/>
    <w:rsid w:val="00EC7586"/>
    <w:rsid w:val="00EC7A39"/>
    <w:rsid w:val="00EC7C42"/>
    <w:rsid w:val="00EC7E93"/>
    <w:rsid w:val="00ED101B"/>
    <w:rsid w:val="00ED1580"/>
    <w:rsid w:val="00ED208E"/>
    <w:rsid w:val="00ED3C03"/>
    <w:rsid w:val="00ED3C80"/>
    <w:rsid w:val="00ED403D"/>
    <w:rsid w:val="00ED61F1"/>
    <w:rsid w:val="00ED63E1"/>
    <w:rsid w:val="00ED64B9"/>
    <w:rsid w:val="00ED74EF"/>
    <w:rsid w:val="00ED7CF5"/>
    <w:rsid w:val="00EE03BA"/>
    <w:rsid w:val="00EE0648"/>
    <w:rsid w:val="00EE06E2"/>
    <w:rsid w:val="00EE0B81"/>
    <w:rsid w:val="00EE0E2F"/>
    <w:rsid w:val="00EE1427"/>
    <w:rsid w:val="00EE17D4"/>
    <w:rsid w:val="00EE19BF"/>
    <w:rsid w:val="00EE3DC2"/>
    <w:rsid w:val="00EE45ED"/>
    <w:rsid w:val="00EE48F0"/>
    <w:rsid w:val="00EE4964"/>
    <w:rsid w:val="00EE49CB"/>
    <w:rsid w:val="00EE49FD"/>
    <w:rsid w:val="00EE560E"/>
    <w:rsid w:val="00EE580E"/>
    <w:rsid w:val="00EE725D"/>
    <w:rsid w:val="00EE736C"/>
    <w:rsid w:val="00EE7CC1"/>
    <w:rsid w:val="00EF04C1"/>
    <w:rsid w:val="00EF0C8E"/>
    <w:rsid w:val="00EF11F0"/>
    <w:rsid w:val="00EF1C0F"/>
    <w:rsid w:val="00EF2A87"/>
    <w:rsid w:val="00EF2EA1"/>
    <w:rsid w:val="00EF3180"/>
    <w:rsid w:val="00EF31E7"/>
    <w:rsid w:val="00EF3E62"/>
    <w:rsid w:val="00EF3FC5"/>
    <w:rsid w:val="00EF40EB"/>
    <w:rsid w:val="00EF42AF"/>
    <w:rsid w:val="00EF50F8"/>
    <w:rsid w:val="00EF545F"/>
    <w:rsid w:val="00EF5AE8"/>
    <w:rsid w:val="00EF6001"/>
    <w:rsid w:val="00EF62C1"/>
    <w:rsid w:val="00EF661B"/>
    <w:rsid w:val="00EF6A26"/>
    <w:rsid w:val="00EF7816"/>
    <w:rsid w:val="00EF7926"/>
    <w:rsid w:val="00EF7DAF"/>
    <w:rsid w:val="00F0029B"/>
    <w:rsid w:val="00F00C82"/>
    <w:rsid w:val="00F00DC0"/>
    <w:rsid w:val="00F00E13"/>
    <w:rsid w:val="00F012F7"/>
    <w:rsid w:val="00F02DF1"/>
    <w:rsid w:val="00F036B6"/>
    <w:rsid w:val="00F041E4"/>
    <w:rsid w:val="00F04BFF"/>
    <w:rsid w:val="00F04C7F"/>
    <w:rsid w:val="00F04CD2"/>
    <w:rsid w:val="00F04D6B"/>
    <w:rsid w:val="00F05176"/>
    <w:rsid w:val="00F05198"/>
    <w:rsid w:val="00F05781"/>
    <w:rsid w:val="00F05C5A"/>
    <w:rsid w:val="00F066D6"/>
    <w:rsid w:val="00F0728B"/>
    <w:rsid w:val="00F0763B"/>
    <w:rsid w:val="00F1028D"/>
    <w:rsid w:val="00F10803"/>
    <w:rsid w:val="00F108F7"/>
    <w:rsid w:val="00F10915"/>
    <w:rsid w:val="00F11332"/>
    <w:rsid w:val="00F11744"/>
    <w:rsid w:val="00F1235A"/>
    <w:rsid w:val="00F12BF1"/>
    <w:rsid w:val="00F1327F"/>
    <w:rsid w:val="00F13B11"/>
    <w:rsid w:val="00F13F73"/>
    <w:rsid w:val="00F14BA5"/>
    <w:rsid w:val="00F1609A"/>
    <w:rsid w:val="00F16399"/>
    <w:rsid w:val="00F168A2"/>
    <w:rsid w:val="00F171AC"/>
    <w:rsid w:val="00F17592"/>
    <w:rsid w:val="00F175BB"/>
    <w:rsid w:val="00F179E1"/>
    <w:rsid w:val="00F17AA5"/>
    <w:rsid w:val="00F20170"/>
    <w:rsid w:val="00F2270D"/>
    <w:rsid w:val="00F230BD"/>
    <w:rsid w:val="00F234F3"/>
    <w:rsid w:val="00F238E9"/>
    <w:rsid w:val="00F23DF4"/>
    <w:rsid w:val="00F2401F"/>
    <w:rsid w:val="00F24064"/>
    <w:rsid w:val="00F25171"/>
    <w:rsid w:val="00F25626"/>
    <w:rsid w:val="00F269A2"/>
    <w:rsid w:val="00F26AB2"/>
    <w:rsid w:val="00F27299"/>
    <w:rsid w:val="00F27C6F"/>
    <w:rsid w:val="00F27D3C"/>
    <w:rsid w:val="00F300E5"/>
    <w:rsid w:val="00F31A76"/>
    <w:rsid w:val="00F31CC4"/>
    <w:rsid w:val="00F31FDD"/>
    <w:rsid w:val="00F32303"/>
    <w:rsid w:val="00F32A9C"/>
    <w:rsid w:val="00F332FA"/>
    <w:rsid w:val="00F343A8"/>
    <w:rsid w:val="00F34980"/>
    <w:rsid w:val="00F35B1E"/>
    <w:rsid w:val="00F378F4"/>
    <w:rsid w:val="00F37A18"/>
    <w:rsid w:val="00F40148"/>
    <w:rsid w:val="00F402F6"/>
    <w:rsid w:val="00F41F97"/>
    <w:rsid w:val="00F42180"/>
    <w:rsid w:val="00F422F3"/>
    <w:rsid w:val="00F42394"/>
    <w:rsid w:val="00F423AB"/>
    <w:rsid w:val="00F42B88"/>
    <w:rsid w:val="00F4347A"/>
    <w:rsid w:val="00F44290"/>
    <w:rsid w:val="00F442A1"/>
    <w:rsid w:val="00F4435A"/>
    <w:rsid w:val="00F44CE6"/>
    <w:rsid w:val="00F44CEB"/>
    <w:rsid w:val="00F44DC7"/>
    <w:rsid w:val="00F45C38"/>
    <w:rsid w:val="00F45DF9"/>
    <w:rsid w:val="00F46AFF"/>
    <w:rsid w:val="00F46EE7"/>
    <w:rsid w:val="00F46F92"/>
    <w:rsid w:val="00F4775A"/>
    <w:rsid w:val="00F479E5"/>
    <w:rsid w:val="00F50113"/>
    <w:rsid w:val="00F5044F"/>
    <w:rsid w:val="00F5085D"/>
    <w:rsid w:val="00F508A7"/>
    <w:rsid w:val="00F50AB7"/>
    <w:rsid w:val="00F50D59"/>
    <w:rsid w:val="00F50F94"/>
    <w:rsid w:val="00F51AD3"/>
    <w:rsid w:val="00F51DA7"/>
    <w:rsid w:val="00F51FE9"/>
    <w:rsid w:val="00F5225F"/>
    <w:rsid w:val="00F532EC"/>
    <w:rsid w:val="00F5337A"/>
    <w:rsid w:val="00F5433B"/>
    <w:rsid w:val="00F5479C"/>
    <w:rsid w:val="00F547B6"/>
    <w:rsid w:val="00F5515E"/>
    <w:rsid w:val="00F553FB"/>
    <w:rsid w:val="00F55C41"/>
    <w:rsid w:val="00F56676"/>
    <w:rsid w:val="00F56D2D"/>
    <w:rsid w:val="00F60070"/>
    <w:rsid w:val="00F6023F"/>
    <w:rsid w:val="00F60CB2"/>
    <w:rsid w:val="00F613D7"/>
    <w:rsid w:val="00F6151B"/>
    <w:rsid w:val="00F61B72"/>
    <w:rsid w:val="00F6210E"/>
    <w:rsid w:val="00F62169"/>
    <w:rsid w:val="00F6311C"/>
    <w:rsid w:val="00F63213"/>
    <w:rsid w:val="00F63A55"/>
    <w:rsid w:val="00F64802"/>
    <w:rsid w:val="00F64CEC"/>
    <w:rsid w:val="00F65BB7"/>
    <w:rsid w:val="00F660D8"/>
    <w:rsid w:val="00F66734"/>
    <w:rsid w:val="00F67103"/>
    <w:rsid w:val="00F67FF8"/>
    <w:rsid w:val="00F70623"/>
    <w:rsid w:val="00F707DF"/>
    <w:rsid w:val="00F7140A"/>
    <w:rsid w:val="00F7152E"/>
    <w:rsid w:val="00F71B46"/>
    <w:rsid w:val="00F71F2E"/>
    <w:rsid w:val="00F72418"/>
    <w:rsid w:val="00F736A5"/>
    <w:rsid w:val="00F73B57"/>
    <w:rsid w:val="00F74B0B"/>
    <w:rsid w:val="00F75384"/>
    <w:rsid w:val="00F75B13"/>
    <w:rsid w:val="00F76184"/>
    <w:rsid w:val="00F76983"/>
    <w:rsid w:val="00F76C13"/>
    <w:rsid w:val="00F775BF"/>
    <w:rsid w:val="00F806B6"/>
    <w:rsid w:val="00F8071D"/>
    <w:rsid w:val="00F80B98"/>
    <w:rsid w:val="00F810A5"/>
    <w:rsid w:val="00F82354"/>
    <w:rsid w:val="00F82AEA"/>
    <w:rsid w:val="00F8381F"/>
    <w:rsid w:val="00F83926"/>
    <w:rsid w:val="00F839FF"/>
    <w:rsid w:val="00F8408F"/>
    <w:rsid w:val="00F842DA"/>
    <w:rsid w:val="00F84633"/>
    <w:rsid w:val="00F8589F"/>
    <w:rsid w:val="00F864BB"/>
    <w:rsid w:val="00F866D5"/>
    <w:rsid w:val="00F8671C"/>
    <w:rsid w:val="00F8692F"/>
    <w:rsid w:val="00F8718B"/>
    <w:rsid w:val="00F87CA6"/>
    <w:rsid w:val="00F91790"/>
    <w:rsid w:val="00F91DC0"/>
    <w:rsid w:val="00F927ED"/>
    <w:rsid w:val="00F9325D"/>
    <w:rsid w:val="00F937F1"/>
    <w:rsid w:val="00F94B14"/>
    <w:rsid w:val="00F94BD5"/>
    <w:rsid w:val="00F96280"/>
    <w:rsid w:val="00F9690D"/>
    <w:rsid w:val="00F97192"/>
    <w:rsid w:val="00F9740E"/>
    <w:rsid w:val="00F97565"/>
    <w:rsid w:val="00FA06B0"/>
    <w:rsid w:val="00FA0A54"/>
    <w:rsid w:val="00FA18FA"/>
    <w:rsid w:val="00FA1E37"/>
    <w:rsid w:val="00FA1F82"/>
    <w:rsid w:val="00FA2321"/>
    <w:rsid w:val="00FA31CE"/>
    <w:rsid w:val="00FA40D5"/>
    <w:rsid w:val="00FA410E"/>
    <w:rsid w:val="00FA45F1"/>
    <w:rsid w:val="00FA499E"/>
    <w:rsid w:val="00FA4B52"/>
    <w:rsid w:val="00FA4DF9"/>
    <w:rsid w:val="00FA516F"/>
    <w:rsid w:val="00FA52BF"/>
    <w:rsid w:val="00FA53BD"/>
    <w:rsid w:val="00FA5C66"/>
    <w:rsid w:val="00FA6266"/>
    <w:rsid w:val="00FA7A71"/>
    <w:rsid w:val="00FB11E3"/>
    <w:rsid w:val="00FB18B3"/>
    <w:rsid w:val="00FB2C33"/>
    <w:rsid w:val="00FB3B2D"/>
    <w:rsid w:val="00FB3F24"/>
    <w:rsid w:val="00FB468A"/>
    <w:rsid w:val="00FB5EEA"/>
    <w:rsid w:val="00FB6032"/>
    <w:rsid w:val="00FB65A5"/>
    <w:rsid w:val="00FB673A"/>
    <w:rsid w:val="00FC0178"/>
    <w:rsid w:val="00FC1072"/>
    <w:rsid w:val="00FC13B8"/>
    <w:rsid w:val="00FC1EEF"/>
    <w:rsid w:val="00FC2864"/>
    <w:rsid w:val="00FC41F4"/>
    <w:rsid w:val="00FC4ABA"/>
    <w:rsid w:val="00FC4D39"/>
    <w:rsid w:val="00FC50AE"/>
    <w:rsid w:val="00FC517D"/>
    <w:rsid w:val="00FC584C"/>
    <w:rsid w:val="00FC5C91"/>
    <w:rsid w:val="00FC735F"/>
    <w:rsid w:val="00FC76AC"/>
    <w:rsid w:val="00FC7CBD"/>
    <w:rsid w:val="00FC7EEF"/>
    <w:rsid w:val="00FD00C8"/>
    <w:rsid w:val="00FD1847"/>
    <w:rsid w:val="00FD1893"/>
    <w:rsid w:val="00FD20ED"/>
    <w:rsid w:val="00FD2432"/>
    <w:rsid w:val="00FD2603"/>
    <w:rsid w:val="00FD26B7"/>
    <w:rsid w:val="00FD3C4E"/>
    <w:rsid w:val="00FD3C9B"/>
    <w:rsid w:val="00FD3D95"/>
    <w:rsid w:val="00FD4721"/>
    <w:rsid w:val="00FD4A0C"/>
    <w:rsid w:val="00FD4AF0"/>
    <w:rsid w:val="00FD5364"/>
    <w:rsid w:val="00FD5C6D"/>
    <w:rsid w:val="00FD69A1"/>
    <w:rsid w:val="00FD6C3E"/>
    <w:rsid w:val="00FD6FA3"/>
    <w:rsid w:val="00FD72DB"/>
    <w:rsid w:val="00FE0384"/>
    <w:rsid w:val="00FE042B"/>
    <w:rsid w:val="00FE16CE"/>
    <w:rsid w:val="00FE1F82"/>
    <w:rsid w:val="00FE26CE"/>
    <w:rsid w:val="00FE28BF"/>
    <w:rsid w:val="00FE2D39"/>
    <w:rsid w:val="00FE37D3"/>
    <w:rsid w:val="00FE405D"/>
    <w:rsid w:val="00FE6380"/>
    <w:rsid w:val="00FE688C"/>
    <w:rsid w:val="00FE6B5D"/>
    <w:rsid w:val="00FE6D80"/>
    <w:rsid w:val="00FE78CD"/>
    <w:rsid w:val="00FF102A"/>
    <w:rsid w:val="00FF11F1"/>
    <w:rsid w:val="00FF1435"/>
    <w:rsid w:val="00FF14F0"/>
    <w:rsid w:val="00FF2000"/>
    <w:rsid w:val="00FF2956"/>
    <w:rsid w:val="00FF3326"/>
    <w:rsid w:val="00FF33DA"/>
    <w:rsid w:val="00FF4C34"/>
    <w:rsid w:val="00FF5280"/>
    <w:rsid w:val="00FF602A"/>
    <w:rsid w:val="00FF62CF"/>
    <w:rsid w:val="00FF7030"/>
    <w:rsid w:val="00FF71F2"/>
    <w:rsid w:val="00FF79C5"/>
    <w:rsid w:val="01132522"/>
    <w:rsid w:val="01150B21"/>
    <w:rsid w:val="012700B8"/>
    <w:rsid w:val="01570B16"/>
    <w:rsid w:val="01654A58"/>
    <w:rsid w:val="01A178E4"/>
    <w:rsid w:val="01E4674A"/>
    <w:rsid w:val="021C1D55"/>
    <w:rsid w:val="02392302"/>
    <w:rsid w:val="023E60E0"/>
    <w:rsid w:val="02634D34"/>
    <w:rsid w:val="02652520"/>
    <w:rsid w:val="027C65FF"/>
    <w:rsid w:val="028875D2"/>
    <w:rsid w:val="02D36DFE"/>
    <w:rsid w:val="02E83FAA"/>
    <w:rsid w:val="02F11A1B"/>
    <w:rsid w:val="031236B0"/>
    <w:rsid w:val="031762EC"/>
    <w:rsid w:val="031F2043"/>
    <w:rsid w:val="032F07A2"/>
    <w:rsid w:val="03580852"/>
    <w:rsid w:val="035E0FE2"/>
    <w:rsid w:val="038334D8"/>
    <w:rsid w:val="03913D4D"/>
    <w:rsid w:val="03AA1EB0"/>
    <w:rsid w:val="03D33559"/>
    <w:rsid w:val="03F4348B"/>
    <w:rsid w:val="040F3690"/>
    <w:rsid w:val="0432230B"/>
    <w:rsid w:val="045407F7"/>
    <w:rsid w:val="045B6D10"/>
    <w:rsid w:val="049C229F"/>
    <w:rsid w:val="049D6FEC"/>
    <w:rsid w:val="04E77841"/>
    <w:rsid w:val="04E8167F"/>
    <w:rsid w:val="04EE7F1F"/>
    <w:rsid w:val="04F171B0"/>
    <w:rsid w:val="04FD75A1"/>
    <w:rsid w:val="0503750F"/>
    <w:rsid w:val="051931EE"/>
    <w:rsid w:val="05232877"/>
    <w:rsid w:val="05547D1F"/>
    <w:rsid w:val="05566164"/>
    <w:rsid w:val="055E26C7"/>
    <w:rsid w:val="056B7929"/>
    <w:rsid w:val="05AF3B52"/>
    <w:rsid w:val="065512FD"/>
    <w:rsid w:val="065701C8"/>
    <w:rsid w:val="06C01A45"/>
    <w:rsid w:val="06E337F1"/>
    <w:rsid w:val="06F21F49"/>
    <w:rsid w:val="06F814E9"/>
    <w:rsid w:val="06FA0DFD"/>
    <w:rsid w:val="073C7668"/>
    <w:rsid w:val="076C3260"/>
    <w:rsid w:val="077F4687"/>
    <w:rsid w:val="078057A6"/>
    <w:rsid w:val="07861A3F"/>
    <w:rsid w:val="07CA0317"/>
    <w:rsid w:val="07D03DA8"/>
    <w:rsid w:val="08501961"/>
    <w:rsid w:val="087B5C8E"/>
    <w:rsid w:val="089C7C33"/>
    <w:rsid w:val="08D62E19"/>
    <w:rsid w:val="08DD4532"/>
    <w:rsid w:val="08E1634A"/>
    <w:rsid w:val="08F5297D"/>
    <w:rsid w:val="08FE5200"/>
    <w:rsid w:val="09073595"/>
    <w:rsid w:val="090F4EF7"/>
    <w:rsid w:val="09304FAA"/>
    <w:rsid w:val="095101D5"/>
    <w:rsid w:val="09537376"/>
    <w:rsid w:val="09744E36"/>
    <w:rsid w:val="09970005"/>
    <w:rsid w:val="09A41768"/>
    <w:rsid w:val="09A91070"/>
    <w:rsid w:val="09CD5AB8"/>
    <w:rsid w:val="09DA4DB6"/>
    <w:rsid w:val="09E67F1F"/>
    <w:rsid w:val="0A021221"/>
    <w:rsid w:val="0A067AB9"/>
    <w:rsid w:val="0A484DC9"/>
    <w:rsid w:val="0A522CFE"/>
    <w:rsid w:val="0A570314"/>
    <w:rsid w:val="0A9C0499"/>
    <w:rsid w:val="0AEB4D2E"/>
    <w:rsid w:val="0AEC0813"/>
    <w:rsid w:val="0B247F12"/>
    <w:rsid w:val="0B270E55"/>
    <w:rsid w:val="0B286091"/>
    <w:rsid w:val="0B304DED"/>
    <w:rsid w:val="0B346DC9"/>
    <w:rsid w:val="0B470389"/>
    <w:rsid w:val="0B6609CE"/>
    <w:rsid w:val="0B786794"/>
    <w:rsid w:val="0B894205"/>
    <w:rsid w:val="0B971310"/>
    <w:rsid w:val="0B9F01C5"/>
    <w:rsid w:val="0BC64AFA"/>
    <w:rsid w:val="0BD53BE7"/>
    <w:rsid w:val="0BDB09AA"/>
    <w:rsid w:val="0BF919B8"/>
    <w:rsid w:val="0C126BE9"/>
    <w:rsid w:val="0C1571F9"/>
    <w:rsid w:val="0C381612"/>
    <w:rsid w:val="0C525237"/>
    <w:rsid w:val="0C5D161C"/>
    <w:rsid w:val="0C5F0ACF"/>
    <w:rsid w:val="0C75118B"/>
    <w:rsid w:val="0C9909AF"/>
    <w:rsid w:val="0CAC7ACB"/>
    <w:rsid w:val="0CB161A2"/>
    <w:rsid w:val="0CCB5763"/>
    <w:rsid w:val="0CCC4FB6"/>
    <w:rsid w:val="0CEB6B29"/>
    <w:rsid w:val="0D3F2AEC"/>
    <w:rsid w:val="0D7414A9"/>
    <w:rsid w:val="0D984710"/>
    <w:rsid w:val="0DA106B2"/>
    <w:rsid w:val="0DB2499D"/>
    <w:rsid w:val="0DB77A48"/>
    <w:rsid w:val="0DBF27B3"/>
    <w:rsid w:val="0DD307E7"/>
    <w:rsid w:val="0DDE1C77"/>
    <w:rsid w:val="0DDE67FE"/>
    <w:rsid w:val="0DF24DAF"/>
    <w:rsid w:val="0DFE2FB8"/>
    <w:rsid w:val="0E022299"/>
    <w:rsid w:val="0E172A41"/>
    <w:rsid w:val="0E6513A2"/>
    <w:rsid w:val="0E6F5CB2"/>
    <w:rsid w:val="0E940564"/>
    <w:rsid w:val="0E9960AA"/>
    <w:rsid w:val="0E9E04C2"/>
    <w:rsid w:val="0EA518FD"/>
    <w:rsid w:val="0EEF1259"/>
    <w:rsid w:val="0EF1398E"/>
    <w:rsid w:val="0EFA40A2"/>
    <w:rsid w:val="0F0F62AD"/>
    <w:rsid w:val="0F2073F4"/>
    <w:rsid w:val="0F2F79E5"/>
    <w:rsid w:val="0F64306D"/>
    <w:rsid w:val="0F701FEF"/>
    <w:rsid w:val="0F817B12"/>
    <w:rsid w:val="0F84395A"/>
    <w:rsid w:val="0F89675E"/>
    <w:rsid w:val="0F896A31"/>
    <w:rsid w:val="0F955289"/>
    <w:rsid w:val="0FAE3544"/>
    <w:rsid w:val="0FB51FEE"/>
    <w:rsid w:val="10274C2E"/>
    <w:rsid w:val="103C5EB5"/>
    <w:rsid w:val="108F4B64"/>
    <w:rsid w:val="10BD6D9F"/>
    <w:rsid w:val="10C44387"/>
    <w:rsid w:val="11225C02"/>
    <w:rsid w:val="112D6D98"/>
    <w:rsid w:val="11306208"/>
    <w:rsid w:val="116E2B13"/>
    <w:rsid w:val="11BB46CD"/>
    <w:rsid w:val="11DE6FD7"/>
    <w:rsid w:val="11E617B3"/>
    <w:rsid w:val="11E74E06"/>
    <w:rsid w:val="11F12D49"/>
    <w:rsid w:val="12040D82"/>
    <w:rsid w:val="122A1592"/>
    <w:rsid w:val="122F062D"/>
    <w:rsid w:val="127001C5"/>
    <w:rsid w:val="1270572B"/>
    <w:rsid w:val="127E53C9"/>
    <w:rsid w:val="128B5012"/>
    <w:rsid w:val="12AA0E98"/>
    <w:rsid w:val="12AA1929"/>
    <w:rsid w:val="12E51F30"/>
    <w:rsid w:val="130823E0"/>
    <w:rsid w:val="130A23C8"/>
    <w:rsid w:val="131274CE"/>
    <w:rsid w:val="131D0969"/>
    <w:rsid w:val="13294F44"/>
    <w:rsid w:val="133B4C77"/>
    <w:rsid w:val="133E2B38"/>
    <w:rsid w:val="1356795C"/>
    <w:rsid w:val="13680192"/>
    <w:rsid w:val="13686E28"/>
    <w:rsid w:val="13696BEE"/>
    <w:rsid w:val="137961EC"/>
    <w:rsid w:val="1383263B"/>
    <w:rsid w:val="138C3C92"/>
    <w:rsid w:val="13B12433"/>
    <w:rsid w:val="13E73870"/>
    <w:rsid w:val="13EF4027"/>
    <w:rsid w:val="13F34B94"/>
    <w:rsid w:val="14232D10"/>
    <w:rsid w:val="14253D51"/>
    <w:rsid w:val="1433594E"/>
    <w:rsid w:val="1434356E"/>
    <w:rsid w:val="144A7F37"/>
    <w:rsid w:val="144B713C"/>
    <w:rsid w:val="147815B3"/>
    <w:rsid w:val="14843FE5"/>
    <w:rsid w:val="14916F6E"/>
    <w:rsid w:val="14C5394E"/>
    <w:rsid w:val="14F72E20"/>
    <w:rsid w:val="15083F92"/>
    <w:rsid w:val="150A39A3"/>
    <w:rsid w:val="150F3F29"/>
    <w:rsid w:val="15317875"/>
    <w:rsid w:val="15552323"/>
    <w:rsid w:val="15671D13"/>
    <w:rsid w:val="156C736A"/>
    <w:rsid w:val="156E56C3"/>
    <w:rsid w:val="159C153E"/>
    <w:rsid w:val="15A52525"/>
    <w:rsid w:val="15B63178"/>
    <w:rsid w:val="15C727F2"/>
    <w:rsid w:val="15F24C96"/>
    <w:rsid w:val="15F80BFE"/>
    <w:rsid w:val="161A7CC6"/>
    <w:rsid w:val="1628375A"/>
    <w:rsid w:val="164976AB"/>
    <w:rsid w:val="165048EB"/>
    <w:rsid w:val="16593BE7"/>
    <w:rsid w:val="16770D10"/>
    <w:rsid w:val="16907088"/>
    <w:rsid w:val="16E66CA8"/>
    <w:rsid w:val="16FB20E8"/>
    <w:rsid w:val="16FE2244"/>
    <w:rsid w:val="1710484C"/>
    <w:rsid w:val="1749179B"/>
    <w:rsid w:val="17AD7DC6"/>
    <w:rsid w:val="17DE16D2"/>
    <w:rsid w:val="17EC29B5"/>
    <w:rsid w:val="17F35B20"/>
    <w:rsid w:val="17FA291E"/>
    <w:rsid w:val="17FD6053"/>
    <w:rsid w:val="18253800"/>
    <w:rsid w:val="18506ACF"/>
    <w:rsid w:val="188F7A9E"/>
    <w:rsid w:val="189603A2"/>
    <w:rsid w:val="18B903E0"/>
    <w:rsid w:val="18DA45EA"/>
    <w:rsid w:val="18E02B21"/>
    <w:rsid w:val="18F00C91"/>
    <w:rsid w:val="190F2B7A"/>
    <w:rsid w:val="19410EA4"/>
    <w:rsid w:val="194727AC"/>
    <w:rsid w:val="194B4C86"/>
    <w:rsid w:val="197E766C"/>
    <w:rsid w:val="1987237F"/>
    <w:rsid w:val="19F2764B"/>
    <w:rsid w:val="1A2E3815"/>
    <w:rsid w:val="1A58610F"/>
    <w:rsid w:val="1A952EBF"/>
    <w:rsid w:val="1A9B5F15"/>
    <w:rsid w:val="1AA26CD6"/>
    <w:rsid w:val="1ABA4482"/>
    <w:rsid w:val="1AC36A41"/>
    <w:rsid w:val="1AC67F13"/>
    <w:rsid w:val="1AF82D13"/>
    <w:rsid w:val="1AFF01AB"/>
    <w:rsid w:val="1B193AF0"/>
    <w:rsid w:val="1B4B57C2"/>
    <w:rsid w:val="1B5763C6"/>
    <w:rsid w:val="1B882E6B"/>
    <w:rsid w:val="1B9A6B49"/>
    <w:rsid w:val="1BA15DD1"/>
    <w:rsid w:val="1BA16CD8"/>
    <w:rsid w:val="1BEA657B"/>
    <w:rsid w:val="1BEF1D69"/>
    <w:rsid w:val="1BF96FCC"/>
    <w:rsid w:val="1C396853"/>
    <w:rsid w:val="1C704AA7"/>
    <w:rsid w:val="1C84304F"/>
    <w:rsid w:val="1CE71497"/>
    <w:rsid w:val="1CF0009B"/>
    <w:rsid w:val="1D0E5A4C"/>
    <w:rsid w:val="1D13456F"/>
    <w:rsid w:val="1D405B7B"/>
    <w:rsid w:val="1D47495A"/>
    <w:rsid w:val="1D5523BA"/>
    <w:rsid w:val="1D552DD9"/>
    <w:rsid w:val="1D730540"/>
    <w:rsid w:val="1D8443E2"/>
    <w:rsid w:val="1D9C4E73"/>
    <w:rsid w:val="1DD12B31"/>
    <w:rsid w:val="1E041209"/>
    <w:rsid w:val="1E194F0C"/>
    <w:rsid w:val="1E2700B6"/>
    <w:rsid w:val="1E4D585F"/>
    <w:rsid w:val="1E534E56"/>
    <w:rsid w:val="1E604B7E"/>
    <w:rsid w:val="1E7A7F1C"/>
    <w:rsid w:val="1E893A45"/>
    <w:rsid w:val="1E9C40CB"/>
    <w:rsid w:val="1EEF687A"/>
    <w:rsid w:val="1EF405FC"/>
    <w:rsid w:val="1F212F73"/>
    <w:rsid w:val="1F254F57"/>
    <w:rsid w:val="1F8D49AB"/>
    <w:rsid w:val="1FF3285D"/>
    <w:rsid w:val="20054643"/>
    <w:rsid w:val="20092631"/>
    <w:rsid w:val="201605FE"/>
    <w:rsid w:val="202A22FB"/>
    <w:rsid w:val="205E6558"/>
    <w:rsid w:val="206016CD"/>
    <w:rsid w:val="206B0FC3"/>
    <w:rsid w:val="206C039B"/>
    <w:rsid w:val="207D1257"/>
    <w:rsid w:val="208B442A"/>
    <w:rsid w:val="209827B1"/>
    <w:rsid w:val="209E2A1A"/>
    <w:rsid w:val="20C95363"/>
    <w:rsid w:val="20EE5027"/>
    <w:rsid w:val="20F9358F"/>
    <w:rsid w:val="211E1155"/>
    <w:rsid w:val="2125254D"/>
    <w:rsid w:val="214065A8"/>
    <w:rsid w:val="214967B1"/>
    <w:rsid w:val="216B27FE"/>
    <w:rsid w:val="21E25435"/>
    <w:rsid w:val="22136D3D"/>
    <w:rsid w:val="221A7B60"/>
    <w:rsid w:val="222D2AAA"/>
    <w:rsid w:val="223206A2"/>
    <w:rsid w:val="22341973"/>
    <w:rsid w:val="22490AD5"/>
    <w:rsid w:val="225357C0"/>
    <w:rsid w:val="22755811"/>
    <w:rsid w:val="22D62D35"/>
    <w:rsid w:val="231F3E73"/>
    <w:rsid w:val="233227C1"/>
    <w:rsid w:val="234C07DB"/>
    <w:rsid w:val="23944E76"/>
    <w:rsid w:val="23A70F27"/>
    <w:rsid w:val="23BF6C61"/>
    <w:rsid w:val="23C93BD9"/>
    <w:rsid w:val="241A4132"/>
    <w:rsid w:val="246851A0"/>
    <w:rsid w:val="249647E8"/>
    <w:rsid w:val="24997A50"/>
    <w:rsid w:val="24A02E7F"/>
    <w:rsid w:val="24A25493"/>
    <w:rsid w:val="24B6779F"/>
    <w:rsid w:val="24DF4E51"/>
    <w:rsid w:val="25060276"/>
    <w:rsid w:val="25162969"/>
    <w:rsid w:val="252E63EA"/>
    <w:rsid w:val="254554E2"/>
    <w:rsid w:val="256A32AE"/>
    <w:rsid w:val="258129A3"/>
    <w:rsid w:val="25D04CAC"/>
    <w:rsid w:val="25EA3082"/>
    <w:rsid w:val="26551BE3"/>
    <w:rsid w:val="265E5821"/>
    <w:rsid w:val="26606BF3"/>
    <w:rsid w:val="26672398"/>
    <w:rsid w:val="267D1067"/>
    <w:rsid w:val="26D76375"/>
    <w:rsid w:val="26F40F6D"/>
    <w:rsid w:val="27010CE7"/>
    <w:rsid w:val="27127C7A"/>
    <w:rsid w:val="275E7A6B"/>
    <w:rsid w:val="275F6D2E"/>
    <w:rsid w:val="27B16FB8"/>
    <w:rsid w:val="27C22149"/>
    <w:rsid w:val="27E34A49"/>
    <w:rsid w:val="280E42B1"/>
    <w:rsid w:val="28871E90"/>
    <w:rsid w:val="288C5D8F"/>
    <w:rsid w:val="28987C99"/>
    <w:rsid w:val="28EA687F"/>
    <w:rsid w:val="28EB63A0"/>
    <w:rsid w:val="28F32B26"/>
    <w:rsid w:val="29216C07"/>
    <w:rsid w:val="29394D82"/>
    <w:rsid w:val="29400E7C"/>
    <w:rsid w:val="29567CBD"/>
    <w:rsid w:val="29632B06"/>
    <w:rsid w:val="29944EB8"/>
    <w:rsid w:val="299A08A5"/>
    <w:rsid w:val="299C31FE"/>
    <w:rsid w:val="29AC6102"/>
    <w:rsid w:val="29B9192C"/>
    <w:rsid w:val="29C94933"/>
    <w:rsid w:val="29CB4755"/>
    <w:rsid w:val="29FA78EA"/>
    <w:rsid w:val="2A101E6F"/>
    <w:rsid w:val="2A3C3357"/>
    <w:rsid w:val="2A47706D"/>
    <w:rsid w:val="2A524929"/>
    <w:rsid w:val="2A5C02FE"/>
    <w:rsid w:val="2A9E13F0"/>
    <w:rsid w:val="2AA037E5"/>
    <w:rsid w:val="2ACA31E0"/>
    <w:rsid w:val="2AE7761F"/>
    <w:rsid w:val="2B147E30"/>
    <w:rsid w:val="2B2C33CC"/>
    <w:rsid w:val="2B37696A"/>
    <w:rsid w:val="2B444360"/>
    <w:rsid w:val="2B4622DB"/>
    <w:rsid w:val="2B885195"/>
    <w:rsid w:val="2B8E079E"/>
    <w:rsid w:val="2BA54CFC"/>
    <w:rsid w:val="2BB63667"/>
    <w:rsid w:val="2BBD4894"/>
    <w:rsid w:val="2BC65BAF"/>
    <w:rsid w:val="2BEB72AF"/>
    <w:rsid w:val="2BFA1CA3"/>
    <w:rsid w:val="2BFA299F"/>
    <w:rsid w:val="2C033113"/>
    <w:rsid w:val="2C0B1EE0"/>
    <w:rsid w:val="2C132A27"/>
    <w:rsid w:val="2C353B93"/>
    <w:rsid w:val="2C420A8F"/>
    <w:rsid w:val="2C5146CE"/>
    <w:rsid w:val="2CAD717E"/>
    <w:rsid w:val="2CB5669D"/>
    <w:rsid w:val="2CDD401E"/>
    <w:rsid w:val="2CE7356C"/>
    <w:rsid w:val="2D482013"/>
    <w:rsid w:val="2D4F7DD4"/>
    <w:rsid w:val="2D550424"/>
    <w:rsid w:val="2D5E506C"/>
    <w:rsid w:val="2D832920"/>
    <w:rsid w:val="2D86600E"/>
    <w:rsid w:val="2D997D85"/>
    <w:rsid w:val="2DE47F8D"/>
    <w:rsid w:val="2DEC2011"/>
    <w:rsid w:val="2E064898"/>
    <w:rsid w:val="2E267D5F"/>
    <w:rsid w:val="2E271861"/>
    <w:rsid w:val="2E436882"/>
    <w:rsid w:val="2E530AF8"/>
    <w:rsid w:val="2E671D49"/>
    <w:rsid w:val="2E6A153F"/>
    <w:rsid w:val="2EC261B1"/>
    <w:rsid w:val="2ECD27D0"/>
    <w:rsid w:val="2EDD31BD"/>
    <w:rsid w:val="2F05047C"/>
    <w:rsid w:val="2F0812A4"/>
    <w:rsid w:val="2F124686"/>
    <w:rsid w:val="2F180FDC"/>
    <w:rsid w:val="2F277139"/>
    <w:rsid w:val="2F414F6C"/>
    <w:rsid w:val="2F534F90"/>
    <w:rsid w:val="2F7D70BA"/>
    <w:rsid w:val="2F994BB5"/>
    <w:rsid w:val="2F9C415A"/>
    <w:rsid w:val="2FA04BBD"/>
    <w:rsid w:val="2FBA6FD8"/>
    <w:rsid w:val="2FDE58A3"/>
    <w:rsid w:val="300541EB"/>
    <w:rsid w:val="30153549"/>
    <w:rsid w:val="3030449F"/>
    <w:rsid w:val="307E769C"/>
    <w:rsid w:val="308C4787"/>
    <w:rsid w:val="30A25EDE"/>
    <w:rsid w:val="30B479F3"/>
    <w:rsid w:val="30D1552C"/>
    <w:rsid w:val="30E54550"/>
    <w:rsid w:val="30F30DDF"/>
    <w:rsid w:val="30F74B66"/>
    <w:rsid w:val="31431501"/>
    <w:rsid w:val="314B30D3"/>
    <w:rsid w:val="314E2362"/>
    <w:rsid w:val="31524BBC"/>
    <w:rsid w:val="31717D8A"/>
    <w:rsid w:val="317D0DF1"/>
    <w:rsid w:val="31830494"/>
    <w:rsid w:val="318412AD"/>
    <w:rsid w:val="31951EAC"/>
    <w:rsid w:val="31A01929"/>
    <w:rsid w:val="31AB428D"/>
    <w:rsid w:val="31DA36CF"/>
    <w:rsid w:val="31E56082"/>
    <w:rsid w:val="31FA06FB"/>
    <w:rsid w:val="32092F15"/>
    <w:rsid w:val="320F4917"/>
    <w:rsid w:val="3211094A"/>
    <w:rsid w:val="323474E9"/>
    <w:rsid w:val="325F6C5A"/>
    <w:rsid w:val="327E0370"/>
    <w:rsid w:val="32A27CEB"/>
    <w:rsid w:val="32AE02A0"/>
    <w:rsid w:val="32C62DF5"/>
    <w:rsid w:val="32D00599"/>
    <w:rsid w:val="32F32AC3"/>
    <w:rsid w:val="33094826"/>
    <w:rsid w:val="33331843"/>
    <w:rsid w:val="33450194"/>
    <w:rsid w:val="33496C88"/>
    <w:rsid w:val="334F3A2D"/>
    <w:rsid w:val="338320A7"/>
    <w:rsid w:val="33AC5B48"/>
    <w:rsid w:val="33AF616C"/>
    <w:rsid w:val="33D40119"/>
    <w:rsid w:val="33E02639"/>
    <w:rsid w:val="33F20946"/>
    <w:rsid w:val="343432F1"/>
    <w:rsid w:val="3468176E"/>
    <w:rsid w:val="346C4839"/>
    <w:rsid w:val="34750972"/>
    <w:rsid w:val="34850BF6"/>
    <w:rsid w:val="348E47AF"/>
    <w:rsid w:val="34A9783B"/>
    <w:rsid w:val="34F32324"/>
    <w:rsid w:val="3543612F"/>
    <w:rsid w:val="3546012B"/>
    <w:rsid w:val="354A64B6"/>
    <w:rsid w:val="3583177B"/>
    <w:rsid w:val="358838F4"/>
    <w:rsid w:val="35A8030B"/>
    <w:rsid w:val="35C256C9"/>
    <w:rsid w:val="35EF76A6"/>
    <w:rsid w:val="35F66406"/>
    <w:rsid w:val="35F9034E"/>
    <w:rsid w:val="3601384C"/>
    <w:rsid w:val="36195514"/>
    <w:rsid w:val="36286909"/>
    <w:rsid w:val="367D2122"/>
    <w:rsid w:val="36B55F0A"/>
    <w:rsid w:val="36B90D4D"/>
    <w:rsid w:val="36CD49CA"/>
    <w:rsid w:val="36DC77FF"/>
    <w:rsid w:val="372778DF"/>
    <w:rsid w:val="376F6772"/>
    <w:rsid w:val="377A2E35"/>
    <w:rsid w:val="37C3369F"/>
    <w:rsid w:val="37F0691F"/>
    <w:rsid w:val="380D779F"/>
    <w:rsid w:val="3834566E"/>
    <w:rsid w:val="38433B03"/>
    <w:rsid w:val="384F06F9"/>
    <w:rsid w:val="38737FA4"/>
    <w:rsid w:val="38803B90"/>
    <w:rsid w:val="388A668A"/>
    <w:rsid w:val="38A00F55"/>
    <w:rsid w:val="38AA56E0"/>
    <w:rsid w:val="38AE308F"/>
    <w:rsid w:val="38B35BDE"/>
    <w:rsid w:val="38C2711D"/>
    <w:rsid w:val="38C6103F"/>
    <w:rsid w:val="38E52E0C"/>
    <w:rsid w:val="39030CF9"/>
    <w:rsid w:val="391C0644"/>
    <w:rsid w:val="39221D8C"/>
    <w:rsid w:val="39450ECB"/>
    <w:rsid w:val="395806F3"/>
    <w:rsid w:val="39646357"/>
    <w:rsid w:val="396E45E8"/>
    <w:rsid w:val="397A13FE"/>
    <w:rsid w:val="397B6CCC"/>
    <w:rsid w:val="39A87C56"/>
    <w:rsid w:val="39D20DB4"/>
    <w:rsid w:val="3A0F2745"/>
    <w:rsid w:val="3A2F07E2"/>
    <w:rsid w:val="3A7206CF"/>
    <w:rsid w:val="3AB331C1"/>
    <w:rsid w:val="3B20692C"/>
    <w:rsid w:val="3B214E93"/>
    <w:rsid w:val="3B5A188F"/>
    <w:rsid w:val="3B6039CF"/>
    <w:rsid w:val="3B65795B"/>
    <w:rsid w:val="3B7423A4"/>
    <w:rsid w:val="3B7859E8"/>
    <w:rsid w:val="3BB43D99"/>
    <w:rsid w:val="3BBF6B5A"/>
    <w:rsid w:val="3BBF7944"/>
    <w:rsid w:val="3BF50BF3"/>
    <w:rsid w:val="3C110A75"/>
    <w:rsid w:val="3C35724F"/>
    <w:rsid w:val="3C38782B"/>
    <w:rsid w:val="3C6754B8"/>
    <w:rsid w:val="3C6A47D3"/>
    <w:rsid w:val="3C892A28"/>
    <w:rsid w:val="3CEA211F"/>
    <w:rsid w:val="3D217B17"/>
    <w:rsid w:val="3D232759"/>
    <w:rsid w:val="3D3E0ADD"/>
    <w:rsid w:val="3D694F8A"/>
    <w:rsid w:val="3D874AE7"/>
    <w:rsid w:val="3D9679B9"/>
    <w:rsid w:val="3D9A5117"/>
    <w:rsid w:val="3DA75009"/>
    <w:rsid w:val="3DA77592"/>
    <w:rsid w:val="3DB6583F"/>
    <w:rsid w:val="3DDF7CDB"/>
    <w:rsid w:val="3DE60338"/>
    <w:rsid w:val="3DF519EE"/>
    <w:rsid w:val="3DFF0BBF"/>
    <w:rsid w:val="3E1959BF"/>
    <w:rsid w:val="3E1C6CCE"/>
    <w:rsid w:val="3E2D0960"/>
    <w:rsid w:val="3E301CDF"/>
    <w:rsid w:val="3E3A1504"/>
    <w:rsid w:val="3E3D1231"/>
    <w:rsid w:val="3E57691B"/>
    <w:rsid w:val="3E6A15D2"/>
    <w:rsid w:val="3EC15781"/>
    <w:rsid w:val="3ECB6F08"/>
    <w:rsid w:val="3ED42508"/>
    <w:rsid w:val="3ED71449"/>
    <w:rsid w:val="3EE644CE"/>
    <w:rsid w:val="3EED71DD"/>
    <w:rsid w:val="3F0518E8"/>
    <w:rsid w:val="3F290A23"/>
    <w:rsid w:val="3F456FEF"/>
    <w:rsid w:val="3F587BF7"/>
    <w:rsid w:val="3F773D69"/>
    <w:rsid w:val="3F7A4198"/>
    <w:rsid w:val="3FA550A3"/>
    <w:rsid w:val="3FA66329"/>
    <w:rsid w:val="3FDC2527"/>
    <w:rsid w:val="3FF51B41"/>
    <w:rsid w:val="40341263"/>
    <w:rsid w:val="40636C5D"/>
    <w:rsid w:val="407A208B"/>
    <w:rsid w:val="40AA0BC3"/>
    <w:rsid w:val="40C6671E"/>
    <w:rsid w:val="40D10BFA"/>
    <w:rsid w:val="40DF21A0"/>
    <w:rsid w:val="40E45EC4"/>
    <w:rsid w:val="40F03963"/>
    <w:rsid w:val="416924B0"/>
    <w:rsid w:val="417376A1"/>
    <w:rsid w:val="41815E93"/>
    <w:rsid w:val="41841C43"/>
    <w:rsid w:val="41966C29"/>
    <w:rsid w:val="41B415CD"/>
    <w:rsid w:val="41BB2BB0"/>
    <w:rsid w:val="41C71300"/>
    <w:rsid w:val="41C86529"/>
    <w:rsid w:val="41CB1153"/>
    <w:rsid w:val="421A1D78"/>
    <w:rsid w:val="421E7CE0"/>
    <w:rsid w:val="422F3D3C"/>
    <w:rsid w:val="423D576A"/>
    <w:rsid w:val="423E1578"/>
    <w:rsid w:val="424471EC"/>
    <w:rsid w:val="426640E3"/>
    <w:rsid w:val="426F64C9"/>
    <w:rsid w:val="42732813"/>
    <w:rsid w:val="428C1635"/>
    <w:rsid w:val="42DC32FF"/>
    <w:rsid w:val="42E33EEB"/>
    <w:rsid w:val="42EB68A5"/>
    <w:rsid w:val="42F52DD1"/>
    <w:rsid w:val="4333685F"/>
    <w:rsid w:val="43456981"/>
    <w:rsid w:val="43572B58"/>
    <w:rsid w:val="4376670D"/>
    <w:rsid w:val="437A3377"/>
    <w:rsid w:val="437D208E"/>
    <w:rsid w:val="438003D7"/>
    <w:rsid w:val="439A528D"/>
    <w:rsid w:val="43A45D84"/>
    <w:rsid w:val="43AF4742"/>
    <w:rsid w:val="43B43356"/>
    <w:rsid w:val="43D9531B"/>
    <w:rsid w:val="43DB347D"/>
    <w:rsid w:val="43EE5FF7"/>
    <w:rsid w:val="43F825F9"/>
    <w:rsid w:val="441572A8"/>
    <w:rsid w:val="441D3201"/>
    <w:rsid w:val="44304C25"/>
    <w:rsid w:val="44337CBA"/>
    <w:rsid w:val="44635D62"/>
    <w:rsid w:val="44854B1A"/>
    <w:rsid w:val="44890FC3"/>
    <w:rsid w:val="449E314B"/>
    <w:rsid w:val="44E623E5"/>
    <w:rsid w:val="44FA4F83"/>
    <w:rsid w:val="451C5E07"/>
    <w:rsid w:val="453F3773"/>
    <w:rsid w:val="454722BC"/>
    <w:rsid w:val="45490E29"/>
    <w:rsid w:val="45561319"/>
    <w:rsid w:val="45703A5D"/>
    <w:rsid w:val="458019B5"/>
    <w:rsid w:val="45953746"/>
    <w:rsid w:val="45DC506D"/>
    <w:rsid w:val="46081EE8"/>
    <w:rsid w:val="461412D6"/>
    <w:rsid w:val="463113A2"/>
    <w:rsid w:val="46326F64"/>
    <w:rsid w:val="4698623F"/>
    <w:rsid w:val="46A53CA1"/>
    <w:rsid w:val="46C71DA3"/>
    <w:rsid w:val="46CA5237"/>
    <w:rsid w:val="47247678"/>
    <w:rsid w:val="47872C73"/>
    <w:rsid w:val="478A52AA"/>
    <w:rsid w:val="47B05A06"/>
    <w:rsid w:val="47BC67EE"/>
    <w:rsid w:val="47C443E5"/>
    <w:rsid w:val="47D4552D"/>
    <w:rsid w:val="47DD0483"/>
    <w:rsid w:val="47E84FCD"/>
    <w:rsid w:val="47EB146A"/>
    <w:rsid w:val="48103A09"/>
    <w:rsid w:val="48282F4E"/>
    <w:rsid w:val="482A3593"/>
    <w:rsid w:val="483D056E"/>
    <w:rsid w:val="48466B27"/>
    <w:rsid w:val="48561630"/>
    <w:rsid w:val="487C3F7D"/>
    <w:rsid w:val="48826CFF"/>
    <w:rsid w:val="48871771"/>
    <w:rsid w:val="489862CB"/>
    <w:rsid w:val="48BE10AA"/>
    <w:rsid w:val="48F27355"/>
    <w:rsid w:val="490170B1"/>
    <w:rsid w:val="49025CA6"/>
    <w:rsid w:val="490A06B4"/>
    <w:rsid w:val="490C6DB0"/>
    <w:rsid w:val="49260426"/>
    <w:rsid w:val="493113AC"/>
    <w:rsid w:val="493F4F1F"/>
    <w:rsid w:val="498541E7"/>
    <w:rsid w:val="49923B77"/>
    <w:rsid w:val="499D34CD"/>
    <w:rsid w:val="49A86F75"/>
    <w:rsid w:val="49AB6D45"/>
    <w:rsid w:val="49C4320F"/>
    <w:rsid w:val="4A0917A7"/>
    <w:rsid w:val="4A0F38F0"/>
    <w:rsid w:val="4A1A1C79"/>
    <w:rsid w:val="4A313BB2"/>
    <w:rsid w:val="4A55096F"/>
    <w:rsid w:val="4A707A1C"/>
    <w:rsid w:val="4A922C18"/>
    <w:rsid w:val="4AA23FC0"/>
    <w:rsid w:val="4AB20E6C"/>
    <w:rsid w:val="4AB330C0"/>
    <w:rsid w:val="4ADD1B95"/>
    <w:rsid w:val="4AE9490A"/>
    <w:rsid w:val="4AEA43A8"/>
    <w:rsid w:val="4AEC1DD8"/>
    <w:rsid w:val="4B091CC1"/>
    <w:rsid w:val="4B0A4FD7"/>
    <w:rsid w:val="4B0B57E5"/>
    <w:rsid w:val="4B276CD8"/>
    <w:rsid w:val="4B33752B"/>
    <w:rsid w:val="4B370496"/>
    <w:rsid w:val="4B412124"/>
    <w:rsid w:val="4B8D4233"/>
    <w:rsid w:val="4B961AB0"/>
    <w:rsid w:val="4BB26B7D"/>
    <w:rsid w:val="4BBD16EB"/>
    <w:rsid w:val="4BCE772F"/>
    <w:rsid w:val="4BFE6267"/>
    <w:rsid w:val="4C297AE0"/>
    <w:rsid w:val="4C327CBE"/>
    <w:rsid w:val="4C3E2761"/>
    <w:rsid w:val="4C5315E3"/>
    <w:rsid w:val="4C7013DF"/>
    <w:rsid w:val="4C8C3C16"/>
    <w:rsid w:val="4CC47D39"/>
    <w:rsid w:val="4CDD1849"/>
    <w:rsid w:val="4D0F4255"/>
    <w:rsid w:val="4D110FBB"/>
    <w:rsid w:val="4D1A2BEA"/>
    <w:rsid w:val="4D261B93"/>
    <w:rsid w:val="4D2B2FC8"/>
    <w:rsid w:val="4D402587"/>
    <w:rsid w:val="4D41465D"/>
    <w:rsid w:val="4D456312"/>
    <w:rsid w:val="4D951248"/>
    <w:rsid w:val="4DBE70E2"/>
    <w:rsid w:val="4DE27B58"/>
    <w:rsid w:val="4DEC6E71"/>
    <w:rsid w:val="4DEF51BA"/>
    <w:rsid w:val="4DF64EEC"/>
    <w:rsid w:val="4E0956AC"/>
    <w:rsid w:val="4E1151E4"/>
    <w:rsid w:val="4E140C20"/>
    <w:rsid w:val="4E853C5A"/>
    <w:rsid w:val="4E8559DE"/>
    <w:rsid w:val="4EA57EB3"/>
    <w:rsid w:val="4EB946C7"/>
    <w:rsid w:val="4EBB4461"/>
    <w:rsid w:val="4EBD7386"/>
    <w:rsid w:val="4F294A17"/>
    <w:rsid w:val="4F3D39D2"/>
    <w:rsid w:val="4F6B127D"/>
    <w:rsid w:val="4FA233AD"/>
    <w:rsid w:val="4FAB5807"/>
    <w:rsid w:val="4FB410CF"/>
    <w:rsid w:val="4FC75597"/>
    <w:rsid w:val="4FFB01D2"/>
    <w:rsid w:val="500B71A4"/>
    <w:rsid w:val="5026794E"/>
    <w:rsid w:val="50491071"/>
    <w:rsid w:val="50720418"/>
    <w:rsid w:val="507F668B"/>
    <w:rsid w:val="50B213CE"/>
    <w:rsid w:val="50BC0CC6"/>
    <w:rsid w:val="50DF4A66"/>
    <w:rsid w:val="50EF4D65"/>
    <w:rsid w:val="50F32112"/>
    <w:rsid w:val="512F5FCE"/>
    <w:rsid w:val="51382D2D"/>
    <w:rsid w:val="518A547C"/>
    <w:rsid w:val="51A71829"/>
    <w:rsid w:val="52297571"/>
    <w:rsid w:val="523B5FC7"/>
    <w:rsid w:val="523C1897"/>
    <w:rsid w:val="524079EE"/>
    <w:rsid w:val="52482366"/>
    <w:rsid w:val="52A55F65"/>
    <w:rsid w:val="52AA2CA4"/>
    <w:rsid w:val="52B80505"/>
    <w:rsid w:val="52BC4EF2"/>
    <w:rsid w:val="52D93C9C"/>
    <w:rsid w:val="52F8613D"/>
    <w:rsid w:val="530C5717"/>
    <w:rsid w:val="530D4FE1"/>
    <w:rsid w:val="53133B2E"/>
    <w:rsid w:val="5315153D"/>
    <w:rsid w:val="53520ED4"/>
    <w:rsid w:val="53653581"/>
    <w:rsid w:val="53934841"/>
    <w:rsid w:val="53B34543"/>
    <w:rsid w:val="53B561DA"/>
    <w:rsid w:val="53C12325"/>
    <w:rsid w:val="53D36289"/>
    <w:rsid w:val="54057D5B"/>
    <w:rsid w:val="540A5934"/>
    <w:rsid w:val="54424EA8"/>
    <w:rsid w:val="54520EFE"/>
    <w:rsid w:val="54716B98"/>
    <w:rsid w:val="54B224DD"/>
    <w:rsid w:val="54C9435D"/>
    <w:rsid w:val="54E70D5E"/>
    <w:rsid w:val="54E94AFC"/>
    <w:rsid w:val="54ED7B5C"/>
    <w:rsid w:val="54FB5A5C"/>
    <w:rsid w:val="55332E73"/>
    <w:rsid w:val="554D61A0"/>
    <w:rsid w:val="558A2919"/>
    <w:rsid w:val="55990359"/>
    <w:rsid w:val="55A61A35"/>
    <w:rsid w:val="55F304BE"/>
    <w:rsid w:val="56334BE2"/>
    <w:rsid w:val="56384123"/>
    <w:rsid w:val="566D5AC2"/>
    <w:rsid w:val="56B626B1"/>
    <w:rsid w:val="56D4706C"/>
    <w:rsid w:val="56F72C39"/>
    <w:rsid w:val="56FD4FFF"/>
    <w:rsid w:val="57044B1F"/>
    <w:rsid w:val="5711760B"/>
    <w:rsid w:val="57380796"/>
    <w:rsid w:val="57396CD9"/>
    <w:rsid w:val="57584EDE"/>
    <w:rsid w:val="579252CA"/>
    <w:rsid w:val="57A63600"/>
    <w:rsid w:val="57AA1051"/>
    <w:rsid w:val="57AC4BF9"/>
    <w:rsid w:val="57C2650F"/>
    <w:rsid w:val="57DA0751"/>
    <w:rsid w:val="57ED286F"/>
    <w:rsid w:val="580746F5"/>
    <w:rsid w:val="58262254"/>
    <w:rsid w:val="58563096"/>
    <w:rsid w:val="588B2C30"/>
    <w:rsid w:val="58A40CCF"/>
    <w:rsid w:val="58B42629"/>
    <w:rsid w:val="58E123C5"/>
    <w:rsid w:val="590C3E66"/>
    <w:rsid w:val="592A226E"/>
    <w:rsid w:val="59395681"/>
    <w:rsid w:val="59481CB4"/>
    <w:rsid w:val="59724E04"/>
    <w:rsid w:val="597A5593"/>
    <w:rsid w:val="59853B23"/>
    <w:rsid w:val="59A044B9"/>
    <w:rsid w:val="59A85A64"/>
    <w:rsid w:val="59AD2505"/>
    <w:rsid w:val="59D94BF4"/>
    <w:rsid w:val="59E26BCE"/>
    <w:rsid w:val="5A04713E"/>
    <w:rsid w:val="5A212B4F"/>
    <w:rsid w:val="5A641D59"/>
    <w:rsid w:val="5A673229"/>
    <w:rsid w:val="5A7563DC"/>
    <w:rsid w:val="5AAE3EAC"/>
    <w:rsid w:val="5AF91BE2"/>
    <w:rsid w:val="5B155F9D"/>
    <w:rsid w:val="5B212861"/>
    <w:rsid w:val="5B2C0E21"/>
    <w:rsid w:val="5B2E38C9"/>
    <w:rsid w:val="5B3F5F54"/>
    <w:rsid w:val="5B7735E9"/>
    <w:rsid w:val="5BA7530A"/>
    <w:rsid w:val="5BC57D86"/>
    <w:rsid w:val="5BD55DE8"/>
    <w:rsid w:val="5BD60666"/>
    <w:rsid w:val="5BE44D87"/>
    <w:rsid w:val="5C01225A"/>
    <w:rsid w:val="5C152D21"/>
    <w:rsid w:val="5C2944EC"/>
    <w:rsid w:val="5C7105E4"/>
    <w:rsid w:val="5C997BED"/>
    <w:rsid w:val="5C9B0276"/>
    <w:rsid w:val="5CAC1B00"/>
    <w:rsid w:val="5CB02606"/>
    <w:rsid w:val="5CDB3A5A"/>
    <w:rsid w:val="5CDB424F"/>
    <w:rsid w:val="5CF23B04"/>
    <w:rsid w:val="5CFF635F"/>
    <w:rsid w:val="5D1E1483"/>
    <w:rsid w:val="5D2F3027"/>
    <w:rsid w:val="5D45545E"/>
    <w:rsid w:val="5D547049"/>
    <w:rsid w:val="5D5C5749"/>
    <w:rsid w:val="5D963140"/>
    <w:rsid w:val="5DA45AB0"/>
    <w:rsid w:val="5DAC0CF7"/>
    <w:rsid w:val="5DC8725B"/>
    <w:rsid w:val="5DED1414"/>
    <w:rsid w:val="5DF107EF"/>
    <w:rsid w:val="5E0F7D36"/>
    <w:rsid w:val="5E147D4A"/>
    <w:rsid w:val="5E166DF7"/>
    <w:rsid w:val="5E1A4AD6"/>
    <w:rsid w:val="5E1C56A1"/>
    <w:rsid w:val="5E3A61CB"/>
    <w:rsid w:val="5E4349D5"/>
    <w:rsid w:val="5E7C394C"/>
    <w:rsid w:val="5EA52572"/>
    <w:rsid w:val="5EBD2EE1"/>
    <w:rsid w:val="5EC361AF"/>
    <w:rsid w:val="5EC96260"/>
    <w:rsid w:val="5ED03E91"/>
    <w:rsid w:val="5F0C5DF0"/>
    <w:rsid w:val="5F3F7EFD"/>
    <w:rsid w:val="5F582DAC"/>
    <w:rsid w:val="5F98380B"/>
    <w:rsid w:val="5FAA34B7"/>
    <w:rsid w:val="5FCD314C"/>
    <w:rsid w:val="5FDC0215"/>
    <w:rsid w:val="5FDC3E80"/>
    <w:rsid w:val="5FF07B24"/>
    <w:rsid w:val="5FFB7AAD"/>
    <w:rsid w:val="600E046B"/>
    <w:rsid w:val="602254A9"/>
    <w:rsid w:val="604665DE"/>
    <w:rsid w:val="6065020A"/>
    <w:rsid w:val="608A3879"/>
    <w:rsid w:val="60CD2B52"/>
    <w:rsid w:val="60E82FD4"/>
    <w:rsid w:val="60FD6695"/>
    <w:rsid w:val="610712C2"/>
    <w:rsid w:val="610D1192"/>
    <w:rsid w:val="61241E74"/>
    <w:rsid w:val="612E4AA0"/>
    <w:rsid w:val="61752E88"/>
    <w:rsid w:val="617A5EC3"/>
    <w:rsid w:val="61891BF9"/>
    <w:rsid w:val="61B62EE8"/>
    <w:rsid w:val="61C40671"/>
    <w:rsid w:val="61F614BD"/>
    <w:rsid w:val="61F622EC"/>
    <w:rsid w:val="620121B5"/>
    <w:rsid w:val="62055223"/>
    <w:rsid w:val="622D31D4"/>
    <w:rsid w:val="624F1172"/>
    <w:rsid w:val="63166B0E"/>
    <w:rsid w:val="63367C3C"/>
    <w:rsid w:val="637E37F1"/>
    <w:rsid w:val="63A055C0"/>
    <w:rsid w:val="63A35632"/>
    <w:rsid w:val="63E91153"/>
    <w:rsid w:val="63F904F5"/>
    <w:rsid w:val="641206A9"/>
    <w:rsid w:val="64267CB1"/>
    <w:rsid w:val="642D223D"/>
    <w:rsid w:val="643423CE"/>
    <w:rsid w:val="643E0C2B"/>
    <w:rsid w:val="64501437"/>
    <w:rsid w:val="64630F05"/>
    <w:rsid w:val="64697AA1"/>
    <w:rsid w:val="647906B9"/>
    <w:rsid w:val="64800077"/>
    <w:rsid w:val="651B358E"/>
    <w:rsid w:val="65387C9C"/>
    <w:rsid w:val="65777969"/>
    <w:rsid w:val="659550EE"/>
    <w:rsid w:val="65BE6E43"/>
    <w:rsid w:val="65C90D8D"/>
    <w:rsid w:val="65C977E4"/>
    <w:rsid w:val="65CE2C46"/>
    <w:rsid w:val="65E05A4C"/>
    <w:rsid w:val="65E11EF7"/>
    <w:rsid w:val="660A5ADC"/>
    <w:rsid w:val="66104CAF"/>
    <w:rsid w:val="661204ED"/>
    <w:rsid w:val="66146E24"/>
    <w:rsid w:val="66421102"/>
    <w:rsid w:val="6671402D"/>
    <w:rsid w:val="66807F13"/>
    <w:rsid w:val="66900E65"/>
    <w:rsid w:val="66A870A3"/>
    <w:rsid w:val="66D029E9"/>
    <w:rsid w:val="66DA4734"/>
    <w:rsid w:val="66F42D76"/>
    <w:rsid w:val="670D2A23"/>
    <w:rsid w:val="671D3E54"/>
    <w:rsid w:val="67256946"/>
    <w:rsid w:val="67560680"/>
    <w:rsid w:val="676E1A46"/>
    <w:rsid w:val="6781550C"/>
    <w:rsid w:val="67AA25B9"/>
    <w:rsid w:val="67B83316"/>
    <w:rsid w:val="67DA1E8F"/>
    <w:rsid w:val="67DD6DAE"/>
    <w:rsid w:val="67E120F7"/>
    <w:rsid w:val="67F918A0"/>
    <w:rsid w:val="67FA0C0D"/>
    <w:rsid w:val="67FC60FE"/>
    <w:rsid w:val="680531CD"/>
    <w:rsid w:val="684D1FEF"/>
    <w:rsid w:val="68574F2E"/>
    <w:rsid w:val="68764E75"/>
    <w:rsid w:val="687B4D72"/>
    <w:rsid w:val="68835E05"/>
    <w:rsid w:val="68BA116D"/>
    <w:rsid w:val="68C67D2C"/>
    <w:rsid w:val="68D8070C"/>
    <w:rsid w:val="68E64AD1"/>
    <w:rsid w:val="690E5E3C"/>
    <w:rsid w:val="695D0E5E"/>
    <w:rsid w:val="696279DD"/>
    <w:rsid w:val="69631707"/>
    <w:rsid w:val="697F2EFE"/>
    <w:rsid w:val="6989397E"/>
    <w:rsid w:val="69AE49D0"/>
    <w:rsid w:val="69C735C3"/>
    <w:rsid w:val="69D41F5D"/>
    <w:rsid w:val="69F140F6"/>
    <w:rsid w:val="69F556F6"/>
    <w:rsid w:val="69F57A57"/>
    <w:rsid w:val="69FB0AB4"/>
    <w:rsid w:val="6A0A3CB1"/>
    <w:rsid w:val="6A726014"/>
    <w:rsid w:val="6A7E1895"/>
    <w:rsid w:val="6A813E93"/>
    <w:rsid w:val="6A8A6CB9"/>
    <w:rsid w:val="6AAF2BB5"/>
    <w:rsid w:val="6ACC75D7"/>
    <w:rsid w:val="6B275ADE"/>
    <w:rsid w:val="6B2B4B71"/>
    <w:rsid w:val="6B397FBC"/>
    <w:rsid w:val="6B4010D2"/>
    <w:rsid w:val="6B4328E0"/>
    <w:rsid w:val="6B624ADB"/>
    <w:rsid w:val="6B6A0ACC"/>
    <w:rsid w:val="6B8914D7"/>
    <w:rsid w:val="6B9B3807"/>
    <w:rsid w:val="6BB75415"/>
    <w:rsid w:val="6BC243C1"/>
    <w:rsid w:val="6BC717CD"/>
    <w:rsid w:val="6BC8789F"/>
    <w:rsid w:val="6BE1281D"/>
    <w:rsid w:val="6BEF307E"/>
    <w:rsid w:val="6C0C26C1"/>
    <w:rsid w:val="6CA318CE"/>
    <w:rsid w:val="6CC263B6"/>
    <w:rsid w:val="6CCB2DC7"/>
    <w:rsid w:val="6CD86F36"/>
    <w:rsid w:val="6D45389E"/>
    <w:rsid w:val="6D512242"/>
    <w:rsid w:val="6D647DFC"/>
    <w:rsid w:val="6D9C3B33"/>
    <w:rsid w:val="6DB178C7"/>
    <w:rsid w:val="6DCE287F"/>
    <w:rsid w:val="6DF14F1A"/>
    <w:rsid w:val="6E287AAA"/>
    <w:rsid w:val="6E310FFA"/>
    <w:rsid w:val="6E4B0618"/>
    <w:rsid w:val="6E657628"/>
    <w:rsid w:val="6E6C5CEF"/>
    <w:rsid w:val="6E776BE5"/>
    <w:rsid w:val="6E962C93"/>
    <w:rsid w:val="6ED44ED9"/>
    <w:rsid w:val="6EEB7302"/>
    <w:rsid w:val="6F060E0B"/>
    <w:rsid w:val="6F2614AD"/>
    <w:rsid w:val="6F3125F0"/>
    <w:rsid w:val="6F7F026D"/>
    <w:rsid w:val="6F90296F"/>
    <w:rsid w:val="6FDA5704"/>
    <w:rsid w:val="6FE16D2C"/>
    <w:rsid w:val="70077DE7"/>
    <w:rsid w:val="70312492"/>
    <w:rsid w:val="70441BEA"/>
    <w:rsid w:val="706E520A"/>
    <w:rsid w:val="70B27244"/>
    <w:rsid w:val="70FC24C5"/>
    <w:rsid w:val="710C47A1"/>
    <w:rsid w:val="710F3A90"/>
    <w:rsid w:val="7124455A"/>
    <w:rsid w:val="713478DD"/>
    <w:rsid w:val="71427AE3"/>
    <w:rsid w:val="71666F12"/>
    <w:rsid w:val="7174237F"/>
    <w:rsid w:val="719B0908"/>
    <w:rsid w:val="71AD6A79"/>
    <w:rsid w:val="71BA0993"/>
    <w:rsid w:val="71C01745"/>
    <w:rsid w:val="71F74E10"/>
    <w:rsid w:val="72231CD3"/>
    <w:rsid w:val="7225294B"/>
    <w:rsid w:val="724907AD"/>
    <w:rsid w:val="727137EF"/>
    <w:rsid w:val="727F1A3F"/>
    <w:rsid w:val="728426D6"/>
    <w:rsid w:val="72A53EA7"/>
    <w:rsid w:val="72B263B1"/>
    <w:rsid w:val="72C2345C"/>
    <w:rsid w:val="72CC6D60"/>
    <w:rsid w:val="72D56C9B"/>
    <w:rsid w:val="72E86264"/>
    <w:rsid w:val="72EF48DD"/>
    <w:rsid w:val="72F13B80"/>
    <w:rsid w:val="72FD5F90"/>
    <w:rsid w:val="73113B05"/>
    <w:rsid w:val="731B478E"/>
    <w:rsid w:val="736E7F97"/>
    <w:rsid w:val="738F7621"/>
    <w:rsid w:val="73E016E3"/>
    <w:rsid w:val="73ED6991"/>
    <w:rsid w:val="74241255"/>
    <w:rsid w:val="742F31CB"/>
    <w:rsid w:val="74374EC1"/>
    <w:rsid w:val="74486DBA"/>
    <w:rsid w:val="74597410"/>
    <w:rsid w:val="74663DF1"/>
    <w:rsid w:val="746C7BF2"/>
    <w:rsid w:val="74707041"/>
    <w:rsid w:val="74845D7A"/>
    <w:rsid w:val="74A3267A"/>
    <w:rsid w:val="74AA2059"/>
    <w:rsid w:val="74D62F2A"/>
    <w:rsid w:val="74D84FF7"/>
    <w:rsid w:val="74FF623C"/>
    <w:rsid w:val="752C0341"/>
    <w:rsid w:val="753007A1"/>
    <w:rsid w:val="753B05A7"/>
    <w:rsid w:val="753D1AF7"/>
    <w:rsid w:val="753F04EC"/>
    <w:rsid w:val="753F7424"/>
    <w:rsid w:val="75461650"/>
    <w:rsid w:val="756D5FCA"/>
    <w:rsid w:val="7580164A"/>
    <w:rsid w:val="75947A9A"/>
    <w:rsid w:val="759B141F"/>
    <w:rsid w:val="75D51C75"/>
    <w:rsid w:val="75E117FF"/>
    <w:rsid w:val="75E83E72"/>
    <w:rsid w:val="75F61BD9"/>
    <w:rsid w:val="761F00E1"/>
    <w:rsid w:val="7624488B"/>
    <w:rsid w:val="76352D46"/>
    <w:rsid w:val="764125B7"/>
    <w:rsid w:val="764A2428"/>
    <w:rsid w:val="764A386B"/>
    <w:rsid w:val="76543240"/>
    <w:rsid w:val="766034F6"/>
    <w:rsid w:val="76785904"/>
    <w:rsid w:val="76AD5163"/>
    <w:rsid w:val="76F351AA"/>
    <w:rsid w:val="770B1E2E"/>
    <w:rsid w:val="771421D2"/>
    <w:rsid w:val="77226A44"/>
    <w:rsid w:val="77586705"/>
    <w:rsid w:val="77752FD1"/>
    <w:rsid w:val="778C5F09"/>
    <w:rsid w:val="778F2EDF"/>
    <w:rsid w:val="77910E09"/>
    <w:rsid w:val="779A6594"/>
    <w:rsid w:val="779B57D4"/>
    <w:rsid w:val="779E031E"/>
    <w:rsid w:val="77A458E3"/>
    <w:rsid w:val="77B71EAD"/>
    <w:rsid w:val="77BE04D4"/>
    <w:rsid w:val="77BE11B2"/>
    <w:rsid w:val="77F9150C"/>
    <w:rsid w:val="780E6699"/>
    <w:rsid w:val="7815546F"/>
    <w:rsid w:val="782F7A44"/>
    <w:rsid w:val="78495F67"/>
    <w:rsid w:val="78586AB6"/>
    <w:rsid w:val="78673D84"/>
    <w:rsid w:val="78675B0A"/>
    <w:rsid w:val="78A80D9E"/>
    <w:rsid w:val="78B31A40"/>
    <w:rsid w:val="78B96EEE"/>
    <w:rsid w:val="78C7537B"/>
    <w:rsid w:val="791B14FA"/>
    <w:rsid w:val="792738AA"/>
    <w:rsid w:val="79283153"/>
    <w:rsid w:val="79560AFB"/>
    <w:rsid w:val="797D5F67"/>
    <w:rsid w:val="79B26E68"/>
    <w:rsid w:val="79B50A3B"/>
    <w:rsid w:val="7A577448"/>
    <w:rsid w:val="7A761CA6"/>
    <w:rsid w:val="7A9320C5"/>
    <w:rsid w:val="7A935B1F"/>
    <w:rsid w:val="7A9A36BB"/>
    <w:rsid w:val="7AA2452E"/>
    <w:rsid w:val="7ACD5BC4"/>
    <w:rsid w:val="7AD26675"/>
    <w:rsid w:val="7AD95625"/>
    <w:rsid w:val="7AE065D8"/>
    <w:rsid w:val="7AE244DA"/>
    <w:rsid w:val="7AF62AFF"/>
    <w:rsid w:val="7B015F89"/>
    <w:rsid w:val="7B1545E0"/>
    <w:rsid w:val="7B2B6BA2"/>
    <w:rsid w:val="7B300A65"/>
    <w:rsid w:val="7B3A4316"/>
    <w:rsid w:val="7B457970"/>
    <w:rsid w:val="7B4A038E"/>
    <w:rsid w:val="7B58740D"/>
    <w:rsid w:val="7B5A3E66"/>
    <w:rsid w:val="7B666CD6"/>
    <w:rsid w:val="7B685892"/>
    <w:rsid w:val="7B7434D8"/>
    <w:rsid w:val="7B9A4DB4"/>
    <w:rsid w:val="7B9C2C55"/>
    <w:rsid w:val="7BA45476"/>
    <w:rsid w:val="7BCE22CB"/>
    <w:rsid w:val="7BDA1655"/>
    <w:rsid w:val="7BE13CA7"/>
    <w:rsid w:val="7BE14743"/>
    <w:rsid w:val="7C1C483A"/>
    <w:rsid w:val="7C44556F"/>
    <w:rsid w:val="7C4F2043"/>
    <w:rsid w:val="7C5B0C23"/>
    <w:rsid w:val="7C654782"/>
    <w:rsid w:val="7C7623EB"/>
    <w:rsid w:val="7C9D1B23"/>
    <w:rsid w:val="7C9E08D4"/>
    <w:rsid w:val="7CA02300"/>
    <w:rsid w:val="7CA246FA"/>
    <w:rsid w:val="7D1C7A4B"/>
    <w:rsid w:val="7D277E87"/>
    <w:rsid w:val="7D2822B5"/>
    <w:rsid w:val="7D8A47D3"/>
    <w:rsid w:val="7D9849BF"/>
    <w:rsid w:val="7DA340EE"/>
    <w:rsid w:val="7DBC4E0D"/>
    <w:rsid w:val="7DBFB1CD"/>
    <w:rsid w:val="7DC2545D"/>
    <w:rsid w:val="7DC91981"/>
    <w:rsid w:val="7DCA74A7"/>
    <w:rsid w:val="7DEB5F33"/>
    <w:rsid w:val="7DF94E6A"/>
    <w:rsid w:val="7E053CDC"/>
    <w:rsid w:val="7E0D42F1"/>
    <w:rsid w:val="7E247A38"/>
    <w:rsid w:val="7E291592"/>
    <w:rsid w:val="7E301F03"/>
    <w:rsid w:val="7E377EF0"/>
    <w:rsid w:val="7E467EAD"/>
    <w:rsid w:val="7E69680B"/>
    <w:rsid w:val="7E772825"/>
    <w:rsid w:val="7E877FB0"/>
    <w:rsid w:val="7E8858D3"/>
    <w:rsid w:val="7E8B5CAE"/>
    <w:rsid w:val="7E957DD3"/>
    <w:rsid w:val="7E997755"/>
    <w:rsid w:val="7E9E0A40"/>
    <w:rsid w:val="7EA525E6"/>
    <w:rsid w:val="7EAA309E"/>
    <w:rsid w:val="7EAE1853"/>
    <w:rsid w:val="7EBE6865"/>
    <w:rsid w:val="7ECA2FD7"/>
    <w:rsid w:val="7EE53B97"/>
    <w:rsid w:val="7EE651CC"/>
    <w:rsid w:val="7EE661FF"/>
    <w:rsid w:val="7EED78F1"/>
    <w:rsid w:val="7F015B2B"/>
    <w:rsid w:val="7F0614FB"/>
    <w:rsid w:val="7F114A11"/>
    <w:rsid w:val="7F2A1D3B"/>
    <w:rsid w:val="7F781DA2"/>
    <w:rsid w:val="7F8E49B3"/>
    <w:rsid w:val="7F944F92"/>
    <w:rsid w:val="7FA07302"/>
    <w:rsid w:val="7FBF2D90"/>
    <w:rsid w:val="7FBF5433"/>
    <w:rsid w:val="7FC435E6"/>
    <w:rsid w:val="7FF267F9"/>
    <w:rsid w:val="7FFB55EA"/>
    <w:rsid w:val="9F7F6AB1"/>
    <w:rsid w:val="D39EBC9C"/>
    <w:rsid w:val="EE653121"/>
    <w:rsid w:val="EF63C294"/>
    <w:rsid w:val="EF6FC0CB"/>
    <w:rsid w:val="FDF76D67"/>
    <w:rsid w:val="FDFF713A"/>
    <w:rsid w:val="FE5DD7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99" w:semiHidden="0" w:name="envelope return"/>
    <w:lsdException w:qFormat="1"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12"/>
    <w:autoRedefine/>
    <w:qFormat/>
    <w:uiPriority w:val="0"/>
    <w:pPr>
      <w:autoSpaceDE w:val="0"/>
      <w:autoSpaceDN w:val="0"/>
      <w:adjustRightInd w:val="0"/>
      <w:snapToGrid w:val="0"/>
      <w:spacing w:line="360" w:lineRule="auto"/>
      <w:jc w:val="center"/>
      <w:outlineLvl w:val="0"/>
    </w:pPr>
    <w:rPr>
      <w:b/>
      <w:bCs/>
      <w:kern w:val="0"/>
      <w:sz w:val="36"/>
      <w:szCs w:val="36"/>
    </w:rPr>
  </w:style>
  <w:style w:type="paragraph" w:styleId="3">
    <w:name w:val="heading 2"/>
    <w:basedOn w:val="1"/>
    <w:next w:val="1"/>
    <w:link w:val="397"/>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08"/>
    <w:autoRedefine/>
    <w:qFormat/>
    <w:uiPriority w:val="9"/>
    <w:pPr>
      <w:keepNext/>
      <w:keepLines/>
      <w:spacing w:before="260" w:after="260" w:line="416" w:lineRule="auto"/>
      <w:outlineLvl w:val="2"/>
    </w:pPr>
    <w:rPr>
      <w:rFonts w:ascii="Calibri" w:hAnsi="Calibri"/>
      <w:b/>
      <w:bCs/>
      <w:sz w:val="32"/>
      <w:szCs w:val="32"/>
    </w:rPr>
  </w:style>
  <w:style w:type="paragraph" w:styleId="5">
    <w:name w:val="heading 4"/>
    <w:basedOn w:val="1"/>
    <w:next w:val="1"/>
    <w:link w:val="315"/>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23"/>
    <w:autoRedefine/>
    <w:qFormat/>
    <w:uiPriority w:val="0"/>
    <w:pPr>
      <w:keepNext/>
      <w:keepLines/>
      <w:tabs>
        <w:tab w:val="left" w:pos="992"/>
      </w:tabs>
      <w:spacing w:before="280" w:after="290" w:line="376" w:lineRule="auto"/>
      <w:ind w:left="992" w:hanging="992"/>
      <w:outlineLvl w:val="4"/>
    </w:pPr>
    <w:rPr>
      <w:b/>
      <w:bCs/>
      <w:sz w:val="28"/>
      <w:szCs w:val="28"/>
    </w:rPr>
  </w:style>
  <w:style w:type="paragraph" w:styleId="7">
    <w:name w:val="heading 6"/>
    <w:basedOn w:val="1"/>
    <w:next w:val="1"/>
    <w:link w:val="388"/>
    <w:autoRedefine/>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111"/>
    <w:autoRedefine/>
    <w:qFormat/>
    <w:uiPriority w:val="0"/>
    <w:pPr>
      <w:keepNext/>
      <w:keepLines/>
      <w:tabs>
        <w:tab w:val="left" w:pos="0"/>
      </w:tabs>
      <w:spacing w:before="240" w:after="64" w:line="320" w:lineRule="auto"/>
      <w:ind w:left="1296" w:hanging="1296"/>
      <w:outlineLvl w:val="6"/>
    </w:pPr>
    <w:rPr>
      <w:b/>
      <w:bCs/>
      <w:sz w:val="24"/>
      <w:szCs w:val="24"/>
    </w:rPr>
  </w:style>
  <w:style w:type="paragraph" w:styleId="9">
    <w:name w:val="heading 8"/>
    <w:basedOn w:val="1"/>
    <w:next w:val="1"/>
    <w:link w:val="195"/>
    <w:autoRedefine/>
    <w:qFormat/>
    <w:uiPriority w:val="0"/>
    <w:pPr>
      <w:keepNext/>
      <w:keepLines/>
      <w:tabs>
        <w:tab w:val="left" w:pos="0"/>
      </w:tabs>
      <w:spacing w:before="240" w:after="64" w:line="320" w:lineRule="auto"/>
      <w:ind w:left="1440" w:hanging="1440"/>
      <w:outlineLvl w:val="7"/>
    </w:pPr>
    <w:rPr>
      <w:rFonts w:ascii="Cambria" w:hAnsi="Cambria"/>
      <w:sz w:val="24"/>
      <w:szCs w:val="24"/>
    </w:rPr>
  </w:style>
  <w:style w:type="paragraph" w:styleId="10">
    <w:name w:val="heading 9"/>
    <w:basedOn w:val="1"/>
    <w:next w:val="1"/>
    <w:link w:val="128"/>
    <w:autoRedefine/>
    <w:qFormat/>
    <w:uiPriority w:val="0"/>
    <w:pPr>
      <w:keepNext/>
      <w:keepLines/>
      <w:tabs>
        <w:tab w:val="left" w:pos="0"/>
      </w:tabs>
      <w:spacing w:before="240" w:after="64" w:line="320" w:lineRule="auto"/>
      <w:ind w:left="1584" w:hanging="1584"/>
      <w:outlineLvl w:val="8"/>
    </w:pPr>
    <w:rPr>
      <w:rFonts w:ascii="Cambria" w:hAnsi="Cambria"/>
      <w:szCs w:val="21"/>
    </w:rPr>
  </w:style>
  <w:style w:type="character" w:default="1" w:styleId="63">
    <w:name w:val="Default Paragraph Font"/>
    <w:autoRedefine/>
    <w:semiHidden/>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szCs w:val="20"/>
    </w:rPr>
  </w:style>
  <w:style w:type="paragraph" w:styleId="12">
    <w:name w:val="toc 7"/>
    <w:basedOn w:val="1"/>
    <w:next w:val="1"/>
    <w:autoRedefine/>
    <w:qFormat/>
    <w:uiPriority w:val="0"/>
    <w:pPr>
      <w:ind w:left="1260"/>
      <w:jc w:val="left"/>
    </w:pPr>
    <w:rPr>
      <w:sz w:val="18"/>
      <w:szCs w:val="18"/>
    </w:rPr>
  </w:style>
  <w:style w:type="paragraph" w:styleId="13">
    <w:name w:val="List Number 2"/>
    <w:basedOn w:val="1"/>
    <w:autoRedefine/>
    <w:qFormat/>
    <w:uiPriority w:val="0"/>
    <w:pPr>
      <w:tabs>
        <w:tab w:val="left" w:pos="432"/>
        <w:tab w:val="left" w:pos="567"/>
      </w:tabs>
      <w:ind w:left="432" w:hanging="432"/>
    </w:pPr>
    <w:rPr>
      <w:sz w:val="28"/>
      <w:szCs w:val="20"/>
    </w:rPr>
  </w:style>
  <w:style w:type="paragraph" w:styleId="14">
    <w:name w:val="table of authorities"/>
    <w:basedOn w:val="1"/>
    <w:next w:val="1"/>
    <w:autoRedefine/>
    <w:qFormat/>
    <w:uiPriority w:val="0"/>
    <w:pPr>
      <w:numPr>
        <w:ilvl w:val="0"/>
        <w:numId w:val="1"/>
      </w:numPr>
      <w:ind w:left="200" w:leftChars="200"/>
    </w:pPr>
    <w:rPr>
      <w:sz w:val="18"/>
      <w:szCs w:val="24"/>
    </w:rPr>
  </w:style>
  <w:style w:type="paragraph" w:styleId="15">
    <w:name w:val="List Bullet 4"/>
    <w:basedOn w:val="1"/>
    <w:autoRedefine/>
    <w:qFormat/>
    <w:uiPriority w:val="0"/>
    <w:pPr>
      <w:numPr>
        <w:ilvl w:val="0"/>
        <w:numId w:val="2"/>
      </w:numPr>
    </w:pPr>
    <w:rPr>
      <w:szCs w:val="24"/>
    </w:rPr>
  </w:style>
  <w:style w:type="paragraph" w:styleId="16">
    <w:name w:val="List Number"/>
    <w:basedOn w:val="1"/>
    <w:next w:val="17"/>
    <w:autoRedefine/>
    <w:qFormat/>
    <w:uiPriority w:val="0"/>
    <w:pPr>
      <w:widowControl/>
      <w:tabs>
        <w:tab w:val="left" w:pos="454"/>
        <w:tab w:val="left" w:pos="720"/>
      </w:tabs>
      <w:spacing w:afterLines="50"/>
      <w:ind w:left="454" w:hanging="284"/>
      <w:jc w:val="left"/>
    </w:pPr>
    <w:rPr>
      <w:kern w:val="0"/>
      <w:sz w:val="24"/>
      <w:szCs w:val="20"/>
    </w:rPr>
  </w:style>
  <w:style w:type="paragraph" w:styleId="17">
    <w:name w:val="Balloon Text"/>
    <w:basedOn w:val="1"/>
    <w:next w:val="18"/>
    <w:link w:val="217"/>
    <w:autoRedefine/>
    <w:qFormat/>
    <w:uiPriority w:val="0"/>
    <w:rPr>
      <w:sz w:val="18"/>
      <w:szCs w:val="18"/>
    </w:rPr>
  </w:style>
  <w:style w:type="paragraph" w:styleId="18">
    <w:name w:val="toc 8"/>
    <w:basedOn w:val="1"/>
    <w:next w:val="1"/>
    <w:autoRedefine/>
    <w:qFormat/>
    <w:uiPriority w:val="0"/>
    <w:pPr>
      <w:spacing w:afterLines="50"/>
      <w:ind w:left="1470"/>
      <w:jc w:val="left"/>
    </w:pPr>
    <w:rPr>
      <w:snapToGrid w:val="0"/>
      <w:kern w:val="0"/>
      <w:sz w:val="18"/>
      <w:szCs w:val="18"/>
    </w:rPr>
  </w:style>
  <w:style w:type="paragraph" w:styleId="19">
    <w:name w:val="Normal Indent"/>
    <w:basedOn w:val="1"/>
    <w:next w:val="20"/>
    <w:link w:val="406"/>
    <w:autoRedefine/>
    <w:qFormat/>
    <w:uiPriority w:val="0"/>
    <w:pPr>
      <w:ind w:firstLine="420"/>
    </w:pPr>
    <w:rPr>
      <w:szCs w:val="20"/>
    </w:rPr>
  </w:style>
  <w:style w:type="paragraph" w:styleId="20">
    <w:name w:val="Body Text Indent"/>
    <w:basedOn w:val="1"/>
    <w:next w:val="1"/>
    <w:link w:val="121"/>
    <w:autoRedefine/>
    <w:qFormat/>
    <w:uiPriority w:val="0"/>
    <w:pPr>
      <w:spacing w:line="200" w:lineRule="exact"/>
      <w:ind w:firstLine="301"/>
    </w:pPr>
    <w:rPr>
      <w:rFonts w:ascii="宋体" w:hAnsi="Courier New"/>
      <w:spacing w:val="-4"/>
      <w:sz w:val="18"/>
      <w:szCs w:val="20"/>
    </w:rPr>
  </w:style>
  <w:style w:type="paragraph" w:styleId="21">
    <w:name w:val="caption"/>
    <w:basedOn w:val="1"/>
    <w:next w:val="1"/>
    <w:link w:val="342"/>
    <w:autoRedefine/>
    <w:qFormat/>
    <w:uiPriority w:val="0"/>
    <w:pPr>
      <w:spacing w:before="152" w:after="160"/>
    </w:pPr>
    <w:rPr>
      <w:rFonts w:ascii="Arial" w:hAnsi="Arial" w:eastAsia="黑体"/>
      <w:sz w:val="20"/>
      <w:szCs w:val="20"/>
    </w:rPr>
  </w:style>
  <w:style w:type="paragraph" w:styleId="22">
    <w:name w:val="List Bullet"/>
    <w:basedOn w:val="1"/>
    <w:autoRedefine/>
    <w:qFormat/>
    <w:uiPriority w:val="0"/>
    <w:pPr>
      <w:widowControl/>
      <w:tabs>
        <w:tab w:val="left" w:pos="900"/>
      </w:tabs>
      <w:spacing w:before="100" w:beforeAutospacing="1" w:afterLines="50" w:afterAutospacing="1"/>
      <w:ind w:left="900" w:hanging="420"/>
      <w:jc w:val="left"/>
    </w:pPr>
    <w:rPr>
      <w:kern w:val="0"/>
      <w:szCs w:val="20"/>
    </w:rPr>
  </w:style>
  <w:style w:type="paragraph" w:styleId="23">
    <w:name w:val="Document Map"/>
    <w:basedOn w:val="1"/>
    <w:link w:val="323"/>
    <w:autoRedefine/>
    <w:qFormat/>
    <w:uiPriority w:val="0"/>
    <w:rPr>
      <w:rFonts w:ascii="宋体"/>
      <w:sz w:val="18"/>
      <w:szCs w:val="18"/>
    </w:rPr>
  </w:style>
  <w:style w:type="paragraph" w:styleId="24">
    <w:name w:val="annotation text"/>
    <w:basedOn w:val="1"/>
    <w:link w:val="113"/>
    <w:autoRedefine/>
    <w:qFormat/>
    <w:uiPriority w:val="0"/>
    <w:pPr>
      <w:jc w:val="left"/>
    </w:pPr>
  </w:style>
  <w:style w:type="paragraph" w:styleId="25">
    <w:name w:val="Salutation"/>
    <w:basedOn w:val="1"/>
    <w:next w:val="1"/>
    <w:link w:val="253"/>
    <w:autoRedefine/>
    <w:qFormat/>
    <w:uiPriority w:val="0"/>
    <w:rPr>
      <w:rFonts w:ascii="宋体"/>
      <w:b/>
      <w:sz w:val="28"/>
      <w:szCs w:val="20"/>
    </w:rPr>
  </w:style>
  <w:style w:type="paragraph" w:styleId="26">
    <w:name w:val="Body Text 3"/>
    <w:basedOn w:val="1"/>
    <w:link w:val="129"/>
    <w:autoRedefine/>
    <w:qFormat/>
    <w:uiPriority w:val="0"/>
    <w:pPr>
      <w:snapToGrid w:val="0"/>
      <w:spacing w:before="50" w:after="50"/>
    </w:pPr>
    <w:rPr>
      <w:rFonts w:hAnsi="宋体" w:eastAsia="仿宋_GB2312"/>
      <w:b/>
      <w:bCs/>
      <w:sz w:val="24"/>
      <w:szCs w:val="20"/>
    </w:rPr>
  </w:style>
  <w:style w:type="paragraph" w:styleId="27">
    <w:name w:val="Body Text"/>
    <w:basedOn w:val="1"/>
    <w:next w:val="28"/>
    <w:link w:val="197"/>
    <w:autoRedefine/>
    <w:qFormat/>
    <w:uiPriority w:val="0"/>
    <w:pPr>
      <w:spacing w:after="120"/>
    </w:pPr>
    <w:rPr>
      <w:sz w:val="28"/>
      <w:szCs w:val="24"/>
    </w:rPr>
  </w:style>
  <w:style w:type="paragraph" w:styleId="28">
    <w:name w:val="Body Text First Indent"/>
    <w:basedOn w:val="27"/>
    <w:next w:val="29"/>
    <w:link w:val="289"/>
    <w:autoRedefine/>
    <w:qFormat/>
    <w:uiPriority w:val="0"/>
    <w:pPr>
      <w:ind w:firstLine="420" w:firstLineChars="100"/>
    </w:pPr>
    <w:rPr>
      <w:rFonts w:ascii="Calibri" w:hAnsi="Calibri"/>
      <w:sz w:val="21"/>
      <w:szCs w:val="22"/>
    </w:rPr>
  </w:style>
  <w:style w:type="paragraph" w:styleId="29">
    <w:name w:val="toc 6"/>
    <w:basedOn w:val="1"/>
    <w:next w:val="1"/>
    <w:autoRedefine/>
    <w:qFormat/>
    <w:uiPriority w:val="0"/>
    <w:pPr>
      <w:ind w:left="1050"/>
      <w:jc w:val="left"/>
    </w:pPr>
    <w:rPr>
      <w:sz w:val="18"/>
      <w:szCs w:val="18"/>
    </w:rPr>
  </w:style>
  <w:style w:type="paragraph" w:styleId="30">
    <w:name w:val="List Number 3"/>
    <w:basedOn w:val="1"/>
    <w:autoRedefine/>
    <w:qFormat/>
    <w:uiPriority w:val="0"/>
    <w:pPr>
      <w:numPr>
        <w:ilvl w:val="0"/>
        <w:numId w:val="3"/>
      </w:numPr>
    </w:pPr>
    <w:rPr>
      <w:szCs w:val="24"/>
    </w:rPr>
  </w:style>
  <w:style w:type="paragraph" w:styleId="31">
    <w:name w:val="List 2"/>
    <w:basedOn w:val="1"/>
    <w:autoRedefine/>
    <w:qFormat/>
    <w:uiPriority w:val="0"/>
    <w:pPr>
      <w:ind w:left="100" w:leftChars="200" w:hanging="200" w:hangingChars="200"/>
    </w:pPr>
    <w:rPr>
      <w:sz w:val="28"/>
      <w:szCs w:val="24"/>
    </w:rPr>
  </w:style>
  <w:style w:type="paragraph" w:styleId="32">
    <w:name w:val="List Bullet 2"/>
    <w:basedOn w:val="1"/>
    <w:autoRedefine/>
    <w:qFormat/>
    <w:uiPriority w:val="0"/>
    <w:pPr>
      <w:tabs>
        <w:tab w:val="left" w:pos="780"/>
      </w:tabs>
      <w:ind w:left="780" w:leftChars="200" w:hanging="360" w:hangingChars="200"/>
    </w:pPr>
    <w:rPr>
      <w:szCs w:val="24"/>
    </w:rPr>
  </w:style>
  <w:style w:type="paragraph" w:styleId="33">
    <w:name w:val="toc 5"/>
    <w:basedOn w:val="1"/>
    <w:next w:val="1"/>
    <w:autoRedefine/>
    <w:qFormat/>
    <w:uiPriority w:val="0"/>
    <w:pPr>
      <w:spacing w:afterLines="50"/>
      <w:ind w:left="840"/>
      <w:jc w:val="left"/>
    </w:pPr>
    <w:rPr>
      <w:snapToGrid w:val="0"/>
      <w:kern w:val="0"/>
      <w:sz w:val="18"/>
      <w:szCs w:val="18"/>
    </w:rPr>
  </w:style>
  <w:style w:type="paragraph" w:styleId="34">
    <w:name w:val="toc 3"/>
    <w:basedOn w:val="1"/>
    <w:next w:val="1"/>
    <w:autoRedefine/>
    <w:unhideWhenUsed/>
    <w:qFormat/>
    <w:uiPriority w:val="39"/>
    <w:pPr>
      <w:ind w:left="840" w:leftChars="400"/>
    </w:pPr>
  </w:style>
  <w:style w:type="paragraph" w:styleId="35">
    <w:name w:val="Plain Text"/>
    <w:basedOn w:val="1"/>
    <w:next w:val="1"/>
    <w:link w:val="105"/>
    <w:autoRedefine/>
    <w:qFormat/>
    <w:uiPriority w:val="0"/>
    <w:pPr>
      <w:spacing w:beforeLines="50" w:afterLines="50" w:line="400" w:lineRule="exact"/>
    </w:pPr>
    <w:rPr>
      <w:rFonts w:ascii="宋体" w:hAnsi="Courier New"/>
      <w:sz w:val="24"/>
      <w:szCs w:val="24"/>
    </w:rPr>
  </w:style>
  <w:style w:type="paragraph" w:styleId="36">
    <w:name w:val="List Bullet 5"/>
    <w:basedOn w:val="1"/>
    <w:autoRedefine/>
    <w:qFormat/>
    <w:uiPriority w:val="0"/>
    <w:pPr>
      <w:numPr>
        <w:ilvl w:val="0"/>
        <w:numId w:val="4"/>
      </w:numPr>
    </w:pPr>
    <w:rPr>
      <w:szCs w:val="24"/>
    </w:rPr>
  </w:style>
  <w:style w:type="paragraph" w:styleId="37">
    <w:name w:val="Date"/>
    <w:basedOn w:val="1"/>
    <w:next w:val="1"/>
    <w:link w:val="130"/>
    <w:autoRedefine/>
    <w:qFormat/>
    <w:uiPriority w:val="0"/>
    <w:pPr>
      <w:ind w:left="2500" w:leftChars="2500"/>
    </w:pPr>
    <w:rPr>
      <w:rFonts w:eastAsia="楷体_GB2312"/>
      <w:sz w:val="32"/>
      <w:szCs w:val="20"/>
    </w:rPr>
  </w:style>
  <w:style w:type="paragraph" w:styleId="38">
    <w:name w:val="Body Text Indent 2"/>
    <w:basedOn w:val="1"/>
    <w:link w:val="186"/>
    <w:autoRedefine/>
    <w:qFormat/>
    <w:uiPriority w:val="0"/>
    <w:pPr>
      <w:snapToGrid w:val="0"/>
      <w:ind w:firstLine="542" w:firstLineChars="225"/>
    </w:pPr>
    <w:rPr>
      <w:rFonts w:ascii="仿宋_GB2312" w:hAnsi="宋体"/>
      <w:b/>
      <w:bCs/>
      <w:color w:val="000000"/>
      <w:sz w:val="24"/>
      <w:szCs w:val="24"/>
    </w:rPr>
  </w:style>
  <w:style w:type="paragraph" w:styleId="39">
    <w:name w:val="endnote text"/>
    <w:basedOn w:val="1"/>
    <w:link w:val="75"/>
    <w:autoRedefine/>
    <w:qFormat/>
    <w:uiPriority w:val="0"/>
    <w:pPr>
      <w:numPr>
        <w:ilvl w:val="0"/>
        <w:numId w:val="5"/>
      </w:numPr>
      <w:snapToGrid w:val="0"/>
      <w:spacing w:afterLines="50"/>
      <w:jc w:val="left"/>
    </w:pPr>
    <w:rPr>
      <w:rFonts w:ascii="宋体"/>
      <w:snapToGrid w:val="0"/>
      <w:kern w:val="0"/>
      <w:szCs w:val="20"/>
    </w:rPr>
  </w:style>
  <w:style w:type="paragraph" w:styleId="40">
    <w:name w:val="footer"/>
    <w:basedOn w:val="1"/>
    <w:link w:val="133"/>
    <w:autoRedefine/>
    <w:unhideWhenUsed/>
    <w:qFormat/>
    <w:uiPriority w:val="0"/>
    <w:pPr>
      <w:tabs>
        <w:tab w:val="center" w:pos="4153"/>
        <w:tab w:val="right" w:pos="8306"/>
      </w:tabs>
      <w:snapToGrid w:val="0"/>
      <w:jc w:val="left"/>
    </w:pPr>
    <w:rPr>
      <w:sz w:val="18"/>
      <w:szCs w:val="18"/>
    </w:rPr>
  </w:style>
  <w:style w:type="paragraph" w:styleId="41">
    <w:name w:val="envelope return"/>
    <w:basedOn w:val="1"/>
    <w:autoRedefine/>
    <w:qFormat/>
    <w:uiPriority w:val="99"/>
    <w:pPr>
      <w:snapToGrid w:val="0"/>
    </w:pPr>
    <w:rPr>
      <w:rFonts w:ascii="Arial" w:hAnsi="Arial" w:cs="Arial"/>
      <w:szCs w:val="24"/>
    </w:rPr>
  </w:style>
  <w:style w:type="paragraph" w:styleId="42">
    <w:name w:val="header"/>
    <w:basedOn w:val="1"/>
    <w:link w:val="17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43">
    <w:name w:val="toc 1"/>
    <w:basedOn w:val="1"/>
    <w:next w:val="1"/>
    <w:autoRedefine/>
    <w:qFormat/>
    <w:uiPriority w:val="39"/>
    <w:pPr>
      <w:spacing w:before="240" w:after="240"/>
    </w:pPr>
    <w:rPr>
      <w:rFonts w:eastAsia="仿宋"/>
      <w:sz w:val="36"/>
      <w:szCs w:val="24"/>
    </w:rPr>
  </w:style>
  <w:style w:type="paragraph" w:styleId="44">
    <w:name w:val="toc 4"/>
    <w:basedOn w:val="1"/>
    <w:next w:val="1"/>
    <w:autoRedefine/>
    <w:unhideWhenUsed/>
    <w:qFormat/>
    <w:uiPriority w:val="39"/>
    <w:pPr>
      <w:ind w:left="1260" w:leftChars="600"/>
    </w:pPr>
  </w:style>
  <w:style w:type="paragraph" w:styleId="45">
    <w:name w:val="Subtitle"/>
    <w:basedOn w:val="1"/>
    <w:link w:val="340"/>
    <w:autoRedefine/>
    <w:qFormat/>
    <w:uiPriority w:val="0"/>
    <w:pPr>
      <w:spacing w:afterLines="50"/>
      <w:jc w:val="center"/>
    </w:pPr>
    <w:rPr>
      <w:rFonts w:eastAsia="Times New Roman"/>
      <w:sz w:val="18"/>
      <w:szCs w:val="18"/>
    </w:rPr>
  </w:style>
  <w:style w:type="paragraph" w:styleId="46">
    <w:name w:val="List"/>
    <w:basedOn w:val="1"/>
    <w:autoRedefine/>
    <w:qFormat/>
    <w:uiPriority w:val="0"/>
    <w:pPr>
      <w:ind w:left="200" w:hanging="200" w:hangingChars="200"/>
    </w:pPr>
    <w:rPr>
      <w:sz w:val="28"/>
      <w:szCs w:val="24"/>
    </w:rPr>
  </w:style>
  <w:style w:type="paragraph" w:styleId="47">
    <w:name w:val="footnote text"/>
    <w:basedOn w:val="1"/>
    <w:link w:val="356"/>
    <w:autoRedefine/>
    <w:unhideWhenUsed/>
    <w:qFormat/>
    <w:uiPriority w:val="99"/>
    <w:pPr>
      <w:snapToGrid w:val="0"/>
      <w:jc w:val="left"/>
    </w:pPr>
    <w:rPr>
      <w:sz w:val="18"/>
      <w:szCs w:val="18"/>
    </w:rPr>
  </w:style>
  <w:style w:type="paragraph" w:styleId="48">
    <w:name w:val="Body Text Indent 3"/>
    <w:basedOn w:val="1"/>
    <w:link w:val="126"/>
    <w:autoRedefine/>
    <w:qFormat/>
    <w:uiPriority w:val="0"/>
    <w:pPr>
      <w:snapToGrid w:val="0"/>
      <w:ind w:firstLine="480" w:firstLineChars="200"/>
      <w:jc w:val="left"/>
    </w:pPr>
    <w:rPr>
      <w:rFonts w:ascii="仿宋_GB2312" w:hAnsi="宋体" w:eastAsia="仿宋_GB2312"/>
      <w:color w:val="000000"/>
      <w:sz w:val="24"/>
      <w:szCs w:val="24"/>
    </w:rPr>
  </w:style>
  <w:style w:type="paragraph" w:styleId="49">
    <w:name w:val="table of figures"/>
    <w:basedOn w:val="1"/>
    <w:next w:val="1"/>
    <w:autoRedefine/>
    <w:qFormat/>
    <w:uiPriority w:val="0"/>
    <w:pPr>
      <w:tabs>
        <w:tab w:val="left" w:pos="1270"/>
      </w:tabs>
      <w:spacing w:line="360" w:lineRule="auto"/>
      <w:ind w:left="1270" w:hanging="420"/>
      <w:jc w:val="left"/>
    </w:pPr>
    <w:rPr>
      <w:smallCaps/>
      <w:sz w:val="20"/>
      <w:szCs w:val="20"/>
    </w:rPr>
  </w:style>
  <w:style w:type="paragraph" w:styleId="50">
    <w:name w:val="toc 2"/>
    <w:basedOn w:val="1"/>
    <w:next w:val="1"/>
    <w:autoRedefine/>
    <w:qFormat/>
    <w:uiPriority w:val="39"/>
    <w:pPr>
      <w:widowControl/>
      <w:tabs>
        <w:tab w:val="right" w:leader="dot" w:pos="8302"/>
      </w:tabs>
      <w:spacing w:line="240" w:lineRule="atLeast"/>
      <w:ind w:left="420" w:leftChars="68" w:hanging="277" w:hangingChars="115"/>
      <w:jc w:val="left"/>
    </w:pPr>
    <w:rPr>
      <w:szCs w:val="24"/>
    </w:rPr>
  </w:style>
  <w:style w:type="paragraph" w:styleId="51">
    <w:name w:val="toc 9"/>
    <w:basedOn w:val="1"/>
    <w:next w:val="1"/>
    <w:autoRedefine/>
    <w:qFormat/>
    <w:uiPriority w:val="0"/>
    <w:pPr>
      <w:ind w:left="1680"/>
      <w:jc w:val="left"/>
    </w:pPr>
    <w:rPr>
      <w:sz w:val="18"/>
      <w:szCs w:val="18"/>
    </w:rPr>
  </w:style>
  <w:style w:type="paragraph" w:styleId="52">
    <w:name w:val="Body Text 2"/>
    <w:basedOn w:val="1"/>
    <w:link w:val="152"/>
    <w:autoRedefine/>
    <w:qFormat/>
    <w:uiPriority w:val="0"/>
    <w:pPr>
      <w:widowControl/>
      <w:snapToGrid w:val="0"/>
      <w:spacing w:before="50" w:afterLines="50" w:line="400" w:lineRule="exact"/>
      <w:jc w:val="left"/>
    </w:pPr>
    <w:rPr>
      <w:rFonts w:ascii="宋体" w:hAnsi="宋体"/>
      <w:color w:val="000000"/>
      <w:sz w:val="24"/>
      <w:szCs w:val="24"/>
    </w:rPr>
  </w:style>
  <w:style w:type="paragraph" w:styleId="53">
    <w:name w:val="HTML Preformatted"/>
    <w:basedOn w:val="1"/>
    <w:link w:val="357"/>
    <w:autoRedefine/>
    <w:qFormat/>
    <w:uiPriority w:val="0"/>
    <w:rPr>
      <w:rFonts w:ascii="Courier New" w:hAnsi="Courier New"/>
      <w:sz w:val="20"/>
      <w:szCs w:val="20"/>
    </w:rPr>
  </w:style>
  <w:style w:type="paragraph" w:styleId="54">
    <w:name w:val="Normal (Web)"/>
    <w:basedOn w:val="1"/>
    <w:link w:val="857"/>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55">
    <w:name w:val="index 1"/>
    <w:basedOn w:val="1"/>
    <w:next w:val="1"/>
    <w:autoRedefine/>
    <w:qFormat/>
    <w:uiPriority w:val="0"/>
    <w:rPr>
      <w:szCs w:val="20"/>
    </w:rPr>
  </w:style>
  <w:style w:type="paragraph" w:styleId="56">
    <w:name w:val="Title"/>
    <w:basedOn w:val="1"/>
    <w:next w:val="1"/>
    <w:link w:val="122"/>
    <w:autoRedefine/>
    <w:qFormat/>
    <w:uiPriority w:val="0"/>
    <w:pPr>
      <w:spacing w:before="240" w:after="60"/>
      <w:jc w:val="center"/>
      <w:outlineLvl w:val="0"/>
    </w:pPr>
    <w:rPr>
      <w:rFonts w:ascii="Arial" w:hAnsi="Arial"/>
      <w:b/>
      <w:bCs/>
      <w:sz w:val="32"/>
      <w:szCs w:val="32"/>
    </w:rPr>
  </w:style>
  <w:style w:type="paragraph" w:styleId="57">
    <w:name w:val="annotation subject"/>
    <w:basedOn w:val="24"/>
    <w:next w:val="24"/>
    <w:autoRedefine/>
    <w:qFormat/>
    <w:uiPriority w:val="0"/>
    <w:rPr>
      <w:b/>
      <w:bCs/>
    </w:rPr>
  </w:style>
  <w:style w:type="paragraph" w:styleId="58">
    <w:name w:val="Body Text First Indent 2"/>
    <w:basedOn w:val="20"/>
    <w:next w:val="1"/>
    <w:autoRedefine/>
    <w:qFormat/>
    <w:uiPriority w:val="0"/>
    <w:pPr>
      <w:spacing w:after="120" w:line="240" w:lineRule="auto"/>
      <w:ind w:left="420" w:leftChars="200" w:firstLine="420" w:firstLineChars="200"/>
    </w:pPr>
    <w:rPr>
      <w:rFonts w:ascii="Times New Roman" w:hAnsi="Times New Roman"/>
      <w:spacing w:val="0"/>
      <w:sz w:val="21"/>
    </w:rPr>
  </w:style>
  <w:style w:type="table" w:styleId="60">
    <w:name w:val="Table Grid"/>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1">
    <w:name w:val="Table Simple 1"/>
    <w:basedOn w:val="59"/>
    <w:autoRedefine/>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2">
    <w:name w:val="Table Grid 1"/>
    <w:basedOn w:val="5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4">
    <w:name w:val="Strong"/>
    <w:autoRedefine/>
    <w:qFormat/>
    <w:uiPriority w:val="22"/>
    <w:rPr>
      <w:b/>
      <w:bCs/>
    </w:rPr>
  </w:style>
  <w:style w:type="character" w:styleId="65">
    <w:name w:val="page number"/>
    <w:basedOn w:val="63"/>
    <w:autoRedefine/>
    <w:qFormat/>
    <w:uiPriority w:val="0"/>
  </w:style>
  <w:style w:type="character" w:styleId="66">
    <w:name w:val="FollowedHyperlink"/>
    <w:basedOn w:val="63"/>
    <w:autoRedefine/>
    <w:unhideWhenUsed/>
    <w:qFormat/>
    <w:uiPriority w:val="99"/>
    <w:rPr>
      <w:color w:val="954F72"/>
      <w:u w:val="single"/>
    </w:rPr>
  </w:style>
  <w:style w:type="character" w:styleId="67">
    <w:name w:val="Emphasis"/>
    <w:autoRedefine/>
    <w:qFormat/>
    <w:uiPriority w:val="0"/>
    <w:rPr>
      <w:color w:val="CC0033"/>
    </w:rPr>
  </w:style>
  <w:style w:type="character" w:styleId="68">
    <w:name w:val="Hyperlink"/>
    <w:autoRedefine/>
    <w:qFormat/>
    <w:uiPriority w:val="99"/>
    <w:rPr>
      <w:color w:val="0000FF"/>
      <w:u w:val="single"/>
    </w:rPr>
  </w:style>
  <w:style w:type="character" w:styleId="69">
    <w:name w:val="annotation reference"/>
    <w:autoRedefine/>
    <w:qFormat/>
    <w:uiPriority w:val="99"/>
    <w:rPr>
      <w:sz w:val="21"/>
      <w:szCs w:val="21"/>
    </w:rPr>
  </w:style>
  <w:style w:type="character" w:styleId="70">
    <w:name w:val="footnote reference"/>
    <w:autoRedefine/>
    <w:unhideWhenUsed/>
    <w:qFormat/>
    <w:uiPriority w:val="99"/>
    <w:rPr>
      <w:vertAlign w:val="superscript"/>
    </w:rPr>
  </w:style>
  <w:style w:type="paragraph" w:customStyle="1" w:styleId="71">
    <w:name w:val="正文文本首行缩进 2"/>
    <w:basedOn w:val="20"/>
    <w:autoRedefine/>
    <w:qFormat/>
    <w:uiPriority w:val="99"/>
    <w:pPr>
      <w:tabs>
        <w:tab w:val="left" w:pos="720"/>
        <w:tab w:val="left" w:pos="1260"/>
        <w:tab w:val="left" w:pos="2160"/>
        <w:tab w:val="left" w:pos="2880"/>
        <w:tab w:val="left" w:pos="3600"/>
        <w:tab w:val="left" w:pos="4320"/>
        <w:tab w:val="left" w:pos="5040"/>
        <w:tab w:val="left" w:pos="5760"/>
      </w:tabs>
      <w:spacing w:line="200" w:lineRule="atLeast"/>
      <w:ind w:firstLine="420"/>
    </w:pPr>
  </w:style>
  <w:style w:type="paragraph" w:styleId="72">
    <w:name w:val="List Paragraph"/>
    <w:basedOn w:val="1"/>
    <w:autoRedefine/>
    <w:unhideWhenUsed/>
    <w:qFormat/>
    <w:uiPriority w:val="99"/>
    <w:pPr>
      <w:ind w:firstLine="420" w:firstLineChars="200"/>
    </w:pPr>
  </w:style>
  <w:style w:type="character" w:customStyle="1" w:styleId="73">
    <w:name w:val="已访问的超链接1"/>
    <w:autoRedefine/>
    <w:qFormat/>
    <w:uiPriority w:val="0"/>
    <w:rPr>
      <w:color w:val="800080"/>
      <w:u w:val="single"/>
    </w:rPr>
  </w:style>
  <w:style w:type="character" w:customStyle="1" w:styleId="74">
    <w:name w:val="h4 Char2"/>
    <w:autoRedefine/>
    <w:qFormat/>
    <w:uiPriority w:val="0"/>
    <w:rPr>
      <w:rFonts w:ascii="Arial" w:hAnsi="Arial" w:eastAsia="黑体"/>
      <w:b/>
      <w:bCs/>
      <w:kern w:val="2"/>
      <w:sz w:val="28"/>
      <w:szCs w:val="28"/>
      <w:lang w:val="en-US" w:eastAsia="zh-CN" w:bidi="ar-SA"/>
    </w:rPr>
  </w:style>
  <w:style w:type="character" w:customStyle="1" w:styleId="75">
    <w:name w:val="尾注文本 Char"/>
    <w:link w:val="39"/>
    <w:autoRedefine/>
    <w:qFormat/>
    <w:uiPriority w:val="0"/>
    <w:rPr>
      <w:rFonts w:ascii="宋体" w:eastAsia="宋体"/>
      <w:snapToGrid w:val="0"/>
      <w:sz w:val="21"/>
      <w:lang w:bidi="ar-SA"/>
    </w:rPr>
  </w:style>
  <w:style w:type="character" w:customStyle="1" w:styleId="76">
    <w:name w:val="font81"/>
    <w:autoRedefine/>
    <w:qFormat/>
    <w:uiPriority w:val="0"/>
    <w:rPr>
      <w:rFonts w:ascii="Calibri" w:hAnsi="Calibri" w:cs="Calibri"/>
      <w:color w:val="000000"/>
      <w:sz w:val="22"/>
      <w:szCs w:val="22"/>
      <w:u w:val="none"/>
    </w:rPr>
  </w:style>
  <w:style w:type="character" w:customStyle="1" w:styleId="77">
    <w:name w:val="Char Char9"/>
    <w:autoRedefine/>
    <w:qFormat/>
    <w:uiPriority w:val="0"/>
    <w:rPr>
      <w:rFonts w:eastAsia="宋体"/>
      <w:b/>
      <w:kern w:val="44"/>
      <w:sz w:val="44"/>
      <w:lang w:bidi="ar-SA"/>
    </w:rPr>
  </w:style>
  <w:style w:type="character" w:customStyle="1" w:styleId="78">
    <w:name w:val="ca-7"/>
    <w:basedOn w:val="63"/>
    <w:autoRedefine/>
    <w:qFormat/>
    <w:uiPriority w:val="0"/>
  </w:style>
  <w:style w:type="character" w:customStyle="1" w:styleId="79">
    <w:name w:val="paragraph1 Char"/>
    <w:link w:val="80"/>
    <w:autoRedefine/>
    <w:qFormat/>
    <w:uiPriority w:val="0"/>
    <w:rPr>
      <w:rFonts w:eastAsia="楷体_GB2312"/>
      <w:kern w:val="2"/>
      <w:sz w:val="24"/>
      <w:lang w:val="en-US" w:eastAsia="zh-CN" w:bidi="ar-SA"/>
    </w:rPr>
  </w:style>
  <w:style w:type="paragraph" w:customStyle="1" w:styleId="80">
    <w:name w:val="paragraph1"/>
    <w:basedOn w:val="1"/>
    <w:link w:val="79"/>
    <w:autoRedefine/>
    <w:qFormat/>
    <w:uiPriority w:val="0"/>
    <w:pPr>
      <w:spacing w:afterLines="30" w:line="360" w:lineRule="auto"/>
      <w:ind w:firstLine="420" w:firstLineChars="200"/>
    </w:pPr>
    <w:rPr>
      <w:rFonts w:eastAsia="楷体_GB2312"/>
      <w:sz w:val="24"/>
      <w:szCs w:val="20"/>
    </w:rPr>
  </w:style>
  <w:style w:type="character" w:customStyle="1" w:styleId="81">
    <w:name w:val="模板正文 Char"/>
    <w:link w:val="82"/>
    <w:autoRedefine/>
    <w:qFormat/>
    <w:uiPriority w:val="0"/>
    <w:rPr>
      <w:rFonts w:ascii="Arial" w:hAnsi="Arial"/>
      <w:szCs w:val="21"/>
    </w:rPr>
  </w:style>
  <w:style w:type="paragraph" w:customStyle="1" w:styleId="82">
    <w:name w:val="模板正文"/>
    <w:basedOn w:val="1"/>
    <w:link w:val="81"/>
    <w:autoRedefine/>
    <w:qFormat/>
    <w:uiPriority w:val="0"/>
    <w:pPr>
      <w:wordWrap w:val="0"/>
      <w:spacing w:before="120" w:line="320" w:lineRule="exact"/>
      <w:ind w:left="200" w:leftChars="200" w:firstLine="200" w:firstLineChars="200"/>
    </w:pPr>
    <w:rPr>
      <w:rFonts w:ascii="Arial" w:hAnsi="Arial"/>
      <w:kern w:val="0"/>
      <w:sz w:val="20"/>
      <w:szCs w:val="21"/>
    </w:rPr>
  </w:style>
  <w:style w:type="character" w:customStyle="1" w:styleId="83">
    <w:name w:val="f9"/>
    <w:basedOn w:val="63"/>
    <w:autoRedefine/>
    <w:qFormat/>
    <w:uiPriority w:val="0"/>
  </w:style>
  <w:style w:type="character" w:customStyle="1" w:styleId="84">
    <w:name w:val="tw4winMark"/>
    <w:autoRedefine/>
    <w:qFormat/>
    <w:uiPriority w:val="0"/>
    <w:rPr>
      <w:rFonts w:ascii="Courier New" w:hAnsi="Courier New"/>
      <w:vanish/>
      <w:color w:val="800080"/>
      <w:vertAlign w:val="subscript"/>
    </w:rPr>
  </w:style>
  <w:style w:type="character" w:customStyle="1" w:styleId="85">
    <w:name w:val="Normal Indent Char1 Char1 Char2 Char Char Char Char Char Char Char Char Char Char Char Char Char Char"/>
    <w:autoRedefine/>
    <w:qFormat/>
    <w:uiPriority w:val="0"/>
    <w:rPr>
      <w:rFonts w:eastAsia="仿宋_GB2312"/>
      <w:kern w:val="2"/>
      <w:sz w:val="22"/>
      <w:szCs w:val="24"/>
      <w:lang w:val="en-US" w:eastAsia="zh-CN" w:bidi="ar-SA"/>
    </w:rPr>
  </w:style>
  <w:style w:type="character" w:customStyle="1" w:styleId="86">
    <w:name w:val="普通文字 Char Char2"/>
    <w:autoRedefine/>
    <w:qFormat/>
    <w:uiPriority w:val="0"/>
    <w:rPr>
      <w:rFonts w:ascii="宋体" w:hAnsi="Courier New" w:eastAsia="宋体"/>
      <w:sz w:val="21"/>
      <w:lang w:val="en-US" w:eastAsia="zh-CN" w:bidi="ar-SA"/>
    </w:rPr>
  </w:style>
  <w:style w:type="character" w:customStyle="1" w:styleId="87">
    <w:name w:val="标题4-dyf Char Char"/>
    <w:autoRedefine/>
    <w:qFormat/>
    <w:uiPriority w:val="0"/>
    <w:rPr>
      <w:rFonts w:ascii="Cambria" w:hAnsi="Cambria" w:eastAsia="宋体"/>
      <w:b/>
      <w:bCs/>
      <w:color w:val="000000"/>
      <w:kern w:val="2"/>
      <w:sz w:val="21"/>
      <w:szCs w:val="21"/>
      <w:lang w:val="en-US" w:eastAsia="zh-CN" w:bidi="ar-SA"/>
    </w:rPr>
  </w:style>
  <w:style w:type="character" w:customStyle="1" w:styleId="88">
    <w:name w:val="title14"/>
    <w:basedOn w:val="63"/>
    <w:autoRedefine/>
    <w:qFormat/>
    <w:uiPriority w:val="0"/>
  </w:style>
  <w:style w:type="character" w:customStyle="1" w:styleId="89">
    <w:name w:val="正文缩进 Char1"/>
    <w:autoRedefine/>
    <w:qFormat/>
    <w:uiPriority w:val="0"/>
    <w:rPr>
      <w:rFonts w:ascii="Calibri" w:hAnsi="Calibri" w:eastAsia="宋体" w:cs="Times New Roman"/>
      <w:szCs w:val="20"/>
    </w:rPr>
  </w:style>
  <w:style w:type="character" w:customStyle="1" w:styleId="90">
    <w:name w:val="p71"/>
    <w:autoRedefine/>
    <w:qFormat/>
    <w:uiPriority w:val="0"/>
    <w:rPr>
      <w:sz w:val="21"/>
    </w:rPr>
  </w:style>
  <w:style w:type="character" w:customStyle="1" w:styleId="91">
    <w:name w:val="Z图表 Char"/>
    <w:link w:val="92"/>
    <w:autoRedefine/>
    <w:qFormat/>
    <w:uiPriority w:val="0"/>
    <w:rPr>
      <w:rFonts w:ascii="Times New Roman" w:hAnsi="Times New Roman" w:eastAsia="黑体"/>
      <w:sz w:val="24"/>
      <w:szCs w:val="24"/>
    </w:rPr>
  </w:style>
  <w:style w:type="paragraph" w:customStyle="1" w:styleId="92">
    <w:name w:val="Z图表"/>
    <w:basedOn w:val="21"/>
    <w:link w:val="91"/>
    <w:autoRedefine/>
    <w:qFormat/>
    <w:uiPriority w:val="0"/>
    <w:pPr>
      <w:spacing w:beforeLines="50" w:afterLines="50"/>
      <w:jc w:val="center"/>
    </w:pPr>
    <w:rPr>
      <w:rFonts w:ascii="Times New Roman" w:hAnsi="Times New Roman"/>
      <w:kern w:val="0"/>
      <w:sz w:val="24"/>
      <w:szCs w:val="24"/>
    </w:rPr>
  </w:style>
  <w:style w:type="character" w:customStyle="1" w:styleId="93">
    <w:name w:val="point_normal1"/>
    <w:autoRedefine/>
    <w:qFormat/>
    <w:uiPriority w:val="0"/>
    <w:rPr>
      <w:rFonts w:hint="default" w:ascii="Arial" w:hAnsi="Arial" w:cs="Arial"/>
      <w:sz w:val="18"/>
      <w:szCs w:val="18"/>
    </w:rPr>
  </w:style>
  <w:style w:type="character" w:customStyle="1" w:styleId="94">
    <w:name w:val="H1 Char3"/>
    <w:autoRedefine/>
    <w:qFormat/>
    <w:uiPriority w:val="0"/>
    <w:rPr>
      <w:rFonts w:eastAsia="隶书"/>
      <w:b/>
      <w:bCs/>
      <w:sz w:val="36"/>
      <w:szCs w:val="36"/>
      <w:lang w:val="en-US" w:eastAsia="zh-CN" w:bidi="ar-SA"/>
    </w:rPr>
  </w:style>
  <w:style w:type="character" w:customStyle="1" w:styleId="95">
    <w:name w:val="页眉 Char"/>
    <w:autoRedefine/>
    <w:qFormat/>
    <w:uiPriority w:val="0"/>
    <w:rPr>
      <w:kern w:val="2"/>
      <w:sz w:val="18"/>
      <w:szCs w:val="18"/>
      <w:lang w:bidi="ar-SA"/>
    </w:rPr>
  </w:style>
  <w:style w:type="character" w:customStyle="1" w:styleId="96">
    <w:name w:val="投标正文 Char"/>
    <w:link w:val="97"/>
    <w:autoRedefine/>
    <w:qFormat/>
    <w:uiPriority w:val="0"/>
    <w:rPr>
      <w:rFonts w:ascii="宋体" w:hAnsi="宋体" w:eastAsia="宋体"/>
      <w:kern w:val="2"/>
      <w:sz w:val="24"/>
      <w:szCs w:val="24"/>
      <w:lang w:val="en-US" w:eastAsia="zh-CN" w:bidi="ar-SA"/>
    </w:rPr>
  </w:style>
  <w:style w:type="paragraph" w:customStyle="1" w:styleId="97">
    <w:name w:val="投标正文"/>
    <w:basedOn w:val="1"/>
    <w:link w:val="96"/>
    <w:autoRedefine/>
    <w:qFormat/>
    <w:uiPriority w:val="0"/>
    <w:pPr>
      <w:adjustRightInd w:val="0"/>
      <w:snapToGrid w:val="0"/>
      <w:spacing w:line="360" w:lineRule="auto"/>
      <w:ind w:firstLine="480" w:firstLineChars="200"/>
    </w:pPr>
    <w:rPr>
      <w:rFonts w:ascii="宋体" w:hAnsi="宋体"/>
      <w:sz w:val="24"/>
      <w:szCs w:val="24"/>
    </w:rPr>
  </w:style>
  <w:style w:type="character" w:customStyle="1" w:styleId="98">
    <w:name w:val="正文 首行缩进:  2 字符 Char"/>
    <w:link w:val="99"/>
    <w:autoRedefine/>
    <w:qFormat/>
    <w:uiPriority w:val="0"/>
    <w:rPr>
      <w:rFonts w:cs="宋体"/>
      <w:sz w:val="24"/>
    </w:rPr>
  </w:style>
  <w:style w:type="paragraph" w:customStyle="1" w:styleId="99">
    <w:name w:val="正文 首行缩进:  2 字符"/>
    <w:basedOn w:val="1"/>
    <w:next w:val="1"/>
    <w:link w:val="98"/>
    <w:autoRedefine/>
    <w:qFormat/>
    <w:uiPriority w:val="0"/>
    <w:pPr>
      <w:spacing w:line="360" w:lineRule="auto"/>
      <w:ind w:firstLine="480" w:firstLineChars="200"/>
      <w:jc w:val="left"/>
    </w:pPr>
    <w:rPr>
      <w:kern w:val="0"/>
      <w:sz w:val="24"/>
      <w:szCs w:val="20"/>
    </w:rPr>
  </w:style>
  <w:style w:type="character" w:customStyle="1" w:styleId="100">
    <w:name w:val="text_show1"/>
    <w:autoRedefine/>
    <w:qFormat/>
    <w:uiPriority w:val="0"/>
    <w:rPr>
      <w:color w:val="000000"/>
      <w:sz w:val="21"/>
      <w:szCs w:val="21"/>
      <w:u w:val="none"/>
    </w:rPr>
  </w:style>
  <w:style w:type="character" w:customStyle="1" w:styleId="101">
    <w:name w:val="一级标题 Char"/>
    <w:link w:val="102"/>
    <w:autoRedefine/>
    <w:qFormat/>
    <w:locked/>
    <w:uiPriority w:val="0"/>
    <w:rPr>
      <w:rFonts w:ascii="宋体" w:hAnsi="宋体"/>
      <w:b/>
      <w:kern w:val="2"/>
      <w:sz w:val="36"/>
      <w:szCs w:val="36"/>
    </w:rPr>
  </w:style>
  <w:style w:type="paragraph" w:customStyle="1" w:styleId="102">
    <w:name w:val="一级标题"/>
    <w:basedOn w:val="35"/>
    <w:link w:val="101"/>
    <w:autoRedefine/>
    <w:qFormat/>
    <w:uiPriority w:val="0"/>
    <w:pPr>
      <w:spacing w:line="360" w:lineRule="auto"/>
      <w:jc w:val="center"/>
    </w:pPr>
    <w:rPr>
      <w:rFonts w:hAnsi="宋体"/>
      <w:b/>
      <w:sz w:val="36"/>
      <w:szCs w:val="36"/>
    </w:rPr>
  </w:style>
  <w:style w:type="character" w:customStyle="1" w:styleId="103">
    <w:name w:val="我的正文 Char"/>
    <w:link w:val="104"/>
    <w:autoRedefine/>
    <w:qFormat/>
    <w:uiPriority w:val="0"/>
    <w:rPr>
      <w:rFonts w:eastAsia="仿宋_GB2312" w:cs="宋体"/>
      <w:kern w:val="2"/>
      <w:sz w:val="24"/>
    </w:rPr>
  </w:style>
  <w:style w:type="paragraph" w:customStyle="1" w:styleId="104">
    <w:name w:val="我的正文"/>
    <w:basedOn w:val="1"/>
    <w:link w:val="103"/>
    <w:autoRedefine/>
    <w:qFormat/>
    <w:uiPriority w:val="0"/>
    <w:pPr>
      <w:spacing w:afterLines="100" w:line="360" w:lineRule="auto"/>
      <w:ind w:firstLine="480" w:firstLineChars="200"/>
    </w:pPr>
    <w:rPr>
      <w:rFonts w:eastAsia="仿宋_GB2312"/>
      <w:sz w:val="24"/>
      <w:szCs w:val="20"/>
    </w:rPr>
  </w:style>
  <w:style w:type="character" w:customStyle="1" w:styleId="105">
    <w:name w:val="纯文本 Char2"/>
    <w:link w:val="35"/>
    <w:autoRedefine/>
    <w:qFormat/>
    <w:uiPriority w:val="0"/>
    <w:rPr>
      <w:rFonts w:ascii="宋体" w:hAnsi="Courier New"/>
      <w:kern w:val="2"/>
      <w:sz w:val="24"/>
      <w:szCs w:val="24"/>
    </w:rPr>
  </w:style>
  <w:style w:type="character" w:customStyle="1" w:styleId="106">
    <w:name w:val="black10"/>
    <w:basedOn w:val="63"/>
    <w:autoRedefine/>
    <w:qFormat/>
    <w:uiPriority w:val="0"/>
  </w:style>
  <w:style w:type="character" w:customStyle="1" w:styleId="107">
    <w:name w:val="14_black1"/>
    <w:autoRedefine/>
    <w:qFormat/>
    <w:uiPriority w:val="0"/>
    <w:rPr>
      <w:color w:val="000000"/>
      <w:sz w:val="21"/>
    </w:rPr>
  </w:style>
  <w:style w:type="character" w:customStyle="1" w:styleId="108">
    <w:name w:val="Title Char"/>
    <w:autoRedefine/>
    <w:qFormat/>
    <w:uiPriority w:val="0"/>
    <w:rPr>
      <w:rFonts w:ascii="Cambria" w:hAnsi="Cambria" w:eastAsia="宋体" w:cs="Cambria"/>
      <w:b/>
      <w:bCs/>
      <w:sz w:val="32"/>
      <w:szCs w:val="32"/>
      <w:lang w:val="en-US" w:eastAsia="zh-CN" w:bidi="ar-SA"/>
    </w:rPr>
  </w:style>
  <w:style w:type="character" w:customStyle="1" w:styleId="109">
    <w:name w:val="List Paragraph Char"/>
    <w:link w:val="110"/>
    <w:autoRedefine/>
    <w:qFormat/>
    <w:locked/>
    <w:uiPriority w:val="0"/>
    <w:rPr>
      <w:rFonts w:ascii="Times New Roman" w:hAnsi="Times New Roman"/>
      <w:kern w:val="2"/>
      <w:sz w:val="21"/>
      <w:szCs w:val="24"/>
    </w:rPr>
  </w:style>
  <w:style w:type="paragraph" w:customStyle="1" w:styleId="110">
    <w:name w:val="列出段落111"/>
    <w:basedOn w:val="1"/>
    <w:link w:val="109"/>
    <w:autoRedefine/>
    <w:qFormat/>
    <w:uiPriority w:val="0"/>
    <w:pPr>
      <w:ind w:firstLine="420" w:firstLineChars="200"/>
    </w:pPr>
    <w:rPr>
      <w:szCs w:val="24"/>
    </w:rPr>
  </w:style>
  <w:style w:type="character" w:customStyle="1" w:styleId="111">
    <w:name w:val="标题 7 Char"/>
    <w:link w:val="8"/>
    <w:autoRedefine/>
    <w:qFormat/>
    <w:uiPriority w:val="0"/>
    <w:rPr>
      <w:rFonts w:eastAsia="宋体"/>
      <w:b/>
      <w:bCs/>
      <w:kern w:val="2"/>
      <w:sz w:val="24"/>
      <w:szCs w:val="24"/>
      <w:lang w:val="en-US" w:eastAsia="zh-CN" w:bidi="ar-SA"/>
    </w:rPr>
  </w:style>
  <w:style w:type="character" w:customStyle="1" w:styleId="112">
    <w:name w:val="ca-8"/>
    <w:basedOn w:val="63"/>
    <w:autoRedefine/>
    <w:qFormat/>
    <w:uiPriority w:val="0"/>
  </w:style>
  <w:style w:type="character" w:customStyle="1" w:styleId="113">
    <w:name w:val="批注文字 Char"/>
    <w:link w:val="24"/>
    <w:autoRedefine/>
    <w:qFormat/>
    <w:uiPriority w:val="0"/>
    <w:rPr>
      <w:kern w:val="2"/>
      <w:sz w:val="21"/>
      <w:szCs w:val="22"/>
    </w:rPr>
  </w:style>
  <w:style w:type="character" w:customStyle="1" w:styleId="114">
    <w:name w:val="大汉方案正文 Char Char Char"/>
    <w:link w:val="115"/>
    <w:autoRedefine/>
    <w:qFormat/>
    <w:uiPriority w:val="0"/>
    <w:rPr>
      <w:rFonts w:ascii="Arial" w:hAnsi="Arial" w:eastAsia="宋体"/>
      <w:sz w:val="24"/>
      <w:szCs w:val="24"/>
      <w:lang w:bidi="ar-SA"/>
    </w:rPr>
  </w:style>
  <w:style w:type="paragraph" w:customStyle="1" w:styleId="115">
    <w:name w:val="大汉方案正文 Char"/>
    <w:basedOn w:val="1"/>
    <w:link w:val="114"/>
    <w:autoRedefine/>
    <w:qFormat/>
    <w:uiPriority w:val="0"/>
    <w:pPr>
      <w:spacing w:line="360" w:lineRule="auto"/>
      <w:ind w:firstLine="200" w:firstLineChars="200"/>
    </w:pPr>
    <w:rPr>
      <w:rFonts w:ascii="Arial" w:hAnsi="Arial"/>
      <w:kern w:val="0"/>
      <w:sz w:val="24"/>
      <w:szCs w:val="24"/>
    </w:rPr>
  </w:style>
  <w:style w:type="character" w:customStyle="1" w:styleId="116">
    <w:name w:val="衢州正文 Char"/>
    <w:link w:val="117"/>
    <w:autoRedefine/>
    <w:qFormat/>
    <w:uiPriority w:val="0"/>
    <w:rPr>
      <w:rFonts w:ascii="Times New Roman" w:hAnsi="宋体"/>
      <w:sz w:val="24"/>
      <w:szCs w:val="24"/>
    </w:rPr>
  </w:style>
  <w:style w:type="paragraph" w:customStyle="1" w:styleId="117">
    <w:name w:val="衢州正文"/>
    <w:basedOn w:val="1"/>
    <w:link w:val="116"/>
    <w:autoRedefine/>
    <w:qFormat/>
    <w:uiPriority w:val="0"/>
    <w:pPr>
      <w:spacing w:line="360" w:lineRule="auto"/>
      <w:ind w:firstLine="480" w:firstLineChars="200"/>
    </w:pPr>
    <w:rPr>
      <w:rFonts w:hAnsi="宋体"/>
      <w:kern w:val="0"/>
      <w:sz w:val="24"/>
      <w:szCs w:val="24"/>
    </w:rPr>
  </w:style>
  <w:style w:type="character" w:customStyle="1" w:styleId="118">
    <w:name w:val="tw4winPopup"/>
    <w:autoRedefine/>
    <w:qFormat/>
    <w:uiPriority w:val="0"/>
    <w:rPr>
      <w:rFonts w:ascii="Courier New" w:hAnsi="Courier New"/>
      <w:color w:val="008000"/>
    </w:rPr>
  </w:style>
  <w:style w:type="character" w:customStyle="1" w:styleId="119">
    <w:name w:val="公文正文 Char"/>
    <w:link w:val="120"/>
    <w:autoRedefine/>
    <w:qFormat/>
    <w:uiPriority w:val="0"/>
    <w:rPr>
      <w:rFonts w:ascii="仿宋_GB2312" w:eastAsia="仿宋_GB2312"/>
      <w:kern w:val="2"/>
      <w:sz w:val="24"/>
      <w:szCs w:val="24"/>
      <w:lang w:val="en-US" w:eastAsia="zh-CN" w:bidi="ar-SA"/>
    </w:rPr>
  </w:style>
  <w:style w:type="paragraph" w:customStyle="1" w:styleId="120">
    <w:name w:val="公文正文"/>
    <w:basedOn w:val="1"/>
    <w:link w:val="119"/>
    <w:autoRedefine/>
    <w:qFormat/>
    <w:uiPriority w:val="0"/>
    <w:pPr>
      <w:spacing w:before="156" w:line="360" w:lineRule="auto"/>
      <w:ind w:firstLine="360" w:firstLineChars="200"/>
    </w:pPr>
    <w:rPr>
      <w:rFonts w:ascii="仿宋_GB2312" w:eastAsia="仿宋_GB2312"/>
      <w:sz w:val="24"/>
      <w:szCs w:val="24"/>
    </w:rPr>
  </w:style>
  <w:style w:type="character" w:customStyle="1" w:styleId="121">
    <w:name w:val="正文文本缩进 Char2"/>
    <w:link w:val="20"/>
    <w:autoRedefine/>
    <w:qFormat/>
    <w:uiPriority w:val="0"/>
    <w:rPr>
      <w:rFonts w:ascii="宋体" w:hAnsi="Courier New" w:eastAsia="宋体"/>
      <w:spacing w:val="-4"/>
      <w:kern w:val="2"/>
      <w:sz w:val="18"/>
      <w:lang w:val="en-US" w:eastAsia="zh-CN" w:bidi="ar-SA"/>
    </w:rPr>
  </w:style>
  <w:style w:type="character" w:customStyle="1" w:styleId="122">
    <w:name w:val="标题 Char"/>
    <w:link w:val="56"/>
    <w:autoRedefine/>
    <w:qFormat/>
    <w:uiPriority w:val="0"/>
    <w:rPr>
      <w:rFonts w:ascii="Arial" w:hAnsi="Arial" w:cs="Arial"/>
      <w:b/>
      <w:bCs/>
      <w:kern w:val="2"/>
      <w:sz w:val="32"/>
      <w:szCs w:val="32"/>
    </w:rPr>
  </w:style>
  <w:style w:type="character" w:customStyle="1" w:styleId="123">
    <w:name w:val="标题 5 Char"/>
    <w:link w:val="6"/>
    <w:autoRedefine/>
    <w:qFormat/>
    <w:uiPriority w:val="0"/>
    <w:rPr>
      <w:rFonts w:eastAsia="宋体"/>
      <w:b/>
      <w:bCs/>
      <w:kern w:val="2"/>
      <w:sz w:val="28"/>
      <w:szCs w:val="28"/>
      <w:lang w:bidi="ar-SA"/>
    </w:rPr>
  </w:style>
  <w:style w:type="character" w:customStyle="1" w:styleId="124">
    <w:name w:val="Indent Normal Char Char"/>
    <w:autoRedefine/>
    <w:qFormat/>
    <w:uiPriority w:val="0"/>
    <w:rPr>
      <w:kern w:val="2"/>
      <w:sz w:val="21"/>
      <w:lang w:bidi="ar-SA"/>
    </w:rPr>
  </w:style>
  <w:style w:type="character" w:customStyle="1" w:styleId="125">
    <w:name w:val="paramname3"/>
    <w:autoRedefine/>
    <w:qFormat/>
    <w:uiPriority w:val="0"/>
    <w:rPr>
      <w:color w:val="999999"/>
    </w:rPr>
  </w:style>
  <w:style w:type="character" w:customStyle="1" w:styleId="126">
    <w:name w:val="正文文本缩进 3 Char"/>
    <w:link w:val="48"/>
    <w:autoRedefine/>
    <w:qFormat/>
    <w:uiPriority w:val="0"/>
    <w:rPr>
      <w:rFonts w:ascii="仿宋_GB2312" w:hAnsi="宋体" w:eastAsia="仿宋_GB2312"/>
      <w:color w:val="000000"/>
      <w:kern w:val="2"/>
      <w:sz w:val="24"/>
      <w:szCs w:val="24"/>
    </w:rPr>
  </w:style>
  <w:style w:type="character" w:customStyle="1" w:styleId="127">
    <w:name w:val="表正文 Char2"/>
    <w:autoRedefine/>
    <w:qFormat/>
    <w:uiPriority w:val="0"/>
    <w:rPr>
      <w:rFonts w:eastAsia="宋体"/>
      <w:kern w:val="2"/>
      <w:sz w:val="21"/>
      <w:lang w:val="en-US" w:eastAsia="zh-CN" w:bidi="ar-SA"/>
    </w:rPr>
  </w:style>
  <w:style w:type="character" w:customStyle="1" w:styleId="128">
    <w:name w:val="标题 9 Char"/>
    <w:link w:val="10"/>
    <w:autoRedefine/>
    <w:qFormat/>
    <w:uiPriority w:val="0"/>
    <w:rPr>
      <w:rFonts w:ascii="Cambria" w:hAnsi="Cambria" w:eastAsia="宋体"/>
      <w:kern w:val="2"/>
      <w:sz w:val="21"/>
      <w:szCs w:val="21"/>
      <w:lang w:val="en-US" w:eastAsia="zh-CN" w:bidi="ar-SA"/>
    </w:rPr>
  </w:style>
  <w:style w:type="character" w:customStyle="1" w:styleId="129">
    <w:name w:val="正文文本 3 Char"/>
    <w:link w:val="26"/>
    <w:autoRedefine/>
    <w:qFormat/>
    <w:uiPriority w:val="0"/>
    <w:rPr>
      <w:rFonts w:ascii="Times New Roman" w:hAnsi="宋体" w:eastAsia="仿宋_GB2312"/>
      <w:b/>
      <w:bCs/>
      <w:kern w:val="2"/>
      <w:sz w:val="24"/>
    </w:rPr>
  </w:style>
  <w:style w:type="character" w:customStyle="1" w:styleId="130">
    <w:name w:val="日期 Char"/>
    <w:link w:val="37"/>
    <w:autoRedefine/>
    <w:qFormat/>
    <w:uiPriority w:val="0"/>
    <w:rPr>
      <w:rFonts w:eastAsia="楷体_GB2312"/>
      <w:kern w:val="2"/>
      <w:sz w:val="32"/>
      <w:lang w:val="en-US" w:eastAsia="zh-CN" w:bidi="ar-SA"/>
    </w:rPr>
  </w:style>
  <w:style w:type="character" w:customStyle="1" w:styleId="131">
    <w:name w:val="flname7"/>
    <w:basedOn w:val="63"/>
    <w:autoRedefine/>
    <w:qFormat/>
    <w:uiPriority w:val="0"/>
  </w:style>
  <w:style w:type="character" w:customStyle="1" w:styleId="132">
    <w:name w:val="font71"/>
    <w:autoRedefine/>
    <w:qFormat/>
    <w:uiPriority w:val="0"/>
    <w:rPr>
      <w:rFonts w:hint="default" w:ascii="Arial" w:hAnsi="Arial" w:cs="Arial"/>
      <w:color w:val="000000"/>
      <w:sz w:val="22"/>
      <w:szCs w:val="22"/>
      <w:u w:val="none"/>
    </w:rPr>
  </w:style>
  <w:style w:type="character" w:customStyle="1" w:styleId="133">
    <w:name w:val="页脚 Char1"/>
    <w:link w:val="40"/>
    <w:autoRedefine/>
    <w:qFormat/>
    <w:uiPriority w:val="99"/>
    <w:rPr>
      <w:kern w:val="2"/>
      <w:sz w:val="18"/>
      <w:szCs w:val="18"/>
    </w:rPr>
  </w:style>
  <w:style w:type="character" w:customStyle="1" w:styleId="134">
    <w:name w:val="Char Char91"/>
    <w:autoRedefine/>
    <w:qFormat/>
    <w:uiPriority w:val="0"/>
    <w:rPr>
      <w:rFonts w:eastAsia="宋体"/>
      <w:b/>
      <w:kern w:val="44"/>
      <w:sz w:val="44"/>
      <w:lang w:bidi="ar-SA"/>
    </w:rPr>
  </w:style>
  <w:style w:type="character" w:customStyle="1" w:styleId="135">
    <w:name w:val="Char Char81"/>
    <w:autoRedefine/>
    <w:qFormat/>
    <w:uiPriority w:val="0"/>
    <w:rPr>
      <w:rFonts w:ascii="Arial" w:hAnsi="Arial" w:eastAsia="黑体"/>
      <w:b/>
      <w:bCs/>
      <w:kern w:val="2"/>
      <w:sz w:val="32"/>
      <w:szCs w:val="32"/>
      <w:lang w:val="en-US" w:eastAsia="zh-CN" w:bidi="ar-SA"/>
    </w:rPr>
  </w:style>
  <w:style w:type="character" w:customStyle="1" w:styleId="136">
    <w:name w:val="自定义正文 Char Char"/>
    <w:autoRedefine/>
    <w:qFormat/>
    <w:uiPriority w:val="0"/>
    <w:rPr>
      <w:rFonts w:eastAsia="宋体"/>
      <w:kern w:val="2"/>
      <w:sz w:val="24"/>
      <w:szCs w:val="24"/>
      <w:lang w:val="en-US" w:eastAsia="zh-CN" w:bidi="ar-SA"/>
    </w:rPr>
  </w:style>
  <w:style w:type="character" w:customStyle="1" w:styleId="137">
    <w:name w:val="bulletintext1"/>
    <w:autoRedefine/>
    <w:qFormat/>
    <w:uiPriority w:val="0"/>
    <w:rPr>
      <w:color w:val="000000"/>
      <w:sz w:val="18"/>
      <w:szCs w:val="18"/>
    </w:rPr>
  </w:style>
  <w:style w:type="character" w:customStyle="1" w:styleId="138">
    <w:name w:val="方案正文 Char"/>
    <w:link w:val="139"/>
    <w:autoRedefine/>
    <w:qFormat/>
    <w:uiPriority w:val="0"/>
    <w:rPr>
      <w:rFonts w:ascii="Calibri" w:hAnsi="Calibri" w:eastAsia="仿宋_GB2312"/>
      <w:kern w:val="2"/>
      <w:sz w:val="32"/>
      <w:szCs w:val="24"/>
      <w:lang w:val="en-US" w:eastAsia="zh-CN" w:bidi="ar-SA"/>
    </w:rPr>
  </w:style>
  <w:style w:type="paragraph" w:customStyle="1" w:styleId="139">
    <w:name w:val="方案正文"/>
    <w:basedOn w:val="1"/>
    <w:link w:val="138"/>
    <w:autoRedefine/>
    <w:qFormat/>
    <w:uiPriority w:val="0"/>
    <w:pPr>
      <w:adjustRightInd w:val="0"/>
      <w:snapToGrid w:val="0"/>
      <w:spacing w:line="560" w:lineRule="exact"/>
      <w:ind w:firstLine="200" w:firstLineChars="200"/>
    </w:pPr>
    <w:rPr>
      <w:rFonts w:ascii="Calibri" w:hAnsi="Calibri" w:eastAsia="仿宋_GB2312"/>
      <w:sz w:val="32"/>
      <w:szCs w:val="24"/>
    </w:rPr>
  </w:style>
  <w:style w:type="character" w:customStyle="1" w:styleId="140">
    <w:name w:val="mark"/>
    <w:autoRedefine/>
    <w:qFormat/>
    <w:uiPriority w:val="0"/>
    <w:rPr>
      <w:rFonts w:cs="Times New Roman"/>
    </w:rPr>
  </w:style>
  <w:style w:type="character" w:customStyle="1" w:styleId="141">
    <w:name w:val="样式 首行缩进:  0.85 厘米 Char"/>
    <w:link w:val="142"/>
    <w:autoRedefine/>
    <w:qFormat/>
    <w:uiPriority w:val="0"/>
    <w:rPr>
      <w:rFonts w:eastAsia="宋体" w:cs="宋体"/>
      <w:kern w:val="2"/>
      <w:sz w:val="24"/>
      <w:lang w:val="en-US" w:eastAsia="zh-CN" w:bidi="ar-SA"/>
    </w:rPr>
  </w:style>
  <w:style w:type="paragraph" w:customStyle="1" w:styleId="142">
    <w:name w:val="样式 首行缩进:  0.85 厘米"/>
    <w:basedOn w:val="1"/>
    <w:link w:val="141"/>
    <w:autoRedefine/>
    <w:qFormat/>
    <w:uiPriority w:val="0"/>
    <w:pPr>
      <w:spacing w:line="360" w:lineRule="auto"/>
      <w:ind w:firstLine="480"/>
    </w:pPr>
    <w:rPr>
      <w:rFonts w:cs="宋体"/>
      <w:sz w:val="24"/>
      <w:szCs w:val="20"/>
    </w:rPr>
  </w:style>
  <w:style w:type="character" w:customStyle="1" w:styleId="143">
    <w:name w:val="Heading 2 Char"/>
    <w:autoRedefine/>
    <w:qFormat/>
    <w:uiPriority w:val="0"/>
    <w:rPr>
      <w:rFonts w:ascii="Cambria" w:hAnsi="Cambria" w:eastAsia="宋体" w:cs="Cambria"/>
      <w:b/>
      <w:bCs/>
      <w:sz w:val="32"/>
      <w:szCs w:val="32"/>
      <w:lang w:val="en-US" w:eastAsia="zh-CN" w:bidi="ar-SA"/>
    </w:rPr>
  </w:style>
  <w:style w:type="character" w:customStyle="1" w:styleId="144">
    <w:name w:val="+SymcPara Char"/>
    <w:link w:val="145"/>
    <w:autoRedefine/>
    <w:qFormat/>
    <w:locked/>
    <w:uiPriority w:val="0"/>
    <w:rPr>
      <w:rFonts w:ascii="宋体" w:hAnsi="宋体" w:cs="Arial"/>
      <w:lang w:val="en-US" w:eastAsia="en-US" w:bidi="ar-SA"/>
    </w:rPr>
  </w:style>
  <w:style w:type="paragraph" w:customStyle="1" w:styleId="145">
    <w:name w:val="+SymcPara"/>
    <w:link w:val="144"/>
    <w:autoRedefine/>
    <w:qFormat/>
    <w:uiPriority w:val="0"/>
    <w:pPr>
      <w:overflowPunct w:val="0"/>
      <w:autoSpaceDE w:val="0"/>
      <w:autoSpaceDN w:val="0"/>
      <w:adjustRightInd w:val="0"/>
      <w:spacing w:after="200"/>
      <w:textAlignment w:val="baseline"/>
    </w:pPr>
    <w:rPr>
      <w:rFonts w:ascii="宋体" w:hAnsi="宋体" w:eastAsia="宋体" w:cs="Arial"/>
      <w:lang w:val="en-US" w:eastAsia="en-US" w:bidi="ar-SA"/>
    </w:rPr>
  </w:style>
  <w:style w:type="character" w:customStyle="1" w:styleId="146">
    <w:name w:val="正文（缩进） Char"/>
    <w:link w:val="147"/>
    <w:autoRedefine/>
    <w:qFormat/>
    <w:uiPriority w:val="0"/>
    <w:rPr>
      <w:kern w:val="2"/>
      <w:sz w:val="24"/>
      <w:szCs w:val="24"/>
    </w:rPr>
  </w:style>
  <w:style w:type="paragraph" w:customStyle="1" w:styleId="147">
    <w:name w:val="正文（缩进）"/>
    <w:basedOn w:val="1"/>
    <w:link w:val="146"/>
    <w:autoRedefine/>
    <w:qFormat/>
    <w:uiPriority w:val="0"/>
    <w:pPr>
      <w:spacing w:beforeLines="50" w:afterLines="50" w:line="360" w:lineRule="auto"/>
      <w:ind w:firstLine="480" w:firstLineChars="200"/>
    </w:pPr>
    <w:rPr>
      <w:sz w:val="24"/>
      <w:szCs w:val="24"/>
    </w:rPr>
  </w:style>
  <w:style w:type="character" w:customStyle="1" w:styleId="148">
    <w:name w:val="标题 3 Char1"/>
    <w:autoRedefine/>
    <w:qFormat/>
    <w:uiPriority w:val="0"/>
    <w:rPr>
      <w:rFonts w:ascii="Calibri" w:hAnsi="Calibri" w:eastAsia="宋体"/>
      <w:b/>
      <w:bCs/>
      <w:kern w:val="2"/>
      <w:sz w:val="32"/>
      <w:szCs w:val="32"/>
      <w:lang w:val="en-US" w:eastAsia="zh-CN" w:bidi="ar-SA"/>
    </w:rPr>
  </w:style>
  <w:style w:type="character" w:customStyle="1" w:styleId="149">
    <w:name w:val="数据小节格式"/>
    <w:autoRedefine/>
    <w:qFormat/>
    <w:uiPriority w:val="0"/>
    <w:rPr>
      <w:rFonts w:ascii="新宋体" w:hAnsi="新宋体" w:eastAsia="华文中宋"/>
      <w:b/>
      <w:bCs/>
      <w:sz w:val="27"/>
      <w:szCs w:val="26"/>
      <w:shd w:val="clear" w:color="auto" w:fill="auto"/>
    </w:rPr>
  </w:style>
  <w:style w:type="character" w:customStyle="1" w:styleId="150">
    <w:name w:val="二级标题 Char Char"/>
    <w:autoRedefine/>
    <w:qFormat/>
    <w:uiPriority w:val="0"/>
    <w:rPr>
      <w:rFonts w:eastAsia="仿宋"/>
      <w:b/>
      <w:sz w:val="28"/>
      <w:lang w:val="en-US" w:eastAsia="zh-CN" w:bidi="ar-SA"/>
    </w:rPr>
  </w:style>
  <w:style w:type="character" w:customStyle="1" w:styleId="151">
    <w:name w:val="tw4winTerm"/>
    <w:autoRedefine/>
    <w:qFormat/>
    <w:uiPriority w:val="0"/>
    <w:rPr>
      <w:color w:val="0000FF"/>
    </w:rPr>
  </w:style>
  <w:style w:type="character" w:customStyle="1" w:styleId="152">
    <w:name w:val="正文文本 2 Char"/>
    <w:link w:val="52"/>
    <w:autoRedefine/>
    <w:qFormat/>
    <w:uiPriority w:val="0"/>
    <w:rPr>
      <w:rFonts w:ascii="宋体" w:hAnsi="宋体" w:eastAsia="宋体"/>
      <w:color w:val="000000"/>
      <w:kern w:val="2"/>
      <w:sz w:val="24"/>
      <w:szCs w:val="24"/>
      <w:lang w:val="en-US" w:eastAsia="zh-CN" w:bidi="ar-SA"/>
    </w:rPr>
  </w:style>
  <w:style w:type="character" w:customStyle="1" w:styleId="153">
    <w:name w:val="Char Char131"/>
    <w:autoRedefine/>
    <w:qFormat/>
    <w:uiPriority w:val="0"/>
    <w:rPr>
      <w:rFonts w:ascii="Calibri" w:hAnsi="Calibri" w:eastAsia="宋体" w:cs="Times New Roman"/>
      <w:sz w:val="18"/>
      <w:szCs w:val="18"/>
    </w:rPr>
  </w:style>
  <w:style w:type="character" w:customStyle="1" w:styleId="154">
    <w:name w:val="Indent Normal Char"/>
    <w:link w:val="155"/>
    <w:autoRedefine/>
    <w:qFormat/>
    <w:uiPriority w:val="0"/>
    <w:rPr>
      <w:kern w:val="2"/>
      <w:sz w:val="21"/>
      <w:lang w:bidi="ar-SA"/>
    </w:rPr>
  </w:style>
  <w:style w:type="paragraph" w:customStyle="1" w:styleId="155">
    <w:name w:val="Indent Normal"/>
    <w:basedOn w:val="1"/>
    <w:link w:val="154"/>
    <w:autoRedefine/>
    <w:qFormat/>
    <w:uiPriority w:val="0"/>
    <w:pPr>
      <w:ind w:firstLine="420"/>
    </w:pPr>
    <w:rPr>
      <w:szCs w:val="20"/>
    </w:rPr>
  </w:style>
  <w:style w:type="character" w:customStyle="1" w:styleId="156">
    <w:name w:val="b11_01b Char"/>
    <w:link w:val="157"/>
    <w:autoRedefine/>
    <w:qFormat/>
    <w:uiPriority w:val="0"/>
    <w:rPr>
      <w:rFonts w:ascii="Verdana" w:hAnsi="Verdana" w:eastAsia="宋体"/>
      <w:b/>
      <w:bCs/>
      <w:color w:val="4A82CA"/>
      <w:sz w:val="17"/>
      <w:szCs w:val="17"/>
      <w:lang w:val="en-US" w:eastAsia="zh-CN" w:bidi="ar-SA"/>
    </w:rPr>
  </w:style>
  <w:style w:type="paragraph" w:customStyle="1" w:styleId="157">
    <w:name w:val="b11_01b"/>
    <w:basedOn w:val="1"/>
    <w:next w:val="1"/>
    <w:link w:val="156"/>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158">
    <w:name w:val="font21"/>
    <w:basedOn w:val="63"/>
    <w:autoRedefine/>
    <w:qFormat/>
    <w:uiPriority w:val="0"/>
    <w:rPr>
      <w:rFonts w:hint="eastAsia" w:ascii="宋体" w:hAnsi="宋体" w:eastAsia="宋体" w:cs="宋体"/>
      <w:color w:val="000000"/>
      <w:sz w:val="22"/>
      <w:szCs w:val="22"/>
      <w:u w:val="none"/>
    </w:rPr>
  </w:style>
  <w:style w:type="character" w:customStyle="1" w:styleId="159">
    <w:name w:val="ZJ图表 Char"/>
    <w:link w:val="160"/>
    <w:autoRedefine/>
    <w:qFormat/>
    <w:uiPriority w:val="0"/>
    <w:rPr>
      <w:rFonts w:ascii="Times New Roman" w:hAnsi="Times New Roman" w:eastAsia="黑体"/>
      <w:color w:val="000000"/>
      <w:sz w:val="24"/>
      <w:szCs w:val="24"/>
    </w:rPr>
  </w:style>
  <w:style w:type="paragraph" w:customStyle="1" w:styleId="160">
    <w:name w:val="ZJ图表"/>
    <w:basedOn w:val="8"/>
    <w:link w:val="159"/>
    <w:autoRedefine/>
    <w:qFormat/>
    <w:uiPriority w:val="0"/>
    <w:pPr>
      <w:keepNext w:val="0"/>
      <w:keepLines w:val="0"/>
      <w:tabs>
        <w:tab w:val="clear" w:pos="0"/>
      </w:tabs>
      <w:spacing w:beforeLines="50" w:afterLines="50" w:line="240" w:lineRule="auto"/>
      <w:ind w:left="0" w:firstLine="0"/>
      <w:jc w:val="center"/>
      <w:outlineLvl w:val="9"/>
    </w:pPr>
    <w:rPr>
      <w:rFonts w:eastAsia="黑体"/>
      <w:b w:val="0"/>
      <w:bCs w:val="0"/>
      <w:color w:val="000000"/>
      <w:kern w:val="0"/>
    </w:rPr>
  </w:style>
  <w:style w:type="character" w:customStyle="1" w:styleId="161">
    <w:name w:val="列表1、 Char"/>
    <w:link w:val="162"/>
    <w:autoRedefine/>
    <w:qFormat/>
    <w:locked/>
    <w:uiPriority w:val="0"/>
    <w:rPr>
      <w:rFonts w:ascii="仿宋" w:hAnsi="仿宋" w:eastAsia="仿宋"/>
      <w:kern w:val="2"/>
      <w:sz w:val="28"/>
      <w:szCs w:val="21"/>
      <w:lang w:bidi="ar-SA"/>
    </w:rPr>
  </w:style>
  <w:style w:type="paragraph" w:customStyle="1" w:styleId="162">
    <w:name w:val="列表1、"/>
    <w:basedOn w:val="163"/>
    <w:link w:val="161"/>
    <w:autoRedefine/>
    <w:qFormat/>
    <w:uiPriority w:val="0"/>
    <w:pPr>
      <w:numPr>
        <w:ilvl w:val="0"/>
        <w:numId w:val="6"/>
      </w:numPr>
      <w:tabs>
        <w:tab w:val="left" w:pos="1276"/>
      </w:tabs>
      <w:spacing w:line="360" w:lineRule="auto"/>
      <w:ind w:left="987" w:firstLine="0" w:firstLineChars="0"/>
      <w:jc w:val="left"/>
    </w:pPr>
    <w:rPr>
      <w:rFonts w:ascii="仿宋" w:hAnsi="仿宋" w:eastAsia="仿宋"/>
      <w:sz w:val="28"/>
      <w:szCs w:val="21"/>
    </w:rPr>
  </w:style>
  <w:style w:type="paragraph" w:customStyle="1" w:styleId="163">
    <w:name w:val="浅色网格 - 强调文字颜色 31"/>
    <w:basedOn w:val="1"/>
    <w:link w:val="339"/>
    <w:autoRedefine/>
    <w:qFormat/>
    <w:uiPriority w:val="0"/>
    <w:pPr>
      <w:ind w:firstLine="420" w:firstLineChars="200"/>
    </w:pPr>
    <w:rPr>
      <w:szCs w:val="24"/>
    </w:rPr>
  </w:style>
  <w:style w:type="character" w:customStyle="1" w:styleId="164">
    <w:name w:val="正文文本缩进 Char1"/>
    <w:autoRedefine/>
    <w:qFormat/>
    <w:uiPriority w:val="99"/>
    <w:rPr>
      <w:rFonts w:ascii="Times New Roman" w:hAnsi="Times New Roman" w:eastAsia="宋体" w:cs="Times New Roman"/>
      <w:sz w:val="28"/>
      <w:szCs w:val="20"/>
    </w:rPr>
  </w:style>
  <w:style w:type="character" w:customStyle="1" w:styleId="165">
    <w:name w:val="tpc_content1"/>
    <w:autoRedefine/>
    <w:qFormat/>
    <w:uiPriority w:val="0"/>
    <w:rPr>
      <w:sz w:val="20"/>
      <w:szCs w:val="20"/>
    </w:rPr>
  </w:style>
  <w:style w:type="character" w:customStyle="1" w:styleId="166">
    <w:name w:val="inf1"/>
    <w:autoRedefine/>
    <w:qFormat/>
    <w:uiPriority w:val="0"/>
    <w:rPr>
      <w:rFonts w:hint="eastAsia" w:ascii="宋体" w:hAnsi="宋体" w:eastAsia="宋体"/>
      <w:color w:val="000000"/>
      <w:sz w:val="20"/>
      <w:szCs w:val="20"/>
    </w:rPr>
  </w:style>
  <w:style w:type="character" w:customStyle="1" w:styleId="167">
    <w:name w:val="样式 样式3 + 宋体 五号 Char Char Char Char"/>
    <w:autoRedefine/>
    <w:qFormat/>
    <w:uiPriority w:val="0"/>
    <w:rPr>
      <w:rFonts w:hint="eastAsia" w:ascii="宋体" w:hAnsi="宋体" w:eastAsia="宋体"/>
      <w:b/>
      <w:bCs/>
      <w:kern w:val="2"/>
      <w:sz w:val="21"/>
      <w:szCs w:val="24"/>
      <w:lang w:val="en-US" w:eastAsia="zh-CN" w:bidi="ar-SA"/>
    </w:rPr>
  </w:style>
  <w:style w:type="character" w:customStyle="1" w:styleId="168">
    <w:name w:val="列表1"/>
    <w:basedOn w:val="63"/>
    <w:autoRedefine/>
    <w:qFormat/>
    <w:uiPriority w:val="0"/>
  </w:style>
  <w:style w:type="character" w:customStyle="1" w:styleId="169">
    <w:name w:val="line1"/>
    <w:autoRedefine/>
    <w:qFormat/>
    <w:uiPriority w:val="0"/>
    <w:rPr>
      <w:spacing w:val="360"/>
      <w:u w:val="none"/>
    </w:rPr>
  </w:style>
  <w:style w:type="character" w:customStyle="1" w:styleId="170">
    <w:name w:val="ZJGIS图表 Char"/>
    <w:link w:val="171"/>
    <w:autoRedefine/>
    <w:qFormat/>
    <w:uiPriority w:val="0"/>
    <w:rPr>
      <w:rFonts w:ascii="Times New Roman" w:hAnsi="Times New Roman" w:eastAsia="黑体"/>
      <w:color w:val="000000"/>
      <w:sz w:val="24"/>
      <w:szCs w:val="24"/>
    </w:rPr>
  </w:style>
  <w:style w:type="paragraph" w:customStyle="1" w:styleId="171">
    <w:name w:val="ZJGIS图表"/>
    <w:basedOn w:val="1"/>
    <w:link w:val="170"/>
    <w:autoRedefine/>
    <w:qFormat/>
    <w:uiPriority w:val="0"/>
    <w:pPr>
      <w:jc w:val="center"/>
    </w:pPr>
    <w:rPr>
      <w:rFonts w:eastAsia="黑体"/>
      <w:color w:val="000000"/>
      <w:kern w:val="0"/>
      <w:sz w:val="24"/>
      <w:szCs w:val="24"/>
    </w:rPr>
  </w:style>
  <w:style w:type="character" w:customStyle="1" w:styleId="172">
    <w:name w:val="Normal Indent Char Char"/>
    <w:autoRedefine/>
    <w:qFormat/>
    <w:uiPriority w:val="0"/>
    <w:rPr>
      <w:rFonts w:eastAsia="宋体"/>
      <w:kern w:val="2"/>
      <w:sz w:val="21"/>
      <w:szCs w:val="24"/>
      <w:lang w:val="en-US" w:eastAsia="zh-CN" w:bidi="ar-SA"/>
    </w:rPr>
  </w:style>
  <w:style w:type="character" w:customStyle="1" w:styleId="173">
    <w:name w:val="apple-style-span"/>
    <w:basedOn w:val="63"/>
    <w:autoRedefine/>
    <w:qFormat/>
    <w:uiPriority w:val="0"/>
  </w:style>
  <w:style w:type="character" w:customStyle="1" w:styleId="174">
    <w:name w:val="自定义正文 Char"/>
    <w:link w:val="175"/>
    <w:autoRedefine/>
    <w:qFormat/>
    <w:uiPriority w:val="0"/>
    <w:rPr>
      <w:rFonts w:ascii="仿宋_GB2312" w:eastAsia="仿宋_GB2312"/>
      <w:kern w:val="2"/>
      <w:sz w:val="28"/>
      <w:szCs w:val="24"/>
    </w:rPr>
  </w:style>
  <w:style w:type="paragraph" w:customStyle="1" w:styleId="175">
    <w:name w:val="自定义正文"/>
    <w:basedOn w:val="1"/>
    <w:link w:val="174"/>
    <w:autoRedefine/>
    <w:qFormat/>
    <w:uiPriority w:val="0"/>
    <w:pPr>
      <w:spacing w:before="120" w:after="120" w:line="480" w:lineRule="exact"/>
      <w:ind w:firstLine="200" w:firstLineChars="200"/>
      <w:jc w:val="left"/>
    </w:pPr>
    <w:rPr>
      <w:rFonts w:ascii="仿宋_GB2312" w:eastAsia="仿宋_GB2312"/>
      <w:sz w:val="28"/>
      <w:szCs w:val="24"/>
    </w:rPr>
  </w:style>
  <w:style w:type="character" w:customStyle="1" w:styleId="176">
    <w:name w:val="z-窗体底端 Char"/>
    <w:link w:val="177"/>
    <w:autoRedefine/>
    <w:qFormat/>
    <w:uiPriority w:val="0"/>
    <w:rPr>
      <w:rFonts w:ascii="Arial" w:hAnsi="Arial" w:cs="Arial"/>
      <w:vanish/>
      <w:sz w:val="16"/>
      <w:szCs w:val="16"/>
    </w:rPr>
  </w:style>
  <w:style w:type="paragraph" w:customStyle="1" w:styleId="177">
    <w:name w:val="z-窗体底端1"/>
    <w:basedOn w:val="1"/>
    <w:next w:val="1"/>
    <w:link w:val="176"/>
    <w:autoRedefine/>
    <w:qFormat/>
    <w:uiPriority w:val="0"/>
    <w:pPr>
      <w:widowControl/>
      <w:pBdr>
        <w:top w:val="single" w:color="auto" w:sz="6" w:space="1"/>
      </w:pBdr>
      <w:jc w:val="center"/>
    </w:pPr>
    <w:rPr>
      <w:rFonts w:ascii="Arial" w:hAnsi="Arial"/>
      <w:vanish/>
      <w:kern w:val="0"/>
      <w:sz w:val="16"/>
      <w:szCs w:val="16"/>
    </w:rPr>
  </w:style>
  <w:style w:type="character" w:customStyle="1" w:styleId="178">
    <w:name w:val="正文文本缩进 Char"/>
    <w:autoRedefine/>
    <w:qFormat/>
    <w:uiPriority w:val="0"/>
    <w:rPr>
      <w:rFonts w:eastAsia="宋体"/>
      <w:kern w:val="2"/>
      <w:sz w:val="21"/>
      <w:szCs w:val="24"/>
      <w:lang w:val="en-US" w:eastAsia="zh-CN" w:bidi="ar-SA"/>
    </w:rPr>
  </w:style>
  <w:style w:type="character" w:customStyle="1" w:styleId="179">
    <w:name w:val="页眉 Char1"/>
    <w:link w:val="42"/>
    <w:autoRedefine/>
    <w:qFormat/>
    <w:uiPriority w:val="0"/>
    <w:rPr>
      <w:kern w:val="2"/>
      <w:sz w:val="18"/>
      <w:szCs w:val="18"/>
    </w:rPr>
  </w:style>
  <w:style w:type="character" w:customStyle="1" w:styleId="180">
    <w:name w:val="Char Char3"/>
    <w:autoRedefine/>
    <w:qFormat/>
    <w:uiPriority w:val="0"/>
    <w:rPr>
      <w:rFonts w:ascii="Arial" w:hAnsi="Arial" w:eastAsia="黑体"/>
      <w:b/>
      <w:kern w:val="2"/>
      <w:sz w:val="32"/>
      <w:lang w:val="en-US" w:eastAsia="zh-CN" w:bidi="ar-SA"/>
    </w:rPr>
  </w:style>
  <w:style w:type="character" w:customStyle="1" w:styleId="181">
    <w:name w:val="apple-converted-space"/>
    <w:autoRedefine/>
    <w:qFormat/>
    <w:uiPriority w:val="0"/>
  </w:style>
  <w:style w:type="character" w:customStyle="1" w:styleId="182">
    <w:name w:val="Char Char142"/>
    <w:autoRedefine/>
    <w:qFormat/>
    <w:locked/>
    <w:uiPriority w:val="0"/>
    <w:rPr>
      <w:rFonts w:ascii="楷体_GB2312" w:eastAsia="楷体_GB2312"/>
      <w:kern w:val="2"/>
      <w:sz w:val="32"/>
      <w:lang w:val="en-US" w:eastAsia="zh-CN" w:bidi="ar-SA"/>
    </w:rPr>
  </w:style>
  <w:style w:type="character" w:customStyle="1" w:styleId="183">
    <w:name w:val="正文0缩进 Char"/>
    <w:link w:val="184"/>
    <w:autoRedefine/>
    <w:qFormat/>
    <w:uiPriority w:val="0"/>
    <w:rPr>
      <w:rFonts w:ascii="宋体" w:hAnsi="宋体"/>
      <w:sz w:val="24"/>
      <w:szCs w:val="24"/>
    </w:rPr>
  </w:style>
  <w:style w:type="paragraph" w:customStyle="1" w:styleId="184">
    <w:name w:val="正文0缩进"/>
    <w:basedOn w:val="1"/>
    <w:link w:val="183"/>
    <w:autoRedefine/>
    <w:qFormat/>
    <w:uiPriority w:val="0"/>
    <w:pPr>
      <w:spacing w:line="360" w:lineRule="auto"/>
    </w:pPr>
    <w:rPr>
      <w:rFonts w:ascii="宋体" w:hAnsi="宋体"/>
      <w:kern w:val="0"/>
      <w:sz w:val="24"/>
      <w:szCs w:val="24"/>
    </w:rPr>
  </w:style>
  <w:style w:type="character" w:customStyle="1" w:styleId="185">
    <w:name w:val="unnamed11"/>
    <w:autoRedefine/>
    <w:qFormat/>
    <w:uiPriority w:val="0"/>
    <w:rPr>
      <w:color w:val="000000"/>
      <w:sz w:val="20"/>
      <w:szCs w:val="20"/>
    </w:rPr>
  </w:style>
  <w:style w:type="character" w:customStyle="1" w:styleId="186">
    <w:name w:val="正文文本缩进 2 Char"/>
    <w:link w:val="38"/>
    <w:autoRedefine/>
    <w:qFormat/>
    <w:uiPriority w:val="0"/>
    <w:rPr>
      <w:rFonts w:ascii="仿宋_GB2312" w:hAnsi="宋体" w:cs="Arial"/>
      <w:b/>
      <w:bCs/>
      <w:color w:val="000000"/>
      <w:kern w:val="2"/>
      <w:sz w:val="24"/>
      <w:szCs w:val="24"/>
    </w:rPr>
  </w:style>
  <w:style w:type="character" w:customStyle="1" w:styleId="187">
    <w:name w:val="h Char"/>
    <w:autoRedefine/>
    <w:qFormat/>
    <w:uiPriority w:val="0"/>
    <w:rPr>
      <w:rFonts w:ascii="Calibri" w:hAnsi="Calibri" w:eastAsia="宋体" w:cs="Times New Roman"/>
      <w:sz w:val="18"/>
      <w:szCs w:val="18"/>
    </w:rPr>
  </w:style>
  <w:style w:type="character" w:customStyle="1" w:styleId="188">
    <w:name w:val="huide001"/>
    <w:autoRedefine/>
    <w:qFormat/>
    <w:uiPriority w:val="0"/>
    <w:rPr>
      <w:rFonts w:hint="default" w:ascii="Arial" w:hAnsi="Arial" w:cs="Arial"/>
      <w:color w:val="666666"/>
      <w:sz w:val="18"/>
      <w:szCs w:val="18"/>
    </w:rPr>
  </w:style>
  <w:style w:type="character" w:customStyle="1" w:styleId="189">
    <w:name w:val="表格文字 Char"/>
    <w:link w:val="190"/>
    <w:autoRedefine/>
    <w:qFormat/>
    <w:uiPriority w:val="0"/>
    <w:rPr>
      <w:rFonts w:ascii="Times New Roman" w:hAnsi="Times New Roman"/>
      <w:kern w:val="2"/>
      <w:sz w:val="18"/>
      <w:szCs w:val="24"/>
    </w:rPr>
  </w:style>
  <w:style w:type="paragraph" w:customStyle="1" w:styleId="190">
    <w:name w:val="表格文字"/>
    <w:basedOn w:val="1"/>
    <w:next w:val="27"/>
    <w:link w:val="189"/>
    <w:autoRedefine/>
    <w:qFormat/>
    <w:uiPriority w:val="0"/>
    <w:pPr>
      <w:jc w:val="left"/>
      <w:textAlignment w:val="top"/>
    </w:pPr>
    <w:rPr>
      <w:sz w:val="18"/>
      <w:szCs w:val="24"/>
    </w:rPr>
  </w:style>
  <w:style w:type="character" w:customStyle="1" w:styleId="191">
    <w:name w:val="news1"/>
    <w:autoRedefine/>
    <w:qFormat/>
    <w:uiPriority w:val="0"/>
    <w:rPr>
      <w:rFonts w:hint="default" w:ascii="Times New Roman" w:hAnsi="Times New Roman" w:cs="Times New Roman"/>
      <w:sz w:val="21"/>
      <w:szCs w:val="21"/>
    </w:rPr>
  </w:style>
  <w:style w:type="character" w:customStyle="1" w:styleId="192">
    <w:name w:val="表格中文字 Char Char"/>
    <w:autoRedefine/>
    <w:qFormat/>
    <w:uiPriority w:val="0"/>
    <w:rPr>
      <w:rFonts w:ascii="新宋体" w:hAnsi="新宋体" w:eastAsia="新宋体"/>
      <w:sz w:val="24"/>
      <w:szCs w:val="24"/>
      <w:lang w:bidi="ar-SA"/>
    </w:rPr>
  </w:style>
  <w:style w:type="character" w:customStyle="1" w:styleId="193">
    <w:name w:val="无间隔 Char"/>
    <w:link w:val="194"/>
    <w:autoRedefine/>
    <w:qFormat/>
    <w:uiPriority w:val="0"/>
    <w:rPr>
      <w:rFonts w:eastAsia="Times New Roman"/>
      <w:sz w:val="22"/>
      <w:lang w:val="en-US" w:eastAsia="zh-CN" w:bidi="ar-SA"/>
    </w:rPr>
  </w:style>
  <w:style w:type="paragraph" w:customStyle="1" w:styleId="194">
    <w:name w:val="无间隔1"/>
    <w:link w:val="193"/>
    <w:autoRedefine/>
    <w:qFormat/>
    <w:uiPriority w:val="0"/>
    <w:rPr>
      <w:rFonts w:ascii="Times New Roman" w:hAnsi="Times New Roman" w:eastAsia="Times New Roman" w:cs="Times New Roman"/>
      <w:sz w:val="22"/>
      <w:lang w:val="en-US" w:eastAsia="zh-CN" w:bidi="ar-SA"/>
    </w:rPr>
  </w:style>
  <w:style w:type="character" w:customStyle="1" w:styleId="195">
    <w:name w:val="标题 8 Char"/>
    <w:link w:val="9"/>
    <w:autoRedefine/>
    <w:qFormat/>
    <w:uiPriority w:val="0"/>
    <w:rPr>
      <w:rFonts w:ascii="Cambria" w:hAnsi="Cambria" w:eastAsia="宋体"/>
      <w:kern w:val="2"/>
      <w:sz w:val="24"/>
      <w:szCs w:val="24"/>
      <w:lang w:val="en-US" w:eastAsia="zh-CN" w:bidi="ar-SA"/>
    </w:rPr>
  </w:style>
  <w:style w:type="character" w:customStyle="1" w:styleId="196">
    <w:name w:val="font9_black_line14"/>
    <w:basedOn w:val="63"/>
    <w:autoRedefine/>
    <w:qFormat/>
    <w:uiPriority w:val="0"/>
  </w:style>
  <w:style w:type="character" w:customStyle="1" w:styleId="197">
    <w:name w:val="正文文本 Char"/>
    <w:link w:val="27"/>
    <w:autoRedefine/>
    <w:qFormat/>
    <w:uiPriority w:val="0"/>
    <w:rPr>
      <w:rFonts w:eastAsia="宋体"/>
      <w:kern w:val="2"/>
      <w:sz w:val="28"/>
      <w:szCs w:val="24"/>
      <w:lang w:val="en-US" w:eastAsia="zh-CN" w:bidi="ar-SA"/>
    </w:rPr>
  </w:style>
  <w:style w:type="character" w:customStyle="1" w:styleId="198">
    <w:name w:val="title_sub_blue1"/>
    <w:autoRedefine/>
    <w:qFormat/>
    <w:uiPriority w:val="0"/>
    <w:rPr>
      <w:rFonts w:hint="default" w:ascii="Arial" w:hAnsi="Arial"/>
      <w:b/>
      <w:color w:val="16344F"/>
      <w:spacing w:val="15"/>
      <w:sz w:val="18"/>
      <w:u w:val="none"/>
    </w:rPr>
  </w:style>
  <w:style w:type="character" w:customStyle="1" w:styleId="199">
    <w:name w:val="样式 小四"/>
    <w:autoRedefine/>
    <w:qFormat/>
    <w:uiPriority w:val="0"/>
    <w:rPr>
      <w:sz w:val="21"/>
    </w:rPr>
  </w:style>
  <w:style w:type="character" w:customStyle="1" w:styleId="200">
    <w:name w:val="标题4-dyf Char"/>
    <w:link w:val="201"/>
    <w:autoRedefine/>
    <w:qFormat/>
    <w:uiPriority w:val="0"/>
    <w:rPr>
      <w:rFonts w:ascii="Cambria" w:hAnsi="Cambria" w:eastAsia="宋体"/>
      <w:b/>
      <w:bCs/>
      <w:color w:val="000000"/>
      <w:kern w:val="2"/>
      <w:sz w:val="21"/>
      <w:szCs w:val="21"/>
      <w:lang w:val="en-US" w:eastAsia="zh-CN" w:bidi="ar-SA"/>
    </w:rPr>
  </w:style>
  <w:style w:type="paragraph" w:customStyle="1" w:styleId="201">
    <w:name w:val="标题4-dyf"/>
    <w:basedOn w:val="5"/>
    <w:link w:val="200"/>
    <w:autoRedefine/>
    <w:qFormat/>
    <w:uiPriority w:val="0"/>
    <w:pPr>
      <w:tabs>
        <w:tab w:val="left" w:pos="851"/>
      </w:tabs>
      <w:spacing w:line="376" w:lineRule="atLeast"/>
      <w:ind w:left="851" w:hanging="851"/>
    </w:pPr>
    <w:rPr>
      <w:rFonts w:ascii="Cambria" w:hAnsi="Cambria" w:eastAsia="宋体"/>
      <w:color w:val="000000"/>
      <w:sz w:val="21"/>
      <w:szCs w:val="21"/>
    </w:rPr>
  </w:style>
  <w:style w:type="character" w:customStyle="1" w:styleId="202">
    <w:name w:val="封面日期 Char Char"/>
    <w:autoRedefine/>
    <w:qFormat/>
    <w:uiPriority w:val="0"/>
    <w:rPr>
      <w:rFonts w:eastAsia="楷体_GB2312"/>
      <w:kern w:val="2"/>
      <w:sz w:val="32"/>
      <w:lang w:val="en-US" w:eastAsia="zh-CN" w:bidi="ar-SA"/>
    </w:rPr>
  </w:style>
  <w:style w:type="character" w:customStyle="1" w:styleId="203">
    <w:name w:val="Char Char14"/>
    <w:autoRedefine/>
    <w:qFormat/>
    <w:uiPriority w:val="0"/>
    <w:rPr>
      <w:rFonts w:ascii="Calibri" w:hAnsi="Calibri" w:eastAsia="宋体" w:cs="Times New Roman"/>
      <w:b/>
      <w:bCs/>
      <w:sz w:val="28"/>
      <w:szCs w:val="28"/>
    </w:rPr>
  </w:style>
  <w:style w:type="character" w:customStyle="1" w:styleId="204">
    <w:name w:val="Char Char2"/>
    <w:autoRedefine/>
    <w:qFormat/>
    <w:uiPriority w:val="0"/>
    <w:rPr>
      <w:rFonts w:ascii="宋体" w:hAnsi="Courier New" w:eastAsia="宋体"/>
      <w:sz w:val="21"/>
      <w:lang w:val="en-US" w:eastAsia="zh-CN" w:bidi="ar-SA"/>
    </w:rPr>
  </w:style>
  <w:style w:type="character" w:customStyle="1" w:styleId="205">
    <w:name w:val="大标题 Char Char"/>
    <w:autoRedefine/>
    <w:qFormat/>
    <w:uiPriority w:val="0"/>
    <w:rPr>
      <w:b/>
      <w:sz w:val="28"/>
      <w:lang w:val="en-US" w:eastAsia="zh-CN" w:bidi="ar-SA"/>
    </w:rPr>
  </w:style>
  <w:style w:type="character" w:customStyle="1" w:styleId="206">
    <w:name w:val="表正文 Char1"/>
    <w:autoRedefine/>
    <w:qFormat/>
    <w:uiPriority w:val="0"/>
    <w:rPr>
      <w:rFonts w:eastAsia="宋体"/>
      <w:kern w:val="2"/>
      <w:sz w:val="24"/>
      <w:lang w:val="en-US" w:eastAsia="zh-CN"/>
    </w:rPr>
  </w:style>
  <w:style w:type="character" w:customStyle="1" w:styleId="207">
    <w:name w:val="新昌正文 Char"/>
    <w:link w:val="208"/>
    <w:autoRedefine/>
    <w:qFormat/>
    <w:uiPriority w:val="0"/>
    <w:rPr>
      <w:rFonts w:ascii="Times New Roman" w:hAnsi="宋体"/>
      <w:sz w:val="24"/>
      <w:szCs w:val="24"/>
    </w:rPr>
  </w:style>
  <w:style w:type="paragraph" w:customStyle="1" w:styleId="208">
    <w:name w:val="新昌正文"/>
    <w:basedOn w:val="1"/>
    <w:link w:val="207"/>
    <w:autoRedefine/>
    <w:qFormat/>
    <w:uiPriority w:val="0"/>
    <w:pPr>
      <w:spacing w:line="360" w:lineRule="auto"/>
      <w:ind w:firstLine="480" w:firstLineChars="200"/>
    </w:pPr>
    <w:rPr>
      <w:rFonts w:hAnsi="宋体"/>
      <w:kern w:val="0"/>
      <w:sz w:val="24"/>
      <w:szCs w:val="24"/>
    </w:rPr>
  </w:style>
  <w:style w:type="character" w:customStyle="1" w:styleId="209">
    <w:name w:val="吉奥表格正文 Char"/>
    <w:link w:val="210"/>
    <w:autoRedefine/>
    <w:qFormat/>
    <w:uiPriority w:val="0"/>
    <w:rPr>
      <w:rFonts w:ascii="Times New Roman" w:hAnsi="Times New Roman" w:eastAsia="仿宋_GB2312"/>
      <w:szCs w:val="21"/>
    </w:rPr>
  </w:style>
  <w:style w:type="paragraph" w:customStyle="1" w:styleId="210">
    <w:name w:val="吉奥表格正文"/>
    <w:basedOn w:val="1"/>
    <w:link w:val="209"/>
    <w:autoRedefine/>
    <w:qFormat/>
    <w:uiPriority w:val="0"/>
    <w:pPr>
      <w:spacing w:beforeLines="10" w:afterLines="10" w:line="360" w:lineRule="atLeast"/>
      <w:textAlignment w:val="center"/>
    </w:pPr>
    <w:rPr>
      <w:rFonts w:eastAsia="仿宋_GB2312"/>
      <w:kern w:val="0"/>
      <w:sz w:val="20"/>
      <w:szCs w:val="21"/>
    </w:rPr>
  </w:style>
  <w:style w:type="character" w:customStyle="1" w:styleId="211">
    <w:name w:val="Char Char61"/>
    <w:autoRedefine/>
    <w:qFormat/>
    <w:uiPriority w:val="0"/>
    <w:rPr>
      <w:rFonts w:ascii="Calibri" w:hAnsi="Calibri" w:eastAsia="宋体"/>
      <w:b/>
      <w:bCs/>
      <w:kern w:val="2"/>
      <w:sz w:val="28"/>
      <w:szCs w:val="28"/>
      <w:lang w:bidi="ar-SA"/>
    </w:rPr>
  </w:style>
  <w:style w:type="character" w:customStyle="1" w:styleId="212">
    <w:name w:val="标准文本 Char"/>
    <w:link w:val="213"/>
    <w:autoRedefine/>
    <w:qFormat/>
    <w:locked/>
    <w:uiPriority w:val="0"/>
    <w:rPr>
      <w:kern w:val="2"/>
      <w:sz w:val="24"/>
      <w:szCs w:val="24"/>
    </w:rPr>
  </w:style>
  <w:style w:type="paragraph" w:customStyle="1" w:styleId="213">
    <w:name w:val="标准文本"/>
    <w:basedOn w:val="1"/>
    <w:link w:val="212"/>
    <w:autoRedefine/>
    <w:qFormat/>
    <w:uiPriority w:val="0"/>
    <w:pPr>
      <w:spacing w:line="360" w:lineRule="auto"/>
      <w:ind w:firstLine="480" w:firstLineChars="200"/>
    </w:pPr>
    <w:rPr>
      <w:sz w:val="24"/>
      <w:szCs w:val="24"/>
    </w:rPr>
  </w:style>
  <w:style w:type="character" w:customStyle="1" w:styleId="214">
    <w:name w:val="正文4 Char"/>
    <w:link w:val="215"/>
    <w:autoRedefine/>
    <w:qFormat/>
    <w:uiPriority w:val="0"/>
    <w:rPr>
      <w:rFonts w:ascii="Calibri" w:hAnsi="Calibri" w:eastAsia="宋体"/>
      <w:kern w:val="2"/>
      <w:sz w:val="24"/>
      <w:szCs w:val="24"/>
      <w:lang w:bidi="ar-SA"/>
    </w:rPr>
  </w:style>
  <w:style w:type="paragraph" w:customStyle="1" w:styleId="215">
    <w:name w:val="正文4"/>
    <w:basedOn w:val="1"/>
    <w:link w:val="214"/>
    <w:autoRedefine/>
    <w:qFormat/>
    <w:uiPriority w:val="0"/>
    <w:pPr>
      <w:numPr>
        <w:ilvl w:val="0"/>
        <w:numId w:val="7"/>
      </w:numPr>
      <w:spacing w:before="60" w:after="60" w:line="360" w:lineRule="auto"/>
      <w:ind w:firstLine="0"/>
    </w:pPr>
    <w:rPr>
      <w:rFonts w:ascii="Calibri" w:hAnsi="Calibri"/>
      <w:sz w:val="24"/>
      <w:szCs w:val="24"/>
    </w:rPr>
  </w:style>
  <w:style w:type="character" w:customStyle="1" w:styleId="216">
    <w:name w:val="Head 2"/>
    <w:autoRedefine/>
    <w:qFormat/>
    <w:uiPriority w:val="0"/>
    <w:rPr>
      <w:rFonts w:ascii="仿宋_GB2312"/>
      <w:bCs/>
      <w:iCs/>
      <w:sz w:val="24"/>
    </w:rPr>
  </w:style>
  <w:style w:type="character" w:customStyle="1" w:styleId="217">
    <w:name w:val="批注框文本 Char"/>
    <w:link w:val="17"/>
    <w:autoRedefine/>
    <w:qFormat/>
    <w:uiPriority w:val="0"/>
    <w:rPr>
      <w:kern w:val="2"/>
      <w:sz w:val="18"/>
      <w:szCs w:val="18"/>
    </w:rPr>
  </w:style>
  <w:style w:type="character" w:customStyle="1" w:styleId="218">
    <w:name w:val="样式 首行缩进:  2 字符 Char"/>
    <w:link w:val="219"/>
    <w:autoRedefine/>
    <w:qFormat/>
    <w:uiPriority w:val="0"/>
    <w:rPr>
      <w:rFonts w:ascii="宋体" w:hAnsi="宋体" w:eastAsia="宋体"/>
      <w:bCs/>
      <w:color w:val="000000"/>
      <w:sz w:val="24"/>
      <w:szCs w:val="24"/>
      <w:lang w:bidi="ar-SA"/>
    </w:rPr>
  </w:style>
  <w:style w:type="paragraph" w:customStyle="1" w:styleId="219">
    <w:name w:val="样式 首行缩进:  2 字符"/>
    <w:basedOn w:val="1"/>
    <w:link w:val="218"/>
    <w:autoRedefine/>
    <w:qFormat/>
    <w:uiPriority w:val="0"/>
    <w:pPr>
      <w:widowControl/>
      <w:numPr>
        <w:ilvl w:val="0"/>
        <w:numId w:val="8"/>
      </w:numPr>
    </w:pPr>
    <w:rPr>
      <w:rFonts w:ascii="宋体" w:hAnsi="宋体"/>
      <w:bCs/>
      <w:color w:val="000000"/>
      <w:kern w:val="0"/>
      <w:sz w:val="24"/>
      <w:szCs w:val="24"/>
    </w:rPr>
  </w:style>
  <w:style w:type="character" w:customStyle="1" w:styleId="220">
    <w:name w:val="样式 首行缩进:  0.85 厘米 Char Char"/>
    <w:autoRedefine/>
    <w:qFormat/>
    <w:uiPriority w:val="0"/>
    <w:rPr>
      <w:rFonts w:eastAsia="宋体" w:cs="宋体"/>
      <w:kern w:val="2"/>
      <w:sz w:val="24"/>
      <w:lang w:val="en-US" w:eastAsia="zh-CN" w:bidi="ar-SA"/>
    </w:rPr>
  </w:style>
  <w:style w:type="character" w:customStyle="1" w:styleId="221">
    <w:name w:val="Char Char4"/>
    <w:autoRedefine/>
    <w:qFormat/>
    <w:uiPriority w:val="0"/>
    <w:rPr>
      <w:rFonts w:ascii="Calibri" w:hAnsi="Calibri" w:eastAsia="宋体"/>
      <w:sz w:val="18"/>
      <w:szCs w:val="18"/>
      <w:lang w:bidi="ar-SA"/>
    </w:rPr>
  </w:style>
  <w:style w:type="character" w:customStyle="1" w:styleId="222">
    <w:name w:val="中等深浅网格 11"/>
    <w:autoRedefine/>
    <w:semiHidden/>
    <w:qFormat/>
    <w:uiPriority w:val="0"/>
    <w:rPr>
      <w:color w:val="808080"/>
    </w:rPr>
  </w:style>
  <w:style w:type="character" w:customStyle="1" w:styleId="223">
    <w:name w:val="Balloon Text Char"/>
    <w:autoRedefine/>
    <w:semiHidden/>
    <w:qFormat/>
    <w:locked/>
    <w:uiPriority w:val="0"/>
    <w:rPr>
      <w:rFonts w:ascii="Times New Roman" w:hAnsi="Times New Roman" w:eastAsia="宋体" w:cs="Times New Roman"/>
      <w:sz w:val="18"/>
      <w:szCs w:val="18"/>
    </w:rPr>
  </w:style>
  <w:style w:type="character" w:customStyle="1" w:styleId="224">
    <w:name w:val="表名 Char"/>
    <w:autoRedefine/>
    <w:qFormat/>
    <w:uiPriority w:val="0"/>
    <w:rPr>
      <w:rFonts w:ascii="Arial" w:hAnsi="Arial" w:eastAsia="黑体"/>
      <w:sz w:val="24"/>
      <w:szCs w:val="24"/>
    </w:rPr>
  </w:style>
  <w:style w:type="character" w:customStyle="1" w:styleId="225">
    <w:name w:val="公司一级标题"/>
    <w:autoRedefine/>
    <w:qFormat/>
    <w:uiPriority w:val="0"/>
    <w:rPr>
      <w:rFonts w:ascii="黑体" w:hAnsi="黑体" w:eastAsia="黑体"/>
      <w:color w:val="333300"/>
      <w:sz w:val="30"/>
    </w:rPr>
  </w:style>
  <w:style w:type="character" w:customStyle="1" w:styleId="226">
    <w:name w:val="Char Char37"/>
    <w:autoRedefine/>
    <w:qFormat/>
    <w:locked/>
    <w:uiPriority w:val="0"/>
    <w:rPr>
      <w:rFonts w:ascii="Arial" w:hAnsi="Arial" w:eastAsia="黑体" w:cs="Arial"/>
      <w:lang w:bidi="ar-SA"/>
    </w:rPr>
  </w:style>
  <w:style w:type="character" w:customStyle="1" w:styleId="227">
    <w:name w:val="p21"/>
    <w:autoRedefine/>
    <w:qFormat/>
    <w:uiPriority w:val="0"/>
    <w:rPr>
      <w:rFonts w:hint="default" w:ascii="Arial" w:hAnsi="Arial"/>
      <w:color w:val="333333"/>
      <w:sz w:val="18"/>
      <w:u w:val="none"/>
    </w:rPr>
  </w:style>
  <w:style w:type="character" w:customStyle="1" w:styleId="228">
    <w:name w:val="表格中文字 Char"/>
    <w:link w:val="229"/>
    <w:autoRedefine/>
    <w:qFormat/>
    <w:uiPriority w:val="0"/>
    <w:rPr>
      <w:rFonts w:ascii="新宋体" w:hAnsi="新宋体" w:eastAsia="新宋体"/>
      <w:sz w:val="24"/>
      <w:szCs w:val="24"/>
      <w:lang w:bidi="ar-SA"/>
    </w:rPr>
  </w:style>
  <w:style w:type="paragraph" w:customStyle="1" w:styleId="229">
    <w:name w:val="表格中文字"/>
    <w:basedOn w:val="1"/>
    <w:link w:val="228"/>
    <w:autoRedefine/>
    <w:qFormat/>
    <w:uiPriority w:val="0"/>
    <w:pPr>
      <w:spacing w:line="288" w:lineRule="auto"/>
    </w:pPr>
    <w:rPr>
      <w:rFonts w:ascii="新宋体" w:hAnsi="新宋体" w:eastAsia="新宋体"/>
      <w:kern w:val="0"/>
      <w:sz w:val="24"/>
      <w:szCs w:val="24"/>
    </w:rPr>
  </w:style>
  <w:style w:type="character" w:customStyle="1" w:styleId="230">
    <w:name w:val="样式 样式 正文首行缩进 + 首行缩进:  2 字符 + 首行缩进:  2 字符 Char"/>
    <w:link w:val="231"/>
    <w:autoRedefine/>
    <w:qFormat/>
    <w:uiPriority w:val="0"/>
    <w:rPr>
      <w:rFonts w:cs="宋体"/>
      <w:kern w:val="2"/>
      <w:sz w:val="24"/>
    </w:rPr>
  </w:style>
  <w:style w:type="paragraph" w:customStyle="1" w:styleId="231">
    <w:name w:val="样式 样式 正文首行缩进 + 首行缩进:  2 字符 + 首行缩进:  2 字符"/>
    <w:basedOn w:val="1"/>
    <w:link w:val="230"/>
    <w:autoRedefine/>
    <w:qFormat/>
    <w:uiPriority w:val="0"/>
    <w:pPr>
      <w:spacing w:line="440" w:lineRule="exact"/>
      <w:ind w:firstLine="200" w:firstLineChars="200"/>
    </w:pPr>
    <w:rPr>
      <w:sz w:val="24"/>
      <w:szCs w:val="20"/>
    </w:rPr>
  </w:style>
  <w:style w:type="character" w:customStyle="1" w:styleId="232">
    <w:name w:val="Char Char121"/>
    <w:autoRedefine/>
    <w:qFormat/>
    <w:uiPriority w:val="0"/>
    <w:rPr>
      <w:rFonts w:ascii="宋体" w:hAnsi="Courier New" w:eastAsia="宋体" w:cs="Times New Roman"/>
      <w:spacing w:val="-4"/>
      <w:sz w:val="18"/>
      <w:szCs w:val="20"/>
    </w:rPr>
  </w:style>
  <w:style w:type="character" w:customStyle="1" w:styleId="233">
    <w:name w:val="标题 1 Char1"/>
    <w:autoRedefine/>
    <w:qFormat/>
    <w:uiPriority w:val="0"/>
    <w:rPr>
      <w:rFonts w:cs="Times New Roman"/>
      <w:b/>
      <w:bCs/>
      <w:kern w:val="44"/>
      <w:sz w:val="44"/>
      <w:szCs w:val="44"/>
    </w:rPr>
  </w:style>
  <w:style w:type="character" w:customStyle="1" w:styleId="234">
    <w:name w:val="unnamed1"/>
    <w:basedOn w:val="63"/>
    <w:autoRedefine/>
    <w:qFormat/>
    <w:uiPriority w:val="0"/>
  </w:style>
  <w:style w:type="character" w:customStyle="1" w:styleId="235">
    <w:name w:val="标题 4 Char1"/>
    <w:autoRedefine/>
    <w:qFormat/>
    <w:uiPriority w:val="0"/>
    <w:rPr>
      <w:rFonts w:ascii="Cambria" w:hAnsi="Cambria" w:eastAsia="宋体" w:cs="Times New Roman"/>
      <w:b/>
      <w:bCs/>
      <w:kern w:val="2"/>
      <w:sz w:val="28"/>
      <w:szCs w:val="28"/>
    </w:rPr>
  </w:style>
  <w:style w:type="character" w:customStyle="1" w:styleId="236">
    <w:name w:val="Char Char12"/>
    <w:autoRedefine/>
    <w:qFormat/>
    <w:uiPriority w:val="0"/>
    <w:rPr>
      <w:rFonts w:ascii="宋体" w:hAnsi="Courier New" w:eastAsia="宋体" w:cs="Times New Roman"/>
      <w:spacing w:val="-4"/>
      <w:sz w:val="18"/>
      <w:szCs w:val="20"/>
    </w:rPr>
  </w:style>
  <w:style w:type="character" w:customStyle="1" w:styleId="237">
    <w:name w:val="Char Char26"/>
    <w:autoRedefine/>
    <w:qFormat/>
    <w:locked/>
    <w:uiPriority w:val="0"/>
    <w:rPr>
      <w:rFonts w:ascii="宋体" w:hAnsi="Courier New" w:eastAsia="宋体"/>
      <w:sz w:val="24"/>
      <w:szCs w:val="24"/>
      <w:lang w:bidi="ar-SA"/>
    </w:rPr>
  </w:style>
  <w:style w:type="character" w:customStyle="1" w:styleId="238">
    <w:name w:val="headline-content2"/>
    <w:basedOn w:val="63"/>
    <w:autoRedefine/>
    <w:qFormat/>
    <w:uiPriority w:val="0"/>
  </w:style>
  <w:style w:type="character" w:customStyle="1" w:styleId="239">
    <w:name w:val="样式41"/>
    <w:autoRedefine/>
    <w:qFormat/>
    <w:uiPriority w:val="0"/>
    <w:rPr>
      <w:color w:val="3366CC"/>
      <w:sz w:val="21"/>
      <w:szCs w:val="21"/>
    </w:rPr>
  </w:style>
  <w:style w:type="character" w:customStyle="1" w:styleId="240">
    <w:name w:val="浅色网格 - 强调文字颜色 3 Char"/>
    <w:autoRedefine/>
    <w:qFormat/>
    <w:locked/>
    <w:uiPriority w:val="0"/>
    <w:rPr>
      <w:rFonts w:ascii="Calibri" w:hAnsi="Calibri" w:eastAsia="宋体" w:cs="Times New Roman"/>
    </w:rPr>
  </w:style>
  <w:style w:type="character" w:customStyle="1" w:styleId="241">
    <w:name w:val="info4"/>
    <w:basedOn w:val="63"/>
    <w:autoRedefine/>
    <w:qFormat/>
    <w:uiPriority w:val="0"/>
  </w:style>
  <w:style w:type="character" w:customStyle="1" w:styleId="242">
    <w:name w:val="标准正文格式 Char"/>
    <w:link w:val="243"/>
    <w:autoRedefine/>
    <w:qFormat/>
    <w:uiPriority w:val="0"/>
    <w:rPr>
      <w:rFonts w:ascii="宋体" w:eastAsia="仿宋_GB2312" w:cs="宋体"/>
      <w:color w:val="000000"/>
      <w:sz w:val="24"/>
      <w:lang w:val="en-US" w:eastAsia="zh-CN" w:bidi="ar-SA"/>
    </w:rPr>
  </w:style>
  <w:style w:type="paragraph" w:customStyle="1" w:styleId="243">
    <w:name w:val="标准正文格式"/>
    <w:basedOn w:val="1"/>
    <w:link w:val="242"/>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character" w:customStyle="1" w:styleId="244">
    <w:name w:val="title_emph1"/>
    <w:autoRedefine/>
    <w:qFormat/>
    <w:uiPriority w:val="0"/>
    <w:rPr>
      <w:rFonts w:hint="default" w:ascii="Arial" w:hAnsi="Arial" w:cs="Arial"/>
      <w:b/>
      <w:bCs/>
      <w:sz w:val="18"/>
      <w:szCs w:val="18"/>
    </w:rPr>
  </w:style>
  <w:style w:type="character" w:customStyle="1" w:styleId="245">
    <w:name w:val="paramname2"/>
    <w:basedOn w:val="63"/>
    <w:autoRedefine/>
    <w:qFormat/>
    <w:uiPriority w:val="0"/>
  </w:style>
  <w:style w:type="character" w:customStyle="1" w:styleId="246">
    <w:name w:val="pt91"/>
    <w:autoRedefine/>
    <w:qFormat/>
    <w:uiPriority w:val="0"/>
    <w:rPr>
      <w:rFonts w:hint="default"/>
      <w:spacing w:val="240"/>
      <w:sz w:val="18"/>
      <w:szCs w:val="18"/>
    </w:rPr>
  </w:style>
  <w:style w:type="character" w:customStyle="1" w:styleId="247">
    <w:name w:val="H2 Char3"/>
    <w:autoRedefine/>
    <w:qFormat/>
    <w:uiPriority w:val="0"/>
    <w:rPr>
      <w:rFonts w:ascii="Arial" w:hAnsi="Arial" w:eastAsia="黑体"/>
      <w:b/>
      <w:bCs/>
      <w:kern w:val="2"/>
      <w:sz w:val="32"/>
      <w:szCs w:val="32"/>
      <w:lang w:val="en-US" w:eastAsia="zh-CN" w:bidi="ar-SA"/>
    </w:rPr>
  </w:style>
  <w:style w:type="character" w:customStyle="1" w:styleId="248">
    <w:name w:val="maywed421"/>
    <w:autoRedefine/>
    <w:qFormat/>
    <w:uiPriority w:val="0"/>
    <w:rPr>
      <w:color w:val="366FB6"/>
      <w:u w:val="none"/>
    </w:rPr>
  </w:style>
  <w:style w:type="character" w:customStyle="1" w:styleId="249">
    <w:name w:val="文档正文1 Char"/>
    <w:link w:val="250"/>
    <w:autoRedefine/>
    <w:qFormat/>
    <w:uiPriority w:val="0"/>
    <w:rPr>
      <w:rFonts w:ascii="仿宋_GB2312" w:hAnsi="仿宋" w:eastAsia="仿宋_GB2312"/>
      <w:kern w:val="2"/>
      <w:sz w:val="30"/>
      <w:szCs w:val="30"/>
      <w:lang w:bidi="ar-SA"/>
    </w:rPr>
  </w:style>
  <w:style w:type="paragraph" w:customStyle="1" w:styleId="250">
    <w:name w:val="文档正文1"/>
    <w:basedOn w:val="1"/>
    <w:link w:val="249"/>
    <w:autoRedefine/>
    <w:qFormat/>
    <w:uiPriority w:val="0"/>
    <w:pPr>
      <w:spacing w:line="360" w:lineRule="auto"/>
      <w:ind w:firstLine="600"/>
    </w:pPr>
    <w:rPr>
      <w:rFonts w:ascii="仿宋_GB2312" w:hAnsi="仿宋" w:eastAsia="仿宋_GB2312"/>
      <w:sz w:val="30"/>
      <w:szCs w:val="30"/>
    </w:rPr>
  </w:style>
  <w:style w:type="character" w:customStyle="1" w:styleId="251">
    <w:name w:val="b titlename wangputoptitle"/>
    <w:basedOn w:val="63"/>
    <w:autoRedefine/>
    <w:qFormat/>
    <w:uiPriority w:val="0"/>
  </w:style>
  <w:style w:type="character" w:customStyle="1" w:styleId="252">
    <w:name w:val="书籍标题1"/>
    <w:autoRedefine/>
    <w:qFormat/>
    <w:uiPriority w:val="33"/>
    <w:rPr>
      <w:b/>
      <w:bCs/>
      <w:smallCaps/>
      <w:spacing w:val="5"/>
    </w:rPr>
  </w:style>
  <w:style w:type="character" w:customStyle="1" w:styleId="253">
    <w:name w:val="称呼 Char"/>
    <w:link w:val="25"/>
    <w:autoRedefine/>
    <w:qFormat/>
    <w:uiPriority w:val="0"/>
    <w:rPr>
      <w:rFonts w:ascii="宋体" w:hAnsi="Times New Roman"/>
      <w:b/>
      <w:kern w:val="2"/>
      <w:sz w:val="28"/>
    </w:rPr>
  </w:style>
  <w:style w:type="character" w:customStyle="1" w:styleId="254">
    <w:name w:val="*Body Text Char1"/>
    <w:link w:val="255"/>
    <w:autoRedefine/>
    <w:qFormat/>
    <w:uiPriority w:val="0"/>
    <w:rPr>
      <w:rFonts w:ascii="Futura Lt" w:hAnsi="Futura Lt" w:cs="Futura Lt"/>
      <w:sz w:val="21"/>
      <w:szCs w:val="21"/>
      <w:lang w:val="en-US" w:eastAsia="en-US" w:bidi="ar-SA"/>
    </w:rPr>
  </w:style>
  <w:style w:type="paragraph" w:customStyle="1" w:styleId="255">
    <w:name w:val="*Body Text"/>
    <w:link w:val="254"/>
    <w:autoRedefine/>
    <w:qFormat/>
    <w:uiPriority w:val="0"/>
    <w:pPr>
      <w:spacing w:line="360" w:lineRule="auto"/>
    </w:pPr>
    <w:rPr>
      <w:rFonts w:ascii="Futura Lt" w:hAnsi="Futura Lt" w:eastAsia="宋体" w:cs="Futura Lt"/>
      <w:sz w:val="21"/>
      <w:szCs w:val="21"/>
      <w:lang w:val="en-US" w:eastAsia="en-US" w:bidi="ar-SA"/>
    </w:rPr>
  </w:style>
  <w:style w:type="character" w:customStyle="1" w:styleId="256">
    <w:name w:val="Char Char11"/>
    <w:autoRedefine/>
    <w:qFormat/>
    <w:uiPriority w:val="0"/>
    <w:rPr>
      <w:kern w:val="2"/>
      <w:sz w:val="18"/>
      <w:szCs w:val="18"/>
    </w:rPr>
  </w:style>
  <w:style w:type="character" w:customStyle="1" w:styleId="257">
    <w:name w:val="标题 2 Char"/>
    <w:basedOn w:val="63"/>
    <w:link w:val="3"/>
    <w:autoRedefine/>
    <w:qFormat/>
    <w:uiPriority w:val="9"/>
    <w:rPr>
      <w:rFonts w:ascii="Arial" w:hAnsi="Arial" w:eastAsia="黑体"/>
      <w:b/>
      <w:kern w:val="2"/>
      <w:sz w:val="32"/>
      <w:lang w:val="en-US" w:eastAsia="zh-CN"/>
    </w:rPr>
  </w:style>
  <w:style w:type="character" w:customStyle="1" w:styleId="258">
    <w:name w:val="正文4 Char Char"/>
    <w:autoRedefine/>
    <w:qFormat/>
    <w:uiPriority w:val="0"/>
    <w:rPr>
      <w:rFonts w:ascii="Calibri" w:hAnsi="Calibri" w:eastAsia="宋体"/>
      <w:kern w:val="2"/>
      <w:sz w:val="24"/>
      <w:szCs w:val="24"/>
      <w:lang w:bidi="ar-SA"/>
    </w:rPr>
  </w:style>
  <w:style w:type="character" w:customStyle="1" w:styleId="259">
    <w:name w:val="viewdoctitle"/>
    <w:basedOn w:val="63"/>
    <w:autoRedefine/>
    <w:qFormat/>
    <w:uiPriority w:val="0"/>
  </w:style>
  <w:style w:type="character" w:customStyle="1" w:styleId="260">
    <w:name w:val="Char Char22"/>
    <w:autoRedefine/>
    <w:qFormat/>
    <w:uiPriority w:val="0"/>
    <w:rPr>
      <w:rFonts w:ascii="宋体" w:hAnsi="Courier New" w:eastAsia="宋体"/>
      <w:sz w:val="21"/>
      <w:lang w:val="en-US" w:eastAsia="zh-CN" w:bidi="ar-SA"/>
    </w:rPr>
  </w:style>
  <w:style w:type="character" w:customStyle="1" w:styleId="261">
    <w:name w:val="style181"/>
    <w:autoRedefine/>
    <w:qFormat/>
    <w:uiPriority w:val="0"/>
    <w:rPr>
      <w:rFonts w:hint="default" w:ascii="Arial" w:hAnsi="Arial" w:cs="Arial"/>
      <w:color w:val="000000"/>
      <w:sz w:val="18"/>
      <w:szCs w:val="18"/>
    </w:rPr>
  </w:style>
  <w:style w:type="character" w:customStyle="1" w:styleId="262">
    <w:name w:val="样式(-) Char Char"/>
    <w:autoRedefine/>
    <w:qFormat/>
    <w:uiPriority w:val="0"/>
    <w:rPr>
      <w:rFonts w:ascii="Calibri" w:hAnsi="Calibri" w:eastAsia="仿宋"/>
      <w:b/>
      <w:kern w:val="2"/>
      <w:sz w:val="28"/>
      <w:szCs w:val="21"/>
      <w:lang w:bidi="ar-SA"/>
    </w:rPr>
  </w:style>
  <w:style w:type="character" w:customStyle="1" w:styleId="263">
    <w:name w:val="A C"/>
    <w:autoRedefine/>
    <w:qFormat/>
    <w:uiPriority w:val="0"/>
    <w:rPr>
      <w:rFonts w:ascii="仿宋_GB2312"/>
      <w:bCs/>
      <w:iCs/>
      <w:sz w:val="24"/>
    </w:rPr>
  </w:style>
  <w:style w:type="character" w:styleId="264">
    <w:name w:val="Placeholder Text"/>
    <w:autoRedefine/>
    <w:qFormat/>
    <w:uiPriority w:val="0"/>
    <w:rPr>
      <w:color w:val="808080"/>
    </w:rPr>
  </w:style>
  <w:style w:type="character" w:customStyle="1" w:styleId="265">
    <w:name w:val="font61"/>
    <w:autoRedefine/>
    <w:qFormat/>
    <w:uiPriority w:val="0"/>
    <w:rPr>
      <w:rFonts w:ascii="Arial" w:hAnsi="Arial" w:cs="Arial"/>
      <w:color w:val="000000"/>
      <w:sz w:val="22"/>
      <w:szCs w:val="22"/>
      <w:u w:val="none"/>
    </w:rPr>
  </w:style>
  <w:style w:type="character" w:customStyle="1" w:styleId="266">
    <w:name w:val="font31"/>
    <w:autoRedefine/>
    <w:qFormat/>
    <w:uiPriority w:val="0"/>
    <w:rPr>
      <w:rFonts w:hint="default" w:ascii="Arial" w:hAnsi="Arial" w:cs="Arial"/>
      <w:color w:val="000000"/>
      <w:sz w:val="22"/>
      <w:szCs w:val="22"/>
      <w:u w:val="none"/>
    </w:rPr>
  </w:style>
  <w:style w:type="character" w:customStyle="1" w:styleId="267">
    <w:name w:val="fontdz1"/>
    <w:autoRedefine/>
    <w:qFormat/>
    <w:uiPriority w:val="0"/>
    <w:rPr>
      <w:sz w:val="18"/>
      <w:szCs w:val="18"/>
    </w:rPr>
  </w:style>
  <w:style w:type="character" w:customStyle="1" w:styleId="268">
    <w:name w:val="ca-16"/>
    <w:basedOn w:val="63"/>
    <w:autoRedefine/>
    <w:qFormat/>
    <w:uiPriority w:val="0"/>
  </w:style>
  <w:style w:type="character" w:customStyle="1" w:styleId="269">
    <w:name w:val="明显参考1"/>
    <w:autoRedefine/>
    <w:qFormat/>
    <w:uiPriority w:val="0"/>
    <w:rPr>
      <w:b/>
      <w:sz w:val="24"/>
      <w:u w:val="single"/>
    </w:rPr>
  </w:style>
  <w:style w:type="character" w:customStyle="1" w:styleId="270">
    <w:name w:val="标准正文格式 Char Char"/>
    <w:autoRedefine/>
    <w:qFormat/>
    <w:uiPriority w:val="0"/>
    <w:rPr>
      <w:rFonts w:ascii="宋体" w:eastAsia="仿宋_GB2312" w:cs="宋体"/>
      <w:color w:val="000000"/>
      <w:sz w:val="24"/>
      <w:lang w:val="en-US" w:eastAsia="zh-CN" w:bidi="ar-SA"/>
    </w:rPr>
  </w:style>
  <w:style w:type="character" w:customStyle="1" w:styleId="271">
    <w:name w:val="Item List in Table Char Char"/>
    <w:link w:val="272"/>
    <w:autoRedefine/>
    <w:qFormat/>
    <w:locked/>
    <w:uiPriority w:val="0"/>
    <w:rPr>
      <w:rFonts w:ascii="Arial" w:hAnsi="Arial"/>
      <w:sz w:val="18"/>
      <w:szCs w:val="18"/>
      <w:lang w:val="en-US" w:eastAsia="zh-CN" w:bidi="ar-SA"/>
    </w:rPr>
  </w:style>
  <w:style w:type="paragraph" w:customStyle="1" w:styleId="272">
    <w:name w:val="Item List in Table"/>
    <w:link w:val="271"/>
    <w:autoRedefine/>
    <w:qFormat/>
    <w:uiPriority w:val="0"/>
    <w:pPr>
      <w:numPr>
        <w:ilvl w:val="0"/>
        <w:numId w:val="9"/>
      </w:numPr>
      <w:spacing w:before="40" w:after="40"/>
      <w:jc w:val="both"/>
    </w:pPr>
    <w:rPr>
      <w:rFonts w:ascii="Arial" w:hAnsi="Arial" w:eastAsia="宋体" w:cs="Times New Roman"/>
      <w:sz w:val="18"/>
      <w:szCs w:val="18"/>
      <w:lang w:val="en-US" w:eastAsia="zh-CN" w:bidi="ar-SA"/>
    </w:rPr>
  </w:style>
  <w:style w:type="character" w:customStyle="1" w:styleId="273">
    <w:name w:val="正文段落 Char"/>
    <w:link w:val="274"/>
    <w:autoRedefine/>
    <w:qFormat/>
    <w:uiPriority w:val="0"/>
    <w:rPr>
      <w:rFonts w:ascii="Times New Roman" w:hAnsi="Times New Roman"/>
      <w:kern w:val="2"/>
      <w:sz w:val="24"/>
    </w:rPr>
  </w:style>
  <w:style w:type="paragraph" w:customStyle="1" w:styleId="274">
    <w:name w:val="正文段落"/>
    <w:basedOn w:val="1"/>
    <w:link w:val="273"/>
    <w:autoRedefine/>
    <w:qFormat/>
    <w:uiPriority w:val="0"/>
    <w:pPr>
      <w:spacing w:line="300" w:lineRule="auto"/>
      <w:ind w:firstLine="510"/>
    </w:pPr>
    <w:rPr>
      <w:sz w:val="24"/>
      <w:szCs w:val="20"/>
    </w:rPr>
  </w:style>
  <w:style w:type="character" w:customStyle="1" w:styleId="275">
    <w:name w:val="样式 正文缩进 + 首行缩进:  2 字符 Char"/>
    <w:link w:val="276"/>
    <w:autoRedefine/>
    <w:qFormat/>
    <w:uiPriority w:val="0"/>
    <w:rPr>
      <w:rFonts w:ascii="Times New Roman" w:hAnsi="Times New Roman"/>
      <w:kern w:val="2"/>
      <w:sz w:val="24"/>
    </w:rPr>
  </w:style>
  <w:style w:type="paragraph" w:customStyle="1" w:styleId="276">
    <w:name w:val="样式 正文缩进 + 首行缩进:  2 字符"/>
    <w:basedOn w:val="19"/>
    <w:link w:val="275"/>
    <w:autoRedefine/>
    <w:qFormat/>
    <w:uiPriority w:val="0"/>
    <w:pPr>
      <w:spacing w:line="360" w:lineRule="auto"/>
      <w:ind w:firstLine="200" w:firstLineChars="200"/>
    </w:pPr>
    <w:rPr>
      <w:sz w:val="24"/>
    </w:rPr>
  </w:style>
  <w:style w:type="character" w:customStyle="1" w:styleId="277">
    <w:name w:val="页眉 Char Char"/>
    <w:autoRedefine/>
    <w:qFormat/>
    <w:uiPriority w:val="0"/>
    <w:rPr>
      <w:kern w:val="2"/>
      <w:sz w:val="18"/>
      <w:szCs w:val="18"/>
      <w:lang w:bidi="ar-SA"/>
    </w:rPr>
  </w:style>
  <w:style w:type="character" w:customStyle="1" w:styleId="278">
    <w:name w:val="tw4winExternal"/>
    <w:autoRedefine/>
    <w:qFormat/>
    <w:uiPriority w:val="0"/>
    <w:rPr>
      <w:rFonts w:ascii="Courier New" w:hAnsi="Courier New"/>
      <w:color w:val="808080"/>
    </w:rPr>
  </w:style>
  <w:style w:type="character" w:customStyle="1" w:styleId="279">
    <w:name w:val="Char Char32"/>
    <w:autoRedefine/>
    <w:qFormat/>
    <w:locked/>
    <w:uiPriority w:val="0"/>
    <w:rPr>
      <w:rFonts w:ascii="楷体_GB2312" w:eastAsia="楷体_GB2312"/>
      <w:sz w:val="32"/>
      <w:lang w:bidi="ar-SA"/>
    </w:rPr>
  </w:style>
  <w:style w:type="character" w:customStyle="1" w:styleId="280">
    <w:name w:val="a Char Char"/>
    <w:autoRedefine/>
    <w:qFormat/>
    <w:uiPriority w:val="0"/>
    <w:rPr>
      <w:rFonts w:ascii="宋体" w:hAnsi="宋体" w:eastAsia="仿宋_GB2312"/>
      <w:sz w:val="24"/>
      <w:lang w:val="en-US" w:eastAsia="zh-CN" w:bidi="ar-SA"/>
    </w:rPr>
  </w:style>
  <w:style w:type="character" w:customStyle="1" w:styleId="281">
    <w:name w:val="Char2 Char"/>
    <w:autoRedefine/>
    <w:qFormat/>
    <w:uiPriority w:val="0"/>
    <w:rPr>
      <w:rFonts w:ascii="Verdana" w:hAnsi="宋体" w:eastAsia="宋体" w:cs="Times New Roman"/>
      <w:sz w:val="28"/>
      <w:szCs w:val="28"/>
    </w:rPr>
  </w:style>
  <w:style w:type="character" w:customStyle="1" w:styleId="282">
    <w:name w:val="bt Char2"/>
    <w:autoRedefine/>
    <w:qFormat/>
    <w:uiPriority w:val="0"/>
    <w:rPr>
      <w:rFonts w:eastAsia="宋体"/>
      <w:kern w:val="2"/>
      <w:sz w:val="28"/>
      <w:szCs w:val="24"/>
      <w:lang w:val="en-US" w:eastAsia="zh-CN" w:bidi="ar-SA"/>
    </w:rPr>
  </w:style>
  <w:style w:type="character" w:customStyle="1" w:styleId="283">
    <w:name w:val="info1"/>
    <w:autoRedefine/>
    <w:qFormat/>
    <w:uiPriority w:val="0"/>
    <w:rPr>
      <w:sz w:val="29"/>
      <w:szCs w:val="29"/>
    </w:rPr>
  </w:style>
  <w:style w:type="character" w:customStyle="1" w:styleId="284">
    <w:name w:val="正文2 Char Char"/>
    <w:link w:val="285"/>
    <w:autoRedefine/>
    <w:qFormat/>
    <w:uiPriority w:val="0"/>
    <w:rPr>
      <w:rFonts w:ascii="Times New Roman" w:hAnsi="Times New Roman"/>
      <w:kern w:val="2"/>
      <w:sz w:val="24"/>
    </w:rPr>
  </w:style>
  <w:style w:type="paragraph" w:customStyle="1" w:styleId="285">
    <w:name w:val="正文2"/>
    <w:basedOn w:val="1"/>
    <w:link w:val="284"/>
    <w:autoRedefine/>
    <w:qFormat/>
    <w:uiPriority w:val="0"/>
    <w:pPr>
      <w:spacing w:before="156" w:line="360" w:lineRule="auto"/>
      <w:ind w:firstLine="510" w:firstLineChars="200"/>
    </w:pPr>
    <w:rPr>
      <w:sz w:val="24"/>
      <w:szCs w:val="20"/>
    </w:rPr>
  </w:style>
  <w:style w:type="character" w:customStyle="1" w:styleId="286">
    <w:name w:val="不明显参考1"/>
    <w:autoRedefine/>
    <w:qFormat/>
    <w:uiPriority w:val="31"/>
    <w:rPr>
      <w:smallCaps/>
      <w:color w:val="C0504D"/>
      <w:u w:val="single"/>
    </w:rPr>
  </w:style>
  <w:style w:type="character" w:customStyle="1" w:styleId="287">
    <w:name w:val="正文样式_首行缩进2字符 Char"/>
    <w:link w:val="288"/>
    <w:autoRedefine/>
    <w:qFormat/>
    <w:uiPriority w:val="0"/>
    <w:rPr>
      <w:sz w:val="24"/>
      <w:szCs w:val="24"/>
    </w:rPr>
  </w:style>
  <w:style w:type="paragraph" w:customStyle="1" w:styleId="288">
    <w:name w:val="正文样式_首行缩进2字符"/>
    <w:basedOn w:val="1"/>
    <w:link w:val="287"/>
    <w:autoRedefine/>
    <w:qFormat/>
    <w:uiPriority w:val="0"/>
    <w:pPr>
      <w:spacing w:line="360" w:lineRule="auto"/>
      <w:ind w:firstLine="480" w:firstLineChars="200"/>
    </w:pPr>
    <w:rPr>
      <w:kern w:val="0"/>
      <w:sz w:val="24"/>
      <w:szCs w:val="24"/>
    </w:rPr>
  </w:style>
  <w:style w:type="character" w:customStyle="1" w:styleId="289">
    <w:name w:val="正文首行缩进 Char"/>
    <w:link w:val="28"/>
    <w:autoRedefine/>
    <w:qFormat/>
    <w:uiPriority w:val="0"/>
    <w:rPr>
      <w:rFonts w:ascii="Calibri" w:hAnsi="Calibri" w:eastAsia="宋体"/>
      <w:kern w:val="2"/>
      <w:sz w:val="21"/>
      <w:szCs w:val="22"/>
      <w:lang w:val="en-US" w:eastAsia="zh-CN" w:bidi="ar-SA"/>
    </w:rPr>
  </w:style>
  <w:style w:type="character" w:customStyle="1" w:styleId="290">
    <w:name w:val="标题 1 Char"/>
    <w:autoRedefine/>
    <w:qFormat/>
    <w:uiPriority w:val="0"/>
    <w:rPr>
      <w:rFonts w:ascii="宋体" w:hAnsi="Arial" w:eastAsia="黑体"/>
      <w:b/>
      <w:color w:val="000000"/>
      <w:kern w:val="44"/>
      <w:sz w:val="36"/>
      <w:lang w:val="en-US" w:eastAsia="zh-CN" w:bidi="ar-SA"/>
    </w:rPr>
  </w:style>
  <w:style w:type="character" w:customStyle="1" w:styleId="291">
    <w:name w:val="公文正文 Char Char"/>
    <w:autoRedefine/>
    <w:qFormat/>
    <w:uiPriority w:val="0"/>
    <w:rPr>
      <w:rFonts w:ascii="仿宋_GB2312" w:eastAsia="仿宋_GB2312"/>
      <w:kern w:val="2"/>
      <w:sz w:val="24"/>
      <w:szCs w:val="24"/>
      <w:lang w:val="en-US" w:eastAsia="zh-CN" w:bidi="ar-SA"/>
    </w:rPr>
  </w:style>
  <w:style w:type="character" w:customStyle="1" w:styleId="292">
    <w:name w:val="tw4winError"/>
    <w:autoRedefine/>
    <w:qFormat/>
    <w:uiPriority w:val="0"/>
    <w:rPr>
      <w:rFonts w:ascii="Courier New" w:hAnsi="Courier New"/>
      <w:color w:val="00FF00"/>
      <w:sz w:val="40"/>
    </w:rPr>
  </w:style>
  <w:style w:type="character" w:customStyle="1" w:styleId="293">
    <w:name w:val="正文文字 Char"/>
    <w:autoRedefine/>
    <w:qFormat/>
    <w:uiPriority w:val="0"/>
    <w:rPr>
      <w:rFonts w:ascii="Arial" w:hAnsi="Arial" w:eastAsia="宋体"/>
      <w:kern w:val="2"/>
      <w:sz w:val="24"/>
      <w:lang w:val="en-US" w:eastAsia="zh-CN"/>
    </w:rPr>
  </w:style>
  <w:style w:type="character" w:customStyle="1" w:styleId="294">
    <w:name w:val="Char Char8"/>
    <w:autoRedefine/>
    <w:qFormat/>
    <w:uiPriority w:val="0"/>
    <w:rPr>
      <w:rFonts w:ascii="Arial" w:hAnsi="Arial" w:eastAsia="黑体"/>
      <w:b/>
      <w:bCs/>
      <w:kern w:val="2"/>
      <w:sz w:val="32"/>
      <w:szCs w:val="32"/>
      <w:lang w:val="en-US" w:eastAsia="zh-CN" w:bidi="ar-SA"/>
    </w:rPr>
  </w:style>
  <w:style w:type="character" w:customStyle="1" w:styleId="295">
    <w:name w:val="font3"/>
    <w:basedOn w:val="63"/>
    <w:autoRedefine/>
    <w:qFormat/>
    <w:uiPriority w:val="0"/>
  </w:style>
  <w:style w:type="character" w:customStyle="1" w:styleId="296">
    <w:name w:val="批注主题 Char"/>
    <w:link w:val="297"/>
    <w:autoRedefine/>
    <w:qFormat/>
    <w:uiPriority w:val="0"/>
    <w:rPr>
      <w:b/>
      <w:bCs/>
    </w:rPr>
  </w:style>
  <w:style w:type="paragraph" w:customStyle="1" w:styleId="297">
    <w:name w:val="批注主题1"/>
    <w:basedOn w:val="24"/>
    <w:next w:val="24"/>
    <w:link w:val="296"/>
    <w:autoRedefine/>
    <w:qFormat/>
    <w:uiPriority w:val="0"/>
    <w:rPr>
      <w:b/>
      <w:bCs/>
      <w:kern w:val="0"/>
      <w:sz w:val="20"/>
      <w:szCs w:val="20"/>
    </w:rPr>
  </w:style>
  <w:style w:type="character" w:customStyle="1" w:styleId="298">
    <w:name w:val="样式4 Char Char"/>
    <w:autoRedefine/>
    <w:qFormat/>
    <w:uiPriority w:val="0"/>
    <w:rPr>
      <w:rFonts w:ascii="Calibri" w:hAnsi="Calibri" w:eastAsia="宋体"/>
      <w:kern w:val="2"/>
      <w:sz w:val="24"/>
      <w:szCs w:val="22"/>
      <w:lang w:val="en-US" w:eastAsia="zh-CN" w:bidi="ar-SA"/>
    </w:rPr>
  </w:style>
  <w:style w:type="character" w:customStyle="1" w:styleId="299">
    <w:name w:val="页脚 Char"/>
    <w:autoRedefine/>
    <w:qFormat/>
    <w:uiPriority w:val="0"/>
    <w:rPr>
      <w:kern w:val="2"/>
      <w:sz w:val="18"/>
      <w:szCs w:val="18"/>
      <w:lang w:bidi="ar-SA"/>
    </w:rPr>
  </w:style>
  <w:style w:type="character" w:customStyle="1" w:styleId="300">
    <w:name w:val="页脚 Char Char"/>
    <w:autoRedefine/>
    <w:qFormat/>
    <w:uiPriority w:val="0"/>
    <w:rPr>
      <w:kern w:val="2"/>
      <w:sz w:val="18"/>
      <w:szCs w:val="18"/>
      <w:lang w:bidi="ar-SA"/>
    </w:rPr>
  </w:style>
  <w:style w:type="character" w:customStyle="1" w:styleId="301">
    <w:name w:val="paragraph1 Char Char"/>
    <w:autoRedefine/>
    <w:qFormat/>
    <w:uiPriority w:val="0"/>
    <w:rPr>
      <w:rFonts w:eastAsia="楷体_GB2312"/>
      <w:kern w:val="2"/>
      <w:sz w:val="24"/>
      <w:lang w:val="en-US" w:eastAsia="zh-CN" w:bidi="ar-SA"/>
    </w:rPr>
  </w:style>
  <w:style w:type="character" w:customStyle="1" w:styleId="302">
    <w:name w:val="css21"/>
    <w:autoRedefine/>
    <w:qFormat/>
    <w:uiPriority w:val="0"/>
    <w:rPr>
      <w:sz w:val="18"/>
    </w:rPr>
  </w:style>
  <w:style w:type="character" w:customStyle="1" w:styleId="303">
    <w:name w:val="mark8"/>
    <w:autoRedefine/>
    <w:qFormat/>
    <w:uiPriority w:val="0"/>
    <w:rPr>
      <w:b/>
      <w:bCs/>
      <w:sz w:val="21"/>
      <w:szCs w:val="21"/>
    </w:rPr>
  </w:style>
  <w:style w:type="character" w:customStyle="1" w:styleId="304">
    <w:name w:val="纯文本 Char"/>
    <w:autoRedefine/>
    <w:qFormat/>
    <w:uiPriority w:val="99"/>
    <w:rPr>
      <w:rFonts w:ascii="宋体" w:hAnsi="Courier New" w:eastAsia="宋体"/>
      <w:kern w:val="2"/>
      <w:sz w:val="21"/>
      <w:lang w:val="en-US" w:eastAsia="zh-CN" w:bidi="ar-SA"/>
    </w:rPr>
  </w:style>
  <w:style w:type="character" w:customStyle="1" w:styleId="305">
    <w:name w:val="h3 Char"/>
    <w:autoRedefine/>
    <w:qFormat/>
    <w:uiPriority w:val="0"/>
    <w:rPr>
      <w:rFonts w:ascii="Times New Roman" w:hAnsi="Times New Roman"/>
      <w:b/>
      <w:bCs/>
      <w:kern w:val="2"/>
      <w:sz w:val="32"/>
      <w:szCs w:val="32"/>
    </w:rPr>
  </w:style>
  <w:style w:type="character" w:customStyle="1" w:styleId="306">
    <w:name w:val="华电 正文 Char Char"/>
    <w:autoRedefine/>
    <w:qFormat/>
    <w:uiPriority w:val="0"/>
    <w:rPr>
      <w:rFonts w:ascii="宋体" w:hAnsi="宋体" w:eastAsia="宋体"/>
      <w:sz w:val="22"/>
      <w:lang w:bidi="ar-SA"/>
    </w:rPr>
  </w:style>
  <w:style w:type="character" w:customStyle="1" w:styleId="307">
    <w:name w:val="7.表小四 Char Char"/>
    <w:autoRedefine/>
    <w:qFormat/>
    <w:uiPriority w:val="0"/>
    <w:rPr>
      <w:rFonts w:ascii="宋体" w:hAnsi="宋体" w:eastAsia="宋体"/>
      <w:kern w:val="2"/>
      <w:sz w:val="24"/>
      <w:szCs w:val="24"/>
      <w:lang w:val="en-US" w:eastAsia="zh-CN" w:bidi="ar-SA"/>
    </w:rPr>
  </w:style>
  <w:style w:type="character" w:customStyle="1" w:styleId="308">
    <w:name w:val="标题 3 Char"/>
    <w:link w:val="4"/>
    <w:autoRedefine/>
    <w:qFormat/>
    <w:uiPriority w:val="9"/>
    <w:rPr>
      <w:rFonts w:ascii="Calibri" w:hAnsi="Calibri" w:eastAsia="宋体"/>
      <w:b/>
      <w:bCs/>
      <w:kern w:val="2"/>
      <w:sz w:val="32"/>
      <w:szCs w:val="32"/>
      <w:lang w:val="en-US" w:eastAsia="zh-CN" w:bidi="ar-SA"/>
    </w:rPr>
  </w:style>
  <w:style w:type="character" w:customStyle="1" w:styleId="309">
    <w:name w:val="表格正文 Char Char"/>
    <w:link w:val="310"/>
    <w:autoRedefine/>
    <w:qFormat/>
    <w:uiPriority w:val="0"/>
    <w:rPr>
      <w:rFonts w:ascii="Times New Roman" w:hAnsi="Times New Roman" w:eastAsia="仿宋_GB2312"/>
      <w:szCs w:val="21"/>
    </w:rPr>
  </w:style>
  <w:style w:type="paragraph" w:customStyle="1" w:styleId="310">
    <w:name w:val="表格正文"/>
    <w:basedOn w:val="1"/>
    <w:link w:val="309"/>
    <w:autoRedefine/>
    <w:qFormat/>
    <w:uiPriority w:val="0"/>
    <w:pPr>
      <w:spacing w:beforeLines="10" w:afterLines="10" w:line="360" w:lineRule="atLeast"/>
      <w:textAlignment w:val="center"/>
    </w:pPr>
    <w:rPr>
      <w:rFonts w:eastAsia="仿宋_GB2312"/>
      <w:kern w:val="0"/>
      <w:sz w:val="20"/>
      <w:szCs w:val="21"/>
    </w:rPr>
  </w:style>
  <w:style w:type="character" w:customStyle="1" w:styleId="311">
    <w:name w:val="content"/>
    <w:basedOn w:val="63"/>
    <w:autoRedefine/>
    <w:qFormat/>
    <w:uiPriority w:val="0"/>
  </w:style>
  <w:style w:type="character" w:customStyle="1" w:styleId="312">
    <w:name w:val="标题 1 Char2"/>
    <w:link w:val="2"/>
    <w:autoRedefine/>
    <w:qFormat/>
    <w:uiPriority w:val="0"/>
    <w:rPr>
      <w:b/>
      <w:bCs/>
      <w:sz w:val="36"/>
      <w:szCs w:val="36"/>
    </w:rPr>
  </w:style>
  <w:style w:type="character" w:customStyle="1" w:styleId="313">
    <w:name w:val="Char Char31"/>
    <w:autoRedefine/>
    <w:qFormat/>
    <w:uiPriority w:val="0"/>
    <w:rPr>
      <w:rFonts w:ascii="Arial" w:hAnsi="Arial" w:eastAsia="黑体"/>
      <w:b/>
      <w:kern w:val="2"/>
      <w:sz w:val="32"/>
      <w:lang w:val="en-US" w:eastAsia="zh-CN" w:bidi="ar-SA"/>
    </w:rPr>
  </w:style>
  <w:style w:type="character" w:customStyle="1" w:styleId="314">
    <w:name w:val="文档正文1 Char Char"/>
    <w:autoRedefine/>
    <w:qFormat/>
    <w:uiPriority w:val="0"/>
    <w:rPr>
      <w:rFonts w:ascii="仿宋_GB2312" w:hAnsi="仿宋" w:eastAsia="仿宋_GB2312"/>
      <w:kern w:val="2"/>
      <w:sz w:val="30"/>
      <w:szCs w:val="30"/>
      <w:lang w:bidi="ar-SA"/>
    </w:rPr>
  </w:style>
  <w:style w:type="character" w:customStyle="1" w:styleId="315">
    <w:name w:val="标题 4 Char"/>
    <w:link w:val="5"/>
    <w:autoRedefine/>
    <w:qFormat/>
    <w:uiPriority w:val="0"/>
    <w:rPr>
      <w:rFonts w:ascii="Arial" w:hAnsi="Arial" w:eastAsia="黑体"/>
      <w:b/>
      <w:bCs/>
      <w:kern w:val="2"/>
      <w:sz w:val="28"/>
      <w:szCs w:val="28"/>
      <w:lang w:val="en-US" w:eastAsia="zh-CN" w:bidi="ar-SA"/>
    </w:rPr>
  </w:style>
  <w:style w:type="character" w:customStyle="1" w:styleId="316">
    <w:name w:val="表格抬头 Char"/>
    <w:link w:val="317"/>
    <w:autoRedefine/>
    <w:qFormat/>
    <w:locked/>
    <w:uiPriority w:val="0"/>
    <w:rPr>
      <w:rFonts w:ascii="黑体" w:eastAsia="黑体"/>
      <w:b/>
      <w:kern w:val="2"/>
      <w:sz w:val="21"/>
    </w:rPr>
  </w:style>
  <w:style w:type="paragraph" w:customStyle="1" w:styleId="317">
    <w:name w:val="表格抬头"/>
    <w:basedOn w:val="1"/>
    <w:link w:val="316"/>
    <w:autoRedefine/>
    <w:qFormat/>
    <w:uiPriority w:val="0"/>
    <w:pPr>
      <w:jc w:val="center"/>
    </w:pPr>
    <w:rPr>
      <w:rFonts w:ascii="黑体" w:eastAsia="黑体"/>
      <w:b/>
      <w:szCs w:val="20"/>
    </w:rPr>
  </w:style>
  <w:style w:type="character" w:customStyle="1" w:styleId="318">
    <w:name w:val="正文2 Char"/>
    <w:autoRedefine/>
    <w:qFormat/>
    <w:uiPriority w:val="0"/>
    <w:rPr>
      <w:rFonts w:eastAsia="宋体"/>
      <w:kern w:val="2"/>
      <w:sz w:val="24"/>
      <w:lang w:val="en-US" w:eastAsia="zh-CN" w:bidi="ar-SA"/>
    </w:rPr>
  </w:style>
  <w:style w:type="character" w:customStyle="1" w:styleId="319">
    <w:name w:val="tw4winJump"/>
    <w:autoRedefine/>
    <w:qFormat/>
    <w:uiPriority w:val="0"/>
    <w:rPr>
      <w:rFonts w:ascii="Courier New" w:hAnsi="Courier New"/>
      <w:color w:val="008080"/>
    </w:rPr>
  </w:style>
  <w:style w:type="character" w:customStyle="1" w:styleId="320">
    <w:name w:val="header odd Char Char1"/>
    <w:autoRedefine/>
    <w:qFormat/>
    <w:uiPriority w:val="0"/>
    <w:rPr>
      <w:rFonts w:eastAsia="宋体"/>
      <w:kern w:val="2"/>
      <w:sz w:val="18"/>
      <w:szCs w:val="18"/>
      <w:lang w:val="en-US" w:eastAsia="zh-CN" w:bidi="ar-SA"/>
    </w:rPr>
  </w:style>
  <w:style w:type="character" w:customStyle="1" w:styleId="321">
    <w:name w:val="正文标准样式ty Char2"/>
    <w:link w:val="322"/>
    <w:autoRedefine/>
    <w:qFormat/>
    <w:uiPriority w:val="0"/>
    <w:rPr>
      <w:rFonts w:eastAsia="宋体" w:cs="宋体"/>
      <w:kern w:val="2"/>
      <w:sz w:val="24"/>
      <w:lang w:val="en-US" w:eastAsia="zh-CN" w:bidi="ar-SA"/>
    </w:rPr>
  </w:style>
  <w:style w:type="paragraph" w:customStyle="1" w:styleId="322">
    <w:name w:val="正文标准样式ty"/>
    <w:basedOn w:val="1"/>
    <w:link w:val="321"/>
    <w:autoRedefine/>
    <w:qFormat/>
    <w:uiPriority w:val="0"/>
    <w:pPr>
      <w:spacing w:line="360" w:lineRule="auto"/>
      <w:ind w:firstLine="480" w:firstLineChars="200"/>
    </w:pPr>
    <w:rPr>
      <w:rFonts w:cs="宋体"/>
      <w:sz w:val="24"/>
      <w:szCs w:val="20"/>
    </w:rPr>
  </w:style>
  <w:style w:type="character" w:customStyle="1" w:styleId="323">
    <w:name w:val="文档结构图 Char"/>
    <w:link w:val="23"/>
    <w:autoRedefine/>
    <w:qFormat/>
    <w:uiPriority w:val="0"/>
    <w:rPr>
      <w:rFonts w:ascii="宋体"/>
      <w:kern w:val="2"/>
      <w:sz w:val="18"/>
      <w:szCs w:val="18"/>
    </w:rPr>
  </w:style>
  <w:style w:type="character" w:customStyle="1" w:styleId="324">
    <w:name w:val="封面日期 Char Char1"/>
    <w:autoRedefine/>
    <w:qFormat/>
    <w:uiPriority w:val="0"/>
    <w:rPr>
      <w:rFonts w:ascii="Calibri" w:hAnsi="Calibri" w:eastAsia="楷体_GB2312"/>
      <w:kern w:val="2"/>
      <w:sz w:val="32"/>
      <w:lang w:val="en-US" w:eastAsia="zh-CN" w:bidi="ar-SA"/>
    </w:rPr>
  </w:style>
  <w:style w:type="character" w:customStyle="1" w:styleId="325">
    <w:name w:val="Char Char71"/>
    <w:autoRedefine/>
    <w:qFormat/>
    <w:uiPriority w:val="0"/>
    <w:rPr>
      <w:rFonts w:eastAsia="宋体"/>
      <w:b/>
      <w:kern w:val="2"/>
      <w:sz w:val="32"/>
      <w:lang w:bidi="ar-SA"/>
    </w:rPr>
  </w:style>
  <w:style w:type="character" w:customStyle="1" w:styleId="326">
    <w:name w:val="Char Char7"/>
    <w:autoRedefine/>
    <w:qFormat/>
    <w:uiPriority w:val="0"/>
    <w:rPr>
      <w:rFonts w:eastAsia="宋体"/>
      <w:b/>
      <w:kern w:val="2"/>
      <w:sz w:val="32"/>
      <w:lang w:bidi="ar-SA"/>
    </w:rPr>
  </w:style>
  <w:style w:type="character" w:customStyle="1" w:styleId="327">
    <w:name w:val="正文s Char"/>
    <w:link w:val="328"/>
    <w:autoRedefine/>
    <w:qFormat/>
    <w:uiPriority w:val="0"/>
    <w:rPr>
      <w:rFonts w:ascii="Arial" w:hAnsi="Arial"/>
    </w:rPr>
  </w:style>
  <w:style w:type="paragraph" w:customStyle="1" w:styleId="328">
    <w:name w:val="正文s"/>
    <w:basedOn w:val="1"/>
    <w:link w:val="327"/>
    <w:autoRedefine/>
    <w:qFormat/>
    <w:uiPriority w:val="0"/>
    <w:pPr>
      <w:spacing w:beforeLines="50" w:line="360" w:lineRule="exact"/>
      <w:ind w:left="420"/>
    </w:pPr>
    <w:rPr>
      <w:rFonts w:ascii="Arial" w:hAnsi="Arial"/>
      <w:kern w:val="0"/>
      <w:sz w:val="20"/>
      <w:szCs w:val="20"/>
    </w:rPr>
  </w:style>
  <w:style w:type="character" w:customStyle="1" w:styleId="329">
    <w:name w:val="Char Char21"/>
    <w:autoRedefine/>
    <w:qFormat/>
    <w:uiPriority w:val="0"/>
    <w:rPr>
      <w:rFonts w:ascii="宋体" w:hAnsi="Courier New" w:eastAsia="宋体"/>
      <w:sz w:val="21"/>
      <w:lang w:val="en-US" w:eastAsia="zh-CN" w:bidi="ar-SA"/>
    </w:rPr>
  </w:style>
  <w:style w:type="character" w:customStyle="1" w:styleId="330">
    <w:name w:val="Header Char"/>
    <w:autoRedefine/>
    <w:semiHidden/>
    <w:qFormat/>
    <w:locked/>
    <w:uiPriority w:val="0"/>
    <w:rPr>
      <w:rFonts w:ascii="Times New Roman" w:hAnsi="Times New Roman" w:eastAsia="宋体" w:cs="Times New Roman"/>
      <w:sz w:val="18"/>
      <w:szCs w:val="18"/>
    </w:rPr>
  </w:style>
  <w:style w:type="character" w:customStyle="1" w:styleId="331">
    <w:name w:val="样式 宋体 小四"/>
    <w:autoRedefine/>
    <w:qFormat/>
    <w:uiPriority w:val="0"/>
    <w:rPr>
      <w:rFonts w:ascii="宋体" w:hAnsi="宋体"/>
      <w:spacing w:val="6"/>
      <w:sz w:val="24"/>
      <w:szCs w:val="24"/>
    </w:rPr>
  </w:style>
  <w:style w:type="character" w:customStyle="1" w:styleId="332">
    <w:name w:val="列出段落 Char Char"/>
    <w:autoRedefine/>
    <w:qFormat/>
    <w:uiPriority w:val="0"/>
    <w:rPr>
      <w:rFonts w:ascii="Calibri" w:hAnsi="Calibri" w:eastAsia="宋体"/>
      <w:kern w:val="2"/>
      <w:sz w:val="21"/>
      <w:szCs w:val="24"/>
      <w:lang w:val="en-US" w:eastAsia="zh-CN" w:bidi="ar-SA"/>
    </w:rPr>
  </w:style>
  <w:style w:type="character" w:customStyle="1" w:styleId="333">
    <w:name w:val="吉奥正文 Char2"/>
    <w:link w:val="334"/>
    <w:autoRedefine/>
    <w:qFormat/>
    <w:uiPriority w:val="0"/>
    <w:rPr>
      <w:rFonts w:ascii="Times New Roman" w:hAnsi="Times New Roman" w:eastAsia="仿宋_GB2312"/>
      <w:sz w:val="24"/>
    </w:rPr>
  </w:style>
  <w:style w:type="paragraph" w:customStyle="1" w:styleId="334">
    <w:name w:val="吉奥正文"/>
    <w:basedOn w:val="1"/>
    <w:link w:val="333"/>
    <w:autoRedefine/>
    <w:qFormat/>
    <w:uiPriority w:val="0"/>
    <w:pPr>
      <w:adjustRightInd w:val="0"/>
      <w:snapToGrid w:val="0"/>
      <w:spacing w:before="120" w:line="360" w:lineRule="auto"/>
      <w:ind w:firstLine="480" w:firstLineChars="200"/>
      <w:textAlignment w:val="baseline"/>
    </w:pPr>
    <w:rPr>
      <w:rFonts w:eastAsia="仿宋_GB2312"/>
      <w:kern w:val="0"/>
      <w:sz w:val="24"/>
      <w:szCs w:val="20"/>
    </w:rPr>
  </w:style>
  <w:style w:type="character" w:customStyle="1" w:styleId="335">
    <w:name w:val="H1 Char2"/>
    <w:autoRedefine/>
    <w:qFormat/>
    <w:uiPriority w:val="0"/>
    <w:rPr>
      <w:rFonts w:eastAsia="隶书"/>
      <w:b/>
      <w:bCs/>
      <w:sz w:val="36"/>
      <w:szCs w:val="36"/>
      <w:lang w:val="en-US" w:eastAsia="zh-CN" w:bidi="ar-SA"/>
    </w:rPr>
  </w:style>
  <w:style w:type="character" w:customStyle="1" w:styleId="336">
    <w:name w:val="Footer Char"/>
    <w:autoRedefine/>
    <w:semiHidden/>
    <w:qFormat/>
    <w:locked/>
    <w:uiPriority w:val="0"/>
    <w:rPr>
      <w:rFonts w:ascii="Times New Roman" w:hAnsi="Times New Roman" w:eastAsia="宋体" w:cs="Times New Roman"/>
      <w:sz w:val="18"/>
      <w:szCs w:val="18"/>
    </w:rPr>
  </w:style>
  <w:style w:type="character" w:customStyle="1" w:styleId="337">
    <w:name w:val="font01"/>
    <w:autoRedefine/>
    <w:qFormat/>
    <w:uiPriority w:val="0"/>
    <w:rPr>
      <w:rFonts w:hint="eastAsia" w:ascii="宋体" w:hAnsi="宋体" w:eastAsia="宋体" w:cs="宋体"/>
      <w:color w:val="FF0000"/>
      <w:sz w:val="22"/>
      <w:szCs w:val="22"/>
      <w:u w:val="none"/>
    </w:rPr>
  </w:style>
  <w:style w:type="character" w:customStyle="1" w:styleId="338">
    <w:name w:val="cart_title_smaller1"/>
    <w:autoRedefine/>
    <w:qFormat/>
    <w:uiPriority w:val="0"/>
    <w:rPr>
      <w:color w:val="000000"/>
      <w:sz w:val="18"/>
      <w:szCs w:val="18"/>
      <w:u w:val="none"/>
    </w:rPr>
  </w:style>
  <w:style w:type="character" w:customStyle="1" w:styleId="339">
    <w:name w:val="浅色网格 - 强调文字颜色 3 Char1"/>
    <w:link w:val="163"/>
    <w:autoRedefine/>
    <w:qFormat/>
    <w:uiPriority w:val="0"/>
    <w:rPr>
      <w:rFonts w:eastAsia="宋体"/>
      <w:kern w:val="2"/>
      <w:sz w:val="21"/>
      <w:szCs w:val="24"/>
      <w:lang w:val="en-US" w:eastAsia="zh-CN" w:bidi="ar-SA"/>
    </w:rPr>
  </w:style>
  <w:style w:type="character" w:customStyle="1" w:styleId="340">
    <w:name w:val="副标题 Char"/>
    <w:link w:val="45"/>
    <w:autoRedefine/>
    <w:qFormat/>
    <w:uiPriority w:val="0"/>
    <w:rPr>
      <w:rFonts w:ascii="Times New Roman" w:hAnsi="Times New Roman" w:eastAsia="Times New Roman"/>
      <w:kern w:val="2"/>
      <w:sz w:val="18"/>
      <w:szCs w:val="18"/>
      <w:lang w:val="en-US" w:eastAsia="zh-CN"/>
    </w:rPr>
  </w:style>
  <w:style w:type="character" w:customStyle="1" w:styleId="341">
    <w:name w:val="tw4winInternal"/>
    <w:autoRedefine/>
    <w:qFormat/>
    <w:uiPriority w:val="0"/>
    <w:rPr>
      <w:rFonts w:ascii="Courier New" w:hAnsi="Courier New"/>
      <w:color w:val="FF0000"/>
    </w:rPr>
  </w:style>
  <w:style w:type="character" w:customStyle="1" w:styleId="342">
    <w:name w:val="题注 Char"/>
    <w:link w:val="21"/>
    <w:autoRedefine/>
    <w:qFormat/>
    <w:uiPriority w:val="0"/>
    <w:rPr>
      <w:rFonts w:ascii="Arial" w:hAnsi="Arial" w:eastAsia="黑体" w:cs="Arial"/>
      <w:kern w:val="2"/>
    </w:rPr>
  </w:style>
  <w:style w:type="character" w:customStyle="1" w:styleId="343">
    <w:name w:val="Char Char5"/>
    <w:autoRedefine/>
    <w:qFormat/>
    <w:uiPriority w:val="0"/>
    <w:rPr>
      <w:rFonts w:ascii="Calibri" w:hAnsi="Calibri" w:eastAsia="宋体"/>
      <w:sz w:val="18"/>
      <w:szCs w:val="18"/>
      <w:lang w:bidi="ar-SA"/>
    </w:rPr>
  </w:style>
  <w:style w:type="character" w:customStyle="1" w:styleId="344">
    <w:name w:val="正文缩进 Char"/>
    <w:autoRedefine/>
    <w:qFormat/>
    <w:uiPriority w:val="0"/>
    <w:rPr>
      <w:rFonts w:eastAsia="宋体"/>
      <w:kern w:val="2"/>
      <w:sz w:val="21"/>
      <w:szCs w:val="24"/>
      <w:lang w:val="en-US" w:eastAsia="zh-CN" w:bidi="ar-SA"/>
    </w:rPr>
  </w:style>
  <w:style w:type="character" w:customStyle="1" w:styleId="345">
    <w:name w:val="正文首行缩进 2 Char"/>
    <w:link w:val="346"/>
    <w:autoRedefine/>
    <w:qFormat/>
    <w:uiPriority w:val="0"/>
    <w:rPr>
      <w:rFonts w:eastAsia="仿宋"/>
      <w:sz w:val="24"/>
      <w:szCs w:val="24"/>
    </w:rPr>
  </w:style>
  <w:style w:type="paragraph" w:customStyle="1" w:styleId="346">
    <w:name w:val="正文首行缩进 22"/>
    <w:basedOn w:val="347"/>
    <w:link w:val="345"/>
    <w:autoRedefine/>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347">
    <w:name w:val="正文文本缩进1"/>
    <w:basedOn w:val="1"/>
    <w:autoRedefine/>
    <w:qFormat/>
    <w:uiPriority w:val="0"/>
    <w:pPr>
      <w:spacing w:after="120"/>
      <w:ind w:left="420" w:leftChars="200"/>
    </w:pPr>
    <w:rPr>
      <w:rFonts w:cs="黑体"/>
    </w:rPr>
  </w:style>
  <w:style w:type="character" w:customStyle="1" w:styleId="348">
    <w:name w:val="文档结构图 Char1"/>
    <w:autoRedefine/>
    <w:qFormat/>
    <w:uiPriority w:val="0"/>
    <w:rPr>
      <w:rFonts w:ascii="宋体" w:hAnsi="Courier New" w:eastAsia="宋体"/>
      <w:sz w:val="21"/>
      <w:lang w:val="en-US" w:eastAsia="zh-CN" w:bidi="ar-SA"/>
    </w:rPr>
  </w:style>
  <w:style w:type="character" w:customStyle="1" w:styleId="349">
    <w:name w:val="标题 1 Char Char"/>
    <w:autoRedefine/>
    <w:qFormat/>
    <w:uiPriority w:val="0"/>
    <w:rPr>
      <w:rFonts w:eastAsia="宋体"/>
      <w:b/>
      <w:spacing w:val="-2"/>
      <w:sz w:val="24"/>
      <w:lang w:val="en-US" w:eastAsia="zh-CN" w:bidi="ar-SA"/>
    </w:rPr>
  </w:style>
  <w:style w:type="character" w:customStyle="1" w:styleId="350">
    <w:name w:val="粘贴正文 Char"/>
    <w:link w:val="351"/>
    <w:autoRedefine/>
    <w:qFormat/>
    <w:uiPriority w:val="0"/>
    <w:rPr>
      <w:kern w:val="2"/>
      <w:sz w:val="24"/>
      <w:szCs w:val="21"/>
      <w:lang w:val="en-US" w:eastAsia="zh-CN" w:bidi="ar-SA"/>
    </w:rPr>
  </w:style>
  <w:style w:type="paragraph" w:customStyle="1" w:styleId="351">
    <w:name w:val="粘贴正文"/>
    <w:link w:val="350"/>
    <w:autoRedefine/>
    <w:qFormat/>
    <w:uiPriority w:val="0"/>
    <w:pPr>
      <w:spacing w:line="360" w:lineRule="auto"/>
      <w:ind w:right="210" w:firstLine="480"/>
      <w:jc w:val="both"/>
    </w:pPr>
    <w:rPr>
      <w:rFonts w:ascii="Times New Roman" w:hAnsi="Times New Roman" w:eastAsia="宋体" w:cs="Times New Roman"/>
      <w:kern w:val="2"/>
      <w:sz w:val="24"/>
      <w:szCs w:val="21"/>
      <w:lang w:val="en-US" w:eastAsia="zh-CN" w:bidi="ar-SA"/>
    </w:rPr>
  </w:style>
  <w:style w:type="character" w:customStyle="1" w:styleId="352">
    <w:name w:val="BodyText 2 Char Char"/>
    <w:link w:val="353"/>
    <w:autoRedefine/>
    <w:qFormat/>
    <w:uiPriority w:val="0"/>
    <w:rPr>
      <w:snapToGrid w:val="0"/>
      <w:sz w:val="24"/>
    </w:rPr>
  </w:style>
  <w:style w:type="paragraph" w:customStyle="1" w:styleId="353">
    <w:name w:val="BodyText 2"/>
    <w:basedOn w:val="1"/>
    <w:link w:val="352"/>
    <w:autoRedefine/>
    <w:qFormat/>
    <w:uiPriority w:val="0"/>
    <w:pPr>
      <w:widowControl/>
      <w:spacing w:before="120"/>
      <w:ind w:left="994"/>
    </w:pPr>
    <w:rPr>
      <w:snapToGrid w:val="0"/>
      <w:kern w:val="0"/>
      <w:sz w:val="24"/>
      <w:szCs w:val="20"/>
    </w:rPr>
  </w:style>
  <w:style w:type="character" w:customStyle="1" w:styleId="354">
    <w:name w:val="大汉方案正文 Char1"/>
    <w:link w:val="355"/>
    <w:autoRedefine/>
    <w:qFormat/>
    <w:uiPriority w:val="0"/>
    <w:rPr>
      <w:rFonts w:ascii="Arial" w:hAnsi="Arial" w:eastAsia="宋体"/>
      <w:sz w:val="24"/>
      <w:szCs w:val="24"/>
      <w:lang w:bidi="ar-SA"/>
    </w:rPr>
  </w:style>
  <w:style w:type="paragraph" w:customStyle="1" w:styleId="355">
    <w:name w:val="大汉方案正文"/>
    <w:basedOn w:val="1"/>
    <w:link w:val="354"/>
    <w:autoRedefine/>
    <w:qFormat/>
    <w:uiPriority w:val="0"/>
    <w:pPr>
      <w:spacing w:line="360" w:lineRule="auto"/>
      <w:ind w:firstLine="200" w:firstLineChars="200"/>
    </w:pPr>
    <w:rPr>
      <w:rFonts w:ascii="Arial" w:hAnsi="Arial"/>
      <w:kern w:val="0"/>
      <w:sz w:val="24"/>
      <w:szCs w:val="24"/>
    </w:rPr>
  </w:style>
  <w:style w:type="character" w:customStyle="1" w:styleId="356">
    <w:name w:val="脚注文本 Char"/>
    <w:link w:val="47"/>
    <w:autoRedefine/>
    <w:qFormat/>
    <w:uiPriority w:val="99"/>
    <w:rPr>
      <w:kern w:val="2"/>
      <w:sz w:val="18"/>
      <w:szCs w:val="18"/>
    </w:rPr>
  </w:style>
  <w:style w:type="character" w:customStyle="1" w:styleId="357">
    <w:name w:val="HTML 预设格式 Char"/>
    <w:link w:val="53"/>
    <w:autoRedefine/>
    <w:qFormat/>
    <w:uiPriority w:val="0"/>
    <w:rPr>
      <w:rFonts w:ascii="Courier New" w:hAnsi="Courier New" w:cs="Courier New"/>
      <w:kern w:val="2"/>
    </w:rPr>
  </w:style>
  <w:style w:type="character" w:customStyle="1" w:styleId="358">
    <w:name w:val="Char Char141"/>
    <w:autoRedefine/>
    <w:qFormat/>
    <w:uiPriority w:val="0"/>
    <w:rPr>
      <w:rFonts w:ascii="楷体_GB2312" w:eastAsia="楷体_GB2312"/>
      <w:kern w:val="2"/>
      <w:sz w:val="32"/>
      <w:lang w:val="en-US" w:eastAsia="zh-CN" w:bidi="ar-SA"/>
    </w:rPr>
  </w:style>
  <w:style w:type="character" w:customStyle="1" w:styleId="359">
    <w:name w:val="greyfont1"/>
    <w:autoRedefine/>
    <w:qFormat/>
    <w:uiPriority w:val="0"/>
    <w:rPr>
      <w:b/>
      <w:bCs/>
      <w:color w:val="666666"/>
    </w:rPr>
  </w:style>
  <w:style w:type="character" w:customStyle="1" w:styleId="360">
    <w:name w:val="列表段落 字符"/>
    <w:link w:val="361"/>
    <w:autoRedefine/>
    <w:qFormat/>
    <w:uiPriority w:val="34"/>
    <w:rPr>
      <w:kern w:val="2"/>
      <w:sz w:val="21"/>
      <w:szCs w:val="22"/>
    </w:rPr>
  </w:style>
  <w:style w:type="paragraph" w:customStyle="1" w:styleId="361">
    <w:name w:val="列表段落"/>
    <w:basedOn w:val="1"/>
    <w:link w:val="360"/>
    <w:autoRedefine/>
    <w:qFormat/>
    <w:uiPriority w:val="34"/>
    <w:pPr>
      <w:ind w:firstLine="420" w:firstLineChars="200"/>
    </w:pPr>
  </w:style>
  <w:style w:type="character" w:customStyle="1" w:styleId="362">
    <w:name w:val="样式(-) Char"/>
    <w:link w:val="363"/>
    <w:autoRedefine/>
    <w:qFormat/>
    <w:locked/>
    <w:uiPriority w:val="0"/>
    <w:rPr>
      <w:rFonts w:ascii="Calibri" w:hAnsi="Calibri" w:eastAsia="仿宋"/>
      <w:b/>
      <w:kern w:val="2"/>
      <w:sz w:val="28"/>
      <w:szCs w:val="21"/>
      <w:lang w:bidi="ar-SA"/>
    </w:rPr>
  </w:style>
  <w:style w:type="paragraph" w:customStyle="1" w:styleId="363">
    <w:name w:val="样式(-)"/>
    <w:basedOn w:val="163"/>
    <w:link w:val="362"/>
    <w:autoRedefine/>
    <w:qFormat/>
    <w:uiPriority w:val="0"/>
    <w:pPr>
      <w:numPr>
        <w:ilvl w:val="0"/>
        <w:numId w:val="10"/>
      </w:numPr>
      <w:spacing w:line="360" w:lineRule="auto"/>
      <w:ind w:firstLine="0" w:firstLineChars="0"/>
      <w:jc w:val="left"/>
    </w:pPr>
    <w:rPr>
      <w:rFonts w:ascii="Calibri" w:hAnsi="Calibri" w:eastAsia="仿宋"/>
      <w:b/>
      <w:sz w:val="28"/>
      <w:szCs w:val="21"/>
    </w:rPr>
  </w:style>
  <w:style w:type="character" w:customStyle="1" w:styleId="364">
    <w:name w:val="Char Char41"/>
    <w:autoRedefine/>
    <w:qFormat/>
    <w:uiPriority w:val="0"/>
    <w:rPr>
      <w:rFonts w:ascii="Calibri" w:hAnsi="Calibri" w:eastAsia="宋体"/>
      <w:sz w:val="18"/>
      <w:szCs w:val="18"/>
      <w:lang w:bidi="ar-SA"/>
    </w:rPr>
  </w:style>
  <w:style w:type="character" w:customStyle="1" w:styleId="365">
    <w:name w:val="华电 正文 Char"/>
    <w:link w:val="366"/>
    <w:autoRedefine/>
    <w:qFormat/>
    <w:uiPriority w:val="0"/>
    <w:rPr>
      <w:rFonts w:ascii="宋体" w:hAnsi="宋体" w:eastAsia="宋体"/>
      <w:sz w:val="22"/>
      <w:lang w:bidi="ar-SA"/>
    </w:rPr>
  </w:style>
  <w:style w:type="paragraph" w:customStyle="1" w:styleId="366">
    <w:name w:val="华电 正文"/>
    <w:basedOn w:val="1"/>
    <w:link w:val="365"/>
    <w:autoRedefine/>
    <w:qFormat/>
    <w:uiPriority w:val="0"/>
    <w:pPr>
      <w:widowControl/>
      <w:spacing w:line="360" w:lineRule="auto"/>
      <w:ind w:firstLine="440" w:firstLineChars="200"/>
      <w:jc w:val="left"/>
    </w:pPr>
    <w:rPr>
      <w:rFonts w:ascii="宋体" w:hAnsi="宋体"/>
      <w:kern w:val="0"/>
      <w:sz w:val="22"/>
      <w:szCs w:val="20"/>
    </w:rPr>
  </w:style>
  <w:style w:type="character" w:customStyle="1" w:styleId="367">
    <w:name w:val="正文（首行缩进2字符） Char Char"/>
    <w:link w:val="368"/>
    <w:autoRedefine/>
    <w:qFormat/>
    <w:uiPriority w:val="0"/>
    <w:rPr>
      <w:szCs w:val="21"/>
    </w:rPr>
  </w:style>
  <w:style w:type="paragraph" w:customStyle="1" w:styleId="368">
    <w:name w:val="正文（首行缩进2字符）"/>
    <w:basedOn w:val="1"/>
    <w:link w:val="367"/>
    <w:autoRedefine/>
    <w:qFormat/>
    <w:uiPriority w:val="0"/>
    <w:pPr>
      <w:spacing w:line="360" w:lineRule="auto"/>
      <w:ind w:firstLine="420" w:firstLineChars="200"/>
    </w:pPr>
    <w:rPr>
      <w:kern w:val="0"/>
      <w:sz w:val="20"/>
      <w:szCs w:val="21"/>
    </w:rPr>
  </w:style>
  <w:style w:type="character" w:customStyle="1" w:styleId="369">
    <w:name w:val="列表1 Char Char"/>
    <w:link w:val="370"/>
    <w:autoRedefine/>
    <w:qFormat/>
    <w:uiPriority w:val="0"/>
    <w:rPr>
      <w:rFonts w:ascii="Century" w:hAnsi="Century"/>
      <w:kern w:val="2"/>
      <w:sz w:val="21"/>
      <w:szCs w:val="21"/>
    </w:rPr>
  </w:style>
  <w:style w:type="paragraph" w:customStyle="1" w:styleId="370">
    <w:name w:val="列表11"/>
    <w:basedOn w:val="1"/>
    <w:link w:val="369"/>
    <w:autoRedefine/>
    <w:qFormat/>
    <w:uiPriority w:val="0"/>
    <w:pPr>
      <w:tabs>
        <w:tab w:val="left" w:pos="840"/>
      </w:tabs>
      <w:spacing w:line="360" w:lineRule="auto"/>
      <w:ind w:left="840" w:hanging="420"/>
      <w:jc w:val="left"/>
    </w:pPr>
    <w:rPr>
      <w:rFonts w:ascii="Century" w:hAnsi="Century"/>
      <w:szCs w:val="21"/>
    </w:rPr>
  </w:style>
  <w:style w:type="character" w:customStyle="1" w:styleId="371">
    <w:name w:val="新昌图表 Char"/>
    <w:link w:val="372"/>
    <w:autoRedefine/>
    <w:qFormat/>
    <w:uiPriority w:val="0"/>
    <w:rPr>
      <w:rFonts w:ascii="Times New Roman" w:hAnsi="Times New Roman" w:eastAsia="黑体"/>
      <w:color w:val="000000"/>
      <w:sz w:val="24"/>
      <w:szCs w:val="24"/>
    </w:rPr>
  </w:style>
  <w:style w:type="paragraph" w:customStyle="1" w:styleId="372">
    <w:name w:val="新昌图表"/>
    <w:basedOn w:val="1"/>
    <w:link w:val="371"/>
    <w:autoRedefine/>
    <w:qFormat/>
    <w:uiPriority w:val="0"/>
    <w:pPr>
      <w:jc w:val="center"/>
    </w:pPr>
    <w:rPr>
      <w:rFonts w:eastAsia="黑体"/>
      <w:color w:val="000000"/>
      <w:kern w:val="0"/>
      <w:sz w:val="24"/>
      <w:szCs w:val="24"/>
    </w:rPr>
  </w:style>
  <w:style w:type="character" w:customStyle="1" w:styleId="373">
    <w:name w:val="Char Char6"/>
    <w:autoRedefine/>
    <w:qFormat/>
    <w:uiPriority w:val="0"/>
    <w:rPr>
      <w:rFonts w:ascii="Calibri" w:hAnsi="Calibri" w:eastAsia="宋体"/>
      <w:b/>
      <w:bCs/>
      <w:kern w:val="2"/>
      <w:sz w:val="28"/>
      <w:szCs w:val="28"/>
      <w:lang w:bidi="ar-SA"/>
    </w:rPr>
  </w:style>
  <w:style w:type="character" w:customStyle="1" w:styleId="374">
    <w:name w:val="para"/>
    <w:basedOn w:val="63"/>
    <w:autoRedefine/>
    <w:qFormat/>
    <w:uiPriority w:val="0"/>
  </w:style>
  <w:style w:type="character" w:customStyle="1" w:styleId="375">
    <w:name w:val="Char Char29"/>
    <w:autoRedefine/>
    <w:qFormat/>
    <w:locked/>
    <w:uiPriority w:val="0"/>
    <w:rPr>
      <w:rFonts w:ascii="Calibri" w:hAnsi="Calibri" w:eastAsia="宋体"/>
      <w:kern w:val="2"/>
      <w:sz w:val="21"/>
      <w:szCs w:val="22"/>
      <w:lang w:val="en-US" w:eastAsia="zh-CN" w:bidi="ar-SA"/>
    </w:rPr>
  </w:style>
  <w:style w:type="character" w:customStyle="1" w:styleId="376">
    <w:name w:val="ZJ正文 Char"/>
    <w:link w:val="377"/>
    <w:autoRedefine/>
    <w:qFormat/>
    <w:uiPriority w:val="0"/>
    <w:rPr>
      <w:rFonts w:ascii="Times New Roman" w:hAnsi="Times New Roman"/>
      <w:sz w:val="24"/>
      <w:szCs w:val="24"/>
    </w:rPr>
  </w:style>
  <w:style w:type="paragraph" w:customStyle="1" w:styleId="377">
    <w:name w:val="ZJ正文"/>
    <w:basedOn w:val="1"/>
    <w:link w:val="376"/>
    <w:autoRedefine/>
    <w:qFormat/>
    <w:uiPriority w:val="0"/>
    <w:pPr>
      <w:spacing w:line="360" w:lineRule="auto"/>
      <w:ind w:firstLine="480" w:firstLineChars="200"/>
    </w:pPr>
    <w:rPr>
      <w:kern w:val="0"/>
      <w:sz w:val="24"/>
      <w:szCs w:val="24"/>
    </w:rPr>
  </w:style>
  <w:style w:type="character" w:customStyle="1" w:styleId="378">
    <w:name w:val="样式 小四1"/>
    <w:autoRedefine/>
    <w:qFormat/>
    <w:uiPriority w:val="0"/>
    <w:rPr>
      <w:rFonts w:ascii="Tahoma" w:hAnsi="Tahoma" w:eastAsia="仿宋_GB2312"/>
      <w:kern w:val="2"/>
      <w:sz w:val="24"/>
      <w:lang w:val="en-US" w:eastAsia="zh-CN" w:bidi="ar-SA"/>
    </w:rPr>
  </w:style>
  <w:style w:type="character" w:customStyle="1" w:styleId="379">
    <w:name w:val="md"/>
    <w:basedOn w:val="63"/>
    <w:autoRedefine/>
    <w:qFormat/>
    <w:uiPriority w:val="0"/>
  </w:style>
  <w:style w:type="character" w:customStyle="1" w:styleId="380">
    <w:name w:val="font41"/>
    <w:autoRedefine/>
    <w:qFormat/>
    <w:uiPriority w:val="0"/>
    <w:rPr>
      <w:rFonts w:hint="default" w:ascii="Calibri" w:hAnsi="Calibri" w:cs="Calibri"/>
      <w:color w:val="000000"/>
      <w:sz w:val="22"/>
      <w:szCs w:val="22"/>
      <w:u w:val="none"/>
    </w:rPr>
  </w:style>
  <w:style w:type="character" w:customStyle="1" w:styleId="381">
    <w:name w:val="style31"/>
    <w:autoRedefine/>
    <w:qFormat/>
    <w:uiPriority w:val="0"/>
    <w:rPr>
      <w:color w:val="666666"/>
    </w:rPr>
  </w:style>
  <w:style w:type="character" w:customStyle="1" w:styleId="382">
    <w:name w:val="ZJGIS-四级标题 Char"/>
    <w:link w:val="383"/>
    <w:autoRedefine/>
    <w:qFormat/>
    <w:uiPriority w:val="0"/>
    <w:rPr>
      <w:rFonts w:ascii="Arial" w:hAnsi="Arial" w:eastAsia="仿宋_GB2312"/>
      <w:b/>
      <w:bCs/>
      <w:sz w:val="28"/>
      <w:szCs w:val="28"/>
      <w:lang w:bidi="ar-SA"/>
    </w:rPr>
  </w:style>
  <w:style w:type="paragraph" w:customStyle="1" w:styleId="383">
    <w:name w:val="ZJGIS-四级标题"/>
    <w:basedOn w:val="5"/>
    <w:link w:val="382"/>
    <w:autoRedefine/>
    <w:qFormat/>
    <w:uiPriority w:val="0"/>
    <w:pPr>
      <w:numPr>
        <w:ilvl w:val="3"/>
        <w:numId w:val="11"/>
      </w:numPr>
      <w:spacing w:before="120" w:after="120" w:line="240" w:lineRule="auto"/>
    </w:pPr>
    <w:rPr>
      <w:rFonts w:eastAsia="仿宋_GB2312"/>
      <w:kern w:val="0"/>
    </w:rPr>
  </w:style>
  <w:style w:type="character" w:customStyle="1" w:styleId="384">
    <w:name w:val="Char Char13"/>
    <w:autoRedefine/>
    <w:qFormat/>
    <w:uiPriority w:val="0"/>
    <w:rPr>
      <w:rFonts w:ascii="Calibri" w:hAnsi="Calibri" w:eastAsia="宋体" w:cs="Times New Roman"/>
      <w:sz w:val="18"/>
      <w:szCs w:val="18"/>
    </w:rPr>
  </w:style>
  <w:style w:type="character" w:customStyle="1" w:styleId="385">
    <w:name w:val="grame"/>
    <w:basedOn w:val="63"/>
    <w:autoRedefine/>
    <w:qFormat/>
    <w:uiPriority w:val="0"/>
  </w:style>
  <w:style w:type="character" w:customStyle="1" w:styleId="386">
    <w:name w:val="glossaryitem"/>
    <w:autoRedefine/>
    <w:qFormat/>
    <w:uiPriority w:val="0"/>
    <w:rPr>
      <w:u w:val="none"/>
    </w:rPr>
  </w:style>
  <w:style w:type="character" w:customStyle="1" w:styleId="387">
    <w:name w:val="正 文 1 Char Char"/>
    <w:autoRedefine/>
    <w:qFormat/>
    <w:uiPriority w:val="0"/>
    <w:rPr>
      <w:rFonts w:ascii="宋体" w:hAnsi="Courier New" w:eastAsia="宋体"/>
      <w:kern w:val="2"/>
      <w:sz w:val="21"/>
      <w:lang w:val="en-US" w:eastAsia="zh-CN" w:bidi="ar-SA"/>
    </w:rPr>
  </w:style>
  <w:style w:type="character" w:customStyle="1" w:styleId="388">
    <w:name w:val="标题 6 Char"/>
    <w:link w:val="7"/>
    <w:autoRedefine/>
    <w:qFormat/>
    <w:uiPriority w:val="0"/>
    <w:rPr>
      <w:rFonts w:ascii="Arial" w:hAnsi="Arial" w:eastAsia="黑体"/>
      <w:b/>
      <w:bCs/>
      <w:kern w:val="2"/>
      <w:sz w:val="24"/>
      <w:szCs w:val="24"/>
      <w:lang w:val="en-US" w:eastAsia="zh-CN" w:bidi="ar-SA"/>
    </w:rPr>
  </w:style>
  <w:style w:type="character" w:customStyle="1" w:styleId="389">
    <w:name w:val="_正文段落 Char"/>
    <w:link w:val="390"/>
    <w:autoRedefine/>
    <w:qFormat/>
    <w:uiPriority w:val="0"/>
    <w:rPr>
      <w:rFonts w:ascii="Times New Roman" w:hAnsi="Times New Roman"/>
      <w:kern w:val="2"/>
      <w:sz w:val="21"/>
      <w:szCs w:val="24"/>
    </w:rPr>
  </w:style>
  <w:style w:type="paragraph" w:customStyle="1" w:styleId="390">
    <w:name w:val="_正文段落"/>
    <w:basedOn w:val="1"/>
    <w:link w:val="389"/>
    <w:autoRedefine/>
    <w:qFormat/>
    <w:uiPriority w:val="0"/>
    <w:pPr>
      <w:spacing w:beforeLines="15" w:afterLines="15" w:line="360" w:lineRule="auto"/>
      <w:ind w:firstLine="200" w:firstLineChars="200"/>
    </w:pPr>
    <w:rPr>
      <w:szCs w:val="24"/>
    </w:rPr>
  </w:style>
  <w:style w:type="character" w:customStyle="1" w:styleId="391">
    <w:name w:val="style51"/>
    <w:autoRedefine/>
    <w:qFormat/>
    <w:uiPriority w:val="0"/>
    <w:rPr>
      <w:rFonts w:hint="eastAsia" w:ascii="宋体" w:hAnsi="宋体" w:eastAsia="宋体"/>
      <w:color w:val="333333"/>
      <w:sz w:val="23"/>
      <w:szCs w:val="23"/>
      <w:u w:val="none"/>
    </w:rPr>
  </w:style>
  <w:style w:type="character" w:customStyle="1" w:styleId="392">
    <w:name w:val="Char Char51"/>
    <w:autoRedefine/>
    <w:qFormat/>
    <w:uiPriority w:val="0"/>
    <w:rPr>
      <w:rFonts w:ascii="Calibri" w:hAnsi="Calibri" w:eastAsia="宋体"/>
      <w:sz w:val="18"/>
      <w:szCs w:val="18"/>
      <w:lang w:bidi="ar-SA"/>
    </w:rPr>
  </w:style>
  <w:style w:type="character" w:customStyle="1" w:styleId="393">
    <w:name w:val="列表1、 Char Char"/>
    <w:autoRedefine/>
    <w:qFormat/>
    <w:uiPriority w:val="0"/>
    <w:rPr>
      <w:rFonts w:ascii="仿宋" w:hAnsi="仿宋" w:eastAsia="仿宋"/>
      <w:kern w:val="2"/>
      <w:sz w:val="28"/>
      <w:szCs w:val="21"/>
      <w:lang w:bidi="ar-SA"/>
    </w:rPr>
  </w:style>
  <w:style w:type="character" w:customStyle="1" w:styleId="394">
    <w:name w:val="加重文字 Char"/>
    <w:link w:val="395"/>
    <w:autoRedefine/>
    <w:qFormat/>
    <w:locked/>
    <w:uiPriority w:val="0"/>
    <w:rPr>
      <w:b/>
      <w:bCs/>
      <w:kern w:val="2"/>
      <w:sz w:val="24"/>
      <w:szCs w:val="24"/>
      <w:u w:val="thick"/>
    </w:rPr>
  </w:style>
  <w:style w:type="paragraph" w:customStyle="1" w:styleId="395">
    <w:name w:val="加重文字"/>
    <w:basedOn w:val="213"/>
    <w:link w:val="394"/>
    <w:autoRedefine/>
    <w:qFormat/>
    <w:uiPriority w:val="0"/>
    <w:pPr>
      <w:ind w:firstLine="0" w:firstLineChars="0"/>
    </w:pPr>
    <w:rPr>
      <w:b/>
      <w:bCs/>
      <w:u w:val="thick"/>
    </w:rPr>
  </w:style>
  <w:style w:type="character" w:customStyle="1" w:styleId="396">
    <w:name w:val="一级标题 Char Char"/>
    <w:autoRedefine/>
    <w:qFormat/>
    <w:uiPriority w:val="0"/>
    <w:rPr>
      <w:rFonts w:eastAsia="仿宋"/>
      <w:b/>
      <w:kern w:val="44"/>
      <w:sz w:val="28"/>
      <w:lang w:val="en-US" w:eastAsia="zh-CN" w:bidi="ar-SA"/>
    </w:rPr>
  </w:style>
  <w:style w:type="character" w:customStyle="1" w:styleId="397">
    <w:name w:val="标题 2 Char1"/>
    <w:link w:val="3"/>
    <w:autoRedefine/>
    <w:qFormat/>
    <w:uiPriority w:val="0"/>
    <w:rPr>
      <w:rFonts w:ascii="Arial" w:hAnsi="Arial" w:eastAsia="黑体"/>
      <w:b/>
      <w:bCs/>
      <w:kern w:val="2"/>
      <w:sz w:val="32"/>
      <w:szCs w:val="32"/>
      <w:lang w:val="en-US" w:eastAsia="zh-CN" w:bidi="ar-SA"/>
    </w:rPr>
  </w:style>
  <w:style w:type="character" w:customStyle="1" w:styleId="398">
    <w:name w:val="t_tag"/>
    <w:basedOn w:val="63"/>
    <w:autoRedefine/>
    <w:qFormat/>
    <w:uiPriority w:val="0"/>
  </w:style>
  <w:style w:type="character" w:customStyle="1" w:styleId="399">
    <w:name w:val="样式4 Char"/>
    <w:link w:val="400"/>
    <w:autoRedefine/>
    <w:qFormat/>
    <w:uiPriority w:val="0"/>
    <w:rPr>
      <w:rFonts w:ascii="Calibri" w:hAnsi="Calibri" w:eastAsia="宋体"/>
      <w:kern w:val="2"/>
      <w:sz w:val="24"/>
      <w:szCs w:val="22"/>
      <w:lang w:val="en-US" w:eastAsia="zh-CN" w:bidi="ar-SA"/>
    </w:rPr>
  </w:style>
  <w:style w:type="paragraph" w:customStyle="1" w:styleId="400">
    <w:name w:val="样式4"/>
    <w:basedOn w:val="1"/>
    <w:link w:val="399"/>
    <w:autoRedefine/>
    <w:qFormat/>
    <w:uiPriority w:val="0"/>
    <w:pPr>
      <w:spacing w:line="360" w:lineRule="auto"/>
    </w:pPr>
    <w:rPr>
      <w:rFonts w:ascii="Calibri" w:hAnsi="Calibri"/>
      <w:sz w:val="24"/>
    </w:rPr>
  </w:style>
  <w:style w:type="character" w:customStyle="1" w:styleId="401">
    <w:name w:val="段 Char Char"/>
    <w:link w:val="402"/>
    <w:autoRedefine/>
    <w:qFormat/>
    <w:uiPriority w:val="0"/>
    <w:rPr>
      <w:rFonts w:ascii="宋体"/>
      <w:sz w:val="21"/>
      <w:lang w:val="en-US" w:eastAsia="zh-CN" w:bidi="ar-SA"/>
    </w:rPr>
  </w:style>
  <w:style w:type="paragraph" w:customStyle="1" w:styleId="402">
    <w:name w:val="段"/>
    <w:link w:val="40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03">
    <w:name w:val="z-窗体顶端 Char"/>
    <w:link w:val="404"/>
    <w:autoRedefine/>
    <w:qFormat/>
    <w:uiPriority w:val="0"/>
    <w:rPr>
      <w:rFonts w:ascii="Arial" w:hAnsi="Arial" w:cs="Arial"/>
      <w:vanish/>
      <w:sz w:val="16"/>
      <w:szCs w:val="16"/>
    </w:rPr>
  </w:style>
  <w:style w:type="paragraph" w:customStyle="1" w:styleId="404">
    <w:name w:val="z-窗体顶端1"/>
    <w:basedOn w:val="1"/>
    <w:next w:val="1"/>
    <w:link w:val="403"/>
    <w:autoRedefine/>
    <w:qFormat/>
    <w:uiPriority w:val="0"/>
    <w:pPr>
      <w:widowControl/>
      <w:pBdr>
        <w:bottom w:val="single" w:color="auto" w:sz="6" w:space="1"/>
      </w:pBdr>
      <w:jc w:val="center"/>
    </w:pPr>
    <w:rPr>
      <w:rFonts w:ascii="Arial" w:hAnsi="Arial"/>
      <w:vanish/>
      <w:kern w:val="0"/>
      <w:sz w:val="16"/>
      <w:szCs w:val="16"/>
    </w:rPr>
  </w:style>
  <w:style w:type="character" w:customStyle="1" w:styleId="405">
    <w:name w:val="b11_01b Char Char"/>
    <w:autoRedefine/>
    <w:qFormat/>
    <w:uiPriority w:val="0"/>
    <w:rPr>
      <w:rFonts w:ascii="Verdana" w:hAnsi="Verdana" w:eastAsia="宋体"/>
      <w:b/>
      <w:bCs/>
      <w:color w:val="4A82CA"/>
      <w:sz w:val="17"/>
      <w:szCs w:val="17"/>
      <w:lang w:val="en-US" w:eastAsia="zh-CN" w:bidi="ar-SA"/>
    </w:rPr>
  </w:style>
  <w:style w:type="character" w:customStyle="1" w:styleId="406">
    <w:name w:val="正文缩进 Char2"/>
    <w:link w:val="19"/>
    <w:autoRedefine/>
    <w:qFormat/>
    <w:uiPriority w:val="0"/>
    <w:rPr>
      <w:rFonts w:eastAsia="宋体"/>
      <w:kern w:val="2"/>
      <w:sz w:val="21"/>
      <w:lang w:val="en-US" w:eastAsia="zh-CN" w:bidi="ar-SA"/>
    </w:rPr>
  </w:style>
  <w:style w:type="character" w:customStyle="1" w:styleId="407">
    <w:name w:val="纯文本 Char1"/>
    <w:autoRedefine/>
    <w:qFormat/>
    <w:uiPriority w:val="0"/>
    <w:rPr>
      <w:rFonts w:ascii="宋体" w:hAnsi="Courier New"/>
      <w:kern w:val="2"/>
      <w:sz w:val="24"/>
      <w:szCs w:val="24"/>
    </w:rPr>
  </w:style>
  <w:style w:type="character" w:customStyle="1" w:styleId="408">
    <w:name w:val="Char Char10"/>
    <w:autoRedefine/>
    <w:qFormat/>
    <w:uiPriority w:val="0"/>
    <w:rPr>
      <w:rFonts w:ascii="Arial" w:hAnsi="Arial" w:eastAsia="黑体"/>
      <w:b/>
      <w:bCs/>
      <w:kern w:val="2"/>
      <w:sz w:val="28"/>
      <w:szCs w:val="28"/>
      <w:lang w:val="en-US" w:eastAsia="zh-CN" w:bidi="ar-SA"/>
    </w:rPr>
  </w:style>
  <w:style w:type="character" w:customStyle="1" w:styleId="409">
    <w:name w:val="a Char"/>
    <w:link w:val="410"/>
    <w:autoRedefine/>
    <w:qFormat/>
    <w:uiPriority w:val="0"/>
    <w:rPr>
      <w:rFonts w:ascii="宋体" w:hAnsi="宋体" w:eastAsia="仿宋_GB2312"/>
      <w:sz w:val="24"/>
      <w:lang w:val="en-US" w:eastAsia="zh-CN" w:bidi="ar-SA"/>
    </w:rPr>
  </w:style>
  <w:style w:type="paragraph" w:customStyle="1" w:styleId="410">
    <w:name w:val="a"/>
    <w:basedOn w:val="1"/>
    <w:link w:val="409"/>
    <w:autoRedefine/>
    <w:qFormat/>
    <w:uiPriority w:val="0"/>
    <w:pPr>
      <w:widowControl/>
      <w:spacing w:before="100" w:beforeAutospacing="1" w:after="100" w:afterAutospacing="1"/>
      <w:jc w:val="left"/>
    </w:pPr>
    <w:rPr>
      <w:rFonts w:ascii="宋体" w:hAnsi="宋体" w:eastAsia="仿宋_GB2312"/>
      <w:kern w:val="0"/>
      <w:sz w:val="24"/>
      <w:szCs w:val="20"/>
    </w:rPr>
  </w:style>
  <w:style w:type="character" w:customStyle="1" w:styleId="411">
    <w:name w:val="大标题 Char"/>
    <w:link w:val="412"/>
    <w:autoRedefine/>
    <w:qFormat/>
    <w:uiPriority w:val="0"/>
    <w:rPr>
      <w:b/>
      <w:sz w:val="28"/>
      <w:lang w:val="en-US" w:eastAsia="zh-CN" w:bidi="ar-SA"/>
    </w:rPr>
  </w:style>
  <w:style w:type="paragraph" w:customStyle="1" w:styleId="412">
    <w:name w:val="大标题"/>
    <w:next w:val="1"/>
    <w:link w:val="411"/>
    <w:autoRedefine/>
    <w:qFormat/>
    <w:uiPriority w:val="0"/>
    <w:pPr>
      <w:spacing w:before="120" w:after="120" w:line="360" w:lineRule="auto"/>
    </w:pPr>
    <w:rPr>
      <w:rFonts w:ascii="Times New Roman" w:hAnsi="Times New Roman" w:eastAsia="宋体" w:cs="Times New Roman"/>
      <w:b/>
      <w:sz w:val="28"/>
      <w:lang w:val="en-US" w:eastAsia="zh-CN" w:bidi="ar-SA"/>
    </w:rPr>
  </w:style>
  <w:style w:type="character" w:customStyle="1" w:styleId="413">
    <w:name w:val="仙居正文 Char"/>
    <w:link w:val="414"/>
    <w:autoRedefine/>
    <w:qFormat/>
    <w:uiPriority w:val="0"/>
    <w:rPr>
      <w:rFonts w:ascii="宋体" w:hAnsi="宋体"/>
      <w:sz w:val="24"/>
      <w:szCs w:val="24"/>
    </w:rPr>
  </w:style>
  <w:style w:type="paragraph" w:customStyle="1" w:styleId="414">
    <w:name w:val="仙居正文"/>
    <w:basedOn w:val="1"/>
    <w:link w:val="413"/>
    <w:autoRedefine/>
    <w:qFormat/>
    <w:uiPriority w:val="0"/>
    <w:pPr>
      <w:spacing w:line="360" w:lineRule="auto"/>
      <w:ind w:firstLine="480" w:firstLineChars="200"/>
    </w:pPr>
    <w:rPr>
      <w:rFonts w:ascii="宋体" w:hAnsi="宋体"/>
      <w:kern w:val="0"/>
      <w:sz w:val="24"/>
      <w:szCs w:val="24"/>
    </w:rPr>
  </w:style>
  <w:style w:type="character" w:customStyle="1" w:styleId="415">
    <w:name w:val="7.表小四 Char"/>
    <w:link w:val="416"/>
    <w:autoRedefine/>
    <w:qFormat/>
    <w:uiPriority w:val="0"/>
    <w:rPr>
      <w:rFonts w:ascii="宋体" w:hAnsi="宋体" w:eastAsia="宋体"/>
      <w:kern w:val="2"/>
      <w:sz w:val="24"/>
      <w:szCs w:val="24"/>
      <w:lang w:val="en-US" w:eastAsia="zh-CN" w:bidi="ar-SA"/>
    </w:rPr>
  </w:style>
  <w:style w:type="paragraph" w:customStyle="1" w:styleId="416">
    <w:name w:val="7.表小四"/>
    <w:basedOn w:val="1"/>
    <w:link w:val="415"/>
    <w:autoRedefine/>
    <w:qFormat/>
    <w:uiPriority w:val="0"/>
    <w:pPr>
      <w:spacing w:beforeLines="50" w:afterLines="50"/>
    </w:pPr>
    <w:rPr>
      <w:rFonts w:ascii="宋体" w:hAnsi="宋体"/>
      <w:sz w:val="24"/>
      <w:szCs w:val="24"/>
    </w:rPr>
  </w:style>
  <w:style w:type="paragraph" w:customStyle="1" w:styleId="417">
    <w:name w:val="xl70"/>
    <w:basedOn w:val="1"/>
    <w:autoRedefine/>
    <w:qFormat/>
    <w:uiPriority w:val="0"/>
    <w:pPr>
      <w:widowControl/>
      <w:pBdr>
        <w:bottom w:val="single" w:color="000000" w:sz="8" w:space="0"/>
        <w:right w:val="single" w:color="000000" w:sz="8" w:space="0"/>
      </w:pBdr>
      <w:spacing w:before="100" w:beforeAutospacing="1" w:after="100" w:afterAutospacing="1"/>
      <w:jc w:val="center"/>
    </w:pPr>
    <w:rPr>
      <w:kern w:val="0"/>
      <w:sz w:val="20"/>
      <w:szCs w:val="20"/>
    </w:rPr>
  </w:style>
  <w:style w:type="paragraph" w:customStyle="1" w:styleId="418">
    <w:name w:val="15"/>
    <w:basedOn w:val="1"/>
    <w:autoRedefine/>
    <w:qFormat/>
    <w:uiPriority w:val="0"/>
    <w:pPr>
      <w:widowControl/>
      <w:spacing w:line="312" w:lineRule="auto"/>
      <w:ind w:firstLine="202"/>
    </w:pPr>
    <w:rPr>
      <w:kern w:val="0"/>
      <w:sz w:val="24"/>
      <w:szCs w:val="24"/>
    </w:rPr>
  </w:style>
  <w:style w:type="paragraph" w:customStyle="1" w:styleId="419">
    <w:name w:val="标题 3Chapter X.X.X. + 段后: 0.5 行 + 段后: 0.5 行 + 段后: 0.5 行1"/>
    <w:basedOn w:val="420"/>
    <w:autoRedefine/>
    <w:qFormat/>
    <w:uiPriority w:val="0"/>
  </w:style>
  <w:style w:type="paragraph" w:customStyle="1" w:styleId="420">
    <w:name w:val="样式 样式 标题 3Chapter X.X.X. + 段后: 0.5 行 + 段后: 0.5 行"/>
    <w:basedOn w:val="421"/>
    <w:autoRedefine/>
    <w:qFormat/>
    <w:uiPriority w:val="0"/>
  </w:style>
  <w:style w:type="paragraph" w:customStyle="1" w:styleId="421">
    <w:name w:val="样式 标题 3Chapter X.X.X. + 段后: 0.5 行"/>
    <w:basedOn w:val="4"/>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422">
    <w:name w:val="正文文本 21"/>
    <w:basedOn w:val="1"/>
    <w:autoRedefine/>
    <w:qFormat/>
    <w:uiPriority w:val="0"/>
    <w:pPr>
      <w:widowControl/>
      <w:overflowPunct w:val="0"/>
      <w:autoSpaceDE w:val="0"/>
      <w:autoSpaceDN w:val="0"/>
      <w:adjustRightInd w:val="0"/>
      <w:ind w:left="450" w:hanging="450"/>
      <w:jc w:val="left"/>
      <w:textAlignment w:val="baseline"/>
    </w:pPr>
    <w:rPr>
      <w:kern w:val="0"/>
      <w:sz w:val="24"/>
      <w:szCs w:val="20"/>
    </w:rPr>
  </w:style>
  <w:style w:type="paragraph" w:customStyle="1" w:styleId="423">
    <w:name w:val="段落文字"/>
    <w:basedOn w:val="28"/>
    <w:autoRedefine/>
    <w:qFormat/>
    <w:uiPriority w:val="0"/>
    <w:pPr>
      <w:spacing w:after="60"/>
      <w:ind w:left="420" w:firstLine="200" w:firstLineChars="200"/>
    </w:pPr>
    <w:rPr>
      <w:rFonts w:ascii="Times New Roman" w:hAnsi="Times New Roman"/>
      <w:szCs w:val="24"/>
    </w:rPr>
  </w:style>
  <w:style w:type="paragraph" w:customStyle="1" w:styleId="424">
    <w:name w:val="Table Description"/>
    <w:next w:val="1"/>
    <w:autoRedefine/>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425">
    <w:name w:val="批注主题11"/>
    <w:basedOn w:val="24"/>
    <w:next w:val="24"/>
    <w:autoRedefine/>
    <w:qFormat/>
    <w:uiPriority w:val="0"/>
    <w:rPr>
      <w:b/>
      <w:bCs/>
      <w:kern w:val="0"/>
      <w:sz w:val="20"/>
      <w:szCs w:val="20"/>
    </w:rPr>
  </w:style>
  <w:style w:type="paragraph" w:customStyle="1" w:styleId="426">
    <w:name w:val="Char Char Char Char1"/>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27">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8">
    <w:name w:val="文档正文"/>
    <w:basedOn w:val="1"/>
    <w:autoRedefine/>
    <w:qFormat/>
    <w:uiPriority w:val="0"/>
    <w:pPr>
      <w:adjustRightInd w:val="0"/>
      <w:spacing w:line="440" w:lineRule="exact"/>
      <w:ind w:firstLine="567"/>
      <w:textAlignment w:val="baseline"/>
    </w:pPr>
    <w:rPr>
      <w:rFonts w:ascii="Arial Narrow" w:hAnsi="Arial Narrow"/>
      <w:kern w:val="0"/>
      <w:sz w:val="24"/>
      <w:szCs w:val="24"/>
    </w:rPr>
  </w:style>
  <w:style w:type="paragraph" w:customStyle="1" w:styleId="429">
    <w:name w:val="一"/>
    <w:basedOn w:val="361"/>
    <w:autoRedefine/>
    <w:qFormat/>
    <w:uiPriority w:val="0"/>
    <w:pPr>
      <w:widowControl/>
      <w:spacing w:line="560" w:lineRule="exact"/>
      <w:ind w:left="720" w:firstLine="0" w:firstLineChars="0"/>
      <w:jc w:val="left"/>
      <w:outlineLvl w:val="0"/>
    </w:pPr>
    <w:rPr>
      <w:rFonts w:ascii="宋体" w:hAnsi="宋体"/>
      <w:b/>
      <w:bCs/>
      <w:sz w:val="30"/>
      <w:szCs w:val="30"/>
    </w:rPr>
  </w:style>
  <w:style w:type="paragraph" w:customStyle="1" w:styleId="430">
    <w:name w:val="IBM 正文"/>
    <w:basedOn w:val="1"/>
    <w:autoRedefine/>
    <w:qFormat/>
    <w:uiPriority w:val="0"/>
    <w:pPr>
      <w:spacing w:line="360" w:lineRule="atLeast"/>
    </w:pPr>
    <w:rPr>
      <w:sz w:val="24"/>
      <w:szCs w:val="20"/>
    </w:rPr>
  </w:style>
  <w:style w:type="paragraph" w:customStyle="1" w:styleId="431">
    <w:name w:val="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32">
    <w:name w:val="样式6"/>
    <w:basedOn w:val="1"/>
    <w:autoRedefine/>
    <w:qFormat/>
    <w:uiPriority w:val="0"/>
    <w:pPr>
      <w:adjustRightInd w:val="0"/>
      <w:spacing w:beforeLines="50" w:afterLines="50"/>
      <w:ind w:firstLine="669"/>
      <w:textAlignment w:val="baseline"/>
    </w:pPr>
    <w:rPr>
      <w:rFonts w:ascii="宋体" w:hAnsi="宋体"/>
      <w:kern w:val="0"/>
      <w:sz w:val="28"/>
      <w:szCs w:val="20"/>
    </w:rPr>
  </w:style>
  <w:style w:type="paragraph" w:customStyle="1" w:styleId="433">
    <w:name w:val="pa-7"/>
    <w:basedOn w:val="1"/>
    <w:autoRedefine/>
    <w:qFormat/>
    <w:uiPriority w:val="0"/>
    <w:pPr>
      <w:widowControl/>
      <w:spacing w:before="150" w:after="150"/>
      <w:jc w:val="left"/>
    </w:pPr>
    <w:rPr>
      <w:rFonts w:ascii="宋体" w:hAnsi="宋体" w:cs="宋体"/>
      <w:kern w:val="0"/>
      <w:sz w:val="24"/>
      <w:szCs w:val="24"/>
    </w:rPr>
  </w:style>
  <w:style w:type="paragraph" w:customStyle="1" w:styleId="434">
    <w:name w:val="xl100"/>
    <w:basedOn w:val="1"/>
    <w:autoRedefine/>
    <w:qFormat/>
    <w:uiPriority w:val="0"/>
    <w:pPr>
      <w:widowControl/>
      <w:spacing w:before="100" w:beforeAutospacing="1" w:after="100" w:afterAutospacing="1"/>
    </w:pPr>
    <w:rPr>
      <w:rFonts w:ascii="宋体" w:hAnsi="宋体" w:cs="宋体"/>
      <w:color w:val="000000"/>
      <w:kern w:val="0"/>
      <w:szCs w:val="21"/>
    </w:rPr>
  </w:style>
  <w:style w:type="paragraph" w:customStyle="1" w:styleId="435">
    <w:name w:val="最新标题1"/>
    <w:basedOn w:val="436"/>
    <w:next w:val="438"/>
    <w:autoRedefine/>
    <w:qFormat/>
    <w:uiPriority w:val="0"/>
    <w:pPr>
      <w:tabs>
        <w:tab w:val="left" w:pos="1140"/>
      </w:tabs>
      <w:spacing w:after="120"/>
    </w:pPr>
    <w:rPr>
      <w:bCs/>
    </w:rPr>
  </w:style>
  <w:style w:type="paragraph" w:customStyle="1" w:styleId="436">
    <w:name w:val="样式 标题1"/>
    <w:basedOn w:val="437"/>
    <w:next w:val="438"/>
    <w:autoRedefine/>
    <w:qFormat/>
    <w:uiPriority w:val="0"/>
    <w:pPr>
      <w:tabs>
        <w:tab w:val="left" w:pos="1140"/>
      </w:tabs>
      <w:spacing w:after="50"/>
      <w:ind w:left="1140" w:hanging="720"/>
    </w:pPr>
    <w:rPr>
      <w:bCs w:val="0"/>
      <w:sz w:val="32"/>
    </w:rPr>
  </w:style>
  <w:style w:type="paragraph" w:customStyle="1" w:styleId="437">
    <w:name w:val="样式 标题 1 + 段后: 0.5 行"/>
    <w:basedOn w:val="2"/>
    <w:autoRedefine/>
    <w:qFormat/>
    <w:uiPriority w:val="0"/>
    <w:pPr>
      <w:keepNext/>
      <w:autoSpaceDE/>
      <w:autoSpaceDN/>
      <w:adjustRightInd/>
      <w:spacing w:before="120" w:afterLines="50" w:line="240" w:lineRule="auto"/>
      <w:jc w:val="left"/>
    </w:pPr>
    <w:rPr>
      <w:rFonts w:ascii="宋体" w:cs="宋体"/>
      <w:snapToGrid w:val="0"/>
      <w:sz w:val="28"/>
      <w:szCs w:val="20"/>
    </w:rPr>
  </w:style>
  <w:style w:type="paragraph" w:customStyle="1" w:styleId="438">
    <w:name w:val="最新标题2"/>
    <w:basedOn w:val="439"/>
    <w:next w:val="440"/>
    <w:autoRedefine/>
    <w:qFormat/>
    <w:uiPriority w:val="0"/>
    <w:pPr>
      <w:spacing w:after="120"/>
    </w:pPr>
  </w:style>
  <w:style w:type="paragraph" w:customStyle="1" w:styleId="439">
    <w:name w:val="样式 标题 2"/>
    <w:basedOn w:val="3"/>
    <w:next w:val="440"/>
    <w:autoRedefine/>
    <w:qFormat/>
    <w:uiPriority w:val="0"/>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40">
    <w:name w:val="最新标题3"/>
    <w:basedOn w:val="441"/>
    <w:next w:val="442"/>
    <w:autoRedefine/>
    <w:qFormat/>
    <w:uiPriority w:val="0"/>
    <w:pPr>
      <w:spacing w:after="120"/>
    </w:pPr>
  </w:style>
  <w:style w:type="paragraph" w:customStyle="1" w:styleId="441">
    <w:name w:val="样式 标题 3"/>
    <w:basedOn w:val="4"/>
    <w:next w:val="442"/>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442">
    <w:name w:val="最新标题4"/>
    <w:basedOn w:val="443"/>
    <w:next w:val="1"/>
    <w:autoRedefine/>
    <w:qFormat/>
    <w:uiPriority w:val="0"/>
    <w:pPr>
      <w:tabs>
        <w:tab w:val="left" w:pos="864"/>
        <w:tab w:val="left" w:pos="2040"/>
        <w:tab w:val="left" w:pos="2100"/>
      </w:tabs>
      <w:spacing w:after="120"/>
      <w:ind w:left="0" w:firstLine="0"/>
    </w:pPr>
  </w:style>
  <w:style w:type="paragraph" w:customStyle="1" w:styleId="443">
    <w:name w:val="样式 标题 4"/>
    <w:basedOn w:val="444"/>
    <w:next w:val="446"/>
    <w:autoRedefine/>
    <w:qFormat/>
    <w:uiPriority w:val="0"/>
    <w:pPr>
      <w:tabs>
        <w:tab w:val="left" w:pos="864"/>
        <w:tab w:val="left" w:pos="2040"/>
        <w:tab w:val="left" w:pos="2100"/>
      </w:tabs>
      <w:spacing w:after="50"/>
      <w:ind w:left="2100" w:hanging="420"/>
    </w:pPr>
  </w:style>
  <w:style w:type="paragraph" w:customStyle="1" w:styleId="444">
    <w:name w:val="样式 标题 4Chapter X.X.X.X. + 段后: 0.5 行1"/>
    <w:basedOn w:val="445"/>
    <w:autoRedefine/>
    <w:qFormat/>
    <w:uiPriority w:val="0"/>
    <w:pPr>
      <w:numPr>
        <w:ilvl w:val="0"/>
        <w:numId w:val="0"/>
      </w:numPr>
      <w:tabs>
        <w:tab w:val="left" w:pos="864"/>
        <w:tab w:val="left" w:pos="2040"/>
      </w:tabs>
      <w:spacing w:after="120"/>
      <w:ind w:left="864" w:hanging="864"/>
    </w:pPr>
  </w:style>
  <w:style w:type="paragraph" w:customStyle="1" w:styleId="445">
    <w:name w:val="样式 标题 4 + 段后: 0.5 行"/>
    <w:basedOn w:val="5"/>
    <w:autoRedefine/>
    <w:qFormat/>
    <w:uiPriority w:val="0"/>
    <w:pPr>
      <w:keepLines w:val="0"/>
      <w:numPr>
        <w:ilvl w:val="3"/>
        <w:numId w:val="12"/>
      </w:numPr>
      <w:spacing w:before="120" w:afterLines="50" w:line="240" w:lineRule="auto"/>
      <w:jc w:val="left"/>
    </w:pPr>
    <w:rPr>
      <w:rFonts w:ascii="宋体" w:hAnsi="Times New Roman" w:eastAsia="宋体" w:cs="宋体"/>
      <w:snapToGrid w:val="0"/>
      <w:kern w:val="0"/>
      <w:sz w:val="21"/>
      <w:szCs w:val="20"/>
    </w:rPr>
  </w:style>
  <w:style w:type="paragraph" w:customStyle="1" w:styleId="446">
    <w:name w:val="样式 正文"/>
    <w:basedOn w:val="1"/>
    <w:next w:val="1"/>
    <w:autoRedefine/>
    <w:qFormat/>
    <w:uiPriority w:val="0"/>
    <w:pPr>
      <w:numPr>
        <w:ilvl w:val="2"/>
        <w:numId w:val="5"/>
      </w:numPr>
      <w:spacing w:afterLines="50"/>
      <w:jc w:val="left"/>
    </w:pPr>
    <w:rPr>
      <w:rFonts w:ascii="宋体" w:cs="宋体"/>
      <w:snapToGrid w:val="0"/>
      <w:kern w:val="0"/>
      <w:szCs w:val="20"/>
    </w:rPr>
  </w:style>
  <w:style w:type="paragraph" w:customStyle="1" w:styleId="447">
    <w:name w:val="xl77"/>
    <w:basedOn w:val="1"/>
    <w:autoRedefine/>
    <w:qFormat/>
    <w:uiPriority w:val="0"/>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48">
    <w:name w:val="红日标题"/>
    <w:basedOn w:val="56"/>
    <w:next w:val="1"/>
    <w:autoRedefine/>
    <w:qFormat/>
    <w:uiPriority w:val="0"/>
    <w:pPr>
      <w:pageBreakBefore/>
      <w:widowControl/>
      <w:numPr>
        <w:ilvl w:val="0"/>
        <w:numId w:val="13"/>
      </w:numPr>
      <w:spacing w:line="276" w:lineRule="auto"/>
      <w:jc w:val="left"/>
    </w:pPr>
    <w:rPr>
      <w:caps/>
      <w:color w:val="4F81BD"/>
      <w:spacing w:val="10"/>
      <w:kern w:val="28"/>
      <w:sz w:val="36"/>
      <w:szCs w:val="36"/>
      <w:lang w:eastAsia="en-US" w:bidi="en-US"/>
    </w:rPr>
  </w:style>
  <w:style w:type="paragraph" w:customStyle="1" w:styleId="449">
    <w:name w:val="ZJGIS-二级标题"/>
    <w:basedOn w:val="3"/>
    <w:autoRedefine/>
    <w:qFormat/>
    <w:uiPriority w:val="0"/>
    <w:pPr>
      <w:numPr>
        <w:ilvl w:val="1"/>
        <w:numId w:val="11"/>
      </w:numPr>
      <w:spacing w:before="240" w:after="240" w:line="240" w:lineRule="auto"/>
    </w:pPr>
    <w:rPr>
      <w:rFonts w:ascii="Times New Roman" w:hAnsi="Times New Roman" w:eastAsia="楷体_GB2312"/>
      <w:sz w:val="30"/>
      <w:szCs w:val="30"/>
    </w:rPr>
  </w:style>
  <w:style w:type="paragraph" w:customStyle="1" w:styleId="450">
    <w:name w:val="标准有序列表（L1）"/>
    <w:basedOn w:val="19"/>
    <w:autoRedefine/>
    <w:qFormat/>
    <w:uiPriority w:val="0"/>
    <w:pPr>
      <w:tabs>
        <w:tab w:val="left" w:pos="0"/>
      </w:tabs>
      <w:spacing w:line="360" w:lineRule="auto"/>
      <w:ind w:firstLine="0"/>
    </w:pPr>
    <w:rPr>
      <w:rFonts w:ascii="黑体" w:eastAsia="黑体"/>
      <w:color w:val="000000"/>
      <w:sz w:val="24"/>
    </w:rPr>
  </w:style>
  <w:style w:type="paragraph" w:customStyle="1" w:styleId="451">
    <w:name w:val="封面2级标题"/>
    <w:basedOn w:val="1"/>
    <w:next w:val="82"/>
    <w:autoRedefine/>
    <w:qFormat/>
    <w:uiPriority w:val="0"/>
    <w:pPr>
      <w:adjustRightInd w:val="0"/>
      <w:snapToGrid w:val="0"/>
      <w:spacing w:before="120" w:line="360" w:lineRule="auto"/>
      <w:jc w:val="center"/>
      <w:textAlignment w:val="baseline"/>
    </w:pPr>
    <w:rPr>
      <w:rFonts w:ascii="Arial" w:hAnsi="Arial" w:cs="宋体"/>
      <w:b/>
      <w:bCs/>
      <w:sz w:val="36"/>
      <w:szCs w:val="20"/>
    </w:rPr>
  </w:style>
  <w:style w:type="paragraph" w:customStyle="1" w:styleId="452">
    <w:name w:val="段落正文"/>
    <w:basedOn w:val="1"/>
    <w:autoRedefine/>
    <w:qFormat/>
    <w:uiPriority w:val="0"/>
    <w:pPr>
      <w:spacing w:line="360" w:lineRule="auto"/>
      <w:ind w:firstLine="560" w:firstLineChars="200"/>
    </w:pPr>
    <w:rPr>
      <w:sz w:val="28"/>
      <w:szCs w:val="28"/>
    </w:rPr>
  </w:style>
  <w:style w:type="paragraph" w:customStyle="1" w:styleId="453">
    <w:name w:val="Char Char Char Char3"/>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54">
    <w:name w:val="Char4"/>
    <w:basedOn w:val="1"/>
    <w:autoRedefine/>
    <w:qFormat/>
    <w:uiPriority w:val="0"/>
    <w:pPr>
      <w:tabs>
        <w:tab w:val="left" w:pos="432"/>
      </w:tabs>
      <w:ind w:left="432" w:hanging="432"/>
    </w:pPr>
    <w:rPr>
      <w:sz w:val="24"/>
      <w:szCs w:val="24"/>
    </w:rPr>
  </w:style>
  <w:style w:type="paragraph" w:customStyle="1" w:styleId="455">
    <w:name w:val="S4-L15-C"/>
    <w:basedOn w:val="1"/>
    <w:autoRedefine/>
    <w:qFormat/>
    <w:uiPriority w:val="0"/>
    <w:pPr>
      <w:spacing w:after="120" w:line="360" w:lineRule="auto"/>
      <w:jc w:val="center"/>
    </w:pPr>
    <w:rPr>
      <w:szCs w:val="21"/>
    </w:rPr>
  </w:style>
  <w:style w:type="paragraph" w:customStyle="1" w:styleId="456">
    <w:name w:val="ZJGIS表格表头"/>
    <w:basedOn w:val="1"/>
    <w:autoRedefine/>
    <w:qFormat/>
    <w:uiPriority w:val="0"/>
    <w:pPr>
      <w:jc w:val="center"/>
    </w:pPr>
    <w:rPr>
      <w:rFonts w:ascii="Arial" w:hAnsi="Arial" w:eastAsia="黑体"/>
      <w:b/>
    </w:rPr>
  </w:style>
  <w:style w:type="paragraph" w:customStyle="1" w:styleId="457">
    <w:name w:val="正文居中标题1"/>
    <w:basedOn w:val="1"/>
    <w:autoRedefine/>
    <w:qFormat/>
    <w:uiPriority w:val="0"/>
    <w:pPr>
      <w:numPr>
        <w:ilvl w:val="0"/>
        <w:numId w:val="14"/>
      </w:numPr>
      <w:spacing w:before="100" w:beforeAutospacing="1" w:after="100" w:afterAutospacing="1"/>
      <w:ind w:left="0" w:firstLine="0"/>
      <w:jc w:val="center"/>
    </w:pPr>
    <w:rPr>
      <w:rFonts w:eastAsia="隶书"/>
      <w:b/>
      <w:bCs/>
      <w:sz w:val="84"/>
      <w:szCs w:val="24"/>
    </w:rPr>
  </w:style>
  <w:style w:type="paragraph" w:customStyle="1" w:styleId="458">
    <w:name w:val="正文首行缩进 21"/>
    <w:basedOn w:val="459"/>
    <w:autoRedefine/>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459">
    <w:name w:val="正文文本缩进11"/>
    <w:basedOn w:val="1"/>
    <w:autoRedefine/>
    <w:qFormat/>
    <w:uiPriority w:val="0"/>
    <w:pPr>
      <w:spacing w:after="120"/>
      <w:ind w:left="420" w:leftChars="200"/>
    </w:pPr>
    <w:rPr>
      <w:rFonts w:cs="黑体"/>
    </w:rPr>
  </w:style>
  <w:style w:type="paragraph" w:customStyle="1" w:styleId="460">
    <w:name w:val="pbullet2cm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61">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2">
    <w:name w:val="正文样式加粗"/>
    <w:basedOn w:val="288"/>
    <w:autoRedefine/>
    <w:qFormat/>
    <w:uiPriority w:val="0"/>
    <w:pPr>
      <w:ind w:firstLine="562"/>
    </w:pPr>
    <w:rPr>
      <w:rFonts w:ascii="仿宋_GB2312" w:eastAsia="仿宋_GB2312"/>
      <w:b/>
      <w:sz w:val="28"/>
      <w:szCs w:val="28"/>
    </w:rPr>
  </w:style>
  <w:style w:type="paragraph" w:customStyle="1" w:styleId="463">
    <w:name w:val="MM Title"/>
    <w:basedOn w:val="56"/>
    <w:autoRedefine/>
    <w:qFormat/>
    <w:uiPriority w:val="0"/>
    <w:rPr>
      <w:rFonts w:ascii="Calibri" w:hAnsi="Calibri" w:cs="Arial"/>
      <w:b w:val="0"/>
      <w:sz w:val="18"/>
    </w:rPr>
  </w:style>
  <w:style w:type="paragraph" w:customStyle="1" w:styleId="464">
    <w:name w:val="吉奥表头文字"/>
    <w:basedOn w:val="1"/>
    <w:autoRedefine/>
    <w:qFormat/>
    <w:uiPriority w:val="0"/>
    <w:pPr>
      <w:adjustRightInd w:val="0"/>
      <w:snapToGrid w:val="0"/>
      <w:spacing w:line="360" w:lineRule="atLeast"/>
      <w:jc w:val="center"/>
      <w:textAlignment w:val="baseline"/>
    </w:pPr>
    <w:rPr>
      <w:rFonts w:eastAsia="仿宋_GB2312"/>
      <w:b/>
      <w:szCs w:val="21"/>
    </w:rPr>
  </w:style>
  <w:style w:type="paragraph" w:customStyle="1" w:styleId="465">
    <w:name w:val="ZJGIS-一级标题"/>
    <w:basedOn w:val="2"/>
    <w:autoRedefine/>
    <w:qFormat/>
    <w:uiPriority w:val="0"/>
    <w:pPr>
      <w:keepNext/>
      <w:keepLines/>
      <w:numPr>
        <w:ilvl w:val="0"/>
        <w:numId w:val="11"/>
      </w:numPr>
      <w:autoSpaceDE/>
      <w:autoSpaceDN/>
      <w:adjustRightInd/>
      <w:spacing w:before="60" w:after="60" w:line="240" w:lineRule="auto"/>
      <w:jc w:val="both"/>
    </w:pPr>
    <w:rPr>
      <w:rFonts w:eastAsia="华文中宋"/>
      <w:kern w:val="44"/>
      <w:sz w:val="32"/>
      <w:szCs w:val="32"/>
    </w:rPr>
  </w:style>
  <w:style w:type="paragraph" w:customStyle="1" w:styleId="466">
    <w:name w:val="书籍标题3"/>
    <w:basedOn w:val="1"/>
    <w:autoRedefine/>
    <w:qFormat/>
    <w:uiPriority w:val="0"/>
    <w:pPr>
      <w:tabs>
        <w:tab w:val="left" w:pos="840"/>
      </w:tabs>
      <w:spacing w:beforeLines="100" w:afterLines="100"/>
      <w:ind w:left="840" w:hanging="420"/>
      <w:jc w:val="left"/>
      <w:outlineLvl w:val="2"/>
    </w:pPr>
    <w:rPr>
      <w:b/>
      <w:bCs/>
      <w:spacing w:val="20"/>
      <w:sz w:val="28"/>
      <w:szCs w:val="28"/>
    </w:rPr>
  </w:style>
  <w:style w:type="paragraph" w:customStyle="1" w:styleId="467">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68">
    <w:name w:val="标准中文版式_正文"/>
    <w:basedOn w:val="1"/>
    <w:autoRedefine/>
    <w:qFormat/>
    <w:uiPriority w:val="0"/>
    <w:pPr>
      <w:spacing w:before="30" w:line="360" w:lineRule="auto"/>
      <w:ind w:firstLine="200" w:firstLineChars="200"/>
    </w:pPr>
    <w:rPr>
      <w:rFonts w:ascii="Arial" w:hAnsi="Arial"/>
      <w:sz w:val="24"/>
      <w:szCs w:val="24"/>
    </w:rPr>
  </w:style>
  <w:style w:type="paragraph" w:customStyle="1" w:styleId="469">
    <w:name w:val="表格"/>
    <w:basedOn w:val="1"/>
    <w:autoRedefine/>
    <w:qFormat/>
    <w:uiPriority w:val="0"/>
    <w:pPr>
      <w:adjustRightInd w:val="0"/>
      <w:spacing w:beforeLines="25" w:afterLines="25"/>
      <w:textAlignment w:val="baseline"/>
    </w:pPr>
    <w:rPr>
      <w:rFonts w:ascii="Arial" w:hAnsi="Arial" w:eastAsia="仿宋_GB2312"/>
      <w:kern w:val="0"/>
      <w:sz w:val="24"/>
      <w:szCs w:val="28"/>
    </w:rPr>
  </w:style>
  <w:style w:type="paragraph" w:customStyle="1" w:styleId="470">
    <w:name w:val="xl78"/>
    <w:basedOn w:val="1"/>
    <w:autoRedefine/>
    <w:qFormat/>
    <w:uiPriority w:val="0"/>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71">
    <w:name w:val="Blockquote"/>
    <w:basedOn w:val="1"/>
    <w:autoRedefine/>
    <w:qFormat/>
    <w:uiPriority w:val="0"/>
    <w:pPr>
      <w:widowControl/>
      <w:spacing w:before="100" w:afterLines="50"/>
      <w:ind w:left="360" w:right="360"/>
      <w:jc w:val="left"/>
    </w:pPr>
    <w:rPr>
      <w:rFonts w:ascii="宋体"/>
      <w:snapToGrid w:val="0"/>
      <w:kern w:val="0"/>
      <w:sz w:val="24"/>
      <w:szCs w:val="20"/>
      <w:lang w:val="en-CA"/>
    </w:rPr>
  </w:style>
  <w:style w:type="paragraph" w:customStyle="1" w:styleId="472">
    <w:name w:val="默认段落字体 Para Char Char Char Char"/>
    <w:basedOn w:val="1"/>
    <w:autoRedefine/>
    <w:qFormat/>
    <w:uiPriority w:val="0"/>
    <w:pPr>
      <w:adjustRightInd w:val="0"/>
      <w:spacing w:line="360" w:lineRule="auto"/>
    </w:pPr>
    <w:rPr>
      <w:kern w:val="0"/>
      <w:sz w:val="24"/>
      <w:szCs w:val="20"/>
    </w:rPr>
  </w:style>
  <w:style w:type="paragraph" w:customStyle="1" w:styleId="473">
    <w:name w:val="Char2"/>
    <w:basedOn w:val="1"/>
    <w:autoRedefine/>
    <w:qFormat/>
    <w:uiPriority w:val="0"/>
    <w:rPr>
      <w:rFonts w:ascii="仿宋_GB2312" w:eastAsia="仿宋_GB2312"/>
      <w:b/>
      <w:sz w:val="32"/>
      <w:szCs w:val="32"/>
    </w:rPr>
  </w:style>
  <w:style w:type="paragraph" w:customStyle="1" w:styleId="474">
    <w:name w:val="image"/>
    <w:basedOn w:val="1"/>
    <w:autoRedefine/>
    <w:qFormat/>
    <w:uiPriority w:val="0"/>
    <w:pPr>
      <w:widowControl/>
      <w:spacing w:before="360" w:after="360"/>
      <w:jc w:val="center"/>
    </w:pPr>
    <w:rPr>
      <w:rFonts w:ascii="宋体" w:hAnsi="宋体" w:cs="宋体"/>
      <w:kern w:val="0"/>
      <w:sz w:val="24"/>
      <w:szCs w:val="24"/>
    </w:rPr>
  </w:style>
  <w:style w:type="paragraph" w:customStyle="1" w:styleId="475">
    <w:name w:val="一级项目符号"/>
    <w:basedOn w:val="1"/>
    <w:autoRedefine/>
    <w:qFormat/>
    <w:uiPriority w:val="0"/>
    <w:pPr>
      <w:widowControl/>
      <w:numPr>
        <w:ilvl w:val="0"/>
        <w:numId w:val="15"/>
      </w:numPr>
      <w:spacing w:line="360" w:lineRule="auto"/>
    </w:pPr>
    <w:rPr>
      <w:kern w:val="0"/>
      <w:sz w:val="24"/>
      <w:szCs w:val="20"/>
    </w:rPr>
  </w:style>
  <w:style w:type="paragraph" w:customStyle="1" w:styleId="476">
    <w:name w:val="S4-L15-No"/>
    <w:basedOn w:val="477"/>
    <w:autoRedefine/>
    <w:qFormat/>
    <w:uiPriority w:val="0"/>
    <w:pPr>
      <w:tabs>
        <w:tab w:val="left" w:pos="720"/>
      </w:tabs>
      <w:ind w:hanging="720"/>
    </w:pPr>
  </w:style>
  <w:style w:type="paragraph" w:customStyle="1" w:styleId="477">
    <w:name w:val="S4-L15"/>
    <w:basedOn w:val="1"/>
    <w:autoRedefine/>
    <w:qFormat/>
    <w:uiPriority w:val="0"/>
    <w:pPr>
      <w:spacing w:after="120" w:line="360" w:lineRule="auto"/>
      <w:ind w:left="720" w:firstLine="392"/>
    </w:pPr>
    <w:rPr>
      <w:szCs w:val="21"/>
      <w:lang w:val="fr-FR"/>
    </w:rPr>
  </w:style>
  <w:style w:type="paragraph" w:customStyle="1" w:styleId="478">
    <w:name w:val="PDGInstructions"/>
    <w:basedOn w:val="1"/>
    <w:autoRedefine/>
    <w:qFormat/>
    <w:uiPriority w:val="0"/>
    <w:pPr>
      <w:widowControl/>
      <w:spacing w:before="60" w:after="60"/>
      <w:ind w:right="360"/>
      <w:jc w:val="left"/>
    </w:pPr>
    <w:rPr>
      <w:rFonts w:ascii="Garamond" w:hAnsi="Garamond"/>
      <w:color w:val="FF0000"/>
      <w:kern w:val="0"/>
      <w:sz w:val="24"/>
      <w:szCs w:val="20"/>
      <w:lang w:eastAsia="en-US"/>
    </w:rPr>
  </w:style>
  <w:style w:type="paragraph" w:customStyle="1" w:styleId="479">
    <w:name w:val="Normal Indent1"/>
    <w:basedOn w:val="1"/>
    <w:autoRedefine/>
    <w:qFormat/>
    <w:uiPriority w:val="0"/>
    <w:pPr>
      <w:ind w:firstLine="420"/>
    </w:pPr>
    <w:rPr>
      <w:szCs w:val="20"/>
    </w:rPr>
  </w:style>
  <w:style w:type="paragraph" w:customStyle="1" w:styleId="480">
    <w:name w:val="样式 标题 1 + 左侧:  0 厘米 首行缩进:  0 厘米"/>
    <w:basedOn w:val="2"/>
    <w:autoRedefine/>
    <w:qFormat/>
    <w:uiPriority w:val="0"/>
    <w:pPr>
      <w:keepNext/>
      <w:keepLines/>
      <w:autoSpaceDE/>
      <w:autoSpaceDN/>
      <w:adjustRightInd/>
      <w:spacing w:after="120"/>
      <w:jc w:val="both"/>
    </w:pPr>
    <w:rPr>
      <w:rFonts w:ascii="黑体" w:eastAsia="黑体" w:cs="宋体"/>
      <w:kern w:val="44"/>
    </w:rPr>
  </w:style>
  <w:style w:type="paragraph" w:customStyle="1" w:styleId="481">
    <w:name w:val="mod_selection1"/>
    <w:basedOn w:val="1"/>
    <w:autoRedefine/>
    <w:qFormat/>
    <w:uiPriority w:val="0"/>
    <w:pPr>
      <w:widowControl/>
      <w:ind w:left="75"/>
      <w:jc w:val="left"/>
    </w:pPr>
    <w:rPr>
      <w:rFonts w:ascii="Arial" w:hAnsi="Arial" w:cs="Arial"/>
      <w:b/>
      <w:bCs/>
      <w:kern w:val="0"/>
      <w:sz w:val="20"/>
      <w:szCs w:val="20"/>
    </w:rPr>
  </w:style>
  <w:style w:type="paragraph" w:customStyle="1" w:styleId="482">
    <w:name w:val="xl11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483">
    <w:name w:val="Main Title"/>
    <w:basedOn w:val="1"/>
    <w:autoRedefine/>
    <w:qFormat/>
    <w:uiPriority w:val="0"/>
    <w:pPr>
      <w:spacing w:before="480" w:afterLines="50"/>
      <w:jc w:val="center"/>
    </w:pPr>
    <w:rPr>
      <w:rFonts w:ascii="宋体"/>
      <w:b/>
      <w:snapToGrid w:val="0"/>
      <w:kern w:val="28"/>
      <w:sz w:val="32"/>
      <w:szCs w:val="20"/>
    </w:rPr>
  </w:style>
  <w:style w:type="paragraph" w:customStyle="1" w:styleId="484">
    <w:name w:val="样式 标题 3Chapter X.X.X. + 段后: 0.5 行1"/>
    <w:basedOn w:val="4"/>
    <w:next w:val="1"/>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485">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86">
    <w:name w:val="要点2"/>
    <w:basedOn w:val="1"/>
    <w:autoRedefine/>
    <w:qFormat/>
    <w:uiPriority w:val="0"/>
    <w:pPr>
      <w:spacing w:line="360" w:lineRule="auto"/>
      <w:ind w:left="420" w:hanging="420"/>
    </w:pPr>
    <w:rPr>
      <w:b/>
      <w:szCs w:val="21"/>
      <w:shd w:val="pct10" w:color="auto" w:fill="FFFFFF"/>
    </w:rPr>
  </w:style>
  <w:style w:type="paragraph" w:customStyle="1" w:styleId="487">
    <w:name w:val="xl63"/>
    <w:basedOn w:val="1"/>
    <w:autoRedefine/>
    <w:qFormat/>
    <w:uiPriority w:val="0"/>
    <w:pPr>
      <w:widowControl/>
      <w:pBdr>
        <w:bottom w:val="single" w:color="000000" w:sz="8" w:space="0"/>
        <w:right w:val="single" w:color="000000" w:sz="8" w:space="0"/>
      </w:pBdr>
      <w:spacing w:before="100" w:beforeAutospacing="1" w:after="100" w:afterAutospacing="1"/>
      <w:jc w:val="center"/>
    </w:pPr>
    <w:rPr>
      <w:kern w:val="0"/>
      <w:sz w:val="20"/>
      <w:szCs w:val="20"/>
    </w:rPr>
  </w:style>
  <w:style w:type="paragraph" w:customStyle="1" w:styleId="488">
    <w:name w:val="Char3"/>
    <w:basedOn w:val="1"/>
    <w:autoRedefine/>
    <w:qFormat/>
    <w:uiPriority w:val="0"/>
    <w:rPr>
      <w:rFonts w:ascii="仿宋_GB2312" w:eastAsia="仿宋_GB2312"/>
      <w:b/>
      <w:sz w:val="32"/>
      <w:szCs w:val="20"/>
    </w:rPr>
  </w:style>
  <w:style w:type="paragraph" w:customStyle="1" w:styleId="489">
    <w:name w:val="Item List"/>
    <w:autoRedefine/>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490">
    <w:name w:val="列出段落1"/>
    <w:basedOn w:val="1"/>
    <w:autoRedefine/>
    <w:qFormat/>
    <w:uiPriority w:val="0"/>
    <w:pPr>
      <w:ind w:left="720"/>
      <w:contextualSpacing/>
    </w:pPr>
    <w:rPr>
      <w:szCs w:val="24"/>
    </w:rPr>
  </w:style>
  <w:style w:type="paragraph" w:customStyle="1" w:styleId="491">
    <w:name w:val="xl1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92">
    <w:name w:val="Char5"/>
    <w:basedOn w:val="1"/>
    <w:autoRedefine/>
    <w:qFormat/>
    <w:uiPriority w:val="0"/>
    <w:pPr>
      <w:tabs>
        <w:tab w:val="left" w:pos="432"/>
      </w:tabs>
      <w:ind w:left="432" w:hanging="432"/>
    </w:pPr>
    <w:rPr>
      <w:sz w:val="24"/>
      <w:szCs w:val="24"/>
    </w:rPr>
  </w:style>
  <w:style w:type="paragraph" w:customStyle="1" w:styleId="493">
    <w:name w:val="GP有序编号3级"/>
    <w:basedOn w:val="1"/>
    <w:autoRedefine/>
    <w:qFormat/>
    <w:uiPriority w:val="0"/>
    <w:pPr>
      <w:numPr>
        <w:ilvl w:val="3"/>
        <w:numId w:val="16"/>
      </w:numPr>
      <w:spacing w:line="360" w:lineRule="auto"/>
      <w:ind w:left="1320" w:hanging="420"/>
      <w:jc w:val="left"/>
    </w:pPr>
    <w:rPr>
      <w:sz w:val="24"/>
      <w:szCs w:val="21"/>
    </w:rPr>
  </w:style>
  <w:style w:type="paragraph" w:customStyle="1" w:styleId="494">
    <w:name w:val="a1"/>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49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szCs w:val="24"/>
    </w:rPr>
  </w:style>
  <w:style w:type="paragraph" w:customStyle="1" w:styleId="496">
    <w:name w:val="样式1"/>
    <w:basedOn w:val="1"/>
    <w:autoRedefine/>
    <w:qFormat/>
    <w:uiPriority w:val="0"/>
    <w:pPr>
      <w:pBdr>
        <w:bottom w:val="single" w:color="auto" w:sz="4" w:space="1"/>
      </w:pBdr>
    </w:pPr>
    <w:rPr>
      <w:szCs w:val="24"/>
    </w:rPr>
  </w:style>
  <w:style w:type="paragraph" w:customStyle="1" w:styleId="497">
    <w:name w:val="xl76"/>
    <w:basedOn w:val="1"/>
    <w:autoRedefine/>
    <w:qFormat/>
    <w:uiPriority w:val="0"/>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98">
    <w:name w:val="Bullet2"/>
    <w:basedOn w:val="1"/>
    <w:autoRedefine/>
    <w:qFormat/>
    <w:uiPriority w:val="0"/>
    <w:pPr>
      <w:spacing w:afterLines="50"/>
      <w:ind w:left="1440" w:hanging="360"/>
      <w:jc w:val="left"/>
    </w:pPr>
    <w:rPr>
      <w:rFonts w:ascii="宋体"/>
      <w:snapToGrid w:val="0"/>
      <w:color w:val="000080"/>
      <w:kern w:val="0"/>
      <w:szCs w:val="20"/>
    </w:rPr>
  </w:style>
  <w:style w:type="paragraph" w:customStyle="1" w:styleId="499">
    <w:name w:val="二级项目符号"/>
    <w:basedOn w:val="1"/>
    <w:autoRedefine/>
    <w:qFormat/>
    <w:uiPriority w:val="0"/>
    <w:pPr>
      <w:widowControl/>
      <w:tabs>
        <w:tab w:val="left" w:pos="964"/>
      </w:tabs>
      <w:spacing w:line="360" w:lineRule="auto"/>
      <w:ind w:left="964" w:hanging="482"/>
    </w:pPr>
    <w:rPr>
      <w:kern w:val="0"/>
      <w:sz w:val="24"/>
      <w:szCs w:val="20"/>
    </w:rPr>
  </w:style>
  <w:style w:type="paragraph" w:customStyle="1" w:styleId="500">
    <w:name w:val="Char Char Char2"/>
    <w:basedOn w:val="1"/>
    <w:autoRedefine/>
    <w:qFormat/>
    <w:uiPriority w:val="0"/>
    <w:rPr>
      <w:rFonts w:eastAsia="仿宋_GB2312" w:cs="宋体"/>
      <w:sz w:val="24"/>
      <w:szCs w:val="20"/>
    </w:rPr>
  </w:style>
  <w:style w:type="paragraph" w:customStyle="1" w:styleId="501">
    <w:name w:val="样式 样式 标题 4 + 段后: 0.5 行 + 段后: 0.5 行"/>
    <w:basedOn w:val="445"/>
    <w:autoRedefine/>
    <w:qFormat/>
    <w:uiPriority w:val="0"/>
    <w:pPr>
      <w:numPr>
        <w:ilvl w:val="0"/>
        <w:numId w:val="0"/>
      </w:numPr>
      <w:tabs>
        <w:tab w:val="left" w:pos="864"/>
      </w:tabs>
      <w:ind w:left="864" w:hanging="864"/>
    </w:pPr>
  </w:style>
  <w:style w:type="paragraph" w:customStyle="1" w:styleId="502">
    <w:name w:val="样式 标题 1 + 五号1 Char Char Char Char Char Char Char Char Char Char Char Char Char Char Char Char Char"/>
    <w:basedOn w:val="2"/>
    <w:autoRedefine/>
    <w:qFormat/>
    <w:uiPriority w:val="0"/>
    <w:pPr>
      <w:keepNext/>
      <w:keepLines/>
      <w:autoSpaceDE/>
      <w:autoSpaceDN/>
      <w:adjustRightInd/>
      <w:spacing w:line="480" w:lineRule="auto"/>
      <w:jc w:val="both"/>
    </w:pPr>
    <w:rPr>
      <w:kern w:val="44"/>
      <w:sz w:val="21"/>
      <w:szCs w:val="44"/>
    </w:rPr>
  </w:style>
  <w:style w:type="paragraph" w:customStyle="1" w:styleId="503">
    <w:name w:val="正文3"/>
    <w:basedOn w:val="1"/>
    <w:autoRedefine/>
    <w:qFormat/>
    <w:uiPriority w:val="0"/>
    <w:pPr>
      <w:spacing w:beforeLines="50" w:afterLines="50" w:line="360" w:lineRule="auto"/>
      <w:ind w:left="300" w:leftChars="200" w:hanging="100" w:hangingChars="100"/>
    </w:pPr>
    <w:rPr>
      <w:rFonts w:ascii="Book Antiqua" w:hAnsi="Book Antiqua"/>
      <w:sz w:val="24"/>
      <w:szCs w:val="21"/>
    </w:rPr>
  </w:style>
  <w:style w:type="paragraph" w:customStyle="1" w:styleId="504">
    <w:name w:val="样式 标题 3h33rd levelHeading 3 - oldH3Fab-3level_3PIM 3Leve..."/>
    <w:basedOn w:val="4"/>
    <w:autoRedefine/>
    <w:qFormat/>
    <w:uiPriority w:val="0"/>
    <w:pPr>
      <w:widowControl/>
      <w:spacing w:before="0" w:after="0" w:line="360" w:lineRule="auto"/>
      <w:jc w:val="left"/>
    </w:pPr>
    <w:rPr>
      <w:rFonts w:ascii="宋体" w:hAnsi="宋体" w:cs="宋体"/>
      <w:bCs w:val="0"/>
      <w:color w:val="000000"/>
      <w:spacing w:val="-5"/>
      <w:kern w:val="28"/>
      <w:sz w:val="30"/>
      <w:szCs w:val="30"/>
    </w:rPr>
  </w:style>
  <w:style w:type="paragraph" w:customStyle="1" w:styleId="505">
    <w:name w:val="img"/>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506">
    <w:name w:val="新昌图表样式"/>
    <w:basedOn w:val="21"/>
    <w:autoRedefine/>
    <w:qFormat/>
    <w:uiPriority w:val="0"/>
    <w:pPr>
      <w:spacing w:beforeLines="50" w:afterLines="50"/>
      <w:jc w:val="center"/>
    </w:pPr>
    <w:rPr>
      <w:rFonts w:ascii="黑体"/>
      <w:kern w:val="0"/>
      <w:sz w:val="24"/>
      <w:szCs w:val="24"/>
    </w:rPr>
  </w:style>
  <w:style w:type="paragraph" w:customStyle="1" w:styleId="507">
    <w:name w:val="样式 标题 4Chapter X.X.X. + 段后: 0.5 行1"/>
    <w:basedOn w:val="5"/>
    <w:next w:val="5"/>
    <w:autoRedefine/>
    <w:qFormat/>
    <w:uiPriority w:val="0"/>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508">
    <w:name w:val="正文1"/>
    <w:basedOn w:val="23"/>
    <w:next w:val="1"/>
    <w:autoRedefine/>
    <w:qFormat/>
    <w:uiPriority w:val="0"/>
    <w:pPr>
      <w:shd w:val="clear" w:color="auto" w:fill="000080"/>
    </w:pPr>
    <w:rPr>
      <w:rFonts w:ascii="Tahoma" w:hAnsi="Tahoma" w:cs="Tahoma"/>
      <w:kern w:val="0"/>
      <w:szCs w:val="24"/>
    </w:rPr>
  </w:style>
  <w:style w:type="paragraph" w:customStyle="1" w:styleId="50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0">
    <w:name w:val="psubhead2cmt"/>
    <w:basedOn w:val="1"/>
    <w:autoRedefine/>
    <w:qFormat/>
    <w:uiPriority w:val="0"/>
    <w:pPr>
      <w:widowControl/>
      <w:spacing w:before="100" w:beforeAutospacing="1" w:after="100" w:afterAutospacing="1"/>
      <w:jc w:val="left"/>
    </w:pPr>
    <w:rPr>
      <w:rFonts w:eastAsia="Times New Roman"/>
      <w:kern w:val="0"/>
      <w:sz w:val="24"/>
      <w:szCs w:val="24"/>
    </w:rPr>
  </w:style>
  <w:style w:type="paragraph" w:customStyle="1" w:styleId="511">
    <w:name w:val="样式 标题 5H5ITT t5PA Pico Section5H5-Heading 5h5l5heading5...1"/>
    <w:basedOn w:val="6"/>
    <w:autoRedefine/>
    <w:qFormat/>
    <w:uiPriority w:val="0"/>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512">
    <w:name w:val="正文小四"/>
    <w:basedOn w:val="1"/>
    <w:autoRedefine/>
    <w:qFormat/>
    <w:uiPriority w:val="0"/>
    <w:pPr>
      <w:tabs>
        <w:tab w:val="left" w:pos="720"/>
      </w:tabs>
      <w:spacing w:line="360" w:lineRule="auto"/>
      <w:ind w:right="210" w:rightChars="100" w:firstLine="360" w:firstLineChars="150"/>
      <w:jc w:val="center"/>
    </w:pPr>
    <w:rPr>
      <w:sz w:val="24"/>
      <w:szCs w:val="24"/>
    </w:rPr>
  </w:style>
  <w:style w:type="paragraph" w:customStyle="1" w:styleId="513">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4">
    <w:name w:val="Char1"/>
    <w:basedOn w:val="1"/>
    <w:autoRedefine/>
    <w:qFormat/>
    <w:uiPriority w:val="0"/>
    <w:rPr>
      <w:rFonts w:ascii="仿宋_GB2312" w:eastAsia="仿宋_GB2312"/>
      <w:b/>
      <w:sz w:val="32"/>
      <w:szCs w:val="32"/>
    </w:rPr>
  </w:style>
  <w:style w:type="paragraph" w:customStyle="1" w:styleId="515">
    <w:name w:val="xl10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6">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517">
    <w:name w:val="xl1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8">
    <w:name w:val="Char Char1 Char Char Char Char1 Char Char Char1"/>
    <w:basedOn w:val="1"/>
    <w:autoRedefine/>
    <w:qFormat/>
    <w:uiPriority w:val="0"/>
    <w:pPr>
      <w:adjustRightInd w:val="0"/>
      <w:spacing w:line="360" w:lineRule="atLeast"/>
      <w:textAlignment w:val="baseline"/>
    </w:pPr>
    <w:rPr>
      <w:rFonts w:ascii="Tahoma" w:hAnsi="Tahoma"/>
      <w:sz w:val="24"/>
      <w:szCs w:val="20"/>
    </w:rPr>
  </w:style>
  <w:style w:type="paragraph" w:customStyle="1" w:styleId="519">
    <w:name w:val="Char Char1 Char Char Char Char Char Char Char Char Char Char Char Char Char Char1"/>
    <w:basedOn w:val="1"/>
    <w:autoRedefine/>
    <w:qFormat/>
    <w:uiPriority w:val="0"/>
    <w:pPr>
      <w:widowControl/>
      <w:spacing w:after="160" w:line="240" w:lineRule="exact"/>
      <w:jc w:val="left"/>
    </w:pPr>
    <w:rPr>
      <w:szCs w:val="20"/>
    </w:rPr>
  </w:style>
  <w:style w:type="paragraph" w:customStyle="1" w:styleId="520">
    <w:name w:val="正文居中"/>
    <w:autoRedefine/>
    <w:qFormat/>
    <w:uiPriority w:val="0"/>
    <w:pPr>
      <w:widowControl w:val="0"/>
      <w:spacing w:line="240" w:lineRule="exact"/>
      <w:ind w:left="-105" w:leftChars="-50" w:right="-105" w:rightChars="-50"/>
      <w:jc w:val="center"/>
    </w:pPr>
    <w:rPr>
      <w:rFonts w:ascii="Times New Roman" w:hAnsi="Times New Roman" w:eastAsia="宋体" w:cs="Times New Roman"/>
      <w:bCs/>
      <w:sz w:val="18"/>
      <w:szCs w:val="18"/>
      <w:lang w:val="en-US" w:eastAsia="zh-CN" w:bidi="ar-SA"/>
    </w:rPr>
  </w:style>
  <w:style w:type="paragraph" w:customStyle="1" w:styleId="521">
    <w:name w:val="表格内文"/>
    <w:autoRedefine/>
    <w:qFormat/>
    <w:uiPriority w:val="0"/>
    <w:pPr>
      <w:widowControl w:val="0"/>
      <w:spacing w:line="360" w:lineRule="auto"/>
      <w:jc w:val="both"/>
    </w:pPr>
    <w:rPr>
      <w:rFonts w:ascii="宋体" w:hAnsi="Times New Roman" w:eastAsia="宋体" w:cs="宋体"/>
      <w:color w:val="000000"/>
      <w:kern w:val="2"/>
      <w:sz w:val="21"/>
      <w:lang w:val="en-US" w:eastAsia="zh-CN" w:bidi="ar-SA"/>
    </w:rPr>
  </w:style>
  <w:style w:type="paragraph" w:customStyle="1" w:styleId="522">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23">
    <w:name w:val="xl86"/>
    <w:basedOn w:val="1"/>
    <w:autoRedefine/>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52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525">
    <w:name w:val="文本框内文字"/>
    <w:basedOn w:val="1"/>
    <w:autoRedefine/>
    <w:qFormat/>
    <w:uiPriority w:val="0"/>
    <w:pPr>
      <w:spacing w:line="0" w:lineRule="atLeast"/>
    </w:pPr>
    <w:rPr>
      <w:rFonts w:eastAsia="仿宋_GB2312"/>
      <w:sz w:val="22"/>
      <w:szCs w:val="24"/>
    </w:rPr>
  </w:style>
  <w:style w:type="paragraph" w:customStyle="1" w:styleId="526">
    <w:name w:val="样式 正文段落 + 四号"/>
    <w:basedOn w:val="274"/>
    <w:autoRedefine/>
    <w:qFormat/>
    <w:uiPriority w:val="0"/>
    <w:pPr>
      <w:spacing w:line="360" w:lineRule="auto"/>
      <w:ind w:firstLine="0"/>
    </w:pPr>
    <w:rPr>
      <w:rFonts w:ascii="宋体" w:hAnsi="宋体" w:cs="宋体"/>
      <w:kern w:val="0"/>
    </w:rPr>
  </w:style>
  <w:style w:type="paragraph" w:customStyle="1" w:styleId="527">
    <w:name w:val="_Style 11811"/>
    <w:basedOn w:val="1"/>
    <w:autoRedefine/>
    <w:qFormat/>
    <w:uiPriority w:val="0"/>
  </w:style>
  <w:style w:type="paragraph" w:customStyle="1" w:styleId="528">
    <w:name w:val="FA正文+标号"/>
    <w:basedOn w:val="1"/>
    <w:autoRedefine/>
    <w:qFormat/>
    <w:uiPriority w:val="0"/>
    <w:pPr>
      <w:numPr>
        <w:ilvl w:val="0"/>
        <w:numId w:val="17"/>
      </w:numPr>
      <w:tabs>
        <w:tab w:val="left" w:pos="3375"/>
        <w:tab w:val="clear" w:pos="840"/>
      </w:tabs>
      <w:spacing w:line="400" w:lineRule="exact"/>
      <w:ind w:left="0" w:firstLine="0"/>
    </w:pPr>
    <w:rPr>
      <w:rFonts w:ascii="仿宋_GB2312" w:hAnsi="宋体" w:eastAsia="仿宋_GB2312"/>
      <w:sz w:val="24"/>
      <w:szCs w:val="24"/>
    </w:rPr>
  </w:style>
  <w:style w:type="paragraph" w:customStyle="1" w:styleId="529">
    <w:name w:val="圆点"/>
    <w:basedOn w:val="1"/>
    <w:autoRedefine/>
    <w:qFormat/>
    <w:uiPriority w:val="0"/>
    <w:pPr>
      <w:spacing w:beforeLines="50" w:afterLines="50" w:line="360" w:lineRule="auto"/>
      <w:ind w:firstLine="480" w:firstLineChars="200"/>
    </w:pPr>
    <w:rPr>
      <w:rFonts w:ascii="仿宋_GB2312" w:eastAsia="仿宋_GB2312"/>
      <w:sz w:val="24"/>
      <w:szCs w:val="24"/>
    </w:rPr>
  </w:style>
  <w:style w:type="paragraph" w:customStyle="1" w:styleId="530">
    <w:name w:val="正文浙江中烟安全"/>
    <w:basedOn w:val="1"/>
    <w:autoRedefine/>
    <w:qFormat/>
    <w:uiPriority w:val="0"/>
    <w:pPr>
      <w:spacing w:before="120" w:line="360" w:lineRule="auto"/>
      <w:ind w:firstLine="200" w:firstLineChars="200"/>
    </w:pPr>
    <w:rPr>
      <w:kern w:val="0"/>
      <w:sz w:val="24"/>
      <w:szCs w:val="24"/>
    </w:rPr>
  </w:style>
  <w:style w:type="paragraph" w:customStyle="1" w:styleId="531">
    <w:name w:val="xl12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32">
    <w:name w:val="修订1"/>
    <w:autoRedefine/>
    <w:semiHidden/>
    <w:qFormat/>
    <w:uiPriority w:val="99"/>
    <w:rPr>
      <w:rFonts w:ascii="Times New Roman" w:hAnsi="Times New Roman" w:eastAsia="宋体" w:cs="Times New Roman"/>
      <w:kern w:val="2"/>
      <w:sz w:val="21"/>
      <w:szCs w:val="22"/>
      <w:lang w:val="en-US" w:eastAsia="zh-CN" w:bidi="ar-SA"/>
    </w:rPr>
  </w:style>
  <w:style w:type="paragraph" w:customStyle="1" w:styleId="533">
    <w:name w:val="表内文字"/>
    <w:basedOn w:val="1"/>
    <w:autoRedefine/>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534">
    <w:name w:val="样式 纯文本 + 首行缩进:  2 字符 Char Char Char Char Char Char Char Char Char Char Char Char Char Char Char Char Char Char Char Char Char Char Char Char"/>
    <w:basedOn w:val="35"/>
    <w:autoRedefine/>
    <w:qFormat/>
    <w:uiPriority w:val="0"/>
    <w:pPr>
      <w:spacing w:beforeLines="0" w:afterLines="0" w:line="360" w:lineRule="auto"/>
      <w:jc w:val="left"/>
    </w:pPr>
    <w:rPr>
      <w:rFonts w:eastAsia="仿宋_GB2312" w:cs="Arial"/>
      <w:sz w:val="28"/>
      <w:szCs w:val="20"/>
    </w:rPr>
  </w:style>
  <w:style w:type="paragraph" w:customStyle="1" w:styleId="535">
    <w:name w:val="Char1 Char Char Char2"/>
    <w:basedOn w:val="1"/>
    <w:autoRedefine/>
    <w:qFormat/>
    <w:uiPriority w:val="0"/>
    <w:rPr>
      <w:rFonts w:ascii="Tahoma" w:hAnsi="Tahoma"/>
      <w:sz w:val="24"/>
      <w:szCs w:val="20"/>
    </w:rPr>
  </w:style>
  <w:style w:type="paragraph" w:customStyle="1" w:styleId="536">
    <w:name w:val="_Style 118"/>
    <w:basedOn w:val="1"/>
    <w:autoRedefine/>
    <w:qFormat/>
    <w:uiPriority w:val="0"/>
  </w:style>
  <w:style w:type="paragraph" w:customStyle="1" w:styleId="537">
    <w:name w:val="Default"/>
    <w:autoRedefine/>
    <w:qFormat/>
    <w:uiPriority w:val="0"/>
    <w:pPr>
      <w:widowControl w:val="0"/>
      <w:autoSpaceDE w:val="0"/>
      <w:autoSpaceDN w:val="0"/>
      <w:adjustRightInd w:val="0"/>
    </w:pPr>
    <w:rPr>
      <w:rFonts w:ascii="楷体" w:hAnsi="Times New Roman" w:eastAsia="楷体" w:cs="楷体"/>
      <w:color w:val="000000"/>
      <w:sz w:val="24"/>
      <w:szCs w:val="24"/>
      <w:lang w:val="en-US" w:eastAsia="zh-CN" w:bidi="ar-SA"/>
    </w:rPr>
  </w:style>
  <w:style w:type="paragraph" w:customStyle="1" w:styleId="538">
    <w:name w:val="纯文本1"/>
    <w:basedOn w:val="539"/>
    <w:autoRedefine/>
    <w:qFormat/>
    <w:uiPriority w:val="0"/>
    <w:pPr>
      <w:widowControl/>
      <w:jc w:val="left"/>
    </w:pPr>
    <w:rPr>
      <w:rFonts w:ascii="宋体" w:hAnsi="Courier New"/>
    </w:rPr>
  </w:style>
  <w:style w:type="paragraph" w:customStyle="1" w:styleId="539">
    <w:name w:val="正文5"/>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0">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41">
    <w:name w:val="样式 标题 3Chapter X.X.X. + 五号 段后: 0.5 行"/>
    <w:basedOn w:val="4"/>
    <w:autoRedefine/>
    <w:qFormat/>
    <w:uiPriority w:val="0"/>
    <w:pPr>
      <w:keepLines w:val="0"/>
      <w:spacing w:before="120" w:afterLines="50" w:line="240" w:lineRule="auto"/>
      <w:jc w:val="left"/>
    </w:pPr>
    <w:rPr>
      <w:rFonts w:ascii="宋体" w:cs="宋体"/>
      <w:snapToGrid w:val="0"/>
      <w:kern w:val="0"/>
      <w:sz w:val="21"/>
      <w:szCs w:val="20"/>
    </w:rPr>
  </w:style>
  <w:style w:type="paragraph" w:customStyle="1" w:styleId="542">
    <w:name w:val="标题6"/>
    <w:basedOn w:val="1"/>
    <w:next w:val="2"/>
    <w:autoRedefine/>
    <w:qFormat/>
    <w:uiPriority w:val="0"/>
    <w:pPr>
      <w:widowControl/>
      <w:snapToGrid w:val="0"/>
      <w:spacing w:beforeLines="50" w:afterLines="50" w:line="520" w:lineRule="atLeast"/>
      <w:ind w:firstLine="200" w:firstLineChars="200"/>
    </w:pPr>
    <w:rPr>
      <w:rFonts w:cs="Arial"/>
      <w:b/>
      <w:sz w:val="24"/>
      <w:szCs w:val="24"/>
    </w:rPr>
  </w:style>
  <w:style w:type="paragraph" w:customStyle="1" w:styleId="543">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44">
    <w:name w:val="Char21"/>
    <w:basedOn w:val="1"/>
    <w:autoRedefine/>
    <w:qFormat/>
    <w:uiPriority w:val="0"/>
    <w:rPr>
      <w:rFonts w:ascii="仿宋_GB2312" w:eastAsia="仿宋_GB2312"/>
      <w:b/>
      <w:sz w:val="32"/>
      <w:szCs w:val="20"/>
    </w:rPr>
  </w:style>
  <w:style w:type="paragraph" w:customStyle="1" w:styleId="54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46">
    <w:name w:val="列出段落12"/>
    <w:basedOn w:val="1"/>
    <w:autoRedefine/>
    <w:qFormat/>
    <w:uiPriority w:val="0"/>
    <w:pPr>
      <w:ind w:firstLine="420" w:firstLineChars="200"/>
    </w:pPr>
  </w:style>
  <w:style w:type="paragraph" w:customStyle="1" w:styleId="547">
    <w:name w:val="样式"/>
    <w:basedOn w:val="1"/>
    <w:autoRedefine/>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48">
    <w:name w:val="xl72"/>
    <w:basedOn w:val="1"/>
    <w:autoRedefine/>
    <w:qFormat/>
    <w:uiPriority w:val="0"/>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styleId="549">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50">
    <w:name w:val="表格中序号"/>
    <w:basedOn w:val="1"/>
    <w:autoRedefine/>
    <w:qFormat/>
    <w:uiPriority w:val="0"/>
    <w:pPr>
      <w:spacing w:line="288" w:lineRule="auto"/>
      <w:jc w:val="center"/>
    </w:pPr>
    <w:rPr>
      <w:rFonts w:ascii="新宋体" w:eastAsia="新宋体"/>
      <w:sz w:val="24"/>
      <w:szCs w:val="24"/>
    </w:rPr>
  </w:style>
  <w:style w:type="paragraph" w:customStyle="1" w:styleId="551">
    <w:name w:val="A正文小四"/>
    <w:basedOn w:val="1"/>
    <w:autoRedefine/>
    <w:qFormat/>
    <w:uiPriority w:val="0"/>
    <w:pPr>
      <w:spacing w:line="360" w:lineRule="auto"/>
      <w:ind w:firstLine="200" w:firstLineChars="200"/>
    </w:pPr>
    <w:rPr>
      <w:sz w:val="24"/>
      <w:szCs w:val="24"/>
    </w:rPr>
  </w:style>
  <w:style w:type="paragraph" w:customStyle="1" w:styleId="552">
    <w:name w:val="左对齐的表内文字"/>
    <w:basedOn w:val="1"/>
    <w:autoRedefine/>
    <w:qFormat/>
    <w:uiPriority w:val="0"/>
    <w:rPr>
      <w:rFonts w:eastAsia="仿宋_GB2312" w:cs="宋体"/>
      <w:szCs w:val="20"/>
    </w:rPr>
  </w:style>
  <w:style w:type="paragraph" w:customStyle="1" w:styleId="553">
    <w:name w:val="P3"/>
    <w:basedOn w:val="1"/>
    <w:autoRedefine/>
    <w:qFormat/>
    <w:uiPriority w:val="0"/>
    <w:pPr>
      <w:widowControl/>
      <w:spacing w:before="240" w:line="240" w:lineRule="atLeast"/>
      <w:ind w:left="1152"/>
      <w:jc w:val="left"/>
    </w:pPr>
    <w:rPr>
      <w:b/>
      <w:kern w:val="0"/>
      <w:szCs w:val="21"/>
      <w:lang w:val="en-AU" w:eastAsia="en-US"/>
    </w:rPr>
  </w:style>
  <w:style w:type="paragraph" w:customStyle="1" w:styleId="554">
    <w:name w:val="p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555">
    <w:name w:val="GP有序编号2级"/>
    <w:basedOn w:val="1"/>
    <w:autoRedefine/>
    <w:qFormat/>
    <w:uiPriority w:val="0"/>
    <w:pPr>
      <w:numPr>
        <w:ilvl w:val="2"/>
        <w:numId w:val="16"/>
      </w:numPr>
      <w:tabs>
        <w:tab w:val="left" w:pos="903"/>
      </w:tabs>
      <w:spacing w:line="360" w:lineRule="auto"/>
      <w:ind w:left="947" w:hanging="420"/>
      <w:jc w:val="left"/>
    </w:pPr>
    <w:rPr>
      <w:sz w:val="24"/>
      <w:szCs w:val="21"/>
    </w:rPr>
  </w:style>
  <w:style w:type="paragraph" w:customStyle="1" w:styleId="556">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57">
    <w:name w:val="xl38"/>
    <w:basedOn w:val="1"/>
    <w:autoRedefine/>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4"/>
    </w:rPr>
  </w:style>
  <w:style w:type="paragraph" w:customStyle="1" w:styleId="558">
    <w:name w:val="标书正文格式"/>
    <w:autoRedefine/>
    <w:qFormat/>
    <w:uiPriority w:val="0"/>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559">
    <w:name w:val="xl75"/>
    <w:basedOn w:val="1"/>
    <w:autoRedefine/>
    <w:qFormat/>
    <w:uiPriority w:val="0"/>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60">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1">
    <w:name w:val="xl65"/>
    <w:basedOn w:val="1"/>
    <w:autoRedefine/>
    <w:qFormat/>
    <w:uiPriority w:val="0"/>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62">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63">
    <w:name w:val="金保文档标准正文 Char"/>
    <w:basedOn w:val="1"/>
    <w:autoRedefine/>
    <w:qFormat/>
    <w:uiPriority w:val="0"/>
    <w:pPr>
      <w:tabs>
        <w:tab w:val="left" w:pos="1500"/>
      </w:tabs>
      <w:spacing w:line="360" w:lineRule="auto"/>
      <w:ind w:left="1500" w:hanging="420"/>
      <w:jc w:val="left"/>
    </w:pPr>
    <w:rPr>
      <w:color w:val="000000"/>
      <w:sz w:val="24"/>
      <w:szCs w:val="24"/>
    </w:rPr>
  </w:style>
  <w:style w:type="paragraph" w:customStyle="1" w:styleId="564">
    <w:name w:val="无间隔11"/>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565">
    <w:name w:val="公司名"/>
    <w:basedOn w:val="1"/>
    <w:next w:val="1"/>
    <w:autoRedefine/>
    <w:qFormat/>
    <w:uiPriority w:val="0"/>
    <w:pPr>
      <w:widowControl/>
      <w:spacing w:before="420" w:after="60" w:line="320" w:lineRule="exact"/>
      <w:jc w:val="left"/>
    </w:pPr>
    <w:rPr>
      <w:rFonts w:ascii="Garamond" w:hAnsi="Garamond"/>
      <w:caps/>
      <w:kern w:val="36"/>
      <w:sz w:val="38"/>
      <w:szCs w:val="20"/>
      <w:lang w:bidi="he-IL"/>
    </w:rPr>
  </w:style>
  <w:style w:type="paragraph" w:customStyle="1" w:styleId="566">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67">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568">
    <w:name w:val="日期2"/>
    <w:basedOn w:val="1"/>
    <w:next w:val="1"/>
    <w:autoRedefine/>
    <w:qFormat/>
    <w:uiPriority w:val="0"/>
    <w:pPr>
      <w:adjustRightInd w:val="0"/>
      <w:spacing w:line="312" w:lineRule="atLeast"/>
      <w:textAlignment w:val="baseline"/>
    </w:pPr>
    <w:rPr>
      <w:kern w:val="0"/>
      <w:sz w:val="24"/>
      <w:szCs w:val="20"/>
    </w:rPr>
  </w:style>
  <w:style w:type="paragraph" w:customStyle="1" w:styleId="569">
    <w:name w:val="font1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570">
    <w:name w:val="标准标题1"/>
    <w:basedOn w:val="2"/>
    <w:autoRedefine/>
    <w:qFormat/>
    <w:uiPriority w:val="0"/>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571">
    <w:name w:val="吉奥封面(黑体小初)"/>
    <w:basedOn w:val="334"/>
    <w:autoRedefine/>
    <w:qFormat/>
    <w:uiPriority w:val="0"/>
    <w:pPr>
      <w:spacing w:before="480"/>
      <w:ind w:firstLine="0" w:firstLineChars="0"/>
      <w:jc w:val="center"/>
    </w:pPr>
    <w:rPr>
      <w:rFonts w:eastAsia="黑体"/>
      <w:sz w:val="72"/>
      <w:szCs w:val="72"/>
    </w:rPr>
  </w:style>
  <w:style w:type="paragraph" w:customStyle="1" w:styleId="572">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73">
    <w:name w:val="Char Char1 Char Char Char Char1 Char Char Char"/>
    <w:basedOn w:val="1"/>
    <w:autoRedefine/>
    <w:qFormat/>
    <w:uiPriority w:val="0"/>
    <w:pPr>
      <w:adjustRightInd w:val="0"/>
      <w:spacing w:line="360" w:lineRule="atLeast"/>
      <w:textAlignment w:val="baseline"/>
    </w:pPr>
    <w:rPr>
      <w:rFonts w:ascii="Tahoma" w:hAnsi="Tahoma"/>
      <w:sz w:val="24"/>
      <w:szCs w:val="20"/>
    </w:rPr>
  </w:style>
  <w:style w:type="paragraph" w:customStyle="1" w:styleId="574">
    <w:name w:val="注意事项"/>
    <w:basedOn w:val="1"/>
    <w:autoRedefine/>
    <w:qFormat/>
    <w:uiPriority w:val="0"/>
    <w:pPr>
      <w:spacing w:beforeLines="50" w:afterLines="50" w:line="360" w:lineRule="auto"/>
      <w:ind w:firstLine="600" w:firstLineChars="200"/>
    </w:pPr>
    <w:rPr>
      <w:rFonts w:ascii="仿宋_GB2312" w:eastAsia="仿宋_GB2312" w:cs="Latha"/>
      <w:bCs/>
      <w:color w:val="000000"/>
      <w:sz w:val="30"/>
      <w:szCs w:val="30"/>
    </w:rPr>
  </w:style>
  <w:style w:type="paragraph" w:customStyle="1" w:styleId="575">
    <w:name w:val="强调点"/>
    <w:basedOn w:val="1"/>
    <w:autoRedefine/>
    <w:qFormat/>
    <w:uiPriority w:val="0"/>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576">
    <w:name w:val="Paragraph4"/>
    <w:basedOn w:val="1"/>
    <w:autoRedefine/>
    <w:qFormat/>
    <w:uiPriority w:val="0"/>
    <w:pPr>
      <w:spacing w:before="80" w:afterLines="50"/>
      <w:ind w:left="2250"/>
    </w:pPr>
    <w:rPr>
      <w:rFonts w:ascii="宋体"/>
      <w:snapToGrid w:val="0"/>
      <w:kern w:val="0"/>
      <w:szCs w:val="20"/>
    </w:rPr>
  </w:style>
  <w:style w:type="paragraph" w:customStyle="1" w:styleId="577">
    <w:name w:val="xl74"/>
    <w:basedOn w:val="1"/>
    <w:autoRedefine/>
    <w:qFormat/>
    <w:uiPriority w:val="0"/>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78">
    <w:name w:val="样式2"/>
    <w:basedOn w:val="3"/>
    <w:autoRedefine/>
    <w:qFormat/>
    <w:uiPriority w:val="0"/>
    <w:pPr>
      <w:tabs>
        <w:tab w:val="left" w:pos="576"/>
      </w:tabs>
      <w:spacing w:before="0" w:after="0" w:line="415" w:lineRule="auto"/>
      <w:ind w:left="576" w:hanging="576"/>
    </w:pPr>
    <w:rPr>
      <w:rFonts w:ascii="宋体" w:hAnsi="宋体" w:eastAsia="仿宋_GB2312"/>
      <w:bCs w:val="0"/>
      <w:szCs w:val="20"/>
    </w:rPr>
  </w:style>
  <w:style w:type="paragraph" w:customStyle="1" w:styleId="579">
    <w:name w:val="样式 小四 行距: 1.5 倍行距 首行缩进:  2.25 字符"/>
    <w:basedOn w:val="1"/>
    <w:autoRedefine/>
    <w:qFormat/>
    <w:uiPriority w:val="0"/>
    <w:pPr>
      <w:tabs>
        <w:tab w:val="left" w:pos="360"/>
        <w:tab w:val="left" w:pos="704"/>
      </w:tabs>
      <w:spacing w:line="360" w:lineRule="auto"/>
    </w:pPr>
    <w:rPr>
      <w:rFonts w:ascii="宋体" w:hAnsi="宋体"/>
      <w:spacing w:val="-8"/>
      <w:sz w:val="24"/>
      <w:szCs w:val="20"/>
    </w:rPr>
  </w:style>
  <w:style w:type="paragraph" w:customStyle="1" w:styleId="58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81">
    <w:name w:val="默认段落字体 Para Char Char Char Char Char Char Char Char Char Char"/>
    <w:basedOn w:val="1"/>
    <w:autoRedefine/>
    <w:qFormat/>
    <w:uiPriority w:val="0"/>
    <w:rPr>
      <w:rFonts w:ascii="Tahoma" w:hAnsi="Tahoma"/>
      <w:sz w:val="24"/>
      <w:szCs w:val="20"/>
    </w:rPr>
  </w:style>
  <w:style w:type="paragraph" w:customStyle="1" w:styleId="582">
    <w:name w:val="金保标题2"/>
    <w:basedOn w:val="3"/>
    <w:next w:val="1"/>
    <w:autoRedefine/>
    <w:qFormat/>
    <w:uiPriority w:val="0"/>
    <w:pPr>
      <w:tabs>
        <w:tab w:val="left" w:pos="709"/>
      </w:tabs>
      <w:spacing w:line="360" w:lineRule="auto"/>
    </w:pPr>
    <w:rPr>
      <w:rFonts w:ascii="Times New Roman" w:hAnsi="Times New Roman"/>
      <w:kern w:val="0"/>
      <w:sz w:val="28"/>
      <w:szCs w:val="28"/>
    </w:rPr>
  </w:style>
  <w:style w:type="paragraph" w:customStyle="1" w:styleId="583">
    <w:name w:val="Char Char Char Char Char Char11"/>
    <w:basedOn w:val="1"/>
    <w:autoRedefine/>
    <w:qFormat/>
    <w:uiPriority w:val="0"/>
    <w:rPr>
      <w:szCs w:val="20"/>
    </w:rPr>
  </w:style>
  <w:style w:type="paragraph" w:customStyle="1" w:styleId="584">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585">
    <w:name w:val="样式 样式 小四 行距: 1.5 倍行距 首行缩进:  2 字符 + +中文正文"/>
    <w:basedOn w:val="1"/>
    <w:autoRedefine/>
    <w:qFormat/>
    <w:uiPriority w:val="0"/>
    <w:pPr>
      <w:spacing w:line="360" w:lineRule="auto"/>
      <w:ind w:firstLine="480" w:firstLineChars="200"/>
    </w:pPr>
    <w:rPr>
      <w:rFonts w:ascii="宋体" w:hAnsi="宋体" w:cs="宋体"/>
      <w:sz w:val="24"/>
      <w:szCs w:val="20"/>
    </w:rPr>
  </w:style>
  <w:style w:type="paragraph" w:customStyle="1" w:styleId="586">
    <w:name w:val="Table"/>
    <w:basedOn w:val="1"/>
    <w:autoRedefine/>
    <w:qFormat/>
    <w:uiPriority w:val="0"/>
    <w:pPr>
      <w:widowControl/>
      <w:spacing w:before="40" w:after="40"/>
      <w:jc w:val="left"/>
    </w:pPr>
    <w:rPr>
      <w:rFonts w:ascii="Arial" w:hAnsi="Arial" w:eastAsia="Times New Roman"/>
      <w:kern w:val="0"/>
      <w:sz w:val="20"/>
      <w:szCs w:val="20"/>
      <w:lang w:val="en-GB" w:eastAsia="en-US"/>
    </w:rPr>
  </w:style>
  <w:style w:type="paragraph" w:customStyle="1" w:styleId="587">
    <w:name w:val="GP标题1"/>
    <w:basedOn w:val="1"/>
    <w:next w:val="1"/>
    <w:autoRedefine/>
    <w:qFormat/>
    <w:uiPriority w:val="0"/>
    <w:pPr>
      <w:numPr>
        <w:ilvl w:val="0"/>
        <w:numId w:val="16"/>
      </w:numPr>
      <w:spacing w:beforeLines="100" w:afterLines="100" w:line="360" w:lineRule="auto"/>
      <w:jc w:val="center"/>
      <w:outlineLvl w:val="0"/>
    </w:pPr>
    <w:rPr>
      <w:rFonts w:ascii="黑体" w:hAnsi="黑体" w:eastAsia="黑体"/>
      <w:b/>
      <w:sz w:val="36"/>
      <w:szCs w:val="21"/>
    </w:rPr>
  </w:style>
  <w:style w:type="paragraph" w:customStyle="1" w:styleId="588">
    <w:name w:val="xl67"/>
    <w:basedOn w:val="1"/>
    <w:autoRedefine/>
    <w:qFormat/>
    <w:uiPriority w:val="0"/>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589">
    <w:name w:val="Char Char12 Char Char Char Char"/>
    <w:basedOn w:val="1"/>
    <w:autoRedefine/>
    <w:qFormat/>
    <w:uiPriority w:val="0"/>
    <w:pPr>
      <w:tabs>
        <w:tab w:val="left" w:pos="432"/>
      </w:tabs>
      <w:ind w:left="432" w:hanging="432"/>
    </w:pPr>
    <w:rPr>
      <w:rFonts w:ascii="Tahoma" w:hAnsi="Tahoma"/>
      <w:sz w:val="24"/>
      <w:szCs w:val="20"/>
    </w:rPr>
  </w:style>
  <w:style w:type="paragraph" w:customStyle="1" w:styleId="590">
    <w:name w:val="样式 标题 3(A-3)sect1.2.3h3H3level_3PIM 3Level 3 HeadHeading..."/>
    <w:basedOn w:val="4"/>
    <w:autoRedefine/>
    <w:qFormat/>
    <w:uiPriority w:val="0"/>
    <w:rPr>
      <w:rFonts w:ascii="Arial" w:hAnsi="Arial"/>
      <w:sz w:val="30"/>
    </w:rPr>
  </w:style>
  <w:style w:type="paragraph" w:customStyle="1" w:styleId="591">
    <w:name w:val="内文正文"/>
    <w:basedOn w:val="1"/>
    <w:autoRedefine/>
    <w:qFormat/>
    <w:uiPriority w:val="0"/>
    <w:pPr>
      <w:adjustRightInd w:val="0"/>
      <w:snapToGrid w:val="0"/>
      <w:spacing w:line="400" w:lineRule="atLeast"/>
      <w:ind w:firstLine="200" w:firstLineChars="200"/>
    </w:pPr>
    <w:rPr>
      <w:rFonts w:ascii="宋体"/>
      <w:szCs w:val="24"/>
    </w:rPr>
  </w:style>
  <w:style w:type="paragraph" w:customStyle="1" w:styleId="592">
    <w:name w:val="Char"/>
    <w:basedOn w:val="1"/>
    <w:autoRedefine/>
    <w:qFormat/>
    <w:uiPriority w:val="0"/>
    <w:rPr>
      <w:szCs w:val="20"/>
    </w:rPr>
  </w:style>
  <w:style w:type="paragraph" w:customStyle="1" w:styleId="593">
    <w:name w:val="表格_内容"/>
    <w:basedOn w:val="1"/>
    <w:autoRedefine/>
    <w:qFormat/>
    <w:uiPriority w:val="0"/>
    <w:rPr>
      <w:rFonts w:ascii="宋体" w:hAnsi="宋体"/>
      <w:szCs w:val="21"/>
    </w:rPr>
  </w:style>
  <w:style w:type="paragraph" w:customStyle="1" w:styleId="594">
    <w:name w:val="正文样式"/>
    <w:basedOn w:val="1"/>
    <w:autoRedefine/>
    <w:qFormat/>
    <w:uiPriority w:val="0"/>
    <w:pPr>
      <w:spacing w:line="360" w:lineRule="auto"/>
      <w:ind w:firstLine="200" w:firstLineChars="200"/>
    </w:pPr>
    <w:rPr>
      <w:rFonts w:ascii="宋体"/>
      <w:sz w:val="24"/>
      <w:szCs w:val="24"/>
    </w:rPr>
  </w:style>
  <w:style w:type="paragraph" w:customStyle="1" w:styleId="595">
    <w:name w:val="中等深浅列表 2 - 强调文字颜色 21"/>
    <w:autoRedefine/>
    <w:semiHidden/>
    <w:qFormat/>
    <w:uiPriority w:val="99"/>
    <w:rPr>
      <w:rFonts w:ascii="Times New Roman" w:hAnsi="Times New Roman" w:eastAsia="宋体" w:cs="Times New Roman"/>
      <w:kern w:val="2"/>
      <w:sz w:val="21"/>
      <w:szCs w:val="22"/>
      <w:lang w:val="en-US" w:eastAsia="zh-CN" w:bidi="ar-SA"/>
    </w:rPr>
  </w:style>
  <w:style w:type="paragraph" w:customStyle="1" w:styleId="596">
    <w:name w:val="正文文本 New New"/>
    <w:basedOn w:val="597"/>
    <w:autoRedefine/>
    <w:qFormat/>
    <w:uiPriority w:val="0"/>
    <w:pPr>
      <w:spacing w:after="120"/>
    </w:pPr>
    <w:rPr>
      <w:sz w:val="28"/>
      <w:szCs w:val="24"/>
    </w:rPr>
  </w:style>
  <w:style w:type="paragraph" w:customStyle="1" w:styleId="597">
    <w:name w:val="正文 New New New New New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8">
    <w:name w:val="规范正文"/>
    <w:basedOn w:val="1"/>
    <w:autoRedefine/>
    <w:qFormat/>
    <w:uiPriority w:val="0"/>
    <w:pPr>
      <w:adjustRightInd w:val="0"/>
      <w:spacing w:line="360" w:lineRule="auto"/>
      <w:ind w:left="480"/>
      <w:jc w:val="left"/>
      <w:textAlignment w:val="baseline"/>
    </w:pPr>
    <w:rPr>
      <w:kern w:val="0"/>
      <w:sz w:val="24"/>
      <w:szCs w:val="20"/>
    </w:rPr>
  </w:style>
  <w:style w:type="paragraph" w:customStyle="1" w:styleId="599">
    <w:name w:val="Char Char Char Char Char Char Char Char"/>
    <w:basedOn w:val="1"/>
    <w:autoRedefine/>
    <w:qFormat/>
    <w:uiPriority w:val="0"/>
    <w:pPr>
      <w:tabs>
        <w:tab w:val="left" w:pos="360"/>
      </w:tabs>
    </w:pPr>
    <w:rPr>
      <w:sz w:val="24"/>
      <w:szCs w:val="24"/>
    </w:rPr>
  </w:style>
  <w:style w:type="paragraph" w:customStyle="1" w:styleId="600">
    <w:name w:val="图表引用"/>
    <w:basedOn w:val="1"/>
    <w:autoRedefine/>
    <w:qFormat/>
    <w:uiPriority w:val="0"/>
    <w:pPr>
      <w:spacing w:line="360" w:lineRule="auto"/>
      <w:jc w:val="center"/>
    </w:pPr>
    <w:rPr>
      <w:rFonts w:ascii="仿宋_GB2312" w:eastAsia="仿宋_GB2312"/>
      <w:b/>
      <w:sz w:val="24"/>
      <w:szCs w:val="28"/>
    </w:rPr>
  </w:style>
  <w:style w:type="paragraph" w:customStyle="1" w:styleId="601">
    <w:name w:val="样式 标题 3Chapter X.X.X"/>
    <w:basedOn w:val="419"/>
    <w:autoRedefine/>
    <w:qFormat/>
    <w:uiPriority w:val="0"/>
    <w:pPr>
      <w:spacing w:after="120"/>
    </w:pPr>
  </w:style>
  <w:style w:type="paragraph" w:customStyle="1" w:styleId="602">
    <w:name w:val="List Paragraph1"/>
    <w:basedOn w:val="1"/>
    <w:autoRedefine/>
    <w:qFormat/>
    <w:uiPriority w:val="0"/>
    <w:pPr>
      <w:ind w:firstLine="420" w:firstLineChars="200"/>
    </w:pPr>
    <w:rPr>
      <w:szCs w:val="24"/>
    </w:rPr>
  </w:style>
  <w:style w:type="paragraph" w:customStyle="1" w:styleId="603">
    <w:name w:val="页眉1"/>
    <w:basedOn w:val="1"/>
    <w:autoRedefine/>
    <w:qFormat/>
    <w:uiPriority w:val="0"/>
    <w:pPr>
      <w:widowControl/>
      <w:spacing w:before="150" w:after="150" w:line="320" w:lineRule="atLeast"/>
      <w:jc w:val="left"/>
    </w:pPr>
    <w:rPr>
      <w:rFonts w:ascii="宋体" w:hAnsi="宋体" w:cs="宋体"/>
      <w:color w:val="003399"/>
      <w:kern w:val="0"/>
      <w:sz w:val="30"/>
      <w:szCs w:val="30"/>
    </w:rPr>
  </w:style>
  <w:style w:type="paragraph" w:customStyle="1" w:styleId="604">
    <w:name w:val="日期1"/>
    <w:basedOn w:val="1"/>
    <w:next w:val="1"/>
    <w:autoRedefine/>
    <w:qFormat/>
    <w:uiPriority w:val="0"/>
    <w:pPr>
      <w:adjustRightInd w:val="0"/>
      <w:spacing w:line="312" w:lineRule="atLeast"/>
      <w:textAlignment w:val="baseline"/>
    </w:pPr>
    <w:rPr>
      <w:kern w:val="0"/>
      <w:sz w:val="24"/>
      <w:szCs w:val="20"/>
    </w:rPr>
  </w:style>
  <w:style w:type="paragraph" w:customStyle="1" w:styleId="605">
    <w:name w:val="5级"/>
    <w:basedOn w:val="1"/>
    <w:next w:val="19"/>
    <w:autoRedefine/>
    <w:qFormat/>
    <w:uiPriority w:val="0"/>
    <w:pPr>
      <w:numPr>
        <w:ilvl w:val="4"/>
        <w:numId w:val="18"/>
      </w:numPr>
    </w:pPr>
    <w:rPr>
      <w:rFonts w:eastAsia="黑体"/>
      <w:kern w:val="0"/>
      <w:sz w:val="24"/>
      <w:szCs w:val="20"/>
    </w:rPr>
  </w:style>
  <w:style w:type="paragraph" w:customStyle="1" w:styleId="606">
    <w:name w:val="Body"/>
    <w:basedOn w:val="1"/>
    <w:autoRedefine/>
    <w:qFormat/>
    <w:uiPriority w:val="0"/>
    <w:pPr>
      <w:widowControl/>
      <w:spacing w:before="120" w:afterLines="50"/>
    </w:pPr>
    <w:rPr>
      <w:rFonts w:ascii="宋体"/>
      <w:snapToGrid w:val="0"/>
      <w:kern w:val="0"/>
      <w:szCs w:val="20"/>
    </w:rPr>
  </w:style>
  <w:style w:type="paragraph" w:customStyle="1" w:styleId="607">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08">
    <w:name w:val="xl114"/>
    <w:basedOn w:val="1"/>
    <w:autoRedefine/>
    <w:qFormat/>
    <w:uiPriority w:val="0"/>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609">
    <w:name w:val="样式 三号 加粗 段后: 0.5 行"/>
    <w:basedOn w:val="1"/>
    <w:autoRedefine/>
    <w:qFormat/>
    <w:uiPriority w:val="0"/>
    <w:pPr>
      <w:spacing w:afterLines="50"/>
      <w:jc w:val="left"/>
    </w:pPr>
    <w:rPr>
      <w:rFonts w:ascii="宋体" w:cs="宋体"/>
      <w:b/>
      <w:bCs/>
      <w:snapToGrid w:val="0"/>
      <w:kern w:val="0"/>
      <w:sz w:val="32"/>
      <w:szCs w:val="20"/>
    </w:rPr>
  </w:style>
  <w:style w:type="paragraph" w:customStyle="1" w:styleId="610">
    <w:name w:val="标书_标题2"/>
    <w:basedOn w:val="3"/>
    <w:autoRedefine/>
    <w:qFormat/>
    <w:uiPriority w:val="0"/>
    <w:pPr>
      <w:spacing w:after="0" w:line="415" w:lineRule="auto"/>
    </w:pPr>
    <w:rPr>
      <w:sz w:val="28"/>
      <w:szCs w:val="20"/>
    </w:rPr>
  </w:style>
  <w:style w:type="paragraph" w:customStyle="1" w:styleId="611">
    <w:name w:val="表格内容"/>
    <w:basedOn w:val="27"/>
    <w:autoRedefine/>
    <w:qFormat/>
    <w:uiPriority w:val="0"/>
    <w:pPr>
      <w:suppressLineNumbers/>
      <w:suppressAutoHyphens/>
    </w:pPr>
    <w:rPr>
      <w:kern w:val="1"/>
      <w:sz w:val="21"/>
      <w:lang w:eastAsia="ar-SA"/>
    </w:rPr>
  </w:style>
  <w:style w:type="paragraph" w:customStyle="1" w:styleId="612">
    <w:name w:val="表格标题"/>
    <w:basedOn w:val="611"/>
    <w:autoRedefine/>
    <w:qFormat/>
    <w:uiPriority w:val="0"/>
    <w:pPr>
      <w:numPr>
        <w:ilvl w:val="0"/>
        <w:numId w:val="19"/>
      </w:numPr>
      <w:ind w:left="0" w:firstLine="0"/>
      <w:jc w:val="center"/>
    </w:pPr>
    <w:rPr>
      <w:b/>
      <w:bCs/>
      <w:i/>
      <w:iCs/>
    </w:rPr>
  </w:style>
  <w:style w:type="paragraph" w:customStyle="1" w:styleId="613">
    <w:name w:val="文本"/>
    <w:autoRedefine/>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614">
    <w:name w:val="linyang-正文"/>
    <w:basedOn w:val="1"/>
    <w:autoRedefine/>
    <w:qFormat/>
    <w:uiPriority w:val="0"/>
    <w:pPr>
      <w:spacing w:before="120" w:after="120" w:line="400" w:lineRule="exact"/>
      <w:ind w:firstLine="200" w:firstLineChars="200"/>
    </w:pPr>
    <w:rPr>
      <w:sz w:val="24"/>
      <w:szCs w:val="24"/>
    </w:rPr>
  </w:style>
  <w:style w:type="paragraph" w:customStyle="1" w:styleId="615">
    <w:name w:val="xl28"/>
    <w:basedOn w:val="1"/>
    <w:autoRedefine/>
    <w:qFormat/>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616">
    <w:name w:val="_Style 148"/>
    <w:next w:val="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17">
    <w:name w:val="GP公文标题1"/>
    <w:basedOn w:val="1"/>
    <w:next w:val="1"/>
    <w:autoRedefine/>
    <w:qFormat/>
    <w:uiPriority w:val="0"/>
    <w:pPr>
      <w:numPr>
        <w:ilvl w:val="4"/>
        <w:numId w:val="16"/>
      </w:numPr>
      <w:spacing w:beforeLines="100" w:afterLines="100" w:line="360" w:lineRule="auto"/>
      <w:ind w:firstLine="0"/>
      <w:jc w:val="left"/>
      <w:outlineLvl w:val="0"/>
    </w:pPr>
    <w:rPr>
      <w:rFonts w:eastAsia="仿宋_GB2312"/>
      <w:b/>
      <w:sz w:val="36"/>
      <w:szCs w:val="21"/>
    </w:rPr>
  </w:style>
  <w:style w:type="paragraph" w:customStyle="1" w:styleId="618">
    <w:name w:val="样式 正文段落 + (西文) 仿宋_GB2312 行距: 1.5 倍行距"/>
    <w:basedOn w:val="274"/>
    <w:autoRedefine/>
    <w:qFormat/>
    <w:uiPriority w:val="0"/>
    <w:pPr>
      <w:spacing w:line="360" w:lineRule="auto"/>
      <w:ind w:firstLine="560" w:firstLineChars="200"/>
    </w:pPr>
    <w:rPr>
      <w:rFonts w:ascii="仿宋" w:hAnsi="宋体" w:eastAsia="仿宋" w:cs="宋体"/>
      <w:kern w:val="0"/>
      <w:sz w:val="28"/>
    </w:rPr>
  </w:style>
  <w:style w:type="paragraph" w:customStyle="1" w:styleId="619">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20">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21">
    <w:name w:val="pt9"/>
    <w:basedOn w:val="1"/>
    <w:autoRedefine/>
    <w:qFormat/>
    <w:uiPriority w:val="0"/>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622">
    <w:name w:val="技术方案正文样式"/>
    <w:basedOn w:val="1"/>
    <w:autoRedefine/>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623">
    <w:name w:val="Paragraph2"/>
    <w:basedOn w:val="1"/>
    <w:autoRedefine/>
    <w:qFormat/>
    <w:uiPriority w:val="0"/>
    <w:pPr>
      <w:spacing w:before="80" w:afterLines="50"/>
      <w:ind w:left="720"/>
    </w:pPr>
    <w:rPr>
      <w:rFonts w:ascii="宋体"/>
      <w:snapToGrid w:val="0"/>
      <w:color w:val="000000"/>
      <w:kern w:val="0"/>
      <w:szCs w:val="20"/>
      <w:lang w:val="en-AU"/>
    </w:rPr>
  </w:style>
  <w:style w:type="paragraph" w:customStyle="1" w:styleId="624">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5">
    <w:name w:val="xl12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26">
    <w:name w:val="xl64"/>
    <w:basedOn w:val="1"/>
    <w:autoRedefine/>
    <w:qFormat/>
    <w:uiPriority w:val="0"/>
    <w:pPr>
      <w:widowControl/>
      <w:pBdr>
        <w:bottom w:val="single" w:color="000000" w:sz="8" w:space="0"/>
        <w:right w:val="single" w:color="000000" w:sz="8" w:space="0"/>
      </w:pBdr>
      <w:shd w:val="clear" w:color="000000" w:fill="BFBFBF"/>
      <w:spacing w:before="100" w:beforeAutospacing="1" w:after="100" w:afterAutospacing="1"/>
      <w:jc w:val="center"/>
    </w:pPr>
    <w:rPr>
      <w:kern w:val="0"/>
      <w:sz w:val="20"/>
      <w:szCs w:val="20"/>
    </w:rPr>
  </w:style>
  <w:style w:type="paragraph" w:customStyle="1" w:styleId="627">
    <w:name w:val="pa-30"/>
    <w:basedOn w:val="1"/>
    <w:autoRedefine/>
    <w:qFormat/>
    <w:uiPriority w:val="0"/>
    <w:pPr>
      <w:widowControl/>
      <w:spacing w:before="150" w:after="150"/>
      <w:jc w:val="left"/>
    </w:pPr>
    <w:rPr>
      <w:rFonts w:ascii="宋体" w:hAnsi="宋体" w:cs="宋体"/>
      <w:kern w:val="0"/>
      <w:sz w:val="24"/>
      <w:szCs w:val="24"/>
    </w:rPr>
  </w:style>
  <w:style w:type="paragraph" w:customStyle="1" w:styleId="628">
    <w:name w:val="正文段"/>
    <w:basedOn w:val="1"/>
    <w:autoRedefine/>
    <w:qFormat/>
    <w:uiPriority w:val="0"/>
    <w:pPr>
      <w:widowControl/>
      <w:snapToGrid w:val="0"/>
      <w:spacing w:afterLines="50"/>
      <w:ind w:firstLine="200" w:firstLineChars="200"/>
    </w:pPr>
    <w:rPr>
      <w:kern w:val="0"/>
      <w:sz w:val="24"/>
      <w:szCs w:val="20"/>
    </w:rPr>
  </w:style>
  <w:style w:type="paragraph" w:customStyle="1" w:styleId="629">
    <w:name w:val="Char31"/>
    <w:basedOn w:val="1"/>
    <w:autoRedefine/>
    <w:qFormat/>
    <w:uiPriority w:val="0"/>
    <w:rPr>
      <w:rFonts w:ascii="仿宋_GB2312" w:eastAsia="仿宋_GB2312"/>
      <w:b/>
      <w:sz w:val="32"/>
      <w:szCs w:val="32"/>
    </w:rPr>
  </w:style>
  <w:style w:type="paragraph" w:customStyle="1" w:styleId="630">
    <w:name w:val="S4-B-L15"/>
    <w:basedOn w:val="1"/>
    <w:autoRedefine/>
    <w:qFormat/>
    <w:uiPriority w:val="0"/>
    <w:pPr>
      <w:spacing w:line="360" w:lineRule="auto"/>
    </w:pPr>
    <w:rPr>
      <w:b/>
      <w:bCs/>
      <w:sz w:val="24"/>
      <w:szCs w:val="24"/>
    </w:rPr>
  </w:style>
  <w:style w:type="paragraph" w:customStyle="1" w:styleId="631">
    <w:name w:val="列表（编号一级）（绿盟科技）"/>
    <w:basedOn w:val="1"/>
    <w:autoRedefine/>
    <w:qFormat/>
    <w:uiPriority w:val="0"/>
    <w:pPr>
      <w:widowControl/>
      <w:numPr>
        <w:ilvl w:val="0"/>
        <w:numId w:val="20"/>
      </w:numPr>
      <w:spacing w:beforeLines="25" w:line="300" w:lineRule="auto"/>
      <w:jc w:val="left"/>
    </w:pPr>
    <w:rPr>
      <w:rFonts w:ascii="Arial" w:hAnsi="Arial"/>
      <w:kern w:val="0"/>
      <w:szCs w:val="21"/>
    </w:rPr>
  </w:style>
  <w:style w:type="paragraph" w:customStyle="1" w:styleId="632">
    <w:name w:val="样式 正文文本缩进 + 仿宋_GB2312 小四 首行缩进:  0 厘米 行距: 1.5 倍行距"/>
    <w:basedOn w:val="20"/>
    <w:autoRedefine/>
    <w:qFormat/>
    <w:uiPriority w:val="0"/>
    <w:pPr>
      <w:spacing w:line="360" w:lineRule="auto"/>
      <w:ind w:firstLine="0"/>
    </w:pPr>
    <w:rPr>
      <w:rFonts w:ascii="仿宋_GB2312" w:hAnsi="Times New Roman" w:eastAsia="新宋体"/>
      <w:spacing w:val="0"/>
      <w:sz w:val="24"/>
    </w:rPr>
  </w:style>
  <w:style w:type="paragraph" w:customStyle="1" w:styleId="633">
    <w:name w:val="正文文本 New"/>
    <w:basedOn w:val="1"/>
    <w:autoRedefine/>
    <w:qFormat/>
    <w:uiPriority w:val="0"/>
    <w:pPr>
      <w:spacing w:after="120"/>
    </w:pPr>
    <w:rPr>
      <w:sz w:val="28"/>
      <w:szCs w:val="24"/>
    </w:rPr>
  </w:style>
  <w:style w:type="paragraph" w:customStyle="1" w:styleId="634">
    <w:name w:val="普通(网站)1"/>
    <w:basedOn w:val="1"/>
    <w:autoRedefine/>
    <w:qFormat/>
    <w:uiPriority w:val="0"/>
    <w:pPr>
      <w:widowControl/>
      <w:spacing w:before="100" w:beforeAutospacing="1" w:after="100" w:afterAutospacing="1"/>
      <w:jc w:val="left"/>
    </w:pPr>
    <w:rPr>
      <w:rFonts w:hint="eastAsia" w:ascii="宋体" w:hAnsi="宋体"/>
      <w:color w:val="000000"/>
      <w:sz w:val="24"/>
    </w:rPr>
  </w:style>
  <w:style w:type="paragraph" w:customStyle="1" w:styleId="635">
    <w:name w:val="Char1 Char Char Char1"/>
    <w:basedOn w:val="1"/>
    <w:autoRedefine/>
    <w:qFormat/>
    <w:uiPriority w:val="0"/>
    <w:rPr>
      <w:rFonts w:ascii="Tahoma" w:hAnsi="Tahoma"/>
      <w:sz w:val="24"/>
      <w:szCs w:val="20"/>
    </w:rPr>
  </w:style>
  <w:style w:type="paragraph" w:customStyle="1" w:styleId="636">
    <w:name w:val="标准标题2"/>
    <w:basedOn w:val="3"/>
    <w:autoRedefine/>
    <w:qFormat/>
    <w:uiPriority w:val="0"/>
    <w:pPr>
      <w:spacing w:line="360" w:lineRule="auto"/>
    </w:pPr>
    <w:rPr>
      <w:rFonts w:eastAsia="仿宋_GB2312"/>
      <w:bCs w:val="0"/>
      <w:sz w:val="28"/>
    </w:rPr>
  </w:style>
  <w:style w:type="paragraph" w:customStyle="1" w:styleId="637">
    <w:name w:val="二级."/>
    <w:basedOn w:val="3"/>
    <w:autoRedefine/>
    <w:qFormat/>
    <w:uiPriority w:val="0"/>
    <w:pPr>
      <w:tabs>
        <w:tab w:val="left" w:pos="0"/>
      </w:tabs>
      <w:spacing w:before="0" w:after="0" w:line="528" w:lineRule="auto"/>
      <w:ind w:left="181" w:hanging="181"/>
    </w:pPr>
    <w:rPr>
      <w:bCs w:val="0"/>
      <w:kern w:val="0"/>
      <w:sz w:val="36"/>
      <w:szCs w:val="20"/>
    </w:rPr>
  </w:style>
  <w:style w:type="paragraph" w:customStyle="1" w:styleId="638">
    <w:name w:val="_Style 13"/>
    <w:basedOn w:val="1"/>
    <w:autoRedefine/>
    <w:qFormat/>
    <w:uiPriority w:val="0"/>
    <w:pPr>
      <w:tabs>
        <w:tab w:val="left" w:pos="360"/>
      </w:tabs>
      <w:ind w:firstLine="420" w:firstLineChars="150"/>
    </w:pPr>
    <w:rPr>
      <w:szCs w:val="20"/>
    </w:rPr>
  </w:style>
  <w:style w:type="paragraph" w:customStyle="1" w:styleId="639">
    <w:name w:val="彩色列表1"/>
    <w:basedOn w:val="1"/>
    <w:autoRedefine/>
    <w:qFormat/>
    <w:uiPriority w:val="0"/>
    <w:pPr>
      <w:tabs>
        <w:tab w:val="left" w:pos="1200"/>
      </w:tabs>
      <w:ind w:left="1200" w:hanging="360"/>
    </w:pPr>
  </w:style>
  <w:style w:type="paragraph" w:customStyle="1" w:styleId="640">
    <w:name w:val="Char112"/>
    <w:basedOn w:val="1"/>
    <w:autoRedefine/>
    <w:qFormat/>
    <w:uiPriority w:val="0"/>
    <w:pPr>
      <w:spacing w:beforeLines="20" w:afterLines="20"/>
    </w:pPr>
    <w:rPr>
      <w:rFonts w:ascii="楷体_GB2312" w:hAnsi="宋体" w:eastAsia="楷体_GB2312" w:cs="Arial"/>
      <w:kern w:val="0"/>
      <w:sz w:val="24"/>
      <w:szCs w:val="24"/>
    </w:rPr>
  </w:style>
  <w:style w:type="paragraph" w:customStyle="1" w:styleId="641">
    <w:name w:val="msoaccenttext3"/>
    <w:autoRedefine/>
    <w:qFormat/>
    <w:uiPriority w:val="0"/>
    <w:rPr>
      <w:rFonts w:ascii="Century Schoolbook" w:hAnsi="Century Schoolbook" w:eastAsia="宋体" w:cs="宋体"/>
      <w:color w:val="FFFFFF"/>
      <w:kern w:val="28"/>
      <w:sz w:val="13"/>
      <w:szCs w:val="13"/>
      <w:lang w:val="en-US" w:eastAsia="zh-CN" w:bidi="ar-SA"/>
    </w:rPr>
  </w:style>
  <w:style w:type="paragraph" w:customStyle="1" w:styleId="642">
    <w:name w:val="Bullet"/>
    <w:basedOn w:val="1"/>
    <w:autoRedefine/>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643">
    <w:name w:val="小四正文"/>
    <w:basedOn w:val="1"/>
    <w:autoRedefine/>
    <w:qFormat/>
    <w:uiPriority w:val="0"/>
    <w:pPr>
      <w:spacing w:line="360" w:lineRule="auto"/>
      <w:ind w:firstLine="200" w:firstLineChars="200"/>
    </w:pPr>
    <w:rPr>
      <w:rFonts w:eastAsia="仿宋_GB2312" w:cs="宋体"/>
      <w:sz w:val="24"/>
      <w:szCs w:val="24"/>
    </w:rPr>
  </w:style>
  <w:style w:type="paragraph" w:customStyle="1" w:styleId="644">
    <w:name w:val="标书_正文"/>
    <w:basedOn w:val="1"/>
    <w:autoRedefine/>
    <w:qFormat/>
    <w:uiPriority w:val="0"/>
    <w:pPr>
      <w:spacing w:line="360" w:lineRule="auto"/>
    </w:pPr>
    <w:rPr>
      <w:rFonts w:ascii="宋体"/>
      <w:b/>
      <w:kern w:val="0"/>
      <w:sz w:val="32"/>
      <w:szCs w:val="32"/>
    </w:rPr>
  </w:style>
  <w:style w:type="paragraph" w:customStyle="1" w:styleId="645">
    <w:name w:val="样式 正文（首行缩进两字） + 首行缩进:  2 字符 段后: 0.5 行 行距: 1.5 倍行距"/>
    <w:basedOn w:val="19"/>
    <w:autoRedefine/>
    <w:qFormat/>
    <w:uiPriority w:val="0"/>
    <w:pPr>
      <w:spacing w:line="360" w:lineRule="auto"/>
    </w:pPr>
    <w:rPr>
      <w:sz w:val="24"/>
      <w:szCs w:val="24"/>
    </w:rPr>
  </w:style>
  <w:style w:type="paragraph" w:customStyle="1" w:styleId="646">
    <w:name w:val="Char Char Char Char Char Char Char11"/>
    <w:basedOn w:val="1"/>
    <w:autoRedefine/>
    <w:qFormat/>
    <w:uiPriority w:val="0"/>
    <w:pPr>
      <w:tabs>
        <w:tab w:val="left" w:pos="432"/>
      </w:tabs>
      <w:ind w:left="432" w:hanging="432"/>
    </w:pPr>
    <w:rPr>
      <w:rFonts w:ascii="Tahoma" w:hAnsi="Tahoma"/>
      <w:sz w:val="24"/>
      <w:szCs w:val="20"/>
    </w:rPr>
  </w:style>
  <w:style w:type="paragraph" w:customStyle="1" w:styleId="647">
    <w:name w:val="pbulletcmt"/>
    <w:basedOn w:val="1"/>
    <w:autoRedefine/>
    <w:qFormat/>
    <w:uiPriority w:val="0"/>
    <w:pPr>
      <w:widowControl/>
      <w:spacing w:before="100" w:beforeAutospacing="1" w:after="100" w:afterAutospacing="1"/>
      <w:jc w:val="left"/>
    </w:pPr>
    <w:rPr>
      <w:rFonts w:eastAsia="Times New Roman"/>
      <w:kern w:val="0"/>
      <w:sz w:val="24"/>
      <w:szCs w:val="24"/>
    </w:rPr>
  </w:style>
  <w:style w:type="paragraph" w:customStyle="1" w:styleId="648">
    <w:name w:val="Char111"/>
    <w:basedOn w:val="1"/>
    <w:autoRedefine/>
    <w:qFormat/>
    <w:uiPriority w:val="0"/>
    <w:rPr>
      <w:rFonts w:ascii="仿宋_GB2312" w:eastAsia="仿宋_GB2312"/>
      <w:b/>
      <w:sz w:val="32"/>
      <w:szCs w:val="32"/>
    </w:rPr>
  </w:style>
  <w:style w:type="paragraph" w:customStyle="1" w:styleId="649">
    <w:name w:val="SZF图"/>
    <w:basedOn w:val="1"/>
    <w:autoRedefine/>
    <w:qFormat/>
    <w:uiPriority w:val="0"/>
    <w:pPr>
      <w:spacing w:beforeLines="50" w:afterLines="50" w:line="360" w:lineRule="auto"/>
      <w:jc w:val="center"/>
    </w:pPr>
    <w:rPr>
      <w:b/>
      <w:szCs w:val="24"/>
    </w:rPr>
  </w:style>
  <w:style w:type="paragraph" w:customStyle="1" w:styleId="650">
    <w:name w:val="样式 标题 2Chapter X.X. Statementh22Header 2l2Level 2 Headhea..."/>
    <w:basedOn w:val="3"/>
    <w:autoRedefine/>
    <w:qFormat/>
    <w:uiPriority w:val="0"/>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651">
    <w:name w:val="CM12"/>
    <w:basedOn w:val="537"/>
    <w:next w:val="537"/>
    <w:autoRedefine/>
    <w:qFormat/>
    <w:uiPriority w:val="0"/>
    <w:pPr>
      <w:spacing w:line="468" w:lineRule="atLeast"/>
    </w:pPr>
    <w:rPr>
      <w:rFonts w:ascii="宋体" w:eastAsia="宋体" w:cs="Times New Roman"/>
      <w:color w:val="auto"/>
    </w:rPr>
  </w:style>
  <w:style w:type="paragraph" w:customStyle="1" w:styleId="652">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53">
    <w:name w:val="默认段落字体 Para Char"/>
    <w:basedOn w:val="1"/>
    <w:autoRedefine/>
    <w:qFormat/>
    <w:uiPriority w:val="0"/>
    <w:pPr>
      <w:adjustRightInd w:val="0"/>
      <w:spacing w:line="360" w:lineRule="auto"/>
      <w:ind w:firstLine="480"/>
    </w:pPr>
    <w:rPr>
      <w:rFonts w:ascii="宋体" w:hAnsi="宋体"/>
      <w:kern w:val="0"/>
      <w:sz w:val="24"/>
      <w:szCs w:val="20"/>
    </w:rPr>
  </w:style>
  <w:style w:type="paragraph" w:customStyle="1" w:styleId="654">
    <w:name w:val="flName"/>
    <w:basedOn w:val="1"/>
    <w:autoRedefine/>
    <w:qFormat/>
    <w:uiPriority w:val="0"/>
    <w:pPr>
      <w:adjustRightInd w:val="0"/>
      <w:spacing w:before="320" w:after="160" w:line="360" w:lineRule="atLeast"/>
      <w:ind w:firstLine="200" w:firstLineChars="200"/>
      <w:jc w:val="center"/>
    </w:pPr>
    <w:rPr>
      <w:rFonts w:ascii="Arial" w:eastAsia="黑体"/>
      <w:kern w:val="0"/>
      <w:sz w:val="32"/>
      <w:szCs w:val="24"/>
    </w:rPr>
  </w:style>
  <w:style w:type="paragraph" w:customStyle="1" w:styleId="655">
    <w:name w:val="样式 书籍标题3 + Arial 段前: 1 行 段后: 1 行"/>
    <w:basedOn w:val="1"/>
    <w:autoRedefine/>
    <w:qFormat/>
    <w:uiPriority w:val="0"/>
    <w:pPr>
      <w:numPr>
        <w:ilvl w:val="2"/>
        <w:numId w:val="21"/>
      </w:numPr>
      <w:spacing w:beforeLines="100" w:afterLines="100"/>
      <w:jc w:val="left"/>
      <w:outlineLvl w:val="2"/>
    </w:pPr>
    <w:rPr>
      <w:rFonts w:ascii="Arial" w:hAnsi="Arial"/>
      <w:b/>
      <w:bCs/>
      <w:spacing w:val="20"/>
      <w:sz w:val="28"/>
      <w:szCs w:val="28"/>
    </w:rPr>
  </w:style>
  <w:style w:type="paragraph" w:customStyle="1" w:styleId="656">
    <w:name w:val="正文样式1"/>
    <w:basedOn w:val="1"/>
    <w:autoRedefine/>
    <w:qFormat/>
    <w:uiPriority w:val="0"/>
    <w:pPr>
      <w:spacing w:line="360" w:lineRule="auto"/>
      <w:ind w:firstLine="200" w:firstLineChars="200"/>
    </w:pPr>
    <w:rPr>
      <w:rFonts w:cs="宋体"/>
      <w:sz w:val="24"/>
      <w:szCs w:val="20"/>
    </w:rPr>
  </w:style>
  <w:style w:type="paragraph" w:customStyle="1" w:styleId="6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658">
    <w:name w:val="样式 标题 5 + 五号 居中 段前: 1.5 磅 段后: 1.5 磅 行距: 多倍行距 1.57 字行"/>
    <w:basedOn w:val="6"/>
    <w:autoRedefine/>
    <w:qFormat/>
    <w:uiPriority w:val="0"/>
    <w:pPr>
      <w:tabs>
        <w:tab w:val="clear" w:pos="992"/>
      </w:tabs>
      <w:spacing w:before="30" w:after="30" w:line="377" w:lineRule="auto"/>
      <w:ind w:left="0" w:firstLine="0"/>
      <w:jc w:val="center"/>
    </w:pPr>
    <w:rPr>
      <w:rFonts w:cs="宋体"/>
      <w:sz w:val="21"/>
      <w:szCs w:val="20"/>
    </w:rPr>
  </w:style>
  <w:style w:type="paragraph" w:customStyle="1" w:styleId="659">
    <w:name w:val="正文-带编号1)"/>
    <w:basedOn w:val="1"/>
    <w:autoRedefine/>
    <w:qFormat/>
    <w:uiPriority w:val="0"/>
    <w:pPr>
      <w:numPr>
        <w:ilvl w:val="0"/>
        <w:numId w:val="22"/>
      </w:numPr>
      <w:spacing w:line="400" w:lineRule="exact"/>
    </w:pPr>
    <w:rPr>
      <w:rFonts w:ascii="Arial" w:hAnsi="Arial"/>
      <w:szCs w:val="24"/>
    </w:rPr>
  </w:style>
  <w:style w:type="paragraph" w:customStyle="1" w:styleId="660">
    <w:name w:val="contentarticle"/>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61">
    <w:name w:val="p0"/>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662">
    <w:name w:val="Char8"/>
    <w:basedOn w:val="1"/>
    <w:autoRedefine/>
    <w:qFormat/>
    <w:uiPriority w:val="0"/>
    <w:pPr>
      <w:tabs>
        <w:tab w:val="left" w:pos="432"/>
      </w:tabs>
      <w:ind w:left="432" w:hanging="432"/>
    </w:pPr>
    <w:rPr>
      <w:sz w:val="24"/>
      <w:szCs w:val="24"/>
    </w:rPr>
  </w:style>
  <w:style w:type="paragraph" w:customStyle="1" w:styleId="663">
    <w:name w:val="样式 标题 4Chapter X.X.X. + 段后: 0.5 行1 + 段后: 0.5 行"/>
    <w:basedOn w:val="507"/>
    <w:autoRedefine/>
    <w:qFormat/>
    <w:uiPriority w:val="0"/>
    <w:pPr>
      <w:numPr>
        <w:ilvl w:val="0"/>
        <w:numId w:val="0"/>
      </w:numPr>
      <w:tabs>
        <w:tab w:val="left" w:pos="864"/>
      </w:tabs>
      <w:ind w:left="425" w:hanging="425"/>
    </w:pPr>
    <w:rPr>
      <w:szCs w:val="21"/>
    </w:rPr>
  </w:style>
  <w:style w:type="paragraph" w:customStyle="1" w:styleId="664">
    <w:name w:val="Normal0"/>
    <w:autoRedefine/>
    <w:qFormat/>
    <w:uiPriority w:val="0"/>
    <w:rPr>
      <w:rFonts w:ascii="Times New Roman" w:hAnsi="Times New Roman" w:eastAsia="宋体" w:cs="Times New Roman"/>
      <w:lang w:val="en-US" w:eastAsia="en-US" w:bidi="ar-SA"/>
    </w:rPr>
  </w:style>
  <w:style w:type="paragraph" w:customStyle="1" w:styleId="665">
    <w:name w:val="4"/>
    <w:basedOn w:val="1"/>
    <w:autoRedefine/>
    <w:qFormat/>
    <w:uiPriority w:val="0"/>
  </w:style>
  <w:style w:type="paragraph" w:customStyle="1" w:styleId="666">
    <w:name w:val="样式 Arial 小四 首行缩进:  0.85 厘米"/>
    <w:basedOn w:val="1"/>
    <w:autoRedefine/>
    <w:qFormat/>
    <w:uiPriority w:val="0"/>
    <w:pPr>
      <w:spacing w:line="360" w:lineRule="auto"/>
      <w:ind w:left="-2" w:leftChars="-1" w:firstLine="479" w:firstLineChars="228"/>
    </w:pPr>
    <w:rPr>
      <w:rFonts w:hAnsi="Arial" w:cs="宋体"/>
      <w:szCs w:val="21"/>
    </w:rPr>
  </w:style>
  <w:style w:type="paragraph" w:customStyle="1" w:styleId="667">
    <w:name w:val="标题 3 （加黑）"/>
    <w:basedOn w:val="4"/>
    <w:autoRedefine/>
    <w:qFormat/>
    <w:uiPriority w:val="0"/>
    <w:pPr>
      <w:keepNext w:val="0"/>
      <w:spacing w:before="120" w:after="120" w:line="413" w:lineRule="auto"/>
      <w:ind w:left="354" w:hanging="354" w:hangingChars="150"/>
    </w:pPr>
    <w:rPr>
      <w:rFonts w:ascii="Times New Roman" w:hAnsi="Times New Roman"/>
      <w:bCs w:val="0"/>
      <w:sz w:val="24"/>
      <w:szCs w:val="20"/>
    </w:rPr>
  </w:style>
  <w:style w:type="paragraph" w:customStyle="1" w:styleId="668">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69">
    <w:name w:val="大表 mt"/>
    <w:basedOn w:val="1"/>
    <w:autoRedefine/>
    <w:qFormat/>
    <w:uiPriority w:val="0"/>
    <w:pPr>
      <w:widowControl/>
      <w:jc w:val="left"/>
    </w:pPr>
    <w:rPr>
      <w:rFonts w:ascii="宋体" w:hAnsi="宋体" w:cs="宋体"/>
      <w:kern w:val="0"/>
      <w:szCs w:val="21"/>
    </w:rPr>
  </w:style>
  <w:style w:type="paragraph" w:customStyle="1" w:styleId="6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1">
    <w:name w:val="样式 标题 1 + 五号"/>
    <w:basedOn w:val="2"/>
    <w:autoRedefine/>
    <w:qFormat/>
    <w:uiPriority w:val="0"/>
    <w:pPr>
      <w:keepNext/>
      <w:keepLines/>
      <w:autoSpaceDE/>
      <w:autoSpaceDN/>
      <w:adjustRightInd/>
      <w:spacing w:line="240" w:lineRule="auto"/>
    </w:pPr>
    <w:rPr>
      <w:kern w:val="44"/>
      <w:sz w:val="32"/>
      <w:szCs w:val="32"/>
    </w:rPr>
  </w:style>
  <w:style w:type="paragraph" w:customStyle="1" w:styleId="672">
    <w:name w:val="Char9"/>
    <w:basedOn w:val="1"/>
    <w:autoRedefine/>
    <w:qFormat/>
    <w:uiPriority w:val="0"/>
    <w:pPr>
      <w:adjustRightInd w:val="0"/>
      <w:textAlignment w:val="baseline"/>
    </w:pPr>
    <w:rPr>
      <w:rFonts w:ascii="Tahoma" w:hAnsi="Tahoma"/>
      <w:sz w:val="24"/>
      <w:szCs w:val="20"/>
    </w:rPr>
  </w:style>
  <w:style w:type="paragraph" w:customStyle="1" w:styleId="673">
    <w:name w:val="font1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74">
    <w:name w:val="P1"/>
    <w:basedOn w:val="1"/>
    <w:autoRedefine/>
    <w:qFormat/>
    <w:uiPriority w:val="0"/>
    <w:pPr>
      <w:widowControl/>
      <w:spacing w:before="240" w:line="240" w:lineRule="atLeast"/>
      <w:jc w:val="left"/>
    </w:pPr>
    <w:rPr>
      <w:b/>
      <w:kern w:val="0"/>
      <w:szCs w:val="21"/>
      <w:lang w:val="en-AU" w:eastAsia="en-US"/>
    </w:rPr>
  </w:style>
  <w:style w:type="paragraph" w:customStyle="1" w:styleId="675">
    <w:name w:val="pa-17"/>
    <w:basedOn w:val="1"/>
    <w:autoRedefine/>
    <w:qFormat/>
    <w:uiPriority w:val="0"/>
    <w:pPr>
      <w:widowControl/>
      <w:spacing w:before="150" w:after="150"/>
      <w:jc w:val="left"/>
    </w:pPr>
    <w:rPr>
      <w:rFonts w:ascii="宋体" w:hAnsi="宋体" w:cs="宋体"/>
      <w:kern w:val="0"/>
      <w:sz w:val="24"/>
      <w:szCs w:val="24"/>
    </w:rPr>
  </w:style>
  <w:style w:type="paragraph" w:customStyle="1" w:styleId="676">
    <w:name w:val="msoaccenttext2"/>
    <w:autoRedefine/>
    <w:qFormat/>
    <w:uiPriority w:val="0"/>
    <w:rPr>
      <w:rFonts w:ascii="Century Schoolbook" w:hAnsi="Century Schoolbook" w:eastAsia="宋体" w:cs="宋体"/>
      <w:color w:val="000000"/>
      <w:kern w:val="28"/>
      <w:sz w:val="15"/>
      <w:szCs w:val="15"/>
      <w:lang w:val="en-US" w:eastAsia="zh-CN" w:bidi="ar-SA"/>
    </w:rPr>
  </w:style>
  <w:style w:type="paragraph" w:customStyle="1" w:styleId="677">
    <w:name w:val="样式 正文 段落文字 + 宋体 小四 左侧:  0 厘米 首行缩进:  2 字符 段后: 0 磅 行距: 固定值 24..."/>
    <w:basedOn w:val="1"/>
    <w:autoRedefine/>
    <w:qFormat/>
    <w:uiPriority w:val="0"/>
    <w:pPr>
      <w:spacing w:line="480" w:lineRule="exact"/>
      <w:ind w:firstLine="480" w:firstLineChars="200"/>
    </w:pPr>
    <w:rPr>
      <w:rFonts w:ascii="宋体" w:hAnsi="宋体" w:cs="宋体"/>
      <w:sz w:val="24"/>
      <w:szCs w:val="20"/>
    </w:rPr>
  </w:style>
  <w:style w:type="paragraph" w:customStyle="1" w:styleId="678">
    <w:name w:val="InfoBlue"/>
    <w:basedOn w:val="1"/>
    <w:next w:val="27"/>
    <w:autoRedefine/>
    <w:qFormat/>
    <w:uiPriority w:val="0"/>
    <w:pPr>
      <w:spacing w:afterLines="50"/>
      <w:ind w:left="720"/>
      <w:jc w:val="left"/>
    </w:pPr>
    <w:rPr>
      <w:rFonts w:ascii="宋体"/>
      <w:i/>
      <w:snapToGrid w:val="0"/>
      <w:color w:val="0000FF"/>
      <w:kern w:val="0"/>
      <w:szCs w:val="20"/>
    </w:rPr>
  </w:style>
  <w:style w:type="paragraph" w:customStyle="1" w:styleId="679">
    <w:name w:val="text"/>
    <w:basedOn w:val="1"/>
    <w:autoRedefine/>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680">
    <w:name w:val="样式 样式 样式 标题 3Chapter X.X.X. + 段后: 0.5 行 + 段后: 0.5 行 + 段后: 0.5 行"/>
    <w:basedOn w:val="420"/>
    <w:autoRedefine/>
    <w:qFormat/>
    <w:uiPriority w:val="0"/>
    <w:pPr>
      <w:spacing w:after="120"/>
    </w:pPr>
  </w:style>
  <w:style w:type="paragraph" w:customStyle="1" w:styleId="681">
    <w:name w:val="xl30"/>
    <w:basedOn w:val="1"/>
    <w:autoRedefine/>
    <w:qFormat/>
    <w:uiPriority w:val="0"/>
    <w:pPr>
      <w:widowControl/>
      <w:pBdr>
        <w:top w:val="single" w:color="auto" w:sz="4" w:space="0"/>
        <w:bottom w:val="single" w:color="auto" w:sz="4" w:space="0"/>
      </w:pBdr>
      <w:spacing w:before="100" w:beforeAutospacing="1" w:after="100" w:afterAutospacing="1"/>
      <w:jc w:val="center"/>
    </w:pPr>
    <w:rPr>
      <w:rFonts w:ascii="Comic Sans MS" w:hAnsi="Comic Sans MS" w:cs="宋体"/>
      <w:kern w:val="0"/>
      <w:sz w:val="20"/>
      <w:szCs w:val="20"/>
    </w:rPr>
  </w:style>
  <w:style w:type="paragraph" w:customStyle="1" w:styleId="682">
    <w:name w:val="Char Char Char Char1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83">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mic Sans MS" w:hAnsi="Comic Sans MS" w:cs="宋体"/>
      <w:kern w:val="0"/>
      <w:sz w:val="20"/>
      <w:szCs w:val="20"/>
    </w:rPr>
  </w:style>
  <w:style w:type="paragraph" w:customStyle="1" w:styleId="684">
    <w:name w:val="样式 正文段落 + 首行缩进:  0 字符"/>
    <w:basedOn w:val="274"/>
    <w:autoRedefine/>
    <w:qFormat/>
    <w:uiPriority w:val="0"/>
    <w:pPr>
      <w:spacing w:line="360" w:lineRule="auto"/>
      <w:ind w:firstLine="0"/>
    </w:pPr>
    <w:rPr>
      <w:rFonts w:ascii="宋体" w:hAnsi="宋体" w:cs="宋体"/>
      <w:kern w:val="0"/>
    </w:rPr>
  </w:style>
  <w:style w:type="paragraph" w:customStyle="1" w:styleId="685">
    <w:name w:val="xl9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686">
    <w:name w:val="样式 楷体_GB2312 四号 行距: 多倍行距 1.25 字行"/>
    <w:basedOn w:val="1"/>
    <w:autoRedefine/>
    <w:qFormat/>
    <w:uiPriority w:val="0"/>
    <w:pPr>
      <w:tabs>
        <w:tab w:val="left" w:pos="6384"/>
      </w:tabs>
      <w:adjustRightInd w:val="0"/>
      <w:snapToGrid w:val="0"/>
      <w:spacing w:line="324" w:lineRule="auto"/>
      <w:ind w:firstLine="560" w:firstLineChars="200"/>
    </w:pPr>
    <w:rPr>
      <w:rFonts w:eastAsia="楷体_GB2312" w:cs="宋体"/>
      <w:snapToGrid w:val="0"/>
      <w:kern w:val="0"/>
      <w:sz w:val="28"/>
      <w:szCs w:val="20"/>
    </w:rPr>
  </w:style>
  <w:style w:type="paragraph" w:customStyle="1" w:styleId="687">
    <w:name w:val="表格标题栏"/>
    <w:basedOn w:val="1"/>
    <w:autoRedefine/>
    <w:qFormat/>
    <w:uiPriority w:val="0"/>
    <w:pPr>
      <w:shd w:val="pct5" w:color="auto" w:fill="auto"/>
      <w:jc w:val="center"/>
      <w:textAlignment w:val="center"/>
    </w:pPr>
    <w:rPr>
      <w:rFonts w:ascii="新宋体" w:hAnsi="新宋体" w:eastAsia="华文中宋"/>
      <w:b/>
      <w:sz w:val="28"/>
      <w:szCs w:val="28"/>
    </w:rPr>
  </w:style>
  <w:style w:type="paragraph" w:customStyle="1" w:styleId="688">
    <w:name w:val="msolistparagraph"/>
    <w:basedOn w:val="1"/>
    <w:autoRedefine/>
    <w:qFormat/>
    <w:uiPriority w:val="0"/>
    <w:pPr>
      <w:ind w:firstLine="420" w:firstLineChars="200"/>
    </w:pPr>
  </w:style>
  <w:style w:type="paragraph" w:customStyle="1" w:styleId="689">
    <w:name w:val="默认段落字体 Para Char Char Char Char Char Char Char Char Char1 Char Char Char Char"/>
    <w:basedOn w:val="1"/>
    <w:autoRedefine/>
    <w:qFormat/>
    <w:uiPriority w:val="0"/>
    <w:rPr>
      <w:rFonts w:ascii="Tahoma" w:hAnsi="Tahoma"/>
      <w:sz w:val="24"/>
      <w:szCs w:val="20"/>
    </w:rPr>
  </w:style>
  <w:style w:type="paragraph" w:customStyle="1" w:styleId="690">
    <w:name w:val="huide00"/>
    <w:basedOn w:val="1"/>
    <w:autoRedefine/>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691">
    <w:name w:val="itemlis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92">
    <w:name w:val="沈标题四"/>
    <w:basedOn w:val="5"/>
    <w:next w:val="1"/>
    <w:autoRedefine/>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693">
    <w:name w:val="flType"/>
    <w:basedOn w:val="1"/>
    <w:autoRedefine/>
    <w:qFormat/>
    <w:uiPriority w:val="0"/>
    <w:pPr>
      <w:adjustRightInd w:val="0"/>
      <w:spacing w:before="560" w:after="120" w:line="360" w:lineRule="atLeast"/>
      <w:jc w:val="center"/>
      <w:textAlignment w:val="baseline"/>
    </w:pPr>
    <w:rPr>
      <w:rFonts w:ascii="Arial" w:eastAsia="黑体"/>
      <w:kern w:val="0"/>
      <w:sz w:val="28"/>
      <w:szCs w:val="20"/>
    </w:rPr>
  </w:style>
  <w:style w:type="paragraph" w:customStyle="1" w:styleId="694">
    <w:name w:val="Paragraph3"/>
    <w:basedOn w:val="1"/>
    <w:autoRedefine/>
    <w:qFormat/>
    <w:uiPriority w:val="0"/>
    <w:pPr>
      <w:spacing w:before="80" w:afterLines="50"/>
      <w:ind w:left="1530"/>
    </w:pPr>
    <w:rPr>
      <w:rFonts w:ascii="宋体"/>
      <w:snapToGrid w:val="0"/>
      <w:kern w:val="0"/>
      <w:szCs w:val="20"/>
    </w:rPr>
  </w:style>
  <w:style w:type="paragraph" w:customStyle="1" w:styleId="695">
    <w:name w:val="正文缩进2字符"/>
    <w:basedOn w:val="184"/>
    <w:autoRedefine/>
    <w:qFormat/>
    <w:uiPriority w:val="0"/>
    <w:pPr>
      <w:ind w:firstLine="480" w:firstLineChars="200"/>
    </w:pPr>
  </w:style>
  <w:style w:type="paragraph" w:customStyle="1" w:styleId="696">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97">
    <w:name w:val="文档正文 Char"/>
    <w:basedOn w:val="1"/>
    <w:autoRedefine/>
    <w:qFormat/>
    <w:uiPriority w:val="0"/>
    <w:pPr>
      <w:adjustRightInd w:val="0"/>
      <w:spacing w:line="500" w:lineRule="atLeast"/>
      <w:ind w:firstLine="567"/>
    </w:pPr>
    <w:rPr>
      <w:rFonts w:hint="eastAsia" w:ascii="仿宋_GB2312" w:eastAsia="仿宋_GB2312"/>
      <w:sz w:val="28"/>
      <w:szCs w:val="24"/>
    </w:rPr>
  </w:style>
  <w:style w:type="paragraph" w:customStyle="1" w:styleId="698">
    <w:name w:val="Char Char Char Char1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99">
    <w:name w:val="页面边线"/>
    <w:basedOn w:val="1"/>
    <w:autoRedefine/>
    <w:qFormat/>
    <w:uiPriority w:val="0"/>
    <w:pPr>
      <w:adjustRightInd w:val="0"/>
      <w:spacing w:line="360" w:lineRule="atLeast"/>
      <w:textAlignment w:val="baseline"/>
    </w:pPr>
    <w:rPr>
      <w:rFonts w:ascii="Century" w:hAnsi="Century"/>
      <w:kern w:val="0"/>
      <w:szCs w:val="20"/>
      <w:lang w:eastAsia="ja-JP"/>
    </w:rPr>
  </w:style>
  <w:style w:type="paragraph" w:customStyle="1" w:styleId="700">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0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02">
    <w:name w:val="样式 模板描述"/>
    <w:basedOn w:val="1"/>
    <w:next w:val="446"/>
    <w:autoRedefine/>
    <w:qFormat/>
    <w:uiPriority w:val="0"/>
    <w:pPr>
      <w:spacing w:afterLines="50"/>
      <w:jc w:val="left"/>
    </w:pPr>
    <w:rPr>
      <w:rFonts w:ascii="宋体" w:cs="宋体"/>
      <w:i/>
      <w:iCs/>
      <w:snapToGrid w:val="0"/>
      <w:color w:val="0000FF"/>
      <w:kern w:val="0"/>
      <w:szCs w:val="21"/>
    </w:rPr>
  </w:style>
  <w:style w:type="paragraph" w:customStyle="1" w:styleId="703">
    <w:name w:val="正文样式 首行缩进:  0.74 厘米"/>
    <w:basedOn w:val="1"/>
    <w:autoRedefine/>
    <w:qFormat/>
    <w:uiPriority w:val="0"/>
    <w:pPr>
      <w:widowControl/>
      <w:tabs>
        <w:tab w:val="right" w:pos="8640"/>
      </w:tabs>
      <w:spacing w:beforeLines="50" w:line="360" w:lineRule="auto"/>
      <w:ind w:firstLine="420"/>
    </w:pPr>
    <w:rPr>
      <w:kern w:val="0"/>
      <w:sz w:val="24"/>
      <w:szCs w:val="20"/>
      <w:lang w:bidi="he-IL"/>
    </w:rPr>
  </w:style>
  <w:style w:type="paragraph" w:customStyle="1" w:styleId="704">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705">
    <w:name w:val="Bullet1"/>
    <w:basedOn w:val="1"/>
    <w:autoRedefine/>
    <w:qFormat/>
    <w:uiPriority w:val="0"/>
    <w:pPr>
      <w:spacing w:afterLines="50"/>
      <w:ind w:left="720" w:hanging="432"/>
      <w:jc w:val="left"/>
    </w:pPr>
    <w:rPr>
      <w:rFonts w:ascii="宋体"/>
      <w:snapToGrid w:val="0"/>
      <w:kern w:val="0"/>
      <w:szCs w:val="20"/>
    </w:rPr>
  </w:style>
  <w:style w:type="paragraph" w:customStyle="1" w:styleId="706">
    <w:name w:val="font8"/>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707">
    <w:name w:val="Char Char1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08">
    <w:name w:val="Paragraph1"/>
    <w:basedOn w:val="1"/>
    <w:autoRedefine/>
    <w:qFormat/>
    <w:uiPriority w:val="0"/>
    <w:pPr>
      <w:spacing w:before="80" w:afterLines="50"/>
    </w:pPr>
    <w:rPr>
      <w:rFonts w:ascii="宋体"/>
      <w:snapToGrid w:val="0"/>
      <w:kern w:val="0"/>
      <w:szCs w:val="20"/>
    </w:rPr>
  </w:style>
  <w:style w:type="paragraph" w:customStyle="1" w:styleId="709">
    <w:name w:val="章正文"/>
    <w:basedOn w:val="1"/>
    <w:autoRedefine/>
    <w:qFormat/>
    <w:uiPriority w:val="0"/>
    <w:pPr>
      <w:spacing w:beforeLines="50" w:after="120" w:line="300" w:lineRule="auto"/>
      <w:ind w:firstLine="480"/>
    </w:pPr>
    <w:rPr>
      <w:rFonts w:ascii="Helvetica" w:hAnsi="Helvetica"/>
      <w:kern w:val="0"/>
      <w:sz w:val="24"/>
      <w:szCs w:val="24"/>
    </w:rPr>
  </w:style>
  <w:style w:type="paragraph" w:customStyle="1" w:styleId="710">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71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12">
    <w:name w:val="二级标题"/>
    <w:basedOn w:val="3"/>
    <w:autoRedefine/>
    <w:qFormat/>
    <w:uiPriority w:val="0"/>
    <w:pPr>
      <w:tabs>
        <w:tab w:val="left" w:pos="1116"/>
      </w:tabs>
      <w:ind w:left="1116" w:hanging="576"/>
    </w:pPr>
    <w:rPr>
      <w:rFonts w:ascii="黑体" w:hAnsi="Cambria"/>
      <w:kern w:val="0"/>
    </w:rPr>
  </w:style>
  <w:style w:type="paragraph" w:customStyle="1" w:styleId="713">
    <w:name w:val="正文缩进1"/>
    <w:basedOn w:val="1"/>
    <w:autoRedefine/>
    <w:qFormat/>
    <w:uiPriority w:val="0"/>
    <w:pPr>
      <w:autoSpaceDE w:val="0"/>
      <w:autoSpaceDN w:val="0"/>
      <w:adjustRightInd w:val="0"/>
      <w:spacing w:after="180" w:line="310" w:lineRule="auto"/>
      <w:ind w:firstLine="420"/>
      <w:jc w:val="left"/>
    </w:pPr>
    <w:rPr>
      <w:kern w:val="0"/>
      <w:sz w:val="20"/>
      <w:szCs w:val="20"/>
    </w:rPr>
  </w:style>
  <w:style w:type="paragraph" w:customStyle="1" w:styleId="714">
    <w:name w:val="彩色列表 - 强调文字颜色 11"/>
    <w:basedOn w:val="1"/>
    <w:autoRedefine/>
    <w:qFormat/>
    <w:uiPriority w:val="34"/>
    <w:pPr>
      <w:ind w:firstLine="420" w:firstLineChars="200"/>
    </w:pPr>
  </w:style>
  <w:style w:type="paragraph" w:customStyle="1" w:styleId="715">
    <w:name w:val="样式　标题4"/>
    <w:basedOn w:val="507"/>
    <w:next w:val="1"/>
    <w:autoRedefine/>
    <w:qFormat/>
    <w:uiPriority w:val="0"/>
    <w:pPr>
      <w:numPr>
        <w:ilvl w:val="0"/>
        <w:numId w:val="0"/>
      </w:numPr>
      <w:ind w:left="425" w:hanging="425"/>
    </w:pPr>
  </w:style>
  <w:style w:type="paragraph" w:customStyle="1" w:styleId="716">
    <w:name w:val="S4-I-U-L15-No-dot"/>
    <w:basedOn w:val="1"/>
    <w:autoRedefine/>
    <w:qFormat/>
    <w:uiPriority w:val="0"/>
    <w:pPr>
      <w:numPr>
        <w:ilvl w:val="1"/>
        <w:numId w:val="23"/>
      </w:numPr>
      <w:tabs>
        <w:tab w:val="left" w:pos="1112"/>
        <w:tab w:val="clear" w:pos="1680"/>
      </w:tabs>
      <w:spacing w:after="120" w:line="360" w:lineRule="auto"/>
      <w:ind w:left="1112"/>
    </w:pPr>
    <w:rPr>
      <w:i/>
      <w:sz w:val="24"/>
      <w:szCs w:val="24"/>
      <w:u w:val="single"/>
    </w:rPr>
  </w:style>
  <w:style w:type="paragraph" w:customStyle="1" w:styleId="717">
    <w:name w:val="xl11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18">
    <w:name w:val="Char Char Char Char Char Char Char Char1"/>
    <w:basedOn w:val="1"/>
    <w:autoRedefine/>
    <w:qFormat/>
    <w:uiPriority w:val="0"/>
    <w:rPr>
      <w:rFonts w:ascii="仿宋_GB2312" w:eastAsia="仿宋_GB2312"/>
      <w:b/>
      <w:sz w:val="32"/>
      <w:szCs w:val="32"/>
    </w:rPr>
  </w:style>
  <w:style w:type="paragraph" w:customStyle="1" w:styleId="719">
    <w:name w:val="xl12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20">
    <w:name w:val="Char6"/>
    <w:basedOn w:val="1"/>
    <w:autoRedefine/>
    <w:qFormat/>
    <w:uiPriority w:val="0"/>
    <w:pPr>
      <w:tabs>
        <w:tab w:val="left" w:pos="432"/>
      </w:tabs>
      <w:ind w:left="432" w:hanging="432"/>
    </w:pPr>
    <w:rPr>
      <w:sz w:val="24"/>
      <w:szCs w:val="24"/>
    </w:rPr>
  </w:style>
  <w:style w:type="paragraph" w:customStyle="1" w:styleId="721">
    <w:name w:val="font9"/>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22">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723">
    <w:name w:val="Char11"/>
    <w:basedOn w:val="1"/>
    <w:autoRedefine/>
    <w:qFormat/>
    <w:uiPriority w:val="0"/>
    <w:pPr>
      <w:spacing w:beforeLines="20" w:afterLines="20"/>
    </w:pPr>
    <w:rPr>
      <w:rFonts w:ascii="楷体_GB2312" w:hAnsi="宋体" w:eastAsia="楷体_GB2312" w:cs="Arial"/>
      <w:kern w:val="0"/>
      <w:sz w:val="24"/>
      <w:szCs w:val="24"/>
    </w:rPr>
  </w:style>
  <w:style w:type="paragraph" w:customStyle="1" w:styleId="724">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mic Sans MS" w:hAnsi="Comic Sans MS" w:cs="宋体"/>
      <w:b/>
      <w:bCs/>
      <w:kern w:val="0"/>
      <w:sz w:val="20"/>
      <w:szCs w:val="20"/>
    </w:rPr>
  </w:style>
  <w:style w:type="paragraph" w:customStyle="1" w:styleId="725">
    <w:name w:val="缺省文本"/>
    <w:basedOn w:val="1"/>
    <w:autoRedefine/>
    <w:qFormat/>
    <w:uiPriority w:val="0"/>
    <w:pPr>
      <w:autoSpaceDE w:val="0"/>
      <w:autoSpaceDN w:val="0"/>
      <w:adjustRightInd w:val="0"/>
      <w:jc w:val="left"/>
    </w:pPr>
    <w:rPr>
      <w:kern w:val="0"/>
      <w:sz w:val="24"/>
      <w:szCs w:val="20"/>
    </w:rPr>
  </w:style>
  <w:style w:type="paragraph" w:customStyle="1" w:styleId="726">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727">
    <w:name w:val="样式 模板正文 + 左侧:  2 字符 段前: 0 磅 行距: 单倍行距"/>
    <w:basedOn w:val="1"/>
    <w:autoRedefine/>
    <w:qFormat/>
    <w:uiPriority w:val="0"/>
    <w:pPr>
      <w:wordWrap w:val="0"/>
      <w:spacing w:before="120" w:line="320" w:lineRule="exact"/>
      <w:ind w:firstLine="200" w:firstLineChars="200"/>
    </w:pPr>
    <w:rPr>
      <w:rFonts w:ascii="Arial" w:hAnsi="Arial"/>
      <w:szCs w:val="20"/>
    </w:rPr>
  </w:style>
  <w:style w:type="paragraph" w:customStyle="1" w:styleId="728">
    <w:name w:val="表文字"/>
    <w:autoRedefine/>
    <w:qFormat/>
    <w:uiPriority w:val="0"/>
    <w:rPr>
      <w:rFonts w:ascii="宋体" w:hAnsi="Times New Roman" w:eastAsia="宋体" w:cs="Times New Roman"/>
      <w:kern w:val="2"/>
      <w:lang w:val="en-US" w:eastAsia="zh-CN" w:bidi="ar-SA"/>
    </w:rPr>
  </w:style>
  <w:style w:type="paragraph" w:customStyle="1" w:styleId="729">
    <w:name w:val="文档结构图2"/>
    <w:basedOn w:val="1"/>
    <w:autoRedefine/>
    <w:qFormat/>
    <w:uiPriority w:val="0"/>
    <w:rPr>
      <w:rFonts w:ascii="宋体"/>
      <w:kern w:val="0"/>
      <w:sz w:val="18"/>
      <w:szCs w:val="18"/>
    </w:rPr>
  </w:style>
  <w:style w:type="paragraph" w:customStyle="1" w:styleId="730">
    <w:name w:val="Char3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31">
    <w:name w:val="样式 仿宋_GB2312 (符号) 宋体 四号 行距: 1.5 倍行距 首行缩进:  2 字符"/>
    <w:basedOn w:val="1"/>
    <w:autoRedefine/>
    <w:qFormat/>
    <w:uiPriority w:val="0"/>
    <w:pPr>
      <w:spacing w:line="360" w:lineRule="auto"/>
      <w:ind w:firstLine="560" w:firstLineChars="200"/>
    </w:pPr>
    <w:rPr>
      <w:rFonts w:ascii="仿宋" w:hAnsi="宋体" w:eastAsia="仿宋" w:cs="宋体"/>
      <w:sz w:val="28"/>
      <w:szCs w:val="20"/>
    </w:rPr>
  </w:style>
  <w:style w:type="paragraph" w:customStyle="1" w:styleId="732">
    <w:name w:val="ZJGIS-三级标题"/>
    <w:basedOn w:val="4"/>
    <w:autoRedefine/>
    <w:qFormat/>
    <w:uiPriority w:val="0"/>
    <w:pPr>
      <w:numPr>
        <w:ilvl w:val="2"/>
        <w:numId w:val="11"/>
      </w:numPr>
      <w:spacing w:before="120" w:after="120" w:line="240" w:lineRule="auto"/>
    </w:pPr>
    <w:rPr>
      <w:rFonts w:ascii="Times New Roman" w:hAnsi="Times New Roman" w:eastAsia="黑体"/>
      <w:sz w:val="28"/>
      <w:szCs w:val="28"/>
    </w:rPr>
  </w:style>
  <w:style w:type="paragraph" w:customStyle="1" w:styleId="733">
    <w:name w:val="Char3 Char Char Char"/>
    <w:basedOn w:val="1"/>
    <w:autoRedefine/>
    <w:qFormat/>
    <w:uiPriority w:val="0"/>
    <w:pPr>
      <w:widowControl/>
      <w:spacing w:after="160" w:line="240" w:lineRule="exact"/>
      <w:jc w:val="left"/>
    </w:pPr>
    <w:rPr>
      <w:szCs w:val="20"/>
    </w:rPr>
  </w:style>
  <w:style w:type="paragraph" w:customStyle="1" w:styleId="734">
    <w:name w:val="tab0/2"/>
    <w:basedOn w:val="1"/>
    <w:autoRedefine/>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735">
    <w:name w:val="普通 (Web)"/>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736">
    <w:name w:val="Char Char1 Char1"/>
    <w:basedOn w:val="1"/>
    <w:autoRedefine/>
    <w:qFormat/>
    <w:uiPriority w:val="0"/>
    <w:rPr>
      <w:rFonts w:ascii="仿宋_GB2312" w:eastAsia="仿宋_GB2312"/>
      <w:b/>
      <w:sz w:val="32"/>
      <w:szCs w:val="32"/>
    </w:rPr>
  </w:style>
  <w:style w:type="paragraph" w:customStyle="1" w:styleId="737">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8">
    <w:name w:val="Char Char Char 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9">
    <w:name w:val="Char2 Char Char Char"/>
    <w:basedOn w:val="1"/>
    <w:autoRedefine/>
    <w:qFormat/>
    <w:uiPriority w:val="0"/>
    <w:rPr>
      <w:rFonts w:ascii="仿宋_GB2312" w:eastAsia="仿宋_GB2312"/>
      <w:b/>
      <w:sz w:val="32"/>
      <w:szCs w:val="32"/>
    </w:rPr>
  </w:style>
  <w:style w:type="paragraph" w:customStyle="1" w:styleId="740">
    <w:name w:val="标准小四"/>
    <w:basedOn w:val="1"/>
    <w:autoRedefine/>
    <w:qFormat/>
    <w:uiPriority w:val="0"/>
    <w:pPr>
      <w:spacing w:line="360" w:lineRule="auto"/>
      <w:ind w:firstLine="480" w:firstLineChars="200"/>
    </w:pPr>
    <w:rPr>
      <w:rFonts w:ascii="Arial" w:hAnsi="Arial"/>
      <w:sz w:val="24"/>
      <w:szCs w:val="21"/>
    </w:rPr>
  </w:style>
  <w:style w:type="paragraph" w:customStyle="1" w:styleId="741">
    <w:name w:val="TOC 标题1"/>
    <w:basedOn w:val="2"/>
    <w:next w:val="1"/>
    <w:autoRedefine/>
    <w:qFormat/>
    <w:uiPriority w:val="39"/>
    <w:pPr>
      <w:keepNext/>
      <w:keepLines/>
      <w:widowControl/>
      <w:autoSpaceDE/>
      <w:autoSpaceDN/>
      <w:adjustRightInd/>
      <w:spacing w:before="480" w:line="276" w:lineRule="auto"/>
      <w:jc w:val="left"/>
      <w:outlineLvl w:val="9"/>
    </w:pPr>
    <w:rPr>
      <w:rFonts w:ascii="Cambria" w:hAnsi="Cambria"/>
      <w:color w:val="365F91"/>
      <w:sz w:val="28"/>
      <w:szCs w:val="28"/>
    </w:rPr>
  </w:style>
  <w:style w:type="paragraph" w:customStyle="1" w:styleId="742">
    <w:name w:val="五号正文项目（标准）"/>
    <w:basedOn w:val="1"/>
    <w:autoRedefine/>
    <w:qFormat/>
    <w:uiPriority w:val="0"/>
    <w:pPr>
      <w:tabs>
        <w:tab w:val="left" w:pos="900"/>
      </w:tabs>
      <w:spacing w:line="400" w:lineRule="exact"/>
      <w:ind w:left="900" w:hanging="540"/>
      <w:jc w:val="left"/>
    </w:pPr>
    <w:rPr>
      <w:rFonts w:ascii="宋体" w:hAnsi="宋体"/>
      <w:color w:val="000000"/>
      <w:szCs w:val="20"/>
    </w:rPr>
  </w:style>
  <w:style w:type="paragraph" w:customStyle="1" w:styleId="743">
    <w:name w:val="_Style 1481"/>
    <w:next w:val="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44">
    <w:name w:val="GP有序编号1级"/>
    <w:basedOn w:val="1"/>
    <w:autoRedefine/>
    <w:qFormat/>
    <w:uiPriority w:val="0"/>
    <w:pPr>
      <w:numPr>
        <w:ilvl w:val="1"/>
        <w:numId w:val="16"/>
      </w:numPr>
      <w:tabs>
        <w:tab w:val="left" w:pos="903"/>
      </w:tabs>
      <w:spacing w:line="360" w:lineRule="auto"/>
      <w:ind w:left="900" w:hanging="420"/>
      <w:jc w:val="left"/>
    </w:pPr>
    <w:rPr>
      <w:sz w:val="24"/>
      <w:szCs w:val="21"/>
    </w:rPr>
  </w:style>
  <w:style w:type="paragraph" w:customStyle="1" w:styleId="745">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46">
    <w:name w:val="文件标题"/>
    <w:basedOn w:val="1"/>
    <w:autoRedefine/>
    <w:qFormat/>
    <w:uiPriority w:val="0"/>
    <w:pPr>
      <w:autoSpaceDE w:val="0"/>
      <w:autoSpaceDN w:val="0"/>
      <w:adjustRightInd w:val="0"/>
      <w:spacing w:after="240"/>
      <w:jc w:val="center"/>
    </w:pPr>
    <w:rPr>
      <w:rFonts w:ascii="Arial Black" w:hAnsi="Arial Black"/>
      <w:kern w:val="0"/>
      <w:sz w:val="48"/>
      <w:szCs w:val="20"/>
    </w:rPr>
  </w:style>
  <w:style w:type="paragraph" w:customStyle="1" w:styleId="747">
    <w:name w:val="Section #"/>
    <w:next w:val="1"/>
    <w:autoRedefine/>
    <w:qFormat/>
    <w:uiPriority w:val="0"/>
    <w:pPr>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748">
    <w:name w:val="小标题"/>
    <w:basedOn w:val="27"/>
    <w:autoRedefine/>
    <w:qFormat/>
    <w:uiPriority w:val="0"/>
    <w:pPr>
      <w:tabs>
        <w:tab w:val="left" w:pos="840"/>
      </w:tabs>
      <w:spacing w:before="60" w:after="60" w:line="360" w:lineRule="auto"/>
      <w:ind w:left="840" w:hanging="420"/>
    </w:pPr>
    <w:rPr>
      <w:rFonts w:eastAsia="黑体"/>
      <w:sz w:val="24"/>
      <w:szCs w:val="20"/>
    </w:rPr>
  </w:style>
  <w:style w:type="paragraph" w:customStyle="1" w:styleId="749">
    <w:name w:val="footnote"/>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750">
    <w:name w:val="xl68"/>
    <w:basedOn w:val="1"/>
    <w:autoRedefine/>
    <w:qFormat/>
    <w:uiPriority w:val="0"/>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51">
    <w:name w:val="SZF表"/>
    <w:basedOn w:val="649"/>
    <w:autoRedefine/>
    <w:qFormat/>
    <w:uiPriority w:val="0"/>
    <w:rPr>
      <w:rFonts w:ascii="宋体" w:hAnsi="宋体"/>
      <w:bCs/>
      <w:szCs w:val="21"/>
    </w:rPr>
  </w:style>
  <w:style w:type="paragraph" w:customStyle="1" w:styleId="752">
    <w:name w:val="样式 标题 2Chapter X.X. Statementh22Header 2l2Level 2 Headhea...1"/>
    <w:basedOn w:val="4"/>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753">
    <w:name w:val="Table Text"/>
    <w:basedOn w:val="1"/>
    <w:autoRedefine/>
    <w:qFormat/>
    <w:uiPriority w:val="0"/>
    <w:pPr>
      <w:widowControl/>
      <w:spacing w:before="60" w:after="60"/>
      <w:jc w:val="left"/>
    </w:pPr>
    <w:rPr>
      <w:kern w:val="0"/>
      <w:sz w:val="24"/>
      <w:szCs w:val="24"/>
    </w:rPr>
  </w:style>
  <w:style w:type="paragraph" w:customStyle="1" w:styleId="754">
    <w:name w:val="Char7"/>
    <w:basedOn w:val="1"/>
    <w:autoRedefine/>
    <w:qFormat/>
    <w:uiPriority w:val="0"/>
    <w:pPr>
      <w:tabs>
        <w:tab w:val="left" w:pos="432"/>
      </w:tabs>
      <w:ind w:left="432" w:hanging="432"/>
    </w:pPr>
    <w:rPr>
      <w:sz w:val="24"/>
      <w:szCs w:val="24"/>
    </w:rPr>
  </w:style>
  <w:style w:type="paragraph" w:customStyle="1" w:styleId="755">
    <w:name w:val="贷方"/>
    <w:basedOn w:val="1"/>
    <w:autoRedefine/>
    <w:qFormat/>
    <w:uiPriority w:val="0"/>
    <w:pPr>
      <w:ind w:left="1890" w:leftChars="900"/>
    </w:pPr>
    <w:rPr>
      <w:sz w:val="24"/>
      <w:szCs w:val="24"/>
    </w:rPr>
  </w:style>
  <w:style w:type="paragraph" w:customStyle="1" w:styleId="756">
    <w:name w:val="标题1"/>
    <w:basedOn w:val="35"/>
    <w:autoRedefine/>
    <w:qFormat/>
    <w:uiPriority w:val="0"/>
    <w:pPr>
      <w:spacing w:beforeLines="0" w:afterLines="0" w:line="360" w:lineRule="auto"/>
    </w:pPr>
    <w:rPr>
      <w:b/>
      <w:sz w:val="30"/>
      <w:szCs w:val="20"/>
    </w:rPr>
  </w:style>
  <w:style w:type="paragraph" w:customStyle="1" w:styleId="757">
    <w:name w:val="xl2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omic Sans MS" w:hAnsi="Comic Sans MS" w:cs="宋体"/>
      <w:kern w:val="0"/>
      <w:sz w:val="20"/>
      <w:szCs w:val="20"/>
    </w:rPr>
  </w:style>
  <w:style w:type="paragraph" w:customStyle="1" w:styleId="758">
    <w:name w:val="纯文本11"/>
    <w:basedOn w:val="1"/>
    <w:autoRedefine/>
    <w:qFormat/>
    <w:uiPriority w:val="0"/>
    <w:rPr>
      <w:rFonts w:ascii="宋体" w:hAnsi="Courier New"/>
      <w:szCs w:val="20"/>
    </w:rPr>
  </w:style>
  <w:style w:type="paragraph" w:customStyle="1" w:styleId="759">
    <w:name w:val="ZJGIS-五级标题"/>
    <w:basedOn w:val="6"/>
    <w:autoRedefine/>
    <w:qFormat/>
    <w:uiPriority w:val="0"/>
    <w:pPr>
      <w:numPr>
        <w:ilvl w:val="4"/>
        <w:numId w:val="11"/>
      </w:numPr>
      <w:spacing w:before="120" w:after="120" w:line="240" w:lineRule="auto"/>
    </w:pPr>
    <w:rPr>
      <w:sz w:val="24"/>
      <w:szCs w:val="24"/>
    </w:rPr>
  </w:style>
  <w:style w:type="paragraph" w:customStyle="1" w:styleId="760">
    <w:name w:val="默认段落字体 Para Char Char Char"/>
    <w:basedOn w:val="1"/>
    <w:autoRedefine/>
    <w:qFormat/>
    <w:uiPriority w:val="0"/>
    <w:rPr>
      <w:szCs w:val="24"/>
    </w:rPr>
  </w:style>
  <w:style w:type="paragraph" w:customStyle="1" w:styleId="761">
    <w:name w:val="xl1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62">
    <w:name w:val="正文居中_加粗"/>
    <w:basedOn w:val="1"/>
    <w:autoRedefine/>
    <w:qFormat/>
    <w:uiPriority w:val="0"/>
    <w:pPr>
      <w:spacing w:line="360" w:lineRule="auto"/>
      <w:jc w:val="center"/>
    </w:pPr>
    <w:rPr>
      <w:rFonts w:ascii="宋体" w:hAnsi="宋体"/>
      <w:b/>
      <w:sz w:val="24"/>
      <w:szCs w:val="24"/>
    </w:rPr>
  </w:style>
  <w:style w:type="paragraph" w:customStyle="1" w:styleId="763">
    <w:name w:val="Char Char1"/>
    <w:basedOn w:val="1"/>
    <w:autoRedefine/>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764">
    <w:name w:val="xl83"/>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65">
    <w:name w:val="封面1级标题"/>
    <w:basedOn w:val="1"/>
    <w:next w:val="1"/>
    <w:autoRedefine/>
    <w:qFormat/>
    <w:uiPriority w:val="0"/>
    <w:pPr>
      <w:spacing w:beforeLines="800"/>
      <w:jc w:val="center"/>
    </w:pPr>
    <w:rPr>
      <w:rFonts w:ascii="Arial" w:hAnsi="Arial" w:eastAsia="黑体" w:cs="宋体"/>
      <w:b/>
      <w:sz w:val="72"/>
      <w:szCs w:val="72"/>
    </w:rPr>
  </w:style>
  <w:style w:type="paragraph" w:customStyle="1" w:styleId="766">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767">
    <w:name w:val="丽天正文"/>
    <w:basedOn w:val="1"/>
    <w:autoRedefine/>
    <w:qFormat/>
    <w:uiPriority w:val="0"/>
    <w:pPr>
      <w:spacing w:line="540" w:lineRule="exact"/>
      <w:ind w:firstLine="560" w:firstLineChars="200"/>
    </w:pPr>
    <w:rPr>
      <w:rFonts w:ascii="宋体" w:hAnsi="宋体"/>
      <w:color w:val="000000"/>
      <w:sz w:val="28"/>
      <w:szCs w:val="28"/>
    </w:rPr>
  </w:style>
  <w:style w:type="paragraph" w:customStyle="1" w:styleId="768">
    <w:name w:val="段(正文）"/>
    <w:autoRedefine/>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769">
    <w:name w:val="font11"/>
    <w:basedOn w:val="1"/>
    <w:autoRedefine/>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770">
    <w:name w:val="样式7"/>
    <w:basedOn w:val="1"/>
    <w:autoRedefine/>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771">
    <w:name w:val="Char Char3 Char Char Char Char"/>
    <w:basedOn w:val="1"/>
    <w:autoRedefine/>
    <w:qFormat/>
    <w:uiPriority w:val="0"/>
    <w:pPr>
      <w:widowControl/>
      <w:spacing w:after="160" w:line="360" w:lineRule="auto"/>
      <w:jc w:val="left"/>
    </w:pPr>
    <w:rPr>
      <w:rFonts w:ascii="Verdana" w:hAnsi="Verdana"/>
      <w:kern w:val="0"/>
      <w:sz w:val="24"/>
      <w:szCs w:val="20"/>
      <w:lang w:eastAsia="en-US"/>
    </w:rPr>
  </w:style>
  <w:style w:type="paragraph" w:customStyle="1" w:styleId="772">
    <w:name w:val="无间隔2"/>
    <w:autoRedefine/>
    <w:qFormat/>
    <w:uiPriority w:val="0"/>
    <w:rPr>
      <w:rFonts w:ascii="Times New Roman" w:hAnsi="Times New Roman" w:eastAsia="Times New Roman" w:cs="Times New Roman"/>
      <w:kern w:val="2"/>
      <w:sz w:val="22"/>
      <w:szCs w:val="22"/>
      <w:lang w:val="en-US" w:eastAsia="zh-CN" w:bidi="ar-SA"/>
    </w:rPr>
  </w:style>
  <w:style w:type="paragraph" w:customStyle="1" w:styleId="773">
    <w:name w:val="[Normal]"/>
    <w:autoRedefine/>
    <w:qFormat/>
    <w:uiPriority w:val="0"/>
    <w:rPr>
      <w:rFonts w:ascii="宋体" w:hAnsi="宋体" w:eastAsia="宋体" w:cs="Times New Roman"/>
      <w:sz w:val="24"/>
      <w:lang w:val="zh-CN" w:eastAsia="zh-CN" w:bidi="ar-SA"/>
    </w:rPr>
  </w:style>
  <w:style w:type="paragraph" w:customStyle="1" w:styleId="774">
    <w:name w:val="图样式"/>
    <w:basedOn w:val="1"/>
    <w:autoRedefine/>
    <w:qFormat/>
    <w:uiPriority w:val="0"/>
    <w:pPr>
      <w:keepNext/>
      <w:widowControl/>
      <w:spacing w:before="80" w:after="80"/>
      <w:jc w:val="center"/>
    </w:pPr>
    <w:rPr>
      <w:szCs w:val="20"/>
    </w:rPr>
  </w:style>
  <w:style w:type="paragraph" w:customStyle="1" w:styleId="775">
    <w:name w:val="Bullet 2"/>
    <w:basedOn w:val="27"/>
    <w:autoRedefine/>
    <w:qFormat/>
    <w:uiPriority w:val="0"/>
    <w:pPr>
      <w:numPr>
        <w:ilvl w:val="0"/>
        <w:numId w:val="24"/>
      </w:numPr>
      <w:spacing w:beforeLines="10" w:afterLines="10" w:line="264" w:lineRule="auto"/>
    </w:pPr>
    <w:rPr>
      <w:rFonts w:ascii="Arial" w:hAnsi="Arial"/>
      <w:sz w:val="21"/>
      <w:szCs w:val="21"/>
    </w:rPr>
  </w:style>
  <w:style w:type="paragraph" w:customStyle="1" w:styleId="776">
    <w:name w:val="xl11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7">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8">
    <w:name w:val="封面公司名称中文"/>
    <w:basedOn w:val="1"/>
    <w:next w:val="1"/>
    <w:autoRedefine/>
    <w:qFormat/>
    <w:uiPriority w:val="0"/>
    <w:pPr>
      <w:jc w:val="center"/>
    </w:pPr>
    <w:rPr>
      <w:rFonts w:eastAsia="幼圆" w:cs="宋体"/>
      <w:b/>
      <w:sz w:val="28"/>
      <w:szCs w:val="28"/>
    </w:rPr>
  </w:style>
  <w:style w:type="paragraph" w:customStyle="1" w:styleId="77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780">
    <w:name w:val="Proposals body"/>
    <w:basedOn w:val="1"/>
    <w:next w:val="1"/>
    <w:autoRedefine/>
    <w:qFormat/>
    <w:uiPriority w:val="0"/>
    <w:pPr>
      <w:widowControl/>
      <w:spacing w:line="360" w:lineRule="auto"/>
      <w:jc w:val="left"/>
    </w:pPr>
    <w:rPr>
      <w:rFonts w:ascii="宋体"/>
      <w:snapToGrid w:val="0"/>
      <w:color w:val="000000"/>
      <w:kern w:val="0"/>
      <w:sz w:val="24"/>
      <w:szCs w:val="20"/>
    </w:rPr>
  </w:style>
  <w:style w:type="paragraph" w:customStyle="1" w:styleId="781">
    <w:name w:val="样式 标题 2 + 宋体 小四 段前: 0 磅 段后: 0 磅 行距: 1.5 倍行距"/>
    <w:basedOn w:val="3"/>
    <w:autoRedefine/>
    <w:qFormat/>
    <w:uiPriority w:val="0"/>
    <w:pPr>
      <w:numPr>
        <w:ilvl w:val="0"/>
        <w:numId w:val="25"/>
      </w:numPr>
      <w:spacing w:before="0" w:after="0" w:line="360" w:lineRule="auto"/>
    </w:pPr>
    <w:rPr>
      <w:rFonts w:ascii="宋体" w:hAnsi="宋体" w:eastAsia="宋体" w:cs="宋体"/>
      <w:sz w:val="24"/>
      <w:szCs w:val="20"/>
    </w:rPr>
  </w:style>
  <w:style w:type="paragraph" w:customStyle="1" w:styleId="782">
    <w:name w:val="大汉正文"/>
    <w:basedOn w:val="1"/>
    <w:autoRedefine/>
    <w:qFormat/>
    <w:uiPriority w:val="0"/>
    <w:pPr>
      <w:spacing w:line="360" w:lineRule="auto"/>
      <w:ind w:firstLine="200" w:firstLineChars="200"/>
      <w:jc w:val="left"/>
    </w:pPr>
    <w:rPr>
      <w:rFonts w:ascii="宋体"/>
      <w:kern w:val="0"/>
      <w:sz w:val="24"/>
      <w:szCs w:val="24"/>
    </w:rPr>
  </w:style>
  <w:style w:type="paragraph" w:customStyle="1" w:styleId="783">
    <w:name w:val="列表（编号二级）（绿盟科技）"/>
    <w:basedOn w:val="631"/>
    <w:autoRedefine/>
    <w:qFormat/>
    <w:uiPriority w:val="0"/>
    <w:pPr>
      <w:numPr>
        <w:ilvl w:val="1"/>
      </w:numPr>
      <w:spacing w:beforeLines="0"/>
      <w:ind w:left="1260"/>
    </w:pPr>
  </w:style>
  <w:style w:type="paragraph" w:customStyle="1" w:styleId="784">
    <w:name w:val="样式 样式 正文文本缩进 + 仿宋_GB2312 小四 首行缩进:  0 厘米 行距: 1.5 倍行距 + (中文) 仿宋_GB..."/>
    <w:basedOn w:val="632"/>
    <w:autoRedefine/>
    <w:qFormat/>
    <w:uiPriority w:val="0"/>
    <w:pPr>
      <w:ind w:firstLine="480" w:firstLineChars="200"/>
    </w:pPr>
  </w:style>
  <w:style w:type="paragraph" w:customStyle="1" w:styleId="785">
    <w:name w:val="Table - Text"/>
    <w:basedOn w:val="1"/>
    <w:autoRedefine/>
    <w:qFormat/>
    <w:uiPriority w:val="0"/>
    <w:pPr>
      <w:widowControl/>
      <w:spacing w:before="60" w:afterLines="50"/>
      <w:jc w:val="left"/>
    </w:pPr>
    <w:rPr>
      <w:kern w:val="0"/>
      <w:szCs w:val="20"/>
      <w:lang w:eastAsia="en-US"/>
    </w:rPr>
  </w:style>
  <w:style w:type="paragraph" w:customStyle="1" w:styleId="786">
    <w:name w:val="列出段落11"/>
    <w:basedOn w:val="1"/>
    <w:autoRedefine/>
    <w:qFormat/>
    <w:uiPriority w:val="0"/>
    <w:pPr>
      <w:ind w:firstLine="420" w:firstLineChars="200"/>
    </w:pPr>
  </w:style>
  <w:style w:type="paragraph" w:customStyle="1" w:styleId="787">
    <w:name w:val="_Style 1181"/>
    <w:basedOn w:val="1"/>
    <w:autoRedefine/>
    <w:qFormat/>
    <w:uiPriority w:val="0"/>
  </w:style>
  <w:style w:type="paragraph" w:customStyle="1" w:styleId="78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89">
    <w:name w:val="Char Char Char Char Char Char Char Char Char Char"/>
    <w:basedOn w:val="1"/>
    <w:autoRedefine/>
    <w:qFormat/>
    <w:uiPriority w:val="0"/>
    <w:pPr>
      <w:tabs>
        <w:tab w:val="left" w:pos="360"/>
      </w:tabs>
      <w:ind w:left="480" w:hanging="480" w:hangingChars="200"/>
    </w:pPr>
    <w:rPr>
      <w:rFonts w:ascii="仿宋_GB2312" w:eastAsia="仿宋_GB2312"/>
      <w:b/>
      <w:sz w:val="24"/>
      <w:szCs w:val="24"/>
    </w:rPr>
  </w:style>
  <w:style w:type="paragraph" w:customStyle="1" w:styleId="790">
    <w:name w:val="样式 样式 标题 4 + 段后: 0.5 行1"/>
    <w:basedOn w:val="445"/>
    <w:next w:val="39"/>
    <w:autoRedefine/>
    <w:qFormat/>
    <w:uiPriority w:val="0"/>
    <w:pPr>
      <w:numPr>
        <w:ilvl w:val="1"/>
        <w:numId w:val="5"/>
      </w:numPr>
      <w:spacing w:after="120"/>
      <w:ind w:left="0" w:firstLine="0"/>
    </w:pPr>
  </w:style>
  <w:style w:type="paragraph" w:customStyle="1" w:styleId="791">
    <w:name w:val="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792">
    <w:name w:val="Char Char Char1"/>
    <w:basedOn w:val="1"/>
    <w:autoRedefine/>
    <w:qFormat/>
    <w:uiPriority w:val="0"/>
    <w:rPr>
      <w:rFonts w:eastAsia="仿宋_GB2312" w:cs="宋体"/>
      <w:sz w:val="24"/>
      <w:szCs w:val="20"/>
    </w:rPr>
  </w:style>
  <w:style w:type="paragraph" w:customStyle="1" w:styleId="793">
    <w:name w:val="样式 样式3 + 宋体 五号 Char Char Char"/>
    <w:basedOn w:val="1"/>
    <w:autoRedefine/>
    <w:qFormat/>
    <w:uiPriority w:val="0"/>
    <w:pPr>
      <w:keepNext/>
      <w:keepLines/>
      <w:tabs>
        <w:tab w:val="left" w:pos="1050"/>
      </w:tabs>
      <w:ind w:left="1050" w:hanging="450"/>
      <w:jc w:val="left"/>
      <w:outlineLvl w:val="7"/>
    </w:pPr>
    <w:rPr>
      <w:rFonts w:ascii="宋体" w:hAnsi="宋体"/>
      <w:b/>
      <w:bCs/>
      <w:szCs w:val="24"/>
    </w:rPr>
  </w:style>
  <w:style w:type="paragraph" w:customStyle="1" w:styleId="794">
    <w:name w:val="Tabletext"/>
    <w:basedOn w:val="1"/>
    <w:autoRedefine/>
    <w:qFormat/>
    <w:uiPriority w:val="0"/>
    <w:pPr>
      <w:keepLines/>
      <w:spacing w:afterLines="50"/>
      <w:jc w:val="left"/>
    </w:pPr>
    <w:rPr>
      <w:rFonts w:ascii="宋体"/>
      <w:snapToGrid w:val="0"/>
      <w:kern w:val="0"/>
      <w:szCs w:val="20"/>
    </w:rPr>
  </w:style>
  <w:style w:type="paragraph" w:customStyle="1" w:styleId="795">
    <w:name w:val="Char1 Char Char Char"/>
    <w:basedOn w:val="1"/>
    <w:autoRedefine/>
    <w:qFormat/>
    <w:uiPriority w:val="0"/>
    <w:rPr>
      <w:rFonts w:ascii="Tahoma" w:hAnsi="Tahoma"/>
      <w:sz w:val="24"/>
      <w:szCs w:val="20"/>
    </w:rPr>
  </w:style>
  <w:style w:type="paragraph" w:customStyle="1" w:styleId="796">
    <w:name w:val="Char2 Char Char Char1"/>
    <w:basedOn w:val="1"/>
    <w:autoRedefine/>
    <w:qFormat/>
    <w:uiPriority w:val="0"/>
    <w:rPr>
      <w:rFonts w:ascii="仿宋_GB2312" w:eastAsia="仿宋_GB2312"/>
      <w:b/>
      <w:sz w:val="32"/>
      <w:szCs w:val="32"/>
    </w:rPr>
  </w:style>
  <w:style w:type="paragraph" w:customStyle="1" w:styleId="797">
    <w:name w:val="样式 四号 行距: 1.5 倍行距"/>
    <w:basedOn w:val="1"/>
    <w:autoRedefine/>
    <w:qFormat/>
    <w:uiPriority w:val="0"/>
    <w:pPr>
      <w:spacing w:line="312" w:lineRule="auto"/>
      <w:ind w:firstLine="202" w:firstLineChars="202"/>
    </w:pPr>
    <w:rPr>
      <w:rFonts w:cs="宋体"/>
      <w:sz w:val="24"/>
      <w:szCs w:val="20"/>
    </w:rPr>
  </w:style>
  <w:style w:type="paragraph" w:customStyle="1" w:styleId="798">
    <w:name w:val="xl73"/>
    <w:basedOn w:val="1"/>
    <w:autoRedefine/>
    <w:qFormat/>
    <w:uiPriority w:val="0"/>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99">
    <w:name w:val="浅色列表 - 强调文字颜色 31"/>
    <w:autoRedefine/>
    <w:qFormat/>
    <w:uiPriority w:val="71"/>
    <w:rPr>
      <w:rFonts w:ascii="Times New Roman" w:hAnsi="Times New Roman" w:eastAsia="宋体" w:cs="Times New Roman"/>
      <w:kern w:val="2"/>
      <w:sz w:val="21"/>
      <w:szCs w:val="22"/>
      <w:lang w:val="en-US" w:eastAsia="zh-CN" w:bidi="ar-SA"/>
    </w:rPr>
  </w:style>
  <w:style w:type="paragraph" w:customStyle="1" w:styleId="800">
    <w:name w:val="Char Char Char Char Char Char Char12"/>
    <w:basedOn w:val="1"/>
    <w:autoRedefine/>
    <w:qFormat/>
    <w:uiPriority w:val="0"/>
    <w:pPr>
      <w:tabs>
        <w:tab w:val="left" w:pos="432"/>
      </w:tabs>
      <w:ind w:left="432" w:hanging="432"/>
    </w:pPr>
    <w:rPr>
      <w:rFonts w:ascii="Tahoma" w:hAnsi="Tahoma"/>
      <w:sz w:val="24"/>
      <w:szCs w:val="20"/>
    </w:rPr>
  </w:style>
  <w:style w:type="paragraph" w:customStyle="1" w:styleId="801">
    <w:name w:val="Table - Col. Head"/>
    <w:basedOn w:val="1"/>
    <w:autoRedefine/>
    <w:qFormat/>
    <w:uiPriority w:val="0"/>
    <w:pPr>
      <w:keepNext/>
      <w:widowControl/>
      <w:spacing w:before="60" w:afterLines="50"/>
      <w:jc w:val="left"/>
    </w:pPr>
    <w:rPr>
      <w:rFonts w:ascii="Arial" w:hAnsi="Arial"/>
      <w:b/>
      <w:kern w:val="0"/>
      <w:sz w:val="18"/>
      <w:szCs w:val="20"/>
      <w:lang w:eastAsia="en-US"/>
    </w:rPr>
  </w:style>
  <w:style w:type="paragraph" w:customStyle="1" w:styleId="802">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803">
    <w:name w:val="此正文"/>
    <w:basedOn w:val="1"/>
    <w:autoRedefine/>
    <w:qFormat/>
    <w:uiPriority w:val="0"/>
    <w:pPr>
      <w:spacing w:line="360" w:lineRule="auto"/>
      <w:ind w:firstLine="200" w:firstLineChars="200"/>
    </w:pPr>
    <w:rPr>
      <w:sz w:val="24"/>
      <w:szCs w:val="24"/>
    </w:rPr>
  </w:style>
  <w:style w:type="paragraph" w:customStyle="1" w:styleId="804">
    <w:name w:val="Char Char1 Char"/>
    <w:basedOn w:val="1"/>
    <w:autoRedefine/>
    <w:qFormat/>
    <w:uiPriority w:val="0"/>
    <w:rPr>
      <w:rFonts w:ascii="仿宋_GB2312" w:eastAsia="仿宋_GB2312"/>
      <w:b/>
      <w:sz w:val="32"/>
      <w:szCs w:val="32"/>
    </w:rPr>
  </w:style>
  <w:style w:type="paragraph" w:customStyle="1" w:styleId="805">
    <w:name w:val="font12"/>
    <w:basedOn w:val="1"/>
    <w:autoRedefine/>
    <w:qFormat/>
    <w:uiPriority w:val="0"/>
    <w:pPr>
      <w:widowControl/>
      <w:spacing w:before="100" w:beforeAutospacing="1" w:after="100" w:afterAutospacing="1"/>
      <w:jc w:val="left"/>
    </w:pPr>
    <w:rPr>
      <w:rFonts w:ascii="宋体" w:hAnsi="宋体" w:cs="宋体"/>
      <w:color w:val="333333"/>
      <w:kern w:val="0"/>
      <w:sz w:val="22"/>
    </w:rPr>
  </w:style>
  <w:style w:type="paragraph" w:customStyle="1" w:styleId="806">
    <w:name w:val="样式 正文缩进正文（首行缩进两字）四号四号1四号2四号11特点正文非缩进段1ALT+ZPI正文文字首行缩进...2"/>
    <w:basedOn w:val="19"/>
    <w:autoRedefine/>
    <w:qFormat/>
    <w:uiPriority w:val="0"/>
    <w:pPr>
      <w:spacing w:beforeLines="50" w:line="360" w:lineRule="exact"/>
      <w:ind w:firstLine="200" w:firstLineChars="200"/>
    </w:pPr>
    <w:rPr>
      <w:rFonts w:ascii="宋体" w:cs="宋体"/>
      <w:bCs/>
      <w:kern w:val="0"/>
      <w:sz w:val="24"/>
    </w:rPr>
  </w:style>
  <w:style w:type="paragraph" w:customStyle="1" w:styleId="807">
    <w:name w:val="正文缩进11"/>
    <w:basedOn w:val="1"/>
    <w:autoRedefine/>
    <w:qFormat/>
    <w:uiPriority w:val="0"/>
    <w:pPr>
      <w:autoSpaceDE w:val="0"/>
      <w:autoSpaceDN w:val="0"/>
      <w:adjustRightInd w:val="0"/>
      <w:spacing w:after="180" w:line="310" w:lineRule="auto"/>
      <w:ind w:firstLine="420"/>
      <w:jc w:val="left"/>
    </w:pPr>
    <w:rPr>
      <w:kern w:val="0"/>
      <w:sz w:val="20"/>
      <w:szCs w:val="20"/>
    </w:rPr>
  </w:style>
  <w:style w:type="paragraph" w:customStyle="1" w:styleId="808">
    <w:name w:val="Char Char Char Char Char Char Char Char Char Char1"/>
    <w:basedOn w:val="1"/>
    <w:autoRedefine/>
    <w:qFormat/>
    <w:uiPriority w:val="0"/>
    <w:pPr>
      <w:tabs>
        <w:tab w:val="left" w:pos="360"/>
      </w:tabs>
      <w:ind w:left="480" w:hanging="480" w:hangingChars="200"/>
    </w:pPr>
    <w:rPr>
      <w:rFonts w:ascii="仿宋_GB2312" w:eastAsia="仿宋_GB2312"/>
      <w:b/>
      <w:sz w:val="24"/>
      <w:szCs w:val="24"/>
    </w:rPr>
  </w:style>
  <w:style w:type="paragraph" w:customStyle="1" w:styleId="809">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810">
    <w:name w:val="首行缩进"/>
    <w:basedOn w:val="1"/>
    <w:autoRedefine/>
    <w:qFormat/>
    <w:uiPriority w:val="0"/>
    <w:pPr>
      <w:widowControl/>
      <w:numPr>
        <w:ilvl w:val="6"/>
        <w:numId w:val="13"/>
      </w:numPr>
      <w:tabs>
        <w:tab w:val="left" w:pos="822"/>
      </w:tabs>
      <w:snapToGrid w:val="0"/>
      <w:spacing w:before="40" w:after="40" w:line="300" w:lineRule="atLeast"/>
    </w:pPr>
    <w:rPr>
      <w:rFonts w:ascii="Arial" w:hAnsi="Arial"/>
      <w:kern w:val="0"/>
      <w:szCs w:val="20"/>
    </w:rPr>
  </w:style>
  <w:style w:type="paragraph" w:customStyle="1" w:styleId="811">
    <w:name w:val="Char Char Char11"/>
    <w:basedOn w:val="1"/>
    <w:autoRedefine/>
    <w:qFormat/>
    <w:uiPriority w:val="0"/>
  </w:style>
  <w:style w:type="paragraph" w:customStyle="1" w:styleId="812">
    <w:name w:val="f656565_12"/>
    <w:basedOn w:val="1"/>
    <w:autoRedefine/>
    <w:qFormat/>
    <w:uiPriority w:val="0"/>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813">
    <w:name w:val="xl1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814">
    <w:name w:val="_Style 164"/>
    <w:basedOn w:val="1"/>
    <w:autoRedefine/>
    <w:qFormat/>
    <w:uiPriority w:val="0"/>
    <w:rPr>
      <w:szCs w:val="20"/>
    </w:rPr>
  </w:style>
  <w:style w:type="paragraph" w:customStyle="1" w:styleId="815">
    <w:name w:val="图表"/>
    <w:basedOn w:val="1"/>
    <w:autoRedefine/>
    <w:qFormat/>
    <w:uiPriority w:val="0"/>
    <w:pPr>
      <w:adjustRightInd w:val="0"/>
      <w:snapToGrid w:val="0"/>
      <w:jc w:val="center"/>
    </w:pPr>
    <w:rPr>
      <w:rFonts w:ascii="宋体" w:hAnsi="宋体"/>
      <w:szCs w:val="21"/>
    </w:rPr>
  </w:style>
  <w:style w:type="paragraph" w:customStyle="1" w:styleId="816">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17">
    <w:name w:val="样式 标题 2 + 五号"/>
    <w:basedOn w:val="3"/>
    <w:autoRedefine/>
    <w:qFormat/>
    <w:uiPriority w:val="0"/>
    <w:pPr>
      <w:spacing w:before="0" w:after="0" w:line="240" w:lineRule="auto"/>
    </w:pPr>
    <w:rPr>
      <w:rFonts w:ascii="宋体" w:hAnsi="宋体" w:eastAsia="宋体"/>
      <w:sz w:val="21"/>
    </w:rPr>
  </w:style>
  <w:style w:type="paragraph" w:customStyle="1" w:styleId="818">
    <w:name w:val="Char Char1 Char11"/>
    <w:basedOn w:val="1"/>
    <w:autoRedefine/>
    <w:qFormat/>
    <w:uiPriority w:val="0"/>
    <w:rPr>
      <w:rFonts w:ascii="仿宋_GB2312" w:eastAsia="仿宋_GB2312"/>
      <w:b/>
      <w:sz w:val="32"/>
      <w:szCs w:val="32"/>
    </w:rPr>
  </w:style>
  <w:style w:type="paragraph" w:customStyle="1" w:styleId="819">
    <w:name w:val="P2"/>
    <w:basedOn w:val="1"/>
    <w:autoRedefine/>
    <w:qFormat/>
    <w:uiPriority w:val="0"/>
    <w:pPr>
      <w:widowControl/>
      <w:spacing w:before="240" w:line="240" w:lineRule="atLeast"/>
      <w:ind w:left="578"/>
      <w:jc w:val="left"/>
    </w:pPr>
    <w:rPr>
      <w:b/>
      <w:kern w:val="0"/>
      <w:szCs w:val="21"/>
      <w:lang w:val="en-AU" w:eastAsia="en-US"/>
    </w:rPr>
  </w:style>
  <w:style w:type="paragraph" w:customStyle="1" w:styleId="8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821">
    <w:name w:val="xl66"/>
    <w:basedOn w:val="1"/>
    <w:autoRedefine/>
    <w:qFormat/>
    <w:uiPriority w:val="0"/>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822">
    <w:name w:val="Char Char"/>
    <w:basedOn w:val="1"/>
    <w:autoRedefine/>
    <w:qFormat/>
    <w:uiPriority w:val="0"/>
    <w:rPr>
      <w:rFonts w:ascii="Tahoma" w:hAnsi="Tahoma"/>
      <w:sz w:val="24"/>
      <w:szCs w:val="20"/>
    </w:rPr>
  </w:style>
  <w:style w:type="paragraph" w:customStyle="1" w:styleId="823">
    <w:name w:val="正文首行缩进两字"/>
    <w:autoRedefine/>
    <w:qFormat/>
    <w:uiPriority w:val="0"/>
    <w:pPr>
      <w:tabs>
        <w:tab w:val="left" w:pos="840"/>
      </w:tabs>
      <w:spacing w:afterLines="50" w:line="360" w:lineRule="auto"/>
      <w:ind w:right="240"/>
      <w:jc w:val="both"/>
    </w:pPr>
    <w:rPr>
      <w:rFonts w:ascii="Times New Roman" w:hAnsi="Times New Roman" w:eastAsia="宋体" w:cs="Times New Roman"/>
      <w:sz w:val="21"/>
      <w:szCs w:val="21"/>
      <w:lang w:val="en-US" w:eastAsia="zh-CN" w:bidi="ar-SA"/>
    </w:rPr>
  </w:style>
  <w:style w:type="paragraph" w:customStyle="1" w:styleId="824">
    <w:name w:val="Plain Text1"/>
    <w:basedOn w:val="1"/>
    <w:autoRedefine/>
    <w:qFormat/>
    <w:uiPriority w:val="0"/>
    <w:pPr>
      <w:autoSpaceDE w:val="0"/>
      <w:autoSpaceDN w:val="0"/>
      <w:adjustRightInd w:val="0"/>
      <w:spacing w:line="360" w:lineRule="auto"/>
    </w:pPr>
    <w:rPr>
      <w:rFonts w:hint="eastAsia" w:ascii="宋体" w:hAnsi="宋体"/>
      <w:sz w:val="24"/>
      <w:szCs w:val="20"/>
    </w:rPr>
  </w:style>
  <w:style w:type="paragraph" w:customStyle="1" w:styleId="825">
    <w:name w:val="font10"/>
    <w:basedOn w:val="1"/>
    <w:autoRedefine/>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826">
    <w:name w:val="正文文本缩进 21"/>
    <w:basedOn w:val="1"/>
    <w:autoRedefine/>
    <w:qFormat/>
    <w:uiPriority w:val="0"/>
    <w:pPr>
      <w:widowControl/>
      <w:overflowPunct w:val="0"/>
      <w:autoSpaceDE w:val="0"/>
      <w:autoSpaceDN w:val="0"/>
      <w:adjustRightInd w:val="0"/>
      <w:ind w:left="540" w:hanging="540"/>
      <w:jc w:val="left"/>
      <w:textAlignment w:val="baseline"/>
    </w:pPr>
    <w:rPr>
      <w:kern w:val="0"/>
      <w:sz w:val="24"/>
      <w:szCs w:val="20"/>
    </w:rPr>
  </w:style>
  <w:style w:type="paragraph" w:customStyle="1" w:styleId="82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828">
    <w:name w:val="标准标题3"/>
    <w:basedOn w:val="4"/>
    <w:autoRedefine/>
    <w:qFormat/>
    <w:uiPriority w:val="0"/>
    <w:pPr>
      <w:tabs>
        <w:tab w:val="left" w:pos="1050"/>
      </w:tabs>
      <w:spacing w:line="240" w:lineRule="auto"/>
      <w:ind w:left="-258" w:leftChars="-258"/>
    </w:pPr>
    <w:rPr>
      <w:rFonts w:eastAsia="仿宋_GB2312"/>
      <w:sz w:val="28"/>
    </w:rPr>
  </w:style>
  <w:style w:type="paragraph" w:customStyle="1" w:styleId="829">
    <w:name w:val="样式 样式 正文文本缩进 + 仿宋_GB2312 小四 首行缩进:  0 厘米 行距: 1.5 倍行距 + (中文) 仿宋_GB... Char Char"/>
    <w:basedOn w:val="632"/>
    <w:autoRedefine/>
    <w:qFormat/>
    <w:uiPriority w:val="0"/>
    <w:pPr>
      <w:ind w:firstLine="480" w:firstLineChars="200"/>
    </w:pPr>
  </w:style>
  <w:style w:type="paragraph" w:customStyle="1" w:styleId="830">
    <w:name w:val="Figure Description"/>
    <w:next w:val="1"/>
    <w:autoRedefine/>
    <w:qFormat/>
    <w:uiPriority w:val="0"/>
    <w:pPr>
      <w:numPr>
        <w:ilvl w:val="4"/>
        <w:numId w:val="26"/>
      </w:numPr>
      <w:tabs>
        <w:tab w:val="clear" w:pos="2040"/>
      </w:tabs>
      <w:snapToGrid w:val="0"/>
      <w:spacing w:before="80" w:after="320"/>
      <w:ind w:left="1701" w:firstLine="0"/>
      <w:jc w:val="center"/>
    </w:pPr>
    <w:rPr>
      <w:rFonts w:ascii="Arial" w:hAnsi="Arial" w:eastAsia="黑体" w:cs="Times New Roman"/>
      <w:sz w:val="18"/>
      <w:lang w:val="en-US" w:eastAsia="en-US" w:bidi="ar-SA"/>
    </w:rPr>
  </w:style>
  <w:style w:type="paragraph" w:customStyle="1" w:styleId="831">
    <w:name w:val="Table_Medium"/>
    <w:basedOn w:val="586"/>
    <w:autoRedefine/>
    <w:qFormat/>
    <w:uiPriority w:val="0"/>
    <w:rPr>
      <w:sz w:val="18"/>
    </w:rPr>
  </w:style>
  <w:style w:type="paragraph" w:customStyle="1" w:styleId="832">
    <w:name w:val="paracharcharcharcharcharcharcharcharchar1charcharcharcha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33">
    <w:name w:val="图名"/>
    <w:basedOn w:val="21"/>
    <w:autoRedefine/>
    <w:qFormat/>
    <w:uiPriority w:val="0"/>
    <w:pPr>
      <w:spacing w:beforeLines="50" w:afterLines="50"/>
      <w:jc w:val="center"/>
    </w:pPr>
    <w:rPr>
      <w:rFonts w:ascii="Times New Roman" w:hAnsi="Times New Roman"/>
      <w:kern w:val="0"/>
      <w:sz w:val="24"/>
      <w:szCs w:val="24"/>
    </w:rPr>
  </w:style>
  <w:style w:type="paragraph" w:customStyle="1" w:styleId="834">
    <w:name w:val="Style-正文"/>
    <w:basedOn w:val="1"/>
    <w:autoRedefine/>
    <w:qFormat/>
    <w:uiPriority w:val="0"/>
    <w:pPr>
      <w:spacing w:line="360" w:lineRule="auto"/>
      <w:ind w:firstLine="420"/>
    </w:pPr>
    <w:rPr>
      <w:rFonts w:ascii="宋体" w:hAnsi="宋体"/>
      <w:sz w:val="24"/>
      <w:szCs w:val="24"/>
    </w:rPr>
  </w:style>
  <w:style w:type="paragraph" w:customStyle="1" w:styleId="835">
    <w:name w:val="插图"/>
    <w:next w:val="28"/>
    <w:autoRedefine/>
    <w:qFormat/>
    <w:uiPriority w:val="0"/>
    <w:pPr>
      <w:numPr>
        <w:ilvl w:val="0"/>
        <w:numId w:val="27"/>
      </w:numPr>
      <w:jc w:val="center"/>
    </w:pPr>
    <w:rPr>
      <w:rFonts w:ascii="Tahoma" w:hAnsi="Tahoma" w:eastAsia="楷体_GB2312" w:cs="Times New Roman"/>
      <w:kern w:val="2"/>
      <w:sz w:val="21"/>
      <w:szCs w:val="24"/>
      <w:lang w:val="en-US" w:eastAsia="zh-CN" w:bidi="ar-SA"/>
    </w:rPr>
  </w:style>
  <w:style w:type="paragraph" w:customStyle="1" w:styleId="836">
    <w:name w:val="样式 标题 3 + 首行缩进:  2 字符1"/>
    <w:basedOn w:val="4"/>
    <w:autoRedefine/>
    <w:qFormat/>
    <w:uiPriority w:val="0"/>
    <w:pPr>
      <w:spacing w:line="360" w:lineRule="auto"/>
    </w:pPr>
    <w:rPr>
      <w:rFonts w:ascii="Times New Roman" w:hAnsi="Times New Roman" w:cs="宋体"/>
      <w:szCs w:val="20"/>
    </w:rPr>
  </w:style>
  <w:style w:type="paragraph" w:customStyle="1" w:styleId="837">
    <w:name w:val="xl2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Comic Sans MS" w:hAnsi="Comic Sans MS" w:cs="宋体"/>
      <w:kern w:val="0"/>
      <w:sz w:val="20"/>
      <w:szCs w:val="20"/>
    </w:rPr>
  </w:style>
  <w:style w:type="paragraph" w:customStyle="1" w:styleId="838">
    <w:name w:val="xl12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39">
    <w:name w:val="Char10"/>
    <w:basedOn w:val="1"/>
    <w:autoRedefine/>
    <w:qFormat/>
    <w:uiPriority w:val="0"/>
    <w:rPr>
      <w:rFonts w:ascii="仿宋_GB2312" w:eastAsia="仿宋_GB2312"/>
      <w:b/>
      <w:sz w:val="32"/>
      <w:szCs w:val="32"/>
    </w:rPr>
  </w:style>
  <w:style w:type="paragraph" w:customStyle="1" w:styleId="840">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41">
    <w:name w:val="列表内容"/>
    <w:basedOn w:val="1"/>
    <w:next w:val="1"/>
    <w:autoRedefine/>
    <w:qFormat/>
    <w:uiPriority w:val="0"/>
    <w:pPr>
      <w:widowControl/>
      <w:numPr>
        <w:ilvl w:val="0"/>
        <w:numId w:val="28"/>
      </w:numPr>
      <w:jc w:val="left"/>
    </w:pPr>
    <w:rPr>
      <w:kern w:val="0"/>
      <w:sz w:val="18"/>
      <w:szCs w:val="24"/>
    </w:rPr>
  </w:style>
  <w:style w:type="paragraph" w:customStyle="1" w:styleId="842">
    <w:name w:val="四级"/>
    <w:basedOn w:val="5"/>
    <w:autoRedefine/>
    <w:qFormat/>
    <w:uiPriority w:val="0"/>
    <w:pPr>
      <w:tabs>
        <w:tab w:val="left" w:pos="284"/>
      </w:tabs>
      <w:spacing w:before="160" w:after="170" w:line="240" w:lineRule="auto"/>
      <w:ind w:left="828" w:hanging="544"/>
    </w:pPr>
    <w:rPr>
      <w:bCs w:val="0"/>
      <w:sz w:val="30"/>
      <w:szCs w:val="20"/>
    </w:rPr>
  </w:style>
  <w:style w:type="paragraph" w:customStyle="1" w:styleId="843">
    <w:name w:val="xl69"/>
    <w:basedOn w:val="1"/>
    <w:autoRedefine/>
    <w:qFormat/>
    <w:uiPriority w:val="0"/>
    <w:pPr>
      <w:widowControl/>
      <w:pBdr>
        <w:bottom w:val="single" w:color="000000" w:sz="8" w:space="0"/>
        <w:right w:val="single" w:color="000000" w:sz="8" w:space="0"/>
      </w:pBdr>
      <w:shd w:val="clear" w:color="000000" w:fill="808080"/>
      <w:spacing w:before="100" w:beforeAutospacing="1" w:after="100" w:afterAutospacing="1"/>
      <w:jc w:val="center"/>
    </w:pPr>
    <w:rPr>
      <w:kern w:val="0"/>
      <w:sz w:val="20"/>
      <w:szCs w:val="20"/>
    </w:rPr>
  </w:style>
  <w:style w:type="paragraph" w:customStyle="1" w:styleId="844">
    <w:name w:val="Char Char1 Char Char Char Char Char Char Char Char Char Char Char Char Char Char"/>
    <w:basedOn w:val="1"/>
    <w:autoRedefine/>
    <w:qFormat/>
    <w:uiPriority w:val="0"/>
    <w:pPr>
      <w:widowControl/>
      <w:spacing w:after="160" w:line="240" w:lineRule="exact"/>
      <w:jc w:val="left"/>
    </w:pPr>
    <w:rPr>
      <w:szCs w:val="20"/>
    </w:rPr>
  </w:style>
  <w:style w:type="paragraph" w:customStyle="1" w:styleId="845">
    <w:name w:val="graytext"/>
    <w:basedOn w:val="1"/>
    <w:autoRedefine/>
    <w:qFormat/>
    <w:uiPriority w:val="0"/>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846">
    <w:name w:val="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847">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848">
    <w:name w:val="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49">
    <w:name w:val="S4-I-L15-U"/>
    <w:basedOn w:val="1"/>
    <w:autoRedefine/>
    <w:qFormat/>
    <w:uiPriority w:val="0"/>
    <w:pPr>
      <w:spacing w:line="360" w:lineRule="auto"/>
    </w:pPr>
    <w:rPr>
      <w:b/>
      <w:i/>
      <w:sz w:val="24"/>
      <w:szCs w:val="24"/>
      <w:u w:val="single"/>
    </w:rPr>
  </w:style>
  <w:style w:type="paragraph" w:customStyle="1" w:styleId="850">
    <w:name w:val="列出段落2"/>
    <w:basedOn w:val="1"/>
    <w:autoRedefine/>
    <w:qFormat/>
    <w:uiPriority w:val="34"/>
    <w:pPr>
      <w:ind w:firstLine="420" w:firstLineChars="200"/>
    </w:pPr>
    <w:rPr>
      <w:szCs w:val="24"/>
    </w:rPr>
  </w:style>
  <w:style w:type="paragraph" w:customStyle="1" w:styleId="851">
    <w:name w:val="样式 左侧:  1 厘米 段后: 0.5 行"/>
    <w:basedOn w:val="1"/>
    <w:autoRedefine/>
    <w:qFormat/>
    <w:uiPriority w:val="0"/>
    <w:pPr>
      <w:spacing w:afterLines="50"/>
      <w:ind w:firstLine="425"/>
      <w:jc w:val="left"/>
    </w:pPr>
    <w:rPr>
      <w:rFonts w:ascii="宋体" w:cs="宋体"/>
      <w:snapToGrid w:val="0"/>
      <w:kern w:val="0"/>
      <w:szCs w:val="20"/>
    </w:rPr>
  </w:style>
  <w:style w:type="paragraph" w:customStyle="1" w:styleId="852">
    <w:name w:val="Char Char Char"/>
    <w:basedOn w:val="1"/>
    <w:autoRedefine/>
    <w:qFormat/>
    <w:uiPriority w:val="0"/>
    <w:rPr>
      <w:rFonts w:ascii="Tahoma" w:hAnsi="Tahoma"/>
      <w:sz w:val="24"/>
      <w:szCs w:val="20"/>
    </w:rPr>
  </w:style>
  <w:style w:type="paragraph" w:customStyle="1" w:styleId="853">
    <w:name w:val="xl79"/>
    <w:basedOn w:val="1"/>
    <w:autoRedefine/>
    <w:qFormat/>
    <w:uiPriority w:val="0"/>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854">
    <w:name w:val="标题2"/>
    <w:basedOn w:val="3"/>
    <w:next w:val="4"/>
    <w:autoRedefine/>
    <w:qFormat/>
    <w:uiPriority w:val="0"/>
    <w:pPr>
      <w:numPr>
        <w:ilvl w:val="1"/>
        <w:numId w:val="29"/>
      </w:numPr>
      <w:spacing w:beforeLines="100" w:afterLines="100" w:line="360" w:lineRule="auto"/>
    </w:pPr>
    <w:rPr>
      <w:rFonts w:ascii="Times New Roman" w:hAnsi="Times New Roman"/>
      <w:sz w:val="30"/>
    </w:rPr>
  </w:style>
  <w:style w:type="paragraph" w:customStyle="1" w:styleId="855">
    <w:name w:val="文档结构图1"/>
    <w:basedOn w:val="1"/>
    <w:autoRedefine/>
    <w:qFormat/>
    <w:uiPriority w:val="0"/>
    <w:rPr>
      <w:rFonts w:ascii="宋体"/>
      <w:kern w:val="0"/>
      <w:sz w:val="18"/>
      <w:szCs w:val="18"/>
    </w:rPr>
  </w:style>
  <w:style w:type="table" w:customStyle="1" w:styleId="856">
    <w:name w:val="浅色列表 - 强调文字颜色 51"/>
    <w:basedOn w:val="59"/>
    <w:autoRedefine/>
    <w:qFormat/>
    <w:uiPriority w:val="0"/>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857">
    <w:name w:val="普通(网站) Char"/>
    <w:link w:val="54"/>
    <w:autoRedefine/>
    <w:qFormat/>
    <w:uiPriority w:val="0"/>
    <w:rPr>
      <w:rFonts w:ascii="宋体" w:hAnsi="宋体" w:eastAsia="宋体" w:cs="宋体"/>
      <w:sz w:val="24"/>
      <w:szCs w:val="24"/>
      <w:lang w:val="en-US" w:eastAsia="zh-CN" w:bidi="ar-SA"/>
    </w:rPr>
  </w:style>
  <w:style w:type="character" w:customStyle="1" w:styleId="858">
    <w:name w:val="批注文字 字符"/>
    <w:autoRedefine/>
    <w:qFormat/>
    <w:uiPriority w:val="99"/>
    <w:rPr>
      <w:rFonts w:ascii="Times New Roman" w:hAnsi="Times New Roman"/>
      <w:sz w:val="21"/>
      <w:szCs w:val="21"/>
    </w:rPr>
  </w:style>
  <w:style w:type="character" w:customStyle="1" w:styleId="859">
    <w:name w:val="纯文本 字符"/>
    <w:autoRedefine/>
    <w:qFormat/>
    <w:uiPriority w:val="0"/>
    <w:rPr>
      <w:rFonts w:ascii="宋体" w:hAnsi="宋体" w:eastAsia="宋体"/>
      <w:kern w:val="0"/>
      <w:szCs w:val="21"/>
    </w:rPr>
  </w:style>
  <w:style w:type="paragraph" w:customStyle="1" w:styleId="860">
    <w:name w:val="列表段落1"/>
    <w:basedOn w:val="1"/>
    <w:autoRedefine/>
    <w:qFormat/>
    <w:uiPriority w:val="0"/>
    <w:pPr>
      <w:spacing w:line="360" w:lineRule="auto"/>
      <w:ind w:firstLine="420" w:firstLineChars="200"/>
    </w:pPr>
    <w:rPr>
      <w:sz w:val="24"/>
    </w:rPr>
  </w:style>
  <w:style w:type="character" w:customStyle="1" w:styleId="861">
    <w:name w:val="纯文本 Char3"/>
    <w:autoRedefine/>
    <w:qFormat/>
    <w:uiPriority w:val="0"/>
    <w:rPr>
      <w:rFonts w:ascii="??" w:hAnsi="??" w:eastAsia="??" w:cs="宋体"/>
      <w:kern w:val="2"/>
      <w:sz w:val="21"/>
      <w:szCs w:val="21"/>
    </w:rPr>
  </w:style>
  <w:style w:type="character" w:customStyle="1" w:styleId="862">
    <w:name w:val="招标-标题1 字符"/>
    <w:link w:val="863"/>
    <w:autoRedefine/>
    <w:qFormat/>
    <w:uiPriority w:val="0"/>
    <w:rPr>
      <w:rFonts w:ascii="宋体" w:hAnsi="宋体"/>
      <w:b/>
      <w:bCs/>
      <w:kern w:val="2"/>
      <w:sz w:val="28"/>
      <w:szCs w:val="21"/>
    </w:rPr>
  </w:style>
  <w:style w:type="paragraph" w:customStyle="1" w:styleId="863">
    <w:name w:val="招标-标题1"/>
    <w:basedOn w:val="1"/>
    <w:link w:val="862"/>
    <w:autoRedefine/>
    <w:qFormat/>
    <w:uiPriority w:val="0"/>
    <w:pPr>
      <w:spacing w:line="300" w:lineRule="auto"/>
      <w:ind w:left="560"/>
    </w:pPr>
    <w:rPr>
      <w:rFonts w:ascii="宋体" w:hAnsi="宋体"/>
      <w:b/>
      <w:bCs/>
      <w:sz w:val="28"/>
      <w:szCs w:val="21"/>
    </w:rPr>
  </w:style>
  <w:style w:type="paragraph" w:customStyle="1" w:styleId="864">
    <w:name w:val="索引 11"/>
    <w:basedOn w:val="1"/>
    <w:next w:val="1"/>
    <w:autoRedefine/>
    <w:qFormat/>
    <w:uiPriority w:val="0"/>
    <w:pPr>
      <w:spacing w:line="360" w:lineRule="auto"/>
    </w:pPr>
    <w:rPr>
      <w:rFonts w:ascii="仿宋_GB2312" w:eastAsia="仿宋_GB2312"/>
      <w:sz w:val="24"/>
      <w:szCs w:val="20"/>
    </w:rPr>
  </w:style>
  <w:style w:type="paragraph" w:customStyle="1" w:styleId="865">
    <w:name w:val="MM"/>
    <w:basedOn w:val="1"/>
    <w:autoRedefine/>
    <w:qFormat/>
    <w:uiPriority w:val="0"/>
    <w:pPr>
      <w:adjustRightInd w:val="0"/>
      <w:spacing w:before="60" w:after="60" w:line="360" w:lineRule="atLeast"/>
      <w:ind w:left="1560" w:hanging="426"/>
      <w:textAlignment w:val="baseline"/>
    </w:pPr>
    <w:rPr>
      <w:rFonts w:ascii="宋体"/>
      <w:spacing w:val="5"/>
      <w:kern w:val="0"/>
      <w:sz w:val="24"/>
      <w:szCs w:val="20"/>
    </w:rPr>
  </w:style>
  <w:style w:type="character" w:customStyle="1" w:styleId="866">
    <w:name w:val="NormalCharacter"/>
    <w:autoRedefine/>
    <w:semiHidden/>
    <w:qFormat/>
    <w:uiPriority w:val="0"/>
  </w:style>
  <w:style w:type="character" w:customStyle="1" w:styleId="867">
    <w:name w:val="zbggmain style9"/>
    <w:basedOn w:val="63"/>
    <w:autoRedefine/>
    <w:qFormat/>
    <w:uiPriority w:val="0"/>
  </w:style>
  <w:style w:type="character" w:customStyle="1" w:styleId="868">
    <w:name w:val="font51"/>
    <w:basedOn w:val="63"/>
    <w:autoRedefine/>
    <w:qFormat/>
    <w:uiPriority w:val="0"/>
    <w:rPr>
      <w:rFonts w:hint="eastAsia" w:ascii="宋体" w:hAnsi="宋体" w:eastAsia="宋体" w:cs="宋体"/>
      <w:color w:val="000000"/>
      <w:sz w:val="22"/>
      <w:szCs w:val="22"/>
      <w:u w:val="none"/>
    </w:rPr>
  </w:style>
  <w:style w:type="paragraph" w:customStyle="1" w:styleId="869">
    <w:name w:val="招标正文"/>
    <w:basedOn w:val="1"/>
    <w:autoRedefine/>
    <w:qFormat/>
    <w:uiPriority w:val="0"/>
    <w:pPr>
      <w:adjustRightInd w:val="0"/>
      <w:snapToGrid w:val="0"/>
      <w:spacing w:line="360" w:lineRule="auto"/>
      <w:ind w:firstLine="480" w:firstLineChars="200"/>
    </w:pPr>
    <w:rPr>
      <w:rFonts w:ascii="宋体" w:hAnsi="宋体"/>
      <w:color w:val="000000"/>
      <w:kern w:val="0"/>
      <w:sz w:val="24"/>
      <w:szCs w:val="21"/>
    </w:rPr>
  </w:style>
  <w:style w:type="paragraph" w:customStyle="1" w:styleId="870">
    <w:name w:val="Table Paragraph"/>
    <w:basedOn w:val="1"/>
    <w:autoRedefine/>
    <w:qFormat/>
    <w:uiPriority w:val="1"/>
    <w:rPr>
      <w:rFonts w:ascii="宋体" w:hAnsi="宋体" w:cs="宋体"/>
      <w:lang w:val="zh-CN" w:bidi="zh-CN"/>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microsoft.com/office/2006/relationships/keyMapCustomizations" Target="customizations.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textRotate="1"/>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A113B0-0B7A-4F23-90B4-8F2576B0569F}">
  <ds:schemaRefs/>
</ds:datastoreItem>
</file>

<file path=docProps/app.xml><?xml version="1.0" encoding="utf-8"?>
<Properties xmlns="http://schemas.openxmlformats.org/officeDocument/2006/extended-properties" xmlns:vt="http://schemas.openxmlformats.org/officeDocument/2006/docPropsVTypes">
  <Template>Normal.dotm</Template>
  <Company>海标工程管理有限公司</Company>
  <Pages>45</Pages>
  <Words>3562</Words>
  <Characters>20310</Characters>
  <Lines>169</Lines>
  <Paragraphs>47</Paragraphs>
  <TotalTime>2</TotalTime>
  <ScaleCrop>false</ScaleCrop>
  <LinksUpToDate>false</LinksUpToDate>
  <CharactersWithSpaces>23825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2021-01-17T08:41:00Z</dcterms:created>
  <dc:creator>袁彬</dc:creator>
  <cp:lastModifiedBy>开心妈咪</cp:lastModifiedBy>
  <cp:lastPrinted>2024-04-01T03:31:00Z</cp:lastPrinted>
  <dcterms:modified xsi:type="dcterms:W3CDTF">2024-04-02T13:48:37Z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B1E0CE735522462B8D689F8AC8D8AF57</vt:lpwstr>
  </property>
</Properties>
</file>