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jc w:val="center"/>
        <w:textAlignment w:val="bottom"/>
        <w:rPr>
          <w:rFonts w:ascii="宋体" w:hAnsi="宋体" w:cs="宋体"/>
          <w:b/>
          <w:bCs/>
          <w:color w:val="000000"/>
          <w:spacing w:val="6"/>
          <w:sz w:val="48"/>
          <w:szCs w:val="48"/>
        </w:rPr>
      </w:pPr>
    </w:p>
    <w:p>
      <w:pPr>
        <w:shd w:val="clear" w:color="auto" w:fill="FFFFFF"/>
        <w:tabs>
          <w:tab w:val="left" w:pos="4500"/>
        </w:tabs>
        <w:snapToGrid w:val="0"/>
        <w:spacing w:line="360" w:lineRule="auto"/>
        <w:jc w:val="center"/>
        <w:textAlignment w:val="bottom"/>
        <w:rPr>
          <w:rFonts w:ascii="宋体" w:hAnsi="宋体" w:cs="宋体"/>
          <w:b/>
          <w:bCs/>
          <w:color w:val="000000"/>
          <w:sz w:val="44"/>
          <w:szCs w:val="44"/>
        </w:rPr>
      </w:pPr>
      <w:r>
        <w:rPr>
          <w:rFonts w:hint="eastAsia" w:ascii="宋体" w:hAnsi="宋体" w:cs="宋体"/>
          <w:b/>
          <w:bCs/>
          <w:color w:val="000000"/>
          <w:spacing w:val="6"/>
          <w:sz w:val="44"/>
          <w:szCs w:val="44"/>
          <w:lang w:eastAsia="zh-CN"/>
        </w:rPr>
        <w:t>中泰街道交治工作站建设设备项目采购</w:t>
      </w:r>
      <w:r>
        <w:rPr>
          <w:rFonts w:hint="eastAsia" w:ascii="宋体" w:hAnsi="宋体" w:cs="宋体"/>
          <w:b/>
          <w:bCs/>
          <w:color w:val="000000"/>
          <w:spacing w:val="6"/>
          <w:sz w:val="44"/>
          <w:szCs w:val="44"/>
        </w:rPr>
        <w:t xml:space="preserve">  </w:t>
      </w:r>
    </w:p>
    <w:p>
      <w:pPr>
        <w:pStyle w:val="2"/>
        <w:spacing w:line="360" w:lineRule="auto"/>
        <w:ind w:left="0" w:leftChars="0" w:firstLine="0" w:firstLineChars="0"/>
        <w:rPr>
          <w:sz w:val="48"/>
          <w:szCs w:val="48"/>
        </w:rPr>
      </w:pPr>
    </w:p>
    <w:p>
      <w:pPr>
        <w:pStyle w:val="2"/>
        <w:spacing w:line="360" w:lineRule="auto"/>
        <w:ind w:left="0" w:leftChars="0" w:firstLine="0" w:firstLineChars="0"/>
      </w:pPr>
    </w:p>
    <w:p>
      <w:pPr>
        <w:pStyle w:val="2"/>
        <w:spacing w:line="360" w:lineRule="auto"/>
      </w:pPr>
    </w:p>
    <w:p>
      <w:pPr>
        <w:shd w:val="clear" w:color="auto" w:fill="FFFFFF"/>
        <w:tabs>
          <w:tab w:val="left" w:pos="4500"/>
        </w:tabs>
        <w:snapToGrid w:val="0"/>
        <w:spacing w:line="360" w:lineRule="auto"/>
        <w:jc w:val="center"/>
        <w:textAlignment w:val="bottom"/>
      </w:pPr>
      <w:r>
        <w:rPr>
          <w:rFonts w:hint="eastAsia" w:ascii="宋体" w:hAnsi="宋体" w:cs="宋体"/>
          <w:b/>
          <w:bCs/>
          <w:color w:val="000000"/>
          <w:sz w:val="72"/>
          <w:szCs w:val="72"/>
        </w:rPr>
        <w:t>公 开 招 标 文 件</w:t>
      </w:r>
    </w:p>
    <w:p>
      <w:pPr>
        <w:widowControl/>
        <w:snapToGrid w:val="0"/>
        <w:spacing w:line="360" w:lineRule="auto"/>
        <w:jc w:val="center"/>
        <w:rPr>
          <w:rFonts w:ascii="宋体" w:hAnsi="宋体"/>
          <w:color w:val="000000"/>
        </w:rPr>
      </w:pPr>
    </w:p>
    <w:p>
      <w:pPr>
        <w:widowControl/>
        <w:spacing w:line="360" w:lineRule="auto"/>
        <w:ind w:right="-2"/>
        <w:jc w:val="center"/>
        <w:rPr>
          <w:rFonts w:hint="eastAsia" w:ascii="宋体" w:hAnsi="宋体" w:cs="宋体"/>
          <w:b/>
          <w:bCs/>
          <w:color w:val="000000"/>
          <w:sz w:val="36"/>
          <w:szCs w:val="36"/>
          <w:lang w:val="en-US" w:eastAsia="zh-CN"/>
        </w:rPr>
      </w:pPr>
      <w:r>
        <w:rPr>
          <w:rFonts w:hint="eastAsia" w:ascii="宋体" w:hAnsi="宋体" w:cs="宋体"/>
          <w:b/>
          <w:bCs/>
          <w:color w:val="000000"/>
          <w:sz w:val="36"/>
          <w:szCs w:val="36"/>
        </w:rPr>
        <w:t>招标编号：</w:t>
      </w:r>
      <w:r>
        <w:rPr>
          <w:rFonts w:hint="eastAsia" w:ascii="宋体" w:hAnsi="宋体" w:cs="宋体"/>
          <w:b/>
          <w:bCs/>
          <w:color w:val="000000"/>
          <w:sz w:val="36"/>
          <w:szCs w:val="36"/>
          <w:lang w:val="en-US" w:eastAsia="zh-CN"/>
        </w:rPr>
        <w:t xml:space="preserve">ZJWH-2020-015   </w:t>
      </w:r>
    </w:p>
    <w:p>
      <w:pPr>
        <w:widowControl/>
        <w:spacing w:line="360" w:lineRule="auto"/>
        <w:ind w:right="-2"/>
        <w:jc w:val="center"/>
        <w:rPr>
          <w:rFonts w:ascii="宋体" w:hAnsi="宋体"/>
          <w:b/>
          <w:color w:val="000000"/>
          <w:sz w:val="36"/>
        </w:rPr>
      </w:pPr>
      <w:r>
        <w:rPr>
          <w:rFonts w:hint="eastAsia" w:ascii="宋体" w:hAnsi="宋体"/>
          <w:b/>
          <w:color w:val="000000"/>
          <w:sz w:val="36"/>
        </w:rPr>
        <w:t>（线上电子招投标）</w:t>
      </w:r>
    </w:p>
    <w:p>
      <w:pPr>
        <w:shd w:val="clear" w:color="auto" w:fill="FFFFFF"/>
        <w:snapToGrid w:val="0"/>
        <w:spacing w:line="360" w:lineRule="auto"/>
        <w:jc w:val="center"/>
        <w:textAlignment w:val="bottom"/>
        <w:rPr>
          <w:rFonts w:ascii="宋体" w:hAnsi="宋体" w:cs="宋体"/>
          <w:b/>
          <w:bCs/>
          <w:color w:val="000000"/>
          <w:sz w:val="48"/>
          <w:szCs w:val="48"/>
        </w:rPr>
      </w:pPr>
    </w:p>
    <w:p>
      <w:pPr>
        <w:pStyle w:val="2"/>
        <w:spacing w:line="360" w:lineRule="auto"/>
        <w:ind w:left="0" w:leftChars="0" w:firstLine="0" w:firstLineChars="0"/>
        <w:rPr>
          <w:rFonts w:ascii="宋体" w:hAnsi="宋体" w:cs="宋体"/>
          <w:b/>
          <w:bCs/>
          <w:color w:val="000000"/>
          <w:sz w:val="30"/>
          <w:szCs w:val="30"/>
        </w:rPr>
      </w:pPr>
    </w:p>
    <w:p>
      <w:pPr>
        <w:pStyle w:val="2"/>
        <w:spacing w:line="360" w:lineRule="auto"/>
        <w:ind w:left="0" w:leftChars="0" w:firstLine="0" w:firstLineChars="0"/>
        <w:rPr>
          <w:rFonts w:ascii="宋体" w:hAnsi="宋体" w:cs="宋体"/>
          <w:b/>
          <w:bCs/>
          <w:color w:val="000000"/>
          <w:sz w:val="30"/>
          <w:szCs w:val="30"/>
        </w:rPr>
      </w:pPr>
    </w:p>
    <w:p>
      <w:pPr>
        <w:pStyle w:val="2"/>
        <w:spacing w:line="360" w:lineRule="auto"/>
        <w:ind w:left="0" w:leftChars="0" w:firstLine="0" w:firstLineChars="0"/>
        <w:rPr>
          <w:rFonts w:ascii="宋体" w:hAnsi="宋体" w:cs="宋体"/>
          <w:b/>
          <w:bCs/>
          <w:color w:val="000000"/>
          <w:sz w:val="30"/>
          <w:szCs w:val="30"/>
        </w:rPr>
      </w:pPr>
    </w:p>
    <w:p>
      <w:pPr>
        <w:pStyle w:val="2"/>
        <w:spacing w:line="360" w:lineRule="auto"/>
        <w:ind w:left="0" w:leftChars="0" w:firstLine="0" w:firstLineChars="0"/>
        <w:rPr>
          <w:rFonts w:ascii="宋体" w:hAnsi="宋体" w:cs="宋体"/>
          <w:b/>
          <w:bCs/>
          <w:color w:val="000000"/>
          <w:sz w:val="30"/>
          <w:szCs w:val="30"/>
        </w:rPr>
      </w:pPr>
    </w:p>
    <w:p>
      <w:pPr>
        <w:pStyle w:val="2"/>
        <w:spacing w:line="360" w:lineRule="auto"/>
        <w:ind w:left="0" w:leftChars="0" w:firstLine="0" w:firstLineChars="0"/>
        <w:rPr>
          <w:rFonts w:ascii="宋体" w:hAnsi="宋体" w:cs="宋体"/>
          <w:b/>
          <w:bCs/>
          <w:color w:val="000000"/>
          <w:sz w:val="30"/>
          <w:szCs w:val="30"/>
        </w:rPr>
      </w:pPr>
    </w:p>
    <w:p>
      <w:pPr>
        <w:shd w:val="clear" w:color="auto" w:fill="FFFFFF"/>
        <w:snapToGrid w:val="0"/>
        <w:spacing w:line="480" w:lineRule="auto"/>
        <w:jc w:val="center"/>
        <w:textAlignment w:val="bottom"/>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招  标  人：</w:t>
      </w:r>
      <w:r>
        <w:rPr>
          <w:rFonts w:hint="eastAsia" w:ascii="宋体" w:hAnsi="宋体" w:cs="宋体"/>
          <w:b/>
          <w:bCs/>
          <w:color w:val="000000"/>
          <w:sz w:val="32"/>
          <w:szCs w:val="32"/>
          <w:lang w:eastAsia="zh-CN"/>
        </w:rPr>
        <w:t>杭州市余杭区人民政府中泰街道办事处</w:t>
      </w:r>
    </w:p>
    <w:p>
      <w:pPr>
        <w:shd w:val="clear" w:color="auto" w:fill="FFFFFF"/>
        <w:snapToGrid w:val="0"/>
        <w:spacing w:line="480" w:lineRule="auto"/>
        <w:ind w:firstLine="643" w:firstLineChars="200"/>
        <w:textAlignment w:val="bottom"/>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招标代理机构：</w:t>
      </w: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lang w:eastAsia="zh-CN"/>
        </w:rPr>
        <w:t>浙江文华建设项目管理有限公司</w:t>
      </w:r>
    </w:p>
    <w:p>
      <w:pPr>
        <w:shd w:val="clear" w:color="auto" w:fill="FFFFFF"/>
        <w:snapToGrid w:val="0"/>
        <w:spacing w:line="480" w:lineRule="auto"/>
        <w:ind w:firstLine="1928" w:firstLineChars="600"/>
        <w:textAlignment w:val="bottom"/>
        <w:rPr>
          <w:rFonts w:ascii="宋体" w:hAnsi="宋体" w:cs="宋体"/>
          <w:b/>
          <w:bCs/>
          <w:color w:val="000000"/>
          <w:sz w:val="30"/>
          <w:szCs w:val="30"/>
        </w:rPr>
      </w:pPr>
      <w:r>
        <w:rPr>
          <w:rFonts w:hint="eastAsia" w:ascii="宋体" w:hAnsi="宋体" w:cs="宋体"/>
          <w:b/>
          <w:bCs/>
          <w:color w:val="000000"/>
          <w:sz w:val="32"/>
          <w:szCs w:val="32"/>
        </w:rPr>
        <w:t xml:space="preserve"> </w:t>
      </w:r>
      <w:r>
        <w:rPr>
          <w:rFonts w:hint="eastAsia" w:ascii="宋体" w:hAnsi="宋体" w:cs="宋体"/>
          <w:b/>
          <w:bCs/>
          <w:color w:val="000000"/>
          <w:sz w:val="30"/>
          <w:szCs w:val="30"/>
        </w:rPr>
        <w:t>日  期：二O二O 年 九 月</w:t>
      </w:r>
      <w:r>
        <w:rPr>
          <w:rFonts w:hint="eastAsia" w:ascii="宋体" w:hAnsi="宋体" w:cs="宋体"/>
          <w:b/>
          <w:bCs/>
          <w:color w:val="000000"/>
          <w:sz w:val="30"/>
          <w:szCs w:val="30"/>
          <w:lang w:val="en-US" w:eastAsia="zh-CN"/>
        </w:rPr>
        <w:t xml:space="preserve"> </w:t>
      </w:r>
    </w:p>
    <w:p>
      <w:pPr>
        <w:pageBreakBefore/>
        <w:shd w:val="clear" w:color="auto" w:fill="FFFFFF"/>
        <w:snapToGrid w:val="0"/>
        <w:spacing w:line="360" w:lineRule="auto"/>
        <w:jc w:val="center"/>
        <w:rPr>
          <w:rFonts w:ascii="宋体" w:hAnsi="宋体" w:cs="宋体"/>
          <w:b/>
          <w:bCs/>
          <w:color w:val="000000"/>
          <w:sz w:val="36"/>
          <w:szCs w:val="36"/>
        </w:rPr>
      </w:pPr>
      <w:r>
        <w:rPr>
          <w:rFonts w:hint="eastAsia" w:ascii="宋体" w:hAnsi="宋体" w:cs="宋体"/>
          <w:b/>
          <w:bCs/>
          <w:color w:val="000000"/>
          <w:sz w:val="36"/>
          <w:szCs w:val="36"/>
        </w:rPr>
        <w:t>目  录</w:t>
      </w:r>
    </w:p>
    <w:p>
      <w:pPr>
        <w:jc w:val="center"/>
      </w:pPr>
    </w:p>
    <w:p>
      <w:pPr>
        <w:pStyle w:val="361"/>
        <w:tabs>
          <w:tab w:val="right" w:leader="dot" w:pos="8958"/>
        </w:tabs>
        <w:spacing w:line="360" w:lineRule="auto"/>
        <w:rPr>
          <w:b/>
          <w:sz w:val="28"/>
          <w:szCs w:val="28"/>
        </w:rPr>
      </w:pPr>
      <w:r>
        <w:rPr>
          <w:rFonts w:hint="eastAsia"/>
          <w:sz w:val="28"/>
          <w:szCs w:val="28"/>
        </w:rPr>
        <w:fldChar w:fldCharType="begin"/>
      </w:r>
      <w:r>
        <w:rPr>
          <w:rFonts w:hint="eastAsia"/>
          <w:sz w:val="28"/>
          <w:szCs w:val="28"/>
        </w:rPr>
        <w:instrText xml:space="preserve">TOC \o "1-2" \h \u </w:instrText>
      </w:r>
      <w:r>
        <w:rPr>
          <w:rFonts w:hint="eastAsia"/>
          <w:sz w:val="28"/>
          <w:szCs w:val="28"/>
        </w:rPr>
        <w:fldChar w:fldCharType="separate"/>
      </w:r>
      <w:r>
        <w:fldChar w:fldCharType="begin"/>
      </w:r>
      <w:r>
        <w:instrText xml:space="preserve"> HYPERLINK \l "_Toc3481" </w:instrText>
      </w:r>
      <w:r>
        <w:fldChar w:fldCharType="separate"/>
      </w:r>
      <w:r>
        <w:rPr>
          <w:rFonts w:hint="eastAsia" w:ascii="宋体" w:hAnsi="宋体" w:cs="宋体"/>
          <w:b/>
          <w:bCs/>
          <w:sz w:val="28"/>
          <w:szCs w:val="28"/>
        </w:rPr>
        <w:t>第一部分 招标公告</w:t>
      </w:r>
      <w:r>
        <w:rPr>
          <w:b/>
          <w:sz w:val="28"/>
          <w:szCs w:val="28"/>
        </w:rPr>
        <w:tab/>
      </w:r>
      <w:r>
        <w:rPr>
          <w:b/>
          <w:sz w:val="28"/>
          <w:szCs w:val="28"/>
        </w:rPr>
        <w:fldChar w:fldCharType="begin"/>
      </w:r>
      <w:r>
        <w:rPr>
          <w:b/>
          <w:sz w:val="28"/>
          <w:szCs w:val="28"/>
        </w:rPr>
        <w:instrText xml:space="preserve"> PAGEREF _Toc3481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361"/>
        <w:tabs>
          <w:tab w:val="right" w:leader="dot" w:pos="8958"/>
        </w:tabs>
        <w:spacing w:line="360" w:lineRule="auto"/>
        <w:rPr>
          <w:b/>
          <w:sz w:val="28"/>
          <w:szCs w:val="28"/>
        </w:rPr>
      </w:pPr>
      <w:r>
        <w:fldChar w:fldCharType="begin"/>
      </w:r>
      <w:r>
        <w:instrText xml:space="preserve"> HYPERLINK \l "_Toc32171" </w:instrText>
      </w:r>
      <w:r>
        <w:fldChar w:fldCharType="separate"/>
      </w:r>
      <w:r>
        <w:rPr>
          <w:rFonts w:hint="eastAsia" w:ascii="宋体" w:hAnsi="宋体" w:cs="宋体"/>
          <w:b/>
          <w:bCs/>
          <w:sz w:val="28"/>
          <w:szCs w:val="28"/>
        </w:rPr>
        <w:t>第二部分 编制和提交投标文件须知</w:t>
      </w:r>
      <w:r>
        <w:rPr>
          <w:b/>
          <w:sz w:val="28"/>
          <w:szCs w:val="28"/>
        </w:rPr>
        <w:tab/>
      </w:r>
      <w:r>
        <w:rPr>
          <w:rFonts w:hint="eastAsia"/>
          <w:b/>
          <w:sz w:val="28"/>
          <w:szCs w:val="28"/>
        </w:rPr>
        <w:t>8</w:t>
      </w:r>
      <w:r>
        <w:rPr>
          <w:rFonts w:hint="eastAsia"/>
          <w:b/>
          <w:sz w:val="28"/>
          <w:szCs w:val="28"/>
        </w:rPr>
        <w:fldChar w:fldCharType="end"/>
      </w:r>
    </w:p>
    <w:p>
      <w:pPr>
        <w:pStyle w:val="213"/>
        <w:tabs>
          <w:tab w:val="right" w:leader="dot" w:pos="8958"/>
        </w:tabs>
        <w:spacing w:line="360" w:lineRule="auto"/>
        <w:ind w:left="420"/>
        <w:rPr>
          <w:sz w:val="28"/>
          <w:szCs w:val="28"/>
        </w:rPr>
      </w:pPr>
      <w:r>
        <w:fldChar w:fldCharType="begin"/>
      </w:r>
      <w:r>
        <w:instrText xml:space="preserve"> HYPERLINK \l "_Toc26693" </w:instrText>
      </w:r>
      <w:r>
        <w:fldChar w:fldCharType="separate"/>
      </w:r>
      <w:r>
        <w:rPr>
          <w:rFonts w:hint="eastAsia" w:ascii="宋体" w:hAnsi="宋体" w:cs="宋体"/>
          <w:bCs/>
          <w:sz w:val="28"/>
          <w:szCs w:val="28"/>
        </w:rPr>
        <w:t>前 附 表</w:t>
      </w:r>
      <w:r>
        <w:rPr>
          <w:sz w:val="28"/>
          <w:szCs w:val="28"/>
        </w:rPr>
        <w:tab/>
      </w:r>
      <w:r>
        <w:rPr>
          <w:rFonts w:hint="eastAsia"/>
          <w:sz w:val="28"/>
          <w:szCs w:val="28"/>
        </w:rPr>
        <w:t>8</w:t>
      </w:r>
      <w:r>
        <w:rPr>
          <w:rFonts w:hint="eastAsia"/>
          <w:sz w:val="28"/>
          <w:szCs w:val="28"/>
        </w:rPr>
        <w:fldChar w:fldCharType="end"/>
      </w:r>
    </w:p>
    <w:p>
      <w:pPr>
        <w:pStyle w:val="213"/>
        <w:tabs>
          <w:tab w:val="right" w:leader="dot" w:pos="8958"/>
        </w:tabs>
        <w:spacing w:line="360" w:lineRule="auto"/>
        <w:ind w:left="420"/>
        <w:rPr>
          <w:sz w:val="28"/>
          <w:szCs w:val="28"/>
        </w:rPr>
      </w:pPr>
      <w:r>
        <w:fldChar w:fldCharType="begin"/>
      </w:r>
      <w:r>
        <w:instrText xml:space="preserve"> HYPERLINK \l "_Toc2995" </w:instrText>
      </w:r>
      <w:r>
        <w:fldChar w:fldCharType="separate"/>
      </w:r>
      <w:r>
        <w:rPr>
          <w:rFonts w:hint="eastAsia" w:ascii="宋体" w:hAnsi="宋体" w:cs="宋体"/>
          <w:bCs/>
          <w:sz w:val="28"/>
          <w:szCs w:val="28"/>
        </w:rPr>
        <w:t>一、总 则</w:t>
      </w:r>
      <w:r>
        <w:rPr>
          <w:sz w:val="28"/>
          <w:szCs w:val="28"/>
        </w:rPr>
        <w:tab/>
      </w:r>
      <w:r>
        <w:rPr>
          <w:sz w:val="28"/>
          <w:szCs w:val="28"/>
        </w:rPr>
        <w:fldChar w:fldCharType="begin"/>
      </w:r>
      <w:r>
        <w:rPr>
          <w:sz w:val="28"/>
          <w:szCs w:val="28"/>
        </w:rPr>
        <w:instrText xml:space="preserve"> PAGEREF _Toc2995 </w:instrText>
      </w:r>
      <w:r>
        <w:rPr>
          <w:sz w:val="28"/>
          <w:szCs w:val="28"/>
        </w:rPr>
        <w:fldChar w:fldCharType="separate"/>
      </w:r>
      <w:r>
        <w:rPr>
          <w:sz w:val="28"/>
          <w:szCs w:val="28"/>
        </w:rPr>
        <w:t>1</w:t>
      </w:r>
      <w:r>
        <w:rPr>
          <w:rFonts w:hint="eastAsia"/>
          <w:sz w:val="28"/>
          <w:szCs w:val="28"/>
        </w:rPr>
        <w:t>2</w:t>
      </w:r>
      <w:r>
        <w:rPr>
          <w:sz w:val="28"/>
          <w:szCs w:val="28"/>
        </w:rPr>
        <w:fldChar w:fldCharType="end"/>
      </w:r>
      <w:r>
        <w:rPr>
          <w:sz w:val="28"/>
          <w:szCs w:val="28"/>
        </w:rPr>
        <w:fldChar w:fldCharType="end"/>
      </w:r>
    </w:p>
    <w:p>
      <w:pPr>
        <w:pStyle w:val="213"/>
        <w:tabs>
          <w:tab w:val="right" w:leader="dot" w:pos="8958"/>
        </w:tabs>
        <w:spacing w:line="360" w:lineRule="auto"/>
        <w:ind w:left="420"/>
        <w:rPr>
          <w:sz w:val="28"/>
          <w:szCs w:val="28"/>
        </w:rPr>
      </w:pPr>
      <w:r>
        <w:fldChar w:fldCharType="begin"/>
      </w:r>
      <w:r>
        <w:instrText xml:space="preserve"> HYPERLINK \l "_Toc31909" </w:instrText>
      </w:r>
      <w:r>
        <w:fldChar w:fldCharType="separate"/>
      </w:r>
      <w:r>
        <w:rPr>
          <w:rFonts w:hint="eastAsia" w:ascii="宋体" w:hAnsi="宋体" w:cs="宋体"/>
          <w:bCs/>
          <w:sz w:val="28"/>
          <w:szCs w:val="28"/>
        </w:rPr>
        <w:t>二、招标文件</w:t>
      </w:r>
      <w:r>
        <w:rPr>
          <w:sz w:val="28"/>
          <w:szCs w:val="28"/>
        </w:rPr>
        <w:tab/>
      </w:r>
      <w:r>
        <w:rPr>
          <w:sz w:val="28"/>
          <w:szCs w:val="28"/>
        </w:rPr>
        <w:fldChar w:fldCharType="begin"/>
      </w:r>
      <w:r>
        <w:rPr>
          <w:sz w:val="28"/>
          <w:szCs w:val="28"/>
        </w:rPr>
        <w:instrText xml:space="preserve"> PAGEREF _Toc31909 </w:instrText>
      </w:r>
      <w:r>
        <w:rPr>
          <w:sz w:val="28"/>
          <w:szCs w:val="28"/>
        </w:rPr>
        <w:fldChar w:fldCharType="separate"/>
      </w:r>
      <w:r>
        <w:rPr>
          <w:sz w:val="28"/>
          <w:szCs w:val="28"/>
        </w:rPr>
        <w:t>1</w:t>
      </w:r>
      <w:r>
        <w:rPr>
          <w:rFonts w:hint="eastAsia"/>
          <w:sz w:val="28"/>
          <w:szCs w:val="28"/>
        </w:rPr>
        <w:t>3</w:t>
      </w:r>
      <w:r>
        <w:rPr>
          <w:sz w:val="28"/>
          <w:szCs w:val="28"/>
        </w:rPr>
        <w:fldChar w:fldCharType="end"/>
      </w:r>
      <w:r>
        <w:rPr>
          <w:sz w:val="28"/>
          <w:szCs w:val="28"/>
        </w:rPr>
        <w:fldChar w:fldCharType="end"/>
      </w:r>
    </w:p>
    <w:p>
      <w:pPr>
        <w:pStyle w:val="213"/>
        <w:tabs>
          <w:tab w:val="right" w:leader="dot" w:pos="8958"/>
        </w:tabs>
        <w:spacing w:line="360" w:lineRule="auto"/>
        <w:ind w:left="420"/>
        <w:rPr>
          <w:sz w:val="28"/>
          <w:szCs w:val="28"/>
        </w:rPr>
      </w:pPr>
      <w:r>
        <w:fldChar w:fldCharType="begin"/>
      </w:r>
      <w:r>
        <w:instrText xml:space="preserve"> HYPERLINK \l "_Toc18768" </w:instrText>
      </w:r>
      <w:r>
        <w:fldChar w:fldCharType="separate"/>
      </w:r>
      <w:r>
        <w:rPr>
          <w:rFonts w:hint="eastAsia" w:ascii="宋体" w:hAnsi="宋体" w:cs="宋体"/>
          <w:bCs/>
          <w:sz w:val="28"/>
          <w:szCs w:val="28"/>
        </w:rPr>
        <w:t>三、投标文件</w:t>
      </w:r>
      <w:r>
        <w:rPr>
          <w:sz w:val="28"/>
          <w:szCs w:val="28"/>
        </w:rPr>
        <w:tab/>
      </w:r>
      <w:r>
        <w:rPr>
          <w:rFonts w:hint="eastAsia"/>
          <w:sz w:val="28"/>
          <w:szCs w:val="28"/>
        </w:rPr>
        <w:t>1</w:t>
      </w:r>
      <w:r>
        <w:rPr>
          <w:rFonts w:hint="eastAsia"/>
          <w:sz w:val="28"/>
          <w:szCs w:val="28"/>
        </w:rPr>
        <w:fldChar w:fldCharType="end"/>
      </w:r>
      <w:r>
        <w:rPr>
          <w:rFonts w:hint="eastAsia"/>
          <w:sz w:val="28"/>
          <w:szCs w:val="28"/>
        </w:rPr>
        <w:t>4</w:t>
      </w:r>
    </w:p>
    <w:p>
      <w:pPr>
        <w:pStyle w:val="213"/>
        <w:tabs>
          <w:tab w:val="right" w:leader="dot" w:pos="8958"/>
        </w:tabs>
        <w:spacing w:line="360" w:lineRule="auto"/>
        <w:ind w:left="420"/>
        <w:rPr>
          <w:sz w:val="28"/>
          <w:szCs w:val="28"/>
        </w:rPr>
      </w:pPr>
      <w:r>
        <w:fldChar w:fldCharType="begin"/>
      </w:r>
      <w:r>
        <w:instrText xml:space="preserve"> HYPERLINK \l "_Toc12606" </w:instrText>
      </w:r>
      <w:r>
        <w:fldChar w:fldCharType="separate"/>
      </w:r>
      <w:r>
        <w:rPr>
          <w:rFonts w:hint="eastAsia" w:ascii="宋体" w:hAnsi="宋体" w:cs="宋体"/>
          <w:sz w:val="28"/>
          <w:szCs w:val="28"/>
        </w:rPr>
        <w:t>四、投标</w:t>
      </w:r>
      <w:r>
        <w:rPr>
          <w:sz w:val="28"/>
          <w:szCs w:val="28"/>
        </w:rPr>
        <w:tab/>
      </w:r>
      <w:r>
        <w:rPr>
          <w:sz w:val="28"/>
          <w:szCs w:val="28"/>
        </w:rPr>
        <w:fldChar w:fldCharType="begin"/>
      </w:r>
      <w:r>
        <w:rPr>
          <w:sz w:val="28"/>
          <w:szCs w:val="28"/>
        </w:rPr>
        <w:instrText xml:space="preserve"> PAGEREF _Toc12606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13"/>
        <w:tabs>
          <w:tab w:val="right" w:leader="dot" w:pos="8958"/>
        </w:tabs>
        <w:spacing w:line="360" w:lineRule="auto"/>
        <w:ind w:left="420"/>
        <w:rPr>
          <w:sz w:val="28"/>
          <w:szCs w:val="28"/>
        </w:rPr>
      </w:pPr>
      <w:r>
        <w:fldChar w:fldCharType="begin"/>
      </w:r>
      <w:r>
        <w:instrText xml:space="preserve"> HYPERLINK \l "_Toc19031" </w:instrText>
      </w:r>
      <w:r>
        <w:fldChar w:fldCharType="separate"/>
      </w:r>
      <w:r>
        <w:rPr>
          <w:rFonts w:hint="eastAsia" w:ascii="宋体" w:hAnsi="宋体" w:cs="宋体"/>
          <w:sz w:val="28"/>
          <w:szCs w:val="28"/>
        </w:rPr>
        <w:t>五、开 标</w:t>
      </w:r>
      <w:r>
        <w:rPr>
          <w:sz w:val="28"/>
          <w:szCs w:val="28"/>
        </w:rPr>
        <w:tab/>
      </w:r>
      <w:r>
        <w:rPr>
          <w:sz w:val="28"/>
          <w:szCs w:val="28"/>
        </w:rPr>
        <w:fldChar w:fldCharType="begin"/>
      </w:r>
      <w:r>
        <w:rPr>
          <w:sz w:val="28"/>
          <w:szCs w:val="28"/>
        </w:rPr>
        <w:instrText xml:space="preserve"> PAGEREF _Toc19031 </w:instrText>
      </w:r>
      <w:r>
        <w:rPr>
          <w:sz w:val="28"/>
          <w:szCs w:val="28"/>
        </w:rPr>
        <w:fldChar w:fldCharType="separate"/>
      </w:r>
      <w:r>
        <w:rPr>
          <w:sz w:val="28"/>
          <w:szCs w:val="28"/>
        </w:rPr>
        <w:t>1</w:t>
      </w:r>
      <w:r>
        <w:rPr>
          <w:rFonts w:hint="eastAsia"/>
          <w:sz w:val="28"/>
          <w:szCs w:val="28"/>
        </w:rPr>
        <w:t>8</w:t>
      </w:r>
      <w:r>
        <w:rPr>
          <w:sz w:val="28"/>
          <w:szCs w:val="28"/>
        </w:rPr>
        <w:fldChar w:fldCharType="end"/>
      </w:r>
      <w:r>
        <w:rPr>
          <w:sz w:val="28"/>
          <w:szCs w:val="28"/>
        </w:rPr>
        <w:fldChar w:fldCharType="end"/>
      </w:r>
    </w:p>
    <w:p>
      <w:pPr>
        <w:pStyle w:val="213"/>
        <w:tabs>
          <w:tab w:val="right" w:leader="dot" w:pos="8958"/>
        </w:tabs>
        <w:spacing w:line="360" w:lineRule="auto"/>
        <w:ind w:left="420"/>
        <w:rPr>
          <w:sz w:val="28"/>
          <w:szCs w:val="28"/>
        </w:rPr>
      </w:pPr>
      <w:r>
        <w:fldChar w:fldCharType="begin"/>
      </w:r>
      <w:r>
        <w:instrText xml:space="preserve"> HYPERLINK \l "_Toc24254" </w:instrText>
      </w:r>
      <w:r>
        <w:fldChar w:fldCharType="separate"/>
      </w:r>
      <w:r>
        <w:rPr>
          <w:rFonts w:hint="eastAsia" w:ascii="宋体" w:hAnsi="宋体" w:cs="宋体"/>
          <w:sz w:val="28"/>
          <w:szCs w:val="28"/>
        </w:rPr>
        <w:t>六、评 标</w:t>
      </w:r>
      <w:r>
        <w:rPr>
          <w:sz w:val="28"/>
          <w:szCs w:val="28"/>
        </w:rPr>
        <w:tab/>
      </w:r>
      <w:r>
        <w:rPr>
          <w:sz w:val="28"/>
          <w:szCs w:val="28"/>
        </w:rPr>
        <w:fldChar w:fldCharType="begin"/>
      </w:r>
      <w:r>
        <w:rPr>
          <w:sz w:val="28"/>
          <w:szCs w:val="28"/>
        </w:rPr>
        <w:instrText xml:space="preserve"> PAGEREF _Toc24254 </w:instrText>
      </w:r>
      <w:r>
        <w:rPr>
          <w:sz w:val="28"/>
          <w:szCs w:val="28"/>
        </w:rPr>
        <w:fldChar w:fldCharType="separate"/>
      </w:r>
      <w:r>
        <w:rPr>
          <w:sz w:val="28"/>
          <w:szCs w:val="28"/>
        </w:rPr>
        <w:t>1</w:t>
      </w:r>
      <w:r>
        <w:rPr>
          <w:rFonts w:hint="eastAsia"/>
          <w:sz w:val="28"/>
          <w:szCs w:val="28"/>
        </w:rPr>
        <w:t>9</w:t>
      </w:r>
      <w:r>
        <w:rPr>
          <w:sz w:val="28"/>
          <w:szCs w:val="28"/>
        </w:rPr>
        <w:fldChar w:fldCharType="end"/>
      </w:r>
      <w:r>
        <w:rPr>
          <w:sz w:val="28"/>
          <w:szCs w:val="28"/>
        </w:rPr>
        <w:fldChar w:fldCharType="end"/>
      </w:r>
    </w:p>
    <w:p>
      <w:pPr>
        <w:pStyle w:val="213"/>
        <w:tabs>
          <w:tab w:val="right" w:leader="dot" w:pos="8958"/>
        </w:tabs>
        <w:spacing w:line="360" w:lineRule="auto"/>
        <w:ind w:left="420"/>
        <w:rPr>
          <w:sz w:val="28"/>
          <w:szCs w:val="28"/>
        </w:rPr>
      </w:pPr>
      <w:r>
        <w:fldChar w:fldCharType="begin"/>
      </w:r>
      <w:r>
        <w:instrText xml:space="preserve"> HYPERLINK \l "_Toc31748" </w:instrText>
      </w:r>
      <w:r>
        <w:fldChar w:fldCharType="separate"/>
      </w:r>
      <w:r>
        <w:rPr>
          <w:rFonts w:hint="eastAsia" w:ascii="宋体" w:hAnsi="宋体" w:cs="宋体"/>
          <w:bCs/>
          <w:sz w:val="28"/>
          <w:szCs w:val="28"/>
        </w:rPr>
        <w:t>七、合同签订及其他</w:t>
      </w:r>
      <w:r>
        <w:rPr>
          <w:sz w:val="28"/>
          <w:szCs w:val="28"/>
        </w:rPr>
        <w:tab/>
      </w:r>
      <w:r>
        <w:rPr>
          <w:sz w:val="28"/>
          <w:szCs w:val="28"/>
        </w:rPr>
        <w:fldChar w:fldCharType="begin"/>
      </w:r>
      <w:r>
        <w:rPr>
          <w:sz w:val="28"/>
          <w:szCs w:val="28"/>
        </w:rPr>
        <w:instrText xml:space="preserve"> PAGEREF _Toc31748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361"/>
        <w:tabs>
          <w:tab w:val="right" w:leader="dot" w:pos="8958"/>
        </w:tabs>
        <w:spacing w:line="360" w:lineRule="auto"/>
        <w:rPr>
          <w:b/>
          <w:bCs/>
          <w:sz w:val="28"/>
          <w:szCs w:val="28"/>
        </w:rPr>
      </w:pPr>
      <w:r>
        <w:fldChar w:fldCharType="begin"/>
      </w:r>
      <w:r>
        <w:instrText xml:space="preserve"> HYPERLINK \l "_Toc26111" </w:instrText>
      </w:r>
      <w:r>
        <w:fldChar w:fldCharType="separate"/>
      </w:r>
      <w:r>
        <w:rPr>
          <w:rFonts w:hint="eastAsia" w:ascii="宋体" w:hAnsi="宋体"/>
          <w:b/>
          <w:bCs/>
          <w:sz w:val="28"/>
          <w:szCs w:val="28"/>
        </w:rPr>
        <w:t xml:space="preserve">第三部分 </w:t>
      </w:r>
      <w:r>
        <w:rPr>
          <w:rFonts w:hint="eastAsia" w:ascii="宋体" w:hAnsi="宋体" w:cs="宋体"/>
          <w:b/>
          <w:bCs/>
          <w:sz w:val="28"/>
          <w:szCs w:val="28"/>
        </w:rPr>
        <w:t>项目技术规范和服务要求</w:t>
      </w:r>
      <w:r>
        <w:rPr>
          <w:b/>
          <w:bCs/>
          <w:sz w:val="28"/>
          <w:szCs w:val="28"/>
        </w:rPr>
        <w:tab/>
      </w:r>
      <w:r>
        <w:rPr>
          <w:rFonts w:hint="eastAsia"/>
          <w:b/>
          <w:bCs/>
          <w:sz w:val="28"/>
          <w:szCs w:val="28"/>
        </w:rPr>
        <w:t>3</w:t>
      </w:r>
      <w:r>
        <w:rPr>
          <w:rFonts w:hint="eastAsia"/>
          <w:b/>
          <w:bCs/>
          <w:sz w:val="28"/>
          <w:szCs w:val="28"/>
        </w:rPr>
        <w:fldChar w:fldCharType="end"/>
      </w:r>
      <w:r>
        <w:rPr>
          <w:rFonts w:hint="eastAsia"/>
          <w:b/>
          <w:bCs/>
          <w:sz w:val="28"/>
          <w:szCs w:val="28"/>
        </w:rPr>
        <w:t>0</w:t>
      </w:r>
    </w:p>
    <w:p>
      <w:pPr>
        <w:pStyle w:val="361"/>
        <w:tabs>
          <w:tab w:val="right" w:leader="dot" w:pos="8958"/>
        </w:tabs>
        <w:spacing w:line="360" w:lineRule="auto"/>
        <w:rPr>
          <w:b/>
          <w:bCs/>
          <w:sz w:val="28"/>
          <w:szCs w:val="28"/>
        </w:rPr>
      </w:pPr>
      <w:r>
        <w:fldChar w:fldCharType="begin"/>
      </w:r>
      <w:r>
        <w:instrText xml:space="preserve"> HYPERLINK \l "_Toc8772" </w:instrText>
      </w:r>
      <w:r>
        <w:fldChar w:fldCharType="separate"/>
      </w:r>
      <w:r>
        <w:rPr>
          <w:rFonts w:hint="eastAsia" w:ascii="宋体" w:hAnsi="宋体" w:cs="宋体"/>
          <w:b/>
          <w:bCs/>
          <w:sz w:val="28"/>
          <w:szCs w:val="28"/>
        </w:rPr>
        <w:t>第四部分 合同主要条款</w:t>
      </w:r>
      <w:r>
        <w:rPr>
          <w:b/>
          <w:bCs/>
          <w:sz w:val="28"/>
          <w:szCs w:val="28"/>
        </w:rPr>
        <w:tab/>
      </w:r>
      <w:r>
        <w:rPr>
          <w:rFonts w:hint="eastAsia"/>
          <w:b/>
          <w:bCs/>
          <w:sz w:val="28"/>
          <w:szCs w:val="28"/>
        </w:rPr>
        <w:t>4</w:t>
      </w:r>
      <w:r>
        <w:rPr>
          <w:rFonts w:hint="eastAsia"/>
          <w:b/>
          <w:bCs/>
          <w:sz w:val="28"/>
          <w:szCs w:val="28"/>
        </w:rPr>
        <w:fldChar w:fldCharType="end"/>
      </w:r>
      <w:r>
        <w:rPr>
          <w:rFonts w:hint="eastAsia"/>
          <w:b/>
          <w:bCs/>
          <w:sz w:val="28"/>
          <w:szCs w:val="28"/>
        </w:rPr>
        <w:t>1</w:t>
      </w:r>
    </w:p>
    <w:p>
      <w:pPr>
        <w:pStyle w:val="361"/>
        <w:tabs>
          <w:tab w:val="right" w:leader="dot" w:pos="8958"/>
        </w:tabs>
        <w:spacing w:line="360" w:lineRule="auto"/>
        <w:rPr>
          <w:b/>
          <w:bCs/>
          <w:sz w:val="28"/>
          <w:szCs w:val="28"/>
        </w:rPr>
      </w:pPr>
      <w:r>
        <w:fldChar w:fldCharType="begin"/>
      </w:r>
      <w:r>
        <w:instrText xml:space="preserve"> HYPERLINK \l "_Toc14272" </w:instrText>
      </w:r>
      <w:r>
        <w:fldChar w:fldCharType="separate"/>
      </w:r>
      <w:r>
        <w:rPr>
          <w:rFonts w:hint="eastAsia" w:ascii="宋体" w:hAnsi="宋体" w:cs="宋体"/>
          <w:b/>
          <w:bCs/>
          <w:sz w:val="28"/>
          <w:szCs w:val="28"/>
        </w:rPr>
        <w:t>第五部分 应提交的有关格式范例</w:t>
      </w:r>
      <w:r>
        <w:rPr>
          <w:b/>
          <w:bCs/>
          <w:sz w:val="28"/>
          <w:szCs w:val="28"/>
        </w:rPr>
        <w:tab/>
      </w:r>
      <w:r>
        <w:rPr>
          <w:rFonts w:hint="eastAsia"/>
          <w:b/>
          <w:bCs/>
          <w:sz w:val="28"/>
          <w:szCs w:val="28"/>
        </w:rPr>
        <w:t>4</w:t>
      </w:r>
      <w:r>
        <w:rPr>
          <w:rFonts w:hint="eastAsia"/>
          <w:b/>
          <w:bCs/>
          <w:sz w:val="28"/>
          <w:szCs w:val="28"/>
        </w:rPr>
        <w:fldChar w:fldCharType="end"/>
      </w:r>
      <w:r>
        <w:rPr>
          <w:rFonts w:hint="eastAsia"/>
          <w:b/>
          <w:bCs/>
          <w:sz w:val="28"/>
          <w:szCs w:val="28"/>
        </w:rPr>
        <w:t>6</w:t>
      </w:r>
    </w:p>
    <w:p>
      <w:pPr>
        <w:pStyle w:val="361"/>
        <w:tabs>
          <w:tab w:val="right" w:leader="dot" w:pos="8958"/>
        </w:tabs>
        <w:spacing w:line="360" w:lineRule="auto"/>
        <w:rPr>
          <w:b/>
          <w:bCs/>
          <w:sz w:val="28"/>
          <w:szCs w:val="28"/>
        </w:rPr>
      </w:pPr>
      <w:r>
        <w:fldChar w:fldCharType="begin"/>
      </w:r>
      <w:r>
        <w:instrText xml:space="preserve"> HYPERLINK \l "_Toc11308" </w:instrText>
      </w:r>
      <w:r>
        <w:fldChar w:fldCharType="separate"/>
      </w:r>
      <w:r>
        <w:rPr>
          <w:rFonts w:hint="eastAsia" w:ascii="宋体" w:hAnsi="宋体"/>
          <w:b/>
          <w:bCs/>
          <w:sz w:val="28"/>
          <w:szCs w:val="28"/>
        </w:rPr>
        <w:t>资 格 文 件</w:t>
      </w:r>
      <w:r>
        <w:rPr>
          <w:b/>
          <w:bCs/>
          <w:sz w:val="28"/>
          <w:szCs w:val="28"/>
        </w:rPr>
        <w:tab/>
      </w:r>
      <w:r>
        <w:rPr>
          <w:rFonts w:hint="eastAsia"/>
          <w:b/>
          <w:bCs/>
          <w:sz w:val="28"/>
          <w:szCs w:val="28"/>
        </w:rPr>
        <w:t>4</w:t>
      </w:r>
      <w:r>
        <w:rPr>
          <w:rFonts w:hint="eastAsia"/>
          <w:b/>
          <w:bCs/>
          <w:sz w:val="28"/>
          <w:szCs w:val="28"/>
        </w:rPr>
        <w:fldChar w:fldCharType="end"/>
      </w:r>
      <w:r>
        <w:rPr>
          <w:rFonts w:hint="eastAsia"/>
          <w:b/>
          <w:bCs/>
          <w:sz w:val="28"/>
          <w:szCs w:val="28"/>
        </w:rPr>
        <w:t>7</w:t>
      </w:r>
    </w:p>
    <w:p>
      <w:pPr>
        <w:pStyle w:val="361"/>
        <w:tabs>
          <w:tab w:val="right" w:leader="dot" w:pos="8958"/>
        </w:tabs>
        <w:spacing w:line="360" w:lineRule="auto"/>
        <w:rPr>
          <w:b/>
          <w:bCs/>
          <w:sz w:val="28"/>
          <w:szCs w:val="28"/>
        </w:rPr>
      </w:pPr>
      <w:r>
        <w:fldChar w:fldCharType="begin"/>
      </w:r>
      <w:r>
        <w:instrText xml:space="preserve"> HYPERLINK \l "_Toc30064" </w:instrText>
      </w:r>
      <w:r>
        <w:fldChar w:fldCharType="separate"/>
      </w:r>
      <w:r>
        <w:rPr>
          <w:rFonts w:hint="eastAsia"/>
          <w:b/>
          <w:bCs/>
          <w:sz w:val="28"/>
          <w:szCs w:val="28"/>
        </w:rPr>
        <w:t>报 价 文 件</w:t>
      </w:r>
      <w:r>
        <w:rPr>
          <w:rFonts w:hint="eastAsia"/>
          <w:b/>
          <w:bCs/>
          <w:sz w:val="28"/>
          <w:szCs w:val="28"/>
        </w:rPr>
        <w:tab/>
      </w:r>
      <w:r>
        <w:rPr>
          <w:rFonts w:hint="eastAsia"/>
          <w:b/>
          <w:bCs/>
          <w:sz w:val="28"/>
          <w:szCs w:val="28"/>
        </w:rPr>
        <w:t>5</w:t>
      </w:r>
      <w:r>
        <w:rPr>
          <w:rFonts w:hint="eastAsia"/>
          <w:b/>
          <w:bCs/>
          <w:sz w:val="28"/>
          <w:szCs w:val="28"/>
        </w:rPr>
        <w:fldChar w:fldCharType="end"/>
      </w:r>
      <w:r>
        <w:rPr>
          <w:rFonts w:hint="eastAsia"/>
          <w:b/>
          <w:bCs/>
          <w:sz w:val="28"/>
          <w:szCs w:val="28"/>
        </w:rPr>
        <w:t>3</w:t>
      </w:r>
    </w:p>
    <w:p>
      <w:pPr>
        <w:pStyle w:val="361"/>
        <w:tabs>
          <w:tab w:val="right" w:leader="dot" w:pos="8958"/>
        </w:tabs>
        <w:spacing w:line="360" w:lineRule="auto"/>
        <w:rPr>
          <w:b/>
          <w:bCs/>
          <w:sz w:val="28"/>
          <w:szCs w:val="28"/>
        </w:rPr>
      </w:pPr>
      <w:r>
        <w:fldChar w:fldCharType="begin"/>
      </w:r>
      <w:r>
        <w:instrText xml:space="preserve"> HYPERLINK \l "_Toc13104" </w:instrText>
      </w:r>
      <w:r>
        <w:fldChar w:fldCharType="separate"/>
      </w:r>
      <w:r>
        <w:rPr>
          <w:rFonts w:hint="eastAsia" w:ascii="宋体" w:hAnsi="宋体"/>
          <w:b/>
          <w:bCs/>
          <w:sz w:val="28"/>
          <w:szCs w:val="28"/>
        </w:rPr>
        <w:t>商务技术文件</w:t>
      </w:r>
      <w:r>
        <w:rPr>
          <w:b/>
          <w:bCs/>
          <w:sz w:val="28"/>
          <w:szCs w:val="28"/>
        </w:rPr>
        <w:tab/>
      </w:r>
      <w:r>
        <w:rPr>
          <w:rFonts w:hint="eastAsia"/>
          <w:b/>
          <w:bCs/>
          <w:sz w:val="28"/>
          <w:szCs w:val="28"/>
        </w:rPr>
        <w:t>6</w:t>
      </w:r>
      <w:r>
        <w:rPr>
          <w:rFonts w:hint="eastAsia"/>
          <w:b/>
          <w:bCs/>
          <w:sz w:val="28"/>
          <w:szCs w:val="28"/>
        </w:rPr>
        <w:fldChar w:fldCharType="end"/>
      </w:r>
      <w:r>
        <w:rPr>
          <w:rFonts w:hint="eastAsia"/>
          <w:b/>
          <w:bCs/>
          <w:sz w:val="28"/>
          <w:szCs w:val="28"/>
        </w:rPr>
        <w:t>4</w:t>
      </w:r>
    </w:p>
    <w:p>
      <w:pPr>
        <w:pStyle w:val="213"/>
        <w:tabs>
          <w:tab w:val="right" w:leader="dot" w:pos="8958"/>
        </w:tabs>
        <w:spacing w:line="360" w:lineRule="auto"/>
        <w:ind w:left="420"/>
        <w:rPr>
          <w:sz w:val="28"/>
          <w:szCs w:val="28"/>
        </w:rPr>
      </w:pPr>
    </w:p>
    <w:p>
      <w:pPr>
        <w:pStyle w:val="3"/>
        <w:spacing w:line="360" w:lineRule="auto"/>
        <w:rPr>
          <w:b/>
        </w:rPr>
      </w:pPr>
      <w:r>
        <w:rPr>
          <w:rFonts w:hint="eastAsia"/>
          <w:b/>
        </w:rPr>
        <w:fldChar w:fldCharType="end"/>
      </w:r>
    </w:p>
    <w:p>
      <w:pPr>
        <w:spacing w:line="360" w:lineRule="auto"/>
      </w:pPr>
    </w:p>
    <w:p/>
    <w:p/>
    <w:p>
      <w:pPr>
        <w:pageBreakBefore/>
        <w:numPr>
          <w:ilvl w:val="0"/>
          <w:numId w:val="8"/>
        </w:numPr>
        <w:shd w:val="clear" w:color="auto" w:fill="FFFFFF"/>
        <w:snapToGrid w:val="0"/>
        <w:spacing w:line="360" w:lineRule="auto"/>
        <w:jc w:val="center"/>
        <w:outlineLvl w:val="0"/>
        <w:rPr>
          <w:rFonts w:ascii="宋体" w:hAnsi="宋体" w:cs="宋体"/>
          <w:b/>
          <w:bCs/>
          <w:color w:val="000000"/>
          <w:sz w:val="32"/>
          <w:szCs w:val="32"/>
        </w:rPr>
      </w:pPr>
      <w:bookmarkStart w:id="0" w:name="_Toc31771"/>
      <w:bookmarkStart w:id="1" w:name="_Toc10959"/>
      <w:bookmarkStart w:id="2" w:name="_Toc354996693"/>
      <w:bookmarkStart w:id="3" w:name="_Toc3481"/>
      <w:r>
        <w:rPr>
          <w:rFonts w:hint="eastAsia" w:ascii="宋体" w:hAnsi="宋体" w:cs="宋体"/>
          <w:b/>
          <w:bCs/>
          <w:color w:val="000000"/>
          <w:sz w:val="32"/>
          <w:szCs w:val="32"/>
        </w:rPr>
        <w:t>招标公告</w:t>
      </w:r>
      <w:bookmarkEnd w:id="0"/>
      <w:bookmarkEnd w:id="1"/>
      <w:bookmarkEnd w:id="2"/>
      <w:bookmarkEnd w:id="3"/>
    </w:p>
    <w:p>
      <w:pPr>
        <w:shd w:val="clear" w:color="auto" w:fill="FFFFFF"/>
        <w:snapToGrid w:val="0"/>
        <w:spacing w:line="336" w:lineRule="auto"/>
        <w:textAlignment w:val="bottom"/>
        <w:rPr>
          <w:rFonts w:ascii="宋体" w:hAnsi="宋体" w:cs="宋体"/>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本项目根据（浙财采监〔2020〕4号）文件有关规定，采用电子招投标。现</w:t>
      </w:r>
      <w:r>
        <w:rPr>
          <w:rFonts w:hint="eastAsia" w:ascii="宋体" w:hAnsi="宋体" w:cs="宋体"/>
          <w:kern w:val="0"/>
          <w:sz w:val="24"/>
        </w:rPr>
        <w:t>根据《中华人民共和国政府采购法》、《政府采</w:t>
      </w:r>
      <w:r>
        <w:rPr>
          <w:rFonts w:hint="eastAsia" w:ascii="宋体" w:hAnsi="宋体" w:cs="宋体"/>
          <w:sz w:val="24"/>
        </w:rPr>
        <w:t>购货物和服务招标投标管理办法》等规定，经杭州市余杭区财政局确认书临[2020]</w:t>
      </w:r>
      <w:r>
        <w:rPr>
          <w:rFonts w:hint="eastAsia" w:ascii="宋体" w:hAnsi="宋体" w:cs="宋体"/>
          <w:sz w:val="24"/>
          <w:lang w:val="en-US" w:eastAsia="zh-CN"/>
        </w:rPr>
        <w:t>6471</w:t>
      </w:r>
      <w:r>
        <w:rPr>
          <w:rFonts w:hint="eastAsia" w:ascii="宋体" w:hAnsi="宋体" w:cs="宋体"/>
          <w:sz w:val="24"/>
        </w:rPr>
        <w:t>号批准，现就</w:t>
      </w:r>
      <w:r>
        <w:rPr>
          <w:rFonts w:hint="eastAsia" w:ascii="宋体" w:hAnsi="宋体" w:cs="宋体"/>
          <w:sz w:val="24"/>
          <w:lang w:eastAsia="zh-CN"/>
        </w:rPr>
        <w:t>杭州市余杭区人民政府中泰街道办事处</w:t>
      </w:r>
      <w:r>
        <w:rPr>
          <w:rFonts w:hint="eastAsia" w:ascii="宋体" w:hAnsi="宋体" w:cs="宋体"/>
          <w:sz w:val="24"/>
        </w:rPr>
        <w:t>的</w:t>
      </w:r>
      <w:r>
        <w:rPr>
          <w:rFonts w:hint="eastAsia" w:ascii="宋体" w:hAnsi="宋体" w:cs="宋体"/>
          <w:sz w:val="24"/>
          <w:lang w:eastAsia="zh-CN"/>
        </w:rPr>
        <w:t>中泰街道交治工作站建设设备项目采购</w:t>
      </w:r>
      <w:r>
        <w:rPr>
          <w:rFonts w:hint="eastAsia" w:ascii="宋体" w:hAnsi="宋体" w:cs="宋体"/>
          <w:sz w:val="24"/>
        </w:rPr>
        <w:t>进行</w:t>
      </w:r>
      <w:r>
        <w:rPr>
          <w:rFonts w:hint="eastAsia" w:ascii="宋体" w:hAnsi="宋体" w:cs="宋体"/>
          <w:color w:val="000000"/>
          <w:kern w:val="0"/>
          <w:sz w:val="24"/>
        </w:rPr>
        <w:t>（线上电子招投标）</w:t>
      </w:r>
      <w:r>
        <w:rPr>
          <w:rFonts w:hint="eastAsia" w:ascii="宋体" w:hAnsi="宋体" w:cs="宋体"/>
          <w:sz w:val="24"/>
        </w:rPr>
        <w:t>公开招标</w:t>
      </w:r>
      <w:r>
        <w:rPr>
          <w:rFonts w:hint="eastAsia" w:ascii="宋体" w:hAnsi="宋体" w:cs="宋体"/>
          <w:color w:val="000000"/>
          <w:kern w:val="0"/>
          <w:sz w:val="24"/>
        </w:rPr>
        <w:t>，欢迎国内合格的供应商前来参加。</w:t>
      </w:r>
    </w:p>
    <w:p>
      <w:pPr>
        <w:numPr>
          <w:ilvl w:val="0"/>
          <w:numId w:val="9"/>
        </w:numPr>
        <w:shd w:val="clear" w:color="auto" w:fill="FFFFFF"/>
        <w:snapToGrid w:val="0"/>
        <w:spacing w:line="336" w:lineRule="auto"/>
        <w:ind w:firstLine="482" w:firstLineChars="200"/>
        <w:rPr>
          <w:rFonts w:ascii="宋体" w:hAnsi="宋体" w:cs="宋体"/>
          <w:bCs/>
          <w:color w:val="000000"/>
          <w:sz w:val="24"/>
        </w:rPr>
      </w:pPr>
      <w:r>
        <w:rPr>
          <w:rFonts w:hint="eastAsia" w:ascii="宋体" w:hAnsi="宋体" w:cs="宋体"/>
          <w:b/>
          <w:kern w:val="0"/>
          <w:sz w:val="24"/>
        </w:rPr>
        <w:t>项目名称：</w:t>
      </w:r>
      <w:r>
        <w:rPr>
          <w:rFonts w:hint="eastAsia" w:ascii="宋体" w:hAnsi="宋体" w:cs="宋体"/>
          <w:bCs/>
          <w:kern w:val="0"/>
          <w:sz w:val="24"/>
          <w:lang w:eastAsia="zh-CN"/>
        </w:rPr>
        <w:t>中泰街道交治工作站建设设备项目采购</w:t>
      </w:r>
      <w:r>
        <w:rPr>
          <w:rFonts w:hint="eastAsia" w:ascii="宋体" w:hAnsi="宋体" w:cs="宋体"/>
          <w:bCs/>
          <w:kern w:val="0"/>
          <w:sz w:val="24"/>
        </w:rPr>
        <w:t xml:space="preserve">  </w:t>
      </w:r>
    </w:p>
    <w:p>
      <w:pPr>
        <w:numPr>
          <w:ilvl w:val="0"/>
          <w:numId w:val="9"/>
        </w:numPr>
        <w:shd w:val="clear" w:color="auto" w:fill="FFFFFF"/>
        <w:snapToGrid w:val="0"/>
        <w:spacing w:line="336" w:lineRule="auto"/>
        <w:ind w:firstLine="482" w:firstLineChars="200"/>
        <w:rPr>
          <w:rFonts w:ascii="宋体" w:hAnsi="宋体" w:cs="宋体"/>
          <w:bCs/>
          <w:color w:val="000000"/>
          <w:sz w:val="24"/>
        </w:rPr>
      </w:pPr>
      <w:r>
        <w:rPr>
          <w:rFonts w:hint="eastAsia" w:ascii="宋体" w:hAnsi="宋体" w:cs="宋体"/>
          <w:b/>
          <w:color w:val="000000"/>
          <w:sz w:val="24"/>
        </w:rPr>
        <w:t>招标编号：</w:t>
      </w:r>
      <w:r>
        <w:rPr>
          <w:rFonts w:hint="eastAsia" w:ascii="宋体" w:hAnsi="宋体" w:cs="宋体"/>
          <w:b/>
          <w:color w:val="000000"/>
          <w:sz w:val="24"/>
          <w:lang w:val="en-US" w:eastAsia="zh-CN"/>
        </w:rPr>
        <w:t>ZJWH-2020-015</w:t>
      </w:r>
    </w:p>
    <w:p>
      <w:pPr>
        <w:widowControl/>
        <w:numPr>
          <w:ilvl w:val="0"/>
          <w:numId w:val="9"/>
        </w:numPr>
        <w:snapToGrid w:val="0"/>
        <w:spacing w:line="336" w:lineRule="auto"/>
        <w:ind w:firstLine="482" w:firstLineChars="200"/>
        <w:jc w:val="left"/>
        <w:rPr>
          <w:rFonts w:ascii="宋体" w:hAnsi="宋体" w:cs="宋体"/>
          <w:color w:val="000000"/>
          <w:kern w:val="0"/>
          <w:sz w:val="24"/>
        </w:rPr>
      </w:pPr>
      <w:r>
        <w:rPr>
          <w:rFonts w:hint="eastAsia" w:ascii="宋体" w:hAnsi="宋体" w:cs="宋体"/>
          <w:b/>
          <w:color w:val="000000"/>
          <w:sz w:val="24"/>
        </w:rPr>
        <w:t>采购组织类型：</w:t>
      </w:r>
      <w:r>
        <w:rPr>
          <w:rFonts w:hint="eastAsia" w:ascii="宋体" w:hAnsi="宋体" w:cs="宋体"/>
          <w:color w:val="000000"/>
          <w:kern w:val="0"/>
          <w:sz w:val="24"/>
        </w:rPr>
        <w:t xml:space="preserve">分散采购委托代理 </w:t>
      </w:r>
    </w:p>
    <w:p>
      <w:pPr>
        <w:widowControl/>
        <w:numPr>
          <w:ilvl w:val="0"/>
          <w:numId w:val="9"/>
        </w:numPr>
        <w:snapToGrid w:val="0"/>
        <w:spacing w:line="336" w:lineRule="auto"/>
        <w:ind w:firstLine="482" w:firstLineChars="200"/>
        <w:jc w:val="left"/>
        <w:rPr>
          <w:rFonts w:ascii="宋体" w:hAnsi="宋体" w:cs="宋体"/>
          <w:color w:val="000000"/>
          <w:sz w:val="24"/>
        </w:rPr>
      </w:pPr>
      <w:r>
        <w:rPr>
          <w:rFonts w:hint="eastAsia" w:ascii="宋体" w:hAnsi="宋体" w:cs="宋体"/>
          <w:b/>
          <w:bCs/>
          <w:color w:val="000000"/>
          <w:kern w:val="0"/>
          <w:sz w:val="24"/>
        </w:rPr>
        <w:t>采购方式：</w:t>
      </w:r>
      <w:r>
        <w:rPr>
          <w:rFonts w:hint="eastAsia" w:ascii="宋体" w:hAnsi="宋体" w:cs="宋体"/>
          <w:color w:val="000000"/>
          <w:kern w:val="0"/>
          <w:sz w:val="24"/>
        </w:rPr>
        <w:t>公开招标</w:t>
      </w:r>
    </w:p>
    <w:p>
      <w:pPr>
        <w:numPr>
          <w:ilvl w:val="0"/>
          <w:numId w:val="9"/>
        </w:numPr>
        <w:adjustRightInd w:val="0"/>
        <w:snapToGrid w:val="0"/>
        <w:spacing w:line="336" w:lineRule="auto"/>
        <w:ind w:firstLine="482" w:firstLineChars="200"/>
        <w:rPr>
          <w:bCs/>
          <w:sz w:val="24"/>
        </w:rPr>
      </w:pPr>
      <w:r>
        <w:rPr>
          <w:rFonts w:hint="eastAsia" w:ascii="宋体" w:hAnsi="宋体" w:cs="宋体"/>
          <w:b/>
          <w:color w:val="000000"/>
          <w:sz w:val="24"/>
        </w:rPr>
        <w:t>招标项目概况（内容、用途、数量、简要技术要求等）：</w:t>
      </w:r>
    </w:p>
    <w:tbl>
      <w:tblPr>
        <w:tblStyle w:val="78"/>
        <w:tblpPr w:leftFromText="180" w:rightFromText="180" w:vertAnchor="text" w:tblpX="416" w:tblpY="64"/>
        <w:tblOverlap w:val="never"/>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80"/>
        <w:gridCol w:w="1305"/>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0" w:type="dxa"/>
            <w:vAlign w:val="center"/>
          </w:tcPr>
          <w:p>
            <w:pPr>
              <w:spacing w:line="360" w:lineRule="auto"/>
              <w:jc w:val="center"/>
              <w:rPr>
                <w:rFonts w:ascii="Calibri" w:hAnsi="Calibri"/>
                <w:b/>
                <w:bCs/>
                <w:sz w:val="24"/>
                <w:szCs w:val="22"/>
              </w:rPr>
            </w:pPr>
            <w:r>
              <w:rPr>
                <w:rFonts w:hint="eastAsia" w:ascii="Calibri" w:hAnsi="Calibri"/>
                <w:b/>
                <w:bCs/>
                <w:sz w:val="24"/>
                <w:szCs w:val="22"/>
              </w:rPr>
              <w:t>序号</w:t>
            </w:r>
          </w:p>
        </w:tc>
        <w:tc>
          <w:tcPr>
            <w:tcW w:w="1980" w:type="dxa"/>
            <w:vAlign w:val="center"/>
          </w:tcPr>
          <w:p>
            <w:pPr>
              <w:spacing w:line="360" w:lineRule="auto"/>
              <w:jc w:val="center"/>
              <w:rPr>
                <w:rFonts w:ascii="Calibri" w:hAnsi="Calibri"/>
                <w:b/>
                <w:bCs/>
                <w:sz w:val="24"/>
                <w:szCs w:val="22"/>
              </w:rPr>
            </w:pPr>
            <w:r>
              <w:rPr>
                <w:rFonts w:hint="eastAsia" w:ascii="Calibri" w:hAnsi="Calibri"/>
                <w:b/>
                <w:bCs/>
                <w:sz w:val="24"/>
                <w:szCs w:val="22"/>
              </w:rPr>
              <w:t>标项内容</w:t>
            </w:r>
          </w:p>
        </w:tc>
        <w:tc>
          <w:tcPr>
            <w:tcW w:w="1305" w:type="dxa"/>
            <w:vAlign w:val="center"/>
          </w:tcPr>
          <w:p>
            <w:pPr>
              <w:spacing w:line="360" w:lineRule="auto"/>
              <w:jc w:val="center"/>
              <w:rPr>
                <w:rFonts w:ascii="Calibri" w:hAnsi="Calibri"/>
                <w:b/>
                <w:bCs/>
                <w:sz w:val="24"/>
                <w:szCs w:val="22"/>
              </w:rPr>
            </w:pPr>
            <w:r>
              <w:rPr>
                <w:rFonts w:hint="eastAsia" w:ascii="Calibri" w:hAnsi="Calibri"/>
                <w:b/>
                <w:bCs/>
                <w:sz w:val="24"/>
                <w:szCs w:val="22"/>
              </w:rPr>
              <w:t>预算价</w:t>
            </w:r>
          </w:p>
        </w:tc>
        <w:tc>
          <w:tcPr>
            <w:tcW w:w="4470" w:type="dxa"/>
            <w:vAlign w:val="center"/>
          </w:tcPr>
          <w:p>
            <w:pPr>
              <w:spacing w:line="360" w:lineRule="auto"/>
              <w:jc w:val="center"/>
              <w:rPr>
                <w:rFonts w:ascii="Calibri" w:hAnsi="Calibri"/>
                <w:b/>
                <w:bCs/>
                <w:sz w:val="24"/>
                <w:szCs w:val="22"/>
              </w:rPr>
            </w:pPr>
            <w:r>
              <w:rPr>
                <w:rFonts w:hint="eastAsia" w:ascii="Calibri" w:hAnsi="Calibri"/>
                <w:b/>
                <w:bCs/>
                <w:sz w:val="24"/>
                <w:szCs w:val="22"/>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60" w:type="dxa"/>
            <w:vAlign w:val="center"/>
          </w:tcPr>
          <w:p>
            <w:pPr>
              <w:snapToGrid w:val="0"/>
              <w:spacing w:line="360" w:lineRule="auto"/>
              <w:jc w:val="center"/>
              <w:rPr>
                <w:rFonts w:ascii="宋体" w:hAnsi="宋体" w:cs="Arial"/>
                <w:szCs w:val="21"/>
              </w:rPr>
            </w:pPr>
            <w:r>
              <w:rPr>
                <w:rFonts w:hint="eastAsia" w:ascii="宋体" w:hAnsi="宋体" w:cs="Arial"/>
                <w:szCs w:val="21"/>
              </w:rPr>
              <w:t>1</w:t>
            </w:r>
          </w:p>
        </w:tc>
        <w:tc>
          <w:tcPr>
            <w:tcW w:w="1980" w:type="dxa"/>
            <w:vAlign w:val="center"/>
          </w:tcPr>
          <w:p>
            <w:pPr>
              <w:snapToGrid w:val="0"/>
              <w:spacing w:line="360" w:lineRule="auto"/>
              <w:jc w:val="center"/>
              <w:rPr>
                <w:rFonts w:hint="eastAsia" w:ascii="宋体" w:hAnsi="宋体" w:eastAsia="宋体" w:cs="Arial"/>
                <w:szCs w:val="21"/>
                <w:lang w:eastAsia="zh-CN"/>
              </w:rPr>
            </w:pPr>
            <w:r>
              <w:rPr>
                <w:rFonts w:hint="eastAsia" w:ascii="宋体" w:hAnsi="宋体" w:cs="宋体"/>
                <w:bCs/>
                <w:color w:val="000000"/>
                <w:szCs w:val="21"/>
                <w:lang w:eastAsia="zh-CN"/>
              </w:rPr>
              <w:t>中泰街道交治工作站建设设备项目采购</w:t>
            </w:r>
          </w:p>
        </w:tc>
        <w:tc>
          <w:tcPr>
            <w:tcW w:w="1305" w:type="dxa"/>
            <w:vAlign w:val="center"/>
          </w:tcPr>
          <w:p>
            <w:pPr>
              <w:snapToGrid w:val="0"/>
              <w:spacing w:line="360" w:lineRule="auto"/>
              <w:jc w:val="center"/>
              <w:rPr>
                <w:rFonts w:ascii="宋体" w:hAnsi="宋体" w:cs="Arial"/>
                <w:szCs w:val="21"/>
              </w:rPr>
            </w:pPr>
            <w:r>
              <w:rPr>
                <w:rFonts w:hint="eastAsia" w:ascii="宋体" w:hAnsi="宋体" w:cs="Arial"/>
                <w:szCs w:val="21"/>
              </w:rPr>
              <w:t xml:space="preserve"> </w:t>
            </w:r>
            <w:r>
              <w:rPr>
                <w:rFonts w:hint="eastAsia" w:ascii="宋体" w:hAnsi="宋体" w:cs="Arial"/>
                <w:szCs w:val="21"/>
                <w:lang w:val="en-US" w:eastAsia="zh-CN"/>
              </w:rPr>
              <w:t>65</w:t>
            </w:r>
            <w:r>
              <w:rPr>
                <w:rFonts w:hint="eastAsia" w:ascii="宋体" w:hAnsi="宋体" w:cs="Arial"/>
                <w:szCs w:val="21"/>
              </w:rPr>
              <w:t>万元</w:t>
            </w:r>
          </w:p>
        </w:tc>
        <w:tc>
          <w:tcPr>
            <w:tcW w:w="4470" w:type="dxa"/>
            <w:vAlign w:val="center"/>
          </w:tcPr>
          <w:p>
            <w:pPr>
              <w:snapToGrid w:val="0"/>
              <w:spacing w:line="360" w:lineRule="auto"/>
              <w:ind w:firstLine="210" w:firstLineChars="100"/>
              <w:jc w:val="left"/>
              <w:rPr>
                <w:rFonts w:ascii="宋体" w:hAnsi="宋体" w:cs="Arial"/>
                <w:szCs w:val="21"/>
              </w:rPr>
            </w:pPr>
            <w:r>
              <w:rPr>
                <w:rFonts w:hint="eastAsia" w:ascii="宋体" w:hAnsi="宋体" w:cs="宋体"/>
                <w:color w:val="000000"/>
                <w:szCs w:val="21"/>
                <w:lang w:eastAsia="zh-CN"/>
              </w:rPr>
              <w:t>中泰街道交治工作站建设设备项目采购</w:t>
            </w:r>
            <w:r>
              <w:rPr>
                <w:rFonts w:hint="eastAsia" w:ascii="宋体" w:hAnsi="宋体" w:cs="Arial"/>
                <w:szCs w:val="21"/>
              </w:rPr>
              <w:t>。具体内容和相关要求详见招标文件“第三部分——项目技术规范和服务要求”。</w:t>
            </w:r>
          </w:p>
        </w:tc>
      </w:tr>
    </w:tbl>
    <w:p>
      <w:pPr>
        <w:widowControl/>
        <w:snapToGrid w:val="0"/>
        <w:spacing w:line="336" w:lineRule="auto"/>
        <w:ind w:firstLine="482" w:firstLineChars="200"/>
        <w:jc w:val="left"/>
        <w:rPr>
          <w:rFonts w:ascii="宋体" w:hAnsi="宋体" w:cs="宋体"/>
          <w:b/>
          <w:color w:val="000000"/>
          <w:kern w:val="0"/>
          <w:sz w:val="24"/>
        </w:rPr>
      </w:pPr>
      <w:bookmarkStart w:id="4" w:name="_Hlk33175756"/>
      <w:r>
        <w:rPr>
          <w:rFonts w:hint="eastAsia" w:ascii="宋体" w:hAnsi="宋体" w:cs="宋体"/>
          <w:b/>
          <w:color w:val="000000"/>
          <w:kern w:val="0"/>
          <w:sz w:val="24"/>
        </w:rPr>
        <w:t>六、投标供应商资格要求：</w:t>
      </w:r>
    </w:p>
    <w:p>
      <w:pPr>
        <w:widowControl/>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1、符合《中华人民共和国政府采购法》第二十二条的规定：</w:t>
      </w:r>
    </w:p>
    <w:p>
      <w:pPr>
        <w:widowControl/>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（1）具有独立承担民事责任的能力；</w:t>
      </w:r>
    </w:p>
    <w:p>
      <w:pPr>
        <w:widowControl/>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（3）具有履行合同所必需的场地、设备和专业技术能力；</w:t>
      </w:r>
    </w:p>
    <w:p>
      <w:pPr>
        <w:widowControl/>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94"/>
        <w:snapToGrid w:val="0"/>
        <w:spacing w:line="336" w:lineRule="auto"/>
        <w:rPr>
          <w:rFonts w:ascii="宋体" w:hAnsi="宋体" w:cs="宋体"/>
          <w:color w:val="000000"/>
        </w:rPr>
      </w:pPr>
      <w:r>
        <w:rPr>
          <w:rFonts w:hint="eastAsia" w:ascii="宋体" w:hAnsi="宋体" w:cs="宋体"/>
          <w:color w:val="000000"/>
        </w:rPr>
        <w:t>窗体顶端</w:t>
      </w:r>
    </w:p>
    <w:p>
      <w:pPr>
        <w:widowControl/>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2、投标供应商特定资格条件：</w:t>
      </w:r>
    </w:p>
    <w:p>
      <w:pPr>
        <w:pStyle w:val="305"/>
        <w:snapToGrid w:val="0"/>
        <w:spacing w:line="336" w:lineRule="auto"/>
        <w:rPr>
          <w:rFonts w:ascii="宋体" w:hAnsi="宋体" w:cs="宋体"/>
          <w:color w:val="000000"/>
        </w:rPr>
      </w:pPr>
      <w:r>
        <w:rPr>
          <w:rFonts w:hint="eastAsia" w:ascii="宋体" w:hAnsi="宋体" w:cs="宋体"/>
          <w:color w:val="000000"/>
        </w:rPr>
        <w:t>窗体底端</w:t>
      </w:r>
    </w:p>
    <w:p>
      <w:pPr>
        <w:widowControl/>
        <w:numPr>
          <w:ilvl w:val="0"/>
          <w:numId w:val="10"/>
        </w:numPr>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单位负责人为同一人或者存在直接控股、管理关系的不同供应商，不得参加同一合同项下的政府采购活动；</w:t>
      </w:r>
    </w:p>
    <w:p>
      <w:pPr>
        <w:widowControl/>
        <w:numPr>
          <w:ilvl w:val="0"/>
          <w:numId w:val="10"/>
        </w:numPr>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10"/>
        </w:numPr>
        <w:snapToGrid w:val="0"/>
        <w:spacing w:line="336" w:lineRule="auto"/>
        <w:ind w:firstLine="456" w:firstLineChars="200"/>
        <w:jc w:val="left"/>
        <w:rPr>
          <w:rFonts w:ascii="宋体" w:hAnsi="宋体" w:cs="宋体"/>
          <w:color w:val="000000"/>
          <w:kern w:val="0"/>
          <w:sz w:val="24"/>
        </w:rPr>
      </w:pPr>
      <w:r>
        <w:rPr>
          <w:rFonts w:hint="eastAsia" w:ascii="宋体" w:hAnsi="宋体" w:cs="宋体"/>
          <w:color w:val="000000"/>
          <w:spacing w:val="-6"/>
          <w:kern w:val="0"/>
          <w:sz w:val="24"/>
        </w:rPr>
        <w:t>公益一类事业单位、使用事业编制且由财政拨款保障的群团组织，不作为政府购买服务的购买主体和承接主体；</w:t>
      </w:r>
    </w:p>
    <w:p>
      <w:pPr>
        <w:widowControl/>
        <w:snapToGrid w:val="0"/>
        <w:spacing w:line="336" w:lineRule="auto"/>
        <w:ind w:left="420" w:leftChars="200"/>
        <w:jc w:val="left"/>
        <w:rPr>
          <w:rFonts w:ascii="宋体" w:hAnsi="宋体" w:cs="宋体"/>
          <w:color w:val="000000"/>
          <w:kern w:val="0"/>
          <w:sz w:val="24"/>
        </w:rPr>
      </w:pPr>
      <w:r>
        <w:rPr>
          <w:rFonts w:hint="eastAsia" w:ascii="宋体" w:hAnsi="宋体" w:cs="宋体"/>
          <w:color w:val="000000"/>
          <w:kern w:val="0"/>
          <w:sz w:val="24"/>
        </w:rPr>
        <w:t>（4）本项目谢绝联合体投标。</w:t>
      </w:r>
    </w:p>
    <w:bookmarkEnd w:id="4"/>
    <w:p>
      <w:pPr>
        <w:widowControl/>
        <w:snapToGrid w:val="0"/>
        <w:spacing w:line="336"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七、招标文件的获取：</w:t>
      </w:r>
    </w:p>
    <w:p>
      <w:pPr>
        <w:spacing w:line="336" w:lineRule="auto"/>
        <w:ind w:firstLine="482" w:firstLineChars="200"/>
        <w:rPr>
          <w:rFonts w:ascii="宋体" w:hAnsi="宋体" w:cs="Arial"/>
          <w:color w:val="000000"/>
          <w:sz w:val="24"/>
        </w:rPr>
      </w:pPr>
      <w:r>
        <w:rPr>
          <w:rFonts w:hint="eastAsia" w:ascii="宋体" w:hAnsi="宋体"/>
          <w:b/>
          <w:bCs/>
          <w:sz w:val="24"/>
        </w:rPr>
        <w:t>1、</w:t>
      </w:r>
      <w:r>
        <w:rPr>
          <w:rFonts w:hint="eastAsia" w:ascii="宋体" w:hAnsi="宋体" w:cs="Arial"/>
          <w:b/>
          <w:bCs/>
          <w:color w:val="000000"/>
          <w:sz w:val="24"/>
        </w:rPr>
        <w:t>本项目招标文件实行“政府采购云平台”在线获取，</w:t>
      </w:r>
      <w:r>
        <w:rPr>
          <w:rFonts w:hint="eastAsia" w:ascii="宋体" w:hAnsi="宋体"/>
          <w:b/>
          <w:bCs/>
          <w:color w:val="000000"/>
          <w:kern w:val="0"/>
          <w:sz w:val="24"/>
        </w:rPr>
        <w:t>不提供招标文件纸质版</w:t>
      </w:r>
      <w:r>
        <w:rPr>
          <w:rFonts w:hint="eastAsia" w:ascii="宋体" w:hAnsi="宋体" w:cs="Arial"/>
          <w:b/>
          <w:bCs/>
          <w:color w:val="000000"/>
          <w:sz w:val="24"/>
        </w:rPr>
        <w:t>。供应商获取招标文件前应先完成“政府采购云平台”的账号注册同时办理CA领取；</w:t>
      </w:r>
    </w:p>
    <w:p>
      <w:pPr>
        <w:pStyle w:val="3"/>
        <w:snapToGrid w:val="0"/>
        <w:spacing w:line="336" w:lineRule="auto"/>
        <w:ind w:firstLine="480" w:firstLineChars="200"/>
        <w:rPr>
          <w:rFonts w:ascii="宋体" w:hAnsi="宋体" w:eastAsia="宋体" w:cs="宋体"/>
          <w:b/>
          <w:bCs/>
          <w:sz w:val="24"/>
          <w:szCs w:val="24"/>
        </w:rPr>
      </w:pPr>
      <w:r>
        <w:rPr>
          <w:rFonts w:hint="eastAsia" w:ascii="宋体" w:hAnsi="宋体"/>
          <w:b/>
          <w:bCs/>
          <w:sz w:val="24"/>
          <w:szCs w:val="24"/>
        </w:rPr>
        <w:t>2</w:t>
      </w:r>
      <w:r>
        <w:rPr>
          <w:rFonts w:hint="eastAsia" w:ascii="宋体" w:hAnsi="宋体" w:eastAsia="宋体" w:cs="宋体"/>
          <w:b/>
          <w:bCs/>
          <w:sz w:val="24"/>
          <w:szCs w:val="24"/>
        </w:rPr>
        <w:t>、地点：政采云平台（</w:t>
      </w:r>
      <w:r>
        <w:rPr>
          <w:rFonts w:hint="eastAsia" w:ascii="宋体" w:hAnsi="宋体"/>
          <w:b/>
          <w:bCs/>
          <w:sz w:val="24"/>
          <w:szCs w:val="24"/>
        </w:rPr>
        <w:t>http://zfcg.czt.zj.gov.cn</w:t>
      </w:r>
      <w:r>
        <w:rPr>
          <w:rFonts w:hint="eastAsia" w:ascii="宋体" w:hAnsi="宋体" w:eastAsia="宋体" w:cs="宋体"/>
          <w:b/>
          <w:bCs/>
          <w:sz w:val="24"/>
          <w:szCs w:val="24"/>
        </w:rPr>
        <w:t>）；</w:t>
      </w:r>
    </w:p>
    <w:p>
      <w:pPr>
        <w:pStyle w:val="3"/>
        <w:snapToGrid w:val="0"/>
        <w:spacing w:line="336" w:lineRule="auto"/>
        <w:ind w:firstLine="480" w:firstLineChars="200"/>
        <w:rPr>
          <w:rFonts w:ascii="宋体" w:hAnsi="宋体"/>
          <w:b/>
          <w:bCs/>
          <w:sz w:val="24"/>
          <w:szCs w:val="24"/>
        </w:rPr>
      </w:pPr>
      <w:r>
        <w:rPr>
          <w:rFonts w:hint="eastAsia" w:ascii="宋体" w:hAnsi="宋体"/>
          <w:b/>
          <w:bCs/>
          <w:sz w:val="24"/>
          <w:szCs w:val="24"/>
        </w:rPr>
        <w:t>3</w:t>
      </w:r>
      <w:r>
        <w:rPr>
          <w:rFonts w:hint="eastAsia" w:ascii="宋体" w:hAnsi="宋体" w:eastAsia="宋体" w:cs="宋体"/>
          <w:b/>
          <w:bCs/>
          <w:sz w:val="24"/>
          <w:szCs w:val="24"/>
        </w:rPr>
        <w:t>、方式：潜在供应商登陆政采云平台，在线申请获取招标文件（进入</w:t>
      </w:r>
      <w:r>
        <w:rPr>
          <w:rFonts w:ascii="Times New Roman" w:hAnsi="Times New Roman"/>
          <w:b/>
          <w:bCs/>
          <w:sz w:val="24"/>
          <w:szCs w:val="24"/>
        </w:rPr>
        <w:t>“</w:t>
      </w:r>
      <w:r>
        <w:rPr>
          <w:rFonts w:hint="eastAsia" w:ascii="宋体" w:hAnsi="宋体" w:eastAsia="宋体" w:cs="宋体"/>
          <w:b/>
          <w:bCs/>
          <w:sz w:val="24"/>
          <w:szCs w:val="24"/>
        </w:rPr>
        <w:t>项目采购</w:t>
      </w:r>
      <w:r>
        <w:rPr>
          <w:rFonts w:ascii="Times New Roman" w:hAnsi="Times New Roman"/>
          <w:b/>
          <w:bCs/>
          <w:sz w:val="24"/>
          <w:szCs w:val="24"/>
        </w:rPr>
        <w:t>”</w:t>
      </w:r>
      <w:r>
        <w:rPr>
          <w:rFonts w:hint="eastAsia" w:ascii="宋体" w:hAnsi="宋体" w:eastAsia="宋体" w:cs="宋体"/>
          <w:b/>
          <w:bCs/>
          <w:sz w:val="24"/>
          <w:szCs w:val="24"/>
        </w:rPr>
        <w:t>应用，在获取招标文件菜单中选择项目，申请获取招标文件</w:t>
      </w:r>
      <w:r>
        <w:rPr>
          <w:rFonts w:hint="eastAsia" w:ascii="宋体" w:hAnsi="宋体" w:eastAsia="宋体" w:cs="宋体"/>
          <w:b/>
          <w:bCs/>
          <w:color w:val="000000"/>
          <w:sz w:val="24"/>
          <w:szCs w:val="24"/>
        </w:rPr>
        <w:t>，本项目招标文件不收取工本费</w:t>
      </w:r>
      <w:r>
        <w:rPr>
          <w:rFonts w:hint="eastAsia" w:ascii="宋体" w:hAnsi="宋体" w:eastAsia="宋体" w:cs="宋体"/>
          <w:b/>
          <w:bCs/>
          <w:sz w:val="24"/>
          <w:szCs w:val="24"/>
        </w:rPr>
        <w:t>；</w:t>
      </w:r>
      <w:r>
        <w:rPr>
          <w:rFonts w:hint="eastAsia" w:ascii="宋体" w:hAnsi="宋体" w:eastAsia="宋体" w:cs="宋体"/>
          <w:b/>
          <w:bCs/>
          <w:sz w:val="24"/>
          <w:szCs w:val="24"/>
          <w:u w:val="single"/>
        </w:rPr>
        <w:t>仅需浏览招标文件的供应商可点击</w:t>
      </w:r>
      <w:r>
        <w:rPr>
          <w:rFonts w:ascii="Times New Roman" w:hAnsi="Times New Roman"/>
          <w:b/>
          <w:bCs/>
          <w:sz w:val="24"/>
          <w:szCs w:val="24"/>
          <w:u w:val="single"/>
        </w:rPr>
        <w:t>“</w:t>
      </w:r>
      <w:r>
        <w:rPr>
          <w:rFonts w:hint="eastAsia" w:ascii="宋体" w:hAnsi="宋体" w:eastAsia="宋体" w:cs="宋体"/>
          <w:b/>
          <w:bCs/>
          <w:sz w:val="24"/>
          <w:szCs w:val="24"/>
          <w:u w:val="single"/>
        </w:rPr>
        <w:t>游客，浏览招标文件</w:t>
      </w:r>
      <w:r>
        <w:rPr>
          <w:rFonts w:ascii="Times New Roman" w:hAnsi="Times New Roman"/>
          <w:b/>
          <w:bCs/>
          <w:sz w:val="24"/>
          <w:szCs w:val="24"/>
          <w:u w:val="single"/>
        </w:rPr>
        <w:t>”</w:t>
      </w:r>
      <w:r>
        <w:rPr>
          <w:rFonts w:hint="eastAsia" w:ascii="宋体" w:hAnsi="宋体" w:eastAsia="宋体" w:cs="宋体"/>
          <w:b/>
          <w:bCs/>
          <w:sz w:val="24"/>
          <w:szCs w:val="24"/>
          <w:u w:val="single"/>
        </w:rPr>
        <w:t>直接下载招标文件浏览</w:t>
      </w:r>
      <w:r>
        <w:rPr>
          <w:rFonts w:hint="eastAsia" w:ascii="宋体" w:hAnsi="宋体" w:eastAsia="宋体" w:cs="宋体"/>
          <w:b/>
          <w:bCs/>
          <w:sz w:val="24"/>
          <w:szCs w:val="24"/>
        </w:rPr>
        <w:t>）；</w:t>
      </w:r>
    </w:p>
    <w:p>
      <w:pPr>
        <w:widowControl/>
        <w:snapToGrid w:val="0"/>
        <w:spacing w:line="336" w:lineRule="auto"/>
        <w:ind w:firstLine="482" w:firstLineChars="200"/>
        <w:jc w:val="left"/>
        <w:rPr>
          <w:rFonts w:ascii="宋体" w:hAnsi="宋体"/>
          <w:b/>
          <w:bCs/>
          <w:color w:val="000000"/>
          <w:kern w:val="0"/>
          <w:sz w:val="24"/>
        </w:rPr>
      </w:pPr>
      <w:r>
        <w:rPr>
          <w:rFonts w:hint="eastAsia" w:ascii="宋体" w:hAnsi="宋体"/>
          <w:b/>
          <w:bCs/>
          <w:color w:val="000000"/>
          <w:kern w:val="0"/>
          <w:sz w:val="24"/>
        </w:rPr>
        <w:t>4、供应商获取招标文件时须提交的文件资料：无；</w:t>
      </w:r>
    </w:p>
    <w:p>
      <w:pPr>
        <w:widowControl/>
        <w:snapToGrid w:val="0"/>
        <w:spacing w:line="336" w:lineRule="auto"/>
        <w:ind w:firstLine="482" w:firstLineChars="200"/>
        <w:jc w:val="left"/>
        <w:rPr>
          <w:rFonts w:ascii="宋体" w:hAnsi="宋体"/>
          <w:b/>
          <w:bCs/>
          <w:color w:val="000000"/>
          <w:kern w:val="0"/>
          <w:sz w:val="24"/>
        </w:rPr>
      </w:pPr>
      <w:r>
        <w:rPr>
          <w:rFonts w:hint="eastAsia" w:ascii="宋体" w:hAnsi="宋体"/>
          <w:b/>
          <w:bCs/>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36" w:lineRule="auto"/>
        <w:ind w:firstLine="482" w:firstLineChars="200"/>
        <w:jc w:val="left"/>
        <w:rPr>
          <w:rFonts w:ascii="宋体" w:hAnsi="宋体"/>
          <w:b/>
          <w:bCs/>
          <w:sz w:val="24"/>
        </w:rPr>
      </w:pPr>
      <w:r>
        <w:rPr>
          <w:rFonts w:hint="eastAsia" w:ascii="宋体" w:hAnsi="宋体"/>
          <w:b/>
          <w:bCs/>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八、投标截止时间：</w:t>
      </w:r>
      <w:r>
        <w:rPr>
          <w:rFonts w:hint="eastAsia" w:ascii="宋体" w:hAnsi="宋体" w:cs="宋体"/>
          <w:color w:val="000000"/>
          <w:kern w:val="0"/>
          <w:sz w:val="24"/>
          <w:lang w:eastAsia="zh-CN"/>
        </w:rPr>
        <w:t xml:space="preserve"> </w:t>
      </w:r>
      <w:r>
        <w:rPr>
          <w:rFonts w:hint="eastAsia" w:ascii="宋体" w:hAnsi="宋体" w:cs="宋体"/>
          <w:color w:val="000000"/>
          <w:kern w:val="0"/>
          <w:sz w:val="24"/>
          <w:lang w:val="en-US" w:eastAsia="zh-CN"/>
        </w:rPr>
        <w:t>2020</w:t>
      </w:r>
      <w:r>
        <w:rPr>
          <w:rFonts w:hint="eastAsia" w:ascii="宋体" w:hAnsi="宋体" w:cs="宋体"/>
          <w:color w:val="000000"/>
          <w:kern w:val="0"/>
          <w:sz w:val="24"/>
          <w:lang w:eastAsia="zh-CN"/>
        </w:rPr>
        <w:t xml:space="preserve">年 </w:t>
      </w:r>
      <w:r>
        <w:rPr>
          <w:rFonts w:hint="eastAsia" w:ascii="宋体" w:hAnsi="宋体" w:cs="宋体"/>
          <w:color w:val="000000"/>
          <w:kern w:val="0"/>
          <w:sz w:val="24"/>
          <w:lang w:val="en-US" w:eastAsia="zh-CN"/>
        </w:rPr>
        <w:t>10</w:t>
      </w:r>
      <w:r>
        <w:rPr>
          <w:rFonts w:hint="eastAsia" w:ascii="宋体" w:hAnsi="宋体" w:cs="宋体"/>
          <w:color w:val="000000"/>
          <w:kern w:val="0"/>
          <w:sz w:val="24"/>
          <w:lang w:eastAsia="zh-CN"/>
        </w:rPr>
        <w:t xml:space="preserve"> 月 </w:t>
      </w:r>
      <w:r>
        <w:rPr>
          <w:rFonts w:hint="eastAsia" w:ascii="宋体" w:hAnsi="宋体" w:cs="宋体"/>
          <w:color w:val="000000"/>
          <w:kern w:val="0"/>
          <w:sz w:val="24"/>
          <w:lang w:val="en-US" w:eastAsia="zh-CN"/>
        </w:rPr>
        <w:t>23</w:t>
      </w:r>
      <w:r>
        <w:rPr>
          <w:rFonts w:hint="eastAsia" w:ascii="宋体" w:hAnsi="宋体" w:cs="宋体"/>
          <w:color w:val="000000"/>
          <w:kern w:val="0"/>
          <w:sz w:val="24"/>
          <w:lang w:eastAsia="zh-CN"/>
        </w:rPr>
        <w:t xml:space="preserve"> 日  </w:t>
      </w:r>
      <w:r>
        <w:rPr>
          <w:rFonts w:hint="eastAsia" w:ascii="宋体" w:hAnsi="宋体" w:cs="宋体"/>
          <w:color w:val="000000"/>
          <w:kern w:val="0"/>
          <w:sz w:val="24"/>
          <w:lang w:val="en-US" w:eastAsia="zh-CN"/>
        </w:rPr>
        <w:t>9</w:t>
      </w:r>
      <w:r>
        <w:rPr>
          <w:rFonts w:hint="eastAsia" w:ascii="宋体" w:hAnsi="宋体" w:cs="宋体"/>
          <w:color w:val="000000"/>
          <w:kern w:val="0"/>
          <w:sz w:val="24"/>
          <w:lang w:eastAsia="zh-CN"/>
        </w:rPr>
        <w:t xml:space="preserve">  时 </w:t>
      </w:r>
      <w:r>
        <w:rPr>
          <w:rFonts w:hint="eastAsia" w:ascii="宋体" w:hAnsi="宋体" w:cs="宋体"/>
          <w:color w:val="000000"/>
          <w:kern w:val="0"/>
          <w:sz w:val="24"/>
          <w:lang w:val="en-US" w:eastAsia="zh-CN"/>
        </w:rPr>
        <w:t>30</w:t>
      </w:r>
      <w:r>
        <w:rPr>
          <w:rFonts w:hint="eastAsia" w:ascii="宋体" w:hAnsi="宋体" w:cs="宋体"/>
          <w:color w:val="000000"/>
          <w:kern w:val="0"/>
          <w:sz w:val="24"/>
          <w:lang w:eastAsia="zh-CN"/>
        </w:rPr>
        <w:t xml:space="preserve">  分</w:t>
      </w:r>
      <w:r>
        <w:rPr>
          <w:rFonts w:hint="eastAsia" w:ascii="宋体" w:hAnsi="宋体" w:cs="宋体"/>
          <w:color w:val="000000"/>
          <w:kern w:val="0"/>
          <w:sz w:val="24"/>
          <w:lang w:val="en-US" w:eastAsia="zh-CN"/>
        </w:rPr>
        <w:t xml:space="preserve"> 00</w:t>
      </w:r>
      <w:r>
        <w:rPr>
          <w:rFonts w:hint="eastAsia" w:ascii="宋体" w:hAnsi="宋体" w:cs="宋体"/>
          <w:color w:val="000000"/>
          <w:kern w:val="0"/>
          <w:sz w:val="24"/>
          <w:lang w:eastAsia="zh-CN"/>
        </w:rPr>
        <w:t xml:space="preserve">  秒止</w:t>
      </w:r>
      <w:r>
        <w:rPr>
          <w:rFonts w:hint="eastAsia" w:ascii="宋体" w:hAnsi="宋体" w:cs="宋体"/>
          <w:color w:val="000000"/>
          <w:kern w:val="0"/>
          <w:sz w:val="24"/>
        </w:rPr>
        <w:t>；</w:t>
      </w:r>
    </w:p>
    <w:p>
      <w:pPr>
        <w:widowControl/>
        <w:snapToGrid w:val="0"/>
        <w:spacing w:line="360" w:lineRule="auto"/>
        <w:ind w:firstLine="361" w:firstLineChars="150"/>
        <w:jc w:val="left"/>
        <w:rPr>
          <w:rFonts w:ascii="宋体" w:hAnsi="宋体" w:cs="宋体"/>
          <w:kern w:val="0"/>
          <w:sz w:val="24"/>
        </w:rPr>
      </w:pPr>
      <w:r>
        <w:rPr>
          <w:rFonts w:hint="eastAsia" w:ascii="宋体" w:hAnsi="宋体" w:cs="宋体"/>
          <w:b/>
          <w:bCs/>
          <w:color w:val="000000"/>
          <w:kern w:val="0"/>
          <w:sz w:val="24"/>
        </w:rPr>
        <w:t xml:space="preserve"> 九、供应商线上投标</w:t>
      </w:r>
      <w:r>
        <w:rPr>
          <w:rFonts w:hint="eastAsia" w:ascii="宋体" w:hAnsi="宋体" w:cs="宋体"/>
          <w:kern w:val="0"/>
          <w:sz w:val="24"/>
        </w:rPr>
        <w:t>：登陆“政府采购云平台（www.zcygov.cn）”在线投标响应。</w:t>
      </w:r>
    </w:p>
    <w:p>
      <w:pPr>
        <w:widowControl/>
        <w:snapToGrid w:val="0"/>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十、开标时间：</w:t>
      </w:r>
      <w:r>
        <w:rPr>
          <w:rFonts w:hint="eastAsia" w:ascii="宋体" w:hAnsi="宋体" w:cs="宋体"/>
          <w:color w:val="000000"/>
          <w:kern w:val="0"/>
          <w:sz w:val="24"/>
          <w:lang w:eastAsia="zh-CN"/>
        </w:rPr>
        <w:t xml:space="preserve"> </w:t>
      </w:r>
      <w:r>
        <w:rPr>
          <w:rFonts w:hint="eastAsia" w:ascii="宋体" w:hAnsi="宋体" w:cs="宋体"/>
          <w:color w:val="000000"/>
          <w:kern w:val="0"/>
          <w:sz w:val="24"/>
          <w:lang w:val="en-US" w:eastAsia="zh-CN"/>
        </w:rPr>
        <w:t>2020</w:t>
      </w:r>
      <w:r>
        <w:rPr>
          <w:rFonts w:hint="eastAsia" w:ascii="宋体" w:hAnsi="宋体" w:cs="宋体"/>
          <w:color w:val="000000"/>
          <w:kern w:val="0"/>
          <w:sz w:val="24"/>
          <w:lang w:eastAsia="zh-CN"/>
        </w:rPr>
        <w:t xml:space="preserve">年 </w:t>
      </w:r>
      <w:r>
        <w:rPr>
          <w:rFonts w:hint="eastAsia" w:ascii="宋体" w:hAnsi="宋体" w:cs="宋体"/>
          <w:color w:val="000000"/>
          <w:kern w:val="0"/>
          <w:sz w:val="24"/>
          <w:lang w:val="en-US" w:eastAsia="zh-CN"/>
        </w:rPr>
        <w:t>10</w:t>
      </w:r>
      <w:r>
        <w:rPr>
          <w:rFonts w:hint="eastAsia" w:ascii="宋体" w:hAnsi="宋体" w:cs="宋体"/>
          <w:color w:val="000000"/>
          <w:kern w:val="0"/>
          <w:sz w:val="24"/>
          <w:lang w:eastAsia="zh-CN"/>
        </w:rPr>
        <w:t xml:space="preserve"> 月 </w:t>
      </w:r>
      <w:r>
        <w:rPr>
          <w:rFonts w:hint="eastAsia" w:ascii="宋体" w:hAnsi="宋体" w:cs="宋体"/>
          <w:color w:val="000000"/>
          <w:kern w:val="0"/>
          <w:sz w:val="24"/>
          <w:lang w:val="en-US" w:eastAsia="zh-CN"/>
        </w:rPr>
        <w:t xml:space="preserve">23 </w:t>
      </w:r>
      <w:r>
        <w:rPr>
          <w:rFonts w:hint="eastAsia" w:ascii="宋体" w:hAnsi="宋体" w:cs="宋体"/>
          <w:color w:val="000000"/>
          <w:kern w:val="0"/>
          <w:sz w:val="24"/>
          <w:lang w:eastAsia="zh-CN"/>
        </w:rPr>
        <w:t xml:space="preserve">日  </w:t>
      </w:r>
      <w:r>
        <w:rPr>
          <w:rFonts w:hint="eastAsia" w:ascii="宋体" w:hAnsi="宋体" w:cs="宋体"/>
          <w:color w:val="000000"/>
          <w:kern w:val="0"/>
          <w:sz w:val="24"/>
          <w:lang w:val="en-US" w:eastAsia="zh-CN"/>
        </w:rPr>
        <w:t>9</w:t>
      </w:r>
      <w:r>
        <w:rPr>
          <w:rFonts w:hint="eastAsia" w:ascii="宋体" w:hAnsi="宋体" w:cs="宋体"/>
          <w:color w:val="000000"/>
          <w:kern w:val="0"/>
          <w:sz w:val="24"/>
          <w:lang w:eastAsia="zh-CN"/>
        </w:rPr>
        <w:t xml:space="preserve">  时 </w:t>
      </w:r>
      <w:r>
        <w:rPr>
          <w:rFonts w:hint="eastAsia" w:ascii="宋体" w:hAnsi="宋体" w:cs="宋体"/>
          <w:color w:val="000000"/>
          <w:kern w:val="0"/>
          <w:sz w:val="24"/>
          <w:lang w:val="en-US" w:eastAsia="zh-CN"/>
        </w:rPr>
        <w:t>30</w:t>
      </w:r>
      <w:r>
        <w:rPr>
          <w:rFonts w:hint="eastAsia" w:ascii="宋体" w:hAnsi="宋体" w:cs="宋体"/>
          <w:color w:val="000000"/>
          <w:kern w:val="0"/>
          <w:sz w:val="24"/>
          <w:lang w:eastAsia="zh-CN"/>
        </w:rPr>
        <w:t xml:space="preserve">  分</w:t>
      </w:r>
      <w:r>
        <w:rPr>
          <w:rFonts w:hint="eastAsia" w:ascii="宋体" w:hAnsi="宋体" w:cs="宋体"/>
          <w:color w:val="000000"/>
          <w:kern w:val="0"/>
          <w:sz w:val="24"/>
          <w:lang w:val="en-US" w:eastAsia="zh-CN"/>
        </w:rPr>
        <w:t xml:space="preserve"> 00</w:t>
      </w:r>
      <w:r>
        <w:rPr>
          <w:rFonts w:hint="eastAsia" w:ascii="宋体" w:hAnsi="宋体" w:cs="宋体"/>
          <w:color w:val="000000"/>
          <w:kern w:val="0"/>
          <w:sz w:val="24"/>
          <w:lang w:eastAsia="zh-CN"/>
        </w:rPr>
        <w:t xml:space="preserve">  秒</w:t>
      </w:r>
      <w:r>
        <w:rPr>
          <w:rFonts w:hint="eastAsia" w:ascii="宋体" w:hAnsi="宋体" w:cs="宋体"/>
          <w:color w:val="000000"/>
          <w:kern w:val="0"/>
          <w:sz w:val="24"/>
        </w:rPr>
        <w:t>；</w:t>
      </w:r>
    </w:p>
    <w:p>
      <w:pPr>
        <w:widowControl/>
        <w:snapToGrid w:val="0"/>
        <w:spacing w:line="336" w:lineRule="auto"/>
        <w:ind w:left="479" w:leftChars="228"/>
        <w:jc w:val="left"/>
        <w:rPr>
          <w:rFonts w:ascii="宋体" w:hAnsi="宋体" w:cs="宋体"/>
          <w:kern w:val="0"/>
          <w:sz w:val="24"/>
        </w:rPr>
      </w:pPr>
      <w:r>
        <w:rPr>
          <w:rFonts w:hint="eastAsia" w:ascii="宋体" w:hAnsi="宋体" w:cs="宋体"/>
          <w:b/>
          <w:color w:val="000000"/>
          <w:kern w:val="0"/>
          <w:sz w:val="24"/>
        </w:rPr>
        <w:t>十一、组织机构</w:t>
      </w:r>
      <w:r>
        <w:rPr>
          <w:rFonts w:hint="eastAsia" w:ascii="宋体" w:hAnsi="宋体" w:cs="宋体"/>
          <w:b/>
          <w:bCs/>
          <w:color w:val="000000"/>
          <w:kern w:val="0"/>
          <w:sz w:val="24"/>
        </w:rPr>
        <w:t>线下</w:t>
      </w:r>
      <w:r>
        <w:rPr>
          <w:rFonts w:hint="eastAsia" w:ascii="宋体" w:hAnsi="宋体" w:cs="宋体"/>
          <w:b/>
          <w:color w:val="000000"/>
          <w:kern w:val="0"/>
          <w:sz w:val="24"/>
        </w:rPr>
        <w:t>开标地点：</w:t>
      </w:r>
      <w:r>
        <w:rPr>
          <w:rFonts w:hint="eastAsia" w:ascii="宋体" w:hAnsi="宋体" w:cs="宋体"/>
          <w:sz w:val="24"/>
        </w:rPr>
        <w:t>杭州市余杭区南苑街道世纪大道</w:t>
      </w:r>
      <w:r>
        <w:rPr>
          <w:rFonts w:ascii="宋体" w:hAnsi="宋体" w:cs="宋体"/>
          <w:sz w:val="24"/>
        </w:rPr>
        <w:t>168号理想国际大厦9楼</w:t>
      </w:r>
    </w:p>
    <w:p>
      <w:pPr>
        <w:widowControl/>
        <w:snapToGrid w:val="0"/>
        <w:spacing w:line="336" w:lineRule="auto"/>
        <w:ind w:firstLine="1084" w:firstLineChars="450"/>
        <w:jc w:val="left"/>
        <w:rPr>
          <w:rFonts w:ascii="宋体" w:hAnsi="宋体" w:cs="宋体"/>
          <w:color w:val="000000"/>
          <w:kern w:val="0"/>
          <w:sz w:val="24"/>
        </w:rPr>
      </w:pPr>
      <w:r>
        <w:rPr>
          <w:rFonts w:hint="eastAsia" w:ascii="宋体" w:hAnsi="宋体" w:cs="宋体"/>
          <w:b/>
          <w:bCs/>
          <w:color w:val="000000"/>
          <w:kern w:val="0"/>
          <w:sz w:val="24"/>
        </w:rPr>
        <w:t>供应商线上开标</w:t>
      </w:r>
      <w:r>
        <w:rPr>
          <w:rFonts w:hint="eastAsia" w:ascii="宋体" w:hAnsi="宋体" w:cs="宋体"/>
          <w:color w:val="000000"/>
          <w:kern w:val="0"/>
          <w:sz w:val="24"/>
        </w:rPr>
        <w:t>：“政府采购云平台（www.zcygov.cn）”本项目开标大厅。</w:t>
      </w:r>
    </w:p>
    <w:p>
      <w:pPr>
        <w:widowControl/>
        <w:autoSpaceDE w:val="0"/>
        <w:snapToGrid w:val="0"/>
        <w:spacing w:line="360" w:lineRule="auto"/>
        <w:ind w:left="479" w:leftChars="228"/>
        <w:jc w:val="left"/>
        <w:rPr>
          <w:rFonts w:ascii="宋体" w:hAnsi="宋体"/>
          <w:color w:val="000000"/>
          <w:kern w:val="0"/>
          <w:sz w:val="24"/>
        </w:rPr>
      </w:pPr>
      <w:r>
        <w:rPr>
          <w:rFonts w:hint="eastAsia" w:ascii="宋体" w:hAnsi="宋体"/>
          <w:b/>
          <w:bCs/>
          <w:color w:val="000000"/>
          <w:kern w:val="0"/>
          <w:sz w:val="24"/>
        </w:rPr>
        <w:t>十二、投标保证金：</w:t>
      </w:r>
      <w:r>
        <w:rPr>
          <w:rFonts w:hint="eastAsia" w:ascii="宋体" w:hAnsi="宋体"/>
          <w:color w:val="000000"/>
          <w:kern w:val="0"/>
          <w:sz w:val="24"/>
        </w:rPr>
        <w:t>无。</w:t>
      </w:r>
    </w:p>
    <w:p>
      <w:pPr>
        <w:spacing w:line="360" w:lineRule="auto"/>
        <w:ind w:firstLine="482" w:firstLineChars="200"/>
        <w:rPr>
          <w:rFonts w:ascii="宋体" w:hAnsi="宋体" w:cs="Arial"/>
          <w:b/>
          <w:bCs/>
          <w:color w:val="000000"/>
          <w:sz w:val="24"/>
        </w:rPr>
      </w:pPr>
      <w:r>
        <w:rPr>
          <w:rFonts w:hint="eastAsia" w:ascii="宋体" w:hAnsi="宋体" w:cs="Arial"/>
          <w:b/>
          <w:bCs/>
          <w:color w:val="000000"/>
          <w:sz w:val="24"/>
        </w:rPr>
        <w:t>十三、在线投标响应（电子投标）说明：</w:t>
      </w:r>
    </w:p>
    <w:p>
      <w:pPr>
        <w:spacing w:line="360" w:lineRule="auto"/>
        <w:ind w:firstLine="424" w:firstLineChars="176"/>
        <w:rPr>
          <w:rFonts w:ascii="宋体" w:hAnsi="宋体" w:cs="Arial"/>
          <w:b/>
          <w:bCs/>
          <w:color w:val="000000"/>
          <w:sz w:val="24"/>
        </w:rPr>
      </w:pPr>
      <w:r>
        <w:rPr>
          <w:rFonts w:hint="eastAsia" w:ascii="宋体" w:hAnsi="宋体" w:cs="Arial"/>
          <w:b/>
          <w:bCs/>
          <w:color w:val="000000"/>
          <w:sz w:val="24"/>
        </w:rPr>
        <w:t>1、</w:t>
      </w:r>
      <w:r>
        <w:rPr>
          <w:rFonts w:hint="eastAsia" w:ascii="宋体" w:hAnsi="宋体" w:cs="Arial"/>
          <w:b/>
          <w:bCs/>
          <w:color w:val="000000"/>
          <w:sz w:val="24"/>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
          <w:bCs/>
          <w:color w:val="000000"/>
          <w:sz w:val="24"/>
        </w:rPr>
        <w:t>。</w:t>
      </w:r>
    </w:p>
    <w:p>
      <w:pPr>
        <w:spacing w:line="360" w:lineRule="auto"/>
        <w:ind w:firstLine="422" w:firstLineChars="176"/>
        <w:rPr>
          <w:rFonts w:ascii="宋体" w:hAnsi="宋体" w:cs="Arial"/>
          <w:color w:val="000000"/>
          <w:sz w:val="24"/>
        </w:rPr>
      </w:pPr>
      <w:r>
        <w:rPr>
          <w:rFonts w:hint="eastAsia" w:ascii="宋体" w:hAnsi="宋体" w:cs="Arial"/>
          <w:color w:val="000000"/>
          <w:sz w:val="24"/>
        </w:rPr>
        <w:t>“政采云电子交易客户端”请自行前往“浙江政府采购网-下载专区-电子交易客户端”进行下载；电子投标具体操作详见“政府采购项目电子交易管理操作指南-供应商”及“政府采购项目电子交易管理操作视频-供应商”通过“政府采购云平台”参与查阅，在线投标时如遇平台技术问题详询400-881-7190。</w:t>
      </w:r>
    </w:p>
    <w:p>
      <w:pPr>
        <w:spacing w:line="360" w:lineRule="auto"/>
        <w:ind w:firstLine="480" w:firstLineChars="200"/>
        <w:rPr>
          <w:rFonts w:ascii="宋体" w:hAnsi="宋体" w:cs="宋体"/>
          <w:sz w:val="24"/>
        </w:rPr>
      </w:pPr>
      <w:r>
        <w:rPr>
          <w:rFonts w:hint="eastAsia" w:ascii="宋体" w:hAnsi="宋体" w:cs="宋体"/>
          <w:sz w:val="24"/>
        </w:rPr>
        <w:t>投标人应在开标前完成CA数字证书办理。（办理流程详见http://zfcg.czt.zj.gov.cn/bidClientTemplate/2019-05-27/12945.html）。完成CA数字证书办理预计一周左右，建议各投标人抓紧时间办理。</w:t>
      </w:r>
    </w:p>
    <w:p>
      <w:pPr>
        <w:spacing w:line="288" w:lineRule="auto"/>
        <w:ind w:firstLine="480" w:firstLineChars="200"/>
        <w:rPr>
          <w:rFonts w:ascii="宋体" w:hAnsi="宋体" w:cs="宋体"/>
          <w:sz w:val="24"/>
        </w:rPr>
      </w:pPr>
      <w:r>
        <w:rPr>
          <w:rFonts w:hint="eastAsia" w:ascii="宋体" w:hAnsi="宋体" w:cs="宋体"/>
          <w:sz w:val="24"/>
        </w:rPr>
        <w:t>投标人通过政采云平台电子投标工具制作投标文件，电子投标工具请供应商自行前往浙江省政府采购网下载并安装，（下载网址：http://zfcg.czt.zj.gov.cn/bidClientTemplate/2019-09-24/12975.html），电子投标具体流程文档详见网址：</w:t>
      </w:r>
      <w:r>
        <w:fldChar w:fldCharType="begin"/>
      </w:r>
      <w:r>
        <w:instrText xml:space="preserve">HYPERLINK "https://help.zcygov.cn/web/site_2/2018/12-28/2573.html。" </w:instrText>
      </w:r>
      <w:r>
        <w:fldChar w:fldCharType="separate"/>
      </w:r>
      <w:r>
        <w:rPr>
          <w:rFonts w:hint="eastAsia" w:ascii="宋体" w:hAnsi="宋体" w:cs="宋体"/>
          <w:sz w:val="24"/>
        </w:rPr>
        <w:t>https://help.zcygov.cn/web/site_2/2018/12-28/2573.html。</w:t>
      </w:r>
      <w:r>
        <w:fldChar w:fldCharType="end"/>
      </w:r>
    </w:p>
    <w:p>
      <w:pPr>
        <w:spacing w:line="360" w:lineRule="auto"/>
        <w:ind w:firstLine="424" w:firstLineChars="176"/>
        <w:rPr>
          <w:rFonts w:ascii="宋体" w:hAnsi="宋体" w:cs="Arial"/>
          <w:b/>
          <w:bCs/>
          <w:color w:val="000000"/>
          <w:sz w:val="24"/>
        </w:rPr>
      </w:pPr>
      <w:r>
        <w:rPr>
          <w:rFonts w:hint="eastAsia" w:ascii="宋体" w:hAnsi="宋体" w:cs="Arial"/>
          <w:b/>
          <w:bCs/>
          <w:color w:val="000000"/>
          <w:sz w:val="24"/>
        </w:rPr>
        <w:t>2、</w:t>
      </w:r>
      <w:r>
        <w:rPr>
          <w:rFonts w:hint="eastAsia" w:ascii="宋体" w:hAnsi="宋体" w:cs="Arial"/>
          <w:b/>
          <w:bCs/>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
          <w:bCs/>
          <w:color w:val="000000"/>
          <w:sz w:val="24"/>
        </w:rPr>
        <w:t>。使用“政采云电子交易客户端”需要提前申领CA数字证书，申领流程请自行前往“浙江政府采购网-下载专区-电子交易客户端-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\o "CA驱动和申领流程" </w:instrText>
      </w:r>
      <w:r>
        <w:fldChar w:fldCharType="separate"/>
      </w:r>
      <w:r>
        <w:rPr>
          <w:rStyle w:val="86"/>
          <w:rFonts w:hint="eastAsia" w:ascii="宋体" w:hAnsi="宋体" w:cs="Arial"/>
          <w:b/>
          <w:bCs/>
          <w:color w:val="000000"/>
          <w:sz w:val="24"/>
        </w:rPr>
        <w:t>CA驱动和申领流程</w:t>
      </w:r>
      <w:r>
        <w:rPr>
          <w:rStyle w:val="86"/>
          <w:rFonts w:hint="eastAsia" w:ascii="宋体" w:hAnsi="宋体" w:cs="Arial"/>
          <w:b/>
          <w:bCs/>
          <w:color w:val="000000"/>
          <w:sz w:val="24"/>
        </w:rPr>
        <w:fldChar w:fldCharType="end"/>
      </w:r>
      <w:r>
        <w:rPr>
          <w:rFonts w:hint="eastAsia" w:ascii="宋体" w:hAnsi="宋体" w:cs="Arial"/>
          <w:b/>
          <w:bCs/>
          <w:color w:val="000000"/>
          <w:sz w:val="24"/>
        </w:rPr>
        <w:t>”进行查阅；</w:t>
      </w:r>
    </w:p>
    <w:p>
      <w:pPr>
        <w:spacing w:line="360" w:lineRule="auto"/>
        <w:ind w:firstLine="424" w:firstLineChars="176"/>
        <w:rPr>
          <w:rFonts w:ascii="宋体" w:hAnsi="宋体" w:cs="Arial"/>
          <w:color w:val="000000"/>
          <w:sz w:val="24"/>
        </w:rPr>
      </w:pPr>
      <w:r>
        <w:rPr>
          <w:rFonts w:hint="eastAsia" w:ascii="宋体" w:hAnsi="宋体" w:cs="Arial"/>
          <w:b/>
          <w:bCs/>
          <w:color w:val="000000"/>
          <w:sz w:val="24"/>
        </w:rPr>
        <w:t>3、</w:t>
      </w:r>
      <w:r>
        <w:rPr>
          <w:rFonts w:hint="eastAsia" w:ascii="宋体" w:hAnsi="宋体" w:cs="Arial"/>
          <w:b/>
          <w:bCs/>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4" w:firstLineChars="176"/>
        <w:rPr>
          <w:rFonts w:ascii="宋体" w:hAnsi="宋体" w:cs="Arial"/>
          <w:b/>
          <w:bCs/>
          <w:color w:val="000000"/>
          <w:sz w:val="24"/>
        </w:rPr>
      </w:pPr>
      <w:r>
        <w:rPr>
          <w:rFonts w:hint="eastAsia" w:ascii="宋体" w:hAnsi="宋体" w:cs="Arial"/>
          <w:b/>
          <w:bCs/>
          <w:color w:val="000000"/>
          <w:sz w:val="24"/>
        </w:rPr>
        <w:t>4、</w:t>
      </w:r>
      <w:r>
        <w:rPr>
          <w:rFonts w:hint="eastAsia" w:ascii="宋体" w:hAnsi="宋体" w:cs="Arial"/>
          <w:b/>
          <w:bCs/>
          <w:color w:val="000000"/>
          <w:sz w:val="24"/>
          <w:u w:val="single"/>
        </w:rPr>
        <w:t>投标供应商在“政府采购云平台”完成“电子加密投标文件”的上传递交后，还可以（建议顺丰邮寄形式）在投标截止时间前递交以介质（U盘）存储的数据电文形式的“备份投标文件”，“备份投标文件”应当密封包装并在包装上标注投标项目名称、投标单位名称并加盖公章</w:t>
      </w:r>
      <w:r>
        <w:rPr>
          <w:rFonts w:hint="eastAsia" w:ascii="宋体" w:hAnsi="宋体" w:cs="Arial"/>
          <w:b/>
          <w:bCs/>
          <w:color w:val="000000"/>
          <w:sz w:val="24"/>
        </w:rPr>
        <w:t>。</w:t>
      </w:r>
    </w:p>
    <w:p>
      <w:pPr>
        <w:spacing w:line="360" w:lineRule="auto"/>
        <w:ind w:firstLine="424" w:firstLineChars="176"/>
        <w:rPr>
          <w:rFonts w:ascii="宋体" w:hAnsi="宋体" w:cs="Arial"/>
          <w:b/>
          <w:bCs/>
          <w:color w:val="000000"/>
          <w:sz w:val="24"/>
        </w:rPr>
      </w:pPr>
      <w:r>
        <w:rPr>
          <w:rFonts w:hint="eastAsia" w:ascii="宋体" w:hAnsi="宋体" w:cs="Arial"/>
          <w:b/>
          <w:bCs/>
          <w:color w:val="000000"/>
          <w:sz w:val="24"/>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pPr>
        <w:pStyle w:val="3"/>
        <w:autoSpaceDE w:val="0"/>
        <w:spacing w:line="360" w:lineRule="auto"/>
        <w:rPr>
          <w:rFonts w:eastAsia="宋体" w:cs="宋体"/>
        </w:rPr>
      </w:pPr>
      <w:r>
        <w:rPr>
          <w:rFonts w:hint="eastAsia" w:ascii="宋体" w:hAnsi="宋体" w:cs="Arial"/>
          <w:b/>
          <w:bCs/>
          <w:color w:val="000000"/>
          <w:sz w:val="24"/>
          <w:szCs w:val="24"/>
        </w:rPr>
        <w:t>6</w:t>
      </w:r>
      <w:r>
        <w:rPr>
          <w:rFonts w:hint="eastAsia" w:ascii="宋体" w:hAnsi="宋体" w:eastAsia="宋体" w:cs="宋体"/>
          <w:b/>
          <w:bCs/>
          <w:color w:val="000000"/>
          <w:sz w:val="24"/>
          <w:szCs w:val="24"/>
        </w:rPr>
        <w:t>、</w:t>
      </w:r>
      <w:r>
        <w:rPr>
          <w:rFonts w:ascii="Times New Roman" w:hAnsi="Times New Roman"/>
          <w:b/>
          <w:bCs/>
          <w:color w:val="000000"/>
          <w:sz w:val="24"/>
          <w:szCs w:val="24"/>
        </w:rPr>
        <w:t>“</w:t>
      </w:r>
      <w:r>
        <w:rPr>
          <w:rFonts w:hint="eastAsia" w:ascii="宋体" w:hAnsi="宋体" w:eastAsia="宋体" w:cs="宋体"/>
          <w:b/>
          <w:bCs/>
          <w:color w:val="000000"/>
          <w:sz w:val="24"/>
          <w:szCs w:val="24"/>
        </w:rPr>
        <w:t>政府采购项目电子交易管理操作指南</w:t>
      </w:r>
      <w:r>
        <w:rPr>
          <w:rFonts w:hint="eastAsia" w:ascii="宋体" w:hAnsi="宋体" w:cs="Arial"/>
          <w:b/>
          <w:bCs/>
          <w:color w:val="000000"/>
          <w:sz w:val="24"/>
          <w:szCs w:val="24"/>
        </w:rPr>
        <w:t>-</w:t>
      </w:r>
      <w:r>
        <w:rPr>
          <w:rFonts w:hint="eastAsia" w:ascii="宋体" w:hAnsi="宋体" w:eastAsia="宋体" w:cs="宋体"/>
          <w:b/>
          <w:bCs/>
          <w:color w:val="000000"/>
          <w:sz w:val="24"/>
          <w:szCs w:val="24"/>
        </w:rPr>
        <w:t>供应商</w:t>
      </w:r>
      <w:r>
        <w:rPr>
          <w:rFonts w:ascii="Times New Roman" w:hAnsi="Times New Roman"/>
          <w:b/>
          <w:bCs/>
          <w:color w:val="000000"/>
          <w:sz w:val="24"/>
          <w:szCs w:val="24"/>
        </w:rPr>
        <w:t>”</w:t>
      </w:r>
      <w:r>
        <w:rPr>
          <w:rFonts w:hint="eastAsia" w:ascii="宋体" w:hAnsi="宋体" w:eastAsia="宋体" w:cs="宋体"/>
          <w:b/>
          <w:bCs/>
          <w:color w:val="000000"/>
          <w:sz w:val="24"/>
          <w:szCs w:val="24"/>
        </w:rPr>
        <w:t>及</w:t>
      </w:r>
      <w:r>
        <w:rPr>
          <w:rFonts w:ascii="Times New Roman" w:hAnsi="Times New Roman"/>
          <w:b/>
          <w:bCs/>
          <w:color w:val="000000"/>
          <w:sz w:val="24"/>
          <w:szCs w:val="24"/>
        </w:rPr>
        <w:t>“</w:t>
      </w:r>
      <w:r>
        <w:rPr>
          <w:rFonts w:hint="eastAsia" w:ascii="宋体" w:hAnsi="宋体" w:eastAsia="宋体" w:cs="宋体"/>
          <w:b/>
          <w:bCs/>
          <w:color w:val="000000"/>
          <w:sz w:val="24"/>
          <w:szCs w:val="24"/>
        </w:rPr>
        <w:t>政府采购项目电子交易管理操作视频</w:t>
      </w:r>
      <w:r>
        <w:rPr>
          <w:rFonts w:hint="eastAsia" w:ascii="宋体" w:hAnsi="宋体" w:cs="Arial"/>
          <w:b/>
          <w:bCs/>
          <w:color w:val="000000"/>
          <w:sz w:val="24"/>
          <w:szCs w:val="24"/>
        </w:rPr>
        <w:t>-</w:t>
      </w:r>
      <w:r>
        <w:rPr>
          <w:rFonts w:hint="eastAsia" w:ascii="宋体" w:hAnsi="宋体" w:eastAsia="宋体" w:cs="宋体"/>
          <w:b/>
          <w:bCs/>
          <w:color w:val="000000"/>
          <w:sz w:val="24"/>
          <w:szCs w:val="24"/>
        </w:rPr>
        <w:t>供应商</w:t>
      </w:r>
      <w:r>
        <w:rPr>
          <w:rFonts w:ascii="Times New Roman" w:hAnsi="Times New Roman"/>
          <w:b/>
          <w:bCs/>
          <w:color w:val="000000"/>
          <w:sz w:val="24"/>
          <w:szCs w:val="24"/>
        </w:rPr>
        <w:t>”</w:t>
      </w:r>
      <w:r>
        <w:rPr>
          <w:rFonts w:hint="eastAsia" w:ascii="宋体" w:hAnsi="宋体" w:eastAsia="宋体" w:cs="宋体"/>
          <w:b/>
          <w:bCs/>
          <w:color w:val="000000"/>
          <w:sz w:val="24"/>
          <w:szCs w:val="24"/>
        </w:rPr>
        <w:t>，获取方式：供应商账号密码登陆政采云平台后点击我的的工作台，然后点击</w:t>
      </w:r>
      <w:r>
        <w:rPr>
          <w:rFonts w:ascii="Times New Roman" w:hAnsi="Times New Roman"/>
          <w:b/>
          <w:bCs/>
          <w:color w:val="000000"/>
          <w:sz w:val="24"/>
          <w:szCs w:val="24"/>
        </w:rPr>
        <w:t>“</w:t>
      </w:r>
      <w:r>
        <w:rPr>
          <w:rFonts w:hint="eastAsia" w:ascii="宋体" w:hAnsi="宋体" w:eastAsia="宋体" w:cs="宋体"/>
          <w:b/>
          <w:bCs/>
          <w:color w:val="000000"/>
          <w:sz w:val="24"/>
          <w:szCs w:val="24"/>
        </w:rPr>
        <w:t>服务中心</w:t>
      </w:r>
      <w:r>
        <w:rPr>
          <w:rFonts w:ascii="Times New Roman" w:hAnsi="Times New Roman"/>
          <w:b/>
          <w:bCs/>
          <w:color w:val="000000"/>
          <w:sz w:val="24"/>
          <w:szCs w:val="24"/>
        </w:rPr>
        <w:t>”</w:t>
      </w:r>
      <w:r>
        <w:rPr>
          <w:rFonts w:hint="eastAsia" w:ascii="宋体" w:hAnsi="宋体" w:eastAsia="宋体" w:cs="宋体"/>
          <w:b/>
          <w:bCs/>
          <w:color w:val="000000"/>
          <w:sz w:val="24"/>
          <w:szCs w:val="24"/>
        </w:rPr>
        <w:t>后下拉框内找到</w:t>
      </w:r>
      <w:r>
        <w:rPr>
          <w:rFonts w:ascii="Times New Roman" w:hAnsi="Times New Roman"/>
          <w:b/>
          <w:bCs/>
          <w:color w:val="000000"/>
          <w:sz w:val="24"/>
          <w:szCs w:val="24"/>
        </w:rPr>
        <w:t>“</w:t>
      </w:r>
      <w:r>
        <w:rPr>
          <w:rFonts w:hint="eastAsia" w:ascii="宋体" w:hAnsi="宋体" w:eastAsia="宋体" w:cs="宋体"/>
          <w:b/>
          <w:bCs/>
          <w:color w:val="000000"/>
          <w:sz w:val="24"/>
          <w:szCs w:val="24"/>
        </w:rPr>
        <w:t>帮助文档</w:t>
      </w:r>
      <w:r>
        <w:rPr>
          <w:rFonts w:ascii="Times New Roman" w:hAnsi="Times New Roman"/>
          <w:b/>
          <w:bCs/>
          <w:color w:val="000000"/>
          <w:sz w:val="24"/>
          <w:szCs w:val="24"/>
        </w:rPr>
        <w:t>”</w:t>
      </w:r>
      <w:r>
        <w:rPr>
          <w:rFonts w:hint="eastAsia" w:ascii="宋体" w:hAnsi="宋体" w:eastAsia="宋体" w:cs="宋体"/>
          <w:b/>
          <w:bCs/>
          <w:color w:val="000000"/>
          <w:sz w:val="24"/>
          <w:szCs w:val="24"/>
        </w:rPr>
        <w:t>点击打开在搜索处直接查找即可找到帮忙文档及视频进行查看学习操作流程。</w:t>
      </w:r>
    </w:p>
    <w:p>
      <w:pPr>
        <w:widowControl/>
        <w:autoSpaceDE w:val="0"/>
        <w:snapToGrid w:val="0"/>
        <w:spacing w:line="360" w:lineRule="auto"/>
        <w:ind w:firstLine="482" w:firstLineChars="200"/>
        <w:jc w:val="left"/>
      </w:pPr>
      <w:r>
        <w:rPr>
          <w:rFonts w:hint="eastAsia" w:ascii="宋体" w:hAnsi="宋体"/>
          <w:b/>
          <w:bCs/>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24" w:lineRule="auto"/>
        <w:ind w:left="482"/>
        <w:jc w:val="left"/>
        <w:rPr>
          <w:rFonts w:ascii="宋体" w:hAnsi="宋体" w:cs="宋体"/>
          <w:b/>
          <w:color w:val="000000"/>
          <w:kern w:val="0"/>
          <w:sz w:val="24"/>
        </w:rPr>
      </w:pPr>
      <w:r>
        <w:rPr>
          <w:rFonts w:hint="eastAsia" w:ascii="宋体" w:hAnsi="宋体" w:cs="宋体"/>
          <w:b/>
          <w:color w:val="000000"/>
          <w:kern w:val="0"/>
          <w:sz w:val="24"/>
        </w:rPr>
        <w:t>十四、其他事项：</w:t>
      </w:r>
    </w:p>
    <w:p>
      <w:pPr>
        <w:widowControl/>
        <w:numPr>
          <w:ilvl w:val="0"/>
          <w:numId w:val="11"/>
        </w:numPr>
        <w:snapToGrid w:val="0"/>
        <w:spacing w:line="348" w:lineRule="auto"/>
        <w:ind w:firstLine="480" w:firstLineChars="200"/>
        <w:jc w:val="left"/>
        <w:rPr>
          <w:rFonts w:ascii="宋体" w:hAnsi="宋体" w:cs="宋体"/>
          <w:color w:val="000000"/>
          <w:sz w:val="24"/>
        </w:rPr>
      </w:pPr>
      <w:r>
        <w:rPr>
          <w:rFonts w:hint="eastAsia" w:ascii="宋体" w:hAnsi="宋体" w:cs="宋体"/>
          <w:color w:val="000000"/>
          <w:sz w:val="24"/>
        </w:rPr>
        <w:t>本项目公告、招标文件获取期限：公告之日起5个工作日。</w:t>
      </w:r>
    </w:p>
    <w:p>
      <w:pPr>
        <w:snapToGrid w:val="0"/>
        <w:spacing w:line="336" w:lineRule="auto"/>
        <w:ind w:firstLine="480" w:firstLineChars="200"/>
        <w:jc w:val="left"/>
        <w:rPr>
          <w:rFonts w:ascii="宋体" w:cs="宋体"/>
          <w:color w:val="000000"/>
          <w:sz w:val="24"/>
        </w:rPr>
      </w:pPr>
      <w:r>
        <w:rPr>
          <w:rFonts w:hint="eastAsia" w:ascii="宋体" w:hAnsi="宋体" w:cs="宋体"/>
          <w:color w:val="000000"/>
          <w:sz w:val="24"/>
        </w:rPr>
        <w:t>2、质疑事项：</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）、投标人如认为招标公告信息使自身的合法权益受到损害的，应于自招标公告发布之日起七个工作日内以书面形式向采购代理机构提出质疑。</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snapToGrid w:val="0"/>
        <w:spacing w:line="336" w:lineRule="auto"/>
        <w:ind w:firstLine="480" w:firstLineChars="200"/>
        <w:jc w:val="left"/>
        <w:rPr>
          <w:rFonts w:ascii="宋体" w:cs="宋体"/>
          <w:color w:val="000000"/>
          <w:sz w:val="24"/>
        </w:rPr>
      </w:pPr>
      <w:r>
        <w:rPr>
          <w:rFonts w:hint="eastAsia" w:ascii="宋体" w:hAnsi="宋体" w:cs="宋体"/>
          <w:color w:val="000000"/>
          <w:sz w:val="24"/>
        </w:rPr>
        <w:t>（3）、投标人如认为采购过程使自身的合法权益受到损害的，应于自各采购程序环节结束之日起七个工作日内，以书面形式向采购代理机构提出质疑。</w:t>
      </w:r>
    </w:p>
    <w:p>
      <w:pPr>
        <w:snapToGrid w:val="0"/>
        <w:spacing w:line="336" w:lineRule="auto"/>
        <w:ind w:firstLine="480" w:firstLineChars="200"/>
        <w:jc w:val="left"/>
        <w:rPr>
          <w:rFonts w:ascii="宋体" w:cs="宋体"/>
          <w:color w:val="000000"/>
          <w:sz w:val="24"/>
        </w:rPr>
      </w:pPr>
      <w:r>
        <w:rPr>
          <w:rFonts w:hint="eastAsia" w:ascii="宋体" w:hAnsi="宋体" w:cs="宋体"/>
          <w:color w:val="000000"/>
          <w:sz w:val="24"/>
        </w:rPr>
        <w:t>（4）、投标人如认为中标结果使自身的合法权益受到损害的，应于自中标结果公告期限（公告期限为</w:t>
      </w:r>
      <w:r>
        <w:rPr>
          <w:rFonts w:ascii="宋体" w:hAnsi="宋体" w:cs="宋体"/>
          <w:color w:val="000000"/>
          <w:sz w:val="24"/>
        </w:rPr>
        <w:t>1</w:t>
      </w:r>
      <w:r>
        <w:rPr>
          <w:rFonts w:hint="eastAsia" w:ascii="宋体" w:hAnsi="宋体" w:cs="宋体"/>
          <w:color w:val="000000"/>
          <w:sz w:val="24"/>
        </w:rPr>
        <w:t>个工作日）届满之日起七个工作日内，以书面形式向采购代理机构提出质疑。</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3、投标人提出质疑应当提交质疑函的和必要的证明材料，« 政府采购供应商质疑函范本»下载地址 :http: //gks.mof.gov.cn/,质疑函应当包括下列内容:</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(一) 供应商的姓名或者名称、地址、邮编、联 系人及联系电话；</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(二) 质疑项目的名称、编号；</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(三) 具体、明确的质疑事项和与质疑事项相关的请求；</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(四) 事实依据；</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(五) 必要的法律依据；</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(六) 提出质疑的日期。</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 xml:space="preserve">  投标人为自然人的，应当由本人签字；投标人为法人或者其他组织的，应当由法定代表人、主要负责人，或者其授权代表签字或者盖章，并加盖公章。</w:t>
      </w:r>
    </w:p>
    <w:p>
      <w:pPr>
        <w:widowControl/>
        <w:snapToGrid w:val="0"/>
        <w:spacing w:line="336" w:lineRule="auto"/>
        <w:ind w:left="479" w:leftChars="228"/>
        <w:jc w:val="left"/>
        <w:rPr>
          <w:rFonts w:ascii="宋体" w:hAnsi="宋体" w:cs="Arial"/>
          <w:color w:val="000000"/>
          <w:sz w:val="24"/>
        </w:rPr>
      </w:pPr>
      <w:r>
        <w:rPr>
          <w:rFonts w:hint="eastAsia" w:ascii="宋体" w:hAnsi="宋体" w:cs="宋体"/>
          <w:color w:val="000000"/>
          <w:kern w:val="0"/>
          <w:sz w:val="24"/>
        </w:rPr>
        <w:t>书面质疑受理地点</w:t>
      </w:r>
      <w:r>
        <w:rPr>
          <w:rFonts w:hint="eastAsia" w:ascii="宋体" w:hAnsi="宋体" w:cs="Arial"/>
          <w:color w:val="000000"/>
          <w:sz w:val="24"/>
        </w:rPr>
        <w:t>（建议E</w:t>
      </w:r>
      <w:r>
        <w:rPr>
          <w:rFonts w:ascii="宋体" w:hAnsi="宋体" w:cs="Arial"/>
          <w:color w:val="000000"/>
          <w:sz w:val="24"/>
        </w:rPr>
        <w:t>MS</w:t>
      </w:r>
      <w:r>
        <w:rPr>
          <w:rFonts w:hint="eastAsia" w:ascii="宋体" w:hAnsi="宋体" w:cs="Arial"/>
          <w:color w:val="000000"/>
          <w:sz w:val="24"/>
        </w:rPr>
        <w:t>邮寄形式送达）</w:t>
      </w:r>
      <w:r>
        <w:rPr>
          <w:rFonts w:hint="eastAsia" w:ascii="宋体" w:hAnsi="宋体" w:cs="宋体"/>
          <w:sz w:val="24"/>
        </w:rPr>
        <w:t>杭州市余杭区南苑街道世纪大道</w:t>
      </w:r>
      <w:r>
        <w:rPr>
          <w:rFonts w:ascii="宋体" w:hAnsi="宋体" w:cs="宋体"/>
          <w:sz w:val="24"/>
        </w:rPr>
        <w:t>168号理想国际大厦9楼</w:t>
      </w:r>
      <w:r>
        <w:rPr>
          <w:rFonts w:hint="eastAsia" w:ascii="宋体" w:hAnsi="宋体" w:cs="宋体"/>
          <w:sz w:val="24"/>
          <w:lang w:eastAsia="zh-CN"/>
        </w:rPr>
        <w:t>，</w:t>
      </w:r>
      <w:r>
        <w:rPr>
          <w:rFonts w:hint="eastAsia" w:ascii="宋体" w:hAnsi="宋体" w:cs="宋体"/>
          <w:sz w:val="24"/>
        </w:rPr>
        <w:t>质疑联系人：范浩</w:t>
      </w:r>
      <w:r>
        <w:rPr>
          <w:rFonts w:hint="eastAsia" w:ascii="宋体" w:hAnsi="宋体" w:cs="宋体"/>
          <w:sz w:val="24"/>
          <w:lang w:eastAsia="zh-CN"/>
        </w:rPr>
        <w:t>，</w:t>
      </w:r>
      <w:r>
        <w:rPr>
          <w:rFonts w:hint="eastAsia" w:ascii="宋体" w:hAnsi="宋体" w:cs="宋体"/>
          <w:sz w:val="24"/>
        </w:rPr>
        <w:t>质疑联系方式：0571-8</w:t>
      </w:r>
      <w:r>
        <w:rPr>
          <w:rFonts w:ascii="宋体" w:hAnsi="宋体" w:cs="宋体"/>
          <w:sz w:val="24"/>
        </w:rPr>
        <w:t>6164889</w:t>
      </w:r>
      <w:r>
        <w:rPr>
          <w:rFonts w:hint="eastAsia" w:ascii="宋体" w:hAnsi="宋体" w:cs="宋体"/>
          <w:sz w:val="24"/>
        </w:rPr>
        <w:t>，</w:t>
      </w:r>
      <w:r>
        <w:rPr>
          <w:rFonts w:hint="eastAsia" w:ascii="宋体" w:hAnsi="宋体" w:cs="宋体"/>
          <w:kern w:val="0"/>
          <w:sz w:val="24"/>
          <w:lang w:val="en-US" w:eastAsia="zh-CN"/>
        </w:rPr>
        <w:t>13588366887</w:t>
      </w:r>
      <w:r>
        <w:rPr>
          <w:rFonts w:hint="eastAsia" w:ascii="宋体" w:hAnsi="宋体" w:cs="宋体"/>
          <w:kern w:val="0"/>
          <w:sz w:val="24"/>
          <w:lang w:eastAsia="zh-CN"/>
        </w:rPr>
        <w:t>，</w:t>
      </w:r>
      <w:r>
        <w:rPr>
          <w:rFonts w:hint="eastAsia" w:ascii="宋体" w:hAnsi="宋体" w:cs="Arial"/>
          <w:color w:val="000000"/>
          <w:sz w:val="24"/>
        </w:rPr>
        <w:t>采购单位质疑联系人：</w:t>
      </w:r>
      <w:r>
        <w:rPr>
          <w:rFonts w:hint="eastAsia" w:ascii="宋体" w:hAnsi="宋体" w:cs="微软雅黑"/>
          <w:kern w:val="0"/>
          <w:sz w:val="24"/>
          <w:szCs w:val="24"/>
          <w:lang w:val="en-US" w:eastAsia="zh-CN"/>
        </w:rPr>
        <w:t>王先生</w:t>
      </w:r>
      <w:r>
        <w:rPr>
          <w:rFonts w:hint="eastAsia" w:ascii="宋体" w:hAnsi="宋体" w:cs="Arial"/>
          <w:color w:val="000000"/>
          <w:sz w:val="24"/>
        </w:rPr>
        <w:t>，联系电话：</w:t>
      </w:r>
      <w:r>
        <w:rPr>
          <w:rFonts w:hint="eastAsia" w:ascii="宋体" w:hAnsi="宋体" w:cs="微软雅黑"/>
          <w:kern w:val="0"/>
          <w:sz w:val="24"/>
          <w:szCs w:val="24"/>
          <w:lang w:val="en-US" w:eastAsia="zh-CN"/>
        </w:rPr>
        <w:t>0571-86108365</w:t>
      </w:r>
      <w:r>
        <w:rPr>
          <w:rFonts w:hint="eastAsia" w:ascii="宋体" w:hAnsi="宋体" w:cs="Arial"/>
          <w:color w:val="000000"/>
          <w:sz w:val="24"/>
          <w:lang w:val="en-US" w:eastAsia="zh-CN"/>
        </w:rPr>
        <w:t xml:space="preserve">         </w:t>
      </w:r>
      <w:r>
        <w:rPr>
          <w:rFonts w:hint="eastAsia" w:ascii="宋体" w:hAnsi="宋体" w:cs="Arial"/>
          <w:color w:val="000000"/>
          <w:sz w:val="24"/>
        </w:rPr>
        <w:t>。</w:t>
      </w:r>
    </w:p>
    <w:p>
      <w:pPr>
        <w:adjustRightInd w:val="0"/>
        <w:snapToGrid w:val="0"/>
        <w:spacing w:line="336" w:lineRule="auto"/>
        <w:ind w:firstLine="480" w:firstLineChars="200"/>
        <w:rPr>
          <w:rFonts w:ascii="宋体" w:hAnsi="宋体" w:cs="宋体"/>
          <w:color w:val="000000"/>
          <w:sz w:val="24"/>
        </w:rPr>
      </w:pPr>
      <w:r>
        <w:rPr>
          <w:rFonts w:hint="eastAsia" w:ascii="宋体" w:hAnsi="宋体" w:cs="宋体"/>
          <w:color w:val="000000"/>
          <w:sz w:val="24"/>
        </w:rPr>
        <w:t>4、提出质疑的供应商应当是参与本项招标活动的投标人，在法定质疑期内应一次性提出针对同一采购程序环节的质疑。</w:t>
      </w:r>
    </w:p>
    <w:p>
      <w:pPr>
        <w:adjustRightInd w:val="0"/>
        <w:snapToGrid w:val="0"/>
        <w:spacing w:line="336" w:lineRule="auto"/>
        <w:ind w:firstLine="482" w:firstLineChars="200"/>
        <w:rPr>
          <w:rFonts w:ascii="宋体" w:hAnsi="宋体" w:cs="宋体"/>
          <w:color w:val="000000"/>
          <w:sz w:val="24"/>
        </w:rPr>
      </w:pPr>
      <w:r>
        <w:rPr>
          <w:rFonts w:hint="eastAsia" w:ascii="宋体" w:hAnsi="宋体" w:cs="宋体"/>
          <w:b/>
          <w:bCs/>
          <w:color w:val="000000"/>
          <w:sz w:val="24"/>
        </w:rPr>
        <w:t>5、根据《政府采购质疑和投诉办法》第三十七条的规定，投诉人在全国范围12个月内三次以上投诉查无实据的，由财政部门列入不良行为记录名单</w:t>
      </w:r>
      <w:r>
        <w:rPr>
          <w:rFonts w:hint="eastAsia" w:ascii="宋体" w:hAnsi="宋体" w:cs="宋体"/>
          <w:color w:val="000000"/>
          <w:sz w:val="24"/>
        </w:rPr>
        <w:t>。</w:t>
      </w:r>
    </w:p>
    <w:p>
      <w:pPr>
        <w:adjustRightInd w:val="0"/>
        <w:snapToGrid w:val="0"/>
        <w:spacing w:line="336" w:lineRule="auto"/>
        <w:ind w:firstLine="480" w:firstLineChars="200"/>
        <w:rPr>
          <w:rFonts w:ascii="宋体" w:hAnsi="宋体" w:cs="宋体"/>
          <w:sz w:val="24"/>
        </w:rPr>
      </w:pPr>
      <w:r>
        <w:rPr>
          <w:rFonts w:hint="eastAsia" w:ascii="宋体" w:hAnsi="宋体" w:cs="宋体"/>
          <w:color w:val="000000"/>
          <w:sz w:val="24"/>
        </w:rPr>
        <w:t>6、投诉事项：投标人对采购代理机构的质疑答复不满意或者采购代理机构未在规定时间内作出答复的，</w:t>
      </w:r>
      <w:r>
        <w:rPr>
          <w:rFonts w:hint="eastAsia" w:ascii="宋体" w:hAnsi="宋体" w:cs="宋体"/>
          <w:sz w:val="24"/>
        </w:rPr>
        <w:t>可以在答复期满后十五个工作日内向同级政府采购监督管理部门余杭区财政局采购监管科投诉，</w:t>
      </w:r>
      <w:r>
        <w:rPr>
          <w:rFonts w:hint="eastAsia" w:ascii="宋体" w:hAnsi="宋体" w:cs="宋体"/>
          <w:color w:val="000000"/>
          <w:kern w:val="0"/>
          <w:sz w:val="24"/>
        </w:rPr>
        <w:t>地址：</w:t>
      </w:r>
      <w:r>
        <w:rPr>
          <w:rFonts w:hint="eastAsia" w:ascii="宋体" w:hAnsi="宋体" w:cs="宋体"/>
          <w:sz w:val="24"/>
        </w:rPr>
        <w:t>杭州市余杭区临平东湖中路236号余杭财税大楼</w:t>
      </w:r>
      <w:r>
        <w:rPr>
          <w:rFonts w:hint="eastAsia" w:ascii="宋体" w:hAnsi="宋体" w:cs="宋体"/>
          <w:color w:val="000000"/>
          <w:kern w:val="0"/>
          <w:sz w:val="24"/>
        </w:rPr>
        <w:t>；</w:t>
      </w:r>
      <w:r>
        <w:rPr>
          <w:rFonts w:hint="eastAsia" w:ascii="宋体" w:hAnsi="宋体" w:cs="宋体"/>
          <w:sz w:val="24"/>
        </w:rPr>
        <w:t>联系电话为</w:t>
      </w:r>
      <w:r>
        <w:rPr>
          <w:rFonts w:ascii="宋体" w:hAnsi="宋体" w:cs="宋体"/>
          <w:sz w:val="24"/>
        </w:rPr>
        <w:t>0571-89180113</w:t>
      </w:r>
      <w:r>
        <w:rPr>
          <w:rFonts w:hint="eastAsia" w:ascii="宋体" w:hAnsi="宋体" w:cs="宋体"/>
          <w:sz w:val="24"/>
        </w:rPr>
        <w:t>。</w:t>
      </w:r>
    </w:p>
    <w:p>
      <w:pPr>
        <w:widowControl/>
        <w:snapToGrid w:val="0"/>
        <w:spacing w:line="336" w:lineRule="auto"/>
        <w:ind w:firstLine="482" w:firstLineChars="200"/>
        <w:jc w:val="left"/>
        <w:rPr>
          <w:rFonts w:hint="eastAsia" w:ascii="宋体" w:hAnsi="宋体" w:cs="宋体"/>
          <w:b/>
          <w:color w:val="000000"/>
          <w:kern w:val="0"/>
          <w:sz w:val="24"/>
        </w:rPr>
      </w:pPr>
    </w:p>
    <w:p>
      <w:pPr>
        <w:widowControl/>
        <w:snapToGrid w:val="0"/>
        <w:spacing w:line="336"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十五、联系方式：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both"/>
        <w:textAlignment w:val="auto"/>
        <w:rPr>
          <w:rFonts w:hint="eastAsia" w:ascii="宋体" w:hAnsi="宋体" w:eastAsia="宋体" w:cs="微软雅黑"/>
          <w:kern w:val="0"/>
          <w:sz w:val="24"/>
          <w:szCs w:val="24"/>
        </w:rPr>
      </w:pPr>
      <w:r>
        <w:rPr>
          <w:rFonts w:hint="eastAsia" w:ascii="宋体" w:hAnsi="宋体" w:eastAsia="宋体" w:cs="微软雅黑"/>
          <w:kern w:val="0"/>
          <w:sz w:val="24"/>
          <w:szCs w:val="24"/>
        </w:rPr>
        <w:t>1、采购</w:t>
      </w:r>
      <w:r>
        <w:rPr>
          <w:rFonts w:ascii="宋体" w:hAnsi="宋体" w:eastAsia="宋体" w:cs="微软雅黑"/>
          <w:kern w:val="0"/>
          <w:sz w:val="24"/>
          <w:szCs w:val="24"/>
        </w:rPr>
        <w:t>人：</w:t>
      </w:r>
      <w:r>
        <w:rPr>
          <w:rFonts w:hint="eastAsia" w:ascii="宋体" w:hAnsi="宋体" w:eastAsia="宋体" w:cs="微软雅黑"/>
          <w:kern w:val="0"/>
          <w:sz w:val="24"/>
          <w:szCs w:val="24"/>
        </w:rPr>
        <w:t>杭州市余杭区人民政府中泰街道办事处</w:t>
      </w:r>
    </w:p>
    <w:p>
      <w:pPr>
        <w:pStyle w:val="2"/>
        <w:keepNext w:val="0"/>
        <w:keepLines w:val="0"/>
        <w:pageBreakBefore w:val="0"/>
        <w:widowControl w:val="0"/>
        <w:kinsoku/>
        <w:wordWrap/>
        <w:overflowPunct/>
        <w:topLinePunct w:val="0"/>
        <w:autoSpaceDE/>
        <w:autoSpaceDN/>
        <w:bidi w:val="0"/>
        <w:spacing w:line="360" w:lineRule="auto"/>
        <w:ind w:left="0" w:leftChars="0" w:firstLine="1200" w:firstLineChars="500"/>
        <w:jc w:val="both"/>
        <w:textAlignment w:val="auto"/>
        <w:rPr>
          <w:rFonts w:hint="default" w:eastAsia="宋体"/>
          <w:lang w:val="en-US" w:eastAsia="zh-CN"/>
        </w:rPr>
      </w:pPr>
      <w:r>
        <w:rPr>
          <w:rFonts w:hint="eastAsia" w:ascii="宋体" w:hAnsi="宋体" w:cs="微软雅黑"/>
          <w:kern w:val="0"/>
          <w:sz w:val="24"/>
          <w:szCs w:val="24"/>
          <w:lang w:val="en-US" w:eastAsia="zh-CN"/>
        </w:rPr>
        <w:t>地址：杭州市余杭区</w:t>
      </w:r>
      <w:r>
        <w:rPr>
          <w:rFonts w:hint="eastAsia" w:ascii="宋体" w:hAnsi="宋体" w:eastAsia="宋体" w:cs="微软雅黑"/>
          <w:kern w:val="0"/>
          <w:sz w:val="24"/>
          <w:szCs w:val="24"/>
        </w:rPr>
        <w:t>人民政府中泰街道办事处</w:t>
      </w:r>
      <w:r>
        <w:rPr>
          <w:rFonts w:hint="eastAsia" w:ascii="宋体" w:hAnsi="宋体" w:cs="微软雅黑"/>
          <w:kern w:val="0"/>
          <w:sz w:val="24"/>
          <w:szCs w:val="24"/>
          <w:lang w:val="en-US" w:eastAsia="zh-CN"/>
        </w:rPr>
        <w:t>杭泰路158号</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eastAsia" w:ascii="宋体" w:hAnsi="宋体" w:cs="微软雅黑"/>
          <w:kern w:val="0"/>
          <w:sz w:val="24"/>
          <w:szCs w:val="24"/>
          <w:lang w:val="en-US" w:eastAsia="zh-CN"/>
        </w:rPr>
      </w:pPr>
      <w:r>
        <w:rPr>
          <w:rFonts w:hint="eastAsia" w:ascii="宋体" w:hAnsi="宋体" w:cs="微软雅黑"/>
          <w:kern w:val="0"/>
          <w:sz w:val="24"/>
          <w:szCs w:val="24"/>
          <w:lang w:val="en-US" w:eastAsia="zh-CN"/>
        </w:rPr>
        <w:t>质疑</w:t>
      </w:r>
      <w:r>
        <w:rPr>
          <w:rFonts w:ascii="宋体" w:hAnsi="宋体" w:eastAsia="宋体" w:cs="微软雅黑"/>
          <w:kern w:val="0"/>
          <w:sz w:val="24"/>
          <w:szCs w:val="24"/>
        </w:rPr>
        <w:t>联系人：</w:t>
      </w:r>
      <w:r>
        <w:rPr>
          <w:rFonts w:hint="eastAsia" w:ascii="宋体" w:hAnsi="宋体" w:cs="微软雅黑"/>
          <w:kern w:val="0"/>
          <w:sz w:val="24"/>
          <w:szCs w:val="24"/>
          <w:lang w:val="en-US" w:eastAsia="zh-CN"/>
        </w:rPr>
        <w:t>王先生</w:t>
      </w:r>
      <w:r>
        <w:rPr>
          <w:rFonts w:hint="eastAsia" w:ascii="宋体" w:hAnsi="宋体" w:eastAsia="宋体" w:cs="微软雅黑"/>
          <w:kern w:val="0"/>
          <w:sz w:val="24"/>
          <w:szCs w:val="24"/>
        </w:rPr>
        <w:t xml:space="preserve">   </w:t>
      </w:r>
      <w:r>
        <w:rPr>
          <w:rFonts w:ascii="宋体" w:hAnsi="宋体" w:eastAsia="宋体" w:cs="微软雅黑"/>
          <w:kern w:val="0"/>
          <w:sz w:val="24"/>
          <w:szCs w:val="24"/>
        </w:rPr>
        <w:t>联系电话：</w:t>
      </w:r>
      <w:r>
        <w:rPr>
          <w:rFonts w:hint="eastAsia" w:ascii="宋体" w:hAnsi="宋体" w:cs="微软雅黑"/>
          <w:kern w:val="0"/>
          <w:sz w:val="24"/>
          <w:szCs w:val="24"/>
          <w:lang w:val="en-US" w:eastAsia="zh-CN"/>
        </w:rPr>
        <w:t>0571-86108365</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eastAsia" w:ascii="宋体" w:hAnsi="宋体" w:cs="微软雅黑"/>
          <w:kern w:val="0"/>
          <w:sz w:val="24"/>
          <w:szCs w:val="24"/>
          <w:lang w:val="en-US" w:eastAsia="zh-CN"/>
        </w:rPr>
      </w:pPr>
      <w:r>
        <w:rPr>
          <w:rFonts w:hint="eastAsia" w:ascii="宋体" w:hAnsi="宋体" w:cs="微软雅黑"/>
          <w:kern w:val="0"/>
          <w:sz w:val="24"/>
          <w:szCs w:val="24"/>
          <w:lang w:val="en-US" w:eastAsia="zh-CN"/>
        </w:rPr>
        <w:t>委托</w:t>
      </w:r>
      <w:r>
        <w:rPr>
          <w:rFonts w:ascii="宋体" w:hAnsi="宋体" w:eastAsia="宋体" w:cs="微软雅黑"/>
          <w:kern w:val="0"/>
          <w:sz w:val="24"/>
          <w:szCs w:val="24"/>
        </w:rPr>
        <w:t>联系人：</w:t>
      </w:r>
      <w:r>
        <w:rPr>
          <w:rFonts w:hint="eastAsia" w:ascii="宋体" w:hAnsi="宋体" w:cs="微软雅黑"/>
          <w:kern w:val="0"/>
          <w:sz w:val="24"/>
          <w:szCs w:val="24"/>
          <w:lang w:val="en-US" w:eastAsia="zh-CN"/>
        </w:rPr>
        <w:t>孙先生</w:t>
      </w:r>
      <w:r>
        <w:rPr>
          <w:rFonts w:hint="eastAsia" w:ascii="宋体" w:hAnsi="宋体" w:eastAsia="宋体" w:cs="微软雅黑"/>
          <w:kern w:val="0"/>
          <w:sz w:val="24"/>
          <w:szCs w:val="24"/>
        </w:rPr>
        <w:t xml:space="preserve">   </w:t>
      </w:r>
      <w:r>
        <w:rPr>
          <w:rFonts w:ascii="宋体" w:hAnsi="宋体" w:eastAsia="宋体" w:cs="微软雅黑"/>
          <w:kern w:val="0"/>
          <w:sz w:val="24"/>
          <w:szCs w:val="24"/>
        </w:rPr>
        <w:t>联系电话：</w:t>
      </w:r>
      <w:r>
        <w:rPr>
          <w:rFonts w:hint="eastAsia" w:ascii="宋体" w:hAnsi="宋体" w:cs="微软雅黑"/>
          <w:kern w:val="0"/>
          <w:sz w:val="24"/>
          <w:szCs w:val="24"/>
          <w:lang w:val="en-US" w:eastAsia="zh-CN"/>
        </w:rPr>
        <w:t>0571-86634826</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eastAsia="宋体" w:cs="微软雅黑"/>
          <w:kern w:val="0"/>
          <w:sz w:val="24"/>
          <w:szCs w:val="24"/>
        </w:rPr>
        <w:t>2、</w:t>
      </w:r>
      <w:r>
        <w:rPr>
          <w:rFonts w:hint="eastAsia" w:ascii="宋体" w:hAnsi="宋体" w:cs="宋体"/>
          <w:sz w:val="24"/>
        </w:rPr>
        <w:t>名称：浙江文华建设项目管理有限公司 </w:t>
      </w:r>
    </w:p>
    <w:p>
      <w:pPr>
        <w:keepNext w:val="0"/>
        <w:keepLines w:val="0"/>
        <w:pageBreakBefore w:val="0"/>
        <w:widowControl w:val="0"/>
        <w:kinsoku/>
        <w:wordWrap/>
        <w:overflowPunct/>
        <w:topLinePunct w:val="0"/>
        <w:autoSpaceDE/>
        <w:autoSpaceDN/>
        <w:bidi w:val="0"/>
        <w:spacing w:line="360" w:lineRule="auto"/>
        <w:ind w:firstLine="960" w:firstLineChars="400"/>
        <w:textAlignment w:val="auto"/>
        <w:rPr>
          <w:rFonts w:ascii="宋体" w:hAnsi="宋体" w:cs="宋体"/>
          <w:sz w:val="24"/>
        </w:rPr>
      </w:pPr>
      <w:r>
        <w:rPr>
          <w:rFonts w:hint="eastAsia" w:ascii="宋体" w:hAnsi="宋体" w:cs="宋体"/>
          <w:sz w:val="24"/>
        </w:rPr>
        <w:t>地址：杭州市余杭区南苑街道世纪大道</w:t>
      </w:r>
      <w:r>
        <w:rPr>
          <w:rFonts w:ascii="宋体" w:hAnsi="宋体" w:cs="宋体"/>
          <w:sz w:val="24"/>
        </w:rPr>
        <w:t>168号理想国际大厦9楼</w:t>
      </w:r>
      <w:r>
        <w:rPr>
          <w:rFonts w:hint="eastAsia" w:ascii="宋体" w:hAnsi="宋体" w:cs="宋体"/>
          <w:sz w:val="24"/>
        </w:rPr>
        <w:t> </w:t>
      </w:r>
    </w:p>
    <w:p>
      <w:pPr>
        <w:keepNext w:val="0"/>
        <w:keepLines w:val="0"/>
        <w:pageBreakBefore w:val="0"/>
        <w:widowControl w:val="0"/>
        <w:kinsoku/>
        <w:wordWrap/>
        <w:overflowPunct/>
        <w:topLinePunct w:val="0"/>
        <w:autoSpaceDE/>
        <w:autoSpaceDN/>
        <w:bidi w:val="0"/>
        <w:spacing w:line="360" w:lineRule="auto"/>
        <w:ind w:firstLine="960" w:firstLineChars="400"/>
        <w:textAlignment w:val="auto"/>
        <w:rPr>
          <w:rFonts w:ascii="宋体" w:hAnsi="宋体" w:cs="宋体"/>
          <w:sz w:val="24"/>
        </w:rPr>
      </w:pPr>
      <w:r>
        <w:rPr>
          <w:rFonts w:hint="eastAsia" w:ascii="宋体" w:hAnsi="宋体" w:cs="宋体"/>
          <w:sz w:val="24"/>
        </w:rPr>
        <w:t>传真：0571-86</w:t>
      </w:r>
      <w:r>
        <w:rPr>
          <w:rFonts w:ascii="宋体" w:hAnsi="宋体" w:cs="宋体"/>
          <w:sz w:val="24"/>
        </w:rPr>
        <w:t>164889</w:t>
      </w:r>
      <w:r>
        <w:rPr>
          <w:rFonts w:hint="eastAsia" w:ascii="宋体" w:hAnsi="宋体" w:cs="宋体"/>
          <w:sz w:val="24"/>
        </w:rPr>
        <w:t> </w:t>
      </w:r>
    </w:p>
    <w:p>
      <w:pPr>
        <w:keepNext w:val="0"/>
        <w:keepLines w:val="0"/>
        <w:pageBreakBefore w:val="0"/>
        <w:widowControl w:val="0"/>
        <w:kinsoku/>
        <w:wordWrap/>
        <w:overflowPunct/>
        <w:topLinePunct w:val="0"/>
        <w:autoSpaceDE/>
        <w:autoSpaceDN/>
        <w:bidi w:val="0"/>
        <w:spacing w:line="360" w:lineRule="auto"/>
        <w:ind w:firstLine="960" w:firstLineChars="400"/>
        <w:textAlignment w:val="auto"/>
        <w:rPr>
          <w:rFonts w:ascii="宋体" w:hAnsi="宋体" w:cs="宋体"/>
          <w:sz w:val="24"/>
        </w:rPr>
      </w:pPr>
      <w:r>
        <w:rPr>
          <w:rFonts w:hint="eastAsia" w:ascii="宋体" w:hAnsi="宋体" w:cs="宋体"/>
          <w:sz w:val="24"/>
        </w:rPr>
        <w:t>质疑联系人：范浩</w:t>
      </w:r>
    </w:p>
    <w:p>
      <w:pPr>
        <w:keepNext w:val="0"/>
        <w:keepLines w:val="0"/>
        <w:pageBreakBefore w:val="0"/>
        <w:widowControl w:val="0"/>
        <w:kinsoku/>
        <w:wordWrap/>
        <w:overflowPunct/>
        <w:topLinePunct w:val="0"/>
        <w:autoSpaceDE/>
        <w:autoSpaceDN/>
        <w:bidi w:val="0"/>
        <w:spacing w:line="360" w:lineRule="auto"/>
        <w:ind w:firstLine="960" w:firstLineChars="400"/>
        <w:textAlignment w:val="auto"/>
        <w:rPr>
          <w:rFonts w:ascii="宋体" w:hAnsi="宋体" w:cs="宋体"/>
          <w:sz w:val="22"/>
          <w:szCs w:val="22"/>
          <w:shd w:val="clear" w:color="auto" w:fill="FFFFFF"/>
        </w:rPr>
      </w:pPr>
      <w:r>
        <w:rPr>
          <w:rFonts w:hint="eastAsia" w:ascii="宋体" w:hAnsi="宋体" w:cs="宋体"/>
          <w:sz w:val="24"/>
        </w:rPr>
        <w:t>质疑联系方式：0571-8</w:t>
      </w:r>
      <w:r>
        <w:rPr>
          <w:rFonts w:ascii="宋体" w:hAnsi="宋体" w:cs="宋体"/>
          <w:sz w:val="24"/>
        </w:rPr>
        <w:t>6164889</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微软雅黑"/>
          <w:kern w:val="0"/>
          <w:sz w:val="24"/>
          <w:szCs w:val="24"/>
        </w:rPr>
      </w:pPr>
      <w:r>
        <w:rPr>
          <w:rFonts w:hint="eastAsia" w:ascii="宋体" w:hAnsi="宋体" w:eastAsia="宋体" w:cs="微软雅黑"/>
          <w:kern w:val="0"/>
          <w:sz w:val="24"/>
          <w:szCs w:val="24"/>
        </w:rPr>
        <w:t>3.同级政府采购监督管理部门：杭州市余杭区财政局</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eastAsia="宋体" w:cs="微软雅黑"/>
          <w:kern w:val="0"/>
          <w:sz w:val="24"/>
          <w:szCs w:val="24"/>
        </w:rPr>
      </w:pPr>
      <w:r>
        <w:rPr>
          <w:rFonts w:hint="eastAsia" w:ascii="宋体" w:hAnsi="宋体" w:eastAsia="宋体" w:cs="微软雅黑"/>
          <w:kern w:val="0"/>
          <w:sz w:val="24"/>
          <w:szCs w:val="24"/>
        </w:rPr>
        <w:t>联系人：杜国强</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eastAsia="宋体" w:cs="微软雅黑"/>
          <w:kern w:val="0"/>
          <w:sz w:val="24"/>
          <w:szCs w:val="24"/>
        </w:rPr>
      </w:pPr>
      <w:r>
        <w:rPr>
          <w:rFonts w:hint="eastAsia" w:ascii="宋体" w:hAnsi="宋体" w:eastAsia="宋体" w:cs="微软雅黑"/>
          <w:kern w:val="0"/>
          <w:sz w:val="24"/>
          <w:szCs w:val="24"/>
        </w:rPr>
        <w:t>监督投诉电话：0571-89180113</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eastAsia="宋体" w:cs="微软雅黑"/>
          <w:kern w:val="0"/>
          <w:sz w:val="24"/>
          <w:szCs w:val="24"/>
        </w:rPr>
      </w:pPr>
      <w:r>
        <w:rPr>
          <w:rFonts w:hint="eastAsia" w:ascii="宋体" w:hAnsi="宋体" w:eastAsia="宋体" w:cs="微软雅黑"/>
          <w:kern w:val="0"/>
          <w:sz w:val="24"/>
          <w:szCs w:val="24"/>
        </w:rPr>
        <w:t>传  真：0571-89180113</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eastAsia="宋体" w:cs="微软雅黑"/>
          <w:kern w:val="0"/>
          <w:sz w:val="24"/>
          <w:szCs w:val="24"/>
        </w:rPr>
      </w:pPr>
      <w:r>
        <w:rPr>
          <w:rFonts w:hint="eastAsia" w:ascii="宋体" w:hAnsi="宋体" w:eastAsia="宋体" w:cs="微软雅黑"/>
          <w:kern w:val="0"/>
          <w:sz w:val="24"/>
          <w:szCs w:val="24"/>
        </w:rPr>
        <w:t>地  址：杭州市余杭区临平东湖中路236号余杭财税大楼</w:t>
      </w:r>
    </w:p>
    <w:p>
      <w:pPr>
        <w:adjustRightInd w:val="0"/>
        <w:snapToGrid w:val="0"/>
        <w:spacing w:line="336" w:lineRule="auto"/>
        <w:ind w:firstLine="480" w:firstLineChars="200"/>
        <w:rPr>
          <w:rFonts w:ascii="宋体" w:hAnsi="宋体" w:cs="宋体"/>
          <w:color w:val="000000"/>
          <w:sz w:val="24"/>
        </w:rPr>
      </w:pPr>
    </w:p>
    <w:p>
      <w:pPr>
        <w:pageBreakBefore/>
        <w:numPr>
          <w:ilvl w:val="0"/>
          <w:numId w:val="8"/>
        </w:numPr>
        <w:shd w:val="clear" w:color="auto" w:fill="FFFFFF"/>
        <w:snapToGrid w:val="0"/>
        <w:spacing w:line="360" w:lineRule="auto"/>
        <w:jc w:val="center"/>
        <w:outlineLvl w:val="0"/>
        <w:rPr>
          <w:rFonts w:ascii="宋体" w:hAnsi="宋体" w:cs="宋体"/>
          <w:b/>
          <w:bCs/>
          <w:color w:val="000000"/>
          <w:sz w:val="32"/>
          <w:szCs w:val="32"/>
        </w:rPr>
      </w:pPr>
      <w:bookmarkStart w:id="5" w:name="_Hlt74728647"/>
      <w:bookmarkEnd w:id="5"/>
      <w:bookmarkStart w:id="6" w:name="_Hlt74649545"/>
      <w:bookmarkEnd w:id="6"/>
      <w:bookmarkStart w:id="7" w:name="_Hlt74707423"/>
      <w:bookmarkEnd w:id="7"/>
      <w:bookmarkStart w:id="8" w:name="_Hlt74729822"/>
      <w:bookmarkEnd w:id="8"/>
      <w:bookmarkStart w:id="9" w:name="_Toc354996694"/>
      <w:bookmarkStart w:id="10" w:name="_Toc31157"/>
      <w:bookmarkStart w:id="11" w:name="_Toc32171"/>
      <w:bookmarkStart w:id="12" w:name="_Toc25258"/>
      <w:bookmarkStart w:id="13" w:name="_Toc225840107"/>
      <w:r>
        <w:rPr>
          <w:rFonts w:hint="eastAsia" w:ascii="宋体" w:hAnsi="宋体" w:cs="宋体"/>
          <w:b/>
          <w:bCs/>
          <w:color w:val="000000"/>
          <w:sz w:val="32"/>
          <w:szCs w:val="32"/>
        </w:rPr>
        <w:t>编制和提交投标文件须知</w:t>
      </w:r>
      <w:bookmarkEnd w:id="9"/>
      <w:bookmarkEnd w:id="10"/>
      <w:bookmarkEnd w:id="11"/>
      <w:bookmarkEnd w:id="12"/>
    </w:p>
    <w:p>
      <w:pPr>
        <w:keepNext/>
        <w:keepLines/>
        <w:shd w:val="clear" w:color="auto" w:fill="FFFFFF"/>
        <w:tabs>
          <w:tab w:val="left" w:pos="706"/>
        </w:tabs>
        <w:snapToGrid w:val="0"/>
        <w:spacing w:line="360" w:lineRule="auto"/>
        <w:ind w:left="560" w:firstLine="454"/>
        <w:jc w:val="center"/>
        <w:outlineLvl w:val="1"/>
        <w:rPr>
          <w:rFonts w:ascii="宋体" w:hAnsi="宋体" w:cs="宋体"/>
          <w:b/>
          <w:bCs/>
          <w:color w:val="000000"/>
          <w:sz w:val="24"/>
        </w:rPr>
      </w:pPr>
      <w:bookmarkStart w:id="14" w:name="_Toc26693"/>
      <w:bookmarkStart w:id="15" w:name="_Toc31314"/>
      <w:bookmarkStart w:id="16" w:name="_Toc24979"/>
      <w:bookmarkStart w:id="17" w:name="_Toc233618971"/>
      <w:bookmarkStart w:id="18" w:name="_Toc354996695"/>
      <w:r>
        <w:rPr>
          <w:rFonts w:hint="eastAsia" w:ascii="宋体" w:hAnsi="宋体" w:cs="宋体"/>
          <w:b/>
          <w:bCs/>
          <w:color w:val="000000"/>
          <w:sz w:val="24"/>
        </w:rPr>
        <w:t>前 附 表</w:t>
      </w:r>
      <w:bookmarkEnd w:id="14"/>
      <w:bookmarkEnd w:id="15"/>
      <w:bookmarkEnd w:id="16"/>
      <w:bookmarkEnd w:id="17"/>
      <w:bookmarkEnd w:id="18"/>
    </w:p>
    <w:tbl>
      <w:tblPr>
        <w:tblStyle w:val="78"/>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 w:hRule="atLeast"/>
          <w:tblHeader/>
          <w:jc w:val="center"/>
        </w:trPr>
        <w:tc>
          <w:tcPr>
            <w:tcW w:w="655" w:type="dxa"/>
            <w:tcBorders>
              <w:top w:val="single" w:color="000000" w:sz="8"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条款</w:t>
            </w:r>
          </w:p>
        </w:tc>
        <w:tc>
          <w:tcPr>
            <w:tcW w:w="8802" w:type="dxa"/>
            <w:tcBorders>
              <w:top w:val="single" w:color="000000" w:sz="8" w:space="0"/>
              <w:left w:val="single" w:color="000000" w:sz="2" w:space="0"/>
              <w:bottom w:val="single" w:color="000000" w:sz="2" w:space="0"/>
              <w:right w:val="single" w:color="000000" w:sz="8" w:space="0"/>
            </w:tcBorders>
            <w:vAlign w:val="center"/>
          </w:tcPr>
          <w:p>
            <w:pPr>
              <w:spacing w:line="288" w:lineRule="auto"/>
              <w:jc w:val="center"/>
              <w:rPr>
                <w:rFonts w:ascii="宋体" w:hAnsi="宋体" w:cs="宋体"/>
                <w:b/>
                <w:bCs/>
                <w:sz w:val="24"/>
              </w:rPr>
            </w:pPr>
            <w:r>
              <w:rPr>
                <w:rFonts w:hint="eastAsia" w:ascii="宋体" w:hAnsi="宋体" w:cs="宋体"/>
                <w:b/>
                <w:bCs/>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color w:val="000000"/>
                <w:sz w:val="24"/>
              </w:rPr>
            </w:pPr>
            <w:r>
              <w:rPr>
                <w:rFonts w:hint="eastAsia"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b/>
                <w:color w:val="000000"/>
                <w:sz w:val="24"/>
              </w:rPr>
            </w:pPr>
            <w:r>
              <w:rPr>
                <w:rFonts w:hint="eastAsia" w:ascii="宋体" w:hAnsi="宋体" w:cs="宋体"/>
                <w:b/>
                <w:color w:val="000000"/>
                <w:sz w:val="24"/>
              </w:rPr>
              <w:t>项目说明</w:t>
            </w:r>
          </w:p>
          <w:p>
            <w:pPr>
              <w:numPr>
                <w:ilvl w:val="0"/>
                <w:numId w:val="12"/>
              </w:numPr>
              <w:tabs>
                <w:tab w:val="left" w:pos="3780"/>
              </w:tabs>
              <w:spacing w:line="336" w:lineRule="auto"/>
              <w:jc w:val="left"/>
              <w:rPr>
                <w:rFonts w:ascii="宋体" w:hAnsi="宋体" w:cs="宋体"/>
                <w:sz w:val="24"/>
              </w:rPr>
            </w:pPr>
            <w:r>
              <w:rPr>
                <w:rFonts w:hint="eastAsia" w:ascii="宋体" w:hAnsi="宋体" w:cs="宋体"/>
                <w:b/>
                <w:color w:val="000000"/>
                <w:sz w:val="24"/>
              </w:rPr>
              <w:t>项目名称：</w:t>
            </w:r>
            <w:r>
              <w:rPr>
                <w:rFonts w:hint="eastAsia" w:ascii="宋体" w:hAnsi="宋体" w:cs="宋体"/>
                <w:bCs/>
                <w:color w:val="000000"/>
                <w:spacing w:val="-5"/>
                <w:kern w:val="20"/>
                <w:sz w:val="24"/>
                <w:lang w:eastAsia="zh-CN"/>
              </w:rPr>
              <w:t>中泰街道交治工作站建设设备项目采购</w:t>
            </w:r>
            <w:r>
              <w:rPr>
                <w:rFonts w:hint="eastAsia" w:ascii="宋体" w:hAnsi="宋体" w:cs="宋体"/>
                <w:color w:val="000000"/>
                <w:sz w:val="24"/>
              </w:rPr>
              <w:t>。</w:t>
            </w:r>
          </w:p>
          <w:p>
            <w:pPr>
              <w:spacing w:line="336" w:lineRule="auto"/>
              <w:jc w:val="left"/>
              <w:rPr>
                <w:rFonts w:ascii="宋体" w:hAnsi="宋体" w:cs="宋体"/>
                <w:bCs/>
                <w:color w:val="000000"/>
                <w:sz w:val="24"/>
              </w:rPr>
            </w:pPr>
            <w:bookmarkStart w:id="19" w:name="_Hlt75139851"/>
            <w:bookmarkEnd w:id="19"/>
            <w:r>
              <w:rPr>
                <w:rFonts w:hint="eastAsia" w:ascii="宋体" w:hAnsi="宋体" w:cs="宋体"/>
                <w:b/>
                <w:color w:val="000000"/>
                <w:sz w:val="24"/>
              </w:rPr>
              <w:t>二、采购内容：</w:t>
            </w:r>
            <w:r>
              <w:rPr>
                <w:rFonts w:hint="eastAsia" w:ascii="宋体" w:hAnsi="宋体" w:cs="宋体"/>
                <w:bCs/>
                <w:color w:val="000000"/>
                <w:spacing w:val="-5"/>
                <w:kern w:val="20"/>
                <w:sz w:val="24"/>
                <w:lang w:eastAsia="zh-CN"/>
              </w:rPr>
              <w:t>中泰街道交治工作站建设设备项目采购</w:t>
            </w:r>
            <w:r>
              <w:rPr>
                <w:rFonts w:hint="eastAsia" w:ascii="宋体" w:hAnsi="宋体" w:cs="宋体"/>
                <w:bCs/>
                <w:color w:val="000000"/>
                <w:spacing w:val="-5"/>
                <w:kern w:val="20"/>
                <w:sz w:val="24"/>
              </w:rPr>
              <w:t xml:space="preserve"> </w:t>
            </w:r>
            <w:r>
              <w:rPr>
                <w:rFonts w:hint="eastAsia" w:ascii="宋体" w:hAnsi="宋体" w:cs="宋体"/>
                <w:bCs/>
                <w:color w:val="000000"/>
                <w:sz w:val="24"/>
              </w:rPr>
              <w:t>，具体内容和相关要求详见“</w:t>
            </w:r>
            <w:r>
              <w:rPr>
                <w:rFonts w:hint="eastAsia" w:ascii="宋体" w:hAnsi="宋体" w:cs="宋体"/>
                <w:color w:val="000000"/>
                <w:sz w:val="24"/>
              </w:rPr>
              <w:t>第三部分——项目技术规范和服务要求”</w:t>
            </w:r>
            <w:r>
              <w:rPr>
                <w:rFonts w:hint="eastAsia" w:ascii="宋体" w:hAnsi="宋体" w:cs="宋体"/>
                <w:bCs/>
                <w:color w:val="000000"/>
                <w:sz w:val="24"/>
              </w:rPr>
              <w:t>。</w:t>
            </w:r>
          </w:p>
          <w:p>
            <w:pPr>
              <w:autoSpaceDE w:val="0"/>
              <w:autoSpaceDN w:val="0"/>
              <w:spacing w:line="336" w:lineRule="auto"/>
              <w:jc w:val="left"/>
              <w:rPr>
                <w:rFonts w:ascii="宋体" w:hAnsi="宋体" w:cs="宋体"/>
                <w:color w:val="000000"/>
                <w:sz w:val="24"/>
              </w:rPr>
            </w:pPr>
            <w:r>
              <w:rPr>
                <w:rFonts w:hint="eastAsia" w:ascii="宋体" w:hAnsi="宋体" w:cs="宋体"/>
                <w:b/>
                <w:color w:val="000000"/>
                <w:sz w:val="24"/>
              </w:rPr>
              <w:t>三、项目实施地点：</w:t>
            </w:r>
            <w:r>
              <w:rPr>
                <w:rFonts w:hint="eastAsia" w:ascii="宋体" w:hAnsi="宋体" w:cs="宋体"/>
                <w:sz w:val="24"/>
              </w:rPr>
              <w:t>招标人指定地点</w:t>
            </w:r>
            <w:r>
              <w:rPr>
                <w:rFonts w:hint="eastAsia" w:ascii="宋体" w:hAnsi="宋体" w:cs="宋体"/>
                <w:color w:val="000000"/>
                <w:sz w:val="24"/>
              </w:rPr>
              <w:t>。</w:t>
            </w:r>
          </w:p>
          <w:p>
            <w:pPr>
              <w:autoSpaceDE w:val="0"/>
              <w:autoSpaceDN w:val="0"/>
              <w:spacing w:line="336" w:lineRule="auto"/>
              <w:jc w:val="left"/>
              <w:rPr>
                <w:rFonts w:ascii="宋体" w:hAnsi="宋体" w:cs="宋体"/>
                <w:color w:val="000000"/>
                <w:sz w:val="24"/>
              </w:rPr>
            </w:pPr>
            <w:r>
              <w:rPr>
                <w:rFonts w:hint="eastAsia" w:ascii="宋体" w:hAnsi="宋体" w:cs="宋体"/>
                <w:b/>
                <w:color w:val="000000"/>
                <w:sz w:val="24"/>
              </w:rPr>
              <w:t>四、主要功能和性能要求：</w:t>
            </w:r>
            <w:r>
              <w:rPr>
                <w:rFonts w:hint="eastAsia" w:ascii="宋体" w:hAnsi="宋体" w:cs="宋体"/>
                <w:color w:val="000000"/>
                <w:sz w:val="24"/>
              </w:rPr>
              <w:t>详见“第三部分——项目技术规范和服务要求”。</w:t>
            </w:r>
          </w:p>
          <w:p>
            <w:pPr>
              <w:autoSpaceDE w:val="0"/>
              <w:autoSpaceDN w:val="0"/>
              <w:spacing w:line="336" w:lineRule="auto"/>
              <w:jc w:val="left"/>
              <w:rPr>
                <w:rFonts w:ascii="宋体" w:hAnsi="宋体" w:cs="宋体"/>
                <w:color w:val="000000"/>
                <w:sz w:val="24"/>
              </w:rPr>
            </w:pPr>
            <w:r>
              <w:rPr>
                <w:rFonts w:hint="eastAsia" w:ascii="宋体" w:hAnsi="宋体" w:cs="宋体"/>
                <w:b/>
                <w:color w:val="000000"/>
                <w:sz w:val="24"/>
              </w:rPr>
              <w:t>五、服务期限：</w:t>
            </w:r>
            <w:r>
              <w:rPr>
                <w:rFonts w:hint="eastAsia" w:ascii="宋体" w:hAnsi="宋体" w:cs="宋体"/>
                <w:color w:val="000000"/>
                <w:sz w:val="24"/>
              </w:rPr>
              <w:t>详见“第三部分——项目技术规范和服务要求”。</w:t>
            </w:r>
            <w:r>
              <w:rPr>
                <w:rFonts w:hint="eastAsia" w:ascii="宋体" w:hAnsi="宋体" w:cs="宋体"/>
                <w:bCs/>
                <w:sz w:val="24"/>
              </w:rPr>
              <w:t xml:space="preserve"> </w:t>
            </w:r>
            <w:r>
              <w:rPr>
                <w:rFonts w:hint="eastAsia" w:ascii="宋体" w:hAnsi="宋体" w:cs="宋体"/>
                <w:bCs/>
                <w:color w:val="000000"/>
                <w:sz w:val="24"/>
              </w:rPr>
              <w:t xml:space="preserve">      </w:t>
            </w:r>
            <w:r>
              <w:rPr>
                <w:rFonts w:hint="eastAsia" w:ascii="宋体" w:hAnsi="宋体" w:cs="宋体"/>
                <w:b/>
                <w:color w:val="000000"/>
                <w:sz w:val="24"/>
              </w:rPr>
              <w:t xml:space="preserve">  </w:t>
            </w:r>
          </w:p>
          <w:p>
            <w:pPr>
              <w:spacing w:line="336" w:lineRule="auto"/>
              <w:rPr>
                <w:rFonts w:ascii="宋体" w:hAnsi="宋体" w:cs="宋体"/>
                <w:b/>
                <w:bCs/>
                <w:color w:val="000000"/>
                <w:sz w:val="24"/>
              </w:rPr>
            </w:pPr>
            <w:r>
              <w:rPr>
                <w:rFonts w:hint="eastAsia" w:ascii="宋体" w:hAnsi="宋体" w:cs="宋体"/>
                <w:b/>
                <w:color w:val="000000"/>
                <w:sz w:val="24"/>
              </w:rPr>
              <w:t>六、</w:t>
            </w:r>
            <w:r>
              <w:rPr>
                <w:rFonts w:hint="eastAsia" w:ascii="宋体" w:hAnsi="宋体" w:cs="宋体"/>
                <w:b/>
                <w:color w:val="000000"/>
                <w:sz w:val="24"/>
                <w:lang w:val="zh-CN"/>
              </w:rPr>
              <w:t>采购预算：</w:t>
            </w:r>
            <w:r>
              <w:rPr>
                <w:rFonts w:hint="eastAsia" w:ascii="宋体" w:hAnsi="宋体" w:cs="宋体"/>
                <w:b/>
                <w:kern w:val="1"/>
                <w:sz w:val="24"/>
                <w:u w:val="single"/>
                <w:lang w:val="en-US" w:eastAsia="zh-CN"/>
              </w:rPr>
              <w:t>65</w:t>
            </w:r>
            <w:r>
              <w:rPr>
                <w:rFonts w:hint="eastAsia" w:ascii="宋体" w:hAnsi="宋体" w:cs="宋体"/>
                <w:b/>
                <w:kern w:val="1"/>
                <w:sz w:val="24"/>
              </w:rPr>
              <w:t>万元，投标人针对本项目的投标报价不得超过采购预算金额否则其投标无效。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6"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rPr>
                <w:rFonts w:ascii="宋体" w:hAnsi="宋体" w:cs="宋体"/>
                <w:sz w:val="24"/>
              </w:rPr>
            </w:pPr>
            <w:r>
              <w:rPr>
                <w:rFonts w:hint="eastAsia" w:ascii="宋体" w:hAnsi="宋体" w:cs="宋体"/>
                <w:sz w:val="24"/>
              </w:rPr>
              <w:t>合同名称：《</w:t>
            </w:r>
            <w:r>
              <w:rPr>
                <w:rFonts w:hint="eastAsia" w:ascii="宋体" w:hAnsi="宋体" w:cs="宋体"/>
                <w:sz w:val="24"/>
                <w:lang w:eastAsia="zh-CN"/>
              </w:rPr>
              <w:t>中泰街道交治工作站建设设备项目采购</w:t>
            </w:r>
            <w:r>
              <w:rPr>
                <w:rFonts w:hint="eastAsia" w:ascii="宋体" w:hAnsi="宋体" w:cs="宋体"/>
                <w:sz w:val="24"/>
              </w:rPr>
              <w:t>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8"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3</w:t>
            </w:r>
          </w:p>
        </w:tc>
        <w:tc>
          <w:tcPr>
            <w:tcW w:w="8802" w:type="dxa"/>
            <w:tcBorders>
              <w:top w:val="single" w:color="000000" w:sz="2" w:space="0"/>
              <w:left w:val="single" w:color="000000" w:sz="2" w:space="0"/>
              <w:bottom w:val="single" w:color="000000" w:sz="2" w:space="0"/>
              <w:right w:val="single" w:color="000000" w:sz="8" w:space="0"/>
            </w:tcBorders>
            <w:vAlign w:val="center"/>
          </w:tcPr>
          <w:p>
            <w:pPr>
              <w:rPr>
                <w:rFonts w:ascii="宋体" w:hAnsi="宋体" w:cs="宋体"/>
                <w:sz w:val="24"/>
              </w:rPr>
            </w:pPr>
            <w:r>
              <w:rPr>
                <w:rFonts w:hint="eastAsia" w:ascii="宋体" w:hAnsi="宋体" w:cs="宋体"/>
                <w:sz w:val="24"/>
                <w:lang w:val="zh-CN"/>
              </w:rPr>
              <w:t>投标</w:t>
            </w:r>
            <w:r>
              <w:rPr>
                <w:rFonts w:hint="eastAsia" w:ascii="宋体" w:hAnsi="宋体" w:cs="宋体"/>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8"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4</w:t>
            </w:r>
          </w:p>
        </w:tc>
        <w:tc>
          <w:tcPr>
            <w:tcW w:w="8802" w:type="dxa"/>
            <w:tcBorders>
              <w:top w:val="single" w:color="000000" w:sz="2" w:space="0"/>
              <w:left w:val="single" w:color="000000" w:sz="2" w:space="0"/>
              <w:bottom w:val="single" w:color="000000" w:sz="2" w:space="0"/>
              <w:right w:val="single" w:color="000000" w:sz="8" w:space="0"/>
            </w:tcBorders>
            <w:vAlign w:val="center"/>
          </w:tcPr>
          <w:p>
            <w:pPr>
              <w:rPr>
                <w:rFonts w:ascii="宋体" w:hAnsi="宋体" w:cs="宋体"/>
                <w:sz w:val="24"/>
              </w:rPr>
            </w:pPr>
            <w:r>
              <w:rPr>
                <w:rFonts w:hint="eastAsia" w:ascii="宋体" w:hAnsi="宋体" w:cs="宋体"/>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color w:val="000000"/>
                <w:sz w:val="24"/>
              </w:rPr>
            </w:pPr>
            <w:r>
              <w:rPr>
                <w:rFonts w:hint="eastAsia" w:ascii="宋体" w:hAnsi="宋体" w:cs="宋体"/>
                <w:b/>
                <w:bCs/>
                <w:color w:val="000000"/>
                <w:sz w:val="24"/>
              </w:rPr>
              <w:t>5</w:t>
            </w:r>
          </w:p>
        </w:tc>
        <w:tc>
          <w:tcPr>
            <w:tcW w:w="8802" w:type="dxa"/>
            <w:tcBorders>
              <w:top w:val="single" w:color="000000" w:sz="2" w:space="0"/>
              <w:left w:val="single" w:color="000000" w:sz="2" w:space="0"/>
              <w:bottom w:val="single" w:color="000000" w:sz="2" w:space="0"/>
              <w:right w:val="single" w:color="000000" w:sz="8" w:space="0"/>
            </w:tcBorders>
            <w:vAlign w:val="center"/>
          </w:tcPr>
          <w:p>
            <w:pPr>
              <w:rPr>
                <w:rFonts w:hint="eastAsia" w:ascii="宋体" w:hAnsi="宋体" w:cs="宋体"/>
                <w:sz w:val="24"/>
              </w:rPr>
            </w:pPr>
            <w:r>
              <w:rPr>
                <w:rFonts w:hint="eastAsia" w:ascii="宋体" w:hAnsi="宋体" w:cs="宋体"/>
                <w:b/>
                <w:bCs/>
                <w:sz w:val="24"/>
              </w:rPr>
              <w:t>招标服务费：</w:t>
            </w:r>
            <w:r>
              <w:rPr>
                <w:rFonts w:hint="eastAsia" w:ascii="宋体" w:hAnsi="宋体" w:cs="宋体"/>
                <w:sz w:val="24"/>
              </w:rPr>
              <w:t>本次代理服务费由中标人支付</w:t>
            </w:r>
            <w:r>
              <w:rPr>
                <w:rFonts w:hint="eastAsia" w:ascii="宋体" w:hAnsi="宋体" w:cs="宋体"/>
                <w:sz w:val="24"/>
                <w:lang w:eastAsia="zh-CN"/>
              </w:rPr>
              <w:t>，代理服务费为：</w:t>
            </w:r>
            <w:r>
              <w:rPr>
                <w:rFonts w:hint="eastAsia" w:ascii="宋体" w:hAnsi="宋体" w:cs="宋体"/>
                <w:b/>
                <w:bCs/>
                <w:sz w:val="24"/>
                <w:lang w:val="en-US" w:eastAsia="zh-CN"/>
              </w:rPr>
              <w:t>壹万贰仟元整￥：12000元</w:t>
            </w:r>
            <w:r>
              <w:rPr>
                <w:rFonts w:hint="eastAsia" w:ascii="宋体" w:hAnsi="宋体" w:cs="宋体"/>
                <w:sz w:val="24"/>
                <w:lang w:val="en-US" w:eastAsia="zh-CN"/>
              </w:rPr>
              <w:t>，</w:t>
            </w:r>
            <w:r>
              <w:rPr>
                <w:rFonts w:hint="eastAsia" w:ascii="宋体" w:hAnsi="宋体" w:cs="宋体"/>
                <w:sz w:val="24"/>
              </w:rPr>
              <w:t>但不单列进投标总价</w:t>
            </w:r>
            <w:r>
              <w:rPr>
                <w:rFonts w:hint="eastAsia" w:ascii="宋体" w:hAnsi="宋体" w:cs="宋体"/>
                <w:sz w:val="24"/>
                <w:lang w:eastAsia="zh-CN"/>
              </w:rPr>
              <w:t>，</w:t>
            </w:r>
            <w:r>
              <w:rPr>
                <w:rFonts w:hint="eastAsia" w:ascii="宋体" w:hAnsi="宋体" w:cs="宋体"/>
                <w:sz w:val="24"/>
              </w:rPr>
              <w:t>由中标人在领取中标通知书前支付给招标代理机构，各投标人应在投标报价中予以考虑。</w:t>
            </w:r>
          </w:p>
          <w:p>
            <w:pPr>
              <w:rPr>
                <w:rFonts w:hint="eastAsia" w:ascii="宋体" w:hAnsi="宋体" w:cs="宋体"/>
                <w:sz w:val="24"/>
              </w:rPr>
            </w:pPr>
            <w:r>
              <w:rPr>
                <w:rFonts w:hint="eastAsia" w:ascii="宋体" w:hAnsi="宋体" w:cs="宋体"/>
                <w:sz w:val="24"/>
              </w:rPr>
              <w:t>浙江文华建设项目管理有限公司</w:t>
            </w:r>
          </w:p>
          <w:p>
            <w:pPr>
              <w:rPr>
                <w:rFonts w:hint="eastAsia" w:ascii="宋体" w:hAnsi="宋体" w:cs="宋体"/>
                <w:sz w:val="24"/>
              </w:rPr>
            </w:pPr>
            <w:r>
              <w:rPr>
                <w:rFonts w:hint="eastAsia" w:ascii="宋体" w:hAnsi="宋体" w:cs="宋体"/>
                <w:sz w:val="24"/>
              </w:rPr>
              <w:t>开户银行及帐号：</w:t>
            </w:r>
          </w:p>
          <w:p>
            <w:r>
              <w:rPr>
                <w:rFonts w:hint="eastAsia" w:ascii="宋体" w:hAnsi="宋体" w:cs="宋体"/>
                <w:sz w:val="24"/>
              </w:rPr>
              <w:t>华夏银行杭州分行余杭支行4240200001819100031024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color w:val="000000"/>
                <w:sz w:val="24"/>
              </w:rPr>
            </w:pPr>
            <w:r>
              <w:rPr>
                <w:rFonts w:hint="eastAsia" w:ascii="宋体" w:hAnsi="宋体" w:cs="宋体"/>
                <w:b/>
                <w:bCs/>
                <w:color w:val="000000"/>
                <w:sz w:val="24"/>
              </w:rPr>
              <w:t>6</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color w:val="000000"/>
                <w:sz w:val="24"/>
              </w:rPr>
            </w:pPr>
            <w:r>
              <w:rPr>
                <w:rFonts w:hint="eastAsia" w:ascii="宋体" w:hAnsi="宋体" w:cs="宋体"/>
                <w:b/>
                <w:bCs/>
                <w:color w:val="000000"/>
                <w:sz w:val="24"/>
              </w:rPr>
              <w:t>投标文件的组成：</w:t>
            </w:r>
            <w:r>
              <w:rPr>
                <w:rFonts w:ascii="宋体" w:hAnsi="宋体" w:cs="宋体"/>
                <w:color w:val="000000"/>
                <w:sz w:val="24"/>
              </w:rPr>
              <w:t>完整的《投标文件》由</w:t>
            </w:r>
            <w:r>
              <w:rPr>
                <w:rFonts w:hint="eastAsia" w:ascii="宋体" w:hAnsi="宋体" w:cs="宋体"/>
                <w:color w:val="000000"/>
                <w:sz w:val="24"/>
              </w:rPr>
              <w:t>“资格文件”、</w:t>
            </w:r>
            <w:r>
              <w:rPr>
                <w:rFonts w:ascii="宋体" w:hAnsi="宋体" w:cs="宋体"/>
                <w:color w:val="000000"/>
                <w:sz w:val="24"/>
              </w:rPr>
              <w:t>“报价文件”</w:t>
            </w:r>
            <w:r>
              <w:rPr>
                <w:rFonts w:hint="eastAsia" w:ascii="宋体" w:hAnsi="宋体" w:cs="宋体"/>
                <w:color w:val="000000"/>
                <w:sz w:val="24"/>
              </w:rPr>
              <w:t>和</w:t>
            </w:r>
            <w:r>
              <w:rPr>
                <w:rFonts w:ascii="宋体" w:hAnsi="宋体" w:cs="宋体"/>
                <w:color w:val="000000"/>
                <w:sz w:val="24"/>
              </w:rPr>
              <w:t>“</w:t>
            </w:r>
            <w:r>
              <w:rPr>
                <w:rFonts w:hint="eastAsia" w:ascii="宋体" w:hAnsi="宋体" w:cs="宋体"/>
                <w:color w:val="000000"/>
                <w:sz w:val="24"/>
              </w:rPr>
              <w:t>商务</w:t>
            </w:r>
            <w:r>
              <w:rPr>
                <w:rFonts w:ascii="宋体" w:hAnsi="宋体" w:cs="宋体"/>
                <w:color w:val="000000"/>
                <w:sz w:val="24"/>
              </w:rPr>
              <w:t>技术文件”</w:t>
            </w:r>
            <w:r>
              <w:rPr>
                <w:rFonts w:hint="eastAsia" w:ascii="宋体" w:hAnsi="宋体" w:cs="宋体"/>
                <w:color w:val="000000"/>
                <w:sz w:val="24"/>
              </w:rPr>
              <w:t>三</w:t>
            </w:r>
            <w:r>
              <w:rPr>
                <w:rFonts w:ascii="宋体" w:hAnsi="宋体" w:cs="宋体"/>
                <w:color w:val="000000"/>
                <w:sz w:val="24"/>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7</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color w:val="000000"/>
                <w:sz w:val="24"/>
              </w:rPr>
            </w:pPr>
            <w:r>
              <w:rPr>
                <w:rFonts w:hint="eastAsia" w:ascii="宋体" w:hAnsi="宋体" w:cs="宋体"/>
                <w:b/>
                <w:bCs/>
                <w:color w:val="000000"/>
                <w:sz w:val="24"/>
              </w:rPr>
              <w:t>投标文件的编制：</w:t>
            </w:r>
            <w:r>
              <w:rPr>
                <w:rFonts w:hint="eastAsia" w:ascii="宋体" w:hAnsi="宋体" w:cs="宋体"/>
                <w:color w:val="000000"/>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8</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color w:val="000000"/>
                <w:sz w:val="24"/>
              </w:rPr>
            </w:pPr>
            <w:r>
              <w:rPr>
                <w:rFonts w:hint="eastAsia" w:ascii="宋体" w:hAnsi="宋体" w:cs="宋体"/>
                <w:sz w:val="24"/>
              </w:rPr>
              <w:t>投标文件的签章：</w:t>
            </w:r>
            <w:r>
              <w:rPr>
                <w:rFonts w:hint="eastAsia" w:ascii="宋体" w:hAnsi="宋体" w:cs="宋体"/>
                <w:b/>
                <w:bCs/>
                <w:color w:val="000000"/>
                <w:sz w:val="24"/>
                <w:u w:val="single"/>
              </w:rPr>
              <w:t>投标单位公章电子签章，其中</w:t>
            </w:r>
            <w:r>
              <w:rPr>
                <w:rFonts w:hint="eastAsia" w:ascii="宋体" w:hAnsi="宋体" w:cs="宋体"/>
                <w:b/>
                <w:bCs/>
                <w:sz w:val="24"/>
                <w:u w:val="single"/>
              </w:rPr>
              <w:t>CA签章上目前没有法人或授权代表签字信息，需要投标人主动联系浙江汇信科技有限公司400-888-4636咨询进行办理，或在投标文件中涉及到签字的位置线下签好字然后扫描或者拍照做成PDF的格式上传至投标响应文件内或在线加盖电子法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color w:val="000000"/>
                <w:sz w:val="24"/>
              </w:rPr>
            </w:pPr>
            <w:r>
              <w:rPr>
                <w:rFonts w:hint="eastAsia" w:ascii="宋体" w:hAnsi="宋体" w:cs="宋体"/>
                <w:b/>
                <w:bCs/>
                <w:color w:val="000000"/>
                <w:sz w:val="24"/>
              </w:rPr>
              <w:t>9</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color w:val="000000"/>
                <w:sz w:val="24"/>
              </w:rPr>
            </w:pPr>
            <w:r>
              <w:rPr>
                <w:rFonts w:hint="eastAsia" w:ascii="宋体" w:hAnsi="宋体" w:cs="宋体"/>
                <w:b/>
                <w:bCs/>
                <w:color w:val="000000"/>
                <w:sz w:val="24"/>
              </w:rPr>
              <w:t>投标文件的形式：☑电子投标文件（包括“电子加密投标文件”和“备份投标文件”，在投标文件编制完成后同时生成）；</w:t>
            </w:r>
          </w:p>
          <w:p>
            <w:pPr>
              <w:spacing w:line="336" w:lineRule="auto"/>
              <w:rPr>
                <w:rFonts w:ascii="宋体" w:hAnsi="宋体" w:cs="宋体"/>
                <w:color w:val="000000"/>
                <w:sz w:val="24"/>
              </w:rPr>
            </w:pPr>
            <w:r>
              <w:rPr>
                <w:rFonts w:hint="eastAsia" w:ascii="宋体" w:hAnsi="宋体" w:cs="宋体"/>
                <w:color w:val="000000"/>
                <w:sz w:val="24"/>
              </w:rPr>
              <w:t>（1）“电子加密投标文件”是指通过“政采云电子交易客户端”完成投标文件编制后生成并加密的数据电文形式的投标文件。</w:t>
            </w:r>
          </w:p>
          <w:p>
            <w:pPr>
              <w:spacing w:line="336" w:lineRule="auto"/>
              <w:rPr>
                <w:rFonts w:ascii="宋体" w:hAnsi="宋体" w:cs="宋体"/>
                <w:color w:val="000000"/>
                <w:sz w:val="24"/>
              </w:rPr>
            </w:pPr>
            <w:r>
              <w:rPr>
                <w:rFonts w:hint="eastAsia" w:ascii="宋体" w:hAnsi="宋体" w:cs="宋体"/>
                <w:color w:val="000000"/>
                <w:sz w:val="24"/>
              </w:rPr>
              <w:t>（2）“备份投标文件”是指与“电子加密投标文件”同时生成的数据电文形式的电子文件（备份标书），</w:t>
            </w:r>
            <w:r>
              <w:rPr>
                <w:rFonts w:hint="eastAsia" w:ascii="宋体" w:hAnsi="宋体" w:cs="宋体"/>
                <w:b/>
                <w:bCs/>
                <w:color w:val="000000"/>
                <w:sz w:val="24"/>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color w:val="000000"/>
                <w:sz w:val="24"/>
              </w:rPr>
            </w:pPr>
            <w:r>
              <w:rPr>
                <w:rFonts w:hint="eastAsia" w:ascii="宋体" w:hAnsi="宋体" w:cs="宋体"/>
                <w:b/>
                <w:bCs/>
                <w:color w:val="000000"/>
                <w:sz w:val="24"/>
              </w:rPr>
              <w:t>10</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sz w:val="24"/>
              </w:rPr>
            </w:pPr>
            <w:r>
              <w:rPr>
                <w:rFonts w:hint="eastAsia" w:ascii="宋体" w:hAnsi="宋体" w:cs="宋体"/>
                <w:sz w:val="24"/>
              </w:rPr>
              <w:t>投标文件份数：（1）“电子加密投标文件”：在线上传递交、一份。（2）“备份投标文件”：密封包装后（建议顺丰速运形式）投标截止时间前递交、一份（快递地址：杭州市余杭区南苑街道世纪大道</w:t>
            </w:r>
            <w:r>
              <w:rPr>
                <w:rFonts w:ascii="宋体" w:hAnsi="宋体" w:cs="宋体"/>
                <w:sz w:val="24"/>
              </w:rPr>
              <w:t>168号理想国际大厦9楼</w:t>
            </w:r>
            <w:r>
              <w:rPr>
                <w:rFonts w:hint="eastAsia" w:ascii="宋体" w:hAnsi="宋体" w:cs="宋体"/>
                <w:sz w:val="24"/>
              </w:rPr>
              <w:t>）。</w:t>
            </w:r>
          </w:p>
          <w:p>
            <w:pPr>
              <w:pStyle w:val="90"/>
              <w:spacing w:line="336" w:lineRule="auto"/>
              <w:jc w:val="both"/>
              <w:rPr>
                <w:rFonts w:cs="宋体"/>
                <w:color w:val="000000"/>
                <w:kern w:val="2"/>
                <w:szCs w:val="24"/>
              </w:rPr>
            </w:pPr>
            <w:r>
              <w:rPr>
                <w:rFonts w:hint="eastAsia" w:cs="宋体"/>
                <w:kern w:val="2"/>
                <w:szCs w:val="24"/>
              </w:rPr>
              <w:t>（3）投标单位中标后提供三份纸质投标文件和电子投标文件与纸质投标文件内容一致的承诺书给采购代理机构留底以作项目验收存档使用。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b/>
                <w:bCs/>
                <w:color w:val="000000"/>
                <w:sz w:val="24"/>
              </w:rPr>
            </w:pPr>
            <w:r>
              <w:rPr>
                <w:rFonts w:hint="eastAsia" w:ascii="宋体" w:hAnsi="宋体" w:cs="宋体"/>
                <w:b/>
                <w:bCs/>
                <w:color w:val="000000"/>
                <w:sz w:val="24"/>
              </w:rPr>
              <w:t>投标文件的上传和递交：</w:t>
            </w:r>
          </w:p>
          <w:p>
            <w:pPr>
              <w:pStyle w:val="90"/>
              <w:spacing w:line="336" w:lineRule="auto"/>
              <w:jc w:val="both"/>
              <w:rPr>
                <w:rFonts w:cs="宋体"/>
                <w:color w:val="000000"/>
                <w:kern w:val="2"/>
                <w:szCs w:val="24"/>
              </w:rPr>
            </w:pPr>
            <w:r>
              <w:rPr>
                <w:rFonts w:hint="eastAsia" w:cs="宋体"/>
                <w:color w:val="000000"/>
                <w:kern w:val="2"/>
                <w:szCs w:val="24"/>
              </w:rPr>
              <w:t>（1）“电子加密投标文件”的上传、递交：</w:t>
            </w:r>
          </w:p>
          <w:p>
            <w:pPr>
              <w:pStyle w:val="90"/>
              <w:spacing w:line="336" w:lineRule="auto"/>
              <w:jc w:val="both"/>
              <w:rPr>
                <w:rFonts w:cs="宋体"/>
                <w:color w:val="000000"/>
                <w:kern w:val="2"/>
                <w:szCs w:val="24"/>
              </w:rPr>
            </w:pPr>
            <w:r>
              <w:rPr>
                <w:rFonts w:hint="eastAsia" w:cs="宋体"/>
                <w:color w:val="000000"/>
                <w:kern w:val="2"/>
                <w:szCs w:val="24"/>
              </w:rPr>
              <w:t>a.投标供应商应在投标截止时间前将“电子加密投标文件”成功上传递交至“政府采购云平台”，否则投标无效。</w:t>
            </w:r>
          </w:p>
          <w:p>
            <w:pPr>
              <w:pStyle w:val="90"/>
              <w:spacing w:line="336" w:lineRule="auto"/>
              <w:jc w:val="both"/>
              <w:rPr>
                <w:rFonts w:cs="宋体"/>
                <w:color w:val="000000"/>
                <w:kern w:val="2"/>
                <w:szCs w:val="24"/>
              </w:rPr>
            </w:pPr>
            <w:r>
              <w:rPr>
                <w:rFonts w:hint="eastAsia" w:cs="宋体"/>
                <w:color w:val="000000"/>
                <w:kern w:val="2"/>
                <w:szCs w:val="24"/>
              </w:rPr>
              <w:t>b.“电子加密投标文件”成功上传递交后，供应商可自行打印投标文件接收回执。</w:t>
            </w:r>
          </w:p>
          <w:p>
            <w:pPr>
              <w:pStyle w:val="90"/>
              <w:spacing w:line="336" w:lineRule="auto"/>
              <w:jc w:val="both"/>
              <w:rPr>
                <w:rFonts w:cs="宋体"/>
                <w:color w:val="000000"/>
                <w:kern w:val="2"/>
                <w:szCs w:val="24"/>
              </w:rPr>
            </w:pPr>
            <w:r>
              <w:rPr>
                <w:rFonts w:hint="eastAsia" w:cs="宋体"/>
                <w:color w:val="000000"/>
                <w:kern w:val="2"/>
                <w:szCs w:val="24"/>
              </w:rPr>
              <w:t>（2）“备份投标文件”的密封包装、递交：</w:t>
            </w:r>
          </w:p>
          <w:p>
            <w:pPr>
              <w:pStyle w:val="90"/>
              <w:spacing w:line="336" w:lineRule="auto"/>
              <w:jc w:val="both"/>
              <w:rPr>
                <w:rFonts w:cs="宋体"/>
                <w:color w:val="000000"/>
                <w:kern w:val="2"/>
                <w:szCs w:val="24"/>
              </w:rPr>
            </w:pPr>
            <w:r>
              <w:rPr>
                <w:rFonts w:hint="eastAsia" w:cs="宋体"/>
                <w:color w:val="000000"/>
                <w:kern w:val="2"/>
                <w:szCs w:val="24"/>
              </w:rPr>
              <w:t>a.投标供应商在“政府采购云平台”完成“电子加密投标文件”的上传递交后，还可以（建议顺丰邮寄形式）在投标截止时间前递交以介质（U盘）存储的 “备份投标文件”（一份）；</w:t>
            </w:r>
            <w:r>
              <w:rPr>
                <w:rFonts w:hint="eastAsia" w:cs="宋体"/>
                <w:b/>
                <w:bCs/>
                <w:color w:val="000000"/>
                <w:kern w:val="2"/>
                <w:szCs w:val="24"/>
              </w:rPr>
              <w:t>建议顺丰邮寄形式快递至招标代理公司地址（地址详见招标采购文件）；解密CA必须是上传并制作电子投标文件CA锁。</w:t>
            </w:r>
          </w:p>
          <w:p>
            <w:pPr>
              <w:spacing w:line="336" w:lineRule="auto"/>
              <w:rPr>
                <w:rFonts w:ascii="宋体" w:hAnsi="宋体" w:cs="宋体"/>
                <w:color w:val="000000"/>
                <w:sz w:val="24"/>
              </w:rPr>
            </w:pPr>
            <w:r>
              <w:rPr>
                <w:rFonts w:hint="eastAsia" w:ascii="宋体" w:hAnsi="宋体" w:cs="宋体"/>
                <w:color w:val="000000"/>
                <w:sz w:val="24"/>
              </w:rPr>
              <w:t>b.“备份投标文件”应当密封包装，并在包装上标注投标项目名称、投标单位名称并加盖公章。没有密封包装或者逾期</w:t>
            </w:r>
            <w:r>
              <w:rPr>
                <w:rFonts w:hint="eastAsia" w:ascii="宋体" w:hAnsi="宋体" w:cs="宋体"/>
                <w:sz w:val="24"/>
              </w:rPr>
              <w:t>邮寄</w:t>
            </w:r>
            <w:r>
              <w:rPr>
                <w:rFonts w:hint="eastAsia" w:ascii="宋体" w:hAnsi="宋体" w:cs="宋体"/>
                <w:color w:val="000000"/>
                <w:sz w:val="24"/>
              </w:rPr>
              <w:t>送达至投标地点的“备份投标文件”将不予接收；</w:t>
            </w:r>
          </w:p>
          <w:p>
            <w:pPr>
              <w:spacing w:line="336" w:lineRule="auto"/>
              <w:rPr>
                <w:rFonts w:ascii="宋体" w:hAnsi="宋体" w:cs="宋体"/>
                <w:color w:val="000000"/>
                <w:sz w:val="24"/>
              </w:rPr>
            </w:pPr>
            <w:r>
              <w:rPr>
                <w:rFonts w:hint="eastAsia" w:ascii="宋体" w:hAnsi="宋体" w:cs="宋体"/>
                <w:color w:val="000000"/>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b/>
                <w:bCs/>
                <w:color w:val="000000"/>
                <w:sz w:val="24"/>
              </w:rPr>
            </w:pPr>
            <w:r>
              <w:rPr>
                <w:rFonts w:hint="eastAsia" w:ascii="宋体" w:hAnsi="宋体" w:cs="宋体"/>
                <w:b/>
                <w:bCs/>
                <w:color w:val="000000"/>
                <w:sz w:val="24"/>
              </w:rPr>
              <w:t>电子加密投标文件的解密和异常情况处理：</w:t>
            </w:r>
          </w:p>
          <w:p>
            <w:pPr>
              <w:spacing w:line="336" w:lineRule="auto"/>
              <w:rPr>
                <w:rFonts w:ascii="宋体" w:hAnsi="宋体" w:cs="宋体"/>
                <w:color w:val="000000"/>
                <w:sz w:val="24"/>
              </w:rPr>
            </w:pPr>
            <w:r>
              <w:rPr>
                <w:rFonts w:hint="eastAsia" w:ascii="宋体" w:hAnsi="宋体" w:cs="宋体"/>
                <w:color w:val="000000"/>
                <w:sz w:val="24"/>
              </w:rPr>
              <w:t>（1）开标后，采购组织机构将向各投标供应商发出“电子加密投标文件”的解密通知，各投标供应商代表应当在接到解密通知后45分钟内自行完成“电子加密投标文件”的在线解密。</w:t>
            </w:r>
          </w:p>
          <w:p>
            <w:pPr>
              <w:spacing w:line="336" w:lineRule="auto"/>
              <w:rPr>
                <w:rFonts w:ascii="宋体" w:hAnsi="宋体" w:cs="宋体"/>
                <w:color w:val="000000"/>
                <w:sz w:val="24"/>
              </w:rPr>
            </w:pPr>
            <w:r>
              <w:rPr>
                <w:rFonts w:hint="eastAsia" w:ascii="宋体" w:hAnsi="宋体" w:cs="宋体"/>
                <w:color w:val="000000"/>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36" w:lineRule="auto"/>
              <w:rPr>
                <w:rFonts w:ascii="宋体" w:hAnsi="宋体" w:cs="宋体"/>
                <w:color w:val="000000"/>
                <w:sz w:val="24"/>
              </w:rPr>
            </w:pPr>
            <w:r>
              <w:rPr>
                <w:rFonts w:hint="eastAsia" w:ascii="宋体" w:hAnsi="宋体" w:cs="宋体"/>
                <w:color w:val="000000"/>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13</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b/>
                <w:bCs/>
                <w:sz w:val="24"/>
              </w:rPr>
            </w:pPr>
            <w:r>
              <w:rPr>
                <w:rFonts w:hint="eastAsia" w:ascii="宋体" w:hAnsi="宋体" w:cs="宋体"/>
                <w:b/>
                <w:bCs/>
                <w:sz w:val="24"/>
              </w:rPr>
              <w:t>投标截止时间：详</w:t>
            </w:r>
            <w:r>
              <w:rPr>
                <w:rFonts w:hint="eastAsia" w:ascii="宋体" w:hAnsi="宋体" w:cs="宋体"/>
                <w:b/>
                <w:bCs/>
                <w:kern w:val="0"/>
                <w:sz w:val="24"/>
              </w:rPr>
              <w:t>见招标公告</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14</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sz w:val="24"/>
              </w:rPr>
            </w:pPr>
            <w:r>
              <w:rPr>
                <w:rFonts w:hint="eastAsia" w:ascii="宋体" w:hAnsi="宋体" w:cs="宋体"/>
                <w:b/>
                <w:bCs/>
                <w:sz w:val="24"/>
              </w:rPr>
              <w:t>投标地点：详</w:t>
            </w:r>
            <w:r>
              <w:rPr>
                <w:rFonts w:hint="eastAsia" w:ascii="宋体" w:hAnsi="宋体" w:cs="宋体"/>
                <w:b/>
                <w:bCs/>
                <w:kern w:val="0"/>
                <w:sz w:val="24"/>
              </w:rPr>
              <w:t>见招标公告</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15</w:t>
            </w:r>
          </w:p>
        </w:tc>
        <w:tc>
          <w:tcPr>
            <w:tcW w:w="8802" w:type="dxa"/>
            <w:tcBorders>
              <w:top w:val="single" w:color="000000" w:sz="2" w:space="0"/>
              <w:left w:val="single" w:color="000000" w:sz="2" w:space="0"/>
              <w:bottom w:val="single" w:color="auto" w:sz="4" w:space="0"/>
              <w:right w:val="single" w:color="000000" w:sz="8" w:space="0"/>
            </w:tcBorders>
            <w:vAlign w:val="center"/>
          </w:tcPr>
          <w:p>
            <w:pPr>
              <w:spacing w:line="336" w:lineRule="auto"/>
              <w:rPr>
                <w:rFonts w:ascii="宋体" w:hAnsi="宋体" w:cs="宋体"/>
                <w:color w:val="000000"/>
                <w:sz w:val="24"/>
              </w:rPr>
            </w:pPr>
            <w:r>
              <w:rPr>
                <w:rFonts w:hint="eastAsia" w:ascii="宋体" w:hAnsi="宋体" w:cs="宋体"/>
                <w:color w:val="000000"/>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pacing w:line="288" w:lineRule="auto"/>
              <w:jc w:val="center"/>
              <w:rPr>
                <w:rFonts w:ascii="宋体" w:hAnsi="宋体" w:cs="宋体"/>
                <w:b/>
                <w:bCs/>
                <w:sz w:val="24"/>
              </w:rPr>
            </w:pPr>
            <w:r>
              <w:rPr>
                <w:rFonts w:hint="eastAsia" w:ascii="宋体" w:hAnsi="宋体" w:cs="宋体"/>
                <w:b/>
                <w:bCs/>
                <w:sz w:val="24"/>
              </w:rPr>
              <w:t>16</w:t>
            </w:r>
          </w:p>
        </w:tc>
        <w:tc>
          <w:tcPr>
            <w:tcW w:w="8802" w:type="dxa"/>
            <w:tcBorders>
              <w:top w:val="single" w:color="auto" w:sz="4" w:space="0"/>
              <w:left w:val="single" w:color="000000" w:sz="2" w:space="0"/>
              <w:bottom w:val="single" w:color="auto" w:sz="4" w:space="0"/>
              <w:right w:val="single" w:color="000000" w:sz="8" w:space="0"/>
            </w:tcBorders>
            <w:vAlign w:val="center"/>
          </w:tcPr>
          <w:p>
            <w:pPr>
              <w:spacing w:line="336" w:lineRule="auto"/>
              <w:rPr>
                <w:rFonts w:ascii="宋体" w:hAnsi="宋体" w:cs="宋体"/>
                <w:color w:val="000000"/>
                <w:sz w:val="24"/>
              </w:rPr>
            </w:pPr>
            <w:r>
              <w:rPr>
                <w:rFonts w:hint="eastAsia" w:ascii="宋体" w:hAnsi="宋体" w:cs="宋体"/>
                <w:color w:val="000000"/>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pacing w:line="288" w:lineRule="auto"/>
              <w:jc w:val="center"/>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7</w:t>
            </w:r>
          </w:p>
        </w:tc>
        <w:tc>
          <w:tcPr>
            <w:tcW w:w="8802" w:type="dxa"/>
            <w:tcBorders>
              <w:top w:val="single" w:color="auto" w:sz="4" w:space="0"/>
              <w:left w:val="single" w:color="000000" w:sz="2" w:space="0"/>
              <w:bottom w:val="single" w:color="auto" w:sz="4" w:space="0"/>
              <w:right w:val="single" w:color="000000" w:sz="8" w:space="0"/>
            </w:tcBorders>
            <w:vAlign w:val="center"/>
          </w:tcPr>
          <w:p>
            <w:pPr>
              <w:spacing w:line="336" w:lineRule="auto"/>
              <w:ind w:firstLine="480" w:firstLineChars="200"/>
              <w:rPr>
                <w:rFonts w:ascii="宋体" w:hAnsi="宋体" w:cs="宋体"/>
                <w:color w:val="000000"/>
                <w:sz w:val="24"/>
              </w:rPr>
            </w:pPr>
            <w:r>
              <w:rPr>
                <w:rFonts w:hint="eastAsia" w:ascii="宋体" w:hAnsi="宋体" w:cs="宋体"/>
                <w:color w:val="000000"/>
                <w:sz w:val="24"/>
              </w:rPr>
              <w:t>1、投标截止后，在投标有效期内，投标人不能撤销投标文件。投标人强行撤销投标文件的，应按预算金额的2%赔偿对招标代理机构造成的损失。</w:t>
            </w:r>
          </w:p>
          <w:p>
            <w:pPr>
              <w:spacing w:line="336" w:lineRule="auto"/>
              <w:ind w:firstLine="480" w:firstLineChars="200"/>
              <w:rPr>
                <w:rFonts w:ascii="宋体" w:hAnsi="宋体" w:cs="宋体"/>
                <w:color w:val="000000"/>
                <w:sz w:val="24"/>
              </w:rPr>
            </w:pPr>
            <w:r>
              <w:rPr>
                <w:rFonts w:hint="eastAsia" w:ascii="宋体" w:hAnsi="宋体" w:cs="宋体"/>
                <w:color w:val="000000"/>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pacing w:line="336" w:lineRule="auto"/>
              <w:ind w:firstLine="480" w:firstLineChars="200"/>
              <w:rPr>
                <w:rFonts w:ascii="宋体" w:hAnsi="宋体" w:cs="宋体"/>
                <w:color w:val="000000"/>
                <w:sz w:val="24"/>
              </w:rPr>
            </w:pPr>
            <w:r>
              <w:rPr>
                <w:rFonts w:hint="eastAsia" w:ascii="宋体" w:hAnsi="宋体" w:cs="宋体"/>
                <w:color w:val="000000"/>
                <w:sz w:val="24"/>
              </w:rPr>
              <w:t>3、存在下列行为的，招标代理机构将其失信行为上报政府采购主管部门，由主管部门按有关规定对其违法失信行为记录进行公开：</w:t>
            </w:r>
          </w:p>
          <w:p>
            <w:pPr>
              <w:spacing w:line="336" w:lineRule="auto"/>
              <w:rPr>
                <w:rFonts w:ascii="宋体" w:hAnsi="宋体" w:cs="宋体"/>
                <w:color w:val="000000"/>
                <w:sz w:val="24"/>
              </w:rPr>
            </w:pPr>
            <w:r>
              <w:rPr>
                <w:rFonts w:hint="eastAsia" w:ascii="宋体" w:hAnsi="宋体" w:cs="宋体"/>
                <w:color w:val="000000"/>
                <w:sz w:val="24"/>
              </w:rPr>
              <w:t>（1）中标或者成交后，拒绝签订政府采购合同的；</w:t>
            </w:r>
          </w:p>
          <w:p>
            <w:pPr>
              <w:spacing w:line="336" w:lineRule="auto"/>
              <w:rPr>
                <w:rFonts w:ascii="宋体" w:hAnsi="宋体" w:cs="宋体"/>
                <w:color w:val="000000"/>
                <w:sz w:val="24"/>
              </w:rPr>
            </w:pPr>
            <w:r>
              <w:rPr>
                <w:rFonts w:hint="eastAsia" w:ascii="宋体" w:hAnsi="宋体" w:cs="宋体"/>
                <w:color w:val="000000"/>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widowControl/>
              <w:spacing w:line="288" w:lineRule="auto"/>
              <w:jc w:val="center"/>
              <w:textAlignment w:val="center"/>
              <w:rPr>
                <w:rFonts w:ascii="宋体" w:hAnsi="宋体" w:cs="宋体"/>
                <w:b/>
                <w:bCs/>
                <w:color w:val="000000"/>
                <w:sz w:val="24"/>
              </w:rPr>
            </w:pPr>
            <w:r>
              <w:rPr>
                <w:rFonts w:hint="eastAsia" w:ascii="宋体" w:hAnsi="宋体" w:cs="宋体"/>
                <w:b/>
                <w:bCs/>
                <w:color w:val="000000"/>
                <w:kern w:val="0"/>
                <w:sz w:val="24"/>
              </w:rPr>
              <w:t>1</w:t>
            </w:r>
            <w:r>
              <w:rPr>
                <w:rFonts w:ascii="宋体" w:hAnsi="宋体" w:cs="宋体"/>
                <w:b/>
                <w:bCs/>
                <w:color w:val="000000"/>
                <w:kern w:val="0"/>
                <w:sz w:val="24"/>
              </w:rPr>
              <w:t>8</w:t>
            </w:r>
          </w:p>
        </w:tc>
        <w:tc>
          <w:tcPr>
            <w:tcW w:w="8802" w:type="dxa"/>
            <w:tcBorders>
              <w:top w:val="single" w:color="auto" w:sz="4" w:space="0"/>
              <w:left w:val="single" w:color="000000" w:sz="2" w:space="0"/>
              <w:bottom w:val="single" w:color="auto" w:sz="4" w:space="0"/>
              <w:right w:val="single" w:color="000000" w:sz="8" w:space="0"/>
            </w:tcBorders>
            <w:vAlign w:val="center"/>
          </w:tcPr>
          <w:p>
            <w:pPr>
              <w:spacing w:line="336" w:lineRule="auto"/>
              <w:ind w:firstLine="480" w:firstLineChars="200"/>
              <w:rPr>
                <w:rFonts w:ascii="宋体" w:hAnsi="宋体" w:cs="宋体"/>
                <w:sz w:val="24"/>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pacing w:line="288" w:lineRule="auto"/>
              <w:jc w:val="center"/>
              <w:textAlignment w:val="center"/>
              <w:rPr>
                <w:rFonts w:ascii="宋体" w:hAnsi="宋体" w:cs="宋体"/>
                <w:b/>
                <w:bCs/>
                <w:color w:val="000000"/>
                <w:sz w:val="24"/>
              </w:rPr>
            </w:pPr>
            <w:r>
              <w:rPr>
                <w:rFonts w:ascii="宋体" w:hAnsi="宋体" w:cs="宋体"/>
                <w:b/>
                <w:bCs/>
                <w:color w:val="000000"/>
                <w:kern w:val="0"/>
                <w:sz w:val="24"/>
              </w:rPr>
              <w:t>19</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rPr>
                <w:rFonts w:ascii="宋体" w:hAnsi="宋体" w:cs="宋体"/>
                <w:color w:val="000000"/>
                <w:sz w:val="24"/>
              </w:rPr>
            </w:pPr>
            <w:r>
              <w:rPr>
                <w:rFonts w:hint="eastAsia" w:ascii="宋体" w:hAnsi="宋体" w:cs="宋体"/>
                <w:b/>
                <w:color w:val="000000"/>
                <w:kern w:val="10"/>
                <w:sz w:val="24"/>
              </w:rPr>
              <w:t>潜在供应商需在浙江政府采购网</w:t>
            </w:r>
            <w:r>
              <w:rPr>
                <w:rFonts w:ascii="宋体" w:hAnsi="宋体" w:cs="宋体"/>
                <w:b/>
                <w:color w:val="000000"/>
                <w:kern w:val="10"/>
                <w:sz w:val="24"/>
              </w:rPr>
              <w:drawing>
                <wp:inline distT="0" distB="0" distL="114300" distR="114300">
                  <wp:extent cx="190500" cy="139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pacing w:line="288" w:lineRule="auto"/>
              <w:jc w:val="center"/>
              <w:textAlignment w:val="center"/>
              <w:rPr>
                <w:rFonts w:ascii="宋体" w:hAnsi="宋体" w:cs="宋体"/>
                <w:b/>
                <w:bCs/>
                <w:color w:val="000000"/>
                <w:sz w:val="24"/>
              </w:rPr>
            </w:pPr>
            <w:r>
              <w:rPr>
                <w:rFonts w:ascii="宋体" w:hAnsi="宋体" w:cs="宋体"/>
                <w:b/>
                <w:bCs/>
                <w:color w:val="000000"/>
                <w:kern w:val="0"/>
                <w:sz w:val="24"/>
              </w:rPr>
              <w:t>20</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spacing w:line="336" w:lineRule="auto"/>
              <w:ind w:firstLine="480" w:firstLineChars="200"/>
              <w:rPr>
                <w:rFonts w:ascii="宋体" w:hAnsi="宋体" w:cs="宋体"/>
                <w:color w:val="000000"/>
                <w:kern w:val="0"/>
                <w:sz w:val="24"/>
              </w:rPr>
            </w:pPr>
            <w:r>
              <w:rPr>
                <w:rFonts w:hint="eastAsia" w:ascii="宋体" w:hAnsi="宋体" w:cs="宋体"/>
                <w:color w:val="000000"/>
                <w:kern w:val="0"/>
                <w:sz w:val="24"/>
              </w:rPr>
              <w:t>1、本项目对符合财政扶持政策的中小企业（小型、微型）、监狱企业、残疾人福利性单位给予价格优惠扶持，价格优惠扶持见《评标办法》。</w:t>
            </w:r>
          </w:p>
          <w:p>
            <w:pPr>
              <w:widowControl/>
              <w:spacing w:line="336" w:lineRule="auto"/>
              <w:ind w:firstLine="480" w:firstLineChars="200"/>
              <w:rPr>
                <w:rFonts w:ascii="宋体" w:hAnsi="宋体" w:cs="宋体"/>
                <w:color w:val="000000"/>
                <w:kern w:val="0"/>
                <w:sz w:val="24"/>
              </w:rPr>
            </w:pPr>
            <w:r>
              <w:rPr>
                <w:rFonts w:hint="eastAsia" w:ascii="宋体" w:hAnsi="宋体" w:cs="宋体"/>
                <w:color w:val="000000"/>
                <w:kern w:val="0"/>
                <w:sz w:val="24"/>
              </w:rPr>
              <w:t>2、满足转发财政部 工业和信息化部关于印发《政府采购促进中小企业发展暂行办法》的通知（浙财采监[2012]11号）的规定的中小企业可享受优惠扶持。</w:t>
            </w:r>
          </w:p>
          <w:p>
            <w:pPr>
              <w:widowControl/>
              <w:spacing w:line="336" w:lineRule="auto"/>
              <w:ind w:firstLine="480" w:firstLineChars="200"/>
              <w:rPr>
                <w:rFonts w:ascii="宋体" w:hAnsi="宋体" w:cs="宋体"/>
                <w:color w:val="000000"/>
                <w:kern w:val="0"/>
                <w:sz w:val="24"/>
              </w:rPr>
            </w:pPr>
            <w:r>
              <w:rPr>
                <w:rFonts w:hint="eastAsia" w:ascii="宋体" w:hAnsi="宋体" w:cs="宋体"/>
                <w:color w:val="000000"/>
                <w:kern w:val="0"/>
                <w:sz w:val="24"/>
              </w:rPr>
              <w:t>满足关于政府采购支持监狱企业发展有关问题的通知（财库[2014]68号）的规定的供应商可享受优惠扶持。</w:t>
            </w:r>
          </w:p>
          <w:p>
            <w:pPr>
              <w:widowControl/>
              <w:spacing w:line="336" w:lineRule="auto"/>
              <w:ind w:firstLine="480" w:firstLineChars="200"/>
              <w:rPr>
                <w:rFonts w:ascii="宋体" w:hAnsi="宋体" w:cs="宋体"/>
                <w:color w:val="000000"/>
                <w:kern w:val="0"/>
                <w:sz w:val="24"/>
              </w:rPr>
            </w:pPr>
            <w:r>
              <w:rPr>
                <w:rFonts w:hint="eastAsia" w:ascii="宋体" w:hAnsi="宋体" w:cs="宋体"/>
                <w:color w:val="000000"/>
                <w:kern w:val="0"/>
                <w:sz w:val="24"/>
              </w:rPr>
              <w:t>满足关于促进残疾人就业政府采购政策的通知（财库[2017]141号）的规定的供应商可享受优惠扶持。</w:t>
            </w:r>
          </w:p>
          <w:p>
            <w:pPr>
              <w:widowControl/>
              <w:spacing w:line="336" w:lineRule="auto"/>
              <w:ind w:firstLine="480" w:firstLineChars="200"/>
              <w:rPr>
                <w:rFonts w:ascii="宋体" w:hAnsi="宋体" w:cs="宋体"/>
                <w:color w:val="000000"/>
                <w:kern w:val="0"/>
                <w:sz w:val="24"/>
              </w:rPr>
            </w:pPr>
            <w:r>
              <w:rPr>
                <w:rFonts w:hint="eastAsia" w:ascii="宋体" w:hAnsi="宋体" w:cs="宋体"/>
                <w:color w:val="000000"/>
                <w:kern w:val="0"/>
                <w:sz w:val="24"/>
              </w:rPr>
              <w:t>3、节能产品、环境标志产品的强制采购政策</w:t>
            </w:r>
          </w:p>
          <w:p>
            <w:pPr>
              <w:widowControl/>
              <w:spacing w:line="336" w:lineRule="auto"/>
              <w:ind w:firstLine="480" w:firstLineChars="200"/>
              <w:rPr>
                <w:rFonts w:ascii="宋体" w:hAnsi="宋体" w:cs="宋体"/>
                <w:color w:val="000000"/>
                <w:kern w:val="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pacing w:line="336" w:lineRule="auto"/>
              <w:ind w:firstLine="480" w:firstLineChars="200"/>
              <w:rPr>
                <w:rFonts w:ascii="宋体" w:hAnsi="宋体" w:cs="宋体"/>
                <w:color w:val="000000"/>
                <w:kern w:val="0"/>
                <w:sz w:val="24"/>
              </w:rPr>
            </w:pPr>
            <w:r>
              <w:rPr>
                <w:rFonts w:hint="eastAsia" w:ascii="宋体" w:hAnsi="宋体" w:cs="宋体"/>
                <w:color w:val="000000"/>
                <w:kern w:val="0"/>
                <w:sz w:val="24"/>
              </w:rPr>
              <w:t>4、节能产品、环境标志产品的优先采购政策</w:t>
            </w:r>
          </w:p>
          <w:p>
            <w:pPr>
              <w:widowControl/>
              <w:spacing w:line="336" w:lineRule="auto"/>
              <w:ind w:firstLine="480" w:firstLineChars="200"/>
              <w:rPr>
                <w:rFonts w:ascii="宋体" w:hAnsi="宋体" w:cs="宋体"/>
                <w:b/>
                <w:color w:val="000000"/>
                <w:kern w:val="1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pacing w:line="288" w:lineRule="auto"/>
              <w:jc w:val="center"/>
              <w:textAlignment w:val="center"/>
              <w:rPr>
                <w:rFonts w:ascii="宋体" w:hAnsi="宋体" w:cs="宋体"/>
                <w:b/>
                <w:bCs/>
                <w:color w:val="000000"/>
                <w:sz w:val="24"/>
              </w:rPr>
            </w:pPr>
            <w:r>
              <w:rPr>
                <w:rFonts w:ascii="宋体" w:hAnsi="宋体" w:cs="宋体"/>
                <w:b/>
                <w:bCs/>
                <w:color w:val="000000"/>
                <w:kern w:val="0"/>
                <w:sz w:val="24"/>
              </w:rPr>
              <w:t>21</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36" w:lineRule="auto"/>
              <w:ind w:left="105" w:leftChars="50"/>
              <w:rPr>
                <w:rFonts w:ascii="宋体" w:hAnsi="宋体" w:cs="宋体"/>
                <w:color w:val="000000"/>
                <w:sz w:val="24"/>
              </w:rPr>
            </w:pPr>
            <w:r>
              <w:rPr>
                <w:rFonts w:hint="eastAsia" w:ascii="宋体" w:hAnsi="宋体" w:cs="宋体"/>
                <w:color w:val="000000"/>
                <w:sz w:val="24"/>
              </w:rPr>
              <w:t>根据《关于在政府采购活动中查询及使用信用记录有关问题的通知》财库[2016]125号的规定：</w:t>
            </w:r>
          </w:p>
          <w:p>
            <w:pPr>
              <w:spacing w:line="336" w:lineRule="auto"/>
              <w:ind w:left="105" w:leftChars="5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1）采购人或采购代理机构将对本项目供应商的信用记录进行查询。查询渠道为信用中国网站（www.creditchina.gov.cn）、中国政府采购网（www.ccgp.gov.cn）；</w:t>
            </w:r>
          </w:p>
          <w:p>
            <w:pPr>
              <w:spacing w:line="336" w:lineRule="auto"/>
              <w:ind w:firstLine="120" w:firstLineChars="5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2）截止时点：提交投标文件（响应文件）截止时间前3年内；</w:t>
            </w:r>
          </w:p>
          <w:p>
            <w:pPr>
              <w:spacing w:line="336" w:lineRule="auto"/>
              <w:ind w:left="105" w:leftChars="5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3）查询记录和证据的留存：信用信息查询记录和证据以网页截图等方式留存。</w:t>
            </w:r>
          </w:p>
          <w:p>
            <w:pPr>
              <w:spacing w:line="336" w:lineRule="auto"/>
              <w:ind w:left="105" w:leftChars="5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spacing w:line="336" w:lineRule="auto"/>
              <w:rPr>
                <w:rFonts w:ascii="宋体" w:hAnsi="宋体" w:cs="宋体"/>
                <w:b/>
                <w:color w:val="000000"/>
                <w:kern w:val="10"/>
                <w:sz w:val="24"/>
              </w:rPr>
            </w:pPr>
            <w:r>
              <w:rPr>
                <w:rFonts w:hint="eastAsia" w:ascii="宋体" w:hAnsi="宋体" w:cs="宋体"/>
                <w:color w:val="000000"/>
                <w:kern w:val="0"/>
                <w:sz w:val="24"/>
              </w:rPr>
              <w:t>（</w:t>
            </w:r>
            <w:r>
              <w:rPr>
                <w:rFonts w:hint="eastAsia" w:ascii="宋体" w:hAnsi="宋体" w:cs="宋体"/>
                <w:color w:val="000000"/>
                <w:sz w:val="24"/>
              </w:rPr>
              <w:t>5）联合体成员任意一方存在不良信用记录的，视同联合体存在不良信用记录。</w:t>
            </w:r>
          </w:p>
        </w:tc>
      </w:tr>
    </w:tbl>
    <w:p>
      <w:pPr>
        <w:shd w:val="clear" w:color="auto" w:fill="FFFFFF"/>
        <w:snapToGrid w:val="0"/>
        <w:spacing w:line="336" w:lineRule="auto"/>
        <w:jc w:val="center"/>
        <w:outlineLvl w:val="1"/>
        <w:rPr>
          <w:rFonts w:ascii="宋体" w:hAnsi="宋体" w:cs="宋体"/>
          <w:b/>
          <w:bCs/>
          <w:color w:val="000000"/>
          <w:sz w:val="24"/>
        </w:rPr>
      </w:pPr>
      <w:r>
        <w:rPr>
          <w:rFonts w:hint="eastAsia" w:ascii="宋体" w:hAnsi="宋体" w:cs="宋体"/>
          <w:color w:val="000000"/>
          <w:kern w:val="0"/>
          <w:sz w:val="24"/>
        </w:rPr>
        <w:br w:type="page"/>
      </w:r>
      <w:bookmarkEnd w:id="13"/>
      <w:bookmarkStart w:id="20" w:name="_Toc354996696"/>
      <w:bookmarkStart w:id="21" w:name="_Toc11373"/>
      <w:bookmarkStart w:id="22" w:name="_Toc2995"/>
      <w:bookmarkStart w:id="23" w:name="_Toc233618972"/>
      <w:bookmarkStart w:id="24" w:name="_Toc19546"/>
      <w:bookmarkStart w:id="25" w:name="_Toc225840109"/>
      <w:bookmarkStart w:id="26" w:name="_Toc226106516"/>
      <w:bookmarkStart w:id="27" w:name="_Toc226106467"/>
      <w:bookmarkStart w:id="28" w:name="_Toc226521904"/>
      <w:r>
        <w:rPr>
          <w:rFonts w:hint="eastAsia" w:ascii="宋体" w:hAnsi="宋体" w:cs="宋体"/>
          <w:b/>
          <w:bCs/>
          <w:color w:val="000000"/>
          <w:sz w:val="24"/>
        </w:rPr>
        <w:t>一、总 则</w:t>
      </w:r>
      <w:bookmarkEnd w:id="20"/>
      <w:bookmarkEnd w:id="21"/>
      <w:bookmarkEnd w:id="22"/>
      <w:bookmarkEnd w:id="23"/>
      <w:bookmarkEnd w:id="24"/>
    </w:p>
    <w:p>
      <w:pPr>
        <w:snapToGrid w:val="0"/>
        <w:spacing w:line="360" w:lineRule="auto"/>
        <w:rPr>
          <w:rFonts w:ascii="宋体" w:hAnsi="宋体" w:cs="宋体"/>
          <w:b/>
          <w:color w:val="000000"/>
          <w:sz w:val="24"/>
        </w:rPr>
      </w:pPr>
      <w:bookmarkStart w:id="29" w:name="_Toc91899872"/>
      <w:bookmarkStart w:id="30" w:name="_Hlt74730112"/>
      <w:bookmarkStart w:id="31" w:name="_Hlt74730208"/>
      <w:bookmarkStart w:id="32" w:name="_Toc233618973"/>
      <w:bookmarkStart w:id="33" w:name="_Toc354996697"/>
      <w:r>
        <w:rPr>
          <w:rFonts w:hint="eastAsia" w:ascii="宋体" w:hAnsi="宋体" w:cs="宋体"/>
          <w:b/>
          <w:color w:val="000000"/>
          <w:sz w:val="24"/>
        </w:rPr>
        <w:t>（一）项目说明</w:t>
      </w:r>
      <w:bookmarkEnd w:id="29"/>
    </w:p>
    <w:p>
      <w:pPr>
        <w:pStyle w:val="388"/>
        <w:snapToGrid w:val="0"/>
        <w:ind w:firstLine="480"/>
        <w:rPr>
          <w:color w:val="000000"/>
        </w:rPr>
      </w:pPr>
      <w:r>
        <w:rPr>
          <w:rFonts w:hint="eastAsia"/>
          <w:color w:val="000000"/>
        </w:rPr>
        <w:t>1、项目说明见投标须知前附表(以下称“前附表”)第1项所述。</w:t>
      </w:r>
    </w:p>
    <w:p>
      <w:pPr>
        <w:pStyle w:val="388"/>
        <w:tabs>
          <w:tab w:val="left" w:pos="6510"/>
        </w:tabs>
        <w:snapToGrid w:val="0"/>
        <w:ind w:firstLine="480"/>
        <w:rPr>
          <w:color w:val="000000"/>
        </w:rPr>
      </w:pPr>
      <w:r>
        <w:rPr>
          <w:rFonts w:hint="eastAsia"/>
          <w:color w:val="000000"/>
        </w:rPr>
        <w:t>2、采购单位</w:t>
      </w:r>
      <w:r>
        <w:rPr>
          <w:rFonts w:hint="eastAsia"/>
          <w:b/>
          <w:bCs/>
          <w:u w:val="single"/>
          <w:lang w:eastAsia="zh-CN"/>
        </w:rPr>
        <w:t>杭州市余杭区人民政府中泰街道办事处</w:t>
      </w:r>
      <w:r>
        <w:rPr>
          <w:rFonts w:hint="eastAsia"/>
          <w:color w:val="000000"/>
        </w:rPr>
        <w:t>为本项目的招标人（合同中的甲方），</w:t>
      </w:r>
      <w:r>
        <w:rPr>
          <w:rFonts w:hint="eastAsia"/>
          <w:b/>
          <w:bCs/>
          <w:color w:val="000000"/>
          <w:u w:val="single"/>
          <w:lang w:eastAsia="zh-CN"/>
        </w:rPr>
        <w:t>浙江文华建设项目管理有限公司</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388"/>
        <w:snapToGrid w:val="0"/>
        <w:ind w:firstLine="480"/>
        <w:rPr>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34" w:name="_Toc91899873"/>
    </w:p>
    <w:p>
      <w:pPr>
        <w:tabs>
          <w:tab w:val="left" w:pos="3780"/>
        </w:tabs>
        <w:snapToGrid w:val="0"/>
        <w:spacing w:line="360" w:lineRule="auto"/>
        <w:rPr>
          <w:rFonts w:ascii="宋体" w:hAnsi="宋体" w:cs="宋体"/>
          <w:b/>
          <w:color w:val="000000"/>
          <w:sz w:val="24"/>
        </w:rPr>
      </w:pPr>
      <w:r>
        <w:rPr>
          <w:rFonts w:hint="eastAsia" w:ascii="宋体" w:hAnsi="宋体" w:cs="宋体"/>
          <w:b/>
          <w:color w:val="000000"/>
          <w:sz w:val="24"/>
        </w:rPr>
        <w:t>（二）采购方式</w:t>
      </w:r>
      <w:bookmarkEnd w:id="34"/>
    </w:p>
    <w:p>
      <w:pPr>
        <w:pStyle w:val="388"/>
        <w:snapToGrid w:val="0"/>
        <w:ind w:firstLine="480"/>
        <w:rPr>
          <w:color w:val="000000"/>
        </w:rPr>
      </w:pPr>
      <w:r>
        <w:rPr>
          <w:rFonts w:hint="eastAsia"/>
          <w:color w:val="000000"/>
        </w:rPr>
        <w:t>公开招标。</w:t>
      </w:r>
      <w:bookmarkEnd w:id="30"/>
      <w:bookmarkEnd w:id="31"/>
      <w:bookmarkStart w:id="35" w:name="_Hlt74388212"/>
      <w:bookmarkEnd w:id="35"/>
      <w:bookmarkStart w:id="36" w:name="_Hlt68516771"/>
      <w:bookmarkEnd w:id="36"/>
    </w:p>
    <w:p>
      <w:pPr>
        <w:snapToGrid w:val="0"/>
        <w:spacing w:line="360" w:lineRule="auto"/>
        <w:rPr>
          <w:rFonts w:ascii="宋体" w:hAnsi="宋体" w:cs="宋体"/>
          <w:b/>
          <w:color w:val="000000"/>
          <w:sz w:val="24"/>
        </w:rPr>
      </w:pPr>
      <w:bookmarkStart w:id="37" w:name="_Hlt74730303"/>
      <w:bookmarkStart w:id="38" w:name="_Toc91899877"/>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2、内容</w:t>
      </w:r>
    </w:p>
    <w:p>
      <w:pPr>
        <w:spacing w:line="360" w:lineRule="auto"/>
        <w:ind w:firstLine="480" w:firstLineChars="200"/>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的</w:t>
      </w:r>
      <w:r>
        <w:rPr>
          <w:rFonts w:hint="eastAsia" w:ascii="宋体" w:hAnsi="宋体" w:cs="宋体"/>
          <w:color w:val="000000"/>
          <w:sz w:val="24"/>
          <w:lang w:eastAsia="zh-CN"/>
        </w:rPr>
        <w:t>中泰街道交治工作站建设设备项目采购</w:t>
      </w:r>
      <w:r>
        <w:rPr>
          <w:rFonts w:hint="eastAsia" w:ascii="宋体" w:hAnsi="宋体" w:cs="宋体"/>
          <w:color w:val="000000"/>
          <w:sz w:val="24"/>
        </w:rPr>
        <w:t xml:space="preserve"> ，具体详见“第三部分——项目技术规范和服务要求”。</w:t>
      </w:r>
    </w:p>
    <w:p>
      <w:pPr>
        <w:pStyle w:val="41"/>
        <w:snapToGrid w:val="0"/>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p>
    <w:bookmarkEnd w:id="37"/>
    <w:bookmarkEnd w:id="38"/>
    <w:p>
      <w:pPr>
        <w:snapToGrid w:val="0"/>
        <w:spacing w:line="360" w:lineRule="auto"/>
        <w:ind w:firstLine="457" w:firstLineChars="218"/>
        <w:rPr>
          <w:rFonts w:ascii="宋体" w:hAnsi="宋体" w:cs="宋体"/>
          <w:color w:val="000000"/>
          <w:szCs w:val="21"/>
          <w:lang w:val="zh-CN"/>
        </w:rPr>
      </w:pPr>
    </w:p>
    <w:p>
      <w:pPr>
        <w:shd w:val="clear" w:color="auto" w:fill="FFFFFF"/>
        <w:snapToGrid w:val="0"/>
        <w:spacing w:line="360" w:lineRule="auto"/>
        <w:jc w:val="center"/>
        <w:outlineLvl w:val="1"/>
        <w:rPr>
          <w:rFonts w:ascii="宋体" w:hAnsi="宋体" w:cs="宋体"/>
          <w:b/>
          <w:bCs/>
          <w:color w:val="000000"/>
          <w:sz w:val="24"/>
        </w:rPr>
      </w:pPr>
      <w:bookmarkStart w:id="39" w:name="_Toc22969"/>
      <w:bookmarkStart w:id="40" w:name="_Toc31909"/>
      <w:bookmarkStart w:id="41" w:name="_Toc1199"/>
      <w:r>
        <w:rPr>
          <w:rFonts w:hint="eastAsia" w:ascii="宋体" w:hAnsi="宋体" w:cs="宋体"/>
          <w:b/>
          <w:bCs/>
          <w:color w:val="000000"/>
          <w:sz w:val="24"/>
        </w:rPr>
        <w:t>二、招标文件</w:t>
      </w:r>
      <w:bookmarkEnd w:id="32"/>
      <w:bookmarkEnd w:id="33"/>
      <w:bookmarkEnd w:id="39"/>
      <w:bookmarkEnd w:id="40"/>
      <w:bookmarkEnd w:id="41"/>
    </w:p>
    <w:p>
      <w:pPr>
        <w:shd w:val="clear" w:color="auto" w:fill="FFFFFF"/>
        <w:snapToGrid w:val="0"/>
        <w:spacing w:line="360" w:lineRule="auto"/>
        <w:rPr>
          <w:rFonts w:ascii="宋体" w:hAnsi="宋体" w:cs="宋体"/>
          <w:b/>
          <w:bCs/>
          <w:color w:val="000000"/>
          <w:sz w:val="24"/>
        </w:rPr>
      </w:pPr>
      <w:bookmarkStart w:id="42" w:name="_Toc91899880"/>
      <w:bookmarkStart w:id="43" w:name="_Hlt74730307"/>
      <w:r>
        <w:rPr>
          <w:rFonts w:hint="eastAsia" w:ascii="宋体" w:hAnsi="宋体" w:cs="宋体"/>
          <w:b/>
          <w:bCs/>
          <w:color w:val="000000"/>
          <w:sz w:val="24"/>
        </w:rPr>
        <w:t>（一）招标文件的构成</w:t>
      </w:r>
      <w:bookmarkEnd w:id="42"/>
    </w:p>
    <w:bookmarkEnd w:id="43"/>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、招标文件包括下列文件及附件</w:t>
      </w:r>
    </w:p>
    <w:p>
      <w:pPr>
        <w:shd w:val="clear" w:color="auto" w:fill="FFFFFF"/>
        <w:snapToGrid w:val="0"/>
        <w:spacing w:line="360" w:lineRule="auto"/>
        <w:ind w:left="480"/>
        <w:rPr>
          <w:rFonts w:ascii="宋体" w:hAnsi="宋体" w:cs="宋体"/>
          <w:color w:val="000000"/>
          <w:sz w:val="24"/>
        </w:rPr>
      </w:pPr>
      <w:r>
        <w:rPr>
          <w:rFonts w:hint="eastAsia" w:ascii="宋体" w:hAnsi="宋体" w:cs="宋体"/>
          <w:color w:val="000000"/>
          <w:sz w:val="24"/>
        </w:rPr>
        <w:t>第一部分  招标公告</w:t>
      </w:r>
    </w:p>
    <w:p>
      <w:pPr>
        <w:shd w:val="clear" w:color="auto" w:fill="FFFFFF"/>
        <w:snapToGrid w:val="0"/>
        <w:spacing w:line="360" w:lineRule="auto"/>
        <w:ind w:left="480"/>
        <w:rPr>
          <w:rFonts w:ascii="宋体" w:hAnsi="宋体" w:cs="宋体"/>
          <w:color w:val="000000"/>
          <w:sz w:val="24"/>
        </w:rPr>
      </w:pPr>
      <w:r>
        <w:rPr>
          <w:rFonts w:hint="eastAsia" w:ascii="宋体" w:hAnsi="宋体" w:cs="宋体"/>
          <w:color w:val="000000"/>
          <w:sz w:val="24"/>
        </w:rPr>
        <w:t>第二部分  编制和提交投标文件须知</w:t>
      </w:r>
    </w:p>
    <w:p>
      <w:pPr>
        <w:shd w:val="clear" w:color="auto" w:fill="FFFFFF"/>
        <w:snapToGrid w:val="0"/>
        <w:spacing w:line="360" w:lineRule="auto"/>
        <w:ind w:left="480"/>
        <w:rPr>
          <w:rFonts w:ascii="宋体" w:hAnsi="宋体" w:cs="宋体"/>
          <w:color w:val="000000"/>
          <w:sz w:val="24"/>
        </w:rPr>
      </w:pPr>
      <w:r>
        <w:rPr>
          <w:rFonts w:hint="eastAsia" w:ascii="宋体" w:hAnsi="宋体" w:cs="宋体"/>
          <w:color w:val="000000"/>
          <w:sz w:val="24"/>
        </w:rPr>
        <w:t>第三部分  项目技术规范和服务要求</w:t>
      </w:r>
    </w:p>
    <w:p>
      <w:pPr>
        <w:shd w:val="clear" w:color="auto" w:fill="FFFFFF"/>
        <w:snapToGrid w:val="0"/>
        <w:spacing w:line="360" w:lineRule="auto"/>
        <w:ind w:left="480"/>
        <w:rPr>
          <w:rFonts w:ascii="宋体" w:hAnsi="宋体" w:cs="宋体"/>
          <w:color w:val="000000"/>
          <w:sz w:val="24"/>
        </w:rPr>
      </w:pPr>
      <w:r>
        <w:rPr>
          <w:rFonts w:hint="eastAsia" w:ascii="宋体" w:hAnsi="宋体" w:cs="宋体"/>
          <w:color w:val="000000"/>
          <w:sz w:val="24"/>
        </w:rPr>
        <w:t>第四部分  合同主要条款</w:t>
      </w:r>
    </w:p>
    <w:p>
      <w:pPr>
        <w:shd w:val="clear" w:color="auto" w:fill="FFFFFF"/>
        <w:snapToGrid w:val="0"/>
        <w:spacing w:line="360" w:lineRule="auto"/>
        <w:ind w:left="480"/>
        <w:rPr>
          <w:rFonts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1"/>
        <w:snapToGrid w:val="0"/>
        <w:spacing w:line="360" w:lineRule="auto"/>
        <w:rPr>
          <w:rFonts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tabs>
          <w:tab w:val="left" w:pos="3780"/>
        </w:tabs>
        <w:snapToGrid w:val="0"/>
        <w:spacing w:line="360" w:lineRule="auto"/>
        <w:ind w:firstLine="600" w:firstLineChars="25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tabs>
          <w:tab w:val="left" w:pos="3780"/>
        </w:tabs>
        <w:snapToGrid w:val="0"/>
        <w:spacing w:line="360" w:lineRule="auto"/>
        <w:ind w:firstLine="600" w:firstLineChars="25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、投标人一旦参与本次采购活动，即被视为接受了本招标文件的所有内容，如有任何异议，均已在答疑截止时间前提出。</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ascii="宋体" w:hAnsi="宋体" w:cs="宋体"/>
          <w:color w:val="000000"/>
          <w:sz w:val="24"/>
          <w:lang w:val="zh-CN"/>
        </w:rPr>
      </w:pPr>
      <w:r>
        <w:rPr>
          <w:rFonts w:ascii="宋体" w:hAnsi="宋体" w:cs="宋体"/>
          <w:color w:val="000000"/>
          <w:sz w:val="24"/>
        </w:rPr>
        <w:t>2</w:t>
      </w:r>
      <w:r>
        <w:rPr>
          <w:rFonts w:hint="eastAsia" w:ascii="宋体" w:hAnsi="宋体" w:cs="宋体"/>
          <w:color w:val="000000"/>
          <w:sz w:val="24"/>
        </w:rPr>
        <w:t>、若有必要，招标代理机构将酌情延长递交投标文件的截止日期。</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（四）投标报价</w:t>
      </w:r>
    </w:p>
    <w:p>
      <w:pPr>
        <w:pStyle w:val="174"/>
        <w:snapToGrid w:val="0"/>
        <w:spacing w:before="0"/>
        <w:ind w:firstLine="480"/>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、报价</w:t>
      </w:r>
    </w:p>
    <w:p>
      <w:pPr>
        <w:pStyle w:val="174"/>
        <w:snapToGrid w:val="0"/>
        <w:spacing w:before="0"/>
        <w:ind w:firstLine="480"/>
        <w:rPr>
          <w:rFonts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、其它费用处理</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、投标货币</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6</w:t>
      </w:r>
      <w:r>
        <w:rPr>
          <w:rFonts w:hint="eastAsia" w:ascii="宋体" w:hAnsi="宋体" w:cs="宋体"/>
          <w:color w:val="000000"/>
          <w:sz w:val="24"/>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napToGrid w:val="0"/>
        <w:spacing w:line="360" w:lineRule="auto"/>
        <w:rPr>
          <w:rFonts w:ascii="Calibri" w:hAnsi="宋体" w:cs="宋体"/>
          <w:color w:val="000000"/>
          <w:szCs w:val="21"/>
        </w:rPr>
      </w:pPr>
      <w:r>
        <w:rPr>
          <w:rFonts w:hint="eastAsia" w:ascii="宋体" w:hAnsi="宋体" w:cs="宋体"/>
          <w:color w:val="000000"/>
          <w:sz w:val="24"/>
        </w:rPr>
        <w:t xml:space="preserve">    </w:t>
      </w:r>
    </w:p>
    <w:p>
      <w:pPr>
        <w:shd w:val="clear" w:color="auto" w:fill="FFFFFF"/>
        <w:snapToGrid w:val="0"/>
        <w:spacing w:line="360" w:lineRule="auto"/>
        <w:jc w:val="center"/>
        <w:outlineLvl w:val="1"/>
        <w:rPr>
          <w:rFonts w:ascii="宋体" w:hAnsi="宋体" w:cs="宋体"/>
          <w:b/>
          <w:bCs/>
          <w:color w:val="000000"/>
          <w:sz w:val="24"/>
        </w:rPr>
      </w:pPr>
      <w:bookmarkStart w:id="44" w:name="_Toc9251"/>
      <w:bookmarkStart w:id="45" w:name="_Toc10416"/>
      <w:bookmarkStart w:id="46" w:name="_Toc18768"/>
      <w:r>
        <w:rPr>
          <w:rFonts w:hint="eastAsia" w:ascii="宋体" w:hAnsi="宋体" w:cs="宋体"/>
          <w:b/>
          <w:bCs/>
          <w:color w:val="000000"/>
          <w:sz w:val="24"/>
        </w:rPr>
        <w:t>三、</w:t>
      </w:r>
      <w:bookmarkStart w:id="47" w:name="_Hlt75236011"/>
      <w:bookmarkEnd w:id="47"/>
      <w:bookmarkStart w:id="48" w:name="_Toc233618974"/>
      <w:bookmarkStart w:id="49" w:name="_Toc91899884"/>
      <w:bookmarkStart w:id="50" w:name="_Toc354996698"/>
      <w:r>
        <w:rPr>
          <w:rFonts w:hint="eastAsia" w:ascii="宋体" w:hAnsi="宋体" w:cs="宋体"/>
          <w:b/>
          <w:bCs/>
          <w:color w:val="000000"/>
          <w:sz w:val="24"/>
        </w:rPr>
        <w:t>投标文件</w:t>
      </w:r>
      <w:bookmarkEnd w:id="44"/>
      <w:bookmarkEnd w:id="45"/>
      <w:bookmarkEnd w:id="46"/>
      <w:bookmarkEnd w:id="48"/>
      <w:bookmarkEnd w:id="49"/>
      <w:bookmarkEnd w:id="50"/>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（一）投标文件的语言</w:t>
      </w:r>
    </w:p>
    <w:p>
      <w:pPr>
        <w:shd w:val="clear" w:color="auto" w:fill="FFFFFF"/>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174"/>
        <w:snapToGrid w:val="0"/>
        <w:spacing w:before="0"/>
        <w:ind w:firstLine="0" w:firstLineChars="0"/>
        <w:rPr>
          <w:rFonts w:ascii="宋体" w:hAnsi="宋体" w:eastAsia="宋体" w:cs="宋体"/>
          <w:b/>
          <w:color w:val="000000"/>
          <w:szCs w:val="24"/>
        </w:rPr>
      </w:pPr>
      <w:bookmarkStart w:id="51" w:name="_Toc91899887"/>
      <w:r>
        <w:rPr>
          <w:rFonts w:hint="eastAsia" w:ascii="宋体" w:hAnsi="宋体" w:eastAsia="宋体" w:cs="宋体"/>
          <w:b/>
          <w:color w:val="000000"/>
          <w:szCs w:val="24"/>
        </w:rPr>
        <w:t>（二）投标文件的组成</w:t>
      </w:r>
    </w:p>
    <w:p>
      <w:pPr>
        <w:snapToGrid w:val="0"/>
        <w:spacing w:line="360" w:lineRule="auto"/>
        <w:ind w:firstLine="480" w:firstLineChars="200"/>
        <w:rPr>
          <w:rFonts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ascii="宋体" w:hAnsi="宋体" w:cs="宋体"/>
          <w:color w:val="000000"/>
          <w:sz w:val="24"/>
        </w:rPr>
      </w:pPr>
      <w:r>
        <w:rPr>
          <w:rFonts w:ascii="宋体" w:hAnsi="宋体" w:cs="宋体"/>
          <w:color w:val="000000"/>
          <w:kern w:val="0"/>
          <w:sz w:val="24"/>
          <w:lang w:val="zh-CN"/>
        </w:rPr>
        <w:t>1</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ascii="宋体" w:hAnsi="宋体"/>
          <w:color w:val="000000"/>
          <w:sz w:val="24"/>
        </w:rPr>
      </w:pPr>
      <w:r>
        <w:rPr>
          <w:rFonts w:hint="eastAsia" w:ascii="宋体" w:hAnsi="宋体"/>
          <w:color w:val="000000"/>
          <w:sz w:val="24"/>
        </w:rPr>
        <w:t>（2）最近一年财务报表(可提供审计报告或资产负责表及利润表，新成立的公司提供情况说明)；</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（3）具有履行合同所必需的场地、设备和专业技术能力的承诺函；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（8）投标供应商不属于公益一类事业单位承诺函。</w:t>
      </w:r>
    </w:p>
    <w:p>
      <w:pPr>
        <w:snapToGrid w:val="0"/>
        <w:spacing w:line="360" w:lineRule="auto"/>
        <w:ind w:left="105" w:leftChars="50" w:firstLine="482" w:firstLineChars="200"/>
        <w:rPr>
          <w:rFonts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360" w:lineRule="auto"/>
        <w:ind w:firstLine="480" w:firstLineChars="200"/>
        <w:rPr>
          <w:rFonts w:ascii="宋体" w:hAnsi="宋体" w:cs="宋体"/>
          <w:color w:val="000000"/>
          <w:sz w:val="24"/>
          <w:u w:val="single"/>
          <w:lang w:val="zh-CN"/>
        </w:rPr>
      </w:pPr>
      <w:bookmarkStart w:id="52" w:name="_Toc500208478"/>
      <w:r>
        <w:rPr>
          <w:rFonts w:ascii="宋体" w:hAnsi="宋体" w:cs="宋体"/>
          <w:color w:val="000000"/>
          <w:kern w:val="0"/>
          <w:sz w:val="24"/>
          <w:lang w:val="zh-CN"/>
        </w:rPr>
        <w:t>2</w:t>
      </w:r>
      <w:r>
        <w:rPr>
          <w:rFonts w:hint="eastAsia" w:ascii="宋体" w:hAnsi="宋体" w:cs="宋体"/>
          <w:color w:val="000000"/>
          <w:kern w:val="0"/>
          <w:sz w:val="24"/>
          <w:lang w:val="zh-CN"/>
        </w:rPr>
        <w:t>、</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1"/>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（2）开标一览表；</w:t>
      </w:r>
    </w:p>
    <w:p>
      <w:pPr>
        <w:pStyle w:val="41"/>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（4）中小企业声明函及相应的http://xwqy.gsxt.gov.cn/小微企业名录网页截图；</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kern w:val="0"/>
          <w:sz w:val="24"/>
        </w:rPr>
        <w:t>（5）监狱企业、残疾人福利性单位及其他相关的充分的证明材料。</w:t>
      </w:r>
      <w:r>
        <w:rPr>
          <w:rFonts w:hint="eastAsia" w:ascii="宋体" w:hAnsi="宋体" w:cs="宋体"/>
          <w:b/>
          <w:bCs/>
          <w:color w:val="000000"/>
          <w:sz w:val="24"/>
        </w:rPr>
        <w:t xml:space="preserve"> </w:t>
      </w:r>
    </w:p>
    <w:p>
      <w:pPr>
        <w:snapToGri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bookmarkEnd w:id="52"/>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（1）法定代表人授权委托书；</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（2）法定代表人及授权委托人的身份证(复印件加盖公章)；</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hint="eastAsia" w:ascii="宋体" w:hAnsi="宋体"/>
          <w:color w:val="000000"/>
          <w:sz w:val="24"/>
          <w:u w:color="000000"/>
        </w:rPr>
        <w:t>资质文件（如有）；</w:t>
      </w:r>
    </w:p>
    <w:p>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p>
    <w:p>
      <w:pPr>
        <w:pStyle w:val="41"/>
        <w:snapToGrid w:val="0"/>
        <w:spacing w:line="360" w:lineRule="auto"/>
        <w:ind w:firstLine="480" w:firstLineChars="200"/>
        <w:jc w:val="left"/>
        <w:rPr>
          <w:rFonts w:ascii="宋体" w:hAnsi="宋体" w:eastAsia="宋体" w:cs="宋体"/>
          <w:color w:val="000000"/>
          <w:kern w:val="0"/>
          <w:sz w:val="24"/>
        </w:rPr>
      </w:pPr>
      <w:r>
        <w:rPr>
          <w:rFonts w:hint="eastAsia" w:ascii="宋体" w:hAnsi="宋体" w:cs="宋体"/>
          <w:color w:val="000000"/>
          <w:sz w:val="24"/>
        </w:rPr>
        <w:t>（</w:t>
      </w:r>
      <w:r>
        <w:rPr>
          <w:rFonts w:hint="eastAsia" w:ascii="宋体" w:hAnsi="宋体" w:eastAsia="宋体" w:cs="宋体"/>
          <w:color w:val="000000"/>
          <w:sz w:val="24"/>
        </w:rPr>
        <w:t>5</w:t>
      </w:r>
      <w:r>
        <w:rPr>
          <w:rFonts w:hint="eastAsia" w:ascii="宋体" w:hAnsi="宋体" w:cs="宋体"/>
          <w:color w:val="000000"/>
          <w:sz w:val="24"/>
        </w:rPr>
        <w:t>）</w:t>
      </w:r>
      <w:r>
        <w:rPr>
          <w:rFonts w:hint="eastAsia" w:ascii="宋体" w:hAnsi="宋体" w:cs="宋体"/>
          <w:color w:val="000000"/>
          <w:kern w:val="0"/>
          <w:sz w:val="24"/>
        </w:rPr>
        <w:t>针对本项目详细服务实施计划</w:t>
      </w:r>
      <w:r>
        <w:rPr>
          <w:rFonts w:hint="eastAsia" w:ascii="宋体" w:hAnsi="宋体" w:eastAsia="宋体" w:cs="宋体"/>
          <w:color w:val="000000"/>
          <w:kern w:val="0"/>
          <w:sz w:val="24"/>
        </w:rPr>
        <w:t>方案等；</w:t>
      </w:r>
    </w:p>
    <w:p>
      <w:pPr>
        <w:pStyle w:val="41"/>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（6）服务承诺；</w:t>
      </w:r>
    </w:p>
    <w:p>
      <w:pPr>
        <w:spacing w:line="360" w:lineRule="auto"/>
        <w:ind w:firstLine="480" w:firstLineChars="200"/>
        <w:rPr>
          <w:rFonts w:ascii="宋体" w:hAnsi="宋体" w:cs="宋体"/>
          <w:color w:val="000000"/>
          <w:kern w:val="0"/>
          <w:sz w:val="24"/>
        </w:rPr>
      </w:pPr>
      <w:r>
        <w:rPr>
          <w:rFonts w:hint="eastAsia" w:ascii="宋体" w:hAnsi="宋体" w:cs="宋体"/>
          <w:color w:val="000000"/>
          <w:sz w:val="24"/>
        </w:rPr>
        <w:t>（7）</w:t>
      </w:r>
      <w:r>
        <w:rPr>
          <w:rFonts w:hint="eastAsia" w:ascii="宋体" w:hAnsi="宋体" w:cs="宋体"/>
          <w:color w:val="000000"/>
          <w:kern w:val="0"/>
          <w:sz w:val="24"/>
        </w:rPr>
        <w:t>商务技术偏离表；</w:t>
      </w:r>
      <w:r>
        <w:rPr>
          <w:rFonts w:hint="eastAsia" w:ascii="宋体" w:hAnsi="宋体" w:cs="宋体"/>
          <w:b/>
          <w:bCs/>
          <w:color w:val="000000"/>
          <w:sz w:val="24"/>
        </w:rPr>
        <w:t>投标人必须针对第三部分设备清单中“技术参数要求”逐个做出响应；并按相关要求提供证明材料，否则视为未响应。</w:t>
      </w:r>
    </w:p>
    <w:p>
      <w:pPr>
        <w:spacing w:line="360" w:lineRule="auto"/>
        <w:ind w:firstLine="720" w:firstLineChars="300"/>
        <w:rPr>
          <w:rFonts w:ascii="宋体" w:hAnsi="宋体" w:cs="宋体"/>
          <w:color w:val="000000"/>
          <w:sz w:val="24"/>
        </w:rPr>
      </w:pPr>
      <w:r>
        <w:rPr>
          <w:rFonts w:hint="eastAsia" w:ascii="宋体" w:hAnsi="宋体" w:cs="宋体"/>
          <w:color w:val="000000"/>
          <w:sz w:val="24"/>
        </w:rPr>
        <w:t>所投产品具体配置表：详细列明所投产品设备清单，完整配置方案及技术指标，项目的主要设备必须明确所投产品的</w:t>
      </w:r>
      <w:r>
        <w:rPr>
          <w:rFonts w:hint="eastAsia" w:ascii="宋体" w:hAnsi="宋体" w:cs="宋体"/>
          <w:b/>
          <w:bCs/>
          <w:color w:val="000000"/>
          <w:sz w:val="24"/>
        </w:rPr>
        <w:t>品牌</w:t>
      </w:r>
      <w:r>
        <w:rPr>
          <w:rFonts w:hint="eastAsia" w:ascii="宋体" w:hAnsi="宋体" w:cs="宋体"/>
          <w:color w:val="000000"/>
          <w:sz w:val="24"/>
        </w:rPr>
        <w:t>、规格型号、材质及具体技术指标，任何含糊不清的表述对评标结果的影响将是投标人的责任；</w:t>
      </w:r>
    </w:p>
    <w:p>
      <w:pPr>
        <w:spacing w:line="360" w:lineRule="auto"/>
        <w:ind w:firstLine="480" w:firstLineChars="200"/>
        <w:rPr>
          <w:rFonts w:ascii="宋体" w:hAnsi="宋体" w:cs="宋体"/>
          <w:sz w:val="24"/>
        </w:rPr>
      </w:pPr>
      <w:r>
        <w:rPr>
          <w:rFonts w:hint="eastAsia" w:ascii="宋体" w:hAnsi="宋体" w:cs="宋体"/>
          <w:color w:val="000000"/>
          <w:sz w:val="24"/>
        </w:rPr>
        <w:t>所投产品各厂商网站公开的该产品技术指标或印刷版的产品技术白皮书或手册、厂家出具盖厂家公章的特别说明；</w:t>
      </w:r>
    </w:p>
    <w:p>
      <w:pPr>
        <w:pStyle w:val="41"/>
        <w:snapToGrid w:val="0"/>
        <w:spacing w:line="360" w:lineRule="auto"/>
        <w:ind w:firstLine="482" w:firstLineChars="200"/>
        <w:rPr>
          <w:rFonts w:ascii="宋体" w:hAnsi="宋体" w:eastAsia="宋体" w:cs="宋体"/>
          <w:b/>
          <w:bCs/>
          <w:color w:val="000000"/>
          <w:sz w:val="24"/>
          <w:szCs w:val="24"/>
        </w:rPr>
      </w:pPr>
      <w:r>
        <w:rPr>
          <w:rFonts w:hint="eastAsia" w:ascii="宋体" w:hAnsi="宋体" w:eastAsia="宋体" w:cs="宋体"/>
          <w:b/>
          <w:bCs/>
          <w:color w:val="000000"/>
          <w:sz w:val="24"/>
          <w:szCs w:val="24"/>
        </w:rPr>
        <w:t>（8）对应商务技术评分细则提供相关证明资料；</w:t>
      </w:r>
    </w:p>
    <w:p/>
    <w:p>
      <w:pPr>
        <w:pStyle w:val="41"/>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（9）其他必要提供的资料；</w:t>
      </w:r>
    </w:p>
    <w:p>
      <w:pPr>
        <w:pStyle w:val="41"/>
        <w:snapToGrid w:val="0"/>
        <w:spacing w:line="360" w:lineRule="auto"/>
        <w:ind w:firstLine="480" w:firstLineChars="200"/>
        <w:rPr>
          <w:rFonts w:hAnsi="宋体"/>
          <w:color w:val="000000"/>
          <w:sz w:val="24"/>
          <w:szCs w:val="24"/>
        </w:rPr>
      </w:pPr>
      <w:r>
        <w:rPr>
          <w:rFonts w:hint="eastAsia" w:ascii="宋体" w:hAnsi="宋体" w:eastAsia="宋体" w:cs="宋体"/>
          <w:color w:val="000000"/>
          <w:sz w:val="24"/>
          <w:szCs w:val="24"/>
        </w:rPr>
        <w:t>（10）</w:t>
      </w:r>
      <w:r>
        <w:rPr>
          <w:rFonts w:hint="eastAsia" w:hAnsi="宋体"/>
          <w:color w:val="000000"/>
          <w:sz w:val="24"/>
          <w:szCs w:val="24"/>
        </w:rPr>
        <w:t>关于对招标文件中有关条款的拒绝声明（如果有的话）；</w:t>
      </w:r>
    </w:p>
    <w:p>
      <w:pPr>
        <w:pStyle w:val="41"/>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hint="eastAsia" w:ascii="宋体" w:hAnsi="宋体" w:eastAsia="宋体"/>
          <w:color w:val="000000"/>
          <w:sz w:val="24"/>
          <w:szCs w:val="24"/>
        </w:rPr>
        <w:t>1</w:t>
      </w:r>
      <w:r>
        <w:rPr>
          <w:rFonts w:hint="eastAsia" w:ascii="宋体" w:hAnsi="宋体"/>
          <w:color w:val="000000"/>
          <w:sz w:val="24"/>
          <w:szCs w:val="24"/>
        </w:rPr>
        <w:t>）</w:t>
      </w:r>
      <w:r>
        <w:rPr>
          <w:rFonts w:ascii="宋体" w:hAnsi="宋体"/>
          <w:color w:val="000000"/>
          <w:sz w:val="24"/>
          <w:szCs w:val="24"/>
        </w:rPr>
        <w:t>投标人</w:t>
      </w:r>
      <w:r>
        <w:rPr>
          <w:rFonts w:hint="eastAsia" w:ascii="宋体" w:hAnsi="宋体"/>
          <w:color w:val="000000"/>
          <w:sz w:val="24"/>
          <w:szCs w:val="24"/>
        </w:rPr>
        <w:t>认为</w:t>
      </w:r>
      <w:r>
        <w:rPr>
          <w:rFonts w:ascii="宋体" w:hAnsi="宋体"/>
          <w:color w:val="000000"/>
          <w:sz w:val="24"/>
          <w:szCs w:val="24"/>
        </w:rPr>
        <w:t>需要</w:t>
      </w:r>
      <w:r>
        <w:rPr>
          <w:rFonts w:hint="eastAsia" w:ascii="宋体" w:hAnsi="宋体"/>
          <w:color w:val="000000"/>
          <w:sz w:val="24"/>
          <w:szCs w:val="24"/>
        </w:rPr>
        <w:t>提供</w:t>
      </w:r>
      <w:r>
        <w:rPr>
          <w:rFonts w:ascii="宋体" w:hAnsi="宋体"/>
          <w:color w:val="000000"/>
          <w:sz w:val="24"/>
          <w:szCs w:val="24"/>
        </w:rPr>
        <w:t>的</w:t>
      </w:r>
      <w:r>
        <w:rPr>
          <w:rFonts w:hint="eastAsia" w:ascii="宋体" w:hAnsi="宋体"/>
          <w:color w:val="000000"/>
          <w:sz w:val="24"/>
          <w:szCs w:val="24"/>
        </w:rPr>
        <w:t>与本项目有关的</w:t>
      </w:r>
      <w:r>
        <w:rPr>
          <w:rFonts w:ascii="宋体" w:hAnsi="宋体"/>
          <w:color w:val="000000"/>
          <w:sz w:val="24"/>
          <w:szCs w:val="24"/>
        </w:rPr>
        <w:t>其他文件和说明。</w:t>
      </w:r>
    </w:p>
    <w:p>
      <w:pPr>
        <w:pStyle w:val="41"/>
        <w:snapToGrid w:val="0"/>
        <w:spacing w:line="360" w:lineRule="auto"/>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投标文件中所需的各种证书、证件、证明资料如是复印件，须在复印件上加盖有效公章。</w:t>
      </w:r>
    </w:p>
    <w:p>
      <w:pPr>
        <w:pStyle w:val="41"/>
        <w:snapToGrid w:val="0"/>
        <w:spacing w:line="360" w:lineRule="auto"/>
        <w:ind w:firstLine="482" w:firstLineChars="200"/>
        <w:rPr>
          <w:rFonts w:ascii="宋体" w:hAnsi="宋体" w:eastAsia="宋体" w:cs="宋体"/>
          <w:color w:val="000000"/>
          <w:sz w:val="24"/>
          <w:szCs w:val="24"/>
        </w:rPr>
      </w:pPr>
      <w:r>
        <w:rPr>
          <w:rFonts w:hint="eastAsia" w:ascii="宋体" w:hAnsi="宋体" w:eastAsia="宋体" w:cs="宋体"/>
          <w:b/>
          <w:color w:val="000000"/>
          <w:sz w:val="24"/>
          <w:szCs w:val="24"/>
          <w:lang w:val="zh-CN"/>
        </w:rPr>
        <w:t>投标人的</w:t>
      </w:r>
      <w:r>
        <w:rPr>
          <w:rFonts w:hint="eastAsia" w:ascii="宋体" w:hAnsi="宋体" w:eastAsia="宋体" w:cs="宋体"/>
          <w:b/>
          <w:color w:val="000000"/>
          <w:sz w:val="24"/>
          <w:szCs w:val="24"/>
        </w:rPr>
        <w:t>投标文件必须按照招标文件要求制作并响应投标</w:t>
      </w:r>
      <w:r>
        <w:rPr>
          <w:rFonts w:hint="eastAsia" w:ascii="宋体" w:hAnsi="宋体" w:eastAsia="宋体" w:cs="宋体"/>
          <w:b/>
          <w:bCs/>
          <w:color w:val="000000"/>
          <w:sz w:val="24"/>
          <w:szCs w:val="24"/>
        </w:rPr>
        <w:t>。</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（三）投标有效期</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、投标文件合格投递后，自投标截止日期起，至前附表所列的日期内有效。</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、在原定投标有效期之前，如果出现特殊情况，招标代理机构可以以书面形式通知投标人延长投标有效期。</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（四）投标保证金</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无。</w:t>
      </w:r>
    </w:p>
    <w:p>
      <w:pPr>
        <w:spacing w:line="360" w:lineRule="auto"/>
        <w:rPr>
          <w:rFonts w:ascii="宋体" w:hAnsi="宋体" w:cs="宋体"/>
          <w:b/>
          <w:bCs/>
          <w:color w:val="000000"/>
          <w:sz w:val="24"/>
        </w:rPr>
      </w:pPr>
      <w:r>
        <w:rPr>
          <w:rFonts w:hint="eastAsia" w:ascii="宋体" w:hAnsi="宋体" w:cs="宋体"/>
          <w:b/>
          <w:bCs/>
          <w:color w:val="000000"/>
          <w:sz w:val="24"/>
        </w:rPr>
        <w:t>（五）</w:t>
      </w:r>
      <w:bookmarkEnd w:id="51"/>
      <w:bookmarkStart w:id="53" w:name="_Hlt68072998"/>
      <w:bookmarkEnd w:id="53"/>
      <w:bookmarkStart w:id="54" w:name="_Hlt68073093"/>
      <w:bookmarkEnd w:id="54"/>
      <w:bookmarkStart w:id="55" w:name="_Hlt68403820"/>
      <w:bookmarkEnd w:id="55"/>
      <w:bookmarkStart w:id="56" w:name="_Toc91899892"/>
      <w:bookmarkStart w:id="57" w:name="_Toc86216991"/>
      <w:bookmarkStart w:id="58" w:name="_Toc233618975"/>
      <w:r>
        <w:rPr>
          <w:rFonts w:hint="eastAsia" w:ascii="宋体" w:hAnsi="宋体" w:cs="宋体"/>
          <w:b/>
          <w:bCs/>
          <w:color w:val="000000"/>
          <w:sz w:val="24"/>
        </w:rPr>
        <w:t>投标文件编制</w:t>
      </w:r>
    </w:p>
    <w:p>
      <w:pPr>
        <w:spacing w:line="360" w:lineRule="auto"/>
        <w:ind w:firstLine="482" w:firstLineChars="200"/>
        <w:rPr>
          <w:rFonts w:ascii="宋体" w:hAnsi="宋体" w:cs="Arial"/>
          <w:b/>
          <w:color w:val="000000"/>
          <w:sz w:val="24"/>
        </w:rPr>
      </w:pPr>
      <w:r>
        <w:rPr>
          <w:rFonts w:ascii="宋体" w:hAnsi="宋体" w:cs="Arial"/>
          <w:b/>
          <w:color w:val="000000"/>
          <w:kern w:val="0"/>
          <w:sz w:val="24"/>
        </w:rPr>
        <w:t>5</w:t>
      </w:r>
      <w:r>
        <w:rPr>
          <w:rFonts w:hint="eastAsia" w:ascii="宋体" w:hAnsi="宋体" w:cs="Arial"/>
          <w:b/>
          <w:color w:val="000000"/>
          <w:kern w:val="0"/>
          <w:sz w:val="24"/>
        </w:rPr>
        <w:t>.1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ascii="宋体" w:hAnsi="宋体" w:cs="Arial"/>
          <w:b/>
          <w:color w:val="000000"/>
          <w:kern w:val="0"/>
          <w:sz w:val="24"/>
        </w:rPr>
      </w:pPr>
      <w:r>
        <w:rPr>
          <w:rFonts w:ascii="宋体" w:hAnsi="宋体" w:cs="Arial"/>
          <w:b/>
          <w:color w:val="000000"/>
          <w:kern w:val="0"/>
          <w:sz w:val="24"/>
        </w:rPr>
        <w:t>5</w:t>
      </w:r>
      <w:r>
        <w:rPr>
          <w:rFonts w:hint="eastAsia" w:ascii="宋体" w:hAnsi="宋体" w:cs="Arial"/>
          <w:b/>
          <w:color w:val="000000"/>
          <w:kern w:val="0"/>
          <w:sz w:val="24"/>
        </w:rPr>
        <w:t>.2投标供应商应当按照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ascii="宋体" w:hAnsi="宋体"/>
          <w:b/>
          <w:color w:val="000000"/>
          <w:sz w:val="24"/>
        </w:rPr>
      </w:pPr>
      <w:r>
        <w:rPr>
          <w:rFonts w:ascii="宋体" w:hAnsi="宋体"/>
          <w:b/>
          <w:color w:val="000000"/>
          <w:sz w:val="24"/>
        </w:rPr>
        <w:t>5</w:t>
      </w:r>
      <w:r>
        <w:rPr>
          <w:rFonts w:hint="eastAsia" w:ascii="宋体" w:hAnsi="宋体"/>
          <w:b/>
          <w:color w:val="000000"/>
          <w:sz w:val="24"/>
        </w:rPr>
        <w:t>.3本文件《第五部分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4《投标文件》内容不完整、编排混乱导致《投标文件》被误读、漏读或者查找不到相关内容的，是投标供应商的责任。</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6投标供应商没有按照本</w:t>
      </w:r>
      <w:r>
        <w:rPr>
          <w:rFonts w:hint="eastAsia" w:ascii="宋体" w:hAnsi="宋体" w:cs="Arial"/>
          <w:color w:val="000000"/>
          <w:kern w:val="0"/>
          <w:sz w:val="24"/>
        </w:rPr>
        <w:t>章节 “投标文件组成”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投标文件的签章</w:t>
      </w:r>
    </w:p>
    <w:p>
      <w:pPr>
        <w:spacing w:line="360" w:lineRule="auto"/>
        <w:ind w:firstLine="463" w:firstLineChars="192"/>
        <w:rPr>
          <w:rFonts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.1《</w:t>
      </w:r>
      <w:r>
        <w:rPr>
          <w:rFonts w:ascii="宋体" w:hAnsi="宋体" w:cs="Arial"/>
          <w:b/>
          <w:color w:val="000000"/>
          <w:kern w:val="0"/>
          <w:sz w:val="24"/>
        </w:rPr>
        <w:t>投标文件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.2《</w:t>
      </w:r>
      <w:r>
        <w:rPr>
          <w:rFonts w:ascii="宋体" w:hAnsi="宋体" w:cs="Arial"/>
          <w:b/>
          <w:color w:val="000000"/>
          <w:kern w:val="0"/>
          <w:sz w:val="24"/>
        </w:rPr>
        <w:t>投标文件</w:t>
      </w:r>
      <w:r>
        <w:rPr>
          <w:rFonts w:hint="eastAsia" w:ascii="宋体" w:hAnsi="宋体" w:cs="Arial"/>
          <w:b/>
          <w:color w:val="000000"/>
          <w:kern w:val="0"/>
          <w:sz w:val="24"/>
        </w:rPr>
        <w:t>》应由投标供应商法定代表人或其授权代表签字（或盖章），并时加盖投标供应商公章。</w:t>
      </w:r>
    </w:p>
    <w:p>
      <w:pPr>
        <w:spacing w:line="360" w:lineRule="auto"/>
        <w:ind w:firstLine="424" w:firstLineChars="176"/>
        <w:rPr>
          <w:rFonts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w:t>
      </w:r>
      <w:r>
        <w:rPr>
          <w:rFonts w:ascii="宋体" w:hAnsi="宋体" w:cs="Arial"/>
          <w:b/>
          <w:color w:val="000000"/>
          <w:kern w:val="0"/>
          <w:sz w:val="24"/>
        </w:rPr>
        <w:t>3</w:t>
      </w:r>
      <w:r>
        <w:rPr>
          <w:rFonts w:hint="eastAsia" w:ascii="宋体" w:hAnsi="宋体" w:cs="Arial"/>
          <w:b/>
          <w:color w:val="000000"/>
          <w:kern w:val="0"/>
          <w:sz w:val="24"/>
        </w:rPr>
        <w:t>电子签章操作指南详见政采云平台</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（七）</w:t>
      </w:r>
      <w:r>
        <w:rPr>
          <w:rFonts w:hint="eastAsia" w:ascii="宋体" w:hAnsi="宋体" w:eastAsia="宋体"/>
          <w:sz w:val="24"/>
          <w:szCs w:val="24"/>
        </w:rPr>
        <w:t>投标文件的形式</w:t>
      </w:r>
    </w:p>
    <w:p>
      <w:pPr>
        <w:spacing w:line="360" w:lineRule="auto"/>
        <w:ind w:firstLine="424" w:firstLineChars="176"/>
        <w:rPr>
          <w:rFonts w:ascii="宋体" w:hAnsi="宋体" w:cs="Arial"/>
          <w:color w:val="000000"/>
          <w:sz w:val="24"/>
        </w:rPr>
      </w:pPr>
      <w:r>
        <w:rPr>
          <w:rFonts w:ascii="宋体" w:hAnsi="宋体" w:cs="Arial"/>
          <w:b/>
          <w:color w:val="000000"/>
          <w:sz w:val="24"/>
        </w:rPr>
        <w:t>7</w:t>
      </w:r>
      <w:r>
        <w:rPr>
          <w:rFonts w:hint="eastAsia" w:ascii="宋体" w:hAnsi="宋体" w:cs="Arial"/>
          <w:b/>
          <w:color w:val="000000"/>
          <w:sz w:val="24"/>
        </w:rPr>
        <w:t>.1投标文件的形式：</w:t>
      </w:r>
      <w:r>
        <w:rPr>
          <w:rFonts w:hint="eastAsia" w:ascii="宋体" w:hAnsi="宋体"/>
          <w:b/>
          <w:color w:val="000000"/>
          <w:sz w:val="24"/>
        </w:rPr>
        <w:t>见《前附表》；</w:t>
      </w:r>
    </w:p>
    <w:p>
      <w:pPr>
        <w:spacing w:line="360" w:lineRule="auto"/>
        <w:ind w:firstLine="424" w:firstLineChars="176"/>
        <w:rPr>
          <w:rFonts w:ascii="宋体" w:hAnsi="宋体" w:cs="Arial"/>
          <w:b/>
          <w:color w:val="000000"/>
          <w:sz w:val="24"/>
        </w:rPr>
      </w:pPr>
      <w:r>
        <w:rPr>
          <w:rFonts w:ascii="宋体" w:hAnsi="宋体" w:cs="Arial"/>
          <w:b/>
          <w:color w:val="000000"/>
          <w:sz w:val="24"/>
        </w:rPr>
        <w:t>7</w:t>
      </w:r>
      <w:r>
        <w:rPr>
          <w:rFonts w:hint="eastAsia" w:ascii="宋体" w:hAnsi="宋体" w:cs="Arial"/>
          <w:b/>
          <w:color w:val="000000"/>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ascii="宋体" w:hAnsi="宋体" w:cs="Arial"/>
          <w:b/>
          <w:color w:val="000000"/>
          <w:sz w:val="24"/>
        </w:rPr>
      </w:pPr>
      <w:r>
        <w:rPr>
          <w:rFonts w:ascii="宋体" w:hAnsi="宋体" w:cs="Arial"/>
          <w:b/>
          <w:color w:val="000000"/>
          <w:sz w:val="24"/>
        </w:rPr>
        <w:t>7</w:t>
      </w:r>
      <w:r>
        <w:rPr>
          <w:rFonts w:hint="eastAsia" w:ascii="宋体" w:hAnsi="宋体" w:cs="Arial"/>
          <w:b/>
          <w:color w:val="000000"/>
          <w:sz w:val="24"/>
        </w:rPr>
        <w:t>.3“备份投标文件”：“备份投标文件”是指与“电子加密投标文件”同时生成的数据电文形式的电子文件（备份标书），其他方式编制的“备份投标文件”视为无效的“备份投标文件”。</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（八）</w:t>
      </w:r>
      <w:r>
        <w:rPr>
          <w:rFonts w:hint="eastAsia" w:ascii="宋体" w:hAnsi="宋体" w:eastAsia="宋体"/>
          <w:sz w:val="24"/>
          <w:szCs w:val="24"/>
        </w:rPr>
        <w:t>投标文件的份数</w:t>
      </w:r>
    </w:p>
    <w:p>
      <w:pPr>
        <w:spacing w:line="360" w:lineRule="auto"/>
        <w:ind w:firstLine="424" w:firstLineChars="176"/>
        <w:rPr>
          <w:rFonts w:ascii="宋体" w:hAnsi="宋体" w:cs="Arial"/>
          <w:b/>
          <w:color w:val="000000"/>
          <w:kern w:val="0"/>
          <w:sz w:val="24"/>
        </w:rPr>
      </w:pPr>
      <w:r>
        <w:rPr>
          <w:rFonts w:ascii="宋体" w:hAnsi="宋体" w:cs="Arial"/>
          <w:b/>
          <w:color w:val="000000"/>
          <w:sz w:val="24"/>
        </w:rPr>
        <w:t>8</w:t>
      </w:r>
      <w:r>
        <w:rPr>
          <w:rFonts w:hint="eastAsia" w:ascii="宋体" w:hAnsi="宋体" w:cs="Arial"/>
          <w:b/>
          <w:color w:val="000000"/>
          <w:sz w:val="24"/>
        </w:rPr>
        <w:t>.1投标文件的份数：</w:t>
      </w:r>
      <w:r>
        <w:rPr>
          <w:rFonts w:hint="eastAsia" w:ascii="宋体" w:hAnsi="宋体"/>
          <w:b/>
          <w:color w:val="000000"/>
          <w:sz w:val="24"/>
        </w:rPr>
        <w:t>见《前附表》</w:t>
      </w:r>
      <w:r>
        <w:rPr>
          <w:rFonts w:hint="eastAsia" w:ascii="宋体" w:hAnsi="宋体" w:cs="Arial"/>
          <w:b/>
          <w:color w:val="000000"/>
          <w:sz w:val="24"/>
        </w:rPr>
        <w:t>。</w:t>
      </w:r>
    </w:p>
    <w:p>
      <w:pPr>
        <w:snapToGrid w:val="0"/>
        <w:spacing w:line="360" w:lineRule="auto"/>
        <w:jc w:val="center"/>
        <w:outlineLvl w:val="1"/>
        <w:rPr>
          <w:rFonts w:ascii="宋体" w:hAnsi="宋体" w:cs="宋体"/>
          <w:b/>
          <w:color w:val="000000"/>
          <w:szCs w:val="21"/>
        </w:rPr>
      </w:pPr>
      <w:bookmarkStart w:id="59" w:name="_Toc462229099"/>
      <w:bookmarkStart w:id="60" w:name="_Toc5407"/>
      <w:bookmarkStart w:id="61" w:name="_Toc4652"/>
      <w:bookmarkStart w:id="62" w:name="_Toc412730341"/>
      <w:bookmarkStart w:id="63" w:name="_Toc12606"/>
      <w:bookmarkStart w:id="64" w:name="_Toc354996699"/>
    </w:p>
    <w:p>
      <w:pPr>
        <w:snapToGrid w:val="0"/>
        <w:spacing w:line="360" w:lineRule="auto"/>
        <w:jc w:val="center"/>
        <w:outlineLvl w:val="1"/>
        <w:rPr>
          <w:rFonts w:ascii="宋体" w:hAnsi="宋体" w:cs="宋体"/>
          <w:b/>
          <w:color w:val="000000"/>
          <w:sz w:val="24"/>
        </w:rPr>
      </w:pPr>
      <w:r>
        <w:rPr>
          <w:rFonts w:hint="eastAsia" w:ascii="宋体" w:hAnsi="宋体" w:cs="宋体"/>
          <w:b/>
          <w:color w:val="000000"/>
          <w:sz w:val="24"/>
        </w:rPr>
        <w:t>四、投标</w:t>
      </w:r>
      <w:bookmarkEnd w:id="59"/>
      <w:bookmarkEnd w:id="60"/>
      <w:bookmarkEnd w:id="61"/>
      <w:bookmarkEnd w:id="62"/>
      <w:bookmarkEnd w:id="63"/>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投标文件的上传和递交</w:t>
      </w:r>
    </w:p>
    <w:p>
      <w:pPr>
        <w:spacing w:line="360" w:lineRule="auto"/>
        <w:ind w:firstLine="426" w:firstLineChars="177"/>
        <w:rPr>
          <w:rFonts w:ascii="宋体" w:hAnsi="宋体"/>
          <w:b/>
          <w:color w:val="000000"/>
          <w:sz w:val="24"/>
        </w:rPr>
      </w:pPr>
      <w:r>
        <w:rPr>
          <w:rFonts w:ascii="宋体" w:hAnsi="宋体" w:cs="Arial"/>
          <w:b/>
          <w:color w:val="000000"/>
          <w:kern w:val="0"/>
          <w:sz w:val="24"/>
        </w:rPr>
        <w:t>1</w:t>
      </w:r>
      <w:r>
        <w:rPr>
          <w:rFonts w:hint="eastAsia" w:ascii="宋体" w:hAnsi="宋体" w:cs="Arial"/>
          <w:b/>
          <w:color w:val="000000"/>
          <w:kern w:val="0"/>
          <w:sz w:val="24"/>
        </w:rPr>
        <w:t>.1“投标文件”的上传、递交：</w:t>
      </w:r>
      <w:r>
        <w:rPr>
          <w:rFonts w:hint="eastAsia" w:ascii="宋体" w:hAnsi="宋体"/>
          <w:b/>
          <w:color w:val="000000"/>
          <w:sz w:val="24"/>
        </w:rPr>
        <w:t>见《前附表》。</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“电子加密投标文件”解密和异常情况处理</w:t>
      </w:r>
    </w:p>
    <w:p>
      <w:pPr>
        <w:spacing w:line="360" w:lineRule="auto"/>
        <w:ind w:firstLine="426" w:firstLineChars="177"/>
        <w:rPr>
          <w:rFonts w:ascii="宋体" w:hAnsi="宋体"/>
          <w:color w:val="000000"/>
          <w:sz w:val="24"/>
        </w:rPr>
      </w:pPr>
      <w:r>
        <w:rPr>
          <w:rFonts w:ascii="宋体" w:hAnsi="宋体" w:cs="Arial"/>
          <w:b/>
          <w:color w:val="000000"/>
          <w:kern w:val="0"/>
          <w:sz w:val="24"/>
        </w:rPr>
        <w:t>2</w:t>
      </w:r>
      <w:r>
        <w:rPr>
          <w:rFonts w:hint="eastAsia" w:ascii="宋体" w:hAnsi="宋体" w:cs="Arial"/>
          <w:b/>
          <w:color w:val="000000"/>
          <w:kern w:val="0"/>
          <w:sz w:val="24"/>
        </w:rPr>
        <w:t>.1“电子加密投标文件”解密：</w:t>
      </w:r>
      <w:r>
        <w:rPr>
          <w:rFonts w:hint="eastAsia" w:ascii="宋体" w:hAnsi="宋体"/>
          <w:b/>
          <w:color w:val="000000"/>
          <w:sz w:val="24"/>
        </w:rPr>
        <w:t>见《前附表》。</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投标文件的补充、修改或撤回</w:t>
      </w:r>
    </w:p>
    <w:p>
      <w:pPr>
        <w:spacing w:line="360" w:lineRule="auto"/>
        <w:ind w:firstLine="426" w:firstLineChars="177"/>
        <w:rPr>
          <w:rFonts w:ascii="宋体" w:hAnsi="宋体" w:cs="Arial"/>
          <w:color w:val="000000"/>
          <w:kern w:val="0"/>
          <w:sz w:val="24"/>
        </w:rPr>
      </w:pPr>
      <w:r>
        <w:rPr>
          <w:rFonts w:ascii="宋体" w:hAnsi="宋体" w:cs="Arial"/>
          <w:b/>
          <w:color w:val="000000"/>
          <w:kern w:val="0"/>
          <w:sz w:val="24"/>
        </w:rPr>
        <w:t>3</w:t>
      </w:r>
      <w:r>
        <w:rPr>
          <w:rFonts w:hint="eastAsia" w:ascii="宋体" w:hAnsi="宋体" w:cs="Arial"/>
          <w:b/>
          <w:color w:val="000000"/>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ascii="宋体" w:hAnsi="宋体" w:cs="Arial"/>
          <w:b/>
          <w:color w:val="000000"/>
          <w:kern w:val="0"/>
          <w:sz w:val="24"/>
        </w:rPr>
      </w:pPr>
      <w:r>
        <w:rPr>
          <w:rFonts w:ascii="宋体" w:hAnsi="宋体" w:cs="Arial"/>
          <w:b/>
          <w:color w:val="000000"/>
          <w:kern w:val="0"/>
          <w:sz w:val="24"/>
        </w:rPr>
        <w:t>3</w:t>
      </w:r>
      <w:r>
        <w:rPr>
          <w:rFonts w:hint="eastAsia" w:ascii="宋体" w:hAnsi="宋体" w:cs="Arial"/>
          <w:b/>
          <w:color w:val="000000"/>
          <w:kern w:val="0"/>
          <w:sz w:val="24"/>
        </w:rPr>
        <w:t>.2</w:t>
      </w:r>
      <w:r>
        <w:rPr>
          <w:rFonts w:ascii="宋体" w:hAnsi="宋体" w:cs="Arial"/>
          <w:b/>
          <w:color w:val="000000"/>
          <w:kern w:val="0"/>
          <w:sz w:val="24"/>
        </w:rPr>
        <w:t>投标截止时间后，投标供应商不得撤回、修改《投标文件》</w:t>
      </w:r>
      <w:r>
        <w:rPr>
          <w:rFonts w:hint="eastAsia" w:ascii="宋体" w:hAnsi="宋体" w:cs="Arial"/>
          <w:b/>
          <w:color w:val="000000"/>
          <w:kern w:val="0"/>
          <w:sz w:val="24"/>
        </w:rPr>
        <w:t>。</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投标文件的备选方案</w:t>
      </w:r>
    </w:p>
    <w:p>
      <w:pPr>
        <w:spacing w:line="360" w:lineRule="auto"/>
        <w:ind w:firstLine="426" w:firstLineChars="177"/>
        <w:rPr>
          <w:rFonts w:ascii="宋体" w:hAnsi="宋体"/>
          <w:b/>
          <w:color w:val="000000"/>
          <w:sz w:val="24"/>
        </w:rPr>
      </w:pPr>
      <w:r>
        <w:rPr>
          <w:rFonts w:ascii="宋体" w:hAnsi="宋体"/>
          <w:b/>
          <w:color w:val="000000"/>
          <w:sz w:val="24"/>
        </w:rPr>
        <w:t>4.1</w:t>
      </w:r>
      <w:r>
        <w:rPr>
          <w:rFonts w:hint="eastAsia" w:ascii="宋体" w:hAnsi="宋体"/>
          <w:b/>
          <w:color w:val="000000"/>
          <w:sz w:val="24"/>
        </w:rPr>
        <w:t>投标供应商不得递交任何的</w:t>
      </w:r>
      <w:r>
        <w:rPr>
          <w:rFonts w:ascii="宋体" w:hAnsi="宋体" w:cs="Arial"/>
          <w:b/>
          <w:color w:val="000000"/>
          <w:kern w:val="0"/>
          <w:sz w:val="24"/>
        </w:rPr>
        <w:t>投标备选（替代）方案</w:t>
      </w:r>
      <w:r>
        <w:rPr>
          <w:rFonts w:hint="eastAsia" w:ascii="宋体" w:hAnsi="宋体"/>
          <w:b/>
          <w:color w:val="000000"/>
          <w:sz w:val="24"/>
        </w:rPr>
        <w:t>，否则其投标文件将作无效标处理。与“电子加密投标文件”同时生成的“备份投标文件”不是投标备选（替代）方案。</w:t>
      </w:r>
    </w:p>
    <w:p>
      <w:pPr>
        <w:snapToGrid w:val="0"/>
        <w:spacing w:line="360" w:lineRule="auto"/>
        <w:jc w:val="center"/>
        <w:outlineLvl w:val="1"/>
        <w:rPr>
          <w:rFonts w:ascii="宋体" w:hAnsi="宋体" w:cs="宋体"/>
          <w:b/>
          <w:color w:val="000000"/>
          <w:szCs w:val="21"/>
        </w:rPr>
      </w:pPr>
      <w:bookmarkStart w:id="65" w:name="_Toc19031"/>
      <w:bookmarkStart w:id="66" w:name="_Toc449"/>
      <w:bookmarkStart w:id="67" w:name="_Toc462229100"/>
      <w:bookmarkStart w:id="68" w:name="_Toc6672"/>
    </w:p>
    <w:p>
      <w:pPr>
        <w:snapToGrid w:val="0"/>
        <w:spacing w:line="360" w:lineRule="auto"/>
        <w:jc w:val="center"/>
        <w:outlineLvl w:val="1"/>
        <w:rPr>
          <w:rFonts w:ascii="宋体" w:hAnsi="宋体" w:cs="宋体"/>
          <w:b/>
          <w:color w:val="000000"/>
          <w:sz w:val="24"/>
        </w:rPr>
      </w:pPr>
      <w:r>
        <w:rPr>
          <w:rFonts w:hint="eastAsia" w:ascii="宋体" w:hAnsi="宋体" w:cs="宋体"/>
          <w:b/>
          <w:color w:val="000000"/>
          <w:sz w:val="24"/>
        </w:rPr>
        <w:t>五、开 标</w:t>
      </w:r>
      <w:bookmarkEnd w:id="65"/>
      <w:bookmarkEnd w:id="66"/>
      <w:bookmarkEnd w:id="67"/>
      <w:bookmarkEnd w:id="68"/>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开标</w:t>
      </w:r>
      <w:r>
        <w:rPr>
          <w:rFonts w:hint="eastAsia" w:ascii="宋体" w:hAnsi="宋体" w:eastAsia="宋体" w:cs="宋体"/>
          <w:sz w:val="24"/>
          <w:szCs w:val="24"/>
        </w:rPr>
        <w:t>形式</w:t>
      </w:r>
    </w:p>
    <w:p>
      <w:pPr>
        <w:spacing w:line="360" w:lineRule="auto"/>
        <w:ind w:firstLine="426" w:firstLineChars="177"/>
        <w:rPr>
          <w:rFonts w:ascii="宋体" w:hAnsi="宋体"/>
          <w:b/>
          <w:color w:val="000000"/>
          <w:sz w:val="24"/>
        </w:rPr>
      </w:pPr>
      <w:r>
        <w:rPr>
          <w:rFonts w:hint="eastAsia" w:ascii="宋体" w:hAnsi="宋体"/>
          <w:b/>
          <w:color w:val="000000"/>
          <w:sz w:val="24"/>
        </w:rPr>
        <w:t>1.1 采购组织机构将按照招标文件规定的时间通过“政府采购云平台”组织开标、开启投标文件，所有供应商均应当准时在线参加。</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 xml:space="preserve"> </w:t>
      </w:r>
      <w:r>
        <w:rPr>
          <w:rFonts w:ascii="宋体" w:hAnsi="宋体" w:eastAsia="宋体"/>
          <w:sz w:val="24"/>
          <w:szCs w:val="24"/>
        </w:rPr>
        <w:t>开标准备</w:t>
      </w:r>
    </w:p>
    <w:p>
      <w:pPr>
        <w:spacing w:line="360" w:lineRule="auto"/>
        <w:ind w:firstLine="422" w:firstLineChars="176"/>
        <w:rPr>
          <w:rFonts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.1开标的准备工作由采购组织机构负责落实；</w:t>
      </w:r>
    </w:p>
    <w:p>
      <w:pPr>
        <w:spacing w:line="360" w:lineRule="auto"/>
        <w:ind w:firstLine="422" w:firstLineChars="176"/>
        <w:rPr>
          <w:rFonts w:ascii="宋体" w:hAnsi="宋体" w:cs="Arial"/>
          <w:b/>
          <w:color w:val="000000"/>
          <w:kern w:val="0"/>
          <w:sz w:val="24"/>
        </w:rPr>
      </w:pPr>
      <w:r>
        <w:rPr>
          <w:rFonts w:ascii="宋体" w:hAnsi="宋体" w:cs="Arial"/>
          <w:color w:val="000000"/>
          <w:kern w:val="0"/>
          <w:sz w:val="24"/>
        </w:rPr>
        <w:t>2</w:t>
      </w:r>
      <w:r>
        <w:rPr>
          <w:rFonts w:hint="eastAsia" w:ascii="宋体" w:hAnsi="宋体" w:cs="Arial"/>
          <w:color w:val="000000"/>
          <w:kern w:val="0"/>
          <w:sz w:val="24"/>
        </w:rPr>
        <w:t>.2</w:t>
      </w:r>
      <w:r>
        <w:rPr>
          <w:rFonts w:hint="eastAsia" w:ascii="宋体" w:hAnsi="宋体"/>
          <w:b/>
          <w:color w:val="000000"/>
          <w:sz w:val="24"/>
        </w:rPr>
        <w:t>采购组织机构将按照招标文件规定的时间通过“政府采购云平台”组织开标、开启投标文件，所有供应商均应当准时在线参加。</w:t>
      </w:r>
      <w:r>
        <w:rPr>
          <w:rFonts w:hint="eastAsia" w:ascii="宋体" w:hAnsi="宋体" w:cs="Arial"/>
          <w:b/>
          <w:color w:val="000000"/>
          <w:kern w:val="0"/>
          <w:sz w:val="24"/>
        </w:rPr>
        <w:t>投标供应商</w:t>
      </w:r>
      <w:r>
        <w:rPr>
          <w:rFonts w:ascii="宋体" w:hAnsi="宋体" w:cs="Arial"/>
          <w:b/>
          <w:color w:val="000000"/>
          <w:kern w:val="0"/>
          <w:sz w:val="24"/>
        </w:rPr>
        <w:t>如不</w:t>
      </w:r>
      <w:r>
        <w:rPr>
          <w:rFonts w:hint="eastAsia" w:ascii="宋体" w:hAnsi="宋体" w:cs="Arial"/>
          <w:b/>
          <w:color w:val="000000"/>
          <w:kern w:val="0"/>
          <w:sz w:val="24"/>
        </w:rPr>
        <w:t>参加</w:t>
      </w:r>
      <w:r>
        <w:rPr>
          <w:rFonts w:ascii="宋体" w:hAnsi="宋体" w:cs="Arial"/>
          <w:b/>
          <w:color w:val="000000"/>
          <w:kern w:val="0"/>
          <w:sz w:val="24"/>
        </w:rPr>
        <w:t>开标大会的，</w:t>
      </w:r>
      <w:r>
        <w:rPr>
          <w:rFonts w:hint="eastAsia" w:ascii="宋体" w:hAnsi="宋体" w:cs="Arial"/>
          <w:b/>
          <w:color w:val="000000"/>
          <w:kern w:val="0"/>
          <w:sz w:val="24"/>
        </w:rPr>
        <w:t>视同认可开标结果，</w:t>
      </w:r>
      <w:r>
        <w:rPr>
          <w:rFonts w:ascii="宋体" w:hAnsi="宋体" w:cs="Arial"/>
          <w:b/>
          <w:color w:val="000000"/>
          <w:kern w:val="0"/>
          <w:sz w:val="24"/>
        </w:rPr>
        <w:t>事后不得对采购相关人员、开标过程和开标结果提出异议</w:t>
      </w:r>
      <w:r>
        <w:rPr>
          <w:rFonts w:hint="eastAsia" w:ascii="宋体" w:hAnsi="宋体" w:cs="Arial"/>
          <w:b/>
          <w:color w:val="000000"/>
          <w:kern w:val="0"/>
          <w:sz w:val="24"/>
        </w:rPr>
        <w:t>，同时投标供应商因未在线参加开标而导致投标文件无法按时解密等一切后果由供应商自己承担。</w:t>
      </w:r>
    </w:p>
    <w:p>
      <w:pPr>
        <w:spacing w:line="360" w:lineRule="auto"/>
        <w:ind w:firstLine="422" w:firstLineChars="176"/>
        <w:rPr>
          <w:rFonts w:ascii="宋体" w:hAnsi="宋体" w:cs="Arial"/>
          <w:b/>
          <w:bCs/>
          <w:color w:val="000000"/>
          <w:kern w:val="0"/>
          <w:sz w:val="24"/>
        </w:rPr>
      </w:pPr>
      <w:r>
        <w:rPr>
          <w:rFonts w:hint="eastAsia" w:ascii="宋体" w:hAnsi="宋体" w:cs="Arial"/>
          <w:color w:val="000000"/>
          <w:kern w:val="0"/>
          <w:sz w:val="24"/>
        </w:rPr>
        <w:t>2.3</w:t>
      </w:r>
      <w:r>
        <w:rPr>
          <w:rFonts w:hint="eastAsia" w:ascii="宋体" w:hAnsi="宋体" w:cs="Arial"/>
          <w:b/>
          <w:bCs/>
          <w:color w:val="000000"/>
          <w:kern w:val="0"/>
          <w:sz w:val="24"/>
        </w:rPr>
        <w:t>开标期间，投标人等交易主体应使用数字证书(CA)在各自的电脑终端上登录不见面开标大厅，并进行相关操作。各电脑终端上的所有操作均被视为各交易主体的行为，并各自承担相应的法律责任。</w:t>
      </w:r>
    </w:p>
    <w:p>
      <w:pPr>
        <w:pStyle w:val="2"/>
        <w:spacing w:line="360" w:lineRule="auto"/>
        <w:ind w:left="0" w:leftChars="0" w:firstLine="480"/>
      </w:pPr>
      <w:r>
        <w:rPr>
          <w:rFonts w:hint="eastAsia" w:ascii="宋体" w:hAnsi="宋体" w:cs="Arial"/>
          <w:color w:val="000000"/>
          <w:kern w:val="0"/>
          <w:sz w:val="24"/>
        </w:rPr>
        <w:t>2.4</w:t>
      </w:r>
      <w:r>
        <w:rPr>
          <w:rFonts w:hint="eastAsia" w:ascii="宋体" w:hAnsi="宋体" w:cs="Arial"/>
          <w:b/>
          <w:bCs/>
          <w:color w:val="000000"/>
          <w:kern w:val="0"/>
          <w:sz w:val="24"/>
        </w:rPr>
        <w:t>投标人应在投标截止时间之前使用数字证书(CA)自行登录不见面开标大厅，在线等待开标，并在开标期间保持通讯畅通。</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ascii="宋体" w:hAnsi="宋体" w:eastAsia="宋体"/>
          <w:sz w:val="24"/>
          <w:szCs w:val="24"/>
        </w:rPr>
        <w:t>开标</w:t>
      </w:r>
      <w:r>
        <w:rPr>
          <w:rFonts w:hint="eastAsia" w:ascii="宋体" w:hAnsi="宋体" w:eastAsia="宋体"/>
          <w:sz w:val="24"/>
          <w:szCs w:val="24"/>
        </w:rPr>
        <w:t>流程（两阶段）</w:t>
      </w:r>
    </w:p>
    <w:bookmarkEnd w:id="56"/>
    <w:bookmarkEnd w:id="57"/>
    <w:bookmarkEnd w:id="58"/>
    <w:bookmarkEnd w:id="64"/>
    <w:p>
      <w:pPr>
        <w:spacing w:line="360" w:lineRule="auto"/>
        <w:ind w:firstLine="426" w:firstLineChars="177"/>
        <w:jc w:val="left"/>
        <w:rPr>
          <w:rFonts w:ascii="宋体" w:hAnsi="宋体" w:cs="Arial"/>
          <w:b/>
          <w:bCs/>
          <w:color w:val="000000"/>
          <w:kern w:val="0"/>
          <w:sz w:val="24"/>
        </w:rPr>
      </w:pPr>
      <w:bookmarkStart w:id="69" w:name="_Toc412730343"/>
      <w:bookmarkStart w:id="70" w:name="_Toc462229101"/>
      <w:bookmarkStart w:id="71" w:name="_Toc233618978"/>
      <w:bookmarkStart w:id="72" w:name="_Toc354996702"/>
      <w:bookmarkStart w:id="73" w:name="_Toc86216994"/>
      <w:r>
        <w:rPr>
          <w:rFonts w:hint="eastAsia" w:ascii="宋体" w:hAnsi="宋体" w:cs="Arial"/>
          <w:b/>
          <w:bCs/>
          <w:color w:val="000000"/>
          <w:kern w:val="0"/>
          <w:sz w:val="24"/>
        </w:rPr>
        <w:t>3.1开标第一阶段</w:t>
      </w:r>
    </w:p>
    <w:p>
      <w:pPr>
        <w:spacing w:line="360" w:lineRule="auto"/>
        <w:ind w:firstLine="424" w:firstLineChars="177"/>
        <w:jc w:val="left"/>
        <w:rPr>
          <w:rFonts w:ascii="宋体" w:hAnsi="宋体" w:cs="Arial"/>
          <w:color w:val="000000"/>
          <w:kern w:val="0"/>
          <w:sz w:val="24"/>
        </w:rPr>
      </w:pPr>
      <w:r>
        <w:rPr>
          <w:rFonts w:hint="eastAsia" w:ascii="宋体" w:hAnsi="宋体" w:cs="Arial"/>
          <w:color w:val="000000"/>
          <w:kern w:val="0"/>
          <w:sz w:val="24"/>
        </w:rPr>
        <w:t>（1）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ascii="宋体" w:hAnsi="宋体" w:cs="Arial"/>
          <w:color w:val="000000"/>
          <w:kern w:val="0"/>
          <w:sz w:val="24"/>
        </w:rPr>
      </w:pPr>
      <w:r>
        <w:rPr>
          <w:rFonts w:hint="eastAsia" w:ascii="宋体" w:hAnsi="宋体" w:cs="Arial"/>
          <w:color w:val="000000"/>
          <w:kern w:val="0"/>
          <w:sz w:val="24"/>
        </w:rPr>
        <w:t>（2）投标文件解密结束，</w:t>
      </w:r>
      <w:r>
        <w:rPr>
          <w:rFonts w:hint="eastAsia" w:ascii="宋体" w:hAnsi="宋体" w:cs="Arial"/>
          <w:b/>
          <w:bCs/>
          <w:color w:val="000000"/>
          <w:kern w:val="0"/>
          <w:sz w:val="24"/>
        </w:rPr>
        <w:t>通过邮件形式</w:t>
      </w:r>
      <w:r>
        <w:rPr>
          <w:rFonts w:hint="eastAsia" w:ascii="宋体" w:hAnsi="宋体" w:cs="Arial"/>
          <w:color w:val="000000"/>
          <w:kern w:val="0"/>
          <w:sz w:val="24"/>
        </w:rPr>
        <w:t>发送各投标人组织签署《政府采购活动现场确认声明书》；</w:t>
      </w:r>
    </w:p>
    <w:p>
      <w:pPr>
        <w:spacing w:line="360" w:lineRule="auto"/>
        <w:ind w:firstLine="424" w:firstLineChars="177"/>
        <w:jc w:val="left"/>
        <w:rPr>
          <w:rFonts w:ascii="宋体" w:hAnsi="宋体" w:cs="Arial"/>
          <w:color w:val="000000"/>
          <w:kern w:val="0"/>
          <w:sz w:val="24"/>
        </w:rPr>
      </w:pPr>
      <w:r>
        <w:rPr>
          <w:rFonts w:hint="eastAsia" w:ascii="宋体" w:hAnsi="宋体" w:cs="Arial"/>
          <w:color w:val="000000"/>
          <w:kern w:val="0"/>
          <w:sz w:val="24"/>
        </w:rPr>
        <w:t>（3）开启投标文件，进入资格审查；</w:t>
      </w:r>
    </w:p>
    <w:p>
      <w:pPr>
        <w:spacing w:line="360" w:lineRule="auto"/>
        <w:ind w:firstLine="424" w:firstLineChars="177"/>
        <w:jc w:val="left"/>
        <w:rPr>
          <w:rFonts w:ascii="宋体" w:hAnsi="宋体" w:cs="Arial"/>
          <w:color w:val="000000"/>
          <w:kern w:val="0"/>
          <w:sz w:val="24"/>
        </w:rPr>
      </w:pPr>
      <w:r>
        <w:rPr>
          <w:rFonts w:hint="eastAsia" w:ascii="宋体" w:hAnsi="宋体" w:cs="Arial"/>
          <w:color w:val="000000"/>
          <w:kern w:val="0"/>
          <w:sz w:val="24"/>
        </w:rPr>
        <w:t>（4）开启资格审查通过的投标供应商的商务技术文件进入符合性审查、商务技术评审；</w:t>
      </w:r>
    </w:p>
    <w:p>
      <w:pPr>
        <w:spacing w:line="360" w:lineRule="auto"/>
        <w:ind w:firstLine="424" w:firstLineChars="177"/>
        <w:jc w:val="left"/>
        <w:rPr>
          <w:rFonts w:ascii="宋体" w:hAnsi="宋体" w:cs="Arial"/>
          <w:color w:val="000000"/>
          <w:kern w:val="0"/>
          <w:sz w:val="24"/>
        </w:rPr>
      </w:pPr>
      <w:r>
        <w:rPr>
          <w:rFonts w:hint="eastAsia" w:ascii="宋体" w:hAnsi="宋体" w:cs="Arial"/>
          <w:color w:val="000000"/>
          <w:kern w:val="0"/>
          <w:sz w:val="24"/>
        </w:rPr>
        <w:t>（5）第一阶段开标结束。</w:t>
      </w:r>
    </w:p>
    <w:p>
      <w:pPr>
        <w:spacing w:line="360" w:lineRule="auto"/>
        <w:ind w:firstLine="426" w:firstLineChars="177"/>
        <w:jc w:val="left"/>
        <w:rPr>
          <w:rFonts w:ascii="宋体" w:hAnsi="宋体" w:cs="Arial"/>
          <w:b/>
          <w:bCs/>
          <w:color w:val="000000"/>
          <w:kern w:val="0"/>
          <w:sz w:val="24"/>
        </w:rPr>
      </w:pPr>
      <w:r>
        <w:rPr>
          <w:rFonts w:hint="eastAsia" w:ascii="宋体" w:hAnsi="宋体" w:cs="Arial"/>
          <w:b/>
          <w:bCs/>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ascii="宋体" w:hAnsi="宋体" w:cs="Arial"/>
          <w:b/>
          <w:bCs/>
          <w:color w:val="000000"/>
          <w:kern w:val="0"/>
          <w:sz w:val="24"/>
        </w:rPr>
      </w:pPr>
      <w:r>
        <w:rPr>
          <w:rFonts w:hint="eastAsia" w:ascii="宋体" w:hAnsi="宋体" w:cs="Arial"/>
          <w:b/>
          <w:bCs/>
          <w:color w:val="000000"/>
          <w:kern w:val="0"/>
          <w:sz w:val="24"/>
        </w:rPr>
        <w:t>3.2开标大会第二阶段</w:t>
      </w:r>
    </w:p>
    <w:p>
      <w:pPr>
        <w:spacing w:line="360" w:lineRule="auto"/>
        <w:ind w:firstLine="424" w:firstLineChars="177"/>
        <w:jc w:val="left"/>
        <w:rPr>
          <w:rFonts w:ascii="宋体" w:hAnsi="宋体" w:cs="Arial"/>
          <w:kern w:val="0"/>
          <w:sz w:val="24"/>
        </w:rPr>
      </w:pPr>
      <w:r>
        <w:rPr>
          <w:rFonts w:hint="eastAsia" w:ascii="宋体" w:hAnsi="宋体" w:cs="Arial"/>
          <w:kern w:val="0"/>
          <w:sz w:val="24"/>
        </w:rPr>
        <w:t>（1）符合性审查、商务技术评审结束后，举行开标大会第二阶段会议。首先通过发送邮件形式公布符合性审查、商务技术评审无效供应商名称及理由；</w:t>
      </w:r>
      <w:r>
        <w:rPr>
          <w:rFonts w:hint="eastAsia" w:ascii="宋体" w:hAnsi="宋体" w:cs="Arial"/>
          <w:b/>
          <w:bCs/>
          <w:kern w:val="0"/>
          <w:sz w:val="24"/>
        </w:rPr>
        <w:t>公布经商务技术评审后有效投标供应商的名单，同时通过</w:t>
      </w:r>
      <w:r>
        <w:rPr>
          <w:rFonts w:hint="eastAsia" w:ascii="宋体" w:hAnsi="宋体" w:cs="Arial"/>
          <w:b/>
          <w:bCs/>
          <w:color w:val="000000"/>
          <w:kern w:val="0"/>
          <w:sz w:val="24"/>
        </w:rPr>
        <w:t>“政府采购云平台”</w:t>
      </w:r>
      <w:r>
        <w:rPr>
          <w:rFonts w:hint="eastAsia" w:ascii="宋体" w:hAnsi="宋体" w:cs="Arial"/>
          <w:b/>
          <w:bCs/>
          <w:kern w:val="0"/>
          <w:sz w:val="24"/>
        </w:rPr>
        <w:t>在线公布其商务技术部分得分情况。</w:t>
      </w:r>
    </w:p>
    <w:p>
      <w:pPr>
        <w:spacing w:line="360" w:lineRule="auto"/>
        <w:ind w:firstLine="424" w:firstLineChars="177"/>
        <w:jc w:val="left"/>
        <w:rPr>
          <w:rFonts w:ascii="宋体" w:hAnsi="宋体" w:cs="Arial"/>
          <w:kern w:val="0"/>
          <w:sz w:val="24"/>
        </w:rPr>
      </w:pPr>
      <w:r>
        <w:rPr>
          <w:rFonts w:hint="eastAsia" w:ascii="宋体" w:hAnsi="宋体" w:cs="Arial"/>
          <w:kern w:val="0"/>
          <w:sz w:val="24"/>
        </w:rPr>
        <w:t>（2）开启符合性审查、商务技术评审有效投标供应商的《报价文件》，</w:t>
      </w:r>
      <w:r>
        <w:rPr>
          <w:rFonts w:hint="eastAsia" w:ascii="宋体" w:hAnsi="宋体" w:cs="Arial"/>
          <w:color w:val="000000"/>
          <w:kern w:val="0"/>
          <w:sz w:val="24"/>
        </w:rPr>
        <w:t>由招标代理机构登陆“政府采购云平台”在线</w:t>
      </w:r>
      <w:r>
        <w:rPr>
          <w:rFonts w:hint="eastAsia" w:ascii="宋体" w:hAnsi="宋体" w:cs="Arial"/>
          <w:kern w:val="0"/>
          <w:sz w:val="24"/>
        </w:rPr>
        <w:t>公布开标一览表有关内容，同时制作开标记录表，发送各投标人在线开启签字确认（不予确认的应说明理由，否则视为无异议）。同时，由评标委员会对报价的合理性、准确性等进行审查核实。</w:t>
      </w:r>
    </w:p>
    <w:p>
      <w:pPr>
        <w:spacing w:line="360" w:lineRule="auto"/>
        <w:ind w:firstLine="424" w:firstLineChars="177"/>
        <w:jc w:val="left"/>
        <w:rPr>
          <w:rFonts w:ascii="宋体" w:hAnsi="宋体" w:cs="Arial"/>
          <w:kern w:val="0"/>
          <w:sz w:val="24"/>
        </w:rPr>
      </w:pPr>
      <w:r>
        <w:rPr>
          <w:rFonts w:hint="eastAsia" w:ascii="宋体" w:hAnsi="宋体" w:cs="Arial"/>
          <w:kern w:val="0"/>
          <w:sz w:val="24"/>
        </w:rPr>
        <w:t>（3）评审结束后，</w:t>
      </w:r>
      <w:r>
        <w:rPr>
          <w:rFonts w:hint="eastAsia" w:ascii="宋体" w:hAnsi="宋体" w:cs="Arial"/>
          <w:color w:val="000000"/>
          <w:kern w:val="0"/>
          <w:sz w:val="24"/>
        </w:rPr>
        <w:t>通过“政府采购云平台”</w:t>
      </w:r>
      <w:r>
        <w:rPr>
          <w:rFonts w:hint="eastAsia" w:ascii="宋体" w:hAnsi="宋体" w:cs="Arial"/>
          <w:kern w:val="0"/>
          <w:sz w:val="24"/>
        </w:rPr>
        <w:t>公布中标（成交）候选供应商名单，及采购人最终确定中标或成交供应商名单的时间和公告方式等。</w:t>
      </w:r>
    </w:p>
    <w:p>
      <w:pPr>
        <w:spacing w:line="360" w:lineRule="auto"/>
        <w:ind w:firstLine="426" w:firstLineChars="177"/>
        <w:jc w:val="left"/>
        <w:rPr>
          <w:rFonts w:ascii="宋体" w:hAnsi="宋体" w:cs="Arial"/>
          <w:b/>
          <w:bCs/>
          <w:color w:val="000000"/>
          <w:kern w:val="0"/>
          <w:sz w:val="24"/>
        </w:rPr>
      </w:pPr>
      <w:r>
        <w:rPr>
          <w:rFonts w:hint="eastAsia" w:ascii="宋体" w:hAnsi="宋体" w:cs="Arial"/>
          <w:b/>
          <w:bCs/>
          <w:color w:val="000000"/>
          <w:kern w:val="0"/>
          <w:sz w:val="24"/>
        </w:rPr>
        <w:t>特别说明：如遇“政府采购云平台”电子化开标或评审程序调整的，按调整后程序执行。</w:t>
      </w:r>
    </w:p>
    <w:p>
      <w:pPr>
        <w:pStyle w:val="6"/>
        <w:numPr>
          <w:ilvl w:val="0"/>
          <w:numId w:val="0"/>
        </w:numPr>
        <w:ind w:left="560"/>
        <w:rPr>
          <w:rFonts w:ascii="宋体" w:hAnsi="宋体" w:eastAsia="宋体"/>
          <w:color w:val="000000"/>
          <w:sz w:val="24"/>
          <w:szCs w:val="24"/>
        </w:rPr>
      </w:pPr>
      <w:bookmarkStart w:id="74" w:name="_Toc18090"/>
      <w:bookmarkStart w:id="75" w:name="_Toc24917"/>
      <w:bookmarkStart w:id="76" w:name="_Toc7250"/>
      <w:bookmarkStart w:id="77" w:name="_Toc29116"/>
      <w:r>
        <w:rPr>
          <w:rFonts w:hint="eastAsia" w:ascii="宋体" w:hAnsi="宋体" w:eastAsia="宋体"/>
          <w:color w:val="000000"/>
          <w:sz w:val="24"/>
          <w:szCs w:val="24"/>
        </w:rPr>
        <w:t>（四）投标供应商资格审查</w:t>
      </w:r>
      <w:bookmarkEnd w:id="74"/>
      <w:bookmarkEnd w:id="75"/>
      <w:bookmarkEnd w:id="76"/>
      <w:bookmarkEnd w:id="77"/>
    </w:p>
    <w:p>
      <w:pPr>
        <w:spacing w:line="360" w:lineRule="auto"/>
        <w:ind w:firstLine="426" w:firstLineChars="177"/>
        <w:rPr>
          <w:rFonts w:ascii="宋体" w:hAnsi="宋体"/>
          <w:color w:val="000000"/>
          <w:sz w:val="24"/>
        </w:rPr>
      </w:pPr>
      <w:r>
        <w:rPr>
          <w:rFonts w:hint="eastAsia" w:ascii="宋体" w:hAnsi="宋体"/>
          <w:b/>
          <w:bCs/>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6" w:firstLineChars="177"/>
        <w:rPr>
          <w:rFonts w:ascii="宋体" w:hAnsi="宋体" w:cs="Arial"/>
          <w:b/>
          <w:bCs/>
          <w:color w:val="000000"/>
          <w:kern w:val="0"/>
          <w:sz w:val="24"/>
        </w:rPr>
      </w:pPr>
      <w:r>
        <w:rPr>
          <w:rFonts w:hint="eastAsia" w:ascii="宋体" w:hAnsi="宋体"/>
          <w:b/>
          <w:bCs/>
          <w:color w:val="000000"/>
          <w:sz w:val="24"/>
        </w:rPr>
        <w:t>4.2投标供应商提交的资格证明材料无法证明其符合招标文件规定的“投标供应商资格要求”的，采购人或采购代理机构</w:t>
      </w:r>
      <w:r>
        <w:rPr>
          <w:rFonts w:hint="eastAsia" w:ascii="宋体" w:hAnsi="宋体" w:cs="Arial"/>
          <w:b/>
          <w:bCs/>
          <w:color w:val="000000"/>
          <w:kern w:val="0"/>
          <w:sz w:val="24"/>
        </w:rPr>
        <w:t>将对其作资格审查不通过处理（无效投标），并不再将其投标提交评标委员会进行后续评审。</w:t>
      </w:r>
    </w:p>
    <w:p>
      <w:pPr>
        <w:spacing w:line="360" w:lineRule="auto"/>
        <w:ind w:firstLine="426" w:firstLineChars="177"/>
        <w:rPr>
          <w:rFonts w:ascii="宋体" w:hAnsi="宋体" w:cs="Arial"/>
          <w:b/>
          <w:bCs/>
          <w:color w:val="000000"/>
          <w:kern w:val="0"/>
          <w:sz w:val="24"/>
        </w:rPr>
      </w:pPr>
      <w:r>
        <w:rPr>
          <w:rFonts w:hint="eastAsia" w:ascii="宋体" w:hAnsi="宋体"/>
          <w:b/>
          <w:bCs/>
          <w:color w:val="000000"/>
          <w:sz w:val="24"/>
        </w:rPr>
        <w:t>4</w:t>
      </w:r>
      <w:r>
        <w:rPr>
          <w:rFonts w:hint="eastAsia" w:ascii="宋体" w:hAnsi="宋体" w:cs="Arial"/>
          <w:b/>
          <w:bCs/>
          <w:color w:val="000000"/>
          <w:kern w:val="0"/>
          <w:sz w:val="24"/>
        </w:rPr>
        <w:t>.3单位负责人为同一人或者存在直接控股、管理关系的不同供应商参加同一合同项下的政府采购活动的，相关投标供应商均作资格无效处理。</w:t>
      </w:r>
    </w:p>
    <w:p>
      <w:pPr>
        <w:snapToGrid w:val="0"/>
        <w:spacing w:line="360" w:lineRule="auto"/>
        <w:jc w:val="center"/>
        <w:outlineLvl w:val="1"/>
        <w:rPr>
          <w:rFonts w:ascii="宋体" w:hAnsi="宋体" w:cs="宋体"/>
          <w:b/>
          <w:color w:val="000000"/>
          <w:szCs w:val="21"/>
        </w:rPr>
      </w:pPr>
      <w:bookmarkStart w:id="78" w:name="_Toc24657"/>
      <w:bookmarkStart w:id="79" w:name="_Toc11437"/>
      <w:bookmarkStart w:id="80" w:name="_Toc24254"/>
    </w:p>
    <w:p>
      <w:pPr>
        <w:snapToGrid w:val="0"/>
        <w:spacing w:line="360" w:lineRule="auto"/>
        <w:jc w:val="center"/>
        <w:outlineLvl w:val="1"/>
        <w:rPr>
          <w:rFonts w:ascii="宋体" w:hAnsi="宋体" w:cs="宋体"/>
          <w:b/>
          <w:color w:val="000000"/>
          <w:sz w:val="24"/>
        </w:rPr>
      </w:pPr>
      <w:r>
        <w:rPr>
          <w:rFonts w:hint="eastAsia" w:ascii="宋体" w:hAnsi="宋体" w:cs="宋体"/>
          <w:b/>
          <w:color w:val="000000"/>
          <w:sz w:val="24"/>
        </w:rPr>
        <w:t>六、评 标</w:t>
      </w:r>
      <w:bookmarkEnd w:id="69"/>
      <w:bookmarkEnd w:id="70"/>
      <w:bookmarkEnd w:id="78"/>
      <w:bookmarkEnd w:id="79"/>
      <w:bookmarkEnd w:id="80"/>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评审工作的组织</w:t>
      </w:r>
    </w:p>
    <w:p>
      <w:pPr>
        <w:pStyle w:val="73"/>
        <w:spacing w:line="360" w:lineRule="auto"/>
        <w:ind w:firstLine="480" w:firstLineChars="200"/>
        <w:jc w:val="both"/>
        <w:rPr>
          <w:rFonts w:ascii="宋体" w:hAnsi="宋体"/>
          <w:b/>
          <w:color w:val="000000"/>
        </w:rPr>
      </w:pPr>
      <w:r>
        <w:rPr>
          <w:rFonts w:hint="eastAsia" w:ascii="宋体" w:hAnsi="宋体" w:cs="Arial"/>
          <w:color w:val="000000"/>
        </w:rPr>
        <w:t>1</w:t>
      </w:r>
      <w:r>
        <w:rPr>
          <w:rFonts w:ascii="宋体" w:hAnsi="宋体" w:cs="Arial"/>
          <w:color w:val="000000"/>
        </w:rPr>
        <w:t>.1</w:t>
      </w:r>
      <w:r>
        <w:rPr>
          <w:rFonts w:hint="eastAsia" w:ascii="宋体" w:hAnsi="宋体" w:cs="Arial"/>
          <w:color w:val="000000"/>
        </w:rPr>
        <w:t>采购人或采购代理机构负责组织本项目的评审工作，并依据《政府采购货物和服务招标投标管理办法（财政部第87号令）》第四十五条的相关规定履行职责。</w:t>
      </w:r>
      <w:r>
        <w:rPr>
          <w:rFonts w:hint="eastAsia" w:ascii="宋体" w:hAnsi="宋体"/>
          <w:b/>
          <w:color w:val="000000"/>
        </w:rPr>
        <w:t>根据财政部令第87号</w:t>
      </w:r>
      <w:r>
        <w:rPr>
          <w:rFonts w:hint="eastAsia" w:ascii="仿宋" w:hAnsi="仿宋" w:eastAsia="仿宋" w:cs="仿宋"/>
          <w:color w:val="000000"/>
          <w:sz w:val="22"/>
          <w:szCs w:val="22"/>
        </w:rPr>
        <w:t>　</w:t>
      </w:r>
      <w:r>
        <w:rPr>
          <w:rFonts w:hint="eastAsia" w:ascii="宋体" w:hAnsi="宋体"/>
          <w:b/>
          <w:color w:val="000000"/>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评标委员会的组建</w:t>
      </w:r>
    </w:p>
    <w:p>
      <w:pPr>
        <w:spacing w:line="360" w:lineRule="auto"/>
        <w:ind w:firstLine="422" w:firstLineChars="176"/>
        <w:rPr>
          <w:rFonts w:ascii="宋体" w:hAnsi="宋体" w:cs="Arial"/>
          <w:color w:val="000000"/>
          <w:kern w:val="0"/>
          <w:sz w:val="24"/>
        </w:rPr>
      </w:pPr>
      <w:r>
        <w:rPr>
          <w:rFonts w:hint="eastAsia" w:ascii="宋体" w:hAnsi="宋体" w:cs="Arial"/>
          <w:color w:val="000000"/>
          <w:kern w:val="0"/>
          <w:sz w:val="24"/>
        </w:rPr>
        <w:t>2.1评标委员会由采购人或采购代理机构依法组建，成员包括采购人代表和评审专家，成员人数</w:t>
      </w:r>
      <w:r>
        <w:rPr>
          <w:rFonts w:ascii="宋体" w:hAnsi="宋体" w:cs="Arial"/>
          <w:color w:val="000000"/>
          <w:kern w:val="0"/>
          <w:sz w:val="24"/>
        </w:rPr>
        <w:t>为</w:t>
      </w:r>
      <w:r>
        <w:rPr>
          <w:rFonts w:hint="eastAsia" w:ascii="宋体" w:hAnsi="宋体" w:cs="Arial"/>
          <w:color w:val="000000"/>
          <w:kern w:val="0"/>
          <w:sz w:val="24"/>
        </w:rPr>
        <w:t>五</w:t>
      </w:r>
      <w:r>
        <w:rPr>
          <w:rFonts w:ascii="宋体" w:hAnsi="宋体" w:cs="Arial"/>
          <w:color w:val="000000"/>
          <w:kern w:val="0"/>
          <w:sz w:val="24"/>
        </w:rPr>
        <w:t>人</w:t>
      </w:r>
      <w:r>
        <w:rPr>
          <w:rFonts w:hint="eastAsia" w:ascii="宋体" w:hAnsi="宋体" w:cs="Arial"/>
          <w:color w:val="000000"/>
          <w:kern w:val="0"/>
          <w:sz w:val="24"/>
        </w:rPr>
        <w:t>或以上单数，其中评审专家不少于成员总数的三分之二。</w:t>
      </w:r>
    </w:p>
    <w:p>
      <w:pPr>
        <w:spacing w:line="360" w:lineRule="auto"/>
        <w:ind w:firstLine="422" w:firstLineChars="176"/>
        <w:rPr>
          <w:rFonts w:ascii="宋体" w:hAnsi="宋体" w:cs="Arial"/>
          <w:color w:val="000000"/>
          <w:kern w:val="0"/>
          <w:sz w:val="24"/>
        </w:rPr>
      </w:pPr>
      <w:r>
        <w:rPr>
          <w:rFonts w:hint="eastAsia" w:ascii="宋体" w:hAnsi="宋体" w:cs="Arial"/>
          <w:color w:val="000000"/>
          <w:kern w:val="0"/>
          <w:sz w:val="24"/>
        </w:rPr>
        <w:t>2.2评标委员会成员名单在评审结果（采购结果）公告前保密。</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评标委员会的职责</w:t>
      </w:r>
    </w:p>
    <w:p>
      <w:pPr>
        <w:spacing w:line="360" w:lineRule="auto"/>
        <w:ind w:firstLine="424" w:firstLineChars="176"/>
        <w:rPr>
          <w:rFonts w:ascii="宋体" w:hAnsi="宋体" w:cs="Arial"/>
          <w:b/>
          <w:color w:val="000000"/>
          <w:kern w:val="0"/>
          <w:sz w:val="24"/>
        </w:rPr>
      </w:pPr>
      <w:r>
        <w:rPr>
          <w:rFonts w:hint="eastAsia" w:ascii="宋体" w:hAnsi="宋体" w:cs="Arial"/>
          <w:b/>
          <w:color w:val="000000"/>
          <w:kern w:val="0"/>
          <w:sz w:val="24"/>
        </w:rPr>
        <w:t>3.1评标委员会负责具体评审事务，并独立履行下列职责：</w:t>
      </w:r>
    </w:p>
    <w:p>
      <w:pPr>
        <w:spacing w:line="360" w:lineRule="auto"/>
        <w:ind w:firstLine="422" w:firstLineChars="176"/>
        <w:rPr>
          <w:rFonts w:ascii="宋体" w:hAnsi="宋体" w:cs="Arial"/>
          <w:color w:val="000000"/>
          <w:kern w:val="0"/>
          <w:sz w:val="24"/>
        </w:rPr>
      </w:pPr>
      <w:r>
        <w:rPr>
          <w:rFonts w:hint="eastAsia" w:ascii="宋体" w:hAnsi="宋体" w:cs="Arial"/>
          <w:color w:val="000000"/>
          <w:kern w:val="0"/>
          <w:sz w:val="24"/>
        </w:rPr>
        <w:t>（1）审查、评价投标文件是否符合招标文件的商务、技术等实质性要求；</w:t>
      </w:r>
    </w:p>
    <w:p>
      <w:pPr>
        <w:spacing w:line="360" w:lineRule="auto"/>
        <w:ind w:firstLine="422" w:firstLineChars="176"/>
        <w:rPr>
          <w:rFonts w:ascii="宋体" w:hAnsi="宋体" w:cs="Arial"/>
          <w:color w:val="000000"/>
          <w:kern w:val="0"/>
          <w:sz w:val="24"/>
        </w:rPr>
      </w:pPr>
      <w:r>
        <w:rPr>
          <w:rFonts w:hint="eastAsia" w:ascii="宋体" w:hAnsi="宋体" w:cs="Arial"/>
          <w:color w:val="000000"/>
          <w:kern w:val="0"/>
          <w:sz w:val="24"/>
        </w:rPr>
        <w:t>（2）要求投标人对投标文件有关事项作出澄清或者说明；</w:t>
      </w:r>
    </w:p>
    <w:p>
      <w:pPr>
        <w:spacing w:line="360" w:lineRule="auto"/>
        <w:ind w:firstLine="422" w:firstLineChars="176"/>
        <w:rPr>
          <w:rFonts w:ascii="宋体" w:hAnsi="宋体" w:cs="Arial"/>
          <w:color w:val="000000"/>
          <w:kern w:val="0"/>
          <w:sz w:val="24"/>
        </w:rPr>
      </w:pPr>
      <w:r>
        <w:rPr>
          <w:rFonts w:hint="eastAsia" w:ascii="宋体" w:hAnsi="宋体" w:cs="Arial"/>
          <w:color w:val="000000"/>
          <w:kern w:val="0"/>
          <w:sz w:val="24"/>
        </w:rPr>
        <w:t>（3）对投标文件进行比较和评价；</w:t>
      </w:r>
    </w:p>
    <w:p>
      <w:pPr>
        <w:spacing w:line="360" w:lineRule="auto"/>
        <w:ind w:firstLine="422" w:firstLineChars="176"/>
        <w:rPr>
          <w:rFonts w:ascii="宋体" w:hAnsi="宋体" w:cs="Arial"/>
          <w:color w:val="000000"/>
          <w:kern w:val="0"/>
          <w:sz w:val="24"/>
        </w:rPr>
      </w:pPr>
      <w:r>
        <w:rPr>
          <w:rFonts w:hint="eastAsia" w:ascii="宋体" w:hAnsi="宋体" w:cs="Arial"/>
          <w:color w:val="000000"/>
          <w:kern w:val="0"/>
          <w:sz w:val="24"/>
        </w:rPr>
        <w:t>（4）确定中标候选人名单，以及根据采购人委托直接确定中标人；</w:t>
      </w:r>
    </w:p>
    <w:p>
      <w:pPr>
        <w:numPr>
          <w:ilvl w:val="0"/>
          <w:numId w:val="10"/>
        </w:numPr>
        <w:spacing w:line="360" w:lineRule="auto"/>
        <w:ind w:firstLine="422"/>
        <w:rPr>
          <w:rFonts w:ascii="宋体" w:hAnsi="宋体" w:cs="Arial"/>
          <w:color w:val="000000"/>
          <w:kern w:val="0"/>
          <w:sz w:val="24"/>
        </w:rPr>
      </w:pPr>
      <w:r>
        <w:rPr>
          <w:rFonts w:hint="eastAsia" w:ascii="宋体" w:hAnsi="宋体" w:cs="Arial"/>
          <w:color w:val="000000"/>
          <w:kern w:val="0"/>
          <w:sz w:val="24"/>
        </w:rPr>
        <w:t>向采购人、采购代理机构或者有关部门报告评审中发现的违法行为。</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评审原则</w:t>
      </w:r>
    </w:p>
    <w:p>
      <w:pPr>
        <w:spacing w:line="360" w:lineRule="auto"/>
        <w:ind w:firstLine="424" w:firstLineChars="177"/>
        <w:rPr>
          <w:rFonts w:ascii="宋体" w:hAnsi="宋体" w:cs="Arial"/>
          <w:color w:val="000000"/>
          <w:sz w:val="24"/>
        </w:rPr>
      </w:pPr>
      <w:r>
        <w:rPr>
          <w:rFonts w:hint="eastAsia" w:ascii="宋体" w:hAnsi="宋体" w:cs="Arial"/>
          <w:color w:val="000000"/>
          <w:sz w:val="24"/>
        </w:rPr>
        <w:t>4.1评审原则：</w:t>
      </w:r>
      <w:r>
        <w:rPr>
          <w:rFonts w:hint="eastAsia" w:ascii="宋体" w:hAnsi="宋体" w:cs="Arial"/>
          <w:color w:val="000000"/>
          <w:kern w:val="0"/>
          <w:sz w:val="24"/>
        </w:rPr>
        <w:t>评标委员会</w:t>
      </w:r>
      <w:r>
        <w:rPr>
          <w:rFonts w:hint="eastAsia" w:ascii="宋体" w:hAnsi="宋体" w:cs="Arial"/>
          <w:color w:val="000000"/>
          <w:sz w:val="24"/>
        </w:rPr>
        <w:t>按照客观、公正、审慎、</w:t>
      </w:r>
      <w:r>
        <w:rPr>
          <w:rFonts w:ascii="宋体" w:hAnsi="宋体" w:cs="Arial"/>
          <w:color w:val="000000"/>
          <w:sz w:val="24"/>
        </w:rPr>
        <w:t>择优的</w:t>
      </w:r>
      <w:r>
        <w:rPr>
          <w:rFonts w:hint="eastAsia" w:ascii="宋体" w:hAnsi="宋体" w:cs="Arial"/>
          <w:color w:val="000000"/>
          <w:sz w:val="24"/>
        </w:rPr>
        <w:t>原则，根据招标文件规定的评审程序、评审方法和评审标准进行独立评审。</w:t>
      </w:r>
    </w:p>
    <w:p>
      <w:pPr>
        <w:spacing w:line="360" w:lineRule="auto"/>
        <w:ind w:firstLine="424" w:firstLineChars="177"/>
        <w:rPr>
          <w:rFonts w:ascii="宋体" w:hAnsi="宋体" w:cs="Arial"/>
          <w:color w:val="000000"/>
          <w:sz w:val="24"/>
        </w:rPr>
      </w:pPr>
      <w:r>
        <w:rPr>
          <w:rFonts w:hint="eastAsia" w:ascii="宋体" w:hAnsi="宋体" w:cs="Arial"/>
          <w:color w:val="000000"/>
          <w:sz w:val="24"/>
        </w:rPr>
        <w:t>4.2评审工作将依据</w:t>
      </w:r>
      <w:r>
        <w:rPr>
          <w:rFonts w:ascii="宋体" w:hAnsi="宋体" w:cs="Arial"/>
          <w:color w:val="000000"/>
          <w:kern w:val="0"/>
          <w:sz w:val="24"/>
        </w:rPr>
        <w:t>招标文件</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及招标文件中事先已列明的内容进行（如现场方案讲解、演示等）。</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（五）</w:t>
      </w:r>
      <w:r>
        <w:rPr>
          <w:rFonts w:hint="eastAsia" w:ascii="宋体" w:hAnsi="宋体" w:eastAsia="宋体"/>
          <w:sz w:val="24"/>
          <w:szCs w:val="24"/>
        </w:rPr>
        <w:t>评审意见的争议处理</w:t>
      </w:r>
    </w:p>
    <w:p>
      <w:pPr>
        <w:spacing w:line="360" w:lineRule="auto"/>
        <w:ind w:firstLine="424" w:firstLineChars="177"/>
        <w:rPr>
          <w:rFonts w:ascii="宋体" w:hAnsi="宋体" w:cs="Arial"/>
          <w:bCs/>
          <w:color w:val="000000"/>
          <w:sz w:val="24"/>
        </w:rPr>
      </w:pPr>
      <w:r>
        <w:rPr>
          <w:rFonts w:ascii="宋体" w:hAnsi="宋体" w:cs="Arial"/>
          <w:bCs/>
          <w:color w:val="000000"/>
          <w:sz w:val="24"/>
        </w:rPr>
        <w:t>5.1</w:t>
      </w:r>
      <w:r>
        <w:rPr>
          <w:rFonts w:hint="eastAsia" w:ascii="宋体" w:hAnsi="宋体" w:cs="Arial"/>
          <w:bCs/>
          <w:color w:val="000000"/>
          <w:sz w:val="24"/>
        </w:rPr>
        <w:t>评标委员会</w:t>
      </w:r>
      <w:r>
        <w:rPr>
          <w:rFonts w:ascii="宋体" w:hAnsi="宋体" w:cs="Arial"/>
          <w:bCs/>
          <w:color w:val="000000"/>
          <w:sz w:val="24"/>
        </w:rPr>
        <w:t>成员对需要共同认定的事项存在争议的，按照少数服从多数的原则作出结论。持不同意见的</w:t>
      </w:r>
      <w:r>
        <w:rPr>
          <w:rFonts w:hint="eastAsia" w:ascii="宋体" w:hAnsi="宋体" w:cs="Arial"/>
          <w:bCs/>
          <w:color w:val="000000"/>
          <w:sz w:val="24"/>
        </w:rPr>
        <w:t>评标委员会</w:t>
      </w:r>
      <w:r>
        <w:rPr>
          <w:rFonts w:ascii="宋体" w:hAnsi="宋体" w:cs="Arial"/>
          <w:bCs/>
          <w:color w:val="000000"/>
          <w:sz w:val="24"/>
        </w:rPr>
        <w:t>成员应当在评</w:t>
      </w:r>
      <w:r>
        <w:rPr>
          <w:rFonts w:hint="eastAsia" w:ascii="宋体" w:hAnsi="宋体" w:cs="Arial"/>
          <w:bCs/>
          <w:color w:val="000000"/>
          <w:sz w:val="24"/>
        </w:rPr>
        <w:t>审</w:t>
      </w:r>
      <w:r>
        <w:rPr>
          <w:rFonts w:ascii="宋体" w:hAnsi="宋体" w:cs="Arial"/>
          <w:bCs/>
          <w:color w:val="000000"/>
          <w:sz w:val="24"/>
        </w:rPr>
        <w:t>报告上签署不同意见及理由，否则视为同意评</w:t>
      </w:r>
      <w:r>
        <w:rPr>
          <w:rFonts w:hint="eastAsia" w:ascii="宋体" w:hAnsi="宋体" w:cs="Arial"/>
          <w:bCs/>
          <w:color w:val="000000"/>
          <w:sz w:val="24"/>
        </w:rPr>
        <w:t>审</w:t>
      </w:r>
      <w:r>
        <w:rPr>
          <w:rFonts w:ascii="宋体" w:hAnsi="宋体" w:cs="Arial"/>
          <w:bCs/>
          <w:color w:val="000000"/>
          <w:sz w:val="24"/>
        </w:rPr>
        <w:t>报告。</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评委纪律</w:t>
      </w:r>
    </w:p>
    <w:p>
      <w:pPr>
        <w:spacing w:line="360" w:lineRule="auto"/>
        <w:ind w:firstLine="424" w:firstLineChars="177"/>
        <w:rPr>
          <w:rFonts w:ascii="宋体" w:hAnsi="宋体" w:cs="Arial"/>
          <w:color w:val="000000"/>
          <w:kern w:val="0"/>
          <w:sz w:val="24"/>
        </w:rPr>
      </w:pPr>
      <w:r>
        <w:rPr>
          <w:rFonts w:ascii="宋体" w:hAnsi="宋体" w:cs="Arial"/>
          <w:color w:val="000000"/>
          <w:sz w:val="24"/>
        </w:rPr>
        <w:t>6.1</w:t>
      </w:r>
      <w:r>
        <w:rPr>
          <w:rFonts w:hint="eastAsia" w:ascii="宋体" w:hAnsi="宋体" w:cs="Arial"/>
          <w:color w:val="000000"/>
          <w:sz w:val="24"/>
        </w:rPr>
        <w:t>评标委员会成员</w:t>
      </w:r>
      <w:r>
        <w:rPr>
          <w:rFonts w:ascii="宋体" w:hAnsi="宋体" w:cs="Arial"/>
          <w:color w:val="000000"/>
          <w:sz w:val="24"/>
        </w:rPr>
        <w:t>必须严格遵守保密规定，不得泄露评</w:t>
      </w:r>
      <w:r>
        <w:rPr>
          <w:rFonts w:hint="eastAsia" w:ascii="宋体" w:hAnsi="宋体" w:cs="Arial"/>
          <w:color w:val="000000"/>
          <w:sz w:val="24"/>
        </w:rPr>
        <w:t>审</w:t>
      </w:r>
      <w:r>
        <w:rPr>
          <w:rFonts w:ascii="宋体" w:hAnsi="宋体" w:cs="Arial"/>
          <w:color w:val="000000"/>
          <w:sz w:val="24"/>
        </w:rPr>
        <w:t>的有关情况</w:t>
      </w:r>
      <w:r>
        <w:rPr>
          <w:rFonts w:hint="eastAsia" w:ascii="宋体" w:hAnsi="宋体" w:cs="Arial"/>
          <w:color w:val="000000"/>
          <w:kern w:val="0"/>
          <w:sz w:val="24"/>
        </w:rPr>
        <w:t>，</w:t>
      </w:r>
      <w:r>
        <w:rPr>
          <w:rFonts w:ascii="宋体" w:hAnsi="宋体" w:cs="Arial"/>
          <w:color w:val="000000"/>
          <w:kern w:val="0"/>
          <w:sz w:val="24"/>
        </w:rPr>
        <w:t>任何单位和个人不得干扰、影响评标的正常进行</w:t>
      </w:r>
      <w:r>
        <w:rPr>
          <w:rFonts w:hint="eastAsia" w:ascii="宋体" w:hAnsi="宋体" w:cs="Arial"/>
          <w:color w:val="000000"/>
          <w:kern w:val="0"/>
          <w:sz w:val="24"/>
        </w:rPr>
        <w:t>，</w:t>
      </w:r>
      <w:r>
        <w:rPr>
          <w:rFonts w:ascii="宋体" w:hAnsi="宋体" w:cs="Arial"/>
          <w:color w:val="000000"/>
          <w:kern w:val="0"/>
          <w:sz w:val="24"/>
        </w:rPr>
        <w:t>评标委员会</w:t>
      </w:r>
      <w:r>
        <w:rPr>
          <w:rFonts w:hint="eastAsia" w:ascii="宋体" w:hAnsi="宋体" w:cs="Arial"/>
          <w:color w:val="000000"/>
          <w:kern w:val="0"/>
          <w:sz w:val="24"/>
        </w:rPr>
        <w:t>成员</w:t>
      </w:r>
      <w:r>
        <w:rPr>
          <w:rFonts w:ascii="宋体" w:hAnsi="宋体" w:cs="Arial"/>
          <w:color w:val="000000"/>
          <w:kern w:val="0"/>
          <w:sz w:val="24"/>
        </w:rPr>
        <w:t>不得私下与投标供应商接触</w:t>
      </w:r>
      <w:r>
        <w:rPr>
          <w:rFonts w:hint="eastAsia" w:ascii="宋体" w:hAnsi="宋体" w:cs="Arial"/>
          <w:color w:val="000000"/>
          <w:kern w:val="0"/>
          <w:sz w:val="24"/>
        </w:rPr>
        <w:t>，不得出现浙江省政府采购活动现场组织管理办法中规定的其他禁止行为。</w:t>
      </w:r>
    </w:p>
    <w:p>
      <w:pPr>
        <w:pStyle w:val="6"/>
        <w:numPr>
          <w:ilvl w:val="0"/>
          <w:numId w:val="0"/>
        </w:numPr>
        <w:rPr>
          <w:rFonts w:ascii="宋体" w:hAnsi="宋体" w:eastAsia="宋体"/>
          <w:color w:val="000000"/>
          <w:sz w:val="24"/>
          <w:szCs w:val="24"/>
        </w:rPr>
      </w:pPr>
      <w:bookmarkStart w:id="81" w:name="_Toc24550043"/>
      <w:bookmarkStart w:id="82" w:name="_Toc20515"/>
      <w:bookmarkStart w:id="83" w:name="_Toc32209"/>
      <w:bookmarkStart w:id="84" w:name="_Toc5549"/>
      <w:bookmarkStart w:id="85" w:name="_Toc33194395"/>
      <w:bookmarkStart w:id="86" w:name="_Toc9222"/>
      <w:r>
        <w:rPr>
          <w:rFonts w:hint="eastAsia" w:ascii="宋体" w:hAnsi="宋体" w:eastAsia="宋体" w:cs="宋体"/>
          <w:color w:val="000000"/>
          <w:sz w:val="24"/>
          <w:szCs w:val="24"/>
        </w:rPr>
        <w:t>（七）</w:t>
      </w:r>
      <w:bookmarkEnd w:id="81"/>
      <w:bookmarkStart w:id="87" w:name="_Toc24550044"/>
      <w:r>
        <w:rPr>
          <w:rFonts w:hint="eastAsia" w:ascii="宋体" w:hAnsi="宋体" w:eastAsia="宋体" w:cs="宋体"/>
          <w:color w:val="000000"/>
          <w:sz w:val="24"/>
          <w:szCs w:val="24"/>
        </w:rPr>
        <w:t>评</w:t>
      </w:r>
      <w:r>
        <w:rPr>
          <w:rFonts w:hint="eastAsia" w:ascii="宋体" w:hAnsi="宋体" w:eastAsia="宋体"/>
          <w:color w:val="000000"/>
          <w:sz w:val="24"/>
          <w:szCs w:val="24"/>
        </w:rPr>
        <w:t>审流程及内容</w:t>
      </w:r>
      <w:bookmarkEnd w:id="82"/>
      <w:bookmarkEnd w:id="83"/>
      <w:bookmarkEnd w:id="84"/>
      <w:bookmarkEnd w:id="85"/>
      <w:bookmarkEnd w:id="86"/>
      <w:bookmarkEnd w:id="87"/>
    </w:p>
    <w:p>
      <w:pPr>
        <w:spacing w:line="360" w:lineRule="auto"/>
        <w:ind w:firstLine="424" w:firstLineChars="176"/>
        <w:rPr>
          <w:rFonts w:ascii="宋体" w:hAnsi="宋体"/>
          <w:color w:val="000000"/>
          <w:sz w:val="24"/>
        </w:rPr>
      </w:pPr>
      <w:r>
        <w:rPr>
          <w:rFonts w:hint="eastAsia" w:ascii="宋体" w:hAnsi="宋体" w:cs="Arial"/>
          <w:b/>
          <w:color w:val="000000"/>
          <w:kern w:val="0"/>
          <w:sz w:val="24"/>
        </w:rPr>
        <w:t>本项目具体的评审事务由评标委员会负责，评审流程及内容如下：</w:t>
      </w:r>
    </w:p>
    <w:p>
      <w:pPr>
        <w:pStyle w:val="7"/>
        <w:numPr>
          <w:ilvl w:val="2"/>
          <w:numId w:val="0"/>
        </w:numPr>
        <w:spacing w:before="0" w:after="0"/>
        <w:ind w:left="720" w:hanging="720"/>
        <w:jc w:val="both"/>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.1 评审前准备</w:t>
      </w:r>
    </w:p>
    <w:p>
      <w:pPr>
        <w:spacing w:line="360" w:lineRule="auto"/>
        <w:ind w:firstLine="480" w:firstLineChars="200"/>
        <w:rPr>
          <w:rFonts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.1.1由评审专家推选评审小组组长，采购人代表不得担任评审小组组长。</w:t>
      </w:r>
    </w:p>
    <w:p>
      <w:pPr>
        <w:spacing w:line="360" w:lineRule="auto"/>
        <w:ind w:firstLine="424" w:firstLineChars="177"/>
        <w:rPr>
          <w:rFonts w:ascii="宋体" w:hAnsi="宋体" w:cs="Arial"/>
          <w:b/>
          <w:color w:val="000000"/>
          <w:kern w:val="0"/>
          <w:sz w:val="24"/>
        </w:rPr>
      </w:pPr>
      <w:r>
        <w:rPr>
          <w:rFonts w:ascii="宋体" w:hAnsi="宋体" w:cs="Arial"/>
          <w:color w:val="000000"/>
          <w:kern w:val="0"/>
          <w:sz w:val="24"/>
        </w:rPr>
        <w:t>7</w:t>
      </w:r>
      <w:r>
        <w:rPr>
          <w:rFonts w:hint="eastAsia" w:ascii="宋体" w:hAnsi="宋体" w:cs="Arial"/>
          <w:color w:val="000000"/>
          <w:kern w:val="0"/>
          <w:sz w:val="24"/>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sz w:val="24"/>
          <w:szCs w:val="24"/>
        </w:rPr>
        <w:t>投标文件的初步审查、符合性审查</w:t>
      </w:r>
    </w:p>
    <w:p>
      <w:pPr>
        <w:spacing w:line="360" w:lineRule="auto"/>
        <w:ind w:firstLine="426" w:firstLineChars="177"/>
        <w:rPr>
          <w:rFonts w:ascii="宋体" w:hAnsi="宋体" w:cs="Arial"/>
          <w:b/>
          <w:color w:val="000000"/>
          <w:kern w:val="0"/>
          <w:sz w:val="24"/>
        </w:rPr>
      </w:pPr>
      <w:r>
        <w:rPr>
          <w:rFonts w:hint="eastAsia" w:ascii="宋体" w:hAnsi="宋体" w:cs="Arial"/>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ascii="宋体" w:hAnsi="宋体"/>
          <w:color w:val="000000"/>
          <w:sz w:val="24"/>
        </w:rPr>
      </w:pPr>
      <w:r>
        <w:rPr>
          <w:rFonts w:ascii="宋体" w:hAnsi="宋体"/>
          <w:color w:val="000000"/>
          <w:sz w:val="24"/>
        </w:rPr>
        <w:t>7</w:t>
      </w:r>
      <w:r>
        <w:rPr>
          <w:rFonts w:hint="eastAsia" w:ascii="宋体" w:hAnsi="宋体"/>
          <w:color w:val="000000"/>
          <w:sz w:val="24"/>
        </w:rPr>
        <w:t>.2.1评标委员会</w:t>
      </w:r>
      <w:r>
        <w:rPr>
          <w:rFonts w:ascii="宋体" w:hAnsi="宋体"/>
          <w:color w:val="000000"/>
          <w:sz w:val="24"/>
        </w:rPr>
        <w:t>首先</w:t>
      </w:r>
      <w:r>
        <w:rPr>
          <w:rFonts w:hint="eastAsia" w:ascii="宋体" w:hAnsi="宋体"/>
          <w:color w:val="000000"/>
          <w:sz w:val="24"/>
        </w:rPr>
        <w:t>对所有通过资格审查的投标供应商的</w:t>
      </w:r>
      <w:r>
        <w:rPr>
          <w:rFonts w:ascii="宋体" w:hAnsi="宋体"/>
          <w:color w:val="000000"/>
          <w:sz w:val="24"/>
        </w:rPr>
        <w:t>投标文件</w:t>
      </w:r>
      <w:r>
        <w:rPr>
          <w:rFonts w:hint="eastAsia" w:ascii="宋体" w:hAnsi="宋体"/>
          <w:color w:val="000000"/>
          <w:sz w:val="24"/>
        </w:rPr>
        <w:t>进行符合性审查，审查每份投标文件</w:t>
      </w:r>
      <w:r>
        <w:rPr>
          <w:rFonts w:ascii="宋体" w:hAnsi="宋体"/>
          <w:color w:val="000000"/>
          <w:sz w:val="24"/>
        </w:rPr>
        <w:t>是否实质上响应了招标文件的要求</w:t>
      </w:r>
      <w:r>
        <w:rPr>
          <w:rFonts w:hint="eastAsia" w:ascii="宋体" w:hAnsi="宋体"/>
          <w:color w:val="000000"/>
          <w:sz w:val="24"/>
        </w:rPr>
        <w:t>（</w:t>
      </w:r>
      <w:r>
        <w:rPr>
          <w:rFonts w:ascii="宋体" w:hAnsi="宋体"/>
          <w:color w:val="000000"/>
          <w:sz w:val="24"/>
        </w:rPr>
        <w:t>实质性响应的投标文件是指投标文件符合招标文件规定的实质性内容、条件和规定</w:t>
      </w:r>
      <w:r>
        <w:rPr>
          <w:rFonts w:hint="eastAsia" w:ascii="宋体" w:hAnsi="宋体"/>
          <w:color w:val="000000"/>
          <w:sz w:val="24"/>
        </w:rPr>
        <w:t>）</w:t>
      </w:r>
      <w:r>
        <w:rPr>
          <w:rFonts w:ascii="宋体" w:hAnsi="宋体"/>
          <w:color w:val="000000"/>
          <w:sz w:val="24"/>
        </w:rPr>
        <w:t>。</w:t>
      </w:r>
    </w:p>
    <w:p>
      <w:pPr>
        <w:pStyle w:val="7"/>
        <w:numPr>
          <w:ilvl w:val="2"/>
          <w:numId w:val="0"/>
        </w:numPr>
        <w:spacing w:before="0" w:after="0"/>
        <w:jc w:val="both"/>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.3 投标文件的澄清、说明或补正</w:t>
      </w:r>
    </w:p>
    <w:p>
      <w:pPr>
        <w:spacing w:line="360" w:lineRule="auto"/>
        <w:ind w:firstLine="424" w:firstLineChars="177"/>
        <w:rPr>
          <w:rFonts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.3.1对于投标文件中含义不明确、同类问题表述不一致或者有明显文字和计算错误的内容，评标委员会将以书面形式</w:t>
      </w:r>
      <w:r>
        <w:rPr>
          <w:rFonts w:hint="eastAsia" w:ascii="宋体" w:hAnsi="宋体" w:cs="Arial"/>
          <w:b/>
          <w:bCs/>
          <w:color w:val="000000"/>
          <w:kern w:val="0"/>
          <w:sz w:val="24"/>
        </w:rPr>
        <w:t>（或通过“政府采购云平台”在线询标）</w:t>
      </w:r>
      <w:r>
        <w:rPr>
          <w:rFonts w:hint="eastAsia" w:ascii="宋体" w:hAnsi="宋体" w:cs="Arial"/>
          <w:color w:val="000000"/>
          <w:kern w:val="0"/>
          <w:sz w:val="24"/>
        </w:rPr>
        <w:t>的形式要求</w:t>
      </w:r>
      <w:r>
        <w:rPr>
          <w:rFonts w:ascii="宋体" w:hAnsi="宋体" w:cs="Arial"/>
          <w:color w:val="000000"/>
          <w:kern w:val="0"/>
          <w:sz w:val="24"/>
        </w:rPr>
        <w:t>投标供应商</w:t>
      </w:r>
      <w:r>
        <w:rPr>
          <w:rFonts w:hint="eastAsia" w:ascii="宋体" w:hAnsi="宋体" w:cs="Arial"/>
          <w:color w:val="000000"/>
          <w:kern w:val="0"/>
          <w:sz w:val="24"/>
        </w:rPr>
        <w:t>在规定的时间内作出必要的澄清、说明或者补正，投标供应商澄清、说明或补正时间为30分钟。</w:t>
      </w:r>
    </w:p>
    <w:p>
      <w:pPr>
        <w:spacing w:line="360" w:lineRule="auto"/>
        <w:ind w:firstLine="424" w:firstLineChars="177"/>
        <w:rPr>
          <w:rFonts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.3.2</w:t>
      </w:r>
      <w:r>
        <w:rPr>
          <w:rFonts w:ascii="宋体" w:hAnsi="宋体" w:cs="Arial"/>
          <w:color w:val="000000"/>
          <w:kern w:val="0"/>
          <w:sz w:val="24"/>
        </w:rPr>
        <w:t>投标供应商</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投标供应商</w:t>
      </w:r>
      <w:r>
        <w:rPr>
          <w:rFonts w:hint="eastAsia" w:ascii="宋体" w:hAnsi="宋体" w:cs="Arial"/>
          <w:color w:val="000000"/>
          <w:kern w:val="0"/>
          <w:sz w:val="24"/>
        </w:rPr>
        <w:t>的澄清、说明或者补正不得超出投标文件的范围或者改变投标文件的实质性内容。</w:t>
      </w:r>
    </w:p>
    <w:p>
      <w:pPr>
        <w:pStyle w:val="7"/>
        <w:numPr>
          <w:ilvl w:val="2"/>
          <w:numId w:val="0"/>
        </w:numPr>
        <w:spacing w:before="0" w:after="0"/>
        <w:ind w:left="720" w:hanging="720"/>
        <w:jc w:val="both"/>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.4 投标文件的错误修正</w:t>
      </w:r>
    </w:p>
    <w:p>
      <w:pPr>
        <w:spacing w:line="360" w:lineRule="auto"/>
        <w:ind w:firstLine="422" w:firstLineChars="175"/>
        <w:rPr>
          <w:rFonts w:ascii="宋体" w:hAnsi="宋体" w:cs="Arial"/>
          <w:b/>
          <w:color w:val="000000"/>
          <w:kern w:val="0"/>
          <w:sz w:val="24"/>
        </w:rPr>
      </w:pPr>
      <w:r>
        <w:rPr>
          <w:rFonts w:ascii="宋体" w:hAnsi="宋体" w:cs="Arial"/>
          <w:b/>
          <w:color w:val="000000"/>
          <w:kern w:val="0"/>
          <w:sz w:val="24"/>
        </w:rPr>
        <w:t>7</w:t>
      </w:r>
      <w:r>
        <w:rPr>
          <w:rFonts w:hint="eastAsia" w:ascii="宋体" w:hAnsi="宋体" w:cs="Arial"/>
          <w:b/>
          <w:color w:val="000000"/>
          <w:kern w:val="0"/>
          <w:sz w:val="24"/>
        </w:rPr>
        <w:t>.4.1</w:t>
      </w:r>
      <w:r>
        <w:rPr>
          <w:rFonts w:ascii="宋体" w:hAnsi="宋体" w:cs="Arial"/>
          <w:b/>
          <w:color w:val="000000"/>
          <w:kern w:val="0"/>
          <w:sz w:val="24"/>
        </w:rPr>
        <w:t>《投标文件》如果出现计算或表达上的错误，修正错误的原则如下：</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（1）</w:t>
      </w:r>
      <w:r>
        <w:rPr>
          <w:rFonts w:hint="eastAsia" w:ascii="宋体" w:hAnsi="宋体" w:cs="Arial"/>
          <w:color w:val="000000"/>
          <w:kern w:val="0"/>
          <w:sz w:val="24"/>
        </w:rPr>
        <w:t>投标文件中</w:t>
      </w:r>
      <w:r>
        <w:rPr>
          <w:rFonts w:ascii="宋体" w:hAnsi="宋体" w:cs="Arial"/>
          <w:color w:val="000000"/>
          <w:kern w:val="0"/>
          <w:sz w:val="24"/>
        </w:rPr>
        <w:t>开标一览表</w:t>
      </w:r>
      <w:r>
        <w:rPr>
          <w:rFonts w:hint="eastAsia" w:ascii="宋体" w:hAnsi="宋体" w:cs="Arial"/>
          <w:color w:val="000000"/>
          <w:kern w:val="0"/>
          <w:sz w:val="24"/>
        </w:rPr>
        <w:t>（报价表）内容</w:t>
      </w:r>
      <w:r>
        <w:rPr>
          <w:rFonts w:ascii="宋体" w:hAnsi="宋体" w:cs="Arial"/>
          <w:color w:val="000000"/>
          <w:kern w:val="0"/>
          <w:sz w:val="24"/>
        </w:rPr>
        <w:t>与</w:t>
      </w:r>
      <w:r>
        <w:rPr>
          <w:rFonts w:hint="eastAsia" w:ascii="宋体" w:hAnsi="宋体" w:cs="Arial"/>
          <w:color w:val="000000"/>
          <w:kern w:val="0"/>
          <w:sz w:val="24"/>
        </w:rPr>
        <w:t>投标文件中相应内容不一致的</w:t>
      </w:r>
      <w:r>
        <w:rPr>
          <w:rFonts w:ascii="宋体" w:hAnsi="宋体" w:cs="Arial"/>
          <w:color w:val="000000"/>
          <w:kern w:val="0"/>
          <w:sz w:val="24"/>
        </w:rPr>
        <w:t>，以开标一览表</w:t>
      </w:r>
      <w:r>
        <w:rPr>
          <w:rFonts w:hint="eastAsia" w:ascii="宋体" w:hAnsi="宋体" w:cs="Arial"/>
          <w:color w:val="000000"/>
          <w:kern w:val="0"/>
          <w:sz w:val="24"/>
        </w:rPr>
        <w:t>（报价表）</w:t>
      </w:r>
      <w:r>
        <w:rPr>
          <w:rFonts w:ascii="宋体" w:hAnsi="宋体" w:cs="Arial"/>
          <w:color w:val="000000"/>
          <w:kern w:val="0"/>
          <w:sz w:val="24"/>
        </w:rPr>
        <w:t>为准。</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（2）《投标文件》的大写金额和小写金额不一致的，以大写金额为准；</w:t>
      </w:r>
    </w:p>
    <w:p>
      <w:pPr>
        <w:spacing w:line="360" w:lineRule="auto"/>
        <w:ind w:firstLine="420" w:firstLineChars="175"/>
        <w:rPr>
          <w:rFonts w:ascii="宋体" w:hAnsi="宋体" w:cs="Arial"/>
          <w:color w:val="000000"/>
          <w:kern w:val="0"/>
          <w:sz w:val="24"/>
        </w:rPr>
      </w:pPr>
      <w:r>
        <w:rPr>
          <w:rFonts w:hint="eastAsia" w:ascii="宋体" w:hAnsi="宋体" w:cs="Arial"/>
          <w:color w:val="000000"/>
          <w:kern w:val="0"/>
          <w:sz w:val="24"/>
        </w:rPr>
        <w:t>（3）单价金额小数点或者百分比有明显错位的，应以</w:t>
      </w:r>
      <w:r>
        <w:rPr>
          <w:rFonts w:ascii="宋体" w:hAnsi="宋体" w:cs="Arial"/>
          <w:color w:val="000000"/>
          <w:kern w:val="0"/>
          <w:sz w:val="24"/>
        </w:rPr>
        <w:t>开标一览表</w:t>
      </w:r>
      <w:r>
        <w:rPr>
          <w:rFonts w:hint="eastAsia" w:ascii="宋体" w:hAnsi="宋体" w:cs="Arial"/>
          <w:color w:val="000000"/>
          <w:kern w:val="0"/>
          <w:sz w:val="24"/>
        </w:rPr>
        <w:t>（报价表）的总价为准，并修改单价；</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w:t>
      </w:r>
      <w:r>
        <w:rPr>
          <w:rFonts w:hint="eastAsia" w:ascii="宋体" w:hAnsi="宋体" w:cs="Arial"/>
          <w:color w:val="000000"/>
          <w:kern w:val="0"/>
          <w:sz w:val="24"/>
        </w:rPr>
        <w:t>4</w:t>
      </w:r>
      <w:r>
        <w:rPr>
          <w:rFonts w:ascii="宋体" w:hAnsi="宋体" w:cs="Arial"/>
          <w:color w:val="000000"/>
          <w:kern w:val="0"/>
          <w:sz w:val="24"/>
        </w:rPr>
        <w:t>）总价金额与按单价汇总金额不一致的，以单价金额计算结果为准</w:t>
      </w:r>
      <w:r>
        <w:rPr>
          <w:rFonts w:hint="eastAsia" w:ascii="宋体" w:hAnsi="宋体" w:cs="Arial"/>
          <w:color w:val="000000"/>
          <w:kern w:val="0"/>
          <w:sz w:val="24"/>
        </w:rPr>
        <w:t>。</w:t>
      </w:r>
    </w:p>
    <w:p>
      <w:pPr>
        <w:spacing w:line="360" w:lineRule="auto"/>
        <w:ind w:firstLine="420" w:firstLineChars="175"/>
      </w:pPr>
      <w:r>
        <w:rPr>
          <w:rFonts w:ascii="宋体" w:hAnsi="宋体" w:cs="Arial"/>
          <w:color w:val="000000"/>
          <w:kern w:val="0"/>
          <w:sz w:val="24"/>
        </w:rPr>
        <w:t>7</w:t>
      </w:r>
      <w:r>
        <w:rPr>
          <w:rFonts w:hint="eastAsia" w:ascii="宋体" w:hAnsi="宋体" w:cs="Arial"/>
          <w:color w:val="000000"/>
          <w:kern w:val="0"/>
          <w:sz w:val="24"/>
        </w:rPr>
        <w:t>.4.2</w:t>
      </w:r>
      <w:r>
        <w:rPr>
          <w:rFonts w:ascii="宋体" w:hAnsi="宋体" w:cs="Arial"/>
          <w:color w:val="000000"/>
          <w:kern w:val="0"/>
          <w:sz w:val="24"/>
        </w:rPr>
        <w:t>对不同文字文本《投标文件》的解释发生异议的，以中文文本为准。</w:t>
      </w:r>
    </w:p>
    <w:p>
      <w:pPr>
        <w:pStyle w:val="187"/>
        <w:adjustRightInd/>
        <w:snapToGrid w:val="0"/>
        <w:spacing w:before="0" w:line="360" w:lineRule="auto"/>
        <w:ind w:left="0" w:firstLine="0"/>
        <w:rPr>
          <w:rFonts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360" w:lineRule="auto"/>
        <w:ind w:firstLine="424" w:firstLineChars="176"/>
        <w:rPr>
          <w:rFonts w:ascii="宋体" w:hAnsi="宋体" w:cs="Arial"/>
          <w:b/>
          <w:color w:val="000000"/>
          <w:kern w:val="0"/>
          <w:sz w:val="24"/>
        </w:rPr>
      </w:pPr>
      <w:bookmarkStart w:id="88" w:name="_Hlk33211013"/>
      <w:r>
        <w:rPr>
          <w:rFonts w:ascii="宋体" w:hAnsi="宋体" w:cs="Arial"/>
          <w:b/>
          <w:color w:val="000000"/>
          <w:kern w:val="0"/>
          <w:sz w:val="24"/>
        </w:rPr>
        <w:t>8</w:t>
      </w:r>
      <w:r>
        <w:rPr>
          <w:rFonts w:hint="eastAsia" w:ascii="宋体" w:hAnsi="宋体" w:cs="Arial"/>
          <w:b/>
          <w:color w:val="000000"/>
          <w:kern w:val="0"/>
          <w:sz w:val="24"/>
        </w:rPr>
        <w:t>.</w:t>
      </w:r>
      <w:r>
        <w:rPr>
          <w:rFonts w:ascii="宋体" w:hAnsi="宋体" w:cs="Arial"/>
          <w:b/>
          <w:color w:val="000000"/>
          <w:kern w:val="0"/>
          <w:sz w:val="24"/>
        </w:rPr>
        <w:t>1</w:t>
      </w:r>
      <w:r>
        <w:rPr>
          <w:rFonts w:hint="eastAsia" w:ascii="宋体" w:hAnsi="宋体" w:cs="Arial"/>
          <w:b/>
          <w:color w:val="000000"/>
          <w:kern w:val="0"/>
          <w:sz w:val="24"/>
        </w:rPr>
        <w:t>商务、技术文件符合性审查中，存在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bookmarkStart w:id="89" w:name="_Toc10380"/>
      <w:bookmarkStart w:id="90" w:name="_Toc25773"/>
      <w:bookmarkStart w:id="91" w:name="_Toc11810"/>
      <w:bookmarkStart w:id="92" w:name="_Toc32574"/>
      <w:bookmarkStart w:id="93" w:name="_Toc33194396"/>
    </w:p>
    <w:p>
      <w:pPr>
        <w:spacing w:line="360" w:lineRule="auto"/>
        <w:ind w:firstLine="424" w:firstLineChars="176"/>
        <w:rPr>
          <w:rFonts w:ascii="宋体" w:hAnsi="宋体"/>
          <w:b/>
          <w:sz w:val="24"/>
        </w:rPr>
      </w:pPr>
      <w:r>
        <w:rPr>
          <w:rFonts w:hint="eastAsia" w:ascii="宋体" w:hAnsi="宋体" w:cs="宋体"/>
          <w:b/>
          <w:color w:val="000000"/>
          <w:sz w:val="24"/>
        </w:rPr>
        <w:t>（1）投标文件未有效授权，法定代表人授权委托书等填写不完整或有涂改的；</w:t>
      </w:r>
      <w:bookmarkEnd w:id="89"/>
      <w:bookmarkEnd w:id="90"/>
      <w:bookmarkEnd w:id="91"/>
      <w:bookmarkEnd w:id="92"/>
      <w:bookmarkEnd w:id="93"/>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）投标文件存在一个或一个以上备选（替代）投标方案的；</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）仅提交“备份投标文件”的；</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）文件组成内容不齐全，本招标文件规定必须提供而未提供的（属于资格审查范围的除外）；</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6</w:t>
      </w:r>
      <w:r>
        <w:rPr>
          <w:rFonts w:hint="eastAsia" w:ascii="宋体" w:hAnsi="宋体"/>
          <w:b/>
          <w:sz w:val="24"/>
        </w:rPr>
        <w:t>）投标文件标注的响应或偏离情况与事实不符，或提供了虚假材料的；</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7</w:t>
      </w:r>
      <w:r>
        <w:rPr>
          <w:rFonts w:hint="eastAsia" w:ascii="宋体" w:hAnsi="宋体"/>
          <w:b/>
          <w:sz w:val="24"/>
        </w:rPr>
        <w:t>）不响应或擅自改变本招标文件要求或投标文件有采购人不能接受的附加条件的；</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8</w:t>
      </w:r>
      <w:r>
        <w:rPr>
          <w:rFonts w:hint="eastAsia" w:ascii="宋体" w:hAnsi="宋体"/>
          <w:b/>
          <w:sz w:val="24"/>
        </w:rPr>
        <w:t>）参加同一合同项下政府采购活动的不同供应商之间存在利害关系并且存在影响政府采购公平竞争行为的；</w:t>
      </w:r>
      <w:bookmarkStart w:id="94" w:name="_Toc33194397"/>
    </w:p>
    <w:p>
      <w:pPr>
        <w:spacing w:line="360" w:lineRule="auto"/>
        <w:ind w:firstLine="426" w:firstLineChars="177"/>
        <w:rPr>
          <w:rFonts w:ascii="宋体" w:hAnsi="宋体" w:cs="宋体"/>
          <w:b/>
          <w:color w:val="000000"/>
          <w:sz w:val="24"/>
        </w:rPr>
      </w:pPr>
      <w:r>
        <w:rPr>
          <w:rFonts w:hint="eastAsia" w:ascii="宋体" w:hAnsi="宋体" w:cs="宋体"/>
          <w:b/>
          <w:sz w:val="24"/>
        </w:rPr>
        <w:t>（9）</w:t>
      </w:r>
      <w:r>
        <w:rPr>
          <w:rFonts w:hint="eastAsia" w:ascii="宋体" w:hAnsi="宋体" w:cs="宋体"/>
          <w:b/>
          <w:color w:val="000000"/>
          <w:sz w:val="24"/>
        </w:rPr>
        <w:t>招标人拟采购的产品如属于品目清单范围内的强制采购品目的，投标人未</w:t>
      </w:r>
      <w:bookmarkEnd w:id="94"/>
    </w:p>
    <w:p>
      <w:pPr>
        <w:pStyle w:val="6"/>
        <w:numPr>
          <w:ilvl w:val="0"/>
          <w:numId w:val="0"/>
        </w:numPr>
        <w:ind w:left="106"/>
        <w:rPr>
          <w:rFonts w:ascii="宋体" w:hAnsi="宋体" w:eastAsia="宋体"/>
          <w:bCs w:val="0"/>
          <w:sz w:val="24"/>
          <w:szCs w:val="24"/>
        </w:rPr>
      </w:pPr>
      <w:bookmarkStart w:id="95" w:name="_Toc7461"/>
      <w:bookmarkStart w:id="96" w:name="_Toc27126"/>
      <w:bookmarkStart w:id="97" w:name="_Toc1556"/>
      <w:bookmarkStart w:id="98" w:name="_Toc18324"/>
      <w:bookmarkStart w:id="99" w:name="_Toc33194398"/>
      <w:r>
        <w:rPr>
          <w:rFonts w:hint="eastAsia" w:ascii="宋体" w:hAnsi="宋体" w:eastAsia="宋体" w:cs="宋体"/>
          <w:bCs w:val="0"/>
          <w:color w:val="000000"/>
          <w:sz w:val="24"/>
          <w:szCs w:val="24"/>
        </w:rPr>
        <w:t>能在响应文件中提供国家确定的认证机构出具的、处于有效期之内的该产品节能产品、环境标志产品认证证书；</w:t>
      </w:r>
      <w:bookmarkEnd w:id="95"/>
      <w:bookmarkEnd w:id="96"/>
      <w:bookmarkEnd w:id="97"/>
      <w:bookmarkEnd w:id="98"/>
      <w:bookmarkEnd w:id="99"/>
    </w:p>
    <w:p>
      <w:pPr>
        <w:spacing w:line="360" w:lineRule="auto"/>
        <w:ind w:firstLine="426" w:firstLineChars="177"/>
        <w:rPr>
          <w:rFonts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）违反国家或政府部门相关法律、法规、文件规定的。</w:t>
      </w:r>
    </w:p>
    <w:bookmarkEnd w:id="88"/>
    <w:p>
      <w:pPr>
        <w:spacing w:line="360" w:lineRule="auto"/>
        <w:ind w:firstLine="426" w:firstLineChars="177"/>
        <w:rPr>
          <w:rFonts w:ascii="宋体" w:hAnsi="宋体" w:cs="Arial"/>
          <w:b/>
          <w:color w:val="000000"/>
          <w:kern w:val="0"/>
          <w:sz w:val="24"/>
        </w:rPr>
      </w:pPr>
      <w:r>
        <w:rPr>
          <w:rFonts w:ascii="宋体" w:hAnsi="宋体" w:cs="Arial"/>
          <w:b/>
          <w:color w:val="000000"/>
          <w:kern w:val="0"/>
          <w:sz w:val="24"/>
        </w:rPr>
        <w:t>8.2</w:t>
      </w:r>
      <w:r>
        <w:rPr>
          <w:rFonts w:hint="eastAsia" w:ascii="宋体" w:hAnsi="宋体" w:cs="Arial"/>
          <w:b/>
          <w:color w:val="000000"/>
          <w:kern w:val="0"/>
          <w:sz w:val="24"/>
        </w:rPr>
        <w:t>报价文件符合性审查中，存在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spacing w:line="360" w:lineRule="auto"/>
        <w:ind w:firstLine="426" w:firstLineChars="177"/>
        <w:rPr>
          <w:rFonts w:ascii="宋体" w:hAnsi="宋体"/>
          <w:b/>
          <w:sz w:val="24"/>
        </w:rPr>
      </w:pPr>
      <w:r>
        <w:rPr>
          <w:rFonts w:hint="eastAsia" w:ascii="宋体" w:hAnsi="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ascii="宋体" w:hAnsi="宋体"/>
          <w:b/>
          <w:sz w:val="24"/>
        </w:rPr>
      </w:pPr>
      <w:r>
        <w:rPr>
          <w:rFonts w:hint="eastAsia" w:ascii="宋体" w:hAnsi="宋体"/>
          <w:b/>
          <w:sz w:val="24"/>
        </w:rPr>
        <w:t>（2）投标文件存在一个或一个以上备选（替代）投标方案的；</w:t>
      </w:r>
    </w:p>
    <w:p>
      <w:pPr>
        <w:spacing w:line="360" w:lineRule="auto"/>
        <w:ind w:firstLine="426" w:firstLineChars="177"/>
        <w:rPr>
          <w:rFonts w:ascii="宋体" w:hAnsi="宋体"/>
          <w:b/>
          <w:sz w:val="24"/>
        </w:rPr>
      </w:pPr>
      <w:r>
        <w:rPr>
          <w:rFonts w:hint="eastAsia" w:ascii="宋体" w:hAnsi="宋体"/>
          <w:b/>
          <w:sz w:val="24"/>
        </w:rPr>
        <w:t>（3）未按照招标文件标明的币种报价的，或者投标报价涵盖的内容不符合招标文件要求的；</w:t>
      </w:r>
    </w:p>
    <w:p>
      <w:pPr>
        <w:spacing w:line="360" w:lineRule="auto"/>
        <w:ind w:firstLine="426" w:firstLineChars="177"/>
        <w:rPr>
          <w:rFonts w:ascii="宋体" w:hAnsi="宋体"/>
          <w:b/>
          <w:sz w:val="24"/>
        </w:rPr>
      </w:pPr>
      <w:r>
        <w:rPr>
          <w:rFonts w:hint="eastAsia" w:ascii="宋体" w:hAnsi="宋体"/>
          <w:b/>
          <w:sz w:val="24"/>
        </w:rPr>
        <w:t>（4）《开标一览表》内容与《投标报价明细表》内容不一致且拒不接受修正的；</w:t>
      </w:r>
    </w:p>
    <w:p>
      <w:pPr>
        <w:spacing w:line="360" w:lineRule="auto"/>
        <w:ind w:firstLine="426" w:firstLineChars="177"/>
        <w:rPr>
          <w:rFonts w:ascii="宋体" w:hAnsi="宋体"/>
          <w:b/>
          <w:sz w:val="24"/>
        </w:rPr>
      </w:pPr>
      <w:r>
        <w:rPr>
          <w:rFonts w:hint="eastAsia" w:ascii="宋体" w:hAnsi="宋体"/>
          <w:b/>
          <w:sz w:val="24"/>
        </w:rPr>
        <w:t>（5）投标报价具有选择性，唱标价格与《投标文件》承诺的优惠（折扣）后价格不一致的；</w:t>
      </w:r>
    </w:p>
    <w:p>
      <w:pPr>
        <w:spacing w:line="360" w:lineRule="auto"/>
        <w:ind w:firstLine="426" w:firstLineChars="177"/>
        <w:rPr>
          <w:rFonts w:ascii="宋体" w:hAnsi="宋体"/>
          <w:b/>
          <w:sz w:val="24"/>
        </w:rPr>
      </w:pPr>
      <w:r>
        <w:rPr>
          <w:rFonts w:hint="eastAsia" w:ascii="宋体" w:hAnsi="宋体"/>
          <w:b/>
          <w:sz w:val="24"/>
        </w:rPr>
        <w:t>（6）投标报价超过采购预算（或最高限价）的；</w:t>
      </w:r>
    </w:p>
    <w:p>
      <w:pPr>
        <w:spacing w:line="360" w:lineRule="auto"/>
        <w:ind w:firstLine="426" w:firstLineChars="177"/>
        <w:rPr>
          <w:rFonts w:ascii="宋体" w:hAnsi="宋体"/>
          <w:b/>
          <w:sz w:val="24"/>
        </w:rPr>
      </w:pPr>
      <w:r>
        <w:rPr>
          <w:rFonts w:hint="eastAsia" w:ascii="宋体" w:hAnsi="宋体"/>
          <w:b/>
          <w:sz w:val="24"/>
        </w:rPr>
        <w:t>（7）仅提交“备份投标文件”的；</w:t>
      </w:r>
    </w:p>
    <w:p>
      <w:pPr>
        <w:spacing w:line="360" w:lineRule="auto"/>
        <w:ind w:firstLine="426" w:firstLineChars="177"/>
        <w:rPr>
          <w:rFonts w:ascii="宋体" w:hAnsi="宋体"/>
          <w:b/>
          <w:sz w:val="24"/>
        </w:rPr>
      </w:pPr>
      <w:r>
        <w:rPr>
          <w:rFonts w:hint="eastAsia" w:ascii="宋体" w:hAnsi="宋体"/>
          <w:b/>
          <w:sz w:val="24"/>
        </w:rPr>
        <w:t>（8）投标文件组成内容不齐全，本招标文件规定必须提供而未提供的（属于资格审查范围的除外）；</w:t>
      </w:r>
    </w:p>
    <w:p>
      <w:pPr>
        <w:spacing w:line="360" w:lineRule="auto"/>
        <w:ind w:firstLine="426" w:firstLineChars="177"/>
        <w:rPr>
          <w:rFonts w:ascii="宋体" w:hAnsi="宋体"/>
          <w:b/>
          <w:sz w:val="24"/>
        </w:rPr>
      </w:pPr>
      <w:r>
        <w:rPr>
          <w:rFonts w:hint="eastAsia" w:ascii="宋体" w:hAnsi="宋体"/>
          <w:b/>
          <w:sz w:val="24"/>
        </w:rPr>
        <w:t>（9）投标文件标注的响应或偏离情况与事实不符，或提供了虚假材料的；</w:t>
      </w:r>
    </w:p>
    <w:p>
      <w:pPr>
        <w:spacing w:line="360" w:lineRule="auto"/>
        <w:ind w:firstLine="426" w:firstLineChars="177"/>
        <w:rPr>
          <w:rFonts w:ascii="宋体" w:hAnsi="宋体"/>
          <w:b/>
          <w:sz w:val="24"/>
        </w:rPr>
      </w:pPr>
      <w:r>
        <w:rPr>
          <w:rFonts w:hint="eastAsia" w:ascii="宋体" w:hAnsi="宋体"/>
          <w:b/>
          <w:sz w:val="24"/>
        </w:rPr>
        <w:t>（10）不响应或擅自改变本招标文件要求或投标文件有采购人不能接受的附加条件的；</w:t>
      </w:r>
    </w:p>
    <w:p>
      <w:pPr>
        <w:shd w:val="clear" w:color="auto" w:fill="FFFFFF"/>
        <w:autoSpaceDE w:val="0"/>
        <w:autoSpaceDN w:val="0"/>
        <w:snapToGrid w:val="0"/>
        <w:spacing w:line="360" w:lineRule="auto"/>
        <w:ind w:firstLine="482" w:firstLineChars="200"/>
        <w:rPr>
          <w:rFonts w:ascii="宋体" w:hAnsi="宋体" w:cs="宋体"/>
          <w:b/>
          <w:color w:val="000000"/>
          <w:sz w:val="24"/>
        </w:rPr>
      </w:pPr>
      <w:r>
        <w:rPr>
          <w:rFonts w:hint="eastAsia" w:ascii="宋体" w:hAnsi="宋体" w:cs="宋体"/>
          <w:b/>
          <w:sz w:val="24"/>
        </w:rPr>
        <w:t>（1</w:t>
      </w:r>
      <w:r>
        <w:rPr>
          <w:rFonts w:ascii="宋体" w:hAnsi="宋体" w:cs="宋体"/>
          <w:b/>
          <w:sz w:val="24"/>
        </w:rPr>
        <w:t>1</w:t>
      </w:r>
      <w:r>
        <w:rPr>
          <w:rFonts w:hint="eastAsia" w:ascii="宋体" w:hAnsi="宋体" w:cs="宋体"/>
          <w:b/>
          <w:sz w:val="24"/>
        </w:rPr>
        <w:t>）</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ascii="宋体" w:hAnsi="宋体" w:cs="Arial"/>
          <w:b/>
          <w:color w:val="000000"/>
          <w:kern w:val="0"/>
          <w:sz w:val="24"/>
        </w:rPr>
      </w:pPr>
      <w:r>
        <w:rPr>
          <w:rFonts w:hint="eastAsia" w:ascii="宋体" w:hAnsi="宋体"/>
          <w:b/>
          <w:sz w:val="24"/>
        </w:rPr>
        <w:t>（1</w:t>
      </w:r>
      <w:r>
        <w:rPr>
          <w:rFonts w:ascii="宋体" w:hAnsi="宋体"/>
          <w:b/>
          <w:sz w:val="24"/>
        </w:rPr>
        <w:t>2</w:t>
      </w:r>
      <w:r>
        <w:rPr>
          <w:rFonts w:hint="eastAsia" w:ascii="宋体" w:hAnsi="宋体"/>
          <w:b/>
          <w:sz w:val="24"/>
        </w:rPr>
        <w:t>）违反国家或政府部门相关法律、法规、文件规定的。</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（九）</w:t>
      </w:r>
      <w:r>
        <w:rPr>
          <w:rFonts w:hint="eastAsia" w:ascii="宋体" w:hAnsi="宋体" w:eastAsia="宋体"/>
          <w:sz w:val="24"/>
          <w:szCs w:val="24"/>
        </w:rPr>
        <w:t>投标文件的评估、比较、评分</w:t>
      </w:r>
    </w:p>
    <w:p>
      <w:pPr>
        <w:spacing w:line="360" w:lineRule="auto"/>
        <w:ind w:firstLine="424" w:firstLineChars="177"/>
        <w:rPr>
          <w:rFonts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（十）</w:t>
      </w:r>
      <w:r>
        <w:rPr>
          <w:rFonts w:hint="eastAsia" w:ascii="宋体" w:hAnsi="宋体" w:eastAsia="宋体"/>
          <w:sz w:val="24"/>
          <w:szCs w:val="24"/>
        </w:rPr>
        <w:t>修改评审结果</w:t>
      </w:r>
    </w:p>
    <w:p>
      <w:pPr>
        <w:spacing w:line="360" w:lineRule="auto"/>
        <w:ind w:firstLine="487" w:firstLineChars="202"/>
        <w:rPr>
          <w:rFonts w:ascii="宋体" w:hAnsi="宋体"/>
          <w:b/>
          <w:color w:val="000000"/>
          <w:sz w:val="24"/>
        </w:rPr>
      </w:pPr>
      <w:r>
        <w:rPr>
          <w:rFonts w:ascii="宋体" w:hAnsi="宋体"/>
          <w:b/>
          <w:color w:val="000000"/>
          <w:sz w:val="24"/>
        </w:rPr>
        <w:t>10</w:t>
      </w:r>
      <w:r>
        <w:rPr>
          <w:rFonts w:hint="eastAsia" w:ascii="宋体" w:hAnsi="宋体"/>
          <w:b/>
          <w:color w:val="000000"/>
          <w:sz w:val="24"/>
        </w:rPr>
        <w:t>.1评标结果汇总完成后，除下列情形外，任何人不得修改评标结果：</w:t>
      </w:r>
    </w:p>
    <w:p>
      <w:pPr>
        <w:spacing w:line="360" w:lineRule="auto"/>
        <w:ind w:firstLine="484" w:firstLineChars="202"/>
        <w:rPr>
          <w:rFonts w:ascii="宋体" w:hAnsi="宋体"/>
          <w:color w:val="000000"/>
          <w:sz w:val="24"/>
        </w:rPr>
      </w:pPr>
      <w:r>
        <w:rPr>
          <w:rFonts w:hint="eastAsia" w:ascii="宋体" w:hAnsi="宋体"/>
          <w:color w:val="000000"/>
          <w:sz w:val="24"/>
        </w:rPr>
        <w:t>（1）分值汇总计算错误的；</w:t>
      </w:r>
    </w:p>
    <w:p>
      <w:pPr>
        <w:spacing w:line="360" w:lineRule="auto"/>
        <w:ind w:firstLine="484" w:firstLineChars="202"/>
        <w:rPr>
          <w:rFonts w:ascii="宋体" w:hAnsi="宋体"/>
          <w:color w:val="000000"/>
          <w:sz w:val="24"/>
        </w:rPr>
      </w:pPr>
      <w:r>
        <w:rPr>
          <w:rFonts w:hint="eastAsia" w:ascii="宋体" w:hAnsi="宋体"/>
          <w:color w:val="000000"/>
          <w:sz w:val="24"/>
        </w:rPr>
        <w:t>（2）分项评分超出评分标准范围的；</w:t>
      </w:r>
    </w:p>
    <w:p>
      <w:pPr>
        <w:spacing w:line="360" w:lineRule="auto"/>
        <w:ind w:firstLine="484" w:firstLineChars="202"/>
        <w:rPr>
          <w:rFonts w:ascii="宋体" w:hAnsi="宋体"/>
          <w:color w:val="000000"/>
          <w:sz w:val="24"/>
        </w:rPr>
      </w:pPr>
      <w:r>
        <w:rPr>
          <w:rFonts w:hint="eastAsia" w:ascii="宋体" w:hAnsi="宋体"/>
          <w:color w:val="000000"/>
          <w:sz w:val="24"/>
        </w:rPr>
        <w:t>（3）评标委员会成员对客观评审因素评分不一致的；</w:t>
      </w:r>
    </w:p>
    <w:p>
      <w:pPr>
        <w:spacing w:line="360" w:lineRule="auto"/>
        <w:ind w:firstLine="484" w:firstLineChars="202"/>
        <w:rPr>
          <w:rFonts w:ascii="宋体" w:hAnsi="宋体"/>
          <w:color w:val="000000"/>
          <w:sz w:val="24"/>
        </w:rPr>
      </w:pPr>
      <w:r>
        <w:rPr>
          <w:rFonts w:hint="eastAsia" w:ascii="宋体" w:hAnsi="宋体"/>
          <w:color w:val="000000"/>
          <w:sz w:val="24"/>
        </w:rPr>
        <w:t>（4）经评标委员会认定评分畸高、畸低的。</w:t>
      </w:r>
    </w:p>
    <w:p>
      <w:pPr>
        <w:spacing w:line="360" w:lineRule="auto"/>
        <w:ind w:firstLine="487" w:firstLineChars="202"/>
        <w:rPr>
          <w:rFonts w:ascii="宋体" w:hAnsi="宋体"/>
          <w:b/>
          <w:color w:val="000000"/>
          <w:sz w:val="24"/>
        </w:rPr>
      </w:pPr>
      <w:r>
        <w:rPr>
          <w:rFonts w:ascii="宋体" w:hAnsi="宋体"/>
          <w:b/>
          <w:color w:val="000000"/>
          <w:sz w:val="24"/>
        </w:rPr>
        <w:t>10</w:t>
      </w:r>
      <w:r>
        <w:rPr>
          <w:rFonts w:hint="eastAsia" w:ascii="宋体" w:hAnsi="宋体"/>
          <w:b/>
          <w:color w:val="000000"/>
          <w:sz w:val="24"/>
        </w:rPr>
        <w:t>.2评标报告签署前，经复核发现存在以上情形之一的，评标委员会将当场修改评标结果，并在评标报告中记载。</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（十一）</w:t>
      </w:r>
      <w:r>
        <w:rPr>
          <w:rFonts w:hint="eastAsia" w:ascii="宋体" w:hAnsi="宋体" w:eastAsia="宋体"/>
          <w:sz w:val="24"/>
          <w:szCs w:val="24"/>
        </w:rPr>
        <w:t>供应商排序及推荐中标（成交）候选供应商</w:t>
      </w:r>
    </w:p>
    <w:p>
      <w:pPr>
        <w:spacing w:line="360" w:lineRule="auto"/>
        <w:ind w:firstLine="426" w:firstLineChars="177"/>
        <w:rPr>
          <w:rFonts w:ascii="宋体" w:hAnsi="宋体"/>
          <w:b/>
          <w:color w:val="000000"/>
          <w:sz w:val="24"/>
        </w:rPr>
      </w:pPr>
      <w:r>
        <w:rPr>
          <w:rFonts w:hint="eastAsia" w:ascii="宋体" w:hAnsi="宋体"/>
          <w:b/>
          <w:color w:val="000000"/>
          <w:sz w:val="24"/>
        </w:rPr>
        <w:t>评标委员会根据以下规定确定供应商排名并推荐中标（成交）候选供应商。</w:t>
      </w:r>
    </w:p>
    <w:p>
      <w:pPr>
        <w:spacing w:line="360" w:lineRule="auto"/>
        <w:ind w:firstLine="465" w:firstLineChars="193"/>
        <w:rPr>
          <w:rFonts w:ascii="宋体" w:hAnsi="宋体" w:cs="Arial"/>
          <w:color w:val="000000"/>
          <w:kern w:val="0"/>
          <w:sz w:val="24"/>
        </w:rPr>
      </w:pPr>
      <w:r>
        <w:rPr>
          <w:rFonts w:ascii="宋体" w:hAnsi="宋体" w:cs="Arial"/>
          <w:b/>
          <w:color w:val="000000"/>
          <w:sz w:val="24"/>
        </w:rPr>
        <w:t>11</w:t>
      </w:r>
      <w:r>
        <w:rPr>
          <w:rFonts w:hint="eastAsia" w:ascii="宋体" w:hAnsi="宋体" w:cs="Arial"/>
          <w:b/>
          <w:color w:val="000000"/>
          <w:sz w:val="24"/>
        </w:rPr>
        <w:t>.1评标委员会根据</w:t>
      </w:r>
      <w:r>
        <w:rPr>
          <w:rFonts w:ascii="宋体" w:hAnsi="宋体" w:cs="Arial"/>
          <w:b/>
          <w:color w:val="000000"/>
          <w:sz w:val="24"/>
        </w:rPr>
        <w:t>各投标供应商的</w:t>
      </w:r>
      <w:r>
        <w:rPr>
          <w:rFonts w:hint="eastAsia" w:ascii="宋体" w:hAnsi="宋体" w:cs="Arial"/>
          <w:b/>
          <w:color w:val="000000"/>
          <w:sz w:val="24"/>
        </w:rPr>
        <w:t>综合得分（商务技术分与报价得分之和）从高到低依次进行排名排序。特殊情形按以下原则处理：</w:t>
      </w:r>
    </w:p>
    <w:p>
      <w:pPr>
        <w:spacing w:line="360" w:lineRule="auto"/>
        <w:ind w:firstLine="463" w:firstLineChars="193"/>
        <w:rPr>
          <w:rFonts w:ascii="宋体" w:hAnsi="宋体" w:cs="Arial"/>
          <w:color w:val="000000"/>
          <w:sz w:val="24"/>
        </w:rPr>
      </w:pPr>
      <w:r>
        <w:rPr>
          <w:rFonts w:hint="eastAsia" w:ascii="宋体" w:hAnsi="宋体" w:cs="Arial"/>
          <w:color w:val="000000"/>
          <w:sz w:val="24"/>
        </w:rPr>
        <w:t>（1）综合得分</w:t>
      </w:r>
      <w:r>
        <w:rPr>
          <w:rFonts w:ascii="宋体" w:hAnsi="宋体" w:cs="Arial"/>
          <w:color w:val="000000"/>
          <w:sz w:val="24"/>
        </w:rPr>
        <w:t>相同的，按投标报价</w:t>
      </w:r>
      <w:r>
        <w:rPr>
          <w:rFonts w:hint="eastAsia" w:ascii="宋体" w:hAnsi="宋体" w:cs="Arial"/>
          <w:color w:val="000000"/>
          <w:sz w:val="24"/>
        </w:rPr>
        <w:t>低的优先原则确定排名；</w:t>
      </w:r>
    </w:p>
    <w:p>
      <w:pPr>
        <w:spacing w:line="360" w:lineRule="auto"/>
        <w:ind w:firstLine="463" w:firstLineChars="193"/>
        <w:rPr>
          <w:rFonts w:ascii="宋体" w:hAnsi="宋体" w:cs="Arial"/>
          <w:color w:val="000000"/>
          <w:sz w:val="24"/>
        </w:rPr>
      </w:pPr>
      <w:r>
        <w:rPr>
          <w:rFonts w:hint="eastAsia" w:ascii="宋体" w:hAnsi="宋体" w:cs="Arial"/>
          <w:color w:val="000000"/>
          <w:sz w:val="24"/>
        </w:rPr>
        <w:t>（2）综合得分和</w:t>
      </w:r>
      <w:r>
        <w:rPr>
          <w:rFonts w:ascii="宋体" w:hAnsi="宋体" w:cs="Arial"/>
          <w:color w:val="000000"/>
          <w:sz w:val="24"/>
        </w:rPr>
        <w:t>投标报价</w:t>
      </w:r>
      <w:r>
        <w:rPr>
          <w:rFonts w:hint="eastAsia" w:ascii="宋体" w:hAnsi="宋体" w:cs="Arial"/>
          <w:color w:val="000000"/>
          <w:sz w:val="24"/>
        </w:rPr>
        <w:t>均</w:t>
      </w:r>
      <w:r>
        <w:rPr>
          <w:rFonts w:ascii="宋体" w:hAnsi="宋体" w:cs="Arial"/>
          <w:color w:val="000000"/>
          <w:sz w:val="24"/>
        </w:rPr>
        <w:t>相同的，按</w:t>
      </w:r>
      <w:r>
        <w:rPr>
          <w:rFonts w:hint="eastAsia" w:ascii="宋体" w:hAnsi="宋体" w:cs="Arial"/>
          <w:color w:val="000000"/>
          <w:sz w:val="24"/>
        </w:rPr>
        <w:t>商务技术得分从高到低确定排名；</w:t>
      </w:r>
    </w:p>
    <w:p>
      <w:pPr>
        <w:spacing w:line="360" w:lineRule="auto"/>
        <w:ind w:firstLine="463" w:firstLineChars="193"/>
        <w:rPr>
          <w:rFonts w:ascii="宋体" w:hAnsi="宋体" w:cs="Arial"/>
          <w:color w:val="000000"/>
          <w:sz w:val="24"/>
        </w:rPr>
      </w:pPr>
      <w:r>
        <w:rPr>
          <w:rFonts w:hint="eastAsia" w:ascii="宋体" w:hAnsi="宋体" w:cs="Arial"/>
          <w:color w:val="000000"/>
          <w:sz w:val="24"/>
        </w:rPr>
        <w:t>（3）综合得分、</w:t>
      </w:r>
      <w:r>
        <w:rPr>
          <w:rFonts w:ascii="宋体" w:hAnsi="宋体" w:cs="Arial"/>
          <w:color w:val="000000"/>
          <w:sz w:val="24"/>
        </w:rPr>
        <w:t>投标报价</w:t>
      </w:r>
      <w:r>
        <w:rPr>
          <w:rFonts w:hint="eastAsia" w:ascii="宋体" w:hAnsi="宋体" w:cs="Arial"/>
          <w:color w:val="000000"/>
          <w:sz w:val="24"/>
        </w:rPr>
        <w:t>和商务技术得分均</w:t>
      </w:r>
      <w:r>
        <w:rPr>
          <w:rFonts w:ascii="宋体" w:hAnsi="宋体" w:cs="Arial"/>
          <w:color w:val="000000"/>
          <w:sz w:val="24"/>
        </w:rPr>
        <w:t>相同的</w:t>
      </w:r>
      <w:r>
        <w:rPr>
          <w:rFonts w:hint="eastAsia" w:ascii="宋体" w:hAnsi="宋体" w:cs="Arial"/>
          <w:color w:val="000000"/>
          <w:sz w:val="24"/>
        </w:rPr>
        <w:t>由评标委员会全体成员记名投票按少数服从多数的原则确定排名。</w:t>
      </w:r>
    </w:p>
    <w:p>
      <w:pPr>
        <w:spacing w:line="360" w:lineRule="auto"/>
        <w:ind w:firstLine="426" w:firstLineChars="177"/>
        <w:rPr>
          <w:rFonts w:ascii="宋体" w:hAnsi="宋体"/>
          <w:b/>
          <w:color w:val="000000"/>
          <w:sz w:val="24"/>
        </w:rPr>
      </w:pPr>
      <w:r>
        <w:rPr>
          <w:rFonts w:ascii="宋体" w:hAnsi="宋体" w:cs="Arial"/>
          <w:b/>
          <w:color w:val="000000"/>
          <w:sz w:val="24"/>
        </w:rPr>
        <w:t>11</w:t>
      </w:r>
      <w:r>
        <w:rPr>
          <w:rFonts w:hint="eastAsia" w:ascii="宋体" w:hAnsi="宋体" w:cs="Arial"/>
          <w:b/>
          <w:color w:val="000000"/>
          <w:sz w:val="24"/>
        </w:rPr>
        <w:t>.2根据最终得分排序，通过书面评审报告的形式，向采购人推荐</w:t>
      </w:r>
      <w:r>
        <w:rPr>
          <w:rFonts w:ascii="宋体" w:hAnsi="宋体" w:cs="Arial"/>
          <w:b/>
          <w:color w:val="000000"/>
          <w:kern w:val="0"/>
          <w:sz w:val="24"/>
        </w:rPr>
        <w:t>排名第一的投标供应商为中标（成交）</w:t>
      </w:r>
      <w:r>
        <w:rPr>
          <w:rFonts w:hint="eastAsia" w:ascii="宋体" w:hAnsi="宋体" w:cs="Arial"/>
          <w:b/>
          <w:color w:val="000000"/>
          <w:kern w:val="0"/>
          <w:sz w:val="24"/>
        </w:rPr>
        <w:t>候选供应商</w:t>
      </w:r>
      <w:r>
        <w:rPr>
          <w:rFonts w:ascii="宋体" w:hAnsi="宋体" w:cs="Arial"/>
          <w:b/>
          <w:color w:val="000000"/>
          <w:sz w:val="24"/>
        </w:rPr>
        <w:t>。</w:t>
      </w:r>
    </w:p>
    <w:p>
      <w:pPr>
        <w:pStyle w:val="7"/>
        <w:numPr>
          <w:ilvl w:val="2"/>
          <w:numId w:val="0"/>
        </w:numPr>
        <w:spacing w:before="0" w:after="0"/>
        <w:ind w:left="720" w:hanging="720"/>
        <w:jc w:val="both"/>
        <w:rPr>
          <w:rFonts w:ascii="宋体" w:hAnsi="宋体" w:eastAsia="宋体" w:cs="Arial"/>
          <w:sz w:val="24"/>
          <w:szCs w:val="24"/>
        </w:rPr>
      </w:pPr>
      <w:r>
        <w:rPr>
          <w:rFonts w:hint="eastAsia" w:ascii="宋体" w:hAnsi="宋体" w:eastAsia="宋体" w:cs="宋体"/>
          <w:sz w:val="24"/>
          <w:szCs w:val="24"/>
        </w:rPr>
        <w:t>（十二）</w:t>
      </w:r>
      <w:r>
        <w:rPr>
          <w:rFonts w:hint="eastAsia" w:ascii="宋体" w:hAnsi="宋体" w:eastAsia="宋体"/>
          <w:sz w:val="24"/>
          <w:szCs w:val="24"/>
        </w:rPr>
        <w:t>起草、签署评审报告</w:t>
      </w:r>
    </w:p>
    <w:p>
      <w:pPr>
        <w:spacing w:line="360" w:lineRule="auto"/>
        <w:ind w:firstLine="463" w:firstLineChars="193"/>
        <w:rPr>
          <w:rFonts w:ascii="宋体" w:hAnsi="宋体"/>
          <w:color w:val="000000"/>
          <w:sz w:val="24"/>
        </w:rPr>
      </w:pPr>
      <w:r>
        <w:rPr>
          <w:rFonts w:hint="eastAsia" w:ascii="宋体" w:hAnsi="宋体" w:cs="Arial"/>
          <w:color w:val="000000"/>
          <w:sz w:val="24"/>
        </w:rPr>
        <w:t>评审结束后，评标委员会将通过“政府采购云平台”</w:t>
      </w:r>
      <w:r>
        <w:rPr>
          <w:rFonts w:ascii="宋体" w:hAnsi="宋体" w:cs="Arial"/>
          <w:color w:val="000000"/>
          <w:sz w:val="24"/>
        </w:rPr>
        <w:t>起草评审报告，</w:t>
      </w:r>
      <w:r>
        <w:rPr>
          <w:rFonts w:hint="eastAsia" w:ascii="宋体" w:hAnsi="宋体"/>
          <w:color w:val="000000"/>
          <w:sz w:val="24"/>
        </w:rPr>
        <w:t>评标委员会成员应当在评审报告上签字，对自己的评审意见承担法律责任。对评审报告有异议的，应当在评审报告上签署不同意见，并说明理由，否则视为同意评审报告。</w:t>
      </w:r>
    </w:p>
    <w:p>
      <w:pPr>
        <w:pStyle w:val="41"/>
        <w:snapToGrid w:val="0"/>
        <w:spacing w:line="360" w:lineRule="auto"/>
        <w:rPr>
          <w:rFonts w:ascii="宋体" w:hAnsi="宋体" w:eastAsia="宋体"/>
          <w:b/>
          <w:color w:val="000000"/>
          <w:sz w:val="24"/>
          <w:szCs w:val="24"/>
        </w:rPr>
      </w:pPr>
      <w:bookmarkStart w:id="100" w:name="_Toc91899903"/>
      <w:r>
        <w:rPr>
          <w:rFonts w:hint="eastAsia" w:ascii="宋体" w:hAnsi="宋体" w:eastAsia="宋体"/>
          <w:b/>
          <w:color w:val="000000"/>
          <w:sz w:val="24"/>
          <w:szCs w:val="24"/>
        </w:rPr>
        <w:t>（十三）评标办法</w:t>
      </w:r>
    </w:p>
    <w:p>
      <w:pPr>
        <w:snapToGrid w:val="0"/>
        <w:spacing w:line="360" w:lineRule="auto"/>
        <w:ind w:firstLine="482" w:firstLineChars="200"/>
        <w:rPr>
          <w:rFonts w:ascii="宋体" w:hAnsi="宋体" w:cs="宋体"/>
          <w:color w:val="000000"/>
          <w:sz w:val="24"/>
        </w:rPr>
      </w:pPr>
      <w:r>
        <w:rPr>
          <w:rFonts w:ascii="宋体" w:hAnsi="宋体" w:cs="宋体"/>
          <w:b/>
          <w:bCs/>
          <w:color w:val="000000"/>
          <w:sz w:val="24"/>
        </w:rPr>
        <w:t>1</w:t>
      </w:r>
      <w:r>
        <w:rPr>
          <w:rFonts w:hint="eastAsia" w:ascii="宋体" w:hAnsi="宋体" w:cs="宋体"/>
          <w:b/>
          <w:bCs/>
          <w:color w:val="000000"/>
          <w:sz w:val="24"/>
        </w:rPr>
        <w:t>、</w:t>
      </w:r>
      <w:r>
        <w:rPr>
          <w:rFonts w:hint="eastAsia" w:ascii="宋体" w:hAnsi="宋体" w:cs="宋体"/>
          <w:b/>
          <w:color w:val="000000"/>
          <w:sz w:val="24"/>
        </w:rPr>
        <w:t>本项目采用综合评分法</w:t>
      </w:r>
      <w:r>
        <w:rPr>
          <w:rFonts w:hint="eastAsia" w:ascii="宋体" w:hAnsi="宋体" w:cs="宋体"/>
          <w:color w:val="000000"/>
          <w:sz w:val="24"/>
        </w:rPr>
        <w:t>，总分为100分，其中商务技术70分，价格分30分。</w:t>
      </w:r>
    </w:p>
    <w:p>
      <w:pPr>
        <w:snapToGrid w:val="0"/>
        <w:spacing w:line="360" w:lineRule="auto"/>
        <w:ind w:firstLine="482" w:firstLineChars="200"/>
        <w:rPr>
          <w:rFonts w:ascii="宋体" w:hAnsi="宋体" w:cs="宋体"/>
          <w:b/>
          <w:color w:val="000000"/>
          <w:sz w:val="24"/>
        </w:rPr>
      </w:pPr>
      <w:r>
        <w:rPr>
          <w:rFonts w:ascii="宋体" w:hAnsi="宋体" w:cs="宋体"/>
          <w:b/>
          <w:color w:val="000000"/>
          <w:sz w:val="24"/>
        </w:rPr>
        <w:t>2</w:t>
      </w:r>
      <w:r>
        <w:rPr>
          <w:rFonts w:hint="eastAsia" w:ascii="宋体" w:hAnsi="宋体" w:cs="宋体"/>
          <w:b/>
          <w:color w:val="000000"/>
          <w:sz w:val="24"/>
        </w:rPr>
        <w:t>、商务技术评标细则（70分）</w:t>
      </w:r>
    </w:p>
    <w:tbl>
      <w:tblPr>
        <w:tblStyle w:val="78"/>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422"/>
        <w:gridCol w:w="611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3" w:type="dxa"/>
          </w:tcPr>
          <w:p>
            <w:pPr>
              <w:spacing w:line="360" w:lineRule="auto"/>
              <w:jc w:val="center"/>
              <w:rPr>
                <w:rFonts w:ascii="宋体" w:hAnsi="宋体"/>
                <w:b/>
                <w:sz w:val="24"/>
              </w:rPr>
            </w:pPr>
            <w:r>
              <w:rPr>
                <w:rFonts w:hint="eastAsia" w:ascii="宋体" w:hAnsi="宋体"/>
                <w:b/>
                <w:sz w:val="24"/>
              </w:rPr>
              <w:t>分类</w:t>
            </w:r>
          </w:p>
        </w:tc>
        <w:tc>
          <w:tcPr>
            <w:tcW w:w="1422" w:type="dxa"/>
          </w:tcPr>
          <w:p>
            <w:pPr>
              <w:spacing w:line="360" w:lineRule="auto"/>
              <w:jc w:val="center"/>
              <w:rPr>
                <w:rFonts w:ascii="宋体" w:hAnsi="宋体"/>
                <w:b/>
                <w:sz w:val="24"/>
              </w:rPr>
            </w:pPr>
            <w:r>
              <w:rPr>
                <w:rFonts w:hint="eastAsia" w:ascii="宋体" w:hAnsi="宋体"/>
                <w:b/>
                <w:sz w:val="24"/>
              </w:rPr>
              <w:t>名目</w:t>
            </w:r>
          </w:p>
        </w:tc>
        <w:tc>
          <w:tcPr>
            <w:tcW w:w="6116" w:type="dxa"/>
            <w:vAlign w:val="center"/>
          </w:tcPr>
          <w:p>
            <w:pPr>
              <w:spacing w:line="360" w:lineRule="auto"/>
              <w:jc w:val="center"/>
              <w:rPr>
                <w:rFonts w:ascii="宋体" w:hAnsi="宋体"/>
                <w:b/>
                <w:sz w:val="24"/>
              </w:rPr>
            </w:pPr>
            <w:r>
              <w:rPr>
                <w:rFonts w:hint="eastAsia" w:ascii="宋体" w:hAnsi="宋体"/>
                <w:b/>
                <w:sz w:val="24"/>
              </w:rPr>
              <w:t>评审要点</w:t>
            </w:r>
          </w:p>
        </w:tc>
        <w:tc>
          <w:tcPr>
            <w:tcW w:w="1032" w:type="dxa"/>
            <w:vAlign w:val="center"/>
          </w:tcPr>
          <w:p>
            <w:pPr>
              <w:spacing w:line="360" w:lineRule="auto"/>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vAlign w:val="center"/>
          </w:tcPr>
          <w:p>
            <w:pPr>
              <w:spacing w:line="360" w:lineRule="auto"/>
              <w:jc w:val="center"/>
              <w:rPr>
                <w:b/>
                <w:bCs/>
                <w:sz w:val="24"/>
              </w:rPr>
            </w:pPr>
            <w:r>
              <w:rPr>
                <w:rFonts w:hint="eastAsia"/>
                <w:b/>
                <w:bCs/>
                <w:sz w:val="24"/>
              </w:rPr>
              <w:t>技</w:t>
            </w:r>
          </w:p>
          <w:p>
            <w:pPr>
              <w:spacing w:line="360" w:lineRule="auto"/>
              <w:jc w:val="center"/>
              <w:rPr>
                <w:b/>
                <w:bCs/>
                <w:sz w:val="24"/>
              </w:rPr>
            </w:pPr>
            <w:r>
              <w:rPr>
                <w:rFonts w:hint="eastAsia"/>
                <w:b/>
                <w:bCs/>
                <w:sz w:val="24"/>
              </w:rPr>
              <w:t>术</w:t>
            </w:r>
          </w:p>
          <w:p>
            <w:pPr>
              <w:spacing w:line="360" w:lineRule="auto"/>
              <w:jc w:val="center"/>
              <w:rPr>
                <w:b/>
                <w:bCs/>
                <w:sz w:val="24"/>
              </w:rPr>
            </w:pPr>
            <w:r>
              <w:rPr>
                <w:rFonts w:hint="eastAsia"/>
                <w:b/>
                <w:bCs/>
                <w:sz w:val="24"/>
              </w:rPr>
              <w:t>分</w:t>
            </w:r>
          </w:p>
          <w:p>
            <w:pPr>
              <w:spacing w:line="360" w:lineRule="auto"/>
              <w:jc w:val="center"/>
              <w:rPr>
                <w:rFonts w:ascii="宋体" w:hAnsi="宋体"/>
                <w:b/>
                <w:bCs/>
                <w:sz w:val="24"/>
              </w:rPr>
            </w:pPr>
            <w:r>
              <w:rPr>
                <w:rFonts w:hint="eastAsia" w:ascii="宋体" w:hAnsi="宋体"/>
                <w:b/>
                <w:bCs/>
                <w:sz w:val="24"/>
              </w:rPr>
              <w:t>60</w:t>
            </w:r>
          </w:p>
          <w:p>
            <w:pPr>
              <w:spacing w:line="360" w:lineRule="auto"/>
              <w:jc w:val="center"/>
              <w:rPr>
                <w:rFonts w:ascii="宋体" w:hAnsi="宋体"/>
                <w:b/>
                <w:bCs/>
                <w:sz w:val="24"/>
              </w:rPr>
            </w:pPr>
            <w:r>
              <w:rPr>
                <w:rFonts w:hint="eastAsia" w:ascii="宋体" w:hAnsi="宋体"/>
                <w:b/>
                <w:bCs/>
                <w:sz w:val="24"/>
              </w:rPr>
              <w:t>分</w:t>
            </w:r>
          </w:p>
        </w:tc>
        <w:tc>
          <w:tcPr>
            <w:tcW w:w="1422" w:type="dxa"/>
            <w:tcBorders>
              <w:right w:val="single" w:color="auto" w:sz="4" w:space="0"/>
            </w:tcBorders>
            <w:vAlign w:val="center"/>
          </w:tcPr>
          <w:p>
            <w:pPr>
              <w:spacing w:line="360" w:lineRule="auto"/>
              <w:jc w:val="left"/>
              <w:rPr>
                <w:rFonts w:ascii="宋体" w:hAnsi="宋体" w:cs="宋体"/>
                <w:b/>
                <w:bCs/>
                <w:sz w:val="24"/>
              </w:rPr>
            </w:pPr>
            <w:r>
              <w:rPr>
                <w:rFonts w:hint="eastAsia" w:ascii="宋体" w:hAnsi="宋体" w:cs="宋体"/>
                <w:b/>
                <w:bCs/>
                <w:sz w:val="24"/>
              </w:rPr>
              <w:t>1、满足招标货物的性能及技术指标要求</w:t>
            </w:r>
          </w:p>
        </w:tc>
        <w:tc>
          <w:tcPr>
            <w:tcW w:w="6116" w:type="dxa"/>
            <w:tcBorders>
              <w:left w:val="single" w:color="auto" w:sz="4" w:space="0"/>
            </w:tcBorders>
            <w:vAlign w:val="center"/>
          </w:tcPr>
          <w:p>
            <w:pPr>
              <w:spacing w:line="360" w:lineRule="auto"/>
              <w:ind w:firstLine="480" w:firstLineChars="200"/>
              <w:rPr>
                <w:rFonts w:ascii="宋体" w:hAnsi="宋体" w:cs="宋体"/>
                <w:color w:val="000000"/>
                <w:sz w:val="24"/>
                <w:szCs w:val="20"/>
              </w:rPr>
            </w:pPr>
            <w:r>
              <w:rPr>
                <w:rFonts w:hint="eastAsia" w:ascii="宋体" w:hAnsi="宋体" w:cs="宋体"/>
                <w:color w:val="000000"/>
                <w:sz w:val="24"/>
                <w:szCs w:val="20"/>
              </w:rPr>
              <w:t>所投产品具体配置表、技术参数及偏离情况：产品参数配置、总体性能等所有指标均满足的，得基本分23分；带“★”号</w:t>
            </w:r>
            <w:r>
              <w:rPr>
                <w:rFonts w:hint="eastAsia" w:ascii="宋体" w:hAnsi="宋体" w:cs="宋体"/>
                <w:sz w:val="24"/>
              </w:rPr>
              <w:t>为</w:t>
            </w:r>
            <w:r>
              <w:rPr>
                <w:rFonts w:hint="eastAsia" w:ascii="宋体" w:hAnsi="宋体" w:cs="宋体"/>
                <w:color w:val="000000"/>
                <w:sz w:val="24"/>
                <w:szCs w:val="20"/>
              </w:rPr>
              <w:t>重要</w:t>
            </w:r>
            <w:r>
              <w:rPr>
                <w:rFonts w:hint="eastAsia" w:ascii="宋体" w:hAnsi="宋体" w:cs="宋体"/>
                <w:sz w:val="24"/>
              </w:rPr>
              <w:t>指标，如有一项不满足的</w:t>
            </w:r>
            <w:r>
              <w:rPr>
                <w:rFonts w:hint="eastAsia" w:ascii="宋体" w:hAnsi="宋体" w:cs="宋体"/>
                <w:color w:val="000000"/>
                <w:sz w:val="24"/>
                <w:szCs w:val="20"/>
              </w:rPr>
              <w:t>，扣3分，扣</w:t>
            </w:r>
            <w:r>
              <w:rPr>
                <w:rFonts w:hint="eastAsia" w:ascii="宋体" w:hAnsi="宋体" w:cs="宋体"/>
                <w:sz w:val="24"/>
              </w:rPr>
              <w:t>完为止</w:t>
            </w:r>
            <w:r>
              <w:rPr>
                <w:rFonts w:hint="eastAsia" w:ascii="宋体" w:hAnsi="宋体" w:cs="宋体"/>
                <w:color w:val="000000"/>
                <w:sz w:val="24"/>
                <w:szCs w:val="20"/>
              </w:rPr>
              <w:t>；其它指标负偏离或未响应的，每项扣1分，扣完为止。</w:t>
            </w:r>
          </w:p>
          <w:p>
            <w:pPr>
              <w:spacing w:line="360" w:lineRule="auto"/>
              <w:ind w:firstLine="482" w:firstLineChars="200"/>
              <w:rPr>
                <w:rFonts w:ascii="宋体" w:hAnsi="宋体" w:cs="宋体"/>
                <w:sz w:val="24"/>
              </w:rPr>
            </w:pPr>
            <w:r>
              <w:rPr>
                <w:rFonts w:hint="eastAsia" w:ascii="宋体" w:hAnsi="宋体" w:cs="宋体"/>
                <w:b/>
                <w:bCs/>
                <w:color w:val="000000"/>
                <w:sz w:val="24"/>
                <w:szCs w:val="20"/>
              </w:rPr>
              <w:t>注：</w:t>
            </w:r>
            <w:r>
              <w:rPr>
                <w:rFonts w:hint="eastAsia" w:ascii="宋体" w:hAnsi="宋体" w:cs="宋体"/>
                <w:b/>
                <w:bCs/>
                <w:sz w:val="24"/>
              </w:rPr>
              <w:t>根据技术参数要求</w:t>
            </w:r>
            <w:r>
              <w:rPr>
                <w:rFonts w:hint="eastAsia" w:ascii="宋体" w:hAnsi="宋体" w:cs="宋体"/>
                <w:b/>
                <w:bCs/>
                <w:color w:val="000000"/>
                <w:sz w:val="24"/>
                <w:szCs w:val="20"/>
              </w:rPr>
              <w:t>提供证明/证书/功能截图等资料证明或根据技术参数要求进行响应的响应，否则视为不满足或不响应或负偏离该项指标或要求。</w:t>
            </w:r>
          </w:p>
        </w:tc>
        <w:tc>
          <w:tcPr>
            <w:tcW w:w="1032"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vAlign w:val="center"/>
          </w:tcPr>
          <w:p>
            <w:pPr>
              <w:spacing w:line="360" w:lineRule="auto"/>
              <w:jc w:val="center"/>
              <w:rPr>
                <w:rFonts w:ascii="宋体" w:hAnsi="宋体"/>
                <w:sz w:val="24"/>
              </w:rPr>
            </w:pPr>
          </w:p>
        </w:tc>
        <w:tc>
          <w:tcPr>
            <w:tcW w:w="1422" w:type="dxa"/>
            <w:tcBorders>
              <w:right w:val="single" w:color="auto" w:sz="4" w:space="0"/>
            </w:tcBorders>
            <w:vAlign w:val="center"/>
          </w:tcPr>
          <w:p>
            <w:pPr>
              <w:spacing w:line="360" w:lineRule="auto"/>
              <w:jc w:val="left"/>
              <w:rPr>
                <w:rFonts w:ascii="宋体" w:hAnsi="宋体" w:cs="宋体"/>
                <w:b/>
                <w:bCs/>
                <w:sz w:val="24"/>
              </w:rPr>
            </w:pPr>
            <w:r>
              <w:rPr>
                <w:rFonts w:hint="eastAsia" w:ascii="宋体" w:hAnsi="宋体" w:cs="宋体"/>
                <w:b/>
                <w:bCs/>
                <w:sz w:val="24"/>
              </w:rPr>
              <w:t>2、体验馆VR演示</w:t>
            </w:r>
            <w:r>
              <w:rPr>
                <w:rFonts w:hint="eastAsia" w:ascii="宋体" w:hAnsi="宋体" w:cs="宋体"/>
                <w:sz w:val="24"/>
              </w:rPr>
              <w:t>（软件实体运行演示，不接受P</w:t>
            </w:r>
            <w:r>
              <w:rPr>
                <w:rFonts w:ascii="宋体" w:hAnsi="宋体" w:cs="宋体"/>
                <w:sz w:val="24"/>
              </w:rPr>
              <w:t>PT</w:t>
            </w:r>
            <w:r>
              <w:rPr>
                <w:rFonts w:hint="eastAsia" w:ascii="宋体" w:hAnsi="宋体" w:cs="宋体"/>
                <w:sz w:val="24"/>
              </w:rPr>
              <w:t>、视频演示）</w:t>
            </w:r>
          </w:p>
        </w:tc>
        <w:tc>
          <w:tcPr>
            <w:tcW w:w="6116" w:type="dxa"/>
            <w:tcBorders>
              <w:left w:val="single" w:color="auto" w:sz="4" w:space="0"/>
            </w:tcBorders>
            <w:vAlign w:val="center"/>
          </w:tcPr>
          <w:p>
            <w:pPr>
              <w:widowControl/>
              <w:numPr>
                <w:ilvl w:val="0"/>
                <w:numId w:val="13"/>
              </w:numPr>
              <w:jc w:val="left"/>
              <w:textAlignment w:val="center"/>
              <w:rPr>
                <w:rFonts w:ascii="宋体" w:hAnsi="宋体" w:cs="宋体"/>
                <w:b/>
                <w:bCs/>
                <w:sz w:val="24"/>
              </w:rPr>
            </w:pPr>
            <w:r>
              <w:rPr>
                <w:rFonts w:hint="eastAsia" w:ascii="宋体" w:hAnsi="宋体" w:cs="宋体"/>
                <w:b/>
                <w:bCs/>
                <w:sz w:val="24"/>
              </w:rPr>
              <w:t>评委根据投标供应商VR设备演示进行评分（0-12分 )，演示内容须与招标文件参数（VR电瓶车控制程序部分：一、开场交规场景；二、未戴安全帽危害体验；三、走机动车道危害体验控制程序参数）逐一对应，每个演示项参数不对应一条扣2分，扣完为止；</w:t>
            </w:r>
          </w:p>
          <w:p>
            <w:pPr>
              <w:spacing w:line="360" w:lineRule="auto"/>
              <w:ind w:firstLine="480" w:firstLineChars="200"/>
              <w:rPr>
                <w:rFonts w:ascii="宋体" w:hAnsi="宋体" w:cs="宋体"/>
                <w:sz w:val="24"/>
              </w:rPr>
            </w:pPr>
            <w:r>
              <w:rPr>
                <w:rFonts w:hint="eastAsia" w:ascii="宋体" w:hAnsi="宋体" w:cs="宋体"/>
                <w:bCs/>
                <w:sz w:val="24"/>
                <w:szCs w:val="21"/>
                <w:u w:color="000000"/>
              </w:rPr>
              <w:t>注：投标人演示所需电脑、VR设备、网络等设备均由投标人自行准备，演示时间控制在15分钟以内。演示顺序以投标响应文件解密顺序为准。</w:t>
            </w:r>
          </w:p>
        </w:tc>
        <w:tc>
          <w:tcPr>
            <w:tcW w:w="1032"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73" w:type="dxa"/>
            <w:vMerge w:val="continue"/>
          </w:tcPr>
          <w:p>
            <w:pPr>
              <w:spacing w:line="360" w:lineRule="auto"/>
            </w:pPr>
          </w:p>
        </w:tc>
        <w:tc>
          <w:tcPr>
            <w:tcW w:w="1422" w:type="dxa"/>
            <w:vMerge w:val="restart"/>
            <w:tcBorders>
              <w:right w:val="single" w:color="auto" w:sz="4" w:space="0"/>
            </w:tcBorders>
            <w:vAlign w:val="center"/>
          </w:tcPr>
          <w:p>
            <w:pPr>
              <w:spacing w:line="360" w:lineRule="auto"/>
              <w:jc w:val="left"/>
              <w:rPr>
                <w:rFonts w:ascii="宋体" w:hAnsi="宋体" w:cs="宋体"/>
                <w:b/>
                <w:bCs/>
                <w:sz w:val="24"/>
              </w:rPr>
            </w:pPr>
            <w:r>
              <w:rPr>
                <w:rFonts w:hint="eastAsia" w:ascii="宋体" w:hAnsi="宋体" w:cs="宋体"/>
                <w:b/>
                <w:bCs/>
                <w:sz w:val="24"/>
              </w:rPr>
              <w:t>3、投标设备建设效果图及设计方案</w:t>
            </w:r>
          </w:p>
        </w:tc>
        <w:tc>
          <w:tcPr>
            <w:tcW w:w="6116" w:type="dxa"/>
            <w:tcBorders>
              <w:left w:val="single" w:color="auto" w:sz="4" w:space="0"/>
            </w:tcBorders>
            <w:vAlign w:val="center"/>
          </w:tcPr>
          <w:p>
            <w:pPr>
              <w:spacing w:line="360" w:lineRule="auto"/>
              <w:ind w:firstLine="480" w:firstLineChars="200"/>
              <w:rPr>
                <w:rFonts w:ascii="宋体" w:hAnsi="宋体" w:cs="宋体"/>
                <w:sz w:val="24"/>
              </w:rPr>
            </w:pPr>
            <w:r>
              <w:rPr>
                <w:rFonts w:hint="eastAsia" w:ascii="宋体" w:hAnsi="宋体" w:cs="宋体"/>
                <w:sz w:val="24"/>
              </w:rPr>
              <w:t xml:space="preserve">3.1根据现场场地情况，提供设备布局及效果图：根据现有场地布局充分利用、设备布局以流线方便及设备外观形状与场地相协调统一为原则的布局情况，进行打分（0-5分）；  </w:t>
            </w:r>
          </w:p>
        </w:tc>
        <w:tc>
          <w:tcPr>
            <w:tcW w:w="1032" w:type="dxa"/>
            <w:vAlign w:val="center"/>
          </w:tcPr>
          <w:p>
            <w:pPr>
              <w:spacing w:line="360" w:lineRule="auto"/>
              <w:jc w:val="center"/>
              <w:rPr>
                <w:rFonts w:ascii="宋体" w:hAnsi="宋体" w:cs="宋体"/>
                <w:sz w:val="24"/>
              </w:rPr>
            </w:pPr>
            <w:r>
              <w:rPr>
                <w:rFonts w:hint="eastAsia" w:ascii="宋体" w:hAnsi="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073" w:type="dxa"/>
            <w:vMerge w:val="continue"/>
          </w:tcPr>
          <w:p>
            <w:pPr>
              <w:spacing w:line="360" w:lineRule="auto"/>
            </w:pPr>
          </w:p>
        </w:tc>
        <w:tc>
          <w:tcPr>
            <w:tcW w:w="1422" w:type="dxa"/>
            <w:vMerge w:val="continue"/>
            <w:tcBorders>
              <w:right w:val="single" w:color="auto" w:sz="4" w:space="0"/>
            </w:tcBorders>
            <w:vAlign w:val="center"/>
          </w:tcPr>
          <w:p>
            <w:pPr>
              <w:spacing w:line="360" w:lineRule="auto"/>
              <w:jc w:val="left"/>
              <w:rPr>
                <w:rFonts w:ascii="宋体" w:hAnsi="宋体" w:cs="宋体"/>
                <w:b/>
                <w:bCs/>
                <w:sz w:val="24"/>
              </w:rPr>
            </w:pPr>
          </w:p>
        </w:tc>
        <w:tc>
          <w:tcPr>
            <w:tcW w:w="6116" w:type="dxa"/>
            <w:tcBorders>
              <w:left w:val="single" w:color="auto" w:sz="4" w:space="0"/>
            </w:tcBorders>
            <w:vAlign w:val="center"/>
          </w:tcPr>
          <w:p>
            <w:pPr>
              <w:spacing w:line="360" w:lineRule="auto"/>
              <w:ind w:firstLine="480" w:firstLineChars="200"/>
              <w:rPr>
                <w:rFonts w:ascii="宋体" w:hAnsi="宋体" w:cs="宋体"/>
                <w:sz w:val="24"/>
              </w:rPr>
            </w:pPr>
            <w:r>
              <w:rPr>
                <w:rFonts w:hint="eastAsia" w:ascii="宋体" w:hAnsi="宋体" w:cs="宋体"/>
                <w:sz w:val="24"/>
              </w:rPr>
              <w:t>3.2对项目理解通透和总体设计方案把握度合理、完善等方面进行打分（0-5分）；设备布局图及效果图可单独密封提供。</w:t>
            </w:r>
          </w:p>
        </w:tc>
        <w:tc>
          <w:tcPr>
            <w:tcW w:w="1032" w:type="dxa"/>
            <w:vAlign w:val="center"/>
          </w:tcPr>
          <w:p>
            <w:pPr>
              <w:spacing w:line="360" w:lineRule="auto"/>
              <w:jc w:val="center"/>
              <w:rPr>
                <w:rFonts w:ascii="宋体" w:hAnsi="宋体" w:cs="宋体"/>
                <w:sz w:val="24"/>
              </w:rPr>
            </w:pPr>
            <w:r>
              <w:rPr>
                <w:rFonts w:hint="eastAsia" w:ascii="宋体" w:hAnsi="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73" w:type="dxa"/>
            <w:vMerge w:val="continue"/>
          </w:tcPr>
          <w:p>
            <w:pPr>
              <w:spacing w:line="360" w:lineRule="auto"/>
            </w:pPr>
          </w:p>
        </w:tc>
        <w:tc>
          <w:tcPr>
            <w:tcW w:w="1422" w:type="dxa"/>
            <w:tcBorders>
              <w:right w:val="single" w:color="auto" w:sz="4" w:space="0"/>
            </w:tcBorders>
            <w:vAlign w:val="center"/>
          </w:tcPr>
          <w:p>
            <w:pPr>
              <w:widowControl/>
              <w:spacing w:line="360" w:lineRule="auto"/>
              <w:rPr>
                <w:rFonts w:ascii="宋体" w:hAnsi="宋体" w:cs="宋体"/>
                <w:b/>
                <w:bCs/>
                <w:kern w:val="0"/>
                <w:sz w:val="24"/>
              </w:rPr>
            </w:pPr>
            <w:r>
              <w:rPr>
                <w:rFonts w:hint="eastAsia" w:ascii="宋体" w:hAnsi="宋体" w:cs="宋体"/>
                <w:b/>
                <w:bCs/>
                <w:kern w:val="0"/>
                <w:sz w:val="24"/>
              </w:rPr>
              <w:t>4、建设方案</w:t>
            </w:r>
          </w:p>
        </w:tc>
        <w:tc>
          <w:tcPr>
            <w:tcW w:w="6116" w:type="dxa"/>
            <w:tcBorders>
              <w:lef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投标人根据采购需求制定建设方案，根据建设方案与采购需求贴合度进行打分（0-3分）。</w:t>
            </w:r>
          </w:p>
        </w:tc>
        <w:tc>
          <w:tcPr>
            <w:tcW w:w="1032" w:type="dxa"/>
            <w:vAlign w:val="center"/>
          </w:tcPr>
          <w:p>
            <w:pPr>
              <w:widowControl/>
              <w:spacing w:line="360" w:lineRule="auto"/>
              <w:ind w:firstLine="240" w:firstLineChars="100"/>
              <w:rPr>
                <w:rFonts w:ascii="宋体" w:hAnsi="宋体" w:cs="宋体"/>
                <w:kern w:val="0"/>
                <w:sz w:val="24"/>
              </w:rPr>
            </w:pPr>
            <w:r>
              <w:rPr>
                <w:rFonts w:hint="eastAsia" w:ascii="宋体" w:hAnsi="宋体" w:cs="宋体"/>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73" w:type="dxa"/>
            <w:vMerge w:val="continue"/>
          </w:tcPr>
          <w:p>
            <w:pPr>
              <w:spacing w:line="360" w:lineRule="auto"/>
            </w:pPr>
          </w:p>
        </w:tc>
        <w:tc>
          <w:tcPr>
            <w:tcW w:w="1422" w:type="dxa"/>
            <w:tcBorders>
              <w:right w:val="single" w:color="auto" w:sz="4" w:space="0"/>
            </w:tcBorders>
            <w:vAlign w:val="center"/>
          </w:tcPr>
          <w:p>
            <w:pPr>
              <w:widowControl/>
              <w:spacing w:line="360" w:lineRule="auto"/>
              <w:rPr>
                <w:rFonts w:ascii="宋体" w:hAnsi="宋体" w:cs="宋体"/>
                <w:b/>
                <w:bCs/>
                <w:kern w:val="0"/>
                <w:sz w:val="24"/>
              </w:rPr>
            </w:pPr>
            <w:r>
              <w:rPr>
                <w:rFonts w:hint="eastAsia" w:ascii="宋体" w:hAnsi="宋体" w:cs="宋体"/>
                <w:b/>
                <w:bCs/>
                <w:kern w:val="0"/>
                <w:sz w:val="24"/>
              </w:rPr>
              <w:t>5、施工组织措施</w:t>
            </w:r>
          </w:p>
        </w:tc>
        <w:tc>
          <w:tcPr>
            <w:tcW w:w="6116" w:type="dxa"/>
            <w:tcBorders>
              <w:left w:val="single" w:color="auto" w:sz="4" w:space="0"/>
            </w:tcBorders>
            <w:vAlign w:val="center"/>
          </w:tcPr>
          <w:p>
            <w:pPr>
              <w:widowControl/>
              <w:spacing w:line="360" w:lineRule="auto"/>
              <w:rPr>
                <w:rFonts w:ascii="宋体" w:hAnsi="宋体" w:cs="宋体"/>
                <w:sz w:val="24"/>
              </w:rPr>
            </w:pPr>
            <w:r>
              <w:rPr>
                <w:rFonts w:hint="eastAsia" w:ascii="宋体" w:hAnsi="宋体" w:cs="宋体"/>
                <w:sz w:val="24"/>
              </w:rPr>
              <w:t>投标人需针对本项目提供完善的项目建设计划及实施方案进行打分（0-3分），包括但不限于严密的质量保证与控制措施、先进的质量检测设施、进度安排的合理性、项目安全保证与控制措施。</w:t>
            </w:r>
          </w:p>
        </w:tc>
        <w:tc>
          <w:tcPr>
            <w:tcW w:w="1032" w:type="dxa"/>
            <w:vAlign w:val="center"/>
          </w:tcPr>
          <w:p>
            <w:pPr>
              <w:spacing w:line="360" w:lineRule="auto"/>
              <w:jc w:val="center"/>
              <w:rPr>
                <w:rFonts w:ascii="宋体" w:hAnsi="宋体" w:cs="宋体"/>
                <w:color w:val="000000"/>
                <w:sz w:val="24"/>
              </w:rPr>
            </w:pPr>
            <w:r>
              <w:rPr>
                <w:rFonts w:hint="eastAsia" w:ascii="宋体" w:hAnsi="宋体" w:cs="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73" w:type="dxa"/>
            <w:vMerge w:val="continue"/>
          </w:tcPr>
          <w:p>
            <w:pPr>
              <w:spacing w:line="360" w:lineRule="auto"/>
            </w:pPr>
          </w:p>
        </w:tc>
        <w:tc>
          <w:tcPr>
            <w:tcW w:w="1422" w:type="dxa"/>
            <w:tcBorders>
              <w:right w:val="single" w:color="auto" w:sz="4" w:space="0"/>
            </w:tcBorders>
            <w:vAlign w:val="center"/>
          </w:tcPr>
          <w:p>
            <w:pPr>
              <w:spacing w:line="360" w:lineRule="auto"/>
              <w:jc w:val="left"/>
              <w:rPr>
                <w:rFonts w:ascii="宋体" w:hAnsi="宋体" w:cs="宋体"/>
                <w:b/>
                <w:bCs/>
                <w:kern w:val="0"/>
                <w:sz w:val="24"/>
              </w:rPr>
            </w:pPr>
            <w:r>
              <w:rPr>
                <w:rFonts w:hint="eastAsia" w:ascii="宋体" w:hAnsi="宋体" w:cs="宋体"/>
                <w:b/>
                <w:bCs/>
                <w:color w:val="000000"/>
                <w:sz w:val="24"/>
              </w:rPr>
              <w:t>6、应急方案</w:t>
            </w:r>
          </w:p>
        </w:tc>
        <w:tc>
          <w:tcPr>
            <w:tcW w:w="6116" w:type="dxa"/>
            <w:tcBorders>
              <w:left w:val="single" w:color="auto" w:sz="4" w:space="0"/>
            </w:tcBorders>
            <w:vAlign w:val="center"/>
          </w:tcPr>
          <w:p>
            <w:pPr>
              <w:spacing w:line="360" w:lineRule="auto"/>
              <w:rPr>
                <w:rFonts w:ascii="宋体" w:hAnsi="宋体" w:cs="宋体"/>
                <w:sz w:val="24"/>
                <w:lang w:val="zh-CN"/>
              </w:rPr>
            </w:pPr>
            <w:r>
              <w:rPr>
                <w:rFonts w:hint="eastAsia" w:ascii="宋体" w:hAnsi="宋体" w:cs="宋体"/>
                <w:color w:val="000000"/>
                <w:sz w:val="24"/>
              </w:rPr>
              <w:t>投标人应根据可能发生的故障问题，提供有效可行的系统及其他应急方案，以保障本建议项目正常稳定运行和完成，进行打分（0-2分）。</w:t>
            </w:r>
          </w:p>
        </w:tc>
        <w:tc>
          <w:tcPr>
            <w:tcW w:w="1032" w:type="dxa"/>
            <w:vAlign w:val="center"/>
          </w:tcPr>
          <w:p>
            <w:pPr>
              <w:spacing w:line="360" w:lineRule="auto"/>
              <w:jc w:val="center"/>
              <w:rPr>
                <w:rFonts w:ascii="宋体" w:hAnsi="宋体" w:cs="宋体"/>
                <w:sz w:val="24"/>
              </w:rPr>
            </w:pPr>
            <w:r>
              <w:rPr>
                <w:rFonts w:hint="eastAsia" w:ascii="宋体" w:hAnsi="宋体" w:cs="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73" w:type="dxa"/>
            <w:vMerge w:val="continue"/>
          </w:tcPr>
          <w:p>
            <w:pPr>
              <w:spacing w:line="360" w:lineRule="auto"/>
              <w:rPr>
                <w:rFonts w:ascii="宋体" w:hAnsi="宋体"/>
                <w:sz w:val="24"/>
              </w:rPr>
            </w:pPr>
          </w:p>
        </w:tc>
        <w:tc>
          <w:tcPr>
            <w:tcW w:w="1422" w:type="dxa"/>
            <w:tcBorders>
              <w:right w:val="single" w:color="auto" w:sz="4" w:space="0"/>
            </w:tcBorders>
            <w:vAlign w:val="center"/>
          </w:tcPr>
          <w:p>
            <w:pPr>
              <w:widowControl/>
              <w:spacing w:line="360" w:lineRule="auto"/>
              <w:jc w:val="left"/>
              <w:rPr>
                <w:rFonts w:ascii="宋体" w:hAnsi="宋体" w:cs="宋体"/>
                <w:b/>
                <w:bCs/>
                <w:sz w:val="24"/>
              </w:rPr>
            </w:pPr>
            <w:r>
              <w:rPr>
                <w:rFonts w:hint="eastAsia" w:ascii="宋体" w:hAnsi="宋体" w:cs="宋体"/>
                <w:b/>
                <w:bCs/>
                <w:kern w:val="0"/>
                <w:sz w:val="24"/>
              </w:rPr>
              <w:t>7、培训方案</w:t>
            </w:r>
          </w:p>
        </w:tc>
        <w:tc>
          <w:tcPr>
            <w:tcW w:w="6116" w:type="dxa"/>
            <w:tcBorders>
              <w:left w:val="single" w:color="auto" w:sz="4" w:space="0"/>
            </w:tcBorders>
            <w:vAlign w:val="center"/>
          </w:tcPr>
          <w:p>
            <w:pPr>
              <w:widowControl/>
              <w:spacing w:line="360" w:lineRule="auto"/>
              <w:jc w:val="left"/>
              <w:rPr>
                <w:rFonts w:ascii="宋体" w:hAnsi="宋体" w:cs="宋体"/>
                <w:sz w:val="24"/>
              </w:rPr>
            </w:pPr>
            <w:r>
              <w:rPr>
                <w:rFonts w:hint="eastAsia" w:ascii="宋体" w:hAnsi="宋体" w:cs="宋体"/>
                <w:kern w:val="0"/>
                <w:sz w:val="24"/>
              </w:rPr>
              <w:t>针对投标人提供的培训方案包括本建设项目设备管理培训、系统运行维护培训及针对采购单位人员培训方案及次数等进行打分（0-3分）。</w:t>
            </w:r>
          </w:p>
        </w:tc>
        <w:tc>
          <w:tcPr>
            <w:tcW w:w="1032"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73" w:type="dxa"/>
            <w:vMerge w:val="continue"/>
          </w:tcPr>
          <w:p>
            <w:pPr>
              <w:spacing w:line="360" w:lineRule="auto"/>
              <w:rPr>
                <w:rFonts w:ascii="宋体" w:hAnsi="宋体"/>
                <w:sz w:val="24"/>
              </w:rPr>
            </w:pPr>
          </w:p>
        </w:tc>
        <w:tc>
          <w:tcPr>
            <w:tcW w:w="1422" w:type="dxa"/>
            <w:vMerge w:val="restart"/>
            <w:tcBorders>
              <w:right w:val="single" w:color="auto" w:sz="4" w:space="0"/>
            </w:tcBorders>
            <w:vAlign w:val="center"/>
          </w:tcPr>
          <w:p>
            <w:pPr>
              <w:spacing w:line="360" w:lineRule="auto"/>
              <w:jc w:val="left"/>
              <w:rPr>
                <w:rFonts w:ascii="宋体" w:hAnsi="宋体" w:cs="宋体"/>
                <w:b/>
                <w:bCs/>
                <w:sz w:val="24"/>
              </w:rPr>
            </w:pPr>
            <w:r>
              <w:rPr>
                <w:rFonts w:hint="eastAsia" w:ascii="宋体" w:hAnsi="宋体" w:cs="宋体"/>
                <w:b/>
                <w:bCs/>
                <w:sz w:val="24"/>
              </w:rPr>
              <w:t>8、售后服务及响应</w:t>
            </w:r>
          </w:p>
        </w:tc>
        <w:tc>
          <w:tcPr>
            <w:tcW w:w="6116" w:type="dxa"/>
            <w:tcBorders>
              <w:left w:val="single" w:color="auto" w:sz="4" w:space="0"/>
            </w:tcBorders>
            <w:vAlign w:val="center"/>
          </w:tcPr>
          <w:p>
            <w:pPr>
              <w:widowControl/>
              <w:spacing w:line="360" w:lineRule="auto"/>
              <w:jc w:val="left"/>
              <w:rPr>
                <w:rFonts w:ascii="宋体" w:hAnsi="宋体" w:cs="宋体"/>
                <w:kern w:val="0"/>
                <w:sz w:val="24"/>
                <w:lang w:val="zh-CN"/>
              </w:rPr>
            </w:pPr>
            <w:r>
              <w:rPr>
                <w:rFonts w:hint="eastAsia" w:ascii="宋体" w:hAnsi="宋体" w:cs="宋体"/>
                <w:kern w:val="0"/>
                <w:sz w:val="24"/>
              </w:rPr>
              <w:t>8.1</w:t>
            </w:r>
            <w:r>
              <w:rPr>
                <w:rFonts w:hint="eastAsia" w:ascii="宋体" w:hAnsi="宋体" w:cs="宋体"/>
                <w:kern w:val="0"/>
                <w:sz w:val="24"/>
                <w:lang w:val="zh-CN"/>
              </w:rPr>
              <w:t>根据项目维护计划（对用户故障的响应、处理、定期巡检等情况）的有效性，方案、计划的可行性及合理性等情况进行打分（</w:t>
            </w:r>
            <w:r>
              <w:rPr>
                <w:rFonts w:hint="eastAsia" w:ascii="宋体" w:hAnsi="宋体" w:cs="宋体"/>
                <w:kern w:val="0"/>
                <w:sz w:val="24"/>
              </w:rPr>
              <w:t>0-2分）</w:t>
            </w:r>
            <w:r>
              <w:rPr>
                <w:rFonts w:hint="eastAsia" w:ascii="宋体" w:hAnsi="宋体" w:cs="宋体"/>
                <w:kern w:val="0"/>
                <w:sz w:val="24"/>
                <w:lang w:val="zh-CN"/>
              </w:rPr>
              <w:t>。</w:t>
            </w:r>
          </w:p>
        </w:tc>
        <w:tc>
          <w:tcPr>
            <w:tcW w:w="1032" w:type="dxa"/>
            <w:vAlign w:val="center"/>
          </w:tcPr>
          <w:p>
            <w:pPr>
              <w:spacing w:line="360" w:lineRule="auto"/>
              <w:jc w:val="center"/>
              <w:rPr>
                <w:rFonts w:ascii="宋体" w:hAnsi="宋体" w:cs="宋体"/>
                <w:sz w:val="24"/>
              </w:rPr>
            </w:pPr>
            <w:r>
              <w:rPr>
                <w:rFonts w:hint="eastAsia" w:ascii="宋体" w:hAnsi="宋体" w:cs="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73" w:type="dxa"/>
            <w:vMerge w:val="continue"/>
          </w:tcPr>
          <w:p>
            <w:pPr>
              <w:spacing w:line="360" w:lineRule="auto"/>
              <w:rPr>
                <w:rFonts w:ascii="宋体" w:hAnsi="宋体"/>
                <w:sz w:val="24"/>
              </w:rPr>
            </w:pPr>
          </w:p>
        </w:tc>
        <w:tc>
          <w:tcPr>
            <w:tcW w:w="1422" w:type="dxa"/>
            <w:vMerge w:val="continue"/>
            <w:tcBorders>
              <w:right w:val="single" w:color="auto" w:sz="4" w:space="0"/>
            </w:tcBorders>
            <w:vAlign w:val="center"/>
          </w:tcPr>
          <w:p>
            <w:pPr>
              <w:spacing w:line="360" w:lineRule="auto"/>
              <w:jc w:val="left"/>
              <w:rPr>
                <w:rFonts w:ascii="宋体" w:hAnsi="宋体" w:cs="宋体"/>
                <w:b/>
                <w:bCs/>
                <w:sz w:val="24"/>
              </w:rPr>
            </w:pPr>
          </w:p>
        </w:tc>
        <w:tc>
          <w:tcPr>
            <w:tcW w:w="6116" w:type="dxa"/>
            <w:tcBorders>
              <w:lef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8.2</w:t>
            </w:r>
            <w:r>
              <w:rPr>
                <w:rFonts w:hint="eastAsia" w:ascii="宋体" w:hAnsi="宋体" w:cs="宋体"/>
                <w:kern w:val="0"/>
                <w:sz w:val="24"/>
                <w:lang w:val="zh-CN"/>
              </w:rPr>
              <w:t>投标方或厂商具有“售后服务认证证书”，服务内容包含：多媒体、计算机软件定制开发的得</w:t>
            </w:r>
            <w:r>
              <w:rPr>
                <w:rFonts w:hint="eastAsia" w:ascii="宋体" w:hAnsi="宋体" w:cs="宋体"/>
                <w:kern w:val="0"/>
                <w:sz w:val="24"/>
              </w:rPr>
              <w:t>2分</w:t>
            </w:r>
            <w:r>
              <w:rPr>
                <w:rFonts w:hint="eastAsia" w:ascii="宋体" w:hAnsi="宋体" w:cs="宋体"/>
                <w:kern w:val="0"/>
                <w:sz w:val="24"/>
                <w:lang w:val="zh-CN"/>
              </w:rPr>
              <w:t>，提供认证证书扫描件或复印件制作进投标文件内。</w:t>
            </w:r>
          </w:p>
        </w:tc>
        <w:tc>
          <w:tcPr>
            <w:tcW w:w="1032" w:type="dxa"/>
            <w:vAlign w:val="center"/>
          </w:tcPr>
          <w:p>
            <w:pPr>
              <w:spacing w:line="360" w:lineRule="auto"/>
              <w:jc w:val="center"/>
              <w:rPr>
                <w:rFonts w:ascii="宋体" w:hAnsi="宋体" w:cs="宋体"/>
                <w:sz w:val="24"/>
              </w:rPr>
            </w:pPr>
            <w:r>
              <w:rPr>
                <w:rFonts w:hint="eastAsia" w:ascii="宋体" w:hAnsi="宋体" w:cs="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073" w:type="dxa"/>
            <w:vMerge w:val="restart"/>
            <w:vAlign w:val="center"/>
          </w:tcPr>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商</w:t>
            </w:r>
          </w:p>
          <w:p>
            <w:pPr>
              <w:spacing w:line="360" w:lineRule="auto"/>
              <w:jc w:val="center"/>
              <w:rPr>
                <w:rFonts w:ascii="宋体" w:hAnsi="宋体" w:cs="宋体"/>
                <w:b/>
                <w:bCs/>
                <w:sz w:val="24"/>
              </w:rPr>
            </w:pPr>
            <w:r>
              <w:rPr>
                <w:rFonts w:hint="eastAsia" w:ascii="宋体" w:hAnsi="宋体" w:cs="宋体"/>
                <w:b/>
                <w:bCs/>
                <w:sz w:val="24"/>
              </w:rPr>
              <w:t>务</w:t>
            </w:r>
          </w:p>
          <w:p>
            <w:pPr>
              <w:spacing w:line="360" w:lineRule="auto"/>
              <w:jc w:val="center"/>
              <w:rPr>
                <w:rFonts w:ascii="宋体" w:hAnsi="宋体" w:cs="宋体"/>
                <w:b/>
                <w:bCs/>
                <w:sz w:val="24"/>
              </w:rPr>
            </w:pPr>
            <w:r>
              <w:rPr>
                <w:rFonts w:hint="eastAsia" w:ascii="宋体" w:hAnsi="宋体" w:cs="宋体"/>
                <w:b/>
                <w:bCs/>
                <w:sz w:val="24"/>
              </w:rPr>
              <w:t>分</w:t>
            </w:r>
          </w:p>
          <w:p>
            <w:pPr>
              <w:spacing w:line="360" w:lineRule="auto"/>
              <w:jc w:val="center"/>
              <w:rPr>
                <w:rFonts w:ascii="宋体" w:hAnsi="宋体" w:cs="宋体"/>
                <w:b/>
                <w:bCs/>
                <w:sz w:val="24"/>
              </w:rPr>
            </w:pPr>
            <w:r>
              <w:rPr>
                <w:rFonts w:hint="eastAsia" w:ascii="宋体" w:hAnsi="宋体" w:cs="宋体"/>
                <w:b/>
                <w:bCs/>
                <w:sz w:val="24"/>
              </w:rPr>
              <w:t>10</w:t>
            </w:r>
          </w:p>
          <w:p>
            <w:pPr>
              <w:spacing w:line="360" w:lineRule="auto"/>
              <w:jc w:val="center"/>
              <w:rPr>
                <w:rFonts w:ascii="宋体" w:hAnsi="宋体" w:cs="宋体"/>
                <w:b/>
                <w:bCs/>
                <w:sz w:val="24"/>
              </w:rPr>
            </w:pPr>
            <w:r>
              <w:rPr>
                <w:rFonts w:hint="eastAsia" w:ascii="宋体" w:hAnsi="宋体" w:cs="宋体"/>
                <w:b/>
                <w:bCs/>
                <w:sz w:val="24"/>
              </w:rPr>
              <w:t>分</w:t>
            </w:r>
          </w:p>
        </w:tc>
        <w:tc>
          <w:tcPr>
            <w:tcW w:w="1422" w:type="dxa"/>
            <w:tcBorders>
              <w:right w:val="single" w:color="auto" w:sz="4" w:space="0"/>
            </w:tcBorders>
            <w:vAlign w:val="center"/>
          </w:tcPr>
          <w:p>
            <w:pPr>
              <w:pStyle w:val="174"/>
              <w:spacing w:before="0"/>
              <w:ind w:firstLine="0" w:firstLineChars="0"/>
              <w:jc w:val="center"/>
              <w:rPr>
                <w:rFonts w:ascii="宋体" w:hAnsi="宋体" w:eastAsia="宋体" w:cs="宋体"/>
                <w:b/>
                <w:bCs/>
                <w:szCs w:val="24"/>
              </w:rPr>
            </w:pPr>
            <w:r>
              <w:rPr>
                <w:rFonts w:hint="eastAsia" w:ascii="宋体" w:hAnsi="宋体" w:eastAsia="宋体" w:cs="宋体"/>
                <w:b/>
                <w:bCs/>
                <w:szCs w:val="24"/>
              </w:rPr>
              <w:t>1、投标产品软件著作权</w:t>
            </w:r>
          </w:p>
        </w:tc>
        <w:tc>
          <w:tcPr>
            <w:tcW w:w="6116" w:type="dxa"/>
            <w:tcBorders>
              <w:lef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投标人所投产品取得软件著作权的，每提供一个软著得1分，提供二个及以上最多得2分。投标文件中提供软件著作权复印件或扫描件</w:t>
            </w:r>
            <w:r>
              <w:rPr>
                <w:rFonts w:hint="eastAsia" w:ascii="宋体" w:hAnsi="宋体" w:cs="宋体"/>
                <w:kern w:val="0"/>
                <w:sz w:val="24"/>
                <w:lang w:val="zh-CN"/>
              </w:rPr>
              <w:t>制作进投标文件内</w:t>
            </w:r>
            <w:r>
              <w:rPr>
                <w:rFonts w:hint="eastAsia" w:ascii="宋体" w:hAnsi="宋体" w:cs="宋体"/>
                <w:kern w:val="0"/>
                <w:sz w:val="24"/>
              </w:rPr>
              <w:t>。</w:t>
            </w:r>
          </w:p>
        </w:tc>
        <w:tc>
          <w:tcPr>
            <w:tcW w:w="1032" w:type="dxa"/>
            <w:vAlign w:val="center"/>
          </w:tcPr>
          <w:p>
            <w:pPr>
              <w:pStyle w:val="174"/>
              <w:spacing w:before="0"/>
              <w:ind w:firstLine="0" w:firstLineChars="0"/>
              <w:jc w:val="center"/>
              <w:rPr>
                <w:rFonts w:ascii="宋体" w:hAnsi="宋体" w:eastAsia="宋体" w:cs="宋体"/>
                <w:szCs w:val="24"/>
              </w:rPr>
            </w:pPr>
            <w:r>
              <w:rPr>
                <w:rFonts w:hint="eastAsia" w:ascii="宋体" w:hAnsi="宋体" w:eastAsia="宋体" w:cs="宋体"/>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3" w:type="dxa"/>
            <w:vMerge w:val="continue"/>
            <w:vAlign w:val="center"/>
          </w:tcPr>
          <w:p>
            <w:pPr>
              <w:widowControl/>
              <w:spacing w:line="360" w:lineRule="auto"/>
              <w:jc w:val="center"/>
              <w:rPr>
                <w:rFonts w:ascii="宋体" w:hAnsi="宋体" w:cs="宋体"/>
                <w:sz w:val="24"/>
              </w:rPr>
            </w:pPr>
          </w:p>
        </w:tc>
        <w:tc>
          <w:tcPr>
            <w:tcW w:w="1422" w:type="dxa"/>
            <w:tcBorders>
              <w:right w:val="single" w:color="auto" w:sz="4" w:space="0"/>
            </w:tcBorders>
            <w:vAlign w:val="center"/>
          </w:tcPr>
          <w:p>
            <w:pPr>
              <w:pStyle w:val="174"/>
              <w:spacing w:before="0"/>
              <w:ind w:firstLine="0" w:firstLineChars="0"/>
              <w:jc w:val="center"/>
              <w:rPr>
                <w:rFonts w:ascii="宋体" w:hAnsi="宋体" w:eastAsia="宋体" w:cs="宋体"/>
                <w:b/>
                <w:bCs/>
                <w:szCs w:val="24"/>
              </w:rPr>
            </w:pPr>
            <w:r>
              <w:rPr>
                <w:rFonts w:hint="eastAsia" w:ascii="宋体" w:hAnsi="宋体" w:eastAsia="宋体" w:cs="宋体"/>
                <w:b/>
                <w:bCs/>
                <w:szCs w:val="24"/>
              </w:rPr>
              <w:t>2、信用及管理体系认证</w:t>
            </w:r>
          </w:p>
        </w:tc>
        <w:tc>
          <w:tcPr>
            <w:tcW w:w="6116"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投标人或设备厂商提供3A信用认证证书、质量管理体系认证证书、环境管理体系认证证书、职业健康安全管理体系认证证书，</w:t>
            </w:r>
            <w:r>
              <w:rPr>
                <w:rFonts w:hint="eastAsia" w:ascii="宋体" w:hAnsi="宋体" w:cs="宋体"/>
                <w:b/>
                <w:bCs/>
                <w:sz w:val="24"/>
              </w:rPr>
              <w:t>且认证证书覆盖范围须包含智能技术、VR虚拟实现软件技术等智能化的</w:t>
            </w:r>
            <w:r>
              <w:rPr>
                <w:rFonts w:hint="eastAsia" w:ascii="宋体" w:hAnsi="宋体" w:cs="宋体"/>
                <w:sz w:val="24"/>
              </w:rPr>
              <w:t>，提供认证证书，有一项得1分，最多得4分。</w:t>
            </w:r>
          </w:p>
        </w:tc>
        <w:tc>
          <w:tcPr>
            <w:tcW w:w="1032" w:type="dxa"/>
            <w:vAlign w:val="center"/>
          </w:tcPr>
          <w:p>
            <w:pPr>
              <w:pStyle w:val="174"/>
              <w:spacing w:before="0"/>
              <w:ind w:firstLine="0" w:firstLineChars="0"/>
              <w:jc w:val="center"/>
              <w:rPr>
                <w:rFonts w:ascii="宋体" w:hAnsi="宋体" w:eastAsia="宋体" w:cs="宋体"/>
                <w:szCs w:val="24"/>
              </w:rPr>
            </w:pPr>
          </w:p>
          <w:p>
            <w:pPr>
              <w:pStyle w:val="174"/>
              <w:spacing w:before="0"/>
              <w:ind w:firstLine="0" w:firstLineChars="0"/>
              <w:jc w:val="center"/>
              <w:rPr>
                <w:rFonts w:ascii="宋体" w:hAnsi="宋体" w:eastAsia="宋体" w:cs="宋体"/>
                <w:szCs w:val="24"/>
              </w:rPr>
            </w:pPr>
          </w:p>
          <w:p>
            <w:pPr>
              <w:pStyle w:val="174"/>
              <w:spacing w:before="0"/>
              <w:ind w:firstLine="0" w:firstLineChars="0"/>
              <w:jc w:val="center"/>
              <w:rPr>
                <w:rFonts w:ascii="宋体" w:hAnsi="宋体" w:eastAsia="宋体" w:cs="宋体"/>
                <w:szCs w:val="24"/>
              </w:rPr>
            </w:pPr>
            <w:r>
              <w:rPr>
                <w:rFonts w:hint="eastAsia" w:ascii="宋体" w:hAnsi="宋体" w:eastAsia="宋体" w:cs="宋体"/>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73" w:type="dxa"/>
            <w:vMerge w:val="continue"/>
            <w:vAlign w:val="center"/>
          </w:tcPr>
          <w:p>
            <w:pPr>
              <w:widowControl/>
              <w:spacing w:line="360" w:lineRule="auto"/>
              <w:jc w:val="center"/>
              <w:rPr>
                <w:rFonts w:ascii="宋体" w:hAnsi="宋体" w:cs="宋体"/>
                <w:sz w:val="24"/>
              </w:rPr>
            </w:pPr>
          </w:p>
        </w:tc>
        <w:tc>
          <w:tcPr>
            <w:tcW w:w="1422" w:type="dxa"/>
            <w:tcBorders>
              <w:right w:val="single" w:color="auto" w:sz="4" w:space="0"/>
            </w:tcBorders>
            <w:vAlign w:val="center"/>
          </w:tcPr>
          <w:p>
            <w:pPr>
              <w:pStyle w:val="174"/>
              <w:spacing w:before="0"/>
              <w:ind w:firstLine="0" w:firstLineChars="0"/>
              <w:rPr>
                <w:rFonts w:ascii="宋体" w:hAnsi="宋体" w:eastAsia="宋体" w:cs="宋体"/>
                <w:b/>
                <w:bCs/>
                <w:szCs w:val="24"/>
              </w:rPr>
            </w:pPr>
            <w:r>
              <w:rPr>
                <w:rFonts w:hint="eastAsia" w:ascii="宋体" w:hAnsi="宋体" w:eastAsia="宋体" w:cs="宋体"/>
                <w:b/>
                <w:bCs/>
                <w:szCs w:val="24"/>
              </w:rPr>
              <w:t>3、类似业绩经验</w:t>
            </w:r>
          </w:p>
        </w:tc>
        <w:tc>
          <w:tcPr>
            <w:tcW w:w="6116" w:type="dxa"/>
            <w:tcBorders>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投标人自2018年1月1日（含）以来（时间以合同签订时间为准）完成类似业绩案例经验项目的，有1个得</w:t>
            </w:r>
            <w:r>
              <w:rPr>
                <w:rFonts w:ascii="宋体" w:hAnsi="宋体" w:cs="宋体"/>
                <w:sz w:val="24"/>
              </w:rPr>
              <w:t>2</w:t>
            </w:r>
            <w:r>
              <w:rPr>
                <w:rFonts w:hint="eastAsia" w:ascii="宋体" w:hAnsi="宋体" w:cs="宋体"/>
                <w:sz w:val="24"/>
              </w:rPr>
              <w:t>分，最高得</w:t>
            </w:r>
            <w:r>
              <w:rPr>
                <w:rFonts w:ascii="宋体" w:hAnsi="宋体" w:cs="宋体"/>
                <w:sz w:val="24"/>
              </w:rPr>
              <w:t>4</w:t>
            </w:r>
            <w:r>
              <w:rPr>
                <w:rFonts w:hint="eastAsia" w:ascii="宋体" w:hAnsi="宋体" w:cs="宋体"/>
                <w:sz w:val="24"/>
              </w:rPr>
              <w:t xml:space="preserve">分；须附中标通知书、合同，合同须体现项目业绩内容，否则不予认可。 </w:t>
            </w:r>
          </w:p>
          <w:p>
            <w:pPr>
              <w:pStyle w:val="174"/>
              <w:spacing w:before="0"/>
              <w:ind w:firstLine="0" w:firstLineChars="0"/>
              <w:rPr>
                <w:rFonts w:ascii="宋体" w:hAnsi="宋体" w:eastAsia="宋体" w:cs="宋体"/>
                <w:color w:val="000000"/>
                <w:kern w:val="0"/>
                <w:szCs w:val="24"/>
              </w:rPr>
            </w:pPr>
            <w:r>
              <w:rPr>
                <w:rFonts w:hint="eastAsia" w:ascii="宋体" w:hAnsi="宋体" w:eastAsia="宋体" w:cs="宋体"/>
                <w:b/>
                <w:bCs/>
              </w:rPr>
              <w:t>投标文件中提供合同复印件、中标通知书复印件制作进投标文件内。</w:t>
            </w:r>
          </w:p>
        </w:tc>
        <w:tc>
          <w:tcPr>
            <w:tcW w:w="1032" w:type="dxa"/>
            <w:vAlign w:val="center"/>
          </w:tcPr>
          <w:p>
            <w:pPr>
              <w:pStyle w:val="174"/>
              <w:spacing w:before="0"/>
              <w:ind w:firstLine="0" w:firstLineChars="0"/>
              <w:jc w:val="center"/>
              <w:rPr>
                <w:rFonts w:ascii="宋体" w:hAnsi="宋体" w:eastAsia="宋体" w:cs="宋体"/>
                <w:szCs w:val="24"/>
              </w:rPr>
            </w:pPr>
            <w:r>
              <w:rPr>
                <w:rFonts w:hint="eastAsia" w:ascii="宋体" w:hAnsi="宋体" w:eastAsia="宋体" w:cs="宋体"/>
                <w:szCs w:val="24"/>
              </w:rPr>
              <w:t>4分</w:t>
            </w:r>
          </w:p>
        </w:tc>
      </w:tr>
    </w:tbl>
    <w:p>
      <w:pPr>
        <w:snapToGrid w:val="0"/>
        <w:spacing w:line="360" w:lineRule="auto"/>
        <w:ind w:firstLine="480" w:firstLineChars="200"/>
        <w:rPr>
          <w:rFonts w:hint="eastAsia" w:ascii="宋体" w:hAnsi="宋体" w:cs="宋体"/>
          <w:color w:val="000000"/>
          <w:sz w:val="24"/>
        </w:rPr>
      </w:pPr>
    </w:p>
    <w:p>
      <w:pPr>
        <w:pStyle w:val="174"/>
        <w:spacing w:before="0"/>
        <w:ind w:firstLine="0" w:firstLineChars="0"/>
        <w:rPr>
          <w:rFonts w:ascii="宋体" w:hAnsi="宋体" w:cs="宋体"/>
          <w:color w:val="000000"/>
          <w:kern w:val="0"/>
          <w:szCs w:val="24"/>
        </w:rPr>
      </w:pPr>
      <w:r>
        <w:rPr>
          <w:rFonts w:hint="eastAsia" w:ascii="宋体" w:hAnsi="宋体" w:cs="宋体"/>
          <w:color w:val="000000"/>
          <w:kern w:val="0"/>
          <w:szCs w:val="24"/>
        </w:rPr>
        <w:t>注：以上评审内容制作进投标文件内，并按评审要求提供相关证明材料等。</w:t>
      </w:r>
    </w:p>
    <w:p>
      <w:pPr>
        <w:snapToGrid w:val="0"/>
        <w:spacing w:line="360" w:lineRule="auto"/>
        <w:ind w:firstLine="482" w:firstLineChars="200"/>
        <w:rPr>
          <w:rFonts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、商务分+技术分=评标委员会所有成员评分合计数/评标委员会组成人员数（精确到小数点后二位）；</w:t>
      </w:r>
    </w:p>
    <w:p>
      <w:pPr>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b/>
          <w:bCs/>
          <w:color w:val="000000"/>
          <w:sz w:val="24"/>
        </w:rPr>
        <w:t>价格分（30分）</w:t>
      </w:r>
      <w:r>
        <w:rPr>
          <w:rFonts w:hint="eastAsia" w:ascii="宋体" w:hAnsi="宋体" w:cs="宋体"/>
          <w:color w:val="000000"/>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宋体" w:hAnsi="宋体" w:cs="宋体"/>
          <w:b/>
          <w:bCs/>
          <w:color w:val="000000"/>
          <w:sz w:val="24"/>
        </w:rPr>
      </w:pPr>
      <w:r>
        <w:rPr>
          <w:rFonts w:hint="eastAsia" w:ascii="宋体" w:hAnsi="宋体"/>
          <w:b/>
          <w:bCs/>
          <w:color w:val="000000"/>
          <w:sz w:val="24"/>
        </w:rPr>
        <w:t>价格分=（评标基准价/投标报价）×30%×100</w:t>
      </w:r>
      <w:r>
        <w:rPr>
          <w:rFonts w:hint="eastAsia" w:ascii="宋体" w:hAnsi="宋体" w:cs="宋体"/>
          <w:b/>
          <w:bCs/>
          <w:color w:val="000000"/>
          <w:sz w:val="24"/>
        </w:rPr>
        <w:t>（精确到小数点后二位）</w:t>
      </w:r>
      <w:r>
        <w:rPr>
          <w:rFonts w:hint="eastAsia" w:ascii="宋体" w:hAnsi="宋体"/>
          <w:b/>
          <w:bCs/>
          <w:color w:val="000000"/>
          <w:sz w:val="24"/>
        </w:rPr>
        <w:t>；</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、投标人评标综合得分=价格分+商务分+技术分（精确到小数点后二位）；</w:t>
      </w:r>
    </w:p>
    <w:p>
      <w:pPr>
        <w:pStyle w:val="388"/>
        <w:snapToGrid w:val="0"/>
        <w:ind w:left="480" w:firstLine="0" w:firstLineChars="0"/>
        <w:rPr>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注：根据浙江省财政厅、浙江省中小企业局转发财政部、工业和信息化部关于印发《政府采购促进中小企业发展暂行办法》的通知（浙财采监[2012]11号），</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6%</w:t>
      </w:r>
      <w:r>
        <w:rPr>
          <w:rFonts w:hint="eastAsia" w:ascii="宋体" w:hAnsi="宋体" w:cs="宋体"/>
          <w:color w:val="000000"/>
          <w:sz w:val="24"/>
        </w:rPr>
        <w:t>的扣除，并用扣除后的价格计算价格评分。同时符合以下所有要求的投标人被认定为小型、微型企业：</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000000"/>
          <w:sz w:val="24"/>
          <w:u w:val="single"/>
        </w:rPr>
        <w:t xml:space="preserve">6% </w:t>
      </w:r>
      <w:r>
        <w:rPr>
          <w:rFonts w:hint="eastAsia" w:ascii="宋体" w:hAnsi="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128"/>
        <w:spacing w:line="360" w:lineRule="auto"/>
        <w:ind w:left="360" w:firstLine="0" w:firstLineChars="0"/>
        <w:rPr>
          <w:rFonts w:ascii="宋体" w:hAnsi="宋体" w:eastAsia="宋体" w:cs="宋体"/>
          <w:color w:val="000000"/>
          <w:szCs w:val="24"/>
        </w:rPr>
      </w:pPr>
      <w:r>
        <w:rPr>
          <w:rFonts w:hint="eastAsia" w:ascii="宋体" w:hAnsi="宋体" w:eastAsia="宋体" w:cs="宋体"/>
          <w:color w:val="000000"/>
          <w:szCs w:val="24"/>
        </w:rPr>
        <w:t>（4）残疾人福利性单位参加投标【提供《残疾人福利性单位声明函》】，视为小</w:t>
      </w:r>
    </w:p>
    <w:p>
      <w:pPr>
        <w:pStyle w:val="128"/>
        <w:spacing w:line="360" w:lineRule="auto"/>
        <w:ind w:firstLine="141" w:firstLineChars="59"/>
        <w:rPr>
          <w:rFonts w:ascii="宋体" w:hAnsi="宋体" w:eastAsia="宋体" w:cs="宋体"/>
          <w:color w:val="000000"/>
          <w:szCs w:val="24"/>
        </w:rPr>
      </w:pPr>
      <w:r>
        <w:rPr>
          <w:rFonts w:hint="eastAsia" w:ascii="宋体" w:hAnsi="宋体" w:eastAsia="宋体" w:cs="宋体"/>
          <w:color w:val="000000"/>
          <w:szCs w:val="24"/>
        </w:rPr>
        <w:t>型、微型企业，享受小微企业政策扶持。</w:t>
      </w:r>
    </w:p>
    <w:p>
      <w:pPr>
        <w:shd w:val="clear" w:color="auto" w:fill="FFFFFF"/>
        <w:snapToGrid w:val="0"/>
        <w:spacing w:line="360" w:lineRule="auto"/>
        <w:rPr>
          <w:rFonts w:ascii="宋体" w:hAnsi="宋体" w:cs="宋体"/>
          <w:b/>
          <w:bCs/>
          <w:color w:val="000000"/>
          <w:sz w:val="24"/>
        </w:rPr>
      </w:pP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（十四）评标内容的保密</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、在投标文件的审查、澄清、评价和比较以及确定中标人过程中，投标人对招标人、招标代理机构和评标委员会施加影响的任何行为，都将导致取消资格。</w:t>
      </w:r>
    </w:p>
    <w:bookmarkEnd w:id="100"/>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（十五）废标</w:t>
      </w:r>
    </w:p>
    <w:p>
      <w:pPr>
        <w:pStyle w:val="3"/>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在采购中，出现下列情形之一的，应予废标：</w:t>
      </w:r>
    </w:p>
    <w:p>
      <w:pPr>
        <w:pStyle w:val="3"/>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(1)符合专业条件的供应商或者对招标文件作实质响应的供应商不足3家的；</w:t>
      </w:r>
    </w:p>
    <w:p>
      <w:pPr>
        <w:pStyle w:val="3"/>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(2)出现影响采购公正的违法、违规行为的；</w:t>
      </w:r>
    </w:p>
    <w:p>
      <w:pPr>
        <w:pStyle w:val="3"/>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(3)报价均超过预算，不能支付的；</w:t>
      </w:r>
    </w:p>
    <w:p>
      <w:pPr>
        <w:shd w:val="clear" w:color="auto" w:fill="FFFFFF"/>
        <w:snapToGrid w:val="0"/>
        <w:spacing w:line="336" w:lineRule="auto"/>
        <w:rPr>
          <w:rFonts w:ascii="宋体" w:hAnsi="宋体" w:cs="宋体"/>
          <w:b/>
          <w:bCs/>
          <w:color w:val="000000"/>
          <w:sz w:val="24"/>
        </w:rPr>
      </w:pPr>
      <w:r>
        <w:rPr>
          <w:rFonts w:hint="eastAsia" w:ascii="宋体" w:hAnsi="宋体" w:cs="宋体"/>
          <w:b/>
          <w:color w:val="000000"/>
          <w:sz w:val="24"/>
        </w:rPr>
        <w:t xml:space="preserve">    (4)因重大变故，采购任务取消的。</w:t>
      </w:r>
    </w:p>
    <w:p>
      <w:pPr>
        <w:pStyle w:val="7"/>
        <w:numPr>
          <w:ilvl w:val="2"/>
          <w:numId w:val="0"/>
        </w:numPr>
        <w:spacing w:before="0" w:after="0" w:line="336" w:lineRule="auto"/>
        <w:jc w:val="both"/>
        <w:rPr>
          <w:rFonts w:ascii="宋体" w:hAnsi="宋体" w:eastAsia="宋体"/>
          <w:sz w:val="24"/>
          <w:szCs w:val="24"/>
        </w:rPr>
      </w:pPr>
      <w:r>
        <w:rPr>
          <w:rFonts w:hint="eastAsia" w:ascii="宋体" w:hAnsi="宋体" w:eastAsia="宋体" w:cs="宋体"/>
          <w:sz w:val="24"/>
          <w:szCs w:val="24"/>
        </w:rPr>
        <w:t>（十六）</w:t>
      </w:r>
      <w:r>
        <w:rPr>
          <w:rFonts w:hint="eastAsia" w:ascii="宋体" w:hAnsi="宋体" w:eastAsia="宋体"/>
          <w:sz w:val="24"/>
          <w:szCs w:val="24"/>
        </w:rPr>
        <w:t>可中止电子交易活动的情形</w:t>
      </w:r>
    </w:p>
    <w:p>
      <w:pPr>
        <w:spacing w:line="336" w:lineRule="auto"/>
        <w:ind w:firstLine="424" w:firstLineChars="176"/>
        <w:rPr>
          <w:rFonts w:ascii="宋体" w:hAnsi="宋体"/>
          <w:color w:val="000000"/>
          <w:sz w:val="24"/>
        </w:rPr>
      </w:pPr>
      <w:r>
        <w:rPr>
          <w:rFonts w:hint="eastAsia" w:ascii="宋体" w:hAnsi="宋体"/>
          <w:b/>
          <w:color w:val="000000"/>
          <w:sz w:val="24"/>
        </w:rPr>
        <w:t>采购过程中出现以下情形，导致电子交易平台无法正常运行，或者无法保证电子交易的公平、公正和安全时，采购组织机构可中止电子交易活动：</w:t>
      </w:r>
    </w:p>
    <w:p>
      <w:pPr>
        <w:spacing w:line="336" w:lineRule="auto"/>
        <w:ind w:firstLine="422" w:firstLineChars="176"/>
        <w:rPr>
          <w:rFonts w:ascii="宋体" w:hAnsi="宋体"/>
          <w:color w:val="000000"/>
          <w:sz w:val="24"/>
        </w:rPr>
      </w:pPr>
      <w:r>
        <w:rPr>
          <w:rFonts w:hint="eastAsia" w:ascii="宋体" w:hAnsi="宋体"/>
          <w:color w:val="000000"/>
          <w:sz w:val="24"/>
        </w:rPr>
        <w:t>1、电子交易平台发生故障而无法登录访问的；</w:t>
      </w:r>
    </w:p>
    <w:p>
      <w:pPr>
        <w:spacing w:line="336" w:lineRule="auto"/>
        <w:ind w:firstLine="422" w:firstLineChars="176"/>
        <w:rPr>
          <w:rFonts w:ascii="宋体" w:hAnsi="宋体"/>
          <w:color w:val="000000"/>
          <w:sz w:val="24"/>
        </w:rPr>
      </w:pPr>
      <w:r>
        <w:rPr>
          <w:rFonts w:hint="eastAsia" w:ascii="宋体" w:hAnsi="宋体"/>
          <w:color w:val="000000"/>
          <w:sz w:val="24"/>
        </w:rPr>
        <w:t>2、电子交易平台应用或数据库出现错误，不能进行正常操作的；</w:t>
      </w:r>
    </w:p>
    <w:p>
      <w:pPr>
        <w:spacing w:line="336" w:lineRule="auto"/>
        <w:ind w:firstLine="422" w:firstLineChars="176"/>
        <w:rPr>
          <w:rFonts w:ascii="宋体" w:hAnsi="宋体"/>
          <w:color w:val="000000"/>
          <w:sz w:val="24"/>
        </w:rPr>
      </w:pPr>
      <w:r>
        <w:rPr>
          <w:rFonts w:hint="eastAsia" w:ascii="宋体" w:hAnsi="宋体"/>
          <w:color w:val="000000"/>
          <w:sz w:val="24"/>
        </w:rPr>
        <w:t>3、电子交易平台发现严重安全漏洞，有潜在泄密危险的；</w:t>
      </w:r>
    </w:p>
    <w:p>
      <w:pPr>
        <w:spacing w:line="336" w:lineRule="auto"/>
        <w:ind w:firstLine="422" w:firstLineChars="176"/>
        <w:rPr>
          <w:rFonts w:ascii="宋体" w:hAnsi="宋体"/>
          <w:color w:val="000000"/>
          <w:sz w:val="24"/>
        </w:rPr>
      </w:pPr>
      <w:r>
        <w:rPr>
          <w:rFonts w:hint="eastAsia" w:ascii="宋体" w:hAnsi="宋体"/>
          <w:color w:val="000000"/>
          <w:sz w:val="24"/>
        </w:rPr>
        <w:t>4、病毒发作导致不能进行正常操作的；</w:t>
      </w:r>
    </w:p>
    <w:p>
      <w:pPr>
        <w:spacing w:line="336" w:lineRule="auto"/>
        <w:ind w:firstLine="422" w:firstLineChars="176"/>
        <w:rPr>
          <w:rFonts w:ascii="宋体" w:hAnsi="宋体"/>
          <w:color w:val="000000"/>
          <w:sz w:val="24"/>
        </w:rPr>
      </w:pPr>
      <w:r>
        <w:rPr>
          <w:rFonts w:hint="eastAsia" w:ascii="宋体" w:hAnsi="宋体"/>
          <w:color w:val="000000"/>
          <w:sz w:val="24"/>
        </w:rPr>
        <w:t>5、其他无法保证电子交易的公平、公正和安全的情况。</w:t>
      </w:r>
    </w:p>
    <w:p>
      <w:pPr>
        <w:spacing w:line="336" w:lineRule="auto"/>
        <w:ind w:firstLine="424" w:firstLineChars="176"/>
        <w:rPr>
          <w:rFonts w:ascii="宋体" w:hAnsi="宋体"/>
          <w:color w:val="000000"/>
          <w:sz w:val="24"/>
        </w:rPr>
      </w:pPr>
      <w:r>
        <w:rPr>
          <w:rFonts w:hint="eastAsia" w:ascii="宋体" w:hAnsi="宋体"/>
          <w:b/>
          <w:color w:val="000000"/>
          <w:sz w:val="24"/>
        </w:rPr>
        <w:t>出现前款规定情形，不影响采购公平、公正性的，采购组织机构可以待上述情形消除后继续组织电子交易活动；影响或可能影响采购公平、公正性的，应当重新采购。</w:t>
      </w:r>
    </w:p>
    <w:p>
      <w:pPr>
        <w:pStyle w:val="6"/>
        <w:numPr>
          <w:ilvl w:val="0"/>
          <w:numId w:val="0"/>
        </w:numPr>
        <w:spacing w:line="336" w:lineRule="auto"/>
        <w:ind w:left="560"/>
        <w:rPr>
          <w:rFonts w:ascii="宋体" w:hAnsi="宋体" w:eastAsia="宋体"/>
          <w:sz w:val="24"/>
          <w:szCs w:val="24"/>
        </w:rPr>
      </w:pPr>
    </w:p>
    <w:bookmarkEnd w:id="71"/>
    <w:bookmarkEnd w:id="72"/>
    <w:bookmarkEnd w:id="73"/>
    <w:p>
      <w:pPr>
        <w:shd w:val="clear" w:color="auto" w:fill="FFFFFF"/>
        <w:snapToGrid w:val="0"/>
        <w:spacing w:line="336" w:lineRule="auto"/>
        <w:jc w:val="center"/>
        <w:outlineLvl w:val="1"/>
        <w:rPr>
          <w:rFonts w:ascii="宋体" w:hAnsi="宋体" w:cs="宋体"/>
          <w:b/>
          <w:bCs/>
          <w:color w:val="000000"/>
          <w:sz w:val="24"/>
        </w:rPr>
      </w:pPr>
      <w:bookmarkStart w:id="101" w:name="_Toc86216995"/>
      <w:bookmarkStart w:id="102" w:name="_Toc354996703"/>
      <w:bookmarkStart w:id="103" w:name="_Toc31748"/>
      <w:bookmarkStart w:id="104" w:name="_Toc31551"/>
      <w:bookmarkStart w:id="105" w:name="_Toc9614"/>
      <w:bookmarkStart w:id="106" w:name="_Toc233618979"/>
      <w:bookmarkStart w:id="107" w:name="_Toc91899910"/>
      <w:r>
        <w:rPr>
          <w:rFonts w:hint="eastAsia" w:ascii="宋体" w:hAnsi="宋体" w:cs="宋体"/>
          <w:b/>
          <w:bCs/>
          <w:color w:val="000000"/>
          <w:sz w:val="24"/>
        </w:rPr>
        <w:t>七、</w:t>
      </w:r>
      <w:bookmarkEnd w:id="101"/>
      <w:r>
        <w:rPr>
          <w:rFonts w:hint="eastAsia" w:ascii="宋体" w:hAnsi="宋体" w:cs="宋体"/>
          <w:b/>
          <w:bCs/>
          <w:color w:val="000000"/>
          <w:sz w:val="24"/>
        </w:rPr>
        <w:t>合同签订及其他</w:t>
      </w:r>
      <w:bookmarkEnd w:id="102"/>
      <w:bookmarkEnd w:id="103"/>
      <w:bookmarkEnd w:id="104"/>
      <w:bookmarkEnd w:id="105"/>
      <w:bookmarkEnd w:id="106"/>
    </w:p>
    <w:bookmarkEnd w:id="107"/>
    <w:p>
      <w:pPr>
        <w:shd w:val="clear" w:color="auto" w:fill="FFFFFF"/>
        <w:snapToGrid w:val="0"/>
        <w:spacing w:line="336" w:lineRule="auto"/>
        <w:rPr>
          <w:rFonts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36"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、确定中标人后，招标代理机构将在发布招标公告的网站上公布评标结果。</w:t>
      </w:r>
    </w:p>
    <w:p>
      <w:pPr>
        <w:shd w:val="clear" w:color="auto" w:fill="FFFFFF"/>
        <w:tabs>
          <w:tab w:val="left" w:pos="0"/>
        </w:tabs>
        <w:snapToGrid w:val="0"/>
        <w:spacing w:line="336"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36" w:lineRule="auto"/>
        <w:ind w:firstLine="540"/>
        <w:rPr>
          <w:rFonts w:ascii="宋体" w:hAnsi="宋体" w:cs="宋体"/>
          <w:color w:val="000000"/>
          <w:sz w:val="24"/>
        </w:rPr>
      </w:pPr>
      <w:r>
        <w:rPr>
          <w:rFonts w:hint="eastAsia" w:ascii="宋体" w:hAnsi="宋体" w:cs="宋体"/>
          <w:color w:val="000000"/>
          <w:sz w:val="24"/>
        </w:rPr>
        <w:t>3、如签订合同并生效后，供应商无故拒绝或延期，除按照合同条款处罚外，列入不良行为记录一次，并给予通报。</w:t>
      </w:r>
    </w:p>
    <w:p>
      <w:pPr>
        <w:shd w:val="clear" w:color="auto" w:fill="FFFFFF"/>
        <w:snapToGrid w:val="0"/>
        <w:spacing w:line="336" w:lineRule="auto"/>
        <w:rPr>
          <w:rFonts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36" w:lineRule="auto"/>
        <w:ind w:firstLine="480" w:firstLineChars="200"/>
        <w:rPr>
          <w:rFonts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36" w:lineRule="auto"/>
        <w:rPr>
          <w:rFonts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36" w:lineRule="auto"/>
        <w:ind w:firstLine="480" w:firstLineChars="200"/>
        <w:rPr>
          <w:rFonts w:ascii="宋体" w:hAnsi="宋体" w:cs="仿宋_GB2312"/>
          <w:b/>
          <w:bCs/>
          <w:color w:val="000000"/>
          <w:sz w:val="24"/>
        </w:rPr>
      </w:pPr>
      <w:r>
        <w:rPr>
          <w:rFonts w:ascii="Times New Roman" w:hAnsi="Times New Roman"/>
          <w:color w:val="000000"/>
          <w:sz w:val="24"/>
        </w:rPr>
        <w:t>1、</w:t>
      </w:r>
      <w:r>
        <w:rPr>
          <w:rFonts w:ascii="Times New Roman" w:hAnsi="Times New Roman"/>
          <w:b/>
          <w:bCs/>
          <w:color w:val="000000"/>
          <w:sz w:val="24"/>
        </w:rPr>
        <w:t>履约保证金</w:t>
      </w:r>
      <w:r>
        <w:rPr>
          <w:rFonts w:hint="eastAsia" w:ascii="Times New Roman" w:hAnsi="Times New Roman"/>
          <w:b/>
          <w:bCs/>
          <w:color w:val="000000"/>
          <w:sz w:val="24"/>
        </w:rPr>
        <w:t>详见“项目技术规范和服务要求”</w:t>
      </w:r>
      <w:r>
        <w:rPr>
          <w:rFonts w:ascii="Times New Roman" w:hAnsi="Times New Roman"/>
          <w:b/>
          <w:bCs/>
          <w:color w:val="000000"/>
          <w:sz w:val="24"/>
        </w:rPr>
        <w:t>。</w:t>
      </w:r>
      <w:r>
        <w:rPr>
          <w:rFonts w:hint="eastAsia" w:ascii="宋体" w:hAnsi="宋体" w:cs="仿宋_GB2312"/>
          <w:b/>
          <w:bCs/>
          <w:color w:val="000000"/>
          <w:sz w:val="24"/>
        </w:rPr>
        <w:t xml:space="preserve">  </w:t>
      </w:r>
    </w:p>
    <w:p>
      <w:pPr>
        <w:autoSpaceDE w:val="0"/>
        <w:autoSpaceDN w:val="0"/>
        <w:snapToGrid w:val="0"/>
        <w:spacing w:line="336" w:lineRule="auto"/>
        <w:ind w:firstLine="480" w:firstLineChars="200"/>
        <w:rPr>
          <w:rFonts w:ascii="宋体" w:hAnsi="宋体" w:cs="宋体"/>
          <w:color w:val="000000"/>
          <w:sz w:val="24"/>
        </w:rPr>
      </w:pPr>
      <w:r>
        <w:rPr>
          <w:rFonts w:hint="eastAsia" w:ascii="宋体" w:hAnsi="宋体" w:cs="宋体"/>
          <w:color w:val="000000"/>
          <w:sz w:val="24"/>
        </w:rPr>
        <w:t>2、中标人应以支票、汇票、本票或者金融机构、担保机构出具的保函等非现金形式，提交履约保证金。</w:t>
      </w:r>
    </w:p>
    <w:p>
      <w:pPr>
        <w:autoSpaceDE w:val="0"/>
        <w:autoSpaceDN w:val="0"/>
        <w:snapToGrid w:val="0"/>
        <w:spacing w:line="336" w:lineRule="auto"/>
        <w:ind w:firstLine="480" w:firstLineChars="200"/>
        <w:rPr>
          <w:rFonts w:ascii="宋体" w:hAnsi="宋体" w:cs="宋体"/>
          <w:color w:val="000000"/>
          <w:sz w:val="24"/>
        </w:rPr>
      </w:pPr>
      <w:r>
        <w:rPr>
          <w:rFonts w:hint="eastAsia" w:ascii="宋体" w:hAnsi="宋体" w:cs="宋体"/>
          <w:color w:val="000000"/>
          <w:sz w:val="24"/>
        </w:rPr>
        <w:t>3、履约保证金在合同专用条款约定期间内或者货物质量保证期内不予退还或者应完全有效，</w:t>
      </w:r>
      <w:r>
        <w:rPr>
          <w:rFonts w:hint="eastAsia" w:ascii="宋体" w:hAnsi="宋体"/>
          <w:color w:val="000000"/>
          <w:sz w:val="24"/>
        </w:rPr>
        <w:t>待服务期满后，无质量、服务问题，由招标人向中标人无息退还</w:t>
      </w:r>
      <w:r>
        <w:rPr>
          <w:rFonts w:hint="eastAsia" w:ascii="宋体" w:hAnsi="宋体" w:cs="仿宋_GB2312"/>
          <w:color w:val="000000"/>
          <w:sz w:val="24"/>
          <w:lang w:val="zh-CN"/>
        </w:rPr>
        <w:t>。</w:t>
      </w:r>
    </w:p>
    <w:p>
      <w:pPr>
        <w:shd w:val="clear" w:color="auto" w:fill="FFFFFF"/>
        <w:snapToGrid w:val="0"/>
        <w:spacing w:line="336" w:lineRule="auto"/>
        <w:ind w:firstLine="480" w:firstLineChars="200"/>
        <w:rPr>
          <w:rFonts w:ascii="宋体" w:hAnsi="宋体" w:cs="宋体"/>
          <w:color w:val="000000"/>
          <w:sz w:val="24"/>
        </w:rPr>
      </w:pPr>
      <w:r>
        <w:rPr>
          <w:rFonts w:hint="eastAsia" w:ascii="宋体" w:hAnsi="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36" w:lineRule="auto"/>
        <w:rPr>
          <w:rFonts w:ascii="宋体" w:hAnsi="宋体" w:cs="宋体"/>
          <w:b/>
          <w:bCs/>
          <w:color w:val="000000"/>
          <w:sz w:val="24"/>
        </w:rPr>
      </w:pPr>
      <w:r>
        <w:rPr>
          <w:rFonts w:hint="eastAsia" w:ascii="宋体" w:hAnsi="宋体" w:cs="宋体"/>
          <w:b/>
          <w:bCs/>
          <w:color w:val="000000"/>
          <w:sz w:val="24"/>
        </w:rPr>
        <w:t>（四）付款结算方式</w:t>
      </w:r>
    </w:p>
    <w:p>
      <w:pPr>
        <w:shd w:val="clear" w:color="auto" w:fill="FFFFFF"/>
        <w:snapToGrid w:val="0"/>
        <w:spacing w:line="336" w:lineRule="auto"/>
        <w:ind w:firstLine="723" w:firstLineChars="300"/>
        <w:rPr>
          <w:rFonts w:ascii="宋体" w:hAnsi="宋体" w:cs="宋体"/>
          <w:b/>
          <w:bCs/>
          <w:color w:val="000000"/>
          <w:sz w:val="24"/>
        </w:rPr>
      </w:pPr>
      <w:r>
        <w:rPr>
          <w:rFonts w:hint="eastAsia" w:ascii="Times New Roman" w:hAnsi="Times New Roman"/>
          <w:b/>
          <w:bCs/>
          <w:color w:val="000000"/>
          <w:sz w:val="24"/>
        </w:rPr>
        <w:t>详见“项目技术规范和服务要求”</w:t>
      </w:r>
      <w:r>
        <w:rPr>
          <w:rFonts w:ascii="Times New Roman" w:hAnsi="Times New Roman"/>
          <w:b/>
          <w:bCs/>
          <w:color w:val="000000"/>
          <w:sz w:val="24"/>
        </w:rPr>
        <w:t>。</w:t>
      </w:r>
    </w:p>
    <w:p>
      <w:pPr>
        <w:numPr>
          <w:ilvl w:val="0"/>
          <w:numId w:val="14"/>
        </w:numPr>
        <w:shd w:val="clear" w:color="auto" w:fill="FFFFFF"/>
        <w:snapToGrid w:val="0"/>
        <w:spacing w:line="336" w:lineRule="auto"/>
        <w:rPr>
          <w:rFonts w:ascii="宋体" w:hAnsi="宋体" w:cs="宋体"/>
          <w:b/>
          <w:bCs/>
          <w:color w:val="000000"/>
          <w:sz w:val="24"/>
        </w:rPr>
      </w:pPr>
      <w:r>
        <w:rPr>
          <w:rFonts w:hint="eastAsia" w:ascii="宋体" w:hAnsi="宋体" w:cs="宋体"/>
          <w:b/>
          <w:bCs/>
          <w:color w:val="000000"/>
          <w:sz w:val="24"/>
        </w:rPr>
        <w:t>服务期限</w:t>
      </w:r>
    </w:p>
    <w:p>
      <w:pPr>
        <w:autoSpaceDE w:val="0"/>
        <w:autoSpaceDN w:val="0"/>
        <w:snapToGrid w:val="0"/>
        <w:spacing w:line="336" w:lineRule="auto"/>
        <w:ind w:firstLine="723" w:firstLineChars="300"/>
        <w:rPr>
          <w:rFonts w:ascii="宋体" w:hAnsi="宋体" w:cs="宋体"/>
          <w:color w:val="000000"/>
          <w:sz w:val="24"/>
        </w:rPr>
      </w:pPr>
      <w:r>
        <w:rPr>
          <w:rFonts w:hint="eastAsia" w:ascii="Times New Roman" w:hAnsi="Times New Roman"/>
          <w:b/>
          <w:bCs/>
          <w:color w:val="000000"/>
          <w:sz w:val="24"/>
        </w:rPr>
        <w:t>详见“项目技术规范和服务要求”</w:t>
      </w:r>
      <w:r>
        <w:rPr>
          <w:rFonts w:hint="eastAsia" w:ascii="宋体" w:hAnsi="宋体" w:cs="仿宋_GB2312"/>
          <w:b/>
          <w:bCs/>
          <w:color w:val="000000"/>
          <w:sz w:val="24"/>
        </w:rPr>
        <w:t xml:space="preserve"> </w:t>
      </w:r>
      <w:r>
        <w:rPr>
          <w:rFonts w:ascii="Times New Roman" w:hAnsi="Times New Roman"/>
          <w:b/>
          <w:bCs/>
          <w:color w:val="000000"/>
          <w:sz w:val="24"/>
        </w:rPr>
        <w:t>。</w:t>
      </w:r>
    </w:p>
    <w:p>
      <w:pPr>
        <w:shd w:val="clear" w:color="auto" w:fill="FFFFFF"/>
        <w:snapToGrid w:val="0"/>
        <w:spacing w:line="336" w:lineRule="auto"/>
        <w:rPr>
          <w:rFonts w:ascii="宋体" w:hAnsi="宋体" w:cs="宋体"/>
          <w:color w:val="000000"/>
          <w:kern w:val="0"/>
          <w:sz w:val="24"/>
          <w:lang w:val="zh-CN"/>
        </w:rPr>
      </w:pPr>
      <w:r>
        <w:rPr>
          <w:rFonts w:hint="eastAsia" w:ascii="宋体" w:hAnsi="宋体" w:cs="宋体"/>
          <w:b/>
          <w:bCs/>
          <w:color w:val="000000"/>
          <w:sz w:val="24"/>
        </w:rPr>
        <w:t>（六）采购方式改变</w:t>
      </w:r>
    </w:p>
    <w:p>
      <w:pPr>
        <w:shd w:val="clear" w:color="auto" w:fill="FFFFFF"/>
        <w:snapToGrid w:val="0"/>
        <w:spacing w:line="336" w:lineRule="auto"/>
        <w:ind w:firstLine="480" w:firstLineChars="200"/>
        <w:rPr>
          <w:rFonts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36" w:lineRule="auto"/>
        <w:rPr>
          <w:rFonts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36" w:lineRule="auto"/>
        <w:ind w:firstLine="480" w:firstLineChars="200"/>
        <w:rPr>
          <w:rFonts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36" w:lineRule="auto"/>
        <w:rPr>
          <w:rFonts w:ascii="宋体" w:hAnsi="宋体" w:cs="宋体"/>
          <w:b/>
          <w:color w:val="000000"/>
          <w:sz w:val="24"/>
        </w:rPr>
      </w:pPr>
      <w:r>
        <w:rPr>
          <w:rFonts w:hint="eastAsia" w:ascii="宋体" w:hAnsi="宋体" w:cs="宋体"/>
          <w:b/>
          <w:color w:val="000000"/>
          <w:sz w:val="24"/>
        </w:rPr>
        <w:t>（八）质疑和投诉</w:t>
      </w:r>
    </w:p>
    <w:p>
      <w:pPr>
        <w:snapToGrid w:val="0"/>
        <w:spacing w:line="336"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 xml:space="preserve">1、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）、投标人如认为招标公告信息使自身的合法权益受到损害的，应于自招标公告发布之日起七个工作日内以书面形式向采购代理机构提出质疑。</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snapToGrid w:val="0"/>
        <w:spacing w:line="336" w:lineRule="auto"/>
        <w:ind w:firstLine="480" w:firstLineChars="200"/>
        <w:jc w:val="left"/>
        <w:rPr>
          <w:rFonts w:ascii="宋体" w:cs="宋体"/>
          <w:color w:val="000000"/>
          <w:sz w:val="24"/>
        </w:rPr>
      </w:pPr>
      <w:r>
        <w:rPr>
          <w:rFonts w:hint="eastAsia" w:ascii="宋体" w:hAnsi="宋体" w:cs="宋体"/>
          <w:color w:val="000000"/>
          <w:sz w:val="24"/>
        </w:rPr>
        <w:t>（3）、投标人如认为采购过程使自身的合法权益受到损害的，应于自各采购程序环节结束之日起七个工作日内，以书面形式向采购代理机构提出质疑。</w:t>
      </w:r>
    </w:p>
    <w:p>
      <w:pPr>
        <w:snapToGrid w:val="0"/>
        <w:spacing w:line="336" w:lineRule="auto"/>
        <w:ind w:firstLine="480" w:firstLineChars="200"/>
        <w:jc w:val="left"/>
        <w:rPr>
          <w:rFonts w:ascii="宋体" w:cs="宋体"/>
          <w:color w:val="000000"/>
          <w:sz w:val="24"/>
        </w:rPr>
      </w:pPr>
      <w:r>
        <w:rPr>
          <w:rFonts w:hint="eastAsia" w:ascii="宋体" w:hAnsi="宋体" w:cs="宋体"/>
          <w:color w:val="000000"/>
          <w:sz w:val="24"/>
        </w:rPr>
        <w:t>（4）、投标人如认为中标结果使自身的合法权益受到损害的，应于自中标结果公告期限（公告期限为</w:t>
      </w:r>
      <w:r>
        <w:rPr>
          <w:rFonts w:ascii="宋体" w:hAnsi="宋体" w:cs="宋体"/>
          <w:color w:val="000000"/>
          <w:sz w:val="24"/>
        </w:rPr>
        <w:t>1</w:t>
      </w:r>
      <w:r>
        <w:rPr>
          <w:rFonts w:hint="eastAsia" w:ascii="宋体" w:hAnsi="宋体" w:cs="宋体"/>
          <w:color w:val="000000"/>
          <w:sz w:val="24"/>
        </w:rPr>
        <w:t>个工作日）届满之日起七个工作日内，以书面形式向采购代理机构提出质疑。</w:t>
      </w:r>
    </w:p>
    <w:p>
      <w:pPr>
        <w:adjustRightInd w:val="0"/>
        <w:snapToGrid w:val="0"/>
        <w:spacing w:line="336" w:lineRule="auto"/>
        <w:ind w:firstLine="480" w:firstLineChars="200"/>
        <w:rPr>
          <w:rFonts w:ascii="宋体" w:hAnsi="宋体" w:cs="宋体"/>
          <w:color w:val="000000"/>
          <w:sz w:val="24"/>
        </w:rPr>
      </w:pPr>
      <w:r>
        <w:rPr>
          <w:rFonts w:hint="eastAsia" w:ascii="宋体" w:hAnsi="宋体" w:cs="宋体"/>
          <w:color w:val="000000"/>
          <w:sz w:val="24"/>
        </w:rPr>
        <w:t>2、提出质疑的供应商应当是参与本项招标活动的投标人，在法定质疑期内应一次性提出针对同一采购程序环节的质疑。</w:t>
      </w:r>
    </w:p>
    <w:p>
      <w:pPr>
        <w:snapToGrid w:val="0"/>
        <w:spacing w:line="336"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3、采购人或者采购代理机构应当在3个工作日内对供应商依法提出的询问作出答复。</w:t>
      </w:r>
    </w:p>
    <w:p>
      <w:pPr>
        <w:snapToGrid w:val="0"/>
        <w:spacing w:line="336"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36"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36" w:lineRule="auto"/>
        <w:ind w:firstLine="480" w:firstLineChars="200"/>
        <w:rPr>
          <w:rFonts w:ascii="宋体" w:hAnsi="宋体" w:cs="宋体"/>
          <w:color w:val="000000"/>
          <w:sz w:val="24"/>
        </w:rPr>
      </w:pPr>
      <w:r>
        <w:rPr>
          <w:rFonts w:hint="eastAsia" w:ascii="宋体" w:hAnsi="宋体" w:cs="宋体"/>
          <w:snapToGrid w:val="0"/>
          <w:color w:val="000000"/>
          <w:kern w:val="0"/>
          <w:sz w:val="24"/>
        </w:rPr>
        <w:t>4、</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36" w:lineRule="auto"/>
        <w:rPr>
          <w:rFonts w:ascii="宋体" w:hAnsi="宋体" w:cs="宋体"/>
          <w:b/>
          <w:bCs/>
          <w:color w:val="000000"/>
          <w:sz w:val="24"/>
        </w:rPr>
      </w:pPr>
      <w:r>
        <w:rPr>
          <w:rFonts w:hint="eastAsia" w:ascii="宋体" w:hAnsi="宋体" w:cs="宋体"/>
          <w:b/>
          <w:bCs/>
          <w:color w:val="000000"/>
          <w:kern w:val="0"/>
          <w:sz w:val="24"/>
          <w:lang w:val="zh-CN"/>
        </w:rPr>
        <w:t>（九）</w:t>
      </w:r>
      <w:r>
        <w:rPr>
          <w:rFonts w:hint="eastAsia" w:ascii="宋体" w:hAnsi="宋体" w:cs="宋体"/>
          <w:b/>
          <w:bCs/>
          <w:color w:val="000000"/>
          <w:sz w:val="24"/>
        </w:rPr>
        <w:t>解释权</w:t>
      </w:r>
    </w:p>
    <w:p>
      <w:pPr>
        <w:shd w:val="clear" w:color="auto" w:fill="FFFFFF"/>
        <w:snapToGrid w:val="0"/>
        <w:spacing w:line="336" w:lineRule="auto"/>
        <w:ind w:firstLine="480" w:firstLineChars="200"/>
        <w:rPr>
          <w:rFonts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ageBreakBefore/>
        <w:numPr>
          <w:ilvl w:val="0"/>
          <w:numId w:val="8"/>
        </w:numPr>
        <w:shd w:val="clear" w:color="auto" w:fill="FFFFFF"/>
        <w:snapToGrid w:val="0"/>
        <w:spacing w:line="360" w:lineRule="auto"/>
        <w:jc w:val="center"/>
        <w:outlineLvl w:val="0"/>
        <w:rPr>
          <w:rFonts w:ascii="宋体" w:hAnsi="宋体"/>
          <w:b/>
          <w:bCs/>
          <w:sz w:val="32"/>
          <w:szCs w:val="32"/>
        </w:rPr>
      </w:pPr>
      <w:bookmarkStart w:id="108" w:name="_Toc9961"/>
      <w:bookmarkStart w:id="109" w:name="_Toc31399"/>
      <w:bookmarkStart w:id="110" w:name="_Toc26111"/>
      <w:r>
        <w:rPr>
          <w:rFonts w:hint="eastAsia" w:ascii="宋体" w:hAnsi="宋体" w:cs="宋体"/>
          <w:b/>
          <w:bCs/>
          <w:color w:val="000000"/>
          <w:sz w:val="32"/>
          <w:szCs w:val="32"/>
        </w:rPr>
        <w:t>项目技术规范和服务要求</w:t>
      </w:r>
      <w:bookmarkEnd w:id="108"/>
      <w:bookmarkEnd w:id="109"/>
      <w:bookmarkEnd w:id="110"/>
    </w:p>
    <w:bookmarkEnd w:id="25"/>
    <w:bookmarkEnd w:id="26"/>
    <w:bookmarkEnd w:id="27"/>
    <w:bookmarkEnd w:id="28"/>
    <w:p>
      <w:pPr>
        <w:widowControl/>
        <w:jc w:val="center"/>
        <w:rPr>
          <w:rFonts w:ascii="宋体" w:hAnsi="宋体" w:eastAsia="宋体" w:cs="仿宋_GB2312"/>
          <w:b/>
          <w:sz w:val="36"/>
        </w:rPr>
      </w:pPr>
      <w:bookmarkStart w:id="111" w:name="_Toc36131210"/>
      <w:r>
        <w:rPr>
          <w:rFonts w:hint="eastAsia" w:ascii="宋体" w:hAnsi="宋体" w:eastAsia="宋体" w:cs="仿宋_GB2312"/>
          <w:b/>
          <w:sz w:val="36"/>
        </w:rPr>
        <w:t xml:space="preserve">第三部分 </w:t>
      </w:r>
      <w:bookmarkEnd w:id="111"/>
      <w:bookmarkStart w:id="112" w:name="_Toc515532607"/>
      <w:r>
        <w:rPr>
          <w:rFonts w:hint="eastAsia" w:ascii="宋体" w:hAnsi="宋体" w:eastAsia="宋体" w:cs="仿宋_GB2312"/>
          <w:b/>
          <w:sz w:val="36"/>
        </w:rPr>
        <w:t>采购内容及要求</w:t>
      </w:r>
    </w:p>
    <w:p>
      <w:pPr>
        <w:widowControl/>
        <w:jc w:val="center"/>
        <w:rPr>
          <w:rFonts w:ascii="宋体" w:hAnsi="宋体" w:eastAsia="宋体" w:cs="仿宋"/>
          <w:b/>
          <w:sz w:val="30"/>
          <w:szCs w:val="30"/>
        </w:rPr>
      </w:pPr>
    </w:p>
    <w:p>
      <w:pPr>
        <w:adjustRightInd w:val="0"/>
        <w:snapToGrid w:val="0"/>
        <w:spacing w:line="360" w:lineRule="auto"/>
        <w:rPr>
          <w:rFonts w:ascii="宋体" w:hAnsi="宋体"/>
          <w:b/>
          <w:bCs/>
          <w:color w:val="000000"/>
          <w:sz w:val="24"/>
          <w:szCs w:val="24"/>
        </w:rPr>
      </w:pPr>
      <w:bookmarkStart w:id="113" w:name="_Toc36131214"/>
      <w:r>
        <w:rPr>
          <w:rFonts w:hint="eastAsia" w:ascii="宋体" w:hAnsi="宋体"/>
          <w:b/>
          <w:bCs/>
          <w:color w:val="000000"/>
          <w:sz w:val="24"/>
          <w:szCs w:val="24"/>
          <w:lang w:val="en-US" w:eastAsia="zh-CN"/>
        </w:rPr>
        <w:t>一</w:t>
      </w:r>
      <w:r>
        <w:rPr>
          <w:rFonts w:hint="eastAsia" w:ascii="宋体" w:hAnsi="宋体"/>
          <w:b/>
          <w:bCs/>
          <w:color w:val="000000"/>
          <w:sz w:val="24"/>
          <w:szCs w:val="24"/>
        </w:rPr>
        <w:t>、项目概述：</w:t>
      </w:r>
    </w:p>
    <w:p>
      <w:pPr>
        <w:keepNext w:val="0"/>
        <w:keepLines w:val="0"/>
        <w:pageBreakBefore w:val="0"/>
        <w:widowControl w:val="0"/>
        <w:kinsoku/>
        <w:wordWrap/>
        <w:overflowPunct/>
        <w:topLinePunct w:val="0"/>
        <w:autoSpaceDE/>
        <w:autoSpaceDN/>
        <w:bidi w:val="0"/>
        <w:adjustRightInd w:val="0"/>
        <w:snapToGrid w:val="0"/>
        <w:spacing w:line="700" w:lineRule="atLeast"/>
        <w:ind w:firstLine="1120" w:firstLineChars="400"/>
        <w:jc w:val="left"/>
        <w:textAlignment w:val="auto"/>
        <w:rPr>
          <w:rFonts w:hint="eastAsia"/>
          <w:color w:val="000000"/>
          <w:sz w:val="28"/>
          <w:szCs w:val="28"/>
        </w:rPr>
      </w:pPr>
      <w:r>
        <w:rPr>
          <w:rFonts w:hint="eastAsia"/>
          <w:color w:val="000000"/>
          <w:sz w:val="28"/>
          <w:szCs w:val="28"/>
        </w:rPr>
        <w:t>近年来，我区持续推动道路交通源头治理工作，“农村两站两员”建设、全区重大隐患治理工作等源头治理工作取得一定的成效，但是仍然面临着源头宣教针对性不强、各地各部门齐抓共管不力等局面。为进一步夯实道路交通安全管理责任，创新交通安全源头管理新模式和新理念，建立健全交通综合治理长效机制，交通治理工作站作为抓好交通安全源头治理的强力抓手，是预防和减少道路交通事故的有效手段，是解决影响和制约道路交通安全的基础性、源头性、根本性问题的强力平台，各镇（街）、各部门应扎实开展交通治理工作站建设工作。强化重点车辆违法行为整治。开展工程运输车、电动自行车交通违法行为专项整治行动，切实加强路面重点交通违法整治力度，从严、从重查处严重影响交通安全的酒驾、毒驾、超速、超员、假牌套牌、以及非机动车的四类严重违法（闯红灯、逆向行驶、骑行机动车道、违法载人）等严重交通违法行为。交通运输执法工作站要加大路面巡查力度，从严查处超限车辆，并做好隐患消除工作。城管执法中队要加强对工程车辆抛洒、无渣土准运证行驶等违法行为的执法力度，切实形成对重点车辆交通违法的整治合力。由镇街平安办牵头，交警城区中队、城管执法中队、***、交通路政中队等部门负责人带队上路开展联合整治工作，强效打击路面各类交通违法行为，全力净化道路交通秩序，为群众的出行创造良好的道路交通环境。</w:t>
      </w:r>
    </w:p>
    <w:p>
      <w:pPr>
        <w:spacing w:line="480" w:lineRule="atLeast"/>
        <w:ind w:firstLine="570"/>
        <w:rPr>
          <w:rFonts w:ascii="??" w:hAnsi="??" w:eastAsia="??"/>
          <w:sz w:val="28"/>
          <w:szCs w:val="28"/>
        </w:rPr>
      </w:pPr>
      <w:r>
        <w:rPr>
          <w:rFonts w:hint="eastAsia" w:ascii="宋体" w:hAnsi="宋体" w:cs="宋体"/>
          <w:sz w:val="28"/>
          <w:szCs w:val="28"/>
        </w:rPr>
        <w:t>一、功能</w:t>
      </w:r>
    </w:p>
    <w:p>
      <w:pPr>
        <w:spacing w:line="480" w:lineRule="atLeast"/>
        <w:ind w:firstLine="570"/>
        <w:rPr>
          <w:rFonts w:ascii="??" w:hAnsi="??" w:eastAsia="??"/>
          <w:sz w:val="28"/>
          <w:szCs w:val="28"/>
        </w:rPr>
      </w:pPr>
      <w:r>
        <w:rPr>
          <w:rFonts w:hint="eastAsia" w:ascii="宋体" w:hAnsi="宋体" w:cs="宋体"/>
          <w:sz w:val="28"/>
          <w:szCs w:val="28"/>
        </w:rPr>
        <w:t>交治站应集交通安全体验室、交通安全宣教室、</w:t>
      </w:r>
      <w:r>
        <w:rPr>
          <w:rFonts w:hint="eastAsia" w:ascii="??" w:hAnsi="??" w:eastAsia="??"/>
          <w:sz w:val="28"/>
          <w:szCs w:val="28"/>
        </w:rPr>
        <w:t>24</w:t>
      </w:r>
      <w:r>
        <w:rPr>
          <w:rFonts w:hint="eastAsia" w:ascii="宋体" w:hAnsi="宋体" w:cs="宋体"/>
          <w:sz w:val="28"/>
          <w:szCs w:val="28"/>
        </w:rPr>
        <w:t>小时无人自助服务区、全面夯实交通安全源头治理工作。</w:t>
      </w:r>
    </w:p>
    <w:p>
      <w:pPr>
        <w:spacing w:line="480" w:lineRule="atLeast"/>
        <w:rPr>
          <w:rFonts w:ascii="??" w:hAnsi="??" w:eastAsia="??"/>
          <w:sz w:val="28"/>
          <w:szCs w:val="28"/>
        </w:rPr>
      </w:pPr>
      <w:r>
        <w:rPr>
          <w:rFonts w:hint="eastAsia" w:ascii="宋体" w:hAnsi="宋体" w:cs="宋体"/>
          <w:sz w:val="28"/>
          <w:szCs w:val="28"/>
        </w:rPr>
        <w:t>（一）交通治理数字工作室：实现对社区（村）机动车、机动车驾驶人、电动自行车、电动自行车驾驶人、重点人、流动人口、重点车、停车资源、辖区内交通安全隐患、源头宣教等情况的在线管控。依托监控实时监管，形成交治站内部管理流程闭环。</w:t>
      </w:r>
    </w:p>
    <w:p>
      <w:pPr>
        <w:spacing w:line="480" w:lineRule="atLeast"/>
        <w:ind w:firstLine="570"/>
        <w:rPr>
          <w:rFonts w:ascii="??" w:hAnsi="??" w:eastAsia="??"/>
          <w:sz w:val="28"/>
          <w:szCs w:val="28"/>
        </w:rPr>
      </w:pPr>
      <w:r>
        <w:rPr>
          <w:rFonts w:hint="eastAsia" w:ascii="宋体" w:hAnsi="宋体" w:cs="宋体"/>
          <w:sz w:val="28"/>
          <w:szCs w:val="28"/>
        </w:rPr>
        <w:t>（</w:t>
      </w:r>
      <w:r>
        <w:rPr>
          <w:rFonts w:hint="eastAsia" w:ascii="??" w:hAnsi="??"/>
          <w:sz w:val="28"/>
          <w:szCs w:val="28"/>
        </w:rPr>
        <w:t>二</w:t>
      </w:r>
      <w:r>
        <w:rPr>
          <w:rFonts w:hint="eastAsia" w:ascii="宋体" w:hAnsi="宋体" w:cs="宋体"/>
          <w:sz w:val="28"/>
          <w:szCs w:val="28"/>
        </w:rPr>
        <w:t>）交通安全体验室：借助</w:t>
      </w:r>
      <w:r>
        <w:rPr>
          <w:rFonts w:eastAsia="??"/>
          <w:sz w:val="28"/>
          <w:szCs w:val="28"/>
        </w:rPr>
        <w:t>“</w:t>
      </w:r>
      <w:r>
        <w:rPr>
          <w:rFonts w:hint="eastAsia" w:ascii="??" w:hAnsi="??" w:eastAsia="??"/>
          <w:sz w:val="28"/>
          <w:szCs w:val="28"/>
        </w:rPr>
        <w:t>5G+VR (AR) ”</w:t>
      </w:r>
      <w:r>
        <w:rPr>
          <w:rFonts w:hint="eastAsia" w:ascii="宋体" w:hAnsi="宋体" w:cs="宋体"/>
          <w:sz w:val="28"/>
          <w:szCs w:val="28"/>
        </w:rPr>
        <w:t>技术，通过</w:t>
      </w:r>
      <w:r>
        <w:rPr>
          <w:rFonts w:hint="eastAsia" w:ascii="??" w:hAnsi="??" w:eastAsia="??"/>
          <w:sz w:val="28"/>
          <w:szCs w:val="28"/>
        </w:rPr>
        <w:t>VR</w:t>
      </w:r>
      <w:r>
        <w:rPr>
          <w:rFonts w:hint="eastAsia" w:ascii="宋体" w:hAnsi="宋体" w:cs="宋体"/>
          <w:sz w:val="28"/>
          <w:szCs w:val="28"/>
        </w:rPr>
        <w:t>或</w:t>
      </w:r>
      <w:r>
        <w:rPr>
          <w:rFonts w:hint="eastAsia" w:ascii="??" w:hAnsi="??" w:eastAsia="??"/>
          <w:sz w:val="28"/>
          <w:szCs w:val="28"/>
        </w:rPr>
        <w:t>AR“</w:t>
      </w:r>
      <w:r>
        <w:rPr>
          <w:rFonts w:hint="eastAsia" w:ascii="宋体" w:hAnsi="宋体" w:cs="宋体"/>
          <w:sz w:val="28"/>
          <w:szCs w:val="28"/>
        </w:rPr>
        <w:t>沉浸性</w:t>
      </w:r>
      <w:r>
        <w:rPr>
          <w:rFonts w:eastAsia="??"/>
          <w:sz w:val="28"/>
          <w:szCs w:val="28"/>
        </w:rPr>
        <w:t>”</w:t>
      </w:r>
      <w:r>
        <w:rPr>
          <w:rFonts w:hint="eastAsia" w:ascii="宋体" w:hAnsi="宋体" w:cs="宋体"/>
          <w:sz w:val="28"/>
          <w:szCs w:val="28"/>
        </w:rPr>
        <w:t>、</w:t>
      </w:r>
      <w:r>
        <w:rPr>
          <w:rFonts w:eastAsia="??"/>
          <w:sz w:val="28"/>
          <w:szCs w:val="28"/>
        </w:rPr>
        <w:t>“</w:t>
      </w:r>
      <w:r>
        <w:rPr>
          <w:rFonts w:hint="eastAsia" w:ascii="宋体" w:hAnsi="宋体" w:cs="宋体"/>
          <w:sz w:val="28"/>
          <w:szCs w:val="28"/>
        </w:rPr>
        <w:t>交互性</w:t>
      </w:r>
      <w:r>
        <w:rPr>
          <w:rFonts w:eastAsia="??"/>
          <w:sz w:val="28"/>
          <w:szCs w:val="28"/>
        </w:rPr>
        <w:t>”</w:t>
      </w:r>
      <w:r>
        <w:rPr>
          <w:rFonts w:hint="eastAsia" w:ascii="宋体" w:hAnsi="宋体" w:cs="宋体"/>
          <w:sz w:val="28"/>
          <w:szCs w:val="28"/>
        </w:rPr>
        <w:t>、</w:t>
      </w:r>
      <w:r>
        <w:rPr>
          <w:rFonts w:hint="eastAsia" w:ascii="??" w:hAnsi="??" w:eastAsia="??"/>
          <w:sz w:val="28"/>
          <w:szCs w:val="28"/>
        </w:rPr>
        <w:t xml:space="preserve"> “</w:t>
      </w:r>
      <w:r>
        <w:rPr>
          <w:rFonts w:hint="eastAsia" w:ascii="宋体" w:hAnsi="宋体" w:cs="宋体"/>
          <w:sz w:val="28"/>
          <w:szCs w:val="28"/>
        </w:rPr>
        <w:t>想象性</w:t>
      </w:r>
      <w:r>
        <w:rPr>
          <w:rFonts w:eastAsia="??"/>
          <w:sz w:val="28"/>
          <w:szCs w:val="28"/>
        </w:rPr>
        <w:t>”</w:t>
      </w:r>
      <w:r>
        <w:rPr>
          <w:rFonts w:hint="eastAsia" w:ascii="宋体" w:hAnsi="宋体" w:cs="宋体"/>
          <w:sz w:val="28"/>
          <w:szCs w:val="28"/>
        </w:rPr>
        <w:t>三大特质，实现交通安全宣传教育可视、可感、可触及。通过模拟真实场景训练避险方法，将难以掌握的行路、行车知识，难以亲身经历的交通事故风险，提升重点群体的交通安全意识，努力改善其出行行为习惯，为传统交通安全宣传教育注入新的活力。</w:t>
      </w:r>
    </w:p>
    <w:p>
      <w:pPr>
        <w:spacing w:line="480" w:lineRule="atLeast"/>
        <w:ind w:firstLine="570"/>
        <w:rPr>
          <w:rFonts w:ascii="??" w:hAnsi="??" w:eastAsia="??"/>
          <w:sz w:val="28"/>
          <w:szCs w:val="28"/>
        </w:rPr>
      </w:pPr>
      <w:r>
        <w:rPr>
          <w:rFonts w:hint="eastAsia" w:ascii="宋体" w:hAnsi="宋体" w:cs="宋体"/>
          <w:sz w:val="28"/>
          <w:szCs w:val="28"/>
        </w:rPr>
        <w:t>（</w:t>
      </w:r>
      <w:r>
        <w:rPr>
          <w:rFonts w:hint="eastAsia" w:ascii="??" w:hAnsi="??"/>
          <w:sz w:val="28"/>
          <w:szCs w:val="28"/>
        </w:rPr>
        <w:t>三</w:t>
      </w:r>
      <w:r>
        <w:rPr>
          <w:rFonts w:hint="eastAsia" w:ascii="宋体" w:hAnsi="宋体" w:cs="宋体"/>
          <w:sz w:val="28"/>
          <w:szCs w:val="28"/>
        </w:rPr>
        <w:t>）交通安全宣教室：依托真实案例视频、交通法律法规等内容，实现对社区（村）</w:t>
      </w:r>
      <w:r>
        <w:rPr>
          <w:rFonts w:hint="eastAsia" w:ascii="??" w:hAnsi="??" w:eastAsia="??"/>
          <w:sz w:val="28"/>
          <w:szCs w:val="28"/>
        </w:rPr>
        <w:t>60</w:t>
      </w:r>
      <w:r>
        <w:rPr>
          <w:rFonts w:hint="eastAsia" w:ascii="宋体" w:hAnsi="宋体" w:cs="宋体"/>
          <w:sz w:val="28"/>
          <w:szCs w:val="28"/>
        </w:rPr>
        <w:t>岁以上老人、</w:t>
      </w:r>
      <w:r>
        <w:rPr>
          <w:rFonts w:hint="eastAsia" w:ascii="??" w:hAnsi="??" w:eastAsia="??"/>
          <w:sz w:val="28"/>
          <w:szCs w:val="28"/>
        </w:rPr>
        <w:t>12</w:t>
      </w:r>
      <w:r>
        <w:rPr>
          <w:rFonts w:hint="eastAsia" w:ascii="宋体" w:hAnsi="宋体" w:cs="宋体"/>
          <w:sz w:val="28"/>
          <w:szCs w:val="28"/>
        </w:rPr>
        <w:t>周岁以下未成年人、重点驾驶人（按倒退</w:t>
      </w:r>
      <w:r>
        <w:rPr>
          <w:rFonts w:hint="eastAsia" w:ascii="??" w:hAnsi="??" w:eastAsia="??"/>
          <w:sz w:val="28"/>
          <w:szCs w:val="28"/>
        </w:rPr>
        <w:t>365</w:t>
      </w:r>
      <w:r>
        <w:rPr>
          <w:rFonts w:hint="eastAsia" w:ascii="宋体" w:hAnsi="宋体" w:cs="宋体"/>
          <w:sz w:val="28"/>
          <w:szCs w:val="28"/>
        </w:rPr>
        <w:t>天对</w:t>
      </w:r>
      <w:r>
        <w:rPr>
          <w:rFonts w:hint="eastAsia" w:ascii="??" w:hAnsi="??" w:eastAsia="??"/>
          <w:sz w:val="28"/>
          <w:szCs w:val="28"/>
        </w:rPr>
        <w:t>3</w:t>
      </w:r>
      <w:r>
        <w:rPr>
          <w:rFonts w:hint="eastAsia" w:ascii="宋体" w:hAnsi="宋体" w:cs="宋体"/>
          <w:sz w:val="28"/>
          <w:szCs w:val="28"/>
        </w:rPr>
        <w:t>次以上事故、违法，毒驾、酒驾、失驾、疾病等隐患人员、本本族）、暂住人口等人员进行源头（训诫）宣教。依托民警远程视频，实现</w:t>
      </w:r>
      <w:r>
        <w:rPr>
          <w:rFonts w:eastAsia="??"/>
          <w:sz w:val="28"/>
          <w:szCs w:val="28"/>
        </w:rPr>
        <w:t>“</w:t>
      </w:r>
      <w:r>
        <w:rPr>
          <w:rFonts w:hint="eastAsia" w:ascii="宋体" w:hAnsi="宋体" w:cs="宋体"/>
          <w:sz w:val="28"/>
          <w:szCs w:val="28"/>
        </w:rPr>
        <w:t>初学驾驶人科目一理论培训、</w:t>
      </w:r>
      <w:r>
        <w:rPr>
          <w:rFonts w:hint="eastAsia" w:ascii="??" w:hAnsi="??" w:eastAsia="??"/>
          <w:sz w:val="28"/>
          <w:szCs w:val="28"/>
        </w:rPr>
        <w:t xml:space="preserve"> </w:t>
      </w:r>
      <w:r>
        <w:rPr>
          <w:rFonts w:hint="eastAsia" w:ascii="宋体" w:hAnsi="宋体" w:cs="宋体"/>
          <w:sz w:val="28"/>
          <w:szCs w:val="28"/>
        </w:rPr>
        <w:t>满分教育、审验教育、减分教育</w:t>
      </w:r>
      <w:r>
        <w:rPr>
          <w:rFonts w:eastAsia="??"/>
          <w:sz w:val="28"/>
          <w:szCs w:val="28"/>
        </w:rPr>
        <w:t>”</w:t>
      </w:r>
      <w:r>
        <w:rPr>
          <w:rFonts w:hint="eastAsia" w:ascii="宋体" w:hAnsi="宋体" w:cs="宋体"/>
          <w:sz w:val="28"/>
          <w:szCs w:val="28"/>
        </w:rPr>
        <w:t>四项学习教育。</w:t>
      </w:r>
    </w:p>
    <w:p>
      <w:pPr>
        <w:spacing w:line="480" w:lineRule="atLeast"/>
        <w:ind w:firstLine="570"/>
        <w:rPr>
          <w:rFonts w:ascii="??" w:hAnsi="??" w:eastAsia="??"/>
          <w:sz w:val="28"/>
          <w:szCs w:val="28"/>
        </w:rPr>
      </w:pPr>
      <w:r>
        <w:rPr>
          <w:rFonts w:hint="eastAsia" w:ascii="宋体" w:hAnsi="宋体" w:cs="宋体"/>
          <w:sz w:val="28"/>
          <w:szCs w:val="28"/>
        </w:rPr>
        <w:t>（</w:t>
      </w:r>
      <w:r>
        <w:rPr>
          <w:rFonts w:hint="eastAsia" w:ascii="??" w:hAnsi="??"/>
          <w:sz w:val="28"/>
          <w:szCs w:val="28"/>
        </w:rPr>
        <w:t>四</w:t>
      </w:r>
      <w:r>
        <w:rPr>
          <w:rFonts w:hint="eastAsia" w:ascii="宋体" w:hAnsi="宋体" w:cs="宋体"/>
          <w:sz w:val="28"/>
          <w:szCs w:val="28"/>
        </w:rPr>
        <w:t>）</w:t>
      </w:r>
      <w:r>
        <w:rPr>
          <w:rFonts w:hint="eastAsia" w:ascii="??" w:hAnsi="??" w:eastAsia="??"/>
          <w:sz w:val="28"/>
          <w:szCs w:val="28"/>
        </w:rPr>
        <w:t>24</w:t>
      </w:r>
      <w:r>
        <w:rPr>
          <w:rFonts w:hint="eastAsia" w:ascii="宋体" w:hAnsi="宋体" w:cs="宋体"/>
          <w:sz w:val="28"/>
          <w:szCs w:val="28"/>
        </w:rPr>
        <w:t>小时无人自助服务区：实现车驾管</w:t>
      </w:r>
      <w:r>
        <w:rPr>
          <w:rFonts w:hint="eastAsia" w:ascii="??" w:hAnsi="??" w:eastAsia="??"/>
          <w:sz w:val="28"/>
          <w:szCs w:val="28"/>
        </w:rPr>
        <w:t>12123</w:t>
      </w:r>
      <w:r>
        <w:rPr>
          <w:rFonts w:hint="eastAsia" w:ascii="宋体" w:hAnsi="宋体" w:cs="宋体"/>
          <w:sz w:val="28"/>
          <w:szCs w:val="28"/>
        </w:rPr>
        <w:t>车管</w:t>
      </w:r>
      <w:r>
        <w:rPr>
          <w:rFonts w:hint="eastAsia" w:ascii="??" w:hAnsi="??" w:eastAsia="??"/>
          <w:sz w:val="28"/>
          <w:szCs w:val="28"/>
        </w:rPr>
        <w:t>16</w:t>
      </w:r>
      <w:r>
        <w:rPr>
          <w:rFonts w:hint="eastAsia" w:ascii="宋体" w:hAnsi="宋体" w:cs="宋体"/>
          <w:sz w:val="28"/>
          <w:szCs w:val="28"/>
        </w:rPr>
        <w:t>项网上业务无人办理和</w:t>
      </w:r>
      <w:r>
        <w:rPr>
          <w:rFonts w:hint="eastAsia" w:ascii="??" w:hAnsi="??" w:eastAsia="??"/>
          <w:sz w:val="28"/>
          <w:szCs w:val="28"/>
        </w:rPr>
        <w:t>7</w:t>
      </w:r>
      <w:r>
        <w:rPr>
          <w:rFonts w:hint="eastAsia" w:ascii="宋体" w:hAnsi="宋体" w:cs="宋体"/>
          <w:sz w:val="28"/>
          <w:szCs w:val="28"/>
        </w:rPr>
        <w:t>项牌证（驾驶证</w:t>
      </w:r>
      <w:r>
        <w:rPr>
          <w:rFonts w:hint="eastAsia" w:ascii="??" w:hAnsi="??" w:eastAsia="??"/>
          <w:sz w:val="28"/>
          <w:szCs w:val="28"/>
        </w:rPr>
        <w:t>4</w:t>
      </w:r>
      <w:r>
        <w:rPr>
          <w:rFonts w:hint="eastAsia" w:ascii="宋体" w:hAnsi="宋体" w:cs="宋体"/>
          <w:sz w:val="28"/>
          <w:szCs w:val="28"/>
        </w:rPr>
        <w:t>项、机动车</w:t>
      </w:r>
      <w:r>
        <w:rPr>
          <w:rFonts w:hint="eastAsia" w:ascii="??" w:hAnsi="??" w:eastAsia="??"/>
          <w:sz w:val="28"/>
          <w:szCs w:val="28"/>
        </w:rPr>
        <w:t>2</w:t>
      </w:r>
      <w:r>
        <w:rPr>
          <w:rFonts w:hint="eastAsia" w:ascii="宋体" w:hAnsi="宋体" w:cs="宋体"/>
          <w:sz w:val="28"/>
          <w:szCs w:val="28"/>
        </w:rPr>
        <w:t>项、考试</w:t>
      </w:r>
      <w:r>
        <w:rPr>
          <w:rFonts w:hint="eastAsia" w:ascii="??" w:hAnsi="??" w:eastAsia="??"/>
          <w:sz w:val="28"/>
          <w:szCs w:val="28"/>
        </w:rPr>
        <w:t>1</w:t>
      </w:r>
      <w:r>
        <w:rPr>
          <w:rFonts w:hint="eastAsia" w:ascii="宋体" w:hAnsi="宋体" w:cs="宋体"/>
          <w:sz w:val="28"/>
          <w:szCs w:val="28"/>
        </w:rPr>
        <w:t>项）</w:t>
      </w:r>
      <w:r>
        <w:rPr>
          <w:rFonts w:hint="eastAsia" w:ascii="??" w:hAnsi="??" w:eastAsia="??"/>
          <w:sz w:val="28"/>
          <w:szCs w:val="28"/>
        </w:rPr>
        <w:t xml:space="preserve"> </w:t>
      </w:r>
      <w:r>
        <w:rPr>
          <w:rFonts w:hint="eastAsia" w:ascii="宋体" w:hAnsi="宋体" w:cs="宋体"/>
          <w:sz w:val="28"/>
          <w:szCs w:val="28"/>
        </w:rPr>
        <w:t>业务远程视频办理。提供初学驾驶人科目一理论、科目三安全驾驶文明常识远程视频监考。</w:t>
      </w:r>
    </w:p>
    <w:p>
      <w:pPr>
        <w:spacing w:line="480" w:lineRule="atLeast"/>
        <w:ind w:firstLine="570"/>
        <w:rPr>
          <w:rFonts w:ascii="??" w:hAnsi="??" w:eastAsia="??"/>
          <w:sz w:val="28"/>
          <w:szCs w:val="28"/>
        </w:rPr>
      </w:pPr>
      <w:r>
        <w:rPr>
          <w:rFonts w:hint="eastAsia" w:ascii="宋体" w:hAnsi="宋体" w:cs="宋体"/>
          <w:sz w:val="28"/>
          <w:szCs w:val="28"/>
        </w:rPr>
        <w:t>（五）交通安全文明播报牌：依托交通安全文明指数五色图实时显示社区（村）安全文明指数。对居民（村民）的相关交通违法行为、交通事故情况采取文字和视频曝光、播报措施，使其</w:t>
      </w:r>
      <w:r>
        <w:rPr>
          <w:rFonts w:eastAsia="??"/>
          <w:sz w:val="28"/>
          <w:szCs w:val="28"/>
        </w:rPr>
        <w:t>“</w:t>
      </w:r>
      <w:r>
        <w:rPr>
          <w:rFonts w:hint="eastAsia" w:ascii="宋体" w:hAnsi="宋体" w:cs="宋体"/>
          <w:sz w:val="28"/>
          <w:szCs w:val="28"/>
        </w:rPr>
        <w:t>红红脸、出出汗</w:t>
      </w:r>
      <w:r>
        <w:rPr>
          <w:rFonts w:eastAsia="??"/>
          <w:sz w:val="28"/>
          <w:szCs w:val="28"/>
        </w:rPr>
        <w:t>”</w:t>
      </w:r>
      <w:r>
        <w:rPr>
          <w:rFonts w:hint="eastAsia" w:ascii="宋体" w:hAnsi="宋体" w:cs="宋体"/>
          <w:sz w:val="28"/>
          <w:szCs w:val="28"/>
        </w:rPr>
        <w:t>，</w:t>
      </w:r>
      <w:r>
        <w:rPr>
          <w:rFonts w:hint="eastAsia" w:ascii="??" w:hAnsi="??" w:eastAsia="??"/>
          <w:sz w:val="28"/>
          <w:szCs w:val="28"/>
        </w:rPr>
        <w:t xml:space="preserve"> </w:t>
      </w:r>
      <w:r>
        <w:rPr>
          <w:rFonts w:hint="eastAsia" w:ascii="宋体" w:hAnsi="宋体" w:cs="宋体"/>
          <w:sz w:val="28"/>
          <w:szCs w:val="28"/>
        </w:rPr>
        <w:t>真正让广大群众将交通安全理念入脑入心，推进社区（村）</w:t>
      </w:r>
      <w:r>
        <w:rPr>
          <w:rFonts w:eastAsia="??"/>
          <w:sz w:val="28"/>
          <w:szCs w:val="28"/>
        </w:rPr>
        <w:t>“</w:t>
      </w:r>
      <w:r>
        <w:rPr>
          <w:rFonts w:hint="eastAsia" w:ascii="宋体" w:hAnsi="宋体" w:cs="宋体"/>
          <w:sz w:val="28"/>
          <w:szCs w:val="28"/>
        </w:rPr>
        <w:t>以一促十</w:t>
      </w:r>
      <w:r>
        <w:rPr>
          <w:rFonts w:eastAsia="??"/>
          <w:sz w:val="28"/>
          <w:szCs w:val="28"/>
        </w:rPr>
        <w:t>”</w:t>
      </w:r>
      <w:r>
        <w:rPr>
          <w:rFonts w:hint="eastAsia" w:ascii="宋体" w:hAnsi="宋体" w:cs="宋体"/>
          <w:sz w:val="28"/>
          <w:szCs w:val="28"/>
        </w:rPr>
        <w:t>宣教工作。</w:t>
      </w:r>
    </w:p>
    <w:p>
      <w:pPr>
        <w:spacing w:line="480" w:lineRule="atLeast"/>
        <w:ind w:firstLine="570"/>
        <w:rPr>
          <w:rFonts w:ascii="??" w:hAnsi="??" w:eastAsia="??"/>
          <w:sz w:val="28"/>
          <w:szCs w:val="28"/>
        </w:rPr>
      </w:pPr>
    </w:p>
    <w:p>
      <w:pPr>
        <w:spacing w:line="480" w:lineRule="atLeast"/>
        <w:rPr>
          <w:rFonts w:ascii="??" w:hAnsi="??" w:eastAsia="??"/>
          <w:sz w:val="28"/>
          <w:szCs w:val="28"/>
        </w:rPr>
      </w:pPr>
      <w:r>
        <w:rPr>
          <w:rFonts w:hint="eastAsia" w:ascii="??" w:hAnsi="??" w:eastAsia="??"/>
          <w:sz w:val="28"/>
          <w:szCs w:val="28"/>
        </w:rPr>
        <w:t xml:space="preserve"> </w:t>
      </w:r>
      <w:r>
        <w:rPr>
          <w:rFonts w:hint="eastAsia" w:ascii="宋体" w:hAnsi="宋体" w:cs="宋体"/>
          <w:sz w:val="28"/>
          <w:szCs w:val="28"/>
        </w:rPr>
        <w:t>二、建设标准</w:t>
      </w:r>
    </w:p>
    <w:p>
      <w:pPr>
        <w:spacing w:line="480" w:lineRule="atLeast"/>
        <w:ind w:firstLine="570"/>
        <w:rPr>
          <w:rFonts w:ascii="??" w:hAnsi="??" w:eastAsia="??"/>
          <w:sz w:val="28"/>
          <w:szCs w:val="28"/>
        </w:rPr>
      </w:pPr>
      <w:r>
        <w:rPr>
          <w:rFonts w:hint="eastAsia" w:ascii="宋体" w:hAnsi="宋体" w:cs="宋体"/>
          <w:sz w:val="28"/>
          <w:szCs w:val="28"/>
        </w:rPr>
        <w:t>（一）分类</w:t>
      </w:r>
    </w:p>
    <w:p>
      <w:pPr>
        <w:spacing w:line="480" w:lineRule="atLeast"/>
        <w:rPr>
          <w:rFonts w:ascii="??" w:hAnsi="??"/>
          <w:sz w:val="28"/>
          <w:szCs w:val="28"/>
        </w:rPr>
      </w:pPr>
      <w:r>
        <w:rPr>
          <w:rFonts w:hint="eastAsia" w:ascii="宋体" w:hAnsi="宋体" w:cs="宋体"/>
          <w:sz w:val="28"/>
          <w:szCs w:val="28"/>
        </w:rPr>
        <w:t>交治站建设应本着因地制宜、合理布建、多方投入、统一标准、一站能为原则</w:t>
      </w:r>
      <w:r>
        <w:rPr>
          <w:rFonts w:hint="eastAsia" w:ascii="??" w:hAnsi="??"/>
          <w:sz w:val="28"/>
          <w:szCs w:val="28"/>
        </w:rPr>
        <w:t>。</w:t>
      </w:r>
    </w:p>
    <w:p>
      <w:pPr>
        <w:numPr>
          <w:ilvl w:val="0"/>
          <w:numId w:val="15"/>
        </w:numPr>
        <w:spacing w:line="480" w:lineRule="atLeast"/>
        <w:rPr>
          <w:rFonts w:ascii="??" w:hAnsi="??"/>
          <w:sz w:val="28"/>
          <w:szCs w:val="28"/>
        </w:rPr>
      </w:pPr>
      <w:r>
        <w:rPr>
          <w:rFonts w:hint="eastAsia" w:ascii="??" w:hAnsi="??"/>
          <w:sz w:val="28"/>
          <w:szCs w:val="28"/>
        </w:rPr>
        <w:t>综合版交治站</w:t>
      </w:r>
    </w:p>
    <w:p>
      <w:pPr>
        <w:spacing w:line="480" w:lineRule="atLeast"/>
        <w:rPr>
          <w:rFonts w:ascii="??" w:hAnsi="??"/>
          <w:sz w:val="28"/>
          <w:szCs w:val="28"/>
        </w:rPr>
      </w:pPr>
      <w:r>
        <w:rPr>
          <w:rFonts w:hint="eastAsia" w:ascii="??" w:hAnsi="??"/>
          <w:sz w:val="28"/>
          <w:szCs w:val="28"/>
        </w:rPr>
        <w:t>综合版交治站根据社区（村）建设场地实际情况，从实现五大功能要求，应具备“三室一牌一区”， 即交通治理数字工作室、交通安全体验室、交通安全宣教室、24小时无人自助服务区、交通安全文明播报牌。同时兼顾考虑综合版交治实际人流运行空间。</w:t>
      </w:r>
    </w:p>
    <w:p>
      <w:pPr>
        <w:spacing w:line="480" w:lineRule="atLeast"/>
        <w:rPr>
          <w:rFonts w:ascii="??" w:hAnsi="??"/>
          <w:sz w:val="28"/>
          <w:szCs w:val="28"/>
        </w:rPr>
      </w:pPr>
      <w:r>
        <w:rPr>
          <w:rFonts w:hint="eastAsia" w:ascii="??" w:hAnsi="??"/>
          <w:sz w:val="28"/>
          <w:szCs w:val="28"/>
        </w:rPr>
        <w:t>综合版交治站主要包括：</w:t>
      </w:r>
    </w:p>
    <w:p>
      <w:pPr>
        <w:spacing w:line="480" w:lineRule="atLeast"/>
        <w:rPr>
          <w:rFonts w:ascii="??" w:hAnsi="??"/>
          <w:sz w:val="28"/>
          <w:szCs w:val="28"/>
        </w:rPr>
      </w:pPr>
      <w:r>
        <w:rPr>
          <w:rFonts w:hint="eastAsia" w:ascii="??" w:hAnsi="??"/>
          <w:sz w:val="28"/>
          <w:szCs w:val="28"/>
        </w:rPr>
        <w:t>（1） 交通治理数字工作室</w:t>
      </w:r>
    </w:p>
    <w:p>
      <w:pPr>
        <w:spacing w:line="480" w:lineRule="atLeast"/>
        <w:ind w:firstLine="840" w:firstLineChars="300"/>
        <w:rPr>
          <w:rFonts w:ascii="??" w:hAnsi="??"/>
          <w:sz w:val="28"/>
          <w:szCs w:val="28"/>
        </w:rPr>
      </w:pPr>
      <w:r>
        <w:rPr>
          <w:rFonts w:hint="eastAsia" w:ascii="??" w:hAnsi="??"/>
          <w:sz w:val="28"/>
          <w:szCs w:val="28"/>
        </w:rPr>
        <w:t>交通治理数字工作室主要包括指挥操作平台、打印复印一体机、文件柜、数据服务器等设备占据内部空间，同时 LED 或LCD屏需要满足空间距离。</w:t>
      </w:r>
    </w:p>
    <w:p>
      <w:pPr>
        <w:numPr>
          <w:ilvl w:val="0"/>
          <w:numId w:val="16"/>
        </w:numPr>
        <w:spacing w:line="480" w:lineRule="atLeast"/>
        <w:rPr>
          <w:rFonts w:ascii="??" w:hAnsi="??"/>
          <w:sz w:val="28"/>
          <w:szCs w:val="28"/>
        </w:rPr>
      </w:pPr>
      <w:r>
        <w:rPr>
          <w:rFonts w:hint="eastAsia" w:ascii="??" w:hAnsi="??"/>
          <w:sz w:val="28"/>
          <w:szCs w:val="28"/>
        </w:rPr>
        <w:t>交通安全体验室</w:t>
      </w:r>
    </w:p>
    <w:p>
      <w:pPr>
        <w:spacing w:line="480" w:lineRule="atLeast"/>
        <w:ind w:firstLine="840" w:firstLineChars="300"/>
        <w:rPr>
          <w:rFonts w:ascii="??" w:hAnsi="??"/>
          <w:sz w:val="28"/>
          <w:szCs w:val="28"/>
        </w:rPr>
      </w:pPr>
      <w:r>
        <w:rPr>
          <w:rFonts w:hint="eastAsia" w:ascii="??" w:hAnsi="??"/>
          <w:sz w:val="28"/>
          <w:szCs w:val="28"/>
        </w:rPr>
        <w:t>交通安全体验室主要包括实车体验、VR骑行体验、VR行人体验、VR安全场景体验、驾驶人模拟培训、安全知识宣传。</w:t>
      </w:r>
    </w:p>
    <w:p>
      <w:pPr>
        <w:spacing w:line="480" w:lineRule="atLeast"/>
        <w:rPr>
          <w:rFonts w:ascii="??" w:hAnsi="??"/>
          <w:sz w:val="28"/>
          <w:szCs w:val="28"/>
        </w:rPr>
      </w:pPr>
      <w:r>
        <w:rPr>
          <w:rFonts w:hint="eastAsia" w:ascii="??" w:hAnsi="??"/>
          <w:sz w:val="28"/>
          <w:szCs w:val="28"/>
        </w:rPr>
        <w:t>（3) 交通安全宣教室</w:t>
      </w:r>
    </w:p>
    <w:p>
      <w:pPr>
        <w:spacing w:line="480" w:lineRule="atLeast"/>
        <w:ind w:firstLine="840" w:firstLineChars="300"/>
        <w:rPr>
          <w:rFonts w:ascii="??" w:hAnsi="??"/>
          <w:sz w:val="28"/>
          <w:szCs w:val="28"/>
        </w:rPr>
      </w:pPr>
      <w:r>
        <w:rPr>
          <w:rFonts w:hint="eastAsia" w:ascii="??" w:hAnsi="??"/>
          <w:sz w:val="28"/>
          <w:szCs w:val="28"/>
        </w:rPr>
        <w:t>交通安全宣教室主要包括源头（训诫）宣教和车驾管理论培训、 满分审验减分教育的教育学习内容。室内配置电脑、桌椅等设备占据内部空间，同时交通安全法规墙需要满足空间距离。</w:t>
      </w:r>
    </w:p>
    <w:p>
      <w:pPr>
        <w:spacing w:line="480" w:lineRule="atLeast"/>
        <w:rPr>
          <w:rFonts w:ascii="??" w:hAnsi="??"/>
          <w:sz w:val="28"/>
          <w:szCs w:val="28"/>
        </w:rPr>
      </w:pPr>
      <w:r>
        <w:rPr>
          <w:rFonts w:hint="eastAsia" w:ascii="??" w:hAnsi="??"/>
          <w:sz w:val="28"/>
          <w:szCs w:val="28"/>
        </w:rPr>
        <w:t>（4) 24小时无人自助服务区</w:t>
      </w:r>
    </w:p>
    <w:p>
      <w:pPr>
        <w:spacing w:line="480" w:lineRule="atLeast"/>
        <w:ind w:firstLine="570"/>
        <w:rPr>
          <w:rFonts w:ascii="??" w:hAnsi="??"/>
          <w:sz w:val="28"/>
          <w:szCs w:val="28"/>
        </w:rPr>
      </w:pPr>
      <w:r>
        <w:rPr>
          <w:rFonts w:hint="eastAsia" w:ascii="??" w:hAnsi="??"/>
          <w:sz w:val="28"/>
          <w:szCs w:val="28"/>
        </w:rPr>
        <w:t>24 小时无人自助服务区主要涵盖车驾管16项网上业务无人办理和7项牌证业务远程视频办理业务，硬件需要放置智能考台、电脑、抓拍仪等设备。</w:t>
      </w:r>
    </w:p>
    <w:p>
      <w:pPr>
        <w:spacing w:line="480" w:lineRule="atLeast"/>
        <w:rPr>
          <w:rFonts w:ascii="??" w:hAnsi="??" w:eastAsia="??"/>
          <w:b/>
          <w:bCs/>
          <w:sz w:val="28"/>
          <w:szCs w:val="28"/>
        </w:rPr>
      </w:pPr>
      <w:r>
        <w:rPr>
          <w:rFonts w:hint="eastAsia" w:ascii="??" w:hAnsi="??"/>
          <w:sz w:val="28"/>
          <w:szCs w:val="28"/>
        </w:rPr>
        <w:t>（5) 交通安全文明播报牌</w:t>
      </w:r>
    </w:p>
    <w:p>
      <w:pPr>
        <w:spacing w:line="480" w:lineRule="atLeast"/>
        <w:ind w:firstLine="570"/>
        <w:rPr>
          <w:rFonts w:ascii="??" w:hAnsi="??" w:eastAsia="??"/>
          <w:b/>
          <w:bCs/>
          <w:sz w:val="28"/>
          <w:szCs w:val="28"/>
        </w:rPr>
      </w:pPr>
      <w:r>
        <w:rPr>
          <w:rFonts w:hint="eastAsia" w:ascii="??" w:hAnsi="??"/>
          <w:b/>
          <w:bCs/>
          <w:sz w:val="28"/>
          <w:szCs w:val="28"/>
        </w:rPr>
        <w:t>2、</w:t>
      </w:r>
      <w:r>
        <w:rPr>
          <w:rFonts w:hint="eastAsia" w:ascii="宋体" w:hAnsi="宋体" w:cs="宋体"/>
          <w:b/>
          <w:bCs/>
          <w:sz w:val="28"/>
          <w:szCs w:val="28"/>
        </w:rPr>
        <w:t>统一外观标识</w:t>
      </w:r>
    </w:p>
    <w:p>
      <w:pPr>
        <w:spacing w:line="480" w:lineRule="atLeast"/>
        <w:ind w:firstLine="570"/>
        <w:rPr>
          <w:rFonts w:ascii="??" w:hAnsi="??" w:eastAsia="??"/>
          <w:sz w:val="28"/>
          <w:szCs w:val="28"/>
        </w:rPr>
      </w:pPr>
      <w:r>
        <w:rPr>
          <w:rFonts w:hint="eastAsia" w:ascii="宋体" w:hAnsi="宋体" w:cs="宋体"/>
          <w:sz w:val="28"/>
          <w:szCs w:val="28"/>
        </w:rPr>
        <w:t>各类交治站统一使用</w:t>
      </w:r>
      <w:r>
        <w:rPr>
          <w:rFonts w:eastAsia="??"/>
          <w:sz w:val="28"/>
          <w:szCs w:val="28"/>
        </w:rPr>
        <w:t>“</w:t>
      </w:r>
      <w:r>
        <w:rPr>
          <w:rFonts w:hint="eastAsia" w:ascii="??" w:hAnsi="??" w:eastAsia="??"/>
          <w:sz w:val="28"/>
          <w:szCs w:val="28"/>
        </w:rPr>
        <w:t>XX</w:t>
      </w:r>
      <w:r>
        <w:rPr>
          <w:rFonts w:hint="eastAsia" w:ascii="宋体" w:hAnsi="宋体" w:cs="宋体"/>
          <w:sz w:val="28"/>
          <w:szCs w:val="28"/>
        </w:rPr>
        <w:t>区</w:t>
      </w:r>
      <w:r>
        <w:rPr>
          <w:rFonts w:hint="eastAsia" w:ascii="??" w:hAnsi="??" w:eastAsia="??"/>
          <w:sz w:val="28"/>
          <w:szCs w:val="28"/>
        </w:rPr>
        <w:t>XX</w:t>
      </w:r>
      <w:r>
        <w:rPr>
          <w:rFonts w:hint="eastAsia" w:ascii="宋体" w:hAnsi="宋体" w:cs="宋体"/>
          <w:sz w:val="28"/>
          <w:szCs w:val="28"/>
        </w:rPr>
        <w:t>街镇／</w:t>
      </w:r>
      <w:r>
        <w:rPr>
          <w:rFonts w:hint="eastAsia" w:ascii="??" w:hAnsi="??" w:eastAsia="??"/>
          <w:sz w:val="28"/>
          <w:szCs w:val="28"/>
        </w:rPr>
        <w:t>XX</w:t>
      </w:r>
      <w:r>
        <w:rPr>
          <w:rFonts w:hint="eastAsia" w:ascii="宋体" w:hAnsi="宋体" w:cs="宋体"/>
          <w:sz w:val="28"/>
          <w:szCs w:val="28"/>
        </w:rPr>
        <w:t>社区（村）道路交通治理工作站</w:t>
      </w:r>
      <w:r>
        <w:rPr>
          <w:rFonts w:eastAsia="??"/>
          <w:sz w:val="28"/>
          <w:szCs w:val="28"/>
        </w:rPr>
        <w:t>”</w:t>
      </w:r>
      <w:r>
        <w:rPr>
          <w:rFonts w:hint="eastAsia" w:ascii="宋体" w:hAnsi="宋体" w:cs="宋体"/>
          <w:sz w:val="28"/>
          <w:szCs w:val="28"/>
        </w:rPr>
        <w:t>的名称</w:t>
      </w:r>
    </w:p>
    <w:p>
      <w:pPr>
        <w:spacing w:line="480" w:lineRule="atLeast"/>
        <w:ind w:firstLine="570"/>
        <w:rPr>
          <w:rFonts w:ascii="??" w:hAnsi="??" w:eastAsia="??"/>
          <w:b/>
          <w:bCs/>
          <w:sz w:val="28"/>
          <w:szCs w:val="28"/>
        </w:rPr>
      </w:pPr>
      <w:r>
        <w:rPr>
          <w:rFonts w:hint="eastAsia" w:ascii="??" w:hAnsi="??"/>
          <w:b/>
          <w:bCs/>
          <w:sz w:val="28"/>
          <w:szCs w:val="28"/>
        </w:rPr>
        <w:t>3、</w:t>
      </w:r>
      <w:r>
        <w:rPr>
          <w:rFonts w:hint="eastAsia" w:ascii="宋体" w:hAnsi="宋体" w:cs="宋体"/>
          <w:b/>
          <w:bCs/>
          <w:sz w:val="28"/>
          <w:szCs w:val="28"/>
        </w:rPr>
        <w:t>内部运行流程</w:t>
      </w:r>
    </w:p>
    <w:p>
      <w:pPr>
        <w:spacing w:line="480" w:lineRule="atLeast"/>
        <w:ind w:firstLine="570"/>
        <w:rPr>
          <w:rFonts w:ascii="??" w:hAnsi="??" w:eastAsia="??"/>
          <w:sz w:val="28"/>
          <w:szCs w:val="28"/>
        </w:rPr>
      </w:pPr>
      <w:r>
        <w:rPr>
          <w:rFonts w:hint="eastAsia" w:ascii="宋体" w:hAnsi="宋体" w:cs="宋体"/>
          <w:sz w:val="28"/>
          <w:szCs w:val="28"/>
        </w:rPr>
        <w:t>交治站日常主要开展对社区（村）内</w:t>
      </w:r>
      <w:r>
        <w:rPr>
          <w:rFonts w:hint="eastAsia" w:ascii="??" w:hAnsi="??" w:eastAsia="??"/>
          <w:sz w:val="28"/>
          <w:szCs w:val="28"/>
        </w:rPr>
        <w:t>60</w:t>
      </w:r>
      <w:r>
        <w:rPr>
          <w:rFonts w:hint="eastAsia" w:ascii="宋体" w:hAnsi="宋体" w:cs="宋体"/>
          <w:sz w:val="28"/>
          <w:szCs w:val="28"/>
        </w:rPr>
        <w:t>岁以上老人、</w:t>
      </w:r>
      <w:r>
        <w:rPr>
          <w:rFonts w:hint="eastAsia" w:ascii="??" w:hAnsi="??" w:eastAsia="??"/>
          <w:sz w:val="28"/>
          <w:szCs w:val="28"/>
        </w:rPr>
        <w:t>12</w:t>
      </w:r>
      <w:r>
        <w:rPr>
          <w:rFonts w:hint="eastAsia" w:ascii="宋体" w:hAnsi="宋体" w:cs="宋体"/>
          <w:sz w:val="28"/>
          <w:szCs w:val="28"/>
        </w:rPr>
        <w:t>周岁以下未成年人、重点驾驶人（按倒退</w:t>
      </w:r>
      <w:r>
        <w:rPr>
          <w:rFonts w:hint="eastAsia" w:ascii="??" w:hAnsi="??" w:eastAsia="??"/>
          <w:sz w:val="28"/>
          <w:szCs w:val="28"/>
        </w:rPr>
        <w:t>365</w:t>
      </w:r>
      <w:r>
        <w:rPr>
          <w:rFonts w:hint="eastAsia" w:ascii="宋体" w:hAnsi="宋体" w:cs="宋体"/>
          <w:sz w:val="28"/>
          <w:szCs w:val="28"/>
        </w:rPr>
        <w:t>天对</w:t>
      </w:r>
      <w:r>
        <w:rPr>
          <w:rFonts w:hint="eastAsia" w:ascii="??" w:hAnsi="??" w:eastAsia="??"/>
          <w:sz w:val="28"/>
          <w:szCs w:val="28"/>
        </w:rPr>
        <w:t>3</w:t>
      </w:r>
      <w:r>
        <w:rPr>
          <w:rFonts w:hint="eastAsia" w:ascii="宋体" w:hAnsi="宋体" w:cs="宋体"/>
          <w:sz w:val="28"/>
          <w:szCs w:val="28"/>
        </w:rPr>
        <w:t>次以上事故、违法，毒驾、酒驾、失驾、疾病等隐患人员、本本族）等源头宣教服务，提供对车管牌证业务、初学驾驶人培训考试业务、满分审验减分教育等开展便民服务。</w:t>
      </w:r>
    </w:p>
    <w:p/>
    <w:p>
      <w:pPr>
        <w:spacing w:line="480" w:lineRule="atLeast"/>
        <w:ind w:firstLine="570"/>
        <w:rPr>
          <w:rFonts w:ascii="??" w:hAnsi="??" w:eastAsia="??"/>
          <w:color w:val="000000"/>
          <w:sz w:val="28"/>
          <w:szCs w:val="28"/>
        </w:rPr>
      </w:pPr>
    </w:p>
    <w:p>
      <w:pPr>
        <w:numPr>
          <w:ilvl w:val="0"/>
          <w:numId w:val="12"/>
        </w:numPr>
        <w:spacing w:line="360" w:lineRule="auto"/>
        <w:ind w:left="0" w:leftChars="0" w:firstLine="0" w:firstLineChars="0"/>
        <w:rPr>
          <w:rFonts w:hint="eastAsia" w:ascii="宋体" w:hAnsi="宋体" w:cs="宋体"/>
          <w:b/>
          <w:bCs/>
          <w:sz w:val="28"/>
          <w:szCs w:val="28"/>
        </w:rPr>
      </w:pPr>
      <w:r>
        <w:rPr>
          <w:rFonts w:hint="eastAsia" w:ascii="宋体" w:hAnsi="宋体" w:cs="宋体"/>
          <w:b/>
          <w:bCs/>
          <w:sz w:val="28"/>
          <w:szCs w:val="28"/>
        </w:rPr>
        <w:t>采购清单及技术参数要求</w:t>
      </w:r>
    </w:p>
    <w:p>
      <w:pPr>
        <w:adjustRightInd w:val="0"/>
        <w:snapToGrid w:val="0"/>
        <w:spacing w:line="400" w:lineRule="atLeast"/>
        <w:ind w:firstLine="551" w:firstLineChars="196"/>
        <w:jc w:val="left"/>
      </w:pPr>
      <w:r>
        <w:rPr>
          <w:b/>
          <w:color w:val="000000"/>
          <w:kern w:val="0"/>
          <w:sz w:val="28"/>
          <w:szCs w:val="28"/>
        </w:rPr>
        <w:t>本项目为</w:t>
      </w:r>
      <w:r>
        <w:rPr>
          <w:color w:val="000000"/>
          <w:kern w:val="0"/>
          <w:sz w:val="28"/>
          <w:szCs w:val="28"/>
        </w:rPr>
        <w:t>“</w:t>
      </w:r>
      <w:r>
        <w:rPr>
          <w:b/>
          <w:color w:val="000000"/>
          <w:kern w:val="0"/>
          <w:sz w:val="28"/>
          <w:szCs w:val="28"/>
        </w:rPr>
        <w:t>交钥匙</w:t>
      </w:r>
      <w:r>
        <w:rPr>
          <w:color w:val="000000"/>
          <w:kern w:val="0"/>
          <w:sz w:val="28"/>
          <w:szCs w:val="28"/>
        </w:rPr>
        <w:t>”</w:t>
      </w:r>
      <w:r>
        <w:rPr>
          <w:b/>
          <w:color w:val="000000"/>
          <w:kern w:val="0"/>
          <w:sz w:val="28"/>
          <w:szCs w:val="28"/>
        </w:rPr>
        <w:t>工程</w:t>
      </w:r>
      <w:r>
        <w:rPr>
          <w:color w:val="000000"/>
          <w:kern w:val="0"/>
          <w:sz w:val="28"/>
          <w:szCs w:val="28"/>
        </w:rPr>
        <w:t>，</w:t>
      </w:r>
      <w:r>
        <w:rPr>
          <w:color w:val="000000"/>
          <w:sz w:val="28"/>
          <w:szCs w:val="28"/>
        </w:rPr>
        <w:t>本次报价包括：设备清单中的货物供货、安装调试、</w:t>
      </w:r>
      <w:r>
        <w:rPr>
          <w:rFonts w:hint="eastAsia"/>
          <w:color w:val="000000"/>
          <w:sz w:val="28"/>
          <w:szCs w:val="28"/>
        </w:rPr>
        <w:t>城管审批费、</w:t>
      </w:r>
      <w:r>
        <w:rPr>
          <w:color w:val="000000"/>
          <w:sz w:val="28"/>
          <w:szCs w:val="28"/>
        </w:rPr>
        <w:t>售后服务、第三方检测费、原设备拆除费、线路更换费（</w:t>
      </w:r>
      <w:r>
        <w:rPr>
          <w:color w:val="000000"/>
          <w:kern w:val="0"/>
          <w:sz w:val="28"/>
          <w:szCs w:val="28"/>
        </w:rPr>
        <w:t>线缆、接头、辅料</w:t>
      </w:r>
      <w:r>
        <w:rPr>
          <w:color w:val="000000"/>
          <w:sz w:val="28"/>
          <w:szCs w:val="28"/>
        </w:rPr>
        <w:t>）、监理费、培训费、税金等</w:t>
      </w:r>
      <w:r>
        <w:rPr>
          <w:color w:val="000000"/>
          <w:kern w:val="0"/>
          <w:sz w:val="28"/>
          <w:szCs w:val="28"/>
        </w:rPr>
        <w:t>采购需求清单中未提到，但在实际安装过程中需要配置的配件均计入投标报价中，不得额外收</w:t>
      </w:r>
      <w:r>
        <w:rPr>
          <w:rFonts w:hint="eastAsia"/>
          <w:color w:val="000000"/>
          <w:kern w:val="0"/>
          <w:sz w:val="28"/>
          <w:szCs w:val="28"/>
        </w:rPr>
        <w:t>取人工</w:t>
      </w:r>
      <w:r>
        <w:rPr>
          <w:color w:val="000000"/>
          <w:kern w:val="0"/>
          <w:sz w:val="28"/>
          <w:szCs w:val="28"/>
        </w:rPr>
        <w:t>费</w:t>
      </w:r>
      <w:r>
        <w:rPr>
          <w:rFonts w:hint="eastAsia"/>
          <w:color w:val="000000"/>
          <w:kern w:val="0"/>
          <w:sz w:val="28"/>
          <w:szCs w:val="28"/>
        </w:rPr>
        <w:t>用</w:t>
      </w:r>
      <w:r>
        <w:rPr>
          <w:color w:val="000000"/>
          <w:sz w:val="28"/>
          <w:szCs w:val="28"/>
        </w:rPr>
        <w:t>。</w:t>
      </w:r>
    </w:p>
    <w:tbl>
      <w:tblPr>
        <w:tblStyle w:val="7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1279"/>
        <w:gridCol w:w="1079"/>
        <w:gridCol w:w="4419"/>
        <w:gridCol w:w="666"/>
        <w:gridCol w:w="594"/>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21" w:type="dxa"/>
            <w:vMerge w:val="restart"/>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cs="宋体"/>
                <w:b/>
                <w:color w:val="000000" w:themeColor="text1"/>
                <w:kern w:val="0"/>
                <w:sz w:val="18"/>
                <w:szCs w:val="18"/>
                <w:lang w:val="en-US" w:eastAsia="zh-CN"/>
                <w14:textFill>
                  <w14:solidFill>
                    <w14:schemeClr w14:val="tx1"/>
                  </w14:solidFill>
                </w14:textFill>
              </w:rPr>
              <w:t>1</w:t>
            </w:r>
          </w:p>
        </w:tc>
        <w:tc>
          <w:tcPr>
            <w:tcW w:w="1279"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VR安全场景体验</w:t>
            </w: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硬件部分</w:t>
            </w:r>
          </w:p>
        </w:tc>
        <w:tc>
          <w:tcPr>
            <w:tcW w:w="4419" w:type="dxa"/>
            <w:shd w:val="clear" w:color="auto" w:fill="auto"/>
            <w:tcMar>
              <w:top w:w="15" w:type="dxa"/>
              <w:left w:w="15" w:type="dxa"/>
              <w:right w:w="15" w:type="dxa"/>
            </w:tcMar>
            <w:vAlign w:val="center"/>
          </w:tcPr>
          <w:p>
            <w:pPr>
              <w:widowControl/>
              <w:numPr>
                <w:ilvl w:val="255"/>
                <w:numId w:val="0"/>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外形尺寸：长≥2500mm、宽≥1500mm、高≥1900mm；</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w:t>
            </w:r>
            <w:r>
              <w:rPr>
                <w:rFonts w:hint="eastAsia" w:ascii="宋体" w:hAnsi="宋体" w:cs="宋体"/>
                <w:b/>
                <w:bCs/>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蛋壳座椅：安全防护用品相关玻璃钢外形；</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b/>
                <w:bCs/>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蛋壳座椅</w:t>
            </w:r>
            <w:r>
              <w:rPr>
                <w:rFonts w:hint="eastAsia" w:ascii="宋体" w:hAnsi="宋体" w:cs="宋体"/>
                <w:b/>
                <w:bCs/>
                <w:color w:val="000000" w:themeColor="text1"/>
                <w:kern w:val="0"/>
                <w:sz w:val="18"/>
                <w:szCs w:val="18"/>
                <w14:textFill>
                  <w14:solidFill>
                    <w14:schemeClr w14:val="tx1"/>
                  </w14:solidFill>
                </w14:textFill>
              </w:rPr>
              <w:t>需与安全防护用品相关（提供外形需与安全防护用品相关的设备六视图佐证加盖投标人公章）。（六视图：前后上下左右图片）。</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2、设备处理器2台；</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操作系统：Windows7；</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CPU：core i5-4460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显卡：≥NVIDIA GTX系列显卡1050 </w:t>
            </w:r>
          </w:p>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内存：配置≥8GB内存</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音响：采用双声道，立体声环绕功放系统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3、虚拟现实头盔头戴方式2台：</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T字头戴；</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屏幕材质：AMOLED；</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分辨率：2560*1440；</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刷新率：70hz；</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显示延迟：16ms；</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屏幕尺寸：5.7；</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4、运动平台</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总体参数：</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自由度：3DOF</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垂直升降：120mm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电动缸主要参数：</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形式：折返式</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内部结构：滚珠丝杆，防反转装置</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驱动电机类型：伺服电机</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行程(mm)：120</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工作行程( mm)：0~120</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中位长度( mm)：600</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丝杆导程(mm)：5</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控制程序</w:t>
            </w:r>
          </w:p>
        </w:tc>
        <w:tc>
          <w:tcPr>
            <w:tcW w:w="4419"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sz w:val="18"/>
                <w:szCs w:val="18"/>
              </w:rPr>
              <w:t>★一、</w:t>
            </w:r>
            <w:r>
              <w:rPr>
                <w:rFonts w:hint="eastAsia" w:ascii="宋体" w:hAnsi="宋体" w:cs="宋体"/>
                <w:b/>
                <w:bCs/>
                <w:color w:val="000000" w:themeColor="text1"/>
                <w:kern w:val="0"/>
                <w:sz w:val="18"/>
                <w:szCs w:val="18"/>
                <w14:textFill>
                  <w14:solidFill>
                    <w14:schemeClr w14:val="tx1"/>
                  </w14:solidFill>
                </w14:textFill>
              </w:rPr>
              <w:t>酒驾驾驶：</w:t>
            </w:r>
            <w:r>
              <w:rPr>
                <w:rFonts w:hint="eastAsia" w:ascii="宋体" w:hAnsi="宋体" w:cs="宋体"/>
                <w:b/>
                <w:bCs/>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 戴上VR眼镜，进入主界面，开始酒驾体验，开始体验：画面提示您已进入醉酒驾驶模拟体验场景，请将双手放在虚拟方向盘上，车辆开始启动。因为处于醉酒驾驶状态，视线模糊，画面开始扭曲重影，最后看不清道路发生撞击，画面显示玻璃破碎，鲜血四溅，救护车警笛音响起，体验结束！</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b/>
                <w:bCs/>
                <w:sz w:val="18"/>
                <w:szCs w:val="18"/>
              </w:rPr>
              <w:t>★</w:t>
            </w:r>
            <w:r>
              <w:rPr>
                <w:rFonts w:hint="eastAsia" w:ascii="宋体" w:hAnsi="宋体" w:cs="宋体"/>
                <w:b/>
                <w:bCs/>
                <w:color w:val="000000" w:themeColor="text1"/>
                <w:kern w:val="0"/>
                <w:sz w:val="18"/>
                <w:szCs w:val="18"/>
                <w14:textFill>
                  <w14:solidFill>
                    <w14:schemeClr w14:val="tx1"/>
                  </w14:solidFill>
                </w14:textFill>
              </w:rPr>
              <w:t>二、毒驾驾驶：</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戴上VR眼镜，进入主界面，开始**驾驶体验，开始体验：画面提示您已进入**驾驶模拟体验场景，请将双手放在虚拟方向盘上，车辆开始启动。因为处于**驾驶状态，视线开始发生变化，眼前出现彩虹般的画面，最后看不清道路导致撞击。画面显示玻璃破碎，鲜血四溅，救护车警笛音响起，体验结束！</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b/>
                <w:bCs/>
                <w:sz w:val="18"/>
                <w:szCs w:val="18"/>
              </w:rPr>
              <w:t>★</w:t>
            </w:r>
            <w:r>
              <w:rPr>
                <w:rFonts w:hint="eastAsia" w:ascii="宋体" w:hAnsi="宋体" w:cs="宋体"/>
                <w:b/>
                <w:bCs/>
                <w:color w:val="000000" w:themeColor="text1"/>
                <w:kern w:val="0"/>
                <w:sz w:val="18"/>
                <w:szCs w:val="18"/>
                <w14:textFill>
                  <w14:solidFill>
                    <w14:schemeClr w14:val="tx1"/>
                  </w14:solidFill>
                </w14:textFill>
              </w:rPr>
              <w:t>三、疲劳驾驶：</w:t>
            </w:r>
            <w:r>
              <w:rPr>
                <w:rFonts w:hint="eastAsia" w:ascii="宋体" w:hAnsi="宋体" w:cs="宋体"/>
                <w:b/>
                <w:bCs/>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  戴上VR眼镜，进入主界面，开始疲劳驾驶体验，开始体验：画面提示您已进入疲劳驾驶模拟体验场景，请将双手放在虚拟方向盘上，车辆开始启动。因为处于疲劳驾驶状态，眼镜一睁一闭，画面开始发生一亮一暗，最后看不清道路导致撞击。画面显示玻璃破碎，鲜血四溅，救护车警笛音响起，体验结束！</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四、超速驾驶</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  戴上VR眼镜，进入主界面，开始超速驾驶体验，开始体验：画面提示您已进入超速驾驶模拟体验场景，请将双手放在虚拟方向盘上。车开始启动。车辆行驶在快速路上，一开始路上车辆比较少，就越开越快，行驶半分钟左右时，前方出现三辆车并排行驶，刹车已来不及，最后重重撞击。画面显示玻璃破碎，鲜血四溅，救护车警笛音响起，体验结束！</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五、超重危害驾驶体验</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1.超重事故描述镜头：工地上面前有一辆装满钢管的卡车，此时塔吊从别处转运过来一款钢管，旁边的指挥员在指挥塔吊。</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2.画面弹出一个UI，提示信息为：货车的载重是40吨，现在已经满载。一车拉的越多挣钱越多。</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继续装载，塔吊将继续将钢筋队放置在卡车上，然后画面切换到卡车在行进中，画面提示，需要将钢筋通过桥运输到另外一侧的工地上。此时体验者驾驶卡车走到桥中央的时候，画面出现晃动，桥最终坍塌，坠落水中。</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此时弹出，超载的危害UI信息</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结束后重新返回开场的超员超载UI选择画面。</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六、超载驾驶危害体验</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工地工人下班回家，原本荷载7人的面包车实际承载人为13人，面包车开离工地，通过跨海大桥（高架）回家，前车第一辆大巴突然降速，刹车灯高亮，面包车车内工人发出惊呼，驾驶员急打右转弯，但是由于超员严重导致车辆在极速变道过程中发生侧翻，面包车撞破栏杆冲出去。</w:t>
            </w:r>
          </w:p>
          <w:p>
            <w:pPr>
              <w:widowControl/>
              <w:ind w:firstLine="361" w:firstLineChars="200"/>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b/>
                <w:bCs/>
                <w:sz w:val="18"/>
                <w:szCs w:val="18"/>
              </w:rPr>
              <w:t>带“★”需提供中国软件评测中心出具的软件产品登记测试报告。报告不符合要求视为负偏离。</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21" w:type="dxa"/>
            <w:vMerge w:val="restart"/>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cs="宋体"/>
                <w:b/>
                <w:color w:val="000000" w:themeColor="text1"/>
                <w:kern w:val="0"/>
                <w:sz w:val="18"/>
                <w:szCs w:val="18"/>
                <w:lang w:val="en-US" w:eastAsia="zh-CN"/>
                <w14:textFill>
                  <w14:solidFill>
                    <w14:schemeClr w14:val="tx1"/>
                  </w14:solidFill>
                </w14:textFill>
              </w:rPr>
              <w:t>2</w:t>
            </w:r>
          </w:p>
        </w:tc>
        <w:tc>
          <w:tcPr>
            <w:tcW w:w="1279"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VR电瓶车</w:t>
            </w:r>
            <w:r>
              <w:rPr>
                <w:rFonts w:hint="eastAsia" w:ascii="宋体" w:hAnsi="宋体" w:cs="宋体"/>
                <w:b/>
                <w:color w:val="000000" w:themeColor="text1"/>
                <w:kern w:val="0"/>
                <w:sz w:val="18"/>
                <w:szCs w:val="18"/>
                <w:lang w:val="en-US" w:eastAsia="zh-CN"/>
                <w14:textFill>
                  <w14:solidFill>
                    <w14:schemeClr w14:val="tx1"/>
                  </w14:solidFill>
                </w14:textFill>
              </w:rPr>
              <w:t>+多媒体</w:t>
            </w:r>
            <w:r>
              <w:rPr>
                <w:rFonts w:hint="eastAsia" w:ascii="宋体" w:hAnsi="宋体" w:cs="宋体"/>
                <w:b/>
                <w:color w:val="000000" w:themeColor="text1"/>
                <w:kern w:val="0"/>
                <w:sz w:val="18"/>
                <w:szCs w:val="18"/>
                <w14:textFill>
                  <w14:solidFill>
                    <w14:schemeClr w14:val="tx1"/>
                  </w14:solidFill>
                </w14:textFill>
              </w:rPr>
              <w:t xml:space="preserve"> </w:t>
            </w: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硬件部分</w:t>
            </w:r>
          </w:p>
        </w:tc>
        <w:tc>
          <w:tcPr>
            <w:tcW w:w="4419"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1、尺寸：长≥2611、宽≥1338、高≥1700mm</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2、处理器主机 1台</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显卡：≥显卡1050  4G</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内存：配置≥8GB内存；</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3、控制板 1个 CAN 485  X24控制卡</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★4、触控屏 1台  19寸液晶触控屏</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5、电瓶车 1台   真实电瓶车改装</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★6、电动缸 1台≥50行程</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7、伺服电机 1个  60法兰  功率400W 转速3000转</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8、42寸液晶屏 1台</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★VR电瓶车硬件部分需要提供设备技术说明及设备结构</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图佐证加盖投标人公章（参数内9个模块需要在结构图内</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标注位置）。</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2、高清投影仪 2台：★提供产品3C认证、节能认证。</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3LCD显示技术，液晶板尺寸≥0. 63英寸；</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★标准亮度≥3200流明（IS021118标准）；</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对比度≥16000: 1;</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标准分辨率1024*768 (XGA) ;</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投射比≤0. 46: 1; 投射80英寸（4: 3) 距离≤75cm;</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灯泡功率≥230W, 整机功耗≤300W, 节能模式下待机功耗</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≤0. 5W; </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标准模式下灯泡寿命≥10000小时，节能模式下灯泡寿命</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≥20000小时；</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机器重量≥3. 9KG; 照度均匀性≥85%; 内置扬声器≥10W;</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★强光感应功能：对投影图像亮度、色调进行调节，使明</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亮的环境下的暗部区域细节都可清晰再现；</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过滤网更换周期最长可达10000小时；</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★四角校正功能，可对投影图像的每个角进行单独调整；</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支持水平</w:t>
            </w:r>
            <w:r>
              <w:rPr>
                <w:rFonts w:hint="eastAsia" w:ascii="宋体" w:hAnsi="宋体" w:cs="宋体"/>
                <w:color w:val="000000" w:themeColor="text1"/>
                <w:kern w:val="0"/>
                <w:sz w:val="18"/>
                <w:szCs w:val="18"/>
                <w:lang w:val="en-US" w:eastAsia="zh-CN"/>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15°、垂直</w:t>
            </w:r>
            <w:r>
              <w:rPr>
                <w:rFonts w:hint="eastAsia" w:ascii="宋体" w:hAnsi="宋体" w:cs="宋体"/>
                <w:color w:val="000000" w:themeColor="text1"/>
                <w:kern w:val="0"/>
                <w:sz w:val="18"/>
                <w:szCs w:val="18"/>
                <w:lang w:val="en-US" w:eastAsia="zh-CN"/>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15°梯形校正；★曲面校正功能；</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USB-A接口支持读取USB 记忆卡；</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USB-A接口可作为电源DC输出端口（5V, 500mA) ;</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USB-B接口可通过USB线连接电脑，轻松投影图像并输出</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声音；</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USB-A接口可扩展无线模块，支持最多4台设备同时进行</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无线投影；</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★提供投影机控制软件，可实现局域网内对最多2048台</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投影机的控制功能；</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★底部全密闭防尘结构设计，有效防止灰尘侵入，更适合</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于吊装；</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个性化开机LOGO设置，无需通过软件，在机器菜单上简</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单操作即可实现；</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遥控ID设置，最多可设置6个ID, 同时分别遥控六台投</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影机：</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顶部更换灯泡、侧面更换过滤网；</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配色板模式、黑板模式；</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安全锁扣、防盗吊钩口设计；</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断电保护功能；画面冻结功能，画面放大功能，快门功能，</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演示计数器功能；</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快速冷却功能，可设定0秒冷却；</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无信号情况下可自动进入休眠模式，信号重新输入时可自</w:t>
            </w:r>
          </w:p>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动唤醒；</w:t>
            </w:r>
          </w:p>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机器面板、接口、遥控器采用全中文标识。</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控制程序</w:t>
            </w:r>
          </w:p>
        </w:tc>
        <w:tc>
          <w:tcPr>
            <w:tcW w:w="4419"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一、开场交规场景：</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b/>
                <w:bCs/>
                <w:color w:val="000000" w:themeColor="text1"/>
                <w:kern w:val="0"/>
                <w:sz w:val="18"/>
                <w:szCs w:val="18"/>
                <w14:textFill>
                  <w14:solidFill>
                    <w14:schemeClr w14:val="tx1"/>
                  </w14:solidFill>
                </w14:textFill>
              </w:rPr>
              <w:t xml:space="preserve">★虚拟现实场景有警徽标志、交通警察及虚拟电瓶车。  </w:t>
            </w:r>
          </w:p>
          <w:p>
            <w:pPr>
              <w:widowControl/>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讲解开始：交警：“下面我开始讲解交通新规要点，至2020年6月1日起，新的交通法规定：</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1、电瓶车上路必须要佩戴安全帽 （交警在说这句话的时候电瓶车上面的安全帽高亮，交警的手指向电瓶车上的安全帽）</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2、在骑行过程中，不得进行载人 （此时电瓶车上出现两个骑着电瓶车的人的轮廓，一男 一女，交警说话时：“在骑行的过程中”交警手指向男人又指向女人，“不得进行载人”交警收回手双手在胸前打X。）</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3、所有电瓶车上路都必须挂有正式的车牌（旁边的电瓶车旋转至车尾对向驾驶者，交警在说话的过程中手指向车牌。）</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最后就是必须遵守中国交通规则。</w:t>
            </w:r>
          </w:p>
          <w:p>
            <w:pPr>
              <w:widowControl/>
              <w:ind w:firstLine="361" w:firstLineChars="200"/>
              <w:jc w:val="left"/>
              <w:textAlignment w:val="center"/>
              <w:rPr>
                <w:rFonts w:ascii="宋体" w:hAnsi="宋体" w:cs="宋体"/>
                <w:b/>
                <w:bCs/>
                <w:color w:val="000000" w:themeColor="text1"/>
                <w:sz w:val="18"/>
                <w:szCs w:val="18"/>
                <w14:textFill>
                  <w14:solidFill>
                    <w14:schemeClr w14:val="tx1"/>
                  </w14:solidFill>
                </w14:textFill>
              </w:rPr>
            </w:pPr>
          </w:p>
          <w:p>
            <w:pPr>
              <w:widowControl/>
              <w:ind w:firstLine="361"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提供带“★”软件场景界面截图，界面截图需与</w:t>
            </w:r>
            <w:r>
              <w:rPr>
                <w:rFonts w:hint="eastAsia" w:ascii="宋体" w:hAnsi="宋体" w:cs="宋体"/>
                <w:b/>
                <w:bCs/>
                <w:color w:val="000000" w:themeColor="text1"/>
                <w:kern w:val="0"/>
                <w:sz w:val="18"/>
                <w:szCs w:val="18"/>
                <w14:textFill>
                  <w14:solidFill>
                    <w14:schemeClr w14:val="tx1"/>
                  </w14:solidFill>
                </w14:textFill>
              </w:rPr>
              <w:t>“★”场景描述</w:t>
            </w:r>
            <w:r>
              <w:rPr>
                <w:rFonts w:hint="eastAsia" w:ascii="宋体" w:hAnsi="宋体" w:cs="宋体"/>
                <w:color w:val="000000" w:themeColor="text1"/>
                <w:kern w:val="0"/>
                <w:sz w:val="18"/>
                <w:szCs w:val="18"/>
                <w14:textFill>
                  <w14:solidFill>
                    <w14:schemeClr w14:val="tx1"/>
                  </w14:solidFill>
                </w14:textFill>
              </w:rPr>
              <w:t>参数一致</w:t>
            </w:r>
            <w:r>
              <w:rPr>
                <w:rFonts w:hint="eastAsia" w:ascii="宋体" w:hAnsi="宋体" w:cs="宋体"/>
                <w:b/>
                <w:bCs/>
                <w:color w:val="000000" w:themeColor="text1"/>
                <w:sz w:val="18"/>
                <w:szCs w:val="18"/>
                <w14:textFill>
                  <w14:solidFill>
                    <w14:schemeClr w14:val="tx1"/>
                  </w14:solidFill>
                </w14:textFill>
              </w:rPr>
              <w:t>，并加盖投标人公章。</w:t>
            </w:r>
          </w:p>
          <w:p>
            <w:pPr>
              <w:widowControl/>
              <w:jc w:val="left"/>
              <w:textAlignment w:val="center"/>
              <w:rPr>
                <w:rFonts w:ascii="宋体" w:hAnsi="宋体" w:cs="宋体"/>
                <w:color w:val="000000" w:themeColor="text1"/>
                <w:kern w:val="0"/>
                <w:sz w:val="18"/>
                <w:szCs w:val="18"/>
                <w:highlight w:val="yellow"/>
                <w14:textFill>
                  <w14:solidFill>
                    <w14:schemeClr w14:val="tx1"/>
                  </w14:solidFill>
                </w14:textFill>
              </w:rPr>
            </w:pP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kern w:val="0"/>
                <w:sz w:val="18"/>
                <w:szCs w:val="18"/>
              </w:rPr>
              <w:t>二：逆行体验危害体验</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b/>
                <w:bCs/>
                <w:color w:val="000000" w:themeColor="text1"/>
                <w:kern w:val="0"/>
                <w:sz w:val="18"/>
                <w:szCs w:val="18"/>
                <w14:textFill>
                  <w14:solidFill>
                    <w14:schemeClr w14:val="tx1"/>
                  </w14:solidFill>
                </w14:textFill>
              </w:rPr>
              <w:t>情景一：被动事故体验</w:t>
            </w:r>
          </w:p>
          <w:p>
            <w:pPr>
              <w:widowControl/>
              <w:numPr>
                <w:ilvl w:val="0"/>
                <w:numId w:val="17"/>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驾驶者处于一个纯黑空间面前依次出现文字段落及配音：</w:t>
            </w:r>
          </w:p>
          <w:p>
            <w:pPr>
              <w:widowControl/>
              <w:numPr>
                <w:ilvl w:val="0"/>
                <w:numId w:val="17"/>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某年某月某日，杭州某小区王某起床晚点，因上班时间紧迫，为了赶时间，王某骑电瓶车出门之后开始逆行。不想在逆行过程因无法躲避迎面驶来的三轮车，导致发生事故当场造成人员重伤。</w:t>
            </w:r>
          </w:p>
          <w:p>
            <w:pPr>
              <w:widowControl/>
              <w:numPr>
                <w:ilvl w:val="0"/>
                <w:numId w:val="17"/>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下面您将作为当事人王某以第一人称视角体验现场情景</w:t>
            </w:r>
          </w:p>
          <w:p>
            <w:pPr>
              <w:widowControl/>
              <w:numPr>
                <w:ilvl w:val="0"/>
                <w:numId w:val="17"/>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本次体验为被动体验无需进行任何操作</w:t>
            </w:r>
          </w:p>
          <w:p>
            <w:pPr>
              <w:widowControl/>
              <w:numPr>
                <w:ilvl w:val="0"/>
                <w:numId w:val="17"/>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驾驶者进入内容场景以第一人称坐在电瓶车上，电瓶车开始行驶1s后驾驶者自言自语到：”糟了，时间不够要迟到了。“</w:t>
            </w:r>
          </w:p>
          <w:p>
            <w:pPr>
              <w:widowControl/>
              <w:numPr>
                <w:ilvl w:val="0"/>
                <w:numId w:val="17"/>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当驾驶者驾驶者电瓶车从小路行驶至大路口时，电瓶车停止然后驾驶者自语：“算了！上班要迟到了，我还是逆行过去吧。”</w:t>
            </w:r>
          </w:p>
          <w:p>
            <w:pPr>
              <w:widowControl/>
              <w:numPr>
                <w:ilvl w:val="0"/>
                <w:numId w:val="17"/>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驾驶者直接左转逆行进入主路逆行行驶，过程中与别的电瓶车，自行车擦肩而过后面前一辆电动三轮车在路中间迎面驶来，驾驶三轮车的司机正在扭头看旁边。</w:t>
            </w:r>
          </w:p>
          <w:p>
            <w:pPr>
              <w:widowControl/>
              <w:numPr>
                <w:ilvl w:val="0"/>
                <w:numId w:val="17"/>
              </w:numPr>
              <w:jc w:val="left"/>
              <w:textAlignment w:val="center"/>
            </w:pPr>
            <w:r>
              <w:rPr>
                <w:rFonts w:hint="eastAsia" w:ascii="宋体" w:hAnsi="宋体" w:cs="宋体"/>
                <w:color w:val="000000" w:themeColor="text1"/>
                <w:kern w:val="0"/>
                <w:sz w:val="18"/>
                <w:szCs w:val="18"/>
                <w14:textFill>
                  <w14:solidFill>
                    <w14:schemeClr w14:val="tx1"/>
                  </w14:solidFill>
                </w14:textFill>
              </w:rPr>
              <w:t>电动三轮车宽度较宽，行驶在路中间的情况下无法躲避，当驾驶者驾驶电瓶车进入三轮车前特定的距离范围内传来惊呼的声音，随后驾驶者驾驶的电瓶车与三轮车相撞，驾驶者与电瓶车翻在地，人物受重伤。镜头出现头盔破碎和流血效果。</w:t>
            </w:r>
          </w:p>
          <w:p>
            <w:pPr>
              <w:widowControl/>
              <w:jc w:val="left"/>
              <w:textAlignment w:val="center"/>
              <w:rPr>
                <w:rFonts w:ascii="宋体" w:hAnsi="宋体" w:cs="宋体"/>
                <w:b/>
                <w:bCs/>
                <w:color w:val="000000" w:themeColor="text1"/>
                <w:kern w:val="0"/>
                <w:sz w:val="18"/>
                <w:szCs w:val="18"/>
                <w14:textFill>
                  <w14:solidFill>
                    <w14:schemeClr w14:val="tx1"/>
                  </w14:solidFill>
                </w14:textFill>
              </w:rPr>
            </w:pPr>
          </w:p>
          <w:p>
            <w:pPr>
              <w:widowControl/>
              <w:jc w:val="left"/>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★根据控制程序参数描述，提供（第一人称视角观看的驾驶者驾驶的电瓶车与三轮车相撞后，驾驶者与电瓶车翻在地，人物受重伤。镜头出现头盔破碎和流血效果。）</w:t>
            </w:r>
            <w:r>
              <w:rPr>
                <w:rFonts w:hint="eastAsia" w:ascii="宋体" w:hAnsi="宋体" w:cs="宋体"/>
                <w:b/>
                <w:bCs/>
                <w:color w:val="000000" w:themeColor="text1"/>
                <w:sz w:val="18"/>
                <w:szCs w:val="18"/>
                <w14:textFill>
                  <w14:solidFill>
                    <w14:schemeClr w14:val="tx1"/>
                  </w14:solidFill>
                </w14:textFill>
              </w:rPr>
              <w:t>场景界面截图进行佐证，并加盖投标人公章。</w:t>
            </w:r>
          </w:p>
          <w:p>
            <w:pPr>
              <w:widowControl/>
              <w:jc w:val="left"/>
              <w:textAlignment w:val="center"/>
              <w:rPr>
                <w:rFonts w:ascii="宋体" w:hAnsi="宋体" w:cs="宋体"/>
                <w:b/>
                <w:bCs/>
                <w:color w:val="000000" w:themeColor="text1"/>
                <w:kern w:val="0"/>
                <w:sz w:val="18"/>
                <w:szCs w:val="18"/>
                <w14:textFill>
                  <w14:solidFill>
                    <w14:schemeClr w14:val="tx1"/>
                  </w14:solidFill>
                </w14:textFill>
              </w:rPr>
            </w:pPr>
          </w:p>
          <w:p>
            <w:pPr>
              <w:widowControl/>
              <w:jc w:val="left"/>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情景二：第三视角回顾/交通法规普及</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1.驾驶者眼前逐渐变黑，再次亮起时返回场景的事故现场，驾驶者以第三人称视角观看上述事故发生后的现场状态，并且在面前不遮挡视野的位置浮现</w:t>
            </w:r>
            <w:r>
              <w:rPr>
                <w:rFonts w:hint="eastAsia" w:asciiTheme="majorEastAsia" w:hAnsiTheme="majorEastAsia" w:eastAsiaTheme="majorEastAsia" w:cstheme="majorEastAsia"/>
                <w:sz w:val="18"/>
                <w:szCs w:val="18"/>
              </w:rPr>
              <w:t>交通法规普及</w:t>
            </w:r>
            <w:r>
              <w:rPr>
                <w:rFonts w:hint="eastAsia" w:ascii="宋体" w:hAnsi="宋体" w:cs="宋体"/>
                <w:color w:val="000000" w:themeColor="text1"/>
                <w:kern w:val="0"/>
                <w:sz w:val="18"/>
                <w:szCs w:val="18"/>
                <w14:textFill>
                  <w14:solidFill>
                    <w14:schemeClr w14:val="tx1"/>
                  </w14:solidFill>
                </w14:textFill>
              </w:rPr>
              <w:t>。</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r>
              <w:rPr>
                <w:rFonts w:hint="eastAsia" w:asciiTheme="majorEastAsia" w:hAnsiTheme="majorEastAsia" w:eastAsiaTheme="majorEastAsia" w:cstheme="majorEastAsia"/>
                <w:sz w:val="18"/>
                <w:szCs w:val="18"/>
              </w:rPr>
              <w:t>交通法规普及</w:t>
            </w:r>
            <w:r>
              <w:rPr>
                <w:rFonts w:hint="eastAsia" w:ascii="宋体" w:hAnsi="宋体" w:cs="宋体"/>
                <w:color w:val="000000" w:themeColor="text1"/>
                <w:kern w:val="0"/>
                <w:sz w:val="18"/>
                <w:szCs w:val="18"/>
                <w14:textFill>
                  <w14:solidFill>
                    <w14:schemeClr w14:val="tx1"/>
                  </w14:solidFill>
                </w14:textFill>
              </w:rPr>
              <w:t>：</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本次交通事故中，王某逆向行驶，发生交通事故的要承担全部责任。根据《道路交通安全法》第八十九条规定,行人、乘车人、非机动车驾驶人违反道                       路交通安全法律、法规关于道路通行规定的,处警告或者5元以上50元以下罚款;非机动车驾驶人拒绝接受罚款处罚的,可以扣留其非机动车辆。</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第二段文字配音及代表中国交通管理法图片：</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在电瓶车骑行的过程中请牢记《道路交通安全法》，不能存在侥幸心理，给自身和他人的安全带来危害。</w:t>
            </w:r>
          </w:p>
          <w:p>
            <w:pPr>
              <w:widowControl/>
              <w:jc w:val="left"/>
              <w:textAlignment w:val="center"/>
              <w:rPr>
                <w:rFonts w:ascii="宋体" w:hAnsi="宋体" w:cs="宋体"/>
                <w:b/>
                <w:bCs/>
                <w:color w:val="000000" w:themeColor="text1"/>
                <w:kern w:val="0"/>
                <w:sz w:val="18"/>
                <w:szCs w:val="18"/>
                <w14:textFill>
                  <w14:solidFill>
                    <w14:schemeClr w14:val="tx1"/>
                  </w14:solidFill>
                </w14:textFill>
              </w:rPr>
            </w:pPr>
          </w:p>
          <w:p>
            <w:pPr>
              <w:widowControl/>
              <w:jc w:val="left"/>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★根据控制程序参数描述，提供（第三人称视角观看的驾驶者驾驶的电瓶车与三轮车相撞场景结合情景二：2.</w:t>
            </w:r>
            <w:r>
              <w:rPr>
                <w:rFonts w:hint="eastAsia" w:asciiTheme="majorEastAsia" w:hAnsiTheme="majorEastAsia" w:eastAsiaTheme="majorEastAsia" w:cstheme="majorEastAsia"/>
                <w:b/>
                <w:bCs/>
                <w:sz w:val="18"/>
                <w:szCs w:val="18"/>
              </w:rPr>
              <w:t>交通法规普及</w:t>
            </w:r>
            <w:r>
              <w:rPr>
                <w:rFonts w:hint="eastAsia" w:ascii="宋体" w:hAnsi="宋体" w:cs="宋体"/>
                <w:b/>
                <w:bCs/>
                <w:color w:val="000000" w:themeColor="text1"/>
                <w:kern w:val="0"/>
                <w:sz w:val="18"/>
                <w:szCs w:val="18"/>
                <w14:textFill>
                  <w14:solidFill>
                    <w14:schemeClr w14:val="tx1"/>
                  </w14:solidFill>
                </w14:textFill>
              </w:rPr>
              <w:t>）</w:t>
            </w:r>
            <w:r>
              <w:rPr>
                <w:rFonts w:hint="eastAsia" w:ascii="宋体" w:hAnsi="宋体" w:cs="宋体"/>
                <w:b/>
                <w:bCs/>
                <w:color w:val="000000" w:themeColor="text1"/>
                <w:sz w:val="18"/>
                <w:szCs w:val="18"/>
                <w14:textFill>
                  <w14:solidFill>
                    <w14:schemeClr w14:val="tx1"/>
                  </w14:solidFill>
                </w14:textFill>
              </w:rPr>
              <w:t>场景界面截图进行佐证，并加盖投标人公章。</w:t>
            </w:r>
          </w:p>
          <w:p>
            <w:pPr>
              <w:widowControl/>
              <w:jc w:val="left"/>
              <w:textAlignment w:val="center"/>
              <w:rPr>
                <w:rFonts w:ascii="宋体" w:hAnsi="宋体" w:cs="宋体"/>
                <w:b/>
                <w:bCs/>
                <w:color w:val="000000" w:themeColor="text1"/>
                <w:kern w:val="0"/>
                <w:sz w:val="18"/>
                <w:szCs w:val="18"/>
                <w14:textFill>
                  <w14:solidFill>
                    <w14:schemeClr w14:val="tx1"/>
                  </w14:solidFill>
                </w14:textFill>
              </w:rPr>
            </w:pPr>
          </w:p>
          <w:p>
            <w:pPr>
              <w:widowControl/>
              <w:jc w:val="left"/>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情景三：主动驾驶违法错误体验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1.驾驶者处于一个纯黑空间面前依次出现一段段文字及配音：</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文字段落一：为了牢记《道路交通安全法》关于逆行方面的规定，现在我们进入场景体验，请您根据提示前往正确的目标地点。</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文字段落二：本次体验为主动操作体验，请双手扶好电瓶车握把做好准备</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文字段落三：情景体验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2.配音结束后面前出现UI及配音：</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请根据地图前往目的地</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文字下方是场景地图，地图中有两条线：</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一条为绿线是遵守交通规则的路线，显示预计所需时间2分10秒。</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另外一条为红线是违反交通规则逆行路线，显示预计所需时间40秒</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3.配音结束5S后UI消失</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电瓶车两个车把之间出现小地图，小地图上标记了起点，终点，绿红两两条路线</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小地图正上方有时间数值，初始值为09：58：00</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当小地图出现的一瞬间时间数值开始以正常速度增长</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当数值达到10：00：00数值变红不在增长</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4.驾驶者进入主动体验内容场景，</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5.地面出现路线指引转角位置出现转向指引横向车道红灯，纵向车道绿灯</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6.当驾驶者驾驶者电瓶车从小路行驶至大路口时，横向车道绿灯，纵向车道红灯。</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7.驾驶者可以自主选择违反交通法规的逆行行驶</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8.如果选择左转逆向行驶，当驾驶者驾驶电瓶车逆向行驶时，迎面驶来一辆，三轮车宽度较宽，行驶在路中间的情况下电瓶车无法躲避</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当驾驶者进入三轮车前特定距离范围内传来惊呼的声音，随后驾驶者与三轮车相撞，驾驶者与电瓶车翻倒在地，人物受重伤。出现头盔破碎和流血效果。</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9.视野逐渐变黑，当视野恢复时，进入初始关卡</w:t>
            </w:r>
          </w:p>
          <w:p>
            <w:pPr>
              <w:widowControl/>
              <w:jc w:val="left"/>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情景四：主动驾驶守法正确体验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1.驾驶者处于一个纯黑空间面前依次出现一段段文字及配音：</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文字段落一：为了牢记《道路交通安全法》关于逆行方面的规定，现在我们进入场景体验，请您根据提示前往正确的目标地点。</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文字段落二：本次体验为主动操作体验，请双手扶好电瓶车握把做好准备</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文字段落三：情景体验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2.配音结束后面前出现UI及配音：</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请根据地图前往目的地</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文字下方是场景地图，地图中有两条线：</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一条为绿线是遵守交通规则的路线，显示预计所需时间2分10秒。</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另外一条为红线是违反交通规则逆行路线，显示预计所需时间40秒</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3.配音结束5S后UI消失</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电瓶车两个车把之间出现小地图，小地图上标记了起点，终点，绿红两两条路线</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小地图正上方有时间数值，初始值为09：58：00</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当小地图出现的一瞬间时间数值开始以正常速度增长</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当数值达到10：00：00数值变红不在增长</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4.驾驶者进入主动体验内容场景，</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5.地面出现路线指引</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转角位置出现转向指引</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横向车道红灯，纵向车道绿灯</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6.当驾驶者驾驶者电瓶车从小路行驶至大路口时，横向车道绿灯，纵向车道红灯。</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7.驾驶者可以选择遵守交通法规的正确行驶。</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8.如果驾驶者选择右转正确行驶，当驾驶者驾驶电瓶车正确行驶时，行驶到十字路口时横向车道红灯，纵向车道绿灯，驾驶者必须左转调头行驶到非机动车道时</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横向车道绿灯，纵向车道红灯。当驾驶者行驶至下一个红绿灯十字路口人行道前，横向变为红灯，纵向变为绿灯后出现。</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r>
              <w:rPr>
                <w:rFonts w:hint="eastAsia" w:ascii="宋体" w:hAnsi="宋体" w:cs="宋体"/>
                <w:b/>
                <w:bCs/>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驾驶者行驶到目的地，电瓶车自动停止，</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面前依次出现两个友情提醒：</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（威严男声）</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交警UI：“安全到达，节省时间固然重要，但生命安全更加重要，为了您的生命财产安全请谨记，立法为民，守法于心”。</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10.当交警语音播放完毕，视野逐渐变黑，当视野恢复时，进入初始关卡。</w:t>
            </w:r>
          </w:p>
          <w:p>
            <w:pPr>
              <w:widowControl/>
              <w:ind w:firstLine="361"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提供带“★”软件场景界面截图，界面截图需与</w:t>
            </w:r>
            <w:r>
              <w:rPr>
                <w:rFonts w:hint="eastAsia" w:ascii="宋体" w:hAnsi="宋体" w:cs="宋体"/>
                <w:b/>
                <w:bCs/>
                <w:color w:val="000000" w:themeColor="text1"/>
                <w:kern w:val="0"/>
                <w:sz w:val="18"/>
                <w:szCs w:val="18"/>
                <w14:textFill>
                  <w14:solidFill>
                    <w14:schemeClr w14:val="tx1"/>
                  </w14:solidFill>
                </w14:textFill>
              </w:rPr>
              <w:t>“★”场景描</w:t>
            </w:r>
            <w:r>
              <w:rPr>
                <w:rFonts w:hint="eastAsia" w:ascii="宋体" w:hAnsi="宋体" w:cs="宋体"/>
                <w:b/>
                <w:bCs/>
                <w:color w:val="000000" w:themeColor="text1"/>
                <w:sz w:val="18"/>
                <w:szCs w:val="18"/>
                <w14:textFill>
                  <w14:solidFill>
                    <w14:schemeClr w14:val="tx1"/>
                  </w14:solidFill>
                </w14:textFill>
              </w:rPr>
              <w:t>述参数一致，并加盖投标人公章。</w:t>
            </w:r>
          </w:p>
          <w:p>
            <w:pPr>
              <w:widowControl/>
              <w:jc w:val="left"/>
              <w:textAlignment w:val="center"/>
              <w:rPr>
                <w:rFonts w:ascii="宋体" w:hAnsi="宋体" w:cs="宋体"/>
                <w:color w:val="FF0000"/>
                <w:kern w:val="0"/>
                <w:sz w:val="18"/>
                <w:szCs w:val="18"/>
              </w:rPr>
            </w:pP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三：未戴安全帽危害体验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情景一：被动事故体验</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1.驾驶者处于一个纯黑空间面前依次出现文字段落及配音：</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2.某年某月某日，某地王姓男子因未佩戴安全头盔在骑行过程中轮胎压到水泥块使电瓶车失衡侧翻导致张某头部受到严重撞击，经抢救无效死亡。</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3.下面您将作为当事人王某以第一人称视角体验现场情景</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4.本次体验为被动体验无需进行任何操作</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驾驶者进入内容场景以第一人称坐在电瓶车上，电瓶车开始行驶1s后驾驶者自言自语到“今天太热了，现在还必须让带头盔，我就只到前面交通岗那里这么近，算了不戴了。”随后地面出现路线指引、电瓶车把中央出现小地图，小地图上表明了路线以及终点</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横向车道红灯，纵向车道绿灯</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每30S交替变化一次</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（安全头盔放在电瓶车放脚的位置中央）</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6.当驾驶者驾驶者电瓶车在非机动车道行驶，</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7.在行使的过程中路边有个开半口的井有作业，被路障围了起来，旁边留有一点距离比电瓶车稍宽一点，但是地上有零星几个较大一点的水泥块。</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8.当电瓶车行驶至这里因轮子压到地面上的水泥块导致侧翻。</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9.驾驶者倒下头部撞击倒旁边路障或绿化带上重伤死亡。（驾驶者撞击产生头撞击音效以及人物疼痛闷哼声音视野内出现血迹效果，随后逐渐昏迷闭眼）</w:t>
            </w:r>
          </w:p>
          <w:p>
            <w:pPr>
              <w:widowControl/>
              <w:jc w:val="left"/>
              <w:textAlignment w:val="center"/>
              <w:rPr>
                <w:rFonts w:ascii="宋体" w:hAnsi="宋体" w:cs="宋体"/>
                <w:b/>
                <w:bCs/>
                <w:color w:val="000000" w:themeColor="text1"/>
                <w:kern w:val="0"/>
                <w:sz w:val="18"/>
                <w:szCs w:val="18"/>
                <w:highlight w:val="cyan"/>
                <w14:textFill>
                  <w14:solidFill>
                    <w14:schemeClr w14:val="tx1"/>
                  </w14:solidFill>
                </w14:textFill>
              </w:rPr>
            </w:pPr>
          </w:p>
          <w:p>
            <w:pPr>
              <w:widowControl/>
              <w:jc w:val="left"/>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★根据控制程序参数描述，提供（第一人称视角观看的驾驶者倒下后头部撞击倒旁边路障或绿化带上重伤死亡场景）</w:t>
            </w:r>
            <w:r>
              <w:rPr>
                <w:rFonts w:hint="eastAsia" w:ascii="宋体" w:hAnsi="宋体" w:cs="宋体"/>
                <w:b/>
                <w:bCs/>
                <w:color w:val="000000" w:themeColor="text1"/>
                <w:sz w:val="18"/>
                <w:szCs w:val="18"/>
                <w14:textFill>
                  <w14:solidFill>
                    <w14:schemeClr w14:val="tx1"/>
                  </w14:solidFill>
                </w14:textFill>
              </w:rPr>
              <w:t>场景界面截图进行佐证，并加盖投标人公章。</w:t>
            </w:r>
          </w:p>
          <w:p>
            <w:pPr>
              <w:widowControl/>
              <w:jc w:val="left"/>
              <w:textAlignment w:val="center"/>
              <w:rPr>
                <w:rFonts w:ascii="宋体" w:hAnsi="宋体" w:cs="宋体"/>
                <w:b/>
                <w:bCs/>
                <w:color w:val="000000" w:themeColor="text1"/>
                <w:kern w:val="0"/>
                <w:sz w:val="18"/>
                <w:szCs w:val="18"/>
                <w14:textFill>
                  <w14:solidFill>
                    <w14:schemeClr w14:val="tx1"/>
                  </w14:solidFill>
                </w14:textFill>
              </w:rPr>
            </w:pPr>
          </w:p>
          <w:p>
            <w:pPr>
              <w:widowControl/>
              <w:jc w:val="left"/>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情景二：第三视角回顾/交通法规普及</w:t>
            </w:r>
          </w:p>
          <w:p>
            <w:pPr>
              <w:widowControl/>
              <w:numPr>
                <w:ilvl w:val="0"/>
                <w:numId w:val="18"/>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驾驶者眼前逐渐变黑，再次亮起时返回场景的事故现场，驾驶者以第三人称视角观看上述事故发生后的现场状态，并且在面前不遮挡视野的位置浮现事故原因宣讲。</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2.事故原因宣讲：</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本次交通事故中，王某没有佩戴安全头盔，在撞击的过程中头部被重击，在没有保护的情况下，造成伤亡</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第二段文字配音及代表中国交通管理法图片：</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在电瓶车骑行的过程中请牢记《道路交通安全法》，不能存在侥幸心理，给自身和他人的安全带来危害。</w:t>
            </w:r>
          </w:p>
          <w:p>
            <w:pPr>
              <w:widowControl/>
              <w:jc w:val="left"/>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★根据控制程序参数描述，提供（第三人称视角观看的驾驶者倒下后头部撞击倒旁边路障或绿化带上重伤死亡场景结合情景二：2.事故原因宣讲）</w:t>
            </w:r>
            <w:r>
              <w:rPr>
                <w:rFonts w:hint="eastAsia" w:ascii="宋体" w:hAnsi="宋体" w:cs="宋体"/>
                <w:b/>
                <w:bCs/>
                <w:color w:val="000000" w:themeColor="text1"/>
                <w:sz w:val="18"/>
                <w:szCs w:val="18"/>
                <w14:textFill>
                  <w14:solidFill>
                    <w14:schemeClr w14:val="tx1"/>
                  </w14:solidFill>
                </w14:textFill>
              </w:rPr>
              <w:t>场景界面截图进行佐证，并加盖投标人公章。</w:t>
            </w:r>
          </w:p>
          <w:p>
            <w:pPr>
              <w:widowControl/>
              <w:jc w:val="left"/>
              <w:textAlignment w:val="center"/>
            </w:pPr>
            <w:r>
              <w:rPr>
                <w:rFonts w:hint="eastAsia" w:ascii="宋体" w:hAnsi="宋体" w:cs="宋体"/>
                <w:b/>
                <w:bCs/>
                <w:color w:val="000000" w:themeColor="text1"/>
                <w:kern w:val="0"/>
                <w:sz w:val="18"/>
                <w:szCs w:val="18"/>
                <w14:textFill>
                  <w14:solidFill>
                    <w14:schemeClr w14:val="tx1"/>
                  </w14:solidFill>
                </w14:textFill>
              </w:rPr>
              <w:t>情景三：主动驾驶违法错误体验</w:t>
            </w:r>
          </w:p>
          <w:p>
            <w:pPr>
              <w:widowControl/>
              <w:numPr>
                <w:ilvl w:val="0"/>
                <w:numId w:val="19"/>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驾驶者处于一个纯黑空间面前依次出现一段段文字及配音：</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文字段落一：为了牢记《道路交通安全法》关于非机动车方面的规定，现在我们进入安全体验场景。在此场景中，您需要按照提示戴好安全帽之后到达目标地点，途中请遵守交通规则，躲避施工作业路障 </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文字段落二：本次体验为主动操作体验，请双手扶好电瓶车握把做好准备</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文字段落三：情景体验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2.驾驶者进入主动体验内容场景，</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3.面前出现UI文字语音及路线图</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UI文字内容一：请根据路线指引前往目的地</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UI文字内容二：天气炎热，是否戴上头盔。</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随后驾驶者面前出现两个选择UI：</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左侧UI内图片为一个没有戴头盔的人头的UI轮廓，正下方写着一个“否”字</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右侧UI内图片为一个头盔UI轮廓，正下方写着“是”字</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驾驶者用头盔选择“否”字UI，被选UI上出现读条，读条读完为选择确定</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(合成音女，系统提示音)</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4.选择完毕后如选择戴头盔则视觉效果出现戴上头盔效果，如选择不戴头盔则没有头盔视觉效果出现</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选择完毕后全部UI消失，地面出现指引，电瓶车车把中央出现小地图，小地图上标记了起点终点以及路线（路线上要表示出路障需绕行效果）</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当电瓶车行驶至半开井有作业，被路障围了起来，旁边留有一点距离比电瓶车稍宽一点，但是地上有零星几个较大一点的水泥块，因轮子压到地面上的水泥块导致侧翻，驾驶者倒下头部撞击倒旁边路障或绿化带视角变黑在逐渐变白。</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（可以根据电瓶车速度设置不同侧翻受伤效果）</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themeColor="text1"/>
                <w:kern w:val="0"/>
                <w:sz w:val="18"/>
                <w:szCs w:val="18"/>
                <w14:textFill>
                  <w14:solidFill>
                    <w14:schemeClr w14:val="tx1"/>
                  </w14:solidFill>
                </w14:textFill>
              </w:rPr>
              <w:t>6.</w:t>
            </w:r>
            <w:r>
              <w:rPr>
                <w:rFonts w:hint="eastAsia" w:ascii="宋体" w:hAnsi="宋体" w:cs="宋体"/>
                <w:b/>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场景</w:t>
            </w:r>
            <w:r>
              <w:rPr>
                <w:rFonts w:hint="eastAsia" w:asciiTheme="minorEastAsia" w:hAnsiTheme="minorEastAsia" w:eastAsiaTheme="minorEastAsia" w:cstheme="minorEastAsia"/>
                <w:sz w:val="18"/>
                <w:szCs w:val="18"/>
              </w:rPr>
              <w:t>面前显示UI：</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由于您没有按照要求佩戴安全帽，您因为受伤过于严重，此次头部重疾当场死亡。</w:t>
            </w:r>
          </w:p>
          <w:p>
            <w:pPr>
              <w:widowControl/>
              <w:ind w:firstLine="361"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提供带“★”软件场景界面截图，界面截图需与</w:t>
            </w:r>
            <w:r>
              <w:rPr>
                <w:rFonts w:hint="eastAsia" w:ascii="宋体" w:hAnsi="宋体" w:cs="宋体"/>
                <w:b/>
                <w:bCs/>
                <w:color w:val="000000" w:themeColor="text1"/>
                <w:kern w:val="0"/>
                <w:sz w:val="18"/>
                <w:szCs w:val="18"/>
                <w14:textFill>
                  <w14:solidFill>
                    <w14:schemeClr w14:val="tx1"/>
                  </w14:solidFill>
                </w14:textFill>
              </w:rPr>
              <w:t>“★”场景描述</w:t>
            </w:r>
            <w:r>
              <w:rPr>
                <w:rFonts w:hint="eastAsia" w:ascii="宋体" w:hAnsi="宋体" w:cs="宋体"/>
                <w:color w:val="000000" w:themeColor="text1"/>
                <w:kern w:val="0"/>
                <w:sz w:val="18"/>
                <w:szCs w:val="18"/>
                <w14:textFill>
                  <w14:solidFill>
                    <w14:schemeClr w14:val="tx1"/>
                  </w14:solidFill>
                </w14:textFill>
              </w:rPr>
              <w:t>参数一致</w:t>
            </w:r>
            <w:r>
              <w:rPr>
                <w:rFonts w:hint="eastAsia" w:ascii="宋体" w:hAnsi="宋体" w:cs="宋体"/>
                <w:b/>
                <w:bCs/>
                <w:color w:val="000000" w:themeColor="text1"/>
                <w:sz w:val="18"/>
                <w:szCs w:val="18"/>
                <w14:textFill>
                  <w14:solidFill>
                    <w14:schemeClr w14:val="tx1"/>
                  </w14:solidFill>
                </w14:textFill>
              </w:rPr>
              <w:t>，并加盖投标人公章。</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sz w:val="18"/>
                <w:szCs w:val="18"/>
              </w:rPr>
              <w:br w:type="textWrapping"/>
            </w:r>
            <w:r>
              <w:rPr>
                <w:rFonts w:hint="eastAsia" w:ascii="宋体" w:hAnsi="宋体" w:cs="宋体"/>
                <w:color w:val="000000" w:themeColor="text1"/>
                <w:kern w:val="0"/>
                <w:sz w:val="18"/>
                <w:szCs w:val="18"/>
                <w14:textFill>
                  <w14:solidFill>
                    <w14:schemeClr w14:val="tx1"/>
                  </w14:solidFill>
                </w14:textFill>
              </w:rPr>
              <w:t>6.场景面前显示UI：</w:t>
            </w:r>
          </w:p>
          <w:p>
            <w:pPr>
              <w:rPr>
                <w:rFonts w:asciiTheme="minorEastAsia" w:hAnsiTheme="minorEastAsia" w:eastAsiaTheme="minorEastAsia" w:cstheme="minorEastAsia"/>
                <w:sz w:val="18"/>
                <w:szCs w:val="18"/>
              </w:rPr>
            </w:pPr>
            <w:r>
              <w:rPr>
                <w:rFonts w:hint="eastAsia" w:ascii="宋体" w:hAnsi="宋体" w:cs="宋体"/>
                <w:color w:val="000000" w:themeColor="text1"/>
                <w:kern w:val="0"/>
                <w:sz w:val="18"/>
                <w:szCs w:val="18"/>
                <w14:textFill>
                  <w14:solidFill>
                    <w14:schemeClr w14:val="tx1"/>
                  </w14:solidFill>
                </w14:textFill>
              </w:rPr>
              <w:t>根据《道路交通安全法》第八十九条规定,行人、乘车人、非机动车驾驶人违反道路交通安全法律、法规关于道路通行规定的,处警告或者5元以上50元以下罚款;非机动</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车驾驶人拒绝接受罚款处罚的,可以扣留其非机动车辆。</w:t>
            </w:r>
          </w:p>
          <w:p>
            <w:pPr>
              <w:rPr>
                <w:b/>
                <w:bCs/>
                <w:sz w:val="18"/>
                <w:szCs w:val="18"/>
              </w:rPr>
            </w:pPr>
            <w:r>
              <w:rPr>
                <w:rFonts w:hint="eastAsia" w:asciiTheme="minorEastAsia" w:hAnsiTheme="minorEastAsia" w:eastAsiaTheme="minorEastAsia" w:cstheme="minorEastAsia"/>
                <w:sz w:val="18"/>
                <w:szCs w:val="18"/>
              </w:rPr>
              <w:t>7.当语音播放完毕，视野逐渐变黑，当视野恢复时，进入初始关卡</w:t>
            </w:r>
          </w:p>
          <w:p>
            <w:pPr>
              <w:rPr>
                <w:b/>
                <w:bCs/>
                <w:sz w:val="18"/>
                <w:szCs w:val="18"/>
              </w:rPr>
            </w:pPr>
            <w:r>
              <w:rPr>
                <w:rFonts w:hint="eastAsia"/>
                <w:b/>
                <w:bCs/>
                <w:sz w:val="18"/>
                <w:szCs w:val="18"/>
              </w:rPr>
              <w:t>情景四：主动驾驶守法正确体验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驾驶者处于一个纯黑空间面前依次出现一段段文字及配音：文字段落一：为了牢记《道路交通安全法》关于非机动车方面的规定，现在我们进入安全体验场景。在此场景中，您需要按照提示戴好安全帽之后到达目标地点，途中请遵守交通规则，躲避施工作业路障</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文字段落二：本次体验为主动操作体验，请双手扶好电瓶车握把做好准备</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文字段落三：情景体验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2.驾驶者进入主动体验内容场景，</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hint="eastAsia" w:ascii="宋体" w:hAnsi="宋体" w:cs="宋体"/>
                <w:b/>
                <w:bCs/>
                <w:color w:val="000000" w:themeColor="text1"/>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场景面前出现UI文字语音及路线图</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UI文字内容一：请根据路线指引前往目的地</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UI文字内容二：天气炎热，是否戴上头盔。</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随后驾驶者面前出现两个选择UI：</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左侧UI内图片为一个没有戴头盔的人头的UI轮廓，正下方写着一个“否”字</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右侧UI内图片为一个头盔UI轮廓，正下方写着“是”字</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驾驶者用头盔选择“是”字UI，被选UI上出现读条，读条读完为选择确定</w:t>
            </w:r>
          </w:p>
          <w:p>
            <w:pPr>
              <w:widowControl/>
              <w:ind w:firstLine="361" w:firstLineChars="200"/>
              <w:jc w:val="left"/>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提供带“★”软件场景界面截图，界面截图需与</w:t>
            </w:r>
            <w:r>
              <w:rPr>
                <w:rFonts w:hint="eastAsia" w:ascii="宋体" w:hAnsi="宋体" w:cs="宋体"/>
                <w:b/>
                <w:bCs/>
                <w:color w:val="000000" w:themeColor="text1"/>
                <w:kern w:val="0"/>
                <w:sz w:val="18"/>
                <w:szCs w:val="18"/>
                <w14:textFill>
                  <w14:solidFill>
                    <w14:schemeClr w14:val="tx1"/>
                  </w14:solidFill>
                </w14:textFill>
              </w:rPr>
              <w:t>“★”场景描述</w:t>
            </w:r>
            <w:r>
              <w:rPr>
                <w:rFonts w:hint="eastAsia" w:ascii="宋体" w:hAnsi="宋体" w:cs="宋体"/>
                <w:color w:val="000000" w:themeColor="text1"/>
                <w:kern w:val="0"/>
                <w:sz w:val="18"/>
                <w:szCs w:val="18"/>
                <w14:textFill>
                  <w14:solidFill>
                    <w14:schemeClr w14:val="tx1"/>
                  </w14:solidFill>
                </w14:textFill>
              </w:rPr>
              <w:t>参数一致</w:t>
            </w:r>
            <w:r>
              <w:rPr>
                <w:rFonts w:hint="eastAsia" w:ascii="宋体" w:hAnsi="宋体" w:cs="宋体"/>
                <w:b/>
                <w:bCs/>
                <w:color w:val="000000" w:themeColor="text1"/>
                <w:sz w:val="18"/>
                <w:szCs w:val="18"/>
                <w14:textFill>
                  <w14:solidFill>
                    <w14:schemeClr w14:val="tx1"/>
                  </w14:solidFill>
                </w14:textFill>
              </w:rPr>
              <w:t>，并加盖投标人公章。</w:t>
            </w:r>
          </w:p>
          <w:p>
            <w:pPr>
              <w:widowControl/>
              <w:numPr>
                <w:ilvl w:val="0"/>
                <w:numId w:val="20"/>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戴上头盔，驾驶者撞击产生头盔碰撞音效以及耳鸣音效不会出现血迹，视觉效果的头盔上出现裂纹。不会昏迷。随后画面切换，驾驶者重新骑着电瓶车身处场景中事故发生的位置。</w:t>
            </w:r>
          </w:p>
          <w:p>
            <w:pPr>
              <w:widowControl/>
              <w:numPr>
                <w:ilvl w:val="0"/>
                <w:numId w:val="20"/>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场景面前显示UI：</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由于您佩戴了安全帽，此次事故虽然造成轻微伤害，但生命无大碍。</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根据《道路交通安全法》第八十九条规定,行人、乘车人、非机动车驾驶人违反道路交通安全法律、法规关于道路通行规定的,处警告或者5元以上50元以下罚款;非机动车驾驶人拒绝接受罚款处罚的,可以扣留其非机动车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7.当语音播放完毕，视野逐渐变黑，当视野恢复时，进入初始关卡</w:t>
            </w: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四：走机动车道危害体验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情景一：被动事故体验</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1.驾驶者处于一个纯黑空间面前依次出现文字段落及配音：</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某年某月某日，某地区王姓男子在按照正常交通规则在非机动车道上行驶，前方不远的地方有一辆三轮车速度较慢，挡住前路，男子为赶路，通过因维修出现的栅栏缺口强行插入左侧机动车道上行驶，恰好被后面急速赶来的一辆轿车撞击，当场死亡。</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3.下面您将作为当事人王某以第一人称视角体验现场情景</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4.本次体验为被动体验无需进行任何操作</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情景四：</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情景再现</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5.驾驶者进入内容场景以第一人称坐在电瓶车上，电瓶车开始行驶1s后驾驶者自言自语到：“糟糕，时间不够了，我要快点了。”</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横向车道红灯车流密集</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（电瓶车默认佩戴头盔状态）</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6.驾驶者驾驶电瓶车在非机动车道上行驶</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7.驾驶者行驶了一段路程，面前有一个电动三轮车开始行进并且拐至路中间行驶缓慢，无法超车，连续按了一会喇叭电动三轮车前方司机的位置传出回复：“按什么按，赶着投胎啊！“</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8.当行驾驶者行驶至第二处栅栏缺口时驾驶者闷哼一声直接加速从缺口驶出到机动车道上。</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当驾驶者驾驶至机动车到上后紧接着响起刺耳的汽车鸣笛声和刹车声，接着一声巨响驾驶者被撞飞，在空中转体360°后头盔正面着地，在头盔距离地面10公分的时候触发子弹特效时间，时间放慢，头盔玻璃碎裂，血液溅出，驾驶者死亡。</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车辆在撞击到驾驶者后滑行1-3S后停止不动。</w:t>
            </w:r>
          </w:p>
          <w:p>
            <w:r>
              <w:rPr>
                <w:rFonts w:hint="eastAsia" w:asciiTheme="minorEastAsia" w:hAnsiTheme="minorEastAsia" w:eastAsiaTheme="minorEastAsia" w:cstheme="minorEastAsia"/>
                <w:b/>
                <w:bCs/>
                <w:sz w:val="18"/>
                <w:szCs w:val="18"/>
              </w:rPr>
              <w:t>情景二：第三视角回顾/交通法规普及</w:t>
            </w:r>
          </w:p>
          <w:p>
            <w:pPr>
              <w:numPr>
                <w:ilvl w:val="0"/>
                <w:numId w:val="21"/>
              </w:num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驾驶者眼前逐渐变黑，再次亮起时返回场景的事故现场，驾驶者以第三人称视角观看上述事故发生后的现场状态，并且在面前不遮挡视野的位置浮现交通法规普及。</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2.交通法规普及：</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次交通事故中，王某未按照交通规则行驶，盲目行驶到机动车道上造成车毁人亡，王某负全责。根据《道路交通安全法》第八十九条规定,行人、乘车人、非机动车驾驶人违反道路交通安全法律、法规关于道路通行规定的,处警告或者5元以上50元以下罚款;非机动车驾驶人拒绝接受罚款处罚的,可以扣留其非机动车辆。</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第二段文字配音及代表中国交通管理法图片：</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在电瓶车骑行的过程中请牢记《道路交通安全法》，不能存在侥幸心理，给自身和他人的安全带来危害。</w:t>
            </w:r>
          </w:p>
          <w:p>
            <w:pPr>
              <w:pStyle w:val="88"/>
              <w:spacing w:line="312" w:lineRule="auto"/>
              <w:ind w:left="0"/>
            </w:pPr>
            <w:r>
              <w:rPr>
                <w:rFonts w:hint="eastAsia" w:ascii="宋体" w:hAnsi="宋体" w:cs="宋体"/>
                <w:b/>
                <w:bCs/>
                <w:i w:val="0"/>
                <w:iCs w:val="0"/>
                <w:color w:val="000000" w:themeColor="text1"/>
                <w:kern w:val="0"/>
                <w:sz w:val="18"/>
                <w:szCs w:val="18"/>
                <w14:textFill>
                  <w14:solidFill>
                    <w14:schemeClr w14:val="tx1"/>
                  </w14:solidFill>
                </w14:textFill>
              </w:rPr>
              <w:t>★根据控制程序参数描述，提供（第三视角观看的</w:t>
            </w:r>
            <w:r>
              <w:rPr>
                <w:rFonts w:hint="eastAsia" w:asciiTheme="majorEastAsia" w:hAnsiTheme="majorEastAsia" w:eastAsiaTheme="majorEastAsia" w:cstheme="majorEastAsia"/>
                <w:b/>
                <w:bCs/>
                <w:i w:val="0"/>
                <w:iCs w:val="0"/>
                <w:sz w:val="18"/>
                <w:szCs w:val="18"/>
              </w:rPr>
              <w:t>事故发生后的现场状态</w:t>
            </w:r>
            <w:r>
              <w:rPr>
                <w:rFonts w:hint="eastAsia" w:ascii="宋体" w:hAnsi="宋体" w:cs="宋体"/>
                <w:b/>
                <w:bCs/>
                <w:i w:val="0"/>
                <w:iCs w:val="0"/>
                <w:color w:val="000000" w:themeColor="text1"/>
                <w:kern w:val="0"/>
                <w:sz w:val="18"/>
                <w:szCs w:val="18"/>
                <w14:textFill>
                  <w14:solidFill>
                    <w14:schemeClr w14:val="tx1"/>
                  </w14:solidFill>
                </w14:textFill>
              </w:rPr>
              <w:t>场景结合情景二：2.</w:t>
            </w:r>
            <w:r>
              <w:rPr>
                <w:rFonts w:hint="eastAsia" w:asciiTheme="majorEastAsia" w:hAnsiTheme="majorEastAsia" w:eastAsiaTheme="majorEastAsia" w:cstheme="majorEastAsia"/>
                <w:b/>
                <w:bCs/>
                <w:i w:val="0"/>
                <w:iCs w:val="0"/>
                <w:sz w:val="18"/>
                <w:szCs w:val="18"/>
              </w:rPr>
              <w:t>交通法规普及</w:t>
            </w:r>
            <w:r>
              <w:rPr>
                <w:rFonts w:hint="eastAsia" w:ascii="宋体" w:hAnsi="宋体" w:cs="宋体"/>
                <w:b/>
                <w:bCs/>
                <w:i w:val="0"/>
                <w:iCs w:val="0"/>
                <w:color w:val="000000" w:themeColor="text1"/>
                <w:kern w:val="0"/>
                <w:sz w:val="18"/>
                <w:szCs w:val="18"/>
                <w14:textFill>
                  <w14:solidFill>
                    <w14:schemeClr w14:val="tx1"/>
                  </w14:solidFill>
                </w14:textFill>
              </w:rPr>
              <w:t>）</w:t>
            </w:r>
            <w:r>
              <w:rPr>
                <w:rFonts w:hint="eastAsia" w:ascii="宋体" w:hAnsi="宋体" w:cs="宋体"/>
                <w:b/>
                <w:bCs/>
                <w:i w:val="0"/>
                <w:iCs w:val="0"/>
                <w:color w:val="000000" w:themeColor="text1"/>
                <w:sz w:val="18"/>
                <w:szCs w:val="18"/>
                <w14:textFill>
                  <w14:solidFill>
                    <w14:schemeClr w14:val="tx1"/>
                  </w14:solidFill>
                </w14:textFill>
              </w:rPr>
              <w:t>场景界面截图进行佐证，并加盖投标人公章。</w:t>
            </w:r>
          </w:p>
          <w:p>
            <w:pPr>
              <w:rPr>
                <w:b/>
                <w:bCs/>
                <w:sz w:val="18"/>
                <w:szCs w:val="18"/>
              </w:rPr>
            </w:pPr>
          </w:p>
          <w:p>
            <w:pPr>
              <w:rPr>
                <w:b/>
                <w:bCs/>
                <w:sz w:val="18"/>
                <w:szCs w:val="18"/>
              </w:rPr>
            </w:pPr>
            <w:r>
              <w:rPr>
                <w:rFonts w:hint="eastAsia"/>
                <w:b/>
                <w:bCs/>
                <w:sz w:val="18"/>
                <w:szCs w:val="18"/>
              </w:rPr>
              <w:t>情景三：主动驾驶违法错误体验</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1.驾驶者处于一个纯黑空间面前依次出现一段段文字及配音：</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文字段落一：为了牢记《道路交通安全法》的规定，现在我们进入场景体验，请您根据提示前往正确的目标地点。</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文字段落二：本次体验为主动操作体验，请双手扶好电瓶车握把做好准备</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文字段落三：情景体验</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2.进入主动驾驶内容场景。</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3.进入场景驾驶者自语：“糟糕，时间不够了，我要快点了。”</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随后地面出现路线指引、电瓶车把中央出现小地图，小地图上表明了路线以及终点</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横向车道绿灯车流密集</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4.行进到面前有一个电动三轮车开始行进并且拐至路中间行驶缓慢，无法超车，连续按了一会喇叭电动三轮车前方司机的位置传出回复：“按什么按，赶着投胎啊！“，电瓶车到达三轮车后方一定距离内自动减速.</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5.道路中共有两处栅栏缺口，每到达一个缺口时，地面出现另外一条红色的指引箭头指引绕过栅栏行至机动车道，并且出现UI：“发现栅栏缺口，可通过缺口行至机动车道进行超车，节省行车时间。</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如果驾驶者从栅栏缺口行驶到机动车道。第二车道无车,在每一个缺口（共两个缺口）后方一点停着一台等待撞人的车辆，第一车道有车流穿梭，驾驶者在进入第二车道上行驶3-5S后视野中边缘一圈会出现红蓝闪烁的效果，出现“危险”，紧接着响起刺耳的汽车鸣笛声和刹车声，接着一声巨响驾驶者被撞飞，在空中转体360°后头盔正面着地，在头盔距离地面10公分的时候触发子弹特效时间，时间放慢，头盔玻璃碎裂，血液溅出，驾驶者死亡。</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车辆在撞击到驾驶者后滑行1-3S后停止不动。</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驾驶者视角逐渐变黑，当视角恢复时，回到初始场景。</w:t>
            </w:r>
          </w:p>
          <w:p>
            <w:pPr>
              <w:rPr>
                <w:b/>
                <w:bCs/>
                <w:sz w:val="18"/>
                <w:szCs w:val="18"/>
              </w:rPr>
            </w:pPr>
            <w:r>
              <w:rPr>
                <w:rFonts w:hint="eastAsia"/>
                <w:b/>
                <w:bCs/>
                <w:sz w:val="18"/>
                <w:szCs w:val="18"/>
              </w:rPr>
              <w:t>情景四：主动驾驶守法正确体验</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1.驾驶者处于一个纯黑空间面前依次出现一段段文字及配音：</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文字段落一：为了牢记《道路交通安全法》的规定，现在我们进入场景体验，请您根据提示前往正确的目标地点。</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文字段落二：本次体验为主动操作体验，请双手扶好电瓶车握把做好准备</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文字段落三：情景体验</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2.进入主动驾驶内容场景。</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3.进入场景驾驶者自语：“糟糕，时间不够了，我要快点了。”</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随后地面出现路线指引、电瓶车把中央出现小地图，小地图上表明了路线以及终点</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横向车道绿灯车流密集</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4.行进到面前有一个电动三轮车开始行进并且拐至路中间行驶缓慢，无法超车，连续按了一会喇叭电动三轮车前方司机的位置传出回复：“按什么按，赶着投胎啊！“，电瓶车到达三轮车后方一定距离内自动减速.</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如果驾驶者从栅栏缺口行驶到机动车道。第二车道无车,在每一个缺口后方一点停着一台等待撞人的车辆，第一车道有车流穿梭，驾驶者在进入第二车道上行驶3-5S后视野中边缘一圈会出现红蓝闪烁的效果，出现“危险”，紧接着响起刺耳的汽车鸣笛声和刹车声，接着一声巨响驾驶者被撞飞，在空中转体360°后头盔正面着地，在头盔距离地面10公分的时候触发子弹特效时间，时间放慢，头盔玻璃碎裂，血液溅出，驾驶者死亡。</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车辆在撞击到驾驶者后滑行1-3S后停止不动。</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驾驶者视角逐渐变黑，当视角恢复时，回到初始场景。</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6.如果驾驶者没有行驶到机动车道，并且走到目的地，电瓶车自动停止</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面前出现UI及配音</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（威严男声）</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交警UI：“安全到达，节省时间固然重要，但生命安全更加重要，为了您的生命财产安全请谨记，立法为民，守法于心“。</w:t>
            </w:r>
          </w:p>
          <w:p>
            <w:pPr>
              <w:rPr>
                <w:sz w:val="18"/>
                <w:szCs w:val="18"/>
              </w:rPr>
            </w:pPr>
            <w:r>
              <w:rPr>
                <w:rFonts w:hint="eastAsia"/>
                <w:sz w:val="18"/>
                <w:szCs w:val="18"/>
              </w:rPr>
              <w:t>驾驶者视角逐渐变黑，当视角恢复时，回到初始场景。</w:t>
            </w:r>
          </w:p>
          <w:p>
            <w:pPr>
              <w:rPr>
                <w:sz w:val="18"/>
                <w:szCs w:val="18"/>
              </w:rPr>
            </w:pPr>
            <w:r>
              <w:rPr>
                <w:rFonts w:hint="eastAsia"/>
                <w:sz w:val="18"/>
                <w:szCs w:val="18"/>
              </w:rPr>
              <w:t>五：闯红灯危害体验</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情景一：被动事故体验</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1.驾驶者处于一个纯黑空间面前依次出现文字段落及配音：</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2.某年某月某日，某地区骑行男子出小区门口之后，按照正常交通规则在非机动车道上行驶，在一个十字红绿灯路口闯红灯被迎面而来的车辆撞死。造成场面一度陷入混乱</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3.下面您将作为当事人王某以第一人称视角体验现场情景</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4.本次体验为被动体验无需进行任何操作</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5.驾驶者进入内容场景以第一人称坐在电瓶车上，电瓶车开始行驶1s后驾驶者自言自语到：“糟糕，时间不够了，我要快点了。”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横向车道红灯车流密集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（电瓶车默认佩戴头盔状态）</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6.驾驶者驾驶电瓶车在非机动车道上行驶</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7.驾驶者走到红绿灯路口，横向车道的正好从绿灯变为红灯</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驾驶者说到：“哎呀，真倒霉！”</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随后20S后横向车道由红灯变为绿灯，驾驶者继续前行</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8.当驾驶者走到红绿灯路口，横向车道的又正好从绿灯变为红灯</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驾驶者说到：“又红灯！每一次都是我走到了变红灯，不管了反正没交警！”</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9.驾驶者驾驶电瓶车行至马路中间，一架车疾驰而来。随后驾驶者直接闯红灯过马路，随后耳边传来刺耳的鸣笛声和急刹车的声音，而后一声撞击的巨响，驾驶者与电瓶车被撞飞划出一条曲线摔倒在地当场死亡。</w:t>
            </w:r>
          </w:p>
          <w:p>
            <w:pP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情景二：第三视角回顾/交通法规普及</w:t>
            </w:r>
          </w:p>
          <w:p>
            <w:pPr>
              <w:numPr>
                <w:ilvl w:val="0"/>
                <w:numId w:val="22"/>
              </w:numPr>
              <w:rPr>
                <w:rFonts w:asciiTheme="majorEastAsia" w:hAnsiTheme="majorEastAsia" w:eastAsiaTheme="majorEastAsia" w:cstheme="majorEastAsia"/>
                <w:sz w:val="18"/>
                <w:szCs w:val="18"/>
              </w:rPr>
            </w:pPr>
            <w:r>
              <w:rPr>
                <w:rFonts w:hint="eastAsia" w:asciiTheme="minorEastAsia" w:hAnsiTheme="minorEastAsia" w:eastAsiaTheme="minorEastAsia" w:cstheme="minorEastAsia"/>
                <w:sz w:val="18"/>
                <w:szCs w:val="18"/>
              </w:rPr>
              <w:t>驾驶者眼前逐渐变黑，再次亮起时返回场景的事故现场，驾驶者以第三人称视角观看上述事故发生后的现场状态，并且在面前不遮挡视野的位置浮现</w:t>
            </w:r>
            <w:r>
              <w:rPr>
                <w:rFonts w:hint="eastAsia" w:asciiTheme="majorEastAsia" w:hAnsiTheme="majorEastAsia" w:eastAsiaTheme="majorEastAsia" w:cstheme="majorEastAsia"/>
                <w:sz w:val="18"/>
                <w:szCs w:val="18"/>
              </w:rPr>
              <w:t>交通法规普及。</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ajorEastAsia" w:hAnsiTheme="majorEastAsia" w:eastAsiaTheme="majorEastAsia" w:cstheme="majorEastAsia"/>
                <w:sz w:val="18"/>
                <w:szCs w:val="18"/>
              </w:rPr>
              <w:t>交通法规普及</w:t>
            </w:r>
            <w:r>
              <w:rPr>
                <w:rFonts w:hint="eastAsia" w:asciiTheme="minorEastAsia" w:hAnsiTheme="minorEastAsia" w:eastAsiaTheme="minorEastAsia" w:cstheme="minorEastAsia"/>
                <w:sz w:val="18"/>
                <w:szCs w:val="18"/>
              </w:rPr>
              <w:t>：</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次交通事故中，王某忽视交通规则，抢红灯造成自己的伤亡。根据《道路交通安全法》第八十九条规定,行人、乘车人、非机动车驾驶人违反道路交通安全法律、法规关于道路通行规定的,处警告或者5元以上50元以下罚款;非机动车驾驶人拒绝接受罚款处罚的,可以扣留其非机动车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第二段文字配音及代表中国交通管理法图片：</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在电瓶车骑行的过程中请牢记《道路交通安全法》，不能存在侥幸心理，给自身和他人的安全带来危害。</w:t>
            </w:r>
          </w:p>
          <w:p>
            <w:pPr>
              <w:pStyle w:val="88"/>
              <w:spacing w:line="312" w:lineRule="auto"/>
              <w:ind w:left="0"/>
            </w:pPr>
            <w:r>
              <w:rPr>
                <w:rFonts w:hint="eastAsia" w:ascii="宋体" w:hAnsi="宋体" w:cs="宋体"/>
                <w:b/>
                <w:bCs/>
                <w:i w:val="0"/>
                <w:iCs w:val="0"/>
                <w:color w:val="000000" w:themeColor="text1"/>
                <w:kern w:val="0"/>
                <w:sz w:val="18"/>
                <w:szCs w:val="18"/>
                <w14:textFill>
                  <w14:solidFill>
                    <w14:schemeClr w14:val="tx1"/>
                  </w14:solidFill>
                </w14:textFill>
              </w:rPr>
              <w:t>★根据控制程序参数描述，提供（第三人称视角观看的</w:t>
            </w:r>
            <w:r>
              <w:rPr>
                <w:rFonts w:hint="eastAsia" w:asciiTheme="majorEastAsia" w:hAnsiTheme="majorEastAsia" w:eastAsiaTheme="majorEastAsia" w:cstheme="majorEastAsia"/>
                <w:b/>
                <w:bCs/>
                <w:i w:val="0"/>
                <w:iCs w:val="0"/>
                <w:sz w:val="18"/>
                <w:szCs w:val="18"/>
              </w:rPr>
              <w:t>事故发生后的现场状态</w:t>
            </w:r>
            <w:r>
              <w:rPr>
                <w:rFonts w:hint="eastAsia" w:ascii="宋体" w:hAnsi="宋体" w:cs="宋体"/>
                <w:b/>
                <w:bCs/>
                <w:i w:val="0"/>
                <w:iCs w:val="0"/>
                <w:color w:val="000000" w:themeColor="text1"/>
                <w:kern w:val="0"/>
                <w:sz w:val="18"/>
                <w:szCs w:val="18"/>
                <w14:textFill>
                  <w14:solidFill>
                    <w14:schemeClr w14:val="tx1"/>
                  </w14:solidFill>
                </w14:textFill>
              </w:rPr>
              <w:t>场景结合情景二：2.</w:t>
            </w:r>
            <w:r>
              <w:rPr>
                <w:rFonts w:hint="eastAsia" w:asciiTheme="majorEastAsia" w:hAnsiTheme="majorEastAsia" w:eastAsiaTheme="majorEastAsia" w:cstheme="majorEastAsia"/>
                <w:b/>
                <w:bCs/>
                <w:i w:val="0"/>
                <w:iCs w:val="0"/>
                <w:sz w:val="18"/>
                <w:szCs w:val="18"/>
              </w:rPr>
              <w:t>交通法规普及</w:t>
            </w:r>
            <w:r>
              <w:rPr>
                <w:rFonts w:hint="eastAsia" w:ascii="宋体" w:hAnsi="宋体" w:cs="宋体"/>
                <w:b/>
                <w:bCs/>
                <w:i w:val="0"/>
                <w:iCs w:val="0"/>
                <w:color w:val="000000" w:themeColor="text1"/>
                <w:kern w:val="0"/>
                <w:sz w:val="18"/>
                <w:szCs w:val="18"/>
                <w14:textFill>
                  <w14:solidFill>
                    <w14:schemeClr w14:val="tx1"/>
                  </w14:solidFill>
                </w14:textFill>
              </w:rPr>
              <w:t>）</w:t>
            </w:r>
            <w:r>
              <w:rPr>
                <w:rFonts w:hint="eastAsia" w:ascii="宋体" w:hAnsi="宋体" w:cs="宋体"/>
                <w:b/>
                <w:bCs/>
                <w:i w:val="0"/>
                <w:iCs w:val="0"/>
                <w:color w:val="000000" w:themeColor="text1"/>
                <w:sz w:val="18"/>
                <w:szCs w:val="18"/>
                <w14:textFill>
                  <w14:solidFill>
                    <w14:schemeClr w14:val="tx1"/>
                  </w14:solidFill>
                </w14:textFill>
              </w:rPr>
              <w:t>场景界面截图进行佐证，并加盖投标人公章。</w:t>
            </w:r>
          </w:p>
          <w:p>
            <w:pPr>
              <w:rPr>
                <w:b/>
                <w:bCs/>
                <w:sz w:val="18"/>
                <w:szCs w:val="18"/>
              </w:rPr>
            </w:pPr>
          </w:p>
          <w:p>
            <w:pPr>
              <w:rPr>
                <w:b/>
                <w:bCs/>
                <w:sz w:val="18"/>
                <w:szCs w:val="18"/>
              </w:rPr>
            </w:pPr>
            <w:r>
              <w:rPr>
                <w:rFonts w:hint="eastAsia"/>
                <w:b/>
                <w:bCs/>
                <w:sz w:val="18"/>
                <w:szCs w:val="18"/>
              </w:rPr>
              <w:t>情景三：主动驾驶违法错误体验</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1.驾驶者处于一个纯黑空间面前依次出现一段段文字及配音：</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文字段落一：为了牢记《道路交通安全法》的规定，现在我们进入场景体验，请您根据提示前往正确的目标地点。</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文字段落二：本次体验为主动操作体验，请双手扶好电瓶车握把做好准备</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文字段落三：情景体验</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2.进入主动驾驶内容场景。</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3.驾驶者进入场景传来自言自语的声音：“糟糕，时间不够了，我要快点了。”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配音结束后面前出现UI及配音：</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请根据地图前往目的地</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文字下方是场景地图，地图中有两条线：</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一条为绿线是遵守交通规则的路线，显示预计所需时间2分10秒。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另外一条为红线是违反交通规则逆行路线，显示预计所需时间40秒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4.配音结束5S后UI消失</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电瓶车两个车把之间出现小地图，小地图上标记了起点，终点，绿红两两条路线</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小地图正上方有时间数值，初始值为09：58：00</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当小地图出现的一瞬间时间数值开始以正常速度增长</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当数值达到10：00：00数值变红不在增长</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5.驾驶者走到红绿灯路口时，一旦在红灯情况下越线至超过斑马线位置，则停止电瓶车自主控制权，程序控制电瓶车继续向前行驶</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如在行进的过程中红绿灯变红，则不会触发事故，但会程序自动控制电瓶车向前速度至人行道在取消程序自动控制</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当驾驶者闯红灯时。第二车道无车,在每一个红绿灯口第二车道停着一台等待撞人的车辆，第一车道有车流穿梭，视野中边缘一圈会出现红蓝闪烁的效果，出现“危险”，紧接着响起刺耳的汽车鸣笛声和刹车声，接着一声巨响驾驶者被撞飞，在空中转体360°后头盔正面着地，在头盔距离地面10公分的时候触发子弹特效时间，时间放慢，头盔玻璃碎裂，血液溅出，驾驶者死亡。</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车辆在撞击到驾驶者后滑行1-3S后停止不动。</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驾驶者视角逐渐变黑，当视角恢复时，回到初始场景。</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7.如果等绿灯时通过，驾驶者走到下一个红绿灯路口，一旦在红灯情况下越线至超过斑马线位置，则停止电瓶车自主控制权，程序控制电瓶车继续向前行驶</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如在行进的过程中红绿灯变红，则不会触发事故，但会程序自动控制电瓶车向前速度至人行道在取消程序自动控制</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当驾驶者闯红灯时。第二车道无车,在每一个红绿灯口第二车道停着一台等待撞人的车辆，第一车道有车流穿梭，视野中边缘一圈会出现红蓝闪烁的效果，出现“危险”，紧接着响起刺耳的汽车鸣笛声和刹车声，接着一声巨响驾驶者被撞飞，在空中转体360°后头盔正面着地，在头盔距离地面10公分的时候触发子弹特效时间，时间放慢，头盔玻璃碎裂，血液溅出，驾驶者死亡。</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车辆在撞击到驾驶者后滑行1-3S后停止不动。</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驾驶者视角逐渐变黑，当视角恢复时，回到初始场景。</w:t>
            </w:r>
          </w:p>
          <w:p>
            <w:pPr>
              <w:rPr>
                <w:b/>
                <w:bCs/>
                <w:sz w:val="18"/>
                <w:szCs w:val="18"/>
              </w:rPr>
            </w:pPr>
            <w:r>
              <w:rPr>
                <w:rFonts w:hint="eastAsia"/>
                <w:b/>
                <w:bCs/>
                <w:sz w:val="18"/>
                <w:szCs w:val="18"/>
              </w:rPr>
              <w:t>情景四：主动驾驶守法正确体验</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1.驾驶者处于一个纯黑空间面前依次出现一段段文字及配音：</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文字段落一：为了牢记《道路交通安全法》的规定，现在我们进入场景体验，请您根据提示前往正确的目标地点。</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文字段落二：本次体验为主动操作体验，请双手扶好电瓶车握把做好准备</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文字段落三：情景体验</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2.进入主动驾驶内容场景。</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3.驾驶者进入场景传来自言自语的声音：“糟糕，时间不够了，我要快点了。”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配音结束后面前出现UI及配音：</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请根据地图前往目的地</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文字下方是场景地图，地图中有两条线：</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一条为绿线是遵守交通规则的路线，显示预计所需时间2分10秒。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另外一条为红线是违反交通规则逆行路线，显示预计所需时间40秒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4.配音结束5S后UI消失</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电瓶车两个车把之间出现小地图，小地图上标记了起点，终点，绿红两两条路线</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小地图正上方有时间数值，初始值为09：58：00</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当小地图出现的一瞬间时间数值开始以正常速度增长</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当数值达到10：00：00数值变红不在增长</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5.驾驶者走到红绿灯路口时，一旦在红灯情况下越线至超过斑马线位置，则停止电瓶车自主控制权，程序控制电瓶车继续向前行驶</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如在行进的过程中红绿灯变红，则不会触发事故，但会程序自动控制电瓶车向前速度至人行道在取消程序自动控制</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6.如果等绿灯时通过，驾驶者走到下一个红绿灯路口，一旦在红灯情况下越线至超过斑马线位置，则停止电瓶车自主控制权，程序控制电瓶车继续向前行驶</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如在行进的过程中红绿灯变红，则不会触发事故，但会程序自动控制电瓶车向前速度至人行道在取消程序自动控制</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7.驾驶者继续向前行驶至下一个红绿灯路口。</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8.如果等绿灯时通过，驾驶者行驶到目标地点电瓶车自动停止</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面前依次出现两个UI及配音</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（威严男声）</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交警UI：“安全到达，节省时间固然重要，但生命安全更加重要，为了您的生命财产安全请谨记，立法为民，守法于心”驾驶者视角逐渐变黑，当视角恢复时，回到初始场景。</w:t>
            </w:r>
          </w:p>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五：提供投影融合软件；</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六：VR电瓶车功能：</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b/>
                <w:bCs/>
                <w:color w:val="000000" w:themeColor="text1"/>
                <w:kern w:val="0"/>
                <w:sz w:val="18"/>
                <w:szCs w:val="18"/>
                <w14:textFill>
                  <w14:solidFill>
                    <w14:schemeClr w14:val="tx1"/>
                  </w14:solidFill>
                </w14:textFill>
              </w:rPr>
              <w:t>★1、实现实物电瓶车油门与虚拟现实内容同步联动；实现实物电瓶车车速与虚拟现实内容同步联动；实现实物电瓶车方向转向与虚拟现实内容同步联动。</w:t>
            </w:r>
            <w:r>
              <w:rPr>
                <w:rFonts w:hint="eastAsia" w:ascii="宋体" w:hAnsi="宋体" w:cs="宋体"/>
                <w:b/>
                <w:bCs/>
                <w:color w:val="000000" w:themeColor="text1"/>
                <w:kern w:val="0"/>
                <w:sz w:val="18"/>
                <w:szCs w:val="18"/>
                <w14:textFill>
                  <w14:solidFill>
                    <w14:schemeClr w14:val="tx1"/>
                  </w14:solidFill>
                </w14:textFill>
              </w:rPr>
              <w:br w:type="textWrapping"/>
            </w:r>
            <w:r>
              <w:rPr>
                <w:rFonts w:hint="eastAsia" w:ascii="宋体" w:hAnsi="宋体" w:cs="宋体"/>
                <w:b/>
                <w:bCs/>
                <w:color w:val="000000" w:themeColor="text1"/>
                <w:kern w:val="0"/>
                <w:sz w:val="18"/>
                <w:szCs w:val="18"/>
                <w14:textFill>
                  <w14:solidFill>
                    <w14:schemeClr w14:val="tx1"/>
                  </w14:solidFill>
                </w14:textFill>
              </w:rPr>
              <w:t>★2、实现虚拟现实内容内电瓶车倾覆、震动等体验在实物电瓶车上体现。</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trPr>
        <w:tc>
          <w:tcPr>
            <w:tcW w:w="921"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6</w:t>
            </w:r>
          </w:p>
        </w:tc>
        <w:tc>
          <w:tcPr>
            <w:tcW w:w="1279"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模拟行人过斑马线体验</w:t>
            </w: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高清投影仪</w:t>
            </w:r>
          </w:p>
        </w:tc>
        <w:tc>
          <w:tcPr>
            <w:tcW w:w="4419" w:type="dxa"/>
            <w:shd w:val="clear" w:color="auto" w:fill="auto"/>
            <w:tcMar>
              <w:top w:w="15" w:type="dxa"/>
              <w:left w:w="15" w:type="dxa"/>
              <w:right w:w="15" w:type="dxa"/>
            </w:tcMar>
            <w:vAlign w:val="center"/>
          </w:tcPr>
          <w:p>
            <w:pPr>
              <w:widowControl/>
              <w:numPr>
                <w:ilvl w:val="0"/>
                <w:numId w:val="23"/>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投影尺寸：30-300寸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2、标准分辨率：1920×1080dpi                        3、国标亮度：3400流明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4、对比度：10001-20000：1  </w:t>
            </w:r>
          </w:p>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5、灯泡寿命：8001-10000h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6、投影距离：1.0m-9.8m     </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处理器</w:t>
            </w:r>
          </w:p>
        </w:tc>
        <w:tc>
          <w:tcPr>
            <w:tcW w:w="4419"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CPU:Intel i5</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硬盘：120G SSD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内存：8G</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USB3.0、HDMI、VGA接口</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系统：win10旗舰版</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定制红绿灯</w:t>
            </w:r>
          </w:p>
        </w:tc>
        <w:tc>
          <w:tcPr>
            <w:tcW w:w="4419"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1、定制红绿灯，可以自定义修改红绿灯时间长短；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2、红绿灯支持语音播放功能；                       3、接收电平信号，更改红绿灯数据。  </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红绿灯立柱</w:t>
            </w:r>
          </w:p>
        </w:tc>
        <w:tc>
          <w:tcPr>
            <w:tcW w:w="4419" w:type="dxa"/>
            <w:shd w:val="clear" w:color="auto" w:fill="auto"/>
            <w:tcMar>
              <w:top w:w="15" w:type="dxa"/>
              <w:left w:w="15" w:type="dxa"/>
              <w:right w:w="15" w:type="dxa"/>
            </w:tcMar>
            <w:vAlign w:val="center"/>
          </w:tcPr>
          <w:p>
            <w:pPr>
              <w:widowControl/>
              <w:numPr>
                <w:ilvl w:val="0"/>
                <w:numId w:val="24"/>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材质：镀锌钢管，表面喷绝缘防锈工业级烤漆；                                2、底部含有检修口；                      </w:t>
            </w:r>
          </w:p>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3、高度2.5，地笼由4根14mm钢筋焊接而成，对角240mm-360mm。      </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系统程序</w:t>
            </w:r>
          </w:p>
        </w:tc>
        <w:tc>
          <w:tcPr>
            <w:tcW w:w="4419" w:type="dxa"/>
            <w:shd w:val="clear" w:color="auto" w:fill="auto"/>
            <w:tcMar>
              <w:top w:w="15" w:type="dxa"/>
              <w:left w:w="15" w:type="dxa"/>
              <w:right w:w="15" w:type="dxa"/>
            </w:tcMar>
            <w:vAlign w:val="center"/>
          </w:tcPr>
          <w:p>
            <w:pPr>
              <w:widowControl/>
              <w:numPr>
                <w:ilvl w:val="0"/>
                <w:numId w:val="25"/>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利用U3D开发，3D场景，模拟真实马路场景；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2、结合硬件开发，由433MHz无线模块接收数据，支持串口数据收发；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3、具有警示性画面及文字，告诫体验者，生命诚可贵；                   </w:t>
            </w:r>
          </w:p>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4、该系统支持win7 64位等主流操作系统，主要编程语言是C#。                        </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联动控制器</w:t>
            </w:r>
          </w:p>
        </w:tc>
        <w:tc>
          <w:tcPr>
            <w:tcW w:w="4419"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1、由STM32主控芯片控制，通过信号线传输信号给红绿灯；</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2、含有433MHz无线通讯模块，支持串口数据收发；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3、支持功能扩展。</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红外感应器</w:t>
            </w:r>
          </w:p>
        </w:tc>
        <w:tc>
          <w:tcPr>
            <w:tcW w:w="4419" w:type="dxa"/>
            <w:shd w:val="clear" w:color="auto" w:fill="auto"/>
            <w:tcMar>
              <w:top w:w="15" w:type="dxa"/>
              <w:left w:w="15" w:type="dxa"/>
              <w:right w:w="15" w:type="dxa"/>
            </w:tcMar>
            <w:vAlign w:val="center"/>
          </w:tcPr>
          <w:p>
            <w:pPr>
              <w:widowControl/>
              <w:numPr>
                <w:ilvl w:val="0"/>
                <w:numId w:val="26"/>
              </w:numPr>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工作电压：AC/DC 12-30V(-0.5%+15%、；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2、温度范围：-40℃至60℃；    </w:t>
            </w:r>
          </w:p>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3、最大探测区面积：3×1.5m；                              4、最低探测速度：0.1m/s；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5、倾斜调节角度：0°至6°。 </w:t>
            </w:r>
          </w:p>
        </w:tc>
        <w:tc>
          <w:tcPr>
            <w:tcW w:w="666"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19" w:type="dxa"/>
            <w:gridSpan w:val="2"/>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90" w:hRule="atLeast"/>
        </w:trPr>
        <w:tc>
          <w:tcPr>
            <w:tcW w:w="921"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7</w:t>
            </w:r>
          </w:p>
        </w:tc>
        <w:tc>
          <w:tcPr>
            <w:tcW w:w="1279"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交通安全标志认知</w:t>
            </w:r>
          </w:p>
        </w:tc>
        <w:tc>
          <w:tcPr>
            <w:tcW w:w="1079"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32寸触摸一体机</w:t>
            </w:r>
          </w:p>
        </w:tc>
        <w:tc>
          <w:tcPr>
            <w:tcW w:w="4419" w:type="dxa"/>
            <w:shd w:val="clear" w:color="auto" w:fill="FFFFFF"/>
            <w:tcMar>
              <w:top w:w="15" w:type="dxa"/>
              <w:left w:w="15" w:type="dxa"/>
              <w:right w:w="15"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屏幕比例：16:9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分辨率：1920*1080显示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红外触屏  响应时间8mm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触摸高度：&lt;3mm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主板：H81工控主板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CPU： i3酷睿双核1.8GHz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内存： DDR3 4G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硬盘：60g固态硬盘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显存：英特尔HD4000集成显卡                                                       </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系统：Ghost WIN7旗舰版                                    </w:t>
            </w:r>
          </w:p>
        </w:tc>
        <w:tc>
          <w:tcPr>
            <w:tcW w:w="666"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60"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安全标志灯箱</w:t>
            </w:r>
          </w:p>
        </w:tc>
        <w:tc>
          <w:tcPr>
            <w:tcW w:w="4419" w:type="dxa"/>
            <w:shd w:val="clear" w:color="auto" w:fill="FFFFFF"/>
            <w:tcMar>
              <w:top w:w="15" w:type="dxa"/>
              <w:left w:w="15" w:type="dxa"/>
              <w:right w:w="15"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灯箱尺寸：25cm*25cm</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灯管：发光二极管</w:t>
            </w:r>
          </w:p>
        </w:tc>
        <w:tc>
          <w:tcPr>
            <w:tcW w:w="666"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9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330"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画面设计</w:t>
            </w:r>
          </w:p>
        </w:tc>
        <w:tc>
          <w:tcPr>
            <w:tcW w:w="4419" w:type="dxa"/>
            <w:shd w:val="clear" w:color="auto" w:fill="FFFFFF"/>
            <w:tcMar>
              <w:top w:w="15" w:type="dxa"/>
              <w:left w:w="15" w:type="dxa"/>
              <w:right w:w="15" w:type="dxa"/>
            </w:tcMar>
            <w:vAlign w:val="center"/>
          </w:tcPr>
          <w:p>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2D平面UI设计</w:t>
            </w:r>
          </w:p>
        </w:tc>
        <w:tc>
          <w:tcPr>
            <w:tcW w:w="666"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3380"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控制程序</w:t>
            </w:r>
          </w:p>
        </w:tc>
        <w:tc>
          <w:tcPr>
            <w:tcW w:w="4419" w:type="dxa"/>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1、交通安全标识灯箱互动演示软件是根据交通知识教育的功能需求制定的交通互动展示软件。体验者可以通过触摸屏点击画面上的32个安全标识，对应的灯箱会被点亮，同时会有语音播报这个标识的对应名称以及讲解。同时包含安全标识国标图文讲解。</w:t>
            </w:r>
          </w:p>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软件包含标志总览、知识测评、事故判定3大板块。标志总览中介绍了102个交通安全标志；知识测评随机抽取10道题，并根据3个选项图片提示，选择正确答案并最终评分；事故责任判定包含10道视频题目，用户观看视频后又5s作答时间，判断责任车辆是哪个并最终评分。</w:t>
            </w:r>
          </w:p>
          <w:p>
            <w:pPr>
              <w:widowControl/>
              <w:jc w:val="left"/>
              <w:textAlignment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3、软件需要在规范的硬件环境下完成编码和测试，主要硬件环境要求：定制互动灯箱、定制触控一体机。主程序基于</w:t>
            </w:r>
            <w:r>
              <w:rPr>
                <w:rFonts w:hint="eastAsia" w:ascii="宋体" w:hAnsi="宋体" w:cs="宋体"/>
                <w:color w:val="000000" w:themeColor="text1"/>
                <w:kern w:val="0"/>
                <w:sz w:val="18"/>
                <w:szCs w:val="18"/>
                <w14:textFill>
                  <w14:solidFill>
                    <w14:schemeClr w14:val="tx1"/>
                  </w14:solidFill>
                </w14:textFill>
              </w:rPr>
              <w:t>Unity3D</w:t>
            </w:r>
            <w:r>
              <w:rPr>
                <w:rFonts w:ascii="宋体" w:hAnsi="宋体" w:cs="宋体"/>
                <w:color w:val="000000" w:themeColor="text1"/>
                <w:kern w:val="0"/>
                <w:sz w:val="18"/>
                <w:szCs w:val="18"/>
                <w14:textFill>
                  <w14:solidFill>
                    <w14:schemeClr w14:val="tx1"/>
                  </w14:solidFill>
                </w14:textFill>
              </w:rPr>
              <w:t>平台，以</w:t>
            </w:r>
            <w:r>
              <w:rPr>
                <w:rFonts w:hint="eastAsia" w:ascii="宋体" w:hAnsi="宋体" w:cs="宋体"/>
                <w:color w:val="000000" w:themeColor="text1"/>
                <w:kern w:val="0"/>
                <w:sz w:val="18"/>
                <w:szCs w:val="18"/>
                <w14:textFill>
                  <w14:solidFill>
                    <w14:schemeClr w14:val="tx1"/>
                  </w14:solidFill>
                </w14:textFill>
              </w:rPr>
              <w:t>C#</w:t>
            </w:r>
            <w:r>
              <w:rPr>
                <w:rFonts w:ascii="宋体" w:hAnsi="宋体" w:cs="宋体"/>
                <w:color w:val="000000" w:themeColor="text1"/>
                <w:kern w:val="0"/>
                <w:sz w:val="18"/>
                <w:szCs w:val="18"/>
                <w14:textFill>
                  <w14:solidFill>
                    <w14:schemeClr w14:val="tx1"/>
                  </w14:solidFill>
                </w14:textFill>
              </w:rPr>
              <w:t>等语言开发，支持64位的windows系统，硬件单片机程序主要基于C语言开发。</w:t>
            </w:r>
          </w:p>
        </w:tc>
        <w:tc>
          <w:tcPr>
            <w:tcW w:w="666"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灯箱控制器</w:t>
            </w:r>
          </w:p>
        </w:tc>
        <w:tc>
          <w:tcPr>
            <w:tcW w:w="4419" w:type="dxa"/>
            <w:shd w:val="clear" w:color="auto" w:fill="FFFFFF"/>
            <w:tcMar>
              <w:top w:w="15" w:type="dxa"/>
              <w:left w:w="15" w:type="dxa"/>
              <w:right w:w="15" w:type="dxa"/>
            </w:tcMar>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控制灯箱开关，符合定制电路需求，符合联动控制需求，具备串口接口，能进行多路控制。</w:t>
            </w:r>
          </w:p>
        </w:tc>
        <w:tc>
          <w:tcPr>
            <w:tcW w:w="666"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8</w:t>
            </w:r>
          </w:p>
        </w:tc>
        <w:tc>
          <w:tcPr>
            <w:tcW w:w="1279"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交通治理数字工作室</w:t>
            </w:r>
          </w:p>
        </w:tc>
        <w:tc>
          <w:tcPr>
            <w:tcW w:w="1079" w:type="dxa"/>
            <w:shd w:val="clear" w:color="auto" w:fill="FFFFFF"/>
            <w:tcMar>
              <w:top w:w="15" w:type="dxa"/>
              <w:left w:w="15" w:type="dxa"/>
              <w:right w:w="15" w:type="dxa"/>
            </w:tcMar>
            <w:vAlign w:val="center"/>
          </w:tcPr>
          <w:p>
            <w:pPr>
              <w:widowControl/>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LCD全彩屏</w:t>
            </w:r>
          </w:p>
        </w:tc>
        <w:tc>
          <w:tcPr>
            <w:tcW w:w="4419" w:type="dxa"/>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液晶面板 49寸窄边</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·支持3840*2160分辨率输入且以下兼容高清显示；</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·双边物理拼缝3.5MM；</w:t>
            </w:r>
          </w:p>
        </w:tc>
        <w:tc>
          <w:tcPr>
            <w:tcW w:w="666" w:type="dxa"/>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594" w:type="dxa"/>
            <w:shd w:val="clear" w:color="auto" w:fill="auto"/>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556" w:hRule="atLeast"/>
        </w:trPr>
        <w:tc>
          <w:tcPr>
            <w:tcW w:w="921"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shd w:val="clear" w:color="auto" w:fill="FFFFFF"/>
            <w:tcMar>
              <w:top w:w="15" w:type="dxa"/>
              <w:left w:w="15" w:type="dxa"/>
              <w:right w:w="15" w:type="dxa"/>
            </w:tcMar>
            <w:vAlign w:val="center"/>
          </w:tcPr>
          <w:p>
            <w:pPr>
              <w:widowControl/>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指挥操作台</w:t>
            </w:r>
          </w:p>
        </w:tc>
        <w:tc>
          <w:tcPr>
            <w:tcW w:w="4419" w:type="dxa"/>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专用双工位，含桌椅。</w:t>
            </w:r>
          </w:p>
        </w:tc>
        <w:tc>
          <w:tcPr>
            <w:tcW w:w="666"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shd w:val="clear" w:color="auto" w:fill="auto"/>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567" w:hRule="atLeast"/>
        </w:trPr>
        <w:tc>
          <w:tcPr>
            <w:tcW w:w="921"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shd w:val="clear" w:color="auto" w:fill="FFFFFF"/>
            <w:tcMar>
              <w:top w:w="15" w:type="dxa"/>
              <w:left w:w="15" w:type="dxa"/>
              <w:right w:w="15" w:type="dxa"/>
            </w:tcMar>
            <w:vAlign w:val="center"/>
          </w:tcPr>
          <w:p>
            <w:pPr>
              <w:widowControl/>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打印一体机</w:t>
            </w:r>
          </w:p>
        </w:tc>
        <w:tc>
          <w:tcPr>
            <w:tcW w:w="4419" w:type="dxa"/>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激光打印，扫描，复印一体机。</w:t>
            </w:r>
          </w:p>
        </w:tc>
        <w:tc>
          <w:tcPr>
            <w:tcW w:w="666"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shd w:val="clear" w:color="auto" w:fill="auto"/>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592" w:hRule="atLeast"/>
        </w:trPr>
        <w:tc>
          <w:tcPr>
            <w:tcW w:w="921"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管理电脑</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I5-7500/8G/256G固态。</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543" w:hRule="atLeast"/>
        </w:trPr>
        <w:tc>
          <w:tcPr>
            <w:tcW w:w="921"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电脑显示器</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21.5寸。</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12路解码器</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单台设备12路HDMI接口输出</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输出接口支持3840x2160,2560x1600，1920x1080,1280x1024等显示分辨率</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支持1/4/9/16画面分割</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最大支持M*N=12拼接模式</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支持10M/100M/1000M自适应以太网接口</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采用标准网络协议。</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45" w:hRule="atLeast"/>
        </w:trPr>
        <w:tc>
          <w:tcPr>
            <w:tcW w:w="921"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279" w:type="dxa"/>
            <w:vMerge w:val="continue"/>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LCD专用工程线缆</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LCD高清线缆等。</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279" w:type="dxa"/>
            <w:vMerge w:val="continue"/>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人脸识别门禁</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主机，磁力锁，电源，门夹，按钮。产品类型 混合识别考勤机</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验证方式</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人脸加指纹</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摄像头 红外＋彩色双摄像头</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存储容量 面部容量：10000张</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指纹容量：10000枚</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记录容量：10万条</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考勤照片数量：15000张</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卡容量：10000张</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采集器 ZK光学指纹采集器</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功能参数</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门禁功能 支持简单门禁</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其它功能 记录查询，网络报表</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其它参数</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显示屏 5英寸IPS高清屏幕</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键盘按键 T9输入法</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通讯接口 TCP/IP </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其它参数 可选IC模块／WiFi功能</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外观参数</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产品宽度 92mm </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产品高度 213mm </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环境参数</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工作温度 0-45℃℃纠错</w:t>
            </w:r>
          </w:p>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工作湿度 20%-80% </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1226" w:hRule="atLeast"/>
        </w:trPr>
        <w:tc>
          <w:tcPr>
            <w:tcW w:w="92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9</w:t>
            </w:r>
          </w:p>
        </w:tc>
        <w:tc>
          <w:tcPr>
            <w:tcW w:w="127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交通安全宣教室</w:t>
            </w:r>
          </w:p>
        </w:tc>
        <w:tc>
          <w:tcPr>
            <w:tcW w:w="1079"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电视机</w:t>
            </w:r>
          </w:p>
        </w:tc>
        <w:tc>
          <w:tcPr>
            <w:tcW w:w="4419"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55寸电视机，支架</w:t>
            </w:r>
          </w:p>
        </w:tc>
        <w:tc>
          <w:tcPr>
            <w:tcW w:w="666"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p>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2485"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视频会议摄像头</w:t>
            </w:r>
          </w:p>
        </w:tc>
        <w:tc>
          <w:tcPr>
            <w:tcW w:w="4419"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工作电压 12V DC</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视频分辨率 主视频流：1080P、720P、4CIF</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有效像素 100-200万</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音频输出 1xMini JACK，2xHDMI(与视频输出复用)</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网络接口 1xRJ45 10/100/1000M自适应网口</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视频输入 1xVGA/HDMI</w:t>
            </w:r>
          </w:p>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视频输出 2xHDMI</w:t>
            </w:r>
          </w:p>
        </w:tc>
        <w:tc>
          <w:tcPr>
            <w:tcW w:w="666"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10</w:t>
            </w:r>
          </w:p>
        </w:tc>
        <w:tc>
          <w:tcPr>
            <w:tcW w:w="127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r>
              <w:rPr>
                <w:rFonts w:ascii="宋体" w:hAnsi="宋体" w:cs="宋体"/>
                <w:b/>
                <w:color w:val="000000" w:themeColor="text1"/>
                <w:kern w:val="0"/>
                <w:sz w:val="18"/>
                <w:szCs w:val="18"/>
                <w14:textFill>
                  <w14:solidFill>
                    <w14:schemeClr w14:val="tx1"/>
                  </w14:solidFill>
                </w14:textFill>
              </w:rPr>
              <w:t>24小时无人自助服务区</w:t>
            </w: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身份证人脸识别门禁考勤机</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产品类型</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人脸考勤门禁一体机</w:t>
            </w:r>
          </w:p>
          <w:p>
            <w:pPr>
              <w:jc w:val="left"/>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验证方式</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人脸识别，指纹</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处理器 高性能安卓工业级处理器</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摄像头 双目200万高清摄像头纠错</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存储容量 16GB </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其它参数</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显示屏 7英寸触摸屏（1280*800分辨率）</w:t>
            </w:r>
          </w:p>
          <w:p>
            <w:pPr>
              <w:jc w:val="left"/>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通信方式</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TCP/IP, 韦根，Wi-Fi, 蓝牙</w:t>
            </w:r>
          </w:p>
          <w:p>
            <w:pPr>
              <w:jc w:val="left"/>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电源电压</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 xml:space="preserve">12V/3A </w:t>
            </w:r>
          </w:p>
          <w:p>
            <w:pPr>
              <w:jc w:val="left"/>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产品尺寸</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 xml:space="preserve">264X120X51mm </w:t>
            </w:r>
          </w:p>
          <w:p>
            <w:pPr>
              <w:jc w:val="left"/>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适用环境</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 xml:space="preserve">工作温度：0-50℃ </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工作湿度：＜90%</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贮运温度：－40-60℃ </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贮运湿度：20%-93%</w:t>
            </w:r>
          </w:p>
          <w:p>
            <w:pPr>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其它参数</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 xml:space="preserve">数据接口：1XUSB, 1XRJ45 </w:t>
            </w:r>
          </w:p>
          <w:p>
            <w:pPr>
              <w:jc w:val="left"/>
              <w:rPr>
                <w:rFonts w:ascii="宋体" w:hAnsi="宋体" w:cs="宋体"/>
                <w:color w:val="000000" w:themeColor="text1"/>
                <w:kern w:val="0"/>
                <w:sz w:val="18"/>
                <w:szCs w:val="18"/>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考勤机配件</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磁力锁，电源，门夹，按钮</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考勤机管线安装</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配套</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90" w:hRule="atLeast"/>
        </w:trPr>
        <w:tc>
          <w:tcPr>
            <w:tcW w:w="92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车管所业务一体机</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定制　</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24</w:t>
            </w:r>
          </w:p>
        </w:tc>
        <w:tc>
          <w:tcPr>
            <w:tcW w:w="127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交通安全文明播报牌</w:t>
            </w: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LED室外全彩屏</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室外P5，防水</w:t>
            </w:r>
            <w:r>
              <w:rPr>
                <w:rFonts w:hint="eastAsia" w:ascii="宋体" w:hAnsi="宋体" w:cs="宋体"/>
                <w:color w:val="000000" w:themeColor="text1"/>
                <w:kern w:val="0"/>
                <w:sz w:val="18"/>
                <w:szCs w:val="18"/>
                <w:lang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宽度1米，高度0.5</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0.5</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themeColor="text1"/>
                <w:kern w:val="0"/>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安装支架</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配套</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0.5</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themeColor="text1"/>
                <w:kern w:val="0"/>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LED控制系统-发送卡</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根据项目定制</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themeColor="text1"/>
                <w:kern w:val="0"/>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大屏控制器</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对应控制屏幕图像显示</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themeColor="text1"/>
                <w:kern w:val="0"/>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多屏控制软件</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根据项目定制</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78"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管理电脑</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品牌机，I5-7500/8G/256G固态</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67"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电脑显示器</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21.5寸</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78"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LED专用工程线缆</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含网线、高清线等</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918" w:hRule="atLeast"/>
        </w:trPr>
        <w:tc>
          <w:tcPr>
            <w:tcW w:w="92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12</w:t>
            </w:r>
          </w:p>
        </w:tc>
        <w:tc>
          <w:tcPr>
            <w:tcW w:w="127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大楼和门口安防系统</w:t>
            </w:r>
          </w:p>
        </w:tc>
        <w:tc>
          <w:tcPr>
            <w:tcW w:w="1079"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高清网络半球摄像机</w:t>
            </w:r>
          </w:p>
        </w:tc>
        <w:tc>
          <w:tcPr>
            <w:tcW w:w="4419"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both"/>
              <w:rPr>
                <w:rFonts w:ascii="宋体" w:hAnsi="宋体" w:cs="宋体"/>
                <w:color w:val="000000" w:themeColor="text1"/>
                <w:kern w:val="0"/>
                <w:sz w:val="18"/>
                <w:szCs w:val="18"/>
                <w14:textFill>
                  <w14:solidFill>
                    <w14:schemeClr w14:val="tx1"/>
                  </w14:solidFill>
                </w14:textFill>
              </w:rPr>
            </w:pPr>
          </w:p>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200万像素POE红外监控，265编码；</w:t>
            </w:r>
          </w:p>
        </w:tc>
        <w:tc>
          <w:tcPr>
            <w:tcW w:w="666"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p>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594"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p>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高清网络枪式摄像机</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200万像素POE红外监控，265编码；</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736"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硬盘录像机</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32路硬盘录像机，4盘位，265编码存储；</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09"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4T硬盘</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ST4000VX000，4T硬盘；</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66"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POE交换机</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24路POE供电交换机；</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585"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显示器</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21.5寸；</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32"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网线</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CAT6六类网线；</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32"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监控管路</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根据项目定制</w:t>
            </w:r>
            <w:r>
              <w:rPr>
                <w:rFonts w:hint="eastAsia" w:ascii="宋体" w:hAnsi="宋体" w:cs="宋体"/>
                <w:color w:val="000000" w:themeColor="text1"/>
                <w:kern w:val="0"/>
                <w:sz w:val="18"/>
                <w:szCs w:val="18"/>
                <w14:textFill>
                  <w14:solidFill>
                    <w14:schemeClr w14:val="tx1"/>
                  </w14:solidFill>
                </w14:textFill>
              </w:rPr>
              <w:t>　</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632"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监控系统辅材</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根据项目定制</w:t>
            </w:r>
            <w:r>
              <w:rPr>
                <w:rFonts w:hint="eastAsia" w:ascii="宋体" w:hAnsi="宋体" w:cs="宋体"/>
                <w:color w:val="000000" w:themeColor="text1"/>
                <w:kern w:val="0"/>
                <w:sz w:val="18"/>
                <w:szCs w:val="18"/>
                <w14:textFill>
                  <w14:solidFill>
                    <w14:schemeClr w14:val="tx1"/>
                  </w14:solidFill>
                </w14:textFill>
              </w:rPr>
              <w:t>　</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724"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监控安装调试费</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根据项目定制</w:t>
            </w:r>
            <w:r>
              <w:rPr>
                <w:rFonts w:hint="eastAsia" w:ascii="宋体" w:hAnsi="宋体" w:cs="宋体"/>
                <w:color w:val="000000" w:themeColor="text1"/>
                <w:kern w:val="0"/>
                <w:sz w:val="18"/>
                <w:szCs w:val="18"/>
                <w14:textFill>
                  <w14:solidFill>
                    <w14:schemeClr w14:val="tx1"/>
                  </w14:solidFill>
                </w14:textFill>
              </w:rPr>
              <w:t>　</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13</w:t>
            </w:r>
          </w:p>
        </w:tc>
        <w:tc>
          <w:tcPr>
            <w:tcW w:w="127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lang w:val="en-US" w:eastAsia="zh-CN"/>
                <w14:textFill>
                  <w14:solidFill>
                    <w14:schemeClr w14:val="tx1"/>
                  </w14:solidFill>
                </w14:textFill>
              </w:rPr>
              <w:t>场馆</w:t>
            </w:r>
            <w:r>
              <w:rPr>
                <w:rFonts w:hint="eastAsia" w:ascii="宋体" w:hAnsi="宋体" w:cs="宋体"/>
                <w:b/>
                <w:color w:val="000000" w:themeColor="text1"/>
                <w:kern w:val="0"/>
                <w:sz w:val="18"/>
                <w:szCs w:val="18"/>
                <w14:textFill>
                  <w14:solidFill>
                    <w14:schemeClr w14:val="tx1"/>
                  </w14:solidFill>
                </w14:textFill>
              </w:rPr>
              <w:t>网络及无线覆盖</w:t>
            </w:r>
          </w:p>
          <w:p>
            <w:pPr>
              <w:jc w:val="center"/>
              <w:rPr>
                <w:rFonts w:ascii="宋体" w:hAnsi="宋体" w:cs="宋体"/>
                <w:b/>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企业级路由器</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带机量200个，千兆路由器网络协议TCP/IP、DHCP、ICMP、NAT、PPPOE、SN</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其它端口1个10/100/1000M RJ45 WAN口 3 个10/100/1000M RJ45 WAN/LAN </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可配置口1个10/100/1000M RJ45 LAN 口 1 个Console端口</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有线无线无线路由器</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状态指示灯每端口：WAN/LAN、Speed 每设</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备：PWR、SYS </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处理器双核MIPS 64位网络专用处理器，单核</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主频1GHz </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产品内存</w:t>
            </w:r>
            <w:r>
              <w:rPr>
                <w:rFonts w:hint="eastAsia" w:ascii="宋体" w:hAnsi="宋体" w:cs="宋体"/>
                <w:color w:val="000000" w:themeColor="text1"/>
                <w:kern w:val="0"/>
                <w:sz w:val="18"/>
                <w:szCs w:val="18"/>
                <w14:textFill>
                  <w14:solidFill>
                    <w14:schemeClr w14:val="tx1"/>
                  </w14:solidFill>
                </w14:textFill>
              </w:rPr>
              <w:t xml:space="preserve">DDRIII 256MB </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电源电压100~240V AC, 50/60Hz </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产品尺寸440 (w) x227 (D) x44 (H) mm </w:t>
            </w:r>
          </w:p>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环境标准工作温度：0℃~40℃, </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企业级路由器</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带机量100个，千兆路由器路由器类型：企业</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级路由器</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广域网接口：1个</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局域网接口：4个</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其它端口：1个10/100/1000M RJ45 WAN 口 4 </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个10/100/1000M RJ45 LAN口 1个Console 端</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企业级路由器</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有线无线：无线路由器</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状态指示灯：每端口：WAN/LAN、Speed 每设备：PWR、SYS </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处理器：双核MIPS 64位网络专用处理器，单核主频1GHz</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产品内存：DDRIII 256MB </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电源电压：100~240V AC, 50/60Hz </w:t>
            </w:r>
          </w:p>
          <w:p>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产品尺寸：440 (w) x227 (D) x44 (H) mm </w:t>
            </w:r>
          </w:p>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环境标准：工作温度：0℃~40℃,</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网络核心交换机</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千兆核心交换机，24个10/100/1000M自适应电口；</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无线POE交换机-8口</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8口POE交换机，千兆交换机产品类型 网管交换机</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传输速率 10/100/1000Mbps </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交换方式 存储－转发</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背板带宽 20Gbps 纠错</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MAC地址表 4K </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端口参数</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端口结构 非模块化</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端口数量10个</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端口描述 9个10/100/1000Mbps RJ45 端口</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控制端口 1个千兆SFP光纤口</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传输模式全双工／半双工自适应</w:t>
            </w:r>
          </w:p>
          <w:p>
            <w:pPr>
              <w:jc w:val="both"/>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功能特性</w:t>
            </w:r>
          </w:p>
          <w:p>
            <w:pPr>
              <w:jc w:val="both"/>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网络标准 IEEE 802. 3、IEEE 802. 3u、IEEE802. 3ab、IEEE 802. 3x, IEEE 802. 3af, IEEE802. 3at </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无线控制器</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控制无线AP；</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放装式无线AP</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室内2.4G和5G双频吸顶无线接入点，</w:t>
            </w:r>
            <w:r>
              <w:rPr>
                <w:rFonts w:hint="eastAsia" w:ascii="宋体" w:hAnsi="宋体" w:cs="宋体"/>
                <w:color w:val="000000" w:themeColor="text1"/>
                <w:kern w:val="0"/>
                <w:sz w:val="18"/>
                <w:szCs w:val="18"/>
                <w:lang w:val="en-US" w:eastAsia="zh-CN"/>
                <w14:textFill>
                  <w14:solidFill>
                    <w14:schemeClr w14:val="tx1"/>
                  </w14:solidFill>
                </w14:textFill>
              </w:rPr>
              <w:t xml:space="preserve">产品类型  吸顶式APP  </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 xml:space="preserve">网络标准  IEEE802.11ac  </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网络协议  WIFI 5</w:t>
            </w:r>
          </w:p>
          <w:p>
            <w:pPr>
              <w:jc w:val="left"/>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频率范围 双频（2. 4GHz, 5GHz)</w:t>
            </w:r>
          </w:p>
          <w:p>
            <w:pPr>
              <w:jc w:val="left"/>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网络接口  1个10/100/1000M RJ45端口</w:t>
            </w:r>
          </w:p>
          <w:p>
            <w:pPr>
              <w:jc w:val="left"/>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其它接口  1个DC口</w:t>
            </w:r>
          </w:p>
          <w:p>
            <w:pPr>
              <w:jc w:val="left"/>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工作模式  FAT/FIT</w:t>
            </w:r>
          </w:p>
          <w:p>
            <w:pPr>
              <w:jc w:val="left"/>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 xml:space="preserve">安全性能 WPA, WPA2, WPA-PSK, WPA2-PSK </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网络管理  FIT AP模式：由TP-LINK 无线控制器（AC) 统一管理</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FAT AP模式：独立web页面管理</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状态指示灯 1个系统指示灯</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供电方式 802. 3af/at 标准PoE 供电12VDC/1A 供电</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 xml:space="preserve">电源功率  最大9. 4W </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 xml:space="preserve">产品尺寸 230x230x60mm </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 xml:space="preserve">环境标准  工作温度：0℃~40℃ </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网络类型：访客网络、员工网络</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用户隔离：无线网络间隔离，AP内部隔离</w:t>
            </w:r>
          </w:p>
          <w:p>
            <w:pPr>
              <w:jc w:val="left"/>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无线客户端数量限制：支持</w:t>
            </w:r>
          </w:p>
          <w:p>
            <w:pPr>
              <w:jc w:val="left"/>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网络信息面板</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标准接口带模块；</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电话信息面板</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标准接口带模块；</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机房机柜</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600*600*2000；</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机柜PDU</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配套；</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网线</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CAT6六类网线；</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网络管路</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根据项目定制</w:t>
            </w:r>
            <w:r>
              <w:rPr>
                <w:rFonts w:hint="eastAsia" w:ascii="宋体" w:hAnsi="宋体" w:cs="宋体"/>
                <w:color w:val="000000" w:themeColor="text1"/>
                <w:kern w:val="0"/>
                <w:sz w:val="18"/>
                <w:szCs w:val="18"/>
                <w14:textFill>
                  <w14:solidFill>
                    <w14:schemeClr w14:val="tx1"/>
                  </w14:solidFill>
                </w14:textFill>
              </w:rPr>
              <w:t>；　</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5" w:type="dxa"/>
          <w:trHeight w:val="800" w:hRule="atLeast"/>
        </w:trPr>
        <w:tc>
          <w:tcPr>
            <w:tcW w:w="92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2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color w:val="000000" w:themeColor="text1"/>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网络系统辅材</w:t>
            </w:r>
          </w:p>
        </w:tc>
        <w:tc>
          <w:tcPr>
            <w:tcW w:w="44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根据项目定制</w:t>
            </w:r>
            <w:r>
              <w:rPr>
                <w:rFonts w:hint="eastAsia" w:ascii="宋体" w:hAnsi="宋体" w:cs="宋体"/>
                <w:color w:val="000000" w:themeColor="text1"/>
                <w:kern w:val="0"/>
                <w:sz w:val="18"/>
                <w:szCs w:val="18"/>
                <w14:textFill>
                  <w14:solidFill>
                    <w14:schemeClr w14:val="tx1"/>
                  </w14:solidFill>
                </w14:textFill>
              </w:rPr>
              <w:t>；</w:t>
            </w:r>
          </w:p>
        </w:tc>
        <w:tc>
          <w:tcPr>
            <w:tcW w:w="66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w:t>
            </w:r>
          </w:p>
        </w:tc>
      </w:tr>
    </w:tbl>
    <w:p>
      <w:pPr>
        <w:adjustRightInd w:val="0"/>
        <w:snapToGrid w:val="0"/>
        <w:spacing w:line="360" w:lineRule="auto"/>
        <w:rPr>
          <w:rFonts w:ascii="宋体" w:hAnsi="宋体"/>
          <w:b/>
          <w:bCs/>
          <w:color w:val="000000"/>
          <w:sz w:val="24"/>
          <w:szCs w:val="24"/>
        </w:rPr>
      </w:pPr>
      <w:r>
        <w:rPr>
          <w:rFonts w:hint="eastAsia" w:ascii="宋体" w:hAnsi="宋体"/>
          <w:b/>
          <w:bCs/>
          <w:color w:val="000000"/>
          <w:sz w:val="24"/>
          <w:szCs w:val="24"/>
        </w:rPr>
        <w:t>备注：具体点位在安装前必须与辖区交警责任中队联系对接，不得擅自安装；</w:t>
      </w:r>
    </w:p>
    <w:p>
      <w:pPr>
        <w:rPr>
          <w:rFonts w:hint="eastAsia" w:ascii="宋体" w:hAnsi="宋体" w:cs="宋体"/>
          <w:color w:val="000000"/>
          <w:sz w:val="24"/>
          <w:szCs w:val="24"/>
        </w:rPr>
      </w:pPr>
      <w:r>
        <w:rPr>
          <w:rFonts w:hint="eastAsia" w:ascii="宋体" w:hAnsi="宋体" w:cs="宋体"/>
          <w:b/>
          <w:color w:val="000000"/>
          <w:sz w:val="24"/>
          <w:szCs w:val="24"/>
        </w:rPr>
        <w:t>项目实施地点：</w:t>
      </w:r>
      <w:r>
        <w:rPr>
          <w:rFonts w:hint="eastAsia" w:ascii="宋体" w:hAnsi="宋体" w:cs="宋体"/>
          <w:color w:val="000000"/>
          <w:sz w:val="24"/>
          <w:szCs w:val="24"/>
        </w:rPr>
        <w:t>根据招标文件约定执行。</w:t>
      </w:r>
    </w:p>
    <w:p>
      <w:pPr>
        <w:spacing w:line="360" w:lineRule="auto"/>
        <w:rPr>
          <w:rFonts w:ascii="宋体" w:hAnsi="宋体" w:cs="宋体"/>
          <w:bCs/>
          <w:sz w:val="24"/>
        </w:rPr>
      </w:pPr>
      <w:r>
        <w:rPr>
          <w:rFonts w:hint="eastAsia" w:ascii="宋体" w:hAnsi="宋体" w:cs="宋体"/>
          <w:b/>
          <w:bCs/>
          <w:sz w:val="24"/>
          <w:lang w:val="en-US" w:eastAsia="zh-CN"/>
        </w:rPr>
        <w:t>三</w:t>
      </w:r>
      <w:r>
        <w:rPr>
          <w:rFonts w:hint="eastAsia" w:ascii="宋体" w:hAnsi="宋体" w:cs="宋体"/>
          <w:b/>
          <w:bCs/>
          <w:sz w:val="24"/>
        </w:rPr>
        <w:t>、项目实施要求</w:t>
      </w:r>
      <w:r>
        <w:rPr>
          <w:rFonts w:hint="eastAsia" w:ascii="宋体" w:hAnsi="宋体" w:cs="宋体"/>
          <w:sz w:val="24"/>
        </w:rPr>
        <w:br w:type="textWrapping"/>
      </w:r>
      <w:r>
        <w:rPr>
          <w:rFonts w:hint="eastAsia" w:ascii="宋体" w:hAnsi="宋体" w:cs="宋体"/>
          <w:sz w:val="24"/>
        </w:rPr>
        <w:t xml:space="preserve">    </w:t>
      </w:r>
      <w:r>
        <w:rPr>
          <w:rFonts w:hint="eastAsia" w:ascii="宋体" w:hAnsi="宋体" w:cs="宋体"/>
          <w:bCs/>
          <w:sz w:val="24"/>
        </w:rPr>
        <w:t>1、签订合同后，供应商按照其与采购人的事先约定将所供货物送货至采购人指定地点后拆箱，负责免费安装调试，正常运行后交用户单位并通过验收。</w:t>
      </w:r>
    </w:p>
    <w:p>
      <w:pPr>
        <w:spacing w:line="360" w:lineRule="auto"/>
        <w:ind w:firstLine="480" w:firstLineChars="200"/>
        <w:rPr>
          <w:rFonts w:ascii="宋体" w:hAnsi="宋体" w:cs="宋体"/>
          <w:bCs/>
          <w:sz w:val="24"/>
        </w:rPr>
      </w:pPr>
      <w:r>
        <w:rPr>
          <w:rFonts w:hint="eastAsia" w:ascii="宋体" w:hAnsi="宋体" w:cs="宋体"/>
          <w:bCs/>
          <w:sz w:val="24"/>
        </w:rPr>
        <w:t>2、售后服务按国家和我省相关规定以及生产厂家或投标人的承诺执行，并提供上门服务。</w:t>
      </w:r>
    </w:p>
    <w:p>
      <w:pPr>
        <w:spacing w:line="360" w:lineRule="auto"/>
        <w:ind w:firstLine="480" w:firstLineChars="200"/>
      </w:pPr>
      <w:r>
        <w:rPr>
          <w:rFonts w:hint="eastAsia" w:ascii="宋体" w:hAnsi="宋体"/>
          <w:color w:val="000000"/>
          <w:sz w:val="24"/>
        </w:rPr>
        <w:t>3、</w:t>
      </w:r>
      <w:r>
        <w:rPr>
          <w:rFonts w:hint="eastAsia" w:ascii="宋体" w:hAnsi="宋体" w:cs="宋体"/>
          <w:sz w:val="24"/>
        </w:rPr>
        <w:t>本项目实施过程中，投标人应保护好各项已有或在建设施</w:t>
      </w:r>
      <w:r>
        <w:rPr>
          <w:rFonts w:ascii="宋体" w:cs="宋体"/>
          <w:sz w:val="24"/>
        </w:rPr>
        <w:t>,</w:t>
      </w:r>
      <w:r>
        <w:rPr>
          <w:rFonts w:hint="eastAsia" w:ascii="宋体" w:hAnsi="宋体" w:cs="宋体"/>
          <w:sz w:val="24"/>
        </w:rPr>
        <w:t>如损坏地面、墙面和其他设施，由投标人负责修复。</w:t>
      </w:r>
      <w:r>
        <w:rPr>
          <w:rFonts w:hint="eastAsia"/>
        </w:rPr>
        <w:t xml:space="preserve"> </w:t>
      </w:r>
    </w:p>
    <w:p>
      <w:pPr>
        <w:spacing w:before="60" w:after="60" w:line="360" w:lineRule="auto"/>
        <w:ind w:left="61" w:leftChars="29" w:right="60" w:firstLine="480" w:firstLineChars="200"/>
        <w:rPr>
          <w:rFonts w:ascii="宋体" w:hAnsi="宋体"/>
          <w:sz w:val="24"/>
        </w:rPr>
      </w:pPr>
      <w:r>
        <w:rPr>
          <w:rFonts w:hint="eastAsia" w:ascii="宋体" w:hAnsi="宋体"/>
          <w:sz w:val="24"/>
        </w:rPr>
        <w:t xml:space="preserve">4、中标单位先派有经验的技术人员对安装现场进行实地勘察，对各种设备采购、制造、运输（到现场安装）、安装、工期、安全、文明施工进行总承包，一切费用均由中标方负责。   </w:t>
      </w:r>
    </w:p>
    <w:p>
      <w:pPr>
        <w:adjustRightInd w:val="0"/>
        <w:snapToGrid w:val="0"/>
        <w:spacing w:line="360" w:lineRule="auto"/>
        <w:jc w:val="left"/>
        <w:rPr>
          <w:rFonts w:ascii="宋体" w:hAnsi="宋体"/>
          <w:b/>
          <w:bCs/>
          <w:color w:val="000000"/>
          <w:sz w:val="24"/>
        </w:rPr>
      </w:pPr>
      <w:r>
        <w:rPr>
          <w:rFonts w:hint="eastAsia" w:ascii="宋体" w:hAnsi="宋体"/>
          <w:b/>
          <w:bCs/>
          <w:color w:val="000000"/>
          <w:sz w:val="24"/>
          <w:lang w:val="en-US" w:eastAsia="zh-CN"/>
        </w:rPr>
        <w:t>四</w:t>
      </w:r>
      <w:r>
        <w:rPr>
          <w:rFonts w:hint="eastAsia" w:ascii="宋体" w:hAnsi="宋体"/>
          <w:b/>
          <w:bCs/>
          <w:color w:val="000000"/>
          <w:sz w:val="24"/>
        </w:rPr>
        <w:t>、供货要求</w:t>
      </w:r>
    </w:p>
    <w:p>
      <w:pPr>
        <w:adjustRightInd w:val="0"/>
        <w:snapToGrid w:val="0"/>
        <w:spacing w:line="360" w:lineRule="auto"/>
        <w:ind w:firstLine="352" w:firstLineChars="147"/>
        <w:rPr>
          <w:rFonts w:ascii="宋体" w:hAnsi="宋体"/>
          <w:bCs/>
          <w:color w:val="000000"/>
          <w:sz w:val="24"/>
        </w:rPr>
      </w:pPr>
      <w:r>
        <w:rPr>
          <w:rFonts w:hint="eastAsia" w:ascii="宋体" w:hAnsi="宋体"/>
          <w:bCs/>
          <w:color w:val="000000"/>
          <w:sz w:val="24"/>
        </w:rPr>
        <w:t>1、供方所供的货物必须为全新的，符合国家标准的合格产品。</w:t>
      </w:r>
    </w:p>
    <w:p>
      <w:pPr>
        <w:adjustRightInd w:val="0"/>
        <w:snapToGrid w:val="0"/>
        <w:spacing w:line="360" w:lineRule="auto"/>
        <w:ind w:firstLine="352" w:firstLineChars="147"/>
        <w:rPr>
          <w:rFonts w:ascii="宋体" w:hAnsi="宋体"/>
          <w:bCs/>
          <w:color w:val="000000"/>
          <w:sz w:val="24"/>
        </w:rPr>
      </w:pPr>
      <w:r>
        <w:rPr>
          <w:rFonts w:hint="eastAsia" w:ascii="宋体" w:hAnsi="宋体"/>
          <w:bCs/>
          <w:color w:val="000000"/>
          <w:sz w:val="24"/>
        </w:rPr>
        <w:t>2、所供货物不会侵犯任何第三方知识产权。</w:t>
      </w:r>
    </w:p>
    <w:p>
      <w:pPr>
        <w:adjustRightInd w:val="0"/>
        <w:snapToGrid w:val="0"/>
        <w:spacing w:line="360" w:lineRule="auto"/>
        <w:ind w:firstLine="352" w:firstLineChars="147"/>
        <w:rPr>
          <w:rFonts w:ascii="宋体" w:hAnsi="宋体"/>
          <w:bCs/>
          <w:color w:val="000000"/>
          <w:sz w:val="24"/>
        </w:rPr>
      </w:pPr>
      <w:r>
        <w:rPr>
          <w:rFonts w:hint="eastAsia" w:ascii="宋体" w:hAnsi="宋体"/>
          <w:bCs/>
          <w:color w:val="000000"/>
          <w:sz w:val="24"/>
        </w:rPr>
        <w:t>3、送货地址：</w:t>
      </w:r>
      <w:r>
        <w:rPr>
          <w:rFonts w:hint="eastAsia" w:ascii="宋体" w:hAnsi="宋体" w:cs="宋体"/>
          <w:color w:val="000000"/>
          <w:sz w:val="24"/>
        </w:rPr>
        <w:t>招标人指定地址。</w:t>
      </w:r>
    </w:p>
    <w:p>
      <w:pPr>
        <w:adjustRightInd w:val="0"/>
        <w:snapToGrid w:val="0"/>
        <w:spacing w:line="360" w:lineRule="auto"/>
        <w:rPr>
          <w:rFonts w:ascii="宋体" w:hAnsi="宋体"/>
          <w:b/>
          <w:bCs/>
          <w:color w:val="000000"/>
          <w:sz w:val="24"/>
        </w:rPr>
      </w:pPr>
      <w:r>
        <w:rPr>
          <w:rFonts w:hint="eastAsia" w:ascii="宋体" w:hAnsi="宋体"/>
          <w:b/>
          <w:bCs/>
          <w:color w:val="000000"/>
          <w:sz w:val="24"/>
          <w:lang w:val="en-US" w:eastAsia="zh-CN"/>
        </w:rPr>
        <w:t>五</w:t>
      </w:r>
      <w:r>
        <w:rPr>
          <w:rFonts w:hint="eastAsia" w:ascii="宋体" w:hAnsi="宋体"/>
          <w:b/>
          <w:bCs/>
          <w:color w:val="000000"/>
          <w:sz w:val="24"/>
        </w:rPr>
        <w:t>、质保期及售后服务要求</w:t>
      </w:r>
    </w:p>
    <w:p>
      <w:pPr>
        <w:spacing w:line="360" w:lineRule="auto"/>
        <w:ind w:firstLine="480" w:firstLineChars="200"/>
        <w:rPr>
          <w:rFonts w:ascii="宋体" w:hAnsi="宋体" w:cs="宋体"/>
          <w:bCs/>
          <w:sz w:val="24"/>
        </w:rPr>
      </w:pPr>
      <w:r>
        <w:rPr>
          <w:rFonts w:hint="eastAsia" w:ascii="宋体" w:hAnsi="宋体" w:cs="宋体"/>
          <w:bCs/>
          <w:sz w:val="24"/>
        </w:rPr>
        <w:t>1、质保期：产品验收合格使用之日起1年，在质保期内提供免费现场技术服务。在质保期内，投标人应对货物出现的质量及安全问题负责处理解决并承担一切费用。</w:t>
      </w:r>
    </w:p>
    <w:p>
      <w:pPr>
        <w:spacing w:line="360" w:lineRule="auto"/>
        <w:ind w:firstLine="480" w:firstLineChars="200"/>
        <w:rPr>
          <w:rFonts w:ascii="宋体" w:hAnsi="宋体" w:cs="宋体"/>
          <w:bCs/>
          <w:sz w:val="24"/>
        </w:rPr>
      </w:pPr>
      <w:r>
        <w:rPr>
          <w:rFonts w:hint="eastAsia" w:ascii="宋体" w:hAnsi="宋体" w:cs="宋体"/>
          <w:bCs/>
          <w:sz w:val="24"/>
        </w:rPr>
        <w:t xml:space="preserve">2、质保期内的维修费用（包括配件）全部由供货方负责，质保期后的维修酌情以成本价收费。                                                                                                                                                                                                                                                                                                                                                                                                                                                                                                                                                                                                                                                                                                                                                                                                                                                                                                                                                                                                                                                                                                                                                                                                                                                                                                                                                                                                                                                                                                                                                                                                                                                                                                                                                                                                                                                                                                                                                                                                                                                                                                                                                                                                                                                                                 </w:t>
      </w:r>
    </w:p>
    <w:p>
      <w:pPr>
        <w:spacing w:line="360" w:lineRule="auto"/>
        <w:ind w:firstLine="480" w:firstLineChars="200"/>
        <w:rPr>
          <w:rFonts w:ascii="宋体" w:hAnsi="宋体" w:cs="宋体"/>
          <w:bCs/>
          <w:sz w:val="24"/>
        </w:rPr>
      </w:pPr>
      <w:r>
        <w:rPr>
          <w:rFonts w:hint="eastAsia" w:ascii="宋体" w:hAnsi="宋体" w:cs="宋体"/>
          <w:bCs/>
          <w:sz w:val="24"/>
        </w:rPr>
        <w:t>3、维护响应时间：提供</w:t>
      </w:r>
      <w:r>
        <w:rPr>
          <w:rFonts w:hint="eastAsia" w:ascii="宋体" w:hAnsi="宋体" w:cs="宋体"/>
          <w:bCs/>
          <w:sz w:val="24"/>
          <w:lang w:val="en-US" w:eastAsia="zh-CN"/>
        </w:rPr>
        <w:t>7</w:t>
      </w:r>
      <w:r>
        <w:rPr>
          <w:rFonts w:hint="eastAsia" w:ascii="宋体" w:hAnsi="宋体" w:cs="宋体"/>
          <w:bCs/>
          <w:sz w:val="24"/>
        </w:rPr>
        <w:t>×24小时全时响应服务。对于软件故障，承诺响应时间在1小时之内。对于硬件故障，承诺响应时间在4小时之内解决问题，或提供备机使用。</w:t>
      </w:r>
    </w:p>
    <w:p>
      <w:pPr>
        <w:spacing w:line="360" w:lineRule="auto"/>
        <w:ind w:firstLine="480" w:firstLineChars="200"/>
        <w:rPr>
          <w:rFonts w:ascii="宋体" w:hAnsi="宋体" w:cs="宋体"/>
          <w:bCs/>
          <w:sz w:val="24"/>
        </w:rPr>
      </w:pPr>
      <w:r>
        <w:rPr>
          <w:rFonts w:hint="eastAsia" w:ascii="宋体" w:hAnsi="宋体" w:cs="宋体"/>
          <w:bCs/>
          <w:sz w:val="24"/>
        </w:rPr>
        <w:t>4、在保修期内供方必须不得以任何理由影响用户的正常使用。投标方必须对所供产品实行终身维修。</w:t>
      </w:r>
    </w:p>
    <w:p>
      <w:pPr>
        <w:spacing w:line="360" w:lineRule="auto"/>
        <w:rPr>
          <w:rFonts w:ascii="宋体" w:hAnsi="宋体" w:cs="宋体"/>
          <w:bCs/>
          <w:sz w:val="24"/>
        </w:rPr>
      </w:pPr>
      <w:r>
        <w:rPr>
          <w:rFonts w:hint="eastAsia" w:ascii="宋体" w:hAnsi="宋体" w:cs="宋体"/>
          <w:b/>
          <w:sz w:val="24"/>
          <w:lang w:val="en-US" w:eastAsia="zh-CN"/>
        </w:rPr>
        <w:t>六</w:t>
      </w:r>
      <w:r>
        <w:rPr>
          <w:rFonts w:hint="eastAsia" w:ascii="宋体" w:hAnsi="宋体" w:cs="宋体"/>
          <w:b/>
          <w:sz w:val="24"/>
        </w:rPr>
        <w:t>、培训要求：</w:t>
      </w:r>
      <w:r>
        <w:rPr>
          <w:rFonts w:hint="eastAsia" w:ascii="宋体" w:hAnsi="宋体" w:cs="宋体"/>
          <w:bCs/>
          <w:sz w:val="24"/>
        </w:rPr>
        <w:t>安装调试后，对设备使用人员进行现场实地培训，直至会熟练使用。</w:t>
      </w:r>
    </w:p>
    <w:p>
      <w:pPr>
        <w:spacing w:line="360" w:lineRule="auto"/>
        <w:rPr>
          <w:rFonts w:ascii="宋体" w:hAnsi="宋体" w:cs="宋体"/>
          <w:bCs/>
          <w:sz w:val="24"/>
        </w:rPr>
      </w:pPr>
      <w:r>
        <w:rPr>
          <w:rFonts w:hint="eastAsia" w:ascii="宋体" w:hAnsi="宋体" w:cs="宋体"/>
          <w:b/>
          <w:sz w:val="24"/>
          <w:lang w:val="en-US" w:eastAsia="zh-CN"/>
        </w:rPr>
        <w:t>七</w:t>
      </w:r>
      <w:r>
        <w:rPr>
          <w:rFonts w:hint="eastAsia" w:ascii="宋体" w:hAnsi="宋体" w:cs="宋体"/>
          <w:b/>
          <w:sz w:val="24"/>
        </w:rPr>
        <w:t>、工期要求：</w:t>
      </w:r>
      <w:r>
        <w:rPr>
          <w:rFonts w:hint="eastAsia" w:ascii="宋体" w:hAnsi="宋体" w:cs="宋体"/>
          <w:bCs/>
          <w:sz w:val="24"/>
        </w:rPr>
        <w:t>合同签订后</w:t>
      </w:r>
      <w:r>
        <w:rPr>
          <w:rFonts w:hint="eastAsia" w:ascii="宋体" w:hAnsi="宋体" w:cs="宋体"/>
          <w:bCs/>
          <w:sz w:val="24"/>
          <w:lang w:val="en-US" w:eastAsia="zh-CN"/>
        </w:rPr>
        <w:t>45</w:t>
      </w:r>
      <w:r>
        <w:rPr>
          <w:rFonts w:hint="eastAsia" w:ascii="宋体" w:hAnsi="宋体" w:cs="宋体"/>
          <w:bCs/>
          <w:sz w:val="24"/>
        </w:rPr>
        <w:t>个工作日建设安装调试建设完成。</w:t>
      </w:r>
    </w:p>
    <w:p>
      <w:pPr>
        <w:spacing w:line="360" w:lineRule="auto"/>
        <w:rPr>
          <w:rFonts w:ascii="宋体" w:hAnsi="宋体" w:cs="宋体"/>
          <w:bCs/>
          <w:sz w:val="24"/>
        </w:rPr>
      </w:pPr>
      <w:r>
        <w:rPr>
          <w:rFonts w:hint="eastAsia" w:ascii="宋体" w:hAnsi="宋体" w:cs="宋体"/>
          <w:b/>
          <w:sz w:val="24"/>
          <w:lang w:val="en-US" w:eastAsia="zh-CN"/>
        </w:rPr>
        <w:t>八</w:t>
      </w:r>
      <w:r>
        <w:rPr>
          <w:rFonts w:hint="eastAsia" w:ascii="宋体" w:hAnsi="宋体" w:cs="宋体"/>
          <w:b/>
          <w:sz w:val="24"/>
        </w:rPr>
        <w:t>、货款</w:t>
      </w:r>
      <w:r>
        <w:rPr>
          <w:rFonts w:hint="eastAsia" w:ascii="宋体" w:hAnsi="宋体" w:cs="宋体"/>
          <w:b/>
          <w:color w:val="000000" w:themeColor="text1"/>
          <w:sz w:val="24"/>
          <w14:textFill>
            <w14:solidFill>
              <w14:schemeClr w14:val="tx1"/>
            </w14:solidFill>
          </w14:textFill>
        </w:rPr>
        <w:t>支付：</w:t>
      </w:r>
      <w:r>
        <w:rPr>
          <w:rFonts w:hint="eastAsia" w:ascii="宋体" w:hAnsi="宋体" w:cs="宋体"/>
          <w:bCs/>
          <w:color w:val="000000" w:themeColor="text1"/>
          <w:sz w:val="24"/>
          <w14:textFill>
            <w14:solidFill>
              <w14:schemeClr w14:val="tx1"/>
            </w14:solidFill>
          </w14:textFill>
        </w:rPr>
        <w:t>合同签订后支付合同总价30%的预付款，项目场地完成等待设备进场前支付合同总价的40%，项目安装调试完成后支付合同总价的20%，经验收合格后支付合同总价的10%。</w:t>
      </w:r>
    </w:p>
    <w:p>
      <w:pPr>
        <w:spacing w:line="360" w:lineRule="auto"/>
        <w:rPr>
          <w:rFonts w:ascii="宋体" w:hAnsi="宋体" w:cs="宋体"/>
          <w:bCs/>
          <w:sz w:val="24"/>
        </w:rPr>
      </w:pPr>
      <w:r>
        <w:rPr>
          <w:rFonts w:hint="eastAsia" w:ascii="宋体" w:hAnsi="宋体" w:cs="宋体"/>
          <w:b/>
          <w:sz w:val="24"/>
          <w:lang w:val="en-US" w:eastAsia="zh-CN"/>
        </w:rPr>
        <w:t>九</w:t>
      </w:r>
      <w:r>
        <w:rPr>
          <w:rFonts w:hint="eastAsia" w:ascii="宋体" w:hAnsi="宋体" w:cs="宋体"/>
          <w:b/>
          <w:sz w:val="24"/>
        </w:rPr>
        <w:t>、履约保证金、质量保证金</w:t>
      </w:r>
    </w:p>
    <w:p>
      <w:pPr>
        <w:spacing w:line="360" w:lineRule="auto"/>
        <w:ind w:firstLine="480" w:firstLineChars="200"/>
        <w:rPr>
          <w:rFonts w:ascii="宋体" w:hAnsi="宋体" w:cs="宋体"/>
          <w:b/>
          <w:sz w:val="24"/>
        </w:rPr>
      </w:pPr>
      <w:r>
        <w:rPr>
          <w:rFonts w:hint="eastAsia" w:ascii="宋体" w:hAnsi="宋体" w:cs="宋体"/>
          <w:bCs/>
          <w:sz w:val="24"/>
        </w:rPr>
        <w:t>在签订合同后三日内向采购人缴纳合同价</w:t>
      </w:r>
      <w:r>
        <w:rPr>
          <w:rFonts w:hint="eastAsia" w:ascii="宋体" w:hAnsi="宋体" w:cs="宋体"/>
          <w:bCs/>
          <w:sz w:val="24"/>
          <w:lang w:val="en-US" w:eastAsia="zh-CN"/>
        </w:rPr>
        <w:t>2</w:t>
      </w:r>
      <w:r>
        <w:rPr>
          <w:rFonts w:hint="eastAsia" w:ascii="宋体" w:hAnsi="宋体" w:cs="宋体"/>
          <w:bCs/>
          <w:sz w:val="24"/>
        </w:rPr>
        <w:t>%的履约保证金。该履约保证金在中标单位按合同约定交货验收合格后自行转为质保金。</w:t>
      </w:r>
      <w:r>
        <w:rPr>
          <w:rFonts w:hint="eastAsia" w:ascii="宋体" w:hAnsi="宋体" w:cs="宋体"/>
          <w:b/>
          <w:sz w:val="24"/>
        </w:rPr>
        <w:t>质保金在质保期满后无发现质量问题，采购人在质保期满后10天内一次性支付。</w:t>
      </w:r>
    </w:p>
    <w:p>
      <w:pPr>
        <w:pStyle w:val="41"/>
        <w:tabs>
          <w:tab w:val="left" w:pos="4830"/>
        </w:tabs>
        <w:spacing w:line="360" w:lineRule="auto"/>
        <w:rPr>
          <w:rFonts w:hAnsi="宋体"/>
          <w:b/>
          <w:sz w:val="24"/>
          <w:szCs w:val="24"/>
        </w:rPr>
      </w:pPr>
      <w:r>
        <w:rPr>
          <w:rFonts w:hint="eastAsia" w:hAnsi="宋体" w:eastAsia="宋体"/>
          <w:b/>
          <w:sz w:val="24"/>
          <w:szCs w:val="24"/>
        </w:rPr>
        <w:t>十、</w:t>
      </w:r>
      <w:r>
        <w:rPr>
          <w:rFonts w:hint="eastAsia" w:hAnsi="宋体"/>
          <w:b/>
          <w:sz w:val="24"/>
          <w:szCs w:val="24"/>
        </w:rPr>
        <w:t>验收要求</w:t>
      </w:r>
    </w:p>
    <w:p>
      <w:pPr>
        <w:pStyle w:val="41"/>
        <w:snapToGrid w:val="0"/>
        <w:spacing w:line="360" w:lineRule="auto"/>
        <w:ind w:firstLine="412" w:firstLineChars="171"/>
        <w:rPr>
          <w:rFonts w:ascii="宋体" w:hAnsi="宋体" w:eastAsia="宋体" w:cs="宋体"/>
          <w:b/>
          <w:sz w:val="24"/>
          <w:szCs w:val="24"/>
        </w:rPr>
      </w:pPr>
      <w:r>
        <w:rPr>
          <w:rFonts w:hint="eastAsia" w:ascii="宋体" w:hAnsi="宋体" w:eastAsia="宋体" w:cs="宋体"/>
          <w:b/>
          <w:sz w:val="24"/>
          <w:szCs w:val="24"/>
        </w:rPr>
        <w:t xml:space="preserve"> 甲方委托质检余杭分局监测中心进行验收：</w:t>
      </w:r>
    </w:p>
    <w:p>
      <w:pPr>
        <w:spacing w:line="360" w:lineRule="auto"/>
        <w:ind w:firstLine="480" w:firstLineChars="200"/>
        <w:rPr>
          <w:rFonts w:hint="eastAsia" w:ascii="宋体" w:hAnsi="宋体" w:cs="宋体"/>
          <w:bCs/>
          <w:sz w:val="24"/>
        </w:rPr>
      </w:pPr>
      <w:r>
        <w:rPr>
          <w:rFonts w:hint="eastAsia" w:ascii="宋体" w:hAnsi="宋体" w:cs="宋体"/>
          <w:bCs/>
          <w:sz w:val="24"/>
        </w:rPr>
        <w:t>根据余财采〔2018〕5号《关于进一步规范政府采购验收工作的通知》要求，对于单次采购金额在30万元（含）以上的货物类采购项目，由质检余杭分局监测中心进行验收。质检余杭分局监测中心对中标单位提交的货物将依据投标样品（对照验收）、招标文件、投标文件及其补充变更文件上的技术规格要求和国家有关质量标准进行验收。</w:t>
      </w:r>
    </w:p>
    <w:bookmarkEnd w:id="112"/>
    <w:bookmarkEnd w:id="113"/>
    <w:p>
      <w:pPr>
        <w:pageBreakBefore/>
        <w:shd w:val="clear" w:color="auto" w:fill="FFFFFF"/>
        <w:snapToGrid w:val="0"/>
        <w:spacing w:line="360" w:lineRule="auto"/>
        <w:ind w:firstLine="2570" w:firstLineChars="800"/>
        <w:jc w:val="both"/>
        <w:outlineLvl w:val="0"/>
        <w:rPr>
          <w:rFonts w:ascii="宋体" w:hAnsi="宋体" w:cs="宋体"/>
          <w:b/>
          <w:bCs/>
          <w:color w:val="000000"/>
          <w:sz w:val="32"/>
          <w:szCs w:val="32"/>
        </w:rPr>
      </w:pPr>
      <w:r>
        <w:rPr>
          <w:rFonts w:hint="eastAsia" w:ascii="宋体" w:hAnsi="宋体" w:cs="宋体"/>
          <w:b/>
          <w:bCs/>
          <w:color w:val="000000"/>
          <w:sz w:val="32"/>
          <w:szCs w:val="32"/>
        </w:rPr>
        <w:t>第四部分 合同主要条款</w:t>
      </w:r>
    </w:p>
    <w:p>
      <w:pPr>
        <w:snapToGrid w:val="0"/>
        <w:spacing w:line="360" w:lineRule="auto"/>
        <w:ind w:firstLine="1108" w:firstLineChars="345"/>
        <w:rPr>
          <w:rFonts w:ascii="宋体" w:hAnsi="宋体"/>
          <w:b/>
          <w:color w:val="000000"/>
          <w:sz w:val="32"/>
          <w:szCs w:val="32"/>
        </w:rPr>
      </w:pPr>
      <w:r>
        <w:rPr>
          <w:rFonts w:hint="eastAsia" w:ascii="宋体" w:hAnsi="宋体"/>
          <w:b/>
          <w:color w:val="000000"/>
          <w:sz w:val="32"/>
          <w:szCs w:val="32"/>
        </w:rPr>
        <w:t xml:space="preserve">           （以最终合同为准）</w:t>
      </w:r>
    </w:p>
    <w:p>
      <w:pPr>
        <w:pStyle w:val="41"/>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w:t>
      </w:r>
    </w:p>
    <w:p>
      <w:pPr>
        <w:pStyle w:val="41"/>
        <w:snapToGrid w:val="0"/>
        <w:spacing w:line="360" w:lineRule="auto"/>
        <w:rPr>
          <w:rFonts w:ascii="宋体" w:hAnsi="宋体" w:eastAsia="宋体" w:cs="宋体"/>
          <w:sz w:val="24"/>
          <w:szCs w:val="24"/>
        </w:rPr>
      </w:pPr>
      <w:r>
        <w:rPr>
          <w:rFonts w:hint="eastAsia" w:ascii="宋体" w:hAnsi="宋体" w:eastAsia="宋体" w:cs="宋体"/>
          <w:sz w:val="24"/>
          <w:szCs w:val="24"/>
        </w:rPr>
        <w:t>甲方（采购方）：</w:t>
      </w:r>
    </w:p>
    <w:p>
      <w:pPr>
        <w:pStyle w:val="41"/>
        <w:snapToGrid w:val="0"/>
        <w:spacing w:line="360" w:lineRule="auto"/>
        <w:rPr>
          <w:rFonts w:ascii="宋体" w:hAnsi="宋体" w:eastAsia="宋体" w:cs="宋体"/>
          <w:sz w:val="24"/>
          <w:szCs w:val="24"/>
        </w:rPr>
      </w:pPr>
      <w:r>
        <w:rPr>
          <w:rFonts w:hint="eastAsia" w:ascii="宋体" w:hAnsi="宋体" w:eastAsia="宋体" w:cs="宋体"/>
          <w:sz w:val="24"/>
          <w:szCs w:val="24"/>
        </w:rPr>
        <w:t>乙方（供应方）：</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w:t>
      </w:r>
      <w:r>
        <w:rPr>
          <w:rFonts w:hint="eastAsia" w:hAnsi="宋体" w:eastAsia="宋体" w:cs="宋体"/>
          <w:b/>
          <w:sz w:val="24"/>
          <w:szCs w:val="24"/>
        </w:rPr>
        <w:t xml:space="preserve">    </w:t>
      </w:r>
      <w:r>
        <w:rPr>
          <w:rFonts w:hint="eastAsia" w:ascii="宋体" w:hAnsi="宋体" w:eastAsia="宋体" w:cs="宋体"/>
          <w:sz w:val="24"/>
          <w:szCs w:val="24"/>
        </w:rPr>
        <w:t>甲、乙双方根</w:t>
      </w:r>
      <w:r>
        <w:rPr>
          <w:rFonts w:hint="eastAsia" w:hAnsi="宋体" w:eastAsia="宋体" w:cs="宋体"/>
          <w:sz w:val="24"/>
          <w:szCs w:val="24"/>
          <w:u w:val="single"/>
        </w:rPr>
        <w:t xml:space="preserve">                         </w:t>
      </w:r>
      <w:r>
        <w:rPr>
          <w:rFonts w:hint="eastAsia" w:ascii="宋体" w:hAnsi="宋体" w:eastAsia="宋体" w:cs="宋体"/>
          <w:sz w:val="24"/>
          <w:szCs w:val="24"/>
        </w:rPr>
        <w:t>项目（招标编号：</w:t>
      </w:r>
      <w:r>
        <w:rPr>
          <w:rFonts w:hint="eastAsia" w:hAnsi="宋体" w:eastAsia="宋体" w:cs="宋体"/>
          <w:sz w:val="24"/>
          <w:szCs w:val="24"/>
        </w:rPr>
        <w:t xml:space="preserve">      </w:t>
      </w:r>
      <w:r>
        <w:rPr>
          <w:rFonts w:hint="eastAsia" w:ascii="宋体" w:hAnsi="宋体" w:eastAsia="宋体" w:cs="宋体"/>
          <w:sz w:val="24"/>
          <w:szCs w:val="24"/>
        </w:rPr>
        <w:t>）公开招标的结果，签署本合同。</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一、货物名称、型号、规格、配置、技术参数、数量及合同价款</w:t>
      </w:r>
    </w:p>
    <w:tbl>
      <w:tblPr>
        <w:tblStyle w:val="78"/>
        <w:tblW w:w="9210" w:type="dxa"/>
        <w:jc w:val="center"/>
        <w:tblLayout w:type="fixed"/>
        <w:tblCellMar>
          <w:top w:w="0" w:type="dxa"/>
          <w:left w:w="108" w:type="dxa"/>
          <w:bottom w:w="0" w:type="dxa"/>
          <w:right w:w="108" w:type="dxa"/>
        </w:tblCellMar>
      </w:tblPr>
      <w:tblGrid>
        <w:gridCol w:w="764"/>
        <w:gridCol w:w="2155"/>
        <w:gridCol w:w="2824"/>
        <w:gridCol w:w="832"/>
        <w:gridCol w:w="987"/>
        <w:gridCol w:w="936"/>
        <w:gridCol w:w="712"/>
      </w:tblGrid>
      <w:tr>
        <w:tblPrEx>
          <w:tblCellMar>
            <w:top w:w="0" w:type="dxa"/>
            <w:left w:w="108" w:type="dxa"/>
            <w:bottom w:w="0" w:type="dxa"/>
            <w:right w:w="108" w:type="dxa"/>
          </w:tblCellMar>
        </w:tblPrEx>
        <w:trPr>
          <w:trHeight w:val="738"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55"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r>
              <w:rPr>
                <w:rFonts w:hint="eastAsia" w:ascii="宋体" w:hAnsi="宋体" w:eastAsia="宋体" w:cs="宋体"/>
                <w:sz w:val="24"/>
                <w:szCs w:val="24"/>
              </w:rPr>
              <w:t>货物名称</w:t>
            </w:r>
          </w:p>
        </w:tc>
        <w:tc>
          <w:tcPr>
            <w:tcW w:w="2824"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r>
              <w:rPr>
                <w:rFonts w:hint="eastAsia" w:ascii="宋体" w:hAnsi="宋体" w:eastAsia="宋体" w:cs="宋体"/>
                <w:sz w:val="24"/>
                <w:szCs w:val="24"/>
              </w:rPr>
              <w:t>型号规格配置</w:t>
            </w:r>
          </w:p>
          <w:p>
            <w:pPr>
              <w:pStyle w:val="41"/>
              <w:spacing w:line="360" w:lineRule="auto"/>
              <w:jc w:val="center"/>
              <w:rPr>
                <w:rFonts w:ascii="宋体" w:hAnsi="宋体" w:eastAsia="宋体" w:cs="宋体"/>
                <w:sz w:val="24"/>
                <w:szCs w:val="24"/>
              </w:rPr>
            </w:pPr>
            <w:r>
              <w:rPr>
                <w:rFonts w:hint="eastAsia" w:ascii="宋体" w:hAnsi="宋体" w:eastAsia="宋体" w:cs="宋体"/>
                <w:sz w:val="24"/>
                <w:szCs w:val="24"/>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r>
              <w:rPr>
                <w:rFonts w:hint="eastAsia" w:ascii="宋体" w:hAnsi="宋体" w:eastAsia="宋体" w:cs="宋体"/>
                <w:sz w:val="24"/>
                <w:szCs w:val="24"/>
              </w:rPr>
              <w:t>单价(元)</w:t>
            </w:r>
          </w:p>
        </w:tc>
        <w:tc>
          <w:tcPr>
            <w:tcW w:w="987"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r>
              <w:rPr>
                <w:rFonts w:hint="eastAsia" w:ascii="宋体" w:hAnsi="宋体" w:eastAsia="宋体" w:cs="宋体"/>
                <w:sz w:val="24"/>
                <w:szCs w:val="24"/>
              </w:rPr>
              <w:t>数量(台)</w:t>
            </w:r>
          </w:p>
        </w:tc>
        <w:tc>
          <w:tcPr>
            <w:tcW w:w="936"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r>
              <w:rPr>
                <w:rFonts w:hint="eastAsia" w:ascii="宋体" w:hAnsi="宋体" w:eastAsia="宋体" w:cs="宋体"/>
                <w:sz w:val="24"/>
                <w:szCs w:val="24"/>
              </w:rPr>
              <w:t>合价(元)</w:t>
            </w:r>
          </w:p>
        </w:tc>
        <w:tc>
          <w:tcPr>
            <w:tcW w:w="712"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2"/>
              </w:rPr>
            </w:pPr>
            <w:r>
              <w:rPr>
                <w:rFonts w:hint="eastAsia" w:ascii="宋体" w:hAnsi="宋体" w:cs="宋体"/>
                <w:sz w:val="24"/>
                <w:szCs w:val="22"/>
              </w:rPr>
              <w:t>1</w:t>
            </w:r>
          </w:p>
        </w:tc>
        <w:tc>
          <w:tcPr>
            <w:tcW w:w="2155" w:type="dxa"/>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宋体" w:hAnsi="宋体" w:eastAsia="宋体" w:cs="宋体"/>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宋体" w:hAnsi="宋体" w:eastAsia="宋体" w:cs="宋体"/>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2"/>
              </w:rPr>
            </w:pPr>
            <w:r>
              <w:rPr>
                <w:rFonts w:hint="eastAsia" w:ascii="宋体" w:hAnsi="宋体" w:cs="宋体"/>
                <w:sz w:val="24"/>
                <w:szCs w:val="22"/>
              </w:rPr>
              <w:t>2</w:t>
            </w:r>
          </w:p>
        </w:tc>
        <w:tc>
          <w:tcPr>
            <w:tcW w:w="2155" w:type="dxa"/>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宋体" w:hAnsi="宋体" w:eastAsia="宋体" w:cs="宋体"/>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宋体" w:hAnsi="宋体" w:eastAsia="宋体" w:cs="宋体"/>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2"/>
              </w:rPr>
            </w:pPr>
            <w:r>
              <w:rPr>
                <w:rFonts w:hint="eastAsia" w:ascii="宋体" w:hAnsi="宋体" w:cs="宋体"/>
                <w:sz w:val="24"/>
                <w:szCs w:val="22"/>
              </w:rPr>
              <w:t>3</w:t>
            </w:r>
          </w:p>
        </w:tc>
        <w:tc>
          <w:tcPr>
            <w:tcW w:w="2155" w:type="dxa"/>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宋体" w:hAnsi="宋体" w:eastAsia="宋体" w:cs="宋体"/>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宋体" w:hAnsi="宋体" w:eastAsia="宋体" w:cs="宋体"/>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41"/>
              <w:spacing w:line="360" w:lineRule="auto"/>
              <w:rPr>
                <w:rFonts w:ascii="宋体" w:hAnsi="宋体" w:eastAsia="宋体" w:cs="宋体"/>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r>
      <w:tr>
        <w:tblPrEx>
          <w:tblCellMar>
            <w:top w:w="0" w:type="dxa"/>
            <w:left w:w="108" w:type="dxa"/>
            <w:bottom w:w="0" w:type="dxa"/>
            <w:right w:w="108" w:type="dxa"/>
          </w:tblCellMar>
        </w:tblPrEx>
        <w:trPr>
          <w:jc w:val="center"/>
        </w:trPr>
        <w:tc>
          <w:tcPr>
            <w:tcW w:w="6575" w:type="dxa"/>
            <w:gridSpan w:val="4"/>
            <w:tcBorders>
              <w:top w:val="single" w:color="auto" w:sz="4" w:space="0"/>
              <w:left w:val="single" w:color="auto" w:sz="4" w:space="0"/>
              <w:bottom w:val="single" w:color="auto" w:sz="4" w:space="0"/>
              <w:right w:val="single" w:color="auto" w:sz="4" w:space="0"/>
            </w:tcBorders>
            <w:vAlign w:val="center"/>
          </w:tcPr>
          <w:p>
            <w:pPr>
              <w:pStyle w:val="41"/>
              <w:spacing w:line="360" w:lineRule="auto"/>
              <w:ind w:firstLine="600" w:firstLineChars="250"/>
              <w:jc w:val="center"/>
              <w:rPr>
                <w:rFonts w:ascii="宋体" w:hAnsi="宋体" w:eastAsia="宋体" w:cs="宋体"/>
                <w:sz w:val="24"/>
                <w:szCs w:val="24"/>
              </w:rPr>
            </w:pPr>
            <w:r>
              <w:rPr>
                <w:rFonts w:hint="eastAsia" w:ascii="宋体" w:hAnsi="宋体" w:eastAsia="宋体" w:cs="宋体"/>
                <w:sz w:val="24"/>
                <w:szCs w:val="24"/>
              </w:rPr>
              <w:t>合计</w:t>
            </w:r>
          </w:p>
        </w:tc>
        <w:tc>
          <w:tcPr>
            <w:tcW w:w="2635" w:type="dxa"/>
            <w:gridSpan w:val="3"/>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r>
              <w:rPr>
                <w:rFonts w:hint="eastAsia" w:ascii="Calibri" w:hAnsi="宋体" w:eastAsia="宋体" w:cs="宋体"/>
                <w:sz w:val="24"/>
                <w:szCs w:val="24"/>
              </w:rPr>
              <w:t xml:space="preserve">      </w:t>
            </w:r>
            <w:r>
              <w:rPr>
                <w:rFonts w:hint="eastAsia" w:ascii="宋体" w:hAnsi="宋体" w:eastAsia="宋体" w:cs="宋体"/>
                <w:sz w:val="24"/>
                <w:szCs w:val="24"/>
              </w:rPr>
              <w:t>元</w:t>
            </w:r>
          </w:p>
        </w:tc>
      </w:tr>
      <w:tr>
        <w:tblPrEx>
          <w:tblCellMar>
            <w:top w:w="0" w:type="dxa"/>
            <w:left w:w="108" w:type="dxa"/>
            <w:bottom w:w="0" w:type="dxa"/>
            <w:right w:w="108" w:type="dxa"/>
          </w:tblCellMar>
        </w:tblPrEx>
        <w:trPr>
          <w:jc w:val="center"/>
        </w:trPr>
        <w:tc>
          <w:tcPr>
            <w:tcW w:w="6575" w:type="dxa"/>
            <w:gridSpan w:val="4"/>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r>
              <w:rPr>
                <w:rFonts w:hint="eastAsia" w:ascii="宋体" w:hAnsi="宋体" w:eastAsia="宋体" w:cs="宋体"/>
                <w:sz w:val="24"/>
                <w:szCs w:val="24"/>
              </w:rPr>
              <w:t>合同价款大写：</w:t>
            </w:r>
          </w:p>
        </w:tc>
        <w:tc>
          <w:tcPr>
            <w:tcW w:w="2635" w:type="dxa"/>
            <w:gridSpan w:val="3"/>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ascii="宋体" w:hAnsi="宋体" w:eastAsia="宋体" w:cs="宋体"/>
                <w:sz w:val="24"/>
                <w:szCs w:val="24"/>
              </w:rPr>
            </w:pPr>
          </w:p>
        </w:tc>
      </w:tr>
    </w:tbl>
    <w:p>
      <w:pPr>
        <w:pStyle w:val="41"/>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说明：</w:t>
      </w:r>
    </w:p>
    <w:p>
      <w:pPr>
        <w:pStyle w:val="41"/>
        <w:numPr>
          <w:ilvl w:val="0"/>
          <w:numId w:val="27"/>
        </w:num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货物名称、型号、规格、配置、技术参数、数量、品牌等，具体以乙方“技术文件”以及“报价文件”之“分项报价</w:t>
      </w:r>
      <w:r>
        <w:rPr>
          <w:rFonts w:hint="eastAsia" w:hAnsi="宋体" w:eastAsia="宋体" w:cs="宋体"/>
          <w:bCs/>
          <w:sz w:val="24"/>
          <w:szCs w:val="24"/>
        </w:rPr>
        <w:t>明细</w:t>
      </w:r>
      <w:r>
        <w:rPr>
          <w:rFonts w:hint="eastAsia" w:ascii="宋体" w:hAnsi="宋体" w:eastAsia="宋体" w:cs="宋体"/>
          <w:bCs/>
          <w:sz w:val="24"/>
          <w:szCs w:val="24"/>
        </w:rPr>
        <w:t>表”为准。</w:t>
      </w:r>
    </w:p>
    <w:p>
      <w:pPr>
        <w:adjustRightInd w:val="0"/>
        <w:snapToGrid w:val="0"/>
        <w:spacing w:line="360" w:lineRule="auto"/>
        <w:ind w:firstLine="480" w:firstLineChars="200"/>
        <w:rPr>
          <w:rFonts w:ascii="宋体" w:hAnsi="宋体" w:cs="宋体"/>
          <w:sz w:val="24"/>
        </w:rPr>
      </w:pPr>
      <w:r>
        <w:rPr>
          <w:rFonts w:hint="eastAsia" w:hAnsi="宋体" w:cs="宋体"/>
          <w:sz w:val="24"/>
        </w:rPr>
        <w:t>2.采购内容包括采购清单中货物供货、安装调试、货物验收、培训、质保期内的售后服务等。合同价款包括设备费、安装调试费用、验收费、税金、运输及运输保险费、质保期内维修保养费、特殊工具费、售后服务费、培训费、有关部门的验收费、政策性文件规定及合同包含的所有风险、责任等各项全部费用</w:t>
      </w:r>
      <w:r>
        <w:rPr>
          <w:rFonts w:hint="eastAsia" w:ascii="宋体" w:hAnsi="宋体" w:cs="宋体"/>
          <w:sz w:val="24"/>
        </w:rPr>
        <w:t>。</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3.本项目实行固定单价承包（合同期内单价固定不变），量按实结算。投标人在计算报价时自行考虑一定的风险系数。</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二、技术资料</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1.乙方应按招标文件规定的时间向甲方提供使用货物的有关技术资料。</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1"/>
        <w:snapToGrid w:val="0"/>
        <w:spacing w:line="360" w:lineRule="auto"/>
        <w:ind w:left="412" w:hanging="412" w:hangingChars="171"/>
        <w:rPr>
          <w:rFonts w:ascii="宋体" w:hAnsi="宋体" w:eastAsia="宋体" w:cs="宋体"/>
          <w:b/>
          <w:sz w:val="24"/>
          <w:szCs w:val="24"/>
        </w:rPr>
      </w:pPr>
      <w:r>
        <w:rPr>
          <w:rFonts w:hint="eastAsia" w:ascii="宋体" w:hAnsi="宋体" w:eastAsia="宋体" w:cs="宋体"/>
          <w:b/>
          <w:sz w:val="24"/>
          <w:szCs w:val="24"/>
        </w:rPr>
        <w:t xml:space="preserve">    三、权利担保</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1.乙方应保证所提供的货物或其任何一部分均不会侵犯任何第三方的知识产权。</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2.乙方保证所交付的货物的所有权完全属于乙方且无任何抵押、查封等产权瑕疵。</w:t>
      </w:r>
    </w:p>
    <w:p>
      <w:pPr>
        <w:pStyle w:val="41"/>
        <w:snapToGrid w:val="0"/>
        <w:spacing w:line="360" w:lineRule="auto"/>
        <w:ind w:left="410" w:hanging="410" w:hangingChars="170"/>
        <w:rPr>
          <w:rFonts w:ascii="宋体" w:hAnsi="宋体" w:eastAsia="宋体" w:cs="宋体"/>
          <w:b/>
          <w:sz w:val="24"/>
          <w:szCs w:val="24"/>
        </w:rPr>
      </w:pPr>
      <w:r>
        <w:rPr>
          <w:rFonts w:hint="eastAsia" w:ascii="宋体" w:hAnsi="宋体" w:eastAsia="宋体" w:cs="宋体"/>
          <w:b/>
          <w:sz w:val="24"/>
          <w:szCs w:val="24"/>
        </w:rPr>
        <w:t xml:space="preserve">    四、履约保证金</w:t>
      </w:r>
    </w:p>
    <w:p>
      <w:pPr>
        <w:spacing w:line="360" w:lineRule="auto"/>
        <w:ind w:firstLine="480" w:firstLineChars="200"/>
        <w:rPr>
          <w:rFonts w:ascii="宋体" w:hAnsi="宋体" w:cs="宋体"/>
          <w:sz w:val="24"/>
          <w:u w:val="single"/>
        </w:rPr>
      </w:pPr>
      <w:r>
        <w:rPr>
          <w:rFonts w:hint="eastAsia" w:ascii="宋体" w:hAnsi="宋体" w:cs="宋体"/>
          <w:bCs/>
          <w:sz w:val="24"/>
        </w:rPr>
        <w:t>在合同签订后三个工作日内，</w:t>
      </w:r>
      <w:r>
        <w:rPr>
          <w:rFonts w:hint="eastAsia" w:ascii="宋体" w:hAnsi="宋体" w:cs="宋体"/>
          <w:sz w:val="24"/>
        </w:rPr>
        <w:t xml:space="preserve">乙方应向甲方支付本合同价款 </w:t>
      </w:r>
      <w:r>
        <w:rPr>
          <w:rFonts w:hint="eastAsia" w:ascii="宋体" w:hAnsi="宋体" w:cs="宋体"/>
          <w:sz w:val="24"/>
          <w:lang w:val="en-US" w:eastAsia="zh-CN"/>
        </w:rPr>
        <w:t>2</w:t>
      </w:r>
      <w:r>
        <w:rPr>
          <w:rFonts w:hint="eastAsia" w:ascii="宋体" w:hAnsi="宋体" w:cs="宋体"/>
          <w:sz w:val="24"/>
        </w:rPr>
        <w:t>％的</w:t>
      </w:r>
      <w:r>
        <w:rPr>
          <w:rFonts w:hint="eastAsia" w:ascii="宋体" w:hAnsi="宋体" w:cs="宋体"/>
          <w:bCs/>
          <w:sz w:val="24"/>
        </w:rPr>
        <w:t>履约保证金，合计</w:t>
      </w:r>
      <w:r>
        <w:rPr>
          <w:rFonts w:hint="eastAsia" w:ascii="宋体" w:hAnsi="宋体" w:cs="宋体"/>
          <w:sz w:val="24"/>
          <w:u w:val="single"/>
        </w:rPr>
        <w:t xml:space="preserve">  </w:t>
      </w:r>
    </w:p>
    <w:p>
      <w:pPr>
        <w:spacing w:line="360" w:lineRule="auto"/>
        <w:ind w:firstLine="480" w:firstLineChars="200"/>
        <w:rPr>
          <w:rFonts w:ascii="宋体" w:hAnsi="宋体" w:cs="宋体"/>
          <w:bCs/>
          <w:sz w:val="24"/>
        </w:rPr>
      </w:pPr>
      <w:r>
        <w:rPr>
          <w:rFonts w:hint="eastAsia" w:ascii="宋体" w:hAnsi="宋体" w:cs="宋体"/>
          <w:sz w:val="24"/>
          <w:u w:val="single"/>
        </w:rPr>
        <w:t xml:space="preserve">           元</w:t>
      </w:r>
      <w:r>
        <w:rPr>
          <w:rFonts w:hint="eastAsia" w:ascii="宋体" w:hAnsi="宋体" w:cs="宋体"/>
          <w:bCs/>
          <w:sz w:val="24"/>
        </w:rPr>
        <w:t>（银行汇票或银行转帐支票或电汇）。</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五、转包或分包</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1.本合同范围的货物，应由乙方直接供应，不得转让他人供应</w:t>
      </w:r>
      <w:r>
        <w:rPr>
          <w:rFonts w:hint="eastAsia" w:hAnsi="宋体" w:cs="宋体"/>
          <w:sz w:val="24"/>
          <w:szCs w:val="24"/>
        </w:rPr>
        <w:t>。</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2.除非得到甲方的书面同意，乙方不得将本合同范围的货物全部或部分分包给他人供应</w:t>
      </w:r>
      <w:r>
        <w:rPr>
          <w:rFonts w:hint="eastAsia" w:hAnsi="宋体" w:cs="宋体"/>
          <w:sz w:val="24"/>
          <w:szCs w:val="24"/>
        </w:rPr>
        <w:t>。</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3.如有转让和未经甲方同意的分包行为，甲方有权解除合同，没收履约保证金并追究乙方的违约责任。</w:t>
      </w:r>
    </w:p>
    <w:p>
      <w:pPr>
        <w:pStyle w:val="41"/>
        <w:snapToGrid w:val="0"/>
        <w:spacing w:line="360" w:lineRule="auto"/>
        <w:rPr>
          <w:rFonts w:ascii="宋体" w:hAnsi="宋体" w:eastAsia="宋体" w:cs="宋体"/>
          <w:sz w:val="24"/>
          <w:szCs w:val="24"/>
        </w:rPr>
      </w:pPr>
      <w:r>
        <w:rPr>
          <w:rFonts w:hint="eastAsia" w:ascii="宋体" w:hAnsi="宋体" w:eastAsia="宋体" w:cs="宋体"/>
          <w:b/>
          <w:sz w:val="24"/>
          <w:szCs w:val="24"/>
        </w:rPr>
        <w:t xml:space="preserve">    六、质保期和质保金</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1、</w:t>
      </w:r>
      <w:r>
        <w:rPr>
          <w:rFonts w:hint="eastAsia" w:hAnsi="宋体" w:eastAsia="宋体" w:cs="宋体"/>
          <w:sz w:val="24"/>
          <w:szCs w:val="24"/>
        </w:rPr>
        <w:t>自</w:t>
      </w:r>
      <w:r>
        <w:rPr>
          <w:rFonts w:hint="eastAsia" w:ascii="宋体" w:hAnsi="宋体" w:cs="宋体"/>
          <w:bCs/>
          <w:sz w:val="24"/>
        </w:rPr>
        <w:t>产品验收合格使用之日起，</w:t>
      </w:r>
      <w:r>
        <w:rPr>
          <w:rFonts w:hint="eastAsia" w:ascii="宋体" w:hAnsi="宋体" w:eastAsia="宋体" w:cs="宋体"/>
          <w:sz w:val="24"/>
          <w:szCs w:val="24"/>
        </w:rPr>
        <w:t>质保期为</w:t>
      </w:r>
      <w:r>
        <w:rPr>
          <w:rFonts w:hint="eastAsia" w:ascii="宋体" w:hAnsi="宋体" w:eastAsia="宋体" w:cs="宋体"/>
          <w:sz w:val="24"/>
          <w:szCs w:val="24"/>
          <w:u w:val="single"/>
        </w:rPr>
        <w:t xml:space="preserve"> </w:t>
      </w:r>
      <w:r>
        <w:rPr>
          <w:rFonts w:hint="eastAsia"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cs="宋体"/>
          <w:b/>
          <w:sz w:val="24"/>
          <w:u w:val="single"/>
        </w:rPr>
        <w:t>具体再参照乙方按投标文件承诺确定</w:t>
      </w:r>
      <w:r>
        <w:rPr>
          <w:rFonts w:hint="eastAsia" w:ascii="宋体" w:hAnsi="宋体" w:eastAsia="宋体" w:cs="宋体"/>
          <w:sz w:val="24"/>
          <w:szCs w:val="24"/>
        </w:rPr>
        <w:t>）。</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2、质保金</w:t>
      </w:r>
      <w:r>
        <w:rPr>
          <w:rFonts w:hint="eastAsia" w:hAnsi="宋体" w:eastAsia="宋体" w:cs="宋体"/>
          <w:sz w:val="24"/>
          <w:szCs w:val="24"/>
          <w:u w:val="single"/>
        </w:rPr>
        <w:t xml:space="preserve">     </w:t>
      </w:r>
      <w:r>
        <w:rPr>
          <w:rFonts w:hint="eastAsia" w:ascii="宋体" w:hAnsi="宋体" w:eastAsia="宋体" w:cs="宋体"/>
          <w:sz w:val="24"/>
          <w:szCs w:val="24"/>
          <w:u w:val="single"/>
        </w:rPr>
        <w:t>元</w:t>
      </w:r>
      <w:r>
        <w:rPr>
          <w:rFonts w:hint="eastAsia" w:ascii="宋体" w:hAnsi="宋体" w:eastAsia="宋体" w:cs="宋体"/>
          <w:sz w:val="24"/>
          <w:szCs w:val="24"/>
        </w:rPr>
        <w:t>（</w:t>
      </w:r>
      <w:r>
        <w:rPr>
          <w:rFonts w:hint="eastAsia" w:ascii="宋体" w:hAnsi="宋体" w:eastAsia="宋体" w:cs="宋体"/>
          <w:bCs/>
          <w:sz w:val="24"/>
          <w:szCs w:val="24"/>
        </w:rPr>
        <w:t>验收合格后履约保证金自动转为质保金，质保金将在质保期满</w:t>
      </w:r>
      <w:r>
        <w:rPr>
          <w:rFonts w:hint="eastAsia" w:hAnsi="宋体" w:cs="宋体"/>
          <w:bCs/>
          <w:sz w:val="24"/>
          <w:szCs w:val="24"/>
        </w:rPr>
        <w:t>无发现质量问题并扣除乙方应承担的违约金、赔偿金、罚款、维修费用等各项款项后按实际余额</w:t>
      </w:r>
      <w:r>
        <w:rPr>
          <w:rFonts w:hint="eastAsia" w:ascii="宋体" w:hAnsi="宋体" w:eastAsia="宋体" w:cs="宋体"/>
          <w:bCs/>
          <w:sz w:val="24"/>
          <w:szCs w:val="24"/>
        </w:rPr>
        <w:t>无息退还</w:t>
      </w:r>
      <w:r>
        <w:rPr>
          <w:rFonts w:hint="eastAsia" w:ascii="宋体" w:hAnsi="宋体" w:eastAsia="宋体" w:cs="宋体"/>
          <w:sz w:val="24"/>
          <w:szCs w:val="24"/>
        </w:rPr>
        <w:t>）。</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七、交货期、交货方式、交货地点及供货要求</w:t>
      </w:r>
    </w:p>
    <w:p>
      <w:pPr>
        <w:pStyle w:val="41"/>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 1.交货期：</w:t>
      </w:r>
    </w:p>
    <w:p>
      <w:pPr>
        <w:pStyle w:val="41"/>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 2.交货方式：</w:t>
      </w:r>
      <w:r>
        <w:rPr>
          <w:rFonts w:hint="eastAsia" w:hAnsi="宋体" w:cs="宋体"/>
          <w:bCs/>
          <w:sz w:val="24"/>
          <w:szCs w:val="24"/>
        </w:rPr>
        <w:t>免费</w:t>
      </w:r>
      <w:r>
        <w:rPr>
          <w:rFonts w:hint="eastAsia" w:ascii="宋体" w:hAnsi="宋体" w:eastAsia="宋体" w:cs="宋体"/>
          <w:bCs/>
          <w:sz w:val="24"/>
          <w:szCs w:val="24"/>
        </w:rPr>
        <w:t>送货上门</w:t>
      </w:r>
      <w:r>
        <w:rPr>
          <w:rFonts w:hint="eastAsia" w:hAnsi="宋体" w:cs="宋体"/>
          <w:bCs/>
          <w:sz w:val="24"/>
          <w:szCs w:val="24"/>
        </w:rPr>
        <w:t>至甲方指定地点</w:t>
      </w:r>
      <w:r>
        <w:rPr>
          <w:rFonts w:hint="eastAsia" w:ascii="宋体" w:hAnsi="宋体" w:eastAsia="宋体" w:cs="宋体"/>
          <w:bCs/>
          <w:sz w:val="24"/>
          <w:szCs w:val="24"/>
        </w:rPr>
        <w:t xml:space="preserve">。 </w:t>
      </w:r>
    </w:p>
    <w:p>
      <w:pPr>
        <w:adjustRightInd w:val="0"/>
        <w:snapToGrid w:val="0"/>
        <w:spacing w:line="360" w:lineRule="auto"/>
        <w:ind w:firstLine="352" w:firstLineChars="147"/>
        <w:rPr>
          <w:rFonts w:ascii="宋体" w:hAnsi="宋体" w:cs="宋体"/>
          <w:bCs/>
          <w:sz w:val="24"/>
        </w:rPr>
      </w:pPr>
      <w:r>
        <w:rPr>
          <w:rFonts w:hint="eastAsia" w:ascii="宋体" w:hAnsi="宋体" w:cs="宋体"/>
          <w:bCs/>
          <w:sz w:val="24"/>
        </w:rPr>
        <w:t xml:space="preserve">  3.交货地点：</w:t>
      </w:r>
      <w:r>
        <w:rPr>
          <w:rFonts w:hint="eastAsia" w:hAnsi="宋体" w:cs="宋体"/>
          <w:bCs/>
          <w:sz w:val="24"/>
        </w:rPr>
        <w:t>甲方指定地点</w:t>
      </w:r>
      <w:r>
        <w:rPr>
          <w:rFonts w:hint="eastAsia" w:ascii="宋体" w:hAnsi="宋体" w:cs="宋体"/>
          <w:bCs/>
          <w:sz w:val="24"/>
        </w:rPr>
        <w:t>。</w:t>
      </w:r>
    </w:p>
    <w:p>
      <w:pPr>
        <w:spacing w:line="360" w:lineRule="auto"/>
        <w:ind w:firstLine="480" w:firstLineChars="200"/>
        <w:rPr>
          <w:rFonts w:ascii="宋体" w:hAnsi="宋体" w:cs="宋体"/>
          <w:bCs/>
          <w:sz w:val="24"/>
        </w:rPr>
      </w:pPr>
      <w:r>
        <w:rPr>
          <w:rFonts w:hint="eastAsia" w:ascii="宋体" w:hAnsi="宋体" w:cs="宋体"/>
          <w:bCs/>
          <w:sz w:val="24"/>
        </w:rPr>
        <w:t xml:space="preserve"> 4.供货要求：乙方所供的货物必须为全新的，符合国家标准的合格产品。</w:t>
      </w:r>
    </w:p>
    <w:p>
      <w:pPr>
        <w:spacing w:line="360" w:lineRule="auto"/>
        <w:ind w:firstLine="480" w:firstLineChars="200"/>
        <w:rPr>
          <w:rFonts w:ascii="宋体" w:hAnsi="宋体" w:cs="宋体"/>
          <w:bCs/>
          <w:sz w:val="24"/>
        </w:rPr>
      </w:pPr>
      <w:r>
        <w:rPr>
          <w:rFonts w:hint="eastAsia" w:ascii="宋体" w:hAnsi="宋体" w:cs="宋体"/>
          <w:bCs/>
          <w:sz w:val="24"/>
        </w:rPr>
        <w:t xml:space="preserve"> 5.培训要求：安装调试后，供应商须向使用方人员做好所供产品日常保养、使用、管理的现场实地培训，直至会熟练使用。</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八、货款支付</w:t>
      </w:r>
    </w:p>
    <w:p>
      <w:pPr>
        <w:snapToGrid w:val="0"/>
        <w:spacing w:line="360" w:lineRule="auto"/>
        <w:rPr>
          <w:rFonts w:ascii="宋体" w:hAnsi="宋体" w:cs="宋体"/>
          <w:b/>
          <w:sz w:val="24"/>
        </w:rPr>
      </w:pPr>
      <w:r>
        <w:rPr>
          <w:rFonts w:hint="eastAsia" w:ascii="宋体" w:hAnsi="宋体" w:cs="宋体"/>
          <w:b/>
          <w:sz w:val="24"/>
        </w:rPr>
        <w:t xml:space="preserve">    详见招标要求。</w:t>
      </w:r>
    </w:p>
    <w:p>
      <w:pPr>
        <w:snapToGrid w:val="0"/>
        <w:spacing w:line="360" w:lineRule="auto"/>
        <w:rPr>
          <w:rFonts w:ascii="宋体" w:hAnsi="宋体" w:cs="宋体"/>
          <w:b/>
          <w:sz w:val="24"/>
        </w:rPr>
      </w:pPr>
      <w:r>
        <w:rPr>
          <w:rFonts w:hint="eastAsia" w:ascii="宋体" w:hAnsi="宋体" w:cs="宋体"/>
          <w:b/>
          <w:sz w:val="24"/>
        </w:rPr>
        <w:t xml:space="preserve">    九、税费</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本合同执行中相关的一切税费均由乙方负担。</w:t>
      </w:r>
    </w:p>
    <w:p>
      <w:pPr>
        <w:pStyle w:val="41"/>
        <w:snapToGrid w:val="0"/>
        <w:spacing w:line="360" w:lineRule="auto"/>
        <w:ind w:left="412" w:hanging="412" w:hangingChars="171"/>
        <w:rPr>
          <w:rFonts w:ascii="宋体" w:hAnsi="宋体" w:eastAsia="宋体" w:cs="宋体"/>
          <w:sz w:val="24"/>
          <w:szCs w:val="24"/>
        </w:rPr>
      </w:pPr>
      <w:r>
        <w:rPr>
          <w:rFonts w:hint="eastAsia" w:ascii="宋体" w:hAnsi="宋体" w:eastAsia="宋体" w:cs="宋体"/>
          <w:b/>
          <w:sz w:val="24"/>
          <w:szCs w:val="24"/>
        </w:rPr>
        <w:t xml:space="preserve">    十、质量保证及售后服务</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1.乙方应按招标文件规定的货物性能、技术要求、质量标准向甲方提供未经使用的全新产品。</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2.乙方提供的货物在质保期内因货物本身的质量问题发生故障，乙方应按甲方要求予以处理，具体处理方式如下：</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⑴更换：由乙方承担所发生的全部费用。</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⑵贬值处理：由甲乙双方合议定价。</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⑶退货处理：乙方应退还甲方支付的合同款，同时应赔偿因此产生的全部费用（包括但不限于运输、保险、检验、货款利息及银行手续费等）。</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3.质保期内出现问题，1小时内响应，2小时内到达现场，12小时内解决问题，对于现场解决不了的故障，中标单位应提供采购人同型号、同规格的备用设备使用，直至故障设备修复；</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4.在质保期内，乙方应兑现“投标文件”中“售后服务方案”、“其他实质性优惠承诺”等条款中的相关承诺，并应对货物出现的质量及安全问题负责处理解决并承担一切费用。</w:t>
      </w:r>
    </w:p>
    <w:p>
      <w:pPr>
        <w:pStyle w:val="41"/>
        <w:snapToGrid w:val="0"/>
        <w:spacing w:line="360" w:lineRule="auto"/>
        <w:ind w:firstLine="410" w:firstLineChars="171"/>
        <w:rPr>
          <w:rFonts w:ascii="宋体" w:hAnsi="宋体" w:eastAsia="宋体" w:cs="宋体"/>
          <w:sz w:val="24"/>
          <w:szCs w:val="24"/>
        </w:rPr>
      </w:pPr>
      <w:r>
        <w:rPr>
          <w:rFonts w:hint="eastAsia" w:hAnsi="宋体" w:cs="宋体"/>
          <w:sz w:val="24"/>
          <w:szCs w:val="24"/>
        </w:rPr>
        <w:t>5.在质保期内乙方必须不得以任何理由影响用户的正常使用。乙方必须对所供产品实行终身维修，配件按市场价格收取。</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十一、货物包装、发运及运输</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1.乙方应在货物发运前对其进行满足运输距离、防潮、防震、防锈和防破损装卸等要求包装，以保证货物安全运达甲方指定地点。</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2.使用说明书、质量检验证明书、随配附件和工具以及清单一并附于货物内。</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3.乙方在货物发运手续办理完毕后24小时内或货到甲方48小时前通知甲方，以准备接货。</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4.货物在交付甲方验收合格前发生的风险均由乙方负责。</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5.货物在规定的交付期限内由乙方送达甲方指定的地点视为交付，乙方同时需通知甲方货物已送达。</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十二、调试和验收</w:t>
      </w:r>
    </w:p>
    <w:p>
      <w:pPr>
        <w:pStyle w:val="41"/>
        <w:snapToGrid w:val="0"/>
        <w:spacing w:line="360" w:lineRule="auto"/>
        <w:ind w:firstLine="412" w:firstLineChars="171"/>
        <w:rPr>
          <w:rFonts w:ascii="宋体" w:hAnsi="宋体" w:eastAsia="宋体" w:cs="宋体"/>
          <w:b/>
          <w:sz w:val="24"/>
          <w:szCs w:val="24"/>
        </w:rPr>
      </w:pPr>
      <w:r>
        <w:rPr>
          <w:rFonts w:hint="eastAsia" w:ascii="宋体" w:hAnsi="宋体" w:eastAsia="宋体" w:cs="宋体"/>
          <w:b/>
          <w:sz w:val="24"/>
          <w:szCs w:val="24"/>
        </w:rPr>
        <w:t xml:space="preserve"> 甲方委托质检余杭分局监测中心进行验收：</w:t>
      </w:r>
    </w:p>
    <w:p>
      <w:pPr>
        <w:spacing w:line="360" w:lineRule="auto"/>
        <w:ind w:right="60" w:firstLine="480" w:firstLineChars="200"/>
        <w:rPr>
          <w:rFonts w:ascii="宋体" w:hAnsi="宋体" w:cs="宋体"/>
          <w:color w:val="000000"/>
          <w:sz w:val="24"/>
        </w:rPr>
      </w:pPr>
      <w:r>
        <w:rPr>
          <w:rFonts w:hint="eastAsia" w:ascii="宋体" w:hAnsi="宋体" w:cs="宋体"/>
          <w:color w:val="000000"/>
          <w:sz w:val="24"/>
        </w:rPr>
        <w:t>1.根据</w:t>
      </w:r>
      <w:r>
        <w:rPr>
          <w:rFonts w:hint="eastAsia" w:ascii="宋体" w:hAnsi="宋体" w:cs="宋体"/>
          <w:sz w:val="24"/>
        </w:rPr>
        <w:t>余财采〔2018〕5号《关于进一步加强政府采购验收工作的意见》的通知，对于单次采购金额在三十万元以上的货物类采购项目（除国家规定应由专业机构强制检测或已聘请专业监理公司监理的采购项目），委托余杭区质量计量监测中心政府采购验收办公室进行验收。质检</w:t>
      </w:r>
      <w:r>
        <w:rPr>
          <w:rFonts w:hint="eastAsia" w:ascii="宋体" w:hAnsi="宋体" w:cs="宋体"/>
          <w:color w:val="000000"/>
          <w:sz w:val="24"/>
        </w:rPr>
        <w:t>余杭</w:t>
      </w:r>
      <w:r>
        <w:rPr>
          <w:rFonts w:hint="eastAsia" w:ascii="宋体" w:hAnsi="宋体" w:cs="宋体"/>
          <w:sz w:val="24"/>
        </w:rPr>
        <w:t>分局监测中心对乙方提交的货物将依据招标文件、投标文件及其补充变更文件上的技术规格要求和国家有关质量标准进行验收。</w:t>
      </w:r>
    </w:p>
    <w:p>
      <w:pPr>
        <w:spacing w:line="360" w:lineRule="auto"/>
        <w:ind w:left="60" w:right="60" w:firstLine="435"/>
        <w:rPr>
          <w:rFonts w:ascii="宋体" w:hAnsi="宋体" w:cs="宋体"/>
          <w:color w:val="000000"/>
          <w:sz w:val="24"/>
        </w:rPr>
      </w:pPr>
      <w:r>
        <w:rPr>
          <w:rFonts w:hint="eastAsia" w:ascii="宋体" w:hAnsi="宋体" w:cs="宋体"/>
          <w:color w:val="000000"/>
          <w:sz w:val="24"/>
        </w:rPr>
        <w:t>2.经验收不合格且无法整改的，不付款不退货，所产生的所有损失由乙方承担。</w:t>
      </w:r>
    </w:p>
    <w:p>
      <w:pPr>
        <w:spacing w:line="360" w:lineRule="auto"/>
        <w:ind w:left="60" w:right="60" w:firstLine="435"/>
        <w:rPr>
          <w:rFonts w:ascii="宋体" w:hAnsi="宋体" w:cs="宋体"/>
          <w:color w:val="000000"/>
          <w:sz w:val="24"/>
        </w:rPr>
      </w:pPr>
      <w:r>
        <w:rPr>
          <w:rFonts w:hint="eastAsia" w:ascii="宋体" w:hAnsi="宋体" w:cs="宋体"/>
          <w:color w:val="000000"/>
          <w:sz w:val="24"/>
        </w:rPr>
        <w:t>3.货物质量验收以质检余杭分局监测中心为最终验收。</w:t>
      </w:r>
    </w:p>
    <w:p>
      <w:pPr>
        <w:pStyle w:val="41"/>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十三、违约责任</w:t>
      </w:r>
    </w:p>
    <w:p>
      <w:pPr>
        <w:pStyle w:val="41"/>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1.甲方因自身原因无故拒收，经乙方通知后仍拒收货物的，每逾期一日，应按</w:t>
      </w:r>
      <w:r>
        <w:rPr>
          <w:rFonts w:hint="eastAsia" w:hAnsi="宋体" w:cs="宋体"/>
          <w:color w:val="000000"/>
          <w:sz w:val="24"/>
          <w:szCs w:val="24"/>
        </w:rPr>
        <w:t>拒收货物</w:t>
      </w:r>
      <w:r>
        <w:rPr>
          <w:rFonts w:hint="eastAsia" w:ascii="宋体" w:hAnsi="宋体" w:eastAsia="宋体" w:cs="宋体"/>
          <w:color w:val="000000"/>
          <w:sz w:val="24"/>
          <w:szCs w:val="24"/>
        </w:rPr>
        <w:t>价款银行同期贷款利息支付违约金。</w:t>
      </w:r>
    </w:p>
    <w:p>
      <w:pPr>
        <w:pStyle w:val="41"/>
        <w:widowControl/>
        <w:overflowPunct w:val="0"/>
        <w:autoSpaceDE w:val="0"/>
        <w:autoSpaceDN w:val="0"/>
        <w:adjustRightInd w:val="0"/>
        <w:snapToGrid w:val="0"/>
        <w:spacing w:line="360" w:lineRule="auto"/>
        <w:ind w:firstLine="480"/>
        <w:jc w:val="left"/>
        <w:textAlignment w:val="baseline"/>
        <w:rPr>
          <w:rFonts w:ascii="宋体" w:hAnsi="宋体" w:eastAsia="宋体" w:cs="宋体"/>
          <w:color w:val="000000"/>
          <w:sz w:val="24"/>
          <w:szCs w:val="24"/>
        </w:rPr>
      </w:pPr>
      <w:r>
        <w:rPr>
          <w:rFonts w:hint="eastAsia" w:ascii="宋体" w:hAnsi="宋体" w:eastAsia="宋体" w:cs="宋体"/>
          <w:color w:val="000000"/>
          <w:sz w:val="24"/>
          <w:szCs w:val="24"/>
        </w:rPr>
        <w:t>2.乙方逾期交付货物的，乙方应按逾期交货总额每日千分之一向甲方支付违约金，</w:t>
      </w:r>
      <w:r>
        <w:rPr>
          <w:rFonts w:hint="eastAsia" w:hAnsi="宋体" w:cs="宋体"/>
          <w:color w:val="000000"/>
          <w:sz w:val="24"/>
          <w:szCs w:val="24"/>
        </w:rPr>
        <w:t>违约金</w:t>
      </w:r>
      <w:r>
        <w:rPr>
          <w:rFonts w:hint="eastAsia" w:ascii="宋体" w:hAnsi="宋体" w:eastAsia="宋体" w:cs="宋体"/>
          <w:color w:val="000000"/>
          <w:sz w:val="24"/>
          <w:szCs w:val="24"/>
        </w:rPr>
        <w:t>由甲方从待付货款中扣除。逾期超过约定日期10日不能交货的，甲方可解除本合同，并提请有关部门列入供应商黑名单；如甲方选择继续履行合同的，乙方应按本条约定支付违约金至货到指定地点且验收合格之日止。</w:t>
      </w:r>
    </w:p>
    <w:p>
      <w:pPr>
        <w:pStyle w:val="41"/>
        <w:widowControl/>
        <w:overflowPunct w:val="0"/>
        <w:autoSpaceDE w:val="0"/>
        <w:autoSpaceDN w:val="0"/>
        <w:adjustRightInd w:val="0"/>
        <w:snapToGrid w:val="0"/>
        <w:spacing w:line="360" w:lineRule="auto"/>
        <w:ind w:firstLine="480"/>
        <w:jc w:val="left"/>
        <w:textAlignment w:val="baseline"/>
        <w:rPr>
          <w:rFonts w:ascii="宋体" w:hAnsi="宋体" w:eastAsia="宋体" w:cs="宋体"/>
          <w:color w:val="000000"/>
          <w:sz w:val="24"/>
          <w:szCs w:val="24"/>
        </w:rPr>
      </w:pPr>
      <w:r>
        <w:rPr>
          <w:rFonts w:hint="eastAsia" w:ascii="宋体" w:hAnsi="宋体" w:eastAsia="宋体" w:cs="宋体"/>
          <w:color w:val="000000"/>
          <w:sz w:val="24"/>
          <w:szCs w:val="24"/>
        </w:rPr>
        <w:t>3.乙方所交的货物品种、型号、规格、技术参数、质量不符合合同规定及招标文件规定标准的，甲方有权拒收该货物，乙方愿意更换货物但逾期交货的，按乙方逾期交货处理，由此增加的费用由乙方自行承担。乙方拒绝更换货物的，甲方可单方面解除合同，并提请有关部门列入供应商黑名单。</w:t>
      </w:r>
    </w:p>
    <w:p>
      <w:pPr>
        <w:pStyle w:val="41"/>
        <w:widowControl/>
        <w:overflowPunct w:val="0"/>
        <w:autoSpaceDE w:val="0"/>
        <w:autoSpaceDN w:val="0"/>
        <w:adjustRightInd w:val="0"/>
        <w:snapToGrid w:val="0"/>
        <w:spacing w:line="360" w:lineRule="auto"/>
        <w:ind w:firstLine="480"/>
        <w:jc w:val="left"/>
        <w:textAlignment w:val="baseline"/>
        <w:rPr>
          <w:rFonts w:ascii="宋体" w:hAnsi="宋体" w:eastAsia="宋体" w:cs="宋体"/>
          <w:color w:val="000000"/>
          <w:sz w:val="24"/>
          <w:szCs w:val="24"/>
        </w:rPr>
      </w:pPr>
      <w:r>
        <w:rPr>
          <w:rFonts w:hint="eastAsia" w:hAnsi="宋体" w:cs="宋体"/>
          <w:color w:val="000000"/>
          <w:sz w:val="24"/>
          <w:szCs w:val="24"/>
        </w:rPr>
        <w:t>4.甲方在使用过程中发现货物存在质量问题，乙方拒绝或逾期退换货的，乙方应按前述货物购置价四倍向甲方支付违约金，情节严重的，甲方有权提前有关部门列入供应商黑名单。</w:t>
      </w:r>
    </w:p>
    <w:p>
      <w:pPr>
        <w:pStyle w:val="41"/>
        <w:widowControl/>
        <w:overflowPunct w:val="0"/>
        <w:autoSpaceDE w:val="0"/>
        <w:autoSpaceDN w:val="0"/>
        <w:adjustRightInd w:val="0"/>
        <w:snapToGrid w:val="0"/>
        <w:spacing w:line="360" w:lineRule="auto"/>
        <w:ind w:firstLine="480"/>
        <w:jc w:val="left"/>
        <w:textAlignment w:val="baseline"/>
        <w:rPr>
          <w:rFonts w:ascii="宋体" w:hAnsi="宋体" w:eastAsia="宋体" w:cs="宋体"/>
          <w:color w:val="000000"/>
          <w:sz w:val="24"/>
          <w:szCs w:val="24"/>
        </w:rPr>
      </w:pPr>
      <w:r>
        <w:rPr>
          <w:rFonts w:hint="eastAsia" w:hAnsi="宋体" w:cs="宋体"/>
          <w:color w:val="000000"/>
          <w:sz w:val="24"/>
          <w:szCs w:val="24"/>
        </w:rPr>
        <w:t>5</w:t>
      </w:r>
      <w:r>
        <w:rPr>
          <w:rFonts w:hint="eastAsia" w:ascii="宋体" w:hAnsi="宋体" w:eastAsia="宋体" w:cs="宋体"/>
          <w:color w:val="000000"/>
          <w:sz w:val="24"/>
          <w:szCs w:val="24"/>
        </w:rPr>
        <w:t>.乙方不在约定期限内派人保修的，甲方可以委托他人修理，所需费用按实在质保金中支出，超出部分由乙方承担，且乙方不得以此为由拒绝承担质量保修责任。</w:t>
      </w:r>
    </w:p>
    <w:p>
      <w:pPr>
        <w:pStyle w:val="41"/>
        <w:widowControl/>
        <w:overflowPunct w:val="0"/>
        <w:autoSpaceDE w:val="0"/>
        <w:autoSpaceDN w:val="0"/>
        <w:adjustRightInd w:val="0"/>
        <w:snapToGrid w:val="0"/>
        <w:spacing w:line="360" w:lineRule="auto"/>
        <w:ind w:firstLine="480"/>
        <w:jc w:val="left"/>
        <w:textAlignment w:val="baseline"/>
        <w:rPr>
          <w:rFonts w:ascii="宋体" w:hAnsi="宋体" w:eastAsia="宋体" w:cs="宋体"/>
          <w:color w:val="000000"/>
          <w:sz w:val="24"/>
          <w:szCs w:val="24"/>
        </w:rPr>
      </w:pPr>
      <w:r>
        <w:rPr>
          <w:rFonts w:hint="eastAsia" w:hAnsi="宋体" w:cs="宋体"/>
          <w:color w:val="000000"/>
          <w:sz w:val="24"/>
          <w:szCs w:val="24"/>
        </w:rPr>
        <w:t>6</w:t>
      </w:r>
      <w:r>
        <w:rPr>
          <w:rFonts w:hint="eastAsia" w:ascii="宋体" w:hAnsi="宋体" w:eastAsia="宋体" w:cs="宋体"/>
          <w:color w:val="000000"/>
          <w:sz w:val="24"/>
          <w:szCs w:val="24"/>
        </w:rPr>
        <w:t>.经验收不合格，甲方有权拒绝付款及退货，要求乙方采取更换货物</w:t>
      </w:r>
      <w:r>
        <w:rPr>
          <w:rFonts w:hint="eastAsia" w:hAnsi="宋体" w:cs="宋体"/>
          <w:color w:val="000000"/>
          <w:sz w:val="24"/>
          <w:szCs w:val="24"/>
        </w:rPr>
        <w:t>、退货</w:t>
      </w:r>
      <w:r>
        <w:rPr>
          <w:rFonts w:hint="eastAsia" w:ascii="宋体" w:hAnsi="宋体" w:eastAsia="宋体" w:cs="宋体"/>
          <w:color w:val="000000"/>
          <w:sz w:val="24"/>
          <w:szCs w:val="24"/>
        </w:rPr>
        <w:t>等整改措施，所产生的所有损失由乙方承担，乙方无法整改的，甲方有权解除合同。</w:t>
      </w:r>
    </w:p>
    <w:p>
      <w:pPr>
        <w:pStyle w:val="41"/>
        <w:widowControl/>
        <w:overflowPunct w:val="0"/>
        <w:autoSpaceDE w:val="0"/>
        <w:autoSpaceDN w:val="0"/>
        <w:adjustRightInd w:val="0"/>
        <w:snapToGrid w:val="0"/>
        <w:spacing w:line="360" w:lineRule="auto"/>
        <w:ind w:firstLine="480"/>
        <w:jc w:val="left"/>
        <w:textAlignment w:val="baseline"/>
        <w:rPr>
          <w:rFonts w:ascii="宋体" w:hAnsi="宋体" w:eastAsia="宋体" w:cs="宋体"/>
          <w:b/>
          <w:sz w:val="24"/>
          <w:szCs w:val="24"/>
        </w:rPr>
      </w:pPr>
      <w:r>
        <w:rPr>
          <w:rFonts w:hint="eastAsia" w:hAnsi="宋体" w:cs="宋体"/>
          <w:color w:val="000000"/>
          <w:sz w:val="24"/>
          <w:szCs w:val="24"/>
        </w:rPr>
        <w:t>7</w:t>
      </w:r>
      <w:r>
        <w:rPr>
          <w:rFonts w:hint="eastAsia" w:ascii="宋体" w:hAnsi="宋体" w:eastAsia="宋体" w:cs="宋体"/>
          <w:color w:val="000000"/>
          <w:sz w:val="24"/>
          <w:szCs w:val="24"/>
        </w:rPr>
        <w:t xml:space="preserve">.乙方提前解除本合同或因乙方原因导致甲方解除合同的，没收履约保证金，乙方应向甲方支付合同总值20%的违约金，如造成甲方损失超过违约金的，超出部分由乙方继续承担赔偿责任，甲方为实现权利所支出的诉讼费、律师费等各项费用由乙方承担。 </w:t>
      </w:r>
    </w:p>
    <w:p>
      <w:pPr>
        <w:pStyle w:val="41"/>
        <w:widowControl/>
        <w:overflowPunct w:val="0"/>
        <w:autoSpaceDE w:val="0"/>
        <w:autoSpaceDN w:val="0"/>
        <w:adjustRightInd w:val="0"/>
        <w:snapToGrid w:val="0"/>
        <w:spacing w:line="360" w:lineRule="auto"/>
        <w:ind w:firstLine="480"/>
        <w:jc w:val="left"/>
        <w:textAlignment w:val="baseline"/>
        <w:rPr>
          <w:rFonts w:ascii="宋体" w:hAnsi="宋体" w:eastAsia="宋体" w:cs="宋体"/>
          <w:b/>
          <w:sz w:val="24"/>
          <w:szCs w:val="24"/>
        </w:rPr>
      </w:pPr>
      <w:r>
        <w:rPr>
          <w:rFonts w:hint="eastAsia" w:ascii="宋体" w:hAnsi="宋体" w:eastAsia="宋体" w:cs="宋体"/>
          <w:b/>
          <w:sz w:val="24"/>
          <w:szCs w:val="24"/>
        </w:rPr>
        <w:t>十四、不可抗力事件处理</w:t>
      </w:r>
    </w:p>
    <w:p>
      <w:pPr>
        <w:pStyle w:val="41"/>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十五、诉讼</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双方在执行合同中所发生的一切争议，应通过协商解决。如协商不成，可向甲方所在地法院起诉。</w:t>
      </w:r>
    </w:p>
    <w:p>
      <w:pPr>
        <w:pStyle w:val="41"/>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十六、合同生效及其它</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1.招标文件、投标文件、更正公告、中标通知书、承诺函等均作为本合同组成部分，具有同等效力。</w:t>
      </w:r>
    </w:p>
    <w:p>
      <w:pPr>
        <w:pStyle w:val="41"/>
        <w:snapToGrid w:val="0"/>
        <w:spacing w:line="360" w:lineRule="auto"/>
        <w:ind w:firstLine="410" w:firstLineChars="171"/>
        <w:rPr>
          <w:rFonts w:ascii="宋体" w:hAnsi="宋体" w:eastAsia="宋体" w:cs="宋体"/>
          <w:sz w:val="24"/>
          <w:szCs w:val="24"/>
        </w:rPr>
      </w:pPr>
      <w:r>
        <w:rPr>
          <w:rFonts w:hint="eastAsia" w:ascii="宋体" w:hAnsi="宋体" w:eastAsia="宋体" w:cs="宋体"/>
          <w:sz w:val="24"/>
          <w:szCs w:val="24"/>
        </w:rPr>
        <w:t xml:space="preserve"> 2.合同经双方法定代表人或其授权代表签字并加盖单位公章后方可生效。</w:t>
      </w:r>
    </w:p>
    <w:p>
      <w:pPr>
        <w:pStyle w:val="41"/>
        <w:widowControl/>
        <w:overflowPunct w:val="0"/>
        <w:autoSpaceDE w:val="0"/>
        <w:autoSpaceDN w:val="0"/>
        <w:adjustRightInd w:val="0"/>
        <w:snapToGrid w:val="0"/>
        <w:spacing w:line="360" w:lineRule="auto"/>
        <w:ind w:firstLine="410" w:firstLineChars="171"/>
        <w:jc w:val="left"/>
        <w:textAlignment w:val="baseline"/>
        <w:rPr>
          <w:rFonts w:ascii="宋体" w:hAnsi="宋体" w:eastAsia="宋体" w:cs="宋体"/>
          <w:sz w:val="24"/>
          <w:szCs w:val="24"/>
        </w:rPr>
      </w:pPr>
      <w:r>
        <w:rPr>
          <w:rFonts w:hint="eastAsia" w:ascii="宋体" w:hAnsi="宋体" w:eastAsia="宋体" w:cs="宋体"/>
          <w:sz w:val="24"/>
          <w:szCs w:val="24"/>
        </w:rPr>
        <w:t xml:space="preserve"> 3.合同执行中涉及采购资金和采购内容修改或补充的，须经财政部门审批，并签书面补充协议报政府采购监督管理部门备案，作为主合同不可分割的一部分。</w:t>
      </w:r>
    </w:p>
    <w:p>
      <w:pPr>
        <w:pStyle w:val="41"/>
        <w:widowControl/>
        <w:overflowPunct w:val="0"/>
        <w:autoSpaceDE w:val="0"/>
        <w:autoSpaceDN w:val="0"/>
        <w:adjustRightInd w:val="0"/>
        <w:snapToGrid w:val="0"/>
        <w:spacing w:line="360" w:lineRule="auto"/>
        <w:ind w:firstLine="410" w:firstLineChars="171"/>
        <w:jc w:val="left"/>
        <w:textAlignment w:val="baseline"/>
        <w:rPr>
          <w:rFonts w:ascii="宋体" w:hAnsi="宋体" w:eastAsia="宋体" w:cs="宋体"/>
          <w:sz w:val="24"/>
          <w:szCs w:val="24"/>
        </w:rPr>
      </w:pPr>
      <w:r>
        <w:rPr>
          <w:rFonts w:hint="eastAsia" w:ascii="宋体" w:hAnsi="宋体" w:eastAsia="宋体" w:cs="宋体"/>
          <w:sz w:val="24"/>
          <w:szCs w:val="24"/>
        </w:rPr>
        <w:t xml:space="preserve"> 4.本合同未尽事宜，遵照《合同法》有关条文执行。</w:t>
      </w:r>
    </w:p>
    <w:p>
      <w:pPr>
        <w:pStyle w:val="41"/>
        <w:widowControl/>
        <w:overflowPunct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 xml:space="preserve">    5.本合同一式肆份，具有同等法律效力，甲乙双方各执二份。 </w:t>
      </w:r>
    </w:p>
    <w:p>
      <w:pPr>
        <w:spacing w:line="360" w:lineRule="auto"/>
        <w:ind w:left="-420" w:leftChars="-200" w:right="-420" w:rightChars="-200"/>
        <w:jc w:val="left"/>
        <w:rPr>
          <w:rFonts w:ascii="宋体" w:hAnsi="宋体" w:cs="宋体"/>
          <w:sz w:val="24"/>
        </w:rPr>
      </w:pPr>
    </w:p>
    <w:p>
      <w:pPr>
        <w:spacing w:line="360" w:lineRule="auto"/>
        <w:ind w:left="-420" w:leftChars="-200" w:right="-420" w:rightChars="-200" w:firstLine="240" w:firstLineChars="100"/>
        <w:jc w:val="left"/>
        <w:rPr>
          <w:rFonts w:ascii="宋体" w:hAnsi="宋体" w:cs="宋体"/>
          <w:sz w:val="24"/>
        </w:rPr>
      </w:pPr>
      <w:r>
        <w:rPr>
          <w:rFonts w:hint="eastAsia" w:ascii="宋体" w:hAnsi="宋体" w:cs="宋体"/>
          <w:sz w:val="24"/>
        </w:rPr>
        <w:t>甲方（盖章）：                                     乙方（盖章）：</w:t>
      </w:r>
    </w:p>
    <w:p>
      <w:pPr>
        <w:spacing w:line="360" w:lineRule="auto"/>
        <w:ind w:left="-420" w:leftChars="-200" w:right="-420" w:rightChars="-200" w:firstLine="240" w:firstLineChars="100"/>
        <w:jc w:val="left"/>
        <w:rPr>
          <w:rFonts w:ascii="宋体" w:hAnsi="宋体" w:cs="宋体"/>
          <w:sz w:val="24"/>
        </w:rPr>
      </w:pPr>
      <w:r>
        <w:rPr>
          <w:rFonts w:hint="eastAsia" w:ascii="宋体" w:hAnsi="宋体" w:cs="宋体"/>
          <w:sz w:val="24"/>
        </w:rPr>
        <w:t xml:space="preserve">法定代表人：                                       法定代表人：                </w:t>
      </w:r>
    </w:p>
    <w:p>
      <w:pPr>
        <w:spacing w:line="360" w:lineRule="auto"/>
        <w:ind w:left="-420" w:leftChars="-200" w:right="-420" w:rightChars="-200" w:firstLine="240" w:firstLineChars="100"/>
        <w:jc w:val="left"/>
        <w:rPr>
          <w:rFonts w:ascii="宋体" w:hAnsi="宋体" w:cs="宋体"/>
          <w:sz w:val="24"/>
        </w:rPr>
      </w:pPr>
      <w:r>
        <w:rPr>
          <w:rFonts w:hint="eastAsia" w:ascii="宋体" w:hAnsi="宋体" w:cs="宋体"/>
          <w:sz w:val="24"/>
        </w:rPr>
        <w:t xml:space="preserve">或授权代表（签字）：                               或授权代表（签字）：           </w:t>
      </w:r>
    </w:p>
    <w:p>
      <w:pPr>
        <w:spacing w:line="360" w:lineRule="auto"/>
        <w:ind w:left="-420" w:leftChars="-200" w:right="-420" w:rightChars="-200" w:firstLine="240" w:firstLineChars="100"/>
        <w:jc w:val="left"/>
        <w:rPr>
          <w:rFonts w:ascii="宋体" w:hAnsi="宋体" w:cs="宋体"/>
          <w:sz w:val="24"/>
        </w:rPr>
      </w:pPr>
      <w:r>
        <w:rPr>
          <w:rFonts w:hint="eastAsia" w:ascii="宋体" w:hAnsi="宋体" w:cs="宋体"/>
          <w:sz w:val="24"/>
        </w:rPr>
        <w:t>地址：                                              地址：</w:t>
      </w:r>
    </w:p>
    <w:p>
      <w:pPr>
        <w:spacing w:line="360" w:lineRule="auto"/>
        <w:ind w:left="-420" w:leftChars="-200" w:right="-420" w:rightChars="-200" w:firstLine="240" w:firstLineChars="100"/>
        <w:jc w:val="left"/>
        <w:rPr>
          <w:rFonts w:ascii="宋体" w:hAnsi="宋体" w:cs="宋体"/>
          <w:sz w:val="24"/>
        </w:rPr>
      </w:pPr>
      <w:r>
        <w:rPr>
          <w:rFonts w:hint="eastAsia" w:ascii="宋体" w:hAnsi="宋体" w:cs="宋体"/>
          <w:sz w:val="24"/>
        </w:rPr>
        <w:t xml:space="preserve">邮编：                                              邮编：            </w:t>
      </w:r>
    </w:p>
    <w:p>
      <w:pPr>
        <w:spacing w:line="360" w:lineRule="auto"/>
        <w:ind w:left="-420" w:leftChars="-200" w:right="-420" w:rightChars="-200" w:firstLine="240" w:firstLineChars="100"/>
        <w:jc w:val="left"/>
        <w:rPr>
          <w:rFonts w:ascii="宋体" w:hAnsi="宋体" w:cs="宋体"/>
          <w:sz w:val="24"/>
        </w:rPr>
      </w:pPr>
      <w:r>
        <w:rPr>
          <w:rFonts w:hint="eastAsia" w:ascii="宋体" w:hAnsi="宋体" w:cs="宋体"/>
          <w:sz w:val="24"/>
        </w:rPr>
        <w:t>电话：                                              电话：</w:t>
      </w:r>
    </w:p>
    <w:p>
      <w:pPr>
        <w:spacing w:line="360" w:lineRule="auto"/>
        <w:ind w:left="-420" w:leftChars="-200" w:right="-420" w:rightChars="-200" w:firstLine="240" w:firstLineChars="100"/>
        <w:jc w:val="left"/>
        <w:rPr>
          <w:rFonts w:ascii="宋体" w:hAnsi="宋体" w:cs="宋体"/>
          <w:sz w:val="24"/>
        </w:rPr>
      </w:pPr>
      <w:r>
        <w:rPr>
          <w:rFonts w:hint="eastAsia" w:ascii="宋体" w:hAnsi="宋体" w:cs="宋体"/>
          <w:sz w:val="24"/>
        </w:rPr>
        <w:t>传真：                                              传真：</w:t>
      </w:r>
    </w:p>
    <w:p>
      <w:pPr>
        <w:spacing w:line="360" w:lineRule="auto"/>
        <w:ind w:left="-420" w:leftChars="-200" w:right="-420" w:rightChars="-200" w:firstLine="240" w:firstLineChars="100"/>
        <w:jc w:val="left"/>
        <w:rPr>
          <w:rFonts w:ascii="宋体" w:hAnsi="宋体" w:cs="宋体"/>
          <w:sz w:val="24"/>
        </w:rPr>
      </w:pPr>
      <w:r>
        <w:rPr>
          <w:rFonts w:hint="eastAsia" w:ascii="宋体" w:hAnsi="宋体" w:cs="宋体"/>
          <w:sz w:val="24"/>
        </w:rPr>
        <w:t>开户银行：                                          开户银行：</w:t>
      </w:r>
    </w:p>
    <w:p>
      <w:pPr>
        <w:spacing w:line="360" w:lineRule="auto"/>
        <w:ind w:left="-420" w:leftChars="-200" w:right="-420" w:rightChars="-200" w:firstLine="240" w:firstLineChars="100"/>
        <w:jc w:val="left"/>
        <w:rPr>
          <w:rFonts w:ascii="宋体" w:hAnsi="宋体"/>
          <w:sz w:val="24"/>
        </w:rPr>
      </w:pPr>
      <w:r>
        <w:rPr>
          <w:rFonts w:hint="eastAsia" w:ascii="宋体" w:hAnsi="宋体" w:cs="宋体"/>
          <w:sz w:val="24"/>
        </w:rPr>
        <w:t xml:space="preserve">帐号：                                               帐号：                                              </w:t>
      </w:r>
    </w:p>
    <w:p>
      <w:pPr>
        <w:spacing w:line="360" w:lineRule="auto"/>
        <w:ind w:firstLine="720" w:firstLineChars="300"/>
        <w:jc w:val="left"/>
        <w:rPr>
          <w:rFonts w:ascii="宋体" w:hAnsi="宋体"/>
          <w:sz w:val="24"/>
        </w:rPr>
      </w:pPr>
      <w:r>
        <w:rPr>
          <w:rFonts w:hint="eastAsia" w:ascii="宋体" w:hAnsi="宋体"/>
          <w:sz w:val="24"/>
        </w:rPr>
        <w:t xml:space="preserve">                                        </w:t>
      </w:r>
    </w:p>
    <w:p>
      <w:pPr>
        <w:spacing w:line="360" w:lineRule="auto"/>
        <w:ind w:firstLine="720" w:firstLineChars="300"/>
        <w:jc w:val="left"/>
        <w:rPr>
          <w:rFonts w:ascii="宋体" w:hAnsi="宋体"/>
          <w:sz w:val="24"/>
        </w:rPr>
      </w:pPr>
    </w:p>
    <w:p>
      <w:pPr>
        <w:spacing w:line="360" w:lineRule="auto"/>
        <w:ind w:firstLine="720" w:firstLineChars="300"/>
        <w:jc w:val="left"/>
        <w:rPr>
          <w:rFonts w:ascii="宋体" w:hAnsi="宋体"/>
          <w:sz w:val="24"/>
        </w:rPr>
      </w:pPr>
    </w:p>
    <w:p>
      <w:pPr>
        <w:spacing w:line="360" w:lineRule="auto"/>
        <w:ind w:firstLine="5520" w:firstLineChars="2300"/>
        <w:jc w:val="left"/>
        <w:rPr>
          <w:rFonts w:ascii="宋体" w:hAnsi="宋体"/>
          <w:sz w:val="24"/>
        </w:rPr>
      </w:pPr>
      <w:r>
        <w:rPr>
          <w:rFonts w:hint="eastAsia" w:ascii="宋体" w:hAnsi="宋体"/>
          <w:sz w:val="24"/>
        </w:rPr>
        <w:t xml:space="preserve"> 签约时间：    年    月   日</w:t>
      </w:r>
    </w:p>
    <w:p>
      <w:pPr>
        <w:spacing w:line="360" w:lineRule="auto"/>
        <w:ind w:firstLine="5520" w:firstLineChars="2300"/>
        <w:jc w:val="left"/>
        <w:rPr>
          <w:rFonts w:ascii="宋体" w:hAnsi="宋体"/>
          <w:sz w:val="24"/>
        </w:rPr>
      </w:pPr>
    </w:p>
    <w:p>
      <w:pPr>
        <w:wordWrap w:val="0"/>
        <w:spacing w:line="360" w:lineRule="auto"/>
        <w:jc w:val="center"/>
        <w:rPr>
          <w:rFonts w:ascii="宋体" w:hAnsi="宋体"/>
          <w:sz w:val="24"/>
        </w:rPr>
      </w:pPr>
      <w:r>
        <w:rPr>
          <w:rFonts w:hint="eastAsia" w:ascii="宋体" w:hAnsi="宋体"/>
          <w:sz w:val="24"/>
        </w:rPr>
        <w:t xml:space="preserve">                                 签约地点：     </w:t>
      </w:r>
    </w:p>
    <w:p>
      <w:pPr>
        <w:pageBreakBefore/>
        <w:shd w:val="clear" w:color="auto" w:fill="FFFFFF"/>
        <w:snapToGrid w:val="0"/>
        <w:spacing w:line="360" w:lineRule="auto"/>
        <w:jc w:val="center"/>
        <w:outlineLvl w:val="0"/>
        <w:rPr>
          <w:rFonts w:ascii="宋体" w:hAnsi="宋体" w:cs="宋体"/>
          <w:b/>
          <w:bCs/>
          <w:color w:val="000000"/>
          <w:sz w:val="44"/>
          <w:szCs w:val="44"/>
        </w:rPr>
      </w:pPr>
      <w:bookmarkStart w:id="114" w:name="_Toc18110"/>
      <w:bookmarkStart w:id="115" w:name="_Toc15325"/>
      <w:bookmarkStart w:id="116" w:name="_Toc14272"/>
      <w:r>
        <w:rPr>
          <w:rFonts w:hint="eastAsia" w:ascii="宋体" w:hAnsi="宋体" w:cs="宋体"/>
          <w:b/>
          <w:bCs/>
          <w:color w:val="000000"/>
          <w:sz w:val="44"/>
          <w:szCs w:val="44"/>
        </w:rPr>
        <w:t>第五部分 应提交的有关格式范例</w:t>
      </w:r>
      <w:bookmarkEnd w:id="114"/>
      <w:bookmarkEnd w:id="115"/>
      <w:bookmarkEnd w:id="116"/>
    </w:p>
    <w:p>
      <w:pPr>
        <w:pStyle w:val="3"/>
        <w:spacing w:line="360" w:lineRule="auto"/>
      </w:pPr>
    </w:p>
    <w:p>
      <w:pPr>
        <w:snapToGrid w:val="0"/>
        <w:spacing w:line="360" w:lineRule="auto"/>
        <w:rPr>
          <w:rFonts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w:t>
      </w:r>
    </w:p>
    <w:p>
      <w:pPr>
        <w:pStyle w:val="5"/>
        <w:snapToGrid w:val="0"/>
        <w:rPr>
          <w:rFonts w:ascii="宋体" w:hAnsi="宋体" w:eastAsia="宋体"/>
          <w:color w:val="000000"/>
        </w:rPr>
        <w:sectPr>
          <w:headerReference r:id="rId3" w:type="default"/>
          <w:footerReference r:id="rId4" w:type="default"/>
          <w:footerReference r:id="rId5" w:type="even"/>
          <w:pgSz w:w="11906" w:h="16838"/>
          <w:pgMar w:top="993" w:right="1474" w:bottom="1134" w:left="1474" w:header="851" w:footer="641" w:gutter="0"/>
          <w:pgNumType w:fmt="decimal"/>
          <w:cols w:space="720" w:num="1"/>
          <w:docGrid w:type="lines" w:linePitch="315" w:charSpace="0"/>
        </w:sectPr>
      </w:pPr>
    </w:p>
    <w:p>
      <w:pPr>
        <w:shd w:val="clear" w:color="auto" w:fill="FFFFFF"/>
        <w:snapToGrid w:val="0"/>
        <w:spacing w:line="360" w:lineRule="auto"/>
        <w:jc w:val="center"/>
        <w:outlineLvl w:val="0"/>
        <w:rPr>
          <w:rFonts w:ascii="宋体" w:hAnsi="宋体" w:cs="宋体"/>
          <w:b/>
          <w:bCs/>
          <w:color w:val="000000"/>
          <w:sz w:val="44"/>
          <w:szCs w:val="44"/>
        </w:rPr>
      </w:pPr>
      <w:bookmarkStart w:id="117" w:name="_Toc25413"/>
      <w:r>
        <w:rPr>
          <w:rFonts w:hint="eastAsia" w:ascii="宋体" w:hAnsi="宋体" w:cs="宋体"/>
          <w:b/>
          <w:bCs/>
          <w:color w:val="000000"/>
          <w:sz w:val="44"/>
          <w:szCs w:val="44"/>
        </w:rPr>
        <w:t>项目名称：</w:t>
      </w:r>
      <w:bookmarkEnd w:id="117"/>
    </w:p>
    <w:p>
      <w:pPr>
        <w:shd w:val="clear" w:color="auto" w:fill="FFFFFF"/>
        <w:snapToGrid w:val="0"/>
        <w:spacing w:line="360" w:lineRule="auto"/>
        <w:jc w:val="center"/>
        <w:outlineLvl w:val="0"/>
        <w:rPr>
          <w:rFonts w:ascii="宋体" w:hAnsi="宋体" w:cs="宋体"/>
          <w:b/>
          <w:bCs/>
          <w:color w:val="000000"/>
          <w:sz w:val="44"/>
          <w:szCs w:val="44"/>
        </w:rPr>
      </w:pPr>
      <w:bookmarkStart w:id="118" w:name="_Toc27261"/>
      <w:r>
        <w:rPr>
          <w:rFonts w:hint="eastAsia" w:ascii="宋体" w:hAnsi="宋体" w:cs="宋体"/>
          <w:b/>
          <w:bCs/>
          <w:color w:val="000000"/>
          <w:sz w:val="44"/>
          <w:szCs w:val="44"/>
        </w:rPr>
        <w:t>资  格 文 件(封面）</w:t>
      </w:r>
      <w:bookmarkEnd w:id="118"/>
    </w:p>
    <w:p>
      <w:pPr>
        <w:widowControl/>
        <w:spacing w:line="360" w:lineRule="auto"/>
        <w:ind w:right="-2"/>
        <w:jc w:val="center"/>
        <w:outlineLvl w:val="1"/>
        <w:rPr>
          <w:rFonts w:ascii="宋体" w:hAnsi="宋体"/>
          <w:b/>
          <w:color w:val="000000"/>
          <w:sz w:val="36"/>
          <w:szCs w:val="36"/>
        </w:rPr>
      </w:pPr>
      <w:bookmarkStart w:id="119" w:name="_Toc3689"/>
      <w:r>
        <w:rPr>
          <w:rFonts w:hint="eastAsia" w:ascii="宋体" w:hAnsi="宋体"/>
          <w:b/>
          <w:color w:val="000000"/>
          <w:sz w:val="36"/>
          <w:szCs w:val="36"/>
        </w:rPr>
        <w:t>（线上电子招投标）</w:t>
      </w:r>
      <w:bookmarkEnd w:id="119"/>
    </w:p>
    <w:p>
      <w:pPr>
        <w:pStyle w:val="90"/>
        <w:spacing w:line="360" w:lineRule="auto"/>
        <w:rPr>
          <w:sz w:val="36"/>
          <w:szCs w:val="36"/>
        </w:rPr>
      </w:pPr>
    </w:p>
    <w:p>
      <w:pPr>
        <w:shd w:val="clear" w:color="auto" w:fill="FFFFFF"/>
        <w:snapToGrid w:val="0"/>
        <w:spacing w:line="360" w:lineRule="auto"/>
        <w:jc w:val="center"/>
        <w:outlineLvl w:val="1"/>
        <w:rPr>
          <w:rFonts w:ascii="宋体" w:hAnsi="宋体" w:cs="宋体"/>
          <w:b/>
          <w:bCs/>
          <w:color w:val="000000"/>
          <w:sz w:val="36"/>
          <w:szCs w:val="36"/>
        </w:rPr>
      </w:pPr>
      <w:bookmarkStart w:id="120" w:name="_Toc12567"/>
      <w:r>
        <w:rPr>
          <w:rFonts w:hint="eastAsia" w:ascii="宋体" w:hAnsi="宋体" w:cs="宋体"/>
          <w:b/>
          <w:bCs/>
          <w:color w:val="000000"/>
          <w:sz w:val="36"/>
          <w:szCs w:val="36"/>
        </w:rPr>
        <w:t>招标编号：</w:t>
      </w:r>
      <w:bookmarkEnd w:id="120"/>
      <w:r>
        <w:rPr>
          <w:rFonts w:hint="eastAsia" w:ascii="宋体" w:hAnsi="宋体" w:cs="宋体"/>
          <w:b/>
          <w:bCs/>
          <w:color w:val="000000"/>
          <w:sz w:val="36"/>
          <w:szCs w:val="36"/>
          <w:lang w:val="en-US" w:eastAsia="zh-CN"/>
        </w:rPr>
        <w:t>ZJWH-2020-015</w:t>
      </w:r>
    </w:p>
    <w:p>
      <w:pPr>
        <w:pStyle w:val="90"/>
        <w:spacing w:line="360" w:lineRule="auto"/>
      </w:pPr>
    </w:p>
    <w:p>
      <w:pPr>
        <w:snapToGrid w:val="0"/>
        <w:spacing w:line="360" w:lineRule="auto"/>
        <w:jc w:val="center"/>
        <w:rPr>
          <w:rFonts w:ascii="宋体" w:hAnsi="宋体" w:cs="宋体"/>
          <w:color w:val="000000"/>
          <w:sz w:val="72"/>
          <w:szCs w:val="72"/>
        </w:rPr>
      </w:pP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ascii="宋体" w:hAnsi="宋体" w:cs="宋体"/>
          <w:color w:val="000000"/>
          <w:sz w:val="36"/>
          <w:szCs w:val="36"/>
        </w:rPr>
      </w:pPr>
      <w:r>
        <w:rPr>
          <w:rFonts w:hint="eastAsia" w:ascii="宋体" w:hAnsi="宋体" w:cs="宋体"/>
          <w:color w:val="000000"/>
          <w:sz w:val="72"/>
          <w:szCs w:val="72"/>
        </w:rPr>
        <w:t>件</w:t>
      </w:r>
    </w:p>
    <w:p>
      <w:pPr>
        <w:pStyle w:val="90"/>
        <w:spacing w:line="360" w:lineRule="auto"/>
      </w:pPr>
    </w:p>
    <w:p>
      <w:pPr>
        <w:pStyle w:val="3"/>
        <w:spacing w:line="360" w:lineRule="auto"/>
      </w:pPr>
    </w:p>
    <w:p>
      <w:pPr>
        <w:snapToGrid w:val="0"/>
        <w:spacing w:line="360" w:lineRule="auto"/>
        <w:ind w:firstLine="2160" w:firstLineChars="600"/>
        <w:rPr>
          <w:rFonts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ascii="宋体" w:hAnsi="宋体"/>
          <w:color w:val="000000"/>
        </w:rPr>
      </w:pPr>
      <w:r>
        <w:rPr>
          <w:rFonts w:hint="eastAsia" w:ascii="宋体" w:hAnsi="宋体" w:cs="宋体"/>
          <w:color w:val="000000"/>
          <w:sz w:val="36"/>
          <w:szCs w:val="36"/>
        </w:rPr>
        <w:t>年   月   日</w:t>
      </w:r>
    </w:p>
    <w:p>
      <w:pPr>
        <w:pStyle w:val="5"/>
        <w:snapToGrid w:val="0"/>
        <w:rPr>
          <w:rFonts w:ascii="宋体" w:hAnsi="宋体" w:eastAsia="宋体"/>
          <w:color w:val="000000"/>
        </w:rPr>
        <w:sectPr>
          <w:pgSz w:w="11906" w:h="16838"/>
          <w:pgMar w:top="993" w:right="1474" w:bottom="1134" w:left="1474" w:header="851" w:footer="641" w:gutter="0"/>
          <w:pgNumType w:fmt="decimal"/>
          <w:cols w:space="720" w:num="1"/>
          <w:docGrid w:type="lines" w:linePitch="315" w:charSpace="0"/>
        </w:sectPr>
      </w:pPr>
    </w:p>
    <w:p>
      <w:pPr>
        <w:pStyle w:val="5"/>
        <w:snapToGrid w:val="0"/>
        <w:rPr>
          <w:rFonts w:ascii="宋体" w:hAnsi="宋体" w:eastAsia="宋体"/>
          <w:color w:val="000000"/>
          <w:sz w:val="44"/>
          <w:szCs w:val="44"/>
        </w:rPr>
      </w:pPr>
      <w:bookmarkStart w:id="121" w:name="_Toc12637"/>
      <w:bookmarkStart w:id="122" w:name="_Toc11308"/>
      <w:bookmarkStart w:id="123" w:name="_Toc3123"/>
      <w:r>
        <w:rPr>
          <w:rFonts w:hint="eastAsia" w:ascii="宋体" w:hAnsi="宋体" w:eastAsia="宋体"/>
          <w:color w:val="000000"/>
          <w:sz w:val="44"/>
          <w:szCs w:val="44"/>
        </w:rPr>
        <w:t>资 格 文 件</w:t>
      </w:r>
      <w:bookmarkEnd w:id="121"/>
      <w:bookmarkEnd w:id="122"/>
      <w:bookmarkEnd w:id="123"/>
      <w:r>
        <w:rPr>
          <w:rFonts w:hint="eastAsia" w:ascii="宋体" w:hAnsi="宋体" w:eastAsia="宋体"/>
          <w:color w:val="000000"/>
          <w:sz w:val="44"/>
          <w:szCs w:val="44"/>
        </w:rPr>
        <w:t xml:space="preserve"> </w:t>
      </w:r>
    </w:p>
    <w:p>
      <w:pPr>
        <w:shd w:val="clear" w:color="auto" w:fill="FFFFFF"/>
        <w:snapToGrid w:val="0"/>
        <w:spacing w:line="360" w:lineRule="auto"/>
        <w:jc w:val="center"/>
        <w:rPr>
          <w:rFonts w:ascii="宋体" w:hAnsi="宋体" w:cs="宋体"/>
          <w:b/>
          <w:bCs/>
          <w:color w:val="000000"/>
          <w:kern w:val="0"/>
          <w:sz w:val="24"/>
        </w:rPr>
      </w:pPr>
    </w:p>
    <w:p>
      <w:pPr>
        <w:shd w:val="clear" w:color="auto" w:fill="FFFFFF"/>
        <w:snapToGrid w:val="0"/>
        <w:spacing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 xml:space="preserve"> 目  录</w:t>
      </w:r>
    </w:p>
    <w:p>
      <w:pPr>
        <w:shd w:val="clear" w:color="auto" w:fill="FFFFFF"/>
        <w:snapToGrid w:val="0"/>
        <w:spacing w:line="360" w:lineRule="auto"/>
        <w:rPr>
          <w:rFonts w:ascii="宋体" w:hAnsi="宋体" w:cs="宋体"/>
          <w:color w:val="000000"/>
          <w:kern w:val="0"/>
          <w:sz w:val="24"/>
        </w:rPr>
      </w:pPr>
      <w:bookmarkStart w:id="124" w:name="_Hlk33176655"/>
      <w:r>
        <w:rPr>
          <w:rFonts w:hint="eastAsia" w:ascii="宋体" w:hAnsi="宋体" w:cs="宋体"/>
          <w:color w:val="000000"/>
          <w:kern w:val="0"/>
          <w:sz w:val="24"/>
        </w:rPr>
        <w:t>（1）营业执照…………………………………………………………………………（页码）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（3）具有履行合同所必需的设备和专业技术能力的承诺函……………………（页码）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（4）依法缴纳税收和社会保障资金的</w:t>
      </w:r>
      <w:r>
        <w:rPr>
          <w:rFonts w:hint="eastAsia" w:ascii="宋体" w:hAnsi="宋体" w:cs="宋体"/>
          <w:color w:val="000000"/>
          <w:sz w:val="24"/>
          <w:szCs w:val="21"/>
        </w:rPr>
        <w:t>承诺函</w:t>
      </w:r>
      <w:r>
        <w:rPr>
          <w:rFonts w:hint="eastAsia" w:ascii="宋体" w:hAnsi="宋体" w:cs="宋体"/>
          <w:color w:val="000000"/>
          <w:kern w:val="0"/>
          <w:sz w:val="24"/>
        </w:rPr>
        <w:t>………………………………………（页码）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（7）投标供应商没有失信记录承诺函………………………………………………（页码）</w:t>
      </w:r>
    </w:p>
    <w:bookmarkEnd w:id="124"/>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（8）投标供应商不属于公益一类事业单位承诺函…………………………………（页码）</w:t>
      </w:r>
    </w:p>
    <w:p>
      <w:pPr>
        <w:pStyle w:val="3"/>
      </w:pPr>
    </w:p>
    <w:p>
      <w:pPr>
        <w:widowControl/>
        <w:snapToGrid w:val="0"/>
        <w:spacing w:line="360" w:lineRule="auto"/>
        <w:jc w:val="left"/>
        <w:rPr>
          <w:rFonts w:ascii="宋体" w:hAnsi="宋体" w:cs="宋体"/>
          <w:color w:val="000000"/>
          <w:kern w:val="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pStyle w:val="3"/>
        <w:rPr>
          <w:rFonts w:ascii="宋体" w:hAnsi="宋体" w:cs="宋体"/>
          <w:color w:val="000000"/>
          <w:sz w:val="24"/>
        </w:rPr>
      </w:pPr>
    </w:p>
    <w:p>
      <w:pPr>
        <w:pStyle w:val="3"/>
        <w:rPr>
          <w:rFonts w:ascii="宋体" w:hAnsi="宋体" w:cs="宋体"/>
          <w:color w:val="000000"/>
          <w:sz w:val="24"/>
        </w:rPr>
      </w:pPr>
    </w:p>
    <w:p>
      <w:pPr>
        <w:pStyle w:val="3"/>
        <w:rPr>
          <w:rFonts w:ascii="宋体" w:hAnsi="宋体" w:cs="宋体"/>
          <w:color w:val="000000"/>
          <w:sz w:val="24"/>
        </w:rPr>
      </w:pPr>
    </w:p>
    <w:p>
      <w:pPr>
        <w:pStyle w:val="3"/>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pStyle w:val="5"/>
        <w:numPr>
          <w:ilvl w:val="0"/>
          <w:numId w:val="28"/>
        </w:numPr>
        <w:snapToGrid w:val="0"/>
        <w:rPr>
          <w:rFonts w:ascii="宋体" w:hAnsi="宋体" w:eastAsia="宋体"/>
          <w:color w:val="000000"/>
        </w:rPr>
      </w:pPr>
      <w:bookmarkStart w:id="125" w:name="_Toc21301"/>
      <w:bookmarkStart w:id="126" w:name="_Toc14356"/>
      <w:bookmarkStart w:id="127" w:name="_Toc20141"/>
      <w:bookmarkStart w:id="128" w:name="_Toc5464"/>
      <w:bookmarkStart w:id="129" w:name="_Toc27119252"/>
      <w:bookmarkStart w:id="130" w:name="_Toc14043"/>
      <w:bookmarkStart w:id="131" w:name="_Toc5698"/>
      <w:bookmarkStart w:id="132" w:name="_Toc20581"/>
      <w:bookmarkStart w:id="133" w:name="_Toc26100"/>
      <w:bookmarkStart w:id="134" w:name="_Toc6616"/>
      <w:bookmarkStart w:id="135" w:name="_Toc27479"/>
      <w:bookmarkStart w:id="136" w:name="_Toc33194404"/>
      <w:bookmarkStart w:id="137" w:name="_Toc21670"/>
      <w:bookmarkStart w:id="138" w:name="_Toc9796"/>
      <w:bookmarkStart w:id="139" w:name="_Toc32567"/>
      <w:r>
        <w:rPr>
          <w:rFonts w:hint="eastAsia" w:ascii="宋体" w:hAnsi="宋体" w:eastAsia="宋体"/>
          <w:color w:val="000000"/>
        </w:rPr>
        <w:t>营业执照</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color w:val="000000"/>
        </w:rPr>
        <w:t>（扫描件）</w:t>
      </w:r>
      <w:bookmarkEnd w:id="136"/>
      <w:bookmarkEnd w:id="137"/>
      <w:bookmarkEnd w:id="138"/>
      <w:bookmarkEnd w:id="139"/>
    </w:p>
    <w:p>
      <w:pPr>
        <w:snapToGrid w:val="0"/>
        <w:spacing w:line="360" w:lineRule="auto"/>
        <w:rPr>
          <w:rFonts w:ascii="宋体" w:hAnsi="宋体" w:cs="宋体"/>
          <w:color w:val="000000"/>
        </w:rPr>
      </w:pPr>
    </w:p>
    <w:p>
      <w:pPr>
        <w:snapToGrid w:val="0"/>
        <w:spacing w:line="360" w:lineRule="auto"/>
        <w:rPr>
          <w:rFonts w:ascii="宋体" w:hAnsi="宋体" w:cs="宋体"/>
          <w:color w:val="000000"/>
        </w:rPr>
      </w:pPr>
    </w:p>
    <w:p>
      <w:pPr>
        <w:pStyle w:val="5"/>
        <w:numPr>
          <w:ilvl w:val="0"/>
          <w:numId w:val="28"/>
        </w:numPr>
        <w:snapToGrid w:val="0"/>
        <w:rPr>
          <w:rFonts w:ascii="宋体" w:hAnsi="宋体" w:eastAsia="宋体"/>
          <w:color w:val="000000"/>
        </w:rPr>
      </w:pPr>
      <w:r>
        <w:rPr>
          <w:rFonts w:hint="eastAsia" w:ascii="宋体" w:hAnsi="宋体" w:eastAsia="宋体"/>
          <w:color w:val="000000"/>
        </w:rPr>
        <w:t>最近一年度财务报表（可提供审计报告或资产负责表及利润表，新成立的公司提供情况说明）；</w:t>
      </w:r>
    </w:p>
    <w:p>
      <w:pPr>
        <w:snapToGrid w:val="0"/>
        <w:spacing w:line="360" w:lineRule="auto"/>
        <w:rPr>
          <w:rFonts w:ascii="宋体" w:hAnsi="宋体" w:cs="宋体"/>
          <w:color w:val="000000"/>
        </w:rPr>
      </w:pPr>
    </w:p>
    <w:p>
      <w:pPr>
        <w:snapToGrid w:val="0"/>
        <w:spacing w:line="360" w:lineRule="auto"/>
        <w:rPr>
          <w:rFonts w:ascii="宋体" w:hAnsi="宋体" w:cs="宋体"/>
          <w:color w:val="000000"/>
        </w:rPr>
      </w:pPr>
    </w:p>
    <w:p>
      <w:pPr>
        <w:snapToGrid w:val="0"/>
        <w:spacing w:line="360" w:lineRule="auto"/>
        <w:rPr>
          <w:rFonts w:ascii="宋体" w:hAnsi="宋体" w:cs="宋体"/>
          <w:color w:val="000000"/>
        </w:rPr>
      </w:pPr>
    </w:p>
    <w:p>
      <w:pPr>
        <w:pStyle w:val="5"/>
        <w:numPr>
          <w:ilvl w:val="0"/>
          <w:numId w:val="28"/>
        </w:numPr>
        <w:snapToGrid w:val="0"/>
        <w:rPr>
          <w:rFonts w:ascii="宋体" w:hAnsi="宋体" w:eastAsia="宋体"/>
          <w:color w:val="000000"/>
        </w:rPr>
      </w:pPr>
      <w:bookmarkStart w:id="140" w:name="_Toc26695"/>
      <w:bookmarkStart w:id="141" w:name="_Toc30692"/>
      <w:bookmarkStart w:id="142" w:name="_Toc27119254"/>
      <w:bookmarkStart w:id="143" w:name="_Toc11528"/>
      <w:bookmarkStart w:id="144" w:name="_Toc33194405"/>
      <w:r>
        <w:rPr>
          <w:rFonts w:hint="eastAsia" w:ascii="宋体" w:hAnsi="宋体" w:eastAsia="宋体"/>
          <w:color w:val="000000"/>
        </w:rPr>
        <w:t>具有履行合同所必需的设备和专业技术能力的承诺函</w:t>
      </w:r>
      <w:bookmarkEnd w:id="140"/>
      <w:bookmarkEnd w:id="141"/>
      <w:bookmarkEnd w:id="142"/>
      <w:bookmarkEnd w:id="143"/>
      <w:bookmarkEnd w:id="144"/>
    </w:p>
    <w:p>
      <w:pPr>
        <w:snapToGrid w:val="0"/>
        <w:spacing w:line="360" w:lineRule="auto"/>
        <w:rPr>
          <w:rFonts w:ascii="宋体" w:hAnsi="宋体" w:cs="宋体"/>
          <w:color w:val="000000"/>
        </w:rPr>
      </w:pPr>
    </w:p>
    <w:p>
      <w:pPr>
        <w:snapToGrid w:val="0"/>
        <w:spacing w:line="360" w:lineRule="auto"/>
        <w:rPr>
          <w:rFonts w:ascii="宋体" w:hAnsi="宋体" w:cs="宋体"/>
          <w:color w:val="000000"/>
        </w:rPr>
      </w:pPr>
    </w:p>
    <w:p>
      <w:pPr>
        <w:shd w:val="clear" w:color="auto" w:fill="FFFFFF"/>
        <w:snapToGrid w:val="0"/>
        <w:spacing w:line="360" w:lineRule="auto"/>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承诺具有履行合同所必需的设备和专业技术能力。如有虚假，采购人可取消我方任何资格（投标/中标/签订合同），我方对此无任何异议。</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spacing w:line="360" w:lineRule="auto"/>
        <w:rPr>
          <w:rFonts w:ascii="宋体" w:hAnsi="宋体"/>
        </w:rPr>
      </w:pPr>
    </w:p>
    <w:p>
      <w:pPr>
        <w:pStyle w:val="3"/>
      </w:pPr>
    </w:p>
    <w:p>
      <w:pPr>
        <w:widowControl/>
        <w:snapToGrid w:val="0"/>
        <w:spacing w:line="360" w:lineRule="auto"/>
        <w:jc w:val="left"/>
        <w:rPr>
          <w:rFonts w:ascii="宋体" w:hAnsi="宋体" w:cs="宋体"/>
          <w:color w:val="000000"/>
          <w:kern w:val="0"/>
          <w:szCs w:val="21"/>
        </w:rPr>
      </w:pPr>
    </w:p>
    <w:p>
      <w:pPr>
        <w:pStyle w:val="3"/>
      </w:pPr>
    </w:p>
    <w:p>
      <w:pPr>
        <w:pStyle w:val="3"/>
      </w:pPr>
    </w:p>
    <w:p>
      <w:pPr>
        <w:pStyle w:val="3"/>
      </w:pPr>
    </w:p>
    <w:p>
      <w:pPr>
        <w:pStyle w:val="89"/>
      </w:pPr>
    </w:p>
    <w:p>
      <w:pPr>
        <w:pStyle w:val="3"/>
      </w:pPr>
    </w:p>
    <w:p>
      <w:pPr>
        <w:pStyle w:val="3"/>
      </w:pPr>
    </w:p>
    <w:p>
      <w:pPr>
        <w:pStyle w:val="5"/>
        <w:numPr>
          <w:ilvl w:val="0"/>
          <w:numId w:val="28"/>
        </w:numPr>
        <w:snapToGrid w:val="0"/>
        <w:rPr>
          <w:rFonts w:ascii="宋体" w:hAnsi="宋体" w:eastAsia="宋体"/>
          <w:color w:val="000000"/>
        </w:rPr>
      </w:pPr>
      <w:r>
        <w:rPr>
          <w:rFonts w:hint="eastAsia" w:ascii="宋体" w:hAnsi="宋体" w:eastAsia="宋体"/>
          <w:color w:val="000000"/>
        </w:rPr>
        <w:t>依法缴纳税收和社会保障资金的承诺函</w:t>
      </w:r>
    </w:p>
    <w:p>
      <w:pPr>
        <w:spacing w:line="360" w:lineRule="auto"/>
        <w:rPr>
          <w:rFonts w:ascii="宋体" w:hAnsi="宋体" w:cs="Arial"/>
          <w:b/>
          <w:color w:val="000000"/>
          <w:kern w:val="0"/>
          <w:sz w:val="24"/>
          <w:szCs w:val="28"/>
          <w:u w:val="single"/>
        </w:rPr>
      </w:pPr>
    </w:p>
    <w:p>
      <w:pPr>
        <w:shd w:val="clear" w:color="auto" w:fill="FFFFFF"/>
        <w:snapToGrid w:val="0"/>
        <w:spacing w:line="360" w:lineRule="auto"/>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kern w:val="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color w:val="000000"/>
          <w:kern w:val="0"/>
          <w:sz w:val="24"/>
        </w:rPr>
      </w:pP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特此承诺！</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法定代表或授权代表人（盖章或签字）：</w:t>
      </w:r>
    </w:p>
    <w:p>
      <w:pPr>
        <w:pStyle w:val="90"/>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ascii="宋体" w:hAnsi="宋体" w:cs="宋体"/>
          <w:color w:val="000000"/>
          <w:kern w:val="0"/>
          <w:sz w:val="24"/>
        </w:rPr>
      </w:pPr>
    </w:p>
    <w:p>
      <w:pPr>
        <w:pStyle w:val="5"/>
        <w:numPr>
          <w:ilvl w:val="0"/>
          <w:numId w:val="28"/>
        </w:numPr>
        <w:snapToGrid w:val="0"/>
        <w:rPr>
          <w:rFonts w:ascii="宋体" w:hAnsi="宋体" w:eastAsia="宋体"/>
          <w:color w:val="000000"/>
        </w:rPr>
      </w:pPr>
      <w:bookmarkStart w:id="145" w:name="_Toc33194406"/>
      <w:bookmarkStart w:id="146" w:name="_Toc31784"/>
      <w:bookmarkStart w:id="147" w:name="_Toc11360"/>
      <w:bookmarkStart w:id="148" w:name="_Toc32123"/>
      <w:bookmarkStart w:id="149" w:name="_Toc23600"/>
      <w:bookmarkStart w:id="150" w:name="_Toc14988"/>
      <w:bookmarkStart w:id="151" w:name="_Toc23072"/>
      <w:bookmarkStart w:id="152" w:name="_Toc6606"/>
      <w:bookmarkStart w:id="153" w:name="_Toc28957"/>
      <w:bookmarkStart w:id="154" w:name="_Toc10630"/>
      <w:bookmarkStart w:id="155" w:name="_Toc31544"/>
      <w:bookmarkStart w:id="156" w:name="_Toc27119255"/>
      <w:bookmarkStart w:id="157" w:name="_Toc14589"/>
      <w:bookmarkStart w:id="158" w:name="_Toc13669"/>
      <w:bookmarkStart w:id="159" w:name="_Toc18304"/>
      <w:r>
        <w:rPr>
          <w:rFonts w:hint="eastAsia" w:ascii="宋体" w:hAnsi="宋体" w:eastAsia="宋体"/>
          <w:color w:val="000000"/>
        </w:rPr>
        <w:t>参加政府采购活动前3年内在经营活动中没有重大违法记录的声明函</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hd w:val="clear" w:color="auto" w:fill="FFFFFF"/>
        <w:snapToGrid w:val="0"/>
        <w:spacing w:line="360" w:lineRule="auto"/>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
      <w:pPr>
        <w:pStyle w:val="5"/>
        <w:numPr>
          <w:ilvl w:val="0"/>
          <w:numId w:val="28"/>
        </w:numPr>
        <w:snapToGrid w:val="0"/>
        <w:rPr>
          <w:rFonts w:ascii="宋体" w:hAnsi="宋体" w:eastAsia="宋体"/>
          <w:color w:val="000000"/>
        </w:rPr>
      </w:pPr>
      <w:r>
        <w:rPr>
          <w:rFonts w:hint="eastAsia" w:ascii="宋体" w:hAnsi="宋体" w:eastAsia="宋体"/>
          <w:color w:val="000000"/>
        </w:rPr>
        <w:t>与参加本次项目同一合同项下政府采购活动的其他供应商不存在单位负责人为同一人或者直接控股、管理关系的承诺函</w:t>
      </w:r>
    </w:p>
    <w:p>
      <w:pPr>
        <w:pStyle w:val="2"/>
        <w:spacing w:line="360" w:lineRule="auto"/>
      </w:pPr>
    </w:p>
    <w:p>
      <w:pPr>
        <w:shd w:val="clear" w:color="auto" w:fill="FFFFFF"/>
        <w:snapToGrid w:val="0"/>
        <w:spacing w:line="360" w:lineRule="auto"/>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kern w:val="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我方郑重承诺，我方此次参加</w:t>
      </w:r>
      <w:r>
        <w:rPr>
          <w:rFonts w:hint="eastAsia" w:ascii="宋体" w:hAnsi="宋体" w:cs="Arial"/>
          <w:color w:val="000000"/>
          <w:kern w:val="0"/>
          <w:sz w:val="24"/>
          <w:u w:val="single"/>
        </w:rPr>
        <w:t xml:space="preserve">                    </w:t>
      </w:r>
      <w:r>
        <w:rPr>
          <w:rFonts w:hint="eastAsia" w:ascii="宋体" w:hAnsi="宋体" w:cs="Arial"/>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ascii="宋体" w:hAnsi="宋体" w:cs="宋体"/>
          <w:b/>
          <w:color w:val="000000"/>
          <w:kern w:val="36"/>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投标人名称（盖章） ：</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法定代表或授权代表人（盖章或签字）：</w:t>
      </w:r>
    </w:p>
    <w:p>
      <w:pPr>
        <w:pStyle w:val="90"/>
      </w:pP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rPr>
          <w:rFonts w:ascii="宋体" w:hAnsi="宋体" w:cs="宋体"/>
          <w:color w:val="000000"/>
          <w:sz w:val="24"/>
        </w:rPr>
      </w:pPr>
    </w:p>
    <w:p>
      <w:pPr>
        <w:pStyle w:val="5"/>
        <w:numPr>
          <w:ilvl w:val="0"/>
          <w:numId w:val="28"/>
        </w:numPr>
        <w:snapToGrid w:val="0"/>
        <w:rPr>
          <w:rFonts w:ascii="宋体" w:hAnsi="宋体" w:eastAsia="宋体"/>
          <w:color w:val="000000"/>
        </w:rPr>
      </w:pPr>
      <w:r>
        <w:rPr>
          <w:rFonts w:hint="eastAsia" w:ascii="宋体" w:hAnsi="宋体" w:eastAsia="宋体"/>
          <w:color w:val="000000"/>
        </w:rPr>
        <w:t>投标供应商没有失信记录承诺函</w:t>
      </w:r>
    </w:p>
    <w:p>
      <w:pPr>
        <w:pStyle w:val="2"/>
        <w:spacing w:line="360" w:lineRule="auto"/>
        <w:ind w:left="840" w:leftChars="400" w:firstLine="0" w:firstLineChars="0"/>
      </w:pPr>
    </w:p>
    <w:p>
      <w:pPr>
        <w:shd w:val="clear" w:color="auto" w:fill="FFFFFF"/>
        <w:snapToGrid w:val="0"/>
        <w:spacing w:line="360" w:lineRule="auto"/>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kern w:val="0"/>
          <w:sz w:val="24"/>
        </w:rPr>
        <w:t>：</w:t>
      </w:r>
    </w:p>
    <w:p>
      <w:pPr>
        <w:spacing w:line="360" w:lineRule="auto"/>
        <w:ind w:firstLine="484" w:firstLineChars="202"/>
        <w:jc w:val="left"/>
        <w:rPr>
          <w:rFonts w:ascii="宋体" w:hAnsi="宋体" w:cs="Arial"/>
          <w:color w:val="000000"/>
          <w:kern w:val="0"/>
          <w:sz w:val="24"/>
        </w:rPr>
      </w:pPr>
      <w:r>
        <w:rPr>
          <w:rFonts w:hint="eastAsia" w:ascii="宋体" w:hAnsi="宋体" w:cs="Arial"/>
          <w:color w:val="000000"/>
          <w:kern w:val="0"/>
          <w:sz w:val="24"/>
        </w:rPr>
        <w:t>我公司郑重承诺：到本项目投标截止时间为止，我公司未被</w:t>
      </w:r>
      <w:r>
        <w:rPr>
          <w:rFonts w:ascii="宋体" w:hAnsi="宋体" w:cs="Arial"/>
          <w:color w:val="000000"/>
          <w:kern w:val="0"/>
          <w:sz w:val="24"/>
        </w:rPr>
        <w:t>“信用中国”</w:t>
      </w:r>
      <w:r>
        <w:rPr>
          <w:rFonts w:hint="eastAsia" w:ascii="宋体" w:hAnsi="宋体" w:cs="Arial"/>
          <w:color w:val="000000"/>
          <w:kern w:val="0"/>
          <w:sz w:val="24"/>
        </w:rPr>
        <w:t>（</w:t>
      </w:r>
      <w:r>
        <w:rPr>
          <w:rFonts w:ascii="宋体" w:hAnsi="宋体" w:cs="Arial"/>
          <w:color w:val="000000"/>
          <w:kern w:val="0"/>
          <w:sz w:val="24"/>
        </w:rPr>
        <w:t>www.creditchina.gov.cn</w:t>
      </w:r>
      <w:r>
        <w:rPr>
          <w:rFonts w:hint="eastAsia" w:ascii="宋体" w:hAnsi="宋体" w:cs="Arial"/>
          <w:color w:val="000000"/>
          <w:kern w:val="0"/>
          <w:sz w:val="24"/>
        </w:rPr>
        <w:t>）、</w:t>
      </w:r>
      <w:r>
        <w:rPr>
          <w:rFonts w:ascii="宋体" w:hAnsi="宋体" w:cs="Arial"/>
          <w:color w:val="000000"/>
          <w:kern w:val="0"/>
          <w:sz w:val="24"/>
        </w:rPr>
        <w:t>中国政府采购网</w:t>
      </w:r>
      <w:r>
        <w:rPr>
          <w:rFonts w:hint="eastAsia" w:ascii="宋体" w:hAnsi="宋体" w:cs="Arial"/>
          <w:color w:val="000000"/>
          <w:kern w:val="0"/>
          <w:sz w:val="24"/>
        </w:rPr>
        <w:t>（</w:t>
      </w:r>
      <w:r>
        <w:rPr>
          <w:rFonts w:ascii="宋体" w:hAnsi="宋体" w:cs="Arial"/>
          <w:color w:val="000000"/>
          <w:kern w:val="0"/>
          <w:sz w:val="24"/>
        </w:rPr>
        <w:t>www.ccgp.gov.cn</w:t>
      </w:r>
      <w:r>
        <w:rPr>
          <w:rFonts w:hint="eastAsia" w:ascii="宋体" w:hAnsi="宋体" w:cs="Arial"/>
          <w:color w:val="000000"/>
          <w:kern w:val="0"/>
          <w:sz w:val="24"/>
        </w:rPr>
        <w:t>）</w:t>
      </w:r>
      <w:r>
        <w:rPr>
          <w:rFonts w:ascii="宋体" w:hAnsi="宋体" w:cs="Arial"/>
          <w:color w:val="000000"/>
          <w:kern w:val="0"/>
          <w:sz w:val="24"/>
        </w:rPr>
        <w:t>列入失信被执行人</w:t>
      </w:r>
      <w:r>
        <w:rPr>
          <w:rFonts w:hint="eastAsia" w:ascii="宋体" w:hAnsi="宋体" w:cs="Arial"/>
          <w:color w:val="000000"/>
          <w:kern w:val="0"/>
          <w:sz w:val="24"/>
        </w:rPr>
        <w:t>名单</w:t>
      </w:r>
      <w:r>
        <w:rPr>
          <w:rFonts w:ascii="宋体" w:hAnsi="宋体" w:cs="Arial"/>
          <w:color w:val="000000"/>
          <w:kern w:val="0"/>
          <w:sz w:val="24"/>
        </w:rPr>
        <w:t>、重大税收违法案件当事人名单、政府采购严重违法失信行为记录名单</w:t>
      </w:r>
      <w:r>
        <w:rPr>
          <w:rFonts w:hint="eastAsia" w:ascii="宋体" w:hAnsi="宋体" w:cs="Arial"/>
          <w:color w:val="000000"/>
          <w:kern w:val="0"/>
          <w:sz w:val="24"/>
        </w:rPr>
        <w:t>。如有隐瞒，愿承担一切责任。</w:t>
      </w:r>
    </w:p>
    <w:p>
      <w:pPr>
        <w:shd w:val="clear" w:color="auto" w:fill="FFFFFF"/>
        <w:snapToGrid w:val="0"/>
        <w:spacing w:line="360" w:lineRule="auto"/>
        <w:rPr>
          <w:rFonts w:ascii="宋体" w:hAnsi="宋体" w:cs="宋体"/>
          <w:color w:val="00000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pStyle w:val="2"/>
      </w:pPr>
    </w:p>
    <w:p>
      <w:pPr>
        <w:pStyle w:val="2"/>
      </w:pPr>
    </w:p>
    <w:p>
      <w:pPr>
        <w:pStyle w:val="2"/>
      </w:pPr>
    </w:p>
    <w:p>
      <w:pPr>
        <w:pStyle w:val="2"/>
      </w:pPr>
    </w:p>
    <w:p>
      <w:pPr>
        <w:shd w:val="clear" w:color="auto" w:fill="FFFFFF"/>
        <w:snapToGrid w:val="0"/>
        <w:spacing w:line="360" w:lineRule="auto"/>
        <w:ind w:left="840" w:leftChars="400"/>
        <w:rPr>
          <w:rFonts w:ascii="宋体" w:hAnsi="宋体" w:cs="宋体"/>
          <w:b/>
          <w:color w:val="000000"/>
          <w:spacing w:val="-6"/>
          <w:kern w:val="0"/>
          <w:sz w:val="32"/>
          <w:szCs w:val="32"/>
        </w:rPr>
      </w:pPr>
      <w:bookmarkStart w:id="160" w:name="_Toc3781"/>
      <w:bookmarkStart w:id="161" w:name="_Toc354996707"/>
      <w:bookmarkStart w:id="162" w:name="_Toc233618989"/>
      <w:r>
        <w:rPr>
          <w:rFonts w:hint="eastAsia" w:ascii="宋体" w:hAnsi="宋体" w:cs="Arial"/>
          <w:b/>
          <w:color w:val="000000"/>
          <w:kern w:val="0"/>
          <w:sz w:val="32"/>
          <w:szCs w:val="32"/>
        </w:rPr>
        <w:t>八、投标供应商</w:t>
      </w:r>
      <w:r>
        <w:rPr>
          <w:rFonts w:hint="eastAsia" w:ascii="宋体" w:hAnsi="宋体" w:cs="宋体"/>
          <w:b/>
          <w:color w:val="000000"/>
          <w:sz w:val="32"/>
          <w:szCs w:val="32"/>
        </w:rPr>
        <w:t>不属于</w:t>
      </w:r>
      <w:r>
        <w:rPr>
          <w:rFonts w:hint="eastAsia" w:ascii="宋体" w:hAnsi="宋体" w:cs="宋体"/>
          <w:b/>
          <w:color w:val="000000"/>
          <w:spacing w:val="-6"/>
          <w:kern w:val="0"/>
          <w:sz w:val="32"/>
          <w:szCs w:val="32"/>
        </w:rPr>
        <w:t>公益一类事业单位承诺函</w:t>
      </w:r>
    </w:p>
    <w:p>
      <w:pPr>
        <w:pStyle w:val="2"/>
        <w:ind w:left="840" w:leftChars="400" w:firstLine="0" w:firstLineChars="0"/>
      </w:pPr>
    </w:p>
    <w:p>
      <w:pPr>
        <w:shd w:val="clear" w:color="auto" w:fill="FFFFFF"/>
        <w:snapToGrid w:val="0"/>
        <w:spacing w:line="360" w:lineRule="auto"/>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kern w:val="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我方郑重承诺，我单位不属于</w:t>
      </w:r>
      <w:r>
        <w:rPr>
          <w:rFonts w:hint="eastAsia" w:ascii="宋体" w:hAnsi="宋体" w:cs="宋体"/>
          <w:color w:val="000000"/>
          <w:spacing w:val="-6"/>
          <w:kern w:val="0"/>
          <w:sz w:val="24"/>
        </w:rPr>
        <w:t>公益一类事业单位，可承接</w:t>
      </w:r>
      <w:r>
        <w:rPr>
          <w:rFonts w:hint="eastAsia" w:ascii="宋体" w:hAnsi="宋体" w:cs="宋体"/>
          <w:color w:val="000000"/>
          <w:kern w:val="0"/>
          <w:sz w:val="24"/>
          <w:u w:val="single"/>
        </w:rPr>
        <w:t xml:space="preserve">                 （项目名称）</w:t>
      </w:r>
      <w:r>
        <w:rPr>
          <w:rFonts w:hint="eastAsia" w:ascii="宋体" w:hAnsi="宋体" w:cs="Arial"/>
          <w:color w:val="000000"/>
          <w:kern w:val="0"/>
          <w:sz w:val="24"/>
        </w:rPr>
        <w:t>的相关服务内容。如有虚假或隐瞒，愿意承担一切后果。</w:t>
      </w:r>
    </w:p>
    <w:p>
      <w:pPr>
        <w:shd w:val="clear" w:color="auto" w:fill="FFFFFF"/>
        <w:snapToGrid w:val="0"/>
        <w:spacing w:line="360" w:lineRule="auto"/>
        <w:jc w:val="center"/>
        <w:rPr>
          <w:rFonts w:ascii="宋体" w:hAnsi="宋体" w:cs="宋体"/>
          <w:b/>
          <w:color w:val="000000"/>
          <w:kern w:val="36"/>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投标人名称（盖章） ：</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法定代表或授权代表人（盖章或签字）：</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pStyle w:val="5"/>
        <w:snapToGrid w:val="0"/>
        <w:jc w:val="both"/>
        <w:rPr>
          <w:rFonts w:ascii="宋体" w:hAnsi="宋体"/>
          <w:b w:val="0"/>
          <w:color w:val="000000"/>
          <w:szCs w:val="32"/>
        </w:rPr>
      </w:pPr>
      <w:r>
        <w:rPr>
          <w:rFonts w:hint="eastAsia" w:ascii="宋体" w:hAnsi="宋体"/>
          <w:b w:val="0"/>
          <w:color w:val="000000"/>
          <w:szCs w:val="32"/>
        </w:rPr>
        <w:br w:type="page"/>
      </w:r>
    </w:p>
    <w:p>
      <w:pPr>
        <w:shd w:val="clear" w:color="auto" w:fill="FFFFFF"/>
        <w:snapToGrid w:val="0"/>
        <w:spacing w:line="360" w:lineRule="auto"/>
        <w:jc w:val="center"/>
        <w:outlineLvl w:val="0"/>
        <w:rPr>
          <w:rFonts w:ascii="宋体" w:hAnsi="宋体" w:cs="宋体"/>
          <w:b/>
          <w:bCs/>
          <w:color w:val="000000"/>
          <w:sz w:val="44"/>
          <w:szCs w:val="44"/>
        </w:rPr>
      </w:pPr>
      <w:r>
        <w:rPr>
          <w:rFonts w:hint="eastAsia" w:ascii="宋体" w:hAnsi="宋体" w:cs="宋体"/>
          <w:b/>
          <w:bCs/>
          <w:color w:val="000000"/>
          <w:sz w:val="44"/>
          <w:szCs w:val="44"/>
        </w:rPr>
        <w:t xml:space="preserve"> 项目名称：</w:t>
      </w:r>
      <w:bookmarkEnd w:id="160"/>
    </w:p>
    <w:p>
      <w:pPr>
        <w:shd w:val="clear" w:color="auto" w:fill="FFFFFF"/>
        <w:snapToGrid w:val="0"/>
        <w:spacing w:line="360" w:lineRule="auto"/>
        <w:jc w:val="center"/>
        <w:outlineLvl w:val="0"/>
        <w:rPr>
          <w:rFonts w:ascii="宋体" w:hAnsi="宋体" w:cs="宋体"/>
          <w:b/>
          <w:bCs/>
          <w:color w:val="000000"/>
          <w:sz w:val="44"/>
          <w:szCs w:val="44"/>
        </w:rPr>
      </w:pPr>
      <w:bookmarkStart w:id="163" w:name="_Toc105"/>
      <w:r>
        <w:rPr>
          <w:rFonts w:hint="eastAsia" w:ascii="宋体" w:hAnsi="宋体" w:cs="宋体"/>
          <w:b/>
          <w:bCs/>
          <w:color w:val="000000"/>
          <w:sz w:val="44"/>
          <w:szCs w:val="44"/>
        </w:rPr>
        <w:t>报 价 文 件（封面）</w:t>
      </w:r>
      <w:bookmarkEnd w:id="163"/>
    </w:p>
    <w:p>
      <w:pPr>
        <w:widowControl/>
        <w:spacing w:line="360" w:lineRule="auto"/>
        <w:ind w:right="-2"/>
        <w:jc w:val="center"/>
        <w:outlineLvl w:val="1"/>
        <w:rPr>
          <w:rFonts w:ascii="宋体" w:hAnsi="宋体"/>
          <w:b/>
          <w:color w:val="000000"/>
          <w:sz w:val="36"/>
          <w:szCs w:val="36"/>
        </w:rPr>
      </w:pPr>
      <w:bookmarkStart w:id="164" w:name="_Toc22501"/>
      <w:r>
        <w:rPr>
          <w:rFonts w:hint="eastAsia" w:ascii="宋体" w:hAnsi="宋体"/>
          <w:b/>
          <w:color w:val="000000"/>
          <w:sz w:val="36"/>
          <w:szCs w:val="36"/>
        </w:rPr>
        <w:t>（线上电子招投标）</w:t>
      </w:r>
      <w:bookmarkEnd w:id="164"/>
    </w:p>
    <w:p>
      <w:pPr>
        <w:pStyle w:val="90"/>
        <w:spacing w:line="360" w:lineRule="auto"/>
        <w:rPr>
          <w:sz w:val="36"/>
          <w:szCs w:val="36"/>
        </w:rPr>
      </w:pPr>
    </w:p>
    <w:p>
      <w:pPr>
        <w:shd w:val="clear" w:color="auto" w:fill="FFFFFF"/>
        <w:snapToGrid w:val="0"/>
        <w:spacing w:line="360" w:lineRule="auto"/>
        <w:jc w:val="center"/>
        <w:outlineLvl w:val="1"/>
        <w:rPr>
          <w:rFonts w:ascii="宋体" w:hAnsi="宋体" w:cs="宋体"/>
          <w:b/>
          <w:bCs/>
          <w:color w:val="000000"/>
          <w:sz w:val="36"/>
          <w:szCs w:val="36"/>
        </w:rPr>
      </w:pPr>
      <w:bookmarkStart w:id="165" w:name="_Toc13670"/>
      <w:r>
        <w:rPr>
          <w:rFonts w:hint="eastAsia" w:ascii="宋体" w:hAnsi="宋体" w:cs="宋体"/>
          <w:b/>
          <w:bCs/>
          <w:color w:val="000000"/>
          <w:sz w:val="36"/>
          <w:szCs w:val="36"/>
        </w:rPr>
        <w:t xml:space="preserve"> </w:t>
      </w:r>
      <w:r>
        <w:rPr>
          <w:rFonts w:ascii="宋体" w:hAnsi="宋体" w:cs="宋体"/>
          <w:b/>
          <w:bCs/>
          <w:color w:val="000000"/>
          <w:sz w:val="36"/>
          <w:szCs w:val="36"/>
        </w:rPr>
        <w:t xml:space="preserve"> </w:t>
      </w:r>
      <w:r>
        <w:rPr>
          <w:rFonts w:hint="eastAsia" w:ascii="宋体" w:hAnsi="宋体" w:cs="宋体"/>
          <w:b/>
          <w:bCs/>
          <w:color w:val="000000"/>
          <w:sz w:val="36"/>
          <w:szCs w:val="36"/>
        </w:rPr>
        <w:t>招标编号：</w:t>
      </w:r>
      <w:bookmarkEnd w:id="165"/>
      <w:r>
        <w:rPr>
          <w:rFonts w:hint="eastAsia" w:ascii="宋体" w:hAnsi="宋体" w:cs="宋体"/>
          <w:b/>
          <w:bCs/>
          <w:color w:val="000000"/>
          <w:sz w:val="36"/>
          <w:szCs w:val="36"/>
          <w:lang w:val="en-US" w:eastAsia="zh-CN"/>
        </w:rPr>
        <w:t>ZJWH-2020-015</w:t>
      </w:r>
    </w:p>
    <w:p>
      <w:pPr>
        <w:pStyle w:val="90"/>
        <w:spacing w:line="360" w:lineRule="auto"/>
      </w:pPr>
    </w:p>
    <w:p>
      <w:pPr>
        <w:snapToGrid w:val="0"/>
        <w:spacing w:line="360" w:lineRule="auto"/>
        <w:jc w:val="center"/>
        <w:rPr>
          <w:rFonts w:ascii="宋体" w:hAnsi="宋体" w:cs="宋体"/>
          <w:color w:val="000000"/>
          <w:sz w:val="72"/>
          <w:szCs w:val="72"/>
        </w:rPr>
      </w:pP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ascii="宋体" w:hAnsi="宋体" w:cs="宋体"/>
          <w:color w:val="000000"/>
          <w:sz w:val="36"/>
          <w:szCs w:val="36"/>
        </w:rPr>
      </w:pPr>
      <w:r>
        <w:rPr>
          <w:rFonts w:hint="eastAsia" w:ascii="宋体" w:hAnsi="宋体" w:cs="宋体"/>
          <w:color w:val="000000"/>
          <w:sz w:val="72"/>
          <w:szCs w:val="72"/>
        </w:rPr>
        <w:t>件</w:t>
      </w:r>
    </w:p>
    <w:p>
      <w:pPr>
        <w:pStyle w:val="90"/>
        <w:spacing w:line="360" w:lineRule="auto"/>
      </w:pPr>
    </w:p>
    <w:p>
      <w:pPr>
        <w:pStyle w:val="3"/>
        <w:spacing w:line="360" w:lineRule="auto"/>
      </w:pPr>
    </w:p>
    <w:p>
      <w:pPr>
        <w:snapToGrid w:val="0"/>
        <w:spacing w:line="360" w:lineRule="auto"/>
        <w:ind w:firstLine="2160" w:firstLineChars="600"/>
        <w:rPr>
          <w:rFonts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ascii="Times New Roman" w:hAnsi="Times New Roman"/>
          <w:b/>
          <w:bCs/>
          <w:color w:val="000000"/>
          <w:kern w:val="0"/>
          <w:sz w:val="32"/>
          <w:szCs w:val="32"/>
        </w:rPr>
      </w:pPr>
      <w:r>
        <w:rPr>
          <w:rFonts w:hint="eastAsia" w:ascii="宋体" w:hAnsi="宋体" w:cs="宋体"/>
          <w:color w:val="000000"/>
          <w:sz w:val="36"/>
          <w:szCs w:val="36"/>
        </w:rPr>
        <w:t>年   月   日</w:t>
      </w:r>
    </w:p>
    <w:p>
      <w:pPr>
        <w:pageBreakBefore/>
        <w:shd w:val="clear" w:color="auto" w:fill="FFFFFF"/>
        <w:snapToGrid w:val="0"/>
        <w:spacing w:line="360" w:lineRule="auto"/>
        <w:jc w:val="center"/>
        <w:rPr>
          <w:rFonts w:ascii="宋体" w:hAnsi="宋体" w:cs="宋体"/>
          <w:b/>
          <w:bCs/>
          <w:color w:val="000000"/>
          <w:kern w:val="0"/>
          <w:sz w:val="32"/>
          <w:szCs w:val="32"/>
        </w:rPr>
        <w:sectPr>
          <w:pgSz w:w="11906" w:h="16838"/>
          <w:pgMar w:top="993" w:right="1474" w:bottom="1134" w:left="1474" w:header="851" w:footer="641" w:gutter="0"/>
          <w:pgNumType w:fmt="decimal"/>
          <w:cols w:space="720" w:num="1"/>
          <w:docGrid w:type="lines" w:linePitch="315" w:charSpace="0"/>
        </w:sectPr>
      </w:pPr>
    </w:p>
    <w:p>
      <w:pPr>
        <w:pageBreakBefore/>
        <w:shd w:val="clear" w:color="auto" w:fill="FFFFFF"/>
        <w:snapToGrid w:val="0"/>
        <w:spacing w:line="360" w:lineRule="auto"/>
        <w:jc w:val="center"/>
        <w:outlineLvl w:val="1"/>
        <w:rPr>
          <w:rFonts w:ascii="宋体" w:hAnsi="宋体" w:cs="宋体"/>
          <w:b/>
          <w:bCs/>
          <w:color w:val="000000"/>
          <w:kern w:val="0"/>
          <w:sz w:val="36"/>
          <w:szCs w:val="36"/>
        </w:rPr>
      </w:pPr>
      <w:bookmarkStart w:id="166" w:name="_Toc30064"/>
      <w:bookmarkStart w:id="167" w:name="_Toc3540"/>
      <w:bookmarkStart w:id="168" w:name="_Toc15962"/>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报 价 文 件</w:t>
      </w:r>
      <w:bookmarkEnd w:id="161"/>
      <w:bookmarkEnd w:id="166"/>
      <w:bookmarkEnd w:id="167"/>
      <w:bookmarkEnd w:id="168"/>
    </w:p>
    <w:p>
      <w:pPr>
        <w:shd w:val="clear" w:color="auto" w:fill="FFFFFF"/>
        <w:snapToGrid w:val="0"/>
        <w:spacing w:line="360" w:lineRule="auto"/>
        <w:jc w:val="center"/>
        <w:outlineLvl w:val="1"/>
        <w:rPr>
          <w:rFonts w:ascii="宋体" w:hAnsi="宋体" w:cs="宋体"/>
          <w:b/>
          <w:bCs/>
          <w:color w:val="000000"/>
          <w:kern w:val="0"/>
          <w:sz w:val="32"/>
          <w:szCs w:val="32"/>
        </w:rPr>
      </w:pPr>
      <w:bookmarkStart w:id="169" w:name="_Toc24156"/>
      <w:r>
        <w:rPr>
          <w:rFonts w:hint="eastAsia" w:ascii="宋体" w:hAnsi="宋体" w:cs="宋体"/>
          <w:b/>
          <w:bCs/>
          <w:color w:val="000000"/>
          <w:kern w:val="0"/>
          <w:sz w:val="32"/>
          <w:szCs w:val="32"/>
        </w:rPr>
        <w:t xml:space="preserve"> </w:t>
      </w:r>
      <w:r>
        <w:rPr>
          <w:rFonts w:ascii="宋体" w:hAnsi="宋体" w:cs="宋体"/>
          <w:b/>
          <w:bCs/>
          <w:color w:val="000000"/>
          <w:kern w:val="0"/>
          <w:sz w:val="32"/>
          <w:szCs w:val="32"/>
        </w:rPr>
        <w:t xml:space="preserve"> </w:t>
      </w:r>
      <w:r>
        <w:rPr>
          <w:rFonts w:hint="eastAsia" w:ascii="宋体" w:hAnsi="宋体" w:cs="宋体"/>
          <w:b/>
          <w:bCs/>
          <w:color w:val="000000"/>
          <w:kern w:val="0"/>
          <w:sz w:val="32"/>
          <w:szCs w:val="32"/>
        </w:rPr>
        <w:t>目 录</w:t>
      </w:r>
      <w:bookmarkEnd w:id="169"/>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3）报价明细清单………………………………………………………………（页码）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（4）中小企业声明函、监狱企业、残疾人福利性单位及其他相关的充分的证明材料…………………………………………………………………………………（页码）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（5）http://xwqy.gsxt.gov.cn/小微企业名录网页截图………………… （页码）</w:t>
      </w:r>
    </w:p>
    <w:p>
      <w:pPr>
        <w:pStyle w:val="90"/>
      </w:pPr>
    </w:p>
    <w:p>
      <w:pPr>
        <w:pStyle w:val="90"/>
        <w:rPr>
          <w:rFonts w:cs="宋体"/>
          <w:color w:val="000000"/>
        </w:rPr>
      </w:pPr>
    </w:p>
    <w:p>
      <w:pPr>
        <w:pStyle w:val="90"/>
        <w:rPr>
          <w:rFonts w:cs="宋体"/>
          <w:color w:val="000000"/>
        </w:rPr>
      </w:pPr>
    </w:p>
    <w:p>
      <w:pPr>
        <w:pStyle w:val="90"/>
      </w:pPr>
    </w:p>
    <w:p>
      <w:pPr>
        <w:pageBreakBefore/>
        <w:shd w:val="clear" w:color="auto" w:fill="FFFFFF"/>
        <w:snapToGrid w:val="0"/>
        <w:spacing w:line="360" w:lineRule="auto"/>
        <w:ind w:firstLine="643" w:firstLineChars="200"/>
        <w:jc w:val="center"/>
        <w:outlineLvl w:val="1"/>
        <w:rPr>
          <w:rFonts w:ascii="宋体" w:hAnsi="宋体" w:cs="宋体"/>
          <w:b/>
          <w:bCs/>
          <w:color w:val="000000"/>
          <w:sz w:val="32"/>
          <w:szCs w:val="32"/>
        </w:rPr>
      </w:pPr>
      <w:bookmarkStart w:id="170" w:name="_Toc20589"/>
      <w:bookmarkStart w:id="171" w:name="_Toc233618990"/>
      <w:r>
        <w:rPr>
          <w:rFonts w:hint="eastAsia" w:ascii="宋体" w:hAnsi="宋体" w:cs="宋体"/>
          <w:b/>
          <w:bCs/>
          <w:color w:val="000000"/>
          <w:sz w:val="32"/>
          <w:szCs w:val="32"/>
        </w:rPr>
        <w:t>一、投标响应函</w:t>
      </w:r>
      <w:bookmarkEnd w:id="170"/>
      <w:bookmarkEnd w:id="171"/>
    </w:p>
    <w:p>
      <w:pPr>
        <w:pStyle w:val="2"/>
        <w:spacing w:line="360" w:lineRule="auto"/>
      </w:pPr>
    </w:p>
    <w:p>
      <w:pPr>
        <w:shd w:val="clear" w:color="auto" w:fill="FFFFFF"/>
        <w:snapToGrid w:val="0"/>
        <w:spacing w:line="360" w:lineRule="auto"/>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sz w:val="24"/>
        </w:rPr>
        <w:t>：</w:t>
      </w:r>
    </w:p>
    <w:p>
      <w:pPr>
        <w:shd w:val="clear" w:color="auto" w:fill="FFFFFF"/>
        <w:snapToGrid w:val="0"/>
        <w:spacing w:line="360" w:lineRule="auto"/>
        <w:rPr>
          <w:rFonts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olor w:val="000000"/>
          <w:sz w:val="24"/>
          <w:u w:val="single"/>
        </w:rPr>
        <w:t xml:space="preserve">         （项目名称）     </w:t>
      </w:r>
      <w:r>
        <w:rPr>
          <w:rFonts w:hint="eastAsia" w:ascii="宋体" w:hAnsi="宋体"/>
          <w:b/>
          <w:bCs/>
          <w:color w:val="000000"/>
          <w:sz w:val="24"/>
        </w:rPr>
        <w:t>（</w:t>
      </w:r>
      <w:r>
        <w:rPr>
          <w:rFonts w:hint="eastAsia" w:ascii="宋体" w:hAnsi="宋体" w:cs="宋体"/>
          <w:b/>
          <w:bCs/>
          <w:color w:val="000000"/>
          <w:sz w:val="24"/>
        </w:rPr>
        <w:t>招标编号：</w:t>
      </w:r>
      <w:r>
        <w:rPr>
          <w:rFonts w:hint="eastAsia" w:ascii="宋体" w:hAnsi="宋体" w:cs="宋体"/>
          <w:b/>
          <w:bCs/>
          <w:color w:val="000000"/>
          <w:sz w:val="24"/>
          <w:u w:val="single"/>
          <w:lang w:val="en-US" w:eastAsia="zh-CN"/>
        </w:rPr>
        <w:t>ZJWH-2020-015</w:t>
      </w:r>
      <w:r>
        <w:rPr>
          <w:rFonts w:hint="eastAsia" w:ascii="宋体" w:hAnsi="宋体" w:cs="宋体"/>
          <w:b/>
          <w:bCs/>
          <w:color w:val="000000"/>
          <w:sz w:val="24"/>
          <w:u w:val="single"/>
        </w:rPr>
        <w:t xml:space="preserve">  ）</w:t>
      </w:r>
      <w:r>
        <w:rPr>
          <w:rFonts w:hint="eastAsia" w:ascii="宋体" w:hAnsi="宋体" w:cs="宋体"/>
          <w:color w:val="000000"/>
          <w:sz w:val="24"/>
        </w:rPr>
        <w:t>招标的有关活动，并对此项目进行投标。为此：</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(1)资格文件；</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(2)报价文件；</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360" w:lineRule="auto"/>
        <w:rPr>
          <w:rFonts w:ascii="宋体" w:hAnsi="宋体" w:cs="宋体"/>
          <w:color w:val="000000"/>
          <w:kern w:val="0"/>
          <w:sz w:val="24"/>
          <w:lang w:val="zh-CN"/>
        </w:rPr>
      </w:pPr>
    </w:p>
    <w:p>
      <w:pPr>
        <w:shd w:val="clear" w:color="auto" w:fill="FFFFFF"/>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法定（授权）代表人（盖章或签字）：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ascii="宋体" w:hAnsi="宋体" w:cs="宋体"/>
          <w:color w:val="000000"/>
          <w:kern w:val="0"/>
          <w:sz w:val="24"/>
          <w:u w:val="single"/>
          <w:lang w:val="zh-CN"/>
        </w:rPr>
      </w:pPr>
      <w:r>
        <w:rPr>
          <w:rFonts w:hint="eastAsia" w:ascii="宋体" w:hAnsi="宋体" w:cs="宋体"/>
          <w:color w:val="000000"/>
          <w:kern w:val="0"/>
          <w:sz w:val="24"/>
          <w:lang w:val="zh-CN"/>
        </w:rPr>
        <w:t>投标人盖章：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传真号码：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360" w:lineRule="auto"/>
        <w:ind w:firstLine="643" w:firstLineChars="200"/>
        <w:jc w:val="center"/>
        <w:outlineLvl w:val="1"/>
        <w:rPr>
          <w:rFonts w:ascii="宋体" w:hAnsi="宋体" w:cs="宋体"/>
          <w:b/>
          <w:bCs/>
          <w:color w:val="000000"/>
          <w:sz w:val="32"/>
          <w:szCs w:val="32"/>
        </w:rPr>
      </w:pPr>
      <w:bookmarkStart w:id="172" w:name="_Toc233618991"/>
      <w:bookmarkStart w:id="173" w:name="_Toc15341"/>
      <w:bookmarkStart w:id="174" w:name="_Toc354859632"/>
      <w:bookmarkStart w:id="175" w:name="_Toc354859551"/>
      <w:bookmarkStart w:id="176" w:name="_Toc354859475"/>
      <w:r>
        <w:rPr>
          <w:rFonts w:hint="eastAsia" w:ascii="宋体" w:hAnsi="宋体" w:cs="宋体"/>
          <w:b/>
          <w:bCs/>
          <w:color w:val="000000"/>
          <w:sz w:val="32"/>
          <w:szCs w:val="32"/>
        </w:rPr>
        <w:t>二、开标一览表</w:t>
      </w:r>
      <w:bookmarkEnd w:id="172"/>
      <w:bookmarkEnd w:id="173"/>
      <w:bookmarkEnd w:id="174"/>
      <w:bookmarkEnd w:id="175"/>
      <w:bookmarkEnd w:id="176"/>
    </w:p>
    <w:p>
      <w:pPr>
        <w:pStyle w:val="2"/>
        <w:spacing w:line="360" w:lineRule="auto"/>
        <w:ind w:left="0" w:leftChars="0" w:firstLine="0" w:firstLineChars="0"/>
      </w:pPr>
    </w:p>
    <w:p>
      <w:pPr>
        <w:shd w:val="clear" w:color="auto" w:fill="FFFFFF"/>
        <w:snapToGrid w:val="0"/>
        <w:spacing w:line="360" w:lineRule="auto"/>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sz w:val="24"/>
        </w:rPr>
        <w:t>：</w:t>
      </w:r>
    </w:p>
    <w:p>
      <w:pPr>
        <w:shd w:val="clear" w:color="auto" w:fill="FFFFFF"/>
        <w:snapToGri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000000"/>
          <w:sz w:val="24"/>
        </w:rPr>
        <w:t>招标编号：</w:t>
      </w:r>
      <w:r>
        <w:rPr>
          <w:rFonts w:hint="eastAsia" w:ascii="宋体" w:hAnsi="宋体" w:cs="宋体"/>
          <w:color w:val="000000"/>
          <w:sz w:val="24"/>
          <w:u w:val="single"/>
          <w:lang w:val="en-US" w:eastAsia="zh-CN"/>
        </w:rPr>
        <w:t>ZJWH-2020-015</w:t>
      </w:r>
      <w:r>
        <w:rPr>
          <w:rFonts w:hint="eastAsia" w:ascii="宋体" w:hAnsi="宋体" w:cs="宋体"/>
          <w:color w:val="000000"/>
          <w:sz w:val="24"/>
          <w:u w:val="single"/>
        </w:rPr>
        <w:t xml:space="preserve">      </w:t>
      </w:r>
      <w:r>
        <w:rPr>
          <w:rFonts w:hint="eastAsia" w:ascii="宋体" w:hAnsi="宋体" w:cs="宋体"/>
          <w:color w:val="000000"/>
          <w:kern w:val="0"/>
          <w:sz w:val="24"/>
          <w:lang w:val="zh-CN"/>
        </w:rPr>
        <w:t>）的招标文件，项目名称：</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w:t>
      </w:r>
    </w:p>
    <w:p>
      <w:pPr>
        <w:shd w:val="clear" w:color="auto" w:fill="FFFFFF"/>
        <w:snapToGrid w:val="0"/>
        <w:spacing w:line="360" w:lineRule="auto"/>
        <w:ind w:firstLine="3990" w:firstLineChars="1656"/>
        <w:rPr>
          <w:rFonts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78"/>
        <w:tblW w:w="85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24"/>
        <w:gridCol w:w="2206"/>
        <w:gridCol w:w="16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4624" w:type="dxa"/>
            <w:tcBorders>
              <w:right w:val="single" w:color="auto" w:sz="4" w:space="0"/>
            </w:tcBorders>
            <w:vAlign w:val="center"/>
          </w:tcPr>
          <w:p>
            <w:pPr>
              <w:spacing w:line="360" w:lineRule="auto"/>
              <w:jc w:val="center"/>
              <w:rPr>
                <w:rFonts w:ascii="宋体" w:hAnsi="宋体"/>
                <w:b/>
                <w:bCs/>
                <w:color w:val="000000"/>
                <w:sz w:val="24"/>
                <w:szCs w:val="22"/>
              </w:rPr>
            </w:pPr>
            <w:r>
              <w:rPr>
                <w:rFonts w:hint="eastAsia" w:ascii="宋体" w:hAnsi="宋体"/>
                <w:b/>
                <w:bCs/>
                <w:color w:val="000000"/>
                <w:sz w:val="24"/>
                <w:szCs w:val="22"/>
              </w:rPr>
              <w:t>项目名称</w:t>
            </w:r>
          </w:p>
        </w:tc>
        <w:tc>
          <w:tcPr>
            <w:tcW w:w="2206" w:type="dxa"/>
            <w:tcBorders>
              <w:left w:val="single" w:color="auto" w:sz="4" w:space="0"/>
              <w:right w:val="single" w:color="auto" w:sz="4" w:space="0"/>
            </w:tcBorders>
            <w:vAlign w:val="center"/>
          </w:tcPr>
          <w:p>
            <w:pPr>
              <w:spacing w:line="360" w:lineRule="auto"/>
              <w:jc w:val="center"/>
              <w:rPr>
                <w:rFonts w:ascii="宋体" w:hAnsi="宋体"/>
                <w:b/>
                <w:bCs/>
                <w:color w:val="000000"/>
                <w:sz w:val="24"/>
                <w:szCs w:val="22"/>
              </w:rPr>
            </w:pPr>
            <w:r>
              <w:rPr>
                <w:rFonts w:hint="eastAsia" w:ascii="宋体" w:hAnsi="宋体"/>
                <w:b/>
                <w:bCs/>
                <w:color w:val="000000"/>
                <w:sz w:val="24"/>
                <w:szCs w:val="22"/>
              </w:rPr>
              <w:t>服务期</w:t>
            </w:r>
          </w:p>
        </w:tc>
        <w:tc>
          <w:tcPr>
            <w:tcW w:w="1690" w:type="dxa"/>
            <w:tcBorders>
              <w:left w:val="single" w:color="auto" w:sz="4" w:space="0"/>
              <w:right w:val="single" w:color="auto" w:sz="4" w:space="0"/>
            </w:tcBorders>
            <w:vAlign w:val="center"/>
          </w:tcPr>
          <w:p>
            <w:pPr>
              <w:spacing w:line="360" w:lineRule="auto"/>
              <w:jc w:val="center"/>
              <w:rPr>
                <w:rFonts w:ascii="宋体" w:hAnsi="宋体"/>
                <w:b/>
                <w:bCs/>
                <w:color w:val="000000"/>
                <w:sz w:val="24"/>
                <w:szCs w:val="22"/>
              </w:rPr>
            </w:pPr>
            <w:r>
              <w:rPr>
                <w:rFonts w:hint="eastAsia" w:ascii="宋体" w:hAnsi="宋体"/>
                <w:b/>
                <w:bCs/>
                <w:color w:val="000000"/>
                <w:sz w:val="24"/>
                <w:szCs w:val="22"/>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4624" w:type="dxa"/>
            <w:tcBorders>
              <w:right w:val="single" w:color="auto" w:sz="4" w:space="0"/>
            </w:tcBorders>
            <w:vAlign w:val="center"/>
          </w:tcPr>
          <w:p>
            <w:pPr>
              <w:spacing w:line="360" w:lineRule="auto"/>
              <w:jc w:val="center"/>
              <w:rPr>
                <w:rFonts w:ascii="宋体" w:hAnsi="宋体"/>
                <w:color w:val="000000"/>
                <w:sz w:val="24"/>
                <w:szCs w:val="22"/>
              </w:rPr>
            </w:pPr>
            <w:r>
              <w:rPr>
                <w:rFonts w:hint="eastAsia" w:ascii="宋体" w:hAnsi="宋体"/>
                <w:color w:val="000000"/>
                <w:sz w:val="24"/>
                <w:szCs w:val="22"/>
              </w:rPr>
              <w:t xml:space="preserve"> </w:t>
            </w:r>
          </w:p>
        </w:tc>
        <w:tc>
          <w:tcPr>
            <w:tcW w:w="2206" w:type="dxa"/>
            <w:tcBorders>
              <w:left w:val="single" w:color="auto" w:sz="4" w:space="0"/>
              <w:right w:val="single" w:color="auto" w:sz="4" w:space="0"/>
            </w:tcBorders>
            <w:vAlign w:val="center"/>
          </w:tcPr>
          <w:p>
            <w:pPr>
              <w:spacing w:line="360" w:lineRule="auto"/>
              <w:jc w:val="center"/>
              <w:rPr>
                <w:rFonts w:ascii="宋体" w:hAnsi="宋体"/>
                <w:color w:val="000000"/>
                <w:sz w:val="24"/>
                <w:szCs w:val="22"/>
              </w:rPr>
            </w:pPr>
            <w:r>
              <w:rPr>
                <w:rFonts w:hint="eastAsia" w:ascii="宋体" w:hAnsi="宋体"/>
                <w:color w:val="000000"/>
                <w:sz w:val="24"/>
                <w:szCs w:val="22"/>
              </w:rPr>
              <w:t>响应招标文件要求</w:t>
            </w:r>
          </w:p>
        </w:tc>
        <w:tc>
          <w:tcPr>
            <w:tcW w:w="1690" w:type="dxa"/>
            <w:tcBorders>
              <w:left w:val="single" w:color="auto" w:sz="4" w:space="0"/>
              <w:right w:val="single" w:color="auto" w:sz="4" w:space="0"/>
            </w:tcBorders>
            <w:vAlign w:val="center"/>
          </w:tcPr>
          <w:p>
            <w:pPr>
              <w:spacing w:line="360" w:lineRule="auto"/>
              <w:rPr>
                <w:rFonts w:ascii="宋体" w:hAnsi="宋体"/>
                <w:color w:val="000000"/>
                <w:sz w:val="24"/>
                <w:szCs w:val="22"/>
              </w:rPr>
            </w:pPr>
            <w:r>
              <w:rPr>
                <w:rFonts w:hint="eastAsia" w:ascii="宋体" w:hAnsi="宋体"/>
                <w:color w:val="000000"/>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4624" w:type="dxa"/>
            <w:tcBorders>
              <w:right w:val="single" w:color="auto" w:sz="4" w:space="0"/>
            </w:tcBorders>
            <w:vAlign w:val="center"/>
          </w:tcPr>
          <w:p>
            <w:pPr>
              <w:spacing w:line="360" w:lineRule="auto"/>
              <w:jc w:val="center"/>
              <w:rPr>
                <w:rFonts w:ascii="宋体" w:hAnsi="宋体"/>
                <w:color w:val="000000"/>
                <w:sz w:val="24"/>
                <w:szCs w:val="22"/>
              </w:rPr>
            </w:pPr>
            <w:r>
              <w:rPr>
                <w:rFonts w:hint="eastAsia" w:ascii="宋体" w:hAnsi="宋体"/>
                <w:color w:val="000000"/>
                <w:sz w:val="24"/>
                <w:szCs w:val="22"/>
              </w:rPr>
              <w:t>总价</w:t>
            </w:r>
          </w:p>
        </w:tc>
        <w:tc>
          <w:tcPr>
            <w:tcW w:w="3896" w:type="dxa"/>
            <w:gridSpan w:val="2"/>
            <w:tcBorders>
              <w:left w:val="single" w:color="auto" w:sz="4" w:space="0"/>
            </w:tcBorders>
            <w:vAlign w:val="center"/>
          </w:tcPr>
          <w:p>
            <w:pPr>
              <w:spacing w:line="360" w:lineRule="auto"/>
              <w:rPr>
                <w:rFonts w:ascii="宋体" w:hAnsi="宋体"/>
                <w:color w:val="000000"/>
                <w:sz w:val="24"/>
                <w:szCs w:val="22"/>
              </w:rPr>
            </w:pPr>
            <w:r>
              <w:rPr>
                <w:rFonts w:hint="eastAsia" w:ascii="宋体" w:hAnsi="宋体"/>
                <w:color w:val="000000"/>
                <w:sz w:val="24"/>
                <w:szCs w:val="22"/>
              </w:rPr>
              <w:t>大写：</w:t>
            </w:r>
          </w:p>
        </w:tc>
      </w:tr>
    </w:tbl>
    <w:p>
      <w:pPr>
        <w:shd w:val="clear" w:color="auto" w:fill="FFFFFF"/>
        <w:snapToGrid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ascii="宋体" w:hAnsi="宋体" w:cs="宋体"/>
          <w:color w:val="000000"/>
          <w:kern w:val="0"/>
          <w:sz w:val="24"/>
        </w:rPr>
      </w:pPr>
      <w:r>
        <w:rPr>
          <w:rFonts w:hint="eastAsia" w:ascii="宋体" w:hAnsi="宋体" w:cs="宋体"/>
          <w:color w:val="000000"/>
          <w:kern w:val="0"/>
          <w:sz w:val="24"/>
          <w:lang w:val="zh-CN"/>
        </w:rPr>
        <w:t>(1)我方要约有效期为自投标截止之日起90天；</w:t>
      </w:r>
    </w:p>
    <w:p>
      <w:pPr>
        <w:shd w:val="clear" w:color="auto" w:fill="FFFFFF"/>
        <w:snapToGrid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ascii="宋体" w:hAnsi="宋体" w:cs="宋体"/>
          <w:color w:val="000000"/>
          <w:kern w:val="0"/>
          <w:sz w:val="24"/>
          <w:lang w:val="zh-CN"/>
        </w:rPr>
      </w:pPr>
    </w:p>
    <w:p>
      <w:pPr>
        <w:pStyle w:val="2"/>
        <w:spacing w:line="360" w:lineRule="auto"/>
        <w:ind w:firstLine="480"/>
        <w:rPr>
          <w:rFonts w:ascii="宋体" w:hAnsi="宋体" w:cs="宋体"/>
          <w:color w:val="000000"/>
          <w:kern w:val="0"/>
          <w:sz w:val="24"/>
          <w:lang w:val="zh-CN"/>
        </w:rPr>
      </w:pPr>
    </w:p>
    <w:p>
      <w:pPr>
        <w:pStyle w:val="2"/>
        <w:spacing w:line="360" w:lineRule="auto"/>
        <w:ind w:firstLine="480"/>
        <w:rPr>
          <w:rFonts w:ascii="宋体" w:hAnsi="宋体" w:cs="宋体"/>
          <w:color w:val="000000"/>
          <w:kern w:val="0"/>
          <w:sz w:val="24"/>
          <w:lang w:val="zh-CN"/>
        </w:rPr>
      </w:pPr>
    </w:p>
    <w:p>
      <w:pPr>
        <w:shd w:val="clear" w:color="auto" w:fill="FFFFFF"/>
        <w:snapToGrid w:val="0"/>
        <w:spacing w:line="360" w:lineRule="auto"/>
        <w:rPr>
          <w:rFonts w:ascii="宋体" w:hAnsi="宋体" w:cs="宋体"/>
          <w:color w:val="000000"/>
          <w:kern w:val="0"/>
          <w:sz w:val="24"/>
          <w:u w:val="single"/>
          <w:lang w:val="zh-CN"/>
        </w:rPr>
      </w:pP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ascii="宋体" w:hAnsi="宋体" w:cs="宋体"/>
          <w:color w:val="000000"/>
          <w:kern w:val="0"/>
          <w:sz w:val="24"/>
          <w:u w:val="single"/>
          <w:lang w:val="zh-CN"/>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ascii="宋体" w:hAnsi="宋体" w:cs="宋体"/>
          <w:color w:val="000000"/>
          <w:kern w:val="0"/>
          <w:sz w:val="24"/>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ascii="宋体" w:hAnsi="宋体" w:cs="宋体"/>
          <w:color w:val="000000"/>
          <w:kern w:val="0"/>
          <w:sz w:val="24"/>
          <w:lang w:val="zh-CN"/>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 xml:space="preserve">日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ascii="宋体" w:hAnsi="宋体" w:cs="宋体"/>
          <w:color w:val="000000"/>
          <w:kern w:val="0"/>
          <w:sz w:val="24"/>
          <w:lang w:val="zh-CN"/>
        </w:rPr>
      </w:pPr>
      <w:r>
        <w:rPr>
          <w:rFonts w:hint="eastAsia" w:ascii="宋体" w:hAnsi="宋体" w:cs="宋体"/>
          <w:color w:val="000000"/>
          <w:kern w:val="0"/>
          <w:sz w:val="24"/>
          <w:u w:val="single"/>
          <w:lang w:val="zh-CN"/>
        </w:rPr>
        <w:t xml:space="preserve">       </w:t>
      </w:r>
    </w:p>
    <w:p>
      <w:pPr>
        <w:shd w:val="clear" w:color="auto" w:fill="FFFFFF"/>
        <w:snapToGrid w:val="0"/>
        <w:spacing w:line="360" w:lineRule="auto"/>
        <w:rPr>
          <w:rFonts w:ascii="宋体" w:hAnsi="宋体" w:cs="宋体"/>
          <w:color w:val="000000"/>
          <w:sz w:val="24"/>
        </w:rPr>
      </w:pPr>
    </w:p>
    <w:p>
      <w:pPr>
        <w:spacing w:line="360" w:lineRule="auto"/>
        <w:rPr>
          <w:rFonts w:ascii="宋体" w:hAnsi="宋体"/>
          <w:color w:val="000000"/>
        </w:rPr>
      </w:pPr>
    </w:p>
    <w:p>
      <w:pPr>
        <w:pageBreakBefore/>
        <w:shd w:val="clear" w:color="auto" w:fill="FFFFFF"/>
        <w:snapToGrid w:val="0"/>
        <w:spacing w:line="360" w:lineRule="auto"/>
        <w:ind w:firstLine="482" w:firstLineChars="200"/>
        <w:jc w:val="center"/>
        <w:outlineLvl w:val="1"/>
        <w:rPr>
          <w:rFonts w:ascii="宋体" w:hAnsi="宋体" w:cs="宋体"/>
          <w:b/>
          <w:color w:val="000000"/>
          <w:sz w:val="24"/>
        </w:rPr>
      </w:pPr>
      <w:bookmarkStart w:id="177" w:name="_Toc7109"/>
      <w:bookmarkStart w:id="178" w:name="_Toc233618992"/>
      <w:r>
        <w:rPr>
          <w:rFonts w:hint="eastAsia" w:ascii="宋体" w:hAnsi="宋体" w:cs="宋体"/>
          <w:b/>
          <w:bCs/>
          <w:color w:val="000000"/>
          <w:sz w:val="24"/>
        </w:rPr>
        <w:t>三、报价明细清单</w:t>
      </w:r>
      <w:bookmarkEnd w:id="177"/>
      <w:bookmarkEnd w:id="178"/>
    </w:p>
    <w:p>
      <w:pPr>
        <w:snapToGrid w:val="0"/>
        <w:spacing w:line="360" w:lineRule="auto"/>
        <w:ind w:firstLine="420" w:firstLineChars="200"/>
        <w:rPr>
          <w:rFonts w:ascii="宋体" w:hAnsi="宋体" w:cs="宋体"/>
          <w:color w:val="000000"/>
        </w:rPr>
      </w:pPr>
      <w:r>
        <w:rPr>
          <w:rFonts w:hint="eastAsia" w:ascii="宋体" w:hAnsi="宋体" w:cs="宋体"/>
          <w:color w:val="000000"/>
        </w:rPr>
        <w:t xml:space="preserve">项目名称：                                         </w:t>
      </w:r>
    </w:p>
    <w:p>
      <w:pPr>
        <w:snapToGrid w:val="0"/>
        <w:spacing w:line="360" w:lineRule="auto"/>
        <w:ind w:firstLine="420" w:firstLineChars="200"/>
      </w:pPr>
      <w:r>
        <w:rPr>
          <w:rFonts w:hint="eastAsia" w:ascii="宋体" w:hAnsi="宋体" w:cs="宋体"/>
          <w:color w:val="000000"/>
        </w:rPr>
        <w:t>招标编号：</w:t>
      </w:r>
      <w:r>
        <w:rPr>
          <w:rFonts w:hint="eastAsia" w:ascii="宋体" w:hAnsi="宋体" w:cs="宋体"/>
          <w:color w:val="000000"/>
          <w:lang w:val="en-US" w:eastAsia="zh-CN"/>
        </w:rPr>
        <w:t>ZJWH-2020-015</w:t>
      </w:r>
    </w:p>
    <w:tbl>
      <w:tblPr>
        <w:tblStyle w:val="78"/>
        <w:tblW w:w="8083"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162"/>
        <w:gridCol w:w="2082"/>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902" w:type="dxa"/>
            <w:tcBorders>
              <w:top w:val="single" w:color="auto" w:sz="8" w:space="0"/>
              <w:left w:val="single" w:color="auto" w:sz="8" w:space="0"/>
              <w:bottom w:val="single" w:color="auto" w:sz="2" w:space="0"/>
              <w:right w:val="single" w:color="auto" w:sz="2"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序号</w:t>
            </w:r>
          </w:p>
        </w:tc>
        <w:tc>
          <w:tcPr>
            <w:tcW w:w="3413" w:type="dxa"/>
            <w:gridSpan w:val="3"/>
            <w:tcBorders>
              <w:top w:val="single" w:color="auto" w:sz="8" w:space="0"/>
              <w:left w:val="single" w:color="auto" w:sz="2" w:space="0"/>
              <w:bottom w:val="single" w:color="auto" w:sz="2" w:space="0"/>
              <w:right w:val="single" w:color="auto" w:sz="2"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名称</w:t>
            </w:r>
          </w:p>
        </w:tc>
        <w:tc>
          <w:tcPr>
            <w:tcW w:w="2082"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价格</w:t>
            </w:r>
          </w:p>
        </w:tc>
        <w:tc>
          <w:tcPr>
            <w:tcW w:w="1686" w:type="dxa"/>
            <w:tcBorders>
              <w:top w:val="single" w:color="auto" w:sz="8" w:space="0"/>
              <w:left w:val="single" w:color="auto" w:sz="4" w:space="0"/>
              <w:bottom w:val="single" w:color="auto" w:sz="2" w:space="0"/>
              <w:right w:val="single" w:color="auto" w:sz="8"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1</w:t>
            </w:r>
          </w:p>
        </w:tc>
        <w:tc>
          <w:tcPr>
            <w:tcW w:w="3413" w:type="dxa"/>
            <w:gridSpan w:val="3"/>
            <w:tcBorders>
              <w:top w:val="single" w:color="auto" w:sz="2" w:space="0"/>
              <w:left w:val="single" w:color="auto" w:sz="2" w:space="0"/>
              <w:bottom w:val="single" w:color="auto" w:sz="4" w:space="0"/>
              <w:right w:val="single" w:color="auto" w:sz="2" w:space="0"/>
            </w:tcBorders>
          </w:tcPr>
          <w:p>
            <w:pPr>
              <w:snapToGrid w:val="0"/>
              <w:spacing w:line="360" w:lineRule="auto"/>
              <w:rPr>
                <w:rFonts w:ascii="宋体" w:hAnsi="宋体" w:cs="宋体"/>
                <w:b/>
                <w:color w:val="000000"/>
                <w:sz w:val="24"/>
                <w:szCs w:val="21"/>
              </w:rPr>
            </w:pPr>
          </w:p>
        </w:tc>
        <w:tc>
          <w:tcPr>
            <w:tcW w:w="2082" w:type="dxa"/>
            <w:tcBorders>
              <w:top w:val="single" w:color="auto" w:sz="2"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1"/>
              </w:rPr>
            </w:pPr>
          </w:p>
        </w:tc>
        <w:tc>
          <w:tcPr>
            <w:tcW w:w="1686" w:type="dxa"/>
            <w:tcBorders>
              <w:top w:val="single" w:color="auto" w:sz="2"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2</w:t>
            </w:r>
          </w:p>
        </w:tc>
        <w:tc>
          <w:tcPr>
            <w:tcW w:w="3413" w:type="dxa"/>
            <w:gridSpan w:val="3"/>
            <w:tcBorders>
              <w:top w:val="single" w:color="auto" w:sz="4" w:space="0"/>
              <w:left w:val="single" w:color="auto" w:sz="2" w:space="0"/>
              <w:bottom w:val="single" w:color="auto" w:sz="4" w:space="0"/>
              <w:right w:val="single" w:color="auto" w:sz="2" w:space="0"/>
            </w:tcBorders>
          </w:tcPr>
          <w:p>
            <w:pPr>
              <w:snapToGrid w:val="0"/>
              <w:spacing w:line="360" w:lineRule="auto"/>
              <w:rPr>
                <w:rFonts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3</w:t>
            </w:r>
          </w:p>
        </w:tc>
        <w:tc>
          <w:tcPr>
            <w:tcW w:w="3413" w:type="dxa"/>
            <w:gridSpan w:val="3"/>
            <w:tcBorders>
              <w:top w:val="single" w:color="auto" w:sz="4" w:space="0"/>
              <w:left w:val="single" w:color="auto" w:sz="2" w:space="0"/>
              <w:bottom w:val="single" w:color="auto" w:sz="4" w:space="0"/>
              <w:right w:val="single" w:color="auto" w:sz="2" w:space="0"/>
            </w:tcBorders>
          </w:tcPr>
          <w:p>
            <w:pPr>
              <w:snapToGrid w:val="0"/>
              <w:spacing w:line="360" w:lineRule="auto"/>
              <w:rPr>
                <w:rFonts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4</w:t>
            </w:r>
          </w:p>
        </w:tc>
        <w:tc>
          <w:tcPr>
            <w:tcW w:w="3413" w:type="dxa"/>
            <w:gridSpan w:val="3"/>
            <w:tcBorders>
              <w:top w:val="single" w:color="auto" w:sz="4" w:space="0"/>
              <w:left w:val="single" w:color="auto" w:sz="2" w:space="0"/>
              <w:bottom w:val="single" w:color="auto" w:sz="4" w:space="0"/>
              <w:right w:val="single" w:color="auto" w:sz="2" w:space="0"/>
            </w:tcBorders>
          </w:tcPr>
          <w:p>
            <w:pPr>
              <w:snapToGrid w:val="0"/>
              <w:spacing w:line="360" w:lineRule="auto"/>
              <w:rPr>
                <w:rFonts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5</w:t>
            </w:r>
          </w:p>
        </w:tc>
        <w:tc>
          <w:tcPr>
            <w:tcW w:w="3413" w:type="dxa"/>
            <w:gridSpan w:val="3"/>
            <w:tcBorders>
              <w:top w:val="single" w:color="auto" w:sz="4" w:space="0"/>
              <w:left w:val="single" w:color="auto" w:sz="2" w:space="0"/>
              <w:bottom w:val="single" w:color="auto" w:sz="4" w:space="0"/>
              <w:right w:val="single" w:color="auto" w:sz="2" w:space="0"/>
            </w:tcBorders>
          </w:tcPr>
          <w:p>
            <w:pPr>
              <w:snapToGrid w:val="0"/>
              <w:spacing w:line="360" w:lineRule="auto"/>
              <w:rPr>
                <w:rFonts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right w:val="single" w:color="auto" w:sz="2" w:space="0"/>
            </w:tcBorders>
            <w:vAlign w:val="center"/>
          </w:tcPr>
          <w:p>
            <w:pPr>
              <w:snapToGrid w:val="0"/>
              <w:spacing w:line="360" w:lineRule="auto"/>
              <w:jc w:val="center"/>
              <w:rPr>
                <w:rFonts w:ascii="宋体" w:hAnsi="宋体" w:cs="宋体"/>
                <w:color w:val="000000"/>
                <w:sz w:val="24"/>
                <w:szCs w:val="21"/>
              </w:rPr>
            </w:pPr>
          </w:p>
        </w:tc>
        <w:tc>
          <w:tcPr>
            <w:tcW w:w="3413" w:type="dxa"/>
            <w:gridSpan w:val="3"/>
            <w:tcBorders>
              <w:top w:val="single" w:color="auto" w:sz="4" w:space="0"/>
              <w:left w:val="single" w:color="auto" w:sz="2" w:space="0"/>
              <w:bottom w:val="single" w:color="auto" w:sz="4" w:space="0"/>
              <w:right w:val="single" w:color="auto" w:sz="2" w:space="0"/>
            </w:tcBorders>
            <w:vAlign w:val="center"/>
          </w:tcPr>
          <w:p>
            <w:pPr>
              <w:tabs>
                <w:tab w:val="left" w:pos="6135"/>
              </w:tabs>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w:t>
            </w:r>
          </w:p>
        </w:tc>
        <w:tc>
          <w:tcPr>
            <w:tcW w:w="2082"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总计</w:t>
            </w:r>
          </w:p>
        </w:tc>
        <w:tc>
          <w:tcPr>
            <w:tcW w:w="1436" w:type="dxa"/>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大写</w:t>
            </w:r>
          </w:p>
        </w:tc>
        <w:tc>
          <w:tcPr>
            <w:tcW w:w="4930" w:type="dxa"/>
            <w:gridSpan w:val="3"/>
            <w:tcBorders>
              <w:top w:val="single" w:color="auto" w:sz="2" w:space="0"/>
              <w:left w:val="single" w:color="auto" w:sz="4" w:space="0"/>
              <w:bottom w:val="single" w:color="auto" w:sz="2" w:space="0"/>
              <w:right w:val="single" w:color="auto" w:sz="8" w:space="0"/>
            </w:tcBorders>
            <w:vAlign w:val="center"/>
          </w:tcPr>
          <w:p>
            <w:pPr>
              <w:snapToGrid w:val="0"/>
              <w:spacing w:line="360" w:lineRule="auto"/>
              <w:jc w:val="center"/>
              <w:rPr>
                <w:rFonts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vAlign w:val="center"/>
          </w:tcPr>
          <w:p>
            <w:pPr>
              <w:widowControl/>
              <w:snapToGrid w:val="0"/>
              <w:spacing w:line="360" w:lineRule="auto"/>
              <w:jc w:val="center"/>
              <w:rPr>
                <w:rFonts w:ascii="宋体" w:hAnsi="宋体" w:cs="宋体"/>
                <w:color w:val="000000"/>
                <w:sz w:val="24"/>
                <w:szCs w:val="21"/>
              </w:rPr>
            </w:pPr>
          </w:p>
        </w:tc>
        <w:tc>
          <w:tcPr>
            <w:tcW w:w="1436" w:type="dxa"/>
            <w:tcBorders>
              <w:top w:val="single" w:color="auto" w:sz="2" w:space="0"/>
              <w:left w:val="single" w:color="auto" w:sz="4" w:space="0"/>
              <w:bottom w:val="single" w:color="auto" w:sz="8" w:space="0"/>
              <w:right w:val="single" w:color="auto" w:sz="2" w:space="0"/>
            </w:tcBorders>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小写</w:t>
            </w:r>
          </w:p>
        </w:tc>
        <w:tc>
          <w:tcPr>
            <w:tcW w:w="4930" w:type="dxa"/>
            <w:gridSpan w:val="3"/>
            <w:tcBorders>
              <w:top w:val="single" w:color="auto" w:sz="2" w:space="0"/>
              <w:left w:val="single" w:color="auto" w:sz="4" w:space="0"/>
              <w:bottom w:val="single" w:color="auto" w:sz="8" w:space="0"/>
              <w:right w:val="single" w:color="auto" w:sz="8" w:space="0"/>
            </w:tcBorders>
            <w:vAlign w:val="center"/>
          </w:tcPr>
          <w:p>
            <w:pPr>
              <w:snapToGrid w:val="0"/>
              <w:spacing w:line="360" w:lineRule="auto"/>
              <w:jc w:val="center"/>
              <w:rPr>
                <w:rFonts w:ascii="宋体" w:hAnsi="宋体" w:cs="宋体"/>
                <w:color w:val="000000"/>
                <w:sz w:val="24"/>
                <w:szCs w:val="21"/>
              </w:rPr>
            </w:pPr>
          </w:p>
        </w:tc>
      </w:tr>
    </w:tbl>
    <w:p>
      <w:pPr>
        <w:pStyle w:val="41"/>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kern w:val="0"/>
          <w:sz w:val="24"/>
          <w:lang w:val="zh-CN"/>
        </w:rPr>
        <w:t>注：</w:t>
      </w:r>
      <w:r>
        <w:rPr>
          <w:rFonts w:hint="eastAsia" w:ascii="宋体" w:hAnsi="宋体" w:eastAsia="宋体" w:cs="宋体"/>
          <w:color w:val="000000"/>
          <w:sz w:val="24"/>
        </w:rPr>
        <w:t>可根据具体情况调整报价明细清单格式，但应包括项目涉及的一切相关税、费等费用。</w:t>
      </w:r>
    </w:p>
    <w:p>
      <w:pPr>
        <w:pStyle w:val="41"/>
        <w:snapToGrid w:val="0"/>
        <w:spacing w:line="360" w:lineRule="auto"/>
        <w:rPr>
          <w:rFonts w:ascii="宋体" w:hAnsi="宋体" w:eastAsia="宋体" w:cs="宋体"/>
          <w:color w:val="000000"/>
          <w:sz w:val="24"/>
        </w:rPr>
      </w:pPr>
    </w:p>
    <w:p>
      <w:pPr>
        <w:pStyle w:val="41"/>
        <w:snapToGrid w:val="0"/>
        <w:spacing w:line="360" w:lineRule="auto"/>
        <w:rPr>
          <w:rFonts w:ascii="宋体" w:hAnsi="宋体" w:eastAsia="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pPr>
        <w:shd w:val="clear" w:color="auto" w:fill="FFFFFF"/>
        <w:snapToGrid w:val="0"/>
        <w:spacing w:line="360" w:lineRule="auto"/>
        <w:ind w:firstLine="480" w:firstLineChars="200"/>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r>
        <w:rPr>
          <w:rFonts w:hint="eastAsia" w:ascii="宋体" w:hAnsi="宋体" w:cs="宋体"/>
          <w:color w:val="000000"/>
          <w:sz w:val="24"/>
        </w:rPr>
        <w:t xml:space="preserve">  </w:t>
      </w:r>
    </w:p>
    <w:p>
      <w:pPr>
        <w:pageBreakBefore/>
        <w:shd w:val="clear" w:color="auto" w:fill="FFFFFF"/>
        <w:snapToGrid w:val="0"/>
        <w:spacing w:line="360" w:lineRule="auto"/>
        <w:jc w:val="center"/>
        <w:outlineLvl w:val="1"/>
        <w:rPr>
          <w:rFonts w:ascii="宋体" w:hAnsi="宋体" w:cs="宋体"/>
          <w:color w:val="000000"/>
          <w:sz w:val="28"/>
          <w:szCs w:val="28"/>
        </w:rPr>
      </w:pPr>
      <w:bookmarkStart w:id="179" w:name="_Toc7912"/>
      <w:r>
        <w:rPr>
          <w:rFonts w:hint="eastAsia" w:ascii="宋体" w:hAnsi="宋体" w:cs="宋体"/>
          <w:b/>
          <w:bCs/>
          <w:color w:val="000000"/>
          <w:sz w:val="28"/>
          <w:szCs w:val="28"/>
        </w:rPr>
        <w:t>四、中小企业声明函、监狱企业、残疾人福利性单位及其他相关的充分的证明材料</w:t>
      </w:r>
      <w:bookmarkEnd w:id="179"/>
    </w:p>
    <w:p>
      <w:pPr>
        <w:widowControl/>
        <w:snapToGrid w:val="0"/>
        <w:spacing w:line="360" w:lineRule="auto"/>
        <w:jc w:val="center"/>
        <w:outlineLvl w:val="1"/>
        <w:rPr>
          <w:rFonts w:ascii="宋体" w:hAnsi="宋体" w:cs="宋体"/>
          <w:b/>
          <w:color w:val="000000"/>
          <w:kern w:val="0"/>
          <w:sz w:val="28"/>
          <w:szCs w:val="28"/>
        </w:rPr>
      </w:pPr>
      <w:bookmarkStart w:id="180" w:name="_Toc20587"/>
      <w:r>
        <w:rPr>
          <w:rFonts w:hint="eastAsia" w:ascii="宋体" w:hAnsi="宋体" w:cs="宋体"/>
          <w:b/>
          <w:color w:val="000000"/>
          <w:kern w:val="0"/>
          <w:sz w:val="28"/>
          <w:szCs w:val="28"/>
        </w:rPr>
        <w:t>中小企业声明函</w:t>
      </w:r>
      <w:bookmarkEnd w:id="180"/>
    </w:p>
    <w:p>
      <w:pPr>
        <w:widowControl/>
        <w:snapToGrid w:val="0"/>
        <w:spacing w:line="360" w:lineRule="auto"/>
        <w:ind w:firstLine="480" w:firstLineChars="200"/>
        <w:jc w:val="center"/>
        <w:rPr>
          <w:rFonts w:ascii="宋体" w:hAnsi="宋体" w:cs="宋体"/>
          <w:color w:val="000000"/>
          <w:kern w:val="0"/>
          <w:sz w:val="24"/>
        </w:rPr>
      </w:pPr>
      <w:r>
        <w:rPr>
          <w:rFonts w:hint="eastAsia" w:ascii="宋体" w:hAnsi="宋体" w:cs="宋体"/>
          <w:color w:val="000000"/>
          <w:kern w:val="0"/>
          <w:sz w:val="24"/>
        </w:rPr>
        <w:t>【不属于中小企业的无需填写、递交】</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2、本公司参加</w:t>
      </w:r>
      <w:r>
        <w:rPr>
          <w:rFonts w:hint="eastAsia" w:ascii="宋体" w:hAnsi="宋体" w:cs="宋体"/>
          <w:color w:val="000000"/>
          <w:kern w:val="0"/>
          <w:sz w:val="24"/>
          <w:u w:val="single"/>
        </w:rPr>
        <w:t xml:space="preserve">         </w:t>
      </w:r>
      <w:r>
        <w:rPr>
          <w:rFonts w:hint="eastAsia" w:ascii="宋体" w:hAnsi="宋体" w:cs="宋体"/>
          <w:color w:val="000000"/>
          <w:kern w:val="0"/>
          <w:sz w:val="24"/>
        </w:rPr>
        <w:t>（采购人）的</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项目采购活动提供本企业制造的货物，由本企业承担工程、提供服务，或者提供其他 </w:t>
      </w:r>
      <w:r>
        <w:rPr>
          <w:rFonts w:hint="eastAsia" w:ascii="宋体" w:hAnsi="宋体" w:cs="宋体"/>
          <w:color w:val="000000"/>
          <w:kern w:val="0"/>
          <w:sz w:val="24"/>
          <w:u w:val="single"/>
        </w:rPr>
        <w:t xml:space="preserve">          </w:t>
      </w:r>
      <w:r>
        <w:rPr>
          <w:rFonts w:hint="eastAsia" w:ascii="宋体" w:hAnsi="宋体" w:cs="宋体"/>
          <w:color w:val="000000"/>
          <w:kern w:val="0"/>
          <w:sz w:val="24"/>
        </w:rPr>
        <w:t>（请填写：中型、小型、微型）企业制造的货物。本条所称货物不包括使用大型企业注册商标的货物。（制造商的中小企业声明函另附）</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填写说明：</w:t>
      </w:r>
    </w:p>
    <w:p>
      <w:pPr>
        <w:widowControl/>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1）投标人为中型、小型、微型企业的提供此函；</w:t>
      </w:r>
    </w:p>
    <w:p>
      <w:pPr>
        <w:widowControl/>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2）中型企业不享受价格扣除，小型、微型企业的行业类别由评审专家结合投标人出具的证明材料认定；经认定不符合小型、微型企业标准的，不享受价格扣除；</w:t>
      </w:r>
    </w:p>
    <w:p>
      <w:pPr>
        <w:widowControl/>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3）所投标项内的产品如由多个企业制造的，在填写企业类型时，按产品生产企业中规模最大的企业类型填写；</w:t>
      </w:r>
    </w:p>
    <w:p>
      <w:pPr>
        <w:widowControl/>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360" w:lineRule="auto"/>
        <w:ind w:firstLine="420" w:firstLineChars="200"/>
        <w:jc w:val="left"/>
        <w:rPr>
          <w:rFonts w:ascii="宋体" w:hAnsi="宋体" w:cs="宋体"/>
          <w:b/>
          <w:color w:val="000000"/>
          <w:kern w:val="0"/>
          <w:szCs w:val="21"/>
        </w:rPr>
      </w:pPr>
      <w:r>
        <w:rPr>
          <w:rFonts w:hint="eastAsia" w:ascii="宋体" w:hAnsi="宋体" w:cs="宋体"/>
          <w:color w:val="000000"/>
          <w:kern w:val="0"/>
          <w:szCs w:val="21"/>
        </w:rPr>
        <w:t>5）注：小型、微型企业参加政府采购活动时，应提供：a）《中小企业声明函》；上述证明材料提供不齐全的，不能享受价格扣除。</w:t>
      </w:r>
    </w:p>
    <w:p>
      <w:pPr>
        <w:widowControl/>
        <w:snapToGrid w:val="0"/>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pStyle w:val="90"/>
        <w:rPr>
          <w:rFonts w:cs="宋体"/>
          <w:b/>
          <w:bCs/>
          <w:color w:val="000000"/>
        </w:rPr>
      </w:pPr>
    </w:p>
    <w:p>
      <w:pPr>
        <w:pStyle w:val="90"/>
        <w:rPr>
          <w:rFonts w:cs="宋体"/>
          <w:b/>
          <w:bCs/>
          <w:color w:val="000000"/>
        </w:rPr>
      </w:pPr>
    </w:p>
    <w:p>
      <w:pPr>
        <w:snapToGrid w:val="0"/>
        <w:spacing w:line="360" w:lineRule="auto"/>
        <w:ind w:firstLine="482" w:firstLineChars="200"/>
        <w:rPr>
          <w:rFonts w:ascii="宋体" w:hAnsi="宋体" w:cs="宋体"/>
          <w:b/>
          <w:bCs/>
          <w:color w:val="000000"/>
          <w:kern w:val="0"/>
          <w:sz w:val="24"/>
          <w:highlight w:val="yellow"/>
        </w:rPr>
      </w:pPr>
      <w:r>
        <w:rPr>
          <w:rFonts w:hint="eastAsia" w:ascii="宋体" w:hAnsi="宋体" w:cs="宋体"/>
          <w:b/>
          <w:bCs/>
          <w:color w:val="000000"/>
          <w:kern w:val="0"/>
          <w:sz w:val="24"/>
          <w:highlight w:val="yellow"/>
        </w:rPr>
        <w:t>中小企业声明函及相应的http://xwqy.gsxt.gov.cn/小微企业名录网页截图；</w:t>
      </w:r>
    </w:p>
    <w:p>
      <w:pPr>
        <w:pStyle w:val="90"/>
        <w:rPr>
          <w:rFonts w:cs="宋体"/>
          <w:b/>
          <w:bCs/>
          <w:color w:val="000000"/>
        </w:rPr>
      </w:pPr>
    </w:p>
    <w:p>
      <w:pPr>
        <w:pStyle w:val="90"/>
        <w:rPr>
          <w:rFonts w:cs="宋体"/>
          <w:b/>
          <w:bCs/>
          <w:color w:val="000000"/>
        </w:rPr>
      </w:pPr>
    </w:p>
    <w:p>
      <w:pPr>
        <w:widowControl/>
        <w:snapToGrid w:val="0"/>
        <w:spacing w:line="360" w:lineRule="auto"/>
        <w:ind w:firstLine="3614" w:firstLineChars="1500"/>
        <w:jc w:val="both"/>
        <w:outlineLvl w:val="1"/>
        <w:rPr>
          <w:rFonts w:ascii="宋体" w:hAnsi="宋体" w:cs="宋体"/>
          <w:b/>
          <w:color w:val="000000"/>
          <w:kern w:val="0"/>
          <w:sz w:val="24"/>
        </w:rPr>
      </w:pPr>
      <w:bookmarkStart w:id="181" w:name="_Toc25165"/>
      <w:r>
        <w:rPr>
          <w:rFonts w:hint="eastAsia" w:ascii="宋体" w:hAnsi="宋体" w:cs="宋体"/>
          <w:b/>
          <w:color w:val="000000"/>
          <w:kern w:val="0"/>
          <w:sz w:val="24"/>
        </w:rPr>
        <w:t>监狱企业声明函</w:t>
      </w:r>
      <w:bookmarkEnd w:id="181"/>
    </w:p>
    <w:p>
      <w:pPr>
        <w:widowControl/>
        <w:snapToGrid w:val="0"/>
        <w:spacing w:line="360" w:lineRule="auto"/>
        <w:ind w:firstLine="480" w:firstLineChars="200"/>
        <w:jc w:val="center"/>
        <w:rPr>
          <w:rFonts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p>
    <w:p>
      <w:pPr>
        <w:snapToGrid w:val="0"/>
        <w:spacing w:line="360" w:lineRule="auto"/>
        <w:rPr>
          <w:rFonts w:ascii="宋体" w:hAnsi="宋体" w:cs="宋体"/>
          <w:b/>
          <w:color w:val="000000"/>
          <w:spacing w:val="6"/>
          <w:sz w:val="24"/>
        </w:rPr>
      </w:pPr>
      <w:bookmarkStart w:id="182" w:name="OLE_LINK13"/>
      <w:bookmarkStart w:id="183" w:name="OLE_LINK14"/>
    </w:p>
    <w:p>
      <w:pPr>
        <w:snapToGrid w:val="0"/>
        <w:spacing w:line="360" w:lineRule="auto"/>
        <w:rPr>
          <w:rFonts w:ascii="宋体" w:hAnsi="宋体" w:cs="宋体"/>
          <w:b/>
          <w:color w:val="000000"/>
          <w:spacing w:val="6"/>
          <w:sz w:val="24"/>
        </w:rPr>
      </w:pPr>
    </w:p>
    <w:p>
      <w:pPr>
        <w:snapToGrid w:val="0"/>
        <w:spacing w:line="360" w:lineRule="auto"/>
        <w:jc w:val="center"/>
        <w:rPr>
          <w:rFonts w:ascii="宋体" w:hAnsi="宋体" w:cs="宋体"/>
          <w:b/>
          <w:color w:val="000000"/>
          <w:spacing w:val="6"/>
          <w:sz w:val="24"/>
        </w:rPr>
      </w:pPr>
    </w:p>
    <w:p>
      <w:pPr>
        <w:snapToGrid w:val="0"/>
        <w:spacing w:line="360" w:lineRule="auto"/>
        <w:jc w:val="center"/>
        <w:rPr>
          <w:rFonts w:ascii="宋体" w:hAnsi="宋体" w:cs="宋体"/>
          <w:b/>
          <w:color w:val="000000"/>
          <w:spacing w:val="6"/>
          <w:sz w:val="24"/>
        </w:rPr>
      </w:pPr>
    </w:p>
    <w:p>
      <w:pPr>
        <w:pageBreakBefore/>
        <w:snapToGrid w:val="0"/>
        <w:spacing w:line="360" w:lineRule="auto"/>
        <w:jc w:val="center"/>
        <w:outlineLvl w:val="1"/>
        <w:rPr>
          <w:rFonts w:ascii="宋体" w:hAnsi="宋体" w:cs="宋体"/>
          <w:b/>
          <w:color w:val="000000"/>
          <w:spacing w:val="6"/>
          <w:sz w:val="24"/>
        </w:rPr>
      </w:pPr>
      <w:bookmarkStart w:id="184" w:name="_Toc29653"/>
      <w:r>
        <w:rPr>
          <w:rFonts w:hint="eastAsia" w:ascii="宋体" w:hAnsi="宋体" w:cs="宋体"/>
          <w:b/>
          <w:color w:val="000000"/>
          <w:spacing w:val="6"/>
          <w:sz w:val="24"/>
        </w:rPr>
        <w:t>残疾人福利性单位声明函</w:t>
      </w:r>
      <w:bookmarkEnd w:id="182"/>
      <w:bookmarkEnd w:id="183"/>
      <w:bookmarkEnd w:id="184"/>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360" w:lineRule="auto"/>
        <w:ind w:firstLine="480" w:firstLineChars="200"/>
        <w:rPr>
          <w:rFonts w:ascii="宋体" w:hAnsi="宋体" w:cs="宋体"/>
          <w:color w:val="000000"/>
          <w:sz w:val="24"/>
        </w:rPr>
      </w:pPr>
    </w:p>
    <w:p>
      <w:pPr>
        <w:snapToGrid w:val="0"/>
        <w:spacing w:line="360" w:lineRule="auto"/>
        <w:ind w:firstLine="480" w:firstLineChars="200"/>
        <w:rPr>
          <w:rFonts w:ascii="宋体" w:hAnsi="宋体" w:cs="宋体"/>
          <w:color w:val="00000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pStyle w:val="172"/>
        <w:snapToGrid w:val="0"/>
        <w:spacing w:line="360" w:lineRule="auto"/>
        <w:ind w:left="360" w:firstLine="0" w:firstLineChars="0"/>
        <w:rPr>
          <w:rFonts w:ascii="宋体" w:hAnsi="宋体" w:cs="宋体"/>
          <w:color w:val="000000"/>
          <w:sz w:val="24"/>
          <w:szCs w:val="24"/>
        </w:rPr>
      </w:pPr>
    </w:p>
    <w:p>
      <w:pPr>
        <w:pStyle w:val="172"/>
        <w:snapToGrid w:val="0"/>
        <w:spacing w:line="360" w:lineRule="auto"/>
        <w:ind w:left="360" w:firstLine="0" w:firstLineChars="0"/>
        <w:rPr>
          <w:rFonts w:ascii="宋体" w:hAnsi="宋体" w:cs="宋体"/>
          <w:color w:val="000000"/>
          <w:sz w:val="24"/>
          <w:szCs w:val="24"/>
        </w:rPr>
      </w:pPr>
    </w:p>
    <w:p>
      <w:pPr>
        <w:pStyle w:val="172"/>
        <w:snapToGrid w:val="0"/>
        <w:spacing w:line="360" w:lineRule="auto"/>
        <w:ind w:left="360" w:firstLine="0" w:firstLineChars="0"/>
        <w:rPr>
          <w:rFonts w:ascii="宋体" w:hAnsi="宋体" w:cs="宋体"/>
          <w:color w:val="000000"/>
          <w:sz w:val="24"/>
          <w:szCs w:val="24"/>
        </w:rPr>
      </w:pPr>
      <w:r>
        <w:rPr>
          <w:rFonts w:hint="eastAsia" w:ascii="宋体" w:hAnsi="宋体" w:cs="宋体"/>
          <w:color w:val="000000"/>
          <w:sz w:val="24"/>
          <w:szCs w:val="24"/>
        </w:rPr>
        <w:t>扶持政策说明：</w:t>
      </w:r>
    </w:p>
    <w:p>
      <w:pPr>
        <w:pStyle w:val="172"/>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360" w:lineRule="auto"/>
        <w:ind w:firstLine="240" w:firstLineChars="100"/>
        <w:rPr>
          <w:rFonts w:ascii="宋体" w:hAnsi="宋体" w:cs="宋体"/>
          <w:color w:val="000000"/>
          <w:sz w:val="24"/>
        </w:rPr>
      </w:pPr>
    </w:p>
    <w:p>
      <w:pPr>
        <w:numPr>
          <w:ilvl w:val="0"/>
          <w:numId w:val="11"/>
        </w:numPr>
        <w:snapToGrid w:val="0"/>
        <w:spacing w:line="360" w:lineRule="auto"/>
        <w:ind w:firstLine="480" w:firstLineChars="200"/>
      </w:pPr>
      <w:r>
        <w:rPr>
          <w:rFonts w:hint="eastAsia" w:ascii="宋体" w:hAnsi="宋体" w:cs="宋体"/>
          <w:color w:val="000000"/>
          <w:sz w:val="24"/>
        </w:rPr>
        <w:t>监狱企业视同小微企业，参加本项目投标的，享受小微企业同等的价格扣除。【注：提供《监狱企业声明函》及其相关的充分的证明材料】。</w:t>
      </w:r>
    </w:p>
    <w:p>
      <w:pPr>
        <w:pStyle w:val="90"/>
      </w:pPr>
    </w:p>
    <w:p>
      <w:pPr>
        <w:pStyle w:val="172"/>
        <w:snapToGrid w:val="0"/>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172"/>
        <w:snapToGrid w:val="0"/>
        <w:spacing w:line="360" w:lineRule="auto"/>
        <w:ind w:left="360" w:firstLine="240" w:firstLineChars="100"/>
        <w:jc w:val="center"/>
        <w:rPr>
          <w:rFonts w:ascii="宋体" w:hAnsi="宋体" w:cs="宋体"/>
          <w:color w:val="000000"/>
          <w:sz w:val="24"/>
          <w:szCs w:val="24"/>
        </w:rPr>
      </w:pPr>
    </w:p>
    <w:p>
      <w:pPr>
        <w:shd w:val="clear" w:color="auto" w:fill="FFFFFF"/>
        <w:snapToGrid w:val="0"/>
        <w:spacing w:line="360" w:lineRule="auto"/>
        <w:jc w:val="center"/>
        <w:outlineLvl w:val="0"/>
        <w:rPr>
          <w:rFonts w:ascii="宋体" w:hAnsi="宋体" w:cs="宋体"/>
          <w:b/>
          <w:bCs/>
          <w:color w:val="000000"/>
          <w:sz w:val="44"/>
          <w:szCs w:val="44"/>
        </w:rPr>
      </w:pPr>
      <w:r>
        <w:rPr>
          <w:rFonts w:hint="eastAsia" w:ascii="宋体" w:hAnsi="宋体"/>
          <w:color w:val="000000"/>
          <w:kern w:val="0"/>
          <w:sz w:val="24"/>
        </w:rPr>
        <w:br w:type="page"/>
      </w:r>
      <w:bookmarkStart w:id="185" w:name="_Toc31333"/>
      <w:bookmarkStart w:id="186" w:name="_Toc354996708"/>
      <w:r>
        <w:rPr>
          <w:rFonts w:ascii="宋体" w:hAnsi="宋体"/>
          <w:color w:val="000000"/>
          <w:kern w:val="0"/>
          <w:sz w:val="24"/>
        </w:rPr>
        <w:t xml:space="preserve">     </w:t>
      </w:r>
      <w:r>
        <w:rPr>
          <w:rFonts w:hint="eastAsia" w:ascii="宋体" w:hAnsi="宋体" w:cs="宋体"/>
          <w:b/>
          <w:bCs/>
          <w:color w:val="000000"/>
          <w:sz w:val="44"/>
          <w:szCs w:val="44"/>
        </w:rPr>
        <w:t>项目名称：</w:t>
      </w:r>
      <w:bookmarkEnd w:id="185"/>
    </w:p>
    <w:p>
      <w:pPr>
        <w:pStyle w:val="3"/>
        <w:spacing w:line="360" w:lineRule="auto"/>
      </w:pPr>
    </w:p>
    <w:p>
      <w:pPr>
        <w:shd w:val="clear" w:color="auto" w:fill="FFFFFF"/>
        <w:snapToGrid w:val="0"/>
        <w:spacing w:line="360" w:lineRule="auto"/>
        <w:jc w:val="center"/>
        <w:outlineLvl w:val="0"/>
        <w:rPr>
          <w:rFonts w:ascii="宋体" w:hAnsi="宋体" w:cs="宋体"/>
          <w:b/>
          <w:bCs/>
          <w:color w:val="000000"/>
          <w:sz w:val="44"/>
          <w:szCs w:val="44"/>
        </w:rPr>
      </w:pPr>
      <w:bookmarkStart w:id="187" w:name="_Toc17190"/>
      <w:r>
        <w:rPr>
          <w:rFonts w:hint="eastAsia" w:ascii="宋体" w:hAnsi="宋体" w:cs="宋体"/>
          <w:b/>
          <w:bCs/>
          <w:color w:val="000000"/>
          <w:sz w:val="44"/>
          <w:szCs w:val="44"/>
        </w:rPr>
        <w:t xml:space="preserve"> </w:t>
      </w:r>
      <w:r>
        <w:rPr>
          <w:rFonts w:ascii="宋体" w:hAnsi="宋体" w:cs="宋体"/>
          <w:b/>
          <w:bCs/>
          <w:color w:val="000000"/>
          <w:sz w:val="44"/>
          <w:szCs w:val="44"/>
        </w:rPr>
        <w:t xml:space="preserve">    </w:t>
      </w:r>
      <w:r>
        <w:rPr>
          <w:rFonts w:hint="eastAsia" w:ascii="宋体" w:hAnsi="宋体" w:cs="宋体"/>
          <w:b/>
          <w:bCs/>
          <w:color w:val="000000"/>
          <w:sz w:val="44"/>
          <w:szCs w:val="44"/>
        </w:rPr>
        <w:t>商务技术文件（封面）</w:t>
      </w:r>
      <w:bookmarkEnd w:id="187"/>
    </w:p>
    <w:p>
      <w:pPr>
        <w:widowControl/>
        <w:spacing w:line="360" w:lineRule="auto"/>
        <w:ind w:right="-2"/>
        <w:jc w:val="center"/>
        <w:outlineLvl w:val="1"/>
        <w:rPr>
          <w:rFonts w:ascii="宋体" w:hAnsi="宋体"/>
          <w:b/>
          <w:color w:val="000000"/>
          <w:sz w:val="36"/>
          <w:szCs w:val="36"/>
        </w:rPr>
      </w:pPr>
      <w:bookmarkStart w:id="188" w:name="_Toc27078"/>
      <w:r>
        <w:rPr>
          <w:rFonts w:hint="eastAsia" w:ascii="宋体" w:hAnsi="宋体"/>
          <w:b/>
          <w:color w:val="000000"/>
          <w:sz w:val="36"/>
          <w:szCs w:val="36"/>
        </w:rPr>
        <w:t>（线上电子招投标）</w:t>
      </w:r>
      <w:bookmarkEnd w:id="188"/>
    </w:p>
    <w:p>
      <w:pPr>
        <w:pStyle w:val="90"/>
        <w:spacing w:line="360" w:lineRule="auto"/>
        <w:rPr>
          <w:sz w:val="36"/>
          <w:szCs w:val="36"/>
        </w:rPr>
      </w:pPr>
    </w:p>
    <w:p>
      <w:pPr>
        <w:shd w:val="clear" w:color="auto" w:fill="FFFFFF"/>
        <w:snapToGrid w:val="0"/>
        <w:spacing w:line="360" w:lineRule="auto"/>
        <w:jc w:val="center"/>
        <w:outlineLvl w:val="1"/>
        <w:rPr>
          <w:rFonts w:ascii="宋体" w:hAnsi="宋体" w:cs="宋体"/>
          <w:b/>
          <w:bCs/>
          <w:color w:val="000000"/>
          <w:sz w:val="36"/>
          <w:szCs w:val="36"/>
        </w:rPr>
      </w:pPr>
      <w:bookmarkStart w:id="189" w:name="_Toc28851"/>
      <w:r>
        <w:rPr>
          <w:rFonts w:hint="eastAsia" w:ascii="宋体" w:hAnsi="宋体" w:cs="宋体"/>
          <w:b/>
          <w:bCs/>
          <w:color w:val="000000"/>
          <w:sz w:val="36"/>
          <w:szCs w:val="36"/>
        </w:rPr>
        <w:t xml:space="preserve"> </w:t>
      </w:r>
      <w:r>
        <w:rPr>
          <w:rFonts w:ascii="宋体" w:hAnsi="宋体" w:cs="宋体"/>
          <w:b/>
          <w:bCs/>
          <w:color w:val="000000"/>
          <w:sz w:val="36"/>
          <w:szCs w:val="36"/>
        </w:rPr>
        <w:t xml:space="preserve"> </w:t>
      </w:r>
      <w:r>
        <w:rPr>
          <w:rFonts w:hint="eastAsia" w:ascii="宋体" w:hAnsi="宋体" w:cs="宋体"/>
          <w:b/>
          <w:bCs/>
          <w:color w:val="000000"/>
          <w:sz w:val="36"/>
          <w:szCs w:val="36"/>
        </w:rPr>
        <w:t>招标编号：</w:t>
      </w:r>
      <w:bookmarkEnd w:id="189"/>
      <w:r>
        <w:rPr>
          <w:rFonts w:hint="eastAsia" w:ascii="宋体" w:hAnsi="宋体" w:cs="宋体"/>
          <w:b/>
          <w:bCs/>
          <w:color w:val="000000"/>
          <w:sz w:val="36"/>
          <w:szCs w:val="36"/>
          <w:lang w:eastAsia="zh-CN"/>
        </w:rPr>
        <w:t>ZJWH-2020-015</w:t>
      </w:r>
    </w:p>
    <w:p>
      <w:pPr>
        <w:pStyle w:val="90"/>
        <w:spacing w:line="360" w:lineRule="auto"/>
      </w:pPr>
    </w:p>
    <w:p>
      <w:pPr>
        <w:pStyle w:val="90"/>
        <w:spacing w:line="360" w:lineRule="auto"/>
      </w:pP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ascii="宋体" w:hAnsi="宋体" w:cs="宋体"/>
          <w:color w:val="000000"/>
          <w:sz w:val="36"/>
          <w:szCs w:val="36"/>
        </w:rPr>
      </w:pPr>
      <w:r>
        <w:rPr>
          <w:rFonts w:hint="eastAsia" w:ascii="宋体" w:hAnsi="宋体" w:cs="宋体"/>
          <w:color w:val="000000"/>
          <w:sz w:val="72"/>
          <w:szCs w:val="72"/>
        </w:rPr>
        <w:t>件</w:t>
      </w:r>
    </w:p>
    <w:p>
      <w:pPr>
        <w:pStyle w:val="90"/>
        <w:spacing w:line="360" w:lineRule="auto"/>
      </w:pPr>
    </w:p>
    <w:p>
      <w:pPr>
        <w:pStyle w:val="3"/>
        <w:spacing w:line="360" w:lineRule="auto"/>
      </w:pPr>
    </w:p>
    <w:p>
      <w:pPr>
        <w:snapToGrid w:val="0"/>
        <w:spacing w:line="360" w:lineRule="auto"/>
        <w:ind w:firstLine="2160" w:firstLineChars="600"/>
        <w:rPr>
          <w:rFonts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ascii="宋体" w:hAnsi="宋体"/>
          <w:color w:val="000000"/>
        </w:rPr>
      </w:pPr>
      <w:r>
        <w:rPr>
          <w:rFonts w:hint="eastAsia" w:ascii="宋体" w:hAnsi="宋体" w:cs="宋体"/>
          <w:color w:val="000000"/>
          <w:sz w:val="36"/>
          <w:szCs w:val="36"/>
        </w:rPr>
        <w:t>年   月   日</w:t>
      </w:r>
    </w:p>
    <w:p>
      <w:pPr>
        <w:pStyle w:val="5"/>
        <w:snapToGrid w:val="0"/>
        <w:rPr>
          <w:rFonts w:ascii="宋体" w:hAnsi="宋体" w:eastAsia="宋体"/>
          <w:color w:val="000000"/>
          <w:kern w:val="0"/>
          <w:sz w:val="24"/>
        </w:rPr>
        <w:sectPr>
          <w:pgSz w:w="11906" w:h="16838"/>
          <w:pgMar w:top="993" w:right="1474" w:bottom="1134" w:left="1474" w:header="851" w:footer="641" w:gutter="0"/>
          <w:pgNumType w:fmt="decimal"/>
          <w:cols w:space="720" w:num="1"/>
          <w:docGrid w:type="lines" w:linePitch="315" w:charSpace="0"/>
        </w:sectPr>
      </w:pPr>
    </w:p>
    <w:p>
      <w:pPr>
        <w:pStyle w:val="5"/>
        <w:snapToGrid w:val="0"/>
        <w:rPr>
          <w:rFonts w:ascii="宋体" w:hAnsi="宋体" w:eastAsia="宋体"/>
          <w:color w:val="000000"/>
        </w:rPr>
      </w:pPr>
      <w:bookmarkStart w:id="190" w:name="_Toc13104"/>
      <w:bookmarkStart w:id="191" w:name="_Toc26800"/>
      <w:bookmarkStart w:id="192" w:name="_Toc15518"/>
      <w:r>
        <w:rPr>
          <w:rFonts w:hint="eastAsia" w:ascii="宋体" w:hAnsi="宋体" w:eastAsia="宋体"/>
          <w:color w:val="000000"/>
        </w:rPr>
        <w:t>商务</w:t>
      </w:r>
      <w:bookmarkEnd w:id="186"/>
      <w:bookmarkStart w:id="193" w:name="_Toc354996709"/>
      <w:r>
        <w:rPr>
          <w:rFonts w:hint="eastAsia" w:ascii="宋体" w:hAnsi="宋体" w:eastAsia="宋体"/>
          <w:color w:val="000000"/>
        </w:rPr>
        <w:t>技术文件</w:t>
      </w:r>
      <w:bookmarkEnd w:id="190"/>
      <w:bookmarkEnd w:id="191"/>
      <w:bookmarkEnd w:id="192"/>
    </w:p>
    <w:p>
      <w:pPr>
        <w:shd w:val="clear" w:color="auto" w:fill="FFFFFF"/>
        <w:snapToGrid w:val="0"/>
        <w:spacing w:line="360" w:lineRule="auto"/>
        <w:jc w:val="center"/>
        <w:rPr>
          <w:rFonts w:ascii="宋体" w:hAnsi="宋体" w:cs="宋体"/>
          <w:b/>
          <w:color w:val="000000"/>
          <w:kern w:val="0"/>
          <w:sz w:val="32"/>
          <w:szCs w:val="32"/>
        </w:rPr>
      </w:pPr>
      <w:bookmarkStart w:id="194" w:name="_Toc31837"/>
      <w:bookmarkStart w:id="195" w:name="_Toc13194"/>
      <w:bookmarkStart w:id="196" w:name="_Toc10347"/>
      <w:bookmarkStart w:id="197" w:name="_Toc7049"/>
      <w:bookmarkStart w:id="198" w:name="_Toc25554"/>
      <w:bookmarkStart w:id="199" w:name="_Toc20721"/>
      <w:bookmarkStart w:id="200" w:name="_Toc7803"/>
      <w:bookmarkStart w:id="201" w:name="_Toc13349"/>
      <w:bookmarkStart w:id="202" w:name="_Toc20650"/>
      <w:bookmarkStart w:id="203" w:name="_Toc27129"/>
      <w:bookmarkStart w:id="204" w:name="_Toc3604"/>
    </w:p>
    <w:p>
      <w:pPr>
        <w:shd w:val="clear" w:color="auto" w:fill="FFFFFF"/>
        <w:snapToGrid w:val="0"/>
        <w:spacing w:line="360" w:lineRule="auto"/>
        <w:jc w:val="center"/>
        <w:outlineLvl w:val="1"/>
        <w:rPr>
          <w:rFonts w:ascii="宋体" w:hAnsi="宋体" w:cs="宋体"/>
          <w:b/>
          <w:color w:val="000000"/>
          <w:kern w:val="0"/>
          <w:sz w:val="32"/>
          <w:szCs w:val="32"/>
        </w:rPr>
      </w:pPr>
      <w:bookmarkStart w:id="205" w:name="_Toc20186"/>
      <w:r>
        <w:rPr>
          <w:rFonts w:hint="eastAsia" w:ascii="宋体" w:hAnsi="宋体" w:cs="宋体"/>
          <w:b/>
          <w:color w:val="000000"/>
          <w:kern w:val="0"/>
          <w:sz w:val="32"/>
          <w:szCs w:val="32"/>
        </w:rPr>
        <w:t>目 录</w:t>
      </w:r>
      <w:bookmarkEnd w:id="194"/>
      <w:bookmarkEnd w:id="195"/>
      <w:bookmarkEnd w:id="196"/>
      <w:bookmarkEnd w:id="197"/>
      <w:bookmarkEnd w:id="198"/>
      <w:bookmarkEnd w:id="199"/>
      <w:bookmarkEnd w:id="200"/>
      <w:bookmarkEnd w:id="201"/>
      <w:bookmarkEnd w:id="202"/>
      <w:bookmarkEnd w:id="203"/>
      <w:bookmarkEnd w:id="204"/>
      <w:bookmarkEnd w:id="205"/>
    </w:p>
    <w:p>
      <w:pPr>
        <w:shd w:val="clear" w:color="auto" w:fill="FFFFFF"/>
        <w:snapToGrid w:val="0"/>
        <w:spacing w:line="360" w:lineRule="auto"/>
        <w:jc w:val="left"/>
        <w:rPr>
          <w:rFonts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360" w:lineRule="auto"/>
        <w:jc w:val="left"/>
        <w:rPr>
          <w:rFonts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360" w:lineRule="auto"/>
        <w:jc w:val="left"/>
        <w:rPr>
          <w:rFonts w:ascii="宋体" w:hAnsi="宋体" w:cs="宋体"/>
          <w:color w:val="000000"/>
          <w:kern w:val="0"/>
          <w:sz w:val="24"/>
        </w:rPr>
      </w:pPr>
      <w:r>
        <w:rPr>
          <w:rFonts w:hint="eastAsia" w:ascii="宋体" w:hAnsi="宋体" w:cs="宋体"/>
          <w:color w:val="000000"/>
          <w:kern w:val="0"/>
          <w:sz w:val="24"/>
        </w:rPr>
        <w:t>（3）资质文件…………………………………………………………………………（页码）</w:t>
      </w:r>
    </w:p>
    <w:p>
      <w:pPr>
        <w:shd w:val="clear" w:color="auto" w:fill="FFFFFF"/>
        <w:snapToGrid w:val="0"/>
        <w:spacing w:line="360" w:lineRule="auto"/>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）公司介绍及</w:t>
      </w:r>
      <w:r>
        <w:rPr>
          <w:rFonts w:ascii="宋体" w:hAnsi="宋体" w:cs="宋体"/>
          <w:color w:val="000000"/>
          <w:kern w:val="0"/>
          <w:sz w:val="24"/>
        </w:rPr>
        <w:t>同类项目</w:t>
      </w:r>
      <w:r>
        <w:rPr>
          <w:rFonts w:hint="eastAsia" w:ascii="宋体" w:hAnsi="宋体" w:cs="宋体"/>
          <w:color w:val="000000"/>
          <w:kern w:val="0"/>
          <w:sz w:val="24"/>
        </w:rPr>
        <w:t>业绩</w:t>
      </w:r>
      <w:r>
        <w:rPr>
          <w:rFonts w:ascii="宋体" w:hAnsi="宋体" w:cs="宋体"/>
          <w:color w:val="000000"/>
          <w:kern w:val="0"/>
          <w:sz w:val="24"/>
        </w:rPr>
        <w:t>经验</w:t>
      </w:r>
      <w:r>
        <w:rPr>
          <w:rFonts w:hint="eastAsia" w:ascii="宋体" w:hAnsi="宋体" w:cs="宋体"/>
          <w:color w:val="000000"/>
          <w:kern w:val="0"/>
          <w:sz w:val="24"/>
        </w:rPr>
        <w:t>案例……………………………………………（页码）</w:t>
      </w:r>
    </w:p>
    <w:p>
      <w:pPr>
        <w:shd w:val="clear" w:color="auto" w:fill="FFFFFF"/>
        <w:snapToGrid w:val="0"/>
        <w:spacing w:line="360" w:lineRule="auto"/>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）针对本项目的详细服务实施计划方案等……………………………………（页码）</w:t>
      </w:r>
    </w:p>
    <w:p>
      <w:pPr>
        <w:shd w:val="clear" w:color="auto" w:fill="FFFFFF"/>
        <w:snapToGrid w:val="0"/>
        <w:spacing w:line="360" w:lineRule="auto"/>
        <w:jc w:val="left"/>
        <w:rPr>
          <w:rFonts w:ascii="宋体" w:hAnsi="宋体" w:cs="宋体"/>
          <w:color w:val="000000"/>
          <w:kern w:val="0"/>
          <w:sz w:val="24"/>
        </w:rPr>
      </w:pPr>
      <w:r>
        <w:rPr>
          <w:rFonts w:hint="eastAsia" w:ascii="宋体" w:hAnsi="宋体" w:cs="宋体"/>
          <w:color w:val="000000"/>
          <w:kern w:val="0"/>
          <w:sz w:val="24"/>
        </w:rPr>
        <w:t>（6）服务承诺…………………………………………………………………………（页码）</w:t>
      </w:r>
    </w:p>
    <w:p>
      <w:pPr>
        <w:shd w:val="clear" w:color="auto" w:fill="FFFFFF"/>
        <w:snapToGrid w:val="0"/>
        <w:spacing w:line="360" w:lineRule="auto"/>
        <w:jc w:val="left"/>
        <w:rPr>
          <w:rFonts w:ascii="宋体" w:hAnsi="宋体" w:cs="宋体"/>
          <w:color w:val="000000"/>
          <w:kern w:val="0"/>
          <w:sz w:val="24"/>
        </w:rPr>
      </w:pPr>
      <w:r>
        <w:rPr>
          <w:rFonts w:hint="eastAsia" w:ascii="宋体" w:hAnsi="宋体" w:cs="宋体"/>
          <w:color w:val="000000"/>
          <w:kern w:val="0"/>
          <w:sz w:val="24"/>
        </w:rPr>
        <w:t>（7）商务技术偏离………………………………………………………………… （页码）</w:t>
      </w:r>
    </w:p>
    <w:p>
      <w:pPr>
        <w:shd w:val="clear" w:color="auto" w:fill="FFFFFF"/>
        <w:snapToGrid w:val="0"/>
        <w:spacing w:line="360" w:lineRule="auto"/>
        <w:jc w:val="left"/>
        <w:rPr>
          <w:rFonts w:ascii="宋体" w:hAnsi="宋体" w:cs="宋体"/>
          <w:color w:val="000000"/>
          <w:kern w:val="0"/>
          <w:sz w:val="24"/>
        </w:rPr>
      </w:pPr>
      <w:r>
        <w:rPr>
          <w:rFonts w:hint="eastAsia" w:ascii="宋体" w:hAnsi="宋体" w:cs="宋体"/>
          <w:color w:val="000000"/>
          <w:kern w:val="0"/>
          <w:sz w:val="24"/>
        </w:rPr>
        <w:t>（8）其他必要提供的资料…………………………………………………………（页码）</w:t>
      </w:r>
    </w:p>
    <w:p>
      <w:pPr>
        <w:shd w:val="clear" w:color="auto" w:fill="FFFFFF"/>
        <w:snapToGrid w:val="0"/>
        <w:spacing w:line="360" w:lineRule="auto"/>
        <w:jc w:val="left"/>
        <w:rPr>
          <w:rFonts w:ascii="宋体" w:hAnsi="宋体" w:cs="宋体"/>
          <w:b/>
          <w:bCs/>
          <w:color w:val="000000"/>
          <w:kern w:val="0"/>
          <w:sz w:val="24"/>
        </w:rPr>
      </w:pPr>
      <w:r>
        <w:rPr>
          <w:rFonts w:hint="eastAsia" w:ascii="宋体" w:hAnsi="宋体" w:cs="宋体"/>
          <w:b/>
          <w:bCs/>
          <w:color w:val="000000"/>
          <w:kern w:val="0"/>
          <w:sz w:val="24"/>
        </w:rPr>
        <w:t>（9）对应商务技术评分细则提供相关证明资料…………………………………（页码）</w:t>
      </w:r>
    </w:p>
    <w:p>
      <w:pPr>
        <w:shd w:val="clear" w:color="auto" w:fill="FFFFFF"/>
        <w:snapToGrid w:val="0"/>
        <w:spacing w:line="360" w:lineRule="auto"/>
        <w:jc w:val="left"/>
        <w:rPr>
          <w:rFonts w:ascii="宋体" w:hAnsi="宋体" w:cs="宋体"/>
          <w:color w:val="000000"/>
          <w:sz w:val="24"/>
          <w:szCs w:val="21"/>
        </w:rPr>
      </w:pPr>
      <w:r>
        <w:rPr>
          <w:rFonts w:hint="eastAsia" w:ascii="宋体" w:hAnsi="宋体" w:cs="宋体"/>
          <w:color w:val="000000"/>
          <w:sz w:val="24"/>
          <w:szCs w:val="21"/>
        </w:rPr>
        <w:t>注：以上目录是编制投标技术文件的基本格式要求，各投标人可根据自身情况进一步细化。</w:t>
      </w:r>
    </w:p>
    <w:bookmarkEnd w:id="193"/>
    <w:p>
      <w:pPr>
        <w:pStyle w:val="41"/>
        <w:snapToGrid w:val="0"/>
        <w:spacing w:line="360" w:lineRule="auto"/>
        <w:ind w:firstLine="643" w:firstLineChars="200"/>
        <w:jc w:val="center"/>
        <w:rPr>
          <w:rFonts w:ascii="宋体" w:hAnsi="宋体" w:eastAsia="宋体" w:cs="宋体"/>
          <w:b/>
          <w:color w:val="000000"/>
          <w:sz w:val="32"/>
          <w:szCs w:val="32"/>
          <w:lang w:val="zh-CN"/>
        </w:rPr>
      </w:pPr>
    </w:p>
    <w:p>
      <w:pPr>
        <w:pStyle w:val="41"/>
        <w:snapToGrid w:val="0"/>
        <w:spacing w:line="360" w:lineRule="auto"/>
        <w:ind w:firstLine="643" w:firstLineChars="200"/>
        <w:jc w:val="center"/>
        <w:rPr>
          <w:rFonts w:ascii="宋体" w:hAnsi="宋体" w:eastAsia="宋体" w:cs="宋体"/>
          <w:b/>
          <w:color w:val="000000"/>
          <w:sz w:val="32"/>
          <w:szCs w:val="32"/>
          <w:lang w:val="zh-CN"/>
        </w:rPr>
      </w:pPr>
    </w:p>
    <w:p>
      <w:pPr>
        <w:pStyle w:val="41"/>
        <w:snapToGrid w:val="0"/>
        <w:spacing w:line="360" w:lineRule="auto"/>
        <w:ind w:firstLine="643" w:firstLineChars="200"/>
        <w:jc w:val="center"/>
        <w:rPr>
          <w:rFonts w:ascii="宋体" w:hAnsi="宋体" w:eastAsia="宋体" w:cs="宋体"/>
          <w:b/>
          <w:color w:val="000000"/>
          <w:sz w:val="32"/>
          <w:szCs w:val="32"/>
          <w:lang w:val="zh-CN"/>
        </w:rPr>
      </w:pPr>
    </w:p>
    <w:p>
      <w:pPr>
        <w:pStyle w:val="41"/>
        <w:snapToGrid w:val="0"/>
        <w:spacing w:line="360" w:lineRule="auto"/>
        <w:ind w:firstLine="643" w:firstLineChars="200"/>
        <w:jc w:val="center"/>
        <w:rPr>
          <w:rFonts w:ascii="宋体" w:hAnsi="宋体" w:eastAsia="宋体" w:cs="宋体"/>
          <w:b/>
          <w:color w:val="000000"/>
          <w:sz w:val="32"/>
          <w:szCs w:val="32"/>
          <w:lang w:val="zh-CN"/>
        </w:rPr>
      </w:pPr>
    </w:p>
    <w:p>
      <w:pPr>
        <w:pStyle w:val="41"/>
        <w:snapToGrid w:val="0"/>
        <w:spacing w:line="360" w:lineRule="auto"/>
        <w:ind w:firstLine="643" w:firstLineChars="200"/>
        <w:jc w:val="center"/>
        <w:rPr>
          <w:rFonts w:ascii="宋体" w:hAnsi="宋体" w:eastAsia="宋体" w:cs="宋体"/>
          <w:b/>
          <w:color w:val="000000"/>
          <w:sz w:val="32"/>
          <w:szCs w:val="32"/>
          <w:lang w:val="zh-CN"/>
        </w:rPr>
      </w:pPr>
    </w:p>
    <w:p>
      <w:pPr>
        <w:pStyle w:val="41"/>
        <w:snapToGrid w:val="0"/>
        <w:spacing w:line="360" w:lineRule="auto"/>
        <w:ind w:firstLine="643" w:firstLineChars="200"/>
        <w:jc w:val="center"/>
        <w:rPr>
          <w:rFonts w:ascii="宋体" w:hAnsi="宋体" w:eastAsia="宋体" w:cs="宋体"/>
          <w:b/>
          <w:color w:val="000000"/>
          <w:sz w:val="32"/>
          <w:szCs w:val="32"/>
          <w:lang w:val="zh-CN"/>
        </w:rPr>
      </w:pPr>
    </w:p>
    <w:p>
      <w:pPr>
        <w:pStyle w:val="41"/>
        <w:snapToGrid w:val="0"/>
        <w:spacing w:line="360" w:lineRule="auto"/>
        <w:ind w:firstLine="643" w:firstLineChars="200"/>
        <w:jc w:val="center"/>
        <w:rPr>
          <w:rFonts w:ascii="宋体" w:hAnsi="宋体" w:eastAsia="宋体" w:cs="宋体"/>
          <w:b/>
          <w:color w:val="000000"/>
          <w:sz w:val="32"/>
          <w:szCs w:val="32"/>
          <w:lang w:val="zh-CN"/>
        </w:rPr>
      </w:pPr>
    </w:p>
    <w:p>
      <w:pPr>
        <w:pStyle w:val="41"/>
        <w:snapToGrid w:val="0"/>
        <w:spacing w:line="360" w:lineRule="auto"/>
        <w:ind w:firstLine="643" w:firstLineChars="200"/>
        <w:jc w:val="center"/>
        <w:rPr>
          <w:rFonts w:ascii="宋体" w:hAnsi="宋体" w:eastAsia="宋体" w:cs="宋体"/>
          <w:b/>
          <w:color w:val="000000"/>
          <w:sz w:val="32"/>
          <w:szCs w:val="32"/>
          <w:lang w:val="zh-CN"/>
        </w:rPr>
      </w:pPr>
    </w:p>
    <w:p>
      <w:pPr>
        <w:pStyle w:val="41"/>
        <w:snapToGrid w:val="0"/>
        <w:spacing w:line="360" w:lineRule="auto"/>
        <w:ind w:firstLine="643" w:firstLineChars="200"/>
        <w:jc w:val="center"/>
        <w:rPr>
          <w:rFonts w:ascii="宋体" w:hAnsi="宋体" w:eastAsia="宋体" w:cs="宋体"/>
          <w:b/>
          <w:color w:val="000000"/>
          <w:sz w:val="32"/>
          <w:szCs w:val="32"/>
          <w:lang w:val="zh-CN"/>
        </w:rPr>
      </w:pPr>
    </w:p>
    <w:p>
      <w:pPr>
        <w:rPr>
          <w:rFonts w:ascii="宋体" w:hAnsi="宋体" w:cs="宋体"/>
          <w:b/>
          <w:color w:val="000000"/>
          <w:sz w:val="32"/>
          <w:szCs w:val="32"/>
          <w:lang w:val="zh-CN"/>
        </w:rPr>
      </w:pPr>
    </w:p>
    <w:p>
      <w:pPr>
        <w:pStyle w:val="41"/>
        <w:snapToGrid w:val="0"/>
        <w:spacing w:line="360" w:lineRule="auto"/>
        <w:rPr>
          <w:rFonts w:hint="eastAsia" w:ascii="宋体" w:hAnsi="宋体" w:eastAsia="宋体" w:cs="宋体"/>
          <w:b/>
          <w:color w:val="000000"/>
          <w:sz w:val="32"/>
          <w:szCs w:val="32"/>
          <w:lang w:val="zh-CN"/>
        </w:rPr>
      </w:pPr>
    </w:p>
    <w:p>
      <w:pPr>
        <w:pStyle w:val="41"/>
        <w:numPr>
          <w:ilvl w:val="0"/>
          <w:numId w:val="29"/>
        </w:numPr>
        <w:snapToGrid w:val="0"/>
        <w:spacing w:line="360" w:lineRule="auto"/>
        <w:ind w:firstLine="643" w:firstLineChars="200"/>
        <w:jc w:val="center"/>
        <w:outlineLvl w:val="0"/>
        <w:rPr>
          <w:rFonts w:ascii="宋体" w:hAnsi="宋体" w:eastAsia="宋体" w:cs="宋体"/>
          <w:b/>
          <w:color w:val="000000"/>
          <w:sz w:val="32"/>
          <w:szCs w:val="32"/>
          <w:lang w:val="zh-CN"/>
        </w:rPr>
      </w:pPr>
      <w:bookmarkStart w:id="206" w:name="_Toc22444"/>
      <w:r>
        <w:rPr>
          <w:rFonts w:hint="eastAsia" w:ascii="宋体" w:hAnsi="宋体" w:eastAsia="宋体" w:cs="宋体"/>
          <w:b/>
          <w:color w:val="000000"/>
          <w:sz w:val="32"/>
          <w:szCs w:val="32"/>
          <w:lang w:val="zh-CN"/>
        </w:rPr>
        <w:t>法定代表人授权委托书</w:t>
      </w:r>
      <w:bookmarkEnd w:id="206"/>
    </w:p>
    <w:p>
      <w:pPr>
        <w:pStyle w:val="41"/>
        <w:snapToGrid w:val="0"/>
        <w:spacing w:line="360" w:lineRule="auto"/>
        <w:rPr>
          <w:rFonts w:ascii="宋体" w:hAnsi="宋体" w:eastAsia="宋体" w:cs="宋体"/>
          <w:b/>
          <w:color w:val="000000"/>
          <w:sz w:val="32"/>
          <w:szCs w:val="32"/>
          <w:lang w:val="zh-CN"/>
        </w:rPr>
      </w:pPr>
    </w:p>
    <w:p>
      <w:pPr>
        <w:shd w:val="clear" w:color="auto" w:fill="FFFFFF"/>
        <w:snapToGrid w:val="0"/>
        <w:spacing w:line="360" w:lineRule="auto"/>
        <w:rPr>
          <w:rFonts w:ascii="宋体" w:hAnsi="宋体" w:cs="宋体"/>
          <w:color w:val="000000"/>
          <w:sz w:val="24"/>
        </w:rPr>
      </w:pPr>
      <w:r>
        <w:rPr>
          <w:rFonts w:hint="eastAsia" w:ascii="宋体" w:hAnsi="宋体" w:cs="宋体"/>
          <w:color w:val="000000"/>
          <w:sz w:val="24"/>
          <w:lang w:eastAsia="zh-CN"/>
        </w:rPr>
        <w:t>杭州市余杭区人民政府中泰街道办事处</w:t>
      </w:r>
      <w:r>
        <w:rPr>
          <w:rFonts w:hint="eastAsia" w:ascii="宋体" w:hAnsi="宋体" w:cs="宋体"/>
          <w:color w:val="000000"/>
          <w:sz w:val="24"/>
        </w:rPr>
        <w:t>、</w:t>
      </w:r>
      <w:r>
        <w:rPr>
          <w:rFonts w:hint="eastAsia" w:ascii="宋体" w:hAnsi="宋体" w:cs="宋体"/>
          <w:color w:val="000000"/>
          <w:sz w:val="24"/>
          <w:lang w:eastAsia="zh-CN"/>
        </w:rPr>
        <w:t>浙江文华建设项目管理有限公司</w:t>
      </w:r>
      <w:r>
        <w:rPr>
          <w:rFonts w:hint="eastAsia" w:ascii="宋体" w:hAnsi="宋体" w:cs="宋体"/>
          <w:color w:val="000000"/>
          <w:sz w:val="24"/>
        </w:rPr>
        <w:t>：</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olor w:val="000000"/>
          <w:sz w:val="24"/>
          <w:u w:val="single"/>
        </w:rPr>
        <w:t xml:space="preserve">                    </w:t>
      </w:r>
      <w:r>
        <w:rPr>
          <w:rFonts w:hint="eastAsia" w:ascii="宋体" w:hAnsi="宋体" w:cs="宋体"/>
          <w:color w:val="000000"/>
          <w:sz w:val="24"/>
        </w:rPr>
        <w:t>(招标编号：</w:t>
      </w:r>
      <w:r>
        <w:rPr>
          <w:rFonts w:hint="eastAsia" w:ascii="宋体" w:hAnsi="宋体" w:cs="宋体"/>
          <w:color w:val="000000"/>
          <w:sz w:val="24"/>
          <w:u w:val="single"/>
          <w:lang w:eastAsia="zh-CN"/>
        </w:rPr>
        <w:t>ZJWH-2020-015</w:t>
      </w:r>
      <w:r>
        <w:rPr>
          <w:rFonts w:hint="eastAsia" w:ascii="宋体" w:hAnsi="宋体" w:cs="宋体"/>
          <w:color w:val="000000"/>
          <w:sz w:val="24"/>
          <w:u w:val="single"/>
        </w:rPr>
        <w:t xml:space="preserve">      </w:t>
      </w:r>
      <w:r>
        <w:rPr>
          <w:rFonts w:hint="eastAsia" w:ascii="宋体" w:hAnsi="宋体" w:cs="宋体"/>
          <w:color w:val="000000"/>
          <w:sz w:val="24"/>
        </w:rPr>
        <w:t>)政府采购投标的一切事项，若中标则全权代表本公司签订相关合同，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360" w:lineRule="auto"/>
        <w:rPr>
          <w:rFonts w:ascii="宋体" w:hAnsi="宋体" w:cs="宋体"/>
          <w:color w:val="000000"/>
          <w:kern w:val="0"/>
          <w:sz w:val="24"/>
        </w:rPr>
      </w:pP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法定代表人(盖章或签字)：</w:t>
      </w:r>
    </w:p>
    <w:p>
      <w:pPr>
        <w:shd w:val="clear" w:color="auto" w:fill="FFFFFF"/>
        <w:snapToGrid w:val="0"/>
        <w:spacing w:line="360" w:lineRule="auto"/>
        <w:ind w:firstLine="5160" w:firstLineChars="2150"/>
        <w:rPr>
          <w:rFonts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ind w:right="480"/>
        <w:jc w:val="center"/>
        <w:rPr>
          <w:rFonts w:ascii="宋体" w:hAnsi="宋体" w:cs="宋体"/>
          <w:b/>
          <w:bCs/>
          <w:color w:val="000000"/>
          <w:kern w:val="0"/>
          <w:sz w:val="24"/>
          <w:lang w:val="zh-CN"/>
        </w:rPr>
      </w:pPr>
    </w:p>
    <w:p>
      <w:pPr>
        <w:shd w:val="clear" w:color="auto" w:fill="FFFFFF"/>
        <w:snapToGrid w:val="0"/>
        <w:spacing w:line="360" w:lineRule="auto"/>
        <w:ind w:firstLine="482" w:firstLineChars="200"/>
        <w:rPr>
          <w:rFonts w:ascii="宋体" w:hAnsi="宋体" w:cs="宋体"/>
          <w:b/>
          <w:bCs/>
          <w:color w:val="000000"/>
          <w:kern w:val="0"/>
          <w:sz w:val="24"/>
          <w:lang w:val="zh-CN"/>
        </w:rPr>
      </w:pPr>
    </w:p>
    <w:p>
      <w:pPr>
        <w:pStyle w:val="41"/>
        <w:snapToGrid w:val="0"/>
        <w:spacing w:line="360" w:lineRule="auto"/>
        <w:ind w:firstLine="643" w:firstLineChars="200"/>
        <w:jc w:val="center"/>
        <w:outlineLvl w:val="0"/>
        <w:rPr>
          <w:rFonts w:ascii="宋体" w:hAnsi="宋体" w:eastAsia="宋体" w:cs="宋体"/>
          <w:b/>
          <w:color w:val="000000"/>
          <w:sz w:val="32"/>
          <w:szCs w:val="32"/>
          <w:lang w:val="zh-CN"/>
        </w:rPr>
      </w:pPr>
      <w:bookmarkStart w:id="207" w:name="_Toc23092"/>
      <w:r>
        <w:rPr>
          <w:rFonts w:hint="eastAsia" w:ascii="宋体" w:hAnsi="宋体" w:eastAsia="宋体" w:cs="宋体"/>
          <w:b/>
          <w:color w:val="000000"/>
          <w:sz w:val="32"/>
          <w:szCs w:val="32"/>
          <w:lang w:val="zh-CN"/>
        </w:rPr>
        <w:t>二、法定代表人及授权代表人的身份证 (扫描件加盖公章)</w:t>
      </w:r>
      <w:bookmarkEnd w:id="207"/>
    </w:p>
    <w:p>
      <w:pPr>
        <w:shd w:val="clear" w:color="auto" w:fill="FFFFFF"/>
        <w:snapToGrid w:val="0"/>
        <w:spacing w:line="360" w:lineRule="auto"/>
        <w:ind w:right="480"/>
        <w:jc w:val="center"/>
        <w:rPr>
          <w:rFonts w:ascii="宋体" w:hAnsi="宋体" w:cs="宋体"/>
          <w:b/>
          <w:bCs/>
          <w:color w:val="000000"/>
          <w:kern w:val="0"/>
          <w:sz w:val="24"/>
          <w:lang w:val="zh-CN"/>
        </w:rPr>
      </w:pPr>
    </w:p>
    <w:p>
      <w:pPr>
        <w:shd w:val="clear" w:color="auto" w:fill="FFFFFF"/>
        <w:snapToGrid w:val="0"/>
        <w:spacing w:line="360" w:lineRule="auto"/>
        <w:ind w:right="480"/>
        <w:rPr>
          <w:rFonts w:ascii="宋体" w:hAnsi="宋体" w:cs="宋体"/>
          <w:b/>
          <w:bCs/>
          <w:color w:val="000000"/>
          <w:kern w:val="0"/>
          <w:sz w:val="24"/>
          <w:lang w:val="zh-CN"/>
        </w:rPr>
      </w:pPr>
    </w:p>
    <w:p>
      <w:pPr>
        <w:pStyle w:val="41"/>
        <w:snapToGrid w:val="0"/>
        <w:spacing w:line="360" w:lineRule="auto"/>
        <w:ind w:firstLine="643" w:firstLineChars="200"/>
        <w:jc w:val="center"/>
        <w:outlineLvl w:val="0"/>
        <w:rPr>
          <w:rFonts w:ascii="宋体" w:hAnsi="宋体" w:eastAsia="宋体" w:cs="仿宋_GB2312"/>
          <w:color w:val="000000"/>
          <w:sz w:val="24"/>
        </w:rPr>
      </w:pPr>
      <w:bookmarkStart w:id="208" w:name="_Toc10840"/>
      <w:r>
        <w:rPr>
          <w:rFonts w:hint="eastAsia" w:ascii="宋体" w:hAnsi="宋体" w:eastAsia="宋体" w:cs="宋体"/>
          <w:b/>
          <w:color w:val="000000"/>
          <w:sz w:val="32"/>
          <w:szCs w:val="32"/>
          <w:lang w:val="zh-CN"/>
        </w:rPr>
        <w:t>三、资质文件（如有）</w:t>
      </w:r>
      <w:bookmarkEnd w:id="208"/>
      <w:r>
        <w:rPr>
          <w:rFonts w:hint="eastAsia" w:ascii="宋体" w:hAnsi="宋体" w:eastAsia="宋体"/>
          <w:color w:val="000000"/>
          <w:sz w:val="24"/>
        </w:rPr>
        <w:t xml:space="preserve"> </w:t>
      </w:r>
    </w:p>
    <w:p>
      <w:pPr>
        <w:snapToGrid w:val="0"/>
        <w:spacing w:line="360" w:lineRule="auto"/>
        <w:rPr>
          <w:rFonts w:ascii="宋体" w:hAnsi="宋体"/>
          <w:b/>
          <w:color w:val="000000"/>
          <w:kern w:val="0"/>
          <w:sz w:val="24"/>
        </w:rPr>
      </w:pPr>
    </w:p>
    <w:p>
      <w:pPr>
        <w:shd w:val="clear" w:color="auto" w:fill="FFFFFF"/>
        <w:snapToGrid w:val="0"/>
        <w:spacing w:line="360" w:lineRule="auto"/>
        <w:rPr>
          <w:rFonts w:ascii="宋体" w:hAnsi="宋体" w:cs="宋体"/>
          <w:color w:val="000000"/>
          <w:sz w:val="24"/>
        </w:rPr>
      </w:pPr>
    </w:p>
    <w:p>
      <w:pPr>
        <w:shd w:val="clear" w:color="auto" w:fill="FFFFFF"/>
        <w:snapToGrid w:val="0"/>
        <w:spacing w:line="360" w:lineRule="auto"/>
        <w:rPr>
          <w:rFonts w:ascii="宋体" w:hAnsi="宋体" w:cs="宋体"/>
          <w:color w:val="000000"/>
          <w:sz w:val="24"/>
        </w:rPr>
      </w:pPr>
    </w:p>
    <w:p>
      <w:pPr>
        <w:pStyle w:val="41"/>
        <w:snapToGrid w:val="0"/>
        <w:spacing w:line="360" w:lineRule="auto"/>
        <w:jc w:val="center"/>
        <w:outlineLvl w:val="0"/>
        <w:rPr>
          <w:rFonts w:ascii="宋体" w:hAnsi="宋体" w:eastAsia="宋体" w:cs="宋体"/>
          <w:b/>
          <w:color w:val="000000"/>
          <w:sz w:val="32"/>
          <w:szCs w:val="32"/>
          <w:lang w:val="zh-CN"/>
        </w:rPr>
      </w:pPr>
      <w:bookmarkStart w:id="209" w:name="_Toc26278"/>
      <w:r>
        <w:rPr>
          <w:rFonts w:hint="eastAsia" w:ascii="宋体" w:hAnsi="宋体" w:eastAsia="宋体" w:cs="宋体"/>
          <w:b/>
          <w:color w:val="000000"/>
          <w:sz w:val="32"/>
          <w:szCs w:val="32"/>
          <w:lang w:val="zh-CN"/>
        </w:rPr>
        <w:t>四、公司介绍及同类项目业绩经验案例</w:t>
      </w:r>
      <w:r>
        <w:rPr>
          <w:rFonts w:ascii="宋体" w:hAnsi="宋体" w:eastAsia="宋体" w:cs="宋体"/>
          <w:b/>
          <w:color w:val="000000"/>
          <w:sz w:val="32"/>
          <w:szCs w:val="32"/>
          <w:lang w:val="zh-CN"/>
        </w:rPr>
        <w:t>（需提供合同</w:t>
      </w:r>
      <w:r>
        <w:rPr>
          <w:rFonts w:hint="eastAsia" w:ascii="宋体" w:hAnsi="宋体" w:eastAsia="宋体" w:cs="宋体"/>
          <w:b/>
          <w:color w:val="000000"/>
          <w:sz w:val="32"/>
          <w:szCs w:val="32"/>
          <w:lang w:val="zh-CN"/>
        </w:rPr>
        <w:t>扫描件</w:t>
      </w:r>
      <w:r>
        <w:rPr>
          <w:rFonts w:ascii="宋体" w:hAnsi="宋体" w:eastAsia="宋体" w:cs="宋体"/>
          <w:b/>
          <w:color w:val="000000"/>
          <w:sz w:val="32"/>
          <w:szCs w:val="32"/>
          <w:lang w:val="zh-CN"/>
        </w:rPr>
        <w:t>并加盖公章）</w:t>
      </w:r>
      <w:bookmarkEnd w:id="209"/>
    </w:p>
    <w:p>
      <w:pPr>
        <w:autoSpaceDE w:val="0"/>
        <w:autoSpaceDN w:val="0"/>
        <w:snapToGrid w:val="0"/>
        <w:spacing w:line="360" w:lineRule="auto"/>
        <w:ind w:firstLine="5160" w:firstLineChars="2150"/>
        <w:rPr>
          <w:rFonts w:ascii="宋体" w:hAnsi="宋体" w:cs="仿宋_GB2312"/>
          <w:color w:val="000000"/>
          <w:kern w:val="0"/>
          <w:sz w:val="24"/>
          <w:lang w:val="zh-CN"/>
        </w:rPr>
      </w:pPr>
    </w:p>
    <w:p>
      <w:pPr>
        <w:pStyle w:val="90"/>
        <w:rPr>
          <w:rFonts w:cs="仿宋_GB2312"/>
          <w:color w:val="000000"/>
        </w:rPr>
      </w:pPr>
    </w:p>
    <w:p>
      <w:pPr>
        <w:pStyle w:val="90"/>
        <w:rPr>
          <w:rFonts w:hint="eastAsia" w:cs="仿宋_GB2312"/>
          <w:color w:val="000000"/>
        </w:rPr>
      </w:pPr>
    </w:p>
    <w:p>
      <w:pPr>
        <w:pStyle w:val="90"/>
        <w:rPr>
          <w:rFonts w:cs="仿宋_GB2312"/>
          <w:color w:val="000000"/>
        </w:rPr>
      </w:pPr>
    </w:p>
    <w:p>
      <w:pPr>
        <w:pStyle w:val="41"/>
        <w:snapToGrid w:val="0"/>
        <w:spacing w:line="360" w:lineRule="auto"/>
        <w:jc w:val="center"/>
        <w:outlineLvl w:val="0"/>
        <w:rPr>
          <w:rFonts w:ascii="宋体" w:hAnsi="宋体" w:eastAsia="宋体" w:cs="宋体"/>
          <w:b/>
          <w:color w:val="000000"/>
          <w:kern w:val="0"/>
          <w:sz w:val="32"/>
          <w:szCs w:val="32"/>
        </w:rPr>
      </w:pPr>
      <w:bookmarkStart w:id="210" w:name="_Toc20411"/>
      <w:r>
        <w:rPr>
          <w:rFonts w:hint="eastAsia" w:ascii="宋体" w:hAnsi="宋体" w:eastAsia="宋体" w:cs="宋体"/>
          <w:b/>
          <w:color w:val="000000"/>
          <w:sz w:val="32"/>
          <w:szCs w:val="32"/>
          <w:lang w:val="zh-CN"/>
        </w:rPr>
        <w:t>五、</w:t>
      </w:r>
      <w:r>
        <w:rPr>
          <w:rFonts w:hint="eastAsia" w:ascii="宋体" w:hAnsi="宋体" w:cs="宋体"/>
          <w:b/>
          <w:color w:val="000000"/>
          <w:kern w:val="0"/>
          <w:sz w:val="32"/>
          <w:szCs w:val="32"/>
        </w:rPr>
        <w:t>针对本项目的详细服务实施计划</w:t>
      </w:r>
      <w:r>
        <w:rPr>
          <w:rFonts w:hint="eastAsia" w:ascii="宋体" w:hAnsi="宋体" w:eastAsia="宋体" w:cs="宋体"/>
          <w:b/>
          <w:color w:val="000000"/>
          <w:kern w:val="0"/>
          <w:sz w:val="32"/>
          <w:szCs w:val="32"/>
        </w:rPr>
        <w:t>方案等</w:t>
      </w:r>
      <w:bookmarkEnd w:id="210"/>
    </w:p>
    <w:p>
      <w:pPr>
        <w:tabs>
          <w:tab w:val="left" w:pos="930"/>
        </w:tabs>
        <w:autoSpaceDE w:val="0"/>
        <w:autoSpaceDN w:val="0"/>
        <w:snapToGrid w:val="0"/>
        <w:spacing w:line="360" w:lineRule="auto"/>
        <w:ind w:firstLine="1024" w:firstLineChars="427"/>
        <w:rPr>
          <w:rFonts w:ascii="宋体" w:hAnsi="宋体"/>
          <w:color w:val="000000"/>
          <w:kern w:val="0"/>
          <w:sz w:val="24"/>
          <w:lang w:val="zh-CN"/>
        </w:rPr>
      </w:pPr>
      <w:r>
        <w:rPr>
          <w:rFonts w:hint="eastAsia" w:ascii="宋体" w:hAnsi="宋体"/>
          <w:color w:val="000000"/>
          <w:kern w:val="0"/>
          <w:sz w:val="24"/>
          <w:lang w:val="zh-CN"/>
        </w:rPr>
        <w:t>根据招标文件采购要求自行草拟。</w:t>
      </w:r>
    </w:p>
    <w:p>
      <w:pPr>
        <w:pStyle w:val="2"/>
        <w:spacing w:line="360" w:lineRule="auto"/>
        <w:rPr>
          <w:lang w:val="zh-CN"/>
        </w:rPr>
      </w:pPr>
    </w:p>
    <w:p>
      <w:pPr>
        <w:pStyle w:val="2"/>
        <w:spacing w:line="360" w:lineRule="auto"/>
        <w:rPr>
          <w:lang w:val="zh-CN"/>
        </w:rPr>
      </w:pP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w:t>
      </w:r>
    </w:p>
    <w:p>
      <w:pPr>
        <w:shd w:val="clear" w:color="auto" w:fill="FFFFFF"/>
        <w:snapToGrid w:val="0"/>
        <w:spacing w:line="360" w:lineRule="auto"/>
        <w:ind w:firstLine="5160" w:firstLineChars="2150"/>
        <w:rPr>
          <w:rFonts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ascii="宋体" w:hAnsi="宋体" w:cs="宋体"/>
          <w:color w:val="000000"/>
          <w:sz w:val="24"/>
        </w:rPr>
      </w:pPr>
    </w:p>
    <w:p>
      <w:pPr>
        <w:pStyle w:val="41"/>
        <w:snapToGrid w:val="0"/>
        <w:spacing w:line="360" w:lineRule="auto"/>
        <w:ind w:firstLine="643" w:firstLineChars="200"/>
        <w:jc w:val="center"/>
        <w:outlineLvl w:val="0"/>
        <w:rPr>
          <w:rFonts w:ascii="宋体" w:hAnsi="宋体" w:eastAsia="宋体" w:cs="宋体"/>
          <w:b/>
          <w:color w:val="000000"/>
          <w:sz w:val="32"/>
          <w:szCs w:val="32"/>
          <w:lang w:val="zh-CN"/>
        </w:rPr>
      </w:pPr>
      <w:bookmarkStart w:id="211" w:name="_Toc3570"/>
    </w:p>
    <w:p>
      <w:pPr>
        <w:pStyle w:val="41"/>
        <w:snapToGrid w:val="0"/>
        <w:spacing w:line="360" w:lineRule="auto"/>
        <w:ind w:firstLine="643" w:firstLineChars="200"/>
        <w:jc w:val="center"/>
        <w:outlineLvl w:val="0"/>
        <w:rPr>
          <w:rFonts w:ascii="宋体" w:hAnsi="宋体" w:eastAsia="宋体" w:cs="宋体"/>
          <w:b/>
          <w:color w:val="000000"/>
          <w:sz w:val="32"/>
          <w:szCs w:val="32"/>
          <w:lang w:val="zh-CN"/>
        </w:rPr>
      </w:pPr>
      <w:r>
        <w:rPr>
          <w:rFonts w:hint="eastAsia" w:ascii="宋体" w:hAnsi="宋体" w:eastAsia="宋体" w:cs="宋体"/>
          <w:b/>
          <w:color w:val="000000"/>
          <w:sz w:val="32"/>
          <w:szCs w:val="32"/>
          <w:lang w:val="zh-CN"/>
        </w:rPr>
        <w:t>六、服务承诺</w:t>
      </w:r>
      <w:bookmarkEnd w:id="211"/>
    </w:p>
    <w:p>
      <w:pPr>
        <w:tabs>
          <w:tab w:val="left" w:pos="930"/>
        </w:tabs>
        <w:autoSpaceDE w:val="0"/>
        <w:autoSpaceDN w:val="0"/>
        <w:snapToGrid w:val="0"/>
        <w:spacing w:line="360" w:lineRule="auto"/>
        <w:ind w:firstLine="1024" w:firstLineChars="427"/>
        <w:rPr>
          <w:rFonts w:ascii="宋体" w:hAnsi="宋体"/>
          <w:color w:val="000000"/>
          <w:kern w:val="0"/>
          <w:sz w:val="24"/>
          <w:lang w:val="zh-CN"/>
        </w:rPr>
      </w:pPr>
    </w:p>
    <w:p>
      <w:pPr>
        <w:tabs>
          <w:tab w:val="left" w:pos="930"/>
        </w:tabs>
        <w:autoSpaceDE w:val="0"/>
        <w:autoSpaceDN w:val="0"/>
        <w:snapToGrid w:val="0"/>
        <w:spacing w:line="360" w:lineRule="auto"/>
        <w:ind w:firstLine="1024" w:firstLineChars="427"/>
        <w:rPr>
          <w:rFonts w:ascii="宋体" w:hAnsi="宋体"/>
          <w:color w:val="000000"/>
          <w:kern w:val="0"/>
          <w:sz w:val="24"/>
          <w:lang w:val="zh-CN"/>
        </w:rPr>
      </w:pPr>
      <w:r>
        <w:rPr>
          <w:rFonts w:hint="eastAsia" w:ascii="宋体" w:hAnsi="宋体"/>
          <w:color w:val="000000"/>
          <w:kern w:val="0"/>
          <w:sz w:val="24"/>
          <w:lang w:val="zh-CN"/>
        </w:rPr>
        <w:t>根据招标文件采购要求自行草拟。</w:t>
      </w:r>
    </w:p>
    <w:p>
      <w:pPr>
        <w:pStyle w:val="3"/>
        <w:snapToGrid w:val="0"/>
        <w:spacing w:line="360" w:lineRule="auto"/>
        <w:ind w:firstLine="0"/>
        <w:jc w:val="center"/>
        <w:rPr>
          <w:rFonts w:ascii="宋体" w:hAnsi="宋体" w:eastAsia="宋体"/>
          <w:color w:val="000000"/>
          <w:sz w:val="24"/>
        </w:rPr>
      </w:pPr>
    </w:p>
    <w:p>
      <w:pPr>
        <w:autoSpaceDE w:val="0"/>
        <w:autoSpaceDN w:val="0"/>
        <w:snapToGrid w:val="0"/>
        <w:spacing w:line="360" w:lineRule="auto"/>
        <w:ind w:firstLine="5160" w:firstLineChars="2150"/>
        <w:rPr>
          <w:rFonts w:ascii="宋体" w:hAnsi="宋体"/>
          <w:color w:val="000000"/>
          <w:kern w:val="0"/>
          <w:sz w:val="24"/>
        </w:rPr>
      </w:pPr>
      <w:r>
        <w:rPr>
          <w:rFonts w:hint="eastAsia" w:ascii="宋体" w:hAnsi="宋体" w:cs="仿宋_GB2312"/>
          <w:color w:val="000000"/>
          <w:kern w:val="0"/>
          <w:sz w:val="24"/>
          <w:lang w:val="zh-CN"/>
        </w:rPr>
        <w:t xml:space="preserve">投标人名称（公章）：      </w:t>
      </w:r>
    </w:p>
    <w:p>
      <w:pPr>
        <w:autoSpaceDE w:val="0"/>
        <w:autoSpaceDN w:val="0"/>
        <w:snapToGrid w:val="0"/>
        <w:spacing w:line="360" w:lineRule="auto"/>
        <w:rPr>
          <w:rFonts w:ascii="宋体" w:hAnsi="宋体" w:cs="仿宋_GB2312"/>
          <w:color w:val="000000"/>
          <w:kern w:val="0"/>
          <w:sz w:val="24"/>
          <w:lang w:val="zh-CN"/>
        </w:rPr>
      </w:pPr>
      <w:r>
        <w:rPr>
          <w:rFonts w:hint="eastAsia" w:ascii="宋体" w:hAnsi="宋体" w:cs="仿宋_GB2312"/>
          <w:color w:val="000000"/>
          <w:kern w:val="0"/>
          <w:sz w:val="24"/>
          <w:lang w:val="zh-CN"/>
        </w:rPr>
        <w:t xml:space="preserve">                                          </w:t>
      </w:r>
    </w:p>
    <w:p>
      <w:pPr>
        <w:autoSpaceDE w:val="0"/>
        <w:autoSpaceDN w:val="0"/>
        <w:snapToGrid w:val="0"/>
        <w:spacing w:line="360" w:lineRule="auto"/>
        <w:ind w:firstLine="5160" w:firstLineChars="2150"/>
        <w:rPr>
          <w:rFonts w:ascii="宋体" w:hAnsi="宋体" w:cs="仿宋_GB2312"/>
          <w:color w:val="000000"/>
          <w:kern w:val="0"/>
          <w:sz w:val="24"/>
          <w:lang w:val="zh-CN"/>
        </w:rPr>
      </w:pPr>
      <w:r>
        <w:rPr>
          <w:rFonts w:hint="eastAsia" w:ascii="宋体" w:hAnsi="宋体" w:cs="仿宋_GB2312"/>
          <w:color w:val="000000"/>
          <w:kern w:val="0"/>
          <w:sz w:val="24"/>
          <w:lang w:val="zh-CN"/>
        </w:rPr>
        <w:t>日期： 年  月   日</w:t>
      </w:r>
    </w:p>
    <w:p>
      <w:pPr>
        <w:pStyle w:val="3"/>
        <w:snapToGrid w:val="0"/>
        <w:spacing w:line="360" w:lineRule="auto"/>
        <w:rPr>
          <w:rFonts w:ascii="宋体" w:hAnsi="宋体" w:eastAsia="宋体"/>
          <w:color w:val="000000"/>
          <w:lang w:val="zh-CN"/>
        </w:rPr>
      </w:pPr>
    </w:p>
    <w:p>
      <w:pPr>
        <w:snapToGrid w:val="0"/>
        <w:spacing w:line="360" w:lineRule="auto"/>
        <w:ind w:left="570"/>
        <w:jc w:val="center"/>
        <w:outlineLvl w:val="0"/>
        <w:rPr>
          <w:rFonts w:ascii="宋体" w:hAnsi="宋体"/>
          <w:b/>
          <w:color w:val="000000"/>
          <w:sz w:val="32"/>
          <w:szCs w:val="32"/>
        </w:rPr>
      </w:pPr>
      <w:bookmarkStart w:id="212" w:name="_Toc11418"/>
    </w:p>
    <w:p>
      <w:pPr>
        <w:snapToGrid w:val="0"/>
        <w:spacing w:line="360" w:lineRule="auto"/>
        <w:ind w:left="570"/>
        <w:jc w:val="center"/>
        <w:outlineLvl w:val="0"/>
        <w:rPr>
          <w:rFonts w:ascii="宋体" w:hAnsi="宋体"/>
          <w:b/>
          <w:color w:val="000000"/>
          <w:sz w:val="32"/>
          <w:szCs w:val="32"/>
        </w:rPr>
      </w:pPr>
    </w:p>
    <w:p>
      <w:pPr>
        <w:snapToGrid w:val="0"/>
        <w:spacing w:line="360" w:lineRule="auto"/>
        <w:ind w:left="570"/>
        <w:jc w:val="center"/>
        <w:outlineLvl w:val="0"/>
        <w:rPr>
          <w:rFonts w:ascii="宋体" w:hAnsi="宋体"/>
          <w:b/>
          <w:color w:val="000000"/>
          <w:sz w:val="32"/>
          <w:szCs w:val="32"/>
        </w:rPr>
      </w:pPr>
    </w:p>
    <w:p>
      <w:pPr>
        <w:snapToGrid w:val="0"/>
        <w:spacing w:line="360" w:lineRule="auto"/>
        <w:ind w:left="570"/>
        <w:jc w:val="center"/>
        <w:outlineLvl w:val="0"/>
        <w:rPr>
          <w:rFonts w:ascii="宋体" w:hAnsi="宋体"/>
          <w:b/>
          <w:color w:val="000000"/>
          <w:sz w:val="32"/>
          <w:szCs w:val="32"/>
        </w:rPr>
      </w:pPr>
    </w:p>
    <w:p>
      <w:pPr>
        <w:pStyle w:val="90"/>
        <w:rPr>
          <w:b/>
          <w:color w:val="000000"/>
          <w:sz w:val="32"/>
          <w:szCs w:val="32"/>
        </w:rPr>
      </w:pPr>
    </w:p>
    <w:p>
      <w:pPr>
        <w:pStyle w:val="90"/>
        <w:rPr>
          <w:b/>
          <w:color w:val="000000"/>
          <w:sz w:val="32"/>
          <w:szCs w:val="32"/>
        </w:rPr>
      </w:pPr>
    </w:p>
    <w:p>
      <w:pPr>
        <w:pStyle w:val="90"/>
        <w:rPr>
          <w:b/>
          <w:color w:val="000000"/>
          <w:sz w:val="32"/>
          <w:szCs w:val="32"/>
        </w:rPr>
      </w:pPr>
    </w:p>
    <w:p>
      <w:pPr>
        <w:pStyle w:val="90"/>
        <w:rPr>
          <w:rFonts w:hint="eastAsia"/>
          <w:b/>
          <w:color w:val="000000"/>
          <w:sz w:val="32"/>
          <w:szCs w:val="32"/>
        </w:rPr>
      </w:pPr>
    </w:p>
    <w:p>
      <w:pPr>
        <w:pStyle w:val="90"/>
        <w:rPr>
          <w:b/>
          <w:color w:val="000000"/>
          <w:sz w:val="32"/>
          <w:szCs w:val="32"/>
        </w:rPr>
      </w:pPr>
    </w:p>
    <w:bookmarkEnd w:id="212"/>
    <w:p>
      <w:pPr>
        <w:snapToGrid w:val="0"/>
        <w:spacing w:line="360" w:lineRule="auto"/>
        <w:ind w:left="570"/>
        <w:jc w:val="center"/>
        <w:outlineLvl w:val="0"/>
        <w:rPr>
          <w:rFonts w:ascii="宋体" w:hAnsi="宋体" w:cs="宋体"/>
          <w:b/>
          <w:color w:val="000000"/>
          <w:sz w:val="32"/>
          <w:szCs w:val="32"/>
          <w:lang w:val="zh-CN"/>
        </w:rPr>
      </w:pPr>
      <w:r>
        <w:rPr>
          <w:rFonts w:hint="eastAsia" w:ascii="宋体" w:hAnsi="宋体"/>
          <w:b/>
          <w:color w:val="000000"/>
          <w:sz w:val="32"/>
          <w:szCs w:val="32"/>
        </w:rPr>
        <w:t>七、</w:t>
      </w:r>
      <w:r>
        <w:rPr>
          <w:rFonts w:hint="eastAsia" w:ascii="宋体" w:hAnsi="宋体" w:cs="宋体"/>
          <w:b/>
          <w:color w:val="000000"/>
          <w:sz w:val="32"/>
          <w:szCs w:val="32"/>
          <w:lang w:val="zh-CN"/>
        </w:rPr>
        <w:t>商务偏离表</w:t>
      </w:r>
    </w:p>
    <w:p>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 xml:space="preserve">项目名称：                                         招标编号：                                                          </w:t>
      </w:r>
    </w:p>
    <w:tbl>
      <w:tblPr>
        <w:tblStyle w:val="78"/>
        <w:tblW w:w="87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 w:val="24"/>
                <w:szCs w:val="22"/>
              </w:rPr>
            </w:pPr>
            <w:r>
              <w:rPr>
                <w:rFonts w:hint="eastAsia" w:ascii="Calibri" w:hAnsi="Calibri"/>
                <w:sz w:val="24"/>
                <w:szCs w:val="22"/>
              </w:rPr>
              <w:t>招标文件要求</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 w:val="24"/>
                <w:szCs w:val="22"/>
              </w:rPr>
            </w:pPr>
            <w:r>
              <w:rPr>
                <w:rFonts w:hint="eastAsia" w:ascii="Calibri" w:hAnsi="Calibri"/>
                <w:sz w:val="24"/>
                <w:szCs w:val="22"/>
              </w:rPr>
              <w:t>投标文件响应</w:t>
            </w:r>
          </w:p>
        </w:tc>
        <w:tc>
          <w:tcPr>
            <w:tcW w:w="1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 w:val="24"/>
                <w:szCs w:val="22"/>
              </w:rPr>
            </w:pPr>
            <w:r>
              <w:rPr>
                <w:rFonts w:hint="eastAsia" w:ascii="Calibri" w:hAnsi="Calibri"/>
                <w:sz w:val="24"/>
                <w:szCs w:val="22"/>
              </w:rPr>
              <w:t>偏离</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 w:val="24"/>
                <w:szCs w:val="22"/>
              </w:rPr>
            </w:pPr>
            <w:r>
              <w:rPr>
                <w:rFonts w:hint="eastAsia" w:ascii="Calibri" w:hAnsi="Calibri"/>
                <w:sz w:val="24"/>
                <w:szCs w:val="22"/>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86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sz w:val="24"/>
                <w:szCs w:val="22"/>
              </w:rPr>
            </w:pPr>
          </w:p>
        </w:tc>
      </w:tr>
    </w:tbl>
    <w:p>
      <w:pPr>
        <w:snapToGrid w:val="0"/>
        <w:spacing w:line="360" w:lineRule="auto"/>
        <w:ind w:firstLine="241" w:firstLineChars="100"/>
        <w:rPr>
          <w:rFonts w:ascii="宋体" w:hAnsi="宋体"/>
          <w:b/>
          <w:bCs/>
          <w:color w:val="000000"/>
          <w:sz w:val="24"/>
        </w:rPr>
      </w:pPr>
      <w:r>
        <w:rPr>
          <w:rFonts w:hint="eastAsia" w:ascii="宋体" w:hAnsi="宋体"/>
          <w:b/>
          <w:bCs/>
          <w:color w:val="000000"/>
          <w:sz w:val="24"/>
        </w:rPr>
        <w:t>注：商务无偏离的可在“投标文件响应”栏填写：响应招标文件要求，即可并加盖投标单位公章。其中</w:t>
      </w:r>
      <w:r>
        <w:rPr>
          <w:rFonts w:hint="eastAsia" w:ascii="宋体" w:hAnsi="宋体" w:cs="宋体"/>
          <w:b/>
          <w:bCs/>
          <w:sz w:val="24"/>
        </w:rPr>
        <w:t>带“▲”条款系指实质性要求条款，如未填入此表，即默认同意或认可。</w:t>
      </w:r>
    </w:p>
    <w:p>
      <w:pPr>
        <w:autoSpaceDE w:val="0"/>
        <w:autoSpaceDN w:val="0"/>
        <w:snapToGrid w:val="0"/>
        <w:spacing w:line="360" w:lineRule="auto"/>
        <w:ind w:firstLine="5400" w:firstLineChars="2250"/>
        <w:rPr>
          <w:rFonts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ind w:left="5387" w:leftChars="2508" w:hanging="120" w:hangingChars="50"/>
        <w:rPr>
          <w:rFonts w:ascii="宋体" w:hAnsi="宋体" w:cs="宋体"/>
          <w:color w:val="000000"/>
          <w:kern w:val="0"/>
          <w:sz w:val="24"/>
          <w:lang w:val="zh-CN"/>
        </w:rPr>
      </w:pPr>
      <w:r>
        <w:rPr>
          <w:rFonts w:hint="eastAsia" w:ascii="宋体" w:hAnsi="宋体" w:cs="宋体"/>
          <w:color w:val="000000"/>
          <w:kern w:val="0"/>
          <w:sz w:val="24"/>
          <w:lang w:val="zh-CN"/>
        </w:rPr>
        <w:t>日期：   年  月   日</w:t>
      </w:r>
    </w:p>
    <w:p>
      <w:pPr>
        <w:autoSpaceDE w:val="0"/>
        <w:autoSpaceDN w:val="0"/>
        <w:snapToGrid w:val="0"/>
        <w:spacing w:line="360" w:lineRule="auto"/>
        <w:ind w:firstLine="5160" w:firstLineChars="2150"/>
        <w:rPr>
          <w:rFonts w:ascii="宋体" w:hAnsi="宋体" w:cs="宋体"/>
          <w:color w:val="000000"/>
          <w:kern w:val="0"/>
          <w:sz w:val="24"/>
          <w:lang w:val="zh-CN"/>
        </w:rPr>
      </w:pPr>
    </w:p>
    <w:p>
      <w:pPr>
        <w:snapToGrid w:val="0"/>
        <w:spacing w:line="360" w:lineRule="auto"/>
        <w:ind w:left="570"/>
        <w:jc w:val="center"/>
        <w:outlineLvl w:val="0"/>
        <w:rPr>
          <w:rFonts w:ascii="宋体" w:hAnsi="宋体" w:cs="宋体"/>
          <w:b/>
          <w:color w:val="000000"/>
          <w:sz w:val="32"/>
          <w:szCs w:val="32"/>
          <w:lang w:val="zh-CN"/>
        </w:rPr>
      </w:pPr>
      <w:r>
        <w:rPr>
          <w:rFonts w:hint="eastAsia" w:ascii="宋体" w:hAnsi="宋体" w:cs="宋体"/>
          <w:b/>
          <w:color w:val="000000"/>
          <w:sz w:val="32"/>
          <w:szCs w:val="32"/>
          <w:lang w:val="zh-CN"/>
        </w:rPr>
        <w:t>技术偏离表</w:t>
      </w:r>
    </w:p>
    <w:p>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 xml:space="preserve">项目名称：                                         招标编号：                                                          </w:t>
      </w:r>
    </w:p>
    <w:tbl>
      <w:tblPr>
        <w:tblStyle w:val="7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684"/>
        <w:gridCol w:w="2129"/>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序号</w:t>
            </w:r>
          </w:p>
        </w:tc>
        <w:tc>
          <w:tcPr>
            <w:tcW w:w="2684" w:type="dxa"/>
            <w:tcBorders>
              <w:bottom w:val="single" w:color="auto" w:sz="4" w:space="0"/>
            </w:tcBorders>
            <w:vAlign w:val="center"/>
          </w:tcPr>
          <w:p>
            <w:pPr>
              <w:jc w:val="center"/>
              <w:rPr>
                <w:rFonts w:ascii="宋体" w:hAnsi="宋体"/>
                <w:color w:val="000000"/>
                <w:sz w:val="24"/>
              </w:rPr>
            </w:pPr>
            <w:r>
              <w:rPr>
                <w:rFonts w:hint="eastAsia" w:ascii="Calibri" w:hAnsi="Calibri"/>
                <w:sz w:val="24"/>
                <w:szCs w:val="22"/>
              </w:rPr>
              <w:t>招标文件要求</w:t>
            </w:r>
          </w:p>
        </w:tc>
        <w:tc>
          <w:tcPr>
            <w:tcW w:w="2129" w:type="dxa"/>
            <w:tcBorders>
              <w:bottom w:val="single" w:color="auto" w:sz="4" w:space="0"/>
            </w:tcBorders>
            <w:vAlign w:val="center"/>
          </w:tcPr>
          <w:p>
            <w:pPr>
              <w:jc w:val="center"/>
              <w:rPr>
                <w:rFonts w:ascii="宋体" w:hAnsi="宋体"/>
                <w:color w:val="000000"/>
                <w:sz w:val="24"/>
              </w:rPr>
            </w:pPr>
            <w:r>
              <w:rPr>
                <w:rFonts w:hint="eastAsia" w:ascii="Calibri" w:hAnsi="Calibri"/>
                <w:sz w:val="24"/>
                <w:szCs w:val="22"/>
              </w:rPr>
              <w:t>投标文件响应</w:t>
            </w:r>
          </w:p>
        </w:tc>
        <w:tc>
          <w:tcPr>
            <w:tcW w:w="3247"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偏离情况</w:t>
            </w:r>
          </w:p>
          <w:p>
            <w:pPr>
              <w:jc w:val="center"/>
              <w:rPr>
                <w:rFonts w:ascii="宋体" w:hAnsi="宋体"/>
                <w:color w:val="000000"/>
                <w:sz w:val="24"/>
              </w:rPr>
            </w:pPr>
            <w:r>
              <w:rPr>
                <w:rFonts w:hint="eastAsia" w:ascii="宋体" w:hAnsi="宋体"/>
                <w:color w:val="000000"/>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560" w:lineRule="exact"/>
              <w:jc w:val="center"/>
              <w:rPr>
                <w:rFonts w:ascii="宋体" w:hAnsi="宋体"/>
                <w:color w:val="000000"/>
                <w:sz w:val="24"/>
              </w:rPr>
            </w:pPr>
          </w:p>
        </w:tc>
        <w:tc>
          <w:tcPr>
            <w:tcW w:w="2684" w:type="dxa"/>
          </w:tcPr>
          <w:p>
            <w:pPr>
              <w:spacing w:line="560" w:lineRule="exact"/>
              <w:rPr>
                <w:rFonts w:ascii="宋体" w:hAnsi="宋体"/>
                <w:color w:val="000000"/>
                <w:sz w:val="24"/>
              </w:rPr>
            </w:pPr>
          </w:p>
        </w:tc>
        <w:tc>
          <w:tcPr>
            <w:tcW w:w="2129" w:type="dxa"/>
          </w:tcPr>
          <w:p>
            <w:pPr>
              <w:spacing w:line="560" w:lineRule="exact"/>
              <w:rPr>
                <w:rFonts w:ascii="宋体" w:hAnsi="宋体"/>
                <w:color w:val="000000"/>
                <w:sz w:val="24"/>
              </w:rPr>
            </w:pPr>
          </w:p>
        </w:tc>
        <w:tc>
          <w:tcPr>
            <w:tcW w:w="3247" w:type="dxa"/>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560" w:lineRule="exact"/>
              <w:rPr>
                <w:rFonts w:ascii="宋体" w:hAnsi="宋体"/>
                <w:color w:val="000000"/>
                <w:sz w:val="24"/>
              </w:rPr>
            </w:pPr>
          </w:p>
        </w:tc>
        <w:tc>
          <w:tcPr>
            <w:tcW w:w="2684" w:type="dxa"/>
          </w:tcPr>
          <w:p>
            <w:pPr>
              <w:spacing w:line="560" w:lineRule="exact"/>
              <w:rPr>
                <w:rFonts w:ascii="宋体" w:hAnsi="宋体"/>
                <w:color w:val="000000"/>
                <w:sz w:val="24"/>
              </w:rPr>
            </w:pPr>
          </w:p>
        </w:tc>
        <w:tc>
          <w:tcPr>
            <w:tcW w:w="2129" w:type="dxa"/>
          </w:tcPr>
          <w:p>
            <w:pPr>
              <w:spacing w:line="560" w:lineRule="exact"/>
              <w:rPr>
                <w:rFonts w:ascii="宋体" w:hAnsi="宋体"/>
                <w:color w:val="000000"/>
                <w:sz w:val="24"/>
              </w:rPr>
            </w:pPr>
          </w:p>
        </w:tc>
        <w:tc>
          <w:tcPr>
            <w:tcW w:w="3247" w:type="dxa"/>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560" w:lineRule="exact"/>
              <w:rPr>
                <w:rFonts w:ascii="宋体" w:hAnsi="宋体"/>
                <w:color w:val="000000"/>
                <w:sz w:val="24"/>
              </w:rPr>
            </w:pPr>
          </w:p>
        </w:tc>
        <w:tc>
          <w:tcPr>
            <w:tcW w:w="2684" w:type="dxa"/>
          </w:tcPr>
          <w:p>
            <w:pPr>
              <w:spacing w:line="560" w:lineRule="exact"/>
              <w:rPr>
                <w:rFonts w:ascii="宋体" w:hAnsi="宋体"/>
                <w:color w:val="000000"/>
                <w:sz w:val="24"/>
              </w:rPr>
            </w:pPr>
          </w:p>
        </w:tc>
        <w:tc>
          <w:tcPr>
            <w:tcW w:w="2129" w:type="dxa"/>
          </w:tcPr>
          <w:p>
            <w:pPr>
              <w:spacing w:line="560" w:lineRule="exact"/>
              <w:rPr>
                <w:rFonts w:ascii="宋体" w:hAnsi="宋体"/>
                <w:color w:val="000000"/>
                <w:sz w:val="24"/>
              </w:rPr>
            </w:pPr>
          </w:p>
        </w:tc>
        <w:tc>
          <w:tcPr>
            <w:tcW w:w="3247" w:type="dxa"/>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Pr>
          <w:p>
            <w:pPr>
              <w:spacing w:line="560" w:lineRule="exact"/>
              <w:rPr>
                <w:rFonts w:ascii="宋体" w:hAnsi="宋体"/>
                <w:color w:val="000000"/>
                <w:sz w:val="24"/>
              </w:rPr>
            </w:pPr>
          </w:p>
        </w:tc>
        <w:tc>
          <w:tcPr>
            <w:tcW w:w="2684" w:type="dxa"/>
          </w:tcPr>
          <w:p>
            <w:pPr>
              <w:spacing w:line="560" w:lineRule="exact"/>
              <w:rPr>
                <w:rFonts w:ascii="宋体" w:hAnsi="宋体"/>
                <w:color w:val="000000"/>
                <w:sz w:val="24"/>
              </w:rPr>
            </w:pPr>
          </w:p>
        </w:tc>
        <w:tc>
          <w:tcPr>
            <w:tcW w:w="2129" w:type="dxa"/>
          </w:tcPr>
          <w:p>
            <w:pPr>
              <w:spacing w:line="560" w:lineRule="exact"/>
              <w:rPr>
                <w:rFonts w:ascii="宋体" w:hAnsi="宋体"/>
                <w:color w:val="000000"/>
                <w:sz w:val="24"/>
              </w:rPr>
            </w:pPr>
          </w:p>
        </w:tc>
        <w:tc>
          <w:tcPr>
            <w:tcW w:w="3247" w:type="dxa"/>
          </w:tcPr>
          <w:p>
            <w:pPr>
              <w:spacing w:line="560" w:lineRule="exact"/>
              <w:rPr>
                <w:rFonts w:ascii="宋体" w:hAnsi="宋体"/>
                <w:color w:val="000000"/>
                <w:sz w:val="24"/>
              </w:rPr>
            </w:pPr>
          </w:p>
        </w:tc>
      </w:tr>
    </w:tbl>
    <w:p>
      <w:pPr>
        <w:spacing w:line="560" w:lineRule="exact"/>
        <w:ind w:firstLine="482" w:firstLineChars="200"/>
        <w:rPr>
          <w:rFonts w:ascii="宋体" w:hAnsi="宋体"/>
          <w:b/>
          <w:bCs/>
          <w:color w:val="000000"/>
          <w:sz w:val="24"/>
        </w:rPr>
      </w:pPr>
      <w:r>
        <w:rPr>
          <w:rFonts w:hint="eastAsia" w:ascii="宋体" w:hAnsi="宋体"/>
          <w:b/>
          <w:bCs/>
          <w:color w:val="000000"/>
          <w:sz w:val="24"/>
        </w:rPr>
        <w:t xml:space="preserve">注：投标人应根据投标设备的性能指标、对照招标文件中“第三部分 </w:t>
      </w:r>
      <w:r>
        <w:rPr>
          <w:rFonts w:hint="eastAsia" w:ascii="Times New Roman" w:hAnsi="Times New Roman"/>
          <w:b/>
          <w:bCs/>
          <w:color w:val="000000"/>
          <w:sz w:val="24"/>
        </w:rPr>
        <w:t>项目技术规范和服务要求”</w:t>
      </w:r>
      <w:r>
        <w:rPr>
          <w:rFonts w:hint="eastAsia" w:ascii="宋体" w:hAnsi="宋体"/>
          <w:b/>
          <w:bCs/>
          <w:color w:val="000000"/>
          <w:sz w:val="24"/>
        </w:rPr>
        <w:t>在“偏离情况”栏注明“正偏离”、“负偏离”或“无偏离”。</w:t>
      </w:r>
    </w:p>
    <w:p>
      <w:pPr>
        <w:snapToGrid w:val="0"/>
        <w:spacing w:line="560" w:lineRule="exact"/>
        <w:rPr>
          <w:rFonts w:ascii="宋体" w:hAnsi="宋体"/>
          <w:color w:val="000000"/>
          <w:spacing w:val="20"/>
          <w:sz w:val="24"/>
        </w:rPr>
      </w:pPr>
    </w:p>
    <w:p>
      <w:pPr>
        <w:autoSpaceDE w:val="0"/>
        <w:autoSpaceDN w:val="0"/>
        <w:snapToGrid w:val="0"/>
        <w:spacing w:line="360" w:lineRule="auto"/>
        <w:ind w:firstLine="5160" w:firstLineChars="2150"/>
        <w:rPr>
          <w:rFonts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snapToGrid w:val="0"/>
        <w:spacing w:line="360" w:lineRule="auto"/>
        <w:ind w:firstLine="5160" w:firstLineChars="2150"/>
        <w:rPr>
          <w:rFonts w:ascii="宋体" w:hAnsi="宋体" w:cs="宋体"/>
          <w:color w:val="000000"/>
          <w:kern w:val="0"/>
          <w:sz w:val="24"/>
          <w:lang w:val="zh-CN"/>
        </w:rPr>
      </w:pPr>
      <w:r>
        <w:rPr>
          <w:rFonts w:hint="eastAsia" w:ascii="宋体" w:hAnsi="宋体" w:cs="宋体"/>
          <w:color w:val="000000"/>
          <w:kern w:val="0"/>
          <w:sz w:val="24"/>
          <w:lang w:val="zh-CN"/>
        </w:rPr>
        <w:t>日期：   年  月   日</w:t>
      </w:r>
    </w:p>
    <w:p>
      <w:pPr>
        <w:pStyle w:val="41"/>
        <w:snapToGrid w:val="0"/>
        <w:spacing w:line="360" w:lineRule="auto"/>
        <w:ind w:firstLine="643" w:firstLineChars="200"/>
        <w:jc w:val="center"/>
        <w:outlineLvl w:val="0"/>
        <w:rPr>
          <w:rFonts w:ascii="宋体" w:hAnsi="宋体" w:eastAsia="宋体" w:cs="宋体"/>
          <w:b/>
          <w:color w:val="000000"/>
          <w:sz w:val="32"/>
          <w:szCs w:val="32"/>
          <w:lang w:val="zh-CN"/>
        </w:rPr>
      </w:pPr>
      <w:bookmarkStart w:id="213" w:name="_Toc26795"/>
    </w:p>
    <w:p>
      <w:pPr>
        <w:pStyle w:val="41"/>
        <w:snapToGrid w:val="0"/>
        <w:spacing w:line="360" w:lineRule="auto"/>
        <w:ind w:firstLine="643" w:firstLineChars="200"/>
        <w:jc w:val="center"/>
        <w:outlineLvl w:val="0"/>
        <w:rPr>
          <w:rFonts w:ascii="宋体" w:hAnsi="宋体" w:eastAsia="宋体" w:cs="宋体"/>
          <w:b/>
          <w:color w:val="000000"/>
          <w:sz w:val="32"/>
          <w:szCs w:val="32"/>
          <w:lang w:val="zh-CN"/>
        </w:rPr>
      </w:pPr>
      <w:r>
        <w:rPr>
          <w:rFonts w:hint="eastAsia" w:ascii="宋体" w:hAnsi="宋体" w:eastAsia="宋体" w:cs="宋体"/>
          <w:b/>
          <w:color w:val="000000"/>
          <w:sz w:val="32"/>
          <w:szCs w:val="32"/>
          <w:lang w:val="zh-CN"/>
        </w:rPr>
        <w:t>八、其他必要提供的资料</w:t>
      </w:r>
      <w:bookmarkEnd w:id="213"/>
    </w:p>
    <w:p>
      <w:pPr>
        <w:shd w:val="clear" w:color="auto" w:fill="FFFFFF"/>
        <w:snapToGrid w:val="0"/>
        <w:spacing w:line="360" w:lineRule="auto"/>
        <w:jc w:val="center"/>
        <w:rPr>
          <w:rFonts w:ascii="宋体" w:hAnsi="宋体" w:cs="宋体"/>
          <w:b/>
          <w:bCs/>
          <w:color w:val="000000"/>
          <w:sz w:val="24"/>
        </w:rPr>
      </w:pPr>
    </w:p>
    <w:p>
      <w:pPr>
        <w:shd w:val="clear" w:color="auto" w:fill="FFFFFF"/>
        <w:snapToGrid w:val="0"/>
        <w:spacing w:line="360" w:lineRule="auto"/>
        <w:ind w:firstLine="5160" w:firstLineChars="2150"/>
        <w:rPr>
          <w:rFonts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 xml:space="preserve">                                        </w:t>
      </w:r>
    </w:p>
    <w:p>
      <w:pPr>
        <w:shd w:val="clear" w:color="auto" w:fill="FFFFFF"/>
        <w:snapToGrid w:val="0"/>
        <w:spacing w:line="360" w:lineRule="auto"/>
        <w:ind w:firstLine="5160" w:firstLineChars="2150"/>
        <w:rPr>
          <w:rFonts w:ascii="宋体" w:hAnsi="宋体" w:cs="宋体"/>
          <w:color w:val="000000"/>
          <w:kern w:val="0"/>
          <w:sz w:val="24"/>
          <w:lang w:val="zh-CN"/>
        </w:rPr>
      </w:pPr>
      <w:r>
        <w:rPr>
          <w:rFonts w:hint="eastAsia" w:ascii="宋体" w:hAnsi="宋体" w:cs="宋体"/>
          <w:color w:val="000000"/>
          <w:kern w:val="0"/>
          <w:sz w:val="24"/>
          <w:lang w:val="zh-CN"/>
        </w:rPr>
        <w:t>日期：   年  月   日</w:t>
      </w:r>
    </w:p>
    <w:p>
      <w:pPr>
        <w:pStyle w:val="2"/>
        <w:spacing w:line="360" w:lineRule="auto"/>
        <w:ind w:firstLine="480"/>
        <w:rPr>
          <w:rFonts w:ascii="宋体" w:hAnsi="宋体" w:cs="宋体"/>
          <w:color w:val="000000"/>
          <w:kern w:val="0"/>
          <w:sz w:val="24"/>
          <w:lang w:val="zh-CN"/>
        </w:rPr>
      </w:pPr>
    </w:p>
    <w:p>
      <w:pPr>
        <w:pStyle w:val="2"/>
        <w:spacing w:line="360" w:lineRule="auto"/>
        <w:ind w:firstLine="482"/>
        <w:rPr>
          <w:rFonts w:ascii="宋体" w:hAnsi="宋体" w:cs="宋体"/>
          <w:b/>
          <w:bCs/>
          <w:color w:val="000000"/>
          <w:kern w:val="0"/>
          <w:sz w:val="24"/>
        </w:rPr>
      </w:pPr>
    </w:p>
    <w:p>
      <w:pPr>
        <w:pStyle w:val="2"/>
        <w:spacing w:line="360" w:lineRule="auto"/>
        <w:ind w:firstLine="482"/>
        <w:rPr>
          <w:rFonts w:ascii="宋体" w:hAnsi="宋体" w:cs="宋体"/>
          <w:b/>
          <w:bCs/>
          <w:color w:val="000000"/>
          <w:kern w:val="0"/>
          <w:sz w:val="24"/>
        </w:rPr>
      </w:pPr>
    </w:p>
    <w:p>
      <w:pPr>
        <w:pStyle w:val="2"/>
        <w:spacing w:line="360" w:lineRule="auto"/>
        <w:ind w:firstLine="482"/>
        <w:rPr>
          <w:rFonts w:ascii="宋体" w:hAnsi="宋体" w:cs="宋体"/>
          <w:b/>
          <w:bCs/>
          <w:color w:val="000000"/>
          <w:kern w:val="0"/>
          <w:sz w:val="24"/>
        </w:rPr>
      </w:pPr>
    </w:p>
    <w:p>
      <w:pPr>
        <w:pStyle w:val="41"/>
        <w:snapToGrid w:val="0"/>
        <w:spacing w:line="360" w:lineRule="auto"/>
        <w:ind w:firstLine="643" w:firstLineChars="200"/>
        <w:jc w:val="center"/>
        <w:outlineLvl w:val="0"/>
        <w:rPr>
          <w:rFonts w:ascii="宋体" w:hAnsi="宋体" w:eastAsia="宋体" w:cs="宋体"/>
          <w:b/>
          <w:color w:val="000000"/>
          <w:sz w:val="32"/>
          <w:szCs w:val="32"/>
          <w:lang w:val="zh-CN"/>
        </w:rPr>
      </w:pPr>
      <w:r>
        <w:rPr>
          <w:rFonts w:hint="eastAsia" w:ascii="宋体" w:hAnsi="宋体" w:eastAsia="宋体" w:cs="宋体"/>
          <w:b/>
          <w:color w:val="000000"/>
          <w:sz w:val="32"/>
          <w:szCs w:val="32"/>
          <w:lang w:val="zh-CN"/>
        </w:rPr>
        <w:t>九、对应商务技术评分细则提供相关证明资料</w:t>
      </w:r>
    </w:p>
    <w:bookmarkEnd w:id="162"/>
    <w:p>
      <w:pPr>
        <w:jc w:val="center"/>
        <w:rPr>
          <w:rFonts w:cs="宋体"/>
          <w:b/>
          <w:kern w:val="1"/>
          <w:sz w:val="32"/>
          <w:szCs w:val="32"/>
        </w:rPr>
      </w:pPr>
      <w:bookmarkStart w:id="214" w:name="_Toc20887"/>
    </w:p>
    <w:p>
      <w:pPr>
        <w:jc w:val="center"/>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pStyle w:val="90"/>
        <w:rPr>
          <w:rFonts w:cs="宋体"/>
          <w:b/>
          <w:kern w:val="1"/>
          <w:sz w:val="32"/>
          <w:szCs w:val="32"/>
        </w:rPr>
      </w:pPr>
    </w:p>
    <w:p>
      <w:pPr>
        <w:jc w:val="center"/>
        <w:rPr>
          <w:rFonts w:ascii="宋体" w:hAnsi="宋体" w:cs="宋体"/>
          <w:b/>
          <w:kern w:val="1"/>
          <w:sz w:val="32"/>
          <w:szCs w:val="32"/>
        </w:rPr>
      </w:pPr>
      <w:r>
        <w:rPr>
          <w:rFonts w:hint="eastAsia" w:cs="宋体"/>
          <w:b/>
          <w:kern w:val="1"/>
          <w:sz w:val="32"/>
          <w:szCs w:val="32"/>
        </w:rPr>
        <w:t>十、评分响应表</w:t>
      </w:r>
      <w:r>
        <w:rPr>
          <w:rFonts w:ascii="宋体" w:hAnsi="宋体" w:cs="宋体"/>
          <w:b/>
          <w:kern w:val="1"/>
          <w:sz w:val="32"/>
          <w:szCs w:val="32"/>
        </w:rPr>
        <w:t>（放于投标文件</w:t>
      </w:r>
      <w:r>
        <w:rPr>
          <w:rFonts w:hint="eastAsia" w:ascii="宋体" w:hAnsi="宋体" w:cs="宋体"/>
          <w:b/>
          <w:kern w:val="1"/>
          <w:sz w:val="32"/>
          <w:szCs w:val="32"/>
        </w:rPr>
        <w:t>目录后</w:t>
      </w:r>
      <w:r>
        <w:rPr>
          <w:rFonts w:ascii="宋体" w:hAnsi="宋体" w:cs="宋体"/>
          <w:b/>
          <w:kern w:val="1"/>
          <w:sz w:val="32"/>
          <w:szCs w:val="32"/>
        </w:rPr>
        <w:t>首页）</w:t>
      </w:r>
    </w:p>
    <w:p>
      <w:pPr>
        <w:pStyle w:val="41"/>
        <w:ind w:firstLine="3000"/>
        <w:rPr>
          <w:rFonts w:cs="宋体"/>
          <w:b/>
          <w:kern w:val="1"/>
          <w:sz w:val="32"/>
          <w:szCs w:val="32"/>
        </w:rPr>
      </w:pPr>
    </w:p>
    <w:p>
      <w:pPr>
        <w:spacing w:line="440" w:lineRule="exact"/>
        <w:jc w:val="left"/>
        <w:rPr>
          <w:rFonts w:ascii="宋体" w:hAnsi="宋体" w:cs="宋体"/>
          <w:sz w:val="24"/>
        </w:rPr>
      </w:pPr>
      <w:r>
        <w:rPr>
          <w:rFonts w:hint="eastAsia" w:ascii="宋体" w:hAnsi="宋体" w:cs="宋体"/>
          <w:sz w:val="24"/>
        </w:rPr>
        <w:t xml:space="preserve"> 项目名称：                                     招标编号：</w:t>
      </w:r>
    </w:p>
    <w:tbl>
      <w:tblPr>
        <w:tblStyle w:val="78"/>
        <w:tblW w:w="9170" w:type="dxa"/>
        <w:jc w:val="center"/>
        <w:tblLayout w:type="fixed"/>
        <w:tblCellMar>
          <w:top w:w="0" w:type="dxa"/>
          <w:left w:w="108" w:type="dxa"/>
          <w:bottom w:w="0" w:type="dxa"/>
          <w:right w:w="108" w:type="dxa"/>
        </w:tblCellMar>
      </w:tblPr>
      <w:tblGrid>
        <w:gridCol w:w="792"/>
        <w:gridCol w:w="1743"/>
        <w:gridCol w:w="2741"/>
        <w:gridCol w:w="1167"/>
        <w:gridCol w:w="2727"/>
      </w:tblGrid>
      <w:tr>
        <w:tblPrEx>
          <w:tblCellMar>
            <w:top w:w="0" w:type="dxa"/>
            <w:left w:w="108" w:type="dxa"/>
            <w:bottom w:w="0" w:type="dxa"/>
            <w:right w:w="108" w:type="dxa"/>
          </w:tblCellMar>
        </w:tblPrEx>
        <w:trPr>
          <w:trHeight w:val="466"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pStyle w:val="63"/>
              <w:ind w:firstLine="0"/>
              <w:jc w:val="center"/>
              <w:rPr>
                <w:rFonts w:ascii="Calibri" w:hAnsi="Calibri"/>
                <w:b/>
                <w:kern w:val="1"/>
                <w:sz w:val="24"/>
                <w:szCs w:val="24"/>
              </w:rPr>
            </w:pPr>
            <w:r>
              <w:rPr>
                <w:rFonts w:hint="eastAsia" w:ascii="Calibri" w:hAnsi="Calibri"/>
                <w:b/>
                <w:kern w:val="1"/>
                <w:sz w:val="24"/>
                <w:szCs w:val="24"/>
              </w:rPr>
              <w:t>序号</w:t>
            </w:r>
          </w:p>
        </w:tc>
        <w:tc>
          <w:tcPr>
            <w:tcW w:w="1743" w:type="dxa"/>
            <w:tcBorders>
              <w:top w:val="single" w:color="000000" w:sz="4" w:space="0"/>
              <w:left w:val="single" w:color="000000" w:sz="4" w:space="0"/>
              <w:bottom w:val="single" w:color="000000" w:sz="4" w:space="0"/>
              <w:right w:val="single" w:color="000000" w:sz="4" w:space="0"/>
            </w:tcBorders>
            <w:vAlign w:val="center"/>
          </w:tcPr>
          <w:p>
            <w:pPr>
              <w:pStyle w:val="63"/>
              <w:ind w:firstLine="0"/>
              <w:jc w:val="center"/>
              <w:rPr>
                <w:rFonts w:ascii="Calibri" w:hAnsi="Calibri"/>
                <w:b/>
                <w:kern w:val="1"/>
                <w:sz w:val="24"/>
                <w:szCs w:val="24"/>
              </w:rPr>
            </w:pPr>
            <w:r>
              <w:rPr>
                <w:rFonts w:hint="eastAsia" w:ascii="Calibri" w:hAnsi="Calibri"/>
                <w:b/>
                <w:kern w:val="1"/>
                <w:sz w:val="24"/>
                <w:szCs w:val="24"/>
              </w:rPr>
              <w:t>评审内容</w:t>
            </w:r>
          </w:p>
        </w:tc>
        <w:tc>
          <w:tcPr>
            <w:tcW w:w="2741"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b/>
                <w:kern w:val="1"/>
                <w:sz w:val="24"/>
                <w:szCs w:val="24"/>
              </w:rPr>
            </w:pPr>
            <w:r>
              <w:rPr>
                <w:rFonts w:hint="eastAsia" w:ascii="Calibri" w:hAnsi="Calibri"/>
                <w:b/>
                <w:kern w:val="1"/>
                <w:sz w:val="24"/>
                <w:szCs w:val="24"/>
              </w:rPr>
              <w:t>评分标准</w:t>
            </w:r>
          </w:p>
        </w:tc>
        <w:tc>
          <w:tcPr>
            <w:tcW w:w="1167" w:type="dxa"/>
            <w:tcBorders>
              <w:top w:val="single" w:color="000000" w:sz="4" w:space="0"/>
              <w:left w:val="single" w:color="000000" w:sz="4" w:space="0"/>
              <w:bottom w:val="single" w:color="000000" w:sz="4" w:space="0"/>
              <w:right w:val="single" w:color="000000" w:sz="4" w:space="0"/>
            </w:tcBorders>
            <w:vAlign w:val="center"/>
          </w:tcPr>
          <w:p>
            <w:pPr>
              <w:pStyle w:val="63"/>
              <w:ind w:firstLine="0"/>
              <w:jc w:val="center"/>
              <w:rPr>
                <w:rFonts w:ascii="Calibri" w:hAnsi="Calibri"/>
                <w:b/>
                <w:kern w:val="1"/>
                <w:sz w:val="24"/>
                <w:szCs w:val="24"/>
              </w:rPr>
            </w:pPr>
            <w:r>
              <w:rPr>
                <w:rFonts w:hint="eastAsia" w:ascii="Calibri" w:hAnsi="Calibri"/>
                <w:b/>
                <w:kern w:val="1"/>
                <w:sz w:val="24"/>
                <w:szCs w:val="24"/>
              </w:rPr>
              <w:t>分值</w:t>
            </w:r>
          </w:p>
        </w:tc>
        <w:tc>
          <w:tcPr>
            <w:tcW w:w="272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b/>
                <w:kern w:val="1"/>
                <w:sz w:val="24"/>
                <w:szCs w:val="24"/>
              </w:rPr>
            </w:pPr>
            <w:r>
              <w:rPr>
                <w:rFonts w:hint="eastAsia" w:ascii="Calibri" w:hAnsi="Calibri"/>
                <w:b/>
                <w:kern w:val="1"/>
                <w:sz w:val="24"/>
                <w:szCs w:val="24"/>
              </w:rPr>
              <w:t>页码</w:t>
            </w:r>
          </w:p>
        </w:tc>
      </w:tr>
      <w:tr>
        <w:tblPrEx>
          <w:tblCellMar>
            <w:top w:w="0" w:type="dxa"/>
            <w:left w:w="108" w:type="dxa"/>
            <w:bottom w:w="0" w:type="dxa"/>
            <w:right w:w="108" w:type="dxa"/>
          </w:tblCellMar>
        </w:tblPrEx>
        <w:trPr>
          <w:trHeight w:val="430"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pStyle w:val="63"/>
              <w:ind w:firstLine="240" w:firstLineChars="100"/>
              <w:jc w:val="center"/>
              <w:rPr>
                <w:rFonts w:ascii="Calibri" w:hAnsi="Calibri"/>
                <w:b/>
                <w:kern w:val="1"/>
                <w:sz w:val="24"/>
                <w:szCs w:val="24"/>
              </w:rPr>
            </w:pPr>
            <w:r>
              <w:rPr>
                <w:rFonts w:hint="eastAsia" w:ascii="Calibri" w:hAnsi="Calibri"/>
                <w:b/>
                <w:kern w:val="1"/>
                <w:sz w:val="24"/>
                <w:szCs w:val="24"/>
              </w:rPr>
              <w:t>一</w:t>
            </w:r>
          </w:p>
        </w:tc>
        <w:tc>
          <w:tcPr>
            <w:tcW w:w="1743" w:type="dxa"/>
            <w:tcBorders>
              <w:top w:val="single" w:color="000000" w:sz="4" w:space="0"/>
              <w:left w:val="single" w:color="000000" w:sz="4" w:space="0"/>
              <w:bottom w:val="single" w:color="000000" w:sz="4" w:space="0"/>
              <w:right w:val="single" w:color="000000" w:sz="4" w:space="0"/>
            </w:tcBorders>
            <w:vAlign w:val="center"/>
          </w:tcPr>
          <w:p>
            <w:pPr>
              <w:pStyle w:val="63"/>
              <w:ind w:firstLine="0"/>
              <w:jc w:val="center"/>
              <w:rPr>
                <w:rFonts w:ascii="Calibri" w:hAnsi="Calibri"/>
                <w:b/>
                <w:kern w:val="1"/>
                <w:sz w:val="24"/>
                <w:szCs w:val="24"/>
              </w:rPr>
            </w:pPr>
            <w:r>
              <w:rPr>
                <w:rFonts w:hint="eastAsia" w:ascii="Calibri" w:hAnsi="Calibri"/>
                <w:b/>
                <w:kern w:val="1"/>
                <w:sz w:val="24"/>
                <w:szCs w:val="24"/>
              </w:rPr>
              <w:t>技术分</w:t>
            </w:r>
          </w:p>
        </w:tc>
        <w:tc>
          <w:tcPr>
            <w:tcW w:w="2741" w:type="dxa"/>
            <w:tcBorders>
              <w:top w:val="single" w:color="000000" w:sz="4" w:space="0"/>
              <w:left w:val="single" w:color="000000" w:sz="4" w:space="0"/>
              <w:bottom w:val="single" w:color="000000" w:sz="4" w:space="0"/>
              <w:right w:val="single" w:color="000000" w:sz="4" w:space="0"/>
            </w:tcBorders>
            <w:vAlign w:val="center"/>
          </w:tcPr>
          <w:p>
            <w:pPr>
              <w:pStyle w:val="63"/>
              <w:ind w:firstLine="482"/>
              <w:jc w:val="center"/>
              <w:rPr>
                <w:rFonts w:ascii="Calibri" w:hAnsi="Calibri"/>
                <w:b/>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b/>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b/>
                <w:kern w:val="1"/>
                <w:sz w:val="24"/>
                <w:szCs w:val="24"/>
              </w:rPr>
            </w:pPr>
          </w:p>
        </w:tc>
      </w:tr>
      <w:tr>
        <w:tblPrEx>
          <w:tblCellMar>
            <w:top w:w="0" w:type="dxa"/>
            <w:left w:w="108" w:type="dxa"/>
            <w:bottom w:w="0" w:type="dxa"/>
            <w:right w:w="108" w:type="dxa"/>
          </w:tblCellMar>
        </w:tblPrEx>
        <w:trPr>
          <w:cantSplit/>
          <w:trHeight w:val="574"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r>
              <w:rPr>
                <w:rFonts w:hint="eastAsia" w:ascii="宋体" w:hAnsi="宋体" w:cs="宋体"/>
                <w:kern w:val="1"/>
                <w:sz w:val="24"/>
                <w:szCs w:val="22"/>
              </w:rPr>
              <w:t>1</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c>
          <w:tcPr>
            <w:tcW w:w="2741" w:type="dxa"/>
            <w:tcBorders>
              <w:top w:val="single" w:color="000000" w:sz="4" w:space="0"/>
              <w:left w:val="single" w:color="000000" w:sz="4" w:space="0"/>
              <w:right w:val="single" w:color="000000" w:sz="4" w:space="0"/>
            </w:tcBorders>
            <w:vAlign w:val="center"/>
          </w:tcPr>
          <w:p>
            <w:pPr>
              <w:jc w:val="center"/>
              <w:rPr>
                <w:rFonts w:ascii="宋体" w:hAnsi="宋体" w:cs="宋体"/>
                <w:kern w:val="1"/>
                <w:sz w:val="24"/>
                <w:szCs w:val="22"/>
              </w:rPr>
            </w:pPr>
          </w:p>
        </w:tc>
        <w:tc>
          <w:tcPr>
            <w:tcW w:w="1167" w:type="dxa"/>
            <w:tcBorders>
              <w:top w:val="single" w:color="000000" w:sz="4" w:space="0"/>
              <w:left w:val="single" w:color="000000" w:sz="4" w:space="0"/>
              <w:right w:val="single" w:color="000000" w:sz="4" w:space="0"/>
            </w:tcBorders>
            <w:vAlign w:val="center"/>
          </w:tcPr>
          <w:p>
            <w:pPr>
              <w:jc w:val="center"/>
              <w:rPr>
                <w:rFonts w:ascii="宋体" w:hAnsi="宋体" w:cs="宋体"/>
                <w:kern w:val="1"/>
                <w:sz w:val="24"/>
                <w:szCs w:val="22"/>
              </w:rPr>
            </w:pPr>
          </w:p>
        </w:tc>
        <w:tc>
          <w:tcPr>
            <w:tcW w:w="2727" w:type="dxa"/>
            <w:tcBorders>
              <w:top w:val="single" w:color="000000" w:sz="4" w:space="0"/>
              <w:left w:val="single" w:color="000000" w:sz="4" w:space="0"/>
              <w:right w:val="single" w:color="000000" w:sz="4" w:space="0"/>
            </w:tcBorders>
            <w:vAlign w:val="center"/>
          </w:tcPr>
          <w:p>
            <w:pPr>
              <w:jc w:val="center"/>
              <w:rPr>
                <w:rFonts w:ascii="宋体" w:hAnsi="宋体" w:cs="宋体"/>
                <w:kern w:val="1"/>
                <w:sz w:val="24"/>
                <w:szCs w:val="22"/>
              </w:rPr>
            </w:pPr>
            <w:r>
              <w:rPr>
                <w:rFonts w:hint="eastAsia" w:ascii="宋体" w:hAnsi="宋体" w:cs="宋体"/>
                <w:kern w:val="1"/>
                <w:sz w:val="24"/>
                <w:szCs w:val="22"/>
              </w:rPr>
              <w:t>详见技术文件第几页</w:t>
            </w:r>
          </w:p>
        </w:tc>
      </w:tr>
      <w:tr>
        <w:tblPrEx>
          <w:tblCellMar>
            <w:top w:w="0" w:type="dxa"/>
            <w:left w:w="108" w:type="dxa"/>
            <w:bottom w:w="0" w:type="dxa"/>
            <w:right w:w="108" w:type="dxa"/>
          </w:tblCellMar>
        </w:tblPrEx>
        <w:trPr>
          <w:cantSplit/>
          <w:trHeight w:val="1046"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r>
              <w:rPr>
                <w:rFonts w:hint="eastAsia" w:ascii="宋体" w:hAnsi="宋体" w:cs="宋体"/>
                <w:kern w:val="1"/>
                <w:sz w:val="24"/>
                <w:szCs w:val="22"/>
              </w:rPr>
              <w:t>2</w:t>
            </w:r>
          </w:p>
        </w:tc>
        <w:tc>
          <w:tcPr>
            <w:tcW w:w="174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kern w:val="1"/>
                <w:sz w:val="24"/>
                <w:szCs w:val="22"/>
              </w:rPr>
            </w:pPr>
          </w:p>
        </w:tc>
        <w:tc>
          <w:tcPr>
            <w:tcW w:w="2741" w:type="dxa"/>
            <w:tcBorders>
              <w:top w:val="single" w:color="000000" w:sz="4" w:space="0"/>
              <w:left w:val="single" w:color="000000" w:sz="4" w:space="0"/>
              <w:right w:val="single" w:color="000000" w:sz="4" w:space="0"/>
            </w:tcBorders>
            <w:vAlign w:val="center"/>
          </w:tcPr>
          <w:p>
            <w:pPr>
              <w:widowControl/>
              <w:jc w:val="center"/>
              <w:rPr>
                <w:rFonts w:ascii="宋体" w:hAnsi="宋体" w:cs="宋体"/>
                <w:sz w:val="24"/>
                <w:szCs w:val="22"/>
              </w:rPr>
            </w:pPr>
          </w:p>
        </w:tc>
        <w:tc>
          <w:tcPr>
            <w:tcW w:w="1167" w:type="dxa"/>
            <w:tcBorders>
              <w:top w:val="single" w:color="000000" w:sz="4" w:space="0"/>
              <w:left w:val="single" w:color="000000" w:sz="4" w:space="0"/>
              <w:right w:val="single" w:color="000000" w:sz="4" w:space="0"/>
            </w:tcBorders>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right w:val="single" w:color="000000" w:sz="4" w:space="0"/>
            </w:tcBorders>
            <w:vAlign w:val="center"/>
          </w:tcPr>
          <w:p>
            <w:pPr>
              <w:jc w:val="center"/>
              <w:rPr>
                <w:rFonts w:ascii="宋体" w:hAnsi="宋体" w:cs="宋体"/>
                <w:kern w:val="1"/>
                <w:sz w:val="24"/>
                <w:szCs w:val="22"/>
              </w:rPr>
            </w:pPr>
            <w:r>
              <w:rPr>
                <w:rFonts w:hint="eastAsia" w:ascii="宋体" w:hAnsi="宋体" w:cs="宋体"/>
                <w:kern w:val="1"/>
                <w:sz w:val="24"/>
                <w:szCs w:val="22"/>
              </w:rPr>
              <w:t>……</w:t>
            </w:r>
          </w:p>
        </w:tc>
      </w:tr>
      <w:tr>
        <w:tblPrEx>
          <w:tblCellMar>
            <w:top w:w="0" w:type="dxa"/>
            <w:left w:w="108" w:type="dxa"/>
            <w:bottom w:w="0" w:type="dxa"/>
            <w:right w:w="108" w:type="dxa"/>
          </w:tblCellMar>
        </w:tblPrEx>
        <w:trPr>
          <w:cantSplit/>
          <w:trHeight w:val="762" w:hRule="atLeast"/>
          <w:jc w:val="center"/>
        </w:trPr>
        <w:tc>
          <w:tcPr>
            <w:tcW w:w="792" w:type="dxa"/>
            <w:tcBorders>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r>
              <w:rPr>
                <w:rFonts w:hint="eastAsia" w:ascii="宋体" w:hAnsi="宋体" w:cs="宋体"/>
                <w:kern w:val="1"/>
                <w:sz w:val="24"/>
                <w:szCs w:val="22"/>
              </w:rPr>
              <w:t>……</w:t>
            </w:r>
          </w:p>
        </w:tc>
        <w:tc>
          <w:tcPr>
            <w:tcW w:w="1743" w:type="dxa"/>
            <w:tcBorders>
              <w:left w:val="single" w:color="000000" w:sz="4" w:space="0"/>
              <w:bottom w:val="single" w:color="000000" w:sz="4" w:space="0"/>
              <w:right w:val="single" w:color="000000" w:sz="4" w:space="0"/>
            </w:tcBorders>
            <w:vAlign w:val="center"/>
          </w:tcPr>
          <w:p>
            <w:pPr>
              <w:widowControl/>
              <w:jc w:val="center"/>
              <w:rPr>
                <w:rFonts w:ascii="宋体" w:hAnsi="宋体" w:cs="宋体"/>
                <w:sz w:val="24"/>
                <w:szCs w:val="22"/>
              </w:rPr>
            </w:pPr>
          </w:p>
        </w:tc>
        <w:tc>
          <w:tcPr>
            <w:tcW w:w="2741" w:type="dxa"/>
            <w:tcBorders>
              <w:top w:val="single" w:color="000000" w:sz="4" w:space="0"/>
              <w:left w:val="single" w:color="000000" w:sz="4" w:space="0"/>
              <w:bottom w:val="single" w:color="000000" w:sz="4" w:space="0"/>
              <w:right w:val="single" w:color="000000" w:sz="4" w:space="0"/>
            </w:tcBorders>
            <w:vAlign w:val="center"/>
          </w:tcPr>
          <w:p>
            <w:pPr>
              <w:ind w:left="55"/>
              <w:jc w:val="center"/>
              <w:rPr>
                <w:rFonts w:ascii="宋体" w:hAnsi="宋体" w:cs="宋体"/>
                <w:sz w:val="24"/>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r>
      <w:tr>
        <w:tblPrEx>
          <w:tblCellMar>
            <w:top w:w="0" w:type="dxa"/>
            <w:left w:w="108" w:type="dxa"/>
            <w:bottom w:w="0" w:type="dxa"/>
            <w:right w:w="108" w:type="dxa"/>
          </w:tblCellMar>
        </w:tblPrEx>
        <w:trPr>
          <w:cantSplit/>
          <w:trHeight w:val="488"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kern w:val="1"/>
                <w:sz w:val="24"/>
                <w:szCs w:val="22"/>
              </w:rPr>
            </w:pPr>
            <w:r>
              <w:rPr>
                <w:rFonts w:hint="eastAsia" w:ascii="宋体" w:hAnsi="宋体" w:cs="宋体"/>
                <w:b/>
                <w:kern w:val="1"/>
                <w:sz w:val="24"/>
                <w:szCs w:val="22"/>
              </w:rPr>
              <w:t>二</w:t>
            </w:r>
          </w:p>
        </w:tc>
        <w:tc>
          <w:tcPr>
            <w:tcW w:w="17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kern w:val="1"/>
                <w:sz w:val="24"/>
                <w:szCs w:val="22"/>
              </w:rPr>
            </w:pPr>
            <w:r>
              <w:rPr>
                <w:rFonts w:hint="eastAsia" w:ascii="宋体" w:hAnsi="宋体" w:cs="宋体"/>
                <w:b/>
                <w:kern w:val="1"/>
                <w:sz w:val="24"/>
                <w:szCs w:val="22"/>
              </w:rPr>
              <w:t>商务资信分</w:t>
            </w:r>
          </w:p>
        </w:tc>
        <w:tc>
          <w:tcPr>
            <w:tcW w:w="2741"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b/>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b/>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b/>
                <w:kern w:val="1"/>
                <w:sz w:val="24"/>
                <w:szCs w:val="24"/>
              </w:rPr>
            </w:pPr>
          </w:p>
        </w:tc>
      </w:tr>
      <w:tr>
        <w:tblPrEx>
          <w:tblCellMar>
            <w:top w:w="0" w:type="dxa"/>
            <w:left w:w="108" w:type="dxa"/>
            <w:bottom w:w="0" w:type="dxa"/>
            <w:right w:w="108" w:type="dxa"/>
          </w:tblCellMar>
        </w:tblPrEx>
        <w:trPr>
          <w:cantSplit/>
          <w:trHeight w:val="550"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szCs w:val="22"/>
              </w:rPr>
            </w:pPr>
          </w:p>
        </w:tc>
        <w:tc>
          <w:tcPr>
            <w:tcW w:w="274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r>
              <w:rPr>
                <w:rFonts w:hint="eastAsia" w:ascii="宋体" w:hAnsi="宋体" w:cs="宋体"/>
                <w:kern w:val="1"/>
                <w:sz w:val="24"/>
                <w:szCs w:val="22"/>
              </w:rPr>
              <w:t>详见商务资信文件第几页</w:t>
            </w:r>
          </w:p>
        </w:tc>
      </w:tr>
      <w:tr>
        <w:tblPrEx>
          <w:tblCellMar>
            <w:top w:w="0" w:type="dxa"/>
            <w:left w:w="108" w:type="dxa"/>
            <w:bottom w:w="0" w:type="dxa"/>
            <w:right w:w="108" w:type="dxa"/>
          </w:tblCellMar>
        </w:tblPrEx>
        <w:trPr>
          <w:cantSplit/>
          <w:trHeight w:val="605"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kern w:val="1"/>
                <w:sz w:val="24"/>
                <w:szCs w:val="24"/>
              </w:rPr>
            </w:pPr>
            <w:r>
              <w:rPr>
                <w:rFonts w:hint="eastAsia" w:ascii="Calibri" w:hAnsi="Calibri"/>
                <w:kern w:val="1"/>
                <w:sz w:val="24"/>
                <w:szCs w:val="24"/>
              </w:rPr>
              <w:t>……</w:t>
            </w:r>
          </w:p>
        </w:tc>
      </w:tr>
      <w:tr>
        <w:tblPrEx>
          <w:tblCellMar>
            <w:top w:w="0" w:type="dxa"/>
            <w:left w:w="108" w:type="dxa"/>
            <w:bottom w:w="0" w:type="dxa"/>
            <w:right w:w="108" w:type="dxa"/>
          </w:tblCellMar>
        </w:tblPrEx>
        <w:trPr>
          <w:cantSplit/>
          <w:trHeight w:val="605"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kern w:val="1"/>
                <w:sz w:val="24"/>
                <w:szCs w:val="24"/>
              </w:rPr>
            </w:pPr>
          </w:p>
        </w:tc>
      </w:tr>
      <w:tr>
        <w:tblPrEx>
          <w:tblCellMar>
            <w:top w:w="0" w:type="dxa"/>
            <w:left w:w="108" w:type="dxa"/>
            <w:bottom w:w="0" w:type="dxa"/>
            <w:right w:w="108" w:type="dxa"/>
          </w:tblCellMar>
        </w:tblPrEx>
        <w:trPr>
          <w:cantSplit/>
          <w:trHeight w:val="622" w:hRule="atLeast"/>
          <w:jc w:val="center"/>
        </w:trPr>
        <w:tc>
          <w:tcPr>
            <w:tcW w:w="792" w:type="dxa"/>
            <w:tcBorders>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p>
        </w:tc>
        <w:tc>
          <w:tcPr>
            <w:tcW w:w="1743" w:type="dxa"/>
            <w:tcBorders>
              <w:left w:val="single" w:color="000000" w:sz="4" w:space="0"/>
              <w:bottom w:val="single" w:color="000000" w:sz="4" w:space="0"/>
              <w:right w:val="single" w:color="000000" w:sz="4" w:space="0"/>
            </w:tcBorders>
            <w:vAlign w:val="center"/>
          </w:tcPr>
          <w:p>
            <w:pPr>
              <w:widowControl/>
              <w:jc w:val="center"/>
              <w:rPr>
                <w:rFonts w:ascii="宋体" w:hAnsi="宋体" w:cs="宋体"/>
                <w:b/>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vAlign w:val="center"/>
          </w:tcPr>
          <w:p>
            <w:pPr>
              <w:pStyle w:val="63"/>
              <w:jc w:val="center"/>
              <w:rPr>
                <w:rFonts w:ascii="Calibri" w:hAnsi="Calibri"/>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p>
        </w:tc>
        <w:tc>
          <w:tcPr>
            <w:tcW w:w="1743" w:type="dxa"/>
            <w:tcBorders>
              <w:left w:val="single" w:color="000000" w:sz="4" w:space="0"/>
              <w:bottom w:val="single" w:color="000000" w:sz="4" w:space="0"/>
              <w:right w:val="single" w:color="000000" w:sz="4" w:space="0"/>
            </w:tcBorders>
            <w:vAlign w:val="center"/>
          </w:tcPr>
          <w:p>
            <w:pPr>
              <w:spacing w:line="320" w:lineRule="exact"/>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 w:val="24"/>
                <w:szCs w:val="22"/>
              </w:rPr>
            </w:pPr>
          </w:p>
        </w:tc>
      </w:tr>
    </w:tbl>
    <w:p>
      <w:pPr>
        <w:spacing w:before="50" w:after="50"/>
        <w:ind w:firstLine="600"/>
        <w:rPr>
          <w:szCs w:val="21"/>
        </w:rPr>
      </w:pPr>
      <w:r>
        <w:rPr>
          <w:rFonts w:ascii="宋体" w:hAnsi="宋体" w:cs="宋体"/>
          <w:kern w:val="1"/>
          <w:sz w:val="24"/>
        </w:rPr>
        <w:t>注：评分对应表主要用于作为专家评分的一个参考及查阅依据</w:t>
      </w:r>
      <w:r>
        <w:rPr>
          <w:rFonts w:hint="eastAsia" w:ascii="宋体" w:hAnsi="宋体" w:cs="宋体"/>
          <w:kern w:val="1"/>
          <w:sz w:val="24"/>
        </w:rPr>
        <w:t>。</w:t>
      </w:r>
    </w:p>
    <w:p>
      <w:pPr>
        <w:pageBreakBefore/>
        <w:spacing w:line="360" w:lineRule="auto"/>
        <w:jc w:val="center"/>
        <w:outlineLvl w:val="1"/>
        <w:rPr>
          <w:rFonts w:ascii="Times New Roman" w:hAnsi="Times New Roman"/>
          <w:b/>
          <w:color w:val="000000"/>
          <w:sz w:val="28"/>
          <w:szCs w:val="28"/>
        </w:rPr>
      </w:pPr>
      <w:r>
        <w:rPr>
          <w:rFonts w:ascii="Times New Roman" w:hAnsi="Times New Roman"/>
          <w:b/>
          <w:color w:val="000000"/>
          <w:sz w:val="28"/>
          <w:szCs w:val="28"/>
        </w:rPr>
        <w:t>政府采购支持中小企业信用融资相关事项通知</w:t>
      </w:r>
      <w:bookmarkEnd w:id="214"/>
      <w:r>
        <w:rPr>
          <w:rFonts w:hint="eastAsia" w:ascii="Times New Roman" w:hAnsi="Times New Roman"/>
          <w:b/>
          <w:color w:val="000000"/>
          <w:sz w:val="28"/>
          <w:szCs w:val="28"/>
        </w:rPr>
        <w:t>（仅供参考）</w:t>
      </w:r>
    </w:p>
    <w:p>
      <w:pPr>
        <w:spacing w:line="360" w:lineRule="auto"/>
        <w:ind w:firstLine="480" w:firstLineChars="200"/>
        <w:rPr>
          <w:rFonts w:ascii="Times New Roman" w:hAnsi="Times New Roman"/>
          <w:color w:val="000000"/>
          <w:sz w:val="24"/>
        </w:rPr>
      </w:pPr>
      <w:r>
        <w:rPr>
          <w:rFonts w:ascii="Times New Roman" w:hAnsi="Times New Roman"/>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outlineLvl w:val="1"/>
        <w:rPr>
          <w:rFonts w:ascii="Times New Roman" w:hAnsi="Times New Roman"/>
          <w:b/>
          <w:color w:val="000000"/>
          <w:sz w:val="24"/>
        </w:rPr>
      </w:pPr>
      <w:bookmarkStart w:id="215" w:name="_Toc2960"/>
      <w:r>
        <w:rPr>
          <w:rFonts w:ascii="Times New Roman" w:hAnsi="Times New Roman"/>
          <w:b/>
          <w:color w:val="000000"/>
          <w:sz w:val="24"/>
        </w:rPr>
        <w:t>一、适用对象</w:t>
      </w:r>
      <w:bookmarkEnd w:id="215"/>
    </w:p>
    <w:p>
      <w:pPr>
        <w:spacing w:line="360" w:lineRule="auto"/>
        <w:ind w:firstLine="480" w:firstLineChars="200"/>
        <w:rPr>
          <w:rFonts w:ascii="Times New Roman" w:hAnsi="Times New Roman"/>
          <w:color w:val="000000"/>
          <w:sz w:val="24"/>
        </w:rPr>
      </w:pPr>
      <w:r>
        <w:rPr>
          <w:rFonts w:ascii="Times New Roman" w:hAnsi="Times New Roman"/>
          <w:color w:val="000000"/>
          <w:sz w:val="24"/>
        </w:rPr>
        <w:t>在浙江政府采购网注册入库，并取得杭州市政府采购合同的杭州市内中小企业供应商。</w:t>
      </w:r>
    </w:p>
    <w:p>
      <w:pPr>
        <w:spacing w:line="360" w:lineRule="auto"/>
        <w:ind w:firstLine="482" w:firstLineChars="200"/>
        <w:outlineLvl w:val="1"/>
        <w:rPr>
          <w:rFonts w:ascii="Times New Roman" w:hAnsi="Times New Roman"/>
          <w:b/>
          <w:color w:val="000000"/>
          <w:sz w:val="24"/>
        </w:rPr>
      </w:pPr>
      <w:bookmarkStart w:id="216" w:name="_Toc6492"/>
      <w:r>
        <w:rPr>
          <w:rFonts w:ascii="Times New Roman" w:hAnsi="Times New Roman"/>
          <w:b/>
          <w:color w:val="000000"/>
          <w:sz w:val="24"/>
        </w:rPr>
        <w:t>二、相关信息获取方式</w:t>
      </w:r>
      <w:bookmarkEnd w:id="216"/>
    </w:p>
    <w:p>
      <w:pPr>
        <w:spacing w:line="360" w:lineRule="auto"/>
        <w:ind w:firstLine="480" w:firstLineChars="200"/>
        <w:rPr>
          <w:rFonts w:ascii="Times New Roman" w:hAnsi="Times New Roman"/>
          <w:color w:val="000000"/>
          <w:sz w:val="24"/>
        </w:rPr>
      </w:pPr>
      <w:r>
        <w:rPr>
          <w:rFonts w:ascii="Times New Roman" w:hAnsi="Times New Roman"/>
          <w:color w:val="000000"/>
          <w:sz w:val="24"/>
        </w:rPr>
        <w:t>请登陆杭州市政府采购网“中小企业信用融资”模块，查看信用融资政策文件及各相关银行服务方案。</w:t>
      </w:r>
    </w:p>
    <w:p>
      <w:pPr>
        <w:spacing w:line="360" w:lineRule="auto"/>
        <w:ind w:firstLine="482" w:firstLineChars="200"/>
        <w:outlineLvl w:val="1"/>
        <w:rPr>
          <w:rFonts w:ascii="Times New Roman" w:hAnsi="Times New Roman"/>
          <w:b/>
          <w:color w:val="000000"/>
          <w:sz w:val="24"/>
        </w:rPr>
      </w:pPr>
      <w:bookmarkStart w:id="217" w:name="_Toc12036"/>
      <w:r>
        <w:rPr>
          <w:rFonts w:ascii="Times New Roman" w:hAnsi="Times New Roman"/>
          <w:b/>
          <w:color w:val="000000"/>
          <w:sz w:val="24"/>
        </w:rPr>
        <w:t>三、申请方式和步骤</w:t>
      </w:r>
      <w:bookmarkEnd w:id="217"/>
    </w:p>
    <w:p>
      <w:pPr>
        <w:spacing w:line="360" w:lineRule="auto"/>
        <w:ind w:firstLine="482" w:firstLineChars="200"/>
        <w:rPr>
          <w:rFonts w:ascii="Times New Roman" w:hAnsi="Times New Roman"/>
          <w:b/>
          <w:bCs/>
          <w:color w:val="000000"/>
          <w:sz w:val="24"/>
        </w:rPr>
      </w:pPr>
      <w:r>
        <w:rPr>
          <w:rFonts w:ascii="Times New Roman" w:hAnsi="Times New Roman"/>
          <w:b/>
          <w:bCs/>
          <w:color w:val="000000"/>
          <w:sz w:val="24"/>
        </w:rPr>
        <w:t>（一）“云采贷”融资</w:t>
      </w:r>
    </w:p>
    <w:p>
      <w:pPr>
        <w:spacing w:line="360" w:lineRule="auto"/>
        <w:ind w:firstLine="480" w:firstLineChars="200"/>
        <w:rPr>
          <w:rFonts w:ascii="Times New Roman" w:hAnsi="Times New Roman"/>
          <w:color w:val="000000"/>
          <w:sz w:val="24"/>
        </w:rPr>
      </w:pPr>
      <w:r>
        <w:rPr>
          <w:rFonts w:ascii="Times New Roman" w:hAnsi="Times New Roman"/>
          <w:color w:val="000000"/>
          <w:sz w:val="24"/>
        </w:rPr>
        <w:t>1、供应商先与银行对接，办理融资前期手续；</w:t>
      </w:r>
    </w:p>
    <w:p>
      <w:pPr>
        <w:spacing w:line="360" w:lineRule="auto"/>
        <w:ind w:firstLine="480" w:firstLineChars="200"/>
        <w:rPr>
          <w:rFonts w:ascii="Times New Roman" w:hAnsi="Times New Roman"/>
          <w:color w:val="000000"/>
          <w:sz w:val="24"/>
        </w:rPr>
      </w:pPr>
      <w:r>
        <w:rPr>
          <w:rFonts w:ascii="Times New Roman" w:hAnsi="Times New Roman"/>
          <w:color w:val="000000"/>
          <w:sz w:val="24"/>
        </w:rPr>
        <w:t>2、供应商中标后，登陆“中小企业信用融资”模块测算授信额度，并向银行发出融资申请；</w:t>
      </w:r>
    </w:p>
    <w:p>
      <w:pPr>
        <w:spacing w:line="360" w:lineRule="auto"/>
        <w:ind w:firstLine="480" w:firstLineChars="200"/>
        <w:rPr>
          <w:rFonts w:ascii="Times New Roman" w:hAnsi="Times New Roman"/>
          <w:color w:val="000000"/>
          <w:sz w:val="24"/>
        </w:rPr>
      </w:pPr>
      <w:r>
        <w:rPr>
          <w:rFonts w:ascii="Times New Roman" w:hAnsi="Times New Roman"/>
          <w:color w:val="000000"/>
          <w:sz w:val="24"/>
        </w:rPr>
        <w:t>3、银行线上审批通过后，办理放贷手续。</w:t>
      </w:r>
    </w:p>
    <w:p>
      <w:pPr>
        <w:spacing w:line="360" w:lineRule="auto"/>
        <w:ind w:firstLine="482" w:firstLineChars="200"/>
        <w:rPr>
          <w:rFonts w:ascii="Times New Roman" w:hAnsi="Times New Roman"/>
          <w:b/>
          <w:bCs/>
          <w:color w:val="000000"/>
          <w:sz w:val="24"/>
        </w:rPr>
      </w:pPr>
      <w:r>
        <w:rPr>
          <w:rFonts w:ascii="Times New Roman" w:hAnsi="Times New Roman"/>
          <w:b/>
          <w:bCs/>
          <w:color w:val="000000"/>
          <w:sz w:val="24"/>
        </w:rPr>
        <w:t>（二）一般融资</w:t>
      </w:r>
    </w:p>
    <w:p>
      <w:pPr>
        <w:spacing w:line="360" w:lineRule="auto"/>
        <w:ind w:firstLine="480" w:firstLineChars="200"/>
        <w:rPr>
          <w:rFonts w:ascii="Times New Roman" w:hAnsi="Times New Roman"/>
          <w:color w:val="000000"/>
          <w:sz w:val="24"/>
        </w:rPr>
      </w:pPr>
      <w:r>
        <w:rPr>
          <w:rFonts w:ascii="Times New Roman" w:hAnsi="Times New Roman"/>
          <w:color w:val="000000"/>
          <w:sz w:val="24"/>
        </w:rPr>
        <w:t>1、供应商先与银行对接，办理融资前期手续；</w:t>
      </w:r>
    </w:p>
    <w:p>
      <w:pPr>
        <w:spacing w:line="360" w:lineRule="auto"/>
        <w:ind w:firstLine="480" w:firstLineChars="200"/>
        <w:rPr>
          <w:rFonts w:ascii="Times New Roman" w:hAnsi="Times New Roman"/>
          <w:color w:val="000000"/>
          <w:sz w:val="24"/>
        </w:rPr>
      </w:pPr>
      <w:r>
        <w:rPr>
          <w:rFonts w:ascii="Times New Roman" w:hAnsi="Times New Roman"/>
          <w:color w:val="000000"/>
          <w:sz w:val="24"/>
        </w:rPr>
        <w:t>2、供应商中标后，登陆杭州市政府采购网“中小企业信用融资”模块，向相关合作银行发出融资申请；</w:t>
      </w:r>
    </w:p>
    <w:p>
      <w:pPr>
        <w:spacing w:line="360" w:lineRule="auto"/>
        <w:ind w:firstLine="480" w:firstLineChars="200"/>
        <w:rPr>
          <w:rFonts w:ascii="Times New Roman" w:hAnsi="Times New Roman"/>
          <w:color w:val="000000"/>
          <w:sz w:val="24"/>
        </w:rPr>
      </w:pPr>
      <w:r>
        <w:rPr>
          <w:rFonts w:ascii="Times New Roman" w:hAnsi="Times New Roman"/>
          <w:color w:val="000000"/>
          <w:sz w:val="24"/>
        </w:rPr>
        <w:t>3、银行在“中小企业信用融资”模块受理申请；</w:t>
      </w:r>
    </w:p>
    <w:p>
      <w:pPr>
        <w:spacing w:line="360" w:lineRule="auto"/>
        <w:ind w:firstLine="480" w:firstLineChars="200"/>
        <w:rPr>
          <w:rFonts w:ascii="Times New Roman" w:hAnsi="Times New Roman"/>
          <w:color w:val="000000"/>
          <w:sz w:val="24"/>
        </w:rPr>
      </w:pPr>
      <w:r>
        <w:rPr>
          <w:rFonts w:ascii="Times New Roman" w:hAnsi="Times New Roman"/>
          <w:color w:val="000000"/>
          <w:sz w:val="24"/>
        </w:rPr>
        <w:t>4、银行、供应商线下办理审批、放贷事宜。</w:t>
      </w:r>
    </w:p>
    <w:p>
      <w:pPr>
        <w:spacing w:line="360" w:lineRule="auto"/>
        <w:ind w:firstLine="482" w:firstLineChars="200"/>
        <w:outlineLvl w:val="1"/>
        <w:rPr>
          <w:rFonts w:ascii="Times New Roman" w:hAnsi="Times New Roman"/>
          <w:b/>
          <w:color w:val="000000"/>
          <w:sz w:val="24"/>
        </w:rPr>
      </w:pPr>
      <w:bookmarkStart w:id="218" w:name="_Toc6744"/>
      <w:r>
        <w:rPr>
          <w:rFonts w:ascii="Times New Roman" w:hAnsi="Times New Roman"/>
          <w:b/>
          <w:color w:val="000000"/>
          <w:sz w:val="24"/>
        </w:rPr>
        <w:t>四、注意事项</w:t>
      </w:r>
      <w:bookmarkEnd w:id="218"/>
    </w:p>
    <w:p>
      <w:pPr>
        <w:spacing w:line="360" w:lineRule="auto"/>
        <w:ind w:firstLine="480" w:firstLineChars="200"/>
        <w:rPr>
          <w:rFonts w:ascii="Times New Roman" w:hAnsi="Times New Roman"/>
          <w:color w:val="000000"/>
          <w:sz w:val="24"/>
        </w:rPr>
      </w:pPr>
      <w:r>
        <w:rPr>
          <w:rFonts w:ascii="Times New Roman" w:hAnsi="Times New Roman"/>
          <w:color w:val="000000"/>
          <w:sz w:val="24"/>
        </w:rPr>
        <w:t>1、供应商需确保政府采购合同的收款银行与融资银行一致。</w:t>
      </w:r>
    </w:p>
    <w:p>
      <w:pPr>
        <w:spacing w:line="360" w:lineRule="auto"/>
        <w:ind w:firstLine="480" w:firstLineChars="200"/>
        <w:rPr>
          <w:rFonts w:ascii="Times New Roman" w:hAnsi="Times New Roman"/>
          <w:color w:val="000000"/>
          <w:sz w:val="24"/>
        </w:rPr>
      </w:pPr>
      <w:r>
        <w:rPr>
          <w:rFonts w:ascii="Times New Roman" w:hAnsi="Times New Roman"/>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color w:val="000000"/>
          <w:sz w:val="24"/>
        </w:rPr>
      </w:pPr>
      <w:r>
        <w:rPr>
          <w:rFonts w:ascii="Times New Roman" w:hAnsi="Times New Roman"/>
          <w:color w:val="000000"/>
          <w:sz w:val="24"/>
        </w:rPr>
        <w:t>3、技术服务热线：87210880；如有业务问题可与各合作银行联系。</w:t>
      </w:r>
    </w:p>
    <w:p>
      <w:pPr>
        <w:snapToGrid w:val="0"/>
        <w:spacing w:line="360" w:lineRule="auto"/>
        <w:rPr>
          <w:rFonts w:ascii="宋体" w:hAnsi="宋体"/>
          <w:color w:val="000000"/>
        </w:rPr>
      </w:pPr>
    </w:p>
    <w:p>
      <w:pPr>
        <w:pStyle w:val="90"/>
        <w:rPr>
          <w:color w:val="000000"/>
        </w:rPr>
      </w:pPr>
    </w:p>
    <w:p>
      <w:pPr>
        <w:pStyle w:val="90"/>
        <w:rPr>
          <w:color w:val="000000"/>
        </w:rPr>
      </w:pPr>
    </w:p>
    <w:p>
      <w:pPr>
        <w:rPr>
          <w:sz w:val="30"/>
          <w:szCs w:val="30"/>
        </w:rPr>
      </w:pPr>
      <w:r>
        <w:rPr>
          <w:rFonts w:hint="eastAsia"/>
          <w:sz w:val="30"/>
          <w:szCs w:val="30"/>
        </w:rPr>
        <w:t>附件（中标后提供）：</w:t>
      </w:r>
    </w:p>
    <w:p>
      <w:pPr>
        <w:jc w:val="center"/>
        <w:rPr>
          <w:b/>
          <w:sz w:val="48"/>
          <w:szCs w:val="48"/>
        </w:rPr>
      </w:pPr>
    </w:p>
    <w:p>
      <w:pPr>
        <w:jc w:val="center"/>
        <w:rPr>
          <w:b/>
          <w:sz w:val="48"/>
          <w:szCs w:val="48"/>
        </w:rPr>
      </w:pPr>
      <w:r>
        <w:rPr>
          <w:rFonts w:hint="eastAsia"/>
          <w:b/>
          <w:sz w:val="48"/>
          <w:szCs w:val="48"/>
        </w:rPr>
        <w:t>承 诺 书</w:t>
      </w:r>
    </w:p>
    <w:p>
      <w:pPr>
        <w:rPr>
          <w:sz w:val="30"/>
          <w:szCs w:val="30"/>
        </w:rPr>
      </w:pPr>
    </w:p>
    <w:p>
      <w:pPr>
        <w:rPr>
          <w:sz w:val="30"/>
          <w:szCs w:val="30"/>
        </w:rPr>
      </w:pPr>
    </w:p>
    <w:p>
      <w:pPr>
        <w:rPr>
          <w:sz w:val="30"/>
          <w:szCs w:val="30"/>
        </w:rPr>
      </w:pPr>
      <w:r>
        <w:rPr>
          <w:rFonts w:hint="eastAsia"/>
          <w:sz w:val="30"/>
          <w:szCs w:val="30"/>
          <w:u w:val="single"/>
          <w:lang w:eastAsia="zh-CN"/>
        </w:rPr>
        <w:t>浙江文华建设项目管理有限公司</w:t>
      </w:r>
      <w:r>
        <w:rPr>
          <w:rFonts w:hint="eastAsia"/>
          <w:sz w:val="30"/>
          <w:szCs w:val="30"/>
          <w:u w:val="single"/>
        </w:rPr>
        <w:t xml:space="preserve"> </w:t>
      </w:r>
      <w:r>
        <w:rPr>
          <w:rFonts w:hint="eastAsia"/>
          <w:sz w:val="30"/>
          <w:szCs w:val="30"/>
        </w:rPr>
        <w:t>：</w:t>
      </w:r>
    </w:p>
    <w:p>
      <w:pP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w:t>
      </w:r>
      <w:r>
        <w:rPr>
          <w:rFonts w:hint="eastAsia"/>
          <w:sz w:val="30"/>
          <w:szCs w:val="30"/>
        </w:rPr>
        <w:t>有幸中标，考虑本项目备案事宜，故由我单位再提供纸质版电子投标文件一正二副递交给招标代理机构备案，本公司承诺：</w:t>
      </w:r>
    </w:p>
    <w:p>
      <w:pP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w:t>
      </w:r>
      <w:bookmarkStart w:id="219" w:name="_GoBack"/>
      <w:bookmarkEnd w:id="219"/>
      <w:r>
        <w:rPr>
          <w:rFonts w:hint="eastAsia"/>
          <w:sz w:val="30"/>
          <w:szCs w:val="30"/>
          <w:u w:val="single"/>
        </w:rPr>
        <w:t>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内容均一致，如不一致导致的任何法律责任自付。特此承诺！</w:t>
      </w:r>
    </w:p>
    <w:p>
      <w:pPr>
        <w:spacing w:line="780" w:lineRule="exact"/>
        <w:ind w:firstLine="450" w:firstLineChars="150"/>
        <w:rPr>
          <w:sz w:val="30"/>
          <w:szCs w:val="30"/>
        </w:rPr>
      </w:pPr>
    </w:p>
    <w:p>
      <w:pPr>
        <w:spacing w:line="780" w:lineRule="exact"/>
        <w:rPr>
          <w:sz w:val="30"/>
          <w:szCs w:val="30"/>
        </w:rPr>
      </w:pPr>
    </w:p>
    <w:p>
      <w:pPr>
        <w:spacing w:line="780" w:lineRule="exact"/>
        <w:rPr>
          <w:sz w:val="30"/>
          <w:szCs w:val="30"/>
        </w:rPr>
      </w:pPr>
    </w:p>
    <w:p>
      <w:pPr>
        <w:spacing w:line="780" w:lineRule="exact"/>
        <w:rPr>
          <w:sz w:val="30"/>
          <w:szCs w:val="30"/>
        </w:rPr>
      </w:pPr>
      <w:r>
        <w:rPr>
          <w:rFonts w:hint="eastAsia"/>
          <w:sz w:val="30"/>
          <w:szCs w:val="30"/>
        </w:rPr>
        <w:t>投标人名称（盖公章）：</w:t>
      </w:r>
    </w:p>
    <w:p>
      <w:pPr>
        <w:spacing w:line="780" w:lineRule="exact"/>
        <w:ind w:firstLine="5850" w:firstLineChars="1950"/>
        <w:rPr>
          <w:sz w:val="30"/>
          <w:szCs w:val="30"/>
        </w:rPr>
      </w:pPr>
      <w:r>
        <w:rPr>
          <w:rFonts w:hint="eastAsia"/>
          <w:sz w:val="30"/>
          <w:szCs w:val="30"/>
        </w:rPr>
        <w:t>2020年   月   日</w:t>
      </w:r>
    </w:p>
    <w:p>
      <w:pPr>
        <w:spacing w:line="360" w:lineRule="auto"/>
        <w:ind w:firstLine="480" w:firstLineChars="200"/>
        <w:rPr>
          <w:rFonts w:ascii="宋体" w:hAnsi="宋体"/>
          <w:color w:val="000000"/>
          <w:sz w:val="24"/>
        </w:rPr>
      </w:pPr>
    </w:p>
    <w:p>
      <w:pPr>
        <w:snapToGrid w:val="0"/>
        <w:spacing w:line="360" w:lineRule="auto"/>
        <w:rPr>
          <w:rFonts w:ascii="宋体" w:hAnsi="宋体"/>
          <w:color w:val="000000"/>
        </w:rPr>
      </w:pPr>
    </w:p>
    <w:p>
      <w:pPr>
        <w:snapToGrid w:val="0"/>
        <w:spacing w:line="360" w:lineRule="auto"/>
        <w:rPr>
          <w:rFonts w:ascii="宋体" w:hAnsi="宋体"/>
          <w:color w:val="000000"/>
        </w:rPr>
      </w:pPr>
    </w:p>
    <w:sectPr>
      <w:headerReference r:id="rId6" w:type="default"/>
      <w:footerReference r:id="rId7" w:type="default"/>
      <w:pgSz w:w="11911" w:h="16838"/>
      <w:pgMar w:top="1417" w:right="1134" w:bottom="1984" w:left="1134" w:header="890" w:footer="1009" w:gutter="567"/>
      <w:pgNumType w:fmt="decimal"/>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auto"/>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0000009F" w:csb1="00000000"/>
  </w:font>
  <w:font w:name="Helvetica Neue">
    <w:altName w:val="微软雅黑"/>
    <w:panose1 w:val="00000000000000000000"/>
    <w:charset w:val="00"/>
    <w:family w:val="auto"/>
    <w:pitch w:val="default"/>
    <w:sig w:usb0="00000000" w:usb1="00000000" w:usb2="00000000" w:usb3="00000000" w:csb0="00040001" w:csb1="00000000"/>
  </w:font>
  <w:font w:name="Baskerville">
    <w:altName w:val="Cambria Math"/>
    <w:panose1 w:val="00000000000000000000"/>
    <w:charset w:val="00"/>
    <w:family w:val="auto"/>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color w:val="0000FF"/>
        <w:u w:val="thick"/>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K0v4jGAQAAbAMAAA4AAABkcnMvZTJvRG9jLnhtbK1TwY7TMBC9 I/EPlu802aJdoqjpCrRahIQAaeEDXMduLNkea+w2KR8Af8CJC3e+q9/B2G26CG6IizP2zLx5b2ay up2cZXuF0YDv+NWi5kx5Cb3x245/+nj/rOEsJuF7YcGrjh9U5Lfrp09WY2jVEgawvUJGID62Y+j4 kFJoqyrKQTkRFxCUJ6cGdCLRFbdVj2IkdGerZV3fVCNgHxCkipFe705Ovi74WiuZ3msdVWK248Qt lRPLuclntV6JdosiDEaeaYh/YOGE8VT0AnUnkmA7NH9BOSMRIui0kOAq0NpIVTSQmqv6DzUPgwiq aKHmxHBpU/x/sPLd/gMy03f8OWdeOBrR8dvX4/efxx9f2E1uzxhiS1EPgeLS9AomGvP8Hukxq540 uvwlPYz81OjDpblqSkzmpGbZNDW5JPnmC+FXj+kBY3qtwLFsdBxpeqWpYv82plPoHJKrebg31pYJ Ws9GQr1uXlyXjIuL0K2nIlnFiW220rSZztI20B9IGa0wVRwAP3M20jp03NO+cmbfeOp23pzZwNnY zIbwkhI7njjbBTTboWxZZhjDy10iloV8LnyqduZDIy3yz+uXd+b3e4l6/EnWvwB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BoaYJL0wAAAAUBAAAPAAAAAAAAAAEAIAAAACIAAABkcnMvZG93bnJldi54 bWxQSwECFAAUAAAACACHTuJA8rS/iMYBAABsAwAADgAAAAAAAAABACAAAAAiAQAAZHJzL2Uyb0Rv Yy54bWxQSwUGAAAAAAYABgBZAQAAWgUAAAAA ">
              <v:fill on="f" focussize="0,0"/>
              <v:stroke on="f" weight="1.25pt"/>
              <v:imagedata o:title=""/>
              <o:lock v:ext="edit" aspectratio="f"/>
              <v:textbox inset="0mm,0mm,0mm,0mm" style="mso-fit-shape-to-text:t;">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BDQ0C+oAQAAQQMAAA4AAABkcnMvZTJvRG9jLnhtbK1SS27bMBDdF8gd CO5jyl4EgmA5CBAkKFCkAdIegKZIiwB/GNKWfIH2Bl11033P5XN0SEtO0+6KbqiZ4ejNe4+zvh2t IQcJUXvX0uWiokQ64Tvtdi39/OnhuqYkJu46bryTLT3KSG83V+/WQ2jkyvfedBIIgrjYDKGlfUqh YSyKXloeFz5Ih5fKg+UJU9ixDviA6NawVVXdsMFDF8ALGSNW78+XdFPwlZIifVQqykRMS5FbKieU c5tPtlnzZgc89FpMNPg/sLBcOxx6gbrniZM96L+grBbgo1dpIbxlXiktZNGAapbVH2peeh5k0YLm xHCxKf4/WPF0eAaiu5auKHHc4hOdvn09ff95+vGF1NmeIcQGu17CM0xZxDBrHRXY/EUVZCyWHi+W yjERgcVlvarrCp0XeDcniMNefw8Q06P0luSgpYBvVqzkhw8xnVvnljzN+QdtDNZ5Y9ybAmLmCsuM zxxzlMbtOBHf+u6Iagd87pY63EdKzHuHbubNmAOYg+0c7APoXY/UloVXDHf7hCQKtzzhDDsNxncq 6qadyovwe166Xjd/8wt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ARBAAAW0NvbnRlbnRfVHlwZXNdLnhtbFBLAQIUAAoAAAAAAIdO4kAAAAAAAAAA AAAAAAAGAAAAAAAAAAAAEAAAAPMCAABfcmVscy9QSwECFAAUAAAACACHTuJAihRmPNEAAACUAQAA CwAAAAAAAAABACAAAAAXAwAAX3JlbHMvLnJlbHNQSwECFAAKAAAAAACHTuJAAAAAAAAAAAAAAAAA BAAAAAAAAAAAABAAAAAAAAAAZHJzL1BLAQIUABQAAAAIAIdO4kC5dblS0AAAAAUBAAAPAAAAAAAA AAEAIAAAACIAAABkcnMvZG93bnJldi54bWxQSwECFAAUAAAACACHTuJAENDQL6gBAABBAwAADgAA AAAAAAABACAAAAAfAQAAZHJzL2Uyb0RvYy54bWxQSwUGAAAAAAYABgBZAQAAOQUAAAAA ">
              <v:fill on="f" focussize="0,0"/>
              <v:stroke on="f"/>
              <v:imagedata o:title=""/>
              <o:lock v:ext="edit" aspectratio="f"/>
              <v:textbox inset="0mm,0mm,0mm,0mm" style="mso-fit-shape-to-text:t;">
                <w:txbxContent>
                  <w:p/>
                </w:txbxContent>
              </v:textbox>
            </v:rect>
          </w:pict>
        </mc:Fallback>
      </mc:AlternateContent>
    </w:r>
    <w:r>
      <w:rPr>
        <w:rFonts w:hint="eastAsia" w:eastAsia="宋体"/>
        <w:color w:val="0000FF"/>
      </w:rPr>
      <w:t xml:space="preserve">                       </w:t>
    </w:r>
    <w:r>
      <w:rPr>
        <w:rFonts w:hint="eastAsia" w:eastAsia="宋体"/>
        <w:color w:val="0000FF"/>
        <w:u w:val="thick"/>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2"/>
      </w:rPr>
    </w:pPr>
    <w:r>
      <w:fldChar w:fldCharType="begin"/>
    </w:r>
    <w:r>
      <w:rPr>
        <w:rStyle w:val="82"/>
      </w:rPr>
      <w:instrText xml:space="preserve">PAGE  </w:instrText>
    </w:r>
    <w:r>
      <w:fldChar w:fldCharType="end"/>
    </w:r>
  </w:p>
  <w:p>
    <w:pPr>
      <w:pStyle w:val="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color w:val="0000FF"/>
        <w:u w:val="thick"/>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yCTdHGAQAAbAMAAA4AAABkcnMvZTJvRG9jLnhtbK1TwY7TMBC9 I/EPlu802Yplo6jpCrRahIQAaeEDXMduLNkea+w2KR8Af8CJC3e+q9/B2G26CG6IizP2zLx5b2ay up2cZXuF0YDv+NWi5kx5Cb3x245/+nj/rOEsJuF7YcGrjh9U5Lfrp09WY2jVEgawvUJGID62Y+j4 kFJoqyrKQTkRFxCUJ6cGdCLRFbdVj2IkdGerZV2/qEbAPiBIFSO93p2cfF3wtVYyvdc6qsRsx4lb KieWc5PPar0S7RZFGIw80xD/wMIJ46noBepOJMF2aP6CckYiRNBpIcFVoLWRqmggNVf1H2oeBhFU 0ULNieHSpvj/YOW7/Qdkpu/4c868cDSi47evx+8/jz++sJvcnjHElqIeAsWl6RVMNOb5PdJjVj1p dPlLehj5qdGHS3PVlJjMSc2yaWpySfLNF8KvHtMDxvRagWPZ6DjS9EpTxf5tTKfQOSRX83BvrC0T tJ6NhHrd3FyXjIuL0K2nIlnFiW220rSZztI20B9IGa0wVRwAP3M20jp03NO+cmbfeOp23pzZwNnY zIbwkhI7njjbBTTboWxZZhjDy10iloV8LnyqduZDIy3yz+uXd+b3e4l6/EnWvwB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BoaYJL0wAAAAUBAAAPAAAAAAAAAAEAIAAAACIAAABkcnMvZG93bnJldi54 bWxQSwECFAAUAAAACACHTuJAbIJN0cYBAABsAwAADgAAAAAAAAABACAAAAAiAQAAZHJzL2Uyb0Rv Yy54bWxQSwUGAAAAAAYABgBZAQAAWgUAAAAA ">
              <v:fill on="f" focussize="0,0"/>
              <v:stroke on="f" weight="1.25pt"/>
              <v:imagedata o:title=""/>
              <o:lock v:ext="edit" aspectratio="f"/>
              <v:textbox inset="0mm,0mm,0mm,0mm" style="mso-fit-shape-to-text:t;">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v:textbox>
            </v:shape>
          </w:pict>
        </mc:Fallback>
      </mc:AlternateContent>
    </w:r>
    <w:r>
      <w:rPr>
        <w:rFonts w:hint="eastAsia" w:eastAsia="宋体"/>
        <w:color w:val="0000FF"/>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jc w:val="both"/>
      <w:rPr>
        <w:rFonts w:eastAsia="宋体"/>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jc w:val="both"/>
      <w:rPr>
        <w:rFonts w:eastAsia="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4B821"/>
    <w:multiLevelType w:val="singleLevel"/>
    <w:tmpl w:val="84A4B821"/>
    <w:lvl w:ilvl="0" w:tentative="0">
      <w:start w:val="1"/>
      <w:numFmt w:val="chineseCounting"/>
      <w:suff w:val="nothing"/>
      <w:lvlText w:val="%1、"/>
      <w:lvlJc w:val="left"/>
      <w:rPr>
        <w:rFonts w:hint="eastAsia"/>
      </w:rPr>
    </w:lvl>
  </w:abstractNum>
  <w:abstractNum w:abstractNumId="1">
    <w:nsid w:val="8BAE4B50"/>
    <w:multiLevelType w:val="singleLevel"/>
    <w:tmpl w:val="8BAE4B50"/>
    <w:lvl w:ilvl="0" w:tentative="0">
      <w:start w:val="1"/>
      <w:numFmt w:val="decimal"/>
      <w:lvlText w:val="%1."/>
      <w:lvlJc w:val="left"/>
      <w:pPr>
        <w:tabs>
          <w:tab w:val="left" w:pos="312"/>
        </w:tabs>
      </w:pPr>
    </w:lvl>
  </w:abstractNum>
  <w:abstractNum w:abstractNumId="2">
    <w:nsid w:val="9C2A0083"/>
    <w:multiLevelType w:val="singleLevel"/>
    <w:tmpl w:val="9C2A0083"/>
    <w:lvl w:ilvl="0" w:tentative="0">
      <w:start w:val="5"/>
      <w:numFmt w:val="chineseCounting"/>
      <w:suff w:val="nothing"/>
      <w:lvlText w:val="（%1）"/>
      <w:lvlJc w:val="left"/>
      <w:rPr>
        <w:rFonts w:hint="eastAsia"/>
      </w:rPr>
    </w:lvl>
  </w:abstractNum>
  <w:abstractNum w:abstractNumId="3">
    <w:nsid w:val="A7742D1F"/>
    <w:multiLevelType w:val="singleLevel"/>
    <w:tmpl w:val="A7742D1F"/>
    <w:lvl w:ilvl="0" w:tentative="0">
      <w:start w:val="1"/>
      <w:numFmt w:val="decimal"/>
      <w:suff w:val="nothing"/>
      <w:lvlText w:val="%1、"/>
      <w:lvlJc w:val="left"/>
    </w:lvl>
  </w:abstractNum>
  <w:abstractNum w:abstractNumId="4">
    <w:nsid w:val="AB7D4D00"/>
    <w:multiLevelType w:val="singleLevel"/>
    <w:tmpl w:val="AB7D4D00"/>
    <w:lvl w:ilvl="0" w:tentative="0">
      <w:start w:val="1"/>
      <w:numFmt w:val="decimal"/>
      <w:lvlText w:val="%1."/>
      <w:lvlJc w:val="left"/>
      <w:pPr>
        <w:tabs>
          <w:tab w:val="left" w:pos="312"/>
        </w:tabs>
      </w:pPr>
    </w:lvl>
  </w:abstractNum>
  <w:abstractNum w:abstractNumId="5">
    <w:nsid w:val="B3D01A72"/>
    <w:multiLevelType w:val="singleLevel"/>
    <w:tmpl w:val="B3D01A72"/>
    <w:lvl w:ilvl="0" w:tentative="0">
      <w:start w:val="1"/>
      <w:numFmt w:val="chineseCounting"/>
      <w:suff w:val="space"/>
      <w:lvlText w:val="第%1部分"/>
      <w:lvlJc w:val="left"/>
      <w:rPr>
        <w:rFonts w:hint="eastAsia"/>
      </w:rPr>
    </w:lvl>
  </w:abstractNum>
  <w:abstractNum w:abstractNumId="6">
    <w:nsid w:val="C197408A"/>
    <w:multiLevelType w:val="singleLevel"/>
    <w:tmpl w:val="C197408A"/>
    <w:lvl w:ilvl="0" w:tentative="0">
      <w:start w:val="1"/>
      <w:numFmt w:val="decimal"/>
      <w:suff w:val="nothing"/>
      <w:lvlText w:val="%1、"/>
      <w:lvlJc w:val="left"/>
    </w:lvl>
  </w:abstractNum>
  <w:abstractNum w:abstractNumId="7">
    <w:nsid w:val="C25AE524"/>
    <w:multiLevelType w:val="singleLevel"/>
    <w:tmpl w:val="C25AE524"/>
    <w:lvl w:ilvl="0" w:tentative="0">
      <w:start w:val="1"/>
      <w:numFmt w:val="chineseCounting"/>
      <w:suff w:val="nothing"/>
      <w:lvlText w:val="%1、"/>
      <w:lvlJc w:val="left"/>
      <w:rPr>
        <w:rFonts w:hint="eastAsia"/>
      </w:rPr>
    </w:lvl>
  </w:abstractNum>
  <w:abstractNum w:abstractNumId="8">
    <w:nsid w:val="CE6B09BC"/>
    <w:multiLevelType w:val="singleLevel"/>
    <w:tmpl w:val="CE6B09BC"/>
    <w:lvl w:ilvl="0" w:tentative="0">
      <w:start w:val="1"/>
      <w:numFmt w:val="decimal"/>
      <w:lvlText w:val="%1."/>
      <w:lvlJc w:val="left"/>
      <w:pPr>
        <w:tabs>
          <w:tab w:val="left" w:pos="312"/>
        </w:tabs>
      </w:pPr>
    </w:lvl>
  </w:abstractNum>
  <w:abstractNum w:abstractNumId="9">
    <w:nsid w:val="DEFFA71C"/>
    <w:multiLevelType w:val="singleLevel"/>
    <w:tmpl w:val="DEFFA71C"/>
    <w:lvl w:ilvl="0" w:tentative="0">
      <w:start w:val="2"/>
      <w:numFmt w:val="decimal"/>
      <w:suff w:val="space"/>
      <w:lvlText w:val="（%1)"/>
      <w:lvlJc w:val="left"/>
    </w:lvl>
  </w:abstractNum>
  <w:abstractNum w:abstractNumId="10">
    <w:nsid w:val="E6DA9561"/>
    <w:multiLevelType w:val="singleLevel"/>
    <w:tmpl w:val="E6DA9561"/>
    <w:lvl w:ilvl="0" w:tentative="0">
      <w:start w:val="1"/>
      <w:numFmt w:val="chineseCounting"/>
      <w:suff w:val="nothing"/>
      <w:lvlText w:val="%1、"/>
      <w:lvlJc w:val="left"/>
      <w:rPr>
        <w:rFonts w:hint="eastAsia"/>
      </w:rPr>
    </w:lvl>
  </w:abstractNum>
  <w:abstractNum w:abstractNumId="11">
    <w:nsid w:val="0D407D28"/>
    <w:multiLevelType w:val="multilevel"/>
    <w:tmpl w:val="0D407D28"/>
    <w:lvl w:ilvl="0" w:tentative="0">
      <w:start w:val="1"/>
      <w:numFmt w:val="bullet"/>
      <w:pStyle w:val="332"/>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12">
    <w:nsid w:val="0FB26183"/>
    <w:multiLevelType w:val="multilevel"/>
    <w:tmpl w:val="0FB26183"/>
    <w:lvl w:ilvl="0" w:tentative="0">
      <w:start w:val="1"/>
      <w:numFmt w:val="bullet"/>
      <w:pStyle w:val="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1CDCE1DE"/>
    <w:multiLevelType w:val="singleLevel"/>
    <w:tmpl w:val="1CDCE1DE"/>
    <w:lvl w:ilvl="0" w:tentative="0">
      <w:start w:val="1"/>
      <w:numFmt w:val="decimal"/>
      <w:suff w:val="nothing"/>
      <w:lvlText w:val="%1、"/>
      <w:lvlJc w:val="left"/>
    </w:lvl>
  </w:abstractNum>
  <w:abstractNum w:abstractNumId="14">
    <w:nsid w:val="24FE2D3B"/>
    <w:multiLevelType w:val="singleLevel"/>
    <w:tmpl w:val="24FE2D3B"/>
    <w:lvl w:ilvl="0" w:tentative="0">
      <w:start w:val="1"/>
      <w:numFmt w:val="decimal"/>
      <w:suff w:val="nothing"/>
      <w:lvlText w:val="%1、"/>
      <w:lvlJc w:val="left"/>
    </w:lvl>
  </w:abstractNum>
  <w:abstractNum w:abstractNumId="15">
    <w:nsid w:val="282DD500"/>
    <w:multiLevelType w:val="singleLevel"/>
    <w:tmpl w:val="282DD500"/>
    <w:lvl w:ilvl="0" w:tentative="0">
      <w:start w:val="1"/>
      <w:numFmt w:val="decimal"/>
      <w:suff w:val="nothing"/>
      <w:lvlText w:val="%1、"/>
      <w:lvlJc w:val="left"/>
    </w:lvl>
  </w:abstractNum>
  <w:abstractNum w:abstractNumId="16">
    <w:nsid w:val="29CBD287"/>
    <w:multiLevelType w:val="singleLevel"/>
    <w:tmpl w:val="29CBD287"/>
    <w:lvl w:ilvl="0" w:tentative="0">
      <w:start w:val="4"/>
      <w:numFmt w:val="decimal"/>
      <w:lvlText w:val="%1."/>
      <w:lvlJc w:val="left"/>
      <w:pPr>
        <w:tabs>
          <w:tab w:val="left" w:pos="312"/>
        </w:tabs>
      </w:pPr>
    </w:lvl>
  </w:abstractNum>
  <w:abstractNum w:abstractNumId="17">
    <w:nsid w:val="2FD37D40"/>
    <w:multiLevelType w:val="singleLevel"/>
    <w:tmpl w:val="2FD37D40"/>
    <w:lvl w:ilvl="0" w:tentative="0">
      <w:start w:val="1"/>
      <w:numFmt w:val="decimal"/>
      <w:lvlText w:val="%1."/>
      <w:lvlJc w:val="left"/>
      <w:pPr>
        <w:tabs>
          <w:tab w:val="left" w:pos="312"/>
        </w:tabs>
      </w:pPr>
    </w:lvl>
  </w:abstractNum>
  <w:abstractNum w:abstractNumId="18">
    <w:nsid w:val="2FFE5248"/>
    <w:multiLevelType w:val="singleLevel"/>
    <w:tmpl w:val="2FFE5248"/>
    <w:lvl w:ilvl="0" w:tentative="0">
      <w:start w:val="1"/>
      <w:numFmt w:val="decimal"/>
      <w:suff w:val="nothing"/>
      <w:lvlText w:val="%1、"/>
      <w:lvlJc w:val="left"/>
    </w:lvl>
  </w:abstractNum>
  <w:abstractNum w:abstractNumId="19">
    <w:nsid w:val="32F83FFF"/>
    <w:multiLevelType w:val="singleLevel"/>
    <w:tmpl w:val="32F83FFF"/>
    <w:lvl w:ilvl="0" w:tentative="0">
      <w:start w:val="1"/>
      <w:numFmt w:val="decimal"/>
      <w:suff w:val="nothing"/>
      <w:lvlText w:val="%1、"/>
      <w:lvlJc w:val="left"/>
    </w:lvl>
  </w:abstractNum>
  <w:abstractNum w:abstractNumId="20">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1">
    <w:nsid w:val="59F84D04"/>
    <w:multiLevelType w:val="singleLevel"/>
    <w:tmpl w:val="59F84D04"/>
    <w:lvl w:ilvl="0" w:tentative="0">
      <w:start w:val="1"/>
      <w:numFmt w:val="chineseCounting"/>
      <w:suff w:val="nothing"/>
      <w:lvlText w:val="%1、"/>
      <w:lvlJc w:val="left"/>
    </w:lvl>
  </w:abstractNum>
  <w:abstractNum w:abstractNumId="22">
    <w:nsid w:val="5AF280DB"/>
    <w:multiLevelType w:val="singleLevel"/>
    <w:tmpl w:val="5AF280DB"/>
    <w:lvl w:ilvl="0" w:tentative="0">
      <w:start w:val="1"/>
      <w:numFmt w:val="decimal"/>
      <w:suff w:val="nothing"/>
      <w:lvlText w:val="%1."/>
      <w:lvlJc w:val="left"/>
    </w:lvl>
  </w:abstractNum>
  <w:abstractNum w:abstractNumId="23">
    <w:nsid w:val="5BCF60D9"/>
    <w:multiLevelType w:val="singleLevel"/>
    <w:tmpl w:val="5BCF60D9"/>
    <w:lvl w:ilvl="0" w:tentative="0">
      <w:start w:val="1"/>
      <w:numFmt w:val="bullet"/>
      <w:pStyle w:val="138"/>
      <w:lvlText w:val=""/>
      <w:lvlJc w:val="left"/>
      <w:pPr>
        <w:tabs>
          <w:tab w:val="left" w:pos="425"/>
        </w:tabs>
        <w:ind w:left="425" w:hanging="425"/>
      </w:pPr>
      <w:rPr>
        <w:rFonts w:hint="default" w:ascii="Wingdings" w:hAnsi="Wingdings"/>
      </w:rPr>
    </w:lvl>
  </w:abstractNum>
  <w:abstractNum w:abstractNumId="24">
    <w:nsid w:val="60AE39CC"/>
    <w:multiLevelType w:val="multilevel"/>
    <w:tmpl w:val="60AE39CC"/>
    <w:lvl w:ilvl="0" w:tentative="0">
      <w:start w:val="1"/>
      <w:numFmt w:val="chineseCountingThousand"/>
      <w:pStyle w:val="136"/>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10"/>
      <w:lvlText w:val="           "/>
      <w:lvlJc w:val="left"/>
      <w:pPr>
        <w:tabs>
          <w:tab w:val="left" w:pos="1440"/>
        </w:tabs>
        <w:ind w:left="1152" w:hanging="1152"/>
      </w:pPr>
    </w:lvl>
    <w:lvl w:ilvl="6" w:tentative="0">
      <w:start w:val="1"/>
      <w:numFmt w:val="decimal"/>
      <w:pStyle w:val="11"/>
      <w:lvlText w:val="%1.%2.%3.%4.%5.%6.%7"/>
      <w:lvlJc w:val="left"/>
      <w:pPr>
        <w:tabs>
          <w:tab w:val="left" w:pos="2520"/>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25">
    <w:nsid w:val="621D3DF3"/>
    <w:multiLevelType w:val="multilevel"/>
    <w:tmpl w:val="621D3DF3"/>
    <w:lvl w:ilvl="0" w:tentative="0">
      <w:start w:val="1"/>
      <w:numFmt w:val="bullet"/>
      <w:pStyle w:val="163"/>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D1D0F24"/>
    <w:multiLevelType w:val="singleLevel"/>
    <w:tmpl w:val="6D1D0F24"/>
    <w:lvl w:ilvl="0" w:tentative="0">
      <w:start w:val="1"/>
      <w:numFmt w:val="decimal"/>
      <w:lvlText w:val="%1."/>
      <w:lvlJc w:val="left"/>
      <w:pPr>
        <w:tabs>
          <w:tab w:val="left" w:pos="312"/>
        </w:tabs>
      </w:pPr>
    </w:lvl>
  </w:abstractNum>
  <w:abstractNum w:abstractNumId="27">
    <w:nsid w:val="765316F3"/>
    <w:multiLevelType w:val="multilevel"/>
    <w:tmpl w:val="765316F3"/>
    <w:lvl w:ilvl="0" w:tentative="0">
      <w:start w:val="1"/>
      <w:numFmt w:val="chineseCountingThousand"/>
      <w:pStyle w:val="6"/>
      <w:lvlText w:val="%1、"/>
      <w:lvlJc w:val="left"/>
      <w:pPr>
        <w:tabs>
          <w:tab w:val="left" w:pos="1110"/>
        </w:tabs>
        <w:ind w:left="106" w:firstLine="454"/>
      </w:pPr>
      <w:rPr>
        <w:rFonts w:hint="default" w:ascii="??" w:hAnsi="??" w:eastAsia="??"/>
        <w:b/>
        <w:i w:val="0"/>
        <w:iCs w:val="0"/>
        <w:caps w:val="0"/>
        <w:smallCaps w:val="0"/>
        <w:strike w:val="0"/>
        <w:dstrike w:val="0"/>
        <w:outline w:val="0"/>
        <w:shadow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28">
    <w:nsid w:val="79EB7B22"/>
    <w:multiLevelType w:val="multilevel"/>
    <w:tmpl w:val="79EB7B22"/>
    <w:lvl w:ilvl="0" w:tentative="0">
      <w:start w:val="1"/>
      <w:numFmt w:val="bullet"/>
      <w:pStyle w:val="208"/>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27"/>
  </w:num>
  <w:num w:numId="2">
    <w:abstractNumId w:val="24"/>
  </w:num>
  <w:num w:numId="3">
    <w:abstractNumId w:val="12"/>
  </w:num>
  <w:num w:numId="4">
    <w:abstractNumId w:val="23"/>
  </w:num>
  <w:num w:numId="5">
    <w:abstractNumId w:val="25"/>
  </w:num>
  <w:num w:numId="6">
    <w:abstractNumId w:val="28"/>
  </w:num>
  <w:num w:numId="7">
    <w:abstractNumId w:val="11"/>
  </w:num>
  <w:num w:numId="8">
    <w:abstractNumId w:val="5"/>
  </w:num>
  <w:num w:numId="9">
    <w:abstractNumId w:val="7"/>
  </w:num>
  <w:num w:numId="10">
    <w:abstractNumId w:val="20"/>
  </w:num>
  <w:num w:numId="11">
    <w:abstractNumId w:val="3"/>
  </w:num>
  <w:num w:numId="12">
    <w:abstractNumId w:val="10"/>
  </w:num>
  <w:num w:numId="13">
    <w:abstractNumId w:val="13"/>
  </w:num>
  <w:num w:numId="14">
    <w:abstractNumId w:val="2"/>
  </w:num>
  <w:num w:numId="15">
    <w:abstractNumId w:val="15"/>
  </w:num>
  <w:num w:numId="16">
    <w:abstractNumId w:val="9"/>
  </w:num>
  <w:num w:numId="17">
    <w:abstractNumId w:val="8"/>
  </w:num>
  <w:num w:numId="18">
    <w:abstractNumId w:val="17"/>
  </w:num>
  <w:num w:numId="19">
    <w:abstractNumId w:val="26"/>
  </w:num>
  <w:num w:numId="20">
    <w:abstractNumId w:val="16"/>
  </w:num>
  <w:num w:numId="21">
    <w:abstractNumId w:val="1"/>
  </w:num>
  <w:num w:numId="22">
    <w:abstractNumId w:val="4"/>
  </w:num>
  <w:num w:numId="23">
    <w:abstractNumId w:val="18"/>
  </w:num>
  <w:num w:numId="24">
    <w:abstractNumId w:val="14"/>
  </w:num>
  <w:num w:numId="25">
    <w:abstractNumId w:val="6"/>
  </w:num>
  <w:num w:numId="26">
    <w:abstractNumId w:val="19"/>
  </w:num>
  <w:num w:numId="27">
    <w:abstractNumId w:val="22"/>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210"/>
  <w:drawingGridVerticalSpacing w:val="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82A"/>
    <w:rsid w:val="00004E47"/>
    <w:rsid w:val="00006A57"/>
    <w:rsid w:val="000107B1"/>
    <w:rsid w:val="00012442"/>
    <w:rsid w:val="00012D7C"/>
    <w:rsid w:val="00014366"/>
    <w:rsid w:val="000151AB"/>
    <w:rsid w:val="00016A50"/>
    <w:rsid w:val="00016EFE"/>
    <w:rsid w:val="000204DE"/>
    <w:rsid w:val="00021A6C"/>
    <w:rsid w:val="00027FE8"/>
    <w:rsid w:val="000309C5"/>
    <w:rsid w:val="0003345D"/>
    <w:rsid w:val="00035520"/>
    <w:rsid w:val="00035599"/>
    <w:rsid w:val="00035E30"/>
    <w:rsid w:val="00035F17"/>
    <w:rsid w:val="00037BD3"/>
    <w:rsid w:val="0004192E"/>
    <w:rsid w:val="000446F6"/>
    <w:rsid w:val="0004700C"/>
    <w:rsid w:val="00047C00"/>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97737"/>
    <w:rsid w:val="000B2120"/>
    <w:rsid w:val="000B2178"/>
    <w:rsid w:val="000B339B"/>
    <w:rsid w:val="000B4324"/>
    <w:rsid w:val="000B50E5"/>
    <w:rsid w:val="000B6B43"/>
    <w:rsid w:val="000C2E28"/>
    <w:rsid w:val="000C47E8"/>
    <w:rsid w:val="000C5C3D"/>
    <w:rsid w:val="000C62A5"/>
    <w:rsid w:val="000D0532"/>
    <w:rsid w:val="000D34BB"/>
    <w:rsid w:val="000D353A"/>
    <w:rsid w:val="000D3C9F"/>
    <w:rsid w:val="000E02E5"/>
    <w:rsid w:val="000E18EA"/>
    <w:rsid w:val="000E259E"/>
    <w:rsid w:val="000E2E75"/>
    <w:rsid w:val="000E3079"/>
    <w:rsid w:val="000E60D3"/>
    <w:rsid w:val="000E627E"/>
    <w:rsid w:val="000E678D"/>
    <w:rsid w:val="000E6894"/>
    <w:rsid w:val="000E72DD"/>
    <w:rsid w:val="000F06D0"/>
    <w:rsid w:val="000F15D4"/>
    <w:rsid w:val="000F21CE"/>
    <w:rsid w:val="000F28F9"/>
    <w:rsid w:val="000F6F52"/>
    <w:rsid w:val="000F78B3"/>
    <w:rsid w:val="000F78E2"/>
    <w:rsid w:val="0010081E"/>
    <w:rsid w:val="00100EFC"/>
    <w:rsid w:val="00102BEB"/>
    <w:rsid w:val="00102F93"/>
    <w:rsid w:val="0010472C"/>
    <w:rsid w:val="00107F09"/>
    <w:rsid w:val="00111535"/>
    <w:rsid w:val="001124F2"/>
    <w:rsid w:val="001125F4"/>
    <w:rsid w:val="001135A8"/>
    <w:rsid w:val="00114B5E"/>
    <w:rsid w:val="001219BA"/>
    <w:rsid w:val="00123EB7"/>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67B4"/>
    <w:rsid w:val="00187DB0"/>
    <w:rsid w:val="00191BE9"/>
    <w:rsid w:val="00196B08"/>
    <w:rsid w:val="00196C4E"/>
    <w:rsid w:val="00196E80"/>
    <w:rsid w:val="00197AA5"/>
    <w:rsid w:val="001A5043"/>
    <w:rsid w:val="001B3D40"/>
    <w:rsid w:val="001B5734"/>
    <w:rsid w:val="001B580D"/>
    <w:rsid w:val="001B59C3"/>
    <w:rsid w:val="001C3AFE"/>
    <w:rsid w:val="001C4F32"/>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71F"/>
    <w:rsid w:val="00232A60"/>
    <w:rsid w:val="00234313"/>
    <w:rsid w:val="002348B5"/>
    <w:rsid w:val="0023705B"/>
    <w:rsid w:val="002373CC"/>
    <w:rsid w:val="00240508"/>
    <w:rsid w:val="002405EF"/>
    <w:rsid w:val="00240603"/>
    <w:rsid w:val="002417B5"/>
    <w:rsid w:val="00242D52"/>
    <w:rsid w:val="002465B1"/>
    <w:rsid w:val="00246C46"/>
    <w:rsid w:val="002519A6"/>
    <w:rsid w:val="00252C61"/>
    <w:rsid w:val="00253A44"/>
    <w:rsid w:val="00253C6A"/>
    <w:rsid w:val="00256E7A"/>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13BB"/>
    <w:rsid w:val="00292946"/>
    <w:rsid w:val="00292EA6"/>
    <w:rsid w:val="002931FE"/>
    <w:rsid w:val="00293347"/>
    <w:rsid w:val="00293F66"/>
    <w:rsid w:val="0029400F"/>
    <w:rsid w:val="00297024"/>
    <w:rsid w:val="00297DE5"/>
    <w:rsid w:val="002A2975"/>
    <w:rsid w:val="002A3134"/>
    <w:rsid w:val="002A3AA3"/>
    <w:rsid w:val="002A3E5D"/>
    <w:rsid w:val="002A45BB"/>
    <w:rsid w:val="002A4DA4"/>
    <w:rsid w:val="002A5B70"/>
    <w:rsid w:val="002A69C6"/>
    <w:rsid w:val="002A73C9"/>
    <w:rsid w:val="002A7BD8"/>
    <w:rsid w:val="002B0378"/>
    <w:rsid w:val="002B1D9D"/>
    <w:rsid w:val="002B2761"/>
    <w:rsid w:val="002B6A2B"/>
    <w:rsid w:val="002B6BED"/>
    <w:rsid w:val="002C1467"/>
    <w:rsid w:val="002C5E7F"/>
    <w:rsid w:val="002C73E1"/>
    <w:rsid w:val="002D1D0B"/>
    <w:rsid w:val="002D1EC8"/>
    <w:rsid w:val="002D36AD"/>
    <w:rsid w:val="002E1E56"/>
    <w:rsid w:val="002E271C"/>
    <w:rsid w:val="002E4BBB"/>
    <w:rsid w:val="002E62DC"/>
    <w:rsid w:val="002E7954"/>
    <w:rsid w:val="002E7CB4"/>
    <w:rsid w:val="002F07FE"/>
    <w:rsid w:val="002F132E"/>
    <w:rsid w:val="002F38B7"/>
    <w:rsid w:val="002F6BA9"/>
    <w:rsid w:val="003016CD"/>
    <w:rsid w:val="00304332"/>
    <w:rsid w:val="0030537F"/>
    <w:rsid w:val="00305C03"/>
    <w:rsid w:val="00307542"/>
    <w:rsid w:val="00307EC9"/>
    <w:rsid w:val="00310230"/>
    <w:rsid w:val="00311D86"/>
    <w:rsid w:val="003121A6"/>
    <w:rsid w:val="00315B4B"/>
    <w:rsid w:val="00316398"/>
    <w:rsid w:val="00317A11"/>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272E"/>
    <w:rsid w:val="003541B9"/>
    <w:rsid w:val="003547C4"/>
    <w:rsid w:val="00355517"/>
    <w:rsid w:val="003573AC"/>
    <w:rsid w:val="003574BA"/>
    <w:rsid w:val="00366F88"/>
    <w:rsid w:val="00370043"/>
    <w:rsid w:val="0037086E"/>
    <w:rsid w:val="00370AA5"/>
    <w:rsid w:val="00370CBD"/>
    <w:rsid w:val="0037155D"/>
    <w:rsid w:val="00373337"/>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A0C"/>
    <w:rsid w:val="003B7157"/>
    <w:rsid w:val="003C30DC"/>
    <w:rsid w:val="003C5FB2"/>
    <w:rsid w:val="003C676E"/>
    <w:rsid w:val="003C6C07"/>
    <w:rsid w:val="003D28E0"/>
    <w:rsid w:val="003D4927"/>
    <w:rsid w:val="003D6731"/>
    <w:rsid w:val="003D693C"/>
    <w:rsid w:val="003D7BDA"/>
    <w:rsid w:val="003E0A04"/>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995"/>
    <w:rsid w:val="00413715"/>
    <w:rsid w:val="00413FE9"/>
    <w:rsid w:val="00415734"/>
    <w:rsid w:val="00415FDB"/>
    <w:rsid w:val="00416152"/>
    <w:rsid w:val="00417320"/>
    <w:rsid w:val="00417EA5"/>
    <w:rsid w:val="00420C8D"/>
    <w:rsid w:val="004239DA"/>
    <w:rsid w:val="00424AE5"/>
    <w:rsid w:val="004256C9"/>
    <w:rsid w:val="00426D86"/>
    <w:rsid w:val="00427393"/>
    <w:rsid w:val="004312E5"/>
    <w:rsid w:val="004342D5"/>
    <w:rsid w:val="004346C0"/>
    <w:rsid w:val="00444AF2"/>
    <w:rsid w:val="00445197"/>
    <w:rsid w:val="00450652"/>
    <w:rsid w:val="0045067D"/>
    <w:rsid w:val="0045098F"/>
    <w:rsid w:val="00450F4C"/>
    <w:rsid w:val="0045288E"/>
    <w:rsid w:val="004531DB"/>
    <w:rsid w:val="00461770"/>
    <w:rsid w:val="004619CE"/>
    <w:rsid w:val="004650FC"/>
    <w:rsid w:val="00465BFB"/>
    <w:rsid w:val="0046766B"/>
    <w:rsid w:val="00471017"/>
    <w:rsid w:val="0047101C"/>
    <w:rsid w:val="00473670"/>
    <w:rsid w:val="00475A2C"/>
    <w:rsid w:val="00476772"/>
    <w:rsid w:val="00476BD6"/>
    <w:rsid w:val="004776BF"/>
    <w:rsid w:val="00482B7C"/>
    <w:rsid w:val="00484B3F"/>
    <w:rsid w:val="004857F6"/>
    <w:rsid w:val="00487FE7"/>
    <w:rsid w:val="00491B8C"/>
    <w:rsid w:val="00491C05"/>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4C1"/>
    <w:rsid w:val="004B5A87"/>
    <w:rsid w:val="004B66ED"/>
    <w:rsid w:val="004B6718"/>
    <w:rsid w:val="004B6948"/>
    <w:rsid w:val="004B7209"/>
    <w:rsid w:val="004C3023"/>
    <w:rsid w:val="004C37F5"/>
    <w:rsid w:val="004C5B5B"/>
    <w:rsid w:val="004C7FE3"/>
    <w:rsid w:val="004D0F50"/>
    <w:rsid w:val="004D5B1A"/>
    <w:rsid w:val="004D63E2"/>
    <w:rsid w:val="004D7F69"/>
    <w:rsid w:val="004E047B"/>
    <w:rsid w:val="004E1BC7"/>
    <w:rsid w:val="004E1C17"/>
    <w:rsid w:val="004E3610"/>
    <w:rsid w:val="004E3FBF"/>
    <w:rsid w:val="004E4874"/>
    <w:rsid w:val="004F00B1"/>
    <w:rsid w:val="004F1B07"/>
    <w:rsid w:val="004F2FE6"/>
    <w:rsid w:val="004F39DE"/>
    <w:rsid w:val="004F45D9"/>
    <w:rsid w:val="004F567A"/>
    <w:rsid w:val="004F6A19"/>
    <w:rsid w:val="004F769C"/>
    <w:rsid w:val="004F7752"/>
    <w:rsid w:val="00500AED"/>
    <w:rsid w:val="005012C2"/>
    <w:rsid w:val="005052A3"/>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93"/>
    <w:rsid w:val="00531B55"/>
    <w:rsid w:val="00532052"/>
    <w:rsid w:val="0053332C"/>
    <w:rsid w:val="00534DC1"/>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34F0"/>
    <w:rsid w:val="00563923"/>
    <w:rsid w:val="005674DF"/>
    <w:rsid w:val="005677F5"/>
    <w:rsid w:val="0057047D"/>
    <w:rsid w:val="0057509C"/>
    <w:rsid w:val="00575376"/>
    <w:rsid w:val="00576885"/>
    <w:rsid w:val="005864B7"/>
    <w:rsid w:val="00587329"/>
    <w:rsid w:val="005921F0"/>
    <w:rsid w:val="00595B3D"/>
    <w:rsid w:val="0059607D"/>
    <w:rsid w:val="00596922"/>
    <w:rsid w:val="00597829"/>
    <w:rsid w:val="00597B7E"/>
    <w:rsid w:val="005A2271"/>
    <w:rsid w:val="005A4D77"/>
    <w:rsid w:val="005B1907"/>
    <w:rsid w:val="005B3E8E"/>
    <w:rsid w:val="005B41AB"/>
    <w:rsid w:val="005B46D1"/>
    <w:rsid w:val="005B4DAE"/>
    <w:rsid w:val="005B59CB"/>
    <w:rsid w:val="005B65BC"/>
    <w:rsid w:val="005B7BDD"/>
    <w:rsid w:val="005C1638"/>
    <w:rsid w:val="005C1838"/>
    <w:rsid w:val="005C19BF"/>
    <w:rsid w:val="005C3200"/>
    <w:rsid w:val="005C428E"/>
    <w:rsid w:val="005C5FCC"/>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191D"/>
    <w:rsid w:val="005F7719"/>
    <w:rsid w:val="005F7D98"/>
    <w:rsid w:val="00603F3E"/>
    <w:rsid w:val="0060407C"/>
    <w:rsid w:val="006048BF"/>
    <w:rsid w:val="00605223"/>
    <w:rsid w:val="00606E86"/>
    <w:rsid w:val="006146A5"/>
    <w:rsid w:val="00615AEA"/>
    <w:rsid w:val="00617E60"/>
    <w:rsid w:val="00620131"/>
    <w:rsid w:val="00621E44"/>
    <w:rsid w:val="00624240"/>
    <w:rsid w:val="00626FB9"/>
    <w:rsid w:val="0063085F"/>
    <w:rsid w:val="00634747"/>
    <w:rsid w:val="0063507E"/>
    <w:rsid w:val="00637B97"/>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20E80"/>
    <w:rsid w:val="00722E6F"/>
    <w:rsid w:val="00723349"/>
    <w:rsid w:val="00724F3D"/>
    <w:rsid w:val="00725202"/>
    <w:rsid w:val="00727632"/>
    <w:rsid w:val="00730D10"/>
    <w:rsid w:val="00730D14"/>
    <w:rsid w:val="007311F3"/>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80F"/>
    <w:rsid w:val="00752C92"/>
    <w:rsid w:val="0075311E"/>
    <w:rsid w:val="00754160"/>
    <w:rsid w:val="00760E07"/>
    <w:rsid w:val="00763A64"/>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21D3"/>
    <w:rsid w:val="007F5BBD"/>
    <w:rsid w:val="008025DD"/>
    <w:rsid w:val="00803A6B"/>
    <w:rsid w:val="00803C1D"/>
    <w:rsid w:val="00804F36"/>
    <w:rsid w:val="00807F37"/>
    <w:rsid w:val="00811770"/>
    <w:rsid w:val="008124CF"/>
    <w:rsid w:val="00812BF7"/>
    <w:rsid w:val="00822033"/>
    <w:rsid w:val="00822B55"/>
    <w:rsid w:val="00823F7A"/>
    <w:rsid w:val="008241D3"/>
    <w:rsid w:val="00825003"/>
    <w:rsid w:val="008255B7"/>
    <w:rsid w:val="008275FD"/>
    <w:rsid w:val="00830E0E"/>
    <w:rsid w:val="00830FAE"/>
    <w:rsid w:val="008317CA"/>
    <w:rsid w:val="00837F01"/>
    <w:rsid w:val="00842AB5"/>
    <w:rsid w:val="0084494F"/>
    <w:rsid w:val="0084700F"/>
    <w:rsid w:val="00847EBD"/>
    <w:rsid w:val="0085104D"/>
    <w:rsid w:val="008512BB"/>
    <w:rsid w:val="00852CA4"/>
    <w:rsid w:val="0085339E"/>
    <w:rsid w:val="008542D0"/>
    <w:rsid w:val="0085663E"/>
    <w:rsid w:val="00860037"/>
    <w:rsid w:val="008602E1"/>
    <w:rsid w:val="0086110F"/>
    <w:rsid w:val="00863F2D"/>
    <w:rsid w:val="0086451A"/>
    <w:rsid w:val="0086757D"/>
    <w:rsid w:val="00867757"/>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1EBD"/>
    <w:rsid w:val="008E1F67"/>
    <w:rsid w:val="008E3D42"/>
    <w:rsid w:val="008E4F5C"/>
    <w:rsid w:val="008E5C01"/>
    <w:rsid w:val="008E6A15"/>
    <w:rsid w:val="008E7CB0"/>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5D11"/>
    <w:rsid w:val="0094718C"/>
    <w:rsid w:val="00950310"/>
    <w:rsid w:val="00950BF3"/>
    <w:rsid w:val="00955657"/>
    <w:rsid w:val="00956A73"/>
    <w:rsid w:val="009612A8"/>
    <w:rsid w:val="009626D7"/>
    <w:rsid w:val="00965D90"/>
    <w:rsid w:val="00970DDB"/>
    <w:rsid w:val="00971DBF"/>
    <w:rsid w:val="0097296A"/>
    <w:rsid w:val="0097381C"/>
    <w:rsid w:val="009759CA"/>
    <w:rsid w:val="00976B33"/>
    <w:rsid w:val="00976F72"/>
    <w:rsid w:val="0098729D"/>
    <w:rsid w:val="009906E0"/>
    <w:rsid w:val="00991FC9"/>
    <w:rsid w:val="00994FB2"/>
    <w:rsid w:val="00995D50"/>
    <w:rsid w:val="0099687B"/>
    <w:rsid w:val="00997DF8"/>
    <w:rsid w:val="009A2873"/>
    <w:rsid w:val="009A2924"/>
    <w:rsid w:val="009A3746"/>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388"/>
    <w:rsid w:val="009C6322"/>
    <w:rsid w:val="009C7A89"/>
    <w:rsid w:val="009D02AB"/>
    <w:rsid w:val="009D02E6"/>
    <w:rsid w:val="009D0708"/>
    <w:rsid w:val="009D23F9"/>
    <w:rsid w:val="009D7F01"/>
    <w:rsid w:val="009E1B35"/>
    <w:rsid w:val="009E1D8E"/>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57AB"/>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55C"/>
    <w:rsid w:val="00A471A3"/>
    <w:rsid w:val="00A537EA"/>
    <w:rsid w:val="00A53C30"/>
    <w:rsid w:val="00A548C5"/>
    <w:rsid w:val="00A55AD8"/>
    <w:rsid w:val="00A61F7C"/>
    <w:rsid w:val="00A6401D"/>
    <w:rsid w:val="00A66763"/>
    <w:rsid w:val="00A66B82"/>
    <w:rsid w:val="00A66DFD"/>
    <w:rsid w:val="00A72C9B"/>
    <w:rsid w:val="00A754B9"/>
    <w:rsid w:val="00A76DDF"/>
    <w:rsid w:val="00A77B75"/>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343F"/>
    <w:rsid w:val="00AD38CB"/>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231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51C64"/>
    <w:rsid w:val="00B52DEF"/>
    <w:rsid w:val="00B53152"/>
    <w:rsid w:val="00B53CC7"/>
    <w:rsid w:val="00B55C07"/>
    <w:rsid w:val="00B56BF2"/>
    <w:rsid w:val="00B578A1"/>
    <w:rsid w:val="00B60053"/>
    <w:rsid w:val="00B60DA2"/>
    <w:rsid w:val="00B653D3"/>
    <w:rsid w:val="00B66D12"/>
    <w:rsid w:val="00B73A3F"/>
    <w:rsid w:val="00B743A2"/>
    <w:rsid w:val="00B749F3"/>
    <w:rsid w:val="00B74A24"/>
    <w:rsid w:val="00B74A5E"/>
    <w:rsid w:val="00B74BF9"/>
    <w:rsid w:val="00B852CE"/>
    <w:rsid w:val="00B85E1A"/>
    <w:rsid w:val="00B86373"/>
    <w:rsid w:val="00B9023F"/>
    <w:rsid w:val="00B91B99"/>
    <w:rsid w:val="00B94C4D"/>
    <w:rsid w:val="00B95D82"/>
    <w:rsid w:val="00B97FD6"/>
    <w:rsid w:val="00BA3C73"/>
    <w:rsid w:val="00BA4027"/>
    <w:rsid w:val="00BB2509"/>
    <w:rsid w:val="00BB2C4F"/>
    <w:rsid w:val="00BB3A35"/>
    <w:rsid w:val="00BB6576"/>
    <w:rsid w:val="00BB6E9C"/>
    <w:rsid w:val="00BC0BED"/>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57C"/>
    <w:rsid w:val="00C01E17"/>
    <w:rsid w:val="00C03C5D"/>
    <w:rsid w:val="00C042E5"/>
    <w:rsid w:val="00C064B9"/>
    <w:rsid w:val="00C06D75"/>
    <w:rsid w:val="00C075EE"/>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B6"/>
    <w:rsid w:val="00CA581F"/>
    <w:rsid w:val="00CB15F4"/>
    <w:rsid w:val="00CB2BF0"/>
    <w:rsid w:val="00CB56BE"/>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6F4"/>
    <w:rsid w:val="00CD3B88"/>
    <w:rsid w:val="00CD4503"/>
    <w:rsid w:val="00CD5E49"/>
    <w:rsid w:val="00CE120F"/>
    <w:rsid w:val="00CE242A"/>
    <w:rsid w:val="00CE3297"/>
    <w:rsid w:val="00CF0312"/>
    <w:rsid w:val="00CF1C8E"/>
    <w:rsid w:val="00CF1D41"/>
    <w:rsid w:val="00CF2180"/>
    <w:rsid w:val="00CF265C"/>
    <w:rsid w:val="00CF31FA"/>
    <w:rsid w:val="00CF331B"/>
    <w:rsid w:val="00CF3625"/>
    <w:rsid w:val="00CF4DD3"/>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55A1"/>
    <w:rsid w:val="00D47142"/>
    <w:rsid w:val="00D523E8"/>
    <w:rsid w:val="00D53617"/>
    <w:rsid w:val="00D5449F"/>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92B86"/>
    <w:rsid w:val="00D938D7"/>
    <w:rsid w:val="00D94EEE"/>
    <w:rsid w:val="00D95FD2"/>
    <w:rsid w:val="00D968CE"/>
    <w:rsid w:val="00D96CFD"/>
    <w:rsid w:val="00D9794E"/>
    <w:rsid w:val="00D97D41"/>
    <w:rsid w:val="00DA09EF"/>
    <w:rsid w:val="00DA20CE"/>
    <w:rsid w:val="00DA2396"/>
    <w:rsid w:val="00DA51DD"/>
    <w:rsid w:val="00DA5227"/>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4503"/>
    <w:rsid w:val="00DF61E8"/>
    <w:rsid w:val="00DF6705"/>
    <w:rsid w:val="00DF6921"/>
    <w:rsid w:val="00DF757E"/>
    <w:rsid w:val="00DF7DEC"/>
    <w:rsid w:val="00E0384E"/>
    <w:rsid w:val="00E04B5D"/>
    <w:rsid w:val="00E04E2B"/>
    <w:rsid w:val="00E05378"/>
    <w:rsid w:val="00E071CC"/>
    <w:rsid w:val="00E07B68"/>
    <w:rsid w:val="00E13D69"/>
    <w:rsid w:val="00E16384"/>
    <w:rsid w:val="00E168AC"/>
    <w:rsid w:val="00E17056"/>
    <w:rsid w:val="00E17539"/>
    <w:rsid w:val="00E179FD"/>
    <w:rsid w:val="00E212A9"/>
    <w:rsid w:val="00E244FD"/>
    <w:rsid w:val="00E25C6F"/>
    <w:rsid w:val="00E303E1"/>
    <w:rsid w:val="00E313EB"/>
    <w:rsid w:val="00E32CA8"/>
    <w:rsid w:val="00E33F06"/>
    <w:rsid w:val="00E35F09"/>
    <w:rsid w:val="00E37F6F"/>
    <w:rsid w:val="00E44542"/>
    <w:rsid w:val="00E4479D"/>
    <w:rsid w:val="00E4550A"/>
    <w:rsid w:val="00E45A14"/>
    <w:rsid w:val="00E5094F"/>
    <w:rsid w:val="00E53147"/>
    <w:rsid w:val="00E53E8D"/>
    <w:rsid w:val="00E5480E"/>
    <w:rsid w:val="00E56EFC"/>
    <w:rsid w:val="00E6150B"/>
    <w:rsid w:val="00E616AC"/>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57A9"/>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5034"/>
    <w:rsid w:val="00EB5039"/>
    <w:rsid w:val="00EB5205"/>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7EEF"/>
    <w:rsid w:val="00EE0956"/>
    <w:rsid w:val="00EE22E2"/>
    <w:rsid w:val="00EE2FF2"/>
    <w:rsid w:val="00EE4191"/>
    <w:rsid w:val="00EE42AD"/>
    <w:rsid w:val="00EE686F"/>
    <w:rsid w:val="00EE6D02"/>
    <w:rsid w:val="00EF268A"/>
    <w:rsid w:val="00EF2A03"/>
    <w:rsid w:val="00EF39EA"/>
    <w:rsid w:val="00EF4195"/>
    <w:rsid w:val="00EF4B19"/>
    <w:rsid w:val="00EF6699"/>
    <w:rsid w:val="00F00690"/>
    <w:rsid w:val="00F0164B"/>
    <w:rsid w:val="00F02B30"/>
    <w:rsid w:val="00F036AC"/>
    <w:rsid w:val="00F045FF"/>
    <w:rsid w:val="00F06CA9"/>
    <w:rsid w:val="00F10434"/>
    <w:rsid w:val="00F11A57"/>
    <w:rsid w:val="00F14461"/>
    <w:rsid w:val="00F14ED1"/>
    <w:rsid w:val="00F152B6"/>
    <w:rsid w:val="00F15354"/>
    <w:rsid w:val="00F20369"/>
    <w:rsid w:val="00F20630"/>
    <w:rsid w:val="00F21147"/>
    <w:rsid w:val="00F2119D"/>
    <w:rsid w:val="00F22293"/>
    <w:rsid w:val="00F230BB"/>
    <w:rsid w:val="00F24EE2"/>
    <w:rsid w:val="00F25F66"/>
    <w:rsid w:val="00F26D18"/>
    <w:rsid w:val="00F31BD5"/>
    <w:rsid w:val="00F321D5"/>
    <w:rsid w:val="00F32BB7"/>
    <w:rsid w:val="00F33A1D"/>
    <w:rsid w:val="00F33CB0"/>
    <w:rsid w:val="00F33E1C"/>
    <w:rsid w:val="00F33F06"/>
    <w:rsid w:val="00F40839"/>
    <w:rsid w:val="00F43144"/>
    <w:rsid w:val="00F47EA9"/>
    <w:rsid w:val="00F50110"/>
    <w:rsid w:val="00F530D0"/>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523D"/>
    <w:rsid w:val="00F87114"/>
    <w:rsid w:val="00F875F6"/>
    <w:rsid w:val="00F91B5F"/>
    <w:rsid w:val="00F9219E"/>
    <w:rsid w:val="00F9235C"/>
    <w:rsid w:val="00F976A3"/>
    <w:rsid w:val="00F97855"/>
    <w:rsid w:val="00FA0F81"/>
    <w:rsid w:val="00FA10B0"/>
    <w:rsid w:val="00FA1765"/>
    <w:rsid w:val="00FA25D2"/>
    <w:rsid w:val="00FA64AB"/>
    <w:rsid w:val="00FB272F"/>
    <w:rsid w:val="00FB3D87"/>
    <w:rsid w:val="00FB54D6"/>
    <w:rsid w:val="00FC27CF"/>
    <w:rsid w:val="00FC399F"/>
    <w:rsid w:val="00FC40CD"/>
    <w:rsid w:val="00FC524A"/>
    <w:rsid w:val="00FC74B4"/>
    <w:rsid w:val="00FC75A5"/>
    <w:rsid w:val="00FD0423"/>
    <w:rsid w:val="00FD23D4"/>
    <w:rsid w:val="00FD54C5"/>
    <w:rsid w:val="00FD67FE"/>
    <w:rsid w:val="00FD77C0"/>
    <w:rsid w:val="00FE075B"/>
    <w:rsid w:val="00FE150D"/>
    <w:rsid w:val="00FE5E93"/>
    <w:rsid w:val="00FE644C"/>
    <w:rsid w:val="00FE6F1F"/>
    <w:rsid w:val="00FF03B0"/>
    <w:rsid w:val="00FF207D"/>
    <w:rsid w:val="00FF28BC"/>
    <w:rsid w:val="00FF321C"/>
    <w:rsid w:val="00FF4998"/>
    <w:rsid w:val="00FF59A4"/>
    <w:rsid w:val="00FF5DFC"/>
    <w:rsid w:val="00FF5FB2"/>
    <w:rsid w:val="010B4A65"/>
    <w:rsid w:val="01186B66"/>
    <w:rsid w:val="014655BB"/>
    <w:rsid w:val="014E5781"/>
    <w:rsid w:val="01886917"/>
    <w:rsid w:val="019B6FA8"/>
    <w:rsid w:val="01AC0AE7"/>
    <w:rsid w:val="01BB5180"/>
    <w:rsid w:val="01C103F8"/>
    <w:rsid w:val="01EC566A"/>
    <w:rsid w:val="01FA07B0"/>
    <w:rsid w:val="02313F2A"/>
    <w:rsid w:val="02486185"/>
    <w:rsid w:val="0275404D"/>
    <w:rsid w:val="029133E6"/>
    <w:rsid w:val="029F15CA"/>
    <w:rsid w:val="02C74B16"/>
    <w:rsid w:val="02E01568"/>
    <w:rsid w:val="03046375"/>
    <w:rsid w:val="030A04DB"/>
    <w:rsid w:val="032754DE"/>
    <w:rsid w:val="03700089"/>
    <w:rsid w:val="03984105"/>
    <w:rsid w:val="03CF5D5C"/>
    <w:rsid w:val="03DB2498"/>
    <w:rsid w:val="03FD64EE"/>
    <w:rsid w:val="040075AF"/>
    <w:rsid w:val="041C5514"/>
    <w:rsid w:val="043625FE"/>
    <w:rsid w:val="043C129B"/>
    <w:rsid w:val="045F2F2F"/>
    <w:rsid w:val="046E73B7"/>
    <w:rsid w:val="04701339"/>
    <w:rsid w:val="04733514"/>
    <w:rsid w:val="0487299C"/>
    <w:rsid w:val="048A4314"/>
    <w:rsid w:val="04924634"/>
    <w:rsid w:val="04957517"/>
    <w:rsid w:val="04A2167D"/>
    <w:rsid w:val="04BB6D84"/>
    <w:rsid w:val="04BD7859"/>
    <w:rsid w:val="04D2466E"/>
    <w:rsid w:val="04E935C6"/>
    <w:rsid w:val="051822D8"/>
    <w:rsid w:val="05352112"/>
    <w:rsid w:val="053D3D47"/>
    <w:rsid w:val="056D24AB"/>
    <w:rsid w:val="05706921"/>
    <w:rsid w:val="05796BEA"/>
    <w:rsid w:val="05846550"/>
    <w:rsid w:val="05CA327E"/>
    <w:rsid w:val="05DA7960"/>
    <w:rsid w:val="05F97098"/>
    <w:rsid w:val="06167DA5"/>
    <w:rsid w:val="0617338B"/>
    <w:rsid w:val="06242A71"/>
    <w:rsid w:val="06261375"/>
    <w:rsid w:val="06430CB6"/>
    <w:rsid w:val="06561D05"/>
    <w:rsid w:val="066A4FA8"/>
    <w:rsid w:val="06774985"/>
    <w:rsid w:val="06940A0B"/>
    <w:rsid w:val="069E11BE"/>
    <w:rsid w:val="06BF1F63"/>
    <w:rsid w:val="06E239EF"/>
    <w:rsid w:val="06EF4B87"/>
    <w:rsid w:val="07291206"/>
    <w:rsid w:val="0730189E"/>
    <w:rsid w:val="073923B4"/>
    <w:rsid w:val="073C47BA"/>
    <w:rsid w:val="07414210"/>
    <w:rsid w:val="07496910"/>
    <w:rsid w:val="074B7572"/>
    <w:rsid w:val="0785080D"/>
    <w:rsid w:val="07AB135D"/>
    <w:rsid w:val="07C0082E"/>
    <w:rsid w:val="07C3125D"/>
    <w:rsid w:val="07CA44D6"/>
    <w:rsid w:val="07CF7EA2"/>
    <w:rsid w:val="07D81DD9"/>
    <w:rsid w:val="07D95041"/>
    <w:rsid w:val="07F551F5"/>
    <w:rsid w:val="08071B48"/>
    <w:rsid w:val="080C3D33"/>
    <w:rsid w:val="082A5471"/>
    <w:rsid w:val="08370E8F"/>
    <w:rsid w:val="083771A8"/>
    <w:rsid w:val="0841702A"/>
    <w:rsid w:val="084556CF"/>
    <w:rsid w:val="08905E51"/>
    <w:rsid w:val="08977752"/>
    <w:rsid w:val="08A25C0E"/>
    <w:rsid w:val="08A64AC5"/>
    <w:rsid w:val="08A9717D"/>
    <w:rsid w:val="08DA7A56"/>
    <w:rsid w:val="08DD4CB6"/>
    <w:rsid w:val="08E34101"/>
    <w:rsid w:val="092335EB"/>
    <w:rsid w:val="092B4F51"/>
    <w:rsid w:val="093A778D"/>
    <w:rsid w:val="096E46D5"/>
    <w:rsid w:val="097D29DA"/>
    <w:rsid w:val="098F4396"/>
    <w:rsid w:val="09934557"/>
    <w:rsid w:val="09DF1B03"/>
    <w:rsid w:val="09E03423"/>
    <w:rsid w:val="09E650C8"/>
    <w:rsid w:val="0A042724"/>
    <w:rsid w:val="0A5E71AF"/>
    <w:rsid w:val="0A6B261E"/>
    <w:rsid w:val="0AB51F5E"/>
    <w:rsid w:val="0AE15667"/>
    <w:rsid w:val="0AE32174"/>
    <w:rsid w:val="0AED2B4D"/>
    <w:rsid w:val="0AF511B7"/>
    <w:rsid w:val="0AFB1237"/>
    <w:rsid w:val="0B433477"/>
    <w:rsid w:val="0B514F31"/>
    <w:rsid w:val="0B623276"/>
    <w:rsid w:val="0B66544D"/>
    <w:rsid w:val="0B8278DF"/>
    <w:rsid w:val="0BC366D5"/>
    <w:rsid w:val="0BCC0357"/>
    <w:rsid w:val="0BD20695"/>
    <w:rsid w:val="0C300312"/>
    <w:rsid w:val="0C56045C"/>
    <w:rsid w:val="0C8C0C3C"/>
    <w:rsid w:val="0C8F7597"/>
    <w:rsid w:val="0CC35432"/>
    <w:rsid w:val="0CC90ABE"/>
    <w:rsid w:val="0CF6223E"/>
    <w:rsid w:val="0D1348B8"/>
    <w:rsid w:val="0D3674FD"/>
    <w:rsid w:val="0D4B1615"/>
    <w:rsid w:val="0D55787D"/>
    <w:rsid w:val="0D630A4C"/>
    <w:rsid w:val="0D762D89"/>
    <w:rsid w:val="0DBF4CE3"/>
    <w:rsid w:val="0DC5212B"/>
    <w:rsid w:val="0E145F50"/>
    <w:rsid w:val="0E174BA7"/>
    <w:rsid w:val="0E1E499D"/>
    <w:rsid w:val="0E491E5D"/>
    <w:rsid w:val="0EFF256E"/>
    <w:rsid w:val="0F0D25C9"/>
    <w:rsid w:val="0F2910C0"/>
    <w:rsid w:val="0F491EED"/>
    <w:rsid w:val="0F7722CC"/>
    <w:rsid w:val="0F87187A"/>
    <w:rsid w:val="0F8F7C86"/>
    <w:rsid w:val="0FA135A1"/>
    <w:rsid w:val="0FCC2E0D"/>
    <w:rsid w:val="0FEF3A91"/>
    <w:rsid w:val="10002E15"/>
    <w:rsid w:val="100150A0"/>
    <w:rsid w:val="10032189"/>
    <w:rsid w:val="103A7685"/>
    <w:rsid w:val="104657AB"/>
    <w:rsid w:val="1073306D"/>
    <w:rsid w:val="1077029D"/>
    <w:rsid w:val="10D84357"/>
    <w:rsid w:val="10ED777A"/>
    <w:rsid w:val="10F03FA8"/>
    <w:rsid w:val="11346882"/>
    <w:rsid w:val="114113C3"/>
    <w:rsid w:val="11413E7B"/>
    <w:rsid w:val="114C321C"/>
    <w:rsid w:val="11551DB0"/>
    <w:rsid w:val="11607970"/>
    <w:rsid w:val="11776175"/>
    <w:rsid w:val="11D6143A"/>
    <w:rsid w:val="121C1A71"/>
    <w:rsid w:val="12603C59"/>
    <w:rsid w:val="12640C27"/>
    <w:rsid w:val="12742292"/>
    <w:rsid w:val="1294794D"/>
    <w:rsid w:val="12966AF3"/>
    <w:rsid w:val="12A124B6"/>
    <w:rsid w:val="12DF5F41"/>
    <w:rsid w:val="12F30869"/>
    <w:rsid w:val="12FE0FC0"/>
    <w:rsid w:val="12FE519E"/>
    <w:rsid w:val="130633D9"/>
    <w:rsid w:val="13157735"/>
    <w:rsid w:val="131E56C0"/>
    <w:rsid w:val="1335146C"/>
    <w:rsid w:val="13A132D5"/>
    <w:rsid w:val="13BC1C5E"/>
    <w:rsid w:val="13E05219"/>
    <w:rsid w:val="143C3D3B"/>
    <w:rsid w:val="145C0076"/>
    <w:rsid w:val="145C5B52"/>
    <w:rsid w:val="146C4654"/>
    <w:rsid w:val="148E1179"/>
    <w:rsid w:val="15123F8C"/>
    <w:rsid w:val="15162C30"/>
    <w:rsid w:val="152A1586"/>
    <w:rsid w:val="153C6916"/>
    <w:rsid w:val="154402DF"/>
    <w:rsid w:val="15702B4E"/>
    <w:rsid w:val="15724A9E"/>
    <w:rsid w:val="15827B01"/>
    <w:rsid w:val="158726CF"/>
    <w:rsid w:val="15891F49"/>
    <w:rsid w:val="15944F85"/>
    <w:rsid w:val="15C37959"/>
    <w:rsid w:val="15F0307C"/>
    <w:rsid w:val="161A6573"/>
    <w:rsid w:val="162D2D8C"/>
    <w:rsid w:val="16A82188"/>
    <w:rsid w:val="16D511C9"/>
    <w:rsid w:val="16E858FC"/>
    <w:rsid w:val="16EE7BF5"/>
    <w:rsid w:val="16FB6522"/>
    <w:rsid w:val="171C6C13"/>
    <w:rsid w:val="17323BCF"/>
    <w:rsid w:val="1744683D"/>
    <w:rsid w:val="175A09B1"/>
    <w:rsid w:val="175E174E"/>
    <w:rsid w:val="1761610C"/>
    <w:rsid w:val="178A5ED6"/>
    <w:rsid w:val="178E5E27"/>
    <w:rsid w:val="17C4317A"/>
    <w:rsid w:val="17DA4325"/>
    <w:rsid w:val="17EF42F9"/>
    <w:rsid w:val="17FB6D27"/>
    <w:rsid w:val="180C188B"/>
    <w:rsid w:val="180F2B89"/>
    <w:rsid w:val="18622C45"/>
    <w:rsid w:val="18890248"/>
    <w:rsid w:val="188D2D0A"/>
    <w:rsid w:val="18B506A2"/>
    <w:rsid w:val="18CE3297"/>
    <w:rsid w:val="18DF5F25"/>
    <w:rsid w:val="18E566F9"/>
    <w:rsid w:val="18E71A86"/>
    <w:rsid w:val="18EA1D61"/>
    <w:rsid w:val="190F396D"/>
    <w:rsid w:val="191E46DC"/>
    <w:rsid w:val="19336E8C"/>
    <w:rsid w:val="1934514E"/>
    <w:rsid w:val="1935031C"/>
    <w:rsid w:val="196D749E"/>
    <w:rsid w:val="199A349F"/>
    <w:rsid w:val="199F21BC"/>
    <w:rsid w:val="19AC5014"/>
    <w:rsid w:val="19C80C5B"/>
    <w:rsid w:val="19D92B69"/>
    <w:rsid w:val="19EC6237"/>
    <w:rsid w:val="19F02437"/>
    <w:rsid w:val="19FE6B10"/>
    <w:rsid w:val="1A0D7322"/>
    <w:rsid w:val="1A261F3A"/>
    <w:rsid w:val="1A3C32C7"/>
    <w:rsid w:val="1A681199"/>
    <w:rsid w:val="1A6D49D4"/>
    <w:rsid w:val="1A824CE7"/>
    <w:rsid w:val="1AB167CC"/>
    <w:rsid w:val="1ADF1A19"/>
    <w:rsid w:val="1B534665"/>
    <w:rsid w:val="1B880DED"/>
    <w:rsid w:val="1BC75447"/>
    <w:rsid w:val="1BEC3E7A"/>
    <w:rsid w:val="1C000C8E"/>
    <w:rsid w:val="1C0E7896"/>
    <w:rsid w:val="1C1076DE"/>
    <w:rsid w:val="1C153322"/>
    <w:rsid w:val="1C2374A5"/>
    <w:rsid w:val="1C3D5B41"/>
    <w:rsid w:val="1C4C269E"/>
    <w:rsid w:val="1C5225A8"/>
    <w:rsid w:val="1C761A98"/>
    <w:rsid w:val="1C8403CB"/>
    <w:rsid w:val="1C85163F"/>
    <w:rsid w:val="1D0751C1"/>
    <w:rsid w:val="1D2F40BA"/>
    <w:rsid w:val="1D7B5175"/>
    <w:rsid w:val="1D842DC2"/>
    <w:rsid w:val="1D99251E"/>
    <w:rsid w:val="1D9F48BC"/>
    <w:rsid w:val="1DC01261"/>
    <w:rsid w:val="1DC45E9A"/>
    <w:rsid w:val="1DCA031E"/>
    <w:rsid w:val="1E0F5267"/>
    <w:rsid w:val="1E4E62F3"/>
    <w:rsid w:val="1E7516E7"/>
    <w:rsid w:val="1E857360"/>
    <w:rsid w:val="1E8F74AE"/>
    <w:rsid w:val="1E9654AF"/>
    <w:rsid w:val="1E9A0AF3"/>
    <w:rsid w:val="1EFC3FD6"/>
    <w:rsid w:val="1F145A83"/>
    <w:rsid w:val="1F1F4324"/>
    <w:rsid w:val="1F306E32"/>
    <w:rsid w:val="1F337352"/>
    <w:rsid w:val="1FA9409D"/>
    <w:rsid w:val="1FB546E1"/>
    <w:rsid w:val="20075BF3"/>
    <w:rsid w:val="20353D1F"/>
    <w:rsid w:val="20426063"/>
    <w:rsid w:val="20426910"/>
    <w:rsid w:val="205677C5"/>
    <w:rsid w:val="207C6B62"/>
    <w:rsid w:val="20EC2DA8"/>
    <w:rsid w:val="210E7827"/>
    <w:rsid w:val="21393E6A"/>
    <w:rsid w:val="215E734B"/>
    <w:rsid w:val="2168444E"/>
    <w:rsid w:val="21C44388"/>
    <w:rsid w:val="21D06B29"/>
    <w:rsid w:val="21FF2FD1"/>
    <w:rsid w:val="220B144C"/>
    <w:rsid w:val="22A33518"/>
    <w:rsid w:val="22C26C24"/>
    <w:rsid w:val="22CE2D0F"/>
    <w:rsid w:val="22F10A77"/>
    <w:rsid w:val="22F165FA"/>
    <w:rsid w:val="2314403B"/>
    <w:rsid w:val="231D5498"/>
    <w:rsid w:val="23205BD9"/>
    <w:rsid w:val="23327BB2"/>
    <w:rsid w:val="238460A3"/>
    <w:rsid w:val="23872EDF"/>
    <w:rsid w:val="23AB3DF5"/>
    <w:rsid w:val="23B12939"/>
    <w:rsid w:val="23C52FAF"/>
    <w:rsid w:val="23CB298C"/>
    <w:rsid w:val="23E359D2"/>
    <w:rsid w:val="23EF6A65"/>
    <w:rsid w:val="23F36DD6"/>
    <w:rsid w:val="241B03DB"/>
    <w:rsid w:val="241C3CE3"/>
    <w:rsid w:val="242B2ED0"/>
    <w:rsid w:val="24894B38"/>
    <w:rsid w:val="24D25AC6"/>
    <w:rsid w:val="24F54FAD"/>
    <w:rsid w:val="250C1CDD"/>
    <w:rsid w:val="251116B1"/>
    <w:rsid w:val="251C1489"/>
    <w:rsid w:val="252047F4"/>
    <w:rsid w:val="252F16A0"/>
    <w:rsid w:val="25377D26"/>
    <w:rsid w:val="25421B0C"/>
    <w:rsid w:val="25786F5B"/>
    <w:rsid w:val="259524DA"/>
    <w:rsid w:val="259C79F3"/>
    <w:rsid w:val="25A651A9"/>
    <w:rsid w:val="25C835CF"/>
    <w:rsid w:val="25D96EBC"/>
    <w:rsid w:val="262C55EE"/>
    <w:rsid w:val="262F1011"/>
    <w:rsid w:val="2650127F"/>
    <w:rsid w:val="2666350C"/>
    <w:rsid w:val="2668502A"/>
    <w:rsid w:val="266F38DE"/>
    <w:rsid w:val="26871406"/>
    <w:rsid w:val="26936277"/>
    <w:rsid w:val="26A967F0"/>
    <w:rsid w:val="26BA14D7"/>
    <w:rsid w:val="275F5A30"/>
    <w:rsid w:val="276E4F09"/>
    <w:rsid w:val="279A040A"/>
    <w:rsid w:val="279A09AD"/>
    <w:rsid w:val="27A34CED"/>
    <w:rsid w:val="27A75B21"/>
    <w:rsid w:val="27BF7063"/>
    <w:rsid w:val="2824642F"/>
    <w:rsid w:val="283D3B41"/>
    <w:rsid w:val="284022CD"/>
    <w:rsid w:val="288F6F25"/>
    <w:rsid w:val="28C3168F"/>
    <w:rsid w:val="28EC6CD8"/>
    <w:rsid w:val="28FA09F6"/>
    <w:rsid w:val="292146E1"/>
    <w:rsid w:val="29635763"/>
    <w:rsid w:val="29696DB5"/>
    <w:rsid w:val="29A37A01"/>
    <w:rsid w:val="29A868C1"/>
    <w:rsid w:val="29B13A13"/>
    <w:rsid w:val="29CA2340"/>
    <w:rsid w:val="29DF21B0"/>
    <w:rsid w:val="29E57EBF"/>
    <w:rsid w:val="2A466DA1"/>
    <w:rsid w:val="2A575538"/>
    <w:rsid w:val="2A610A4B"/>
    <w:rsid w:val="2A633308"/>
    <w:rsid w:val="2A645910"/>
    <w:rsid w:val="2A6F7049"/>
    <w:rsid w:val="2A902860"/>
    <w:rsid w:val="2A987773"/>
    <w:rsid w:val="2A9F1722"/>
    <w:rsid w:val="2AA66CFA"/>
    <w:rsid w:val="2AA80682"/>
    <w:rsid w:val="2AE231B1"/>
    <w:rsid w:val="2AF1429C"/>
    <w:rsid w:val="2B0B1180"/>
    <w:rsid w:val="2B17492A"/>
    <w:rsid w:val="2B29599E"/>
    <w:rsid w:val="2B6D2835"/>
    <w:rsid w:val="2BAE63C5"/>
    <w:rsid w:val="2BC714CB"/>
    <w:rsid w:val="2BEF76BA"/>
    <w:rsid w:val="2C247C7C"/>
    <w:rsid w:val="2C30047F"/>
    <w:rsid w:val="2C3F21E1"/>
    <w:rsid w:val="2C470A2A"/>
    <w:rsid w:val="2C5043FD"/>
    <w:rsid w:val="2C5134AF"/>
    <w:rsid w:val="2C58111A"/>
    <w:rsid w:val="2C76685E"/>
    <w:rsid w:val="2C791E00"/>
    <w:rsid w:val="2C865673"/>
    <w:rsid w:val="2CC51E87"/>
    <w:rsid w:val="2CE1364C"/>
    <w:rsid w:val="2D0273CB"/>
    <w:rsid w:val="2D126521"/>
    <w:rsid w:val="2D203581"/>
    <w:rsid w:val="2D355FA7"/>
    <w:rsid w:val="2D643327"/>
    <w:rsid w:val="2D6E38EE"/>
    <w:rsid w:val="2D717148"/>
    <w:rsid w:val="2D82209B"/>
    <w:rsid w:val="2D8861A8"/>
    <w:rsid w:val="2E3E78ED"/>
    <w:rsid w:val="2E6D4479"/>
    <w:rsid w:val="2ECA3698"/>
    <w:rsid w:val="2EDE5C1A"/>
    <w:rsid w:val="2F070570"/>
    <w:rsid w:val="2F462404"/>
    <w:rsid w:val="2F4859CC"/>
    <w:rsid w:val="2FA26F75"/>
    <w:rsid w:val="2FA92733"/>
    <w:rsid w:val="2FA96BDF"/>
    <w:rsid w:val="2FAF1DC0"/>
    <w:rsid w:val="2FF5479D"/>
    <w:rsid w:val="300E7227"/>
    <w:rsid w:val="30164626"/>
    <w:rsid w:val="309019B5"/>
    <w:rsid w:val="30987860"/>
    <w:rsid w:val="30A14845"/>
    <w:rsid w:val="30E34424"/>
    <w:rsid w:val="310F59A8"/>
    <w:rsid w:val="31245E6F"/>
    <w:rsid w:val="31C35C5D"/>
    <w:rsid w:val="32056E43"/>
    <w:rsid w:val="320F23C2"/>
    <w:rsid w:val="32594630"/>
    <w:rsid w:val="32677DA7"/>
    <w:rsid w:val="329E6489"/>
    <w:rsid w:val="32A83749"/>
    <w:rsid w:val="32A9545C"/>
    <w:rsid w:val="32B1779F"/>
    <w:rsid w:val="32D673BE"/>
    <w:rsid w:val="32DB717D"/>
    <w:rsid w:val="32EC6E80"/>
    <w:rsid w:val="32F43218"/>
    <w:rsid w:val="33296423"/>
    <w:rsid w:val="33413AE6"/>
    <w:rsid w:val="3352679E"/>
    <w:rsid w:val="336F0A70"/>
    <w:rsid w:val="337B1F07"/>
    <w:rsid w:val="33920679"/>
    <w:rsid w:val="33982282"/>
    <w:rsid w:val="33EC718C"/>
    <w:rsid w:val="33ED14A8"/>
    <w:rsid w:val="33F569AA"/>
    <w:rsid w:val="33F95CEB"/>
    <w:rsid w:val="34036C9A"/>
    <w:rsid w:val="34234C93"/>
    <w:rsid w:val="343E22E2"/>
    <w:rsid w:val="34475F82"/>
    <w:rsid w:val="349D2033"/>
    <w:rsid w:val="34AB4F22"/>
    <w:rsid w:val="34AD0603"/>
    <w:rsid w:val="34AF1A87"/>
    <w:rsid w:val="34B13CE5"/>
    <w:rsid w:val="34C102DF"/>
    <w:rsid w:val="34C9157E"/>
    <w:rsid w:val="34CC4278"/>
    <w:rsid w:val="35132CB4"/>
    <w:rsid w:val="35246F7A"/>
    <w:rsid w:val="35345376"/>
    <w:rsid w:val="353C1B88"/>
    <w:rsid w:val="3561499D"/>
    <w:rsid w:val="357B2A44"/>
    <w:rsid w:val="35A24F5C"/>
    <w:rsid w:val="35AF2F3A"/>
    <w:rsid w:val="35C94004"/>
    <w:rsid w:val="35D93D4F"/>
    <w:rsid w:val="360D27F4"/>
    <w:rsid w:val="361C77CB"/>
    <w:rsid w:val="36203A46"/>
    <w:rsid w:val="36295A50"/>
    <w:rsid w:val="3635547B"/>
    <w:rsid w:val="3640288A"/>
    <w:rsid w:val="36495181"/>
    <w:rsid w:val="36616054"/>
    <w:rsid w:val="369C3F53"/>
    <w:rsid w:val="36E17279"/>
    <w:rsid w:val="3713763E"/>
    <w:rsid w:val="372A204B"/>
    <w:rsid w:val="3778455C"/>
    <w:rsid w:val="379B6EDB"/>
    <w:rsid w:val="37EB36C4"/>
    <w:rsid w:val="380B1AC9"/>
    <w:rsid w:val="38240AC5"/>
    <w:rsid w:val="382563C7"/>
    <w:rsid w:val="3832671F"/>
    <w:rsid w:val="3838185E"/>
    <w:rsid w:val="384A0F7C"/>
    <w:rsid w:val="388266D9"/>
    <w:rsid w:val="388A0841"/>
    <w:rsid w:val="389F1247"/>
    <w:rsid w:val="38B92EF7"/>
    <w:rsid w:val="38E33B21"/>
    <w:rsid w:val="390A2C48"/>
    <w:rsid w:val="390C486E"/>
    <w:rsid w:val="392213F1"/>
    <w:rsid w:val="39225A85"/>
    <w:rsid w:val="395077F0"/>
    <w:rsid w:val="395865D0"/>
    <w:rsid w:val="397200C0"/>
    <w:rsid w:val="3977253A"/>
    <w:rsid w:val="397F146D"/>
    <w:rsid w:val="398A5C72"/>
    <w:rsid w:val="3994237E"/>
    <w:rsid w:val="39A26A7A"/>
    <w:rsid w:val="39A41479"/>
    <w:rsid w:val="39CA6372"/>
    <w:rsid w:val="39D42F61"/>
    <w:rsid w:val="39F52BBB"/>
    <w:rsid w:val="3A0773C4"/>
    <w:rsid w:val="3A1566B1"/>
    <w:rsid w:val="3A157B11"/>
    <w:rsid w:val="3A25387D"/>
    <w:rsid w:val="3A360CFC"/>
    <w:rsid w:val="3A4F16D3"/>
    <w:rsid w:val="3A904555"/>
    <w:rsid w:val="3A936424"/>
    <w:rsid w:val="3A94247C"/>
    <w:rsid w:val="3A9736E2"/>
    <w:rsid w:val="3AA5567A"/>
    <w:rsid w:val="3AB17F39"/>
    <w:rsid w:val="3AE825EA"/>
    <w:rsid w:val="3B0875A8"/>
    <w:rsid w:val="3B426652"/>
    <w:rsid w:val="3B8A1AFA"/>
    <w:rsid w:val="3B990828"/>
    <w:rsid w:val="3BA04270"/>
    <w:rsid w:val="3BBF2648"/>
    <w:rsid w:val="3BCE7A57"/>
    <w:rsid w:val="3BD10813"/>
    <w:rsid w:val="3BD85DE4"/>
    <w:rsid w:val="3BDB4034"/>
    <w:rsid w:val="3C270C6E"/>
    <w:rsid w:val="3C4A0862"/>
    <w:rsid w:val="3C574F96"/>
    <w:rsid w:val="3C75273D"/>
    <w:rsid w:val="3CE609A9"/>
    <w:rsid w:val="3CE7661A"/>
    <w:rsid w:val="3CF94FF9"/>
    <w:rsid w:val="3D07500E"/>
    <w:rsid w:val="3D214A62"/>
    <w:rsid w:val="3D2A4734"/>
    <w:rsid w:val="3D306C67"/>
    <w:rsid w:val="3D3C14BA"/>
    <w:rsid w:val="3D417216"/>
    <w:rsid w:val="3D622DCF"/>
    <w:rsid w:val="3D651B10"/>
    <w:rsid w:val="3DA35CE6"/>
    <w:rsid w:val="3DE4134A"/>
    <w:rsid w:val="3DFF76B9"/>
    <w:rsid w:val="3E130551"/>
    <w:rsid w:val="3E1D3A7C"/>
    <w:rsid w:val="3E500E94"/>
    <w:rsid w:val="3E97306C"/>
    <w:rsid w:val="3E9A415F"/>
    <w:rsid w:val="3EAE71F2"/>
    <w:rsid w:val="3EB63546"/>
    <w:rsid w:val="3EBF1C19"/>
    <w:rsid w:val="3ED77E2F"/>
    <w:rsid w:val="3EF268B1"/>
    <w:rsid w:val="3EF83068"/>
    <w:rsid w:val="3F2F49DC"/>
    <w:rsid w:val="3F3C090C"/>
    <w:rsid w:val="3F442945"/>
    <w:rsid w:val="3F5C799B"/>
    <w:rsid w:val="3F7E27E2"/>
    <w:rsid w:val="3F884DE6"/>
    <w:rsid w:val="3F9F6207"/>
    <w:rsid w:val="3FA353B2"/>
    <w:rsid w:val="3FE46404"/>
    <w:rsid w:val="3FE96941"/>
    <w:rsid w:val="3FF81320"/>
    <w:rsid w:val="400D4303"/>
    <w:rsid w:val="40200E8D"/>
    <w:rsid w:val="40210A98"/>
    <w:rsid w:val="40324378"/>
    <w:rsid w:val="403D7F5D"/>
    <w:rsid w:val="404B1B46"/>
    <w:rsid w:val="4063109C"/>
    <w:rsid w:val="406E430C"/>
    <w:rsid w:val="4094020B"/>
    <w:rsid w:val="40A55546"/>
    <w:rsid w:val="40A563E7"/>
    <w:rsid w:val="40C521D8"/>
    <w:rsid w:val="410B3671"/>
    <w:rsid w:val="41295026"/>
    <w:rsid w:val="41685545"/>
    <w:rsid w:val="41A2496E"/>
    <w:rsid w:val="41A31A91"/>
    <w:rsid w:val="41AA27D5"/>
    <w:rsid w:val="41B42685"/>
    <w:rsid w:val="41D5107C"/>
    <w:rsid w:val="41DD49A0"/>
    <w:rsid w:val="41ED1E4F"/>
    <w:rsid w:val="420F4C19"/>
    <w:rsid w:val="427956A0"/>
    <w:rsid w:val="428B3017"/>
    <w:rsid w:val="42B128D4"/>
    <w:rsid w:val="42C9398B"/>
    <w:rsid w:val="42DA5A81"/>
    <w:rsid w:val="42E40AD2"/>
    <w:rsid w:val="430D58A7"/>
    <w:rsid w:val="432E1656"/>
    <w:rsid w:val="4393032B"/>
    <w:rsid w:val="43BF0838"/>
    <w:rsid w:val="43C474DF"/>
    <w:rsid w:val="43C600F0"/>
    <w:rsid w:val="43EB0BC6"/>
    <w:rsid w:val="440E25ED"/>
    <w:rsid w:val="444E4FEA"/>
    <w:rsid w:val="445D346B"/>
    <w:rsid w:val="44816A27"/>
    <w:rsid w:val="449378AD"/>
    <w:rsid w:val="44A344A3"/>
    <w:rsid w:val="44C564BF"/>
    <w:rsid w:val="44FB2E63"/>
    <w:rsid w:val="451E605E"/>
    <w:rsid w:val="453D369C"/>
    <w:rsid w:val="45804CFC"/>
    <w:rsid w:val="45A31E69"/>
    <w:rsid w:val="45AE6BBA"/>
    <w:rsid w:val="46101CCC"/>
    <w:rsid w:val="46114385"/>
    <w:rsid w:val="461D64BE"/>
    <w:rsid w:val="464B34F5"/>
    <w:rsid w:val="466A1B1B"/>
    <w:rsid w:val="467C599A"/>
    <w:rsid w:val="47083695"/>
    <w:rsid w:val="472157C1"/>
    <w:rsid w:val="47264377"/>
    <w:rsid w:val="47410E17"/>
    <w:rsid w:val="4760077B"/>
    <w:rsid w:val="476F2295"/>
    <w:rsid w:val="479445B2"/>
    <w:rsid w:val="47A23A66"/>
    <w:rsid w:val="47A44642"/>
    <w:rsid w:val="47C66328"/>
    <w:rsid w:val="47DF35AB"/>
    <w:rsid w:val="47FE67F6"/>
    <w:rsid w:val="485959DF"/>
    <w:rsid w:val="486B29BB"/>
    <w:rsid w:val="487D5F19"/>
    <w:rsid w:val="48E9201D"/>
    <w:rsid w:val="48EA48AC"/>
    <w:rsid w:val="48FB0243"/>
    <w:rsid w:val="49077D93"/>
    <w:rsid w:val="49092504"/>
    <w:rsid w:val="4917106F"/>
    <w:rsid w:val="49313E06"/>
    <w:rsid w:val="4976373A"/>
    <w:rsid w:val="497A2AF4"/>
    <w:rsid w:val="498C15B9"/>
    <w:rsid w:val="499C1EB2"/>
    <w:rsid w:val="49AA3180"/>
    <w:rsid w:val="49D51EFB"/>
    <w:rsid w:val="49F728A6"/>
    <w:rsid w:val="4A030FA6"/>
    <w:rsid w:val="4A123A9E"/>
    <w:rsid w:val="4A1914E6"/>
    <w:rsid w:val="4A2C2C73"/>
    <w:rsid w:val="4A2D4379"/>
    <w:rsid w:val="4A347A18"/>
    <w:rsid w:val="4A405347"/>
    <w:rsid w:val="4A7C087B"/>
    <w:rsid w:val="4AA45BE1"/>
    <w:rsid w:val="4AA65B3B"/>
    <w:rsid w:val="4ACD0406"/>
    <w:rsid w:val="4AE37101"/>
    <w:rsid w:val="4AFC74DF"/>
    <w:rsid w:val="4B015C4B"/>
    <w:rsid w:val="4B0D12B2"/>
    <w:rsid w:val="4B14369A"/>
    <w:rsid w:val="4B267F99"/>
    <w:rsid w:val="4B5D1604"/>
    <w:rsid w:val="4B833213"/>
    <w:rsid w:val="4BB6393F"/>
    <w:rsid w:val="4BBE0AAA"/>
    <w:rsid w:val="4BF503F4"/>
    <w:rsid w:val="4BF80EEA"/>
    <w:rsid w:val="4C377209"/>
    <w:rsid w:val="4C3C1AA8"/>
    <w:rsid w:val="4C4E5C70"/>
    <w:rsid w:val="4C8463EE"/>
    <w:rsid w:val="4C866DC4"/>
    <w:rsid w:val="4C953EF3"/>
    <w:rsid w:val="4CA3361D"/>
    <w:rsid w:val="4CBA3565"/>
    <w:rsid w:val="4CC06BFB"/>
    <w:rsid w:val="4D0172BE"/>
    <w:rsid w:val="4D190123"/>
    <w:rsid w:val="4D4F113F"/>
    <w:rsid w:val="4DA14C8D"/>
    <w:rsid w:val="4DB51E3A"/>
    <w:rsid w:val="4DDA1A4C"/>
    <w:rsid w:val="4DE87042"/>
    <w:rsid w:val="4DFE7C71"/>
    <w:rsid w:val="4E1A5C09"/>
    <w:rsid w:val="4E2F2359"/>
    <w:rsid w:val="4E431849"/>
    <w:rsid w:val="4E7901BE"/>
    <w:rsid w:val="4E973643"/>
    <w:rsid w:val="4EBB5959"/>
    <w:rsid w:val="4EF14F49"/>
    <w:rsid w:val="4EF6050D"/>
    <w:rsid w:val="4F1A59BF"/>
    <w:rsid w:val="4F23678A"/>
    <w:rsid w:val="4FDC0882"/>
    <w:rsid w:val="4FF01C7D"/>
    <w:rsid w:val="4FF47A62"/>
    <w:rsid w:val="500A51B2"/>
    <w:rsid w:val="50123891"/>
    <w:rsid w:val="5015405A"/>
    <w:rsid w:val="502A4A4C"/>
    <w:rsid w:val="507A0ADC"/>
    <w:rsid w:val="50D83106"/>
    <w:rsid w:val="51652482"/>
    <w:rsid w:val="51884B5E"/>
    <w:rsid w:val="518D3779"/>
    <w:rsid w:val="51A53CCA"/>
    <w:rsid w:val="51D050D1"/>
    <w:rsid w:val="51D7211E"/>
    <w:rsid w:val="51FB366C"/>
    <w:rsid w:val="52505661"/>
    <w:rsid w:val="52555F04"/>
    <w:rsid w:val="5257610A"/>
    <w:rsid w:val="526E5CB5"/>
    <w:rsid w:val="528D58ED"/>
    <w:rsid w:val="52B727CE"/>
    <w:rsid w:val="52E80163"/>
    <w:rsid w:val="52F16F36"/>
    <w:rsid w:val="53157900"/>
    <w:rsid w:val="537F30C8"/>
    <w:rsid w:val="53865274"/>
    <w:rsid w:val="538D0C97"/>
    <w:rsid w:val="539378C6"/>
    <w:rsid w:val="539B2AE5"/>
    <w:rsid w:val="54041F4F"/>
    <w:rsid w:val="54074631"/>
    <w:rsid w:val="54272FB7"/>
    <w:rsid w:val="542E1C7D"/>
    <w:rsid w:val="54342A77"/>
    <w:rsid w:val="54616AA7"/>
    <w:rsid w:val="54683D67"/>
    <w:rsid w:val="54877FBF"/>
    <w:rsid w:val="54A21BB2"/>
    <w:rsid w:val="54A32459"/>
    <w:rsid w:val="54C254CA"/>
    <w:rsid w:val="54C45561"/>
    <w:rsid w:val="54FB0113"/>
    <w:rsid w:val="54FC1185"/>
    <w:rsid w:val="550766B6"/>
    <w:rsid w:val="55506D44"/>
    <w:rsid w:val="55600EB0"/>
    <w:rsid w:val="556F0105"/>
    <w:rsid w:val="55714EE7"/>
    <w:rsid w:val="557F4139"/>
    <w:rsid w:val="55810687"/>
    <w:rsid w:val="55965743"/>
    <w:rsid w:val="55B95A64"/>
    <w:rsid w:val="55DD2479"/>
    <w:rsid w:val="55F41770"/>
    <w:rsid w:val="55FF5737"/>
    <w:rsid w:val="56022458"/>
    <w:rsid w:val="56081C2F"/>
    <w:rsid w:val="561D1514"/>
    <w:rsid w:val="561D267A"/>
    <w:rsid w:val="56400CAD"/>
    <w:rsid w:val="569A2B9B"/>
    <w:rsid w:val="56B05376"/>
    <w:rsid w:val="56B37C3B"/>
    <w:rsid w:val="56C441A7"/>
    <w:rsid w:val="56CC7D61"/>
    <w:rsid w:val="56D75AF5"/>
    <w:rsid w:val="575710A5"/>
    <w:rsid w:val="57AE0273"/>
    <w:rsid w:val="57C10BD1"/>
    <w:rsid w:val="57D74231"/>
    <w:rsid w:val="57E106B8"/>
    <w:rsid w:val="57F7496D"/>
    <w:rsid w:val="58081342"/>
    <w:rsid w:val="58295010"/>
    <w:rsid w:val="585B0093"/>
    <w:rsid w:val="586E2123"/>
    <w:rsid w:val="58BA6968"/>
    <w:rsid w:val="58C42CBE"/>
    <w:rsid w:val="58C92054"/>
    <w:rsid w:val="58D858C7"/>
    <w:rsid w:val="58D867D0"/>
    <w:rsid w:val="59186B24"/>
    <w:rsid w:val="592C2178"/>
    <w:rsid w:val="593E3AF5"/>
    <w:rsid w:val="597046D7"/>
    <w:rsid w:val="597F5A24"/>
    <w:rsid w:val="5980115E"/>
    <w:rsid w:val="59B40DDE"/>
    <w:rsid w:val="5A090817"/>
    <w:rsid w:val="5A1F4A60"/>
    <w:rsid w:val="5A2E779A"/>
    <w:rsid w:val="5A764AEA"/>
    <w:rsid w:val="5A7C6794"/>
    <w:rsid w:val="5AA111CC"/>
    <w:rsid w:val="5AA958FD"/>
    <w:rsid w:val="5ACF0B14"/>
    <w:rsid w:val="5ACF4D8D"/>
    <w:rsid w:val="5AD97D44"/>
    <w:rsid w:val="5AFE2B3E"/>
    <w:rsid w:val="5B22024B"/>
    <w:rsid w:val="5B2E624D"/>
    <w:rsid w:val="5B3C7AE4"/>
    <w:rsid w:val="5B743794"/>
    <w:rsid w:val="5B835103"/>
    <w:rsid w:val="5B882D28"/>
    <w:rsid w:val="5B8D52AF"/>
    <w:rsid w:val="5BAF2355"/>
    <w:rsid w:val="5BCF75DE"/>
    <w:rsid w:val="5BF5491D"/>
    <w:rsid w:val="5BF60B78"/>
    <w:rsid w:val="5C0419E6"/>
    <w:rsid w:val="5C0A3D46"/>
    <w:rsid w:val="5C1668CF"/>
    <w:rsid w:val="5C2448DF"/>
    <w:rsid w:val="5C281A1F"/>
    <w:rsid w:val="5C3618BF"/>
    <w:rsid w:val="5C6B638D"/>
    <w:rsid w:val="5C7E749C"/>
    <w:rsid w:val="5C800C68"/>
    <w:rsid w:val="5CAE7AA5"/>
    <w:rsid w:val="5CF84E94"/>
    <w:rsid w:val="5D05202B"/>
    <w:rsid w:val="5D0727AC"/>
    <w:rsid w:val="5D237DD6"/>
    <w:rsid w:val="5D6947DB"/>
    <w:rsid w:val="5DB27F4B"/>
    <w:rsid w:val="5DF86D7B"/>
    <w:rsid w:val="5E052F60"/>
    <w:rsid w:val="5E145B26"/>
    <w:rsid w:val="5E484D06"/>
    <w:rsid w:val="5E8B3830"/>
    <w:rsid w:val="5E995CB6"/>
    <w:rsid w:val="5EA51313"/>
    <w:rsid w:val="5EBD054E"/>
    <w:rsid w:val="5F3A7902"/>
    <w:rsid w:val="5F4B0427"/>
    <w:rsid w:val="5F4B4928"/>
    <w:rsid w:val="5F6D1766"/>
    <w:rsid w:val="5FA06C93"/>
    <w:rsid w:val="5FB6382F"/>
    <w:rsid w:val="5FFC5FA8"/>
    <w:rsid w:val="602B7422"/>
    <w:rsid w:val="602E4FFB"/>
    <w:rsid w:val="60492FDE"/>
    <w:rsid w:val="60787DEF"/>
    <w:rsid w:val="60B43573"/>
    <w:rsid w:val="60B97D7B"/>
    <w:rsid w:val="60BD77B5"/>
    <w:rsid w:val="60C471C8"/>
    <w:rsid w:val="60CC20E8"/>
    <w:rsid w:val="60CD034A"/>
    <w:rsid w:val="60E00007"/>
    <w:rsid w:val="60E450C8"/>
    <w:rsid w:val="60EF5FBA"/>
    <w:rsid w:val="60F0127D"/>
    <w:rsid w:val="610229C7"/>
    <w:rsid w:val="61575DB9"/>
    <w:rsid w:val="615D62A4"/>
    <w:rsid w:val="61A9603A"/>
    <w:rsid w:val="61DE7C20"/>
    <w:rsid w:val="61ED03C6"/>
    <w:rsid w:val="62166C8C"/>
    <w:rsid w:val="62282029"/>
    <w:rsid w:val="622B7960"/>
    <w:rsid w:val="622F4764"/>
    <w:rsid w:val="62352101"/>
    <w:rsid w:val="624942F2"/>
    <w:rsid w:val="624D13D2"/>
    <w:rsid w:val="62952C26"/>
    <w:rsid w:val="62DC7DAD"/>
    <w:rsid w:val="62E03330"/>
    <w:rsid w:val="62EE1B5C"/>
    <w:rsid w:val="632B3743"/>
    <w:rsid w:val="6344401E"/>
    <w:rsid w:val="63661CC6"/>
    <w:rsid w:val="636E5887"/>
    <w:rsid w:val="639844F4"/>
    <w:rsid w:val="640C4D66"/>
    <w:rsid w:val="643D6AEA"/>
    <w:rsid w:val="644704AA"/>
    <w:rsid w:val="644F5186"/>
    <w:rsid w:val="64512008"/>
    <w:rsid w:val="645B4A4F"/>
    <w:rsid w:val="64645B09"/>
    <w:rsid w:val="647F4E68"/>
    <w:rsid w:val="64836A7E"/>
    <w:rsid w:val="64981D04"/>
    <w:rsid w:val="64C442EF"/>
    <w:rsid w:val="64DA18BD"/>
    <w:rsid w:val="64E20321"/>
    <w:rsid w:val="64EB3D59"/>
    <w:rsid w:val="64F37D8E"/>
    <w:rsid w:val="64F42785"/>
    <w:rsid w:val="65177A81"/>
    <w:rsid w:val="651D7D2C"/>
    <w:rsid w:val="65344221"/>
    <w:rsid w:val="654178CD"/>
    <w:rsid w:val="65593354"/>
    <w:rsid w:val="657C366D"/>
    <w:rsid w:val="658C1862"/>
    <w:rsid w:val="65C014DD"/>
    <w:rsid w:val="6603736D"/>
    <w:rsid w:val="66334E81"/>
    <w:rsid w:val="66693D7A"/>
    <w:rsid w:val="66932504"/>
    <w:rsid w:val="66AB2CB8"/>
    <w:rsid w:val="66C53576"/>
    <w:rsid w:val="66EF434C"/>
    <w:rsid w:val="66EF70F7"/>
    <w:rsid w:val="67025F6A"/>
    <w:rsid w:val="67085112"/>
    <w:rsid w:val="6716631D"/>
    <w:rsid w:val="6727355B"/>
    <w:rsid w:val="675A1F0F"/>
    <w:rsid w:val="677B7505"/>
    <w:rsid w:val="67A06B3D"/>
    <w:rsid w:val="67B4407C"/>
    <w:rsid w:val="67C07A4D"/>
    <w:rsid w:val="67E35FC0"/>
    <w:rsid w:val="680D3F1A"/>
    <w:rsid w:val="68105ADD"/>
    <w:rsid w:val="68290DEF"/>
    <w:rsid w:val="688C494F"/>
    <w:rsid w:val="68B34444"/>
    <w:rsid w:val="68DE2274"/>
    <w:rsid w:val="68E52730"/>
    <w:rsid w:val="69013A3D"/>
    <w:rsid w:val="69031495"/>
    <w:rsid w:val="69037F30"/>
    <w:rsid w:val="691E39E4"/>
    <w:rsid w:val="69297A0B"/>
    <w:rsid w:val="6934490E"/>
    <w:rsid w:val="6938582D"/>
    <w:rsid w:val="697C710C"/>
    <w:rsid w:val="697D10D3"/>
    <w:rsid w:val="69882C1F"/>
    <w:rsid w:val="69CC595B"/>
    <w:rsid w:val="6A0A61AB"/>
    <w:rsid w:val="6A2D4E91"/>
    <w:rsid w:val="6A3645BE"/>
    <w:rsid w:val="6A8E3175"/>
    <w:rsid w:val="6A9937FB"/>
    <w:rsid w:val="6AA02C6C"/>
    <w:rsid w:val="6AA2046B"/>
    <w:rsid w:val="6ACF1DE0"/>
    <w:rsid w:val="6AE911DF"/>
    <w:rsid w:val="6AEC6FDC"/>
    <w:rsid w:val="6B090794"/>
    <w:rsid w:val="6B0E6819"/>
    <w:rsid w:val="6B546F7E"/>
    <w:rsid w:val="6B5628FC"/>
    <w:rsid w:val="6B58181E"/>
    <w:rsid w:val="6B600CFC"/>
    <w:rsid w:val="6B666DC1"/>
    <w:rsid w:val="6B6D2854"/>
    <w:rsid w:val="6B7E7002"/>
    <w:rsid w:val="6B815528"/>
    <w:rsid w:val="6B9A3980"/>
    <w:rsid w:val="6BC25B93"/>
    <w:rsid w:val="6BD85097"/>
    <w:rsid w:val="6BE178C8"/>
    <w:rsid w:val="6BF651CC"/>
    <w:rsid w:val="6BFD2AD4"/>
    <w:rsid w:val="6C241DF2"/>
    <w:rsid w:val="6C2F2D0A"/>
    <w:rsid w:val="6C913258"/>
    <w:rsid w:val="6CE14C19"/>
    <w:rsid w:val="6D00293A"/>
    <w:rsid w:val="6D0C3CCD"/>
    <w:rsid w:val="6D134B75"/>
    <w:rsid w:val="6D5007F3"/>
    <w:rsid w:val="6D650EF6"/>
    <w:rsid w:val="6D7B5101"/>
    <w:rsid w:val="6D8D3A1B"/>
    <w:rsid w:val="6DDC4A31"/>
    <w:rsid w:val="6DEF528E"/>
    <w:rsid w:val="6E157DBA"/>
    <w:rsid w:val="6E4C5E1B"/>
    <w:rsid w:val="6E9D4317"/>
    <w:rsid w:val="6EA43E65"/>
    <w:rsid w:val="6ED17612"/>
    <w:rsid w:val="6ED215D0"/>
    <w:rsid w:val="6EF010A7"/>
    <w:rsid w:val="6F0A5140"/>
    <w:rsid w:val="6F11121C"/>
    <w:rsid w:val="6F2523FB"/>
    <w:rsid w:val="6F2B3A2A"/>
    <w:rsid w:val="6F446672"/>
    <w:rsid w:val="6F783967"/>
    <w:rsid w:val="6F804137"/>
    <w:rsid w:val="6F8D629E"/>
    <w:rsid w:val="6F993EA7"/>
    <w:rsid w:val="6FB96A51"/>
    <w:rsid w:val="70101720"/>
    <w:rsid w:val="701C301C"/>
    <w:rsid w:val="70281C68"/>
    <w:rsid w:val="703377EA"/>
    <w:rsid w:val="70933D76"/>
    <w:rsid w:val="709E1E79"/>
    <w:rsid w:val="70A849C3"/>
    <w:rsid w:val="70B10776"/>
    <w:rsid w:val="7141071E"/>
    <w:rsid w:val="71547407"/>
    <w:rsid w:val="716C3672"/>
    <w:rsid w:val="71F9515F"/>
    <w:rsid w:val="722151EB"/>
    <w:rsid w:val="72253032"/>
    <w:rsid w:val="72645099"/>
    <w:rsid w:val="726D1F0A"/>
    <w:rsid w:val="726D2211"/>
    <w:rsid w:val="72951E7A"/>
    <w:rsid w:val="729F2C4B"/>
    <w:rsid w:val="72EF531B"/>
    <w:rsid w:val="730F3CDE"/>
    <w:rsid w:val="73113A0D"/>
    <w:rsid w:val="73444042"/>
    <w:rsid w:val="73495405"/>
    <w:rsid w:val="73721926"/>
    <w:rsid w:val="73BD7D1D"/>
    <w:rsid w:val="73FE3B46"/>
    <w:rsid w:val="740C13F8"/>
    <w:rsid w:val="742F3D1C"/>
    <w:rsid w:val="74741F55"/>
    <w:rsid w:val="74816CD1"/>
    <w:rsid w:val="74D4090E"/>
    <w:rsid w:val="74FE4193"/>
    <w:rsid w:val="75126C9B"/>
    <w:rsid w:val="7514080C"/>
    <w:rsid w:val="751C1E37"/>
    <w:rsid w:val="75325822"/>
    <w:rsid w:val="754001E3"/>
    <w:rsid w:val="757310D2"/>
    <w:rsid w:val="75A03CD1"/>
    <w:rsid w:val="75A66AF0"/>
    <w:rsid w:val="75A7741F"/>
    <w:rsid w:val="75BB590C"/>
    <w:rsid w:val="75C57954"/>
    <w:rsid w:val="75D5568B"/>
    <w:rsid w:val="75D97917"/>
    <w:rsid w:val="76134F53"/>
    <w:rsid w:val="76485090"/>
    <w:rsid w:val="76515436"/>
    <w:rsid w:val="76600168"/>
    <w:rsid w:val="76850C11"/>
    <w:rsid w:val="769E1EB6"/>
    <w:rsid w:val="76C669D7"/>
    <w:rsid w:val="76D95C71"/>
    <w:rsid w:val="77074DCA"/>
    <w:rsid w:val="772A2634"/>
    <w:rsid w:val="772A765D"/>
    <w:rsid w:val="772B6425"/>
    <w:rsid w:val="773F72A9"/>
    <w:rsid w:val="77512AC6"/>
    <w:rsid w:val="77883EA5"/>
    <w:rsid w:val="77BE4B43"/>
    <w:rsid w:val="77CF56A5"/>
    <w:rsid w:val="77F63018"/>
    <w:rsid w:val="781D2F79"/>
    <w:rsid w:val="78322F00"/>
    <w:rsid w:val="788D72AC"/>
    <w:rsid w:val="78A50B4B"/>
    <w:rsid w:val="78EC1520"/>
    <w:rsid w:val="7906300B"/>
    <w:rsid w:val="790F01DA"/>
    <w:rsid w:val="791E09EC"/>
    <w:rsid w:val="796B05A5"/>
    <w:rsid w:val="79723881"/>
    <w:rsid w:val="79775F17"/>
    <w:rsid w:val="797C4466"/>
    <w:rsid w:val="79A43FE1"/>
    <w:rsid w:val="79B57CC2"/>
    <w:rsid w:val="79EE27F9"/>
    <w:rsid w:val="79F23F23"/>
    <w:rsid w:val="79F70A30"/>
    <w:rsid w:val="79FF2965"/>
    <w:rsid w:val="7A331A82"/>
    <w:rsid w:val="7A3913E2"/>
    <w:rsid w:val="7A6B2639"/>
    <w:rsid w:val="7A721D3D"/>
    <w:rsid w:val="7A8D265A"/>
    <w:rsid w:val="7A9E5420"/>
    <w:rsid w:val="7AAC1F2F"/>
    <w:rsid w:val="7ADD7225"/>
    <w:rsid w:val="7AFF088F"/>
    <w:rsid w:val="7B0E5AAD"/>
    <w:rsid w:val="7B2E20B6"/>
    <w:rsid w:val="7B5022DD"/>
    <w:rsid w:val="7B6C6B2F"/>
    <w:rsid w:val="7B9D24D3"/>
    <w:rsid w:val="7B9F5675"/>
    <w:rsid w:val="7BA32162"/>
    <w:rsid w:val="7BB56B3F"/>
    <w:rsid w:val="7BD132F1"/>
    <w:rsid w:val="7BED2CF7"/>
    <w:rsid w:val="7C2F6A6C"/>
    <w:rsid w:val="7C3C3402"/>
    <w:rsid w:val="7C5818FD"/>
    <w:rsid w:val="7C5F48DF"/>
    <w:rsid w:val="7C6710DA"/>
    <w:rsid w:val="7C677BE9"/>
    <w:rsid w:val="7C6A7517"/>
    <w:rsid w:val="7C81697F"/>
    <w:rsid w:val="7C883222"/>
    <w:rsid w:val="7CCE503A"/>
    <w:rsid w:val="7D0B73F7"/>
    <w:rsid w:val="7D0C6883"/>
    <w:rsid w:val="7D170593"/>
    <w:rsid w:val="7D4F5F80"/>
    <w:rsid w:val="7D5354FA"/>
    <w:rsid w:val="7D65620C"/>
    <w:rsid w:val="7D7E020B"/>
    <w:rsid w:val="7DA46F93"/>
    <w:rsid w:val="7DE7361F"/>
    <w:rsid w:val="7DF142BB"/>
    <w:rsid w:val="7E582B2B"/>
    <w:rsid w:val="7E657EAF"/>
    <w:rsid w:val="7E7D31F2"/>
    <w:rsid w:val="7EAD764E"/>
    <w:rsid w:val="7EB47327"/>
    <w:rsid w:val="7EB57BDC"/>
    <w:rsid w:val="7EBF48F8"/>
    <w:rsid w:val="7ECB089F"/>
    <w:rsid w:val="7EDA04BC"/>
    <w:rsid w:val="7F0511FB"/>
    <w:rsid w:val="7F3650DA"/>
    <w:rsid w:val="7F386EEE"/>
    <w:rsid w:val="7F4B1849"/>
    <w:rsid w:val="7FB86BFF"/>
    <w:rsid w:val="7FE55DFA"/>
    <w:rsid w:val="7FFE08BD"/>
    <w:rsid w:val="FFBB25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5">
    <w:name w:val="heading 1"/>
    <w:basedOn w:val="1"/>
    <w:next w:val="1"/>
    <w:link w:val="456"/>
    <w:qFormat/>
    <w:uiPriority w:val="0"/>
    <w:pPr>
      <w:keepNext/>
      <w:widowControl/>
      <w:spacing w:line="360" w:lineRule="auto"/>
      <w:jc w:val="center"/>
      <w:outlineLvl w:val="0"/>
    </w:pPr>
    <w:rPr>
      <w:rFonts w:ascii="??" w:hAnsi="??" w:eastAsia="??" w:cs="宋体"/>
      <w:b/>
      <w:kern w:val="36"/>
      <w:sz w:val="32"/>
      <w:szCs w:val="28"/>
    </w:rPr>
  </w:style>
  <w:style w:type="paragraph" w:styleId="6">
    <w:name w:val="heading 2"/>
    <w:basedOn w:val="1"/>
    <w:next w:val="1"/>
    <w:link w:val="492"/>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7">
    <w:name w:val="heading 3"/>
    <w:basedOn w:val="1"/>
    <w:next w:val="1"/>
    <w:link w:val="429"/>
    <w:qFormat/>
    <w:uiPriority w:val="0"/>
    <w:pPr>
      <w:keepNext/>
      <w:keepLines/>
      <w:widowControl/>
      <w:numPr>
        <w:ilvl w:val="2"/>
        <w:numId w:val="2"/>
      </w:numPr>
      <w:tabs>
        <w:tab w:val="left" w:pos="-839"/>
      </w:tabs>
      <w:spacing w:before="120" w:after="120" w:line="360" w:lineRule="auto"/>
      <w:jc w:val="center"/>
      <w:outlineLvl w:val="2"/>
    </w:pPr>
    <w:rPr>
      <w:rFonts w:ascii="Times New Roman" w:hAnsi="Times New Roman" w:eastAsia="??"/>
      <w:b/>
      <w:kern w:val="0"/>
      <w:sz w:val="32"/>
      <w:szCs w:val="28"/>
    </w:rPr>
  </w:style>
  <w:style w:type="paragraph" w:styleId="8">
    <w:name w:val="heading 4"/>
    <w:basedOn w:val="1"/>
    <w:next w:val="1"/>
    <w:link w:val="431"/>
    <w:qFormat/>
    <w:uiPriority w:val="0"/>
    <w:pPr>
      <w:keepNext/>
      <w:keepLines/>
      <w:spacing w:before="280" w:after="290" w:line="376" w:lineRule="auto"/>
      <w:outlineLvl w:val="3"/>
    </w:pPr>
    <w:rPr>
      <w:rFonts w:ascii="Arial" w:hAnsi="Arial" w:eastAsia="??" w:cs="Arial"/>
      <w:b/>
      <w:bCs/>
      <w:sz w:val="28"/>
      <w:szCs w:val="28"/>
    </w:rPr>
  </w:style>
  <w:style w:type="paragraph" w:styleId="9">
    <w:name w:val="heading 5"/>
    <w:basedOn w:val="1"/>
    <w:next w:val="1"/>
    <w:link w:val="427"/>
    <w:qFormat/>
    <w:uiPriority w:val="0"/>
    <w:pPr>
      <w:keepNext/>
      <w:keepLines/>
      <w:spacing w:before="280" w:after="290" w:line="376" w:lineRule="auto"/>
      <w:outlineLvl w:val="4"/>
    </w:pPr>
    <w:rPr>
      <w:rFonts w:ascii="Times New Roman" w:hAnsi="Times New Roman" w:eastAsia="??"/>
      <w:b/>
      <w:bCs/>
      <w:sz w:val="28"/>
      <w:szCs w:val="28"/>
    </w:rPr>
  </w:style>
  <w:style w:type="paragraph" w:styleId="10">
    <w:name w:val="heading 6"/>
    <w:basedOn w:val="9"/>
    <w:next w:val="1"/>
    <w:link w:val="498"/>
    <w:qFormat/>
    <w:uiPriority w:val="0"/>
    <w:pPr>
      <w:widowControl/>
      <w:numPr>
        <w:ilvl w:val="5"/>
        <w:numId w:val="2"/>
      </w:numPr>
      <w:tabs>
        <w:tab w:val="left" w:pos="-839"/>
      </w:tabs>
      <w:spacing w:before="240" w:after="64" w:line="319" w:lineRule="auto"/>
      <w:jc w:val="left"/>
      <w:outlineLvl w:val="5"/>
    </w:pPr>
    <w:rPr>
      <w:rFonts w:ascii="Arial" w:hAnsi="Arial" w:cs="Arial"/>
      <w:kern w:val="0"/>
      <w:sz w:val="24"/>
    </w:rPr>
  </w:style>
  <w:style w:type="paragraph" w:styleId="11">
    <w:name w:val="heading 7"/>
    <w:basedOn w:val="1"/>
    <w:next w:val="1"/>
    <w:link w:val="443"/>
    <w:qFormat/>
    <w:uiPriority w:val="0"/>
    <w:pPr>
      <w:keepNext/>
      <w:keepLines/>
      <w:widowControl/>
      <w:numPr>
        <w:ilvl w:val="6"/>
        <w:numId w:val="2"/>
      </w:numPr>
      <w:tabs>
        <w:tab w:val="left" w:pos="-839"/>
      </w:tabs>
      <w:spacing w:before="240" w:after="64" w:line="319" w:lineRule="auto"/>
      <w:jc w:val="left"/>
      <w:outlineLvl w:val="6"/>
    </w:pPr>
    <w:rPr>
      <w:rFonts w:ascii="Times New Roman" w:hAnsi="Times New Roman" w:eastAsia="??"/>
      <w:b/>
      <w:bCs/>
      <w:kern w:val="0"/>
      <w:sz w:val="24"/>
      <w:szCs w:val="28"/>
    </w:rPr>
  </w:style>
  <w:style w:type="paragraph" w:styleId="12">
    <w:name w:val="heading 8"/>
    <w:basedOn w:val="1"/>
    <w:next w:val="1"/>
    <w:link w:val="420"/>
    <w:qFormat/>
    <w:uiPriority w:val="0"/>
    <w:pPr>
      <w:keepNext/>
      <w:keepLines/>
      <w:widowControl/>
      <w:numPr>
        <w:ilvl w:val="7"/>
        <w:numId w:val="2"/>
      </w:numPr>
      <w:tabs>
        <w:tab w:val="left" w:pos="-839"/>
      </w:tabs>
      <w:spacing w:before="240" w:after="64" w:line="319" w:lineRule="auto"/>
      <w:jc w:val="left"/>
      <w:outlineLvl w:val="7"/>
    </w:pPr>
    <w:rPr>
      <w:rFonts w:ascii="Arial" w:hAnsi="Arial" w:eastAsia="??" w:cs="Arial"/>
      <w:kern w:val="0"/>
      <w:sz w:val="24"/>
      <w:szCs w:val="28"/>
    </w:rPr>
  </w:style>
  <w:style w:type="paragraph" w:styleId="13">
    <w:name w:val="heading 9"/>
    <w:basedOn w:val="1"/>
    <w:next w:val="1"/>
    <w:link w:val="451"/>
    <w:qFormat/>
    <w:uiPriority w:val="0"/>
    <w:pPr>
      <w:keepNext/>
      <w:keepLines/>
      <w:widowControl/>
      <w:numPr>
        <w:ilvl w:val="8"/>
        <w:numId w:val="2"/>
      </w:numPr>
      <w:tabs>
        <w:tab w:val="left" w:pos="-839"/>
      </w:tabs>
      <w:spacing w:before="240" w:after="64" w:line="319" w:lineRule="auto"/>
      <w:jc w:val="left"/>
      <w:outlineLvl w:val="8"/>
    </w:pPr>
    <w:rPr>
      <w:rFonts w:ascii="Arial" w:hAnsi="Arial" w:eastAsia="??" w:cs="Arial"/>
      <w:kern w:val="0"/>
      <w:szCs w:val="21"/>
    </w:rPr>
  </w:style>
  <w:style w:type="character" w:default="1" w:styleId="80">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eastAsia="宋体"/>
      <w:sz w:val="21"/>
      <w:szCs w:val="20"/>
    </w:rPr>
  </w:style>
  <w:style w:type="paragraph" w:styleId="3">
    <w:name w:val="Body Text Indent"/>
    <w:basedOn w:val="1"/>
    <w:next w:val="2"/>
    <w:link w:val="422"/>
    <w:qFormat/>
    <w:uiPriority w:val="0"/>
    <w:pPr>
      <w:spacing w:line="480" w:lineRule="atLeast"/>
      <w:ind w:firstLine="570"/>
    </w:pPr>
    <w:rPr>
      <w:rFonts w:ascii="??" w:hAnsi="??" w:eastAsia="??"/>
      <w:sz w:val="28"/>
      <w:szCs w:val="28"/>
    </w:rPr>
  </w:style>
  <w:style w:type="paragraph" w:styleId="4">
    <w:name w:val="macro"/>
    <w:link w:val="47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numPr>
        <w:ilvl w:val="0"/>
        <w:numId w:val="3"/>
      </w:numPr>
      <w:spacing w:line="360" w:lineRule="auto"/>
    </w:pPr>
    <w:rPr>
      <w:sz w:val="24"/>
    </w:rPr>
  </w:style>
  <w:style w:type="paragraph" w:styleId="16">
    <w:name w:val="table of authorities"/>
    <w:basedOn w:val="1"/>
    <w:next w:val="1"/>
    <w:qFormat/>
    <w:uiPriority w:val="0"/>
    <w:pPr>
      <w:spacing w:line="360" w:lineRule="auto"/>
      <w:ind w:left="420" w:leftChars="200"/>
    </w:pPr>
    <w:rPr>
      <w:rFonts w:eastAsia="楷体_GB2312"/>
      <w:sz w:val="24"/>
    </w:rPr>
  </w:style>
  <w:style w:type="paragraph" w:styleId="17">
    <w:name w:val="List Bullet 4"/>
    <w:basedOn w:val="1"/>
    <w:qFormat/>
    <w:uiPriority w:val="0"/>
    <w:pPr>
      <w:tabs>
        <w:tab w:val="left" w:pos="1620"/>
      </w:tabs>
      <w:spacing w:line="360" w:lineRule="auto"/>
      <w:ind w:left="1620" w:leftChars="600" w:hanging="360" w:hangingChars="200"/>
    </w:pPr>
    <w:rPr>
      <w:rFonts w:eastAsia="楷体_GB2312"/>
      <w:sz w:val="24"/>
    </w:rPr>
  </w:style>
  <w:style w:type="paragraph" w:styleId="18">
    <w:name w:val="index 8"/>
    <w:basedOn w:val="1"/>
    <w:next w:val="1"/>
    <w:qFormat/>
    <w:uiPriority w:val="0"/>
    <w:pPr>
      <w:spacing w:line="360" w:lineRule="auto"/>
      <w:ind w:left="1400" w:leftChars="1400"/>
    </w:pPr>
    <w:rPr>
      <w:rFonts w:eastAsia="楷体_GB2312"/>
      <w:sz w:val="24"/>
    </w:rPr>
  </w:style>
  <w:style w:type="paragraph" w:styleId="19">
    <w:name w:val="E-mail Signature"/>
    <w:basedOn w:val="1"/>
    <w:link w:val="457"/>
    <w:qFormat/>
    <w:uiPriority w:val="0"/>
    <w:pPr>
      <w:spacing w:line="360" w:lineRule="auto"/>
    </w:pPr>
    <w:rPr>
      <w:rFonts w:ascii="Times New Roman" w:hAnsi="Times New Roman" w:eastAsia="楷体_GB2312"/>
      <w:sz w:val="24"/>
    </w:rPr>
  </w:style>
  <w:style w:type="paragraph" w:styleId="20">
    <w:name w:val="List Number"/>
    <w:basedOn w:val="1"/>
    <w:qFormat/>
    <w:uiPriority w:val="0"/>
    <w:pPr>
      <w:tabs>
        <w:tab w:val="left" w:pos="360"/>
      </w:tabs>
      <w:spacing w:line="360" w:lineRule="auto"/>
      <w:ind w:left="360" w:hanging="360" w:hangingChars="200"/>
    </w:pPr>
    <w:rPr>
      <w:rFonts w:eastAsia="楷体_GB2312"/>
      <w:sz w:val="24"/>
    </w:rPr>
  </w:style>
  <w:style w:type="paragraph" w:styleId="21">
    <w:name w:val="Normal Indent"/>
    <w:basedOn w:val="1"/>
    <w:link w:val="496"/>
    <w:qFormat/>
    <w:uiPriority w:val="0"/>
    <w:pPr>
      <w:widowControl/>
      <w:ind w:firstLine="420"/>
      <w:jc w:val="left"/>
    </w:pPr>
    <w:rPr>
      <w:rFonts w:ascii="Times New Roman" w:hAnsi="Times New Roman" w:eastAsia="??"/>
      <w:kern w:val="0"/>
      <w:sz w:val="24"/>
    </w:rPr>
  </w:style>
  <w:style w:type="paragraph" w:styleId="22">
    <w:name w:val="caption"/>
    <w:basedOn w:val="1"/>
    <w:next w:val="1"/>
    <w:qFormat/>
    <w:uiPriority w:val="0"/>
    <w:pPr>
      <w:spacing w:before="152" w:after="160" w:line="360" w:lineRule="auto"/>
    </w:pPr>
    <w:rPr>
      <w:rFonts w:ascii="Arial" w:hAnsi="Arial" w:eastAsia="黑体" w:cs="Arial"/>
      <w:sz w:val="20"/>
      <w:szCs w:val="20"/>
    </w:rPr>
  </w:style>
  <w:style w:type="paragraph" w:styleId="23">
    <w:name w:val="index 5"/>
    <w:basedOn w:val="1"/>
    <w:next w:val="1"/>
    <w:qFormat/>
    <w:uiPriority w:val="0"/>
    <w:pPr>
      <w:spacing w:line="360" w:lineRule="auto"/>
      <w:ind w:left="800" w:leftChars="800"/>
    </w:pPr>
    <w:rPr>
      <w:rFonts w:eastAsia="楷体_GB2312"/>
      <w:sz w:val="24"/>
    </w:rPr>
  </w:style>
  <w:style w:type="paragraph" w:styleId="24">
    <w:name w:val="List Bullet"/>
    <w:basedOn w:val="1"/>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5">
    <w:name w:val="Document Map"/>
    <w:basedOn w:val="1"/>
    <w:qFormat/>
    <w:uiPriority w:val="0"/>
    <w:pPr>
      <w:shd w:val="clear" w:color="auto" w:fill="000080"/>
    </w:pPr>
    <w:rPr>
      <w:rFonts w:eastAsia="??"/>
      <w:sz w:val="28"/>
      <w:szCs w:val="28"/>
    </w:rPr>
  </w:style>
  <w:style w:type="paragraph" w:styleId="26">
    <w:name w:val="toa heading"/>
    <w:basedOn w:val="1"/>
    <w:next w:val="1"/>
    <w:qFormat/>
    <w:uiPriority w:val="0"/>
    <w:pPr>
      <w:spacing w:before="120" w:line="360" w:lineRule="auto"/>
    </w:pPr>
    <w:rPr>
      <w:rFonts w:ascii="Arial" w:hAnsi="Arial" w:eastAsia="楷体_GB2312" w:cs="Arial"/>
      <w:sz w:val="24"/>
    </w:rPr>
  </w:style>
  <w:style w:type="paragraph" w:styleId="27">
    <w:name w:val="annotation text"/>
    <w:basedOn w:val="1"/>
    <w:link w:val="444"/>
    <w:qFormat/>
    <w:uiPriority w:val="0"/>
    <w:pPr>
      <w:jc w:val="left"/>
    </w:pPr>
    <w:rPr>
      <w:rFonts w:ascii="Times New Roman" w:hAnsi="Times New Roman" w:cs="Lucida Sans"/>
      <w:szCs w:val="20"/>
    </w:rPr>
  </w:style>
  <w:style w:type="paragraph" w:styleId="28">
    <w:name w:val="index 6"/>
    <w:basedOn w:val="1"/>
    <w:next w:val="1"/>
    <w:qFormat/>
    <w:uiPriority w:val="0"/>
    <w:pPr>
      <w:spacing w:line="360" w:lineRule="auto"/>
      <w:ind w:left="1000" w:leftChars="1000"/>
    </w:pPr>
    <w:rPr>
      <w:rFonts w:eastAsia="楷体_GB2312"/>
      <w:sz w:val="24"/>
    </w:rPr>
  </w:style>
  <w:style w:type="paragraph" w:styleId="29">
    <w:name w:val="Salutation"/>
    <w:basedOn w:val="1"/>
    <w:next w:val="1"/>
    <w:link w:val="494"/>
    <w:qFormat/>
    <w:uiPriority w:val="0"/>
    <w:rPr>
      <w:rFonts w:ascii="仿宋_GB2312" w:hAnsi="Times New Roman" w:eastAsia="仿宋_GB2312"/>
      <w:sz w:val="28"/>
      <w:szCs w:val="20"/>
    </w:rPr>
  </w:style>
  <w:style w:type="paragraph" w:styleId="30">
    <w:name w:val="Body Text 3"/>
    <w:basedOn w:val="1"/>
    <w:link w:val="447"/>
    <w:qFormat/>
    <w:uiPriority w:val="0"/>
    <w:pPr>
      <w:jc w:val="center"/>
    </w:pPr>
    <w:rPr>
      <w:rFonts w:ascii="Times New Roman" w:hAnsi="Times New Roman"/>
      <w:szCs w:val="20"/>
    </w:rPr>
  </w:style>
  <w:style w:type="paragraph" w:styleId="31">
    <w:name w:val="List Bullet 3"/>
    <w:basedOn w:val="1"/>
    <w:qFormat/>
    <w:uiPriority w:val="0"/>
    <w:pPr>
      <w:tabs>
        <w:tab w:val="left" w:pos="1200"/>
      </w:tabs>
      <w:spacing w:line="360" w:lineRule="auto"/>
      <w:ind w:left="1200" w:leftChars="400" w:hanging="360" w:hangingChars="200"/>
    </w:pPr>
    <w:rPr>
      <w:rFonts w:eastAsia="楷体_GB2312"/>
      <w:sz w:val="24"/>
    </w:rPr>
  </w:style>
  <w:style w:type="paragraph" w:styleId="32">
    <w:name w:val="Body Text"/>
    <w:basedOn w:val="1"/>
    <w:next w:val="1"/>
    <w:qFormat/>
    <w:uiPriority w:val="0"/>
    <w:rPr>
      <w:rFonts w:eastAsia="??"/>
      <w:sz w:val="24"/>
      <w:szCs w:val="28"/>
    </w:rPr>
  </w:style>
  <w:style w:type="paragraph" w:styleId="33">
    <w:name w:val="List Number 3"/>
    <w:basedOn w:val="1"/>
    <w:qFormat/>
    <w:uiPriority w:val="0"/>
    <w:pPr>
      <w:tabs>
        <w:tab w:val="left" w:pos="1200"/>
      </w:tabs>
      <w:spacing w:line="360" w:lineRule="auto"/>
      <w:ind w:left="1200" w:leftChars="400" w:hanging="360" w:hangingChars="200"/>
    </w:pPr>
    <w:rPr>
      <w:rFonts w:eastAsia="楷体_GB2312"/>
      <w:sz w:val="24"/>
    </w:rPr>
  </w:style>
  <w:style w:type="paragraph" w:styleId="34">
    <w:name w:val="List 2"/>
    <w:basedOn w:val="1"/>
    <w:unhideWhenUsed/>
    <w:qFormat/>
    <w:uiPriority w:val="0"/>
    <w:pPr>
      <w:spacing w:line="360" w:lineRule="auto"/>
      <w:ind w:left="100" w:leftChars="200" w:hanging="200" w:hangingChars="200"/>
      <w:contextualSpacing/>
    </w:pPr>
    <w:rPr>
      <w:sz w:val="24"/>
    </w:rPr>
  </w:style>
  <w:style w:type="paragraph" w:styleId="35">
    <w:name w:val="List Continue"/>
    <w:basedOn w:val="1"/>
    <w:qFormat/>
    <w:uiPriority w:val="0"/>
    <w:pPr>
      <w:spacing w:after="120" w:line="360" w:lineRule="auto"/>
      <w:ind w:left="420" w:leftChars="200"/>
    </w:pPr>
    <w:rPr>
      <w:rFonts w:eastAsia="楷体_GB2312"/>
      <w:sz w:val="24"/>
    </w:rPr>
  </w:style>
  <w:style w:type="paragraph" w:styleId="36">
    <w:name w:val="Block Text"/>
    <w:basedOn w:val="1"/>
    <w:qFormat/>
    <w:uiPriority w:val="0"/>
    <w:pPr>
      <w:widowControl/>
      <w:spacing w:line="360" w:lineRule="auto"/>
      <w:ind w:left="720" w:right="-240"/>
      <w:jc w:val="left"/>
    </w:pPr>
    <w:rPr>
      <w:rFonts w:eastAsia="楷体_GB2312"/>
      <w:kern w:val="0"/>
      <w:sz w:val="24"/>
      <w:szCs w:val="20"/>
    </w:rPr>
  </w:style>
  <w:style w:type="paragraph" w:styleId="37">
    <w:name w:val="List Bullet 2"/>
    <w:basedOn w:val="1"/>
    <w:qFormat/>
    <w:uiPriority w:val="0"/>
    <w:pPr>
      <w:tabs>
        <w:tab w:val="left" w:pos="780"/>
      </w:tabs>
      <w:spacing w:line="360" w:lineRule="auto"/>
      <w:ind w:left="780" w:leftChars="200" w:hanging="360" w:hangingChars="200"/>
    </w:pPr>
    <w:rPr>
      <w:rFonts w:eastAsia="楷体_GB2312"/>
      <w:sz w:val="24"/>
    </w:rPr>
  </w:style>
  <w:style w:type="paragraph" w:styleId="38">
    <w:name w:val="index 4"/>
    <w:basedOn w:val="1"/>
    <w:next w:val="1"/>
    <w:qFormat/>
    <w:uiPriority w:val="0"/>
    <w:pPr>
      <w:spacing w:line="360" w:lineRule="auto"/>
      <w:ind w:left="600" w:leftChars="600"/>
    </w:pPr>
    <w:rPr>
      <w:rFonts w:eastAsia="楷体_GB2312"/>
      <w:sz w:val="24"/>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0"/>
    <w:pPr>
      <w:ind w:left="420"/>
      <w:jc w:val="left"/>
    </w:pPr>
    <w:rPr>
      <w:i/>
      <w:iCs/>
      <w:sz w:val="20"/>
      <w:szCs w:val="20"/>
    </w:rPr>
  </w:style>
  <w:style w:type="paragraph" w:styleId="41">
    <w:name w:val="Plain Text"/>
    <w:basedOn w:val="1"/>
    <w:next w:val="1"/>
    <w:link w:val="446"/>
    <w:qFormat/>
    <w:uiPriority w:val="0"/>
    <w:rPr>
      <w:rFonts w:ascii="??" w:hAnsi="??" w:eastAsia="??"/>
      <w:szCs w:val="21"/>
    </w:rPr>
  </w:style>
  <w:style w:type="paragraph" w:styleId="42">
    <w:name w:val="List Bullet 5"/>
    <w:basedOn w:val="1"/>
    <w:qFormat/>
    <w:uiPriority w:val="0"/>
    <w:pPr>
      <w:tabs>
        <w:tab w:val="left" w:pos="2040"/>
      </w:tabs>
      <w:spacing w:line="360" w:lineRule="auto"/>
      <w:ind w:left="2040" w:leftChars="800" w:hanging="360" w:hangingChars="200"/>
    </w:pPr>
    <w:rPr>
      <w:rFonts w:eastAsia="楷体_GB2312"/>
      <w:sz w:val="24"/>
    </w:rPr>
  </w:style>
  <w:style w:type="paragraph" w:styleId="43">
    <w:name w:val="List Number 4"/>
    <w:basedOn w:val="1"/>
    <w:qFormat/>
    <w:uiPriority w:val="0"/>
    <w:pPr>
      <w:tabs>
        <w:tab w:val="left" w:pos="1620"/>
      </w:tabs>
      <w:spacing w:line="360" w:lineRule="auto"/>
      <w:ind w:left="1620" w:leftChars="600" w:hanging="360" w:hangingChars="200"/>
    </w:pPr>
    <w:rPr>
      <w:rFonts w:eastAsia="楷体_GB2312"/>
      <w:sz w:val="24"/>
    </w:rPr>
  </w:style>
  <w:style w:type="paragraph" w:styleId="44">
    <w:name w:val="toc 8"/>
    <w:basedOn w:val="1"/>
    <w:next w:val="1"/>
    <w:qFormat/>
    <w:uiPriority w:val="0"/>
    <w:pPr>
      <w:ind w:left="1470"/>
      <w:jc w:val="left"/>
    </w:pPr>
    <w:rPr>
      <w:sz w:val="18"/>
      <w:szCs w:val="18"/>
    </w:rPr>
  </w:style>
  <w:style w:type="paragraph" w:styleId="45">
    <w:name w:val="index 3"/>
    <w:basedOn w:val="1"/>
    <w:next w:val="1"/>
    <w:qFormat/>
    <w:uiPriority w:val="0"/>
    <w:pPr>
      <w:spacing w:line="360" w:lineRule="auto"/>
      <w:ind w:left="400" w:leftChars="400"/>
    </w:pPr>
    <w:rPr>
      <w:rFonts w:eastAsia="楷体_GB2312"/>
      <w:sz w:val="24"/>
    </w:rPr>
  </w:style>
  <w:style w:type="paragraph" w:styleId="46">
    <w:name w:val="Date"/>
    <w:basedOn w:val="1"/>
    <w:next w:val="1"/>
    <w:link w:val="407"/>
    <w:qFormat/>
    <w:uiPriority w:val="0"/>
    <w:pPr>
      <w:adjustRightInd w:val="0"/>
      <w:jc w:val="right"/>
      <w:textAlignment w:val="baseline"/>
    </w:pPr>
    <w:rPr>
      <w:rFonts w:ascii="Times New Roman" w:hAnsi="Times New Roman" w:eastAsia="??_GB2312"/>
      <w:b/>
      <w:kern w:val="0"/>
      <w:sz w:val="28"/>
      <w:szCs w:val="28"/>
    </w:rPr>
  </w:style>
  <w:style w:type="paragraph" w:styleId="47">
    <w:name w:val="Body Text Indent 2"/>
    <w:basedOn w:val="1"/>
    <w:next w:val="48"/>
    <w:link w:val="482"/>
    <w:qFormat/>
    <w:uiPriority w:val="0"/>
    <w:pPr>
      <w:spacing w:line="520" w:lineRule="exact"/>
      <w:ind w:firstLine="303" w:firstLineChars="303"/>
    </w:pPr>
    <w:rPr>
      <w:rFonts w:ascii="??" w:hAnsi="??" w:eastAsia="??" w:cs="宋体"/>
      <w:sz w:val="28"/>
      <w:szCs w:val="28"/>
    </w:rPr>
  </w:style>
  <w:style w:type="paragraph" w:customStyle="1" w:styleId="48">
    <w:name w:val="目录 22"/>
    <w:next w:val="1"/>
    <w:qFormat/>
    <w:uiPriority w:val="0"/>
    <w:pPr>
      <w:wordWrap w:val="0"/>
      <w:jc w:val="both"/>
    </w:pPr>
    <w:rPr>
      <w:rFonts w:ascii="Times New Roman" w:hAnsi="Times New Roman" w:eastAsia="宋体" w:cs="Times New Roman"/>
      <w:sz w:val="21"/>
      <w:lang w:val="en-US" w:eastAsia="zh-CN" w:bidi="ar-SA"/>
    </w:rPr>
  </w:style>
  <w:style w:type="paragraph" w:styleId="49">
    <w:name w:val="endnote text"/>
    <w:basedOn w:val="1"/>
    <w:link w:val="421"/>
    <w:qFormat/>
    <w:uiPriority w:val="0"/>
    <w:pPr>
      <w:snapToGrid w:val="0"/>
      <w:spacing w:line="360" w:lineRule="auto"/>
      <w:jc w:val="left"/>
    </w:pPr>
    <w:rPr>
      <w:rFonts w:ascii="Times New Roman" w:hAnsi="Times New Roman" w:eastAsia="楷体_GB2312"/>
      <w:sz w:val="24"/>
    </w:rPr>
  </w:style>
  <w:style w:type="paragraph" w:styleId="50">
    <w:name w:val="List Continue 5"/>
    <w:basedOn w:val="1"/>
    <w:qFormat/>
    <w:uiPriority w:val="0"/>
    <w:pPr>
      <w:spacing w:after="120" w:line="360" w:lineRule="auto"/>
      <w:ind w:left="2100" w:leftChars="1000"/>
    </w:pPr>
    <w:rPr>
      <w:rFonts w:eastAsia="楷体_GB2312"/>
      <w:sz w:val="24"/>
    </w:rPr>
  </w:style>
  <w:style w:type="paragraph" w:styleId="51">
    <w:name w:val="Balloon Text"/>
    <w:basedOn w:val="1"/>
    <w:link w:val="489"/>
    <w:qFormat/>
    <w:uiPriority w:val="0"/>
    <w:rPr>
      <w:rFonts w:ascii="Times New Roman" w:hAnsi="Times New Roman" w:eastAsia="??"/>
      <w:sz w:val="18"/>
      <w:szCs w:val="18"/>
    </w:rPr>
  </w:style>
  <w:style w:type="paragraph" w:styleId="52">
    <w:name w:val="footer"/>
    <w:basedOn w:val="1"/>
    <w:link w:val="452"/>
    <w:qFormat/>
    <w:uiPriority w:val="0"/>
    <w:pPr>
      <w:tabs>
        <w:tab w:val="center" w:pos="4153"/>
        <w:tab w:val="right" w:pos="8306"/>
      </w:tabs>
      <w:snapToGrid w:val="0"/>
      <w:jc w:val="left"/>
    </w:pPr>
    <w:rPr>
      <w:rFonts w:ascii="Times New Roman" w:hAnsi="Times New Roman" w:eastAsia="??"/>
      <w:sz w:val="18"/>
      <w:szCs w:val="28"/>
    </w:rPr>
  </w:style>
  <w:style w:type="paragraph" w:styleId="53">
    <w:name w:val="header"/>
    <w:basedOn w:val="1"/>
    <w:link w:val="412"/>
    <w:qFormat/>
    <w:uiPriority w:val="0"/>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54">
    <w:name w:val="Signature"/>
    <w:basedOn w:val="1"/>
    <w:link w:val="464"/>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5">
    <w:name w:val="toc 1"/>
    <w:basedOn w:val="1"/>
    <w:next w:val="1"/>
    <w:qFormat/>
    <w:uiPriority w:val="39"/>
    <w:pPr>
      <w:spacing w:before="120" w:after="120"/>
      <w:jc w:val="left"/>
    </w:pPr>
    <w:rPr>
      <w:b/>
      <w:bCs/>
      <w:caps/>
      <w:sz w:val="20"/>
      <w:szCs w:val="20"/>
    </w:rPr>
  </w:style>
  <w:style w:type="paragraph" w:styleId="56">
    <w:name w:val="List Continue 4"/>
    <w:basedOn w:val="1"/>
    <w:qFormat/>
    <w:uiPriority w:val="0"/>
    <w:pPr>
      <w:spacing w:after="120" w:line="360" w:lineRule="auto"/>
      <w:ind w:left="1680" w:leftChars="800"/>
    </w:pPr>
    <w:rPr>
      <w:rFonts w:eastAsia="楷体_GB2312"/>
      <w:sz w:val="24"/>
    </w:rPr>
  </w:style>
  <w:style w:type="paragraph" w:styleId="57">
    <w:name w:val="toc 4"/>
    <w:basedOn w:val="1"/>
    <w:next w:val="1"/>
    <w:qFormat/>
    <w:uiPriority w:val="0"/>
    <w:pPr>
      <w:ind w:left="630"/>
      <w:jc w:val="left"/>
    </w:pPr>
    <w:rPr>
      <w:sz w:val="18"/>
      <w:szCs w:val="18"/>
    </w:rPr>
  </w:style>
  <w:style w:type="paragraph" w:styleId="58">
    <w:name w:val="index heading"/>
    <w:basedOn w:val="1"/>
    <w:next w:val="59"/>
    <w:qFormat/>
    <w:uiPriority w:val="0"/>
    <w:pPr>
      <w:spacing w:line="360" w:lineRule="auto"/>
    </w:pPr>
    <w:rPr>
      <w:rFonts w:ascii="Arial" w:hAnsi="Arial" w:eastAsia="楷体_GB2312" w:cs="Arial"/>
      <w:b/>
      <w:bCs/>
      <w:sz w:val="24"/>
    </w:rPr>
  </w:style>
  <w:style w:type="paragraph" w:styleId="59">
    <w:name w:val="index 1"/>
    <w:basedOn w:val="1"/>
    <w:next w:val="1"/>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60">
    <w:name w:val="List Number 5"/>
    <w:basedOn w:val="1"/>
    <w:qFormat/>
    <w:uiPriority w:val="0"/>
    <w:pPr>
      <w:tabs>
        <w:tab w:val="left" w:pos="2040"/>
      </w:tabs>
      <w:spacing w:line="360" w:lineRule="auto"/>
      <w:ind w:left="2040" w:leftChars="800" w:hanging="360" w:hangingChars="200"/>
    </w:pPr>
    <w:rPr>
      <w:rFonts w:eastAsia="楷体_GB2312"/>
      <w:sz w:val="24"/>
    </w:rPr>
  </w:style>
  <w:style w:type="paragraph" w:styleId="61">
    <w:name w:val="footnote text"/>
    <w:basedOn w:val="1"/>
    <w:link w:val="463"/>
    <w:qFormat/>
    <w:uiPriority w:val="0"/>
    <w:pPr>
      <w:snapToGrid w:val="0"/>
      <w:spacing w:line="360" w:lineRule="auto"/>
      <w:jc w:val="left"/>
    </w:pPr>
    <w:rPr>
      <w:rFonts w:ascii="Times New Roman" w:hAnsi="Times New Roman" w:eastAsia="楷体_GB2312"/>
      <w:sz w:val="18"/>
      <w:szCs w:val="18"/>
    </w:rPr>
  </w:style>
  <w:style w:type="paragraph" w:styleId="62">
    <w:name w:val="toc 6"/>
    <w:basedOn w:val="1"/>
    <w:next w:val="1"/>
    <w:qFormat/>
    <w:uiPriority w:val="0"/>
    <w:pPr>
      <w:ind w:left="1050"/>
      <w:jc w:val="left"/>
    </w:pPr>
    <w:rPr>
      <w:sz w:val="18"/>
      <w:szCs w:val="18"/>
    </w:rPr>
  </w:style>
  <w:style w:type="paragraph" w:styleId="63">
    <w:name w:val="Body Text Indent 3"/>
    <w:basedOn w:val="1"/>
    <w:next w:val="64"/>
    <w:link w:val="470"/>
    <w:qFormat/>
    <w:uiPriority w:val="0"/>
    <w:pPr>
      <w:spacing w:line="520" w:lineRule="exact"/>
      <w:ind w:firstLine="547"/>
    </w:pPr>
    <w:rPr>
      <w:rFonts w:ascii="Times New Roman" w:hAnsi="Times New Roman" w:eastAsia="??"/>
      <w:sz w:val="28"/>
      <w:szCs w:val="28"/>
    </w:rPr>
  </w:style>
  <w:style w:type="paragraph" w:customStyle="1" w:styleId="64">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65">
    <w:name w:val="index 7"/>
    <w:basedOn w:val="1"/>
    <w:next w:val="1"/>
    <w:qFormat/>
    <w:uiPriority w:val="0"/>
    <w:pPr>
      <w:spacing w:line="360" w:lineRule="auto"/>
      <w:ind w:left="1200" w:leftChars="1200"/>
    </w:pPr>
    <w:rPr>
      <w:rFonts w:eastAsia="楷体_GB2312"/>
      <w:sz w:val="24"/>
    </w:rPr>
  </w:style>
  <w:style w:type="paragraph" w:styleId="66">
    <w:name w:val="index 9"/>
    <w:basedOn w:val="1"/>
    <w:next w:val="1"/>
    <w:qFormat/>
    <w:uiPriority w:val="0"/>
    <w:pPr>
      <w:spacing w:line="360" w:lineRule="auto"/>
      <w:ind w:left="1600" w:leftChars="1600"/>
    </w:pPr>
    <w:rPr>
      <w:rFonts w:eastAsia="楷体_GB2312"/>
      <w:sz w:val="24"/>
    </w:rPr>
  </w:style>
  <w:style w:type="paragraph" w:styleId="67">
    <w:name w:val="table of figures"/>
    <w:basedOn w:val="1"/>
    <w:next w:val="1"/>
    <w:qFormat/>
    <w:uiPriority w:val="0"/>
    <w:pPr>
      <w:ind w:left="560" w:hanging="560"/>
      <w:jc w:val="left"/>
    </w:pPr>
    <w:rPr>
      <w:rFonts w:ascii="Calibri" w:hAnsi="Calibri" w:eastAsia="??" w:cs="宋体"/>
      <w:smallCaps/>
      <w:sz w:val="20"/>
      <w:szCs w:val="28"/>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0"/>
    <w:pPr>
      <w:ind w:left="1680"/>
      <w:jc w:val="left"/>
    </w:pPr>
    <w:rPr>
      <w:sz w:val="18"/>
      <w:szCs w:val="18"/>
    </w:rPr>
  </w:style>
  <w:style w:type="paragraph" w:styleId="70">
    <w:name w:val="Body Text 2"/>
    <w:basedOn w:val="1"/>
    <w:link w:val="445"/>
    <w:qFormat/>
    <w:uiPriority w:val="0"/>
    <w:pPr>
      <w:spacing w:after="120" w:line="480" w:lineRule="auto"/>
    </w:pPr>
    <w:rPr>
      <w:rFonts w:ascii="Times New Roman" w:hAnsi="Times New Roman"/>
      <w:szCs w:val="20"/>
    </w:rPr>
  </w:style>
  <w:style w:type="paragraph" w:styleId="71">
    <w:name w:val="List Continue 2"/>
    <w:basedOn w:val="1"/>
    <w:qFormat/>
    <w:uiPriority w:val="0"/>
    <w:pPr>
      <w:spacing w:after="120" w:line="360" w:lineRule="auto"/>
      <w:ind w:left="840" w:leftChars="400"/>
    </w:pPr>
    <w:rPr>
      <w:rFonts w:eastAsia="楷体_GB2312"/>
      <w:sz w:val="24"/>
    </w:rPr>
  </w:style>
  <w:style w:type="paragraph" w:styleId="72">
    <w:name w:val="HTML Preformatted"/>
    <w:basedOn w:val="1"/>
    <w:link w:val="4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3">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74">
    <w:name w:val="index 2"/>
    <w:basedOn w:val="1"/>
    <w:next w:val="1"/>
    <w:qFormat/>
    <w:uiPriority w:val="0"/>
    <w:pPr>
      <w:spacing w:line="360" w:lineRule="auto"/>
      <w:ind w:left="200" w:leftChars="200"/>
    </w:pPr>
    <w:rPr>
      <w:rFonts w:eastAsia="楷体_GB2312"/>
      <w:sz w:val="24"/>
    </w:rPr>
  </w:style>
  <w:style w:type="paragraph" w:styleId="75">
    <w:name w:val="Title"/>
    <w:basedOn w:val="1"/>
    <w:link w:val="448"/>
    <w:qFormat/>
    <w:uiPriority w:val="0"/>
    <w:pPr>
      <w:widowControl/>
      <w:overflowPunct w:val="0"/>
      <w:autoSpaceDE w:val="0"/>
      <w:autoSpaceDN w:val="0"/>
      <w:adjustRightInd w:val="0"/>
      <w:jc w:val="center"/>
      <w:textAlignment w:val="baseline"/>
    </w:pPr>
    <w:rPr>
      <w:rFonts w:ascii="Times New Roman" w:hAnsi="Times New Roman" w:eastAsia="??"/>
      <w:b/>
      <w:kern w:val="0"/>
      <w:sz w:val="24"/>
      <w:szCs w:val="28"/>
    </w:rPr>
  </w:style>
  <w:style w:type="paragraph" w:styleId="76">
    <w:name w:val="annotation subject"/>
    <w:basedOn w:val="27"/>
    <w:next w:val="27"/>
    <w:link w:val="432"/>
    <w:qFormat/>
    <w:uiPriority w:val="0"/>
    <w:rPr>
      <w:rFonts w:cs="Times New Roman"/>
      <w:b/>
    </w:rPr>
  </w:style>
  <w:style w:type="paragraph" w:styleId="77">
    <w:name w:val="Body Text First Indent"/>
    <w:basedOn w:val="32"/>
    <w:link w:val="484"/>
    <w:qFormat/>
    <w:uiPriority w:val="0"/>
    <w:pPr>
      <w:autoSpaceDE w:val="0"/>
      <w:autoSpaceDN w:val="0"/>
      <w:adjustRightInd w:val="0"/>
      <w:spacing w:line="360" w:lineRule="auto"/>
      <w:ind w:firstLine="420"/>
    </w:pPr>
    <w:rPr>
      <w:rFonts w:ascii="宋体" w:hAnsi="Times New Roman" w:eastAsia="宋体"/>
      <w:szCs w:val="20"/>
      <w:lang w:val="zh-CN"/>
    </w:rPr>
  </w:style>
  <w:style w:type="table" w:styleId="79">
    <w:name w:val="Table Grid"/>
    <w:basedOn w:val="7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1">
    <w:name w:val="Strong"/>
    <w:qFormat/>
    <w:uiPriority w:val="0"/>
    <w:rPr>
      <w:b/>
    </w:rPr>
  </w:style>
  <w:style w:type="character" w:styleId="82">
    <w:name w:val="page number"/>
    <w:qFormat/>
    <w:uiPriority w:val="0"/>
  </w:style>
  <w:style w:type="character" w:styleId="83">
    <w:name w:val="FollowedHyperlink"/>
    <w:qFormat/>
    <w:uiPriority w:val="0"/>
    <w:rPr>
      <w:color w:val="800080"/>
      <w:u w:val="single"/>
    </w:rPr>
  </w:style>
  <w:style w:type="character" w:styleId="84">
    <w:name w:val="Emphasis"/>
    <w:basedOn w:val="80"/>
    <w:qFormat/>
    <w:uiPriority w:val="0"/>
    <w:rPr>
      <w:i/>
    </w:rPr>
  </w:style>
  <w:style w:type="character" w:styleId="85">
    <w:name w:val="line number"/>
    <w:basedOn w:val="80"/>
    <w:qFormat/>
    <w:uiPriority w:val="0"/>
  </w:style>
  <w:style w:type="character" w:styleId="86">
    <w:name w:val="Hyperlink"/>
    <w:qFormat/>
    <w:uiPriority w:val="99"/>
    <w:rPr>
      <w:color w:val="0000FF"/>
      <w:u w:val="single"/>
    </w:rPr>
  </w:style>
  <w:style w:type="character" w:styleId="87">
    <w:name w:val="annotation reference"/>
    <w:qFormat/>
    <w:uiPriority w:val="0"/>
    <w:rPr>
      <w:sz w:val="21"/>
    </w:rPr>
  </w:style>
  <w:style w:type="paragraph" w:customStyle="1" w:styleId="88">
    <w:name w:val="正文1"/>
    <w:basedOn w:val="40"/>
    <w:next w:val="1"/>
    <w:qFormat/>
    <w:uiPriority w:val="0"/>
    <w:pPr>
      <w:spacing w:before="156" w:line="360" w:lineRule="auto"/>
      <w:ind w:left="426"/>
    </w:pPr>
    <w:rPr>
      <w:sz w:val="24"/>
      <w:szCs w:val="20"/>
    </w:rPr>
  </w:style>
  <w:style w:type="paragraph" w:customStyle="1" w:styleId="89">
    <w:name w:val="正文文本首行缩进 21"/>
    <w:basedOn w:val="3"/>
    <w:qFormat/>
    <w:uiPriority w:val="99"/>
    <w:pPr>
      <w:spacing w:line="200" w:lineRule="atLeast"/>
      <w:ind w:firstLine="420"/>
    </w:pPr>
    <w:rPr>
      <w:rFonts w:ascii="宋体" w:hAnsi="Courier New"/>
      <w:spacing w:val="-4"/>
      <w:sz w:val="18"/>
    </w:rPr>
  </w:style>
  <w:style w:type="paragraph" w:customStyle="1" w:styleId="90">
    <w:name w:val="[Normal]"/>
    <w:qFormat/>
    <w:uiPriority w:val="0"/>
    <w:rPr>
      <w:rFonts w:ascii="宋体" w:hAnsi="宋体" w:eastAsia="宋体" w:cs="Times New Roman"/>
      <w:sz w:val="24"/>
      <w:szCs w:val="22"/>
      <w:lang w:val="zh-CN" w:eastAsia="zh-CN" w:bidi="ar-SA"/>
    </w:rPr>
  </w:style>
  <w:style w:type="paragraph" w:customStyle="1" w:styleId="91">
    <w:name w:val="DN-正文"/>
    <w:basedOn w:val="21"/>
    <w:link w:val="406"/>
    <w:qFormat/>
    <w:uiPriority w:val="0"/>
    <w:pPr>
      <w:widowControl w:val="0"/>
      <w:spacing w:line="400" w:lineRule="exact"/>
      <w:ind w:firstLine="200" w:firstLineChars="200"/>
      <w:jc w:val="both"/>
    </w:pPr>
    <w:rPr>
      <w:rFonts w:eastAsia="宋体"/>
      <w:kern w:val="2"/>
      <w:sz w:val="21"/>
    </w:rPr>
  </w:style>
  <w:style w:type="paragraph" w:customStyle="1" w:styleId="9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94">
    <w:name w:val="z-窗体顶端1"/>
    <w:basedOn w:val="1"/>
    <w:next w:val="1"/>
    <w:qFormat/>
    <w:uiPriority w:val="0"/>
    <w:pPr>
      <w:pBdr>
        <w:bottom w:val="single" w:color="auto" w:sz="6" w:space="1"/>
      </w:pBdr>
      <w:jc w:val="center"/>
    </w:pPr>
    <w:rPr>
      <w:rFonts w:ascii="Arial"/>
      <w:vanish/>
      <w:sz w:val="16"/>
    </w:rPr>
  </w:style>
  <w:style w:type="paragraph" w:customStyle="1" w:styleId="95">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96">
    <w:name w:val="样式 仿宋_GB2312 三号"/>
    <w:basedOn w:val="1"/>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9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98">
    <w:name w:val="xl126"/>
    <w:basedOn w:val="1"/>
    <w:qFormat/>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99">
    <w:name w:val="Char Char Char"/>
    <w:basedOn w:val="1"/>
    <w:qFormat/>
    <w:uiPriority w:val="0"/>
    <w:pPr>
      <w:adjustRightInd w:val="0"/>
      <w:spacing w:line="312" w:lineRule="atLeast"/>
      <w:textAlignment w:val="baseline"/>
    </w:pPr>
    <w:rPr>
      <w:rFonts w:ascii="Tahoma" w:hAnsi="Tahoma"/>
      <w:b/>
      <w:kern w:val="0"/>
      <w:sz w:val="28"/>
      <w:szCs w:val="20"/>
    </w:rPr>
  </w:style>
  <w:style w:type="paragraph" w:customStyle="1" w:styleId="10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101">
    <w:name w:val="Normal_2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102">
    <w:name w:val="jd-正文1"/>
    <w:basedOn w:val="1"/>
    <w:qFormat/>
    <w:uiPriority w:val="0"/>
    <w:pPr>
      <w:widowControl/>
      <w:spacing w:line="360" w:lineRule="auto"/>
      <w:ind w:firstLine="482" w:firstLineChars="200"/>
    </w:pPr>
    <w:rPr>
      <w:rFonts w:ascii="宋体" w:hAnsi="宋体" w:cs="宋体"/>
      <w:sz w:val="24"/>
      <w:szCs w:val="20"/>
    </w:rPr>
  </w:style>
  <w:style w:type="paragraph" w:customStyle="1" w:styleId="103">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104">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105">
    <w:name w:val="Char Char2"/>
    <w:basedOn w:val="1"/>
    <w:qFormat/>
    <w:uiPriority w:val="0"/>
    <w:rPr>
      <w:rFonts w:ascii="Tahoma" w:hAnsi="Tahoma" w:eastAsia="??" w:cs="Tahoma"/>
      <w:sz w:val="24"/>
      <w:szCs w:val="28"/>
    </w:rPr>
  </w:style>
  <w:style w:type="paragraph" w:customStyle="1" w:styleId="106">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108">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109">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110">
    <w:name w:val="公文标题 3"/>
    <w:basedOn w:val="111"/>
    <w:next w:val="113"/>
    <w:qFormat/>
    <w:uiPriority w:val="0"/>
    <w:pPr>
      <w:outlineLvl w:val="2"/>
    </w:pPr>
  </w:style>
  <w:style w:type="paragraph" w:customStyle="1" w:styleId="111">
    <w:name w:val="公文标题 2"/>
    <w:basedOn w:val="112"/>
    <w:next w:val="113"/>
    <w:qFormat/>
    <w:uiPriority w:val="0"/>
    <w:pPr>
      <w:ind w:firstLine="561"/>
      <w:outlineLvl w:val="1"/>
    </w:pPr>
    <w:rPr>
      <w:sz w:val="28"/>
      <w:lang w:val="en-US"/>
    </w:rPr>
  </w:style>
  <w:style w:type="paragraph" w:customStyle="1" w:styleId="112">
    <w:name w:val="公文标题 1"/>
    <w:basedOn w:val="1"/>
    <w:next w:val="1"/>
    <w:qFormat/>
    <w:uiPriority w:val="0"/>
    <w:pPr>
      <w:spacing w:line="360" w:lineRule="auto"/>
      <w:outlineLvl w:val="0"/>
    </w:pPr>
    <w:rPr>
      <w:rFonts w:ascii="仿宋_GB2312" w:hAnsi="宋体" w:eastAsia="仿宋_GB2312"/>
      <w:kern w:val="28"/>
      <w:sz w:val="24"/>
      <w:lang w:val="zh-CN"/>
    </w:rPr>
  </w:style>
  <w:style w:type="paragraph" w:customStyle="1" w:styleId="113">
    <w:name w:val="公文正文"/>
    <w:basedOn w:val="1"/>
    <w:link w:val="424"/>
    <w:qFormat/>
    <w:uiPriority w:val="0"/>
    <w:pPr>
      <w:spacing w:before="156" w:line="360" w:lineRule="auto"/>
      <w:ind w:firstLine="200" w:firstLineChars="200"/>
    </w:pPr>
    <w:rPr>
      <w:rFonts w:ascii="??_GB2312" w:hAnsi="??_GB2312" w:eastAsia="??_GB2312" w:cs="宋体"/>
      <w:sz w:val="24"/>
    </w:rPr>
  </w:style>
  <w:style w:type="paragraph" w:customStyle="1" w:styleId="114">
    <w:name w:val="TOC 标题1"/>
    <w:basedOn w:val="5"/>
    <w:next w:val="1"/>
    <w:qFormat/>
    <w:uiPriority w:val="0"/>
    <w:pPr>
      <w:keepLines/>
      <w:spacing w:before="480" w:line="276" w:lineRule="auto"/>
      <w:jc w:val="left"/>
      <w:outlineLvl w:val="9"/>
    </w:pPr>
    <w:rPr>
      <w:rFonts w:ascii="Cambria" w:hAnsi="Cambria"/>
      <w:bCs/>
      <w:color w:val="365F91"/>
      <w:kern w:val="0"/>
      <w:sz w:val="28"/>
    </w:rPr>
  </w:style>
  <w:style w:type="paragraph" w:customStyle="1" w:styleId="115">
    <w:name w:val="xl101"/>
    <w:basedOn w:val="1"/>
    <w:qFormat/>
    <w:uiPriority w:val="0"/>
    <w:pPr>
      <w:widowControl/>
      <w:spacing w:before="100" w:beforeAutospacing="1" w:after="100" w:afterAutospacing="1"/>
      <w:jc w:val="center"/>
    </w:pPr>
    <w:rPr>
      <w:rFonts w:ascii="Arial" w:hAnsi="Arial"/>
      <w:kern w:val="0"/>
      <w:sz w:val="18"/>
      <w:szCs w:val="20"/>
    </w:rPr>
  </w:style>
  <w:style w:type="paragraph" w:customStyle="1" w:styleId="116">
    <w:name w:val="Char Char Char Char Char Char Char Char Char Char"/>
    <w:basedOn w:val="1"/>
    <w:qFormat/>
    <w:uiPriority w:val="0"/>
    <w:rPr>
      <w:rFonts w:ascii="仿宋_GB2312" w:eastAsia="仿宋_GB2312"/>
      <w:b/>
      <w:sz w:val="32"/>
      <w:szCs w:val="20"/>
    </w:rPr>
  </w:style>
  <w:style w:type="paragraph" w:customStyle="1" w:styleId="117">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118">
    <w:name w:val="样式 正文首行缩进 + 首行缩进:  1 字符"/>
    <w:basedOn w:val="77"/>
    <w:qFormat/>
    <w:uiPriority w:val="0"/>
    <w:pPr>
      <w:widowControl/>
      <w:adjustRightInd/>
      <w:spacing w:after="120" w:line="240" w:lineRule="auto"/>
      <w:ind w:firstLine="200" w:firstLineChars="200"/>
      <w:jc w:val="left"/>
    </w:pPr>
    <w:rPr>
      <w:rFonts w:ascii="Times New Roman" w:eastAsia="华文细黑"/>
      <w:kern w:val="0"/>
      <w:szCs w:val="24"/>
      <w:lang w:val="en-US"/>
    </w:rPr>
  </w:style>
  <w:style w:type="paragraph" w:customStyle="1" w:styleId="119">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120">
    <w:name w:val="Char1"/>
    <w:basedOn w:val="1"/>
    <w:qFormat/>
    <w:uiPriority w:val="0"/>
    <w:rPr>
      <w:rFonts w:ascii="仿宋_GB2312" w:eastAsia="仿宋_GB2312"/>
      <w:b/>
      <w:sz w:val="32"/>
      <w:szCs w:val="20"/>
    </w:rPr>
  </w:style>
  <w:style w:type="paragraph" w:customStyle="1" w:styleId="121">
    <w:name w:val="Char1 Char Char Char"/>
    <w:basedOn w:val="1"/>
    <w:qFormat/>
    <w:uiPriority w:val="0"/>
    <w:rPr>
      <w:rFonts w:ascii="仿宋_GB2312" w:hAnsi="仿宋_GB2312" w:eastAsia="仿宋_GB2312" w:cs="Lucida Sans"/>
      <w:b/>
      <w:sz w:val="32"/>
      <w:szCs w:val="32"/>
    </w:rPr>
  </w:style>
  <w:style w:type="paragraph" w:customStyle="1" w:styleId="122">
    <w:name w:val="Normal_1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123">
    <w:name w:val="Test2"/>
    <w:basedOn w:val="6"/>
    <w:qFormat/>
    <w:uiPriority w:val="0"/>
    <w:pPr>
      <w:widowControl/>
      <w:numPr>
        <w:numId w:val="0"/>
      </w:numPr>
      <w:tabs>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124">
    <w:name w:val="正文文本 21"/>
    <w:basedOn w:val="1"/>
    <w:qFormat/>
    <w:uiPriority w:val="0"/>
    <w:pPr>
      <w:widowControl/>
      <w:overflowPunct w:val="0"/>
      <w:autoSpaceDE w:val="0"/>
      <w:autoSpaceDN w:val="0"/>
      <w:adjustRightInd w:val="0"/>
      <w:ind w:left="720" w:hanging="720"/>
      <w:textAlignment w:val="baseline"/>
    </w:pPr>
    <w:rPr>
      <w:kern w:val="0"/>
      <w:sz w:val="24"/>
      <w:szCs w:val="20"/>
    </w:rPr>
  </w:style>
  <w:style w:type="paragraph" w:customStyle="1" w:styleId="125">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1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127">
    <w:name w:val="正文 首行缩进2字符"/>
    <w:basedOn w:val="1"/>
    <w:qFormat/>
    <w:uiPriority w:val="0"/>
    <w:pPr>
      <w:spacing w:line="360" w:lineRule="auto"/>
      <w:ind w:firstLine="200" w:firstLineChars="200"/>
    </w:pPr>
    <w:rPr>
      <w:rFonts w:eastAsia="楷体_GB2312"/>
      <w:sz w:val="24"/>
      <w:szCs w:val="20"/>
    </w:rPr>
  </w:style>
  <w:style w:type="paragraph" w:customStyle="1" w:styleId="128">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130">
    <w:name w:val="xl1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131">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132">
    <w:name w:val="网格型1"/>
    <w:qFormat/>
    <w:uiPriority w:val="0"/>
    <w:rPr>
      <w:rFonts w:ascii="Cambria" w:hAnsi="Cambria" w:eastAsia="Cambria" w:cs="Cambria"/>
      <w:color w:val="000000"/>
      <w:sz w:val="24"/>
      <w:szCs w:val="24"/>
      <w:lang w:val="en-US" w:eastAsia="zh-CN" w:bidi="ar-SA"/>
    </w:rPr>
  </w:style>
  <w:style w:type="paragraph" w:customStyle="1" w:styleId="133">
    <w:name w:val="Char Char Char Char"/>
    <w:basedOn w:val="1"/>
    <w:qFormat/>
    <w:uiPriority w:val="0"/>
    <w:rPr>
      <w:rFonts w:ascii="Tahoma" w:hAnsi="Tahoma"/>
      <w:sz w:val="24"/>
      <w:szCs w:val="20"/>
    </w:rPr>
  </w:style>
  <w:style w:type="paragraph" w:customStyle="1" w:styleId="134">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135">
    <w:name w:val="功能列表"/>
    <w:basedOn w:val="1"/>
    <w:qFormat/>
    <w:uiPriority w:val="0"/>
    <w:pPr>
      <w:tabs>
        <w:tab w:val="left" w:pos="0"/>
        <w:tab w:val="left" w:pos="900"/>
      </w:tabs>
      <w:spacing w:line="360" w:lineRule="auto"/>
      <w:ind w:firstLine="200" w:firstLineChars="200"/>
    </w:pPr>
    <w:rPr>
      <w:sz w:val="24"/>
      <w:szCs w:val="20"/>
    </w:rPr>
  </w:style>
  <w:style w:type="paragraph" w:customStyle="1" w:styleId="136">
    <w:name w:val="样式1"/>
    <w:basedOn w:val="5"/>
    <w:link w:val="434"/>
    <w:qFormat/>
    <w:uiPriority w:val="0"/>
    <w:pPr>
      <w:numPr>
        <w:ilvl w:val="0"/>
        <w:numId w:val="2"/>
      </w:numPr>
    </w:pPr>
    <w:rPr>
      <w:rFonts w:cs="Times New Roman"/>
      <w:kern w:val="0"/>
    </w:rPr>
  </w:style>
  <w:style w:type="paragraph" w:customStyle="1" w:styleId="137">
    <w:name w:val="样式 样式 标书正文 + 首行缩进:  0.01 字符 + 首行缩进:  0.01 字符"/>
    <w:basedOn w:val="1"/>
    <w:link w:val="441"/>
    <w:qFormat/>
    <w:uiPriority w:val="0"/>
    <w:pPr>
      <w:widowControl/>
      <w:adjustRightInd w:val="0"/>
      <w:snapToGrid w:val="0"/>
      <w:spacing w:afterLines="50" w:line="360" w:lineRule="auto"/>
      <w:ind w:left="-2" w:leftChars="-2" w:firstLine="200" w:firstLineChars="200"/>
      <w:jc w:val="left"/>
    </w:pPr>
    <w:rPr>
      <w:rFonts w:ascii="宋体" w:hAnsi="宋体" w:cs="宋体"/>
      <w:kern w:val="0"/>
      <w:sz w:val="28"/>
      <w:szCs w:val="20"/>
    </w:rPr>
  </w:style>
  <w:style w:type="paragraph" w:customStyle="1" w:styleId="138">
    <w:name w:val="带标题正文"/>
    <w:basedOn w:val="1"/>
    <w:qFormat/>
    <w:uiPriority w:val="0"/>
    <w:pPr>
      <w:numPr>
        <w:ilvl w:val="0"/>
        <w:numId w:val="4"/>
      </w:numPr>
      <w:snapToGrid w:val="0"/>
      <w:spacing w:before="100" w:after="100"/>
      <w:ind w:firstLine="115"/>
    </w:pPr>
    <w:rPr>
      <w:rFonts w:ascii="楷体" w:eastAsia="楷体"/>
      <w:b/>
      <w:sz w:val="28"/>
      <w:szCs w:val="20"/>
    </w:rPr>
  </w:style>
  <w:style w:type="paragraph" w:customStyle="1" w:styleId="139">
    <w:name w:val="xl87"/>
    <w:basedOn w:val="1"/>
    <w:qFormat/>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140">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141">
    <w:name w:val="哈哈正文"/>
    <w:basedOn w:val="1"/>
    <w:link w:val="450"/>
    <w:qFormat/>
    <w:uiPriority w:val="0"/>
    <w:pPr>
      <w:spacing w:line="360" w:lineRule="auto"/>
      <w:ind w:firstLine="200" w:firstLineChars="200"/>
    </w:pPr>
    <w:rPr>
      <w:rFonts w:ascii="宋体" w:hAnsi="宋体"/>
      <w:sz w:val="24"/>
      <w:szCs w:val="20"/>
    </w:rPr>
  </w:style>
  <w:style w:type="paragraph" w:customStyle="1" w:styleId="142">
    <w:name w:val="无间隔1"/>
    <w:link w:val="480"/>
    <w:qFormat/>
    <w:uiPriority w:val="0"/>
    <w:pPr>
      <w:widowControl w:val="0"/>
      <w:jc w:val="both"/>
    </w:pPr>
    <w:rPr>
      <w:rFonts w:ascii="Times New Roman" w:hAnsi="Times New Roman" w:eastAsia="楷体_GB2312" w:cs="Lucida Sans"/>
      <w:kern w:val="2"/>
      <w:sz w:val="24"/>
      <w:szCs w:val="24"/>
      <w:lang w:val="en-US" w:eastAsia="zh-CN" w:bidi="ar-SA"/>
    </w:rPr>
  </w:style>
  <w:style w:type="paragraph" w:customStyle="1" w:styleId="14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144">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4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146">
    <w:name w:val="样式 正文缩进正文（首行缩进两字）表正文正文非缩进特点段1段1 Charno-step正文双线四号首行缩进..."/>
    <w:basedOn w:val="21"/>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147">
    <w:name w:val="xl68"/>
    <w:basedOn w:val="1"/>
    <w:qFormat/>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14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49">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150">
    <w:name w:val="规范正文"/>
    <w:basedOn w:val="1"/>
    <w:qFormat/>
    <w:uiPriority w:val="0"/>
    <w:pPr>
      <w:tabs>
        <w:tab w:val="left" w:pos="900"/>
      </w:tabs>
      <w:adjustRightInd w:val="0"/>
      <w:spacing w:beforeLines="50" w:line="360" w:lineRule="auto"/>
      <w:ind w:left="900" w:hanging="420"/>
      <w:textAlignment w:val="baseline"/>
    </w:pPr>
    <w:rPr>
      <w:szCs w:val="20"/>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153">
    <w:name w:val="xl9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54">
    <w:name w:val="4"/>
    <w:basedOn w:val="1"/>
    <w:next w:val="47"/>
    <w:qFormat/>
    <w:uiPriority w:val="0"/>
    <w:pPr>
      <w:spacing w:after="120" w:line="480" w:lineRule="auto"/>
      <w:ind w:left="420" w:leftChars="200"/>
    </w:pPr>
    <w:rPr>
      <w:sz w:val="24"/>
      <w:szCs w:val="20"/>
    </w:rPr>
  </w:style>
  <w:style w:type="paragraph" w:customStyle="1" w:styleId="155">
    <w:name w:val="表格标题"/>
    <w:basedOn w:val="156"/>
    <w:qFormat/>
    <w:uiPriority w:val="0"/>
    <w:pPr>
      <w:jc w:val="center"/>
    </w:pPr>
    <w:rPr>
      <w:b/>
    </w:rPr>
  </w:style>
  <w:style w:type="paragraph" w:customStyle="1" w:styleId="156">
    <w:name w:val="表格正文"/>
    <w:basedOn w:val="1"/>
    <w:qFormat/>
    <w:uiPriority w:val="0"/>
    <w:pPr>
      <w:spacing w:line="360" w:lineRule="auto"/>
    </w:pPr>
    <w:rPr>
      <w:rFonts w:ascii="宋体" w:hAnsi="宋体" w:eastAsia="楷体_GB2312" w:cs="宋体"/>
      <w:sz w:val="24"/>
      <w:szCs w:val="20"/>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15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160">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161">
    <w:name w:val="正文 首行缩进"/>
    <w:basedOn w:val="1"/>
    <w:qFormat/>
    <w:uiPriority w:val="0"/>
    <w:pPr>
      <w:spacing w:line="360" w:lineRule="auto"/>
      <w:ind w:firstLine="200" w:firstLineChars="200"/>
    </w:pPr>
    <w:rPr>
      <w:rFonts w:eastAsia="楷体_GB2312"/>
      <w:sz w:val="28"/>
      <w:szCs w:val="20"/>
    </w:rPr>
  </w:style>
  <w:style w:type="paragraph" w:customStyle="1" w:styleId="16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163">
    <w:name w:val="正文6"/>
    <w:basedOn w:val="1"/>
    <w:qFormat/>
    <w:uiPriority w:val="0"/>
    <w:pPr>
      <w:numPr>
        <w:ilvl w:val="0"/>
        <w:numId w:val="5"/>
      </w:numPr>
      <w:tabs>
        <w:tab w:val="left" w:pos="900"/>
        <w:tab w:val="clear" w:pos="72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164">
    <w:name w:val="样式 正文文本缩进 + 仿宋_GB2312 四号"/>
    <w:basedOn w:val="1"/>
    <w:next w:val="10"/>
    <w:qFormat/>
    <w:uiPriority w:val="0"/>
    <w:pPr>
      <w:widowControl/>
      <w:spacing w:line="360" w:lineRule="auto"/>
      <w:jc w:val="left"/>
    </w:pPr>
    <w:rPr>
      <w:rFonts w:ascii="宋体" w:hAnsi="宋体" w:cs="宋体"/>
      <w:b/>
      <w:snapToGrid w:val="0"/>
      <w:kern w:val="0"/>
      <w:sz w:val="28"/>
      <w:szCs w:val="28"/>
    </w:rPr>
  </w:style>
  <w:style w:type="paragraph" w:customStyle="1" w:styleId="16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166">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167">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16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169">
    <w:name w:val="Char Char1 Char"/>
    <w:basedOn w:val="1"/>
    <w:qFormat/>
    <w:uiPriority w:val="0"/>
    <w:rPr>
      <w:rFonts w:ascii="仿宋_GB2312" w:eastAsia="仿宋_GB2312"/>
      <w:b/>
      <w:sz w:val="32"/>
      <w:szCs w:val="32"/>
    </w:rPr>
  </w:style>
  <w:style w:type="paragraph" w:customStyle="1" w:styleId="170">
    <w:name w:val="xl32"/>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171">
    <w:name w:val="正文段"/>
    <w:basedOn w:val="1"/>
    <w:qFormat/>
    <w:uiPriority w:val="0"/>
    <w:pPr>
      <w:widowControl/>
      <w:snapToGrid w:val="0"/>
      <w:spacing w:afterLines="50"/>
      <w:ind w:firstLine="200" w:firstLineChars="200"/>
    </w:pPr>
    <w:rPr>
      <w:rFonts w:eastAsia="??"/>
      <w:kern w:val="0"/>
      <w:sz w:val="24"/>
      <w:szCs w:val="28"/>
    </w:rPr>
  </w:style>
  <w:style w:type="paragraph" w:customStyle="1" w:styleId="172">
    <w:name w:val="列表段落1"/>
    <w:basedOn w:val="1"/>
    <w:qFormat/>
    <w:uiPriority w:val="0"/>
    <w:pPr>
      <w:ind w:firstLine="420" w:firstLineChars="200"/>
    </w:pPr>
    <w:rPr>
      <w:szCs w:val="20"/>
    </w:rPr>
  </w:style>
  <w:style w:type="paragraph" w:customStyle="1" w:styleId="173">
    <w:name w:val="pa-67"/>
    <w:basedOn w:val="1"/>
    <w:qFormat/>
    <w:uiPriority w:val="0"/>
    <w:pPr>
      <w:widowControl/>
      <w:spacing w:line="360" w:lineRule="atLeast"/>
      <w:ind w:firstLine="480"/>
      <w:jc w:val="center"/>
    </w:pPr>
    <w:rPr>
      <w:rFonts w:ascii="宋体" w:hAnsi="宋体" w:cs="宋体"/>
      <w:kern w:val="0"/>
      <w:sz w:val="24"/>
    </w:rPr>
  </w:style>
  <w:style w:type="paragraph" w:customStyle="1" w:styleId="174">
    <w:name w:val="正文2"/>
    <w:basedOn w:val="1"/>
    <w:link w:val="408"/>
    <w:qFormat/>
    <w:uiPriority w:val="0"/>
    <w:pPr>
      <w:spacing w:before="156" w:line="360" w:lineRule="auto"/>
      <w:ind w:firstLine="200" w:firstLineChars="200"/>
    </w:pPr>
    <w:rPr>
      <w:rFonts w:ascii="Times New Roman" w:hAnsi="Times New Roman" w:eastAsia="??"/>
      <w:sz w:val="24"/>
      <w:szCs w:val="28"/>
    </w:rPr>
  </w:style>
  <w:style w:type="paragraph" w:customStyle="1" w:styleId="175">
    <w:name w:val="_Style 47"/>
    <w:basedOn w:val="1"/>
    <w:qFormat/>
    <w:uiPriority w:val="0"/>
    <w:rPr>
      <w:rFonts w:ascii="仿宋_GB2312" w:eastAsia="仿宋_GB2312"/>
      <w:b/>
      <w:sz w:val="32"/>
      <w:szCs w:val="32"/>
    </w:rPr>
  </w:style>
  <w:style w:type="paragraph" w:customStyle="1" w:styleId="176">
    <w:name w:val="p1"/>
    <w:qFormat/>
    <w:uiPriority w:val="0"/>
    <w:pPr>
      <w:spacing w:line="320" w:lineRule="atLeast"/>
    </w:pPr>
    <w:rPr>
      <w:rFonts w:ascii="Helvetica Neue" w:hAnsi="Helvetica Neue" w:eastAsia="Helvetica Neue" w:cs="Times New Roman"/>
      <w:color w:val="000000"/>
      <w:sz w:val="22"/>
      <w:szCs w:val="22"/>
      <w:lang w:val="en-US" w:eastAsia="zh-CN" w:bidi="ar-SA"/>
    </w:rPr>
  </w:style>
  <w:style w:type="paragraph" w:customStyle="1" w:styleId="17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178">
    <w:name w:val="标准小四"/>
    <w:basedOn w:val="1"/>
    <w:qFormat/>
    <w:uiPriority w:val="0"/>
    <w:pPr>
      <w:spacing w:line="360" w:lineRule="auto"/>
      <w:ind w:firstLine="480" w:firstLineChars="200"/>
    </w:pPr>
    <w:rPr>
      <w:rFonts w:ascii="Arial" w:hAnsi="Arial"/>
      <w:sz w:val="24"/>
      <w:szCs w:val="20"/>
    </w:rPr>
  </w:style>
  <w:style w:type="paragraph" w:customStyle="1" w:styleId="179">
    <w:name w:val="标题4"/>
    <w:basedOn w:val="1"/>
    <w:qFormat/>
    <w:uiPriority w:val="0"/>
    <w:rPr>
      <w:rFonts w:eastAsia="??_GB2312"/>
      <w:sz w:val="32"/>
      <w:szCs w:val="28"/>
    </w:rPr>
  </w:style>
  <w:style w:type="paragraph" w:customStyle="1" w:styleId="180">
    <w:name w:val="正文（首行缩进2字符）"/>
    <w:basedOn w:val="1"/>
    <w:qFormat/>
    <w:uiPriority w:val="0"/>
    <w:pPr>
      <w:spacing w:line="360" w:lineRule="auto"/>
      <w:ind w:firstLine="420" w:firstLineChars="200"/>
    </w:pPr>
    <w:rPr>
      <w:rFonts w:ascii="Calibri" w:hAnsi="Calibri"/>
      <w:szCs w:val="21"/>
    </w:rPr>
  </w:style>
  <w:style w:type="paragraph" w:customStyle="1" w:styleId="181">
    <w:name w:val="Char Char Char1"/>
    <w:basedOn w:val="1"/>
    <w:qFormat/>
    <w:uiPriority w:val="0"/>
    <w:rPr>
      <w:rFonts w:ascii="Tahoma" w:hAnsi="Tahoma"/>
      <w:sz w:val="24"/>
      <w:szCs w:val="20"/>
    </w:rPr>
  </w:style>
  <w:style w:type="paragraph" w:customStyle="1" w:styleId="182">
    <w:name w:val="正文 居中"/>
    <w:basedOn w:val="1"/>
    <w:qFormat/>
    <w:uiPriority w:val="0"/>
    <w:pPr>
      <w:spacing w:line="360" w:lineRule="auto"/>
      <w:jc w:val="center"/>
    </w:pPr>
    <w:rPr>
      <w:sz w:val="24"/>
      <w:szCs w:val="20"/>
    </w:rPr>
  </w:style>
  <w:style w:type="paragraph" w:customStyle="1" w:styleId="183">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184">
    <w:name w:val="标题 5l"/>
    <w:basedOn w:val="9"/>
    <w:qFormat/>
    <w:uiPriority w:val="0"/>
    <w:pPr>
      <w:tabs>
        <w:tab w:val="left" w:pos="0"/>
      </w:tabs>
      <w:adjustRightInd w:val="0"/>
      <w:spacing w:line="376" w:lineRule="atLeast"/>
      <w:textAlignment w:val="baseline"/>
    </w:pPr>
    <w:rPr>
      <w:rFonts w:eastAsia="楷体_GB2312"/>
      <w:kern w:val="0"/>
    </w:rPr>
  </w:style>
  <w:style w:type="paragraph" w:customStyle="1" w:styleId="185">
    <w:name w:val="符号 2"/>
    <w:basedOn w:val="186"/>
    <w:qFormat/>
    <w:uiPriority w:val="0"/>
    <w:pPr>
      <w:tabs>
        <w:tab w:val="left" w:pos="900"/>
        <w:tab w:val="left" w:pos="1320"/>
      </w:tabs>
      <w:ind w:left="1320"/>
    </w:pPr>
  </w:style>
  <w:style w:type="paragraph" w:customStyle="1" w:styleId="186">
    <w:name w:val="符号 1"/>
    <w:basedOn w:val="3"/>
    <w:qFormat/>
    <w:uiPriority w:val="0"/>
    <w:pPr>
      <w:tabs>
        <w:tab w:val="left" w:pos="900"/>
      </w:tabs>
      <w:spacing w:line="360" w:lineRule="auto"/>
      <w:ind w:left="900" w:hanging="420"/>
    </w:pPr>
    <w:rPr>
      <w:rFonts w:ascii="Times New Roman" w:hAnsi="Times New Roman" w:eastAsia="楷体_GB2312"/>
      <w:kern w:val="28"/>
      <w:sz w:val="24"/>
      <w:szCs w:val="24"/>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188">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189">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190">
    <w:name w:val="p0"/>
    <w:basedOn w:val="1"/>
    <w:qFormat/>
    <w:uiPriority w:val="0"/>
    <w:pPr>
      <w:widowControl/>
    </w:pPr>
    <w:rPr>
      <w:kern w:val="0"/>
      <w:szCs w:val="21"/>
    </w:rPr>
  </w:style>
  <w:style w:type="paragraph" w:customStyle="1" w:styleId="191">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192">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193">
    <w:name w:val="样式 正文缩进 + 首行缩进:  2 字符"/>
    <w:basedOn w:val="21"/>
    <w:qFormat/>
    <w:uiPriority w:val="0"/>
    <w:pPr>
      <w:widowControl w:val="0"/>
      <w:spacing w:line="360" w:lineRule="auto"/>
      <w:ind w:firstLine="200" w:firstLineChars="200"/>
      <w:jc w:val="both"/>
    </w:pPr>
    <w:rPr>
      <w:rFonts w:eastAsia="宋体" w:cs="宋体"/>
      <w:kern w:val="2"/>
      <w:szCs w:val="20"/>
    </w:rPr>
  </w:style>
  <w:style w:type="paragraph" w:customStyle="1" w:styleId="194">
    <w:name w:val="模板普通正文"/>
    <w:basedOn w:val="3"/>
    <w:qFormat/>
    <w:uiPriority w:val="0"/>
    <w:pPr>
      <w:spacing w:beforeLines="50" w:after="10" w:line="360" w:lineRule="auto"/>
      <w:ind w:firstLine="490" w:firstLineChars="175"/>
      <w:jc w:val="left"/>
    </w:pPr>
    <w:rPr>
      <w:rFonts w:ascii="Times New Roman" w:hAnsi="Times New Roman" w:eastAsia="楷体_GB2312"/>
      <w:sz w:val="24"/>
      <w:szCs w:val="24"/>
    </w:rPr>
  </w:style>
  <w:style w:type="paragraph" w:customStyle="1" w:styleId="195">
    <w:name w:val="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7">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198">
    <w:name w:val="标题 ４"/>
    <w:basedOn w:val="7"/>
    <w:qFormat/>
    <w:uiPriority w:val="0"/>
    <w:pPr>
      <w:widowControl w:val="0"/>
      <w:numPr>
        <w:numId w:val="0"/>
      </w:numPr>
      <w:tabs>
        <w:tab w:val="left" w:pos="993"/>
        <w:tab w:val="left" w:pos="1980"/>
        <w:tab w:val="clear" w:pos="-839"/>
        <w:tab w:val="clear" w:pos="720"/>
      </w:tabs>
      <w:spacing w:before="260" w:after="260" w:line="416" w:lineRule="auto"/>
      <w:ind w:left="1980" w:hanging="420"/>
      <w:jc w:val="both"/>
    </w:pPr>
    <w:rPr>
      <w:rFonts w:eastAsia="宋体"/>
      <w:bCs/>
      <w:kern w:val="2"/>
      <w:szCs w:val="32"/>
    </w:rPr>
  </w:style>
  <w:style w:type="paragraph" w:customStyle="1" w:styleId="19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200">
    <w:name w:val="Char2 Char Char"/>
    <w:basedOn w:val="1"/>
    <w:qFormat/>
    <w:uiPriority w:val="0"/>
    <w:rPr>
      <w:rFonts w:ascii="Tahoma" w:hAnsi="Tahoma"/>
      <w:sz w:val="24"/>
      <w:szCs w:val="20"/>
    </w:rPr>
  </w:style>
  <w:style w:type="paragraph" w:customStyle="1" w:styleId="201">
    <w:name w:val="彩色列表 - 强调文字颜色 11"/>
    <w:basedOn w:val="1"/>
    <w:qFormat/>
    <w:uiPriority w:val="34"/>
    <w:pPr>
      <w:ind w:firstLine="420" w:firstLineChars="200"/>
    </w:pPr>
  </w:style>
  <w:style w:type="paragraph" w:customStyle="1" w:styleId="20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03">
    <w:name w:val="a1"/>
    <w:basedOn w:val="1"/>
    <w:qFormat/>
    <w:uiPriority w:val="0"/>
    <w:pPr>
      <w:widowControl/>
      <w:spacing w:line="300" w:lineRule="atLeast"/>
      <w:jc w:val="left"/>
    </w:pPr>
    <w:rPr>
      <w:rFonts w:ascii="宋体" w:hAnsi="宋体"/>
      <w:kern w:val="0"/>
      <w:sz w:val="18"/>
      <w:szCs w:val="2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205">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206">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207">
    <w:name w:val="Char Char Char Char Char Char Char"/>
    <w:basedOn w:val="1"/>
    <w:semiHidden/>
    <w:qFormat/>
    <w:uiPriority w:val="0"/>
    <w:pPr>
      <w:spacing w:line="360" w:lineRule="auto"/>
      <w:ind w:firstLine="480" w:firstLineChars="200"/>
    </w:pPr>
    <w:rPr>
      <w:rFonts w:ascii="Tahoma" w:hAnsi="Tahoma" w:cs="宋体"/>
      <w:sz w:val="24"/>
      <w:szCs w:val="20"/>
    </w:rPr>
  </w:style>
  <w:style w:type="paragraph" w:customStyle="1" w:styleId="208">
    <w:name w:val="标准小三"/>
    <w:basedOn w:val="1"/>
    <w:qFormat/>
    <w:uiPriority w:val="0"/>
    <w:pPr>
      <w:widowControl/>
      <w:numPr>
        <w:ilvl w:val="0"/>
        <w:numId w:val="6"/>
      </w:numPr>
      <w:spacing w:line="700" w:lineRule="exact"/>
      <w:ind w:left="0" w:firstLine="200" w:firstLineChars="200"/>
      <w:jc w:val="left"/>
    </w:pPr>
    <w:rPr>
      <w:rFonts w:ascii="宋体" w:hAnsi="Arial" w:eastAsia="仿宋_GB2312" w:cs="宋体"/>
      <w:snapToGrid w:val="0"/>
      <w:kern w:val="0"/>
      <w:sz w:val="30"/>
      <w:szCs w:val="32"/>
    </w:rPr>
  </w:style>
  <w:style w:type="paragraph" w:customStyle="1" w:styleId="209">
    <w:name w:val="正文蓝"/>
    <w:basedOn w:val="1"/>
    <w:qFormat/>
    <w:uiPriority w:val="0"/>
    <w:pPr>
      <w:spacing w:before="156" w:line="360" w:lineRule="auto"/>
      <w:ind w:firstLine="360" w:firstLineChars="200"/>
    </w:pPr>
    <w:rPr>
      <w:rFonts w:ascii="仿宋_GB2312" w:eastAsia="仿宋_GB2312"/>
      <w:color w:val="000080"/>
      <w:sz w:val="24"/>
      <w:szCs w:val="20"/>
    </w:rPr>
  </w:style>
  <w:style w:type="paragraph" w:customStyle="1" w:styleId="210">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211">
    <w:name w:val="正文缩"/>
    <w:basedOn w:val="1"/>
    <w:link w:val="449"/>
    <w:qFormat/>
    <w:uiPriority w:val="0"/>
    <w:pPr>
      <w:spacing w:line="360" w:lineRule="auto"/>
      <w:ind w:firstLine="200" w:firstLineChars="200"/>
    </w:pPr>
    <w:rPr>
      <w:rFonts w:ascii="Times New Roman" w:hAnsi="Times New Roman" w:eastAsia="楷体_GB2312"/>
      <w:sz w:val="24"/>
    </w:rPr>
  </w:style>
  <w:style w:type="paragraph" w:customStyle="1" w:styleId="212">
    <w:name w:val="xl9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1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16">
    <w:name w:val="首行缩进正文"/>
    <w:basedOn w:val="1"/>
    <w:qFormat/>
    <w:uiPriority w:val="0"/>
    <w:pPr>
      <w:spacing w:line="360" w:lineRule="auto"/>
      <w:ind w:firstLine="480"/>
    </w:pPr>
    <w:rPr>
      <w:rFonts w:eastAsia="楷体_GB2312"/>
      <w:sz w:val="24"/>
      <w:szCs w:val="20"/>
    </w:rPr>
  </w:style>
  <w:style w:type="paragraph" w:customStyle="1" w:styleId="21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18">
    <w:name w:val="正文4"/>
    <w:basedOn w:val="1"/>
    <w:link w:val="453"/>
    <w:qFormat/>
    <w:uiPriority w:val="0"/>
    <w:pPr>
      <w:spacing w:before="60" w:after="60" w:line="360" w:lineRule="auto"/>
    </w:pPr>
    <w:rPr>
      <w:rFonts w:ascii="Times New Roman" w:hAnsi="Times New Roman" w:eastAsia="楷体_GB2312"/>
      <w:sz w:val="24"/>
    </w:rPr>
  </w:style>
  <w:style w:type="paragraph" w:customStyle="1" w:styleId="21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20">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222">
    <w:name w:val="Char2 Char Char Char"/>
    <w:basedOn w:val="1"/>
    <w:qFormat/>
    <w:uiPriority w:val="0"/>
    <w:rPr>
      <w:rFonts w:ascii="仿宋_GB2312" w:eastAsia="仿宋_GB2312"/>
      <w:b/>
      <w:sz w:val="32"/>
      <w:szCs w:val="32"/>
    </w:rPr>
  </w:style>
  <w:style w:type="paragraph" w:customStyle="1" w:styleId="223">
    <w:name w:val="paragraph1"/>
    <w:basedOn w:val="1"/>
    <w:qFormat/>
    <w:uiPriority w:val="0"/>
    <w:pPr>
      <w:spacing w:beforeLines="20" w:afterLines="30" w:line="360" w:lineRule="auto"/>
      <w:ind w:firstLine="200" w:firstLineChars="200"/>
    </w:pPr>
    <w:rPr>
      <w:sz w:val="24"/>
    </w:rPr>
  </w:style>
  <w:style w:type="paragraph" w:customStyle="1" w:styleId="224">
    <w:name w:val="段 1"/>
    <w:basedOn w:val="1"/>
    <w:qFormat/>
    <w:uiPriority w:val="0"/>
    <w:pPr>
      <w:spacing w:line="360" w:lineRule="auto"/>
    </w:pPr>
    <w:rPr>
      <w:rFonts w:eastAsia="楷体_GB2312"/>
      <w:b/>
      <w:bCs/>
      <w:sz w:val="24"/>
    </w:rPr>
  </w:style>
  <w:style w:type="paragraph" w:customStyle="1" w:styleId="225">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227">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228">
    <w:name w:val="button"/>
    <w:basedOn w:val="1"/>
    <w:qFormat/>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229">
    <w:name w:val="xl138"/>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30">
    <w:name w:val="无间隔11"/>
    <w:qFormat/>
    <w:uiPriority w:val="0"/>
    <w:rPr>
      <w:rFonts w:ascii="Times New Roman" w:hAnsi="Times New Roman" w:eastAsia="??" w:cs="宋体"/>
      <w:sz w:val="22"/>
      <w:szCs w:val="22"/>
      <w:lang w:val="en-US" w:eastAsia="en-US" w:bidi="ar-SA"/>
    </w:rPr>
  </w:style>
  <w:style w:type="paragraph" w:customStyle="1" w:styleId="231">
    <w:name w:val="正文规范1"/>
    <w:basedOn w:val="1"/>
    <w:qFormat/>
    <w:uiPriority w:val="0"/>
    <w:pPr>
      <w:spacing w:line="360" w:lineRule="auto"/>
      <w:ind w:firstLine="480" w:firstLineChars="200"/>
    </w:pPr>
    <w:rPr>
      <w:sz w:val="24"/>
    </w:rPr>
  </w:style>
  <w:style w:type="paragraph" w:customStyle="1" w:styleId="232">
    <w:name w:val="2"/>
    <w:basedOn w:val="1"/>
    <w:qFormat/>
    <w:uiPriority w:val="0"/>
    <w:rPr>
      <w:rFonts w:ascii="Tahoma" w:hAnsi="Tahoma" w:eastAsia="??" w:cs="Tahoma"/>
      <w:sz w:val="24"/>
      <w:szCs w:val="28"/>
    </w:rPr>
  </w:style>
  <w:style w:type="paragraph" w:customStyle="1" w:styleId="233">
    <w:name w:val="样式 标题 3标题 3 Char第二层条h33Bold Headbh章标题1小标题level_3PIM 3..."/>
    <w:basedOn w:val="7"/>
    <w:qFormat/>
    <w:uiPriority w:val="0"/>
    <w:pPr>
      <w:widowControl w:val="0"/>
      <w:numPr>
        <w:numId w:val="0"/>
      </w:numPr>
      <w:tabs>
        <w:tab w:val="clear" w:pos="-839"/>
      </w:tabs>
      <w:adjustRightInd w:val="0"/>
      <w:snapToGrid w:val="0"/>
      <w:spacing w:before="0" w:after="0"/>
      <w:jc w:val="both"/>
    </w:pPr>
    <w:rPr>
      <w:rFonts w:ascii="黑体" w:hAnsi="宋体" w:eastAsia="黑体"/>
      <w:b w:val="0"/>
      <w:color w:val="000000"/>
      <w:sz w:val="28"/>
      <w:szCs w:val="20"/>
    </w:rPr>
  </w:style>
  <w:style w:type="paragraph" w:customStyle="1" w:styleId="234">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35">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3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37">
    <w:name w:val="Char Char12"/>
    <w:basedOn w:val="1"/>
    <w:qFormat/>
    <w:uiPriority w:val="0"/>
  </w:style>
  <w:style w:type="paragraph" w:customStyle="1" w:styleId="238">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239">
    <w:name w:val="Char Char Char1 Char"/>
    <w:basedOn w:val="1"/>
    <w:qFormat/>
    <w:uiPriority w:val="0"/>
    <w:rPr>
      <w:szCs w:val="20"/>
    </w:rPr>
  </w:style>
  <w:style w:type="paragraph" w:customStyle="1" w:styleId="2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1">
    <w:name w:val="gf正文1"/>
    <w:basedOn w:val="1"/>
    <w:link w:val="461"/>
    <w:qFormat/>
    <w:uiPriority w:val="0"/>
    <w:pPr>
      <w:adjustRightInd w:val="0"/>
      <w:snapToGrid w:val="0"/>
      <w:spacing w:beforeLines="50" w:line="360" w:lineRule="auto"/>
      <w:ind w:firstLine="480" w:firstLineChars="200"/>
    </w:pPr>
    <w:rPr>
      <w:rFonts w:ascii="宋体" w:hAnsi="宋体"/>
      <w:sz w:val="24"/>
      <w:szCs w:val="20"/>
    </w:rPr>
  </w:style>
  <w:style w:type="paragraph" w:customStyle="1" w:styleId="242">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243">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244">
    <w:name w:val="Body text|1"/>
    <w:basedOn w:val="1"/>
    <w:qFormat/>
    <w:uiPriority w:val="0"/>
    <w:pPr>
      <w:spacing w:line="425" w:lineRule="auto"/>
      <w:ind w:firstLine="400"/>
    </w:pPr>
    <w:rPr>
      <w:rFonts w:ascii="宋体" w:hAnsi="宋体" w:cs="宋体"/>
      <w:sz w:val="20"/>
      <w:szCs w:val="20"/>
      <w:lang w:val="zh-CN" w:bidi="zh-CN"/>
    </w:rPr>
  </w:style>
  <w:style w:type="paragraph" w:customStyle="1" w:styleId="245">
    <w:name w:val="中文标题 3"/>
    <w:basedOn w:val="3"/>
    <w:qFormat/>
    <w:uiPriority w:val="0"/>
    <w:pPr>
      <w:spacing w:before="100" w:beforeAutospacing="1" w:after="100" w:afterAutospacing="1" w:line="360" w:lineRule="auto"/>
      <w:ind w:firstLine="482"/>
    </w:pPr>
    <w:rPr>
      <w:rFonts w:ascii="Times New Roman" w:hAnsi="Times New Roman" w:eastAsia="楷体_GB2312"/>
      <w:kern w:val="28"/>
      <w:sz w:val="24"/>
      <w:szCs w:val="24"/>
    </w:rPr>
  </w:style>
  <w:style w:type="paragraph" w:customStyle="1" w:styleId="246">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247">
    <w:name w:val="font9"/>
    <w:basedOn w:val="1"/>
    <w:qFormat/>
    <w:uiPriority w:val="0"/>
    <w:pPr>
      <w:widowControl/>
      <w:spacing w:before="100" w:beforeAutospacing="1" w:after="100" w:afterAutospacing="1"/>
      <w:jc w:val="left"/>
    </w:pPr>
    <w:rPr>
      <w:kern w:val="0"/>
      <w:sz w:val="18"/>
      <w:szCs w:val="20"/>
    </w:rPr>
  </w:style>
  <w:style w:type="paragraph" w:customStyle="1" w:styleId="248">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249">
    <w:name w:val="标准正文"/>
    <w:basedOn w:val="1"/>
    <w:link w:val="479"/>
    <w:qFormat/>
    <w:uiPriority w:val="0"/>
    <w:pPr>
      <w:spacing w:line="360" w:lineRule="auto"/>
      <w:ind w:firstLine="480" w:firstLineChars="200"/>
    </w:pPr>
    <w:rPr>
      <w:rFonts w:ascii="Times New Roman" w:hAnsi="Times New Roman"/>
      <w:kern w:val="0"/>
      <w:sz w:val="24"/>
      <w:szCs w:val="20"/>
    </w:rPr>
  </w:style>
  <w:style w:type="paragraph" w:customStyle="1" w:styleId="250">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51">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52">
    <w:name w:val="font13"/>
    <w:basedOn w:val="1"/>
    <w:qFormat/>
    <w:uiPriority w:val="0"/>
    <w:pPr>
      <w:widowControl/>
      <w:spacing w:before="100" w:beforeAutospacing="1" w:after="100" w:afterAutospacing="1"/>
      <w:jc w:val="left"/>
    </w:pPr>
    <w:rPr>
      <w:rFonts w:ascii="Arial" w:hAnsi="Arial"/>
      <w:kern w:val="0"/>
      <w:sz w:val="24"/>
      <w:szCs w:val="20"/>
    </w:rPr>
  </w:style>
  <w:style w:type="paragraph" w:customStyle="1" w:styleId="25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254">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25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2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57">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258">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259">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260">
    <w:name w:val="标题1"/>
    <w:basedOn w:val="1"/>
    <w:qFormat/>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261">
    <w:name w:val="正文 首行缩进:  2 字符 Char Char Char Char"/>
    <w:basedOn w:val="1"/>
    <w:qFormat/>
    <w:uiPriority w:val="0"/>
    <w:pPr>
      <w:spacing w:line="360" w:lineRule="auto"/>
      <w:ind w:firstLine="480"/>
    </w:pPr>
    <w:rPr>
      <w:rFonts w:eastAsia="楷体_GB2312" w:cs="宋体"/>
      <w:sz w:val="24"/>
    </w:rPr>
  </w:style>
  <w:style w:type="paragraph" w:customStyle="1" w:styleId="262">
    <w:name w:val="普通段落"/>
    <w:basedOn w:val="1"/>
    <w:qFormat/>
    <w:uiPriority w:val="0"/>
    <w:pPr>
      <w:adjustRightInd w:val="0"/>
      <w:snapToGrid w:val="0"/>
      <w:spacing w:line="360" w:lineRule="auto"/>
      <w:ind w:firstLine="480" w:firstLineChars="200"/>
    </w:pPr>
    <w:rPr>
      <w:sz w:val="24"/>
      <w:szCs w:val="20"/>
    </w:rPr>
  </w:style>
  <w:style w:type="paragraph" w:customStyle="1" w:styleId="263">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264">
    <w:name w:val="FA正文"/>
    <w:basedOn w:val="1"/>
    <w:link w:val="426"/>
    <w:qFormat/>
    <w:uiPriority w:val="0"/>
    <w:pPr>
      <w:spacing w:line="360" w:lineRule="auto"/>
      <w:ind w:firstLine="480" w:firstLineChars="200"/>
    </w:pPr>
    <w:rPr>
      <w:rFonts w:ascii="Times New Roman" w:hAnsi="宋体"/>
      <w:sz w:val="24"/>
      <w:szCs w:val="20"/>
    </w:rPr>
  </w:style>
  <w:style w:type="paragraph" w:customStyle="1" w:styleId="265">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266">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267">
    <w:name w:val="公文标题 4"/>
    <w:basedOn w:val="110"/>
    <w:next w:val="113"/>
    <w:qFormat/>
    <w:uiPriority w:val="0"/>
    <w:pPr>
      <w:outlineLvl w:val="9"/>
    </w:pPr>
  </w:style>
  <w:style w:type="paragraph" w:customStyle="1" w:styleId="2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69">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27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71">
    <w:name w:val="pa-68"/>
    <w:basedOn w:val="1"/>
    <w:qFormat/>
    <w:uiPriority w:val="0"/>
    <w:pPr>
      <w:widowControl/>
      <w:spacing w:line="330" w:lineRule="atLeast"/>
      <w:jc w:val="left"/>
    </w:pPr>
    <w:rPr>
      <w:rFonts w:ascii="宋体" w:hAnsi="宋体" w:cs="宋体"/>
      <w:kern w:val="0"/>
      <w:sz w:val="24"/>
    </w:rPr>
  </w:style>
  <w:style w:type="paragraph" w:customStyle="1" w:styleId="272">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7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7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76">
    <w:name w:val="5 Char"/>
    <w:basedOn w:val="1"/>
    <w:qFormat/>
    <w:uiPriority w:val="0"/>
    <w:rPr>
      <w:rFonts w:eastAsia="楷体_GB2312"/>
    </w:rPr>
  </w:style>
  <w:style w:type="paragraph" w:customStyle="1" w:styleId="277">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79">
    <w:name w:val="列出段落2"/>
    <w:basedOn w:val="1"/>
    <w:qFormat/>
    <w:uiPriority w:val="0"/>
    <w:pPr>
      <w:ind w:firstLine="420" w:firstLineChars="200"/>
    </w:pPr>
    <w:rPr>
      <w:rFonts w:ascii="Calibri" w:hAnsi="Calibri"/>
      <w:szCs w:val="22"/>
    </w:rPr>
  </w:style>
  <w:style w:type="paragraph" w:customStyle="1" w:styleId="280">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81">
    <w:name w:val="Char Char Char1 Char Char Char1 Char"/>
    <w:basedOn w:val="1"/>
    <w:qFormat/>
    <w:uiPriority w:val="0"/>
    <w:pPr>
      <w:tabs>
        <w:tab w:val="left" w:pos="360"/>
      </w:tabs>
    </w:pPr>
    <w:rPr>
      <w:sz w:val="24"/>
    </w:rPr>
  </w:style>
  <w:style w:type="paragraph" w:customStyle="1" w:styleId="282">
    <w:name w:val="正文 首行缩进:  2 字符 Char"/>
    <w:basedOn w:val="1"/>
    <w:qFormat/>
    <w:uiPriority w:val="0"/>
    <w:pPr>
      <w:spacing w:line="360" w:lineRule="auto"/>
      <w:ind w:firstLine="480"/>
    </w:pPr>
    <w:rPr>
      <w:rFonts w:cs="宋体"/>
      <w:sz w:val="24"/>
      <w:szCs w:val="20"/>
    </w:rPr>
  </w:style>
  <w:style w:type="paragraph" w:customStyle="1" w:styleId="283">
    <w:name w:val="正文文字缩进 3"/>
    <w:basedOn w:val="1"/>
    <w:qFormat/>
    <w:uiPriority w:val="0"/>
    <w:pPr>
      <w:suppressAutoHyphens/>
      <w:spacing w:line="360" w:lineRule="auto"/>
      <w:ind w:left="481" w:firstLine="480"/>
    </w:pPr>
    <w:rPr>
      <w:rFonts w:eastAsia="楷体_GB2312"/>
      <w:kern w:val="1"/>
      <w:sz w:val="24"/>
      <w:szCs w:val="20"/>
      <w:lang w:eastAsia="ar-SA"/>
    </w:rPr>
  </w:style>
  <w:style w:type="paragraph" w:customStyle="1" w:styleId="284">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285">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8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88">
    <w:name w:val="Char Char Char Char11"/>
    <w:basedOn w:val="1"/>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289">
    <w:name w:val="正文 A"/>
    <w:unhideWhenUsed/>
    <w:qFormat/>
    <w:uiPriority w:val="99"/>
    <w:pPr>
      <w:widowControl w:val="0"/>
      <w:jc w:val="both"/>
    </w:pPr>
    <w:rPr>
      <w:rFonts w:hint="eastAsia" w:ascii="Arial Unicode MS" w:hAnsi="Arial Unicode MS" w:eastAsia="宋体" w:cs="Times New Roman"/>
      <w:color w:val="000000"/>
      <w:kern w:val="2"/>
      <w:sz w:val="21"/>
      <w:szCs w:val="22"/>
      <w:u w:color="000000"/>
      <w:lang w:val="en-US" w:eastAsia="zh-CN" w:bidi="ar-SA"/>
    </w:rPr>
  </w:style>
  <w:style w:type="paragraph" w:customStyle="1" w:styleId="290">
    <w:name w:val="xl86"/>
    <w:basedOn w:val="1"/>
    <w:qFormat/>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91">
    <w:name w:val="图"/>
    <w:basedOn w:val="1"/>
    <w:qFormat/>
    <w:uiPriority w:val="0"/>
    <w:pPr>
      <w:spacing w:line="360" w:lineRule="auto"/>
      <w:jc w:val="center"/>
    </w:pPr>
    <w:rPr>
      <w:rFonts w:ascii="宋体" w:hAnsi="宋体" w:eastAsia="楷体_GB2312" w:cs="宋体"/>
      <w:sz w:val="24"/>
      <w:szCs w:val="20"/>
    </w:rPr>
  </w:style>
  <w:style w:type="paragraph" w:customStyle="1" w:styleId="292">
    <w:name w:val="Table Paragraph"/>
    <w:basedOn w:val="1"/>
    <w:qFormat/>
    <w:uiPriority w:val="99"/>
    <w:rPr>
      <w:rFonts w:ascii="宋体" w:hAnsi="宋体" w:cs="宋体"/>
      <w:lang w:val="zh-CN" w:bidi="zh-CN"/>
    </w:rPr>
  </w:style>
  <w:style w:type="paragraph" w:customStyle="1" w:styleId="293">
    <w:name w:val="Char Char21"/>
    <w:basedOn w:val="1"/>
    <w:qFormat/>
    <w:uiPriority w:val="0"/>
    <w:rPr>
      <w:rFonts w:ascii="仿宋_GB2312" w:eastAsia="仿宋_GB2312"/>
      <w:b/>
      <w:sz w:val="32"/>
      <w:szCs w:val="32"/>
    </w:rPr>
  </w:style>
  <w:style w:type="paragraph" w:customStyle="1" w:styleId="294">
    <w:name w:val="xl94"/>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95">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96">
    <w:name w:val="编号 2"/>
    <w:basedOn w:val="297"/>
    <w:qFormat/>
    <w:uiPriority w:val="0"/>
    <w:pPr>
      <w:tabs>
        <w:tab w:val="left" w:pos="1320"/>
        <w:tab w:val="left" w:pos="1560"/>
      </w:tabs>
      <w:ind w:left="-80"/>
    </w:pPr>
    <w:rPr>
      <w:szCs w:val="20"/>
    </w:rPr>
  </w:style>
  <w:style w:type="paragraph" w:customStyle="1" w:styleId="297">
    <w:name w:val="编号 1"/>
    <w:basedOn w:val="1"/>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98">
    <w:name w:val="默认段落字体 Para Char"/>
    <w:basedOn w:val="1"/>
    <w:qFormat/>
    <w:uiPriority w:val="0"/>
    <w:rPr>
      <w:rFonts w:ascii="Tahoma" w:hAnsi="Tahoma"/>
      <w:sz w:val="24"/>
      <w:szCs w:val="20"/>
    </w:rPr>
  </w:style>
  <w:style w:type="paragraph" w:customStyle="1" w:styleId="299">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300">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301">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302">
    <w:name w:val="公文标2级"/>
    <w:basedOn w:val="1"/>
    <w:qFormat/>
    <w:uiPriority w:val="0"/>
    <w:rPr>
      <w:rFonts w:ascii="楷体_GB2312" w:hAnsi="楷体_GB2312" w:eastAsia="楷体" w:cs="楷体"/>
      <w:color w:val="000000"/>
      <w:kern w:val="1"/>
      <w:sz w:val="32"/>
    </w:rPr>
  </w:style>
  <w:style w:type="paragraph" w:customStyle="1" w:styleId="30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4">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305">
    <w:name w:val="z-窗体底端1"/>
    <w:basedOn w:val="1"/>
    <w:next w:val="1"/>
    <w:qFormat/>
    <w:uiPriority w:val="0"/>
    <w:pPr>
      <w:pBdr>
        <w:top w:val="single" w:color="auto" w:sz="6" w:space="1"/>
      </w:pBdr>
      <w:jc w:val="center"/>
    </w:pPr>
    <w:rPr>
      <w:rFonts w:ascii="Arial"/>
      <w:vanish/>
      <w:sz w:val="16"/>
    </w:rPr>
  </w:style>
  <w:style w:type="paragraph" w:customStyle="1" w:styleId="306">
    <w:name w:val="xl69"/>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07">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08">
    <w:name w:val="哈哈改"/>
    <w:basedOn w:val="141"/>
    <w:link w:val="439"/>
    <w:qFormat/>
    <w:uiPriority w:val="0"/>
    <w:pPr>
      <w:ind w:firstLine="480"/>
    </w:pPr>
    <w:rPr>
      <w:b/>
      <w:szCs w:val="24"/>
    </w:rPr>
  </w:style>
  <w:style w:type="paragraph" w:customStyle="1" w:styleId="309">
    <w:name w:val="样式 标题 2H2h2Heading 2 HiddenHeading 2 CCBSl2heading 2I22n...1"/>
    <w:basedOn w:val="6"/>
    <w:qFormat/>
    <w:uiPriority w:val="0"/>
    <w:pPr>
      <w:numPr>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310">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311">
    <w:name w:val="Char Char Char Char Char Char Char Char"/>
    <w:basedOn w:val="1"/>
    <w:qFormat/>
    <w:uiPriority w:val="0"/>
    <w:pPr>
      <w:tabs>
        <w:tab w:val="left" w:pos="360"/>
      </w:tabs>
    </w:pPr>
    <w:rPr>
      <w:sz w:val="24"/>
      <w:szCs w:val="20"/>
    </w:rPr>
  </w:style>
  <w:style w:type="paragraph" w:customStyle="1" w:styleId="312">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13">
    <w:name w:val="正文 首行缩进2字符 Char Char"/>
    <w:basedOn w:val="1"/>
    <w:qFormat/>
    <w:uiPriority w:val="0"/>
    <w:pPr>
      <w:spacing w:line="360" w:lineRule="auto"/>
      <w:ind w:firstLine="200" w:firstLineChars="200"/>
    </w:pPr>
    <w:rPr>
      <w:rFonts w:eastAsia="楷体_GB2312"/>
      <w:sz w:val="24"/>
    </w:rPr>
  </w:style>
  <w:style w:type="paragraph" w:customStyle="1" w:styleId="314">
    <w:name w:val="Char Char Char Char Char Char Char Char Char Char1"/>
    <w:basedOn w:val="1"/>
    <w:qFormat/>
    <w:uiPriority w:val="0"/>
    <w:rPr>
      <w:rFonts w:ascii="仿宋_GB2312" w:eastAsia="仿宋_GB2312"/>
      <w:b/>
      <w:sz w:val="32"/>
      <w:szCs w:val="20"/>
    </w:rPr>
  </w:style>
  <w:style w:type="paragraph" w:customStyle="1" w:styleId="315">
    <w:name w:val="样式 首行缩进:  2 字符"/>
    <w:basedOn w:val="1"/>
    <w:qFormat/>
    <w:uiPriority w:val="0"/>
    <w:pPr>
      <w:snapToGrid w:val="0"/>
      <w:spacing w:line="360" w:lineRule="auto"/>
    </w:pPr>
    <w:rPr>
      <w:rFonts w:ascii="仿宋_GB2312" w:hAnsi="宋体" w:eastAsia="仿宋_GB2312"/>
      <w:color w:val="000000"/>
      <w:kern w:val="0"/>
      <w:sz w:val="28"/>
      <w:szCs w:val="20"/>
    </w:rPr>
  </w:style>
  <w:style w:type="paragraph" w:customStyle="1" w:styleId="316">
    <w:name w:val="文档正文"/>
    <w:basedOn w:val="1"/>
    <w:qFormat/>
    <w:uiPriority w:val="0"/>
    <w:pPr>
      <w:adjustRightInd w:val="0"/>
      <w:spacing w:line="480" w:lineRule="atLeast"/>
      <w:ind w:firstLine="567"/>
      <w:textAlignment w:val="baseline"/>
    </w:pPr>
    <w:rPr>
      <w:kern w:val="0"/>
      <w:sz w:val="24"/>
      <w:szCs w:val="20"/>
    </w:rPr>
  </w:style>
  <w:style w:type="paragraph" w:customStyle="1" w:styleId="317">
    <w:name w:val="中文标题 1"/>
    <w:basedOn w:val="3"/>
    <w:next w:val="3"/>
    <w:qFormat/>
    <w:uiPriority w:val="0"/>
    <w:pPr>
      <w:keepNext/>
      <w:spacing w:beforeLines="50" w:after="100" w:afterAutospacing="1" w:line="360" w:lineRule="auto"/>
      <w:ind w:firstLine="482"/>
      <w:outlineLvl w:val="0"/>
    </w:pPr>
    <w:rPr>
      <w:rFonts w:ascii="Times New Roman" w:hAnsi="Times New Roman" w:eastAsia="楷体_GB2312"/>
      <w:kern w:val="28"/>
      <w:sz w:val="24"/>
      <w:szCs w:val="24"/>
    </w:rPr>
  </w:style>
  <w:style w:type="paragraph" w:customStyle="1" w:styleId="318">
    <w:name w:val="正文文字表格居中"/>
    <w:basedOn w:val="1"/>
    <w:next w:val="70"/>
    <w:qFormat/>
    <w:uiPriority w:val="0"/>
    <w:pPr>
      <w:snapToGrid w:val="0"/>
      <w:spacing w:line="360" w:lineRule="auto"/>
    </w:pPr>
    <w:rPr>
      <w:rFonts w:ascii="宋体"/>
      <w:b/>
      <w:sz w:val="24"/>
      <w:szCs w:val="20"/>
    </w:rPr>
  </w:style>
  <w:style w:type="paragraph" w:customStyle="1" w:styleId="319">
    <w:name w:val="列出段落4"/>
    <w:basedOn w:val="1"/>
    <w:qFormat/>
    <w:uiPriority w:val="34"/>
    <w:pPr>
      <w:widowControl/>
      <w:ind w:firstLine="200" w:firstLineChars="200"/>
      <w:jc w:val="left"/>
    </w:pPr>
    <w:rPr>
      <w:rFonts w:ascii="??" w:hAnsi="??" w:eastAsia="??" w:cs="??"/>
      <w:kern w:val="0"/>
      <w:sz w:val="24"/>
    </w:rPr>
  </w:style>
  <w:style w:type="paragraph" w:customStyle="1" w:styleId="320">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2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22">
    <w:name w:val="pa-69"/>
    <w:basedOn w:val="1"/>
    <w:qFormat/>
    <w:uiPriority w:val="0"/>
    <w:pPr>
      <w:widowControl/>
      <w:spacing w:line="330" w:lineRule="atLeast"/>
      <w:ind w:firstLine="3840"/>
      <w:jc w:val="left"/>
    </w:pPr>
    <w:rPr>
      <w:rFonts w:ascii="宋体" w:hAnsi="宋体" w:cs="宋体"/>
      <w:kern w:val="0"/>
      <w:sz w:val="24"/>
    </w:rPr>
  </w:style>
  <w:style w:type="paragraph" w:customStyle="1" w:styleId="32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24">
    <w:name w:val="正文 + 首行缩进:  2 字符"/>
    <w:basedOn w:val="1"/>
    <w:qFormat/>
    <w:uiPriority w:val="0"/>
    <w:pPr>
      <w:spacing w:line="360" w:lineRule="auto"/>
      <w:ind w:left="-34" w:firstLine="482"/>
    </w:pPr>
    <w:rPr>
      <w:rFonts w:ascii="宋体" w:hAnsi="宋体"/>
      <w:bCs/>
      <w:sz w:val="24"/>
      <w:szCs w:val="20"/>
    </w:rPr>
  </w:style>
  <w:style w:type="paragraph" w:customStyle="1" w:styleId="325">
    <w:name w:val="公文标题"/>
    <w:basedOn w:val="113"/>
    <w:next w:val="113"/>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32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2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29">
    <w:name w:val="样式 样式 首行缩进:  0.74 厘米 行距: 1.5 倍行距 + 段后: 0.5 行"/>
    <w:basedOn w:val="1"/>
    <w:qFormat/>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330">
    <w:name w:val="0"/>
    <w:basedOn w:val="1"/>
    <w:qFormat/>
    <w:uiPriority w:val="0"/>
    <w:pPr>
      <w:widowControl/>
    </w:pPr>
    <w:rPr>
      <w:kern w:val="0"/>
      <w:sz w:val="24"/>
      <w:szCs w:val="20"/>
    </w:rPr>
  </w:style>
  <w:style w:type="paragraph" w:customStyle="1" w:styleId="33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32">
    <w:name w:val="符号》"/>
    <w:basedOn w:val="1"/>
    <w:qFormat/>
    <w:uiPriority w:val="0"/>
    <w:pPr>
      <w:widowControl/>
      <w:numPr>
        <w:ilvl w:val="0"/>
        <w:numId w:val="7"/>
      </w:numPr>
      <w:spacing w:line="360" w:lineRule="auto"/>
      <w:jc w:val="left"/>
    </w:pPr>
    <w:rPr>
      <w:rFonts w:ascii="宋体" w:hAnsi="宋体" w:eastAsia="楷体_GB2312" w:cs="宋体"/>
      <w:kern w:val="0"/>
      <w:sz w:val="24"/>
    </w:rPr>
  </w:style>
  <w:style w:type="paragraph" w:customStyle="1" w:styleId="333">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334">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33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36">
    <w:name w:val="修订1"/>
    <w:semiHidden/>
    <w:qFormat/>
    <w:uiPriority w:val="0"/>
    <w:rPr>
      <w:rFonts w:ascii="Times New Roman" w:hAnsi="Times New Roman" w:eastAsia="宋体" w:cs="Times New Roman"/>
      <w:kern w:val="2"/>
      <w:sz w:val="21"/>
      <w:lang w:val="en-US" w:eastAsia="zh-CN" w:bidi="ar-SA"/>
    </w:rPr>
  </w:style>
  <w:style w:type="paragraph" w:customStyle="1" w:styleId="337">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338">
    <w:name w:val="Char11"/>
    <w:basedOn w:val="1"/>
    <w:qFormat/>
    <w:uiPriority w:val="0"/>
    <w:rPr>
      <w:rFonts w:ascii="??_GB2312" w:hAnsi="??_GB2312" w:eastAsia="??_GB2312" w:cs="宋体"/>
      <w:b/>
      <w:sz w:val="32"/>
      <w:szCs w:val="32"/>
    </w:rPr>
  </w:style>
  <w:style w:type="paragraph" w:customStyle="1" w:styleId="339">
    <w:name w:val="font5"/>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40">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341">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42">
    <w:name w:val="样式4 Char"/>
    <w:basedOn w:val="1"/>
    <w:qFormat/>
    <w:uiPriority w:val="0"/>
    <w:pPr>
      <w:widowControl/>
      <w:spacing w:line="360" w:lineRule="auto"/>
      <w:ind w:firstLine="480"/>
      <w:jc w:val="left"/>
    </w:pPr>
    <w:rPr>
      <w:rFonts w:eastAsia="楷体_GB2312" w:cs="宋体"/>
      <w:color w:val="000000"/>
      <w:kern w:val="0"/>
      <w:sz w:val="24"/>
    </w:rPr>
  </w:style>
  <w:style w:type="paragraph" w:customStyle="1" w:styleId="343">
    <w:name w:val="xl1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34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4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346">
    <w:name w:val="样式 正文文本缩进 2 + 仿宋_GB2312 黑色 行距: 1.5 倍行距"/>
    <w:basedOn w:val="47"/>
    <w:qFormat/>
    <w:uiPriority w:val="0"/>
    <w:pPr>
      <w:spacing w:line="360" w:lineRule="auto"/>
      <w:ind w:firstLine="560" w:firstLineChars="200"/>
    </w:pPr>
    <w:rPr>
      <w:rFonts w:ascii="宋体" w:hAnsi="宋体" w:eastAsia="宋体"/>
      <w:color w:val="000000"/>
      <w:sz w:val="24"/>
      <w:szCs w:val="20"/>
    </w:rPr>
  </w:style>
  <w:style w:type="paragraph" w:customStyle="1" w:styleId="347">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34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349">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350">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正文内"/>
    <w:basedOn w:val="1"/>
    <w:qFormat/>
    <w:uiPriority w:val="0"/>
    <w:pPr>
      <w:spacing w:line="400" w:lineRule="exact"/>
      <w:ind w:firstLine="200" w:firstLineChars="200"/>
    </w:pPr>
    <w:rPr>
      <w:rFonts w:ascii="??" w:hAnsi="??" w:eastAsia="??" w:cs="宋体"/>
      <w:szCs w:val="28"/>
    </w:rPr>
  </w:style>
  <w:style w:type="paragraph" w:customStyle="1" w:styleId="352">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353">
    <w:name w:val="Char"/>
    <w:basedOn w:val="1"/>
    <w:qFormat/>
    <w:uiPriority w:val="0"/>
    <w:rPr>
      <w:rFonts w:eastAsia="??_GB2312"/>
      <w:sz w:val="28"/>
    </w:rPr>
  </w:style>
  <w:style w:type="paragraph" w:customStyle="1" w:styleId="354">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355">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56">
    <w:name w:val="默认段落字体 Para Char Char Char Char Char Char Char"/>
    <w:basedOn w:val="1"/>
    <w:qFormat/>
    <w:uiPriority w:val="0"/>
    <w:rPr>
      <w:rFonts w:eastAsia="仿宋_GB2312"/>
      <w:sz w:val="28"/>
      <w:szCs w:val="20"/>
    </w:rPr>
  </w:style>
  <w:style w:type="paragraph" w:customStyle="1" w:styleId="357">
    <w:name w:val="Normal_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58">
    <w:name w:val="Char Char1 Char Char Char Char Char Char"/>
    <w:basedOn w:val="1"/>
    <w:qFormat/>
    <w:uiPriority w:val="0"/>
    <w:rPr>
      <w:rFonts w:ascii="仿宋_GB2312" w:eastAsia="仿宋_GB2312"/>
      <w:b/>
      <w:sz w:val="32"/>
      <w:szCs w:val="20"/>
    </w:rPr>
  </w:style>
  <w:style w:type="paragraph" w:customStyle="1" w:styleId="359">
    <w:name w:val="Char2"/>
    <w:basedOn w:val="1"/>
    <w:qFormat/>
    <w:uiPriority w:val="0"/>
    <w:rPr>
      <w:rFonts w:ascii="仿宋_GB2312" w:hAnsi="仿宋_GB2312" w:eastAsia="仿宋_GB2312" w:cs="Lucida Sans"/>
      <w:b/>
      <w:sz w:val="32"/>
      <w:szCs w:val="32"/>
    </w:rPr>
  </w:style>
  <w:style w:type="paragraph" w:customStyle="1" w:styleId="360">
    <w:name w:val="Char Char Char Char Char Char Char1"/>
    <w:basedOn w:val="1"/>
    <w:qFormat/>
    <w:uiPriority w:val="0"/>
    <w:rPr>
      <w:rFonts w:ascii="仿宋_GB2312" w:eastAsia="仿宋_GB2312"/>
      <w:b/>
      <w:sz w:val="32"/>
      <w:szCs w:val="20"/>
    </w:rPr>
  </w:style>
  <w:style w:type="paragraph" w:customStyle="1" w:styleId="361">
    <w:name w:val="WPSOffice手动目录 1"/>
    <w:qFormat/>
    <w:uiPriority w:val="0"/>
    <w:rPr>
      <w:rFonts w:ascii="Times New Roman" w:hAnsi="Times New Roman" w:eastAsia="宋体" w:cs="Times New Roman"/>
      <w:lang w:val="en-US" w:eastAsia="zh-CN" w:bidi="ar-SA"/>
    </w:rPr>
  </w:style>
  <w:style w:type="paragraph" w:customStyle="1" w:styleId="362">
    <w:name w:val="Char Char Char Char1"/>
    <w:basedOn w:val="1"/>
    <w:qFormat/>
    <w:uiPriority w:val="0"/>
    <w:rPr>
      <w:szCs w:val="20"/>
    </w:rPr>
  </w:style>
  <w:style w:type="paragraph" w:customStyle="1" w:styleId="363">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36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365">
    <w:name w:val="font7"/>
    <w:basedOn w:val="1"/>
    <w:qFormat/>
    <w:uiPriority w:val="0"/>
    <w:pPr>
      <w:widowControl/>
      <w:spacing w:before="100" w:beforeAutospacing="1" w:after="100" w:afterAutospacing="1"/>
      <w:jc w:val="left"/>
    </w:pPr>
    <w:rPr>
      <w:rFonts w:ascii="Arial" w:hAnsi="Arial"/>
      <w:kern w:val="0"/>
      <w:sz w:val="20"/>
      <w:szCs w:val="20"/>
    </w:rPr>
  </w:style>
  <w:style w:type="paragraph" w:customStyle="1" w:styleId="366">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3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68">
    <w:name w:val="正文 首行缩进:  2 字符"/>
    <w:basedOn w:val="1"/>
    <w:qFormat/>
    <w:uiPriority w:val="0"/>
    <w:pPr>
      <w:spacing w:line="360" w:lineRule="auto"/>
      <w:ind w:firstLine="480" w:firstLineChars="200"/>
    </w:pPr>
    <w:rPr>
      <w:rFonts w:eastAsia="楷体_GB2312" w:cs="宋体"/>
      <w:sz w:val="24"/>
      <w:szCs w:val="20"/>
    </w:rPr>
  </w:style>
  <w:style w:type="paragraph" w:customStyle="1" w:styleId="36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370">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371">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72">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73">
    <w:name w:val="No Spacing1"/>
    <w:qFormat/>
    <w:uiPriority w:val="0"/>
    <w:rPr>
      <w:rFonts w:ascii="Times New Roman" w:hAnsi="Times New Roman" w:eastAsia="??" w:cs="宋体"/>
      <w:sz w:val="22"/>
      <w:szCs w:val="22"/>
      <w:lang w:val="en-US" w:eastAsia="en-US" w:bidi="ar-SA"/>
    </w:rPr>
  </w:style>
  <w:style w:type="paragraph" w:customStyle="1" w:styleId="374">
    <w:name w:val="样式 标题 1H1标书1h1Level 1 Topic Heading1st levelSection Headl..."/>
    <w:basedOn w:val="5"/>
    <w:qFormat/>
    <w:uiPriority w:val="0"/>
    <w:pPr>
      <w:keepLines/>
      <w:widowControl w:val="0"/>
      <w:tabs>
        <w:tab w:val="left" w:pos="432"/>
        <w:tab w:val="left" w:pos="780"/>
      </w:tabs>
      <w:spacing w:beforeLines="5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375">
    <w:name w:val="中文标题 4"/>
    <w:basedOn w:val="3"/>
    <w:qFormat/>
    <w:uiPriority w:val="0"/>
    <w:pPr>
      <w:spacing w:before="100" w:beforeAutospacing="1" w:after="100" w:afterAutospacing="1" w:line="360" w:lineRule="auto"/>
      <w:ind w:firstLine="482"/>
    </w:pPr>
    <w:rPr>
      <w:rFonts w:ascii="Times New Roman" w:hAnsi="Times New Roman" w:eastAsia="楷体_GB2312"/>
      <w:kern w:val="28"/>
      <w:sz w:val="24"/>
      <w:szCs w:val="24"/>
    </w:rPr>
  </w:style>
  <w:style w:type="paragraph" w:customStyle="1" w:styleId="376">
    <w:name w:val="表格文字"/>
    <w:basedOn w:val="1"/>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377">
    <w:name w:val="aspnumfaautoadjustrightr"/>
    <w:qFormat/>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37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379">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80">
    <w:name w:val="样式 正文文本缩进 + 左侧:  0.63 厘米 首行缩进:  0 厘米"/>
    <w:basedOn w:val="3"/>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381">
    <w:name w:val="Char Char1 Char Char Char1"/>
    <w:basedOn w:val="1"/>
    <w:qFormat/>
    <w:uiPriority w:val="0"/>
    <w:rPr>
      <w:rFonts w:ascii="仿宋_GB2312" w:eastAsia="仿宋_GB2312"/>
      <w:b/>
      <w:sz w:val="32"/>
      <w:szCs w:val="20"/>
    </w:rPr>
  </w:style>
  <w:style w:type="paragraph" w:customStyle="1" w:styleId="382">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383">
    <w:name w:val="自由格式"/>
    <w:qFormat/>
    <w:uiPriority w:val="0"/>
    <w:rPr>
      <w:rFonts w:ascii="Cambria" w:hAnsi="Cambria" w:eastAsia="Cambria" w:cs="Cambria"/>
      <w:color w:val="000000"/>
      <w:sz w:val="24"/>
      <w:szCs w:val="24"/>
      <w:lang w:val="en-US" w:eastAsia="zh-CN" w:bidi="ar-SA"/>
    </w:rPr>
  </w:style>
  <w:style w:type="paragraph" w:customStyle="1" w:styleId="3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385">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386">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387">
    <w:name w:val="正文首行缩进两字"/>
    <w:link w:val="454"/>
    <w:qFormat/>
    <w:uiPriority w:val="0"/>
    <w:pPr>
      <w:spacing w:afterLines="50" w:line="300" w:lineRule="auto"/>
      <w:ind w:firstLine="480" w:firstLineChars="200"/>
    </w:pPr>
    <w:rPr>
      <w:rFonts w:ascii="Times New Roman" w:hAnsi="Times New Roman" w:eastAsia="宋体" w:cs="Times New Roman"/>
      <w:sz w:val="24"/>
      <w:szCs w:val="24"/>
      <w:lang w:val="en-US" w:eastAsia="zh-CN" w:bidi="ar-SA"/>
    </w:rPr>
  </w:style>
  <w:style w:type="paragraph" w:customStyle="1" w:styleId="388">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389">
    <w:name w:val="xl127"/>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390">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91">
    <w:name w:val="Char3"/>
    <w:basedOn w:val="1"/>
    <w:qFormat/>
    <w:uiPriority w:val="0"/>
    <w:rPr>
      <w:rFonts w:ascii="仿宋_GB2312" w:eastAsia="仿宋_GB2312"/>
      <w:b/>
      <w:sz w:val="32"/>
      <w:szCs w:val="32"/>
    </w:rPr>
  </w:style>
  <w:style w:type="paragraph" w:customStyle="1" w:styleId="392">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393">
    <w:name w:val="Char Char1"/>
    <w:basedOn w:val="1"/>
    <w:qFormat/>
    <w:uiPriority w:val="0"/>
    <w:pPr>
      <w:widowControl/>
      <w:spacing w:after="160" w:line="240" w:lineRule="exact"/>
      <w:jc w:val="left"/>
    </w:pPr>
    <w:rPr>
      <w:rFonts w:eastAsia="仿宋_GB2312"/>
      <w:sz w:val="28"/>
      <w:szCs w:val="20"/>
    </w:rPr>
  </w:style>
  <w:style w:type="paragraph" w:customStyle="1" w:styleId="394">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39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96">
    <w:name w:val="Char Char"/>
    <w:basedOn w:val="1"/>
    <w:qFormat/>
    <w:uiPriority w:val="0"/>
    <w:pPr>
      <w:spacing w:line="360" w:lineRule="auto"/>
    </w:pPr>
    <w:rPr>
      <w:rFonts w:ascii="Tahoma" w:hAnsi="Tahoma" w:cs="Lucida Sans"/>
      <w:sz w:val="24"/>
      <w:szCs w:val="20"/>
    </w:rPr>
  </w:style>
  <w:style w:type="paragraph" w:customStyle="1" w:styleId="397">
    <w:name w:val="_Style 40"/>
    <w:basedOn w:val="1"/>
    <w:qFormat/>
    <w:uiPriority w:val="0"/>
    <w:rPr>
      <w:rFonts w:eastAsia="??"/>
      <w:szCs w:val="28"/>
    </w:rPr>
  </w:style>
  <w:style w:type="paragraph" w:customStyle="1" w:styleId="398">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399">
    <w:name w:val="二级条标题"/>
    <w:basedOn w:val="1"/>
    <w:next w:val="240"/>
    <w:qFormat/>
    <w:uiPriority w:val="0"/>
    <w:pPr>
      <w:widowControl/>
      <w:jc w:val="left"/>
      <w:outlineLvl w:val="3"/>
    </w:pPr>
    <w:rPr>
      <w:rFonts w:ascii="黑体" w:eastAsia="黑体"/>
      <w:kern w:val="0"/>
      <w:sz w:val="24"/>
      <w:szCs w:val="20"/>
    </w:rPr>
  </w:style>
  <w:style w:type="paragraph" w:customStyle="1" w:styleId="400">
    <w:name w:val="List Paragraph1"/>
    <w:basedOn w:val="1"/>
    <w:qFormat/>
    <w:uiPriority w:val="0"/>
    <w:pPr>
      <w:ind w:firstLine="420" w:firstLineChars="200"/>
    </w:pPr>
  </w:style>
  <w:style w:type="paragraph" w:customStyle="1" w:styleId="401">
    <w:name w:val="中文标题 2"/>
    <w:basedOn w:val="3"/>
    <w:next w:val="3"/>
    <w:qFormat/>
    <w:uiPriority w:val="0"/>
    <w:pPr>
      <w:spacing w:before="100" w:beforeAutospacing="1" w:after="100" w:afterAutospacing="1" w:line="360" w:lineRule="auto"/>
      <w:ind w:firstLine="482"/>
      <w:outlineLvl w:val="1"/>
    </w:pPr>
    <w:rPr>
      <w:rFonts w:ascii="Times New Roman" w:hAnsi="Times New Roman" w:eastAsia="楷体_GB2312"/>
      <w:kern w:val="28"/>
      <w:sz w:val="24"/>
      <w:szCs w:val="24"/>
    </w:rPr>
  </w:style>
  <w:style w:type="paragraph" w:customStyle="1" w:styleId="402">
    <w:name w:val="样式4"/>
    <w:basedOn w:val="1"/>
    <w:qFormat/>
    <w:uiPriority w:val="0"/>
    <w:pPr>
      <w:widowControl/>
      <w:spacing w:line="360" w:lineRule="auto"/>
      <w:ind w:firstLine="480"/>
      <w:jc w:val="left"/>
    </w:pPr>
    <w:rPr>
      <w:rFonts w:eastAsia="楷体_GB2312" w:cs="宋体"/>
      <w:color w:val="000000"/>
      <w:sz w:val="24"/>
    </w:rPr>
  </w:style>
  <w:style w:type="paragraph" w:customStyle="1" w:styleId="403">
    <w:name w:val="列出段落3"/>
    <w:basedOn w:val="1"/>
    <w:qFormat/>
    <w:uiPriority w:val="99"/>
    <w:pPr>
      <w:snapToGrid w:val="0"/>
      <w:spacing w:line="276" w:lineRule="auto"/>
      <w:ind w:firstLine="420" w:firstLineChars="200"/>
    </w:pPr>
    <w:rPr>
      <w:rFonts w:ascii="Calibri" w:hAnsi="Calibri" w:eastAsia="微软雅黑"/>
      <w:sz w:val="24"/>
      <w:szCs w:val="21"/>
    </w:rPr>
  </w:style>
  <w:style w:type="paragraph" w:customStyle="1" w:styleId="40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405">
    <w:name w:val="温室气体"/>
    <w:basedOn w:val="1"/>
    <w:link w:val="499"/>
    <w:qFormat/>
    <w:uiPriority w:val="0"/>
    <w:pPr>
      <w:snapToGrid w:val="0"/>
      <w:spacing w:beforeLines="50" w:afterLines="50" w:line="300" w:lineRule="auto"/>
      <w:ind w:firstLine="549" w:firstLineChars="196"/>
    </w:pPr>
    <w:rPr>
      <w:rFonts w:ascii="仿宋_GB2312" w:hAnsi="Times New Roman" w:eastAsia="仿宋_GB2312"/>
      <w:color w:val="000000"/>
      <w:sz w:val="28"/>
      <w:szCs w:val="20"/>
    </w:rPr>
  </w:style>
  <w:style w:type="character" w:customStyle="1" w:styleId="406">
    <w:name w:val="DN-正文 Char Char"/>
    <w:link w:val="91"/>
    <w:qFormat/>
    <w:uiPriority w:val="0"/>
    <w:rPr>
      <w:kern w:val="2"/>
      <w:sz w:val="21"/>
      <w:szCs w:val="24"/>
      <w:lang w:bidi="ar-SA"/>
    </w:rPr>
  </w:style>
  <w:style w:type="character" w:customStyle="1" w:styleId="407">
    <w:name w:val="日期 字符"/>
    <w:link w:val="46"/>
    <w:qFormat/>
    <w:uiPriority w:val="0"/>
    <w:rPr>
      <w:rFonts w:eastAsia="??_GB2312"/>
      <w:b/>
      <w:sz w:val="28"/>
      <w:szCs w:val="28"/>
      <w:lang w:val="en-US" w:eastAsia="zh-CN" w:bidi="ar-SA"/>
    </w:rPr>
  </w:style>
  <w:style w:type="character" w:customStyle="1" w:styleId="408">
    <w:name w:val="正文2 Char"/>
    <w:link w:val="174"/>
    <w:qFormat/>
    <w:locked/>
    <w:uiPriority w:val="0"/>
    <w:rPr>
      <w:rFonts w:eastAsia="??"/>
      <w:kern w:val="2"/>
      <w:sz w:val="24"/>
      <w:szCs w:val="28"/>
    </w:rPr>
  </w:style>
  <w:style w:type="character" w:customStyle="1" w:styleId="409">
    <w:name w:val="sony121"/>
    <w:qFormat/>
    <w:uiPriority w:val="0"/>
    <w:rPr>
      <w:rFonts w:hint="eastAsia" w:ascii="宋体" w:hAnsi="宋体" w:eastAsia="宋体"/>
      <w:sz w:val="18"/>
      <w:szCs w:val="18"/>
    </w:rPr>
  </w:style>
  <w:style w:type="character" w:customStyle="1" w:styleId="410">
    <w:name w:val="ca-41"/>
    <w:qFormat/>
    <w:uiPriority w:val="0"/>
    <w:rPr>
      <w:rFonts w:hint="eastAsia" w:ascii="仿宋_GB2312" w:eastAsia="仿宋_GB2312"/>
      <w:sz w:val="24"/>
      <w:szCs w:val="24"/>
    </w:rPr>
  </w:style>
  <w:style w:type="character" w:customStyle="1" w:styleId="411">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412">
    <w:name w:val="页眉 字符"/>
    <w:link w:val="53"/>
    <w:qFormat/>
    <w:uiPriority w:val="0"/>
    <w:rPr>
      <w:rFonts w:eastAsia="??"/>
      <w:kern w:val="2"/>
      <w:sz w:val="18"/>
      <w:szCs w:val="28"/>
      <w:lang w:val="en-US" w:eastAsia="zh-CN" w:bidi="ar-SA"/>
    </w:rPr>
  </w:style>
  <w:style w:type="character" w:customStyle="1" w:styleId="413">
    <w:name w:val="pword"/>
    <w:qFormat/>
    <w:uiPriority w:val="0"/>
  </w:style>
  <w:style w:type="character" w:customStyle="1" w:styleId="414">
    <w:name w:val="t_tag"/>
    <w:basedOn w:val="80"/>
    <w:qFormat/>
    <w:uiPriority w:val="0"/>
  </w:style>
  <w:style w:type="character" w:customStyle="1" w:styleId="415">
    <w:name w:val="unnamed11"/>
    <w:qFormat/>
    <w:uiPriority w:val="0"/>
    <w:rPr>
      <w:sz w:val="20"/>
    </w:rPr>
  </w:style>
  <w:style w:type="character" w:customStyle="1" w:styleId="416">
    <w:name w:val="ca-61"/>
    <w:qFormat/>
    <w:uiPriority w:val="0"/>
    <w:rPr>
      <w:rFonts w:hint="eastAsia" w:ascii="仿宋_GB2312" w:eastAsia="仿宋_GB2312"/>
      <w:b/>
      <w:bCs/>
      <w:spacing w:val="-20"/>
      <w:sz w:val="24"/>
      <w:szCs w:val="24"/>
    </w:rPr>
  </w:style>
  <w:style w:type="character" w:customStyle="1" w:styleId="417">
    <w:name w:val="纯文本 字符"/>
    <w:qFormat/>
    <w:uiPriority w:val="0"/>
    <w:rPr>
      <w:rFonts w:ascii="??" w:hAnsi="??" w:eastAsia="??" w:cs="宋体"/>
      <w:kern w:val="2"/>
      <w:sz w:val="21"/>
      <w:szCs w:val="21"/>
    </w:rPr>
  </w:style>
  <w:style w:type="character" w:customStyle="1" w:styleId="418">
    <w:name w:val="HTML 预设格式 字符"/>
    <w:link w:val="72"/>
    <w:qFormat/>
    <w:uiPriority w:val="0"/>
    <w:rPr>
      <w:rFonts w:ascii="??" w:hAnsi="??" w:eastAsia="??" w:cs="Courier New"/>
      <w:szCs w:val="28"/>
      <w:lang w:val="en-US" w:eastAsia="zh-CN" w:bidi="ar-SA"/>
    </w:rPr>
  </w:style>
  <w:style w:type="character" w:customStyle="1" w:styleId="419">
    <w:name w:val="style161"/>
    <w:qFormat/>
    <w:uiPriority w:val="0"/>
    <w:rPr>
      <w:sz w:val="20"/>
      <w:szCs w:val="20"/>
    </w:rPr>
  </w:style>
  <w:style w:type="character" w:customStyle="1" w:styleId="420">
    <w:name w:val="标题 8 字符"/>
    <w:link w:val="12"/>
    <w:qFormat/>
    <w:uiPriority w:val="0"/>
    <w:rPr>
      <w:rFonts w:ascii="Arial" w:hAnsi="Arial" w:eastAsia="??" w:cs="Arial"/>
      <w:sz w:val="24"/>
      <w:szCs w:val="28"/>
      <w:lang w:val="en-US" w:eastAsia="zh-CN" w:bidi="ar-SA"/>
    </w:rPr>
  </w:style>
  <w:style w:type="character" w:customStyle="1" w:styleId="421">
    <w:name w:val="尾注文本 字符"/>
    <w:link w:val="49"/>
    <w:qFormat/>
    <w:uiPriority w:val="0"/>
    <w:rPr>
      <w:rFonts w:eastAsia="楷体_GB2312"/>
      <w:kern w:val="2"/>
      <w:sz w:val="24"/>
      <w:szCs w:val="24"/>
      <w:lang w:bidi="ar-SA"/>
    </w:rPr>
  </w:style>
  <w:style w:type="character" w:customStyle="1" w:styleId="422">
    <w:name w:val="正文文本缩进 字符"/>
    <w:link w:val="3"/>
    <w:qFormat/>
    <w:uiPriority w:val="0"/>
    <w:rPr>
      <w:rFonts w:ascii="??" w:hAnsi="??" w:eastAsia="??" w:cs="宋体"/>
      <w:kern w:val="2"/>
      <w:sz w:val="28"/>
      <w:szCs w:val="28"/>
    </w:rPr>
  </w:style>
  <w:style w:type="character" w:customStyle="1" w:styleId="423">
    <w:name w:val="正文 首行缩进:  2 字符 Char Char Char"/>
    <w:qFormat/>
    <w:uiPriority w:val="0"/>
    <w:rPr>
      <w:rFonts w:eastAsia="宋体" w:cs="宋体"/>
      <w:kern w:val="2"/>
      <w:sz w:val="24"/>
      <w:lang w:val="en-US" w:eastAsia="zh-CN" w:bidi="ar-SA"/>
    </w:rPr>
  </w:style>
  <w:style w:type="character" w:customStyle="1" w:styleId="424">
    <w:name w:val="公文正文 Char"/>
    <w:link w:val="113"/>
    <w:qFormat/>
    <w:uiPriority w:val="0"/>
    <w:rPr>
      <w:rFonts w:ascii="??_GB2312" w:hAnsi="??_GB2312" w:eastAsia="??_GB2312" w:cs="宋体"/>
      <w:kern w:val="2"/>
      <w:sz w:val="24"/>
      <w:szCs w:val="24"/>
      <w:lang w:val="en-US" w:eastAsia="zh-CN" w:bidi="ar-SA"/>
    </w:rPr>
  </w:style>
  <w:style w:type="character" w:customStyle="1" w:styleId="425">
    <w:name w:val="Char Char7"/>
    <w:qFormat/>
    <w:uiPriority w:val="0"/>
    <w:rPr>
      <w:rFonts w:ascii="宋体" w:eastAsia="宋体"/>
      <w:snapToGrid w:val="0"/>
      <w:color w:val="000000"/>
      <w:kern w:val="28"/>
      <w:sz w:val="28"/>
      <w:lang w:val="en-US" w:eastAsia="zh-CN"/>
    </w:rPr>
  </w:style>
  <w:style w:type="character" w:customStyle="1" w:styleId="426">
    <w:name w:val="FA正文 Char Char"/>
    <w:link w:val="264"/>
    <w:qFormat/>
    <w:uiPriority w:val="0"/>
    <w:rPr>
      <w:rFonts w:hAnsi="宋体"/>
      <w:kern w:val="2"/>
      <w:sz w:val="24"/>
      <w:lang w:bidi="ar-SA"/>
    </w:rPr>
  </w:style>
  <w:style w:type="character" w:customStyle="1" w:styleId="427">
    <w:name w:val="标题 5 字符"/>
    <w:link w:val="9"/>
    <w:qFormat/>
    <w:uiPriority w:val="0"/>
    <w:rPr>
      <w:rFonts w:eastAsia="??"/>
      <w:b/>
      <w:bCs/>
      <w:kern w:val="2"/>
      <w:sz w:val="28"/>
      <w:szCs w:val="28"/>
      <w:lang w:val="en-US" w:eastAsia="zh-CN" w:bidi="ar-SA"/>
    </w:rPr>
  </w:style>
  <w:style w:type="character" w:customStyle="1" w:styleId="428">
    <w:name w:val="正文非缩进 Char"/>
    <w:qFormat/>
    <w:uiPriority w:val="0"/>
    <w:rPr>
      <w:rFonts w:ascii="??" w:eastAsia="??"/>
      <w:snapToGrid w:val="0"/>
      <w:color w:val="000000"/>
      <w:kern w:val="28"/>
      <w:sz w:val="28"/>
      <w:lang w:val="en-US" w:eastAsia="zh-CN" w:bidi="ar-SA"/>
    </w:rPr>
  </w:style>
  <w:style w:type="character" w:customStyle="1" w:styleId="429">
    <w:name w:val="标题 3 字符"/>
    <w:link w:val="7"/>
    <w:qFormat/>
    <w:uiPriority w:val="0"/>
    <w:rPr>
      <w:rFonts w:eastAsia="??"/>
      <w:b/>
      <w:sz w:val="32"/>
      <w:szCs w:val="28"/>
      <w:lang w:val="en-US" w:eastAsia="zh-CN" w:bidi="ar-SA"/>
    </w:rPr>
  </w:style>
  <w:style w:type="character" w:customStyle="1" w:styleId="430">
    <w:name w:val="标题 2 Char1"/>
    <w:qFormat/>
    <w:uiPriority w:val="0"/>
    <w:rPr>
      <w:rFonts w:ascii="宋体" w:hAnsi="宋体" w:eastAsia="黑体"/>
      <w:bCs/>
      <w:kern w:val="2"/>
      <w:sz w:val="32"/>
      <w:szCs w:val="32"/>
    </w:rPr>
  </w:style>
  <w:style w:type="character" w:customStyle="1" w:styleId="431">
    <w:name w:val="标题 4 字符"/>
    <w:link w:val="8"/>
    <w:qFormat/>
    <w:uiPriority w:val="0"/>
    <w:rPr>
      <w:rFonts w:ascii="Arial" w:hAnsi="Arial" w:eastAsia="??" w:cs="Arial"/>
      <w:b/>
      <w:bCs/>
      <w:kern w:val="2"/>
      <w:sz w:val="28"/>
      <w:szCs w:val="28"/>
      <w:lang w:val="en-US" w:eastAsia="zh-CN" w:bidi="ar-SA"/>
    </w:rPr>
  </w:style>
  <w:style w:type="character" w:customStyle="1" w:styleId="432">
    <w:name w:val="批注主题 字符"/>
    <w:link w:val="76"/>
    <w:qFormat/>
    <w:uiPriority w:val="0"/>
    <w:rPr>
      <w:rFonts w:eastAsia="宋体"/>
      <w:b/>
      <w:kern w:val="2"/>
      <w:sz w:val="21"/>
      <w:lang w:bidi="ar-SA"/>
    </w:rPr>
  </w:style>
  <w:style w:type="character" w:customStyle="1" w:styleId="433">
    <w:name w:val="font61"/>
    <w:basedOn w:val="80"/>
    <w:qFormat/>
    <w:uiPriority w:val="0"/>
    <w:rPr>
      <w:rFonts w:hint="default" w:ascii="Calibri" w:hAnsi="Calibri" w:cs="Calibri"/>
      <w:color w:val="auto"/>
      <w:sz w:val="16"/>
      <w:szCs w:val="16"/>
      <w:u w:val="none"/>
    </w:rPr>
  </w:style>
  <w:style w:type="character" w:customStyle="1" w:styleId="434">
    <w:name w:val="样式1 Char Char"/>
    <w:link w:val="136"/>
    <w:qFormat/>
    <w:uiPriority w:val="0"/>
    <w:rPr>
      <w:rFonts w:ascii="??" w:hAnsi="??" w:eastAsia="??" w:cs="宋体"/>
      <w:b/>
      <w:sz w:val="32"/>
      <w:szCs w:val="28"/>
    </w:rPr>
  </w:style>
  <w:style w:type="character" w:customStyle="1" w:styleId="435">
    <w:name w:val="页脚 Char"/>
    <w:qFormat/>
    <w:uiPriority w:val="0"/>
    <w:rPr>
      <w:rFonts w:eastAsia="Calibri"/>
      <w:sz w:val="21"/>
    </w:rPr>
  </w:style>
  <w:style w:type="character" w:customStyle="1" w:styleId="436">
    <w:name w:val="font91"/>
    <w:basedOn w:val="80"/>
    <w:qFormat/>
    <w:uiPriority w:val="0"/>
    <w:rPr>
      <w:rFonts w:hint="default" w:ascii="Calibri" w:hAnsi="Calibri" w:cs="Calibri"/>
      <w:color w:val="auto"/>
      <w:sz w:val="18"/>
      <w:szCs w:val="18"/>
      <w:u w:val="none"/>
    </w:rPr>
  </w:style>
  <w:style w:type="character" w:customStyle="1" w:styleId="437">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438">
    <w:name w:val="shadow11"/>
    <w:qFormat/>
    <w:uiPriority w:val="0"/>
    <w:rPr>
      <w:color w:val="000000"/>
      <w:sz w:val="21"/>
    </w:rPr>
  </w:style>
  <w:style w:type="character" w:customStyle="1" w:styleId="439">
    <w:name w:val="哈哈改 Char"/>
    <w:link w:val="308"/>
    <w:qFormat/>
    <w:uiPriority w:val="0"/>
    <w:rPr>
      <w:rFonts w:ascii="宋体" w:hAnsi="宋体" w:eastAsia="宋体"/>
      <w:b/>
      <w:kern w:val="2"/>
      <w:sz w:val="24"/>
      <w:szCs w:val="24"/>
      <w:lang w:bidi="ar-SA"/>
    </w:rPr>
  </w:style>
  <w:style w:type="character" w:customStyle="1" w:styleId="440">
    <w:name w:val="纯文本 Char1"/>
    <w:qFormat/>
    <w:uiPriority w:val="0"/>
    <w:rPr>
      <w:rFonts w:ascii="宋体" w:hAnsi="Courier New"/>
    </w:rPr>
  </w:style>
  <w:style w:type="character" w:customStyle="1" w:styleId="441">
    <w:name w:val="样式 样式 标书正文 + 首行缩进:  0.01 字符 + 首行缩进:  0.01 字符 Char"/>
    <w:link w:val="137"/>
    <w:qFormat/>
    <w:uiPriority w:val="0"/>
    <w:rPr>
      <w:rFonts w:ascii="宋体" w:hAnsi="宋体" w:eastAsia="宋体" w:cs="宋体"/>
      <w:sz w:val="28"/>
      <w:lang w:val="en-US" w:eastAsia="zh-CN" w:bidi="ar-SA"/>
    </w:rPr>
  </w:style>
  <w:style w:type="character" w:customStyle="1" w:styleId="442">
    <w:name w:val="正文2 Char Char"/>
    <w:qFormat/>
    <w:uiPriority w:val="0"/>
    <w:rPr>
      <w:rFonts w:eastAsia="??"/>
      <w:kern w:val="2"/>
      <w:sz w:val="24"/>
      <w:szCs w:val="28"/>
      <w:lang w:val="en-US" w:eastAsia="zh-CN" w:bidi="ar-SA"/>
    </w:rPr>
  </w:style>
  <w:style w:type="character" w:customStyle="1" w:styleId="443">
    <w:name w:val="标题 7 字符"/>
    <w:link w:val="11"/>
    <w:qFormat/>
    <w:uiPriority w:val="0"/>
    <w:rPr>
      <w:rFonts w:eastAsia="??"/>
      <w:b/>
      <w:bCs/>
      <w:sz w:val="24"/>
      <w:szCs w:val="28"/>
      <w:lang w:val="en-US" w:eastAsia="zh-CN" w:bidi="ar-SA"/>
    </w:rPr>
  </w:style>
  <w:style w:type="character" w:customStyle="1" w:styleId="444">
    <w:name w:val="批注文字 字符"/>
    <w:link w:val="27"/>
    <w:qFormat/>
    <w:uiPriority w:val="0"/>
    <w:rPr>
      <w:rFonts w:eastAsia="宋体" w:cs="Lucida Sans"/>
      <w:kern w:val="2"/>
      <w:sz w:val="21"/>
      <w:lang w:val="en-US" w:eastAsia="zh-CN" w:bidi="ar-SA"/>
    </w:rPr>
  </w:style>
  <w:style w:type="character" w:customStyle="1" w:styleId="445">
    <w:name w:val="正文文本 2 字符"/>
    <w:link w:val="70"/>
    <w:qFormat/>
    <w:uiPriority w:val="0"/>
    <w:rPr>
      <w:rFonts w:eastAsia="宋体"/>
      <w:kern w:val="2"/>
      <w:sz w:val="21"/>
      <w:lang w:bidi="ar-SA"/>
    </w:rPr>
  </w:style>
  <w:style w:type="character" w:customStyle="1" w:styleId="446">
    <w:name w:val="纯文本 字符1"/>
    <w:link w:val="41"/>
    <w:qFormat/>
    <w:uiPriority w:val="0"/>
    <w:rPr>
      <w:rFonts w:ascii="??" w:hAnsi="??" w:eastAsia="??" w:cs="宋体"/>
      <w:kern w:val="2"/>
      <w:sz w:val="21"/>
      <w:szCs w:val="21"/>
    </w:rPr>
  </w:style>
  <w:style w:type="character" w:customStyle="1" w:styleId="447">
    <w:name w:val="正文文本 3 字符"/>
    <w:link w:val="30"/>
    <w:qFormat/>
    <w:uiPriority w:val="0"/>
    <w:rPr>
      <w:rFonts w:eastAsia="宋体"/>
      <w:kern w:val="2"/>
      <w:sz w:val="21"/>
      <w:lang w:bidi="ar-SA"/>
    </w:rPr>
  </w:style>
  <w:style w:type="character" w:customStyle="1" w:styleId="448">
    <w:name w:val="标题 字符"/>
    <w:link w:val="75"/>
    <w:qFormat/>
    <w:uiPriority w:val="0"/>
    <w:rPr>
      <w:rFonts w:eastAsia="??"/>
      <w:b/>
      <w:sz w:val="24"/>
      <w:szCs w:val="28"/>
      <w:lang w:eastAsia="zh-CN" w:bidi="ar-SA"/>
    </w:rPr>
  </w:style>
  <w:style w:type="character" w:customStyle="1" w:styleId="449">
    <w:name w:val="正文缩 Char"/>
    <w:link w:val="211"/>
    <w:qFormat/>
    <w:uiPriority w:val="0"/>
    <w:rPr>
      <w:rFonts w:eastAsia="楷体_GB2312"/>
      <w:kern w:val="2"/>
      <w:sz w:val="24"/>
      <w:szCs w:val="24"/>
      <w:lang w:bidi="ar-SA"/>
    </w:rPr>
  </w:style>
  <w:style w:type="character" w:customStyle="1" w:styleId="450">
    <w:name w:val="哈哈正文 Char"/>
    <w:link w:val="141"/>
    <w:qFormat/>
    <w:uiPriority w:val="0"/>
    <w:rPr>
      <w:rFonts w:ascii="宋体" w:hAnsi="宋体" w:eastAsia="宋体"/>
      <w:kern w:val="2"/>
      <w:sz w:val="24"/>
      <w:lang w:bidi="ar-SA"/>
    </w:rPr>
  </w:style>
  <w:style w:type="character" w:customStyle="1" w:styleId="451">
    <w:name w:val="标题 9 字符"/>
    <w:link w:val="13"/>
    <w:qFormat/>
    <w:uiPriority w:val="0"/>
    <w:rPr>
      <w:rFonts w:ascii="Arial" w:hAnsi="Arial" w:eastAsia="??" w:cs="Arial"/>
      <w:sz w:val="21"/>
      <w:szCs w:val="21"/>
      <w:lang w:val="en-US" w:eastAsia="zh-CN" w:bidi="ar-SA"/>
    </w:rPr>
  </w:style>
  <w:style w:type="character" w:customStyle="1" w:styleId="452">
    <w:name w:val="页脚 字符"/>
    <w:link w:val="52"/>
    <w:qFormat/>
    <w:uiPriority w:val="0"/>
    <w:rPr>
      <w:rFonts w:eastAsia="??"/>
      <w:kern w:val="2"/>
      <w:sz w:val="18"/>
      <w:szCs w:val="28"/>
      <w:lang w:val="en-US" w:eastAsia="zh-CN" w:bidi="ar-SA"/>
    </w:rPr>
  </w:style>
  <w:style w:type="character" w:customStyle="1" w:styleId="453">
    <w:name w:val="正文4 Char"/>
    <w:link w:val="218"/>
    <w:qFormat/>
    <w:uiPriority w:val="0"/>
    <w:rPr>
      <w:rFonts w:eastAsia="楷体_GB2312"/>
      <w:kern w:val="2"/>
      <w:sz w:val="24"/>
      <w:szCs w:val="24"/>
      <w:lang w:bidi="ar-SA"/>
    </w:rPr>
  </w:style>
  <w:style w:type="character" w:customStyle="1" w:styleId="454">
    <w:name w:val="正文首行缩进两字 Char"/>
    <w:link w:val="387"/>
    <w:qFormat/>
    <w:uiPriority w:val="0"/>
    <w:rPr>
      <w:sz w:val="24"/>
      <w:szCs w:val="24"/>
      <w:lang w:val="en-US" w:eastAsia="zh-CN" w:bidi="ar-SA"/>
    </w:rPr>
  </w:style>
  <w:style w:type="character" w:customStyle="1" w:styleId="455">
    <w:name w:val="正文1 Char"/>
    <w:qFormat/>
    <w:uiPriority w:val="0"/>
    <w:rPr>
      <w:rFonts w:ascii="宋体" w:eastAsia="宋体"/>
      <w:snapToGrid w:val="0"/>
      <w:color w:val="000000"/>
      <w:kern w:val="28"/>
      <w:sz w:val="28"/>
      <w:lang w:val="en-US" w:eastAsia="zh-CN" w:bidi="ar-SA"/>
    </w:rPr>
  </w:style>
  <w:style w:type="character" w:customStyle="1" w:styleId="456">
    <w:name w:val="标题 1 字符"/>
    <w:link w:val="5"/>
    <w:qFormat/>
    <w:uiPriority w:val="0"/>
    <w:rPr>
      <w:rFonts w:ascii="??" w:hAnsi="??" w:eastAsia="??" w:cs="宋体"/>
      <w:b/>
      <w:kern w:val="36"/>
      <w:sz w:val="32"/>
      <w:szCs w:val="28"/>
      <w:lang w:val="en-US" w:eastAsia="zh-CN" w:bidi="ar-SA"/>
    </w:rPr>
  </w:style>
  <w:style w:type="character" w:customStyle="1" w:styleId="457">
    <w:name w:val="电子邮件签名 字符"/>
    <w:link w:val="19"/>
    <w:qFormat/>
    <w:uiPriority w:val="0"/>
    <w:rPr>
      <w:rFonts w:eastAsia="楷体_GB2312"/>
      <w:kern w:val="2"/>
      <w:sz w:val="24"/>
      <w:szCs w:val="24"/>
      <w:lang w:bidi="ar-SA"/>
    </w:rPr>
  </w:style>
  <w:style w:type="character" w:customStyle="1" w:styleId="458">
    <w:name w:val="ih151"/>
    <w:qFormat/>
    <w:uiPriority w:val="0"/>
    <w:rPr>
      <w:color w:val="666666"/>
      <w:sz w:val="18"/>
      <w:szCs w:val="18"/>
      <w:u w:val="none"/>
    </w:rPr>
  </w:style>
  <w:style w:type="character" w:customStyle="1" w:styleId="45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460">
    <w:name w:val="Char Char16"/>
    <w:qFormat/>
    <w:uiPriority w:val="0"/>
    <w:rPr>
      <w:rFonts w:ascii="宋体" w:hAnsi="宋体" w:eastAsia="宋体" w:cs="Lucida Sans"/>
    </w:rPr>
  </w:style>
  <w:style w:type="character" w:customStyle="1" w:styleId="461">
    <w:name w:val="gf正文1 Char"/>
    <w:link w:val="241"/>
    <w:qFormat/>
    <w:uiPriority w:val="0"/>
    <w:rPr>
      <w:rFonts w:ascii="宋体" w:hAnsi="宋体" w:eastAsia="宋体"/>
      <w:kern w:val="2"/>
      <w:sz w:val="24"/>
      <w:lang w:val="en-US" w:eastAsia="zh-CN" w:bidi="ar-SA"/>
    </w:rPr>
  </w:style>
  <w:style w:type="character" w:customStyle="1" w:styleId="462">
    <w:name w:val="font71"/>
    <w:basedOn w:val="80"/>
    <w:qFormat/>
    <w:uiPriority w:val="0"/>
    <w:rPr>
      <w:rFonts w:hint="eastAsia" w:ascii="宋体" w:hAnsi="宋体" w:eastAsia="宋体" w:cs="宋体"/>
      <w:color w:val="auto"/>
      <w:sz w:val="16"/>
      <w:szCs w:val="16"/>
      <w:u w:val="none"/>
    </w:rPr>
  </w:style>
  <w:style w:type="character" w:customStyle="1" w:styleId="463">
    <w:name w:val="脚注文本 字符"/>
    <w:link w:val="61"/>
    <w:qFormat/>
    <w:uiPriority w:val="0"/>
    <w:rPr>
      <w:rFonts w:eastAsia="楷体_GB2312"/>
      <w:kern w:val="2"/>
      <w:sz w:val="18"/>
      <w:szCs w:val="18"/>
      <w:lang w:bidi="ar-SA"/>
    </w:rPr>
  </w:style>
  <w:style w:type="character" w:customStyle="1" w:styleId="464">
    <w:name w:val="签名 字符"/>
    <w:link w:val="54"/>
    <w:qFormat/>
    <w:uiPriority w:val="0"/>
    <w:rPr>
      <w:rFonts w:eastAsia="仿宋_GB2312"/>
      <w:sz w:val="24"/>
      <w:lang w:bidi="ar-SA"/>
    </w:rPr>
  </w:style>
  <w:style w:type="character" w:customStyle="1" w:styleId="465">
    <w:name w:val="normalfont1"/>
    <w:qFormat/>
    <w:uiPriority w:val="0"/>
    <w:rPr>
      <w:rFonts w:hint="default" w:ascii="ˎ̥" w:hAnsi="ˎ̥"/>
      <w:sz w:val="18"/>
      <w:szCs w:val="18"/>
      <w:u w:val="none"/>
    </w:rPr>
  </w:style>
  <w:style w:type="character" w:customStyle="1" w:styleId="466">
    <w:name w:val="Char Char14"/>
    <w:qFormat/>
    <w:uiPriority w:val="0"/>
    <w:rPr>
      <w:kern w:val="2"/>
      <w:sz w:val="21"/>
    </w:rPr>
  </w:style>
  <w:style w:type="character" w:customStyle="1" w:styleId="467">
    <w:name w:val="段 Char Char Char"/>
    <w:qFormat/>
    <w:uiPriority w:val="0"/>
    <w:rPr>
      <w:rFonts w:ascii="宋体" w:eastAsia="宋体"/>
      <w:sz w:val="21"/>
      <w:lang w:val="en-US" w:eastAsia="zh-CN" w:bidi="ar-SA"/>
    </w:rPr>
  </w:style>
  <w:style w:type="character" w:customStyle="1" w:styleId="468">
    <w:name w:val="Char12"/>
    <w:semiHidden/>
    <w:qFormat/>
    <w:uiPriority w:val="0"/>
    <w:rPr>
      <w:rFonts w:eastAsia="宋体"/>
      <w:kern w:val="2"/>
      <w:sz w:val="24"/>
      <w:szCs w:val="24"/>
      <w:lang w:val="en-US" w:eastAsia="zh-CN" w:bidi="ar-SA"/>
    </w:rPr>
  </w:style>
  <w:style w:type="character" w:customStyle="1" w:styleId="469">
    <w:name w:val="纯文本 Char2"/>
    <w:qFormat/>
    <w:uiPriority w:val="0"/>
    <w:rPr>
      <w:rFonts w:ascii="??" w:hAnsi="??" w:eastAsia="??" w:cs="宋体"/>
      <w:kern w:val="2"/>
      <w:sz w:val="21"/>
      <w:szCs w:val="21"/>
    </w:rPr>
  </w:style>
  <w:style w:type="character" w:customStyle="1" w:styleId="470">
    <w:name w:val="正文文本缩进 3 字符"/>
    <w:link w:val="63"/>
    <w:qFormat/>
    <w:uiPriority w:val="0"/>
    <w:rPr>
      <w:rFonts w:eastAsia="??"/>
      <w:kern w:val="2"/>
      <w:sz w:val="28"/>
      <w:szCs w:val="28"/>
      <w:lang w:val="en-US" w:eastAsia="zh-CN" w:bidi="ar-SA"/>
    </w:rPr>
  </w:style>
  <w:style w:type="character" w:customStyle="1" w:styleId="471">
    <w:name w:val="Char Char6"/>
    <w:qFormat/>
    <w:uiPriority w:val="0"/>
    <w:rPr>
      <w:rFonts w:ascii="Times New Roman" w:hAnsi="Times New Roman"/>
      <w:kern w:val="28"/>
      <w:sz w:val="24"/>
      <w:szCs w:val="24"/>
    </w:rPr>
  </w:style>
  <w:style w:type="character" w:customStyle="1" w:styleId="472">
    <w:name w:val="fonts11"/>
    <w:qFormat/>
    <w:uiPriority w:val="0"/>
    <w:rPr>
      <w:sz w:val="18"/>
      <w:szCs w:val="18"/>
    </w:rPr>
  </w:style>
  <w:style w:type="character" w:customStyle="1" w:styleId="473">
    <w:name w:val="宏文本 字符"/>
    <w:link w:val="4"/>
    <w:qFormat/>
    <w:uiPriority w:val="0"/>
    <w:rPr>
      <w:rFonts w:ascii="Courier New" w:hAnsi="Courier New" w:cs="Courier New"/>
      <w:kern w:val="2"/>
      <w:sz w:val="24"/>
      <w:szCs w:val="24"/>
      <w:lang w:val="en-US" w:eastAsia="zh-CN" w:bidi="ar-SA"/>
    </w:rPr>
  </w:style>
  <w:style w:type="character" w:customStyle="1" w:styleId="474">
    <w:name w:val="样式4 Char Char"/>
    <w:qFormat/>
    <w:uiPriority w:val="0"/>
    <w:rPr>
      <w:rFonts w:eastAsia="宋体" w:cs="宋体"/>
      <w:color w:val="000000"/>
      <w:sz w:val="24"/>
      <w:szCs w:val="24"/>
      <w:lang w:val="en-US" w:eastAsia="zh-CN" w:bidi="ar-SA"/>
    </w:rPr>
  </w:style>
  <w:style w:type="character" w:customStyle="1" w:styleId="475">
    <w:name w:val="param_td12"/>
    <w:qFormat/>
    <w:uiPriority w:val="0"/>
  </w:style>
  <w:style w:type="character" w:customStyle="1" w:styleId="476">
    <w:name w:val="subtitle1"/>
    <w:qFormat/>
    <w:uiPriority w:val="0"/>
    <w:rPr>
      <w:rFonts w:hint="default" w:ascii="Georgia" w:hAnsi="Georgia"/>
      <w:b/>
      <w:bCs/>
      <w:color w:val="666666"/>
      <w:sz w:val="18"/>
      <w:szCs w:val="18"/>
    </w:rPr>
  </w:style>
  <w:style w:type="character" w:customStyle="1" w:styleId="477">
    <w:name w:val="正文 首行缩进2字符 Char Char Char"/>
    <w:qFormat/>
    <w:uiPriority w:val="0"/>
    <w:rPr>
      <w:rFonts w:eastAsia="宋体"/>
      <w:kern w:val="2"/>
      <w:sz w:val="24"/>
      <w:szCs w:val="24"/>
      <w:lang w:val="en-US" w:eastAsia="zh-CN" w:bidi="ar-SA"/>
    </w:rPr>
  </w:style>
  <w:style w:type="character" w:customStyle="1" w:styleId="478">
    <w:name w:val="font21"/>
    <w:qFormat/>
    <w:uiPriority w:val="0"/>
    <w:rPr>
      <w:rFonts w:hint="eastAsia" w:ascii="宋体" w:hAnsi="宋体" w:eastAsia="宋体"/>
      <w:kern w:val="2"/>
      <w:sz w:val="28"/>
      <w:szCs w:val="28"/>
      <w:lang w:val="en-US" w:eastAsia="zh-CN" w:bidi="ar-SA"/>
    </w:rPr>
  </w:style>
  <w:style w:type="character" w:customStyle="1" w:styleId="479">
    <w:name w:val="标准正文 Char"/>
    <w:link w:val="249"/>
    <w:qFormat/>
    <w:locked/>
    <w:uiPriority w:val="0"/>
    <w:rPr>
      <w:sz w:val="24"/>
      <w:lang w:bidi="ar-SA"/>
    </w:rPr>
  </w:style>
  <w:style w:type="character" w:customStyle="1" w:styleId="480">
    <w:name w:val="无间隔 Char"/>
    <w:link w:val="142"/>
    <w:qFormat/>
    <w:uiPriority w:val="0"/>
    <w:rPr>
      <w:rFonts w:eastAsia="楷体_GB2312" w:cs="Lucida Sans"/>
      <w:kern w:val="2"/>
      <w:sz w:val="24"/>
      <w:szCs w:val="24"/>
      <w:lang w:val="en-US" w:eastAsia="zh-CN" w:bidi="ar-SA"/>
    </w:rPr>
  </w:style>
  <w:style w:type="character" w:customStyle="1" w:styleId="481">
    <w:name w:val="font-121"/>
    <w:qFormat/>
    <w:uiPriority w:val="0"/>
    <w:rPr>
      <w:color w:val="666666"/>
      <w:sz w:val="18"/>
      <w:szCs w:val="18"/>
      <w:u w:val="none"/>
    </w:rPr>
  </w:style>
  <w:style w:type="character" w:customStyle="1" w:styleId="482">
    <w:name w:val="正文文本缩进 2 字符"/>
    <w:link w:val="47"/>
    <w:qFormat/>
    <w:uiPriority w:val="0"/>
    <w:rPr>
      <w:rFonts w:ascii="??" w:hAnsi="??" w:eastAsia="??" w:cs="宋体"/>
      <w:kern w:val="2"/>
      <w:sz w:val="28"/>
      <w:szCs w:val="28"/>
      <w:lang w:val="en-US" w:eastAsia="zh-CN" w:bidi="ar-SA"/>
    </w:rPr>
  </w:style>
  <w:style w:type="character" w:customStyle="1" w:styleId="483">
    <w:name w:val="title141"/>
    <w:qFormat/>
    <w:uiPriority w:val="0"/>
    <w:rPr>
      <w:sz w:val="25"/>
      <w:szCs w:val="25"/>
    </w:rPr>
  </w:style>
  <w:style w:type="character" w:customStyle="1" w:styleId="484">
    <w:name w:val="正文文本首行缩进 字符"/>
    <w:link w:val="77"/>
    <w:qFormat/>
    <w:uiPriority w:val="0"/>
    <w:rPr>
      <w:rFonts w:ascii="宋体" w:eastAsia="宋体"/>
      <w:kern w:val="2"/>
      <w:sz w:val="24"/>
      <w:lang w:val="zh-CN" w:eastAsia="zh-CN" w:bidi="ar-SA"/>
    </w:rPr>
  </w:style>
  <w:style w:type="character" w:customStyle="1" w:styleId="485">
    <w:name w:val="md"/>
    <w:basedOn w:val="80"/>
    <w:qFormat/>
    <w:uiPriority w:val="0"/>
  </w:style>
  <w:style w:type="character" w:customStyle="1" w:styleId="486">
    <w:name w:val="h3 Char1"/>
    <w:qFormat/>
    <w:uiPriority w:val="0"/>
    <w:rPr>
      <w:rFonts w:eastAsia="宋体"/>
      <w:b/>
      <w:bCs/>
      <w:kern w:val="2"/>
      <w:sz w:val="32"/>
      <w:szCs w:val="32"/>
      <w:lang w:val="en-US" w:eastAsia="zh-CN" w:bidi="ar-SA"/>
    </w:rPr>
  </w:style>
  <w:style w:type="character" w:customStyle="1" w:styleId="487">
    <w:name w:val="Char Char19"/>
    <w:qFormat/>
    <w:uiPriority w:val="0"/>
    <w:rPr>
      <w:kern w:val="2"/>
      <w:sz w:val="18"/>
    </w:rPr>
  </w:style>
  <w:style w:type="character" w:customStyle="1" w:styleId="488">
    <w:name w:val="dectext1"/>
    <w:qFormat/>
    <w:uiPriority w:val="0"/>
    <w:rPr>
      <w:rFonts w:ascii="宋体" w:hAnsi="宋体" w:eastAsia="宋体"/>
      <w:color w:val="333333"/>
      <w:sz w:val="21"/>
      <w:u w:val="none"/>
    </w:rPr>
  </w:style>
  <w:style w:type="character" w:customStyle="1" w:styleId="489">
    <w:name w:val="批注框文本 字符"/>
    <w:link w:val="51"/>
    <w:qFormat/>
    <w:uiPriority w:val="0"/>
    <w:rPr>
      <w:rFonts w:eastAsia="??"/>
      <w:kern w:val="2"/>
      <w:sz w:val="18"/>
      <w:szCs w:val="18"/>
      <w:lang w:val="en-US" w:eastAsia="zh-CN" w:bidi="ar-SA"/>
    </w:rPr>
  </w:style>
  <w:style w:type="character" w:customStyle="1" w:styleId="490">
    <w:name w:val="普通文字 Char Char"/>
    <w:qFormat/>
    <w:uiPriority w:val="0"/>
    <w:rPr>
      <w:rFonts w:ascii="宋体" w:hAnsi="Courier New" w:eastAsia="宋体"/>
      <w:kern w:val="2"/>
      <w:sz w:val="21"/>
      <w:szCs w:val="21"/>
      <w:lang w:bidi="ar-SA"/>
    </w:rPr>
  </w:style>
  <w:style w:type="character" w:customStyle="1" w:styleId="491">
    <w:name w:val="Char Char15"/>
    <w:qFormat/>
    <w:uiPriority w:val="0"/>
    <w:rPr>
      <w:rFonts w:ascii="Times New Roman" w:hAnsi="Times New Roman"/>
      <w:sz w:val="18"/>
    </w:rPr>
  </w:style>
  <w:style w:type="character" w:customStyle="1" w:styleId="492">
    <w:name w:val="标题 2 字符"/>
    <w:link w:val="6"/>
    <w:qFormat/>
    <w:uiPriority w:val="0"/>
    <w:rPr>
      <w:rFonts w:ascii="Arial" w:hAnsi="Arial" w:eastAsia="??" w:cs="Arial"/>
      <w:b/>
      <w:bCs/>
      <w:kern w:val="2"/>
      <w:sz w:val="21"/>
      <w:szCs w:val="32"/>
      <w:lang w:val="en-US" w:eastAsia="zh-CN" w:bidi="ar-SA"/>
    </w:rPr>
  </w:style>
  <w:style w:type="character" w:customStyle="1" w:styleId="493">
    <w:name w:val="font81"/>
    <w:basedOn w:val="80"/>
    <w:qFormat/>
    <w:uiPriority w:val="0"/>
    <w:rPr>
      <w:rFonts w:hint="eastAsia" w:ascii="宋体" w:hAnsi="宋体" w:eastAsia="宋体" w:cs="宋体"/>
      <w:color w:val="auto"/>
      <w:sz w:val="18"/>
      <w:szCs w:val="18"/>
      <w:u w:val="none"/>
    </w:rPr>
  </w:style>
  <w:style w:type="character" w:customStyle="1" w:styleId="494">
    <w:name w:val="称呼 字符"/>
    <w:link w:val="29"/>
    <w:qFormat/>
    <w:uiPriority w:val="0"/>
    <w:rPr>
      <w:rFonts w:ascii="仿宋_GB2312" w:eastAsia="仿宋_GB2312"/>
      <w:kern w:val="2"/>
      <w:sz w:val="28"/>
      <w:lang w:bidi="ar-SA"/>
    </w:rPr>
  </w:style>
  <w:style w:type="character" w:customStyle="1" w:styleId="495">
    <w:name w:val="纯文本 Char"/>
    <w:qFormat/>
    <w:uiPriority w:val="0"/>
    <w:rPr>
      <w:rFonts w:ascii="??" w:hAnsi="??" w:eastAsia="??" w:cs="宋体"/>
      <w:kern w:val="2"/>
      <w:sz w:val="21"/>
      <w:szCs w:val="21"/>
    </w:rPr>
  </w:style>
  <w:style w:type="character" w:customStyle="1" w:styleId="496">
    <w:name w:val="正文缩进 字符"/>
    <w:link w:val="21"/>
    <w:qFormat/>
    <w:uiPriority w:val="0"/>
    <w:rPr>
      <w:rFonts w:eastAsia="??"/>
      <w:sz w:val="24"/>
      <w:szCs w:val="24"/>
      <w:lang w:val="en-US" w:eastAsia="zh-CN" w:bidi="ar-SA"/>
    </w:rPr>
  </w:style>
  <w:style w:type="character" w:customStyle="1" w:styleId="497">
    <w:name w:val="占位符文本1"/>
    <w:semiHidden/>
    <w:qFormat/>
    <w:uiPriority w:val="0"/>
    <w:rPr>
      <w:color w:val="808080"/>
    </w:rPr>
  </w:style>
  <w:style w:type="character" w:customStyle="1" w:styleId="498">
    <w:name w:val="标题 6 字符"/>
    <w:link w:val="10"/>
    <w:qFormat/>
    <w:uiPriority w:val="0"/>
    <w:rPr>
      <w:rFonts w:ascii="Arial" w:hAnsi="Arial" w:eastAsia="??" w:cs="Arial"/>
      <w:b/>
      <w:bCs/>
      <w:sz w:val="24"/>
      <w:szCs w:val="28"/>
      <w:lang w:val="en-US" w:eastAsia="zh-CN" w:bidi="ar-SA"/>
    </w:rPr>
  </w:style>
  <w:style w:type="character" w:customStyle="1" w:styleId="499">
    <w:name w:val="温室气体 Char"/>
    <w:link w:val="405"/>
    <w:qFormat/>
    <w:uiPriority w:val="0"/>
    <w:rPr>
      <w:rFonts w:ascii="仿宋_GB2312" w:eastAsia="仿宋_GB2312"/>
      <w:color w:val="000000"/>
      <w:kern w:val="2"/>
      <w:sz w:val="28"/>
    </w:rPr>
  </w:style>
  <w:style w:type="table" w:customStyle="1" w:styleId="500">
    <w:name w:val="中等深浅网格 2 - 强调文字颜色 11"/>
    <w:basedOn w:val="78"/>
    <w:qFormat/>
    <w:uiPriority w:val="68"/>
    <w:rPr>
      <w:rFonts w:ascii="Cambria" w:hAnsi="Cambria"/>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tblStylePr w:type="band1Horz">
      <w:tcPr>
        <w:shd w:val="clear" w:color="auto" w:fill="A7C0DE"/>
      </w:tcPr>
    </w:tblStylePr>
    <w:tblStylePr w:type="nwCell">
      <w:tcPr>
        <w:shd w:val="clear" w:color="auto" w:fill="FFFFFF"/>
      </w:tcPr>
    </w:tblStylePr>
  </w:style>
  <w:style w:type="table" w:customStyle="1" w:styleId="501">
    <w:name w:val="Table Normal1"/>
    <w:qFormat/>
    <w:uiPriority w:val="0"/>
    <w:tblPr>
      <w:tblCellMar>
        <w:top w:w="0" w:type="dxa"/>
        <w:left w:w="0" w:type="dxa"/>
        <w:bottom w:w="0" w:type="dxa"/>
        <w:right w:w="0" w:type="dxa"/>
      </w:tblCellMar>
    </w:tblPr>
  </w:style>
  <w:style w:type="table" w:customStyle="1" w:styleId="502">
    <w:name w:val="TableGrid"/>
    <w:qFormat/>
    <w:uiPriority w:val="0"/>
    <w:rPr>
      <w:rFonts w:ascii="等线" w:hAnsi="等线" w:eastAsia="等线"/>
    </w:rPr>
    <w:tblPr>
      <w:tblCellMar>
        <w:top w:w="0" w:type="dxa"/>
        <w:left w:w="0" w:type="dxa"/>
        <w:bottom w:w="0" w:type="dxa"/>
        <w:right w:w="0" w:type="dxa"/>
      </w:tblCellMar>
    </w:tblPr>
  </w:style>
  <w:style w:type="table" w:customStyle="1" w:styleId="503">
    <w:name w:val="Table Normal"/>
    <w:qFormat/>
    <w:uiPriority w:val="0"/>
    <w:tblPr>
      <w:tblCellMar>
        <w:top w:w="0" w:type="dxa"/>
        <w:left w:w="0" w:type="dxa"/>
        <w:bottom w:w="0" w:type="dxa"/>
        <w:right w:w="0" w:type="dxa"/>
      </w:tblCellMar>
    </w:tblPr>
  </w:style>
  <w:style w:type="table" w:customStyle="1" w:styleId="504">
    <w:name w:val="Table Normal2"/>
    <w:qFormat/>
    <w:uiPriority w:val="0"/>
    <w:tblPr>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7709</Words>
  <Characters>43944</Characters>
  <Lines>366</Lines>
  <Paragraphs>103</Paragraphs>
  <TotalTime>12</TotalTime>
  <ScaleCrop>false</ScaleCrop>
  <LinksUpToDate>false</LinksUpToDate>
  <CharactersWithSpaces>51550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2020-07-23T12:45:00Z</dcterms:created>
  <dc:creator>111</dc:creator>
  <cp:lastModifiedBy>Administrator</cp:lastModifiedBy>
  <cp:lastPrinted>2020-01-17T10:30:00Z</cp:lastPrinted>
  <dcterms:modified xsi:type="dcterms:W3CDTF">2020-09-30T06:28:34Z</dcterms:modified>
  <cp:revision>4</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